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04D5D0">
      <w:pPr>
        <w:pStyle w:val="2"/>
        <w:rPr>
          <w:color w:val="auto"/>
        </w:rPr>
      </w:pPr>
    </w:p>
    <w:p w14:paraId="1959CF75">
      <w:pPr>
        <w:spacing w:line="276" w:lineRule="auto"/>
        <w:jc w:val="center"/>
        <w:outlineLvl w:val="0"/>
        <w:rPr>
          <w:rFonts w:ascii="方正黑体_GBK" w:hAnsi="宋体" w:eastAsia="方正黑体_GBK"/>
          <w:color w:val="auto"/>
          <w:sz w:val="100"/>
          <w:szCs w:val="100"/>
        </w:rPr>
      </w:pPr>
    </w:p>
    <w:p w14:paraId="6925BE74">
      <w:pPr>
        <w:spacing w:line="276" w:lineRule="auto"/>
        <w:jc w:val="center"/>
        <w:outlineLvl w:val="0"/>
        <w:rPr>
          <w:rFonts w:ascii="方正黑体_GBK" w:hAnsi="宋体" w:eastAsia="方正黑体_GBK"/>
          <w:color w:val="auto"/>
          <w:sz w:val="130"/>
          <w:szCs w:val="130"/>
        </w:rPr>
      </w:pPr>
      <w:r>
        <w:rPr>
          <w:rFonts w:hint="eastAsia" w:ascii="方正黑体_GBK" w:hAnsi="宋体" w:eastAsia="方正黑体_GBK"/>
          <w:color w:val="auto"/>
          <w:sz w:val="130"/>
          <w:szCs w:val="130"/>
        </w:rPr>
        <w:t>招 标 文 件</w:t>
      </w:r>
    </w:p>
    <w:p w14:paraId="0EA0DDC5">
      <w:pPr>
        <w:pStyle w:val="10"/>
        <w:spacing w:line="276" w:lineRule="auto"/>
        <w:ind w:left="0"/>
        <w:jc w:val="center"/>
        <w:rPr>
          <w:rFonts w:ascii="方正仿宋_GBK" w:hAnsi="宋体" w:eastAsia="方正仿宋_GBK"/>
          <w:b/>
          <w:color w:val="auto"/>
          <w:sz w:val="24"/>
          <w:szCs w:val="24"/>
        </w:rPr>
      </w:pPr>
    </w:p>
    <w:p w14:paraId="72A97BD1">
      <w:pPr>
        <w:pStyle w:val="10"/>
        <w:spacing w:line="276" w:lineRule="auto"/>
        <w:ind w:left="0"/>
        <w:jc w:val="center"/>
        <w:rPr>
          <w:rFonts w:ascii="方正仿宋_GBK" w:hAnsi="宋体" w:eastAsia="方正仿宋_GBK"/>
          <w:b/>
          <w:color w:val="auto"/>
          <w:sz w:val="24"/>
          <w:szCs w:val="24"/>
        </w:rPr>
      </w:pPr>
    </w:p>
    <w:p w14:paraId="35EB9700">
      <w:pPr>
        <w:pStyle w:val="10"/>
        <w:spacing w:line="276" w:lineRule="auto"/>
        <w:ind w:left="0"/>
        <w:jc w:val="center"/>
        <w:rPr>
          <w:rFonts w:ascii="方正仿宋_GBK" w:hAnsi="宋体" w:eastAsia="方正仿宋_GBK"/>
          <w:b/>
          <w:color w:val="auto"/>
          <w:sz w:val="24"/>
          <w:szCs w:val="24"/>
        </w:rPr>
      </w:pPr>
    </w:p>
    <w:p w14:paraId="6EBC3877">
      <w:pPr>
        <w:pStyle w:val="10"/>
        <w:spacing w:line="276" w:lineRule="auto"/>
        <w:ind w:left="0"/>
        <w:jc w:val="center"/>
        <w:rPr>
          <w:rFonts w:ascii="方正仿宋_GBK" w:hAnsi="宋体" w:eastAsia="方正仿宋_GBK"/>
          <w:b/>
          <w:color w:val="auto"/>
          <w:sz w:val="24"/>
          <w:szCs w:val="24"/>
        </w:rPr>
      </w:pPr>
    </w:p>
    <w:p w14:paraId="76AE4CF9">
      <w:pPr>
        <w:pStyle w:val="10"/>
        <w:spacing w:line="276" w:lineRule="auto"/>
        <w:ind w:left="4200" w:leftChars="600" w:hanging="2520" w:hangingChars="700"/>
        <w:jc w:val="left"/>
        <w:rPr>
          <w:rFonts w:ascii="方正小标宋_GBK" w:hAnsi="宋体" w:eastAsia="方正小标宋_GBK"/>
          <w:color w:val="auto"/>
          <w:kern w:val="0"/>
          <w:sz w:val="36"/>
          <w:szCs w:val="36"/>
        </w:rPr>
      </w:pPr>
    </w:p>
    <w:p w14:paraId="47526A8F">
      <w:pPr>
        <w:pStyle w:val="10"/>
        <w:spacing w:line="276" w:lineRule="auto"/>
        <w:ind w:left="4200" w:leftChars="600" w:hanging="2520" w:hangingChars="700"/>
        <w:jc w:val="left"/>
        <w:rPr>
          <w:rFonts w:ascii="方正小标宋_GBK" w:hAnsi="宋体" w:eastAsia="方正小标宋_GBK"/>
          <w:color w:val="auto"/>
          <w:kern w:val="0"/>
          <w:sz w:val="36"/>
          <w:szCs w:val="36"/>
        </w:rPr>
      </w:pPr>
    </w:p>
    <w:p w14:paraId="6D5C86FF">
      <w:pPr>
        <w:pStyle w:val="10"/>
        <w:spacing w:line="276" w:lineRule="auto"/>
        <w:ind w:left="4200" w:leftChars="600" w:hanging="2520" w:hangingChars="700"/>
        <w:jc w:val="left"/>
        <w:rPr>
          <w:rFonts w:hint="default" w:ascii="方正小标宋_GBK" w:hAnsi="宋体" w:eastAsia="方正小标宋_GBK"/>
          <w:color w:val="auto"/>
          <w:kern w:val="0"/>
          <w:sz w:val="36"/>
          <w:szCs w:val="36"/>
          <w:lang w:val="en-US" w:eastAsia="zh-CN"/>
        </w:rPr>
      </w:pPr>
      <w:r>
        <w:rPr>
          <w:rFonts w:hint="eastAsia" w:ascii="方正小标宋_GBK" w:hAnsi="宋体" w:eastAsia="方正小标宋_GBK"/>
          <w:color w:val="auto"/>
          <w:kern w:val="0"/>
          <w:sz w:val="36"/>
          <w:szCs w:val="36"/>
        </w:rPr>
        <w:t>采购项目编号：CTBU-JZ2025</w:t>
      </w:r>
      <w:r>
        <w:rPr>
          <w:rFonts w:hint="eastAsia" w:ascii="方正小标宋_GBK" w:hAnsi="宋体" w:eastAsia="方正小标宋_GBK"/>
          <w:color w:val="auto"/>
          <w:kern w:val="0"/>
          <w:sz w:val="36"/>
          <w:szCs w:val="36"/>
          <w:lang w:val="en-US" w:eastAsia="zh-CN"/>
        </w:rPr>
        <w:t>111</w:t>
      </w:r>
    </w:p>
    <w:p w14:paraId="4DE36E19">
      <w:pPr>
        <w:pStyle w:val="10"/>
        <w:spacing w:line="276" w:lineRule="auto"/>
        <w:ind w:left="4200" w:leftChars="600" w:hanging="2520" w:hangingChars="700"/>
        <w:jc w:val="left"/>
        <w:rPr>
          <w:rFonts w:hint="eastAsia" w:ascii="方正仿宋_GBK" w:hAnsi="宋体" w:eastAsia="方正小标宋_GBK"/>
          <w:b/>
          <w:color w:val="auto"/>
          <w:sz w:val="24"/>
          <w:szCs w:val="24"/>
          <w:lang w:eastAsia="zh-CN"/>
        </w:rPr>
      </w:pPr>
      <w:r>
        <w:rPr>
          <w:rFonts w:hint="eastAsia" w:ascii="方正小标宋_GBK" w:hAnsi="宋体" w:eastAsia="方正小标宋_GBK"/>
          <w:color w:val="auto"/>
          <w:kern w:val="0"/>
          <w:sz w:val="36"/>
          <w:szCs w:val="36"/>
        </w:rPr>
        <w:t>采购项目名称</w:t>
      </w:r>
      <w:bookmarkStart w:id="0" w:name="_Hlk68076217"/>
      <w:r>
        <w:rPr>
          <w:rFonts w:hint="eastAsia" w:ascii="方正小标宋_GBK" w:hAnsi="宋体" w:eastAsia="方正小标宋_GBK"/>
          <w:color w:val="auto"/>
          <w:kern w:val="0"/>
          <w:sz w:val="36"/>
          <w:szCs w:val="36"/>
        </w:rPr>
        <w:t>：重庆工商大学</w:t>
      </w:r>
      <w:bookmarkEnd w:id="0"/>
      <w:r>
        <w:rPr>
          <w:rFonts w:hint="eastAsia" w:ascii="方正小标宋_GBK" w:hAnsi="宋体" w:eastAsia="方正小标宋_GBK"/>
          <w:color w:val="auto"/>
          <w:kern w:val="0"/>
          <w:sz w:val="36"/>
          <w:szCs w:val="36"/>
        </w:rPr>
        <w:t>自营食堂饮料供应商采购</w:t>
      </w:r>
      <w:r>
        <w:rPr>
          <w:rFonts w:hint="eastAsia" w:ascii="方正小标宋_GBK" w:hAnsi="宋体" w:eastAsia="方正小标宋_GBK"/>
          <w:color w:val="auto"/>
          <w:kern w:val="0"/>
          <w:sz w:val="36"/>
          <w:szCs w:val="36"/>
          <w:lang w:eastAsia="zh-CN"/>
        </w:rPr>
        <w:t>（</w:t>
      </w:r>
      <w:r>
        <w:rPr>
          <w:rFonts w:hint="eastAsia" w:ascii="方正小标宋_GBK" w:hAnsi="宋体" w:eastAsia="方正小标宋_GBK"/>
          <w:color w:val="auto"/>
          <w:kern w:val="0"/>
          <w:sz w:val="36"/>
          <w:szCs w:val="36"/>
          <w:lang w:val="en-US" w:eastAsia="zh-CN"/>
        </w:rPr>
        <w:t>2次</w:t>
      </w:r>
      <w:r>
        <w:rPr>
          <w:rFonts w:hint="eastAsia" w:ascii="方正小标宋_GBK" w:hAnsi="宋体" w:eastAsia="方正小标宋_GBK"/>
          <w:color w:val="auto"/>
          <w:kern w:val="0"/>
          <w:sz w:val="36"/>
          <w:szCs w:val="36"/>
          <w:lang w:eastAsia="zh-CN"/>
        </w:rPr>
        <w:t>）</w:t>
      </w:r>
    </w:p>
    <w:p w14:paraId="25F4F5CF">
      <w:pPr>
        <w:spacing w:line="276" w:lineRule="auto"/>
        <w:jc w:val="center"/>
        <w:rPr>
          <w:rFonts w:ascii="方正仿宋_GBK" w:hAnsi="宋体" w:eastAsia="方正仿宋_GBK"/>
          <w:b/>
          <w:color w:val="auto"/>
          <w:sz w:val="24"/>
          <w:szCs w:val="24"/>
        </w:rPr>
      </w:pPr>
    </w:p>
    <w:p w14:paraId="4CF17213">
      <w:pPr>
        <w:pStyle w:val="14"/>
        <w:spacing w:line="276" w:lineRule="auto"/>
        <w:rPr>
          <w:rFonts w:ascii="方正仿宋_GBK" w:hAnsi="宋体" w:eastAsia="方正仿宋_GBK"/>
          <w:b/>
          <w:color w:val="auto"/>
          <w:sz w:val="24"/>
          <w:szCs w:val="24"/>
        </w:rPr>
      </w:pPr>
    </w:p>
    <w:p w14:paraId="6174B14F">
      <w:pPr>
        <w:pStyle w:val="15"/>
        <w:spacing w:line="276" w:lineRule="auto"/>
        <w:rPr>
          <w:rFonts w:ascii="方正仿宋_GBK" w:hAnsi="宋体" w:eastAsia="方正仿宋_GBK"/>
          <w:b/>
          <w:color w:val="auto"/>
          <w:sz w:val="24"/>
          <w:szCs w:val="24"/>
        </w:rPr>
      </w:pPr>
    </w:p>
    <w:p w14:paraId="7D483654">
      <w:pPr>
        <w:spacing w:line="276" w:lineRule="auto"/>
        <w:rPr>
          <w:rFonts w:ascii="方正仿宋_GBK" w:hAnsi="宋体" w:eastAsia="方正仿宋_GBK"/>
          <w:b/>
          <w:color w:val="auto"/>
          <w:sz w:val="24"/>
          <w:szCs w:val="24"/>
        </w:rPr>
      </w:pPr>
    </w:p>
    <w:p w14:paraId="75BE8B10">
      <w:pPr>
        <w:pStyle w:val="14"/>
        <w:spacing w:line="276" w:lineRule="auto"/>
        <w:rPr>
          <w:rFonts w:ascii="方正仿宋_GBK" w:hAnsi="宋体" w:eastAsia="方正仿宋_GBK"/>
          <w:b/>
          <w:color w:val="auto"/>
          <w:sz w:val="24"/>
          <w:szCs w:val="24"/>
        </w:rPr>
      </w:pPr>
    </w:p>
    <w:p w14:paraId="7AA0F140">
      <w:pPr>
        <w:pStyle w:val="15"/>
        <w:spacing w:line="276" w:lineRule="auto"/>
        <w:rPr>
          <w:rFonts w:ascii="方正仿宋_GBK" w:hAnsi="宋体" w:eastAsia="方正仿宋_GBK"/>
          <w:b/>
          <w:color w:val="auto"/>
          <w:sz w:val="24"/>
          <w:szCs w:val="24"/>
        </w:rPr>
      </w:pPr>
    </w:p>
    <w:p w14:paraId="207CCC85">
      <w:pPr>
        <w:rPr>
          <w:color w:val="auto"/>
        </w:rPr>
      </w:pPr>
    </w:p>
    <w:p w14:paraId="58172CBA">
      <w:pPr>
        <w:spacing w:line="276" w:lineRule="auto"/>
        <w:ind w:firstLine="2880" w:firstLineChars="800"/>
        <w:outlineLvl w:val="0"/>
        <w:rPr>
          <w:rFonts w:ascii="方正小标宋_GBK" w:hAnsi="宋体" w:eastAsia="方正小标宋_GBK"/>
          <w:bCs/>
          <w:color w:val="auto"/>
          <w:kern w:val="0"/>
          <w:sz w:val="36"/>
          <w:szCs w:val="36"/>
        </w:rPr>
      </w:pPr>
    </w:p>
    <w:p w14:paraId="200B3105">
      <w:pPr>
        <w:spacing w:line="276" w:lineRule="auto"/>
        <w:ind w:firstLine="2880" w:firstLineChars="800"/>
        <w:outlineLvl w:val="0"/>
        <w:rPr>
          <w:rFonts w:ascii="方正小标宋_GBK" w:hAnsi="宋体" w:eastAsia="方正小标宋_GBK"/>
          <w:bCs/>
          <w:color w:val="auto"/>
          <w:kern w:val="0"/>
          <w:sz w:val="36"/>
          <w:szCs w:val="36"/>
        </w:rPr>
      </w:pPr>
      <w:r>
        <w:rPr>
          <w:rFonts w:hint="eastAsia" w:ascii="方正小标宋_GBK" w:hAnsi="宋体" w:eastAsia="方正小标宋_GBK"/>
          <w:bCs/>
          <w:color w:val="auto"/>
          <w:kern w:val="0"/>
          <w:sz w:val="36"/>
          <w:szCs w:val="36"/>
        </w:rPr>
        <w:t>采购人：重庆工商大学</w:t>
      </w:r>
    </w:p>
    <w:p w14:paraId="439D8A3C">
      <w:pPr>
        <w:snapToGrid w:val="0"/>
        <w:spacing w:line="276" w:lineRule="auto"/>
        <w:jc w:val="center"/>
        <w:rPr>
          <w:rFonts w:ascii="方正小标宋_GBK" w:hAnsi="宋体" w:eastAsia="方正小标宋_GBK"/>
          <w:b/>
          <w:color w:val="auto"/>
          <w:kern w:val="0"/>
          <w:sz w:val="36"/>
          <w:szCs w:val="36"/>
        </w:rPr>
      </w:pPr>
      <w:r>
        <w:rPr>
          <w:rFonts w:hint="eastAsia" w:ascii="方正小标宋_GBK" w:hAnsi="宋体" w:eastAsia="方正小标宋_GBK"/>
          <w:bCs/>
          <w:color w:val="auto"/>
          <w:kern w:val="0"/>
          <w:sz w:val="36"/>
          <w:szCs w:val="36"/>
        </w:rPr>
        <w:t>二○二五年</w:t>
      </w:r>
      <w:r>
        <w:rPr>
          <w:rFonts w:hint="eastAsia" w:ascii="方正小标宋_GBK" w:hAnsi="宋体" w:eastAsia="方正小标宋_GBK"/>
          <w:bCs/>
          <w:color w:val="auto"/>
          <w:kern w:val="0"/>
          <w:sz w:val="36"/>
          <w:szCs w:val="36"/>
          <w:lang w:val="en-US" w:eastAsia="zh-CN"/>
        </w:rPr>
        <w:t>九</w:t>
      </w:r>
      <w:r>
        <w:rPr>
          <w:rFonts w:hint="eastAsia" w:ascii="方正小标宋_GBK" w:hAnsi="宋体" w:eastAsia="方正小标宋_GBK"/>
          <w:bCs/>
          <w:color w:val="auto"/>
          <w:kern w:val="0"/>
          <w:sz w:val="36"/>
          <w:szCs w:val="36"/>
        </w:rPr>
        <w:t>月</w:t>
      </w:r>
    </w:p>
    <w:p w14:paraId="62174455">
      <w:pPr>
        <w:snapToGrid w:val="0"/>
        <w:spacing w:line="276" w:lineRule="auto"/>
        <w:rPr>
          <w:rFonts w:ascii="方正仿宋_GBK" w:hAnsi="宋体" w:eastAsia="方正仿宋_GBK"/>
          <w:color w:val="auto"/>
          <w:sz w:val="24"/>
          <w:szCs w:val="24"/>
        </w:rPr>
        <w:sectPr>
          <w:headerReference r:id="rId4" w:type="first"/>
          <w:headerReference r:id="rId3" w:type="default"/>
          <w:footerReference r:id="rId5" w:type="default"/>
          <w:footerReference r:id="rId6" w:type="even"/>
          <w:pgSz w:w="11907" w:h="16840"/>
          <w:pgMar w:top="1134" w:right="1191" w:bottom="1134" w:left="1304" w:header="964" w:footer="992" w:gutter="0"/>
          <w:pgNumType w:start="1"/>
          <w:cols w:space="720" w:num="1"/>
          <w:titlePg/>
          <w:docGrid w:linePitch="312" w:charSpace="0"/>
        </w:sectPr>
      </w:pPr>
    </w:p>
    <w:p w14:paraId="7A22479C">
      <w:pPr>
        <w:snapToGrid w:val="0"/>
        <w:spacing w:line="276" w:lineRule="auto"/>
        <w:jc w:val="center"/>
        <w:rPr>
          <w:rFonts w:ascii="方正仿宋_GBK" w:hAnsi="宋体" w:eastAsia="方正仿宋_GBK"/>
          <w:b/>
          <w:color w:val="auto"/>
          <w:szCs w:val="28"/>
        </w:rPr>
      </w:pPr>
      <w:r>
        <w:rPr>
          <w:rFonts w:hint="eastAsia" w:ascii="方正仿宋_GBK" w:hAnsi="宋体" w:eastAsia="方正仿宋_GBK"/>
          <w:b/>
          <w:color w:val="auto"/>
          <w:szCs w:val="28"/>
        </w:rPr>
        <w:t>目  录</w:t>
      </w:r>
    </w:p>
    <w:p w14:paraId="51BDF149">
      <w:pPr>
        <w:pStyle w:val="17"/>
        <w:tabs>
          <w:tab w:val="right" w:leader="dot" w:pos="9412"/>
          <w:tab w:val="clear" w:pos="1260"/>
          <w:tab w:val="clear" w:pos="1685"/>
          <w:tab w:val="clear" w:pos="8400"/>
        </w:tabs>
      </w:pPr>
      <w:r>
        <w:rPr>
          <w:rFonts w:hint="eastAsia" w:ascii="方正仿宋_GBK" w:hAnsi="宋体" w:eastAsia="方正仿宋_GBK"/>
          <w:color w:val="auto"/>
          <w:szCs w:val="28"/>
        </w:rPr>
        <w:fldChar w:fldCharType="begin"/>
      </w:r>
      <w:r>
        <w:rPr>
          <w:rFonts w:hint="eastAsia" w:ascii="方正仿宋_GBK" w:hAnsi="宋体" w:eastAsia="方正仿宋_GBK"/>
          <w:color w:val="auto"/>
          <w:szCs w:val="28"/>
        </w:rPr>
        <w:instrText xml:space="preserve"> TOC \o "1-2" \h \z </w:instrText>
      </w:r>
      <w:r>
        <w:rPr>
          <w:rFonts w:hint="eastAsia" w:ascii="方正仿宋_GBK" w:hAnsi="宋体" w:eastAsia="方正仿宋_GBK"/>
          <w:color w:val="auto"/>
          <w:szCs w:val="28"/>
        </w:rPr>
        <w:fldChar w:fldCharType="separate"/>
      </w:r>
      <w:r>
        <w:rPr>
          <w:rFonts w:hint="eastAsia" w:ascii="方正仿宋_GBK" w:hAnsi="宋体" w:eastAsia="方正仿宋_GBK"/>
          <w:color w:val="auto"/>
          <w:szCs w:val="28"/>
        </w:rPr>
        <w:fldChar w:fldCharType="begin"/>
      </w:r>
      <w:r>
        <w:rPr>
          <w:rFonts w:hint="eastAsia" w:ascii="方正仿宋_GBK" w:hAnsi="宋体" w:eastAsia="方正仿宋_GBK"/>
          <w:szCs w:val="28"/>
        </w:rPr>
        <w:instrText xml:space="preserve"> HYPERLINK \l _Toc2009 </w:instrText>
      </w:r>
      <w:r>
        <w:rPr>
          <w:rFonts w:hint="eastAsia" w:ascii="方正仿宋_GBK" w:hAnsi="宋体" w:eastAsia="方正仿宋_GBK"/>
          <w:szCs w:val="28"/>
        </w:rPr>
        <w:fldChar w:fldCharType="separate"/>
      </w:r>
      <w:r>
        <w:rPr>
          <w:rFonts w:hint="eastAsia" w:ascii="方正仿宋_GBK" w:hAnsi="宋体" w:eastAsia="方正仿宋_GBK"/>
          <w:szCs w:val="44"/>
        </w:rPr>
        <w:t>第一篇  投标邀请书</w:t>
      </w:r>
      <w:r>
        <w:tab/>
      </w:r>
      <w:r>
        <w:fldChar w:fldCharType="begin"/>
      </w:r>
      <w:r>
        <w:instrText xml:space="preserve"> PAGEREF _Toc2009 \h </w:instrText>
      </w:r>
      <w:r>
        <w:fldChar w:fldCharType="separate"/>
      </w:r>
      <w:r>
        <w:t>- 3 -</w:t>
      </w:r>
      <w:r>
        <w:fldChar w:fldCharType="end"/>
      </w:r>
      <w:r>
        <w:rPr>
          <w:rFonts w:hint="eastAsia" w:ascii="方正仿宋_GBK" w:hAnsi="宋体" w:eastAsia="方正仿宋_GBK"/>
          <w:color w:val="auto"/>
          <w:szCs w:val="28"/>
        </w:rPr>
        <w:fldChar w:fldCharType="end"/>
      </w:r>
    </w:p>
    <w:p w14:paraId="4BE83DD4">
      <w:pPr>
        <w:pStyle w:val="18"/>
        <w:tabs>
          <w:tab w:val="right" w:leader="dot" w:pos="9412"/>
          <w:tab w:val="clear" w:pos="8400"/>
        </w:tabs>
      </w:pPr>
      <w:r>
        <w:rPr>
          <w:rFonts w:hint="eastAsia" w:ascii="方正仿宋_GBK" w:hAnsi="宋体" w:eastAsia="方正仿宋_GBK"/>
          <w:color w:val="auto"/>
          <w:szCs w:val="28"/>
        </w:rPr>
        <w:fldChar w:fldCharType="begin"/>
      </w:r>
      <w:r>
        <w:rPr>
          <w:rFonts w:hint="eastAsia" w:ascii="方正仿宋_GBK" w:hAnsi="宋体" w:eastAsia="方正仿宋_GBK"/>
          <w:szCs w:val="28"/>
        </w:rPr>
        <w:instrText xml:space="preserve"> HYPERLINK \l _Toc12639 </w:instrText>
      </w:r>
      <w:r>
        <w:rPr>
          <w:rFonts w:hint="eastAsia" w:ascii="方正仿宋_GBK" w:hAnsi="宋体" w:eastAsia="方正仿宋_GBK"/>
          <w:szCs w:val="28"/>
        </w:rPr>
        <w:fldChar w:fldCharType="separate"/>
      </w:r>
      <w:r>
        <w:rPr>
          <w:rFonts w:hint="eastAsia" w:ascii="方正仿宋_GBK" w:eastAsia="方正仿宋_GBK"/>
          <w:szCs w:val="24"/>
        </w:rPr>
        <w:t>一、招标项目内容</w:t>
      </w:r>
      <w:r>
        <w:tab/>
      </w:r>
      <w:r>
        <w:fldChar w:fldCharType="begin"/>
      </w:r>
      <w:r>
        <w:instrText xml:space="preserve"> PAGEREF _Toc12639 \h </w:instrText>
      </w:r>
      <w:r>
        <w:fldChar w:fldCharType="separate"/>
      </w:r>
      <w:r>
        <w:t>- 3 -</w:t>
      </w:r>
      <w:r>
        <w:fldChar w:fldCharType="end"/>
      </w:r>
      <w:r>
        <w:rPr>
          <w:rFonts w:hint="eastAsia" w:ascii="方正仿宋_GBK" w:hAnsi="宋体" w:eastAsia="方正仿宋_GBK"/>
          <w:color w:val="auto"/>
          <w:szCs w:val="28"/>
        </w:rPr>
        <w:fldChar w:fldCharType="end"/>
      </w:r>
    </w:p>
    <w:p w14:paraId="7F6B805D">
      <w:pPr>
        <w:pStyle w:val="18"/>
        <w:tabs>
          <w:tab w:val="right" w:leader="dot" w:pos="9412"/>
          <w:tab w:val="clear" w:pos="8400"/>
        </w:tabs>
      </w:pPr>
      <w:r>
        <w:rPr>
          <w:rFonts w:hint="eastAsia" w:ascii="方正仿宋_GBK" w:hAnsi="宋体" w:eastAsia="方正仿宋_GBK"/>
          <w:color w:val="auto"/>
          <w:szCs w:val="28"/>
        </w:rPr>
        <w:fldChar w:fldCharType="begin"/>
      </w:r>
      <w:r>
        <w:rPr>
          <w:rFonts w:hint="eastAsia" w:ascii="方正仿宋_GBK" w:hAnsi="宋体" w:eastAsia="方正仿宋_GBK"/>
          <w:szCs w:val="28"/>
        </w:rPr>
        <w:instrText xml:space="preserve"> HYPERLINK \l _Toc20489 </w:instrText>
      </w:r>
      <w:r>
        <w:rPr>
          <w:rFonts w:hint="eastAsia" w:ascii="方正仿宋_GBK" w:hAnsi="宋体" w:eastAsia="方正仿宋_GBK"/>
          <w:szCs w:val="28"/>
        </w:rPr>
        <w:fldChar w:fldCharType="separate"/>
      </w:r>
      <w:r>
        <w:rPr>
          <w:rFonts w:hint="eastAsia" w:ascii="方正仿宋_GBK" w:eastAsia="方正仿宋_GBK"/>
          <w:szCs w:val="24"/>
        </w:rPr>
        <w:t>二、资金来源</w:t>
      </w:r>
      <w:r>
        <w:tab/>
      </w:r>
      <w:r>
        <w:fldChar w:fldCharType="begin"/>
      </w:r>
      <w:r>
        <w:instrText xml:space="preserve"> PAGEREF _Toc20489 \h </w:instrText>
      </w:r>
      <w:r>
        <w:fldChar w:fldCharType="separate"/>
      </w:r>
      <w:r>
        <w:t>- 3 -</w:t>
      </w:r>
      <w:r>
        <w:fldChar w:fldCharType="end"/>
      </w:r>
      <w:r>
        <w:rPr>
          <w:rFonts w:hint="eastAsia" w:ascii="方正仿宋_GBK" w:hAnsi="宋体" w:eastAsia="方正仿宋_GBK"/>
          <w:color w:val="auto"/>
          <w:szCs w:val="28"/>
        </w:rPr>
        <w:fldChar w:fldCharType="end"/>
      </w:r>
    </w:p>
    <w:p w14:paraId="58222E93">
      <w:pPr>
        <w:pStyle w:val="18"/>
        <w:tabs>
          <w:tab w:val="right" w:leader="dot" w:pos="9412"/>
          <w:tab w:val="clear" w:pos="8400"/>
        </w:tabs>
      </w:pPr>
      <w:r>
        <w:rPr>
          <w:rFonts w:hint="eastAsia" w:ascii="方正仿宋_GBK" w:hAnsi="宋体" w:eastAsia="方正仿宋_GBK"/>
          <w:color w:val="auto"/>
          <w:szCs w:val="28"/>
        </w:rPr>
        <w:fldChar w:fldCharType="begin"/>
      </w:r>
      <w:r>
        <w:rPr>
          <w:rFonts w:hint="eastAsia" w:ascii="方正仿宋_GBK" w:hAnsi="宋体" w:eastAsia="方正仿宋_GBK"/>
          <w:szCs w:val="28"/>
        </w:rPr>
        <w:instrText xml:space="preserve"> HYPERLINK \l _Toc3340 </w:instrText>
      </w:r>
      <w:r>
        <w:rPr>
          <w:rFonts w:hint="eastAsia" w:ascii="方正仿宋_GBK" w:hAnsi="宋体" w:eastAsia="方正仿宋_GBK"/>
          <w:szCs w:val="28"/>
        </w:rPr>
        <w:fldChar w:fldCharType="separate"/>
      </w:r>
      <w:r>
        <w:rPr>
          <w:rFonts w:hint="eastAsia" w:ascii="方正仿宋_GBK" w:eastAsia="方正仿宋_GBK"/>
          <w:szCs w:val="24"/>
        </w:rPr>
        <w:t>三、供应商资格要求</w:t>
      </w:r>
      <w:r>
        <w:tab/>
      </w:r>
      <w:r>
        <w:fldChar w:fldCharType="begin"/>
      </w:r>
      <w:r>
        <w:instrText xml:space="preserve"> PAGEREF _Toc3340 \h </w:instrText>
      </w:r>
      <w:r>
        <w:fldChar w:fldCharType="separate"/>
      </w:r>
      <w:r>
        <w:t>- 3 -</w:t>
      </w:r>
      <w:r>
        <w:fldChar w:fldCharType="end"/>
      </w:r>
      <w:r>
        <w:rPr>
          <w:rFonts w:hint="eastAsia" w:ascii="方正仿宋_GBK" w:hAnsi="宋体" w:eastAsia="方正仿宋_GBK"/>
          <w:color w:val="auto"/>
          <w:szCs w:val="28"/>
        </w:rPr>
        <w:fldChar w:fldCharType="end"/>
      </w:r>
    </w:p>
    <w:p w14:paraId="3EF21374">
      <w:pPr>
        <w:pStyle w:val="18"/>
        <w:tabs>
          <w:tab w:val="right" w:leader="dot" w:pos="9412"/>
          <w:tab w:val="clear" w:pos="8400"/>
        </w:tabs>
      </w:pPr>
      <w:r>
        <w:rPr>
          <w:rFonts w:hint="eastAsia" w:ascii="方正仿宋_GBK" w:hAnsi="宋体" w:eastAsia="方正仿宋_GBK"/>
          <w:color w:val="auto"/>
          <w:szCs w:val="28"/>
        </w:rPr>
        <w:fldChar w:fldCharType="begin"/>
      </w:r>
      <w:r>
        <w:rPr>
          <w:rFonts w:hint="eastAsia" w:ascii="方正仿宋_GBK" w:hAnsi="宋体" w:eastAsia="方正仿宋_GBK"/>
          <w:szCs w:val="28"/>
        </w:rPr>
        <w:instrText xml:space="preserve"> HYPERLINK \l _Toc2805 </w:instrText>
      </w:r>
      <w:r>
        <w:rPr>
          <w:rFonts w:hint="eastAsia" w:ascii="方正仿宋_GBK" w:hAnsi="宋体" w:eastAsia="方正仿宋_GBK"/>
          <w:szCs w:val="28"/>
        </w:rPr>
        <w:fldChar w:fldCharType="separate"/>
      </w:r>
      <w:r>
        <w:rPr>
          <w:rFonts w:hint="eastAsia" w:ascii="方正仿宋_GBK" w:eastAsia="方正仿宋_GBK"/>
          <w:szCs w:val="24"/>
        </w:rPr>
        <w:t>四、投标、开标有关说明</w:t>
      </w:r>
      <w:r>
        <w:tab/>
      </w:r>
      <w:r>
        <w:fldChar w:fldCharType="begin"/>
      </w:r>
      <w:r>
        <w:instrText xml:space="preserve"> PAGEREF _Toc2805 \h </w:instrText>
      </w:r>
      <w:r>
        <w:fldChar w:fldCharType="separate"/>
      </w:r>
      <w:r>
        <w:t>- 3 -</w:t>
      </w:r>
      <w:r>
        <w:fldChar w:fldCharType="end"/>
      </w:r>
      <w:r>
        <w:rPr>
          <w:rFonts w:hint="eastAsia" w:ascii="方正仿宋_GBK" w:hAnsi="宋体" w:eastAsia="方正仿宋_GBK"/>
          <w:color w:val="auto"/>
          <w:szCs w:val="28"/>
        </w:rPr>
        <w:fldChar w:fldCharType="end"/>
      </w:r>
    </w:p>
    <w:p w14:paraId="3B417C49">
      <w:pPr>
        <w:pStyle w:val="18"/>
        <w:tabs>
          <w:tab w:val="right" w:leader="dot" w:pos="9412"/>
          <w:tab w:val="clear" w:pos="8400"/>
        </w:tabs>
      </w:pPr>
      <w:r>
        <w:rPr>
          <w:rFonts w:hint="eastAsia" w:ascii="方正仿宋_GBK" w:hAnsi="宋体" w:eastAsia="方正仿宋_GBK"/>
          <w:color w:val="auto"/>
          <w:szCs w:val="28"/>
        </w:rPr>
        <w:fldChar w:fldCharType="begin"/>
      </w:r>
      <w:r>
        <w:rPr>
          <w:rFonts w:hint="eastAsia" w:ascii="方正仿宋_GBK" w:hAnsi="宋体" w:eastAsia="方正仿宋_GBK"/>
          <w:szCs w:val="28"/>
        </w:rPr>
        <w:instrText xml:space="preserve"> HYPERLINK \l _Toc12947 </w:instrText>
      </w:r>
      <w:r>
        <w:rPr>
          <w:rFonts w:hint="eastAsia" w:ascii="方正仿宋_GBK" w:hAnsi="宋体" w:eastAsia="方正仿宋_GBK"/>
          <w:szCs w:val="28"/>
        </w:rPr>
        <w:fldChar w:fldCharType="separate"/>
      </w:r>
      <w:r>
        <w:rPr>
          <w:rFonts w:hint="eastAsia" w:ascii="方正仿宋_GBK" w:eastAsia="方正仿宋_GBK"/>
          <w:szCs w:val="24"/>
        </w:rPr>
        <w:t>五、招标文件购买费、投标保证金</w:t>
      </w:r>
      <w:r>
        <w:tab/>
      </w:r>
      <w:r>
        <w:fldChar w:fldCharType="begin"/>
      </w:r>
      <w:r>
        <w:instrText xml:space="preserve"> PAGEREF _Toc12947 \h </w:instrText>
      </w:r>
      <w:r>
        <w:fldChar w:fldCharType="separate"/>
      </w:r>
      <w:r>
        <w:t>- 3 -</w:t>
      </w:r>
      <w:r>
        <w:fldChar w:fldCharType="end"/>
      </w:r>
      <w:r>
        <w:rPr>
          <w:rFonts w:hint="eastAsia" w:ascii="方正仿宋_GBK" w:hAnsi="宋体" w:eastAsia="方正仿宋_GBK"/>
          <w:color w:val="auto"/>
          <w:szCs w:val="28"/>
        </w:rPr>
        <w:fldChar w:fldCharType="end"/>
      </w:r>
    </w:p>
    <w:p w14:paraId="28886D76">
      <w:pPr>
        <w:pStyle w:val="18"/>
        <w:tabs>
          <w:tab w:val="right" w:leader="dot" w:pos="9412"/>
          <w:tab w:val="clear" w:pos="8400"/>
        </w:tabs>
      </w:pPr>
      <w:r>
        <w:rPr>
          <w:rFonts w:hint="eastAsia" w:ascii="方正仿宋_GBK" w:hAnsi="宋体" w:eastAsia="方正仿宋_GBK"/>
          <w:color w:val="auto"/>
          <w:szCs w:val="28"/>
        </w:rPr>
        <w:fldChar w:fldCharType="begin"/>
      </w:r>
      <w:r>
        <w:rPr>
          <w:rFonts w:hint="eastAsia" w:ascii="方正仿宋_GBK" w:hAnsi="宋体" w:eastAsia="方正仿宋_GBK"/>
          <w:szCs w:val="28"/>
        </w:rPr>
        <w:instrText xml:space="preserve"> HYPERLINK \l _Toc22301 </w:instrText>
      </w:r>
      <w:r>
        <w:rPr>
          <w:rFonts w:hint="eastAsia" w:ascii="方正仿宋_GBK" w:hAnsi="宋体" w:eastAsia="方正仿宋_GBK"/>
          <w:szCs w:val="28"/>
        </w:rPr>
        <w:fldChar w:fldCharType="separate"/>
      </w:r>
      <w:r>
        <w:rPr>
          <w:rFonts w:hint="eastAsia" w:ascii="方正仿宋_GBK" w:eastAsia="方正仿宋_GBK"/>
          <w:szCs w:val="24"/>
        </w:rPr>
        <w:t>六、投标有关规定</w:t>
      </w:r>
      <w:r>
        <w:tab/>
      </w:r>
      <w:r>
        <w:fldChar w:fldCharType="begin"/>
      </w:r>
      <w:r>
        <w:instrText xml:space="preserve"> PAGEREF _Toc22301 \h </w:instrText>
      </w:r>
      <w:r>
        <w:fldChar w:fldCharType="separate"/>
      </w:r>
      <w:r>
        <w:t>- 4 -</w:t>
      </w:r>
      <w:r>
        <w:fldChar w:fldCharType="end"/>
      </w:r>
      <w:r>
        <w:rPr>
          <w:rFonts w:hint="eastAsia" w:ascii="方正仿宋_GBK" w:hAnsi="宋体" w:eastAsia="方正仿宋_GBK"/>
          <w:color w:val="auto"/>
          <w:szCs w:val="28"/>
        </w:rPr>
        <w:fldChar w:fldCharType="end"/>
      </w:r>
    </w:p>
    <w:p w14:paraId="664495C3">
      <w:pPr>
        <w:pStyle w:val="18"/>
        <w:tabs>
          <w:tab w:val="right" w:leader="dot" w:pos="9412"/>
          <w:tab w:val="clear" w:pos="8400"/>
        </w:tabs>
      </w:pPr>
      <w:r>
        <w:rPr>
          <w:rFonts w:hint="eastAsia" w:ascii="方正仿宋_GBK" w:hAnsi="宋体" w:eastAsia="方正仿宋_GBK"/>
          <w:color w:val="auto"/>
          <w:szCs w:val="28"/>
        </w:rPr>
        <w:fldChar w:fldCharType="begin"/>
      </w:r>
      <w:r>
        <w:rPr>
          <w:rFonts w:hint="eastAsia" w:ascii="方正仿宋_GBK" w:hAnsi="宋体" w:eastAsia="方正仿宋_GBK"/>
          <w:szCs w:val="28"/>
        </w:rPr>
        <w:instrText xml:space="preserve"> HYPERLINK \l _Toc32700 </w:instrText>
      </w:r>
      <w:r>
        <w:rPr>
          <w:rFonts w:hint="eastAsia" w:ascii="方正仿宋_GBK" w:hAnsi="宋体" w:eastAsia="方正仿宋_GBK"/>
          <w:szCs w:val="28"/>
        </w:rPr>
        <w:fldChar w:fldCharType="separate"/>
      </w:r>
      <w:r>
        <w:rPr>
          <w:rFonts w:hint="eastAsia" w:ascii="方正仿宋_GBK" w:eastAsia="方正仿宋_GBK"/>
          <w:szCs w:val="24"/>
        </w:rPr>
        <w:t>七、联系方式</w:t>
      </w:r>
      <w:r>
        <w:tab/>
      </w:r>
      <w:r>
        <w:fldChar w:fldCharType="begin"/>
      </w:r>
      <w:r>
        <w:instrText xml:space="preserve"> PAGEREF _Toc32700 \h </w:instrText>
      </w:r>
      <w:r>
        <w:fldChar w:fldCharType="separate"/>
      </w:r>
      <w:r>
        <w:t>- 5 -</w:t>
      </w:r>
      <w:r>
        <w:fldChar w:fldCharType="end"/>
      </w:r>
      <w:r>
        <w:rPr>
          <w:rFonts w:hint="eastAsia" w:ascii="方正仿宋_GBK" w:hAnsi="宋体" w:eastAsia="方正仿宋_GBK"/>
          <w:color w:val="auto"/>
          <w:szCs w:val="28"/>
        </w:rPr>
        <w:fldChar w:fldCharType="end"/>
      </w:r>
    </w:p>
    <w:p w14:paraId="1D98A4BC">
      <w:pPr>
        <w:pStyle w:val="18"/>
        <w:tabs>
          <w:tab w:val="right" w:leader="dot" w:pos="9412"/>
          <w:tab w:val="clear" w:pos="8400"/>
        </w:tabs>
      </w:pPr>
      <w:r>
        <w:rPr>
          <w:rFonts w:hint="eastAsia" w:ascii="方正仿宋_GBK" w:hAnsi="宋体" w:eastAsia="方正仿宋_GBK"/>
          <w:color w:val="auto"/>
          <w:szCs w:val="28"/>
        </w:rPr>
        <w:fldChar w:fldCharType="begin"/>
      </w:r>
      <w:r>
        <w:rPr>
          <w:rFonts w:hint="eastAsia" w:ascii="方正仿宋_GBK" w:hAnsi="宋体" w:eastAsia="方正仿宋_GBK"/>
          <w:szCs w:val="28"/>
        </w:rPr>
        <w:instrText xml:space="preserve"> HYPERLINK \l _Toc21886 </w:instrText>
      </w:r>
      <w:r>
        <w:rPr>
          <w:rFonts w:hint="eastAsia" w:ascii="方正仿宋_GBK" w:hAnsi="宋体" w:eastAsia="方正仿宋_GBK"/>
          <w:szCs w:val="28"/>
        </w:rPr>
        <w:fldChar w:fldCharType="separate"/>
      </w:r>
      <w:r>
        <w:rPr>
          <w:rFonts w:hint="eastAsia" w:ascii="方正仿宋_GBK" w:eastAsia="方正仿宋_GBK"/>
          <w:szCs w:val="24"/>
        </w:rPr>
        <w:t>八、现场踏勘</w:t>
      </w:r>
      <w:r>
        <w:tab/>
      </w:r>
      <w:r>
        <w:fldChar w:fldCharType="begin"/>
      </w:r>
      <w:r>
        <w:instrText xml:space="preserve"> PAGEREF _Toc21886 \h </w:instrText>
      </w:r>
      <w:r>
        <w:fldChar w:fldCharType="separate"/>
      </w:r>
      <w:r>
        <w:t>- 5 -</w:t>
      </w:r>
      <w:r>
        <w:fldChar w:fldCharType="end"/>
      </w:r>
      <w:r>
        <w:rPr>
          <w:rFonts w:hint="eastAsia" w:ascii="方正仿宋_GBK" w:hAnsi="宋体" w:eastAsia="方正仿宋_GBK"/>
          <w:color w:val="auto"/>
          <w:szCs w:val="28"/>
        </w:rPr>
        <w:fldChar w:fldCharType="end"/>
      </w:r>
    </w:p>
    <w:p w14:paraId="30580B63">
      <w:pPr>
        <w:pStyle w:val="18"/>
        <w:tabs>
          <w:tab w:val="right" w:leader="dot" w:pos="9412"/>
          <w:tab w:val="clear" w:pos="8400"/>
        </w:tabs>
      </w:pPr>
      <w:r>
        <w:rPr>
          <w:rFonts w:hint="eastAsia" w:ascii="方正仿宋_GBK" w:hAnsi="宋体" w:eastAsia="方正仿宋_GBK"/>
          <w:color w:val="auto"/>
          <w:szCs w:val="28"/>
        </w:rPr>
        <w:fldChar w:fldCharType="begin"/>
      </w:r>
      <w:r>
        <w:rPr>
          <w:rFonts w:hint="eastAsia" w:ascii="方正仿宋_GBK" w:hAnsi="宋体" w:eastAsia="方正仿宋_GBK"/>
          <w:szCs w:val="28"/>
        </w:rPr>
        <w:instrText xml:space="preserve"> HYPERLINK \l _Toc18643 </w:instrText>
      </w:r>
      <w:r>
        <w:rPr>
          <w:rFonts w:hint="eastAsia" w:ascii="方正仿宋_GBK" w:hAnsi="宋体" w:eastAsia="方正仿宋_GBK"/>
          <w:szCs w:val="28"/>
        </w:rPr>
        <w:fldChar w:fldCharType="separate"/>
      </w:r>
      <w:r>
        <w:rPr>
          <w:rFonts w:hint="eastAsia" w:ascii="方正仿宋_GBK" w:eastAsia="方正仿宋_GBK"/>
          <w:szCs w:val="24"/>
        </w:rPr>
        <w:t>九、其他要求</w:t>
      </w:r>
      <w:r>
        <w:tab/>
      </w:r>
      <w:r>
        <w:fldChar w:fldCharType="begin"/>
      </w:r>
      <w:r>
        <w:instrText xml:space="preserve"> PAGEREF _Toc18643 \h </w:instrText>
      </w:r>
      <w:r>
        <w:fldChar w:fldCharType="separate"/>
      </w:r>
      <w:r>
        <w:t>- 5 -</w:t>
      </w:r>
      <w:r>
        <w:fldChar w:fldCharType="end"/>
      </w:r>
      <w:r>
        <w:rPr>
          <w:rFonts w:hint="eastAsia" w:ascii="方正仿宋_GBK" w:hAnsi="宋体" w:eastAsia="方正仿宋_GBK"/>
          <w:color w:val="auto"/>
          <w:szCs w:val="28"/>
        </w:rPr>
        <w:fldChar w:fldCharType="end"/>
      </w:r>
    </w:p>
    <w:p w14:paraId="491B0FF0">
      <w:pPr>
        <w:pStyle w:val="17"/>
        <w:tabs>
          <w:tab w:val="right" w:leader="dot" w:pos="9412"/>
          <w:tab w:val="clear" w:pos="1260"/>
          <w:tab w:val="clear" w:pos="1685"/>
          <w:tab w:val="clear" w:pos="8400"/>
        </w:tabs>
      </w:pPr>
      <w:r>
        <w:rPr>
          <w:rFonts w:hint="eastAsia" w:ascii="方正仿宋_GBK" w:hAnsi="宋体" w:eastAsia="方正仿宋_GBK"/>
          <w:color w:val="auto"/>
          <w:szCs w:val="28"/>
        </w:rPr>
        <w:fldChar w:fldCharType="begin"/>
      </w:r>
      <w:r>
        <w:rPr>
          <w:rFonts w:hint="eastAsia" w:ascii="方正仿宋_GBK" w:hAnsi="宋体" w:eastAsia="方正仿宋_GBK"/>
          <w:szCs w:val="28"/>
        </w:rPr>
        <w:instrText xml:space="preserve"> HYPERLINK \l _Toc22964 </w:instrText>
      </w:r>
      <w:r>
        <w:rPr>
          <w:rFonts w:hint="eastAsia" w:ascii="方正仿宋_GBK" w:hAnsi="宋体" w:eastAsia="方正仿宋_GBK"/>
          <w:szCs w:val="28"/>
        </w:rPr>
        <w:fldChar w:fldCharType="separate"/>
      </w:r>
      <w:r>
        <w:rPr>
          <w:rFonts w:hint="eastAsia" w:ascii="方正仿宋_GBK" w:hAnsi="宋体" w:eastAsia="方正仿宋_GBK"/>
          <w:szCs w:val="44"/>
        </w:rPr>
        <w:t>第二篇  项目服务要求</w:t>
      </w:r>
      <w:r>
        <w:tab/>
      </w:r>
      <w:r>
        <w:fldChar w:fldCharType="begin"/>
      </w:r>
      <w:r>
        <w:instrText xml:space="preserve"> PAGEREF _Toc22964 \h </w:instrText>
      </w:r>
      <w:r>
        <w:fldChar w:fldCharType="separate"/>
      </w:r>
      <w:r>
        <w:t>- 6 -</w:t>
      </w:r>
      <w:r>
        <w:fldChar w:fldCharType="end"/>
      </w:r>
      <w:r>
        <w:rPr>
          <w:rFonts w:hint="eastAsia" w:ascii="方正仿宋_GBK" w:hAnsi="宋体" w:eastAsia="方正仿宋_GBK"/>
          <w:color w:val="auto"/>
          <w:szCs w:val="28"/>
        </w:rPr>
        <w:fldChar w:fldCharType="end"/>
      </w:r>
    </w:p>
    <w:p w14:paraId="3D4516AE">
      <w:pPr>
        <w:pStyle w:val="18"/>
        <w:tabs>
          <w:tab w:val="right" w:leader="dot" w:pos="9412"/>
          <w:tab w:val="clear" w:pos="8400"/>
        </w:tabs>
      </w:pPr>
      <w:r>
        <w:rPr>
          <w:rFonts w:hint="eastAsia" w:ascii="方正仿宋_GBK" w:hAnsi="宋体" w:eastAsia="方正仿宋_GBK"/>
          <w:color w:val="auto"/>
          <w:szCs w:val="28"/>
        </w:rPr>
        <w:fldChar w:fldCharType="begin"/>
      </w:r>
      <w:r>
        <w:rPr>
          <w:rFonts w:hint="eastAsia" w:ascii="方正仿宋_GBK" w:hAnsi="宋体" w:eastAsia="方正仿宋_GBK"/>
          <w:szCs w:val="28"/>
        </w:rPr>
        <w:instrText xml:space="preserve"> HYPERLINK \l _Toc19552 </w:instrText>
      </w:r>
      <w:r>
        <w:rPr>
          <w:rFonts w:hint="eastAsia" w:ascii="方正仿宋_GBK" w:hAnsi="宋体" w:eastAsia="方正仿宋_GBK"/>
          <w:szCs w:val="28"/>
        </w:rPr>
        <w:fldChar w:fldCharType="separate"/>
      </w:r>
      <w:r>
        <w:rPr>
          <w:rFonts w:hint="eastAsia" w:ascii="方正仿宋_GBK" w:eastAsia="方正仿宋_GBK"/>
          <w:szCs w:val="24"/>
        </w:rPr>
        <w:t>一、招标项目一览表</w:t>
      </w:r>
      <w:r>
        <w:tab/>
      </w:r>
      <w:r>
        <w:fldChar w:fldCharType="begin"/>
      </w:r>
      <w:r>
        <w:instrText xml:space="preserve"> PAGEREF _Toc19552 \h </w:instrText>
      </w:r>
      <w:r>
        <w:fldChar w:fldCharType="separate"/>
      </w:r>
      <w:r>
        <w:t>- 6 -</w:t>
      </w:r>
      <w:r>
        <w:fldChar w:fldCharType="end"/>
      </w:r>
      <w:r>
        <w:rPr>
          <w:rFonts w:hint="eastAsia" w:ascii="方正仿宋_GBK" w:hAnsi="宋体" w:eastAsia="方正仿宋_GBK"/>
          <w:color w:val="auto"/>
          <w:szCs w:val="28"/>
        </w:rPr>
        <w:fldChar w:fldCharType="end"/>
      </w:r>
    </w:p>
    <w:p w14:paraId="1C6C94D0">
      <w:pPr>
        <w:pStyle w:val="18"/>
        <w:tabs>
          <w:tab w:val="right" w:leader="dot" w:pos="9412"/>
          <w:tab w:val="clear" w:pos="8400"/>
        </w:tabs>
      </w:pPr>
      <w:r>
        <w:rPr>
          <w:rFonts w:hint="eastAsia" w:ascii="方正仿宋_GBK" w:hAnsi="宋体" w:eastAsia="方正仿宋_GBK"/>
          <w:color w:val="auto"/>
          <w:szCs w:val="28"/>
        </w:rPr>
        <w:fldChar w:fldCharType="begin"/>
      </w:r>
      <w:r>
        <w:rPr>
          <w:rFonts w:hint="eastAsia" w:ascii="方正仿宋_GBK" w:hAnsi="宋体" w:eastAsia="方正仿宋_GBK"/>
          <w:szCs w:val="28"/>
        </w:rPr>
        <w:instrText xml:space="preserve"> HYPERLINK \l _Toc4770 </w:instrText>
      </w:r>
      <w:r>
        <w:rPr>
          <w:rFonts w:hint="eastAsia" w:ascii="方正仿宋_GBK" w:hAnsi="宋体" w:eastAsia="方正仿宋_GBK"/>
          <w:szCs w:val="28"/>
        </w:rPr>
        <w:fldChar w:fldCharType="separate"/>
      </w:r>
      <w:r>
        <w:rPr>
          <w:rFonts w:hint="eastAsia" w:ascii="方正仿宋_GBK" w:eastAsia="方正仿宋_GBK"/>
          <w:szCs w:val="24"/>
          <w:lang w:val="en-US" w:eastAsia="zh-CN"/>
        </w:rPr>
        <w:t>二</w:t>
      </w:r>
      <w:r>
        <w:rPr>
          <w:rFonts w:hint="eastAsia" w:ascii="方正仿宋_GBK" w:eastAsia="方正仿宋_GBK"/>
          <w:szCs w:val="24"/>
        </w:rPr>
        <w:t>、包2</w:t>
      </w:r>
      <w:r>
        <w:rPr>
          <w:rFonts w:hint="eastAsia" w:ascii="方正仿宋_GBK" w:eastAsia="方正仿宋_GBK"/>
          <w:bCs/>
          <w:szCs w:val="24"/>
        </w:rPr>
        <w:t>产品质量</w:t>
      </w:r>
      <w:r>
        <w:rPr>
          <w:rFonts w:hint="eastAsia" w:ascii="方正仿宋_GBK" w:eastAsia="方正仿宋_GBK"/>
          <w:szCs w:val="24"/>
        </w:rPr>
        <w:t>要求</w:t>
      </w:r>
      <w:r>
        <w:tab/>
      </w:r>
      <w:r>
        <w:fldChar w:fldCharType="begin"/>
      </w:r>
      <w:r>
        <w:instrText xml:space="preserve"> PAGEREF _Toc4770 \h </w:instrText>
      </w:r>
      <w:r>
        <w:fldChar w:fldCharType="separate"/>
      </w:r>
      <w:r>
        <w:t>- 9 -</w:t>
      </w:r>
      <w:r>
        <w:fldChar w:fldCharType="end"/>
      </w:r>
      <w:r>
        <w:rPr>
          <w:rFonts w:hint="eastAsia" w:ascii="方正仿宋_GBK" w:hAnsi="宋体" w:eastAsia="方正仿宋_GBK"/>
          <w:color w:val="auto"/>
          <w:szCs w:val="28"/>
        </w:rPr>
        <w:fldChar w:fldCharType="end"/>
      </w:r>
    </w:p>
    <w:p w14:paraId="0078CE7C">
      <w:pPr>
        <w:pStyle w:val="18"/>
        <w:tabs>
          <w:tab w:val="right" w:leader="dot" w:pos="9412"/>
          <w:tab w:val="clear" w:pos="8400"/>
        </w:tabs>
      </w:pPr>
      <w:r>
        <w:rPr>
          <w:rFonts w:hint="eastAsia" w:ascii="方正仿宋_GBK" w:hAnsi="宋体" w:eastAsia="方正仿宋_GBK"/>
          <w:color w:val="auto"/>
          <w:szCs w:val="28"/>
        </w:rPr>
        <w:fldChar w:fldCharType="begin"/>
      </w:r>
      <w:r>
        <w:rPr>
          <w:rFonts w:hint="eastAsia" w:ascii="方正仿宋_GBK" w:hAnsi="宋体" w:eastAsia="方正仿宋_GBK"/>
          <w:szCs w:val="28"/>
        </w:rPr>
        <w:instrText xml:space="preserve"> HYPERLINK \l _Toc31353 </w:instrText>
      </w:r>
      <w:r>
        <w:rPr>
          <w:rFonts w:hint="eastAsia" w:ascii="方正仿宋_GBK" w:hAnsi="宋体" w:eastAsia="方正仿宋_GBK"/>
          <w:szCs w:val="28"/>
        </w:rPr>
        <w:fldChar w:fldCharType="separate"/>
      </w:r>
      <w:r>
        <w:rPr>
          <w:rFonts w:hint="eastAsia" w:ascii="方正仿宋_GBK" w:eastAsia="方正仿宋_GBK"/>
          <w:bCs/>
          <w:szCs w:val="24"/>
          <w:lang w:val="en-US" w:eastAsia="zh-CN"/>
        </w:rPr>
        <w:t>三</w:t>
      </w:r>
      <w:r>
        <w:rPr>
          <w:rFonts w:hint="eastAsia" w:ascii="方正仿宋_GBK" w:eastAsia="方正仿宋_GBK"/>
          <w:bCs/>
          <w:szCs w:val="24"/>
        </w:rPr>
        <w:t>、其他要求</w:t>
      </w:r>
      <w:r>
        <w:tab/>
      </w:r>
      <w:r>
        <w:fldChar w:fldCharType="begin"/>
      </w:r>
      <w:r>
        <w:instrText xml:space="preserve"> PAGEREF _Toc31353 \h </w:instrText>
      </w:r>
      <w:r>
        <w:fldChar w:fldCharType="separate"/>
      </w:r>
      <w:r>
        <w:t>- 10 -</w:t>
      </w:r>
      <w:r>
        <w:fldChar w:fldCharType="end"/>
      </w:r>
      <w:r>
        <w:rPr>
          <w:rFonts w:hint="eastAsia" w:ascii="方正仿宋_GBK" w:hAnsi="宋体" w:eastAsia="方正仿宋_GBK"/>
          <w:color w:val="auto"/>
          <w:szCs w:val="28"/>
        </w:rPr>
        <w:fldChar w:fldCharType="end"/>
      </w:r>
    </w:p>
    <w:p w14:paraId="1BF5005B">
      <w:pPr>
        <w:pStyle w:val="17"/>
        <w:tabs>
          <w:tab w:val="right" w:leader="dot" w:pos="9412"/>
          <w:tab w:val="clear" w:pos="1260"/>
          <w:tab w:val="clear" w:pos="1685"/>
          <w:tab w:val="clear" w:pos="8400"/>
        </w:tabs>
      </w:pPr>
      <w:r>
        <w:rPr>
          <w:rFonts w:hint="eastAsia" w:ascii="方正仿宋_GBK" w:hAnsi="宋体" w:eastAsia="方正仿宋_GBK"/>
          <w:color w:val="auto"/>
          <w:szCs w:val="28"/>
        </w:rPr>
        <w:fldChar w:fldCharType="begin"/>
      </w:r>
      <w:r>
        <w:rPr>
          <w:rFonts w:hint="eastAsia" w:ascii="方正仿宋_GBK" w:hAnsi="宋体" w:eastAsia="方正仿宋_GBK"/>
          <w:szCs w:val="28"/>
        </w:rPr>
        <w:instrText xml:space="preserve"> HYPERLINK \l _Toc4816 </w:instrText>
      </w:r>
      <w:r>
        <w:rPr>
          <w:rFonts w:hint="eastAsia" w:ascii="方正仿宋_GBK" w:hAnsi="宋体" w:eastAsia="方正仿宋_GBK"/>
          <w:szCs w:val="28"/>
        </w:rPr>
        <w:fldChar w:fldCharType="separate"/>
      </w:r>
      <w:r>
        <w:rPr>
          <w:rFonts w:hint="eastAsia" w:ascii="方正仿宋_GBK" w:hAnsi="宋体" w:eastAsia="方正仿宋_GBK"/>
          <w:szCs w:val="44"/>
        </w:rPr>
        <w:t>第三篇  项目商务要求</w:t>
      </w:r>
      <w:r>
        <w:tab/>
      </w:r>
      <w:r>
        <w:fldChar w:fldCharType="begin"/>
      </w:r>
      <w:r>
        <w:instrText xml:space="preserve"> PAGEREF _Toc4816 \h </w:instrText>
      </w:r>
      <w:r>
        <w:fldChar w:fldCharType="separate"/>
      </w:r>
      <w:r>
        <w:t>- 11 -</w:t>
      </w:r>
      <w:r>
        <w:fldChar w:fldCharType="end"/>
      </w:r>
      <w:r>
        <w:rPr>
          <w:rFonts w:hint="eastAsia" w:ascii="方正仿宋_GBK" w:hAnsi="宋体" w:eastAsia="方正仿宋_GBK"/>
          <w:color w:val="auto"/>
          <w:szCs w:val="28"/>
        </w:rPr>
        <w:fldChar w:fldCharType="end"/>
      </w:r>
    </w:p>
    <w:p w14:paraId="16068274">
      <w:pPr>
        <w:pStyle w:val="18"/>
        <w:tabs>
          <w:tab w:val="right" w:leader="dot" w:pos="9412"/>
          <w:tab w:val="clear" w:pos="8400"/>
        </w:tabs>
      </w:pPr>
      <w:r>
        <w:rPr>
          <w:rFonts w:hint="eastAsia" w:ascii="方正仿宋_GBK" w:hAnsi="宋体" w:eastAsia="方正仿宋_GBK"/>
          <w:color w:val="auto"/>
          <w:szCs w:val="28"/>
        </w:rPr>
        <w:fldChar w:fldCharType="begin"/>
      </w:r>
      <w:r>
        <w:rPr>
          <w:rFonts w:hint="eastAsia" w:ascii="方正仿宋_GBK" w:hAnsi="宋体" w:eastAsia="方正仿宋_GBK"/>
          <w:szCs w:val="28"/>
        </w:rPr>
        <w:instrText xml:space="preserve"> HYPERLINK \l _Toc6953 </w:instrText>
      </w:r>
      <w:r>
        <w:rPr>
          <w:rFonts w:hint="eastAsia" w:ascii="方正仿宋_GBK" w:hAnsi="宋体" w:eastAsia="方正仿宋_GBK"/>
          <w:szCs w:val="28"/>
        </w:rPr>
        <w:fldChar w:fldCharType="separate"/>
      </w:r>
      <w:r>
        <w:rPr>
          <w:rFonts w:hint="eastAsia" w:ascii="方正仿宋_GBK" w:hAnsi="方正仿宋_GBK" w:eastAsia="方正仿宋_GBK" w:cs="方正仿宋_GBK"/>
          <w:szCs w:val="24"/>
        </w:rPr>
        <w:t>一、供货期、供货时间、供货地点及验收方式</w:t>
      </w:r>
      <w:r>
        <w:tab/>
      </w:r>
      <w:r>
        <w:fldChar w:fldCharType="begin"/>
      </w:r>
      <w:r>
        <w:instrText xml:space="preserve"> PAGEREF _Toc6953 \h </w:instrText>
      </w:r>
      <w:r>
        <w:fldChar w:fldCharType="separate"/>
      </w:r>
      <w:r>
        <w:t>- 11 -</w:t>
      </w:r>
      <w:r>
        <w:fldChar w:fldCharType="end"/>
      </w:r>
      <w:r>
        <w:rPr>
          <w:rFonts w:hint="eastAsia" w:ascii="方正仿宋_GBK" w:hAnsi="宋体" w:eastAsia="方正仿宋_GBK"/>
          <w:color w:val="auto"/>
          <w:szCs w:val="28"/>
        </w:rPr>
        <w:fldChar w:fldCharType="end"/>
      </w:r>
    </w:p>
    <w:p w14:paraId="6FA67338">
      <w:pPr>
        <w:pStyle w:val="18"/>
        <w:tabs>
          <w:tab w:val="right" w:leader="dot" w:pos="9412"/>
          <w:tab w:val="clear" w:pos="8400"/>
        </w:tabs>
      </w:pPr>
      <w:r>
        <w:rPr>
          <w:rFonts w:hint="eastAsia" w:ascii="方正仿宋_GBK" w:hAnsi="宋体" w:eastAsia="方正仿宋_GBK"/>
          <w:color w:val="auto"/>
          <w:szCs w:val="28"/>
        </w:rPr>
        <w:fldChar w:fldCharType="begin"/>
      </w:r>
      <w:r>
        <w:rPr>
          <w:rFonts w:hint="eastAsia" w:ascii="方正仿宋_GBK" w:hAnsi="宋体" w:eastAsia="方正仿宋_GBK"/>
          <w:szCs w:val="28"/>
        </w:rPr>
        <w:instrText xml:space="preserve"> HYPERLINK \l _Toc2868 </w:instrText>
      </w:r>
      <w:r>
        <w:rPr>
          <w:rFonts w:hint="eastAsia" w:ascii="方正仿宋_GBK" w:hAnsi="宋体" w:eastAsia="方正仿宋_GBK"/>
          <w:szCs w:val="28"/>
        </w:rPr>
        <w:fldChar w:fldCharType="separate"/>
      </w:r>
      <w:r>
        <w:rPr>
          <w:rFonts w:hint="eastAsia" w:ascii="方正仿宋_GBK" w:hAnsi="方正仿宋_GBK" w:eastAsia="方正仿宋_GBK" w:cs="方正仿宋_GBK"/>
          <w:szCs w:val="24"/>
        </w:rPr>
        <w:t>二、报价要求</w:t>
      </w:r>
      <w:r>
        <w:tab/>
      </w:r>
      <w:r>
        <w:fldChar w:fldCharType="begin"/>
      </w:r>
      <w:r>
        <w:instrText xml:space="preserve"> PAGEREF _Toc2868 \h </w:instrText>
      </w:r>
      <w:r>
        <w:fldChar w:fldCharType="separate"/>
      </w:r>
      <w:r>
        <w:t>- 11 -</w:t>
      </w:r>
      <w:r>
        <w:fldChar w:fldCharType="end"/>
      </w:r>
      <w:r>
        <w:rPr>
          <w:rFonts w:hint="eastAsia" w:ascii="方正仿宋_GBK" w:hAnsi="宋体" w:eastAsia="方正仿宋_GBK"/>
          <w:color w:val="auto"/>
          <w:szCs w:val="28"/>
        </w:rPr>
        <w:fldChar w:fldCharType="end"/>
      </w:r>
    </w:p>
    <w:p w14:paraId="3E30E47D">
      <w:pPr>
        <w:pStyle w:val="18"/>
        <w:tabs>
          <w:tab w:val="right" w:leader="dot" w:pos="9412"/>
          <w:tab w:val="clear" w:pos="8400"/>
        </w:tabs>
      </w:pPr>
      <w:r>
        <w:rPr>
          <w:rFonts w:hint="eastAsia" w:ascii="方正仿宋_GBK" w:hAnsi="宋体" w:eastAsia="方正仿宋_GBK"/>
          <w:color w:val="auto"/>
          <w:szCs w:val="28"/>
        </w:rPr>
        <w:fldChar w:fldCharType="begin"/>
      </w:r>
      <w:r>
        <w:rPr>
          <w:rFonts w:hint="eastAsia" w:ascii="方正仿宋_GBK" w:hAnsi="宋体" w:eastAsia="方正仿宋_GBK"/>
          <w:szCs w:val="28"/>
        </w:rPr>
        <w:instrText xml:space="preserve"> HYPERLINK \l _Toc26684 </w:instrText>
      </w:r>
      <w:r>
        <w:rPr>
          <w:rFonts w:hint="eastAsia" w:ascii="方正仿宋_GBK" w:hAnsi="宋体" w:eastAsia="方正仿宋_GBK"/>
          <w:szCs w:val="28"/>
        </w:rPr>
        <w:fldChar w:fldCharType="separate"/>
      </w:r>
      <w:r>
        <w:rPr>
          <w:rFonts w:hint="eastAsia" w:ascii="方正仿宋_GBK" w:hAnsi="方正仿宋_GBK" w:eastAsia="方正仿宋_GBK" w:cs="方正仿宋_GBK"/>
          <w:szCs w:val="24"/>
        </w:rPr>
        <w:t>三、质量保证与服务要求</w:t>
      </w:r>
      <w:r>
        <w:tab/>
      </w:r>
      <w:r>
        <w:fldChar w:fldCharType="begin"/>
      </w:r>
      <w:r>
        <w:instrText xml:space="preserve"> PAGEREF _Toc26684 \h </w:instrText>
      </w:r>
      <w:r>
        <w:fldChar w:fldCharType="separate"/>
      </w:r>
      <w:r>
        <w:t>- 12 -</w:t>
      </w:r>
      <w:r>
        <w:fldChar w:fldCharType="end"/>
      </w:r>
      <w:r>
        <w:rPr>
          <w:rFonts w:hint="eastAsia" w:ascii="方正仿宋_GBK" w:hAnsi="宋体" w:eastAsia="方正仿宋_GBK"/>
          <w:color w:val="auto"/>
          <w:szCs w:val="28"/>
        </w:rPr>
        <w:fldChar w:fldCharType="end"/>
      </w:r>
    </w:p>
    <w:p w14:paraId="1791A458">
      <w:pPr>
        <w:pStyle w:val="18"/>
        <w:tabs>
          <w:tab w:val="right" w:leader="dot" w:pos="9412"/>
          <w:tab w:val="clear" w:pos="8400"/>
        </w:tabs>
      </w:pPr>
      <w:r>
        <w:rPr>
          <w:rFonts w:hint="eastAsia" w:ascii="方正仿宋_GBK" w:hAnsi="宋体" w:eastAsia="方正仿宋_GBK"/>
          <w:color w:val="auto"/>
          <w:szCs w:val="28"/>
        </w:rPr>
        <w:fldChar w:fldCharType="begin"/>
      </w:r>
      <w:r>
        <w:rPr>
          <w:rFonts w:hint="eastAsia" w:ascii="方正仿宋_GBK" w:hAnsi="宋体" w:eastAsia="方正仿宋_GBK"/>
          <w:szCs w:val="28"/>
        </w:rPr>
        <w:instrText xml:space="preserve"> HYPERLINK \l _Toc12376 </w:instrText>
      </w:r>
      <w:r>
        <w:rPr>
          <w:rFonts w:hint="eastAsia" w:ascii="方正仿宋_GBK" w:hAnsi="宋体" w:eastAsia="方正仿宋_GBK"/>
          <w:szCs w:val="28"/>
        </w:rPr>
        <w:fldChar w:fldCharType="separate"/>
      </w:r>
      <w:r>
        <w:rPr>
          <w:rFonts w:hint="eastAsia" w:ascii="方正仿宋_GBK" w:hAnsi="方正仿宋_GBK" w:eastAsia="方正仿宋_GBK" w:cs="方正仿宋_GBK"/>
          <w:szCs w:val="24"/>
        </w:rPr>
        <w:t>四、履约保证金</w:t>
      </w:r>
      <w:r>
        <w:tab/>
      </w:r>
      <w:r>
        <w:fldChar w:fldCharType="begin"/>
      </w:r>
      <w:r>
        <w:instrText xml:space="preserve"> PAGEREF _Toc12376 \h </w:instrText>
      </w:r>
      <w:r>
        <w:fldChar w:fldCharType="separate"/>
      </w:r>
      <w:r>
        <w:t>- 14 -</w:t>
      </w:r>
      <w:r>
        <w:fldChar w:fldCharType="end"/>
      </w:r>
      <w:r>
        <w:rPr>
          <w:rFonts w:hint="eastAsia" w:ascii="方正仿宋_GBK" w:hAnsi="宋体" w:eastAsia="方正仿宋_GBK"/>
          <w:color w:val="auto"/>
          <w:szCs w:val="28"/>
        </w:rPr>
        <w:fldChar w:fldCharType="end"/>
      </w:r>
    </w:p>
    <w:p w14:paraId="5C7DF0B9">
      <w:pPr>
        <w:pStyle w:val="18"/>
        <w:tabs>
          <w:tab w:val="right" w:leader="dot" w:pos="9412"/>
          <w:tab w:val="clear" w:pos="8400"/>
        </w:tabs>
      </w:pPr>
      <w:r>
        <w:rPr>
          <w:rFonts w:hint="eastAsia" w:ascii="方正仿宋_GBK" w:hAnsi="宋体" w:eastAsia="方正仿宋_GBK"/>
          <w:color w:val="auto"/>
          <w:szCs w:val="28"/>
        </w:rPr>
        <w:fldChar w:fldCharType="begin"/>
      </w:r>
      <w:r>
        <w:rPr>
          <w:rFonts w:hint="eastAsia" w:ascii="方正仿宋_GBK" w:hAnsi="宋体" w:eastAsia="方正仿宋_GBK"/>
          <w:szCs w:val="28"/>
        </w:rPr>
        <w:instrText xml:space="preserve"> HYPERLINK \l _Toc18012 </w:instrText>
      </w:r>
      <w:r>
        <w:rPr>
          <w:rFonts w:hint="eastAsia" w:ascii="方正仿宋_GBK" w:hAnsi="宋体" w:eastAsia="方正仿宋_GBK"/>
          <w:szCs w:val="28"/>
        </w:rPr>
        <w:fldChar w:fldCharType="separate"/>
      </w:r>
      <w:r>
        <w:rPr>
          <w:rFonts w:hint="eastAsia" w:ascii="方正仿宋_GBK" w:hAnsi="方正仿宋_GBK" w:eastAsia="方正仿宋_GBK" w:cs="方正仿宋_GBK"/>
          <w:szCs w:val="24"/>
        </w:rPr>
        <w:t>五、付款方式</w:t>
      </w:r>
      <w:r>
        <w:tab/>
      </w:r>
      <w:r>
        <w:fldChar w:fldCharType="begin"/>
      </w:r>
      <w:r>
        <w:instrText xml:space="preserve"> PAGEREF _Toc18012 \h </w:instrText>
      </w:r>
      <w:r>
        <w:fldChar w:fldCharType="separate"/>
      </w:r>
      <w:r>
        <w:t>- 15 -</w:t>
      </w:r>
      <w:r>
        <w:fldChar w:fldCharType="end"/>
      </w:r>
      <w:r>
        <w:rPr>
          <w:rFonts w:hint="eastAsia" w:ascii="方正仿宋_GBK" w:hAnsi="宋体" w:eastAsia="方正仿宋_GBK"/>
          <w:color w:val="auto"/>
          <w:szCs w:val="28"/>
        </w:rPr>
        <w:fldChar w:fldCharType="end"/>
      </w:r>
    </w:p>
    <w:p w14:paraId="2BEE1344">
      <w:pPr>
        <w:pStyle w:val="18"/>
        <w:tabs>
          <w:tab w:val="right" w:leader="dot" w:pos="9412"/>
          <w:tab w:val="clear" w:pos="8400"/>
        </w:tabs>
      </w:pPr>
      <w:r>
        <w:rPr>
          <w:rFonts w:hint="eastAsia" w:ascii="方正仿宋_GBK" w:hAnsi="宋体" w:eastAsia="方正仿宋_GBK"/>
          <w:color w:val="auto"/>
          <w:szCs w:val="28"/>
        </w:rPr>
        <w:fldChar w:fldCharType="begin"/>
      </w:r>
      <w:r>
        <w:rPr>
          <w:rFonts w:hint="eastAsia" w:ascii="方正仿宋_GBK" w:hAnsi="宋体" w:eastAsia="方正仿宋_GBK"/>
          <w:szCs w:val="28"/>
        </w:rPr>
        <w:instrText xml:space="preserve"> HYPERLINK \l _Toc21875 </w:instrText>
      </w:r>
      <w:r>
        <w:rPr>
          <w:rFonts w:hint="eastAsia" w:ascii="方正仿宋_GBK" w:hAnsi="宋体" w:eastAsia="方正仿宋_GBK"/>
          <w:szCs w:val="28"/>
        </w:rPr>
        <w:fldChar w:fldCharType="separate"/>
      </w:r>
      <w:r>
        <w:rPr>
          <w:rFonts w:hint="eastAsia" w:ascii="方正仿宋_GBK" w:hAnsi="方正仿宋_GBK" w:eastAsia="方正仿宋_GBK" w:cs="方正仿宋_GBK"/>
          <w:szCs w:val="24"/>
        </w:rPr>
        <w:t>六、结算方式</w:t>
      </w:r>
      <w:r>
        <w:tab/>
      </w:r>
      <w:r>
        <w:fldChar w:fldCharType="begin"/>
      </w:r>
      <w:r>
        <w:instrText xml:space="preserve"> PAGEREF _Toc21875 \h </w:instrText>
      </w:r>
      <w:r>
        <w:fldChar w:fldCharType="separate"/>
      </w:r>
      <w:r>
        <w:t>- 15 -</w:t>
      </w:r>
      <w:r>
        <w:fldChar w:fldCharType="end"/>
      </w:r>
      <w:r>
        <w:rPr>
          <w:rFonts w:hint="eastAsia" w:ascii="方正仿宋_GBK" w:hAnsi="宋体" w:eastAsia="方正仿宋_GBK"/>
          <w:color w:val="auto"/>
          <w:szCs w:val="28"/>
        </w:rPr>
        <w:fldChar w:fldCharType="end"/>
      </w:r>
    </w:p>
    <w:p w14:paraId="2CE2BB5C">
      <w:pPr>
        <w:pStyle w:val="18"/>
        <w:tabs>
          <w:tab w:val="right" w:leader="dot" w:pos="9412"/>
          <w:tab w:val="clear" w:pos="8400"/>
        </w:tabs>
      </w:pPr>
      <w:r>
        <w:rPr>
          <w:rFonts w:hint="eastAsia" w:ascii="方正仿宋_GBK" w:hAnsi="宋体" w:eastAsia="方正仿宋_GBK"/>
          <w:color w:val="auto"/>
          <w:szCs w:val="28"/>
        </w:rPr>
        <w:fldChar w:fldCharType="begin"/>
      </w:r>
      <w:r>
        <w:rPr>
          <w:rFonts w:hint="eastAsia" w:ascii="方正仿宋_GBK" w:hAnsi="宋体" w:eastAsia="方正仿宋_GBK"/>
          <w:szCs w:val="28"/>
        </w:rPr>
        <w:instrText xml:space="preserve"> HYPERLINK \l _Toc8242 </w:instrText>
      </w:r>
      <w:r>
        <w:rPr>
          <w:rFonts w:hint="eastAsia" w:ascii="方正仿宋_GBK" w:hAnsi="宋体" w:eastAsia="方正仿宋_GBK"/>
          <w:szCs w:val="28"/>
        </w:rPr>
        <w:fldChar w:fldCharType="separate"/>
      </w:r>
      <w:r>
        <w:rPr>
          <w:rFonts w:hint="eastAsia" w:ascii="方正仿宋_GBK" w:hAnsi="方正仿宋_GBK" w:eastAsia="方正仿宋_GBK" w:cs="方正仿宋_GBK"/>
          <w:szCs w:val="24"/>
        </w:rPr>
        <w:t>七、违约责任</w:t>
      </w:r>
      <w:r>
        <w:tab/>
      </w:r>
      <w:r>
        <w:fldChar w:fldCharType="begin"/>
      </w:r>
      <w:r>
        <w:instrText xml:space="preserve"> PAGEREF _Toc8242 \h </w:instrText>
      </w:r>
      <w:r>
        <w:fldChar w:fldCharType="separate"/>
      </w:r>
      <w:r>
        <w:t>- 15 -</w:t>
      </w:r>
      <w:r>
        <w:fldChar w:fldCharType="end"/>
      </w:r>
      <w:r>
        <w:rPr>
          <w:rFonts w:hint="eastAsia" w:ascii="方正仿宋_GBK" w:hAnsi="宋体" w:eastAsia="方正仿宋_GBK"/>
          <w:color w:val="auto"/>
          <w:szCs w:val="28"/>
        </w:rPr>
        <w:fldChar w:fldCharType="end"/>
      </w:r>
    </w:p>
    <w:p w14:paraId="65FC691E">
      <w:pPr>
        <w:pStyle w:val="18"/>
        <w:tabs>
          <w:tab w:val="right" w:leader="dot" w:pos="9412"/>
          <w:tab w:val="clear" w:pos="8400"/>
        </w:tabs>
      </w:pPr>
      <w:r>
        <w:rPr>
          <w:rFonts w:hint="eastAsia" w:ascii="方正仿宋_GBK" w:hAnsi="宋体" w:eastAsia="方正仿宋_GBK"/>
          <w:color w:val="auto"/>
          <w:szCs w:val="28"/>
        </w:rPr>
        <w:fldChar w:fldCharType="begin"/>
      </w:r>
      <w:r>
        <w:rPr>
          <w:rFonts w:hint="eastAsia" w:ascii="方正仿宋_GBK" w:hAnsi="宋体" w:eastAsia="方正仿宋_GBK"/>
          <w:szCs w:val="28"/>
        </w:rPr>
        <w:instrText xml:space="preserve"> HYPERLINK \l _Toc21915 </w:instrText>
      </w:r>
      <w:r>
        <w:rPr>
          <w:rFonts w:hint="eastAsia" w:ascii="方正仿宋_GBK" w:hAnsi="宋体" w:eastAsia="方正仿宋_GBK"/>
          <w:szCs w:val="28"/>
        </w:rPr>
        <w:fldChar w:fldCharType="separate"/>
      </w:r>
      <w:r>
        <w:rPr>
          <w:rFonts w:hint="eastAsia" w:ascii="方正仿宋_GBK" w:eastAsia="方正仿宋_GBK"/>
          <w:bCs/>
          <w:szCs w:val="24"/>
        </w:rPr>
        <w:t>八</w:t>
      </w:r>
      <w:r>
        <w:rPr>
          <w:rFonts w:hint="eastAsia" w:ascii="方正仿宋_GBK" w:eastAsia="方正仿宋_GBK"/>
          <w:szCs w:val="24"/>
        </w:rPr>
        <w:t>、</w:t>
      </w:r>
      <w:r>
        <w:rPr>
          <w:rFonts w:hint="eastAsia" w:ascii="方正仿宋_GBK" w:eastAsia="方正仿宋_GBK"/>
        </w:rPr>
        <w:t>考核要求及具体考核细则</w:t>
      </w:r>
      <w:r>
        <w:tab/>
      </w:r>
      <w:r>
        <w:fldChar w:fldCharType="begin"/>
      </w:r>
      <w:r>
        <w:instrText xml:space="preserve"> PAGEREF _Toc21915 \h </w:instrText>
      </w:r>
      <w:r>
        <w:fldChar w:fldCharType="separate"/>
      </w:r>
      <w:r>
        <w:t>- 17 -</w:t>
      </w:r>
      <w:r>
        <w:fldChar w:fldCharType="end"/>
      </w:r>
      <w:r>
        <w:rPr>
          <w:rFonts w:hint="eastAsia" w:ascii="方正仿宋_GBK" w:hAnsi="宋体" w:eastAsia="方正仿宋_GBK"/>
          <w:color w:val="auto"/>
          <w:szCs w:val="28"/>
        </w:rPr>
        <w:fldChar w:fldCharType="end"/>
      </w:r>
    </w:p>
    <w:p w14:paraId="58FFE511">
      <w:pPr>
        <w:pStyle w:val="18"/>
        <w:tabs>
          <w:tab w:val="right" w:leader="dot" w:pos="9412"/>
          <w:tab w:val="clear" w:pos="8400"/>
        </w:tabs>
      </w:pPr>
      <w:r>
        <w:rPr>
          <w:rFonts w:hint="eastAsia" w:ascii="方正仿宋_GBK" w:hAnsi="宋体" w:eastAsia="方正仿宋_GBK"/>
          <w:color w:val="auto"/>
          <w:szCs w:val="28"/>
        </w:rPr>
        <w:fldChar w:fldCharType="begin"/>
      </w:r>
      <w:r>
        <w:rPr>
          <w:rFonts w:hint="eastAsia" w:ascii="方正仿宋_GBK" w:hAnsi="宋体" w:eastAsia="方正仿宋_GBK"/>
          <w:szCs w:val="28"/>
        </w:rPr>
        <w:instrText xml:space="preserve"> HYPERLINK \l _Toc15202 </w:instrText>
      </w:r>
      <w:r>
        <w:rPr>
          <w:rFonts w:hint="eastAsia" w:ascii="方正仿宋_GBK" w:hAnsi="宋体" w:eastAsia="方正仿宋_GBK"/>
          <w:szCs w:val="28"/>
        </w:rPr>
        <w:fldChar w:fldCharType="separate"/>
      </w:r>
      <w:r>
        <w:rPr>
          <w:rFonts w:hint="eastAsia" w:ascii="方正仿宋_GBK" w:eastAsia="方正仿宋_GBK"/>
          <w:bCs/>
          <w:szCs w:val="24"/>
        </w:rPr>
        <w:t>九、其他商务要求内容</w:t>
      </w:r>
      <w:r>
        <w:tab/>
      </w:r>
      <w:r>
        <w:fldChar w:fldCharType="begin"/>
      </w:r>
      <w:r>
        <w:instrText xml:space="preserve"> PAGEREF _Toc15202 \h </w:instrText>
      </w:r>
      <w:r>
        <w:fldChar w:fldCharType="separate"/>
      </w:r>
      <w:r>
        <w:t>- 19 -</w:t>
      </w:r>
      <w:r>
        <w:fldChar w:fldCharType="end"/>
      </w:r>
      <w:r>
        <w:rPr>
          <w:rFonts w:hint="eastAsia" w:ascii="方正仿宋_GBK" w:hAnsi="宋体" w:eastAsia="方正仿宋_GBK"/>
          <w:color w:val="auto"/>
          <w:szCs w:val="28"/>
        </w:rPr>
        <w:fldChar w:fldCharType="end"/>
      </w:r>
    </w:p>
    <w:p w14:paraId="5E50F49C">
      <w:pPr>
        <w:pStyle w:val="17"/>
        <w:tabs>
          <w:tab w:val="right" w:leader="dot" w:pos="9412"/>
          <w:tab w:val="clear" w:pos="1260"/>
          <w:tab w:val="clear" w:pos="1685"/>
          <w:tab w:val="clear" w:pos="8400"/>
        </w:tabs>
      </w:pPr>
      <w:r>
        <w:rPr>
          <w:rFonts w:hint="eastAsia" w:ascii="方正仿宋_GBK" w:hAnsi="宋体" w:eastAsia="方正仿宋_GBK"/>
          <w:color w:val="auto"/>
          <w:szCs w:val="28"/>
        </w:rPr>
        <w:fldChar w:fldCharType="begin"/>
      </w:r>
      <w:r>
        <w:rPr>
          <w:rFonts w:hint="eastAsia" w:ascii="方正仿宋_GBK" w:hAnsi="宋体" w:eastAsia="方正仿宋_GBK"/>
          <w:szCs w:val="28"/>
        </w:rPr>
        <w:instrText xml:space="preserve"> HYPERLINK \l _Toc25401 </w:instrText>
      </w:r>
      <w:r>
        <w:rPr>
          <w:rFonts w:hint="eastAsia" w:ascii="方正仿宋_GBK" w:hAnsi="宋体" w:eastAsia="方正仿宋_GBK"/>
          <w:szCs w:val="28"/>
        </w:rPr>
        <w:fldChar w:fldCharType="separate"/>
      </w:r>
      <w:r>
        <w:rPr>
          <w:rFonts w:hint="eastAsia" w:ascii="方正仿宋_GBK" w:hAnsi="宋体" w:eastAsia="方正仿宋_GBK"/>
          <w:szCs w:val="44"/>
        </w:rPr>
        <w:t>第四篇  资格审查及评标办法</w:t>
      </w:r>
      <w:r>
        <w:tab/>
      </w:r>
      <w:r>
        <w:fldChar w:fldCharType="begin"/>
      </w:r>
      <w:r>
        <w:instrText xml:space="preserve"> PAGEREF _Toc25401 \h </w:instrText>
      </w:r>
      <w:r>
        <w:fldChar w:fldCharType="separate"/>
      </w:r>
      <w:r>
        <w:t>- 20 -</w:t>
      </w:r>
      <w:r>
        <w:fldChar w:fldCharType="end"/>
      </w:r>
      <w:r>
        <w:rPr>
          <w:rFonts w:hint="eastAsia" w:ascii="方正仿宋_GBK" w:hAnsi="宋体" w:eastAsia="方正仿宋_GBK"/>
          <w:color w:val="auto"/>
          <w:szCs w:val="28"/>
        </w:rPr>
        <w:fldChar w:fldCharType="end"/>
      </w:r>
    </w:p>
    <w:p w14:paraId="2A7F39D7">
      <w:pPr>
        <w:pStyle w:val="18"/>
        <w:tabs>
          <w:tab w:val="right" w:leader="dot" w:pos="9412"/>
          <w:tab w:val="clear" w:pos="8400"/>
        </w:tabs>
      </w:pPr>
      <w:r>
        <w:rPr>
          <w:rFonts w:hint="eastAsia" w:ascii="方正仿宋_GBK" w:hAnsi="宋体" w:eastAsia="方正仿宋_GBK"/>
          <w:color w:val="auto"/>
          <w:szCs w:val="28"/>
        </w:rPr>
        <w:fldChar w:fldCharType="begin"/>
      </w:r>
      <w:r>
        <w:rPr>
          <w:rFonts w:hint="eastAsia" w:ascii="方正仿宋_GBK" w:hAnsi="宋体" w:eastAsia="方正仿宋_GBK"/>
          <w:szCs w:val="28"/>
        </w:rPr>
        <w:instrText xml:space="preserve"> HYPERLINK \l _Toc24222 </w:instrText>
      </w:r>
      <w:r>
        <w:rPr>
          <w:rFonts w:hint="eastAsia" w:ascii="方正仿宋_GBK" w:hAnsi="宋体" w:eastAsia="方正仿宋_GBK"/>
          <w:szCs w:val="28"/>
        </w:rPr>
        <w:fldChar w:fldCharType="separate"/>
      </w:r>
      <w:r>
        <w:rPr>
          <w:rFonts w:hint="eastAsia" w:ascii="方正仿宋_GBK" w:eastAsia="方正仿宋_GBK"/>
          <w:szCs w:val="24"/>
        </w:rPr>
        <w:t>一、资格审查</w:t>
      </w:r>
      <w:r>
        <w:tab/>
      </w:r>
      <w:r>
        <w:fldChar w:fldCharType="begin"/>
      </w:r>
      <w:r>
        <w:instrText xml:space="preserve"> PAGEREF _Toc24222 \h </w:instrText>
      </w:r>
      <w:r>
        <w:fldChar w:fldCharType="separate"/>
      </w:r>
      <w:r>
        <w:t>- 20 -</w:t>
      </w:r>
      <w:r>
        <w:fldChar w:fldCharType="end"/>
      </w:r>
      <w:r>
        <w:rPr>
          <w:rFonts w:hint="eastAsia" w:ascii="方正仿宋_GBK" w:hAnsi="宋体" w:eastAsia="方正仿宋_GBK"/>
          <w:color w:val="auto"/>
          <w:szCs w:val="28"/>
        </w:rPr>
        <w:fldChar w:fldCharType="end"/>
      </w:r>
    </w:p>
    <w:p w14:paraId="3A643723">
      <w:pPr>
        <w:pStyle w:val="18"/>
        <w:tabs>
          <w:tab w:val="right" w:leader="dot" w:pos="9412"/>
          <w:tab w:val="clear" w:pos="8400"/>
        </w:tabs>
      </w:pPr>
      <w:r>
        <w:rPr>
          <w:rFonts w:hint="eastAsia" w:ascii="方正仿宋_GBK" w:hAnsi="宋体" w:eastAsia="方正仿宋_GBK"/>
          <w:color w:val="auto"/>
          <w:szCs w:val="28"/>
        </w:rPr>
        <w:fldChar w:fldCharType="begin"/>
      </w:r>
      <w:r>
        <w:rPr>
          <w:rFonts w:hint="eastAsia" w:ascii="方正仿宋_GBK" w:hAnsi="宋体" w:eastAsia="方正仿宋_GBK"/>
          <w:szCs w:val="28"/>
        </w:rPr>
        <w:instrText xml:space="preserve"> HYPERLINK \l _Toc22628 </w:instrText>
      </w:r>
      <w:r>
        <w:rPr>
          <w:rFonts w:hint="eastAsia" w:ascii="方正仿宋_GBK" w:hAnsi="宋体" w:eastAsia="方正仿宋_GBK"/>
          <w:szCs w:val="28"/>
        </w:rPr>
        <w:fldChar w:fldCharType="separate"/>
      </w:r>
      <w:r>
        <w:rPr>
          <w:rFonts w:hint="eastAsia" w:ascii="方正仿宋_GBK" w:eastAsia="方正仿宋_GBK"/>
          <w:szCs w:val="24"/>
        </w:rPr>
        <w:t>二、符合性审查</w:t>
      </w:r>
      <w:r>
        <w:tab/>
      </w:r>
      <w:r>
        <w:fldChar w:fldCharType="begin"/>
      </w:r>
      <w:r>
        <w:instrText xml:space="preserve"> PAGEREF _Toc22628 \h </w:instrText>
      </w:r>
      <w:r>
        <w:fldChar w:fldCharType="separate"/>
      </w:r>
      <w:r>
        <w:t>- 20 -</w:t>
      </w:r>
      <w:r>
        <w:fldChar w:fldCharType="end"/>
      </w:r>
      <w:r>
        <w:rPr>
          <w:rFonts w:hint="eastAsia" w:ascii="方正仿宋_GBK" w:hAnsi="宋体" w:eastAsia="方正仿宋_GBK"/>
          <w:color w:val="auto"/>
          <w:szCs w:val="28"/>
        </w:rPr>
        <w:fldChar w:fldCharType="end"/>
      </w:r>
    </w:p>
    <w:p w14:paraId="60304F5B">
      <w:pPr>
        <w:pStyle w:val="18"/>
        <w:tabs>
          <w:tab w:val="right" w:leader="dot" w:pos="9412"/>
          <w:tab w:val="clear" w:pos="8400"/>
        </w:tabs>
      </w:pPr>
      <w:r>
        <w:rPr>
          <w:rFonts w:hint="eastAsia" w:ascii="方正仿宋_GBK" w:hAnsi="宋体" w:eastAsia="方正仿宋_GBK"/>
          <w:color w:val="auto"/>
          <w:szCs w:val="28"/>
        </w:rPr>
        <w:fldChar w:fldCharType="begin"/>
      </w:r>
      <w:r>
        <w:rPr>
          <w:rFonts w:hint="eastAsia" w:ascii="方正仿宋_GBK" w:hAnsi="宋体" w:eastAsia="方正仿宋_GBK"/>
          <w:szCs w:val="28"/>
        </w:rPr>
        <w:instrText xml:space="preserve"> HYPERLINK \l _Toc6438 </w:instrText>
      </w:r>
      <w:r>
        <w:rPr>
          <w:rFonts w:hint="eastAsia" w:ascii="方正仿宋_GBK" w:hAnsi="宋体" w:eastAsia="方正仿宋_GBK"/>
          <w:szCs w:val="28"/>
        </w:rPr>
        <w:fldChar w:fldCharType="separate"/>
      </w:r>
      <w:r>
        <w:rPr>
          <w:rFonts w:hint="eastAsia" w:ascii="方正仿宋_GBK" w:eastAsia="方正仿宋_GBK"/>
          <w:szCs w:val="24"/>
        </w:rPr>
        <w:t>三、评标方法</w:t>
      </w:r>
      <w:r>
        <w:tab/>
      </w:r>
      <w:r>
        <w:fldChar w:fldCharType="begin"/>
      </w:r>
      <w:r>
        <w:instrText xml:space="preserve"> PAGEREF _Toc6438 \h </w:instrText>
      </w:r>
      <w:r>
        <w:fldChar w:fldCharType="separate"/>
      </w:r>
      <w:r>
        <w:t>- 21 -</w:t>
      </w:r>
      <w:r>
        <w:fldChar w:fldCharType="end"/>
      </w:r>
      <w:r>
        <w:rPr>
          <w:rFonts w:hint="eastAsia" w:ascii="方正仿宋_GBK" w:hAnsi="宋体" w:eastAsia="方正仿宋_GBK"/>
          <w:color w:val="auto"/>
          <w:szCs w:val="28"/>
        </w:rPr>
        <w:fldChar w:fldCharType="end"/>
      </w:r>
    </w:p>
    <w:p w14:paraId="42AB9D09">
      <w:pPr>
        <w:pStyle w:val="18"/>
        <w:tabs>
          <w:tab w:val="right" w:leader="dot" w:pos="9412"/>
          <w:tab w:val="clear" w:pos="8400"/>
        </w:tabs>
      </w:pPr>
      <w:r>
        <w:rPr>
          <w:rFonts w:hint="eastAsia" w:ascii="方正仿宋_GBK" w:hAnsi="宋体" w:eastAsia="方正仿宋_GBK"/>
          <w:color w:val="auto"/>
          <w:szCs w:val="28"/>
        </w:rPr>
        <w:fldChar w:fldCharType="begin"/>
      </w:r>
      <w:r>
        <w:rPr>
          <w:rFonts w:hint="eastAsia" w:ascii="方正仿宋_GBK" w:hAnsi="宋体" w:eastAsia="方正仿宋_GBK"/>
          <w:szCs w:val="28"/>
        </w:rPr>
        <w:instrText xml:space="preserve"> HYPERLINK \l _Toc14032 </w:instrText>
      </w:r>
      <w:r>
        <w:rPr>
          <w:rFonts w:hint="eastAsia" w:ascii="方正仿宋_GBK" w:hAnsi="宋体" w:eastAsia="方正仿宋_GBK"/>
          <w:szCs w:val="28"/>
        </w:rPr>
        <w:fldChar w:fldCharType="separate"/>
      </w:r>
      <w:r>
        <w:rPr>
          <w:rFonts w:hint="eastAsia" w:ascii="方正仿宋_GBK" w:eastAsia="方正仿宋_GBK"/>
          <w:szCs w:val="24"/>
        </w:rPr>
        <w:t>四、 评标标准</w:t>
      </w:r>
      <w:r>
        <w:tab/>
      </w:r>
      <w:r>
        <w:fldChar w:fldCharType="begin"/>
      </w:r>
      <w:r>
        <w:instrText xml:space="preserve"> PAGEREF _Toc14032 \h </w:instrText>
      </w:r>
      <w:r>
        <w:fldChar w:fldCharType="separate"/>
      </w:r>
      <w:r>
        <w:t>- 22 -</w:t>
      </w:r>
      <w:r>
        <w:fldChar w:fldCharType="end"/>
      </w:r>
      <w:r>
        <w:rPr>
          <w:rFonts w:hint="eastAsia" w:ascii="方正仿宋_GBK" w:hAnsi="宋体" w:eastAsia="方正仿宋_GBK"/>
          <w:color w:val="auto"/>
          <w:szCs w:val="28"/>
        </w:rPr>
        <w:fldChar w:fldCharType="end"/>
      </w:r>
    </w:p>
    <w:p w14:paraId="6A0AD20D">
      <w:pPr>
        <w:pStyle w:val="18"/>
        <w:tabs>
          <w:tab w:val="right" w:leader="dot" w:pos="9412"/>
          <w:tab w:val="clear" w:pos="8400"/>
        </w:tabs>
      </w:pPr>
      <w:r>
        <w:rPr>
          <w:rFonts w:hint="eastAsia" w:ascii="方正仿宋_GBK" w:hAnsi="宋体" w:eastAsia="方正仿宋_GBK"/>
          <w:color w:val="auto"/>
          <w:szCs w:val="28"/>
        </w:rPr>
        <w:fldChar w:fldCharType="begin"/>
      </w:r>
      <w:r>
        <w:rPr>
          <w:rFonts w:hint="eastAsia" w:ascii="方正仿宋_GBK" w:hAnsi="宋体" w:eastAsia="方正仿宋_GBK"/>
          <w:szCs w:val="28"/>
        </w:rPr>
        <w:instrText xml:space="preserve"> HYPERLINK \l _Toc16239 </w:instrText>
      </w:r>
      <w:r>
        <w:rPr>
          <w:rFonts w:hint="eastAsia" w:ascii="方正仿宋_GBK" w:hAnsi="宋体" w:eastAsia="方正仿宋_GBK"/>
          <w:szCs w:val="28"/>
        </w:rPr>
        <w:fldChar w:fldCharType="separate"/>
      </w:r>
      <w:r>
        <w:rPr>
          <w:rFonts w:hint="eastAsia" w:ascii="方正仿宋_GBK" w:eastAsia="方正仿宋_GBK"/>
          <w:szCs w:val="24"/>
        </w:rPr>
        <w:t>五、无效投标条款</w:t>
      </w:r>
      <w:r>
        <w:tab/>
      </w:r>
      <w:r>
        <w:fldChar w:fldCharType="begin"/>
      </w:r>
      <w:r>
        <w:instrText xml:space="preserve"> PAGEREF _Toc16239 \h </w:instrText>
      </w:r>
      <w:r>
        <w:fldChar w:fldCharType="separate"/>
      </w:r>
      <w:r>
        <w:t>- 24 -</w:t>
      </w:r>
      <w:r>
        <w:fldChar w:fldCharType="end"/>
      </w:r>
      <w:r>
        <w:rPr>
          <w:rFonts w:hint="eastAsia" w:ascii="方正仿宋_GBK" w:hAnsi="宋体" w:eastAsia="方正仿宋_GBK"/>
          <w:color w:val="auto"/>
          <w:szCs w:val="28"/>
        </w:rPr>
        <w:fldChar w:fldCharType="end"/>
      </w:r>
    </w:p>
    <w:p w14:paraId="12524299">
      <w:pPr>
        <w:pStyle w:val="18"/>
        <w:tabs>
          <w:tab w:val="right" w:leader="dot" w:pos="9412"/>
          <w:tab w:val="clear" w:pos="8400"/>
        </w:tabs>
      </w:pPr>
      <w:r>
        <w:rPr>
          <w:rFonts w:hint="eastAsia" w:ascii="方正仿宋_GBK" w:hAnsi="宋体" w:eastAsia="方正仿宋_GBK"/>
          <w:color w:val="auto"/>
          <w:szCs w:val="28"/>
        </w:rPr>
        <w:fldChar w:fldCharType="begin"/>
      </w:r>
      <w:r>
        <w:rPr>
          <w:rFonts w:hint="eastAsia" w:ascii="方正仿宋_GBK" w:hAnsi="宋体" w:eastAsia="方正仿宋_GBK"/>
          <w:szCs w:val="28"/>
        </w:rPr>
        <w:instrText xml:space="preserve"> HYPERLINK \l _Toc15473 </w:instrText>
      </w:r>
      <w:r>
        <w:rPr>
          <w:rFonts w:hint="eastAsia" w:ascii="方正仿宋_GBK" w:hAnsi="宋体" w:eastAsia="方正仿宋_GBK"/>
          <w:szCs w:val="28"/>
        </w:rPr>
        <w:fldChar w:fldCharType="separate"/>
      </w:r>
      <w:r>
        <w:rPr>
          <w:rFonts w:hint="eastAsia" w:ascii="方正仿宋_GBK" w:eastAsia="方正仿宋_GBK"/>
          <w:szCs w:val="24"/>
        </w:rPr>
        <w:t>六、废标条款</w:t>
      </w:r>
      <w:r>
        <w:tab/>
      </w:r>
      <w:r>
        <w:fldChar w:fldCharType="begin"/>
      </w:r>
      <w:r>
        <w:instrText xml:space="preserve"> PAGEREF _Toc15473 \h </w:instrText>
      </w:r>
      <w:r>
        <w:fldChar w:fldCharType="separate"/>
      </w:r>
      <w:r>
        <w:t>- 24 -</w:t>
      </w:r>
      <w:r>
        <w:fldChar w:fldCharType="end"/>
      </w:r>
      <w:r>
        <w:rPr>
          <w:rFonts w:hint="eastAsia" w:ascii="方正仿宋_GBK" w:hAnsi="宋体" w:eastAsia="方正仿宋_GBK"/>
          <w:color w:val="auto"/>
          <w:szCs w:val="28"/>
        </w:rPr>
        <w:fldChar w:fldCharType="end"/>
      </w:r>
    </w:p>
    <w:p w14:paraId="0C927FC2">
      <w:pPr>
        <w:pStyle w:val="17"/>
        <w:tabs>
          <w:tab w:val="right" w:leader="dot" w:pos="9412"/>
          <w:tab w:val="clear" w:pos="1260"/>
          <w:tab w:val="clear" w:pos="1685"/>
          <w:tab w:val="clear" w:pos="8400"/>
        </w:tabs>
      </w:pPr>
      <w:r>
        <w:rPr>
          <w:rFonts w:hint="eastAsia" w:ascii="方正仿宋_GBK" w:hAnsi="宋体" w:eastAsia="方正仿宋_GBK"/>
          <w:color w:val="auto"/>
          <w:szCs w:val="28"/>
        </w:rPr>
        <w:fldChar w:fldCharType="begin"/>
      </w:r>
      <w:r>
        <w:rPr>
          <w:rFonts w:hint="eastAsia" w:ascii="方正仿宋_GBK" w:hAnsi="宋体" w:eastAsia="方正仿宋_GBK"/>
          <w:szCs w:val="28"/>
        </w:rPr>
        <w:instrText xml:space="preserve"> HYPERLINK \l _Toc3519 </w:instrText>
      </w:r>
      <w:r>
        <w:rPr>
          <w:rFonts w:hint="eastAsia" w:ascii="方正仿宋_GBK" w:hAnsi="宋体" w:eastAsia="方正仿宋_GBK"/>
          <w:szCs w:val="28"/>
        </w:rPr>
        <w:fldChar w:fldCharType="separate"/>
      </w:r>
      <w:r>
        <w:rPr>
          <w:rFonts w:hint="eastAsia" w:ascii="方正仿宋_GBK" w:hAnsi="宋体" w:eastAsia="方正仿宋_GBK"/>
          <w:szCs w:val="44"/>
        </w:rPr>
        <w:t>第五篇  供应商须知</w:t>
      </w:r>
      <w:r>
        <w:tab/>
      </w:r>
      <w:r>
        <w:fldChar w:fldCharType="begin"/>
      </w:r>
      <w:r>
        <w:instrText xml:space="preserve"> PAGEREF _Toc3519 \h </w:instrText>
      </w:r>
      <w:r>
        <w:fldChar w:fldCharType="separate"/>
      </w:r>
      <w:r>
        <w:t>- 26 -</w:t>
      </w:r>
      <w:r>
        <w:fldChar w:fldCharType="end"/>
      </w:r>
      <w:r>
        <w:rPr>
          <w:rFonts w:hint="eastAsia" w:ascii="方正仿宋_GBK" w:hAnsi="宋体" w:eastAsia="方正仿宋_GBK"/>
          <w:color w:val="auto"/>
          <w:szCs w:val="28"/>
        </w:rPr>
        <w:fldChar w:fldCharType="end"/>
      </w:r>
    </w:p>
    <w:p w14:paraId="10C8E0F7">
      <w:pPr>
        <w:pStyle w:val="18"/>
        <w:tabs>
          <w:tab w:val="right" w:leader="dot" w:pos="9412"/>
          <w:tab w:val="clear" w:pos="8400"/>
        </w:tabs>
      </w:pPr>
      <w:r>
        <w:rPr>
          <w:rFonts w:hint="eastAsia" w:ascii="方正仿宋_GBK" w:hAnsi="宋体" w:eastAsia="方正仿宋_GBK"/>
          <w:color w:val="auto"/>
          <w:szCs w:val="28"/>
        </w:rPr>
        <w:fldChar w:fldCharType="begin"/>
      </w:r>
      <w:r>
        <w:rPr>
          <w:rFonts w:hint="eastAsia" w:ascii="方正仿宋_GBK" w:hAnsi="宋体" w:eastAsia="方正仿宋_GBK"/>
          <w:szCs w:val="28"/>
        </w:rPr>
        <w:instrText xml:space="preserve"> HYPERLINK \l _Toc23046 </w:instrText>
      </w:r>
      <w:r>
        <w:rPr>
          <w:rFonts w:hint="eastAsia" w:ascii="方正仿宋_GBK" w:hAnsi="宋体" w:eastAsia="方正仿宋_GBK"/>
          <w:szCs w:val="28"/>
        </w:rPr>
        <w:fldChar w:fldCharType="separate"/>
      </w:r>
      <w:r>
        <w:rPr>
          <w:rFonts w:hint="eastAsia" w:ascii="方正仿宋_GBK" w:eastAsia="方正仿宋_GBK"/>
          <w:szCs w:val="24"/>
        </w:rPr>
        <w:t>一、供应商</w:t>
      </w:r>
      <w:r>
        <w:tab/>
      </w:r>
      <w:r>
        <w:fldChar w:fldCharType="begin"/>
      </w:r>
      <w:r>
        <w:instrText xml:space="preserve"> PAGEREF _Toc23046 \h </w:instrText>
      </w:r>
      <w:r>
        <w:fldChar w:fldCharType="separate"/>
      </w:r>
      <w:r>
        <w:t>- 26 -</w:t>
      </w:r>
      <w:r>
        <w:fldChar w:fldCharType="end"/>
      </w:r>
      <w:r>
        <w:rPr>
          <w:rFonts w:hint="eastAsia" w:ascii="方正仿宋_GBK" w:hAnsi="宋体" w:eastAsia="方正仿宋_GBK"/>
          <w:color w:val="auto"/>
          <w:szCs w:val="28"/>
        </w:rPr>
        <w:fldChar w:fldCharType="end"/>
      </w:r>
    </w:p>
    <w:p w14:paraId="43010723">
      <w:pPr>
        <w:pStyle w:val="18"/>
        <w:tabs>
          <w:tab w:val="right" w:leader="dot" w:pos="9412"/>
          <w:tab w:val="clear" w:pos="8400"/>
        </w:tabs>
      </w:pPr>
      <w:r>
        <w:rPr>
          <w:rFonts w:hint="eastAsia" w:ascii="方正仿宋_GBK" w:hAnsi="宋体" w:eastAsia="方正仿宋_GBK"/>
          <w:color w:val="auto"/>
          <w:szCs w:val="28"/>
        </w:rPr>
        <w:fldChar w:fldCharType="begin"/>
      </w:r>
      <w:r>
        <w:rPr>
          <w:rFonts w:hint="eastAsia" w:ascii="方正仿宋_GBK" w:hAnsi="宋体" w:eastAsia="方正仿宋_GBK"/>
          <w:szCs w:val="28"/>
        </w:rPr>
        <w:instrText xml:space="preserve"> HYPERLINK \l _Toc10505 </w:instrText>
      </w:r>
      <w:r>
        <w:rPr>
          <w:rFonts w:hint="eastAsia" w:ascii="方正仿宋_GBK" w:hAnsi="宋体" w:eastAsia="方正仿宋_GBK"/>
          <w:szCs w:val="28"/>
        </w:rPr>
        <w:fldChar w:fldCharType="separate"/>
      </w:r>
      <w:r>
        <w:rPr>
          <w:rFonts w:hint="eastAsia" w:ascii="方正仿宋_GBK" w:eastAsia="方正仿宋_GBK"/>
          <w:szCs w:val="24"/>
        </w:rPr>
        <w:t>二、招标文件</w:t>
      </w:r>
      <w:r>
        <w:tab/>
      </w:r>
      <w:r>
        <w:fldChar w:fldCharType="begin"/>
      </w:r>
      <w:r>
        <w:instrText xml:space="preserve"> PAGEREF _Toc10505 \h </w:instrText>
      </w:r>
      <w:r>
        <w:fldChar w:fldCharType="separate"/>
      </w:r>
      <w:r>
        <w:t>- 26 -</w:t>
      </w:r>
      <w:r>
        <w:fldChar w:fldCharType="end"/>
      </w:r>
      <w:r>
        <w:rPr>
          <w:rFonts w:hint="eastAsia" w:ascii="方正仿宋_GBK" w:hAnsi="宋体" w:eastAsia="方正仿宋_GBK"/>
          <w:color w:val="auto"/>
          <w:szCs w:val="28"/>
        </w:rPr>
        <w:fldChar w:fldCharType="end"/>
      </w:r>
    </w:p>
    <w:p w14:paraId="0D33098C">
      <w:pPr>
        <w:pStyle w:val="18"/>
        <w:tabs>
          <w:tab w:val="right" w:leader="dot" w:pos="9412"/>
          <w:tab w:val="clear" w:pos="8400"/>
        </w:tabs>
      </w:pPr>
      <w:r>
        <w:rPr>
          <w:rFonts w:hint="eastAsia" w:ascii="方正仿宋_GBK" w:hAnsi="宋体" w:eastAsia="方正仿宋_GBK"/>
          <w:color w:val="auto"/>
          <w:szCs w:val="28"/>
        </w:rPr>
        <w:fldChar w:fldCharType="begin"/>
      </w:r>
      <w:r>
        <w:rPr>
          <w:rFonts w:hint="eastAsia" w:ascii="方正仿宋_GBK" w:hAnsi="宋体" w:eastAsia="方正仿宋_GBK"/>
          <w:szCs w:val="28"/>
        </w:rPr>
        <w:instrText xml:space="preserve"> HYPERLINK \l _Toc806 </w:instrText>
      </w:r>
      <w:r>
        <w:rPr>
          <w:rFonts w:hint="eastAsia" w:ascii="方正仿宋_GBK" w:hAnsi="宋体" w:eastAsia="方正仿宋_GBK"/>
          <w:szCs w:val="28"/>
        </w:rPr>
        <w:fldChar w:fldCharType="separate"/>
      </w:r>
      <w:r>
        <w:rPr>
          <w:rFonts w:hint="eastAsia" w:ascii="方正仿宋_GBK" w:eastAsia="方正仿宋_GBK"/>
          <w:szCs w:val="24"/>
        </w:rPr>
        <w:t>三、投标文件</w:t>
      </w:r>
      <w:r>
        <w:tab/>
      </w:r>
      <w:r>
        <w:fldChar w:fldCharType="begin"/>
      </w:r>
      <w:r>
        <w:instrText xml:space="preserve"> PAGEREF _Toc806 \h </w:instrText>
      </w:r>
      <w:r>
        <w:fldChar w:fldCharType="separate"/>
      </w:r>
      <w:r>
        <w:t>- 26 -</w:t>
      </w:r>
      <w:r>
        <w:fldChar w:fldCharType="end"/>
      </w:r>
      <w:r>
        <w:rPr>
          <w:rFonts w:hint="eastAsia" w:ascii="方正仿宋_GBK" w:hAnsi="宋体" w:eastAsia="方正仿宋_GBK"/>
          <w:color w:val="auto"/>
          <w:szCs w:val="28"/>
        </w:rPr>
        <w:fldChar w:fldCharType="end"/>
      </w:r>
    </w:p>
    <w:p w14:paraId="7D686602">
      <w:pPr>
        <w:pStyle w:val="18"/>
        <w:tabs>
          <w:tab w:val="right" w:leader="dot" w:pos="9412"/>
          <w:tab w:val="clear" w:pos="8400"/>
        </w:tabs>
      </w:pPr>
      <w:r>
        <w:rPr>
          <w:rFonts w:hint="eastAsia" w:ascii="方正仿宋_GBK" w:hAnsi="宋体" w:eastAsia="方正仿宋_GBK"/>
          <w:color w:val="auto"/>
          <w:szCs w:val="28"/>
        </w:rPr>
        <w:fldChar w:fldCharType="begin"/>
      </w:r>
      <w:r>
        <w:rPr>
          <w:rFonts w:hint="eastAsia" w:ascii="方正仿宋_GBK" w:hAnsi="宋体" w:eastAsia="方正仿宋_GBK"/>
          <w:szCs w:val="28"/>
        </w:rPr>
        <w:instrText xml:space="preserve"> HYPERLINK \l _Toc14159 </w:instrText>
      </w:r>
      <w:r>
        <w:rPr>
          <w:rFonts w:hint="eastAsia" w:ascii="方正仿宋_GBK" w:hAnsi="宋体" w:eastAsia="方正仿宋_GBK"/>
          <w:szCs w:val="28"/>
        </w:rPr>
        <w:fldChar w:fldCharType="separate"/>
      </w:r>
      <w:r>
        <w:rPr>
          <w:rFonts w:hint="eastAsia" w:ascii="方正仿宋_GBK" w:eastAsia="方正仿宋_GBK"/>
          <w:szCs w:val="24"/>
        </w:rPr>
        <w:t>四、开标</w:t>
      </w:r>
      <w:r>
        <w:tab/>
      </w:r>
      <w:r>
        <w:fldChar w:fldCharType="begin"/>
      </w:r>
      <w:r>
        <w:instrText xml:space="preserve"> PAGEREF _Toc14159 \h </w:instrText>
      </w:r>
      <w:r>
        <w:fldChar w:fldCharType="separate"/>
      </w:r>
      <w:r>
        <w:t>- 28 -</w:t>
      </w:r>
      <w:r>
        <w:fldChar w:fldCharType="end"/>
      </w:r>
      <w:r>
        <w:rPr>
          <w:rFonts w:hint="eastAsia" w:ascii="方正仿宋_GBK" w:hAnsi="宋体" w:eastAsia="方正仿宋_GBK"/>
          <w:color w:val="auto"/>
          <w:szCs w:val="28"/>
        </w:rPr>
        <w:fldChar w:fldCharType="end"/>
      </w:r>
    </w:p>
    <w:p w14:paraId="4819B2D4">
      <w:pPr>
        <w:pStyle w:val="18"/>
        <w:tabs>
          <w:tab w:val="right" w:leader="dot" w:pos="9412"/>
          <w:tab w:val="clear" w:pos="8400"/>
        </w:tabs>
      </w:pPr>
      <w:r>
        <w:rPr>
          <w:rFonts w:hint="eastAsia" w:ascii="方正仿宋_GBK" w:hAnsi="宋体" w:eastAsia="方正仿宋_GBK"/>
          <w:color w:val="auto"/>
          <w:szCs w:val="28"/>
        </w:rPr>
        <w:fldChar w:fldCharType="begin"/>
      </w:r>
      <w:r>
        <w:rPr>
          <w:rFonts w:hint="eastAsia" w:ascii="方正仿宋_GBK" w:hAnsi="宋体" w:eastAsia="方正仿宋_GBK"/>
          <w:szCs w:val="28"/>
        </w:rPr>
        <w:instrText xml:space="preserve"> HYPERLINK \l _Toc19332 </w:instrText>
      </w:r>
      <w:r>
        <w:rPr>
          <w:rFonts w:hint="eastAsia" w:ascii="方正仿宋_GBK" w:hAnsi="宋体" w:eastAsia="方正仿宋_GBK"/>
          <w:szCs w:val="28"/>
        </w:rPr>
        <w:fldChar w:fldCharType="separate"/>
      </w:r>
      <w:r>
        <w:rPr>
          <w:rFonts w:hint="eastAsia" w:ascii="方正仿宋_GBK" w:eastAsia="方正仿宋_GBK"/>
          <w:szCs w:val="24"/>
        </w:rPr>
        <w:t>五、评标</w:t>
      </w:r>
      <w:r>
        <w:tab/>
      </w:r>
      <w:r>
        <w:fldChar w:fldCharType="begin"/>
      </w:r>
      <w:r>
        <w:instrText xml:space="preserve"> PAGEREF _Toc19332 \h </w:instrText>
      </w:r>
      <w:r>
        <w:fldChar w:fldCharType="separate"/>
      </w:r>
      <w:r>
        <w:t>- 28 -</w:t>
      </w:r>
      <w:r>
        <w:fldChar w:fldCharType="end"/>
      </w:r>
      <w:r>
        <w:rPr>
          <w:rFonts w:hint="eastAsia" w:ascii="方正仿宋_GBK" w:hAnsi="宋体" w:eastAsia="方正仿宋_GBK"/>
          <w:color w:val="auto"/>
          <w:szCs w:val="28"/>
        </w:rPr>
        <w:fldChar w:fldCharType="end"/>
      </w:r>
    </w:p>
    <w:p w14:paraId="78C1981F">
      <w:pPr>
        <w:pStyle w:val="18"/>
        <w:tabs>
          <w:tab w:val="right" w:leader="dot" w:pos="9412"/>
          <w:tab w:val="clear" w:pos="8400"/>
        </w:tabs>
      </w:pPr>
      <w:r>
        <w:rPr>
          <w:rFonts w:hint="eastAsia" w:ascii="方正仿宋_GBK" w:hAnsi="宋体" w:eastAsia="方正仿宋_GBK"/>
          <w:color w:val="auto"/>
          <w:szCs w:val="28"/>
        </w:rPr>
        <w:fldChar w:fldCharType="begin"/>
      </w:r>
      <w:r>
        <w:rPr>
          <w:rFonts w:hint="eastAsia" w:ascii="方正仿宋_GBK" w:hAnsi="宋体" w:eastAsia="方正仿宋_GBK"/>
          <w:szCs w:val="28"/>
        </w:rPr>
        <w:instrText xml:space="preserve"> HYPERLINK \l _Toc21576 </w:instrText>
      </w:r>
      <w:r>
        <w:rPr>
          <w:rFonts w:hint="eastAsia" w:ascii="方正仿宋_GBK" w:hAnsi="宋体" w:eastAsia="方正仿宋_GBK"/>
          <w:szCs w:val="28"/>
        </w:rPr>
        <w:fldChar w:fldCharType="separate"/>
      </w:r>
      <w:r>
        <w:rPr>
          <w:rFonts w:hint="eastAsia" w:ascii="方正仿宋_GBK" w:eastAsia="方正仿宋_GBK"/>
          <w:szCs w:val="24"/>
        </w:rPr>
        <w:t>六、定标</w:t>
      </w:r>
      <w:r>
        <w:tab/>
      </w:r>
      <w:r>
        <w:fldChar w:fldCharType="begin"/>
      </w:r>
      <w:r>
        <w:instrText xml:space="preserve"> PAGEREF _Toc21576 \h </w:instrText>
      </w:r>
      <w:r>
        <w:fldChar w:fldCharType="separate"/>
      </w:r>
      <w:r>
        <w:t>- 28 -</w:t>
      </w:r>
      <w:r>
        <w:fldChar w:fldCharType="end"/>
      </w:r>
      <w:r>
        <w:rPr>
          <w:rFonts w:hint="eastAsia" w:ascii="方正仿宋_GBK" w:hAnsi="宋体" w:eastAsia="方正仿宋_GBK"/>
          <w:color w:val="auto"/>
          <w:szCs w:val="28"/>
        </w:rPr>
        <w:fldChar w:fldCharType="end"/>
      </w:r>
    </w:p>
    <w:p w14:paraId="2D634527">
      <w:pPr>
        <w:pStyle w:val="18"/>
        <w:tabs>
          <w:tab w:val="right" w:leader="dot" w:pos="9412"/>
          <w:tab w:val="clear" w:pos="8400"/>
        </w:tabs>
      </w:pPr>
      <w:r>
        <w:rPr>
          <w:rFonts w:hint="eastAsia" w:ascii="方正仿宋_GBK" w:hAnsi="宋体" w:eastAsia="方正仿宋_GBK"/>
          <w:color w:val="auto"/>
          <w:szCs w:val="28"/>
        </w:rPr>
        <w:fldChar w:fldCharType="begin"/>
      </w:r>
      <w:r>
        <w:rPr>
          <w:rFonts w:hint="eastAsia" w:ascii="方正仿宋_GBK" w:hAnsi="宋体" w:eastAsia="方正仿宋_GBK"/>
          <w:szCs w:val="28"/>
        </w:rPr>
        <w:instrText xml:space="preserve"> HYPERLINK \l _Toc9091 </w:instrText>
      </w:r>
      <w:r>
        <w:rPr>
          <w:rFonts w:hint="eastAsia" w:ascii="方正仿宋_GBK" w:hAnsi="宋体" w:eastAsia="方正仿宋_GBK"/>
          <w:szCs w:val="28"/>
        </w:rPr>
        <w:fldChar w:fldCharType="separate"/>
      </w:r>
      <w:r>
        <w:rPr>
          <w:rFonts w:hint="eastAsia" w:ascii="方正仿宋_GBK" w:eastAsia="方正仿宋_GBK"/>
          <w:szCs w:val="24"/>
        </w:rPr>
        <w:t>七、中标</w:t>
      </w:r>
      <w:r>
        <w:tab/>
      </w:r>
      <w:r>
        <w:fldChar w:fldCharType="begin"/>
      </w:r>
      <w:r>
        <w:instrText xml:space="preserve"> PAGEREF _Toc9091 \h </w:instrText>
      </w:r>
      <w:r>
        <w:fldChar w:fldCharType="separate"/>
      </w:r>
      <w:r>
        <w:t>- 29 -</w:t>
      </w:r>
      <w:r>
        <w:fldChar w:fldCharType="end"/>
      </w:r>
      <w:r>
        <w:rPr>
          <w:rFonts w:hint="eastAsia" w:ascii="方正仿宋_GBK" w:hAnsi="宋体" w:eastAsia="方正仿宋_GBK"/>
          <w:color w:val="auto"/>
          <w:szCs w:val="28"/>
        </w:rPr>
        <w:fldChar w:fldCharType="end"/>
      </w:r>
    </w:p>
    <w:p w14:paraId="6A43D20B">
      <w:pPr>
        <w:pStyle w:val="18"/>
        <w:tabs>
          <w:tab w:val="right" w:leader="dot" w:pos="9412"/>
          <w:tab w:val="clear" w:pos="8400"/>
        </w:tabs>
      </w:pPr>
      <w:r>
        <w:rPr>
          <w:rFonts w:hint="eastAsia" w:ascii="方正仿宋_GBK" w:hAnsi="宋体" w:eastAsia="方正仿宋_GBK"/>
          <w:color w:val="auto"/>
          <w:szCs w:val="28"/>
        </w:rPr>
        <w:fldChar w:fldCharType="begin"/>
      </w:r>
      <w:r>
        <w:rPr>
          <w:rFonts w:hint="eastAsia" w:ascii="方正仿宋_GBK" w:hAnsi="宋体" w:eastAsia="方正仿宋_GBK"/>
          <w:szCs w:val="28"/>
        </w:rPr>
        <w:instrText xml:space="preserve"> HYPERLINK \l _Toc3115 </w:instrText>
      </w:r>
      <w:r>
        <w:rPr>
          <w:rFonts w:hint="eastAsia" w:ascii="方正仿宋_GBK" w:hAnsi="宋体" w:eastAsia="方正仿宋_GBK"/>
          <w:szCs w:val="28"/>
        </w:rPr>
        <w:fldChar w:fldCharType="separate"/>
      </w:r>
      <w:r>
        <w:rPr>
          <w:rFonts w:hint="eastAsia" w:ascii="方正仿宋_GBK" w:eastAsia="方正仿宋_GBK"/>
          <w:szCs w:val="24"/>
        </w:rPr>
        <w:t>八、询问、质疑和投诉</w:t>
      </w:r>
      <w:r>
        <w:tab/>
      </w:r>
      <w:r>
        <w:fldChar w:fldCharType="begin"/>
      </w:r>
      <w:r>
        <w:instrText xml:space="preserve"> PAGEREF _Toc3115 \h </w:instrText>
      </w:r>
      <w:r>
        <w:fldChar w:fldCharType="separate"/>
      </w:r>
      <w:r>
        <w:t>- 29 -</w:t>
      </w:r>
      <w:r>
        <w:fldChar w:fldCharType="end"/>
      </w:r>
      <w:r>
        <w:rPr>
          <w:rFonts w:hint="eastAsia" w:ascii="方正仿宋_GBK" w:hAnsi="宋体" w:eastAsia="方正仿宋_GBK"/>
          <w:color w:val="auto"/>
          <w:szCs w:val="28"/>
        </w:rPr>
        <w:fldChar w:fldCharType="end"/>
      </w:r>
    </w:p>
    <w:p w14:paraId="621F2BB5">
      <w:pPr>
        <w:pStyle w:val="18"/>
        <w:tabs>
          <w:tab w:val="right" w:leader="dot" w:pos="9412"/>
          <w:tab w:val="clear" w:pos="8400"/>
        </w:tabs>
      </w:pPr>
      <w:r>
        <w:rPr>
          <w:rFonts w:hint="eastAsia" w:ascii="方正仿宋_GBK" w:hAnsi="宋体" w:eastAsia="方正仿宋_GBK"/>
          <w:color w:val="auto"/>
          <w:szCs w:val="28"/>
        </w:rPr>
        <w:fldChar w:fldCharType="begin"/>
      </w:r>
      <w:r>
        <w:rPr>
          <w:rFonts w:hint="eastAsia" w:ascii="方正仿宋_GBK" w:hAnsi="宋体" w:eastAsia="方正仿宋_GBK"/>
          <w:szCs w:val="28"/>
        </w:rPr>
        <w:instrText xml:space="preserve"> HYPERLINK \l _Toc22107 </w:instrText>
      </w:r>
      <w:r>
        <w:rPr>
          <w:rFonts w:hint="eastAsia" w:ascii="方正仿宋_GBK" w:hAnsi="宋体" w:eastAsia="方正仿宋_GBK"/>
          <w:szCs w:val="28"/>
        </w:rPr>
        <w:fldChar w:fldCharType="separate"/>
      </w:r>
      <w:r>
        <w:rPr>
          <w:rFonts w:hint="eastAsia" w:ascii="方正仿宋_GBK" w:eastAsia="方正仿宋_GBK"/>
          <w:szCs w:val="24"/>
        </w:rPr>
        <w:t>九、交易服务费</w:t>
      </w:r>
      <w:r>
        <w:tab/>
      </w:r>
      <w:r>
        <w:fldChar w:fldCharType="begin"/>
      </w:r>
      <w:r>
        <w:instrText xml:space="preserve"> PAGEREF _Toc22107 \h </w:instrText>
      </w:r>
      <w:r>
        <w:fldChar w:fldCharType="separate"/>
      </w:r>
      <w:r>
        <w:t>- 30 -</w:t>
      </w:r>
      <w:r>
        <w:fldChar w:fldCharType="end"/>
      </w:r>
      <w:r>
        <w:rPr>
          <w:rFonts w:hint="eastAsia" w:ascii="方正仿宋_GBK" w:hAnsi="宋体" w:eastAsia="方正仿宋_GBK"/>
          <w:color w:val="auto"/>
          <w:szCs w:val="28"/>
        </w:rPr>
        <w:fldChar w:fldCharType="end"/>
      </w:r>
    </w:p>
    <w:p w14:paraId="46B9C695">
      <w:pPr>
        <w:pStyle w:val="18"/>
        <w:tabs>
          <w:tab w:val="right" w:leader="dot" w:pos="9412"/>
          <w:tab w:val="clear" w:pos="8400"/>
        </w:tabs>
      </w:pPr>
      <w:r>
        <w:rPr>
          <w:rFonts w:hint="eastAsia" w:ascii="方正仿宋_GBK" w:hAnsi="宋体" w:eastAsia="方正仿宋_GBK"/>
          <w:color w:val="auto"/>
          <w:szCs w:val="28"/>
        </w:rPr>
        <w:fldChar w:fldCharType="begin"/>
      </w:r>
      <w:r>
        <w:rPr>
          <w:rFonts w:hint="eastAsia" w:ascii="方正仿宋_GBK" w:hAnsi="宋体" w:eastAsia="方正仿宋_GBK"/>
          <w:szCs w:val="28"/>
        </w:rPr>
        <w:instrText xml:space="preserve"> HYPERLINK \l _Toc5570 </w:instrText>
      </w:r>
      <w:r>
        <w:rPr>
          <w:rFonts w:hint="eastAsia" w:ascii="方正仿宋_GBK" w:hAnsi="宋体" w:eastAsia="方正仿宋_GBK"/>
          <w:szCs w:val="28"/>
        </w:rPr>
        <w:fldChar w:fldCharType="separate"/>
      </w:r>
      <w:r>
        <w:rPr>
          <w:rFonts w:hint="eastAsia" w:ascii="方正仿宋_GBK" w:eastAsia="方正仿宋_GBK"/>
          <w:szCs w:val="24"/>
        </w:rPr>
        <w:t>十、签订合同</w:t>
      </w:r>
      <w:r>
        <w:tab/>
      </w:r>
      <w:r>
        <w:fldChar w:fldCharType="begin"/>
      </w:r>
      <w:r>
        <w:instrText xml:space="preserve"> PAGEREF _Toc5570 \h </w:instrText>
      </w:r>
      <w:r>
        <w:fldChar w:fldCharType="separate"/>
      </w:r>
      <w:r>
        <w:t>- 31 -</w:t>
      </w:r>
      <w:r>
        <w:fldChar w:fldCharType="end"/>
      </w:r>
      <w:r>
        <w:rPr>
          <w:rFonts w:hint="eastAsia" w:ascii="方正仿宋_GBK" w:hAnsi="宋体" w:eastAsia="方正仿宋_GBK"/>
          <w:color w:val="auto"/>
          <w:szCs w:val="28"/>
        </w:rPr>
        <w:fldChar w:fldCharType="end"/>
      </w:r>
    </w:p>
    <w:p w14:paraId="69B802CD">
      <w:pPr>
        <w:pStyle w:val="18"/>
        <w:tabs>
          <w:tab w:val="right" w:leader="dot" w:pos="9412"/>
          <w:tab w:val="clear" w:pos="8400"/>
        </w:tabs>
      </w:pPr>
      <w:r>
        <w:rPr>
          <w:rFonts w:hint="eastAsia" w:ascii="方正仿宋_GBK" w:hAnsi="宋体" w:eastAsia="方正仿宋_GBK"/>
          <w:color w:val="auto"/>
          <w:szCs w:val="28"/>
        </w:rPr>
        <w:fldChar w:fldCharType="begin"/>
      </w:r>
      <w:r>
        <w:rPr>
          <w:rFonts w:hint="eastAsia" w:ascii="方正仿宋_GBK" w:hAnsi="宋体" w:eastAsia="方正仿宋_GBK"/>
          <w:szCs w:val="28"/>
        </w:rPr>
        <w:instrText xml:space="preserve"> HYPERLINK \l _Toc15956 </w:instrText>
      </w:r>
      <w:r>
        <w:rPr>
          <w:rFonts w:hint="eastAsia" w:ascii="方正仿宋_GBK" w:hAnsi="宋体" w:eastAsia="方正仿宋_GBK"/>
          <w:szCs w:val="28"/>
        </w:rPr>
        <w:fldChar w:fldCharType="separate"/>
      </w:r>
      <w:r>
        <w:rPr>
          <w:rFonts w:hint="eastAsia" w:ascii="方正仿宋_GBK" w:eastAsia="方正仿宋_GBK"/>
          <w:szCs w:val="24"/>
        </w:rPr>
        <w:t>十一、政府采购信用融资</w:t>
      </w:r>
      <w:r>
        <w:tab/>
      </w:r>
      <w:r>
        <w:fldChar w:fldCharType="begin"/>
      </w:r>
      <w:r>
        <w:instrText xml:space="preserve"> PAGEREF _Toc15956 \h </w:instrText>
      </w:r>
      <w:r>
        <w:fldChar w:fldCharType="separate"/>
      </w:r>
      <w:r>
        <w:t>- 31 -</w:t>
      </w:r>
      <w:r>
        <w:fldChar w:fldCharType="end"/>
      </w:r>
      <w:r>
        <w:rPr>
          <w:rFonts w:hint="eastAsia" w:ascii="方正仿宋_GBK" w:hAnsi="宋体" w:eastAsia="方正仿宋_GBK"/>
          <w:color w:val="auto"/>
          <w:szCs w:val="28"/>
        </w:rPr>
        <w:fldChar w:fldCharType="end"/>
      </w:r>
    </w:p>
    <w:p w14:paraId="75CE0915">
      <w:pPr>
        <w:pStyle w:val="18"/>
        <w:tabs>
          <w:tab w:val="right" w:leader="dot" w:pos="9412"/>
          <w:tab w:val="clear" w:pos="8400"/>
        </w:tabs>
      </w:pPr>
      <w:r>
        <w:rPr>
          <w:rFonts w:hint="eastAsia" w:ascii="方正仿宋_GBK" w:hAnsi="宋体" w:eastAsia="方正仿宋_GBK"/>
          <w:color w:val="auto"/>
          <w:szCs w:val="28"/>
        </w:rPr>
        <w:fldChar w:fldCharType="begin"/>
      </w:r>
      <w:r>
        <w:rPr>
          <w:rFonts w:hint="eastAsia" w:ascii="方正仿宋_GBK" w:hAnsi="宋体" w:eastAsia="方正仿宋_GBK"/>
          <w:szCs w:val="28"/>
        </w:rPr>
        <w:instrText xml:space="preserve"> HYPERLINK \l _Toc3644 </w:instrText>
      </w:r>
      <w:r>
        <w:rPr>
          <w:rFonts w:hint="eastAsia" w:ascii="方正仿宋_GBK" w:hAnsi="宋体" w:eastAsia="方正仿宋_GBK"/>
          <w:szCs w:val="28"/>
        </w:rPr>
        <w:fldChar w:fldCharType="separate"/>
      </w:r>
      <w:r>
        <w:rPr>
          <w:rFonts w:hint="eastAsia" w:ascii="方正仿宋_GBK" w:eastAsia="方正仿宋_GBK"/>
          <w:szCs w:val="24"/>
        </w:rPr>
        <w:t>十二、其他</w:t>
      </w:r>
      <w:r>
        <w:tab/>
      </w:r>
      <w:r>
        <w:fldChar w:fldCharType="begin"/>
      </w:r>
      <w:r>
        <w:instrText xml:space="preserve"> PAGEREF _Toc3644 \h </w:instrText>
      </w:r>
      <w:r>
        <w:fldChar w:fldCharType="separate"/>
      </w:r>
      <w:r>
        <w:t>- 31 -</w:t>
      </w:r>
      <w:r>
        <w:fldChar w:fldCharType="end"/>
      </w:r>
      <w:r>
        <w:rPr>
          <w:rFonts w:hint="eastAsia" w:ascii="方正仿宋_GBK" w:hAnsi="宋体" w:eastAsia="方正仿宋_GBK"/>
          <w:color w:val="auto"/>
          <w:szCs w:val="28"/>
        </w:rPr>
        <w:fldChar w:fldCharType="end"/>
      </w:r>
    </w:p>
    <w:p w14:paraId="30F2D89E">
      <w:pPr>
        <w:pStyle w:val="17"/>
        <w:tabs>
          <w:tab w:val="right" w:leader="dot" w:pos="9412"/>
          <w:tab w:val="clear" w:pos="1260"/>
          <w:tab w:val="clear" w:pos="1685"/>
          <w:tab w:val="clear" w:pos="8400"/>
        </w:tabs>
      </w:pPr>
      <w:r>
        <w:rPr>
          <w:rFonts w:hint="eastAsia" w:ascii="方正仿宋_GBK" w:hAnsi="宋体" w:eastAsia="方正仿宋_GBK"/>
          <w:color w:val="auto"/>
          <w:szCs w:val="28"/>
        </w:rPr>
        <w:fldChar w:fldCharType="begin"/>
      </w:r>
      <w:r>
        <w:rPr>
          <w:rFonts w:hint="eastAsia" w:ascii="方正仿宋_GBK" w:hAnsi="宋体" w:eastAsia="方正仿宋_GBK"/>
          <w:szCs w:val="28"/>
        </w:rPr>
        <w:instrText xml:space="preserve"> HYPERLINK \l _Toc2016 </w:instrText>
      </w:r>
      <w:r>
        <w:rPr>
          <w:rFonts w:hint="eastAsia" w:ascii="方正仿宋_GBK" w:hAnsi="宋体" w:eastAsia="方正仿宋_GBK"/>
          <w:szCs w:val="28"/>
        </w:rPr>
        <w:fldChar w:fldCharType="separate"/>
      </w:r>
      <w:r>
        <w:rPr>
          <w:rFonts w:hint="eastAsia" w:ascii="方正仿宋_GBK" w:hAnsi="宋体" w:eastAsia="方正仿宋_GBK"/>
          <w:szCs w:val="44"/>
        </w:rPr>
        <w:t>第六篇  合同主要条款和格式合同（样本）</w:t>
      </w:r>
      <w:r>
        <w:tab/>
      </w:r>
      <w:r>
        <w:fldChar w:fldCharType="begin"/>
      </w:r>
      <w:r>
        <w:instrText xml:space="preserve"> PAGEREF _Toc2016 \h </w:instrText>
      </w:r>
      <w:r>
        <w:fldChar w:fldCharType="separate"/>
      </w:r>
      <w:r>
        <w:t>- 32 -</w:t>
      </w:r>
      <w:r>
        <w:fldChar w:fldCharType="end"/>
      </w:r>
      <w:r>
        <w:rPr>
          <w:rFonts w:hint="eastAsia" w:ascii="方正仿宋_GBK" w:hAnsi="宋体" w:eastAsia="方正仿宋_GBK"/>
          <w:color w:val="auto"/>
          <w:szCs w:val="28"/>
        </w:rPr>
        <w:fldChar w:fldCharType="end"/>
      </w:r>
    </w:p>
    <w:p w14:paraId="7948519E">
      <w:pPr>
        <w:pStyle w:val="17"/>
        <w:tabs>
          <w:tab w:val="right" w:leader="dot" w:pos="9412"/>
          <w:tab w:val="clear" w:pos="1260"/>
          <w:tab w:val="clear" w:pos="1685"/>
          <w:tab w:val="clear" w:pos="8400"/>
        </w:tabs>
      </w:pPr>
      <w:r>
        <w:rPr>
          <w:rFonts w:hint="eastAsia" w:ascii="方正仿宋_GBK" w:hAnsi="宋体" w:eastAsia="方正仿宋_GBK"/>
          <w:color w:val="auto"/>
          <w:szCs w:val="28"/>
        </w:rPr>
        <w:fldChar w:fldCharType="begin"/>
      </w:r>
      <w:r>
        <w:rPr>
          <w:rFonts w:hint="eastAsia" w:ascii="方正仿宋_GBK" w:hAnsi="宋体" w:eastAsia="方正仿宋_GBK"/>
          <w:szCs w:val="28"/>
        </w:rPr>
        <w:instrText xml:space="preserve"> HYPERLINK \l _Toc25255 </w:instrText>
      </w:r>
      <w:r>
        <w:rPr>
          <w:rFonts w:hint="eastAsia" w:ascii="方正仿宋_GBK" w:hAnsi="宋体" w:eastAsia="方正仿宋_GBK"/>
          <w:szCs w:val="28"/>
        </w:rPr>
        <w:fldChar w:fldCharType="separate"/>
      </w:r>
      <w:r>
        <w:rPr>
          <w:rFonts w:hint="eastAsia" w:ascii="方正仿宋_GBK" w:hAnsi="宋体" w:eastAsia="方正仿宋_GBK"/>
          <w:szCs w:val="44"/>
        </w:rPr>
        <w:t>第七篇  投标文件格式</w:t>
      </w:r>
      <w:r>
        <w:tab/>
      </w:r>
      <w:r>
        <w:fldChar w:fldCharType="begin"/>
      </w:r>
      <w:r>
        <w:instrText xml:space="preserve"> PAGEREF _Toc25255 \h </w:instrText>
      </w:r>
      <w:r>
        <w:fldChar w:fldCharType="separate"/>
      </w:r>
      <w:r>
        <w:t>- 36 -</w:t>
      </w:r>
      <w:r>
        <w:fldChar w:fldCharType="end"/>
      </w:r>
      <w:r>
        <w:rPr>
          <w:rFonts w:hint="eastAsia" w:ascii="方正仿宋_GBK" w:hAnsi="宋体" w:eastAsia="方正仿宋_GBK"/>
          <w:color w:val="auto"/>
          <w:szCs w:val="28"/>
        </w:rPr>
        <w:fldChar w:fldCharType="end"/>
      </w:r>
    </w:p>
    <w:p w14:paraId="5CF5B764">
      <w:pPr>
        <w:pStyle w:val="18"/>
        <w:tabs>
          <w:tab w:val="right" w:leader="dot" w:pos="9412"/>
          <w:tab w:val="clear" w:pos="8400"/>
        </w:tabs>
      </w:pPr>
      <w:r>
        <w:rPr>
          <w:rFonts w:hint="eastAsia" w:ascii="方正仿宋_GBK" w:hAnsi="宋体" w:eastAsia="方正仿宋_GBK"/>
          <w:color w:val="auto"/>
          <w:szCs w:val="28"/>
        </w:rPr>
        <w:fldChar w:fldCharType="begin"/>
      </w:r>
      <w:r>
        <w:rPr>
          <w:rFonts w:hint="eastAsia" w:ascii="方正仿宋_GBK" w:hAnsi="宋体" w:eastAsia="方正仿宋_GBK"/>
          <w:szCs w:val="28"/>
        </w:rPr>
        <w:instrText xml:space="preserve"> HYPERLINK \l _Toc19877 </w:instrText>
      </w:r>
      <w:r>
        <w:rPr>
          <w:rFonts w:hint="eastAsia" w:ascii="方正仿宋_GBK" w:hAnsi="宋体" w:eastAsia="方正仿宋_GBK"/>
          <w:szCs w:val="28"/>
        </w:rPr>
        <w:fldChar w:fldCharType="separate"/>
      </w:r>
      <w:r>
        <w:rPr>
          <w:rFonts w:hint="eastAsia" w:ascii="方正仿宋_GBK" w:eastAsia="方正仿宋_GBK" w:cs="宋体"/>
          <w:szCs w:val="24"/>
        </w:rPr>
        <w:t>一、经济文件</w:t>
      </w:r>
      <w:r>
        <w:tab/>
      </w:r>
      <w:r>
        <w:fldChar w:fldCharType="begin"/>
      </w:r>
      <w:r>
        <w:instrText xml:space="preserve"> PAGEREF _Toc19877 \h </w:instrText>
      </w:r>
      <w:r>
        <w:fldChar w:fldCharType="separate"/>
      </w:r>
      <w:r>
        <w:t>- 36 -</w:t>
      </w:r>
      <w:r>
        <w:fldChar w:fldCharType="end"/>
      </w:r>
      <w:r>
        <w:rPr>
          <w:rFonts w:hint="eastAsia" w:ascii="方正仿宋_GBK" w:hAnsi="宋体" w:eastAsia="方正仿宋_GBK"/>
          <w:color w:val="auto"/>
          <w:szCs w:val="28"/>
        </w:rPr>
        <w:fldChar w:fldCharType="end"/>
      </w:r>
    </w:p>
    <w:p w14:paraId="411A6407">
      <w:pPr>
        <w:pStyle w:val="18"/>
        <w:tabs>
          <w:tab w:val="right" w:leader="dot" w:pos="9412"/>
          <w:tab w:val="clear" w:pos="8400"/>
        </w:tabs>
      </w:pPr>
      <w:r>
        <w:rPr>
          <w:rFonts w:hint="eastAsia" w:ascii="方正仿宋_GBK" w:hAnsi="宋体" w:eastAsia="方正仿宋_GBK"/>
          <w:color w:val="auto"/>
          <w:szCs w:val="28"/>
        </w:rPr>
        <w:fldChar w:fldCharType="begin"/>
      </w:r>
      <w:r>
        <w:rPr>
          <w:rFonts w:hint="eastAsia" w:ascii="方正仿宋_GBK" w:hAnsi="宋体" w:eastAsia="方正仿宋_GBK"/>
          <w:szCs w:val="28"/>
        </w:rPr>
        <w:instrText xml:space="preserve"> HYPERLINK \l _Toc14266 </w:instrText>
      </w:r>
      <w:r>
        <w:rPr>
          <w:rFonts w:hint="eastAsia" w:ascii="方正仿宋_GBK" w:hAnsi="宋体" w:eastAsia="方正仿宋_GBK"/>
          <w:szCs w:val="28"/>
        </w:rPr>
        <w:fldChar w:fldCharType="separate"/>
      </w:r>
      <w:r>
        <w:rPr>
          <w:rFonts w:hint="eastAsia" w:ascii="方正仿宋_GBK" w:eastAsia="方正仿宋_GBK" w:cs="宋体"/>
          <w:szCs w:val="24"/>
        </w:rPr>
        <w:t>二、服务文件</w:t>
      </w:r>
      <w:r>
        <w:tab/>
      </w:r>
      <w:r>
        <w:fldChar w:fldCharType="begin"/>
      </w:r>
      <w:r>
        <w:instrText xml:space="preserve"> PAGEREF _Toc14266 \h </w:instrText>
      </w:r>
      <w:r>
        <w:fldChar w:fldCharType="separate"/>
      </w:r>
      <w:r>
        <w:t>- 36 -</w:t>
      </w:r>
      <w:r>
        <w:fldChar w:fldCharType="end"/>
      </w:r>
      <w:r>
        <w:rPr>
          <w:rFonts w:hint="eastAsia" w:ascii="方正仿宋_GBK" w:hAnsi="宋体" w:eastAsia="方正仿宋_GBK"/>
          <w:color w:val="auto"/>
          <w:szCs w:val="28"/>
        </w:rPr>
        <w:fldChar w:fldCharType="end"/>
      </w:r>
    </w:p>
    <w:p w14:paraId="0364D6CE">
      <w:pPr>
        <w:pStyle w:val="18"/>
        <w:tabs>
          <w:tab w:val="right" w:leader="dot" w:pos="9412"/>
          <w:tab w:val="clear" w:pos="8400"/>
        </w:tabs>
      </w:pPr>
      <w:r>
        <w:rPr>
          <w:rFonts w:hint="eastAsia" w:ascii="方正仿宋_GBK" w:hAnsi="宋体" w:eastAsia="方正仿宋_GBK"/>
          <w:color w:val="auto"/>
          <w:szCs w:val="28"/>
        </w:rPr>
        <w:fldChar w:fldCharType="begin"/>
      </w:r>
      <w:r>
        <w:rPr>
          <w:rFonts w:hint="eastAsia" w:ascii="方正仿宋_GBK" w:hAnsi="宋体" w:eastAsia="方正仿宋_GBK"/>
          <w:szCs w:val="28"/>
        </w:rPr>
        <w:instrText xml:space="preserve"> HYPERLINK \l _Toc6338 </w:instrText>
      </w:r>
      <w:r>
        <w:rPr>
          <w:rFonts w:hint="eastAsia" w:ascii="方正仿宋_GBK" w:hAnsi="宋体" w:eastAsia="方正仿宋_GBK"/>
          <w:szCs w:val="28"/>
        </w:rPr>
        <w:fldChar w:fldCharType="separate"/>
      </w:r>
      <w:r>
        <w:rPr>
          <w:rFonts w:hint="eastAsia" w:ascii="方正仿宋_GBK" w:eastAsia="方正仿宋_GBK" w:cs="宋体"/>
          <w:szCs w:val="24"/>
        </w:rPr>
        <w:t>三、商务文件</w:t>
      </w:r>
      <w:r>
        <w:tab/>
      </w:r>
      <w:r>
        <w:fldChar w:fldCharType="begin"/>
      </w:r>
      <w:r>
        <w:instrText xml:space="preserve"> PAGEREF _Toc6338 \h </w:instrText>
      </w:r>
      <w:r>
        <w:fldChar w:fldCharType="separate"/>
      </w:r>
      <w:r>
        <w:t>- 36 -</w:t>
      </w:r>
      <w:r>
        <w:fldChar w:fldCharType="end"/>
      </w:r>
      <w:r>
        <w:rPr>
          <w:rFonts w:hint="eastAsia" w:ascii="方正仿宋_GBK" w:hAnsi="宋体" w:eastAsia="方正仿宋_GBK"/>
          <w:color w:val="auto"/>
          <w:szCs w:val="28"/>
        </w:rPr>
        <w:fldChar w:fldCharType="end"/>
      </w:r>
    </w:p>
    <w:p w14:paraId="68FABB45">
      <w:pPr>
        <w:pStyle w:val="18"/>
        <w:tabs>
          <w:tab w:val="right" w:leader="dot" w:pos="9412"/>
          <w:tab w:val="clear" w:pos="8400"/>
        </w:tabs>
      </w:pPr>
      <w:r>
        <w:rPr>
          <w:rFonts w:hint="eastAsia" w:ascii="方正仿宋_GBK" w:hAnsi="宋体" w:eastAsia="方正仿宋_GBK"/>
          <w:color w:val="auto"/>
          <w:szCs w:val="28"/>
        </w:rPr>
        <w:fldChar w:fldCharType="begin"/>
      </w:r>
      <w:r>
        <w:rPr>
          <w:rFonts w:hint="eastAsia" w:ascii="方正仿宋_GBK" w:hAnsi="宋体" w:eastAsia="方正仿宋_GBK"/>
          <w:szCs w:val="28"/>
        </w:rPr>
        <w:instrText xml:space="preserve"> HYPERLINK \l _Toc30339 </w:instrText>
      </w:r>
      <w:r>
        <w:rPr>
          <w:rFonts w:hint="eastAsia" w:ascii="方正仿宋_GBK" w:hAnsi="宋体" w:eastAsia="方正仿宋_GBK"/>
          <w:szCs w:val="28"/>
        </w:rPr>
        <w:fldChar w:fldCharType="separate"/>
      </w:r>
      <w:r>
        <w:rPr>
          <w:rFonts w:hint="eastAsia" w:ascii="方正仿宋_GBK" w:eastAsia="方正仿宋_GBK" w:cs="宋体"/>
          <w:szCs w:val="24"/>
        </w:rPr>
        <w:t>四、其他</w:t>
      </w:r>
      <w:r>
        <w:tab/>
      </w:r>
      <w:r>
        <w:fldChar w:fldCharType="begin"/>
      </w:r>
      <w:r>
        <w:instrText xml:space="preserve"> PAGEREF _Toc30339 \h </w:instrText>
      </w:r>
      <w:r>
        <w:fldChar w:fldCharType="separate"/>
      </w:r>
      <w:r>
        <w:t>- 36 -</w:t>
      </w:r>
      <w:r>
        <w:fldChar w:fldCharType="end"/>
      </w:r>
      <w:r>
        <w:rPr>
          <w:rFonts w:hint="eastAsia" w:ascii="方正仿宋_GBK" w:hAnsi="宋体" w:eastAsia="方正仿宋_GBK"/>
          <w:color w:val="auto"/>
          <w:szCs w:val="28"/>
        </w:rPr>
        <w:fldChar w:fldCharType="end"/>
      </w:r>
    </w:p>
    <w:p w14:paraId="6CB79BC2">
      <w:pPr>
        <w:pStyle w:val="18"/>
        <w:tabs>
          <w:tab w:val="right" w:leader="dot" w:pos="9412"/>
          <w:tab w:val="clear" w:pos="8400"/>
        </w:tabs>
      </w:pPr>
      <w:r>
        <w:rPr>
          <w:rFonts w:hint="eastAsia" w:ascii="方正仿宋_GBK" w:hAnsi="宋体" w:eastAsia="方正仿宋_GBK"/>
          <w:color w:val="auto"/>
          <w:szCs w:val="28"/>
        </w:rPr>
        <w:fldChar w:fldCharType="begin"/>
      </w:r>
      <w:r>
        <w:rPr>
          <w:rFonts w:hint="eastAsia" w:ascii="方正仿宋_GBK" w:hAnsi="宋体" w:eastAsia="方正仿宋_GBK"/>
          <w:szCs w:val="28"/>
        </w:rPr>
        <w:instrText xml:space="preserve"> HYPERLINK \l _Toc32421 </w:instrText>
      </w:r>
      <w:r>
        <w:rPr>
          <w:rFonts w:hint="eastAsia" w:ascii="方正仿宋_GBK" w:hAnsi="宋体" w:eastAsia="方正仿宋_GBK"/>
          <w:szCs w:val="28"/>
        </w:rPr>
        <w:fldChar w:fldCharType="separate"/>
      </w:r>
      <w:r>
        <w:rPr>
          <w:rFonts w:hint="eastAsia" w:ascii="方正仿宋_GBK" w:eastAsia="方正仿宋_GBK" w:cs="宋体"/>
          <w:szCs w:val="24"/>
        </w:rPr>
        <w:t>五、资格文件</w:t>
      </w:r>
      <w:r>
        <w:tab/>
      </w:r>
      <w:r>
        <w:fldChar w:fldCharType="begin"/>
      </w:r>
      <w:r>
        <w:instrText xml:space="preserve"> PAGEREF _Toc32421 \h </w:instrText>
      </w:r>
      <w:r>
        <w:fldChar w:fldCharType="separate"/>
      </w:r>
      <w:r>
        <w:t>- 36 -</w:t>
      </w:r>
      <w:r>
        <w:fldChar w:fldCharType="end"/>
      </w:r>
      <w:r>
        <w:rPr>
          <w:rFonts w:hint="eastAsia" w:ascii="方正仿宋_GBK" w:hAnsi="宋体" w:eastAsia="方正仿宋_GBK"/>
          <w:color w:val="auto"/>
          <w:szCs w:val="28"/>
        </w:rPr>
        <w:fldChar w:fldCharType="end"/>
      </w:r>
    </w:p>
    <w:p w14:paraId="3F53B432">
      <w:pPr>
        <w:pStyle w:val="18"/>
        <w:spacing w:line="276" w:lineRule="auto"/>
        <w:ind w:right="-255"/>
        <w:rPr>
          <w:rFonts w:ascii="方正仿宋_GBK" w:hAnsi="宋体" w:eastAsia="方正仿宋_GBK"/>
          <w:color w:val="auto"/>
          <w:sz w:val="24"/>
          <w:szCs w:val="24"/>
        </w:rPr>
      </w:pPr>
      <w:r>
        <w:rPr>
          <w:rFonts w:hint="eastAsia" w:ascii="方正仿宋_GBK" w:hAnsi="宋体" w:eastAsia="方正仿宋_GBK"/>
          <w:color w:val="auto"/>
          <w:szCs w:val="28"/>
        </w:rPr>
        <w:fldChar w:fldCharType="end"/>
      </w:r>
    </w:p>
    <w:p w14:paraId="0671053B">
      <w:pPr>
        <w:tabs>
          <w:tab w:val="left" w:pos="1290"/>
        </w:tabs>
        <w:spacing w:line="276" w:lineRule="auto"/>
        <w:jc w:val="left"/>
        <w:rPr>
          <w:rFonts w:ascii="方正仿宋_GBK" w:eastAsia="方正仿宋_GBK"/>
          <w:color w:val="auto"/>
          <w:sz w:val="24"/>
          <w:szCs w:val="24"/>
        </w:rPr>
        <w:sectPr>
          <w:footerReference r:id="rId7" w:type="default"/>
          <w:pgSz w:w="11907" w:h="16840"/>
          <w:pgMar w:top="1134" w:right="1191" w:bottom="1134" w:left="1304" w:header="794" w:footer="964" w:gutter="0"/>
          <w:pgNumType w:fmt="numberInDash" w:start="1"/>
          <w:cols w:space="720" w:num="1"/>
          <w:docGrid w:linePitch="381" w:charSpace="0"/>
        </w:sectPr>
      </w:pPr>
    </w:p>
    <w:p w14:paraId="5A7A424D">
      <w:pPr>
        <w:pStyle w:val="4"/>
        <w:spacing w:beforeLines="0" w:afterLines="0" w:line="276" w:lineRule="auto"/>
        <w:rPr>
          <w:rFonts w:ascii="方正仿宋_GBK" w:hAnsi="宋体" w:eastAsia="方正仿宋_GBK"/>
          <w:b/>
          <w:color w:val="auto"/>
          <w:szCs w:val="44"/>
        </w:rPr>
      </w:pPr>
      <w:bookmarkStart w:id="1" w:name="_Toc129178858"/>
      <w:bookmarkStart w:id="2" w:name="_Toc115877683"/>
      <w:bookmarkStart w:id="3" w:name="_Toc13640"/>
      <w:bookmarkStart w:id="4" w:name="_Toc2009"/>
      <w:r>
        <w:rPr>
          <w:rFonts w:hint="eastAsia" w:ascii="方正仿宋_GBK" w:hAnsi="宋体" w:eastAsia="方正仿宋_GBK"/>
          <w:b/>
          <w:color w:val="auto"/>
          <w:szCs w:val="44"/>
        </w:rPr>
        <w:t>第一篇  投标邀请书</w:t>
      </w:r>
      <w:bookmarkEnd w:id="1"/>
      <w:bookmarkEnd w:id="2"/>
      <w:bookmarkEnd w:id="3"/>
      <w:bookmarkEnd w:id="4"/>
    </w:p>
    <w:p w14:paraId="5EBE1A3A">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重庆工商大学对重庆工商大学自营食堂饮料供应商采购</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2次</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rPr>
        <w:t>（采购项目编号：CTBU-JZ2025</w:t>
      </w:r>
      <w:r>
        <w:rPr>
          <w:rFonts w:hint="eastAsia" w:ascii="方正仿宋_GBK" w:hAnsi="宋体" w:eastAsia="方正仿宋_GBK"/>
          <w:color w:val="auto"/>
          <w:sz w:val="24"/>
          <w:szCs w:val="24"/>
          <w:lang w:val="en-US" w:eastAsia="zh-CN"/>
        </w:rPr>
        <w:t>111</w:t>
      </w:r>
      <w:r>
        <w:rPr>
          <w:rFonts w:hint="eastAsia" w:ascii="方正仿宋_GBK" w:hAnsi="宋体" w:eastAsia="方正仿宋_GBK"/>
          <w:color w:val="auto"/>
          <w:sz w:val="24"/>
          <w:szCs w:val="24"/>
        </w:rPr>
        <w:t>）进行公开招标，</w:t>
      </w:r>
      <w:bookmarkStart w:id="237" w:name="_GoBack"/>
      <w:bookmarkEnd w:id="237"/>
      <w:r>
        <w:rPr>
          <w:rFonts w:hint="eastAsia" w:ascii="方正仿宋_GBK" w:hAnsi="宋体" w:eastAsia="方正仿宋_GBK"/>
          <w:color w:val="auto"/>
          <w:sz w:val="24"/>
          <w:szCs w:val="24"/>
        </w:rPr>
        <w:t>欢迎有资格的供应商参加投标。</w:t>
      </w:r>
    </w:p>
    <w:p w14:paraId="1C0D59F4">
      <w:pPr>
        <w:pStyle w:val="5"/>
        <w:spacing w:line="276" w:lineRule="auto"/>
        <w:ind w:firstLine="482" w:firstLineChars="200"/>
        <w:rPr>
          <w:rFonts w:ascii="方正仿宋_GBK" w:eastAsia="方正仿宋_GBK"/>
          <w:b/>
          <w:color w:val="auto"/>
          <w:sz w:val="24"/>
          <w:szCs w:val="24"/>
        </w:rPr>
      </w:pPr>
      <w:bookmarkStart w:id="5" w:name="_Toc4182"/>
      <w:bookmarkStart w:id="6" w:name="_Toc129178859"/>
      <w:bookmarkStart w:id="7" w:name="_Toc115877684"/>
      <w:bookmarkStart w:id="8" w:name="_Toc12639"/>
      <w:r>
        <w:rPr>
          <w:rFonts w:hint="eastAsia" w:ascii="方正仿宋_GBK" w:eastAsia="方正仿宋_GBK"/>
          <w:b/>
          <w:color w:val="auto"/>
          <w:sz w:val="24"/>
          <w:szCs w:val="24"/>
        </w:rPr>
        <w:t>一、招标项目内容</w:t>
      </w:r>
      <w:bookmarkEnd w:id="5"/>
      <w:bookmarkEnd w:id="6"/>
      <w:bookmarkEnd w:id="7"/>
      <w:bookmarkEnd w:id="8"/>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2837"/>
        <w:gridCol w:w="1250"/>
        <w:gridCol w:w="1896"/>
        <w:gridCol w:w="1598"/>
        <w:gridCol w:w="1534"/>
      </w:tblGrid>
      <w:tr w14:paraId="2900A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513" w:type="dxa"/>
            <w:vAlign w:val="center"/>
          </w:tcPr>
          <w:p w14:paraId="4D243CCE">
            <w:pPr>
              <w:pStyle w:val="10"/>
              <w:spacing w:line="400" w:lineRule="exact"/>
              <w:ind w:left="0"/>
              <w:jc w:val="center"/>
              <w:outlineLvl w:val="0"/>
              <w:rPr>
                <w:rFonts w:ascii="方正仿宋_GBK" w:hAnsi="方正仿宋_GBK" w:eastAsia="方正仿宋_GBK" w:cs="方正仿宋_GBK"/>
                <w:b/>
                <w:color w:val="auto"/>
                <w:sz w:val="24"/>
                <w:szCs w:val="24"/>
              </w:rPr>
            </w:pPr>
            <w:bookmarkStart w:id="9" w:name="_Toc129178860"/>
            <w:bookmarkStart w:id="10" w:name="_Toc11421"/>
            <w:bookmarkStart w:id="11" w:name="_Toc115877685"/>
            <w:r>
              <w:rPr>
                <w:rFonts w:hint="eastAsia" w:ascii="方正仿宋_GBK" w:hAnsi="方正仿宋_GBK" w:eastAsia="方正仿宋_GBK" w:cs="方正仿宋_GBK"/>
                <w:b/>
                <w:color w:val="auto"/>
                <w:sz w:val="24"/>
                <w:szCs w:val="24"/>
              </w:rPr>
              <w:t>包号</w:t>
            </w:r>
          </w:p>
        </w:tc>
        <w:tc>
          <w:tcPr>
            <w:tcW w:w="2837" w:type="dxa"/>
            <w:vAlign w:val="center"/>
          </w:tcPr>
          <w:p w14:paraId="545F88B7">
            <w:pPr>
              <w:pStyle w:val="10"/>
              <w:spacing w:line="400" w:lineRule="exact"/>
              <w:ind w:left="0"/>
              <w:jc w:val="center"/>
              <w:outlineLvl w:val="0"/>
              <w:rPr>
                <w:rFonts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项目名称</w:t>
            </w:r>
          </w:p>
        </w:tc>
        <w:tc>
          <w:tcPr>
            <w:tcW w:w="1250" w:type="dxa"/>
            <w:vAlign w:val="center"/>
          </w:tcPr>
          <w:p w14:paraId="18E3694D">
            <w:pPr>
              <w:pStyle w:val="10"/>
              <w:spacing w:line="400" w:lineRule="exact"/>
              <w:ind w:left="0"/>
              <w:jc w:val="center"/>
              <w:outlineLvl w:val="0"/>
              <w:rPr>
                <w:rFonts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预算</w:t>
            </w:r>
          </w:p>
          <w:p w14:paraId="324648D4">
            <w:pPr>
              <w:pStyle w:val="10"/>
              <w:spacing w:line="400" w:lineRule="exact"/>
              <w:ind w:left="0"/>
              <w:jc w:val="center"/>
              <w:outlineLvl w:val="0"/>
              <w:rPr>
                <w:rFonts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（万元）</w:t>
            </w:r>
          </w:p>
        </w:tc>
        <w:tc>
          <w:tcPr>
            <w:tcW w:w="1896" w:type="dxa"/>
            <w:vAlign w:val="center"/>
          </w:tcPr>
          <w:p w14:paraId="183946D5">
            <w:pPr>
              <w:pStyle w:val="10"/>
              <w:spacing w:line="400" w:lineRule="exact"/>
              <w:ind w:left="0"/>
              <w:jc w:val="center"/>
              <w:outlineLvl w:val="0"/>
              <w:rPr>
                <w:rFonts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单价最高限价</w:t>
            </w:r>
          </w:p>
          <w:p w14:paraId="3D9A1BD5">
            <w:pPr>
              <w:pStyle w:val="10"/>
              <w:spacing w:line="400" w:lineRule="exact"/>
              <w:ind w:left="0"/>
              <w:jc w:val="center"/>
              <w:outlineLvl w:val="0"/>
              <w:rPr>
                <w:rFonts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（折扣系数）</w:t>
            </w:r>
          </w:p>
        </w:tc>
        <w:tc>
          <w:tcPr>
            <w:tcW w:w="1598" w:type="dxa"/>
            <w:vAlign w:val="center"/>
          </w:tcPr>
          <w:p w14:paraId="3E880FA2">
            <w:pPr>
              <w:pStyle w:val="10"/>
              <w:spacing w:line="400" w:lineRule="exact"/>
              <w:ind w:left="0"/>
              <w:jc w:val="center"/>
              <w:outlineLvl w:val="0"/>
              <w:rPr>
                <w:rFonts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中标人</w:t>
            </w:r>
          </w:p>
          <w:p w14:paraId="322DD5E7">
            <w:pPr>
              <w:pStyle w:val="10"/>
              <w:spacing w:line="400" w:lineRule="exact"/>
              <w:ind w:left="0"/>
              <w:jc w:val="center"/>
              <w:outlineLvl w:val="0"/>
              <w:rPr>
                <w:rFonts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数量</w:t>
            </w:r>
          </w:p>
        </w:tc>
        <w:tc>
          <w:tcPr>
            <w:tcW w:w="1534" w:type="dxa"/>
            <w:vAlign w:val="center"/>
          </w:tcPr>
          <w:p w14:paraId="2B6ACD81">
            <w:pPr>
              <w:pStyle w:val="10"/>
              <w:spacing w:line="400" w:lineRule="exact"/>
              <w:ind w:left="0"/>
              <w:jc w:val="center"/>
              <w:outlineLvl w:val="0"/>
              <w:rPr>
                <w:rFonts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投标保证金（万元）</w:t>
            </w:r>
          </w:p>
        </w:tc>
      </w:tr>
      <w:tr w14:paraId="2851B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513" w:type="dxa"/>
            <w:vAlign w:val="center"/>
          </w:tcPr>
          <w:p w14:paraId="2D0FF337">
            <w:pPr>
              <w:pStyle w:val="10"/>
              <w:spacing w:line="400" w:lineRule="exact"/>
              <w:ind w:left="0"/>
              <w:jc w:val="center"/>
              <w:outlineLvl w:val="0"/>
              <w:rPr>
                <w:rFonts w:hint="default" w:ascii="方正仿宋_GBK" w:hAnsi="方正仿宋_GBK" w:eastAsia="方正仿宋_GBK" w:cs="方正仿宋_GBK"/>
                <w:bCs/>
                <w:color w:val="auto"/>
                <w:sz w:val="24"/>
                <w:szCs w:val="24"/>
                <w:lang w:val="en-US" w:eastAsia="zh-CN"/>
              </w:rPr>
            </w:pPr>
            <w:bookmarkStart w:id="12" w:name="OLE_LINK4" w:colFirst="3" w:colLast="3"/>
            <w:r>
              <w:rPr>
                <w:rFonts w:hint="eastAsia" w:ascii="方正仿宋_GBK" w:hAnsi="方正仿宋_GBK" w:eastAsia="方正仿宋_GBK" w:cs="方正仿宋_GBK"/>
                <w:bCs/>
                <w:color w:val="auto"/>
                <w:sz w:val="24"/>
                <w:szCs w:val="24"/>
                <w:lang w:val="en-US" w:eastAsia="zh-CN"/>
              </w:rPr>
              <w:t>2</w:t>
            </w:r>
          </w:p>
        </w:tc>
        <w:tc>
          <w:tcPr>
            <w:tcW w:w="2837" w:type="dxa"/>
            <w:vAlign w:val="center"/>
          </w:tcPr>
          <w:p w14:paraId="373CA6AA">
            <w:pPr>
              <w:jc w:val="center"/>
              <w:rPr>
                <w:rFonts w:ascii="方正仿宋_GBK" w:hAnsi="方正仿宋_GBK" w:eastAsia="方正仿宋_GBK" w:cs="方正仿宋_GBK"/>
                <w:color w:val="auto"/>
                <w:sz w:val="24"/>
                <w:szCs w:val="24"/>
              </w:rPr>
            </w:pPr>
            <w:r>
              <w:rPr>
                <w:rFonts w:hint="eastAsia" w:ascii="方正仿宋_GBK" w:hAnsi="宋体" w:eastAsia="方正仿宋_GBK"/>
                <w:color w:val="auto"/>
                <w:sz w:val="24"/>
                <w:szCs w:val="24"/>
              </w:rPr>
              <w:t>饮料</w:t>
            </w:r>
          </w:p>
        </w:tc>
        <w:tc>
          <w:tcPr>
            <w:tcW w:w="1250" w:type="dxa"/>
            <w:vAlign w:val="center"/>
          </w:tcPr>
          <w:p w14:paraId="1A677682">
            <w:pPr>
              <w:jc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w:t>
            </w:r>
            <w:r>
              <w:rPr>
                <w:rFonts w:ascii="方正仿宋_GBK" w:hAnsi="方正仿宋_GBK" w:eastAsia="方正仿宋_GBK" w:cs="方正仿宋_GBK"/>
                <w:color w:val="auto"/>
                <w:sz w:val="24"/>
                <w:szCs w:val="24"/>
              </w:rPr>
              <w:t>50</w:t>
            </w:r>
          </w:p>
        </w:tc>
        <w:tc>
          <w:tcPr>
            <w:tcW w:w="1896" w:type="dxa"/>
            <w:vAlign w:val="center"/>
          </w:tcPr>
          <w:p w14:paraId="280D5CB7">
            <w:pPr>
              <w:jc w:val="center"/>
              <w:rPr>
                <w:rFonts w:ascii="方正仿宋_GBK" w:hAnsi="方正仿宋_GBK" w:eastAsia="方正仿宋_GBK" w:cs="方正仿宋_GBK"/>
                <w:color w:val="auto"/>
                <w:sz w:val="24"/>
                <w:szCs w:val="24"/>
              </w:rPr>
            </w:pPr>
            <w:r>
              <w:rPr>
                <w:rFonts w:ascii="方正仿宋_GBK" w:hAnsi="方正仿宋_GBK" w:eastAsia="方正仿宋_GBK" w:cs="方正仿宋_GBK"/>
                <w:color w:val="auto"/>
                <w:sz w:val="24"/>
                <w:szCs w:val="24"/>
              </w:rPr>
              <w:t>0.95</w:t>
            </w:r>
          </w:p>
        </w:tc>
        <w:tc>
          <w:tcPr>
            <w:tcW w:w="1598" w:type="dxa"/>
            <w:vAlign w:val="center"/>
          </w:tcPr>
          <w:p w14:paraId="29DD5D2C">
            <w:pPr>
              <w:jc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w:t>
            </w:r>
          </w:p>
        </w:tc>
        <w:tc>
          <w:tcPr>
            <w:tcW w:w="1534" w:type="dxa"/>
            <w:vAlign w:val="center"/>
          </w:tcPr>
          <w:p w14:paraId="1BA6E271">
            <w:pPr>
              <w:pStyle w:val="8"/>
              <w:spacing w:line="400" w:lineRule="exact"/>
              <w:ind w:firstLine="0"/>
              <w:jc w:val="center"/>
              <w:outlineLvl w:val="0"/>
              <w:rPr>
                <w:rFonts w:ascii="方正仿宋_GBK" w:hAnsi="方正仿宋_GBK" w:eastAsia="方正仿宋_GBK" w:cs="方正仿宋_GBK"/>
                <w:color w:val="auto"/>
              </w:rPr>
            </w:pPr>
            <w:r>
              <w:rPr>
                <w:rFonts w:hint="eastAsia" w:ascii="方正仿宋_GBK" w:hAnsi="方正仿宋_GBK" w:eastAsia="方正仿宋_GBK" w:cs="方正仿宋_GBK"/>
                <w:color w:val="auto"/>
              </w:rPr>
              <w:t>3</w:t>
            </w:r>
          </w:p>
        </w:tc>
      </w:tr>
      <w:bookmarkEnd w:id="12"/>
    </w:tbl>
    <w:p w14:paraId="777CD86B">
      <w:pPr>
        <w:ind w:firstLine="482" w:firstLineChars="200"/>
        <w:rPr>
          <w:color w:val="auto"/>
          <w:szCs w:val="21"/>
        </w:rPr>
      </w:pPr>
      <w:r>
        <w:rPr>
          <w:rFonts w:hint="eastAsia" w:ascii="方正仿宋_GBK" w:eastAsia="方正仿宋_GBK"/>
          <w:b/>
          <w:bCs/>
          <w:color w:val="auto"/>
          <w:sz w:val="24"/>
          <w:szCs w:val="24"/>
        </w:rPr>
        <w:t>注：</w:t>
      </w:r>
      <w:r>
        <w:rPr>
          <w:rFonts w:hint="eastAsia" w:ascii="方正仿宋_GBK" w:eastAsia="方正仿宋_GBK"/>
          <w:b/>
          <w:bCs/>
          <w:color w:val="auto"/>
          <w:sz w:val="24"/>
        </w:rPr>
        <w:t>供应商响应文件应按照分包分别装订，不得一起装订。</w:t>
      </w:r>
    </w:p>
    <w:p w14:paraId="0E1C32FD">
      <w:pPr>
        <w:pStyle w:val="5"/>
        <w:spacing w:line="276" w:lineRule="auto"/>
        <w:ind w:firstLine="482" w:firstLineChars="200"/>
        <w:rPr>
          <w:rFonts w:ascii="方正仿宋_GBK" w:eastAsia="方正仿宋_GBK"/>
          <w:b/>
          <w:color w:val="auto"/>
          <w:sz w:val="24"/>
          <w:szCs w:val="24"/>
        </w:rPr>
      </w:pPr>
      <w:bookmarkStart w:id="13" w:name="_Toc20489"/>
      <w:r>
        <w:rPr>
          <w:rFonts w:hint="eastAsia" w:ascii="方正仿宋_GBK" w:eastAsia="方正仿宋_GBK"/>
          <w:b/>
          <w:color w:val="auto"/>
          <w:sz w:val="24"/>
          <w:szCs w:val="24"/>
        </w:rPr>
        <w:t>二、资金来源</w:t>
      </w:r>
      <w:bookmarkEnd w:id="9"/>
      <w:bookmarkEnd w:id="10"/>
      <w:bookmarkEnd w:id="11"/>
      <w:bookmarkEnd w:id="13"/>
    </w:p>
    <w:p w14:paraId="2B16C491">
      <w:pPr>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采购人自筹（非财政性资金），两年的预算总金额为</w:t>
      </w:r>
      <w:r>
        <w:rPr>
          <w:rFonts w:hint="eastAsia" w:ascii="方正仿宋_GBK" w:hAnsi="宋体" w:eastAsia="方正仿宋_GBK"/>
          <w:color w:val="auto"/>
          <w:sz w:val="24"/>
          <w:szCs w:val="24"/>
          <w:lang w:val="en-US" w:eastAsia="zh-CN"/>
        </w:rPr>
        <w:t>15</w:t>
      </w:r>
      <w:r>
        <w:rPr>
          <w:rFonts w:ascii="方正仿宋_GBK" w:hAnsi="宋体" w:eastAsia="方正仿宋_GBK"/>
          <w:color w:val="auto"/>
          <w:sz w:val="24"/>
          <w:szCs w:val="24"/>
        </w:rPr>
        <w:t>0</w:t>
      </w:r>
      <w:r>
        <w:rPr>
          <w:rFonts w:hint="eastAsia" w:ascii="方正仿宋_GBK" w:hAnsi="宋体" w:eastAsia="方正仿宋_GBK"/>
          <w:color w:val="auto"/>
          <w:sz w:val="24"/>
          <w:szCs w:val="24"/>
        </w:rPr>
        <w:t>万元。</w:t>
      </w:r>
    </w:p>
    <w:p w14:paraId="56EE44AC">
      <w:pPr>
        <w:pStyle w:val="5"/>
        <w:spacing w:line="276" w:lineRule="auto"/>
        <w:ind w:firstLine="482" w:firstLineChars="200"/>
        <w:rPr>
          <w:rFonts w:ascii="方正仿宋_GBK" w:eastAsia="方正仿宋_GBK"/>
          <w:b/>
          <w:color w:val="auto"/>
          <w:sz w:val="24"/>
          <w:szCs w:val="24"/>
        </w:rPr>
      </w:pPr>
      <w:bookmarkStart w:id="14" w:name="_Toc32039"/>
      <w:bookmarkStart w:id="15" w:name="_Toc129178861"/>
      <w:bookmarkStart w:id="16" w:name="_Toc115877686"/>
      <w:bookmarkStart w:id="17" w:name="_Toc3340"/>
      <w:r>
        <w:rPr>
          <w:rFonts w:hint="eastAsia" w:ascii="方正仿宋_GBK" w:eastAsia="方正仿宋_GBK"/>
          <w:b/>
          <w:color w:val="auto"/>
          <w:sz w:val="24"/>
          <w:szCs w:val="24"/>
        </w:rPr>
        <w:t>三、供应商资格要求</w:t>
      </w:r>
      <w:bookmarkEnd w:id="14"/>
      <w:bookmarkEnd w:id="15"/>
      <w:bookmarkEnd w:id="16"/>
      <w:bookmarkEnd w:id="17"/>
    </w:p>
    <w:p w14:paraId="20438A4B">
      <w:pPr>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（一）满足《中华人民共和国政府采购法》第二十二条规定；</w:t>
      </w:r>
    </w:p>
    <w:p w14:paraId="68E3CB0C">
      <w:pPr>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（二）落实政府采购政策需满足的资格要求：无。</w:t>
      </w:r>
    </w:p>
    <w:p w14:paraId="3C902988">
      <w:pPr>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（三）本项目的特定资格要求：</w:t>
      </w:r>
    </w:p>
    <w:p w14:paraId="6EF26F98">
      <w:pPr>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供应商应当具备行业主管部门颁发的有效的《食品经营许可证》或配送的相关产品均为预包装产品的应具备《仅销售预包装食品备案凭证》，提供证书复印件或扫描件并加盖供应商公章。</w:t>
      </w:r>
    </w:p>
    <w:p w14:paraId="16BEBD3D">
      <w:pPr>
        <w:pStyle w:val="5"/>
        <w:spacing w:line="276" w:lineRule="auto"/>
        <w:ind w:firstLine="482" w:firstLineChars="200"/>
        <w:rPr>
          <w:rFonts w:ascii="方正仿宋_GBK" w:eastAsia="方正仿宋_GBK"/>
          <w:b/>
          <w:color w:val="auto"/>
          <w:sz w:val="24"/>
          <w:szCs w:val="24"/>
        </w:rPr>
      </w:pPr>
      <w:bookmarkStart w:id="18" w:name="_Toc115877687"/>
      <w:bookmarkStart w:id="19" w:name="_Toc21077"/>
      <w:bookmarkStart w:id="20" w:name="_Toc129178862"/>
      <w:bookmarkStart w:id="21" w:name="_Toc2805"/>
      <w:r>
        <w:rPr>
          <w:rFonts w:hint="eastAsia" w:ascii="方正仿宋_GBK" w:eastAsia="方正仿宋_GBK"/>
          <w:b/>
          <w:color w:val="auto"/>
          <w:sz w:val="24"/>
          <w:szCs w:val="24"/>
        </w:rPr>
        <w:t>四、投标、开标有关说明</w:t>
      </w:r>
      <w:bookmarkEnd w:id="18"/>
      <w:bookmarkEnd w:id="19"/>
      <w:bookmarkEnd w:id="20"/>
      <w:bookmarkEnd w:id="21"/>
    </w:p>
    <w:p w14:paraId="6041899D">
      <w:pPr>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凡有意参加投标的供应商，请到“行采家网”或“重庆工商大学招投标信息网”（https://zbcg.ctbu.edu.cn/）网上下载本项目招标文件以及图纸、澄清等开标前公布的所有项目资料，无论供应商领取或下载与否，均视为已知晓所有招标内容。</w:t>
      </w:r>
    </w:p>
    <w:p w14:paraId="7A5E8C4A">
      <w:pPr>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（二）招标文件公告期限：自采购公告发布之日起五个工作日。</w:t>
      </w:r>
    </w:p>
    <w:p w14:paraId="4B496826">
      <w:pPr>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（三）招标文件提供期限</w:t>
      </w:r>
    </w:p>
    <w:p w14:paraId="0486CF38">
      <w:pPr>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1.招标文件提供期限：同招标文件公告期限。</w:t>
      </w:r>
    </w:p>
    <w:p w14:paraId="44BB02FD">
      <w:pPr>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2.报名方式：无需报名。</w:t>
      </w:r>
    </w:p>
    <w:p w14:paraId="579B1BE3">
      <w:pPr>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（四）投标地点：重庆工商大学南岸校区厚德楼8002室</w:t>
      </w:r>
    </w:p>
    <w:p w14:paraId="1A0BA5F7">
      <w:pPr>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（五）投标截止时间：2025年</w:t>
      </w:r>
      <w:r>
        <w:rPr>
          <w:rFonts w:hint="eastAsia" w:ascii="方正仿宋_GBK" w:hAnsi="宋体" w:eastAsia="方正仿宋_GBK"/>
          <w:color w:val="auto"/>
          <w:sz w:val="24"/>
          <w:szCs w:val="24"/>
          <w:lang w:val="en-US" w:eastAsia="zh-CN"/>
        </w:rPr>
        <w:t>9</w:t>
      </w:r>
      <w:r>
        <w:rPr>
          <w:rFonts w:hint="eastAsia" w:ascii="方正仿宋_GBK" w:hAnsi="宋体" w:eastAsia="方正仿宋_GBK"/>
          <w:color w:val="auto"/>
          <w:sz w:val="24"/>
          <w:szCs w:val="24"/>
        </w:rPr>
        <w:t>月</w:t>
      </w:r>
      <w:r>
        <w:rPr>
          <w:rFonts w:hint="eastAsia" w:ascii="方正仿宋_GBK" w:hAnsi="宋体" w:eastAsia="方正仿宋_GBK"/>
          <w:color w:val="auto"/>
          <w:sz w:val="24"/>
          <w:szCs w:val="24"/>
          <w:lang w:val="en-US" w:eastAsia="zh-CN"/>
        </w:rPr>
        <w:t>29</w:t>
      </w:r>
      <w:r>
        <w:rPr>
          <w:rFonts w:hint="eastAsia" w:ascii="方正仿宋_GBK" w:hAnsi="宋体" w:eastAsia="方正仿宋_GBK"/>
          <w:color w:val="auto"/>
          <w:sz w:val="24"/>
          <w:szCs w:val="24"/>
        </w:rPr>
        <w:t>日北京时间</w:t>
      </w:r>
      <w:r>
        <w:rPr>
          <w:rFonts w:ascii="方正仿宋_GBK" w:hAnsi="宋体" w:eastAsia="方正仿宋_GBK"/>
          <w:color w:val="auto"/>
          <w:sz w:val="24"/>
          <w:szCs w:val="24"/>
        </w:rPr>
        <w:t>9</w:t>
      </w:r>
      <w:r>
        <w:rPr>
          <w:rFonts w:hint="eastAsia" w:ascii="方正仿宋_GBK" w:hAnsi="宋体" w:eastAsia="方正仿宋_GBK"/>
          <w:color w:val="auto"/>
          <w:sz w:val="24"/>
          <w:szCs w:val="24"/>
        </w:rPr>
        <w:t>:30</w:t>
      </w:r>
    </w:p>
    <w:p w14:paraId="4E018990">
      <w:pPr>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（六）开标时间：2025年</w:t>
      </w:r>
      <w:r>
        <w:rPr>
          <w:rFonts w:hint="eastAsia" w:ascii="方正仿宋_GBK" w:hAnsi="宋体" w:eastAsia="方正仿宋_GBK"/>
          <w:color w:val="auto"/>
          <w:sz w:val="24"/>
          <w:szCs w:val="24"/>
          <w:lang w:val="en-US" w:eastAsia="zh-CN"/>
        </w:rPr>
        <w:t>9</w:t>
      </w:r>
      <w:r>
        <w:rPr>
          <w:rFonts w:hint="eastAsia" w:ascii="方正仿宋_GBK" w:hAnsi="宋体" w:eastAsia="方正仿宋_GBK"/>
          <w:color w:val="auto"/>
          <w:sz w:val="24"/>
          <w:szCs w:val="24"/>
        </w:rPr>
        <w:t>月</w:t>
      </w:r>
      <w:r>
        <w:rPr>
          <w:rFonts w:hint="eastAsia" w:ascii="方正仿宋_GBK" w:hAnsi="宋体" w:eastAsia="方正仿宋_GBK"/>
          <w:color w:val="auto"/>
          <w:sz w:val="24"/>
          <w:szCs w:val="24"/>
          <w:lang w:val="en-US" w:eastAsia="zh-CN"/>
        </w:rPr>
        <w:t>29</w:t>
      </w:r>
      <w:r>
        <w:rPr>
          <w:rFonts w:hint="eastAsia" w:ascii="方正仿宋_GBK" w:hAnsi="宋体" w:eastAsia="方正仿宋_GBK"/>
          <w:color w:val="auto"/>
          <w:sz w:val="24"/>
          <w:szCs w:val="24"/>
        </w:rPr>
        <w:t>日北京时间</w:t>
      </w:r>
      <w:r>
        <w:rPr>
          <w:rFonts w:ascii="方正仿宋_GBK" w:hAnsi="宋体" w:eastAsia="方正仿宋_GBK"/>
          <w:color w:val="auto"/>
          <w:sz w:val="24"/>
          <w:szCs w:val="24"/>
        </w:rPr>
        <w:t>9</w:t>
      </w:r>
      <w:r>
        <w:rPr>
          <w:rFonts w:hint="eastAsia" w:ascii="方正仿宋_GBK" w:hAnsi="宋体" w:eastAsia="方正仿宋_GBK"/>
          <w:color w:val="auto"/>
          <w:sz w:val="24"/>
          <w:szCs w:val="24"/>
        </w:rPr>
        <w:t>:30</w:t>
      </w:r>
    </w:p>
    <w:p w14:paraId="753E08DB">
      <w:pPr>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（七）开标地点：同投标地点</w:t>
      </w:r>
    </w:p>
    <w:p w14:paraId="2BA1B99B">
      <w:pPr>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（八）供应商应承担其编制与递交投标文件所涉及的一切费用，无论投标结果如何，采购人对上述费用概不负责，均由供应商承担。</w:t>
      </w:r>
    </w:p>
    <w:p w14:paraId="34F879F8">
      <w:pPr>
        <w:pStyle w:val="5"/>
        <w:spacing w:line="276" w:lineRule="auto"/>
        <w:ind w:firstLine="482" w:firstLineChars="200"/>
        <w:rPr>
          <w:rFonts w:ascii="方正仿宋_GBK" w:eastAsia="方正仿宋_GBK"/>
          <w:b/>
          <w:color w:val="auto"/>
          <w:sz w:val="24"/>
          <w:szCs w:val="24"/>
        </w:rPr>
      </w:pPr>
      <w:bookmarkStart w:id="22" w:name="_Toc12947"/>
      <w:r>
        <w:rPr>
          <w:rFonts w:hint="eastAsia" w:ascii="方正仿宋_GBK" w:eastAsia="方正仿宋_GBK"/>
          <w:b/>
          <w:color w:val="auto"/>
          <w:sz w:val="24"/>
          <w:szCs w:val="24"/>
        </w:rPr>
        <w:t>五、</w:t>
      </w:r>
      <w:bookmarkStart w:id="23" w:name="_Hlk67925870"/>
      <w:r>
        <w:rPr>
          <w:rFonts w:hint="eastAsia" w:ascii="方正仿宋_GBK" w:eastAsia="方正仿宋_GBK"/>
          <w:b/>
          <w:color w:val="auto"/>
          <w:sz w:val="24"/>
          <w:szCs w:val="24"/>
        </w:rPr>
        <w:t>招标文件购买费</w:t>
      </w:r>
      <w:bookmarkEnd w:id="23"/>
      <w:r>
        <w:rPr>
          <w:rFonts w:hint="eastAsia" w:ascii="方正仿宋_GBK" w:eastAsia="方正仿宋_GBK"/>
          <w:b/>
          <w:color w:val="auto"/>
          <w:sz w:val="24"/>
          <w:szCs w:val="24"/>
        </w:rPr>
        <w:t>、投标保证金</w:t>
      </w:r>
      <w:bookmarkEnd w:id="22"/>
    </w:p>
    <w:p w14:paraId="0E4B0A4B">
      <w:pPr>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（一）缴纳方式</w:t>
      </w:r>
    </w:p>
    <w:p w14:paraId="42E3E129">
      <w:pPr>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供应商须按本项目规定的招标文件购买费（200元/包，不退）、投标保证金（保证金金额详见本篇，一、招标项目内容）进行缴纳，由供应商从其基本账户将招标文件购买费、投标保证金（同一分包下的招标文件购买费和投标保证金须分开缴纳）汇至以下账户，到账截止时间为开标时间。同一供应商投多个分包的，招标文件购买费、投标保证金按照分包要求缴纳</w:t>
      </w:r>
      <w:r>
        <w:rPr>
          <w:rFonts w:hint="eastAsia" w:ascii="方正仿宋_GBK" w:hAnsi="宋体" w:eastAsia="方正仿宋_GBK"/>
          <w:b/>
          <w:bCs/>
          <w:color w:val="auto"/>
          <w:sz w:val="24"/>
          <w:szCs w:val="24"/>
          <w:u w:val="single"/>
          <w:lang w:eastAsia="zh-CN"/>
        </w:rPr>
        <w:t>（</w:t>
      </w:r>
      <w:r>
        <w:rPr>
          <w:rFonts w:hint="eastAsia" w:ascii="方正仿宋_GBK" w:hAnsi="宋体" w:eastAsia="方正仿宋_GBK"/>
          <w:b/>
          <w:bCs/>
          <w:color w:val="auto"/>
          <w:sz w:val="24"/>
          <w:szCs w:val="24"/>
          <w:u w:val="single"/>
          <w:lang w:val="en-US" w:eastAsia="zh-CN"/>
        </w:rPr>
        <w:t>已缴纳招标文件购买费、投标保证金的，无需重复缴纳</w:t>
      </w:r>
      <w:r>
        <w:rPr>
          <w:rFonts w:hint="eastAsia" w:ascii="方正仿宋_GBK" w:hAnsi="宋体" w:eastAsia="方正仿宋_GBK"/>
          <w:b/>
          <w:bCs/>
          <w:color w:val="auto"/>
          <w:sz w:val="24"/>
          <w:szCs w:val="24"/>
          <w:u w:val="single"/>
          <w:lang w:eastAsia="zh-CN"/>
        </w:rPr>
        <w:t>）</w:t>
      </w:r>
      <w:r>
        <w:rPr>
          <w:rFonts w:hint="eastAsia" w:ascii="方正仿宋_GBK" w:hAnsi="宋体" w:eastAsia="方正仿宋_GBK"/>
          <w:color w:val="auto"/>
          <w:sz w:val="24"/>
          <w:szCs w:val="24"/>
        </w:rPr>
        <w:t>。</w:t>
      </w:r>
    </w:p>
    <w:p w14:paraId="662C2986">
      <w:pPr>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（二）重庆工商大学招标文件购买费、投标保证金账户：</w:t>
      </w:r>
    </w:p>
    <w:p w14:paraId="1EBF6133">
      <w:pPr>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户  名：重庆工商大学</w:t>
      </w:r>
    </w:p>
    <w:p w14:paraId="22A0611F">
      <w:pPr>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账  号：9558853100753300080</w:t>
      </w:r>
    </w:p>
    <w:p w14:paraId="218F60A6">
      <w:pPr>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开户行：工行重庆南岸学府支行</w:t>
      </w:r>
    </w:p>
    <w:p w14:paraId="4B15AA70">
      <w:pPr>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1.汇款的供应商须在付款凭证摘要/用途中填写“</w:t>
      </w:r>
      <w:r>
        <w:rPr>
          <w:rFonts w:hint="eastAsia" w:ascii="方正仿宋_GBK" w:hAnsi="宋体" w:eastAsia="方正仿宋_GBK"/>
          <w:color w:val="auto"/>
          <w:sz w:val="24"/>
          <w:szCs w:val="24"/>
          <w:lang w:eastAsia="zh-CN"/>
        </w:rPr>
        <w:t>CTBU-JZ2025111</w:t>
      </w:r>
      <w:r>
        <w:rPr>
          <w:rFonts w:hint="eastAsia" w:ascii="方正仿宋_GBK" w:hAnsi="宋体" w:eastAsia="方正仿宋_GBK"/>
          <w:color w:val="auto"/>
          <w:sz w:val="24"/>
          <w:szCs w:val="24"/>
        </w:rPr>
        <w:t>”，并在投标文件中附纸质的转账凭证复印件。</w:t>
      </w:r>
    </w:p>
    <w:p w14:paraId="7DDAE76A">
      <w:pPr>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2.供应商在缴纳招标文件购买费和投标保证金时，到款账户为上述指定的专用账户，来款账户必须为本公司基本账户。</w:t>
      </w:r>
    </w:p>
    <w:p w14:paraId="2B854C98">
      <w:pPr>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3.供应商在银行转账（电汇）时，须充分考虑银行转账（电汇）的时间差风险，如同城转账、异地转账或汇款、跨行转账或电汇的时间要求。</w:t>
      </w:r>
    </w:p>
    <w:p w14:paraId="204D4CC7">
      <w:pPr>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（二）保证金退还方式</w:t>
      </w:r>
    </w:p>
    <w:p w14:paraId="6AC52039">
      <w:pPr>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1.未中标供应商的保证金，在中标通知书发放后，采购人在五个工作日内按来款渠道直接退还。</w:t>
      </w:r>
    </w:p>
    <w:p w14:paraId="6DE28F94">
      <w:pPr>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2.中标人的投标保证金，在中标人缴纳履约保证金后，采购人在五个工作日内按资金来款渠道直接退还。</w:t>
      </w:r>
    </w:p>
    <w:p w14:paraId="76B0A7ED">
      <w:pPr>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注：如遇寒暑假或国家重大事件，则顺延至开学或条件允许后退还。</w:t>
      </w:r>
    </w:p>
    <w:p w14:paraId="6C56AB82">
      <w:pPr>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（三）其他</w:t>
      </w:r>
    </w:p>
    <w:p w14:paraId="3FF2577C">
      <w:pPr>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供应商递交投标文件时须另外提供基本账户信息（单独手持），包括供应商名称、供应商开户银行、开户行账号、纳税人识别号，加盖供应商鲜章，以便采购人顺利开具招标文件购买费发票及退还投标保证金。</w:t>
      </w:r>
    </w:p>
    <w:p w14:paraId="61996074">
      <w:pPr>
        <w:pStyle w:val="5"/>
        <w:spacing w:line="276" w:lineRule="auto"/>
        <w:ind w:firstLine="482" w:firstLineChars="200"/>
        <w:rPr>
          <w:rFonts w:ascii="方正仿宋_GBK" w:eastAsia="方正仿宋_GBK"/>
          <w:b/>
          <w:color w:val="auto"/>
          <w:sz w:val="24"/>
          <w:szCs w:val="24"/>
        </w:rPr>
      </w:pPr>
      <w:bookmarkStart w:id="24" w:name="_Toc59621287"/>
      <w:bookmarkStart w:id="25" w:name="_Toc115877688"/>
      <w:bookmarkStart w:id="26" w:name="_Toc6548"/>
      <w:bookmarkStart w:id="27" w:name="_Toc129178863"/>
      <w:bookmarkStart w:id="28" w:name="_Toc22301"/>
      <w:r>
        <w:rPr>
          <w:rFonts w:hint="eastAsia" w:ascii="方正仿宋_GBK" w:eastAsia="方正仿宋_GBK"/>
          <w:b/>
          <w:color w:val="auto"/>
          <w:sz w:val="24"/>
          <w:szCs w:val="24"/>
        </w:rPr>
        <w:t>六、</w:t>
      </w:r>
      <w:bookmarkEnd w:id="24"/>
      <w:bookmarkEnd w:id="25"/>
      <w:bookmarkEnd w:id="26"/>
      <w:bookmarkEnd w:id="27"/>
      <w:bookmarkStart w:id="29" w:name="_Toc24045"/>
      <w:bookmarkStart w:id="30" w:name="_Toc59621288"/>
      <w:bookmarkStart w:id="31" w:name="_Toc129178864"/>
      <w:bookmarkStart w:id="32" w:name="_Toc115877689"/>
      <w:r>
        <w:rPr>
          <w:rFonts w:hint="eastAsia" w:ascii="方正仿宋_GBK" w:eastAsia="方正仿宋_GBK"/>
          <w:b/>
          <w:color w:val="auto"/>
          <w:sz w:val="24"/>
          <w:szCs w:val="24"/>
        </w:rPr>
        <w:t>投标有关规定</w:t>
      </w:r>
      <w:bookmarkEnd w:id="28"/>
      <w:bookmarkEnd w:id="29"/>
      <w:bookmarkEnd w:id="30"/>
      <w:bookmarkEnd w:id="31"/>
      <w:bookmarkEnd w:id="32"/>
    </w:p>
    <w:p w14:paraId="2E754FCA">
      <w:pPr>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（一）单位负责人为同一人或者存在直接控股、管理关系的不同供应商，不得参加同一合同项（包）下的政府采购活动。</w:t>
      </w:r>
    </w:p>
    <w:p w14:paraId="3FA7C785">
      <w:pPr>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（二）为采购项目提供整体设计、规范编制或者项目管理、监理、检测等服务的供应商，不得再参加该采购项目的其他采购活动。</w:t>
      </w:r>
    </w:p>
    <w:p w14:paraId="58EC4AF5">
      <w:pPr>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（三）本项目若有澄清文件一律在行采家网（https://www.gec123.com/）或重庆工商大学招投标信息网（</w:t>
      </w:r>
      <w:r>
        <w:rPr>
          <w:color w:val="auto"/>
        </w:rPr>
        <w:fldChar w:fldCharType="begin"/>
      </w:r>
      <w:r>
        <w:rPr>
          <w:color w:val="auto"/>
        </w:rPr>
        <w:instrText xml:space="preserve"> HYPERLINK "https://zbcg.ctbu.edu.cn/" </w:instrText>
      </w:r>
      <w:r>
        <w:rPr>
          <w:color w:val="auto"/>
        </w:rPr>
        <w:fldChar w:fldCharType="separate"/>
      </w:r>
      <w:r>
        <w:rPr>
          <w:rFonts w:hint="eastAsia" w:ascii="方正仿宋_GBK" w:hAnsi="宋体" w:eastAsia="方正仿宋_GBK"/>
          <w:color w:val="auto"/>
          <w:sz w:val="24"/>
          <w:szCs w:val="24"/>
        </w:rPr>
        <w:t>https://zbcg.ctbu.edu.cn/</w:t>
      </w:r>
      <w:r>
        <w:rPr>
          <w:rFonts w:hint="eastAsia" w:ascii="方正仿宋_GBK" w:hAnsi="宋体" w:eastAsia="方正仿宋_GBK"/>
          <w:color w:val="auto"/>
          <w:sz w:val="24"/>
          <w:szCs w:val="24"/>
        </w:rPr>
        <w:fldChar w:fldCharType="end"/>
      </w:r>
      <w:r>
        <w:rPr>
          <w:rFonts w:hint="eastAsia" w:ascii="方正仿宋_GBK" w:hAnsi="宋体" w:eastAsia="方正仿宋_GBK"/>
          <w:color w:val="auto"/>
          <w:sz w:val="24"/>
          <w:szCs w:val="24"/>
        </w:rPr>
        <w:t>）上发布，请各供应商注意下载；无论供应商下载或领取与否，均视同供应商已知晓本项目澄清文件的内容。</w:t>
      </w:r>
    </w:p>
    <w:p w14:paraId="236B361A">
      <w:pPr>
        <w:spacing w:line="276" w:lineRule="auto"/>
        <w:ind w:firstLine="480" w:firstLineChars="200"/>
        <w:rPr>
          <w:rFonts w:ascii="方正仿宋_GBK" w:hAnsi="宋体" w:eastAsia="方正仿宋_GBK"/>
          <w:color w:val="auto"/>
          <w:sz w:val="24"/>
          <w:szCs w:val="24"/>
          <w:highlight w:val="none"/>
        </w:rPr>
      </w:pPr>
      <w:bookmarkStart w:id="33" w:name="_Toc14162"/>
      <w:bookmarkStart w:id="34" w:name="_Toc59621289"/>
      <w:bookmarkStart w:id="35" w:name="_Toc129178865"/>
      <w:bookmarkStart w:id="36" w:name="_Toc115877690"/>
      <w:r>
        <w:rPr>
          <w:rFonts w:hint="eastAsia" w:ascii="方正仿宋_GBK" w:hAnsi="宋体" w:eastAsia="方正仿宋_GBK"/>
          <w:color w:val="auto"/>
          <w:sz w:val="24"/>
          <w:szCs w:val="24"/>
          <w:highlight w:val="none"/>
        </w:rPr>
        <w:t>（四）超过投标截止时间递交的投标文件，恕不接收。</w:t>
      </w:r>
    </w:p>
    <w:p w14:paraId="63075138">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五</w:t>
      </w:r>
      <w:r>
        <w:rPr>
          <w:rFonts w:hint="eastAsia" w:ascii="方正仿宋_GBK" w:hAnsi="宋体" w:eastAsia="方正仿宋_GBK"/>
          <w:color w:val="auto"/>
          <w:sz w:val="24"/>
          <w:szCs w:val="24"/>
          <w:highlight w:val="none"/>
        </w:rPr>
        <w:t>）投标费用：无论投标结果如何，投标人参与本项目投标的所有费用均应由投标人自行承担。</w:t>
      </w:r>
    </w:p>
    <w:p w14:paraId="2AC3C004">
      <w:pPr>
        <w:spacing w:line="276" w:lineRule="auto"/>
        <w:ind w:firstLine="482" w:firstLineChars="200"/>
        <w:rPr>
          <w:rFonts w:ascii="方正仿宋_GBK" w:hAnsi="宋体" w:eastAsia="方正仿宋_GBK"/>
          <w:b/>
          <w:bCs/>
          <w:color w:val="auto"/>
          <w:sz w:val="24"/>
          <w:szCs w:val="24"/>
          <w:highlight w:val="none"/>
        </w:rPr>
      </w:pPr>
      <w:r>
        <w:rPr>
          <w:rFonts w:hint="eastAsia" w:ascii="方正仿宋_GBK" w:hAnsi="宋体" w:eastAsia="方正仿宋_GBK"/>
          <w:b/>
          <w:bCs/>
          <w:color w:val="auto"/>
          <w:sz w:val="24"/>
          <w:szCs w:val="24"/>
          <w:highlight w:val="none"/>
        </w:rPr>
        <w:t>（</w:t>
      </w:r>
      <w:r>
        <w:rPr>
          <w:rFonts w:hint="eastAsia" w:ascii="方正仿宋_GBK" w:hAnsi="宋体" w:eastAsia="方正仿宋_GBK"/>
          <w:b/>
          <w:bCs/>
          <w:color w:val="auto"/>
          <w:sz w:val="24"/>
          <w:szCs w:val="24"/>
          <w:highlight w:val="none"/>
          <w:lang w:val="en-US" w:eastAsia="zh-CN"/>
        </w:rPr>
        <w:t>六</w:t>
      </w:r>
      <w:r>
        <w:rPr>
          <w:rFonts w:hint="eastAsia" w:ascii="方正仿宋_GBK" w:hAnsi="宋体" w:eastAsia="方正仿宋_GBK"/>
          <w:b/>
          <w:bCs/>
          <w:color w:val="auto"/>
          <w:sz w:val="24"/>
          <w:szCs w:val="24"/>
          <w:highlight w:val="none"/>
        </w:rPr>
        <w:t>）本项目不接受联合体参与投标。</w:t>
      </w:r>
    </w:p>
    <w:p w14:paraId="32AA17CB">
      <w:pPr>
        <w:spacing w:line="276" w:lineRule="auto"/>
        <w:ind w:firstLine="482" w:firstLineChars="200"/>
        <w:rPr>
          <w:rFonts w:ascii="方正仿宋_GBK" w:hAnsi="宋体" w:eastAsia="方正仿宋_GBK"/>
          <w:b/>
          <w:bCs/>
          <w:color w:val="auto"/>
          <w:sz w:val="24"/>
          <w:szCs w:val="24"/>
          <w:highlight w:val="none"/>
        </w:rPr>
      </w:pPr>
      <w:r>
        <w:rPr>
          <w:rFonts w:hint="eastAsia" w:ascii="方正仿宋_GBK" w:hAnsi="宋体" w:eastAsia="方正仿宋_GBK"/>
          <w:b/>
          <w:bCs/>
          <w:color w:val="auto"/>
          <w:sz w:val="24"/>
          <w:szCs w:val="24"/>
          <w:highlight w:val="none"/>
        </w:rPr>
        <w:t>（</w:t>
      </w:r>
      <w:r>
        <w:rPr>
          <w:rFonts w:hint="eastAsia" w:ascii="方正仿宋_GBK" w:hAnsi="宋体" w:eastAsia="方正仿宋_GBK"/>
          <w:b/>
          <w:bCs/>
          <w:color w:val="auto"/>
          <w:sz w:val="24"/>
          <w:szCs w:val="24"/>
          <w:highlight w:val="none"/>
          <w:lang w:val="en-US" w:eastAsia="zh-CN"/>
        </w:rPr>
        <w:t>七</w:t>
      </w:r>
      <w:r>
        <w:rPr>
          <w:rFonts w:hint="eastAsia" w:ascii="方正仿宋_GBK" w:hAnsi="宋体" w:eastAsia="方正仿宋_GBK"/>
          <w:b/>
          <w:bCs/>
          <w:color w:val="auto"/>
          <w:sz w:val="24"/>
          <w:szCs w:val="24"/>
          <w:highlight w:val="none"/>
        </w:rPr>
        <w:t>）本项目不接受合同分包。</w:t>
      </w:r>
    </w:p>
    <w:p w14:paraId="2EF35261">
      <w:pPr>
        <w:pStyle w:val="5"/>
        <w:spacing w:line="276" w:lineRule="auto"/>
        <w:ind w:firstLine="480" w:firstLineChars="200"/>
        <w:rPr>
          <w:rFonts w:hint="eastAsia" w:ascii="方正仿宋_GBK" w:hAnsi="宋体" w:eastAsia="方正仿宋_GBK"/>
          <w:color w:val="auto"/>
          <w:sz w:val="24"/>
          <w:szCs w:val="24"/>
          <w:highlight w:val="none"/>
        </w:rPr>
      </w:pPr>
      <w:bookmarkStart w:id="37" w:name="_Toc22786"/>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八</w:t>
      </w:r>
      <w:r>
        <w:rPr>
          <w:rFonts w:hint="eastAsia" w:ascii="方正仿宋_GBK" w:hAnsi="宋体" w:eastAsia="方正仿宋_GBK"/>
          <w:color w:val="auto"/>
          <w:sz w:val="24"/>
          <w:szCs w:val="24"/>
          <w:highlight w:val="none"/>
        </w:rPr>
        <w:t>）</w:t>
      </w:r>
      <w:bookmarkStart w:id="38" w:name="OLE_LINK1"/>
      <w:bookmarkStart w:id="39" w:name="OLE_LINK2"/>
      <w:r>
        <w:rPr>
          <w:rFonts w:hint="eastAsia" w:ascii="方正仿宋_GBK" w:hAnsi="宋体" w:eastAsia="方正仿宋_GBK"/>
          <w:color w:val="auto"/>
          <w:sz w:val="24"/>
          <w:szCs w:val="24"/>
          <w:highlight w:val="none"/>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w:t>
      </w:r>
      <w:bookmarkEnd w:id="38"/>
      <w:bookmarkEnd w:id="39"/>
      <w:r>
        <w:rPr>
          <w:rFonts w:hint="eastAsia" w:ascii="方正仿宋_GBK" w:hAnsi="宋体" w:eastAsia="方正仿宋_GBK"/>
          <w:color w:val="auto"/>
          <w:sz w:val="24"/>
          <w:szCs w:val="24"/>
          <w:highlight w:val="none"/>
        </w:rPr>
        <w:t>投标人，将拒绝其参与政府采购活动。</w:t>
      </w:r>
      <w:bookmarkEnd w:id="37"/>
    </w:p>
    <w:p w14:paraId="59E2C112">
      <w:pPr>
        <w:pStyle w:val="5"/>
        <w:spacing w:line="276" w:lineRule="auto"/>
        <w:ind w:firstLine="482" w:firstLineChars="200"/>
        <w:rPr>
          <w:rFonts w:ascii="方正仿宋_GBK" w:eastAsia="方正仿宋_GBK"/>
          <w:b/>
          <w:color w:val="auto"/>
          <w:sz w:val="24"/>
          <w:szCs w:val="24"/>
        </w:rPr>
      </w:pPr>
      <w:bookmarkStart w:id="40" w:name="_Toc32700"/>
      <w:r>
        <w:rPr>
          <w:rFonts w:hint="eastAsia" w:ascii="方正仿宋_GBK" w:eastAsia="方正仿宋_GBK"/>
          <w:b/>
          <w:color w:val="auto"/>
          <w:sz w:val="24"/>
          <w:szCs w:val="24"/>
        </w:rPr>
        <w:t>七、联系方式</w:t>
      </w:r>
      <w:bookmarkEnd w:id="33"/>
      <w:bookmarkEnd w:id="34"/>
      <w:bookmarkEnd w:id="35"/>
      <w:bookmarkEnd w:id="36"/>
      <w:bookmarkEnd w:id="40"/>
    </w:p>
    <w:p w14:paraId="3E75FE7F">
      <w:pPr>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（一）采购人：重庆工商大学 </w:t>
      </w:r>
    </w:p>
    <w:p w14:paraId="031CCAFD">
      <w:pPr>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联系人：阎老师</w:t>
      </w:r>
    </w:p>
    <w:p w14:paraId="4E72E12E">
      <w:pPr>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电  话：023-62769774</w:t>
      </w:r>
    </w:p>
    <w:p w14:paraId="37199862">
      <w:pPr>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地  址：重庆市南岸区学府大道19号</w:t>
      </w:r>
    </w:p>
    <w:p w14:paraId="0DD9BB12">
      <w:pPr>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（二）技术咨询/现场勘查</w:t>
      </w:r>
    </w:p>
    <w:p w14:paraId="67FA2229">
      <w:pPr>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联系人：金老师</w:t>
      </w:r>
    </w:p>
    <w:p w14:paraId="6D7D2517">
      <w:pPr>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电  话：17728014982</w:t>
      </w:r>
    </w:p>
    <w:p w14:paraId="5316A047">
      <w:pPr>
        <w:pStyle w:val="5"/>
        <w:spacing w:line="276" w:lineRule="auto"/>
        <w:ind w:firstLine="482" w:firstLineChars="200"/>
        <w:rPr>
          <w:rFonts w:ascii="方正仿宋_GBK" w:eastAsia="方正仿宋_GBK"/>
          <w:b/>
          <w:color w:val="auto"/>
          <w:sz w:val="24"/>
          <w:szCs w:val="24"/>
        </w:rPr>
      </w:pPr>
      <w:bookmarkStart w:id="41" w:name="_Toc6646"/>
      <w:bookmarkStart w:id="42" w:name="_Toc534903757"/>
      <w:bookmarkStart w:id="43" w:name="_Toc21886"/>
      <w:bookmarkStart w:id="44" w:name="_Toc129178866"/>
      <w:bookmarkStart w:id="45" w:name="_Toc6597"/>
      <w:bookmarkStart w:id="46" w:name="_Toc115877691"/>
      <w:r>
        <w:rPr>
          <w:rFonts w:hint="eastAsia" w:ascii="方正仿宋_GBK" w:eastAsia="方正仿宋_GBK"/>
          <w:b/>
          <w:color w:val="auto"/>
          <w:sz w:val="24"/>
          <w:szCs w:val="24"/>
        </w:rPr>
        <w:t>八、现场踏勘</w:t>
      </w:r>
      <w:bookmarkEnd w:id="41"/>
      <w:bookmarkEnd w:id="42"/>
      <w:bookmarkEnd w:id="43"/>
    </w:p>
    <w:p w14:paraId="658B2776">
      <w:pPr>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采购人不统一组织踏勘，供应商可于投标截止时间前自行对项目服务现场和周围环境进行勘察，并根据现场勘察了解项目情况，测算各项工作量，以获取有关准备投标文件和签署合同所需要的资料和信息。供应商据此做出的判断和决策，由供应商自行负责。</w:t>
      </w:r>
    </w:p>
    <w:p w14:paraId="772F3E4B">
      <w:pPr>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无论供应商是否进行现场踏勘，均视为已踏勘过现场并认可本项目现场情况，在递交投标文件前已经充分了解本项目整体情况。能对应作出符合文件要求的实施方案，可能产生的风险意外已在投标文件中体现。</w:t>
      </w:r>
    </w:p>
    <w:p w14:paraId="42B0DA69">
      <w:pPr>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（三）供应商因自身原因未到现场实地踏勘的，在签订合同时和履约过程中，不得以不完全了解现场情况为由，提出任何形式的增加款项或索赔的要求。</w:t>
      </w:r>
    </w:p>
    <w:p w14:paraId="340CD3A5">
      <w:pPr>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（四）勘察现场所发生的一切费用由潜在供应商自行承担。</w:t>
      </w:r>
    </w:p>
    <w:p w14:paraId="7915EDE4">
      <w:pPr>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联系人：金老师</w:t>
      </w:r>
    </w:p>
    <w:p w14:paraId="2320C5F0">
      <w:pPr>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电  话：17782014982</w:t>
      </w:r>
    </w:p>
    <w:p w14:paraId="789998B4">
      <w:pPr>
        <w:pStyle w:val="5"/>
        <w:spacing w:line="276" w:lineRule="auto"/>
        <w:ind w:firstLine="482" w:firstLineChars="200"/>
        <w:rPr>
          <w:rFonts w:ascii="方正仿宋_GBK" w:eastAsia="方正仿宋_GBK"/>
          <w:b/>
          <w:color w:val="auto"/>
          <w:sz w:val="24"/>
          <w:szCs w:val="24"/>
        </w:rPr>
      </w:pPr>
      <w:bookmarkStart w:id="47" w:name="_Toc18643"/>
      <w:r>
        <w:rPr>
          <w:rFonts w:hint="eastAsia" w:ascii="方正仿宋_GBK" w:eastAsia="方正仿宋_GBK"/>
          <w:b/>
          <w:color w:val="auto"/>
          <w:sz w:val="24"/>
          <w:szCs w:val="24"/>
        </w:rPr>
        <w:t>九、其他要求</w:t>
      </w:r>
      <w:bookmarkEnd w:id="44"/>
      <w:bookmarkEnd w:id="45"/>
      <w:bookmarkEnd w:id="46"/>
      <w:bookmarkEnd w:id="47"/>
    </w:p>
    <w:p w14:paraId="48813A4E">
      <w:pPr>
        <w:snapToGrid w:val="0"/>
        <w:spacing w:line="276" w:lineRule="auto"/>
        <w:ind w:firstLine="480" w:firstLineChars="200"/>
        <w:rPr>
          <w:rFonts w:ascii="方正仿宋_GBK" w:eastAsia="方正仿宋_GBK"/>
          <w:color w:val="auto"/>
          <w:sz w:val="24"/>
          <w:szCs w:val="24"/>
        </w:rPr>
      </w:pPr>
      <w:r>
        <w:rPr>
          <w:rFonts w:hint="eastAsia" w:ascii="方正仿宋_GBK" w:eastAsia="方正仿宋_GBK"/>
          <w:color w:val="auto"/>
          <w:sz w:val="24"/>
          <w:szCs w:val="24"/>
        </w:rPr>
        <w:t>供应商请在提交投标文件的规定时段从重庆工商大学南岸校区（西门）（重庆市南岸区学府大道19号）进入，请主动向门卫出示本人有效身份证件，同时请及时向门卫通报采购项目名称（同时出示投标文件等证明材料），以便门卫核查报备信息。投标文件提交结束后，请供应商及时离校，不停留不逗留（注：供应商来校人数原则上不超过2人）。</w:t>
      </w:r>
    </w:p>
    <w:p w14:paraId="4B7502D3">
      <w:pPr>
        <w:snapToGrid w:val="0"/>
        <w:spacing w:line="276" w:lineRule="auto"/>
        <w:ind w:firstLine="480" w:firstLineChars="200"/>
        <w:rPr>
          <w:rFonts w:ascii="方正仿宋_GBK" w:hAnsi="宋体" w:eastAsia="方正仿宋_GBK"/>
          <w:color w:val="auto"/>
          <w:sz w:val="24"/>
          <w:szCs w:val="24"/>
        </w:rPr>
      </w:pPr>
      <w:r>
        <w:rPr>
          <w:rFonts w:hint="eastAsia" w:ascii="方正仿宋_GBK" w:eastAsia="方正仿宋_GBK"/>
          <w:color w:val="auto"/>
          <w:sz w:val="24"/>
          <w:szCs w:val="24"/>
        </w:rPr>
        <w:t>若未按上述要求操作，造成提交投标文件时间延误的，后果自负。若因此扰乱采购人正常疫情防控秩序的，由供应商承担全部责任。</w:t>
      </w:r>
    </w:p>
    <w:p w14:paraId="11862848">
      <w:pPr>
        <w:pStyle w:val="4"/>
        <w:spacing w:beforeLines="0" w:afterLines="0" w:line="276" w:lineRule="auto"/>
        <w:rPr>
          <w:rFonts w:ascii="方正仿宋_GBK" w:hAnsi="宋体" w:eastAsia="方正仿宋_GBK"/>
          <w:b/>
          <w:color w:val="auto"/>
          <w:szCs w:val="44"/>
        </w:rPr>
      </w:pPr>
      <w:r>
        <w:rPr>
          <w:rFonts w:hint="eastAsia" w:ascii="方正仿宋_GBK" w:hAnsi="宋体" w:eastAsia="方正仿宋_GBK"/>
          <w:b/>
          <w:color w:val="auto"/>
          <w:sz w:val="24"/>
          <w:szCs w:val="24"/>
        </w:rPr>
        <w:br w:type="page"/>
      </w:r>
      <w:bookmarkStart w:id="48" w:name="_Toc129178867"/>
      <w:bookmarkStart w:id="49" w:name="_Toc115877692"/>
      <w:bookmarkStart w:id="50" w:name="_Toc16570"/>
      <w:bookmarkStart w:id="51" w:name="_Toc22964"/>
      <w:r>
        <w:rPr>
          <w:rFonts w:hint="eastAsia" w:ascii="方正仿宋_GBK" w:hAnsi="宋体" w:eastAsia="方正仿宋_GBK"/>
          <w:b/>
          <w:color w:val="auto"/>
          <w:szCs w:val="44"/>
        </w:rPr>
        <w:t>第二篇  项目服务要求</w:t>
      </w:r>
      <w:bookmarkEnd w:id="48"/>
      <w:bookmarkEnd w:id="49"/>
      <w:bookmarkEnd w:id="50"/>
      <w:bookmarkEnd w:id="51"/>
    </w:p>
    <w:p w14:paraId="678D5200">
      <w:pPr>
        <w:spacing w:line="276" w:lineRule="auto"/>
        <w:ind w:firstLine="480" w:firstLineChars="200"/>
        <w:outlineLvl w:val="2"/>
        <w:rPr>
          <w:rFonts w:ascii="方正仿宋_GBK" w:hAnsi="宋体" w:eastAsia="方正仿宋_GBK"/>
          <w:color w:val="auto"/>
          <w:sz w:val="24"/>
          <w:szCs w:val="24"/>
        </w:rPr>
      </w:pPr>
      <w:bookmarkStart w:id="52" w:name="_Toc115877693"/>
      <w:bookmarkStart w:id="53" w:name="_Toc21088"/>
      <w:bookmarkStart w:id="54" w:name="_Toc129178868"/>
      <w:r>
        <w:rPr>
          <w:rFonts w:hint="eastAsia" w:ascii="方正仿宋_GBK" w:hAnsi="宋体" w:eastAsia="方正仿宋_GBK"/>
          <w:color w:val="auto"/>
          <w:sz w:val="24"/>
          <w:szCs w:val="24"/>
        </w:rPr>
        <w:t>“※”标注的技术需求为符合性审查中的实质性要求，若不满足按无效投标处理。</w:t>
      </w:r>
    </w:p>
    <w:p w14:paraId="4677FB3F">
      <w:pPr>
        <w:pStyle w:val="5"/>
        <w:spacing w:line="276" w:lineRule="auto"/>
        <w:rPr>
          <w:rFonts w:ascii="方正仿宋_GBK" w:eastAsia="方正仿宋_GBK"/>
          <w:b/>
          <w:color w:val="auto"/>
          <w:sz w:val="24"/>
          <w:szCs w:val="24"/>
        </w:rPr>
      </w:pPr>
      <w:bookmarkStart w:id="55" w:name="_Toc19552"/>
      <w:r>
        <w:rPr>
          <w:rFonts w:hint="eastAsia" w:ascii="方正仿宋_GBK" w:eastAsia="方正仿宋_GBK"/>
          <w:b/>
          <w:color w:val="auto"/>
          <w:sz w:val="24"/>
          <w:szCs w:val="24"/>
        </w:rPr>
        <w:t>一、招标项目一览表</w:t>
      </w:r>
      <w:bookmarkEnd w:id="52"/>
      <w:bookmarkEnd w:id="53"/>
      <w:bookmarkEnd w:id="54"/>
      <w:bookmarkEnd w:id="55"/>
    </w:p>
    <w:p w14:paraId="6952BF96">
      <w:pPr>
        <w:spacing w:line="276" w:lineRule="auto"/>
        <w:ind w:firstLine="482" w:firstLineChars="200"/>
        <w:outlineLvl w:val="2"/>
        <w:rPr>
          <w:rFonts w:ascii="方正仿宋_GBK" w:hAnsi="宋体" w:eastAsia="方正仿宋_GBK"/>
          <w:b/>
          <w:bCs/>
          <w:color w:val="auto"/>
          <w:sz w:val="24"/>
          <w:szCs w:val="24"/>
        </w:rPr>
      </w:pPr>
      <w:bookmarkStart w:id="56" w:name="_Toc30089"/>
      <w:bookmarkStart w:id="57" w:name="_Toc115877694"/>
      <w:bookmarkStart w:id="58" w:name="_Toc129178869"/>
      <w:r>
        <w:rPr>
          <w:rFonts w:hint="eastAsia" w:ascii="方正仿宋_GBK" w:hAnsi="宋体" w:eastAsia="方正仿宋_GBK"/>
          <w:b/>
          <w:bCs/>
          <w:color w:val="auto"/>
          <w:sz w:val="24"/>
          <w:szCs w:val="24"/>
        </w:rPr>
        <w:t>（一）包2：饮料</w:t>
      </w:r>
    </w:p>
    <w:tbl>
      <w:tblPr>
        <w:tblStyle w:val="20"/>
        <w:tblW w:w="5000" w:type="pct"/>
        <w:jc w:val="center"/>
        <w:tblLayout w:type="fixed"/>
        <w:tblCellMar>
          <w:top w:w="0" w:type="dxa"/>
          <w:left w:w="108" w:type="dxa"/>
          <w:bottom w:w="0" w:type="dxa"/>
          <w:right w:w="108" w:type="dxa"/>
        </w:tblCellMar>
      </w:tblPr>
      <w:tblGrid>
        <w:gridCol w:w="723"/>
        <w:gridCol w:w="3496"/>
        <w:gridCol w:w="1843"/>
        <w:gridCol w:w="1522"/>
        <w:gridCol w:w="746"/>
        <w:gridCol w:w="1298"/>
      </w:tblGrid>
      <w:tr w14:paraId="43BB5D2D">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9A961">
            <w:pPr>
              <w:widowControl/>
              <w:jc w:val="center"/>
              <w:textAlignment w:val="center"/>
              <w:rPr>
                <w:rFonts w:ascii="方正仿宋_GBK" w:hAnsi="宋体" w:eastAsia="方正仿宋_GBK" w:cs="宋体"/>
                <w:b/>
                <w:color w:val="auto"/>
                <w:sz w:val="24"/>
                <w:szCs w:val="24"/>
              </w:rPr>
            </w:pPr>
            <w:r>
              <w:rPr>
                <w:rFonts w:hint="eastAsia" w:ascii="方正仿宋_GBK" w:hAnsi="宋体" w:eastAsia="方正仿宋_GBK" w:cs="宋体"/>
                <w:b/>
                <w:color w:val="auto"/>
                <w:kern w:val="0"/>
                <w:sz w:val="24"/>
                <w:szCs w:val="24"/>
              </w:rPr>
              <w:t>序号</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43C1F">
            <w:pPr>
              <w:widowControl/>
              <w:jc w:val="center"/>
              <w:textAlignment w:val="center"/>
              <w:rPr>
                <w:rFonts w:ascii="方正仿宋_GBK" w:hAnsi="宋体" w:eastAsia="方正仿宋_GBK" w:cs="宋体"/>
                <w:b/>
                <w:color w:val="auto"/>
                <w:sz w:val="24"/>
                <w:szCs w:val="24"/>
              </w:rPr>
            </w:pPr>
            <w:r>
              <w:rPr>
                <w:rFonts w:hint="eastAsia" w:ascii="方正仿宋_GBK" w:hAnsi="宋体" w:eastAsia="方正仿宋_GBK" w:cs="宋体"/>
                <w:b/>
                <w:color w:val="auto"/>
                <w:kern w:val="0"/>
                <w:sz w:val="24"/>
                <w:szCs w:val="24"/>
              </w:rPr>
              <w:t>名称</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F261F">
            <w:pPr>
              <w:widowControl/>
              <w:jc w:val="center"/>
              <w:textAlignment w:val="center"/>
              <w:rPr>
                <w:rFonts w:ascii="方正仿宋_GBK" w:hAnsi="宋体" w:eastAsia="方正仿宋_GBK" w:cs="宋体"/>
                <w:b/>
                <w:color w:val="auto"/>
                <w:sz w:val="24"/>
                <w:szCs w:val="24"/>
              </w:rPr>
            </w:pPr>
            <w:r>
              <w:rPr>
                <w:rFonts w:hint="eastAsia" w:ascii="方正仿宋_GBK" w:hAnsi="宋体" w:eastAsia="方正仿宋_GBK" w:cs="宋体"/>
                <w:b/>
                <w:color w:val="auto"/>
                <w:kern w:val="0"/>
                <w:sz w:val="24"/>
                <w:szCs w:val="24"/>
              </w:rPr>
              <w:t>品牌、规格</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7589C">
            <w:pPr>
              <w:widowControl/>
              <w:jc w:val="center"/>
              <w:textAlignment w:val="center"/>
              <w:rPr>
                <w:rFonts w:ascii="方正仿宋_GBK" w:hAnsi="宋体" w:eastAsia="方正仿宋_GBK" w:cs="宋体"/>
                <w:b/>
                <w:color w:val="auto"/>
                <w:sz w:val="24"/>
                <w:szCs w:val="24"/>
              </w:rPr>
            </w:pPr>
            <w:r>
              <w:rPr>
                <w:rFonts w:hint="eastAsia" w:ascii="方正仿宋_GBK" w:hAnsi="宋体" w:eastAsia="方正仿宋_GBK" w:cs="宋体"/>
                <w:b/>
                <w:color w:val="auto"/>
                <w:kern w:val="0"/>
                <w:sz w:val="24"/>
                <w:szCs w:val="24"/>
              </w:rPr>
              <w:t>单价最高限价(元)</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ADCD1">
            <w:pPr>
              <w:widowControl/>
              <w:jc w:val="center"/>
              <w:textAlignment w:val="center"/>
              <w:rPr>
                <w:rFonts w:ascii="方正仿宋_GBK" w:hAnsi="宋体" w:eastAsia="方正仿宋_GBK" w:cs="宋体"/>
                <w:b/>
                <w:color w:val="auto"/>
                <w:sz w:val="24"/>
                <w:szCs w:val="24"/>
              </w:rPr>
            </w:pPr>
            <w:r>
              <w:rPr>
                <w:rFonts w:hint="eastAsia" w:ascii="方正仿宋_GBK" w:hAnsi="宋体" w:eastAsia="方正仿宋_GBK" w:cs="宋体"/>
                <w:b/>
                <w:color w:val="auto"/>
                <w:kern w:val="0"/>
                <w:sz w:val="24"/>
                <w:szCs w:val="24"/>
              </w:rPr>
              <w:t>数量</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26A2">
            <w:pPr>
              <w:widowControl/>
              <w:jc w:val="center"/>
              <w:textAlignment w:val="center"/>
              <w:rPr>
                <w:rFonts w:ascii="方正仿宋_GBK" w:hAnsi="宋体" w:eastAsia="方正仿宋_GBK" w:cs="宋体"/>
                <w:b/>
                <w:color w:val="auto"/>
                <w:sz w:val="24"/>
                <w:szCs w:val="24"/>
              </w:rPr>
            </w:pPr>
            <w:r>
              <w:rPr>
                <w:rFonts w:hint="eastAsia" w:ascii="方正仿宋_GBK" w:hAnsi="宋体" w:eastAsia="方正仿宋_GBK" w:cs="宋体"/>
                <w:b/>
                <w:color w:val="auto"/>
                <w:kern w:val="0"/>
                <w:sz w:val="24"/>
                <w:szCs w:val="24"/>
              </w:rPr>
              <w:t>计量单位</w:t>
            </w:r>
          </w:p>
        </w:tc>
      </w:tr>
      <w:tr w14:paraId="59C7F5FE">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E7032">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DBA981">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1.45L塑唯怡</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AACBEC">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1*9</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1E428C">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118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18685D">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500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3D99">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16B3E092">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95088">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2</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008175">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1.5L景田纯净水</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D3A113">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1*12</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5B22D8">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30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977847">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400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E2249">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05561D4F">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23A19">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3</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1BFC68">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1.5L农夫山泉天然水</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F1BEEB">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1*12</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2D4488">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30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E2630F">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400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5ECC">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7D312387">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AB41D">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4</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7B19ED">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1555ml怡宝纯净水</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C8B857">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1*12</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101E73">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30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A03FF6">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400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68848">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319192CA">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3D4E3">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F9E4E1">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1L百事可乐系列</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394CA9">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1*12</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40CF66">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42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CE6196">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400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12D73">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19704C8F">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6AF8B">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6</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C14E57">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1L海之言柠檬</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FC54E9">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1*8</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DE48A3">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39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5300E3">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400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CE59">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4ECD6C04">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6D671">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7</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1C56DA">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1L康师傅茶系列</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F3B5AF">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1*12</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B5FE24">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39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77ABB4">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350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6F5D">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7B110303">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E8DDE">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8</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D92A38">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1L康师傅青梅绿茶13瓶装</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0A8C50">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1*12</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8FD427">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39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604085">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300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FC26">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0DA85EEA">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110CF">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9</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A121CA">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1L绿茶（大包）</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6357B5">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1*12</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609643">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39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9B16D1">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300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7DB9C">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6408D0AF">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DF515">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10</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8C60FC">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1L脉动系列（青柠、水蜜桃）</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E64A5E">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1*12</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043F8B">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126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C8C654">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250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F92CE">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097C7FD0">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7C0A4">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92605F">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1L蜜桃多</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FBCE65">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1*8</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7D40AF">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27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337B27">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250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B07D">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0021B004">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631A3">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12</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01F5C6">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1L七喜</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B0A63D">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1*12</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B01A8E">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42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715811">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250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F857">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7056B679">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9367D">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13</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319B8D">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1L统一茶系列</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DC8A67">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1*8</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9F6A01">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27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2C65A2">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250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CE5DD">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676AF541">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F20CF">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14</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4E5868">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1L依能水系列</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345FCF">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1*12</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96E625">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32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050534">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250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65A98">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1239BF81">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EEE8B">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15</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9B8B3E">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2080ml怡宝纯净水</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34434C">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1*8</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9848BF">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20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C338A7">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250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EE83">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41FBCC6C">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17B13">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16</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96CA50">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210ml厅装雀巢系列（特浓、香浓浓香）</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9A901C">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1*24</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543B60">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92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42B2B4">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500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7A335">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2AFC3764">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4ECDE">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17</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B9AFF6">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245ml厅唯怡</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96188D">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1*24</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A85CEC">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72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49213D">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250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8EDB">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09EB6B52">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998AE">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18</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C25BD7">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245椰树椰汁</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E07700">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1*24</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E762F8">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95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8F5828">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250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C899">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03050578">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CB07A">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19</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3A883A">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250ml厅红牛维生素功能饮料</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353B3D">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1*24</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A0E670">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118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A67A71">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300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CDF7">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525E4326">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A1053">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20</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20E697">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2L百事</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46F480">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1*6</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B37ED4">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36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355A21">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A8D5">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139EF8D8">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3ADDD">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21</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7CDDC1">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2L农夫山泉</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17FD35">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1*8</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664C60">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25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366F30">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A107C">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633C5BFB">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4421B">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22</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F13DEB">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2L七喜</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E330B4">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1*6</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983E82">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35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E53C13">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304E">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342ABE9C">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DFC00">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23</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634F61">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2L统一鲜橙多</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AFF780">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1*6</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D00BF2">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48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B5CA44">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B42D">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79249441">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E4BE9">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24</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E21DEB">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300ml咖世家醇正拿铁</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8AF2DE">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EF9973">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90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8AF06C">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A990">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71F59BF4">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3C6AE">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25</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944B31">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310ml厅装加多宝</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16C64D">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1*24</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E13548">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65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7819F5">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8AC39">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125BB3F3">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7B127">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26</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81C600">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310ml厅装王老吉</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1319B4">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1*24</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72EBC8">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65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EA7291">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CA2E">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7C9E15CB">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4B9A3">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27</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8B91E9">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330ml高罐可口可乐（厅装）</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B3A983">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1*24</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F7CF21">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55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7059C4">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2AEF">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3C184794">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458C2">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28</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D66034">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330ml高罐雪碧（厅装）</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2E1746">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1*24</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D674DA">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55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EA5AAD">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6CD3">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0EF4C5AB">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7D72F">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29</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134C0C">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330ml可口可乐（星河漫步）</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A8483F">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1*24</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59059B">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90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E058BF">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C5141">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18F4C3BB">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CD2ED">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30</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AB64E0">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330ml厅百事可乐系列</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24BBCB">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1*24</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997D60">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44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EAC292">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1561">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367D987F">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27C9F">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31</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B12EAD">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330ml厅可口可乐系列</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C1A76C">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1*24</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460C22">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44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6E308E">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13F8D">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3268CC27">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F3A8B">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32</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35B4F2">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360ml宜简苏打水系列</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27AFBD">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3AB360">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30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00976F">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A0DC9">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7E44D384">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AB127">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33</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8510A6">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360ml元气森林系列（厚乳桃桃乳茶、清新椰椰）</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BFB5E4">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DCA2F8">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90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28666F">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400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B0E60">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25F3472C">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709D0">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34</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F04827">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380ml乐虎</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CA9A5C">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9E45DF">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60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92E401">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E7E3E">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0ACF68D8">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29F0C">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35</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37105E">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380ml农夫山泉天然水</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86D67F">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1*24</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6C09D6">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26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A069B4">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3548">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71FB9718">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4A325">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36</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C52547">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380ml统一布偌乳茶原味</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773742">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744876">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75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A57BF7">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620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4343">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0C4AC3EA">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A3072">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37</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6628A7">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4.5L怡宝纯净水</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1A8371">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1*4</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D567F6">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30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6E0BBE">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300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463E7">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22104C56">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FB04E">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38</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8DFF5D">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450ml美汁源果粒橙</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A29F13">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1*12</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7E9427">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33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FAD43A">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300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9BBC8">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71FCE13B">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76C82">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39</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1DB63C">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450ml统一鲜橙多</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E3C4E5">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4F1BDF">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38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5BA7B5">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300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555CF">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0493E10D">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B009E">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40</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345FAE">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480ml元气森林气泡水系列</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DB8D65">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C04723">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56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5CAEBD">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300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5FA5D">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4E0BB714">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4D005">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41</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5CDD71">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500ml百事可乐系列</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77146B">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1*24</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D82586">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56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F668A4">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300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43B9">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478C294E">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B906D">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42</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900DE9">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500ml大AD钙奶系列</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D1FD4C">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B7D74E">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56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F42F59">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300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0019">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645B46EB">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95FB8">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43</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ED3F32">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500ml东方树叶茶饮料系列</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F65D51">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B6DC2A">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57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EBD5B4">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300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D066E">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7B34758D">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69021">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44</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252215">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500ml康师傅茶系列</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ECC58E">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A254FE">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34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0685AE">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300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99ECB">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17DAFB12">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165C0">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45</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D2B56C">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500ml康师傅蜂蜜柚子</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887CC3">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37B639">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34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643913">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300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097B2">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016AB1E5">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39B4A">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46</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514718">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500ml可口可乐系列</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10F77D">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1*24</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B7A107">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56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42A453">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300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E6EC7">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7B274F52">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1F34D">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47</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D75E21">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500ml农夫茶π西柚15瓶装</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E26359">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5FBC85">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59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84BE45">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300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C7882">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1DC153F2">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15D93">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48</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165F11">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500ml农夫水溶C100系列</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561756">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6CB7F9">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56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D1DDC5">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300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63BE">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5F440E00">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0E172">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49</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195F02">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500ml三得利乌龙茶系列（低糖、无糖）</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FE34D7">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17B25B">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52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88B3E3">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600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DD90">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5753BDBB">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E5309">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50</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017643">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500ml水趣多</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6B720D">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9CC1E2">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58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34D9A7">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300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26D7C">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04228EAC">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169E">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51</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0394F2">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500ml水趣多荔枝</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96BBEB">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9C59B2">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59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5F9030">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300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CDC07">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157B5F21">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B92E3">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52</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2F0C44">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500ml统一阿萨姆奶茶系列</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8A6959">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3E2926">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48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212B41">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300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FF29">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2C6C02E9">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6643D">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53</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0BAE26">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500ml统一阿萨姆青提茉莉</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6712A2">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1D412C">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48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531F5C">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300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DFBE">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681A7CD9">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D0FC7">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54</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6D910C">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500ml统一茶系列</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677D78">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375922">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34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A12735">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300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57FB">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344D9982">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828DC">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55</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63A68D">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500ml统一海之言系列</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0905C6">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A30A8F">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48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C52720">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300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729E">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43DFA5DE">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5F359">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56</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F170BA">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500ml统一绿茶</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F27B69">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64306E">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34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C006CE">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300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46390">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2D31DEE6">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58AE4">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57</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EAAA79">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500ml维他命系列（西梅桃子、柚子复合风味）</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1C6570">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F4264A">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55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EA09AE">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600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A6951">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054B2BA6">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E0B51">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58</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37957F">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500ml小茗同学系列（大麦红茶、冰橘、青柠红茶、溜溜哒）</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79CF05">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137D22">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59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8D5877">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600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140C1">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21828955">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A2D91">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59</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93769F">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500ml营养快线系列</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CB089D">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CB0952">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52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4B75BA">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300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8349">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4DB38C23">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8F30D">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60</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4816A9">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500ml元气燃茶系列（白燃（桃香）、黑燃（无糖乌龙））</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20F080">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AC989E">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66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44D74A">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550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4EDC6">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0CC9B90F">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9DE82">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61</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D74C4D">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500ml元气外星人无糖运动饮料系列</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5BE0B5">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FBC939">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68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A04331">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250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1C6A2">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0ABDD981">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2D56D">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62</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F1BB95">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550ml康师傅矿物资水</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D35646">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1*24</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DE8063">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17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76DFBF">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7BFCD">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48465DE3">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37D0D">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63</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761B42">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550ml农夫山泉天然水</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72F79A">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1*24</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2121BE">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26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CE86F2">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8669A">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243AF03D">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DCE29">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64</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5EB5CE">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555ml怡宝纯净水</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1FEEB8">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1*24</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442191">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24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A3DF49">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38D1">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1526A4F6">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0B6B9">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65</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178DA6">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560ml景田纯净水</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71B198">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1*24</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A72F78">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30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AC1087">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81B71">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54787CA3">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5570B">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66</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95B092">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570ml百岁山</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04F897">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1*24</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84619D">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50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805178">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AA9FB">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322AA924">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8104">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67</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B6F442">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5L农夫山泉</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0D0F0E">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1*4</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0D8AA9">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32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3AC943">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EED2">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1BA23B9A">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FE095">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68</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B80989">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600ml佳得乐系列（橙味、蓝莓味、柠檬味)</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BCEC59">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706903">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55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C2BE93">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600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8CFA4">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77E91480">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5F9F0">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69</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FA0E85">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600ml脉动维生素饮料系列</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C55794">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284A7C">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55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C1E676">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538CB">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3A99831D">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AB3F8">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70</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AF1323">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888ml可口可乐系列</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15ED77">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1*12</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C4CE77">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38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A1BDAE">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F17C">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21F1D42A">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25AD5">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71</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A3772F">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900ml东方树叶系列（茉莉花茶、青柑普洱）</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83D74B">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1*12</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6986AF">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62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52C660">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400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E04C">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17611673">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6C28A">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72</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8D6B24">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AD钙奶</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70E2C5">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1*24</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B3550F">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38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BB2AB6">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D78B">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5425299B">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3D5CF">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73</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CD9B7F">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百事可乐白桃乌龙</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D0F8F4">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1*12</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7D3D39">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35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14E757">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AD5B">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6D8FD2D3">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B419E">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74</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61D207">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百事气泡水系列500ml（白桃、蜜柚）</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4B30EA">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1*12</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D1D5A0">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43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5F0070">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400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29408">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4ED8E71D">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ABCE0">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75</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2D56D6">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冰川时代Q1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07E79D">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1*24</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FDC6AA">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45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51EBCC">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33C8">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24F83225">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02B8B">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76</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AC7B32">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玻唯怡</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74BEA6">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1*20</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B6D057">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45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CD1D7E">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BCFB7">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4963B12A">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70003">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77</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1128B1">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茶里王茉莉花茶500ml</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27DD54">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428AD5">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49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3ED770">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400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031E5">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72AA043D">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FD76D">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78</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8FC072">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打奶茶（红茶）300ml</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1BC364">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D33A7B">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56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E727CE">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169E">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2ED9747C">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17F6A">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79</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965B71">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高罐百事330ml</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58FA67">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1*24</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BC7FE4">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55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8BB8B0">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1070">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6FFD8360">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BB0F7">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80</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8DBD40">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盒装旺仔牛奶</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6BD560">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1*36</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F6D2AE">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68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1ECA15">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1398">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16AE370F">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85B39">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81</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D7B0DD">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盒装维他奶柠檬茶</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CFE828">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1*24</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13F814">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55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0EE229">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5D681">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502AD03B">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52054">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82</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7D09B1">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佳得乐奇异果600ml</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79AB24">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E53319">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55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BA1D12">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E4EC">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21650989">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0D62C">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83</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7E60D4">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尖叫多肽（蓝）</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575A87">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320D7A">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58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745A9C">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100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CF78F">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2FFF2EC4">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D7FD0">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84</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7D4553">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尖叫纤维（绿）</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C3505E">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B11794">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56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F976F8">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100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F09B">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1A7C0CC1">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7CE23">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85</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0C2366">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康师傅1L蜜桃乌龙</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8AF0C0">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1*12</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1567A1">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39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A7DC2A">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100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0CA31">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7B18790C">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23A93">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86</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7827E6">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康师傅橙汁饮品</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E53A16">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A35B4F">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34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2E4357">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100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DC941">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0AFC5D17">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CA726">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87</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44BCC9">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康师傅小酪多多</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F95374">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14EAA7">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34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E594FA">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100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26B30">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013FFD93">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13006">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88</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37F863">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可口可乐高罐零度330Ml</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9F533E">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1*24</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BA9C8B">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55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EF0B3C">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D54C6">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6D6870A9">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2E307">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89</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6D3C80">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脉动灵汽气泡水系列500ml（柠檬、香橙）</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95980E">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B75DF2">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55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F57295">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41572">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2B01122B">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6B886">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90</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9BC853">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农夫NFC系列</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29E56E">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1*10</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6FEE0B">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62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EE46E9">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100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837FF">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4B1211C1">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574A2">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91</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D1F0E8">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农夫果园系列（橙苹果30%、凤梨苹果30%、桃子芭乐30%）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5B797B">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F7B376">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58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244D42">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300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5034F">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3BF3DB1B">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617D7">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92</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6A703B">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农夫山泉苏打水系列（白桃味、柠檬味）</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90C416">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CE4FBA">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45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E233E7">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407D4">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5A06F21B">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80FAF">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93</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87C616">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农夫苏打水春见油柑410ml</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CF11A7">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36401A">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55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A01431">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100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72A7B">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5DDE9825">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4BFC0">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94</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018B63">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农夫苏打水夏橘味</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A67310">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AB04BD">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45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A23E17">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100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F5AFA">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6D61C2EC">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65D33">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95</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DC310A">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瓶装雀巢丝滑系列268ml（拿铁咖啡、燕麦拿铁）</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409AAD">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BCDCC1">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65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BBE1D5">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BC0FA">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2CC425AA">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99661">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96</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C1338B">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雀巢茶系列500ml（冰极柠檬茶、柠檬冻红茶）</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7AF204">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6256E9">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58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7D609A">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AAB83">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598463DD">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B0F37">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97</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6A1580">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厅装旺仔牛奶</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FC07C7">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1*24</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B5C3B3">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102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68C2C7">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100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8CBE">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21903056">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BC12E">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98</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D2FC54">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娃哈哈非常可乐500ml</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87D912">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1CCE5E">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30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D0D200">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110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FA35">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26905BE7">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9B200">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99</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441AF4">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娃哈哈格瓦斯</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2B3E36">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0D028D">
            <w:pPr>
              <w:widowControl/>
              <w:jc w:val="center"/>
              <w:textAlignment w:val="bottom"/>
              <w:rPr>
                <w:rFonts w:ascii="方正仿宋_GBK" w:hAnsi="新宋体" w:eastAsia="方正仿宋_GBK" w:cs="新宋体"/>
                <w:color w:val="auto"/>
                <w:sz w:val="24"/>
                <w:szCs w:val="24"/>
              </w:rPr>
            </w:pPr>
            <w:r>
              <w:rPr>
                <w:rFonts w:hint="eastAsia" w:ascii="方正仿宋_GBK" w:hAnsi="新宋体" w:eastAsia="方正仿宋_GBK" w:cs="新宋体"/>
                <w:color w:val="auto"/>
                <w:kern w:val="0"/>
                <w:sz w:val="24"/>
                <w:szCs w:val="24"/>
              </w:rPr>
              <w:t xml:space="preserve">50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AE3F51">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244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0FC4F">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7FBAD6A7">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47663">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100</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D48A15">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娃哈哈饮用水596ml方瓶</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0D58CC">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1*24</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FE49C">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24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889564">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100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A5EE">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5839C80A">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D35FB">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101</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7B76CA">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维他命系列15瓶装（柑橘、蓝莓树莓、柠檬、热带水果、石榴蓝莓）</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AE0DF1">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5485B">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55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990038">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500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880C">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05B86B17">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C578D">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102</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44B8A5">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无糖雪碧系列500ml（柠檬味、薄荷味）</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ED3D6A">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1*12</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92799">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45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93E018">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8D49A">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16EF16D9">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20304">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103</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5625BC">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香飘飘果汁</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37B302">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E231A">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70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752350">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100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3983">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34C162F4">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11583">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104</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0F9A15">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小可口可乐</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2B8BF2">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1*24</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37661">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36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7F73A1">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100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D47E">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79D7563C">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E10B4">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105</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DE1E84">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怡宝500ml午后奶茶（原味）</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36A2A3">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E56AC">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45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B111BD">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50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CAB6">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16287F18">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09251">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106</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E43A80">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怡宝茶系列（菊花茶、柠檬茶）</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C1EEDF">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B2BAA">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45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8C7DE1">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100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105A">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397AECB4">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462D9">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107</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3B5F17">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怡宝蜜水系列（百柚、柠檬）</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2CE5E3">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8238E">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54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62D447">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100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53E3B">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2DFE9D59">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7C411">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108</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4639E0">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怡宝假日系列（葡萄味、桃子味）</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19ED1C">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84D96">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46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6FE7B3">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99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F209">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00D8F83C">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CAE04">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109</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D15EFF">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怡宝水果水（苹果味）500ml</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5E7C16">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6945B">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45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534D7B">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50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2A415">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3BDA0A30">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14F98">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110</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DF74D9">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宜简750果也系列</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3DCA1B">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58DC3">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30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82BAD5">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50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3AC21">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7F5121E6">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AE73C">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111</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45C23F">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宜简轻乳泡泡系列500ml（白桃、乳酸菌）</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78D631">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B65BA">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60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F0A188">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100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15F6A">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53587962">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96B28">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112</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72F9C4">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元气森林气泡水冰茶系列450ml（白桃茉莉、葡萄柚冰绿茶、柠檬）</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D39DCA">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CE996">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45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7E49E4">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150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87537">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790DDC0A">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4E96D">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113</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7C3A66">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元气森林燃茶（茉莉花茶）</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7E53EF">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ECBFF">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68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FCB418">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50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4FE50">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1B421621">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BAFAC">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114</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C114E7">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元气外星人电解质（雏菊味）500ml</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87DB70">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C8C23">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68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2901C1">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50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7BDD1">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5DA63AFA">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10761">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D3A0C1">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纸盒椰树椰汁</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385CDF">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1*24</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AD6BC0">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82</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081570">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42</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0C1228">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2A3FE603">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B1619">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116</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3BC7D3">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巴山蜀水</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F4EDDF">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1*24</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048409">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36</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F1F9DB">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50</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376E7B">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bl>
    <w:p w14:paraId="22E584B3">
      <w:pPr>
        <w:snapToGrid w:val="0"/>
        <w:spacing w:line="276" w:lineRule="auto"/>
        <w:ind w:left="140" w:leftChars="50"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说明：</w:t>
      </w:r>
    </w:p>
    <w:p w14:paraId="09859486">
      <w:pPr>
        <w:snapToGrid w:val="0"/>
        <w:spacing w:line="276" w:lineRule="auto"/>
        <w:ind w:left="140" w:leftChars="50"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1.所有</w:t>
      </w:r>
      <w:r>
        <w:rPr>
          <w:rFonts w:ascii="方正仿宋_GBK" w:hAnsi="宋体" w:eastAsia="方正仿宋_GBK"/>
          <w:color w:val="auto"/>
          <w:sz w:val="24"/>
          <w:szCs w:val="24"/>
        </w:rPr>
        <w:t>分包的</w:t>
      </w:r>
      <w:r>
        <w:rPr>
          <w:rFonts w:hint="eastAsia" w:ascii="方正仿宋_GBK" w:hAnsi="宋体" w:eastAsia="方正仿宋_GBK"/>
          <w:color w:val="auto"/>
          <w:sz w:val="24"/>
          <w:szCs w:val="24"/>
        </w:rPr>
        <w:t>以上各品种数量为暂估数量，仅供供应商计算报价所用（仅供参考），不作为中标后采购依据。合同签订后以实际配送品种为准，按照实际采购数量结算。</w:t>
      </w:r>
    </w:p>
    <w:p w14:paraId="69D2216E">
      <w:pPr>
        <w:snapToGrid w:val="0"/>
        <w:spacing w:line="276" w:lineRule="auto"/>
        <w:ind w:left="140" w:leftChars="50"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2.预算单价为除皮后净重单价。</w:t>
      </w:r>
    </w:p>
    <w:p w14:paraId="77F12B7C">
      <w:pPr>
        <w:snapToGrid w:val="0"/>
        <w:spacing w:line="276" w:lineRule="auto"/>
        <w:ind w:left="140" w:leftChars="50"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3.食堂货物采购特点是分地点、定时间段零星采购。</w:t>
      </w:r>
    </w:p>
    <w:p w14:paraId="597A4128">
      <w:pPr>
        <w:snapToGrid w:val="0"/>
        <w:spacing w:line="276" w:lineRule="auto"/>
        <w:ind w:left="140" w:leftChars="50"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4.由于食堂营业额下跌或者采购人对食堂经营模式的转变，造成实际采购金额偏离参考金额，采购人不负任何责任。</w:t>
      </w:r>
    </w:p>
    <w:p w14:paraId="5119D9E4">
      <w:pPr>
        <w:pStyle w:val="5"/>
        <w:spacing w:line="276" w:lineRule="auto"/>
        <w:rPr>
          <w:rFonts w:ascii="方正仿宋_GBK" w:eastAsia="方正仿宋_GBK"/>
          <w:b/>
          <w:color w:val="auto"/>
          <w:sz w:val="24"/>
          <w:szCs w:val="24"/>
        </w:rPr>
      </w:pPr>
      <w:bookmarkStart w:id="59" w:name="_Toc4770"/>
      <w:r>
        <w:rPr>
          <w:rFonts w:hint="eastAsia" w:ascii="方正仿宋_GBK" w:eastAsia="方正仿宋_GBK"/>
          <w:color w:val="auto"/>
          <w:sz w:val="24"/>
          <w:szCs w:val="24"/>
        </w:rPr>
        <w:t>※</w:t>
      </w:r>
      <w:r>
        <w:rPr>
          <w:rFonts w:hint="eastAsia" w:ascii="方正仿宋_GBK" w:eastAsia="方正仿宋_GBK"/>
          <w:color w:val="auto"/>
          <w:sz w:val="24"/>
          <w:szCs w:val="24"/>
          <w:lang w:val="en-US" w:eastAsia="zh-CN"/>
        </w:rPr>
        <w:t>二</w:t>
      </w:r>
      <w:r>
        <w:rPr>
          <w:rFonts w:hint="eastAsia" w:ascii="方正仿宋_GBK" w:eastAsia="方正仿宋_GBK"/>
          <w:b/>
          <w:color w:val="auto"/>
          <w:sz w:val="24"/>
          <w:szCs w:val="24"/>
        </w:rPr>
        <w:t>、包</w:t>
      </w:r>
      <w:bookmarkEnd w:id="56"/>
      <w:bookmarkEnd w:id="57"/>
      <w:bookmarkEnd w:id="58"/>
      <w:r>
        <w:rPr>
          <w:rFonts w:hint="eastAsia" w:ascii="方正仿宋_GBK" w:eastAsia="方正仿宋_GBK"/>
          <w:b/>
          <w:color w:val="auto"/>
          <w:sz w:val="24"/>
          <w:szCs w:val="24"/>
        </w:rPr>
        <w:t>2</w:t>
      </w:r>
      <w:r>
        <w:rPr>
          <w:rFonts w:hint="eastAsia" w:ascii="方正仿宋_GBK" w:eastAsia="方正仿宋_GBK"/>
          <w:b/>
          <w:bCs/>
          <w:color w:val="auto"/>
          <w:sz w:val="24"/>
          <w:szCs w:val="24"/>
        </w:rPr>
        <w:t>产品质量</w:t>
      </w:r>
      <w:r>
        <w:rPr>
          <w:rFonts w:hint="eastAsia" w:ascii="方正仿宋_GBK" w:eastAsia="方正仿宋_GBK"/>
          <w:b/>
          <w:color w:val="auto"/>
          <w:sz w:val="24"/>
          <w:szCs w:val="24"/>
        </w:rPr>
        <w:t>要求</w:t>
      </w:r>
      <w:bookmarkEnd w:id="59"/>
    </w:p>
    <w:p w14:paraId="25481D2C">
      <w:pPr>
        <w:snapToGrid w:val="0"/>
        <w:spacing w:line="276" w:lineRule="auto"/>
        <w:ind w:left="140" w:leftChars="50"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1</w:t>
      </w:r>
      <w:r>
        <w:rPr>
          <w:rFonts w:ascii="方正仿宋_GBK" w:hAnsi="宋体" w:eastAsia="方正仿宋_GBK"/>
          <w:color w:val="auto"/>
          <w:sz w:val="24"/>
          <w:szCs w:val="24"/>
        </w:rPr>
        <w:t>.</w:t>
      </w:r>
      <w:r>
        <w:rPr>
          <w:rFonts w:hint="eastAsia" w:ascii="方正仿宋_GBK" w:hAnsi="宋体" w:eastAsia="方正仿宋_GBK"/>
          <w:color w:val="auto"/>
          <w:sz w:val="24"/>
          <w:szCs w:val="24"/>
        </w:rPr>
        <w:t>品牌预包装饮品，新鲜、质检合格、包装无破损。</w:t>
      </w:r>
    </w:p>
    <w:p w14:paraId="17CA9356">
      <w:pPr>
        <w:snapToGrid w:val="0"/>
        <w:spacing w:line="276" w:lineRule="auto"/>
        <w:ind w:left="140" w:leftChars="50"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2</w:t>
      </w:r>
      <w:r>
        <w:rPr>
          <w:rFonts w:ascii="方正仿宋_GBK" w:hAnsi="宋体" w:eastAsia="方正仿宋_GBK"/>
          <w:color w:val="auto"/>
          <w:sz w:val="24"/>
          <w:szCs w:val="24"/>
        </w:rPr>
        <w:t>.</w:t>
      </w:r>
      <w:r>
        <w:rPr>
          <w:rFonts w:hint="eastAsia" w:ascii="方正仿宋_GBK" w:hAnsi="宋体" w:eastAsia="方正仿宋_GBK"/>
          <w:color w:val="auto"/>
          <w:sz w:val="24"/>
          <w:szCs w:val="24"/>
        </w:rPr>
        <w:t>所有供货商品有专业的运输车辆和人员保证及时送货；每次提供数量的准确度至少是需求数量的95%；由于寒暑假期较长，值班食堂需求量小，供应商要采取有效措施保证每天供应；工作人员服务态度良好。</w:t>
      </w:r>
    </w:p>
    <w:p w14:paraId="105E4284">
      <w:pPr>
        <w:snapToGrid w:val="0"/>
        <w:spacing w:line="276" w:lineRule="auto"/>
        <w:ind w:left="140" w:leftChars="50"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3</w:t>
      </w:r>
      <w:r>
        <w:rPr>
          <w:rFonts w:ascii="方正仿宋_GBK" w:hAnsi="宋体" w:eastAsia="方正仿宋_GBK"/>
          <w:color w:val="auto"/>
          <w:sz w:val="24"/>
          <w:szCs w:val="24"/>
        </w:rPr>
        <w:t>.</w:t>
      </w:r>
      <w:r>
        <w:rPr>
          <w:rFonts w:hint="eastAsia" w:ascii="方正仿宋_GBK" w:hAnsi="宋体" w:eastAsia="方正仿宋_GBK"/>
          <w:color w:val="auto"/>
          <w:sz w:val="24"/>
          <w:szCs w:val="24"/>
        </w:rPr>
        <w:t>所有供货商品须符合相关国家标准。</w:t>
      </w:r>
    </w:p>
    <w:p w14:paraId="0A77B45D">
      <w:pPr>
        <w:snapToGrid w:val="0"/>
        <w:spacing w:line="276" w:lineRule="auto"/>
        <w:ind w:left="140" w:leftChars="50" w:firstLine="361" w:firstLineChars="150"/>
        <w:rPr>
          <w:rFonts w:ascii="方正仿宋_GBK" w:hAnsi="宋体" w:eastAsia="方正仿宋_GBK"/>
          <w:b/>
          <w:bCs/>
          <w:color w:val="auto"/>
          <w:sz w:val="24"/>
          <w:szCs w:val="24"/>
        </w:rPr>
      </w:pPr>
      <w:r>
        <w:rPr>
          <w:rFonts w:hint="eastAsia" w:ascii="方正仿宋_GBK" w:hAnsi="宋体" w:eastAsia="方正仿宋_GBK"/>
          <w:b/>
          <w:bCs/>
          <w:color w:val="auto"/>
          <w:sz w:val="24"/>
          <w:szCs w:val="24"/>
        </w:rPr>
        <w:t>4</w:t>
      </w:r>
      <w:r>
        <w:rPr>
          <w:rFonts w:ascii="方正仿宋_GBK" w:hAnsi="宋体" w:eastAsia="方正仿宋_GBK"/>
          <w:b/>
          <w:bCs/>
          <w:color w:val="auto"/>
          <w:sz w:val="24"/>
          <w:szCs w:val="24"/>
        </w:rPr>
        <w:t>.</w:t>
      </w:r>
      <w:r>
        <w:rPr>
          <w:rFonts w:hint="eastAsia" w:ascii="方正仿宋_GBK" w:hAnsi="宋体" w:eastAsia="方正仿宋_GBK"/>
          <w:b/>
          <w:bCs/>
          <w:color w:val="auto"/>
          <w:sz w:val="24"/>
          <w:szCs w:val="24"/>
          <w:lang w:val="en-US" w:eastAsia="zh-CN"/>
        </w:rPr>
        <w:t>首次供货时</w:t>
      </w:r>
      <w:r>
        <w:rPr>
          <w:rFonts w:hint="eastAsia" w:ascii="方正仿宋_GBK" w:hAnsi="宋体" w:eastAsia="方正仿宋_GBK"/>
          <w:b/>
          <w:bCs/>
          <w:color w:val="auto"/>
          <w:sz w:val="24"/>
          <w:szCs w:val="24"/>
        </w:rPr>
        <w:t>须</w:t>
      </w:r>
      <w:r>
        <w:rPr>
          <w:rFonts w:hint="eastAsia" w:ascii="方正仿宋_GBK" w:hAnsi="宋体" w:eastAsia="方正仿宋_GBK"/>
          <w:b/>
          <w:bCs/>
          <w:color w:val="auto"/>
          <w:sz w:val="24"/>
          <w:szCs w:val="24"/>
          <w:lang w:val="en-US" w:eastAsia="zh-CN"/>
        </w:rPr>
        <w:t>向采购人后勤处提交</w:t>
      </w:r>
      <w:r>
        <w:rPr>
          <w:rFonts w:hint="eastAsia" w:ascii="方正仿宋_GBK" w:hAnsi="宋体" w:eastAsia="方正仿宋_GBK"/>
          <w:b/>
          <w:bCs/>
          <w:color w:val="auto"/>
          <w:sz w:val="24"/>
          <w:szCs w:val="24"/>
        </w:rPr>
        <w:t>所有供货商品最新一期第三方检验机构出具的检验报告。</w:t>
      </w:r>
    </w:p>
    <w:p w14:paraId="1F9F7623">
      <w:pPr>
        <w:pStyle w:val="5"/>
        <w:spacing w:line="276" w:lineRule="auto"/>
        <w:rPr>
          <w:rFonts w:ascii="方正仿宋_GBK" w:eastAsia="方正仿宋_GBK"/>
          <w:color w:val="auto"/>
          <w:sz w:val="24"/>
          <w:szCs w:val="24"/>
        </w:rPr>
      </w:pPr>
      <w:bookmarkStart w:id="60" w:name="_Toc31353"/>
      <w:r>
        <w:rPr>
          <w:rFonts w:hint="eastAsia" w:ascii="方正仿宋_GBK" w:eastAsia="方正仿宋_GBK"/>
          <w:b/>
          <w:bCs/>
          <w:color w:val="auto"/>
          <w:sz w:val="24"/>
          <w:szCs w:val="24"/>
        </w:rPr>
        <w:t>※</w:t>
      </w:r>
      <w:r>
        <w:rPr>
          <w:rFonts w:hint="eastAsia" w:ascii="方正仿宋_GBK" w:eastAsia="方正仿宋_GBK"/>
          <w:b/>
          <w:bCs/>
          <w:color w:val="auto"/>
          <w:sz w:val="24"/>
          <w:szCs w:val="24"/>
          <w:lang w:val="en-US" w:eastAsia="zh-CN"/>
        </w:rPr>
        <w:t>三</w:t>
      </w:r>
      <w:r>
        <w:rPr>
          <w:rFonts w:hint="eastAsia" w:ascii="方正仿宋_GBK" w:eastAsia="方正仿宋_GBK"/>
          <w:b/>
          <w:bCs/>
          <w:color w:val="auto"/>
          <w:sz w:val="24"/>
          <w:szCs w:val="24"/>
        </w:rPr>
        <w:t>、其他要求</w:t>
      </w:r>
      <w:bookmarkEnd w:id="60"/>
    </w:p>
    <w:p w14:paraId="0AA60C4C">
      <w:pPr>
        <w:snapToGrid w:val="0"/>
        <w:spacing w:line="276" w:lineRule="auto"/>
        <w:ind w:left="140" w:leftChars="50"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1.所有产品必须符合《中华人民共和国食品安全法》及其他最新法规和标准的要求，符合国家及行业的相关标准。</w:t>
      </w:r>
    </w:p>
    <w:p w14:paraId="1C189383">
      <w:pPr>
        <w:snapToGrid w:val="0"/>
        <w:spacing w:line="276" w:lineRule="auto"/>
        <w:ind w:left="140" w:leftChars="50"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2.供应商在合同履行期间，提供的每种明细产品必须标明品名、规格、计量单位等内容。</w:t>
      </w:r>
    </w:p>
    <w:p w14:paraId="5C152505">
      <w:pPr>
        <w:rPr>
          <w:color w:val="auto"/>
        </w:rPr>
      </w:pPr>
      <w:r>
        <w:rPr>
          <w:rFonts w:hint="eastAsia" w:ascii="方正仿宋_GBK" w:hAnsi="宋体" w:eastAsia="方正仿宋_GBK" w:cs="宋体"/>
          <w:color w:val="auto"/>
          <w:kern w:val="0"/>
          <w:sz w:val="24"/>
          <w:szCs w:val="24"/>
        </w:rPr>
        <w:br w:type="page"/>
      </w:r>
    </w:p>
    <w:p w14:paraId="59A0E415">
      <w:pPr>
        <w:pStyle w:val="4"/>
        <w:spacing w:beforeLines="0" w:afterLines="0" w:line="276" w:lineRule="auto"/>
        <w:rPr>
          <w:rFonts w:ascii="方正仿宋_GBK" w:hAnsi="宋体" w:eastAsia="方正仿宋_GBK"/>
          <w:b/>
          <w:color w:val="auto"/>
          <w:szCs w:val="44"/>
        </w:rPr>
      </w:pPr>
      <w:bookmarkStart w:id="61" w:name="_Toc129178870"/>
      <w:bookmarkStart w:id="62" w:name="_Toc175"/>
      <w:bookmarkStart w:id="63" w:name="_Toc115877695"/>
      <w:bookmarkStart w:id="64" w:name="_Toc4816"/>
      <w:r>
        <w:rPr>
          <w:rFonts w:hint="eastAsia" w:ascii="方正仿宋_GBK" w:hAnsi="宋体" w:eastAsia="方正仿宋_GBK"/>
          <w:b/>
          <w:color w:val="auto"/>
          <w:szCs w:val="44"/>
        </w:rPr>
        <w:t>第三篇  项目商务要求</w:t>
      </w:r>
      <w:bookmarkEnd w:id="61"/>
      <w:bookmarkEnd w:id="62"/>
      <w:bookmarkEnd w:id="63"/>
      <w:bookmarkEnd w:id="64"/>
    </w:p>
    <w:p w14:paraId="50C4A8EA">
      <w:pPr>
        <w:snapToGrid w:val="0"/>
        <w:spacing w:line="276" w:lineRule="auto"/>
        <w:ind w:left="140" w:leftChars="50" w:firstLine="360" w:firstLineChars="150"/>
        <w:rPr>
          <w:rFonts w:ascii="方正仿宋_GBK" w:hAnsi="宋体" w:eastAsia="方正仿宋_GBK"/>
          <w:color w:val="auto"/>
          <w:sz w:val="24"/>
          <w:szCs w:val="24"/>
        </w:rPr>
      </w:pPr>
      <w:bookmarkStart w:id="65" w:name="_Toc267320049"/>
      <w:bookmarkStart w:id="66" w:name="_Toc75452487"/>
      <w:r>
        <w:rPr>
          <w:rFonts w:hint="eastAsia" w:ascii="方正仿宋_GBK" w:hAnsi="宋体" w:eastAsia="方正仿宋_GBK"/>
          <w:color w:val="auto"/>
          <w:sz w:val="24"/>
          <w:szCs w:val="24"/>
        </w:rPr>
        <w:t>“※”标注的技术需求为符合性审查中的实质性要求，若不满足按无效投标处理。</w:t>
      </w:r>
    </w:p>
    <w:p w14:paraId="01465579">
      <w:pPr>
        <w:pStyle w:val="5"/>
        <w:rPr>
          <w:rFonts w:ascii="方正仿宋_GBK" w:hAnsi="方正仿宋_GBK" w:eastAsia="方正仿宋_GBK" w:cs="方正仿宋_GBK"/>
          <w:b/>
          <w:color w:val="auto"/>
          <w:sz w:val="24"/>
          <w:szCs w:val="24"/>
        </w:rPr>
      </w:pPr>
      <w:bookmarkStart w:id="67" w:name="_Toc6953"/>
      <w:r>
        <w:rPr>
          <w:rFonts w:hint="eastAsia" w:ascii="方正仿宋_GBK" w:eastAsia="方正仿宋_GBK"/>
          <w:color w:val="auto"/>
          <w:sz w:val="24"/>
          <w:szCs w:val="24"/>
        </w:rPr>
        <w:t>※</w:t>
      </w:r>
      <w:r>
        <w:rPr>
          <w:rFonts w:hint="eastAsia" w:ascii="方正仿宋_GBK" w:hAnsi="方正仿宋_GBK" w:eastAsia="方正仿宋_GBK" w:cs="方正仿宋_GBK"/>
          <w:b/>
          <w:color w:val="auto"/>
          <w:sz w:val="24"/>
          <w:szCs w:val="24"/>
        </w:rPr>
        <w:t>一、</w:t>
      </w:r>
      <w:bookmarkEnd w:id="65"/>
      <w:r>
        <w:rPr>
          <w:rFonts w:hint="eastAsia" w:ascii="方正仿宋_GBK" w:hAnsi="方正仿宋_GBK" w:eastAsia="方正仿宋_GBK" w:cs="方正仿宋_GBK"/>
          <w:b/>
          <w:color w:val="auto"/>
          <w:sz w:val="24"/>
          <w:szCs w:val="24"/>
        </w:rPr>
        <w:t>供货期、供货时间、供货地点及验收</w:t>
      </w:r>
      <w:bookmarkEnd w:id="66"/>
      <w:r>
        <w:rPr>
          <w:rFonts w:hint="eastAsia" w:ascii="方正仿宋_GBK" w:hAnsi="方正仿宋_GBK" w:eastAsia="方正仿宋_GBK" w:cs="方正仿宋_GBK"/>
          <w:b/>
          <w:color w:val="auto"/>
          <w:sz w:val="24"/>
          <w:szCs w:val="24"/>
        </w:rPr>
        <w:t>方式</w:t>
      </w:r>
      <w:bookmarkEnd w:id="67"/>
    </w:p>
    <w:p w14:paraId="67930E5F">
      <w:pPr>
        <w:snapToGrid w:val="0"/>
        <w:spacing w:line="276" w:lineRule="auto"/>
        <w:ind w:left="140" w:leftChars="50"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（一）供货期</w:t>
      </w:r>
    </w:p>
    <w:p w14:paraId="1A8396D5">
      <w:pPr>
        <w:snapToGrid w:val="0"/>
        <w:spacing w:line="276" w:lineRule="auto"/>
        <w:ind w:left="140" w:leftChars="50"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合同签订后供货期2年，从2025年9月1日至2027年8月31日。</w:t>
      </w:r>
    </w:p>
    <w:p w14:paraId="0547B42B">
      <w:pPr>
        <w:snapToGrid w:val="0"/>
        <w:spacing w:line="276" w:lineRule="auto"/>
        <w:ind w:left="140" w:leftChars="50"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（二）供货时间</w:t>
      </w:r>
    </w:p>
    <w:p w14:paraId="3047B343">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中标人应保证相对稳定的进货渠道和充足的货源。合同生效后按照采购人规定的时间，按质、按量、及时供货。一般情况下，采购人应提前8小时将所需货物的品种、数量通知中标人，中标人在采购人规定的时间内将所需货物送达指定地点。如遇紧急情况，中标人接采购人通知后1小时内按所需物资品种、数量及时配送到位，中标人不得以任何理由拒绝或推迟供应采购人所需货物。</w:t>
      </w:r>
    </w:p>
    <w:p w14:paraId="63D34E83">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2.保证根据采购人工作规律，在寒暑假、法定节假日等时间内，以及在发生诸如货源紧张、物价突涨时顾全大局，确保供应，保障采购人稳定。</w:t>
      </w:r>
    </w:p>
    <w:p w14:paraId="742D4B71">
      <w:pPr>
        <w:snapToGrid w:val="0"/>
        <w:spacing w:line="276" w:lineRule="auto"/>
        <w:ind w:left="140" w:leftChars="50"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（三）供货地点</w:t>
      </w:r>
    </w:p>
    <w:p w14:paraId="53B65A9E">
      <w:pPr>
        <w:snapToGrid w:val="0"/>
        <w:spacing w:line="276" w:lineRule="auto"/>
        <w:ind w:left="140" w:leftChars="50"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重庆工商大学南岸校区、兰花湖片区各自营食堂指定存放地点。</w:t>
      </w:r>
    </w:p>
    <w:p w14:paraId="1051803D">
      <w:pPr>
        <w:snapToGrid w:val="0"/>
        <w:spacing w:line="276" w:lineRule="auto"/>
        <w:ind w:left="140" w:leftChars="50"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（四）验收方式</w:t>
      </w:r>
    </w:p>
    <w:p w14:paraId="1E1F352C">
      <w:pPr>
        <w:snapToGrid w:val="0"/>
        <w:spacing w:line="276" w:lineRule="auto"/>
        <w:ind w:left="140" w:leftChars="50"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1.日常验收。日常验收本项目采购人后勤处将严格按照本招标文件第二篇相关内容及要求进行日常验收。实行3人或3人以上现场共同复称验收方式，即食堂库管员、食堂工作人员、供货商送货员3人现场共同验收并在供货清单上签字确认，且货票一致。 </w:t>
      </w:r>
    </w:p>
    <w:p w14:paraId="2439ACC7">
      <w:pPr>
        <w:snapToGrid w:val="0"/>
        <w:spacing w:line="276" w:lineRule="auto"/>
        <w:ind w:left="140" w:leftChars="50"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包2：验收标准</w:t>
      </w:r>
    </w:p>
    <w:p w14:paraId="51F82B9A">
      <w:pPr>
        <w:snapToGrid w:val="0"/>
        <w:spacing w:line="276" w:lineRule="auto"/>
        <w:ind w:left="140" w:leftChars="50"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w:t>
      </w:r>
      <w:r>
        <w:rPr>
          <w:rFonts w:ascii="方正仿宋_GBK" w:hAnsi="宋体" w:eastAsia="方正仿宋_GBK"/>
          <w:color w:val="auto"/>
          <w:sz w:val="24"/>
          <w:szCs w:val="24"/>
        </w:rPr>
        <w:t>1</w:t>
      </w:r>
      <w:r>
        <w:rPr>
          <w:rFonts w:hint="eastAsia" w:ascii="方正仿宋_GBK" w:hAnsi="宋体" w:eastAsia="方正仿宋_GBK"/>
          <w:color w:val="auto"/>
          <w:sz w:val="24"/>
          <w:szCs w:val="24"/>
        </w:rPr>
        <w:t>）符合国家相关质量标准，送货日期在货物保质期前三分之一时间段内；</w:t>
      </w:r>
    </w:p>
    <w:p w14:paraId="5A7B474F">
      <w:pPr>
        <w:snapToGrid w:val="0"/>
        <w:spacing w:line="276" w:lineRule="auto"/>
        <w:ind w:left="140" w:leftChars="50"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（2）.包装完整性</w:t>
      </w:r>
    </w:p>
    <w:p w14:paraId="2B44835F">
      <w:pPr>
        <w:snapToGrid w:val="0"/>
        <w:spacing w:line="276" w:lineRule="auto"/>
        <w:ind w:left="140" w:leftChars="50"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个体包装：瓶 / 罐无破损、变形、漏液，瓶盖 / 拉环密封完好（碳酸饮料需无鼓盖）；箱装：外包装无潮湿、油污、挤压变形，封箱胶带无二次粘贴痕迹。</w:t>
      </w:r>
    </w:p>
    <w:p w14:paraId="0A8C6126">
      <w:pPr>
        <w:snapToGrid w:val="0"/>
        <w:spacing w:line="276" w:lineRule="auto"/>
        <w:ind w:left="140" w:leftChars="50"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2.采购人后勤处对每次配送的食材，严格把关，查看批次食品的检验、检疫报告、合格证、出厂日期以及食品色泽、气味等，若异常拒绝接受。</w:t>
      </w:r>
    </w:p>
    <w:p w14:paraId="6ADA2C46">
      <w:pPr>
        <w:snapToGrid w:val="0"/>
        <w:spacing w:line="276" w:lineRule="auto"/>
        <w:ind w:left="140" w:leftChars="50"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3.年度验收。年度验收由</w:t>
      </w:r>
      <w:r>
        <w:rPr>
          <w:rFonts w:hint="eastAsia" w:ascii="方正仿宋_GBK" w:hAnsi="宋体" w:eastAsia="方正仿宋_GBK"/>
          <w:color w:val="auto"/>
          <w:sz w:val="24"/>
          <w:szCs w:val="24"/>
          <w:u w:val="single"/>
        </w:rPr>
        <w:t>采购人后勤处提出申请</w:t>
      </w:r>
      <w:r>
        <w:rPr>
          <w:rFonts w:hint="eastAsia" w:ascii="方正仿宋_GBK" w:hAnsi="宋体" w:eastAsia="方正仿宋_GBK"/>
          <w:color w:val="auto"/>
          <w:sz w:val="24"/>
          <w:szCs w:val="24"/>
        </w:rPr>
        <w:t>牵头组织，合同期满1年验收1次，验收内容如下：对库存物资进行新鲜度抽查，核验质量、数量（如需）及相关产品农残检验报告或质检报告等相关报告。</w:t>
      </w:r>
    </w:p>
    <w:p w14:paraId="56A421C9">
      <w:pPr>
        <w:pStyle w:val="5"/>
        <w:rPr>
          <w:rFonts w:ascii="方正仿宋_GBK" w:hAnsi="方正仿宋_GBK" w:eastAsia="方正仿宋_GBK" w:cs="方正仿宋_GBK"/>
          <w:b/>
          <w:color w:val="auto"/>
          <w:sz w:val="24"/>
          <w:szCs w:val="24"/>
        </w:rPr>
      </w:pPr>
      <w:bookmarkStart w:id="68" w:name="_Toc75452488"/>
      <w:bookmarkStart w:id="69" w:name="_Toc2868"/>
      <w:r>
        <w:rPr>
          <w:rFonts w:hint="eastAsia" w:ascii="方正仿宋_GBK" w:eastAsia="方正仿宋_GBK"/>
          <w:color w:val="auto"/>
          <w:sz w:val="24"/>
          <w:szCs w:val="24"/>
        </w:rPr>
        <w:t>※</w:t>
      </w:r>
      <w:r>
        <w:rPr>
          <w:rFonts w:hint="eastAsia" w:ascii="方正仿宋_GBK" w:hAnsi="方正仿宋_GBK" w:eastAsia="方正仿宋_GBK" w:cs="方正仿宋_GBK"/>
          <w:b/>
          <w:color w:val="auto"/>
          <w:sz w:val="24"/>
          <w:szCs w:val="24"/>
        </w:rPr>
        <w:t>二、报价要求</w:t>
      </w:r>
      <w:bookmarkEnd w:id="68"/>
      <w:bookmarkEnd w:id="69"/>
    </w:p>
    <w:p w14:paraId="65062745">
      <w:pPr>
        <w:snapToGrid w:val="0"/>
        <w:spacing w:line="276" w:lineRule="auto"/>
        <w:ind w:left="140" w:leftChars="50" w:firstLine="360" w:firstLineChars="150"/>
        <w:rPr>
          <w:rFonts w:ascii="方正仿宋_GBK" w:hAnsi="宋体" w:eastAsia="方正仿宋_GBK"/>
          <w:color w:val="auto"/>
          <w:sz w:val="24"/>
          <w:szCs w:val="24"/>
        </w:rPr>
      </w:pPr>
      <w:bookmarkStart w:id="70" w:name="_Toc267320050"/>
      <w:r>
        <w:rPr>
          <w:rFonts w:hint="eastAsia" w:ascii="方正仿宋_GBK" w:hAnsi="宋体" w:eastAsia="方正仿宋_GBK"/>
          <w:color w:val="auto"/>
          <w:sz w:val="24"/>
          <w:szCs w:val="24"/>
        </w:rPr>
        <w:t>（一）</w:t>
      </w:r>
      <w:r>
        <w:rPr>
          <w:rFonts w:hint="eastAsia" w:ascii="方正仿宋_GBK" w:hAnsi="宋体" w:eastAsia="方正仿宋_GBK"/>
          <w:b/>
          <w:bCs/>
          <w:color w:val="auto"/>
          <w:sz w:val="24"/>
          <w:szCs w:val="24"/>
        </w:rPr>
        <w:t>本项目报价报单价</w:t>
      </w:r>
      <w:r>
        <w:rPr>
          <w:rFonts w:hint="eastAsia" w:ascii="方正仿宋_GBK" w:hAnsi="方正仿宋_GBK" w:eastAsia="方正仿宋_GBK" w:cs="方正仿宋_GBK"/>
          <w:b/>
          <w:bCs/>
          <w:color w:val="auto"/>
          <w:sz w:val="24"/>
          <w:szCs w:val="24"/>
        </w:rPr>
        <w:t>折扣系数</w:t>
      </w:r>
      <w:r>
        <w:rPr>
          <w:rFonts w:hint="eastAsia" w:ascii="方正仿宋_GBK" w:hAnsi="宋体" w:eastAsia="方正仿宋_GBK"/>
          <w:b/>
          <w:bCs/>
          <w:color w:val="auto"/>
          <w:sz w:val="24"/>
          <w:szCs w:val="24"/>
        </w:rPr>
        <w:t>，所有品类执行同一折扣系数。</w:t>
      </w:r>
      <w:r>
        <w:rPr>
          <w:rFonts w:hint="eastAsia" w:ascii="方正仿宋_GBK" w:hAnsi="宋体" w:eastAsia="方正仿宋_GBK"/>
          <w:color w:val="auto"/>
          <w:sz w:val="24"/>
          <w:szCs w:val="24"/>
        </w:rPr>
        <w:t>本项目所有品类的单价包含原材料的食材价、食材的包装费、装卸费、运杂费、人工费、仓储费、通讯费、验收费、保险费、检测费、利润及各种应纳的税费等所有费用。因供应商自身原因造成漏报、少报皆由其自行承担责任，采购人不再补偿。</w:t>
      </w:r>
    </w:p>
    <w:p w14:paraId="3C653EB6">
      <w:pPr>
        <w:snapToGrid w:val="0"/>
        <w:spacing w:line="276" w:lineRule="auto"/>
        <w:ind w:left="140" w:leftChars="50" w:firstLine="361" w:firstLineChars="150"/>
        <w:rPr>
          <w:rFonts w:ascii="方正仿宋_GBK" w:hAnsi="宋体" w:eastAsia="方正仿宋_GBK"/>
          <w:b/>
          <w:bCs/>
          <w:color w:val="auto"/>
          <w:sz w:val="24"/>
          <w:szCs w:val="24"/>
        </w:rPr>
      </w:pPr>
      <w:r>
        <w:rPr>
          <w:rFonts w:hint="eastAsia" w:ascii="方正仿宋_GBK" w:hAnsi="宋体" w:eastAsia="方正仿宋_GBK"/>
          <w:b/>
          <w:bCs/>
          <w:color w:val="auto"/>
          <w:sz w:val="24"/>
          <w:szCs w:val="24"/>
        </w:rPr>
        <w:t>（二）报价方式</w:t>
      </w:r>
    </w:p>
    <w:p w14:paraId="2CC04EFE">
      <w:pPr>
        <w:snapToGrid w:val="0"/>
        <w:spacing w:line="276" w:lineRule="auto"/>
        <w:ind w:left="140" w:leftChars="50" w:firstLine="361" w:firstLineChars="150"/>
        <w:rPr>
          <w:rFonts w:ascii="方正仿宋_GBK" w:hAnsi="宋体" w:eastAsia="方正仿宋_GBK"/>
          <w:color w:val="auto"/>
          <w:sz w:val="24"/>
          <w:szCs w:val="24"/>
        </w:rPr>
      </w:pPr>
      <w:r>
        <w:rPr>
          <w:rFonts w:hint="eastAsia" w:ascii="方正仿宋_GBK" w:hAnsi="方正仿宋_GBK" w:eastAsia="方正仿宋_GBK" w:cs="方正仿宋_GBK"/>
          <w:b/>
          <w:bCs/>
          <w:color w:val="auto"/>
          <w:sz w:val="24"/>
          <w:szCs w:val="24"/>
        </w:rPr>
        <w:t>供货价格即为中标价格【各单品首次供货单价=各品目的单价最高限价×中标折扣系数】，合同期内价格不变。</w:t>
      </w:r>
      <w:r>
        <w:rPr>
          <w:rFonts w:hint="eastAsia" w:ascii="方正仿宋_GBK" w:hAnsi="宋体" w:eastAsia="方正仿宋_GBK"/>
          <w:color w:val="auto"/>
          <w:sz w:val="24"/>
          <w:szCs w:val="24"/>
        </w:rPr>
        <w:t>投标人自行填报折扣系数。折扣系数必须小于0.</w:t>
      </w:r>
      <w:r>
        <w:rPr>
          <w:rFonts w:ascii="方正仿宋_GBK" w:hAnsi="宋体" w:eastAsia="方正仿宋_GBK"/>
          <w:color w:val="auto"/>
          <w:sz w:val="24"/>
          <w:szCs w:val="24"/>
        </w:rPr>
        <w:t>95</w:t>
      </w:r>
      <w:r>
        <w:rPr>
          <w:rFonts w:hint="eastAsia" w:ascii="方正仿宋_GBK" w:hAnsi="宋体" w:eastAsia="方正仿宋_GBK"/>
          <w:color w:val="auto"/>
          <w:sz w:val="24"/>
          <w:szCs w:val="24"/>
        </w:rPr>
        <w:t>，折扣系数最多保留小数点后2位，否则按无效投标处理。</w:t>
      </w:r>
    </w:p>
    <w:p w14:paraId="7EE361DC">
      <w:pPr>
        <w:snapToGrid w:val="0"/>
        <w:spacing w:line="276" w:lineRule="auto"/>
        <w:ind w:left="140" w:leftChars="50" w:firstLine="361" w:firstLineChars="150"/>
        <w:rPr>
          <w:rFonts w:ascii="方正仿宋_GBK" w:hAnsi="宋体" w:eastAsia="方正仿宋_GBK"/>
          <w:color w:val="auto"/>
          <w:sz w:val="24"/>
          <w:szCs w:val="24"/>
        </w:rPr>
      </w:pPr>
      <w:r>
        <w:rPr>
          <w:rFonts w:hint="eastAsia" w:ascii="方正仿宋_GBK" w:hAnsi="宋体" w:eastAsia="方正仿宋_GBK"/>
          <w:b/>
          <w:bCs/>
          <w:color w:val="auto"/>
          <w:sz w:val="24"/>
          <w:szCs w:val="24"/>
        </w:rPr>
        <w:t>（三）投标人报本包折扣系数（详见第七篇 投标文件格式），且折扣系数不得超过最高限价，否则按无效投标处理。</w:t>
      </w:r>
    </w:p>
    <w:p w14:paraId="7D875F4F">
      <w:pPr>
        <w:pStyle w:val="5"/>
        <w:rPr>
          <w:rFonts w:ascii="方正仿宋_GBK" w:hAnsi="方正仿宋_GBK" w:eastAsia="方正仿宋_GBK" w:cs="方正仿宋_GBK"/>
          <w:b/>
          <w:color w:val="auto"/>
          <w:sz w:val="24"/>
          <w:szCs w:val="24"/>
        </w:rPr>
      </w:pPr>
      <w:bookmarkStart w:id="71" w:name="_Toc75452489"/>
      <w:bookmarkStart w:id="72" w:name="_Toc26684"/>
      <w:r>
        <w:rPr>
          <w:rFonts w:hint="eastAsia" w:ascii="方正仿宋_GBK" w:eastAsia="方正仿宋_GBK"/>
          <w:color w:val="auto"/>
          <w:sz w:val="24"/>
          <w:szCs w:val="24"/>
        </w:rPr>
        <w:t>※</w:t>
      </w:r>
      <w:r>
        <w:rPr>
          <w:rFonts w:hint="eastAsia" w:ascii="方正仿宋_GBK" w:hAnsi="方正仿宋_GBK" w:eastAsia="方正仿宋_GBK" w:cs="方正仿宋_GBK"/>
          <w:b/>
          <w:color w:val="auto"/>
          <w:sz w:val="24"/>
          <w:szCs w:val="24"/>
        </w:rPr>
        <w:t>三、质量保证与服务</w:t>
      </w:r>
      <w:bookmarkEnd w:id="71"/>
      <w:r>
        <w:rPr>
          <w:rFonts w:hint="eastAsia" w:ascii="方正仿宋_GBK" w:hAnsi="方正仿宋_GBK" w:eastAsia="方正仿宋_GBK" w:cs="方正仿宋_GBK"/>
          <w:b/>
          <w:color w:val="auto"/>
          <w:sz w:val="24"/>
          <w:szCs w:val="24"/>
        </w:rPr>
        <w:t>要求</w:t>
      </w:r>
      <w:bookmarkEnd w:id="72"/>
    </w:p>
    <w:p w14:paraId="0718E9DF">
      <w:pPr>
        <w:snapToGrid w:val="0"/>
        <w:spacing w:line="276" w:lineRule="auto"/>
        <w:ind w:left="140" w:leftChars="50"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（一）产品质量保证</w:t>
      </w:r>
    </w:p>
    <w:p w14:paraId="19CA1EAA">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1供应商所提供的产品质量应当符合《中华人民共和国食品安全法》的相关规定及其他最新国家及行业的相关标准，并完全满足招标文件第二篇的相关要求。</w:t>
      </w:r>
    </w:p>
    <w:p w14:paraId="421C3FA8">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中标人应保证及时提供数量准确、合格安全的产品。依据产品质量监督检验所提供的质量标准，中标人提供的产品必须是经过质量监督管理部门检验并取得合格证明的产品，每批次产品提供时应交存货物质量合格证明、产品质量检测合格报告或农残检验报告复印件。</w:t>
      </w:r>
    </w:p>
    <w:p w14:paraId="49D66B33">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3.采购人根据实际抽查情况，保留送检权利。中标人承担在供货期间所供物资的送检（检测部门为国家权威机构）费用。</w:t>
      </w:r>
    </w:p>
    <w:p w14:paraId="63BA03F7">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4.合同履行期间，提供的每种明细产品必须标明品名、规格、等级、生产厂家、计量单位等内容。</w:t>
      </w:r>
    </w:p>
    <w:p w14:paraId="24303163">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5.包装要求：各类货物包装应分别符合国家GB7718《预包装食品标签通则》、GB18406《农产品安全质量》的规定和卫生要求；若采用包装袋，则包装袋应坚固结实，封口或者缝口应严密。包装袋上印有品名、等级、数量、出厂名、厂家地址及联系电话，还应有注册商标及QS标注检验合格证、生产日期和保质期。出现包装破损现象予以免费及时调换。</w:t>
      </w:r>
    </w:p>
    <w:p w14:paraId="65A83566">
      <w:pPr>
        <w:snapToGrid w:val="0"/>
        <w:spacing w:line="276" w:lineRule="auto"/>
        <w:ind w:left="140" w:leftChars="50"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（二）服务要求</w:t>
      </w:r>
    </w:p>
    <w:p w14:paraId="43DA785C">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1.中标人应按招标文件以及合同约定的服务内容、技术要求、质量标准向采购人提供食材购置服务及相关配合服务。采购人</w:t>
      </w:r>
      <w:r>
        <w:rPr>
          <w:rFonts w:ascii="方正仿宋_GBK" w:hAnsi="宋体" w:eastAsia="方正仿宋_GBK"/>
          <w:color w:val="auto"/>
          <w:sz w:val="24"/>
          <w:szCs w:val="24"/>
        </w:rPr>
        <w:t>根据实际需求确定</w:t>
      </w:r>
      <w:r>
        <w:rPr>
          <w:rFonts w:hint="eastAsia" w:ascii="方正仿宋_GBK" w:hAnsi="宋体" w:eastAsia="方正仿宋_GBK"/>
          <w:color w:val="auto"/>
          <w:sz w:val="24"/>
          <w:szCs w:val="24"/>
        </w:rPr>
        <w:t>中标人</w:t>
      </w:r>
      <w:r>
        <w:rPr>
          <w:rFonts w:ascii="方正仿宋_GBK" w:hAnsi="宋体" w:eastAsia="方正仿宋_GBK"/>
          <w:color w:val="auto"/>
          <w:sz w:val="24"/>
          <w:szCs w:val="24"/>
        </w:rPr>
        <w:t>供应货物的具体数量、时间、规格品牌、等级、交货地点等，并通过电话或其他通信方式将采购计划单传递给</w:t>
      </w:r>
      <w:r>
        <w:rPr>
          <w:rFonts w:hint="eastAsia" w:ascii="方正仿宋_GBK" w:hAnsi="宋体" w:eastAsia="方正仿宋_GBK"/>
          <w:color w:val="auto"/>
          <w:sz w:val="24"/>
          <w:szCs w:val="24"/>
        </w:rPr>
        <w:t>中标人</w:t>
      </w:r>
      <w:r>
        <w:rPr>
          <w:rFonts w:ascii="方正仿宋_GBK" w:hAnsi="宋体" w:eastAsia="方正仿宋_GBK"/>
          <w:color w:val="auto"/>
          <w:sz w:val="24"/>
          <w:szCs w:val="24"/>
        </w:rPr>
        <w:t>。</w:t>
      </w:r>
      <w:r>
        <w:rPr>
          <w:rFonts w:hint="eastAsia" w:ascii="方正仿宋_GBK" w:hAnsi="宋体" w:eastAsia="方正仿宋_GBK"/>
          <w:color w:val="auto"/>
          <w:sz w:val="24"/>
          <w:szCs w:val="24"/>
        </w:rPr>
        <w:t>中标人</w:t>
      </w:r>
      <w:r>
        <w:rPr>
          <w:rFonts w:ascii="方正仿宋_GBK" w:hAnsi="宋体" w:eastAsia="方正仿宋_GBK"/>
          <w:color w:val="auto"/>
          <w:sz w:val="24"/>
          <w:szCs w:val="24"/>
        </w:rPr>
        <w:t>依据采购计划单供货</w:t>
      </w:r>
      <w:r>
        <w:rPr>
          <w:rFonts w:hint="eastAsia" w:ascii="方正仿宋_GBK" w:hAnsi="宋体" w:eastAsia="方正仿宋_GBK"/>
          <w:color w:val="auto"/>
          <w:sz w:val="24"/>
          <w:szCs w:val="24"/>
        </w:rPr>
        <w:t>，</w:t>
      </w:r>
      <w:r>
        <w:rPr>
          <w:rFonts w:ascii="方正仿宋_GBK" w:hAnsi="宋体" w:eastAsia="方正仿宋_GBK"/>
          <w:color w:val="auto"/>
          <w:sz w:val="24"/>
          <w:szCs w:val="24"/>
        </w:rPr>
        <w:t>如</w:t>
      </w:r>
      <w:r>
        <w:rPr>
          <w:rFonts w:hint="eastAsia" w:ascii="方正仿宋_GBK" w:hAnsi="宋体" w:eastAsia="方正仿宋_GBK"/>
          <w:color w:val="auto"/>
          <w:sz w:val="24"/>
          <w:szCs w:val="24"/>
        </w:rPr>
        <w:t>中标人</w:t>
      </w:r>
      <w:r>
        <w:rPr>
          <w:rFonts w:ascii="方正仿宋_GBK" w:hAnsi="宋体" w:eastAsia="方正仿宋_GBK"/>
          <w:color w:val="auto"/>
          <w:sz w:val="24"/>
          <w:szCs w:val="24"/>
        </w:rPr>
        <w:t>配送的单样物品数量与</w:t>
      </w:r>
      <w:r>
        <w:rPr>
          <w:rFonts w:hint="eastAsia" w:ascii="方正仿宋_GBK" w:hAnsi="宋体" w:eastAsia="方正仿宋_GBK"/>
          <w:color w:val="auto"/>
          <w:sz w:val="24"/>
          <w:szCs w:val="24"/>
        </w:rPr>
        <w:t>采购人</w:t>
      </w:r>
      <w:r>
        <w:rPr>
          <w:rFonts w:ascii="方正仿宋_GBK" w:hAnsi="宋体" w:eastAsia="方正仿宋_GBK"/>
          <w:color w:val="auto"/>
          <w:sz w:val="24"/>
          <w:szCs w:val="24"/>
        </w:rPr>
        <w:t>需求计划有10%及以上的差异，</w:t>
      </w:r>
      <w:r>
        <w:rPr>
          <w:rFonts w:hint="eastAsia" w:ascii="方正仿宋_GBK" w:hAnsi="宋体" w:eastAsia="方正仿宋_GBK"/>
          <w:color w:val="auto"/>
          <w:sz w:val="24"/>
          <w:szCs w:val="24"/>
        </w:rPr>
        <w:t>采购人</w:t>
      </w:r>
      <w:r>
        <w:rPr>
          <w:rFonts w:ascii="方正仿宋_GBK" w:hAnsi="宋体" w:eastAsia="方正仿宋_GBK"/>
          <w:color w:val="auto"/>
          <w:sz w:val="24"/>
          <w:szCs w:val="24"/>
        </w:rPr>
        <w:t>有权拒绝收货。</w:t>
      </w:r>
    </w:p>
    <w:p w14:paraId="6B6551AC">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2.中标人</w:t>
      </w:r>
      <w:r>
        <w:rPr>
          <w:rFonts w:ascii="方正仿宋_GBK" w:hAnsi="宋体" w:eastAsia="方正仿宋_GBK"/>
          <w:color w:val="auto"/>
          <w:sz w:val="24"/>
          <w:szCs w:val="24"/>
        </w:rPr>
        <w:t>应根据采购人教学规律，在寒暑假等假期内，以及在发生诸如货源紧张、物价突涨时要顾全大局，确保供应，保障采购人稳定。</w:t>
      </w:r>
    </w:p>
    <w:p w14:paraId="33817EAE">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3.采购人</w:t>
      </w:r>
      <w:r>
        <w:rPr>
          <w:rFonts w:ascii="方正仿宋_GBK" w:hAnsi="宋体" w:eastAsia="方正仿宋_GBK"/>
          <w:color w:val="auto"/>
          <w:sz w:val="24"/>
          <w:szCs w:val="24"/>
        </w:rPr>
        <w:t>放寒暑假时，可要求</w:t>
      </w:r>
      <w:r>
        <w:rPr>
          <w:rFonts w:hint="eastAsia" w:ascii="方正仿宋_GBK" w:hAnsi="宋体" w:eastAsia="方正仿宋_GBK"/>
          <w:color w:val="auto"/>
          <w:sz w:val="24"/>
          <w:szCs w:val="24"/>
        </w:rPr>
        <w:t>中标人</w:t>
      </w:r>
      <w:r>
        <w:rPr>
          <w:rFonts w:ascii="方正仿宋_GBK" w:hAnsi="宋体" w:eastAsia="方正仿宋_GBK"/>
          <w:color w:val="auto"/>
          <w:sz w:val="24"/>
          <w:szCs w:val="24"/>
        </w:rPr>
        <w:t>将食堂剩余的物资免费运回进行保管，并在假期结束后更换同数量、质量的新鲜物资配送给食堂。</w:t>
      </w:r>
    </w:p>
    <w:p w14:paraId="673CA716">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4.中标人</w:t>
      </w:r>
      <w:r>
        <w:rPr>
          <w:rFonts w:ascii="方正仿宋_GBK" w:hAnsi="宋体" w:eastAsia="方正仿宋_GBK"/>
          <w:color w:val="auto"/>
          <w:sz w:val="24"/>
          <w:szCs w:val="24"/>
        </w:rPr>
        <w:t>所供货物必须确保符合招标质量技术要求，确保安全、品质、卫生、无毒、无害，若有国家强制认证要求的，必须提供相应认证证书、质检报告等。</w:t>
      </w:r>
    </w:p>
    <w:p w14:paraId="45CDCC2F">
      <w:pPr>
        <w:snapToGrid w:val="0"/>
        <w:spacing w:line="276" w:lineRule="auto"/>
        <w:ind w:left="140" w:leftChars="50"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5.中标人</w:t>
      </w:r>
      <w:r>
        <w:rPr>
          <w:rFonts w:ascii="方正仿宋_GBK" w:hAnsi="宋体" w:eastAsia="方正仿宋_GBK"/>
          <w:color w:val="auto"/>
          <w:sz w:val="24"/>
          <w:szCs w:val="24"/>
        </w:rPr>
        <w:t>所供货物须接受</w:t>
      </w:r>
      <w:r>
        <w:rPr>
          <w:rFonts w:hint="eastAsia" w:ascii="方正仿宋_GBK" w:hAnsi="宋体" w:eastAsia="方正仿宋_GBK"/>
          <w:color w:val="auto"/>
          <w:sz w:val="24"/>
          <w:szCs w:val="24"/>
        </w:rPr>
        <w:t>采购人</w:t>
      </w:r>
      <w:r>
        <w:rPr>
          <w:rFonts w:ascii="方正仿宋_GBK" w:hAnsi="宋体" w:eastAsia="方正仿宋_GBK"/>
          <w:color w:val="auto"/>
          <w:sz w:val="24"/>
          <w:szCs w:val="24"/>
        </w:rPr>
        <w:t>的监督、检查，不得出现假冒伪劣和质量不合格产品，否则，</w:t>
      </w:r>
      <w:r>
        <w:rPr>
          <w:rFonts w:hint="eastAsia" w:ascii="方正仿宋_GBK" w:hAnsi="宋体" w:eastAsia="方正仿宋_GBK"/>
          <w:color w:val="auto"/>
          <w:sz w:val="24"/>
          <w:szCs w:val="24"/>
        </w:rPr>
        <w:t>采购人</w:t>
      </w:r>
      <w:r>
        <w:rPr>
          <w:rFonts w:ascii="方正仿宋_GBK" w:hAnsi="宋体" w:eastAsia="方正仿宋_GBK"/>
          <w:color w:val="auto"/>
          <w:sz w:val="24"/>
          <w:szCs w:val="24"/>
        </w:rPr>
        <w:t>可拒收不合格产品。</w:t>
      </w:r>
    </w:p>
    <w:p w14:paraId="38D889AA">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6.中标人</w:t>
      </w:r>
      <w:r>
        <w:rPr>
          <w:rFonts w:ascii="方正仿宋_GBK" w:hAnsi="宋体" w:eastAsia="方正仿宋_GBK"/>
          <w:color w:val="auto"/>
          <w:sz w:val="24"/>
          <w:szCs w:val="24"/>
        </w:rPr>
        <w:t>须按</w:t>
      </w:r>
      <w:r>
        <w:rPr>
          <w:rFonts w:hint="eastAsia" w:ascii="方正仿宋_GBK" w:hAnsi="宋体" w:eastAsia="方正仿宋_GBK"/>
          <w:color w:val="auto"/>
          <w:sz w:val="24"/>
          <w:szCs w:val="24"/>
        </w:rPr>
        <w:t>采购人</w:t>
      </w:r>
      <w:r>
        <w:rPr>
          <w:rFonts w:ascii="方正仿宋_GBK" w:hAnsi="宋体" w:eastAsia="方正仿宋_GBK"/>
          <w:color w:val="auto"/>
          <w:sz w:val="24"/>
          <w:szCs w:val="24"/>
        </w:rPr>
        <w:t>要求提供供应物资的有效质量检验、</w:t>
      </w:r>
      <w:r>
        <w:rPr>
          <w:rFonts w:hint="eastAsia" w:ascii="方正仿宋_GBK" w:hAnsi="宋体" w:eastAsia="方正仿宋_GBK"/>
          <w:color w:val="auto"/>
          <w:sz w:val="24"/>
          <w:szCs w:val="24"/>
        </w:rPr>
        <w:t>农残检验</w:t>
      </w:r>
      <w:r>
        <w:rPr>
          <w:rFonts w:ascii="方正仿宋_GBK" w:hAnsi="宋体" w:eastAsia="方正仿宋_GBK"/>
          <w:color w:val="auto"/>
          <w:sz w:val="24"/>
          <w:szCs w:val="24"/>
        </w:rPr>
        <w:t>报告</w:t>
      </w:r>
      <w:r>
        <w:rPr>
          <w:rFonts w:hint="eastAsia" w:ascii="方正仿宋_GBK" w:hAnsi="宋体" w:eastAsia="方正仿宋_GBK"/>
          <w:color w:val="auto"/>
          <w:sz w:val="24"/>
          <w:szCs w:val="24"/>
        </w:rPr>
        <w:t>。</w:t>
      </w:r>
    </w:p>
    <w:p w14:paraId="6E7619F4">
      <w:pPr>
        <w:snapToGrid w:val="0"/>
        <w:spacing w:line="276" w:lineRule="auto"/>
        <w:ind w:firstLine="480" w:firstLineChars="200"/>
        <w:rPr>
          <w:rFonts w:ascii="方正仿宋_GBK" w:hAnsi="宋体" w:eastAsia="方正仿宋_GBK"/>
          <w:color w:val="auto"/>
          <w:sz w:val="24"/>
          <w:szCs w:val="24"/>
        </w:rPr>
      </w:pPr>
      <w:bookmarkStart w:id="73" w:name="_Toc24659"/>
      <w:bookmarkStart w:id="74" w:name="_Toc1322"/>
      <w:bookmarkStart w:id="75" w:name="_Toc13633"/>
      <w:r>
        <w:rPr>
          <w:rFonts w:hint="eastAsia" w:ascii="方正仿宋_GBK" w:hAnsi="宋体" w:eastAsia="方正仿宋_GBK"/>
          <w:color w:val="auto"/>
          <w:sz w:val="24"/>
          <w:szCs w:val="24"/>
        </w:rPr>
        <w:t>7.因市场特殊原因个别食材品种不能及时提供的，中标人应主动与采购人沟通协调，更换品种以满足需要。</w:t>
      </w:r>
    </w:p>
    <w:p w14:paraId="4543F099">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8.合作期间，设专人对接工作，并保证周末及其他任何节假日24小时可联络到对接人。</w:t>
      </w:r>
    </w:p>
    <w:p w14:paraId="441BEEA9">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9.中标人应保证食品完好无损地到达采购人所在地，须无条件更换生产、配送、搬运过程中变质、不清洁、不卫生的产品。若发现不合格产品，采购人有权终止合同，带来的一切责任和影响由中标人全部负责。运输过程中出现的安全责任事故由中标人自行承担。</w:t>
      </w:r>
    </w:p>
    <w:p w14:paraId="7BDEA8D7">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10.在供货期间，中标人必须保障货源充足，如果出现断货现象，须做出书面说明，若非不可抗力因素，连续断货达 2 天及以上的，采购人有权终止合同，造成的一切后果和损失都由中标人负责。</w:t>
      </w:r>
    </w:p>
    <w:p w14:paraId="3DB0383F">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11.具有固定经营场所（提供场地房产证或有效的场地租赁协议复印件、</w:t>
      </w:r>
      <w:r>
        <w:rPr>
          <w:rFonts w:hint="eastAsia" w:ascii="方正仿宋_GBK" w:hAnsi="方正仿宋_GBK" w:eastAsia="方正仿宋_GBK" w:cs="方正仿宋_GBK"/>
          <w:color w:val="auto"/>
          <w:sz w:val="24"/>
          <w:szCs w:val="24"/>
          <w:highlight w:val="none"/>
        </w:rPr>
        <w:t>挂有公司牌匾的办公经营场所外观图像资料</w:t>
      </w:r>
      <w:r>
        <w:rPr>
          <w:rFonts w:hint="eastAsia" w:ascii="方正仿宋_GBK" w:hAnsi="宋体" w:eastAsia="方正仿宋_GBK"/>
          <w:color w:val="auto"/>
          <w:sz w:val="24"/>
          <w:szCs w:val="24"/>
        </w:rPr>
        <w:t>并加盖供应商鲜章）。</w:t>
      </w:r>
    </w:p>
    <w:p w14:paraId="00DB0D7F">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12.供应商必须自行提供配送服务，不得将配送工作转包或分包给除投标文件中约定的企业。</w:t>
      </w:r>
    </w:p>
    <w:p w14:paraId="02A459BE">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（三）配送要求</w:t>
      </w:r>
    </w:p>
    <w:p w14:paraId="42C3740C">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1.配送地点</w:t>
      </w:r>
    </w:p>
    <w:p w14:paraId="0B101BFC">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重庆工商大学南岸校区、兰花湖片区各自营食堂指定存放地点。</w:t>
      </w:r>
    </w:p>
    <w:p w14:paraId="4D4A0854">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供应商需根据所投分包实际需求配备足够的运力。需冷藏运输的货物运输过程采用冷藏设备，确保食品安全。所供车辆应为厢式冷藏货车或厢式货车，车体内外干净、整洁，所有车辆应做到每日清洗、消毒并做好消毒记录。实行专人专车采购，不得人货混装。并负责人员和车辆的安全和管理，保证人员和车辆遵守采购人相关规定。在配送过程中要做好报配送商品的保鲜、保质措施，同时不得喷洒有毒有害物质进行保鲜或保质。</w:t>
      </w:r>
    </w:p>
    <w:p w14:paraId="49890C76">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3.车辆若为自有的，提供车辆行驶证复印件、购置发票复印件及车辆挂牌照片并加盖供应商公章；若车辆为租赁的，提供车辆挂牌照片、租赁合同复印件并加盖供应商公章。</w:t>
      </w:r>
    </w:p>
    <w:p w14:paraId="62F9E5D9">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4.所有品种最终交易重量为净重（去除外包装/保鲜水瓶及黄叶/运输损坏鸡蛋），最终交易重量以双方3人或3人以上现场验收称重数为准。</w:t>
      </w:r>
    </w:p>
    <w:p w14:paraId="43E39344">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5.送货人员负责将货物送到指定地点验收后，再将货物按规定要求分类存放。</w:t>
      </w:r>
    </w:p>
    <w:p w14:paraId="343EF8AE">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6.若供应商漏单则须无条件补货，补货物资必须在采购人规定时间内补货至指定地点。</w:t>
      </w:r>
    </w:p>
    <w:p w14:paraId="1D1C7504">
      <w:pPr>
        <w:snapToGrid w:val="0"/>
        <w:spacing w:line="276" w:lineRule="auto"/>
        <w:ind w:left="140" w:leftChars="50"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7.供应商需在配送运输中要确保安全，在运输及装卸过程中发生的一切安全事故，包括人员、车辆事故等情况，由供应商负责处置，并依法承担所有责任。</w:t>
      </w:r>
    </w:p>
    <w:p w14:paraId="3075EA10">
      <w:pPr>
        <w:snapToGrid w:val="0"/>
        <w:spacing w:line="276" w:lineRule="auto"/>
        <w:ind w:left="140" w:leftChars="50"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8.供应商为采购人食堂配送物资在运输过程中必须分类存放。</w:t>
      </w:r>
    </w:p>
    <w:p w14:paraId="1D13403E">
      <w:pPr>
        <w:snapToGrid w:val="0"/>
        <w:spacing w:line="276" w:lineRule="auto"/>
        <w:ind w:left="140" w:leftChars="50"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9.急需物品在1个小时内送到，如供应商漏单则须无条件补货，补货物资必须在采购人规定时间内补货至指定地点。</w:t>
      </w:r>
    </w:p>
    <w:p w14:paraId="756977C1">
      <w:pPr>
        <w:snapToGrid w:val="0"/>
        <w:spacing w:line="276" w:lineRule="auto"/>
        <w:ind w:left="140" w:leftChars="50"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（四）</w:t>
      </w:r>
      <w:r>
        <w:rPr>
          <w:rFonts w:ascii="方正仿宋_GBK" w:hAnsi="宋体" w:eastAsia="方正仿宋_GBK"/>
          <w:color w:val="auto"/>
          <w:sz w:val="24"/>
          <w:szCs w:val="24"/>
        </w:rPr>
        <w:t>安全文明要求</w:t>
      </w:r>
      <w:bookmarkEnd w:id="73"/>
      <w:bookmarkEnd w:id="74"/>
      <w:bookmarkEnd w:id="75"/>
    </w:p>
    <w:p w14:paraId="1A4C9F70">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1.中标人</w:t>
      </w:r>
      <w:r>
        <w:rPr>
          <w:rFonts w:ascii="方正仿宋_GBK" w:hAnsi="宋体" w:eastAsia="方正仿宋_GBK"/>
          <w:color w:val="auto"/>
          <w:sz w:val="24"/>
          <w:szCs w:val="24"/>
        </w:rPr>
        <w:t>供货人员和车辆应遵守</w:t>
      </w:r>
      <w:r>
        <w:rPr>
          <w:rFonts w:hint="eastAsia" w:ascii="方正仿宋_GBK" w:hAnsi="宋体" w:eastAsia="方正仿宋_GBK"/>
          <w:color w:val="auto"/>
          <w:sz w:val="24"/>
          <w:szCs w:val="24"/>
        </w:rPr>
        <w:t>采购人</w:t>
      </w:r>
      <w:r>
        <w:rPr>
          <w:rFonts w:ascii="方正仿宋_GBK" w:hAnsi="宋体" w:eastAsia="方正仿宋_GBK"/>
          <w:color w:val="auto"/>
          <w:sz w:val="24"/>
          <w:szCs w:val="24"/>
        </w:rPr>
        <w:t>校园管理的相关管理规定。运送车辆相对固定，以便于校园门卫管理系统申报、识别；运送车在校内行驶时必须保证慢速，并注意避让人员。在</w:t>
      </w:r>
      <w:r>
        <w:rPr>
          <w:rFonts w:hint="eastAsia" w:ascii="方正仿宋_GBK" w:hAnsi="宋体" w:eastAsia="方正仿宋_GBK"/>
          <w:color w:val="auto"/>
          <w:sz w:val="24"/>
          <w:szCs w:val="24"/>
        </w:rPr>
        <w:t>采购人</w:t>
      </w:r>
      <w:r>
        <w:rPr>
          <w:rFonts w:ascii="方正仿宋_GBK" w:hAnsi="宋体" w:eastAsia="方正仿宋_GBK"/>
          <w:color w:val="auto"/>
          <w:sz w:val="24"/>
          <w:szCs w:val="24"/>
        </w:rPr>
        <w:t>校区内，供货人员必须遵章守纪。如果由于</w:t>
      </w:r>
      <w:r>
        <w:rPr>
          <w:rFonts w:hint="eastAsia" w:ascii="方正仿宋_GBK" w:hAnsi="宋体" w:eastAsia="方正仿宋_GBK"/>
          <w:color w:val="auto"/>
          <w:sz w:val="24"/>
          <w:szCs w:val="24"/>
        </w:rPr>
        <w:t>中标人</w:t>
      </w:r>
      <w:r>
        <w:rPr>
          <w:rFonts w:ascii="方正仿宋_GBK" w:hAnsi="宋体" w:eastAsia="方正仿宋_GBK"/>
          <w:color w:val="auto"/>
          <w:sz w:val="24"/>
          <w:szCs w:val="24"/>
        </w:rPr>
        <w:t>供货人员和车辆，在</w:t>
      </w:r>
      <w:r>
        <w:rPr>
          <w:rFonts w:hint="eastAsia" w:ascii="方正仿宋_GBK" w:hAnsi="宋体" w:eastAsia="方正仿宋_GBK"/>
          <w:color w:val="auto"/>
          <w:sz w:val="24"/>
          <w:szCs w:val="24"/>
        </w:rPr>
        <w:t>采购人</w:t>
      </w:r>
      <w:r>
        <w:rPr>
          <w:rFonts w:ascii="方正仿宋_GBK" w:hAnsi="宋体" w:eastAsia="方正仿宋_GBK"/>
          <w:color w:val="auto"/>
          <w:sz w:val="24"/>
          <w:szCs w:val="24"/>
        </w:rPr>
        <w:t>校区内发生经济纠纷，在明确为</w:t>
      </w:r>
      <w:r>
        <w:rPr>
          <w:rFonts w:hint="eastAsia" w:ascii="方正仿宋_GBK" w:hAnsi="宋体" w:eastAsia="方正仿宋_GBK"/>
          <w:color w:val="auto"/>
          <w:sz w:val="24"/>
          <w:szCs w:val="24"/>
        </w:rPr>
        <w:t>中标人</w:t>
      </w:r>
      <w:r>
        <w:rPr>
          <w:rFonts w:ascii="方正仿宋_GBK" w:hAnsi="宋体" w:eastAsia="方正仿宋_GBK"/>
          <w:color w:val="auto"/>
          <w:sz w:val="24"/>
          <w:szCs w:val="24"/>
        </w:rPr>
        <w:t>责任和</w:t>
      </w:r>
      <w:r>
        <w:rPr>
          <w:rFonts w:hint="eastAsia" w:ascii="方正仿宋_GBK" w:hAnsi="宋体" w:eastAsia="方正仿宋_GBK"/>
          <w:color w:val="auto"/>
          <w:sz w:val="24"/>
          <w:szCs w:val="24"/>
        </w:rPr>
        <w:t>中标人</w:t>
      </w:r>
      <w:r>
        <w:rPr>
          <w:rFonts w:ascii="方正仿宋_GBK" w:hAnsi="宋体" w:eastAsia="方正仿宋_GBK"/>
          <w:color w:val="auto"/>
          <w:sz w:val="24"/>
          <w:szCs w:val="24"/>
        </w:rPr>
        <w:t>不愿及时解决纠纷或交通事故的情况下，</w:t>
      </w:r>
      <w:r>
        <w:rPr>
          <w:rFonts w:hint="eastAsia" w:ascii="方正仿宋_GBK" w:hAnsi="宋体" w:eastAsia="方正仿宋_GBK"/>
          <w:color w:val="auto"/>
          <w:sz w:val="24"/>
          <w:szCs w:val="24"/>
        </w:rPr>
        <w:t>采购人</w:t>
      </w:r>
      <w:r>
        <w:rPr>
          <w:rFonts w:ascii="方正仿宋_GBK" w:hAnsi="宋体" w:eastAsia="方正仿宋_GBK"/>
          <w:color w:val="auto"/>
          <w:sz w:val="24"/>
          <w:szCs w:val="24"/>
        </w:rPr>
        <w:t>有权暂缓支付货款或从货款扣除代为支付第三方。</w:t>
      </w:r>
      <w:r>
        <w:rPr>
          <w:rFonts w:hint="eastAsia" w:ascii="方正仿宋_GBK" w:hAnsi="宋体" w:eastAsia="方正仿宋_GBK"/>
          <w:color w:val="auto"/>
          <w:sz w:val="24"/>
          <w:szCs w:val="24"/>
        </w:rPr>
        <w:t>中标人工作</w:t>
      </w:r>
      <w:r>
        <w:rPr>
          <w:rFonts w:ascii="方正仿宋_GBK" w:hAnsi="宋体" w:eastAsia="方正仿宋_GBK"/>
          <w:color w:val="auto"/>
          <w:sz w:val="24"/>
          <w:szCs w:val="24"/>
        </w:rPr>
        <w:t>人员在食堂办理送事宜必须遵守食堂管理规定，发生安全问题责任自负。</w:t>
      </w:r>
    </w:p>
    <w:p w14:paraId="01729742">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w:t>
      </w:r>
      <w:r>
        <w:rPr>
          <w:rFonts w:ascii="方正仿宋_GBK" w:hAnsi="宋体" w:eastAsia="方正仿宋_GBK"/>
          <w:color w:val="auto"/>
          <w:sz w:val="24"/>
          <w:szCs w:val="24"/>
        </w:rPr>
        <w:t>因</w:t>
      </w:r>
      <w:r>
        <w:rPr>
          <w:rFonts w:hint="eastAsia" w:ascii="方正仿宋_GBK" w:hAnsi="宋体" w:eastAsia="方正仿宋_GBK"/>
          <w:color w:val="auto"/>
          <w:sz w:val="24"/>
          <w:szCs w:val="24"/>
        </w:rPr>
        <w:t>中标人</w:t>
      </w:r>
      <w:r>
        <w:rPr>
          <w:rFonts w:ascii="方正仿宋_GBK" w:hAnsi="宋体" w:eastAsia="方正仿宋_GBK"/>
          <w:color w:val="auto"/>
          <w:sz w:val="24"/>
          <w:szCs w:val="24"/>
        </w:rPr>
        <w:t>所供产品出现质量问题，造成</w:t>
      </w:r>
      <w:r>
        <w:rPr>
          <w:rFonts w:hint="eastAsia" w:ascii="方正仿宋_GBK" w:hAnsi="宋体" w:eastAsia="方正仿宋_GBK"/>
          <w:color w:val="auto"/>
          <w:sz w:val="24"/>
          <w:szCs w:val="24"/>
        </w:rPr>
        <w:t>采购人</w:t>
      </w:r>
      <w:r>
        <w:rPr>
          <w:rFonts w:ascii="方正仿宋_GBK" w:hAnsi="宋体" w:eastAsia="方正仿宋_GBK"/>
          <w:color w:val="auto"/>
          <w:sz w:val="24"/>
          <w:szCs w:val="24"/>
        </w:rPr>
        <w:t>服务对象及有关人员食用后出现一切不良反应的，经权威机构查实后，</w:t>
      </w:r>
      <w:r>
        <w:rPr>
          <w:rFonts w:hint="eastAsia" w:ascii="方正仿宋_GBK" w:hAnsi="宋体" w:eastAsia="方正仿宋_GBK"/>
          <w:color w:val="auto"/>
          <w:sz w:val="24"/>
          <w:szCs w:val="24"/>
        </w:rPr>
        <w:t>中标人</w:t>
      </w:r>
      <w:r>
        <w:rPr>
          <w:rFonts w:ascii="方正仿宋_GBK" w:hAnsi="宋体" w:eastAsia="方正仿宋_GBK"/>
          <w:color w:val="auto"/>
          <w:sz w:val="24"/>
          <w:szCs w:val="24"/>
        </w:rPr>
        <w:t>应承担全部法律、经济责任，并赔偿</w:t>
      </w:r>
      <w:r>
        <w:rPr>
          <w:rFonts w:hint="eastAsia" w:ascii="方正仿宋_GBK" w:hAnsi="宋体" w:eastAsia="方正仿宋_GBK"/>
          <w:color w:val="auto"/>
          <w:sz w:val="24"/>
          <w:szCs w:val="24"/>
        </w:rPr>
        <w:t>采购人</w:t>
      </w:r>
      <w:r>
        <w:rPr>
          <w:rFonts w:ascii="方正仿宋_GBK" w:hAnsi="宋体" w:eastAsia="方正仿宋_GBK"/>
          <w:color w:val="auto"/>
          <w:sz w:val="24"/>
          <w:szCs w:val="24"/>
        </w:rPr>
        <w:t>的损失。双方合同立即解除，没收履约保证金，</w:t>
      </w:r>
      <w:r>
        <w:rPr>
          <w:rFonts w:hint="eastAsia" w:ascii="方正仿宋_GBK" w:hAnsi="宋体" w:eastAsia="方正仿宋_GBK"/>
          <w:color w:val="auto"/>
          <w:sz w:val="24"/>
          <w:szCs w:val="24"/>
        </w:rPr>
        <w:t>采购人</w:t>
      </w:r>
      <w:r>
        <w:rPr>
          <w:rFonts w:ascii="方正仿宋_GBK" w:hAnsi="宋体" w:eastAsia="方正仿宋_GBK"/>
          <w:color w:val="auto"/>
          <w:sz w:val="24"/>
          <w:szCs w:val="24"/>
        </w:rPr>
        <w:t>保留向</w:t>
      </w:r>
      <w:r>
        <w:rPr>
          <w:rFonts w:hint="eastAsia" w:ascii="方正仿宋_GBK" w:hAnsi="宋体" w:eastAsia="方正仿宋_GBK"/>
          <w:color w:val="auto"/>
          <w:sz w:val="24"/>
          <w:szCs w:val="24"/>
        </w:rPr>
        <w:t>中标人</w:t>
      </w:r>
      <w:r>
        <w:rPr>
          <w:rFonts w:ascii="方正仿宋_GBK" w:hAnsi="宋体" w:eastAsia="方正仿宋_GBK"/>
          <w:color w:val="auto"/>
          <w:sz w:val="24"/>
          <w:szCs w:val="24"/>
        </w:rPr>
        <w:t>进一步追诉的权利。</w:t>
      </w:r>
    </w:p>
    <w:p w14:paraId="32787D35">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3.中标人</w:t>
      </w:r>
      <w:r>
        <w:rPr>
          <w:rFonts w:ascii="方正仿宋_GBK" w:hAnsi="宋体" w:eastAsia="方正仿宋_GBK"/>
          <w:color w:val="auto"/>
          <w:sz w:val="24"/>
          <w:szCs w:val="24"/>
        </w:rPr>
        <w:t>在供货期间，因</w:t>
      </w:r>
      <w:r>
        <w:rPr>
          <w:rFonts w:hint="eastAsia" w:ascii="方正仿宋_GBK" w:hAnsi="宋体" w:eastAsia="方正仿宋_GBK"/>
          <w:color w:val="auto"/>
          <w:sz w:val="24"/>
          <w:szCs w:val="24"/>
        </w:rPr>
        <w:t>中标人</w:t>
      </w:r>
      <w:r>
        <w:rPr>
          <w:rFonts w:ascii="方正仿宋_GBK" w:hAnsi="宋体" w:eastAsia="方正仿宋_GBK"/>
          <w:color w:val="auto"/>
          <w:sz w:val="24"/>
          <w:szCs w:val="24"/>
        </w:rPr>
        <w:t>原因造成事故事件等，</w:t>
      </w:r>
      <w:r>
        <w:rPr>
          <w:rFonts w:hint="eastAsia" w:ascii="方正仿宋_GBK" w:hAnsi="宋体" w:eastAsia="方正仿宋_GBK"/>
          <w:color w:val="auto"/>
          <w:sz w:val="24"/>
          <w:szCs w:val="24"/>
        </w:rPr>
        <w:t>采购人</w:t>
      </w:r>
      <w:r>
        <w:rPr>
          <w:rFonts w:ascii="方正仿宋_GBK" w:hAnsi="宋体" w:eastAsia="方正仿宋_GBK"/>
          <w:color w:val="auto"/>
          <w:sz w:val="24"/>
          <w:szCs w:val="24"/>
        </w:rPr>
        <w:t>不承担任何责任，所有后果由</w:t>
      </w:r>
      <w:r>
        <w:rPr>
          <w:rFonts w:hint="eastAsia" w:ascii="方正仿宋_GBK" w:hAnsi="宋体" w:eastAsia="方正仿宋_GBK"/>
          <w:color w:val="auto"/>
          <w:sz w:val="24"/>
          <w:szCs w:val="24"/>
        </w:rPr>
        <w:t>中标人</w:t>
      </w:r>
      <w:r>
        <w:rPr>
          <w:rFonts w:ascii="方正仿宋_GBK" w:hAnsi="宋体" w:eastAsia="方正仿宋_GBK"/>
          <w:color w:val="auto"/>
          <w:sz w:val="24"/>
          <w:szCs w:val="24"/>
        </w:rPr>
        <w:t>自行承担。</w:t>
      </w:r>
    </w:p>
    <w:p w14:paraId="3FF2A428">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4.中标人</w:t>
      </w:r>
      <w:r>
        <w:rPr>
          <w:rFonts w:ascii="方正仿宋_GBK" w:hAnsi="宋体" w:eastAsia="方正仿宋_GBK"/>
          <w:color w:val="auto"/>
          <w:sz w:val="24"/>
          <w:szCs w:val="24"/>
        </w:rPr>
        <w:t>在供货期间，应搞好运输车辆、器具及附近地面的清洁卫生，不能污染所经过区域。</w:t>
      </w:r>
    </w:p>
    <w:p w14:paraId="63B052FE">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5.采购人</w:t>
      </w:r>
      <w:r>
        <w:rPr>
          <w:rFonts w:ascii="方正仿宋_GBK" w:hAnsi="宋体" w:eastAsia="方正仿宋_GBK"/>
          <w:color w:val="auto"/>
          <w:sz w:val="24"/>
          <w:szCs w:val="24"/>
        </w:rPr>
        <w:t>部分收货地点车辆不能直达，需要人力转运，</w:t>
      </w:r>
      <w:r>
        <w:rPr>
          <w:rFonts w:hint="eastAsia" w:ascii="方正仿宋_GBK" w:hAnsi="宋体" w:eastAsia="方正仿宋_GBK"/>
          <w:color w:val="auto"/>
          <w:sz w:val="24"/>
          <w:szCs w:val="24"/>
        </w:rPr>
        <w:t>中标人</w:t>
      </w:r>
      <w:r>
        <w:rPr>
          <w:rFonts w:ascii="方正仿宋_GBK" w:hAnsi="宋体" w:eastAsia="方正仿宋_GBK"/>
          <w:color w:val="auto"/>
          <w:sz w:val="24"/>
          <w:szCs w:val="24"/>
        </w:rPr>
        <w:t>自行负责转运费和转运工具。转运过程中，</w:t>
      </w:r>
      <w:r>
        <w:rPr>
          <w:rFonts w:hint="eastAsia" w:ascii="方正仿宋_GBK" w:hAnsi="宋体" w:eastAsia="方正仿宋_GBK"/>
          <w:color w:val="auto"/>
          <w:sz w:val="24"/>
          <w:szCs w:val="24"/>
        </w:rPr>
        <w:t>中标人</w:t>
      </w:r>
      <w:r>
        <w:rPr>
          <w:rFonts w:ascii="方正仿宋_GBK" w:hAnsi="宋体" w:eastAsia="方正仿宋_GBK"/>
          <w:color w:val="auto"/>
          <w:sz w:val="24"/>
          <w:szCs w:val="24"/>
        </w:rPr>
        <w:t>应爱护</w:t>
      </w:r>
      <w:r>
        <w:rPr>
          <w:rFonts w:hint="eastAsia" w:ascii="方正仿宋_GBK" w:hAnsi="宋体" w:eastAsia="方正仿宋_GBK"/>
          <w:color w:val="auto"/>
          <w:sz w:val="24"/>
          <w:szCs w:val="24"/>
        </w:rPr>
        <w:t>采购人</w:t>
      </w:r>
      <w:r>
        <w:rPr>
          <w:rFonts w:ascii="方正仿宋_GBK" w:hAnsi="宋体" w:eastAsia="方正仿宋_GBK"/>
          <w:color w:val="auto"/>
          <w:sz w:val="24"/>
          <w:szCs w:val="24"/>
        </w:rPr>
        <w:t>提供的电梯，如有损坏应赔偿</w:t>
      </w:r>
      <w:r>
        <w:rPr>
          <w:rFonts w:hint="eastAsia" w:ascii="方正仿宋_GBK" w:hAnsi="宋体" w:eastAsia="方正仿宋_GBK"/>
          <w:color w:val="auto"/>
          <w:sz w:val="24"/>
          <w:szCs w:val="24"/>
        </w:rPr>
        <w:t>。</w:t>
      </w:r>
    </w:p>
    <w:p w14:paraId="51B9107C">
      <w:pPr>
        <w:snapToGrid w:val="0"/>
        <w:spacing w:line="276" w:lineRule="auto"/>
        <w:ind w:firstLine="559" w:firstLineChars="233"/>
        <w:rPr>
          <w:rFonts w:ascii="方正仿宋_GBK" w:hAnsi="宋体" w:eastAsia="方正仿宋_GBK"/>
          <w:color w:val="auto"/>
          <w:sz w:val="24"/>
          <w:szCs w:val="24"/>
        </w:rPr>
      </w:pPr>
      <w:r>
        <w:rPr>
          <w:rFonts w:hint="eastAsia" w:ascii="方正仿宋_GBK" w:hAnsi="宋体" w:eastAsia="方正仿宋_GBK"/>
          <w:color w:val="auto"/>
          <w:sz w:val="24"/>
          <w:szCs w:val="24"/>
        </w:rPr>
        <w:t>（五）服务人员</w:t>
      </w:r>
    </w:p>
    <w:p w14:paraId="6800C9BA">
      <w:pPr>
        <w:snapToGrid w:val="0"/>
        <w:spacing w:line="276" w:lineRule="auto"/>
        <w:ind w:firstLine="559" w:firstLineChars="233"/>
        <w:rPr>
          <w:rFonts w:ascii="方正仿宋_GBK" w:hAnsi="宋体" w:eastAsia="方正仿宋_GBK"/>
          <w:color w:val="auto"/>
          <w:sz w:val="24"/>
          <w:szCs w:val="24"/>
        </w:rPr>
      </w:pPr>
      <w:r>
        <w:rPr>
          <w:rFonts w:hint="eastAsia" w:ascii="方正仿宋_GBK" w:hAnsi="宋体" w:eastAsia="方正仿宋_GBK"/>
          <w:color w:val="auto"/>
          <w:sz w:val="24"/>
          <w:szCs w:val="24"/>
        </w:rPr>
        <w:t>1.供应商应提供本项目负责人信息（包含但不限于姓名、身份证、职务等）。</w:t>
      </w:r>
    </w:p>
    <w:p w14:paraId="66A34376">
      <w:pPr>
        <w:snapToGrid w:val="0"/>
        <w:spacing w:line="276" w:lineRule="auto"/>
        <w:ind w:firstLine="559" w:firstLineChars="233"/>
        <w:rPr>
          <w:rFonts w:ascii="方正仿宋_GBK" w:hAnsi="宋体" w:eastAsia="方正仿宋_GBK"/>
          <w:color w:val="auto"/>
          <w:sz w:val="24"/>
          <w:szCs w:val="24"/>
        </w:rPr>
      </w:pPr>
      <w:r>
        <w:rPr>
          <w:rFonts w:hint="eastAsia" w:ascii="方正仿宋_GBK" w:hAnsi="宋体" w:eastAsia="方正仿宋_GBK"/>
          <w:color w:val="auto"/>
          <w:sz w:val="24"/>
          <w:szCs w:val="24"/>
        </w:rPr>
        <w:t>2.供应商拟为本项目配备的固定的配送服务人员。中标人应在合同签订前提供配送人员供有效的身份证、健康证、驾驶证、在职证明等证明材料。</w:t>
      </w:r>
    </w:p>
    <w:p w14:paraId="2B3C74A4">
      <w:pPr>
        <w:snapToGrid w:val="0"/>
        <w:spacing w:line="276" w:lineRule="auto"/>
        <w:ind w:firstLine="559" w:firstLineChars="233"/>
        <w:rPr>
          <w:rFonts w:ascii="方正仿宋_GBK" w:hAnsi="宋体" w:eastAsia="方正仿宋_GBK" w:cs="宋体"/>
          <w:color w:val="auto"/>
          <w:kern w:val="0"/>
          <w:sz w:val="24"/>
          <w:szCs w:val="24"/>
        </w:rPr>
      </w:pPr>
      <w:r>
        <w:rPr>
          <w:rFonts w:hint="eastAsia" w:ascii="方正仿宋_GBK" w:hAnsi="宋体" w:eastAsia="方正仿宋_GBK"/>
          <w:color w:val="auto"/>
          <w:sz w:val="24"/>
          <w:szCs w:val="24"/>
        </w:rPr>
        <w:t>3.以上人员在项目实施期间未经采购人同意不得随意更换</w:t>
      </w:r>
      <w:r>
        <w:rPr>
          <w:rFonts w:hint="eastAsia" w:ascii="方正仿宋_GBK" w:hAnsi="宋体" w:eastAsia="方正仿宋_GBK"/>
          <w:color w:val="auto"/>
          <w:sz w:val="24"/>
          <w:szCs w:val="24"/>
          <w:lang w:val="zh-CN"/>
        </w:rPr>
        <w:t>，因客观原因确需调整的，中标人应提前书面申请，经采购人后勤处同意后方可实施</w:t>
      </w:r>
      <w:r>
        <w:rPr>
          <w:rFonts w:hint="eastAsia" w:ascii="方正仿宋_GBK" w:hAnsi="宋体" w:eastAsia="方正仿宋_GBK"/>
          <w:color w:val="auto"/>
          <w:sz w:val="24"/>
          <w:szCs w:val="24"/>
        </w:rPr>
        <w:t>。</w:t>
      </w:r>
    </w:p>
    <w:bookmarkEnd w:id="70"/>
    <w:p w14:paraId="517674B9">
      <w:pPr>
        <w:pStyle w:val="5"/>
        <w:rPr>
          <w:rFonts w:ascii="方正仿宋_GBK" w:hAnsi="方正仿宋_GBK" w:eastAsia="方正仿宋_GBK" w:cs="方正仿宋_GBK"/>
          <w:b/>
          <w:color w:val="auto"/>
          <w:sz w:val="24"/>
          <w:szCs w:val="24"/>
        </w:rPr>
      </w:pPr>
      <w:bookmarkStart w:id="76" w:name="_Toc75452490"/>
      <w:bookmarkStart w:id="77" w:name="_Toc12376"/>
      <w:bookmarkStart w:id="78" w:name="_Toc267320052"/>
      <w:r>
        <w:rPr>
          <w:rFonts w:hint="eastAsia" w:ascii="方正仿宋_GBK" w:eastAsia="方正仿宋_GBK"/>
          <w:color w:val="auto"/>
          <w:sz w:val="24"/>
          <w:szCs w:val="24"/>
        </w:rPr>
        <w:t>※</w:t>
      </w:r>
      <w:r>
        <w:rPr>
          <w:rFonts w:hint="eastAsia" w:ascii="方正仿宋_GBK" w:hAnsi="方正仿宋_GBK" w:eastAsia="方正仿宋_GBK" w:cs="方正仿宋_GBK"/>
          <w:b/>
          <w:color w:val="auto"/>
          <w:sz w:val="24"/>
          <w:szCs w:val="24"/>
        </w:rPr>
        <w:t>四、履约保证金</w:t>
      </w:r>
      <w:bookmarkEnd w:id="76"/>
      <w:bookmarkEnd w:id="77"/>
    </w:p>
    <w:p w14:paraId="0EFB4E36">
      <w:pPr>
        <w:snapToGrid w:val="0"/>
        <w:spacing w:line="276" w:lineRule="auto"/>
        <w:ind w:firstLine="559" w:firstLineChars="233"/>
        <w:rPr>
          <w:rFonts w:ascii="方正仿宋_GBK" w:hAnsi="宋体" w:eastAsia="方正仿宋_GBK"/>
          <w:b/>
          <w:bCs/>
          <w:color w:val="auto"/>
          <w:sz w:val="24"/>
          <w:szCs w:val="24"/>
        </w:rPr>
      </w:pPr>
      <w:r>
        <w:rPr>
          <w:rFonts w:hint="eastAsia" w:ascii="方正仿宋_GBK" w:hAnsi="宋体" w:eastAsia="方正仿宋_GBK"/>
          <w:color w:val="auto"/>
          <w:sz w:val="24"/>
          <w:szCs w:val="24"/>
        </w:rPr>
        <w:t>（一）中标人须在采购人签订合同前向采购人交纳履约保证金7</w:t>
      </w:r>
      <w:r>
        <w:rPr>
          <w:rFonts w:ascii="方正仿宋_GBK" w:hAnsi="宋体" w:eastAsia="方正仿宋_GBK"/>
          <w:color w:val="auto"/>
          <w:sz w:val="24"/>
          <w:szCs w:val="24"/>
        </w:rPr>
        <w:t>.5</w:t>
      </w:r>
      <w:r>
        <w:rPr>
          <w:rFonts w:hint="eastAsia" w:ascii="方正仿宋_GBK" w:hAnsi="宋体" w:eastAsia="方正仿宋_GBK"/>
          <w:color w:val="auto"/>
          <w:sz w:val="24"/>
          <w:szCs w:val="24"/>
        </w:rPr>
        <w:t>万元，确保项目按期、按质进行。中标人若发生部分违约现象，采购人从履约保证金中扣除相应金额的违约金；若发现严重违约现象，采购人有充分理由没收其全额保证金。</w:t>
      </w:r>
    </w:p>
    <w:p w14:paraId="0F6A1208">
      <w:pPr>
        <w:snapToGrid w:val="0"/>
        <w:spacing w:line="276" w:lineRule="auto"/>
        <w:ind w:left="140" w:leftChars="50"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二）履约保证金缴纳方式：以转账、电汇等方式交到重庆工商大学指定的银行基本账户，不得以现金或其他方式划入任何个人账户，否则由此产生的所有损失由中标人自行承担。中标人务必在汇款凭证上注明项目编号“CTBU-JZ2025</w:t>
      </w:r>
      <w:r>
        <w:rPr>
          <w:rFonts w:hint="eastAsia" w:ascii="方正仿宋_GBK" w:hAnsi="宋体" w:eastAsia="方正仿宋_GBK"/>
          <w:color w:val="auto"/>
          <w:sz w:val="24"/>
          <w:szCs w:val="24"/>
          <w:lang w:val="en-US" w:eastAsia="zh-CN"/>
        </w:rPr>
        <w:t>111</w:t>
      </w:r>
      <w:r>
        <w:rPr>
          <w:rFonts w:hint="eastAsia" w:ascii="方正仿宋_GBK" w:hAnsi="宋体" w:eastAsia="方正仿宋_GBK"/>
          <w:color w:val="auto"/>
          <w:sz w:val="24"/>
          <w:szCs w:val="24"/>
        </w:rPr>
        <w:t>”。</w:t>
      </w:r>
    </w:p>
    <w:p w14:paraId="7DF5456E">
      <w:pPr>
        <w:snapToGrid w:val="0"/>
        <w:spacing w:line="276" w:lineRule="auto"/>
        <w:ind w:left="140" w:leftChars="50"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（三）履约保证金指定收取账户</w:t>
      </w:r>
    </w:p>
    <w:p w14:paraId="2087EE95">
      <w:pPr>
        <w:snapToGrid w:val="0"/>
        <w:spacing w:line="276" w:lineRule="auto"/>
        <w:ind w:left="140" w:leftChars="50"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户名：重庆工商大学</w:t>
      </w:r>
    </w:p>
    <w:p w14:paraId="15D4DA9D">
      <w:pPr>
        <w:snapToGrid w:val="0"/>
        <w:spacing w:line="276" w:lineRule="auto"/>
        <w:ind w:left="140" w:leftChars="50"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开户行：工行重庆南岸学府支行</w:t>
      </w:r>
    </w:p>
    <w:p w14:paraId="3A51A554">
      <w:pPr>
        <w:snapToGrid w:val="0"/>
        <w:spacing w:line="276" w:lineRule="auto"/>
        <w:ind w:left="140" w:leftChars="50"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账号：9558 8531 0075 3300 031</w:t>
      </w:r>
    </w:p>
    <w:p w14:paraId="14DA055D">
      <w:pPr>
        <w:snapToGrid w:val="0"/>
        <w:spacing w:line="276" w:lineRule="auto"/>
        <w:ind w:left="140" w:leftChars="50"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（四）履约保证金补交</w:t>
      </w:r>
    </w:p>
    <w:p w14:paraId="74EED5D1">
      <w:pPr>
        <w:snapToGrid w:val="0"/>
        <w:spacing w:line="276" w:lineRule="auto"/>
        <w:ind w:left="140" w:leftChars="50"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履约保证金被扣罚的金额，中标人应在扣罚之日起5个工作日内补缴履约保证金，若未</w:t>
      </w:r>
      <w:bookmarkStart w:id="79" w:name="OLE_LINK39"/>
      <w:bookmarkStart w:id="80" w:name="OLE_LINK38"/>
      <w:r>
        <w:rPr>
          <w:rFonts w:hint="eastAsia" w:ascii="方正仿宋_GBK" w:hAnsi="宋体" w:eastAsia="方正仿宋_GBK"/>
          <w:color w:val="auto"/>
          <w:sz w:val="24"/>
          <w:szCs w:val="24"/>
        </w:rPr>
        <w:t>按时补缴的，</w:t>
      </w:r>
      <w:bookmarkEnd w:id="79"/>
      <w:bookmarkEnd w:id="80"/>
      <w:r>
        <w:rPr>
          <w:rFonts w:hint="eastAsia" w:ascii="方正仿宋_GBK" w:hAnsi="宋体" w:eastAsia="方正仿宋_GBK"/>
          <w:color w:val="auto"/>
          <w:sz w:val="24"/>
          <w:szCs w:val="24"/>
        </w:rPr>
        <w:t>每逾期1个日历日，采购人有权要求中标人支付履约保证金总额1%的违约金；逾期超过15个日历日，采购人有权终止合同，并没收剩余的履约保证金。</w:t>
      </w:r>
    </w:p>
    <w:p w14:paraId="624D2110">
      <w:pPr>
        <w:snapToGrid w:val="0"/>
        <w:spacing w:line="276" w:lineRule="auto"/>
        <w:ind w:left="140" w:leftChars="50"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（五）履约保证金退还方式</w:t>
      </w:r>
    </w:p>
    <w:p w14:paraId="31DF375B">
      <w:pPr>
        <w:snapToGrid w:val="0"/>
        <w:spacing w:line="276" w:lineRule="auto"/>
        <w:ind w:left="140" w:leftChars="50" w:firstLine="600" w:firstLineChars="250"/>
        <w:rPr>
          <w:rFonts w:ascii="方正仿宋_GBK" w:hAnsi="宋体" w:eastAsia="方正仿宋_GBK"/>
          <w:color w:val="auto"/>
          <w:sz w:val="24"/>
          <w:szCs w:val="24"/>
        </w:rPr>
      </w:pPr>
      <w:r>
        <w:rPr>
          <w:rFonts w:hint="eastAsia" w:ascii="方正仿宋_GBK" w:hAnsi="宋体" w:eastAsia="方正仿宋_GBK"/>
          <w:color w:val="auto"/>
          <w:sz w:val="24"/>
          <w:szCs w:val="24"/>
        </w:rPr>
        <w:t>1.合同服务期满，中标人履约完成且无任何遗留问题后，采购人全额无息退还履约保证金至中标人基本账户。</w:t>
      </w:r>
    </w:p>
    <w:p w14:paraId="45F2FBE4">
      <w:pPr>
        <w:snapToGrid w:val="0"/>
        <w:spacing w:line="276" w:lineRule="auto"/>
        <w:ind w:left="140" w:leftChars="50" w:firstLine="600" w:firstLineChars="250"/>
        <w:rPr>
          <w:rFonts w:ascii="方正仿宋_GBK" w:hAnsi="宋体" w:eastAsia="方正仿宋_GBK"/>
          <w:color w:val="auto"/>
          <w:sz w:val="24"/>
          <w:szCs w:val="24"/>
        </w:rPr>
      </w:pPr>
      <w:r>
        <w:rPr>
          <w:rFonts w:hint="eastAsia" w:ascii="方正仿宋_GBK" w:hAnsi="宋体" w:eastAsia="方正仿宋_GBK"/>
          <w:color w:val="auto"/>
          <w:sz w:val="24"/>
          <w:szCs w:val="24"/>
        </w:rPr>
        <w:t>2.中标人申请退履约保证金时提供需求部门、资产管理处签署的《重庆工商大学货物服务项目质量评估报告及履约保证金退还审核流程表》。</w:t>
      </w:r>
    </w:p>
    <w:bookmarkEnd w:id="78"/>
    <w:p w14:paraId="25463B46">
      <w:pPr>
        <w:pStyle w:val="5"/>
        <w:rPr>
          <w:rFonts w:ascii="方正仿宋_GBK" w:hAnsi="方正仿宋_GBK" w:eastAsia="方正仿宋_GBK" w:cs="方正仿宋_GBK"/>
          <w:b/>
          <w:color w:val="auto"/>
          <w:sz w:val="24"/>
          <w:szCs w:val="24"/>
        </w:rPr>
      </w:pPr>
      <w:bookmarkStart w:id="81" w:name="_Toc7708"/>
      <w:bookmarkStart w:id="82" w:name="_Toc75452491"/>
      <w:bookmarkStart w:id="83" w:name="_Toc25557"/>
      <w:bookmarkStart w:id="84" w:name="_Toc23969"/>
      <w:bookmarkStart w:id="85" w:name="_Toc18012"/>
      <w:bookmarkStart w:id="86" w:name="_Toc267320053"/>
      <w:bookmarkStart w:id="87" w:name="_Toc524622133"/>
      <w:r>
        <w:rPr>
          <w:rFonts w:hint="eastAsia" w:ascii="方正仿宋_GBK" w:eastAsia="方正仿宋_GBK"/>
          <w:color w:val="auto"/>
          <w:sz w:val="24"/>
          <w:szCs w:val="24"/>
        </w:rPr>
        <w:t>※</w:t>
      </w:r>
      <w:r>
        <w:rPr>
          <w:rFonts w:hint="eastAsia" w:ascii="方正仿宋_GBK" w:hAnsi="方正仿宋_GBK" w:eastAsia="方正仿宋_GBK" w:cs="方正仿宋_GBK"/>
          <w:b/>
          <w:color w:val="auto"/>
          <w:sz w:val="24"/>
          <w:szCs w:val="24"/>
        </w:rPr>
        <w:t>五、付款方式</w:t>
      </w:r>
      <w:bookmarkEnd w:id="81"/>
      <w:bookmarkEnd w:id="82"/>
      <w:bookmarkEnd w:id="83"/>
      <w:bookmarkEnd w:id="84"/>
      <w:bookmarkEnd w:id="85"/>
    </w:p>
    <w:p w14:paraId="30416F1A">
      <w:pPr>
        <w:numPr>
          <w:ilvl w:val="0"/>
          <w:numId w:val="1"/>
        </w:numPr>
        <w:snapToGrid w:val="0"/>
        <w:spacing w:line="276" w:lineRule="auto"/>
        <w:ind w:left="140" w:leftChars="50"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付款方式：每月验收合格后按月支付。实行按月支付（寒暑假在开学后第一个月结算），原则上当月货款在次月26日前结清。若中标人未按照采购人规定的时间办理结账手续，当月不再结算。</w:t>
      </w:r>
    </w:p>
    <w:p w14:paraId="213F8B4C">
      <w:pPr>
        <w:numPr>
          <w:ilvl w:val="0"/>
          <w:numId w:val="0"/>
        </w:num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（二）结算货款时，中标人需提供国家税务部门认可的正规发票，采购人以转账方式向中标人支付货款。</w:t>
      </w:r>
    </w:p>
    <w:p w14:paraId="7C16E4ED">
      <w:pPr>
        <w:snapToGrid w:val="0"/>
        <w:spacing w:line="276" w:lineRule="auto"/>
        <w:ind w:left="140" w:leftChars="50"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（三）结算</w:t>
      </w:r>
    </w:p>
    <w:p w14:paraId="249817FA">
      <w:pPr>
        <w:spacing w:line="400" w:lineRule="exact"/>
        <w:ind w:firstLine="480" w:firstLineChars="200"/>
        <w:rPr>
          <w:rFonts w:ascii="方正仿宋_GBK" w:hAnsi="方正仿宋_GBK" w:eastAsia="方正仿宋_GBK" w:cs="方正仿宋_GBK"/>
          <w:bCs/>
          <w:color w:val="auto"/>
          <w:sz w:val="24"/>
          <w:szCs w:val="24"/>
        </w:rPr>
      </w:pPr>
      <w:r>
        <w:rPr>
          <w:rFonts w:hint="eastAsia" w:ascii="方正仿宋_GBK" w:hAnsi="方正仿宋_GBK" w:eastAsia="方正仿宋_GBK" w:cs="方正仿宋_GBK"/>
          <w:bCs/>
          <w:color w:val="auto"/>
          <w:sz w:val="24"/>
          <w:szCs w:val="24"/>
        </w:rPr>
        <w:t>1.以中标供应商填报的折扣系数为“</w:t>
      </w:r>
      <w:r>
        <w:rPr>
          <w:rFonts w:hint="eastAsia" w:ascii="方正仿宋_GBK" w:hAnsi="方正仿宋_GBK" w:eastAsia="方正仿宋_GBK" w:cs="方正仿宋_GBK"/>
          <w:b/>
          <w:color w:val="auto"/>
          <w:sz w:val="24"/>
          <w:szCs w:val="24"/>
        </w:rPr>
        <w:t>结算折扣系数</w:t>
      </w:r>
      <w:r>
        <w:rPr>
          <w:rFonts w:hint="eastAsia" w:ascii="方正仿宋_GBK" w:hAnsi="方正仿宋_GBK" w:eastAsia="方正仿宋_GBK" w:cs="方正仿宋_GBK"/>
          <w:bCs/>
          <w:color w:val="auto"/>
          <w:sz w:val="24"/>
          <w:szCs w:val="24"/>
        </w:rPr>
        <w:t>”；</w:t>
      </w:r>
    </w:p>
    <w:p w14:paraId="054FC168">
      <w:pPr>
        <w:spacing w:line="400" w:lineRule="exact"/>
        <w:ind w:firstLine="480" w:firstLineChars="200"/>
        <w:rPr>
          <w:rFonts w:ascii="方正仿宋_GBK" w:hAnsi="方正仿宋_GBK" w:eastAsia="方正仿宋_GBK" w:cs="方正仿宋_GBK"/>
          <w:bCs/>
          <w:color w:val="auto"/>
          <w:sz w:val="24"/>
          <w:szCs w:val="24"/>
        </w:rPr>
      </w:pPr>
      <w:r>
        <w:rPr>
          <w:rFonts w:hint="eastAsia" w:ascii="方正仿宋_GBK" w:hAnsi="方正仿宋_GBK" w:eastAsia="方正仿宋_GBK" w:cs="方正仿宋_GBK"/>
          <w:bCs/>
          <w:color w:val="auto"/>
          <w:sz w:val="24"/>
          <w:szCs w:val="24"/>
        </w:rPr>
        <w:t>2.以中标供应商和采购人双方确认的各货品的基价乘以中标结算折扣系数作为“</w:t>
      </w:r>
      <w:r>
        <w:rPr>
          <w:rFonts w:hint="eastAsia" w:ascii="方正仿宋_GBK" w:hAnsi="方正仿宋_GBK" w:eastAsia="方正仿宋_GBK" w:cs="方正仿宋_GBK"/>
          <w:b/>
          <w:color w:val="auto"/>
          <w:sz w:val="24"/>
          <w:szCs w:val="24"/>
        </w:rPr>
        <w:t>结算单价</w:t>
      </w:r>
      <w:r>
        <w:rPr>
          <w:rFonts w:hint="eastAsia" w:ascii="方正仿宋_GBK" w:hAnsi="方正仿宋_GBK" w:eastAsia="方正仿宋_GBK" w:cs="方正仿宋_GBK"/>
          <w:bCs/>
          <w:color w:val="auto"/>
          <w:sz w:val="24"/>
          <w:szCs w:val="24"/>
        </w:rPr>
        <w:t>”保留两位小数，四舍五入；</w:t>
      </w:r>
    </w:p>
    <w:p w14:paraId="12A34556">
      <w:pPr>
        <w:snapToGrid w:val="0"/>
        <w:spacing w:line="276" w:lineRule="auto"/>
        <w:ind w:left="140" w:leftChars="50" w:firstLine="361" w:firstLineChars="150"/>
        <w:rPr>
          <w:rFonts w:ascii="方正仿宋_GBK" w:hAnsi="宋体" w:eastAsia="方正仿宋_GBK"/>
          <w:color w:val="auto"/>
          <w:sz w:val="24"/>
          <w:szCs w:val="24"/>
        </w:rPr>
      </w:pPr>
      <w:r>
        <w:rPr>
          <w:rFonts w:hint="eastAsia" w:ascii="方正仿宋_GBK" w:hAnsi="方正仿宋_GBK" w:eastAsia="方正仿宋_GBK" w:cs="方正仿宋_GBK"/>
          <w:b/>
          <w:color w:val="auto"/>
          <w:sz w:val="24"/>
          <w:szCs w:val="24"/>
        </w:rPr>
        <w:t>3.当月最终结算金额=</w:t>
      </w:r>
      <w:r>
        <w:rPr>
          <w:rFonts w:hint="eastAsia" w:ascii="微软雅黑" w:hAnsi="微软雅黑" w:eastAsia="微软雅黑" w:cs="微软雅黑"/>
          <w:b/>
          <w:color w:val="auto"/>
          <w:sz w:val="24"/>
          <w:szCs w:val="24"/>
        </w:rPr>
        <w:t>∑</w:t>
      </w:r>
      <w:r>
        <w:rPr>
          <w:rFonts w:hint="eastAsia" w:ascii="方正仿宋_GBK" w:hAnsi="方正仿宋_GBK" w:eastAsia="方正仿宋_GBK" w:cs="方正仿宋_GBK"/>
          <w:b/>
          <w:color w:val="auto"/>
          <w:sz w:val="24"/>
          <w:szCs w:val="24"/>
        </w:rPr>
        <w:t>（货品结算单价</w:t>
      </w:r>
      <w:r>
        <w:rPr>
          <w:rFonts w:hint="eastAsia" w:ascii="方正仿宋_GBK" w:hAnsi="宋体" w:eastAsia="方正仿宋_GBK"/>
          <w:color w:val="auto"/>
          <w:sz w:val="24"/>
          <w:szCs w:val="24"/>
        </w:rPr>
        <w:t>×</w:t>
      </w:r>
      <w:r>
        <w:rPr>
          <w:rFonts w:hint="eastAsia" w:ascii="方正仿宋_GBK" w:hAnsi="方正仿宋_GBK" w:eastAsia="方正仿宋_GBK" w:cs="方正仿宋_GBK"/>
          <w:b/>
          <w:color w:val="auto"/>
          <w:sz w:val="24"/>
          <w:szCs w:val="24"/>
        </w:rPr>
        <w:t>实际采购数量）-扣除金额（如有），据实结算。</w:t>
      </w:r>
    </w:p>
    <w:p w14:paraId="39DE2605">
      <w:pPr>
        <w:pStyle w:val="5"/>
        <w:rPr>
          <w:rFonts w:ascii="方正仿宋_GBK" w:hAnsi="方正仿宋_GBK" w:eastAsia="方正仿宋_GBK" w:cs="方正仿宋_GBK"/>
          <w:b/>
          <w:color w:val="auto"/>
          <w:sz w:val="24"/>
          <w:szCs w:val="24"/>
        </w:rPr>
      </w:pPr>
      <w:bookmarkStart w:id="88" w:name="_Toc11176"/>
      <w:bookmarkStart w:id="89" w:name="_Toc26440"/>
      <w:bookmarkStart w:id="90" w:name="_Toc26680"/>
      <w:bookmarkStart w:id="91" w:name="_Toc75452492"/>
      <w:bookmarkStart w:id="92" w:name="_Toc21875"/>
      <w:r>
        <w:rPr>
          <w:rFonts w:hint="eastAsia" w:ascii="方正仿宋_GBK" w:eastAsia="方正仿宋_GBK"/>
          <w:color w:val="auto"/>
          <w:sz w:val="24"/>
          <w:szCs w:val="24"/>
        </w:rPr>
        <w:t>※</w:t>
      </w:r>
      <w:r>
        <w:rPr>
          <w:rFonts w:hint="eastAsia" w:ascii="方正仿宋_GBK" w:hAnsi="方正仿宋_GBK" w:eastAsia="方正仿宋_GBK" w:cs="方正仿宋_GBK"/>
          <w:b/>
          <w:color w:val="auto"/>
          <w:sz w:val="24"/>
          <w:szCs w:val="24"/>
        </w:rPr>
        <w:t>六、</w:t>
      </w:r>
      <w:bookmarkEnd w:id="88"/>
      <w:bookmarkEnd w:id="89"/>
      <w:bookmarkEnd w:id="90"/>
      <w:bookmarkEnd w:id="91"/>
      <w:r>
        <w:rPr>
          <w:rFonts w:hint="eastAsia" w:ascii="方正仿宋_GBK" w:hAnsi="方正仿宋_GBK" w:eastAsia="方正仿宋_GBK" w:cs="方正仿宋_GBK"/>
          <w:b/>
          <w:color w:val="auto"/>
          <w:sz w:val="24"/>
          <w:szCs w:val="24"/>
        </w:rPr>
        <w:t>结算方式</w:t>
      </w:r>
      <w:bookmarkEnd w:id="92"/>
    </w:p>
    <w:p w14:paraId="6079502D">
      <w:pPr>
        <w:spacing w:line="400" w:lineRule="exact"/>
        <w:ind w:firstLine="480" w:firstLineChars="200"/>
        <w:rPr>
          <w:rFonts w:ascii="方正仿宋_GBK" w:hAnsi="方正仿宋_GBK" w:eastAsia="方正仿宋_GBK" w:cs="方正仿宋_GBK"/>
          <w:bCs/>
          <w:color w:val="auto"/>
          <w:sz w:val="24"/>
          <w:szCs w:val="24"/>
        </w:rPr>
      </w:pPr>
      <w:r>
        <w:rPr>
          <w:rFonts w:hint="eastAsia" w:ascii="方正仿宋_GBK" w:hAnsi="方正仿宋_GBK" w:eastAsia="方正仿宋_GBK" w:cs="方正仿宋_GBK"/>
          <w:bCs/>
          <w:color w:val="auto"/>
          <w:sz w:val="24"/>
          <w:szCs w:val="24"/>
        </w:rPr>
        <w:t>各单品结算单价=单价最高限价×中标折扣系数，合同期内价格不变。</w:t>
      </w:r>
    </w:p>
    <w:p w14:paraId="1A15759B">
      <w:pPr>
        <w:pStyle w:val="5"/>
        <w:rPr>
          <w:rFonts w:ascii="方正仿宋_GBK" w:hAnsi="方正仿宋_GBK" w:eastAsia="方正仿宋_GBK" w:cs="方正仿宋_GBK"/>
          <w:b/>
          <w:color w:val="auto"/>
          <w:sz w:val="24"/>
          <w:szCs w:val="24"/>
        </w:rPr>
      </w:pPr>
      <w:bookmarkStart w:id="93" w:name="_Toc8242"/>
      <w:r>
        <w:rPr>
          <w:rFonts w:hint="eastAsia" w:ascii="方正仿宋_GBK" w:eastAsia="方正仿宋_GBK"/>
          <w:color w:val="auto"/>
          <w:sz w:val="24"/>
          <w:szCs w:val="24"/>
        </w:rPr>
        <w:t>※</w:t>
      </w:r>
      <w:r>
        <w:rPr>
          <w:rFonts w:hint="eastAsia" w:ascii="方正仿宋_GBK" w:hAnsi="方正仿宋_GBK" w:eastAsia="方正仿宋_GBK" w:cs="方正仿宋_GBK"/>
          <w:b/>
          <w:color w:val="auto"/>
          <w:sz w:val="24"/>
          <w:szCs w:val="24"/>
        </w:rPr>
        <w:t>七、违约责任</w:t>
      </w:r>
      <w:bookmarkEnd w:id="93"/>
    </w:p>
    <w:p w14:paraId="4E94899C">
      <w:pPr>
        <w:snapToGrid w:val="0"/>
        <w:spacing w:line="276" w:lineRule="auto"/>
        <w:ind w:left="140" w:leftChars="50" w:firstLine="360" w:firstLineChars="150"/>
        <w:rPr>
          <w:rFonts w:ascii="方正仿宋_GBK" w:hAnsi="宋体" w:eastAsia="方正仿宋_GBK"/>
          <w:color w:val="auto"/>
          <w:sz w:val="24"/>
          <w:szCs w:val="24"/>
        </w:rPr>
      </w:pPr>
      <w:bookmarkStart w:id="94" w:name="_Hlk68075709"/>
      <w:r>
        <w:rPr>
          <w:rFonts w:hint="eastAsia" w:ascii="方正仿宋_GBK" w:hAnsi="宋体" w:eastAsia="方正仿宋_GBK"/>
          <w:color w:val="auto"/>
          <w:sz w:val="24"/>
          <w:szCs w:val="24"/>
        </w:rPr>
        <w:t>（一）采购人可通过现场考察、函询等多种方式对中标人的响应文件响应情况予以核查，中标人须无条件配合并提供有关证明材料，证明其响应内容的真实有效性。合同签订前，采购人若发现中标人进行虚假响应或提供虚假材料的，有权取消中标人的中标资格，全额没收投标保证金（如有）；合同签订后，采购人若查实中标人进行虚假响应或提供虚假材料的，采购人有权单方面终止合同，全额没收履约保证金，采购人不承担任何责任。</w:t>
      </w:r>
    </w:p>
    <w:p w14:paraId="732A52B0">
      <w:pPr>
        <w:snapToGrid w:val="0"/>
        <w:spacing w:line="276" w:lineRule="auto"/>
        <w:ind w:left="140" w:leftChars="50" w:firstLine="361" w:firstLineChars="150"/>
        <w:rPr>
          <w:rFonts w:ascii="方正仿宋_GBK" w:hAnsi="宋体" w:eastAsia="方正仿宋_GBK"/>
          <w:b/>
          <w:bCs/>
          <w:color w:val="auto"/>
          <w:sz w:val="24"/>
          <w:szCs w:val="24"/>
        </w:rPr>
      </w:pPr>
      <w:r>
        <w:rPr>
          <w:rFonts w:hint="eastAsia" w:ascii="方正仿宋_GBK" w:hAnsi="宋体" w:eastAsia="方正仿宋_GBK"/>
          <w:b/>
          <w:bCs/>
          <w:color w:val="auto"/>
          <w:sz w:val="24"/>
          <w:szCs w:val="24"/>
        </w:rPr>
        <w:t>（二）合同价款的扣除情形</w:t>
      </w:r>
    </w:p>
    <w:p w14:paraId="22E1CB99">
      <w:pPr>
        <w:snapToGrid w:val="0"/>
        <w:spacing w:line="276" w:lineRule="auto"/>
        <w:ind w:firstLine="499" w:firstLineChars="208"/>
        <w:rPr>
          <w:rFonts w:ascii="方正仿宋_GBK" w:hAnsi="宋体" w:eastAsia="方正仿宋_GBK"/>
          <w:color w:val="auto"/>
          <w:sz w:val="24"/>
          <w:szCs w:val="24"/>
        </w:rPr>
      </w:pPr>
      <w:r>
        <w:rPr>
          <w:rFonts w:hint="eastAsia" w:ascii="方正仿宋_GBK" w:hAnsi="宋体" w:eastAsia="方正仿宋_GBK"/>
          <w:color w:val="auto"/>
          <w:sz w:val="24"/>
          <w:szCs w:val="24"/>
        </w:rPr>
        <w:t>1.除不可抗力因素外，中标人供货不及时对采购人正常经营情况造成轻微影响的，中标人应以该批货物价款总额的50％向采购人支付赔偿金；中标人供货不及时，严重影响采购人正常经营的，采购人有权解除合同，中标人应以该批货款总额1倍向采购人支付赔偿金。</w:t>
      </w:r>
    </w:p>
    <w:p w14:paraId="3D2251D6">
      <w:pPr>
        <w:snapToGrid w:val="0"/>
        <w:spacing w:line="276" w:lineRule="auto"/>
        <w:ind w:firstLine="499" w:firstLineChars="208"/>
        <w:rPr>
          <w:rFonts w:ascii="方正仿宋_GBK" w:hAnsi="宋体" w:eastAsia="方正仿宋_GBK"/>
          <w:color w:val="auto"/>
          <w:sz w:val="24"/>
          <w:szCs w:val="24"/>
        </w:rPr>
      </w:pPr>
      <w:r>
        <w:rPr>
          <w:rFonts w:hint="eastAsia" w:ascii="方正仿宋_GBK" w:hAnsi="宋体" w:eastAsia="方正仿宋_GBK"/>
          <w:color w:val="auto"/>
          <w:sz w:val="24"/>
          <w:szCs w:val="24"/>
        </w:rPr>
        <w:t>2.中标人同一批次货物缺公斤少两达到1％及其以上的，采购人扣罚中标人该批货物短缺部分的1倍货款。</w:t>
      </w:r>
    </w:p>
    <w:p w14:paraId="6980186E">
      <w:pPr>
        <w:snapToGrid w:val="0"/>
        <w:spacing w:line="276" w:lineRule="auto"/>
        <w:ind w:firstLine="499" w:firstLineChars="208"/>
        <w:rPr>
          <w:rFonts w:ascii="方正仿宋_GBK" w:hAnsi="宋体" w:eastAsia="方正仿宋_GBK"/>
          <w:color w:val="auto"/>
          <w:sz w:val="24"/>
          <w:szCs w:val="24"/>
        </w:rPr>
      </w:pPr>
      <w:r>
        <w:rPr>
          <w:rFonts w:hint="eastAsia" w:ascii="方正仿宋_GBK" w:hAnsi="宋体" w:eastAsia="方正仿宋_GBK"/>
          <w:color w:val="auto"/>
          <w:sz w:val="24"/>
          <w:szCs w:val="24"/>
        </w:rPr>
        <w:t>3.中标人同一批次货物所供质量不合格数量占该批次货物数量的1％及以上的，中标人应以该批次质量不合格货物价款的1倍向采购人支付赔偿金；在合同有效期内，上述情况连续出现三次的，采购人有权解除合同，中标人缴纳的履约保证金不予以退还。</w:t>
      </w:r>
    </w:p>
    <w:p w14:paraId="49ED3DF9">
      <w:pPr>
        <w:snapToGrid w:val="0"/>
        <w:spacing w:line="276" w:lineRule="auto"/>
        <w:ind w:firstLine="499" w:firstLineChars="208"/>
        <w:rPr>
          <w:rFonts w:ascii="方正仿宋_GBK" w:hAnsi="宋体" w:eastAsia="方正仿宋_GBK"/>
          <w:color w:val="auto"/>
          <w:sz w:val="24"/>
          <w:szCs w:val="24"/>
        </w:rPr>
      </w:pPr>
      <w:r>
        <w:rPr>
          <w:rFonts w:ascii="方正仿宋_GBK" w:hAnsi="宋体" w:eastAsia="方正仿宋_GBK"/>
          <w:color w:val="auto"/>
          <w:sz w:val="24"/>
          <w:szCs w:val="24"/>
        </w:rPr>
        <w:t>4.未按时配送、擅自更改采购品种、未履行紧急配送义务等。首次违约扣除当日货款的10%；第二次违约扣除本周货款的10%；第三次违约扣除当月货款的10%并终止合同。</w:t>
      </w:r>
    </w:p>
    <w:p w14:paraId="419EA328">
      <w:pPr>
        <w:snapToGrid w:val="0"/>
        <w:spacing w:line="276" w:lineRule="auto"/>
        <w:ind w:left="140" w:leftChars="50" w:firstLine="361" w:firstLineChars="150"/>
        <w:rPr>
          <w:rFonts w:ascii="方正仿宋_GBK" w:hAnsi="宋体" w:eastAsia="方正仿宋_GBK"/>
          <w:b/>
          <w:bCs/>
          <w:color w:val="auto"/>
          <w:sz w:val="24"/>
          <w:szCs w:val="24"/>
        </w:rPr>
      </w:pPr>
      <w:r>
        <w:rPr>
          <w:rFonts w:hint="eastAsia" w:ascii="方正仿宋_GBK" w:hAnsi="宋体" w:eastAsia="方正仿宋_GBK"/>
          <w:b/>
          <w:bCs/>
          <w:color w:val="auto"/>
          <w:sz w:val="24"/>
          <w:szCs w:val="24"/>
        </w:rPr>
        <w:t>（三）履约保证金全额不予退还且合同解除的情形</w:t>
      </w:r>
    </w:p>
    <w:p w14:paraId="7269405E">
      <w:pPr>
        <w:snapToGrid w:val="0"/>
        <w:spacing w:line="276" w:lineRule="auto"/>
        <w:ind w:firstLine="499" w:firstLineChars="208"/>
        <w:rPr>
          <w:rFonts w:ascii="方正仿宋_GBK" w:hAnsi="宋体" w:eastAsia="方正仿宋_GBK"/>
          <w:color w:val="auto"/>
          <w:sz w:val="24"/>
          <w:szCs w:val="24"/>
        </w:rPr>
      </w:pPr>
      <w:bookmarkStart w:id="95" w:name="OLE_LINK54"/>
      <w:r>
        <w:rPr>
          <w:rFonts w:hint="eastAsia" w:ascii="方正仿宋_GBK" w:hAnsi="宋体" w:eastAsia="方正仿宋_GBK"/>
          <w:color w:val="auto"/>
          <w:sz w:val="24"/>
          <w:szCs w:val="24"/>
        </w:rPr>
        <w:t>出现以下情形之一，</w:t>
      </w:r>
      <w:bookmarkEnd w:id="95"/>
      <w:r>
        <w:rPr>
          <w:rFonts w:hint="eastAsia" w:ascii="方正仿宋_GBK" w:hAnsi="宋体" w:eastAsia="方正仿宋_GBK"/>
          <w:color w:val="auto"/>
          <w:sz w:val="24"/>
          <w:szCs w:val="24"/>
        </w:rPr>
        <w:t>属于严重违约情形，采购人有权解除合同，履约保证金全额不予退还，采购人有权处置所投设备。中标人承担由此造成的法律责任，以及给采购人带来的所有经济损失。</w:t>
      </w:r>
    </w:p>
    <w:p w14:paraId="0F0F2D9A">
      <w:pPr>
        <w:snapToGrid w:val="0"/>
        <w:spacing w:line="276" w:lineRule="auto"/>
        <w:ind w:firstLine="499" w:firstLineChars="208"/>
        <w:rPr>
          <w:rFonts w:ascii="方正仿宋_GBK" w:hAnsi="宋体" w:eastAsia="方正仿宋_GBK"/>
          <w:color w:val="auto"/>
          <w:sz w:val="24"/>
          <w:szCs w:val="24"/>
        </w:rPr>
      </w:pPr>
      <w:r>
        <w:rPr>
          <w:rFonts w:hint="eastAsia" w:ascii="方正仿宋_GBK" w:hAnsi="宋体" w:eastAsia="方正仿宋_GBK"/>
          <w:color w:val="auto"/>
          <w:sz w:val="24"/>
          <w:szCs w:val="24"/>
        </w:rPr>
        <w:t>1.非不可抗力情况下，因中标人自身原因终止履行合同的，履约保证金全额不予退还。</w:t>
      </w:r>
    </w:p>
    <w:p w14:paraId="78CCC23E">
      <w:pPr>
        <w:snapToGrid w:val="0"/>
        <w:spacing w:line="276" w:lineRule="auto"/>
        <w:ind w:firstLine="499" w:firstLineChars="208"/>
        <w:rPr>
          <w:rFonts w:ascii="方正仿宋_GBK" w:hAnsi="宋体" w:eastAsia="方正仿宋_GBK"/>
          <w:color w:val="auto"/>
          <w:sz w:val="24"/>
          <w:szCs w:val="24"/>
        </w:rPr>
      </w:pPr>
      <w:r>
        <w:rPr>
          <w:rFonts w:ascii="方正仿宋_GBK" w:hAnsi="宋体" w:eastAsia="方正仿宋_GBK"/>
          <w:color w:val="auto"/>
          <w:sz w:val="24"/>
          <w:szCs w:val="24"/>
        </w:rPr>
        <w:t>2.中标人一年内累计</w:t>
      </w:r>
      <w:r>
        <w:rPr>
          <w:rFonts w:hint="eastAsia" w:ascii="方正仿宋_GBK" w:hAnsi="宋体" w:eastAsia="方正仿宋_GBK"/>
          <w:color w:val="auto"/>
          <w:sz w:val="24"/>
          <w:szCs w:val="24"/>
          <w:lang w:val="en-US" w:eastAsia="zh-CN"/>
        </w:rPr>
        <w:t>2</w:t>
      </w:r>
      <w:r>
        <w:rPr>
          <w:rFonts w:ascii="方正仿宋_GBK" w:hAnsi="宋体" w:eastAsia="方正仿宋_GBK"/>
          <w:color w:val="auto"/>
          <w:sz w:val="24"/>
          <w:szCs w:val="24"/>
        </w:rPr>
        <w:t>次</w:t>
      </w:r>
      <w:r>
        <w:rPr>
          <w:rFonts w:hint="eastAsia" w:ascii="方正仿宋_GBK" w:hAnsi="宋体" w:eastAsia="方正仿宋_GBK"/>
          <w:color w:val="auto"/>
          <w:sz w:val="24"/>
          <w:szCs w:val="24"/>
        </w:rPr>
        <w:t>季度</w:t>
      </w:r>
      <w:r>
        <w:rPr>
          <w:rFonts w:ascii="方正仿宋_GBK" w:hAnsi="宋体" w:eastAsia="方正仿宋_GBK"/>
          <w:color w:val="auto"/>
          <w:sz w:val="24"/>
          <w:szCs w:val="24"/>
        </w:rPr>
        <w:t>考核得分低于85分（不含85分）</w:t>
      </w:r>
      <w:r>
        <w:rPr>
          <w:rFonts w:hint="eastAsia" w:ascii="方正仿宋_GBK" w:hAnsi="宋体" w:eastAsia="方正仿宋_GBK"/>
          <w:color w:val="auto"/>
          <w:sz w:val="24"/>
          <w:szCs w:val="24"/>
        </w:rPr>
        <w:t>，或服务期内出现</w:t>
      </w:r>
      <w:r>
        <w:rPr>
          <w:rFonts w:ascii="方正仿宋_GBK" w:hAnsi="宋体" w:eastAsia="方正仿宋_GBK"/>
          <w:color w:val="auto"/>
          <w:sz w:val="24"/>
          <w:szCs w:val="24"/>
        </w:rPr>
        <w:t>2</w:t>
      </w:r>
      <w:r>
        <w:rPr>
          <w:rFonts w:hint="eastAsia" w:ascii="方正仿宋_GBK" w:hAnsi="宋体" w:eastAsia="方正仿宋_GBK"/>
          <w:color w:val="auto"/>
          <w:sz w:val="24"/>
          <w:szCs w:val="24"/>
        </w:rPr>
        <w:t>次季度考核</w:t>
      </w:r>
      <w:r>
        <w:rPr>
          <w:rFonts w:ascii="方正仿宋_GBK" w:hAnsi="宋体" w:eastAsia="方正仿宋_GBK"/>
          <w:color w:val="auto"/>
          <w:sz w:val="24"/>
          <w:szCs w:val="24"/>
        </w:rPr>
        <w:t>得分低于85分（不含85分）</w:t>
      </w:r>
      <w:r>
        <w:rPr>
          <w:rFonts w:hint="eastAsia" w:ascii="方正仿宋_GBK" w:hAnsi="宋体" w:eastAsia="方正仿宋_GBK"/>
          <w:color w:val="auto"/>
          <w:sz w:val="24"/>
          <w:szCs w:val="24"/>
        </w:rPr>
        <w:t>的。</w:t>
      </w:r>
    </w:p>
    <w:p w14:paraId="5CFAB306">
      <w:pPr>
        <w:snapToGrid w:val="0"/>
        <w:spacing w:line="276" w:lineRule="auto"/>
        <w:ind w:firstLine="499" w:firstLineChars="208"/>
        <w:rPr>
          <w:rFonts w:ascii="方正仿宋_GBK" w:hAnsi="宋体" w:eastAsia="方正仿宋_GBK"/>
          <w:color w:val="auto"/>
          <w:sz w:val="24"/>
          <w:szCs w:val="24"/>
        </w:rPr>
      </w:pPr>
      <w:r>
        <w:rPr>
          <w:rFonts w:ascii="方正仿宋_GBK" w:hAnsi="宋体" w:eastAsia="方正仿宋_GBK"/>
          <w:color w:val="auto"/>
          <w:sz w:val="24"/>
          <w:szCs w:val="24"/>
        </w:rPr>
        <w:t>3.中标人出现没有响应采购人的定期</w:t>
      </w:r>
      <w:r>
        <w:rPr>
          <w:rFonts w:hint="eastAsia" w:ascii="方正仿宋_GBK" w:hAnsi="宋体" w:eastAsia="方正仿宋_GBK"/>
          <w:color w:val="auto"/>
          <w:sz w:val="24"/>
          <w:szCs w:val="24"/>
        </w:rPr>
        <w:t>询价定价</w:t>
      </w:r>
      <w:r>
        <w:rPr>
          <w:rFonts w:ascii="方正仿宋_GBK" w:hAnsi="宋体" w:eastAsia="方正仿宋_GBK"/>
          <w:color w:val="auto"/>
          <w:sz w:val="24"/>
          <w:szCs w:val="24"/>
        </w:rPr>
        <w:t>1</w:t>
      </w:r>
      <w:r>
        <w:rPr>
          <w:rFonts w:hint="eastAsia" w:ascii="方正仿宋_GBK" w:hAnsi="宋体" w:eastAsia="方正仿宋_GBK"/>
          <w:color w:val="auto"/>
          <w:sz w:val="24"/>
          <w:szCs w:val="24"/>
        </w:rPr>
        <w:t>次的。</w:t>
      </w:r>
    </w:p>
    <w:p w14:paraId="76FBF817">
      <w:pPr>
        <w:snapToGrid w:val="0"/>
        <w:spacing w:line="276" w:lineRule="auto"/>
        <w:ind w:firstLine="499" w:firstLineChars="208"/>
        <w:rPr>
          <w:rFonts w:ascii="方正仿宋_GBK" w:hAnsi="宋体" w:eastAsia="方正仿宋_GBK"/>
          <w:color w:val="auto"/>
          <w:sz w:val="24"/>
          <w:szCs w:val="24"/>
        </w:rPr>
      </w:pPr>
      <w:r>
        <w:rPr>
          <w:rFonts w:ascii="方正仿宋_GBK" w:hAnsi="宋体" w:eastAsia="方正仿宋_GBK"/>
          <w:color w:val="auto"/>
          <w:sz w:val="24"/>
          <w:szCs w:val="24"/>
        </w:rPr>
        <w:t>4.发生3次</w:t>
      </w:r>
      <w:r>
        <w:rPr>
          <w:rFonts w:hint="eastAsia" w:ascii="方正仿宋_GBK" w:hAnsi="宋体" w:eastAsia="方正仿宋_GBK"/>
          <w:color w:val="auto"/>
          <w:sz w:val="24"/>
          <w:szCs w:val="24"/>
        </w:rPr>
        <w:t>及以上因送货质量或送货时间未达到采购合同约定的。</w:t>
      </w:r>
    </w:p>
    <w:p w14:paraId="5B026407">
      <w:pPr>
        <w:snapToGrid w:val="0"/>
        <w:spacing w:line="276" w:lineRule="auto"/>
        <w:ind w:firstLine="499" w:firstLineChars="208"/>
        <w:rPr>
          <w:rFonts w:ascii="方正仿宋_GBK" w:hAnsi="宋体" w:eastAsia="方正仿宋_GBK"/>
          <w:color w:val="auto"/>
          <w:sz w:val="24"/>
          <w:szCs w:val="24"/>
        </w:rPr>
      </w:pPr>
      <w:r>
        <w:rPr>
          <w:rFonts w:ascii="方正仿宋_GBK" w:hAnsi="宋体" w:eastAsia="方正仿宋_GBK"/>
          <w:color w:val="auto"/>
          <w:sz w:val="24"/>
          <w:szCs w:val="24"/>
        </w:rPr>
        <w:t>5.</w:t>
      </w:r>
      <w:r>
        <w:rPr>
          <w:rFonts w:hint="eastAsia" w:ascii="方正仿宋_GBK" w:hAnsi="宋体" w:eastAsia="方正仿宋_GBK"/>
          <w:color w:val="auto"/>
          <w:sz w:val="24"/>
          <w:szCs w:val="24"/>
        </w:rPr>
        <w:t>年度验收不合格的。</w:t>
      </w:r>
    </w:p>
    <w:p w14:paraId="42006260">
      <w:pPr>
        <w:snapToGrid w:val="0"/>
        <w:spacing w:line="276" w:lineRule="auto"/>
        <w:ind w:firstLine="499" w:firstLineChars="208"/>
        <w:rPr>
          <w:rFonts w:ascii="方正仿宋_GBK" w:hAnsi="宋体" w:eastAsia="方正仿宋_GBK"/>
          <w:color w:val="auto"/>
          <w:sz w:val="24"/>
          <w:szCs w:val="24"/>
        </w:rPr>
      </w:pPr>
      <w:r>
        <w:rPr>
          <w:rFonts w:ascii="方正仿宋_GBK" w:hAnsi="宋体" w:eastAsia="方正仿宋_GBK"/>
          <w:color w:val="auto"/>
          <w:sz w:val="24"/>
          <w:szCs w:val="24"/>
        </w:rPr>
        <w:t>6.中标人提供腐烂变质食品、过期食品或无《食品生产许可证》、《食品经营许可证》的企业生产加工的食品的。</w:t>
      </w:r>
    </w:p>
    <w:p w14:paraId="6BD2C60A">
      <w:pPr>
        <w:snapToGrid w:val="0"/>
        <w:spacing w:line="276" w:lineRule="auto"/>
        <w:ind w:firstLine="499" w:firstLineChars="208"/>
        <w:rPr>
          <w:rFonts w:ascii="方正仿宋_GBK" w:hAnsi="宋体" w:eastAsia="方正仿宋_GBK"/>
          <w:color w:val="auto"/>
          <w:sz w:val="24"/>
          <w:szCs w:val="24"/>
        </w:rPr>
      </w:pPr>
      <w:r>
        <w:rPr>
          <w:rFonts w:ascii="方正仿宋_GBK" w:hAnsi="宋体" w:eastAsia="方正仿宋_GBK"/>
          <w:color w:val="auto"/>
          <w:sz w:val="24"/>
          <w:szCs w:val="24"/>
        </w:rPr>
        <w:t>7.因中标人原因发生食物中毒等食品安全事故的。</w:t>
      </w:r>
    </w:p>
    <w:p w14:paraId="31ECF267">
      <w:pPr>
        <w:snapToGrid w:val="0"/>
        <w:spacing w:line="276" w:lineRule="auto"/>
        <w:ind w:firstLine="499" w:firstLineChars="208"/>
        <w:rPr>
          <w:rFonts w:ascii="方正仿宋_GBK" w:hAnsi="宋体" w:eastAsia="方正仿宋_GBK"/>
          <w:color w:val="auto"/>
          <w:sz w:val="24"/>
          <w:szCs w:val="24"/>
        </w:rPr>
      </w:pPr>
      <w:r>
        <w:rPr>
          <w:rFonts w:ascii="方正仿宋_GBK" w:hAnsi="宋体" w:eastAsia="方正仿宋_GBK"/>
          <w:color w:val="auto"/>
          <w:sz w:val="24"/>
          <w:szCs w:val="24"/>
        </w:rPr>
        <w:t>8.擅自变更合同主体及经营管理主体，或出现包括但不限于转包、变相转包、分包、转借、转售、挂靠、合作、联合经营等情形导致损害合同主体及经营管理主体唯一性的；中标人委托任何个人或其他公司收取货款的；采购人发现非中标人送货的。</w:t>
      </w:r>
    </w:p>
    <w:p w14:paraId="527465F7">
      <w:pPr>
        <w:snapToGrid w:val="0"/>
        <w:spacing w:line="276" w:lineRule="auto"/>
        <w:ind w:firstLine="480" w:firstLineChars="200"/>
        <w:rPr>
          <w:rFonts w:ascii="方正仿宋_GBK" w:hAnsi="宋体" w:eastAsia="方正仿宋_GBK"/>
          <w:color w:val="auto"/>
          <w:sz w:val="24"/>
          <w:szCs w:val="24"/>
        </w:rPr>
      </w:pPr>
      <w:r>
        <w:rPr>
          <w:rFonts w:ascii="方正仿宋_GBK" w:hAnsi="宋体" w:eastAsia="方正仿宋_GBK"/>
          <w:color w:val="auto"/>
          <w:sz w:val="24"/>
          <w:szCs w:val="24"/>
        </w:rPr>
        <w:t>9.出现防疫、卫生等安全责任事故并造成严重影响的。</w:t>
      </w:r>
    </w:p>
    <w:p w14:paraId="572B47A6">
      <w:pPr>
        <w:snapToGrid w:val="0"/>
        <w:spacing w:line="276" w:lineRule="auto"/>
        <w:ind w:firstLine="480" w:firstLineChars="200"/>
        <w:rPr>
          <w:rFonts w:ascii="方正仿宋_GBK" w:hAnsi="宋体" w:eastAsia="方正仿宋_GBK"/>
          <w:color w:val="auto"/>
          <w:sz w:val="24"/>
          <w:szCs w:val="24"/>
        </w:rPr>
      </w:pPr>
      <w:r>
        <w:rPr>
          <w:rFonts w:ascii="方正仿宋_GBK" w:hAnsi="宋体" w:eastAsia="方正仿宋_GBK"/>
          <w:color w:val="auto"/>
          <w:sz w:val="24"/>
          <w:szCs w:val="24"/>
        </w:rPr>
        <w:t>10.</w:t>
      </w:r>
      <w:r>
        <w:rPr>
          <w:rFonts w:hint="eastAsia" w:ascii="方正仿宋_GBK" w:hAnsi="宋体" w:eastAsia="方正仿宋_GBK" w:cs="宋体"/>
          <w:color w:val="auto"/>
          <w:kern w:val="0"/>
          <w:sz w:val="24"/>
          <w:szCs w:val="24"/>
        </w:rPr>
        <w:t>中标人在合同履约过程中有违约行为导致出现安全责任事故并造成严重影响的，或出现重大负面舆情给采购人声誉造成严重负面影响的，或严重影响采购人正常教学、生活秩序的</w:t>
      </w:r>
      <w:r>
        <w:rPr>
          <w:rFonts w:hint="eastAsia" w:ascii="方正仿宋_GBK" w:hAnsi="宋体" w:eastAsia="方正仿宋_GBK"/>
          <w:color w:val="auto"/>
          <w:sz w:val="24"/>
          <w:szCs w:val="24"/>
        </w:rPr>
        <w:t>。</w:t>
      </w:r>
    </w:p>
    <w:p w14:paraId="27164AF6">
      <w:pPr>
        <w:snapToGrid w:val="0"/>
        <w:spacing w:line="276" w:lineRule="auto"/>
        <w:ind w:left="140" w:leftChars="50" w:firstLine="360" w:firstLineChars="150"/>
        <w:rPr>
          <w:rFonts w:ascii="方正仿宋_GBK" w:hAnsi="宋体" w:eastAsia="方正仿宋_GBK"/>
          <w:color w:val="auto"/>
          <w:sz w:val="24"/>
          <w:szCs w:val="24"/>
        </w:rPr>
      </w:pPr>
      <w:r>
        <w:rPr>
          <w:rFonts w:ascii="方正仿宋_GBK" w:hAnsi="宋体" w:eastAsia="方正仿宋_GBK"/>
          <w:color w:val="auto"/>
          <w:sz w:val="24"/>
          <w:szCs w:val="24"/>
        </w:rPr>
        <w:t>11.违反食品安全法相关法律法规被行政机关处罚的。</w:t>
      </w:r>
    </w:p>
    <w:p w14:paraId="740DD7F0">
      <w:pPr>
        <w:snapToGrid w:val="0"/>
        <w:spacing w:line="276" w:lineRule="auto"/>
        <w:ind w:left="140" w:leftChars="50" w:firstLine="360" w:firstLineChars="150"/>
        <w:rPr>
          <w:rFonts w:ascii="方正仿宋_GBK" w:hAnsi="宋体" w:eastAsia="方正仿宋_GBK"/>
          <w:color w:val="auto"/>
          <w:sz w:val="24"/>
          <w:szCs w:val="24"/>
        </w:rPr>
      </w:pPr>
      <w:r>
        <w:rPr>
          <w:rFonts w:ascii="方正仿宋_GBK" w:hAnsi="宋体" w:eastAsia="方正仿宋_GBK"/>
          <w:color w:val="auto"/>
          <w:sz w:val="24"/>
          <w:szCs w:val="24"/>
        </w:rPr>
        <w:t>12.</w:t>
      </w:r>
      <w:r>
        <w:rPr>
          <w:rFonts w:hint="eastAsia" w:ascii="方正仿宋_GBK" w:hAnsi="宋体" w:eastAsia="方正仿宋_GBK"/>
          <w:color w:val="auto"/>
          <w:sz w:val="24"/>
          <w:szCs w:val="24"/>
        </w:rPr>
        <w:t>因食材质量、供应服务等方面等未达到采购人要求而被中止服务或取消服务资格或公开挂网披露的。</w:t>
      </w:r>
    </w:p>
    <w:p w14:paraId="3F0E53BA">
      <w:pPr>
        <w:snapToGrid w:val="0"/>
        <w:spacing w:line="276" w:lineRule="auto"/>
        <w:ind w:firstLine="501" w:firstLineChars="208"/>
        <w:rPr>
          <w:rFonts w:ascii="方正仿宋_GBK" w:hAnsi="宋体" w:eastAsia="方正仿宋_GBK"/>
          <w:b/>
          <w:bCs/>
          <w:color w:val="auto"/>
          <w:sz w:val="24"/>
          <w:szCs w:val="24"/>
        </w:rPr>
      </w:pPr>
      <w:r>
        <w:rPr>
          <w:rFonts w:hint="eastAsia" w:ascii="方正仿宋_GBK" w:hAnsi="宋体" w:eastAsia="方正仿宋_GBK"/>
          <w:b/>
          <w:bCs/>
          <w:color w:val="auto"/>
          <w:sz w:val="24"/>
          <w:szCs w:val="24"/>
        </w:rPr>
        <w:t>（四）履约保证金部分不予退还的情形</w:t>
      </w:r>
    </w:p>
    <w:p w14:paraId="375358BF">
      <w:pPr>
        <w:snapToGrid w:val="0"/>
        <w:spacing w:line="276" w:lineRule="auto"/>
        <w:ind w:firstLine="499" w:firstLineChars="208"/>
        <w:rPr>
          <w:rFonts w:ascii="方正仿宋_GBK" w:hAnsi="宋体" w:eastAsia="方正仿宋_GBK"/>
          <w:color w:val="auto"/>
          <w:sz w:val="24"/>
          <w:szCs w:val="24"/>
        </w:rPr>
      </w:pPr>
      <w:r>
        <w:rPr>
          <w:rFonts w:hint="eastAsia" w:ascii="方正仿宋_GBK" w:hAnsi="宋体" w:eastAsia="方正仿宋_GBK"/>
          <w:color w:val="auto"/>
          <w:sz w:val="24"/>
          <w:szCs w:val="24"/>
        </w:rPr>
        <w:t>若中标人发生部分违约现象，采购人从履约保证金中扣除相应金额的违约金；若发现严重违约现象，采购人有充分理由没收其全额保证金。</w:t>
      </w:r>
    </w:p>
    <w:p w14:paraId="097CBCC7">
      <w:pPr>
        <w:snapToGrid w:val="0"/>
        <w:spacing w:line="276" w:lineRule="auto"/>
        <w:ind w:firstLine="499" w:firstLineChars="208"/>
        <w:rPr>
          <w:rFonts w:ascii="方正仿宋_GBK" w:hAnsi="宋体" w:eastAsia="方正仿宋_GBK"/>
          <w:color w:val="auto"/>
          <w:sz w:val="24"/>
          <w:szCs w:val="24"/>
        </w:rPr>
      </w:pPr>
      <w:r>
        <w:rPr>
          <w:rFonts w:ascii="方正仿宋_GBK" w:hAnsi="宋体" w:eastAsia="方正仿宋_GBK"/>
          <w:color w:val="auto"/>
          <w:sz w:val="24"/>
          <w:szCs w:val="24"/>
        </w:rPr>
        <w:t>1.中标人出现季度考核得分低于85分（不含85分）</w:t>
      </w:r>
      <w:r>
        <w:rPr>
          <w:rFonts w:hint="eastAsia" w:ascii="方正仿宋_GBK" w:hAnsi="宋体" w:eastAsia="方正仿宋_GBK"/>
          <w:color w:val="auto"/>
          <w:sz w:val="24"/>
          <w:szCs w:val="24"/>
        </w:rPr>
        <w:t>的，单次扣罚履约保证金</w:t>
      </w:r>
      <w:r>
        <w:rPr>
          <w:rFonts w:ascii="方正仿宋_GBK" w:hAnsi="宋体" w:eastAsia="方正仿宋_GBK"/>
          <w:color w:val="auto"/>
          <w:sz w:val="24"/>
          <w:szCs w:val="24"/>
        </w:rPr>
        <w:t>5000</w:t>
      </w:r>
      <w:r>
        <w:rPr>
          <w:rFonts w:hint="eastAsia" w:ascii="方正仿宋_GBK" w:hAnsi="宋体" w:eastAsia="方正仿宋_GBK"/>
          <w:color w:val="auto"/>
          <w:sz w:val="24"/>
          <w:szCs w:val="24"/>
        </w:rPr>
        <w:t>元。</w:t>
      </w:r>
    </w:p>
    <w:p w14:paraId="1065AE2F">
      <w:pPr>
        <w:snapToGrid w:val="0"/>
        <w:spacing w:line="276" w:lineRule="auto"/>
        <w:ind w:firstLine="499" w:firstLineChars="208"/>
        <w:rPr>
          <w:rFonts w:ascii="方正仿宋_GBK" w:hAnsi="宋体" w:eastAsia="方正仿宋_GBK"/>
          <w:color w:val="auto"/>
          <w:sz w:val="24"/>
          <w:szCs w:val="24"/>
        </w:rPr>
      </w:pPr>
      <w:r>
        <w:rPr>
          <w:rFonts w:ascii="方正仿宋_GBK" w:hAnsi="宋体" w:eastAsia="方正仿宋_GBK"/>
          <w:color w:val="auto"/>
          <w:sz w:val="24"/>
          <w:szCs w:val="24"/>
        </w:rPr>
        <w:t>2.因送货质量未达到采购合同约定的，单次扣罚履约保证金1000</w:t>
      </w:r>
      <w:r>
        <w:rPr>
          <w:rFonts w:hint="eastAsia" w:ascii="方正仿宋_GBK" w:hAnsi="宋体" w:eastAsia="方正仿宋_GBK"/>
          <w:color w:val="auto"/>
          <w:sz w:val="24"/>
          <w:szCs w:val="24"/>
        </w:rPr>
        <w:t>元。</w:t>
      </w:r>
    </w:p>
    <w:p w14:paraId="7F21F713">
      <w:pPr>
        <w:snapToGrid w:val="0"/>
        <w:spacing w:line="276" w:lineRule="auto"/>
        <w:ind w:firstLine="499" w:firstLineChars="208"/>
        <w:rPr>
          <w:rFonts w:ascii="方正仿宋_GBK" w:hAnsi="宋体" w:eastAsia="方正仿宋_GBK"/>
          <w:color w:val="auto"/>
          <w:sz w:val="24"/>
          <w:szCs w:val="24"/>
        </w:rPr>
      </w:pPr>
      <w:r>
        <w:rPr>
          <w:rFonts w:hint="eastAsia" w:ascii="方正仿宋_GBK" w:hAnsi="宋体" w:eastAsia="方正仿宋_GBK"/>
          <w:color w:val="auto"/>
          <w:sz w:val="24"/>
          <w:szCs w:val="24"/>
        </w:rPr>
        <w:t>3</w:t>
      </w:r>
      <w:r>
        <w:rPr>
          <w:rFonts w:ascii="方正仿宋_GBK" w:hAnsi="宋体" w:eastAsia="方正仿宋_GBK"/>
          <w:color w:val="auto"/>
          <w:sz w:val="24"/>
          <w:szCs w:val="24"/>
        </w:rPr>
        <w:t>.中标人送货时间未达到采购合同规定的，单次扣罚履约保证金1000</w:t>
      </w:r>
      <w:r>
        <w:rPr>
          <w:rFonts w:hint="eastAsia" w:ascii="方正仿宋_GBK" w:hAnsi="宋体" w:eastAsia="方正仿宋_GBK"/>
          <w:color w:val="auto"/>
          <w:sz w:val="24"/>
          <w:szCs w:val="24"/>
        </w:rPr>
        <w:t>元。</w:t>
      </w:r>
    </w:p>
    <w:p w14:paraId="386F11DD">
      <w:pPr>
        <w:snapToGrid w:val="0"/>
        <w:spacing w:line="276" w:lineRule="auto"/>
        <w:ind w:firstLine="499" w:firstLineChars="208"/>
        <w:rPr>
          <w:rFonts w:ascii="方正仿宋_GBK" w:hAnsi="宋体" w:eastAsia="方正仿宋_GBK"/>
          <w:color w:val="auto"/>
          <w:sz w:val="24"/>
          <w:szCs w:val="24"/>
        </w:rPr>
      </w:pPr>
      <w:r>
        <w:rPr>
          <w:rFonts w:hint="eastAsia" w:ascii="方正仿宋_GBK" w:hAnsi="宋体" w:eastAsia="方正仿宋_GBK"/>
          <w:color w:val="auto"/>
          <w:sz w:val="24"/>
          <w:szCs w:val="24"/>
        </w:rPr>
        <w:t>4</w:t>
      </w:r>
      <w:r>
        <w:rPr>
          <w:rFonts w:ascii="方正仿宋_GBK" w:hAnsi="宋体" w:eastAsia="方正仿宋_GBK"/>
          <w:color w:val="auto"/>
          <w:sz w:val="24"/>
          <w:szCs w:val="24"/>
        </w:rPr>
        <w:t>.非不可抗力情况下，因中标人自身原因，超过合同交货期限仍未送货达到验收要求的，超期1天，采购人扣除中标人履约保证金的3%作为违约惩罚，以此类推。</w:t>
      </w:r>
    </w:p>
    <w:p w14:paraId="5E490FBD">
      <w:pPr>
        <w:snapToGrid w:val="0"/>
        <w:spacing w:line="276" w:lineRule="auto"/>
        <w:ind w:firstLine="499" w:firstLineChars="208"/>
        <w:rPr>
          <w:rFonts w:ascii="方正仿宋_GBK" w:hAnsi="宋体" w:eastAsia="方正仿宋_GBK"/>
          <w:color w:val="auto"/>
          <w:sz w:val="24"/>
          <w:szCs w:val="24"/>
        </w:rPr>
      </w:pPr>
      <w:r>
        <w:rPr>
          <w:rFonts w:hint="eastAsia" w:ascii="方正仿宋_GBK" w:hAnsi="宋体" w:eastAsia="方正仿宋_GBK"/>
          <w:color w:val="auto"/>
          <w:sz w:val="24"/>
          <w:szCs w:val="24"/>
        </w:rPr>
        <w:t>5</w:t>
      </w:r>
      <w:r>
        <w:rPr>
          <w:rFonts w:ascii="方正仿宋_GBK" w:hAnsi="宋体" w:eastAsia="方正仿宋_GBK"/>
          <w:color w:val="auto"/>
          <w:sz w:val="24"/>
          <w:szCs w:val="24"/>
        </w:rPr>
        <w:t>.因不可抗力，或采购人自身原因，致使交货期限延后的，中标人不承担相应违约责任。但中标人须提供采购人需求部门出具的同意延迟交货以及确定延迟交货期的书面情况说明，采购人需求部门负责人签字并加盖部门公章。</w:t>
      </w:r>
    </w:p>
    <w:p w14:paraId="19E7F071">
      <w:pPr>
        <w:snapToGrid w:val="0"/>
        <w:spacing w:line="276" w:lineRule="auto"/>
        <w:ind w:firstLine="499" w:firstLineChars="208"/>
        <w:rPr>
          <w:rFonts w:ascii="方正仿宋_GBK" w:hAnsi="宋体" w:eastAsia="方正仿宋_GBK"/>
          <w:color w:val="auto"/>
          <w:sz w:val="24"/>
          <w:szCs w:val="24"/>
        </w:rPr>
      </w:pPr>
      <w:r>
        <w:rPr>
          <w:rFonts w:hint="eastAsia" w:ascii="方正仿宋_GBK" w:hAnsi="宋体" w:eastAsia="方正仿宋_GBK"/>
          <w:color w:val="auto"/>
          <w:sz w:val="24"/>
          <w:szCs w:val="24"/>
        </w:rPr>
        <w:t>6</w:t>
      </w:r>
      <w:r>
        <w:rPr>
          <w:rFonts w:ascii="方正仿宋_GBK" w:hAnsi="宋体" w:eastAsia="方正仿宋_GBK"/>
          <w:color w:val="auto"/>
          <w:sz w:val="24"/>
          <w:szCs w:val="24"/>
        </w:rPr>
        <w:t>.</w:t>
      </w:r>
      <w:r>
        <w:rPr>
          <w:rFonts w:hint="eastAsia" w:ascii="方正仿宋_GBK" w:hAnsi="宋体" w:eastAsia="方正仿宋_GBK"/>
          <w:color w:val="auto"/>
          <w:sz w:val="24"/>
          <w:szCs w:val="24"/>
        </w:rPr>
        <w:t>漏送货在不影响开餐的情况下，首次违约扣除当日货款的</w:t>
      </w:r>
      <w:r>
        <w:rPr>
          <w:rFonts w:ascii="方正仿宋_GBK" w:hAnsi="宋体" w:eastAsia="方正仿宋_GBK"/>
          <w:color w:val="auto"/>
          <w:sz w:val="24"/>
          <w:szCs w:val="24"/>
        </w:rPr>
        <w:t>10%；第二次违约扣除本周货款的10%；第三次违约扣除当月货款的10%</w:t>
      </w:r>
    </w:p>
    <w:p w14:paraId="733C1347">
      <w:pPr>
        <w:snapToGrid w:val="0"/>
        <w:spacing w:line="276" w:lineRule="auto"/>
        <w:ind w:firstLine="499" w:firstLineChars="208"/>
        <w:rPr>
          <w:rFonts w:ascii="方正仿宋_GBK" w:hAnsi="宋体" w:eastAsia="方正仿宋_GBK"/>
          <w:color w:val="auto"/>
          <w:sz w:val="24"/>
          <w:szCs w:val="24"/>
        </w:rPr>
      </w:pPr>
      <w:r>
        <w:rPr>
          <w:rFonts w:hint="eastAsia" w:ascii="方正仿宋_GBK" w:hAnsi="宋体" w:eastAsia="方正仿宋_GBK"/>
          <w:color w:val="auto"/>
          <w:sz w:val="24"/>
          <w:szCs w:val="24"/>
        </w:rPr>
        <w:t>7</w:t>
      </w:r>
      <w:r>
        <w:rPr>
          <w:rFonts w:ascii="方正仿宋_GBK" w:hAnsi="宋体" w:eastAsia="方正仿宋_GBK"/>
          <w:color w:val="auto"/>
          <w:sz w:val="24"/>
          <w:szCs w:val="24"/>
        </w:rPr>
        <w:t>.</w:t>
      </w:r>
      <w:r>
        <w:rPr>
          <w:rFonts w:hint="eastAsia" w:ascii="方正仿宋_GBK" w:hAnsi="宋体" w:eastAsia="方正仿宋_GBK"/>
          <w:color w:val="auto"/>
          <w:sz w:val="24"/>
          <w:szCs w:val="24"/>
        </w:rPr>
        <w:t>违反需方管理规定或造成不良影响等情况一次扣</w:t>
      </w:r>
      <w:r>
        <w:rPr>
          <w:rFonts w:ascii="方正仿宋_GBK" w:hAnsi="宋体" w:eastAsia="方正仿宋_GBK"/>
          <w:color w:val="auto"/>
          <w:sz w:val="24"/>
          <w:szCs w:val="24"/>
        </w:rPr>
        <w:t>500元</w:t>
      </w:r>
      <w:r>
        <w:rPr>
          <w:rFonts w:hint="eastAsia" w:ascii="方正仿宋_GBK" w:hAnsi="宋体" w:eastAsia="方正仿宋_GBK"/>
          <w:color w:val="auto"/>
          <w:sz w:val="24"/>
          <w:szCs w:val="24"/>
        </w:rPr>
        <w:t>。</w:t>
      </w:r>
    </w:p>
    <w:p w14:paraId="5DF5665E">
      <w:pPr>
        <w:snapToGrid w:val="0"/>
        <w:spacing w:line="276" w:lineRule="auto"/>
        <w:ind w:left="140" w:leftChars="50" w:firstLine="360" w:firstLineChars="150"/>
        <w:rPr>
          <w:rFonts w:ascii="方正仿宋_GBK" w:hAnsi="宋体" w:eastAsia="方正仿宋_GBK" w:cs="宋体"/>
          <w:color w:val="auto"/>
          <w:kern w:val="0"/>
          <w:sz w:val="24"/>
          <w:szCs w:val="24"/>
        </w:rPr>
      </w:pPr>
      <w:r>
        <w:rPr>
          <w:rFonts w:hint="eastAsia" w:ascii="方正仿宋_GBK" w:hAnsi="宋体" w:eastAsia="方正仿宋_GBK"/>
          <w:color w:val="auto"/>
          <w:sz w:val="24"/>
          <w:szCs w:val="24"/>
        </w:rPr>
        <w:t>（五）其他履约保证金扣罚事宜按“八、考核要求及具体考核细则”执行。</w:t>
      </w:r>
    </w:p>
    <w:p w14:paraId="047483A4">
      <w:pPr>
        <w:spacing w:line="400" w:lineRule="exact"/>
        <w:ind w:firstLine="480" w:firstLineChars="200"/>
        <w:rPr>
          <w:rFonts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（六）</w:t>
      </w:r>
      <w:r>
        <w:rPr>
          <w:rFonts w:hint="eastAsia" w:ascii="方正仿宋_GBK" w:hAnsi="宋体" w:eastAsia="方正仿宋_GBK"/>
          <w:color w:val="auto"/>
          <w:sz w:val="24"/>
          <w:szCs w:val="24"/>
        </w:rPr>
        <w:t>若中标人在投标过程中有虚假响应或合同履约过程中有违约行为的，或正式验收或使用过程中，若经采购人或第三方检测机构验证不合格，采购人立即封存报经市场监管、卫生健康、财政等相关部门依照招标文件、采购合同及相关的法律法规进行质量监测认证后，由中标人承担一切民事赔偿、行政处罚和刑事责任，采购人有权单方解除合同并要求中标人赔偿所造成的所有损失，履约保证金全额不予退还，同时列入采购人黑名单，若造成刑事责任，移送司法机关处理</w:t>
      </w:r>
      <w:r>
        <w:rPr>
          <w:rFonts w:hint="eastAsia" w:ascii="方正仿宋_GBK" w:hAnsi="宋体" w:eastAsia="方正仿宋_GBK" w:cs="宋体"/>
          <w:color w:val="auto"/>
          <w:kern w:val="0"/>
          <w:sz w:val="24"/>
          <w:szCs w:val="24"/>
        </w:rPr>
        <w:t>。</w:t>
      </w:r>
    </w:p>
    <w:p w14:paraId="2754CC10">
      <w:pPr>
        <w:spacing w:line="400" w:lineRule="exact"/>
        <w:ind w:firstLine="604" w:firstLineChars="252"/>
        <w:rPr>
          <w:rFonts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七）供应商有下列情形之一的，列入采购人采招供应商黑名单，采购人视情况禁止供应商及关联关系方（指单位负责人为同一人或存在直接控股、关联关系的不同供应商）6个月至3年内参加采购人采招项目投标。</w:t>
      </w:r>
    </w:p>
    <w:p w14:paraId="19962D87">
      <w:pPr>
        <w:spacing w:line="400" w:lineRule="exact"/>
        <w:ind w:firstLine="604" w:firstLineChars="252"/>
        <w:rPr>
          <w:rFonts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1供应商在投标过程中有虚假投标、围标、串标行为的。</w:t>
      </w:r>
    </w:p>
    <w:p w14:paraId="052680E8">
      <w:pPr>
        <w:spacing w:line="400" w:lineRule="exact"/>
        <w:ind w:firstLine="604" w:firstLineChars="252"/>
        <w:rPr>
          <w:rFonts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2不按规定提交履约保证金。</w:t>
      </w:r>
    </w:p>
    <w:p w14:paraId="647CE1E2">
      <w:pPr>
        <w:spacing w:line="400" w:lineRule="exact"/>
        <w:ind w:firstLine="604" w:firstLineChars="252"/>
        <w:rPr>
          <w:rFonts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3非不可抗力原因，中标人无故放弃项目中标资格的、或不与采购人签订合同的、或合同签订后拒绝履行合同义务的。</w:t>
      </w:r>
    </w:p>
    <w:p w14:paraId="6B5FEB4B">
      <w:pPr>
        <w:spacing w:line="400" w:lineRule="exact"/>
        <w:ind w:firstLine="604" w:firstLineChars="252"/>
        <w:rPr>
          <w:rFonts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4中标人在合同履约过程中有违约行为，整改后再次违约的。</w:t>
      </w:r>
    </w:p>
    <w:p w14:paraId="10880307">
      <w:pPr>
        <w:spacing w:line="400" w:lineRule="exact"/>
        <w:ind w:firstLine="604" w:firstLineChars="252"/>
        <w:rPr>
          <w:rFonts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5中标人因自身原因未按合同约定完成送货、安装调试达到验收要求，给采购人造成负面影响的。</w:t>
      </w:r>
    </w:p>
    <w:p w14:paraId="76ACB4C6">
      <w:pPr>
        <w:spacing w:line="400" w:lineRule="exact"/>
        <w:ind w:firstLine="604" w:firstLineChars="252"/>
        <w:rPr>
          <w:rFonts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6其他违反采购与招投标法律法规和采购人规章制度的。</w:t>
      </w:r>
    </w:p>
    <w:p w14:paraId="4EE74A9C">
      <w:pPr>
        <w:snapToGrid w:val="0"/>
        <w:spacing w:line="276" w:lineRule="auto"/>
        <w:ind w:left="140" w:leftChars="50"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（八）其他未尽事宜按《中华人民共和国民法典》、《政府采购法》执行。</w:t>
      </w:r>
      <w:bookmarkEnd w:id="94"/>
    </w:p>
    <w:p w14:paraId="19A8BBC5">
      <w:pPr>
        <w:pStyle w:val="5"/>
        <w:spacing w:line="400" w:lineRule="exact"/>
        <w:rPr>
          <w:rFonts w:ascii="方正仿宋_GBK" w:eastAsia="方正仿宋_GBK"/>
          <w:b/>
          <w:color w:val="auto"/>
          <w:sz w:val="24"/>
        </w:rPr>
      </w:pPr>
      <w:bookmarkStart w:id="96" w:name="_Toc31866"/>
      <w:bookmarkStart w:id="97" w:name="_Toc1805"/>
      <w:bookmarkStart w:id="98" w:name="_Toc2386"/>
      <w:bookmarkStart w:id="99" w:name="_Toc21915"/>
      <w:r>
        <w:rPr>
          <w:rFonts w:hint="eastAsia" w:ascii="方正仿宋_GBK" w:eastAsia="方正仿宋_GBK"/>
          <w:b/>
          <w:bCs/>
          <w:color w:val="auto"/>
          <w:sz w:val="24"/>
          <w:szCs w:val="24"/>
        </w:rPr>
        <w:t>※八</w:t>
      </w:r>
      <w:r>
        <w:rPr>
          <w:rFonts w:hint="eastAsia" w:ascii="方正仿宋_GBK" w:eastAsia="方正仿宋_GBK"/>
          <w:color w:val="auto"/>
          <w:sz w:val="24"/>
          <w:szCs w:val="24"/>
        </w:rPr>
        <w:t>、</w:t>
      </w:r>
      <w:bookmarkStart w:id="100" w:name="_Toc6643"/>
      <w:r>
        <w:rPr>
          <w:rFonts w:hint="eastAsia" w:ascii="方正仿宋_GBK" w:eastAsia="方正仿宋_GBK"/>
          <w:b/>
          <w:color w:val="auto"/>
          <w:sz w:val="24"/>
        </w:rPr>
        <w:t>考核要求及具体考核细则</w:t>
      </w:r>
      <w:bookmarkEnd w:id="96"/>
      <w:bookmarkEnd w:id="97"/>
      <w:bookmarkEnd w:id="98"/>
      <w:bookmarkEnd w:id="99"/>
      <w:bookmarkEnd w:id="100"/>
    </w:p>
    <w:p w14:paraId="232E84F4">
      <w:pPr>
        <w:snapToGrid w:val="0"/>
        <w:spacing w:line="400" w:lineRule="exact"/>
        <w:ind w:firstLine="480" w:firstLineChars="200"/>
        <w:rPr>
          <w:rFonts w:ascii="方正仿宋_GBK" w:hAnsi="宋体" w:eastAsia="方正仿宋_GBK"/>
          <w:color w:val="auto"/>
          <w:sz w:val="24"/>
          <w:szCs w:val="24"/>
        </w:rPr>
      </w:pPr>
      <w:r>
        <w:rPr>
          <w:rFonts w:ascii="方正仿宋_GBK" w:hAnsi="宋体" w:eastAsia="方正仿宋_GBK"/>
          <w:color w:val="auto"/>
          <w:sz w:val="24"/>
          <w:szCs w:val="24"/>
        </w:rPr>
        <w:t>（一）考核要求</w:t>
      </w:r>
    </w:p>
    <w:p w14:paraId="28644471">
      <w:pPr>
        <w:snapToGrid w:val="0"/>
        <w:spacing w:line="400" w:lineRule="exact"/>
        <w:ind w:firstLine="480" w:firstLineChars="200"/>
        <w:rPr>
          <w:rFonts w:ascii="方正仿宋_GBK" w:hAnsi="宋体" w:eastAsia="方正仿宋_GBK"/>
          <w:color w:val="auto"/>
          <w:sz w:val="24"/>
          <w:szCs w:val="24"/>
        </w:rPr>
      </w:pPr>
      <w:r>
        <w:rPr>
          <w:rFonts w:ascii="方正仿宋_GBK" w:hAnsi="宋体" w:eastAsia="方正仿宋_GBK"/>
          <w:color w:val="auto"/>
          <w:sz w:val="24"/>
          <w:szCs w:val="24"/>
        </w:rPr>
        <w:t>1.以季度为单位进行考核，考核基准分为100分，95分（含95分）以上为“合格”等级（小数点后数字四舍五入,下同）；</w:t>
      </w:r>
    </w:p>
    <w:p w14:paraId="5B7A3EA7">
      <w:pPr>
        <w:snapToGrid w:val="0"/>
        <w:spacing w:line="400" w:lineRule="exact"/>
        <w:ind w:firstLine="480" w:firstLineChars="200"/>
        <w:rPr>
          <w:rFonts w:ascii="方正仿宋_GBK" w:hAnsi="宋体" w:eastAsia="方正仿宋_GBK"/>
          <w:color w:val="auto"/>
          <w:sz w:val="24"/>
          <w:szCs w:val="24"/>
        </w:rPr>
      </w:pPr>
      <w:r>
        <w:rPr>
          <w:rFonts w:ascii="方正仿宋_GBK" w:hAnsi="宋体" w:eastAsia="方正仿宋_GBK"/>
          <w:color w:val="auto"/>
          <w:sz w:val="24"/>
          <w:szCs w:val="24"/>
        </w:rPr>
        <w:t>2.达到90分（含90分）以上且低于95分（不含95分）的为“基本合格”等级；</w:t>
      </w:r>
    </w:p>
    <w:p w14:paraId="31DCA09F">
      <w:pPr>
        <w:snapToGrid w:val="0"/>
        <w:spacing w:line="400" w:lineRule="exact"/>
        <w:ind w:firstLine="480" w:firstLineChars="200"/>
        <w:rPr>
          <w:rFonts w:ascii="方正仿宋_GBK" w:hAnsi="宋体" w:eastAsia="方正仿宋_GBK"/>
          <w:color w:val="auto"/>
          <w:sz w:val="24"/>
          <w:szCs w:val="24"/>
        </w:rPr>
      </w:pPr>
      <w:r>
        <w:rPr>
          <w:rFonts w:ascii="方正仿宋_GBK" w:hAnsi="宋体" w:eastAsia="方正仿宋_GBK"/>
          <w:color w:val="auto"/>
          <w:sz w:val="24"/>
          <w:szCs w:val="24"/>
        </w:rPr>
        <w:t>3.达到85分（含85分）以上且低于90分（不含90分）的为“较差”等级，以90分为基准分值，差1分从</w:t>
      </w:r>
      <w:r>
        <w:rPr>
          <w:rFonts w:hint="eastAsia" w:ascii="方正仿宋_GBK" w:hAnsi="宋体" w:eastAsia="方正仿宋_GBK"/>
          <w:color w:val="auto"/>
          <w:sz w:val="24"/>
          <w:szCs w:val="24"/>
        </w:rPr>
        <w:t>履约保证金</w:t>
      </w:r>
      <w:r>
        <w:rPr>
          <w:rFonts w:ascii="方正仿宋_GBK" w:hAnsi="宋体" w:eastAsia="方正仿宋_GBK"/>
          <w:color w:val="auto"/>
          <w:sz w:val="24"/>
          <w:szCs w:val="24"/>
        </w:rPr>
        <w:t>中直接扣除1000元；</w:t>
      </w:r>
    </w:p>
    <w:p w14:paraId="44C486D9">
      <w:pPr>
        <w:snapToGrid w:val="0"/>
        <w:spacing w:line="400" w:lineRule="exact"/>
        <w:ind w:firstLine="480" w:firstLineChars="200"/>
        <w:rPr>
          <w:rFonts w:ascii="方正仿宋_GBK" w:hAnsi="宋体" w:eastAsia="方正仿宋_GBK"/>
          <w:color w:val="auto"/>
          <w:sz w:val="24"/>
          <w:szCs w:val="24"/>
        </w:rPr>
      </w:pPr>
      <w:r>
        <w:rPr>
          <w:rFonts w:ascii="方正仿宋_GBK" w:hAnsi="宋体" w:eastAsia="方正仿宋_GBK"/>
          <w:color w:val="auto"/>
          <w:sz w:val="24"/>
          <w:szCs w:val="24"/>
        </w:rPr>
        <w:t>4.低于85分（不含85分）为“差”等级，以90分为基准分值，差1分从</w:t>
      </w:r>
      <w:r>
        <w:rPr>
          <w:rFonts w:hint="eastAsia" w:ascii="方正仿宋_GBK" w:hAnsi="宋体" w:eastAsia="方正仿宋_GBK"/>
          <w:color w:val="auto"/>
          <w:sz w:val="24"/>
          <w:szCs w:val="24"/>
        </w:rPr>
        <w:t>履约保证金</w:t>
      </w:r>
      <w:r>
        <w:rPr>
          <w:rFonts w:ascii="方正仿宋_GBK" w:hAnsi="宋体" w:eastAsia="方正仿宋_GBK"/>
          <w:color w:val="auto"/>
          <w:sz w:val="24"/>
          <w:szCs w:val="24"/>
        </w:rPr>
        <w:t>中直接扣除1000元；</w:t>
      </w:r>
    </w:p>
    <w:p w14:paraId="4F27CF39">
      <w:pPr>
        <w:snapToGrid w:val="0"/>
        <w:spacing w:line="400" w:lineRule="exact"/>
        <w:ind w:firstLine="480" w:firstLineChars="200"/>
        <w:rPr>
          <w:rFonts w:ascii="方正仿宋_GBK" w:hAnsi="宋体" w:eastAsia="方正仿宋_GBK"/>
          <w:color w:val="auto"/>
          <w:sz w:val="24"/>
          <w:szCs w:val="24"/>
        </w:rPr>
      </w:pPr>
      <w:r>
        <w:rPr>
          <w:rFonts w:ascii="方正仿宋_GBK" w:hAnsi="宋体" w:eastAsia="方正仿宋_GBK"/>
          <w:color w:val="auto"/>
          <w:sz w:val="24"/>
          <w:szCs w:val="24"/>
        </w:rPr>
        <w:t>5.一年内累计两次考核得分低于85分（不含85分），</w:t>
      </w:r>
      <w:r>
        <w:rPr>
          <w:rFonts w:hint="eastAsia" w:ascii="方正仿宋_GBK" w:hAnsi="宋体" w:eastAsia="方正仿宋_GBK"/>
          <w:color w:val="auto"/>
          <w:sz w:val="24"/>
          <w:szCs w:val="24"/>
        </w:rPr>
        <w:t>或服务期内出现2次季度</w:t>
      </w:r>
      <w:r>
        <w:rPr>
          <w:rFonts w:ascii="方正仿宋_GBK" w:hAnsi="宋体" w:eastAsia="方正仿宋_GBK"/>
          <w:color w:val="auto"/>
          <w:sz w:val="24"/>
          <w:szCs w:val="24"/>
        </w:rPr>
        <w:t>考核得分低于85分（不含85分）</w:t>
      </w:r>
      <w:r>
        <w:rPr>
          <w:rFonts w:hint="eastAsia" w:ascii="方正仿宋_GBK" w:hAnsi="宋体" w:eastAsia="方正仿宋_GBK"/>
          <w:color w:val="auto"/>
          <w:sz w:val="24"/>
          <w:szCs w:val="24"/>
        </w:rPr>
        <w:t>的，</w:t>
      </w:r>
      <w:r>
        <w:rPr>
          <w:rFonts w:ascii="方正仿宋_GBK" w:hAnsi="宋体" w:eastAsia="方正仿宋_GBK"/>
          <w:color w:val="auto"/>
          <w:sz w:val="24"/>
          <w:szCs w:val="24"/>
        </w:rPr>
        <w:t>采购人有权终止合同并</w:t>
      </w:r>
      <w:r>
        <w:rPr>
          <w:rFonts w:hint="eastAsia" w:ascii="方正仿宋_GBK" w:hAnsi="宋体" w:eastAsia="方正仿宋_GBK"/>
          <w:color w:val="auto"/>
          <w:sz w:val="24"/>
          <w:szCs w:val="24"/>
        </w:rPr>
        <w:t>全额</w:t>
      </w:r>
      <w:r>
        <w:rPr>
          <w:rFonts w:ascii="方正仿宋_GBK" w:hAnsi="宋体" w:eastAsia="方正仿宋_GBK"/>
          <w:color w:val="auto"/>
          <w:sz w:val="24"/>
          <w:szCs w:val="24"/>
        </w:rPr>
        <w:t>扣除</w:t>
      </w:r>
      <w:r>
        <w:rPr>
          <w:rFonts w:hint="eastAsia" w:ascii="方正仿宋_GBK" w:hAnsi="宋体" w:eastAsia="方正仿宋_GBK"/>
          <w:color w:val="auto"/>
          <w:sz w:val="24"/>
          <w:szCs w:val="24"/>
        </w:rPr>
        <w:t>履约</w:t>
      </w:r>
      <w:r>
        <w:rPr>
          <w:rFonts w:ascii="方正仿宋_GBK" w:hAnsi="宋体" w:eastAsia="方正仿宋_GBK"/>
          <w:color w:val="auto"/>
          <w:sz w:val="24"/>
          <w:szCs w:val="24"/>
        </w:rPr>
        <w:t>保证金。</w:t>
      </w:r>
    </w:p>
    <w:p w14:paraId="630FFD1B">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6.考核由采购人后勤处执行。</w:t>
      </w:r>
    </w:p>
    <w:p w14:paraId="29E77262">
      <w:pPr>
        <w:snapToGrid w:val="0"/>
        <w:spacing w:line="400" w:lineRule="exact"/>
        <w:ind w:firstLine="480" w:firstLineChars="200"/>
        <w:rPr>
          <w:rFonts w:ascii="方正仿宋_GBK" w:hAnsi="方正仿宋_GBK" w:eastAsia="方正仿宋_GBK" w:cs="方正仿宋_GBK"/>
          <w:color w:val="auto"/>
          <w:sz w:val="24"/>
          <w:szCs w:val="24"/>
        </w:rPr>
      </w:pPr>
      <w:r>
        <w:rPr>
          <w:rFonts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二</w:t>
      </w:r>
      <w:r>
        <w:rPr>
          <w:rFonts w:ascii="方正仿宋_GBK" w:hAnsi="宋体" w:eastAsia="方正仿宋_GBK"/>
          <w:color w:val="auto"/>
          <w:sz w:val="24"/>
          <w:szCs w:val="24"/>
        </w:rPr>
        <w:t>）</w:t>
      </w:r>
      <w:r>
        <w:rPr>
          <w:rFonts w:hint="eastAsia" w:ascii="方正仿宋_GBK" w:hAnsi="宋体" w:eastAsia="方正仿宋_GBK"/>
          <w:color w:val="auto"/>
          <w:sz w:val="24"/>
          <w:szCs w:val="24"/>
        </w:rPr>
        <w:t>包2</w:t>
      </w:r>
      <w:bookmarkEnd w:id="86"/>
      <w:bookmarkEnd w:id="87"/>
      <w:bookmarkStart w:id="101" w:name="_Toc267320054"/>
      <w:bookmarkStart w:id="102" w:name="_Toc75452494"/>
      <w:bookmarkStart w:id="103" w:name="_Toc505608536"/>
      <w:r>
        <w:rPr>
          <w:rFonts w:hint="eastAsia" w:ascii="方正仿宋_GBK" w:hAnsi="方正仿宋_GBK" w:eastAsia="方正仿宋_GBK" w:cs="方正仿宋_GBK"/>
          <w:color w:val="auto"/>
          <w:sz w:val="24"/>
          <w:szCs w:val="24"/>
        </w:rPr>
        <w:t>饮料类具体考核细则</w:t>
      </w:r>
    </w:p>
    <w:tbl>
      <w:tblPr>
        <w:tblStyle w:val="20"/>
        <w:tblW w:w="9956"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2300"/>
        <w:gridCol w:w="6367"/>
      </w:tblGrid>
      <w:tr w14:paraId="082C6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289" w:type="dxa"/>
            <w:vAlign w:val="center"/>
          </w:tcPr>
          <w:p w14:paraId="1A0C3F55">
            <w:pPr>
              <w:snapToGrid w:val="0"/>
              <w:spacing w:line="400" w:lineRule="exact"/>
              <w:jc w:val="center"/>
              <w:rPr>
                <w:rFonts w:ascii="方正仿宋_GBK" w:hAnsi="宋体" w:eastAsia="方正仿宋_GBK"/>
                <w:b/>
                <w:bCs/>
                <w:color w:val="auto"/>
                <w:sz w:val="24"/>
                <w:szCs w:val="24"/>
              </w:rPr>
            </w:pPr>
            <w:r>
              <w:rPr>
                <w:rFonts w:hint="eastAsia" w:ascii="方正仿宋_GBK" w:hAnsi="宋体" w:eastAsia="方正仿宋_GBK"/>
                <w:b/>
                <w:bCs/>
                <w:color w:val="auto"/>
                <w:sz w:val="24"/>
                <w:szCs w:val="24"/>
              </w:rPr>
              <w:t>项目</w:t>
            </w:r>
          </w:p>
        </w:tc>
        <w:tc>
          <w:tcPr>
            <w:tcW w:w="2300" w:type="dxa"/>
            <w:vAlign w:val="center"/>
          </w:tcPr>
          <w:p w14:paraId="7FF189F6">
            <w:pPr>
              <w:snapToGrid w:val="0"/>
              <w:spacing w:line="400" w:lineRule="exact"/>
              <w:jc w:val="center"/>
              <w:rPr>
                <w:rFonts w:ascii="方正仿宋_GBK" w:hAnsi="宋体" w:eastAsia="方正仿宋_GBK"/>
                <w:b/>
                <w:bCs/>
                <w:color w:val="auto"/>
                <w:sz w:val="24"/>
                <w:szCs w:val="24"/>
              </w:rPr>
            </w:pPr>
            <w:r>
              <w:rPr>
                <w:rFonts w:hint="eastAsia" w:ascii="方正仿宋_GBK" w:hAnsi="宋体" w:eastAsia="方正仿宋_GBK"/>
                <w:b/>
                <w:bCs/>
                <w:color w:val="auto"/>
                <w:sz w:val="24"/>
                <w:szCs w:val="24"/>
              </w:rPr>
              <w:t>考核指标</w:t>
            </w:r>
          </w:p>
        </w:tc>
        <w:tc>
          <w:tcPr>
            <w:tcW w:w="6367" w:type="dxa"/>
            <w:vAlign w:val="center"/>
          </w:tcPr>
          <w:p w14:paraId="5E1BB3D4">
            <w:pPr>
              <w:snapToGrid w:val="0"/>
              <w:spacing w:line="400" w:lineRule="exact"/>
              <w:jc w:val="center"/>
              <w:rPr>
                <w:rFonts w:ascii="方正仿宋_GBK" w:hAnsi="宋体" w:eastAsia="方正仿宋_GBK"/>
                <w:b/>
                <w:bCs/>
                <w:color w:val="auto"/>
                <w:sz w:val="24"/>
                <w:szCs w:val="24"/>
              </w:rPr>
            </w:pPr>
            <w:r>
              <w:rPr>
                <w:rFonts w:hint="eastAsia" w:ascii="方正仿宋_GBK" w:hAnsi="宋体" w:eastAsia="方正仿宋_GBK"/>
                <w:b/>
                <w:bCs/>
                <w:color w:val="auto"/>
                <w:sz w:val="24"/>
                <w:szCs w:val="24"/>
              </w:rPr>
              <w:t>考核说明</w:t>
            </w:r>
          </w:p>
        </w:tc>
      </w:tr>
      <w:tr w14:paraId="58ECF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1289" w:type="dxa"/>
            <w:vMerge w:val="restart"/>
            <w:vAlign w:val="center"/>
          </w:tcPr>
          <w:p w14:paraId="2664452C">
            <w:pPr>
              <w:snapToGrid w:val="0"/>
              <w:spacing w:line="400" w:lineRule="exact"/>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货物质量</w:t>
            </w:r>
          </w:p>
        </w:tc>
        <w:tc>
          <w:tcPr>
            <w:tcW w:w="2300" w:type="dxa"/>
            <w:vAlign w:val="center"/>
          </w:tcPr>
          <w:p w14:paraId="380E72EB">
            <w:pPr>
              <w:snapToGrid w:val="0"/>
              <w:spacing w:line="400" w:lineRule="exact"/>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配送货物</w:t>
            </w:r>
            <w:r>
              <w:rPr>
                <w:rFonts w:hint="eastAsia" w:ascii="方正仿宋_GBK" w:hAnsi="方正仿宋_GBK" w:eastAsia="方正仿宋_GBK" w:cs="方正仿宋_GBK"/>
                <w:color w:val="auto"/>
                <w:sz w:val="24"/>
                <w:szCs w:val="24"/>
              </w:rPr>
              <w:t>品质</w:t>
            </w:r>
            <w:r>
              <w:rPr>
                <w:rFonts w:hint="eastAsia" w:ascii="方正仿宋_GBK" w:hAnsi="宋体" w:eastAsia="方正仿宋_GBK"/>
                <w:color w:val="auto"/>
                <w:sz w:val="24"/>
                <w:szCs w:val="24"/>
              </w:rPr>
              <w:t>合格</w:t>
            </w:r>
          </w:p>
        </w:tc>
        <w:tc>
          <w:tcPr>
            <w:tcW w:w="6367" w:type="dxa"/>
            <w:vAlign w:val="center"/>
          </w:tcPr>
          <w:p w14:paraId="406C0347">
            <w:pPr>
              <w:snapToGrid w:val="0"/>
              <w:spacing w:line="400" w:lineRule="exact"/>
              <w:jc w:val="left"/>
              <w:rPr>
                <w:rFonts w:ascii="方正仿宋_GBK" w:hAnsi="宋体" w:eastAsia="方正仿宋_GBK"/>
                <w:color w:val="auto"/>
                <w:sz w:val="24"/>
                <w:szCs w:val="24"/>
              </w:rPr>
            </w:pPr>
            <w:r>
              <w:rPr>
                <w:rFonts w:hint="eastAsia" w:ascii="方正仿宋_GBK" w:hAnsi="方正仿宋_GBK" w:eastAsia="方正仿宋_GBK" w:cs="方正仿宋_GBK"/>
                <w:color w:val="auto"/>
                <w:sz w:val="24"/>
                <w:szCs w:val="24"/>
              </w:rPr>
              <w:t>物资送达时，包装破损、泄漏、外观不清楚、不规范等问题，每发现一次扣3分</w:t>
            </w:r>
            <w:r>
              <w:rPr>
                <w:rFonts w:hint="eastAsia" w:ascii="方正仿宋_GBK" w:hAnsi="宋体" w:eastAsia="方正仿宋_GBK"/>
                <w:color w:val="auto"/>
                <w:sz w:val="24"/>
                <w:szCs w:val="24"/>
              </w:rPr>
              <w:t>并做退货处理</w:t>
            </w:r>
            <w:r>
              <w:rPr>
                <w:rFonts w:hint="eastAsia" w:ascii="方正仿宋_GBK" w:hAnsi="方正仿宋_GBK" w:eastAsia="方正仿宋_GBK" w:cs="方正仿宋_GBK"/>
                <w:color w:val="auto"/>
                <w:sz w:val="24"/>
                <w:szCs w:val="24"/>
              </w:rPr>
              <w:t>；对需冷链环境配送的物资，配送全程温湿度不符合规定，若出现物资解冻、软化等问题发现一次扣3分。</w:t>
            </w:r>
            <w:r>
              <w:rPr>
                <w:rFonts w:hint="eastAsia" w:ascii="方正仿宋_GBK" w:hAnsi="宋体" w:eastAsia="方正仿宋_GBK"/>
                <w:color w:val="auto"/>
                <w:sz w:val="24"/>
                <w:szCs w:val="24"/>
              </w:rPr>
              <w:t>所送货物出现以次充好或假冒伪劣等情况，需方拒收，且每次扣5分。</w:t>
            </w:r>
          </w:p>
          <w:p w14:paraId="58E1721B">
            <w:pPr>
              <w:snapToGrid w:val="0"/>
              <w:spacing w:line="400" w:lineRule="exact"/>
              <w:jc w:val="left"/>
              <w:rPr>
                <w:rFonts w:ascii="方正仿宋_GBK" w:hAnsi="方正仿宋_GBK" w:eastAsia="方正仿宋_GBK" w:cs="方正仿宋_GBK"/>
                <w:color w:val="auto"/>
                <w:sz w:val="24"/>
                <w:szCs w:val="24"/>
              </w:rPr>
            </w:pPr>
          </w:p>
        </w:tc>
      </w:tr>
      <w:tr w14:paraId="7E66E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289" w:type="dxa"/>
            <w:vMerge w:val="continue"/>
            <w:vAlign w:val="center"/>
          </w:tcPr>
          <w:p w14:paraId="75BB0696">
            <w:pPr>
              <w:snapToGrid w:val="0"/>
              <w:spacing w:line="400" w:lineRule="exact"/>
              <w:jc w:val="center"/>
              <w:rPr>
                <w:rFonts w:ascii="方正仿宋_GBK" w:hAnsi="宋体" w:eastAsia="方正仿宋_GBK"/>
                <w:color w:val="auto"/>
                <w:sz w:val="24"/>
                <w:szCs w:val="24"/>
              </w:rPr>
            </w:pPr>
          </w:p>
        </w:tc>
        <w:tc>
          <w:tcPr>
            <w:tcW w:w="2300" w:type="dxa"/>
            <w:vAlign w:val="center"/>
          </w:tcPr>
          <w:p w14:paraId="267BFE57">
            <w:pPr>
              <w:snapToGrid w:val="0"/>
              <w:spacing w:line="400" w:lineRule="exact"/>
              <w:jc w:val="lef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配送品种、规格、等符合约定标准的货物</w:t>
            </w:r>
          </w:p>
        </w:tc>
        <w:tc>
          <w:tcPr>
            <w:tcW w:w="6367" w:type="dxa"/>
            <w:vAlign w:val="center"/>
          </w:tcPr>
          <w:p w14:paraId="3F148C03">
            <w:pPr>
              <w:snapToGrid w:val="0"/>
              <w:spacing w:line="400" w:lineRule="exact"/>
              <w:jc w:val="lef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未按时配送、擅自更改采购品种等，每个单品一次扣2分并做退货处理。</w:t>
            </w:r>
          </w:p>
        </w:tc>
      </w:tr>
      <w:tr w14:paraId="1A853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289" w:type="dxa"/>
            <w:vMerge w:val="continue"/>
            <w:vAlign w:val="center"/>
          </w:tcPr>
          <w:p w14:paraId="47715B18">
            <w:pPr>
              <w:snapToGrid w:val="0"/>
              <w:spacing w:line="400" w:lineRule="exact"/>
              <w:jc w:val="center"/>
              <w:rPr>
                <w:rFonts w:ascii="方正仿宋_GBK" w:hAnsi="宋体" w:eastAsia="方正仿宋_GBK"/>
                <w:color w:val="auto"/>
                <w:sz w:val="24"/>
                <w:szCs w:val="24"/>
              </w:rPr>
            </w:pPr>
          </w:p>
        </w:tc>
        <w:tc>
          <w:tcPr>
            <w:tcW w:w="2300" w:type="dxa"/>
            <w:vAlign w:val="center"/>
          </w:tcPr>
          <w:p w14:paraId="1729FDF6">
            <w:pPr>
              <w:snapToGrid w:val="0"/>
              <w:spacing w:line="400" w:lineRule="exact"/>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配送具备相关产品信息的货物（包括生产日期、保质期、生产厂家、生产许可证号、检验检疫票据等）</w:t>
            </w:r>
          </w:p>
        </w:tc>
        <w:tc>
          <w:tcPr>
            <w:tcW w:w="6367" w:type="dxa"/>
            <w:vAlign w:val="center"/>
          </w:tcPr>
          <w:p w14:paraId="39AD29F8">
            <w:pPr>
              <w:snapToGrid w:val="0"/>
              <w:spacing w:line="400" w:lineRule="exact"/>
              <w:jc w:val="left"/>
              <w:rPr>
                <w:rFonts w:ascii="方正仿宋_GBK" w:hAnsi="宋体" w:eastAsia="方正仿宋_GBK"/>
                <w:color w:val="auto"/>
                <w:sz w:val="24"/>
                <w:szCs w:val="24"/>
              </w:rPr>
            </w:pPr>
            <w:r>
              <w:rPr>
                <w:rFonts w:hint="eastAsia" w:ascii="方正仿宋_GBK" w:hAnsi="宋体" w:eastAsia="方正仿宋_GBK"/>
                <w:color w:val="auto"/>
                <w:sz w:val="24"/>
                <w:szCs w:val="24"/>
              </w:rPr>
              <w:t>未及时提供货物应有相关产品信息（包括生产日期、保质期、生产厂家（基地）、合格证、检验报告、动物检疫证明、肉品品质检验合格证等，目的地为甲方指定送货地）,每个单品每次扣2分。所送的货物无送货单或送货单格式不符合甲方要求等情况，每次扣2分</w:t>
            </w:r>
          </w:p>
        </w:tc>
      </w:tr>
      <w:tr w14:paraId="354C3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289" w:type="dxa"/>
            <w:vMerge w:val="continue"/>
            <w:vAlign w:val="center"/>
          </w:tcPr>
          <w:p w14:paraId="3E6B5FAF">
            <w:pPr>
              <w:snapToGrid w:val="0"/>
              <w:spacing w:line="400" w:lineRule="exact"/>
              <w:jc w:val="center"/>
              <w:rPr>
                <w:rFonts w:ascii="方正仿宋_GBK" w:hAnsi="宋体" w:eastAsia="方正仿宋_GBK"/>
                <w:color w:val="auto"/>
                <w:sz w:val="24"/>
                <w:szCs w:val="24"/>
              </w:rPr>
            </w:pPr>
          </w:p>
        </w:tc>
        <w:tc>
          <w:tcPr>
            <w:tcW w:w="2300" w:type="dxa"/>
            <w:vAlign w:val="center"/>
          </w:tcPr>
          <w:p w14:paraId="70BCEF31">
            <w:pPr>
              <w:snapToGrid w:val="0"/>
              <w:spacing w:line="400" w:lineRule="exact"/>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配送数量浮动标准</w:t>
            </w:r>
          </w:p>
        </w:tc>
        <w:tc>
          <w:tcPr>
            <w:tcW w:w="6367" w:type="dxa"/>
            <w:vAlign w:val="center"/>
          </w:tcPr>
          <w:p w14:paraId="5C89DFFD">
            <w:pPr>
              <w:snapToGrid w:val="0"/>
              <w:spacing w:line="400" w:lineRule="exact"/>
              <w:jc w:val="left"/>
              <w:rPr>
                <w:rFonts w:ascii="方正仿宋_GBK" w:hAnsi="宋体" w:eastAsia="方正仿宋_GBK"/>
                <w:color w:val="auto"/>
                <w:sz w:val="24"/>
                <w:szCs w:val="24"/>
              </w:rPr>
            </w:pPr>
            <w:r>
              <w:rPr>
                <w:rFonts w:hint="eastAsia" w:ascii="方正仿宋_GBK" w:hAnsi="宋体" w:eastAsia="方正仿宋_GBK"/>
                <w:color w:val="auto"/>
                <w:sz w:val="24"/>
                <w:szCs w:val="24"/>
              </w:rPr>
              <w:t>一般货物实际供应量在计划数量基础上，上下浮动不得超过±5%，如超过相应比例视作违规配送，每个单品一次扣1分（特殊情况经需方同意的除外）。</w:t>
            </w:r>
          </w:p>
        </w:tc>
      </w:tr>
      <w:tr w14:paraId="79649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289" w:type="dxa"/>
            <w:vMerge w:val="restart"/>
            <w:vAlign w:val="center"/>
          </w:tcPr>
          <w:p w14:paraId="5E38BDFE">
            <w:pPr>
              <w:snapToGrid w:val="0"/>
              <w:spacing w:line="400" w:lineRule="exact"/>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服务质量</w:t>
            </w:r>
          </w:p>
        </w:tc>
        <w:tc>
          <w:tcPr>
            <w:tcW w:w="2300" w:type="dxa"/>
            <w:vAlign w:val="center"/>
          </w:tcPr>
          <w:p w14:paraId="06EFBEFB">
            <w:pPr>
              <w:snapToGrid w:val="0"/>
              <w:spacing w:line="400" w:lineRule="exact"/>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配送时间</w:t>
            </w:r>
          </w:p>
        </w:tc>
        <w:tc>
          <w:tcPr>
            <w:tcW w:w="6367" w:type="dxa"/>
            <w:vAlign w:val="center"/>
          </w:tcPr>
          <w:p w14:paraId="32B02E93">
            <w:pPr>
              <w:snapToGrid w:val="0"/>
              <w:spacing w:line="400" w:lineRule="exact"/>
              <w:jc w:val="left"/>
              <w:rPr>
                <w:rFonts w:ascii="方正仿宋_GBK" w:hAnsi="宋体" w:eastAsia="方正仿宋_GBK"/>
                <w:color w:val="auto"/>
                <w:sz w:val="24"/>
                <w:szCs w:val="24"/>
              </w:rPr>
            </w:pPr>
            <w:r>
              <w:rPr>
                <w:rFonts w:hint="eastAsia" w:ascii="方正仿宋_GBK" w:hAnsi="宋体" w:eastAsia="方正仿宋_GBK"/>
                <w:color w:val="auto"/>
                <w:sz w:val="24"/>
                <w:szCs w:val="24"/>
              </w:rPr>
              <w:t>每日所需物资须于当日需方要求供货时间送达，临时供餐任务所需的桌餐食材、应急采购任务（</w:t>
            </w:r>
            <w:r>
              <w:rPr>
                <w:rFonts w:hint="eastAsia" w:ascii="方正仿宋_GBK" w:hAnsi="方正仿宋_GBK" w:eastAsia="方正仿宋_GBK" w:cs="方正仿宋_GBK"/>
                <w:color w:val="auto"/>
                <w:kern w:val="0"/>
                <w:sz w:val="24"/>
                <w:szCs w:val="24"/>
              </w:rPr>
              <w:t>重大活动、</w:t>
            </w:r>
            <w:r>
              <w:rPr>
                <w:rFonts w:hint="eastAsia" w:ascii="方正仿宋_GBK" w:hAnsi="宋体" w:eastAsia="方正仿宋_GBK"/>
                <w:color w:val="auto"/>
                <w:sz w:val="24"/>
                <w:szCs w:val="24"/>
              </w:rPr>
              <w:t>突发事件保障）必须按照约定时间送达，迟到30分钟内（含30分钟），每次扣2分；迟到30分钟以上60分钟以内（含60分钟）每次扣3分；迟到60分钟以上扣5分。</w:t>
            </w:r>
            <w:r>
              <w:rPr>
                <w:rFonts w:hint="eastAsia" w:ascii="方正仿宋_GBK" w:hAnsi="方正仿宋_GBK" w:eastAsia="方正仿宋_GBK" w:cs="方正仿宋_GBK"/>
                <w:color w:val="auto"/>
                <w:kern w:val="0"/>
                <w:sz w:val="24"/>
                <w:szCs w:val="24"/>
              </w:rPr>
              <w:t>推诿、敷衍拒绝送货等情况，每次扣5分。</w:t>
            </w:r>
          </w:p>
        </w:tc>
      </w:tr>
      <w:tr w14:paraId="28114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1289" w:type="dxa"/>
            <w:vMerge w:val="continue"/>
            <w:vAlign w:val="center"/>
          </w:tcPr>
          <w:p w14:paraId="2132780B">
            <w:pPr>
              <w:snapToGrid w:val="0"/>
              <w:spacing w:line="400" w:lineRule="exact"/>
              <w:jc w:val="center"/>
              <w:rPr>
                <w:rFonts w:ascii="方正仿宋_GBK" w:hAnsi="宋体" w:eastAsia="方正仿宋_GBK"/>
                <w:color w:val="auto"/>
                <w:sz w:val="24"/>
                <w:szCs w:val="24"/>
              </w:rPr>
            </w:pPr>
          </w:p>
        </w:tc>
        <w:tc>
          <w:tcPr>
            <w:tcW w:w="2300" w:type="dxa"/>
            <w:vAlign w:val="center"/>
          </w:tcPr>
          <w:p w14:paraId="61710F2B">
            <w:pPr>
              <w:snapToGrid w:val="0"/>
              <w:spacing w:line="400" w:lineRule="exact"/>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漏送货情况，退换、补货情况</w:t>
            </w:r>
          </w:p>
        </w:tc>
        <w:tc>
          <w:tcPr>
            <w:tcW w:w="6367" w:type="dxa"/>
            <w:vAlign w:val="center"/>
          </w:tcPr>
          <w:p w14:paraId="1351C7AC">
            <w:pPr>
              <w:snapToGrid w:val="0"/>
              <w:spacing w:line="400" w:lineRule="exact"/>
              <w:jc w:val="left"/>
              <w:rPr>
                <w:rFonts w:ascii="方正仿宋_GBK" w:hAnsi="宋体" w:eastAsia="方正仿宋_GBK"/>
                <w:color w:val="auto"/>
                <w:sz w:val="24"/>
                <w:szCs w:val="24"/>
              </w:rPr>
            </w:pPr>
            <w:r>
              <w:rPr>
                <w:rFonts w:hint="eastAsia" w:ascii="方正仿宋_GBK" w:hAnsi="宋体" w:eastAsia="方正仿宋_GBK"/>
                <w:color w:val="auto"/>
                <w:sz w:val="24"/>
                <w:szCs w:val="24"/>
              </w:rPr>
              <w:t>漏送货在不影响开餐的情况下，第一次扣2分，第二次扣5分，因漏送货、退货等原因导致货物不足的，必须按照规定时间补足货物</w:t>
            </w:r>
            <w:r>
              <w:rPr>
                <w:rFonts w:hint="eastAsia" w:ascii="方正仿宋_GBK" w:hAnsi="方正仿宋_GBK" w:eastAsia="方正仿宋_GBK" w:cs="方正仿宋_GBK"/>
                <w:color w:val="auto"/>
                <w:kern w:val="0"/>
                <w:sz w:val="24"/>
                <w:szCs w:val="24"/>
              </w:rPr>
              <w:t>。</w:t>
            </w:r>
          </w:p>
        </w:tc>
      </w:tr>
      <w:tr w14:paraId="412D0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289" w:type="dxa"/>
            <w:vMerge w:val="continue"/>
            <w:vAlign w:val="center"/>
          </w:tcPr>
          <w:p w14:paraId="2E43E40B">
            <w:pPr>
              <w:snapToGrid w:val="0"/>
              <w:spacing w:line="400" w:lineRule="exact"/>
              <w:jc w:val="center"/>
              <w:rPr>
                <w:rFonts w:ascii="方正仿宋_GBK" w:hAnsi="宋体" w:eastAsia="方正仿宋_GBK"/>
                <w:color w:val="auto"/>
                <w:sz w:val="24"/>
                <w:szCs w:val="24"/>
              </w:rPr>
            </w:pPr>
          </w:p>
        </w:tc>
        <w:tc>
          <w:tcPr>
            <w:tcW w:w="2300" w:type="dxa"/>
            <w:vAlign w:val="center"/>
          </w:tcPr>
          <w:p w14:paraId="79C06198">
            <w:pPr>
              <w:snapToGrid w:val="0"/>
              <w:spacing w:line="400" w:lineRule="exact"/>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价格确认</w:t>
            </w:r>
          </w:p>
        </w:tc>
        <w:tc>
          <w:tcPr>
            <w:tcW w:w="6367" w:type="dxa"/>
            <w:vAlign w:val="center"/>
          </w:tcPr>
          <w:p w14:paraId="358A3019">
            <w:pPr>
              <w:snapToGrid w:val="0"/>
              <w:spacing w:line="400" w:lineRule="exact"/>
              <w:jc w:val="left"/>
              <w:rPr>
                <w:rFonts w:ascii="方正仿宋_GBK" w:hAnsi="宋体" w:eastAsia="方正仿宋_GBK"/>
                <w:color w:val="auto"/>
                <w:sz w:val="24"/>
                <w:szCs w:val="24"/>
              </w:rPr>
            </w:pPr>
            <w:r>
              <w:rPr>
                <w:rFonts w:hint="eastAsia" w:ascii="方正仿宋_GBK" w:hAnsi="宋体" w:eastAsia="方正仿宋_GBK"/>
                <w:color w:val="auto"/>
                <w:sz w:val="24"/>
                <w:szCs w:val="24"/>
              </w:rPr>
              <w:t>接到需方定价表后如有异议，必须于12小时内按约定格式回复，不按照规定时间回复的，视为无异议，需方将按照定价表执行；不按约定格式回复的，一次扣2分。</w:t>
            </w:r>
          </w:p>
        </w:tc>
      </w:tr>
      <w:tr w14:paraId="2FC91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1289" w:type="dxa"/>
            <w:vMerge w:val="continue"/>
            <w:vAlign w:val="center"/>
          </w:tcPr>
          <w:p w14:paraId="57164653">
            <w:pPr>
              <w:snapToGrid w:val="0"/>
              <w:spacing w:line="400" w:lineRule="exact"/>
              <w:jc w:val="center"/>
              <w:rPr>
                <w:rFonts w:ascii="方正仿宋_GBK" w:hAnsi="宋体" w:eastAsia="方正仿宋_GBK"/>
                <w:color w:val="auto"/>
                <w:sz w:val="24"/>
                <w:szCs w:val="24"/>
              </w:rPr>
            </w:pPr>
          </w:p>
        </w:tc>
        <w:tc>
          <w:tcPr>
            <w:tcW w:w="2300" w:type="dxa"/>
            <w:vAlign w:val="center"/>
          </w:tcPr>
          <w:p w14:paraId="282E8D96">
            <w:pPr>
              <w:snapToGrid w:val="0"/>
              <w:spacing w:line="400" w:lineRule="exact"/>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对账及结算</w:t>
            </w:r>
          </w:p>
        </w:tc>
        <w:tc>
          <w:tcPr>
            <w:tcW w:w="6367" w:type="dxa"/>
            <w:vAlign w:val="center"/>
          </w:tcPr>
          <w:p w14:paraId="77B09CCF">
            <w:pPr>
              <w:snapToGrid w:val="0"/>
              <w:spacing w:line="400" w:lineRule="exact"/>
              <w:jc w:val="left"/>
              <w:rPr>
                <w:rFonts w:ascii="方正仿宋_GBK" w:hAnsi="宋体" w:eastAsia="方正仿宋_GBK"/>
                <w:color w:val="auto"/>
                <w:sz w:val="24"/>
                <w:szCs w:val="24"/>
              </w:rPr>
            </w:pPr>
            <w:r>
              <w:rPr>
                <w:rFonts w:hint="eastAsia" w:ascii="方正仿宋_GBK" w:hAnsi="宋体" w:eastAsia="方正仿宋_GBK"/>
                <w:color w:val="auto"/>
                <w:sz w:val="24"/>
                <w:szCs w:val="24"/>
              </w:rPr>
              <w:t>对账及时准确，每月5日前核对清楚上月账目，因供方原因延误一天扣1分，以此类推；每月对账确认后，供方应在每月10日前开具发票，每逾期一日扣1分。</w:t>
            </w:r>
          </w:p>
        </w:tc>
      </w:tr>
      <w:tr w14:paraId="34B88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289" w:type="dxa"/>
            <w:vMerge w:val="restart"/>
            <w:vAlign w:val="center"/>
          </w:tcPr>
          <w:p w14:paraId="7F74B6CF">
            <w:pPr>
              <w:snapToGrid w:val="0"/>
              <w:spacing w:line="400" w:lineRule="exact"/>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人员车辆管理</w:t>
            </w:r>
          </w:p>
        </w:tc>
        <w:tc>
          <w:tcPr>
            <w:tcW w:w="2300" w:type="dxa"/>
            <w:vAlign w:val="center"/>
          </w:tcPr>
          <w:p w14:paraId="078FCAC4">
            <w:pPr>
              <w:snapToGrid w:val="0"/>
              <w:spacing w:line="400" w:lineRule="exact"/>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员工健康、个人卫生管理。</w:t>
            </w:r>
          </w:p>
        </w:tc>
        <w:tc>
          <w:tcPr>
            <w:tcW w:w="6367" w:type="dxa"/>
            <w:vAlign w:val="center"/>
          </w:tcPr>
          <w:p w14:paraId="7AF3B88B">
            <w:pPr>
              <w:snapToGrid w:val="0"/>
              <w:spacing w:line="400" w:lineRule="exact"/>
              <w:jc w:val="left"/>
              <w:rPr>
                <w:rFonts w:ascii="方正仿宋_GBK" w:hAnsi="宋体" w:eastAsia="方正仿宋_GBK"/>
                <w:color w:val="auto"/>
                <w:sz w:val="24"/>
                <w:szCs w:val="24"/>
              </w:rPr>
            </w:pPr>
            <w:r>
              <w:rPr>
                <w:rFonts w:hint="eastAsia" w:ascii="方正仿宋_GBK" w:hAnsi="宋体" w:eastAsia="方正仿宋_GBK"/>
                <w:color w:val="auto"/>
                <w:sz w:val="24"/>
                <w:szCs w:val="24"/>
              </w:rPr>
              <w:t>员工需衣着整洁，个人清洁卫生干净，不符合要求一次扣1分；抽检配送员工的《健康证》，如没有的一人次扣2分，要求更换配送员工。</w:t>
            </w:r>
          </w:p>
        </w:tc>
      </w:tr>
      <w:tr w14:paraId="4DBEA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289" w:type="dxa"/>
            <w:vMerge w:val="continue"/>
            <w:vAlign w:val="center"/>
          </w:tcPr>
          <w:p w14:paraId="1C89C11C">
            <w:pPr>
              <w:snapToGrid w:val="0"/>
              <w:spacing w:line="400" w:lineRule="exact"/>
              <w:jc w:val="center"/>
              <w:rPr>
                <w:rFonts w:ascii="方正仿宋_GBK" w:hAnsi="宋体" w:eastAsia="方正仿宋_GBK"/>
                <w:color w:val="auto"/>
                <w:sz w:val="24"/>
                <w:szCs w:val="24"/>
              </w:rPr>
            </w:pPr>
          </w:p>
        </w:tc>
        <w:tc>
          <w:tcPr>
            <w:tcW w:w="2300" w:type="dxa"/>
            <w:vAlign w:val="center"/>
          </w:tcPr>
          <w:p w14:paraId="0A4400FB">
            <w:pPr>
              <w:snapToGrid w:val="0"/>
              <w:spacing w:line="400" w:lineRule="exact"/>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配送车辆管理</w:t>
            </w:r>
          </w:p>
        </w:tc>
        <w:tc>
          <w:tcPr>
            <w:tcW w:w="6367" w:type="dxa"/>
            <w:vAlign w:val="center"/>
          </w:tcPr>
          <w:p w14:paraId="5288E5EB">
            <w:pPr>
              <w:snapToGrid w:val="0"/>
              <w:spacing w:line="400" w:lineRule="exact"/>
              <w:jc w:val="left"/>
              <w:rPr>
                <w:rFonts w:ascii="方正仿宋_GBK" w:hAnsi="宋体" w:eastAsia="方正仿宋_GBK"/>
                <w:color w:val="auto"/>
                <w:sz w:val="24"/>
                <w:szCs w:val="24"/>
              </w:rPr>
            </w:pPr>
            <w:r>
              <w:rPr>
                <w:rFonts w:hint="eastAsia" w:ascii="方正仿宋_GBK" w:hAnsi="宋体" w:eastAsia="方正仿宋_GBK"/>
                <w:color w:val="auto"/>
                <w:sz w:val="24"/>
                <w:szCs w:val="24"/>
              </w:rPr>
              <w:t>配送物流车必须干净整洁，外观破损或车内有明显异味一次扣0.5分，车内脏乱差一次扣1分。</w:t>
            </w:r>
          </w:p>
        </w:tc>
      </w:tr>
      <w:tr w14:paraId="08452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289" w:type="dxa"/>
            <w:vMerge w:val="restart"/>
            <w:vAlign w:val="center"/>
          </w:tcPr>
          <w:p w14:paraId="6633B2D7">
            <w:pPr>
              <w:snapToGrid w:val="0"/>
              <w:spacing w:line="400" w:lineRule="exact"/>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其他</w:t>
            </w:r>
          </w:p>
        </w:tc>
        <w:tc>
          <w:tcPr>
            <w:tcW w:w="2300" w:type="dxa"/>
            <w:vAlign w:val="center"/>
          </w:tcPr>
          <w:p w14:paraId="293E23AD">
            <w:pPr>
              <w:snapToGrid w:val="0"/>
              <w:spacing w:line="400" w:lineRule="exact"/>
              <w:rPr>
                <w:rFonts w:ascii="方正仿宋_GBK" w:hAnsi="宋体" w:eastAsia="方正仿宋_GBK"/>
                <w:color w:val="auto"/>
                <w:sz w:val="24"/>
                <w:szCs w:val="24"/>
              </w:rPr>
            </w:pPr>
            <w:r>
              <w:rPr>
                <w:rFonts w:hint="eastAsia" w:ascii="方正仿宋_GBK" w:hAnsi="宋体" w:eastAsia="方正仿宋_GBK"/>
                <w:color w:val="auto"/>
                <w:sz w:val="24"/>
                <w:szCs w:val="24"/>
              </w:rPr>
              <w:t>履行合同约定情况</w:t>
            </w:r>
          </w:p>
        </w:tc>
        <w:tc>
          <w:tcPr>
            <w:tcW w:w="6367" w:type="dxa"/>
            <w:vAlign w:val="center"/>
          </w:tcPr>
          <w:p w14:paraId="4853D185">
            <w:pPr>
              <w:snapToGrid w:val="0"/>
              <w:spacing w:line="400" w:lineRule="exact"/>
              <w:jc w:val="left"/>
              <w:rPr>
                <w:rFonts w:ascii="方正仿宋_GBK" w:hAnsi="宋体" w:eastAsia="方正仿宋_GBK"/>
                <w:color w:val="auto"/>
                <w:sz w:val="24"/>
                <w:szCs w:val="24"/>
              </w:rPr>
            </w:pPr>
            <w:r>
              <w:rPr>
                <w:rFonts w:hint="eastAsia" w:ascii="方正仿宋_GBK" w:hAnsi="宋体" w:eastAsia="方正仿宋_GBK"/>
                <w:color w:val="auto"/>
                <w:sz w:val="24"/>
                <w:szCs w:val="24"/>
              </w:rPr>
              <w:t>合同、投标文件、招标文件、供应商承诺书等约定或承诺的相关事项，未完成一项每次扣2分。</w:t>
            </w:r>
          </w:p>
        </w:tc>
      </w:tr>
      <w:tr w14:paraId="4F16D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289" w:type="dxa"/>
            <w:vMerge w:val="continue"/>
            <w:vAlign w:val="center"/>
          </w:tcPr>
          <w:p w14:paraId="7D7423D3">
            <w:pPr>
              <w:snapToGrid w:val="0"/>
              <w:spacing w:line="400" w:lineRule="exact"/>
              <w:jc w:val="center"/>
              <w:rPr>
                <w:rFonts w:ascii="方正仿宋_GBK" w:hAnsi="宋体" w:eastAsia="方正仿宋_GBK"/>
                <w:color w:val="auto"/>
                <w:sz w:val="24"/>
                <w:szCs w:val="24"/>
              </w:rPr>
            </w:pPr>
          </w:p>
        </w:tc>
        <w:tc>
          <w:tcPr>
            <w:tcW w:w="2300" w:type="dxa"/>
            <w:vMerge w:val="restart"/>
            <w:vAlign w:val="center"/>
          </w:tcPr>
          <w:p w14:paraId="391032B6">
            <w:pPr>
              <w:snapToGrid w:val="0"/>
              <w:spacing w:line="400" w:lineRule="exact"/>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其他</w:t>
            </w:r>
          </w:p>
        </w:tc>
        <w:tc>
          <w:tcPr>
            <w:tcW w:w="6367" w:type="dxa"/>
            <w:vAlign w:val="center"/>
          </w:tcPr>
          <w:p w14:paraId="40B72603">
            <w:pPr>
              <w:snapToGrid w:val="0"/>
              <w:spacing w:line="400" w:lineRule="exact"/>
              <w:jc w:val="left"/>
              <w:rPr>
                <w:rFonts w:ascii="方正仿宋_GBK" w:hAnsi="宋体" w:eastAsia="方正仿宋_GBK"/>
                <w:color w:val="auto"/>
                <w:sz w:val="24"/>
                <w:szCs w:val="24"/>
              </w:rPr>
            </w:pPr>
            <w:r>
              <w:rPr>
                <w:rFonts w:hint="eastAsia" w:ascii="方正仿宋_GBK" w:hAnsi="宋体" w:eastAsia="方正仿宋_GBK"/>
                <w:color w:val="auto"/>
                <w:sz w:val="24"/>
                <w:szCs w:val="24"/>
              </w:rPr>
              <w:t>违反需方管理规定或对需方造成不良影响等情况一次扣3分。</w:t>
            </w:r>
          </w:p>
        </w:tc>
      </w:tr>
      <w:tr w14:paraId="27730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289" w:type="dxa"/>
            <w:vMerge w:val="continue"/>
            <w:vAlign w:val="center"/>
          </w:tcPr>
          <w:p w14:paraId="134A8E32">
            <w:pPr>
              <w:snapToGrid w:val="0"/>
              <w:spacing w:line="400" w:lineRule="exact"/>
              <w:jc w:val="center"/>
              <w:rPr>
                <w:rFonts w:ascii="方正仿宋_GBK" w:hAnsi="宋体" w:eastAsia="方正仿宋_GBK"/>
                <w:color w:val="auto"/>
                <w:sz w:val="24"/>
                <w:szCs w:val="24"/>
              </w:rPr>
            </w:pPr>
          </w:p>
        </w:tc>
        <w:tc>
          <w:tcPr>
            <w:tcW w:w="2300" w:type="dxa"/>
            <w:vMerge w:val="continue"/>
            <w:vAlign w:val="center"/>
          </w:tcPr>
          <w:p w14:paraId="174D5B0C">
            <w:pPr>
              <w:snapToGrid w:val="0"/>
              <w:spacing w:line="400" w:lineRule="exact"/>
              <w:jc w:val="center"/>
              <w:rPr>
                <w:rFonts w:ascii="方正仿宋_GBK" w:hAnsi="宋体" w:eastAsia="方正仿宋_GBK"/>
                <w:color w:val="auto"/>
                <w:sz w:val="24"/>
                <w:szCs w:val="24"/>
              </w:rPr>
            </w:pPr>
          </w:p>
        </w:tc>
        <w:tc>
          <w:tcPr>
            <w:tcW w:w="6367" w:type="dxa"/>
            <w:vAlign w:val="center"/>
          </w:tcPr>
          <w:p w14:paraId="76D22A24">
            <w:pPr>
              <w:snapToGrid w:val="0"/>
              <w:spacing w:line="400" w:lineRule="exact"/>
              <w:jc w:val="left"/>
              <w:rPr>
                <w:rFonts w:ascii="方正仿宋_GBK" w:hAnsi="宋体" w:eastAsia="方正仿宋_GBK"/>
                <w:color w:val="auto"/>
                <w:sz w:val="24"/>
                <w:szCs w:val="24"/>
              </w:rPr>
            </w:pPr>
            <w:r>
              <w:rPr>
                <w:rFonts w:hint="eastAsia" w:ascii="方正仿宋_GBK" w:hAnsi="宋体" w:eastAsia="方正仿宋_GBK"/>
                <w:color w:val="auto"/>
                <w:sz w:val="24"/>
                <w:szCs w:val="24"/>
              </w:rPr>
              <w:t>寒暑假期间，乙方应将食堂剩余的未拆装整件物资免费运回，并在假期结束后更换同数量、质量的新鲜物资配送回食堂，拒绝响应的扣5分。</w:t>
            </w:r>
          </w:p>
        </w:tc>
      </w:tr>
    </w:tbl>
    <w:p w14:paraId="0F5F37EC">
      <w:pPr>
        <w:pStyle w:val="5"/>
        <w:spacing w:line="400" w:lineRule="exact"/>
        <w:rPr>
          <w:rFonts w:ascii="方正仿宋_GBK" w:eastAsia="方正仿宋_GBK"/>
          <w:b/>
          <w:bCs/>
          <w:color w:val="auto"/>
          <w:sz w:val="24"/>
          <w:szCs w:val="24"/>
        </w:rPr>
      </w:pPr>
      <w:bookmarkStart w:id="104" w:name="_Toc15202"/>
      <w:r>
        <w:rPr>
          <w:rFonts w:hint="eastAsia" w:ascii="方正仿宋_GBK" w:eastAsia="方正仿宋_GBK"/>
          <w:b/>
          <w:bCs/>
          <w:color w:val="auto"/>
          <w:sz w:val="24"/>
          <w:szCs w:val="24"/>
        </w:rPr>
        <w:t>※九、</w:t>
      </w:r>
      <w:bookmarkEnd w:id="101"/>
      <w:r>
        <w:rPr>
          <w:rFonts w:hint="eastAsia" w:ascii="方正仿宋_GBK" w:eastAsia="方正仿宋_GBK"/>
          <w:b/>
          <w:bCs/>
          <w:color w:val="auto"/>
          <w:sz w:val="24"/>
          <w:szCs w:val="24"/>
        </w:rPr>
        <w:t>其他商务要求内容</w:t>
      </w:r>
      <w:bookmarkEnd w:id="102"/>
      <w:bookmarkEnd w:id="103"/>
      <w:bookmarkEnd w:id="104"/>
    </w:p>
    <w:p w14:paraId="6FCD6329">
      <w:pPr>
        <w:snapToGrid w:val="0"/>
        <w:spacing w:line="276" w:lineRule="auto"/>
        <w:ind w:left="140" w:leftChars="50"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1.招标工作完成后，采购人后勤处代表采购人实施本项目的履约管理。</w:t>
      </w:r>
    </w:p>
    <w:p w14:paraId="1176585D">
      <w:pPr>
        <w:snapToGrid w:val="0"/>
        <w:spacing w:line="276" w:lineRule="auto"/>
        <w:ind w:left="140" w:leftChars="50"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2．中标人供货人员和车辆的安全责任，由中标人承担并完善相关保险手续等。</w:t>
      </w:r>
    </w:p>
    <w:p w14:paraId="6BBAEBBF">
      <w:pPr>
        <w:snapToGrid w:val="0"/>
        <w:spacing w:line="276" w:lineRule="auto"/>
        <w:ind w:left="140" w:leftChars="50"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3．中标人所供产品出现质量问题，中标人应承担全部法律、经济责任。</w:t>
      </w:r>
    </w:p>
    <w:p w14:paraId="2BBA0FCB">
      <w:pPr>
        <w:snapToGrid w:val="0"/>
        <w:spacing w:line="276" w:lineRule="auto"/>
        <w:ind w:left="140" w:leftChars="50"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4．中标人在供货期间，因自身原因造成事故事件等，所有后果由中标人自行承担。</w:t>
      </w:r>
    </w:p>
    <w:p w14:paraId="7F35B18B">
      <w:pPr>
        <w:snapToGrid w:val="0"/>
        <w:spacing w:line="276" w:lineRule="auto"/>
        <w:ind w:left="140" w:leftChars="50"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5.中标人须保证所供产品的卫生、质量及包装等必须符合《中华人民共和国产品质量法》《中华人民共和国计量法》《中华人民共和国食品安全法》《中华人民共和国消费者权益保护法》等要求。</w:t>
      </w:r>
    </w:p>
    <w:p w14:paraId="3800222C">
      <w:pPr>
        <w:spacing w:line="276" w:lineRule="auto"/>
        <w:ind w:firstLine="480" w:firstLineChars="200"/>
        <w:rPr>
          <w:rFonts w:ascii="方正仿宋_GBK" w:hAnsi="宋体" w:eastAsia="方正仿宋_GBK"/>
          <w:b/>
          <w:bCs/>
          <w:color w:val="auto"/>
          <w:sz w:val="24"/>
          <w:szCs w:val="24"/>
        </w:rPr>
      </w:pPr>
      <w:r>
        <w:rPr>
          <w:rFonts w:hint="eastAsia" w:ascii="方正仿宋_GBK" w:hAnsi="宋体" w:eastAsia="方正仿宋_GBK"/>
          <w:color w:val="auto"/>
          <w:sz w:val="24"/>
          <w:szCs w:val="24"/>
        </w:rPr>
        <w:t>6.中标人在合同期内未能严格履约，存在诸如货品质量问题、服务满意度评价等未达到合同要求时，采购人有权终止采购合同。</w:t>
      </w:r>
    </w:p>
    <w:p w14:paraId="08AC0D93">
      <w:pPr>
        <w:snapToGrid w:val="0"/>
        <w:spacing w:line="276" w:lineRule="auto"/>
        <w:ind w:left="140" w:leftChars="50" w:firstLine="360" w:firstLineChars="150"/>
        <w:rPr>
          <w:rFonts w:ascii="方正仿宋_GBK" w:hAnsi="宋体" w:eastAsia="方正仿宋_GBK" w:cs="宋体"/>
          <w:color w:val="auto"/>
          <w:kern w:val="0"/>
          <w:sz w:val="24"/>
          <w:szCs w:val="24"/>
        </w:rPr>
      </w:pPr>
    </w:p>
    <w:p w14:paraId="0A5E92AE">
      <w:pPr>
        <w:snapToGrid w:val="0"/>
        <w:spacing w:line="276" w:lineRule="auto"/>
        <w:ind w:left="140" w:leftChars="50" w:firstLine="360" w:firstLineChars="150"/>
        <w:rPr>
          <w:rFonts w:ascii="方正仿宋_GBK" w:hAnsi="宋体" w:eastAsia="方正仿宋_GBK" w:cs="宋体"/>
          <w:color w:val="auto"/>
          <w:kern w:val="0"/>
          <w:sz w:val="24"/>
          <w:szCs w:val="24"/>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p>
    <w:p w14:paraId="3AD0281E">
      <w:pPr>
        <w:pStyle w:val="4"/>
        <w:spacing w:beforeLines="0" w:afterLines="0" w:line="276" w:lineRule="auto"/>
        <w:rPr>
          <w:rFonts w:ascii="方正仿宋_GBK" w:hAnsi="宋体" w:eastAsia="方正仿宋_GBK"/>
          <w:b/>
          <w:color w:val="auto"/>
          <w:szCs w:val="44"/>
        </w:rPr>
      </w:pPr>
      <w:bookmarkStart w:id="105" w:name="_Toc19378"/>
      <w:bookmarkStart w:id="106" w:name="_Toc129178881"/>
      <w:bookmarkStart w:id="107" w:name="_Toc115877705"/>
      <w:bookmarkStart w:id="108" w:name="_Toc25401"/>
      <w:r>
        <w:rPr>
          <w:rFonts w:hint="eastAsia" w:ascii="方正仿宋_GBK" w:hAnsi="宋体" w:eastAsia="方正仿宋_GBK"/>
          <w:b/>
          <w:color w:val="auto"/>
          <w:szCs w:val="44"/>
        </w:rPr>
        <w:t>第四篇  资格审查及评标办法</w:t>
      </w:r>
      <w:bookmarkEnd w:id="105"/>
      <w:bookmarkEnd w:id="106"/>
      <w:bookmarkEnd w:id="107"/>
      <w:bookmarkEnd w:id="108"/>
    </w:p>
    <w:p w14:paraId="2B546090">
      <w:pPr>
        <w:pStyle w:val="5"/>
        <w:spacing w:line="276" w:lineRule="auto"/>
        <w:ind w:firstLine="482" w:firstLineChars="200"/>
        <w:rPr>
          <w:rFonts w:ascii="方正仿宋_GBK" w:eastAsia="方正仿宋_GBK"/>
          <w:b/>
          <w:color w:val="auto"/>
          <w:sz w:val="24"/>
          <w:szCs w:val="24"/>
        </w:rPr>
      </w:pPr>
      <w:bookmarkStart w:id="109" w:name="_Toc2979"/>
      <w:bookmarkStart w:id="110" w:name="_Toc115877706"/>
      <w:bookmarkStart w:id="111" w:name="_Toc492721015"/>
      <w:bookmarkStart w:id="112" w:name="_Toc129178882"/>
      <w:bookmarkStart w:id="113" w:name="_Toc24222"/>
      <w:r>
        <w:rPr>
          <w:rFonts w:hint="eastAsia" w:ascii="方正仿宋_GBK" w:eastAsia="方正仿宋_GBK"/>
          <w:b/>
          <w:color w:val="auto"/>
          <w:sz w:val="24"/>
          <w:szCs w:val="24"/>
        </w:rPr>
        <w:t>一、资格审查</w:t>
      </w:r>
      <w:bookmarkEnd w:id="109"/>
      <w:bookmarkEnd w:id="110"/>
      <w:bookmarkEnd w:id="111"/>
      <w:bookmarkEnd w:id="112"/>
      <w:bookmarkEnd w:id="113"/>
    </w:p>
    <w:p w14:paraId="373ED980">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依据政府采购相关法律法规规定，由采购人或采购代理机构对投标文件中的资格证明文件进行审查。资格审查资料表如下：</w:t>
      </w:r>
    </w:p>
    <w:tbl>
      <w:tblPr>
        <w:tblStyle w:val="20"/>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139"/>
        <w:gridCol w:w="3641"/>
        <w:gridCol w:w="3730"/>
      </w:tblGrid>
      <w:tr w14:paraId="6BFE4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46" w:type="dxa"/>
            <w:vAlign w:val="center"/>
          </w:tcPr>
          <w:p w14:paraId="69D86865">
            <w:pPr>
              <w:snapToGrid w:val="0"/>
              <w:jc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序号</w:t>
            </w:r>
          </w:p>
        </w:tc>
        <w:tc>
          <w:tcPr>
            <w:tcW w:w="4780" w:type="dxa"/>
            <w:gridSpan w:val="2"/>
            <w:vAlign w:val="center"/>
          </w:tcPr>
          <w:p w14:paraId="3AF5B26C">
            <w:pPr>
              <w:snapToGrid w:val="0"/>
              <w:ind w:firstLine="480" w:firstLineChars="200"/>
              <w:jc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检查因素</w:t>
            </w:r>
          </w:p>
        </w:tc>
        <w:tc>
          <w:tcPr>
            <w:tcW w:w="3730" w:type="dxa"/>
            <w:vAlign w:val="center"/>
          </w:tcPr>
          <w:p w14:paraId="73BE9599">
            <w:pPr>
              <w:snapToGrid w:val="0"/>
              <w:ind w:firstLine="480" w:firstLineChars="200"/>
              <w:jc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检查内容</w:t>
            </w:r>
          </w:p>
        </w:tc>
      </w:tr>
      <w:tr w14:paraId="1D562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14:paraId="13B47D6A">
            <w:pPr>
              <w:snapToGrid w:val="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（一）</w:t>
            </w:r>
          </w:p>
        </w:tc>
        <w:tc>
          <w:tcPr>
            <w:tcW w:w="1139" w:type="dxa"/>
            <w:vMerge w:val="restart"/>
            <w:vAlign w:val="center"/>
          </w:tcPr>
          <w:p w14:paraId="1B679F97">
            <w:pPr>
              <w:snapToGrid w:val="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《中华人民共和国政府采购法》第二十二条规定</w:t>
            </w:r>
          </w:p>
        </w:tc>
        <w:tc>
          <w:tcPr>
            <w:tcW w:w="3641" w:type="dxa"/>
            <w:vAlign w:val="center"/>
          </w:tcPr>
          <w:p w14:paraId="7AE01525">
            <w:pPr>
              <w:snapToGrid w:val="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1.具有独立承担民事责任的能力</w:t>
            </w:r>
          </w:p>
        </w:tc>
        <w:tc>
          <w:tcPr>
            <w:tcW w:w="3730" w:type="dxa"/>
            <w:vAlign w:val="center"/>
          </w:tcPr>
          <w:p w14:paraId="619AC48B">
            <w:pPr>
              <w:snapToGrid w:val="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1.供应商企业法人营业执照（副本）（提供复印件）。 </w:t>
            </w:r>
          </w:p>
          <w:p w14:paraId="3EFAC446">
            <w:pPr>
              <w:snapToGrid w:val="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2.供应商法定代表人身份证明和法定代表人授权代表委托书。</w:t>
            </w:r>
          </w:p>
        </w:tc>
      </w:tr>
      <w:tr w14:paraId="42DFF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3F1E65E2">
            <w:pPr>
              <w:snapToGrid w:val="0"/>
              <w:ind w:firstLine="480" w:firstLineChars="200"/>
              <w:rPr>
                <w:rFonts w:ascii="方正仿宋_GBK" w:hAnsi="方正仿宋_GBK" w:eastAsia="方正仿宋_GBK" w:cs="方正仿宋_GBK"/>
                <w:color w:val="auto"/>
                <w:sz w:val="24"/>
                <w:szCs w:val="24"/>
              </w:rPr>
            </w:pPr>
          </w:p>
        </w:tc>
        <w:tc>
          <w:tcPr>
            <w:tcW w:w="1139" w:type="dxa"/>
            <w:vMerge w:val="continue"/>
            <w:vAlign w:val="center"/>
          </w:tcPr>
          <w:p w14:paraId="7487B284">
            <w:pPr>
              <w:snapToGrid w:val="0"/>
              <w:ind w:firstLine="480" w:firstLineChars="200"/>
              <w:rPr>
                <w:rFonts w:ascii="方正仿宋_GBK" w:hAnsi="方正仿宋_GBK" w:eastAsia="方正仿宋_GBK" w:cs="方正仿宋_GBK"/>
                <w:color w:val="auto"/>
                <w:sz w:val="24"/>
                <w:szCs w:val="24"/>
              </w:rPr>
            </w:pPr>
          </w:p>
        </w:tc>
        <w:tc>
          <w:tcPr>
            <w:tcW w:w="3641" w:type="dxa"/>
            <w:vAlign w:val="center"/>
          </w:tcPr>
          <w:p w14:paraId="6793E43E">
            <w:pPr>
              <w:snapToGrid w:val="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2.具有良好的商业信誉和健全的财务会计制度</w:t>
            </w:r>
          </w:p>
        </w:tc>
        <w:tc>
          <w:tcPr>
            <w:tcW w:w="3730" w:type="dxa"/>
            <w:vMerge w:val="restart"/>
            <w:vAlign w:val="center"/>
          </w:tcPr>
          <w:p w14:paraId="2AC3372E">
            <w:pPr>
              <w:snapToGrid w:val="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供应商提供“基本资格条件承诺函”（详见第七篇）</w:t>
            </w:r>
          </w:p>
        </w:tc>
      </w:tr>
      <w:tr w14:paraId="3EF34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230B6570">
            <w:pPr>
              <w:snapToGrid w:val="0"/>
              <w:ind w:firstLine="480" w:firstLineChars="200"/>
              <w:rPr>
                <w:rFonts w:ascii="方正仿宋_GBK" w:hAnsi="方正仿宋_GBK" w:eastAsia="方正仿宋_GBK" w:cs="方正仿宋_GBK"/>
                <w:color w:val="auto"/>
                <w:sz w:val="24"/>
                <w:szCs w:val="24"/>
              </w:rPr>
            </w:pPr>
          </w:p>
        </w:tc>
        <w:tc>
          <w:tcPr>
            <w:tcW w:w="1139" w:type="dxa"/>
            <w:vMerge w:val="continue"/>
            <w:vAlign w:val="center"/>
          </w:tcPr>
          <w:p w14:paraId="1780047A">
            <w:pPr>
              <w:snapToGrid w:val="0"/>
              <w:ind w:firstLine="480" w:firstLineChars="200"/>
              <w:rPr>
                <w:rFonts w:ascii="方正仿宋_GBK" w:hAnsi="方正仿宋_GBK" w:eastAsia="方正仿宋_GBK" w:cs="方正仿宋_GBK"/>
                <w:color w:val="auto"/>
                <w:sz w:val="24"/>
                <w:szCs w:val="24"/>
              </w:rPr>
            </w:pPr>
          </w:p>
        </w:tc>
        <w:tc>
          <w:tcPr>
            <w:tcW w:w="3641" w:type="dxa"/>
            <w:vAlign w:val="center"/>
          </w:tcPr>
          <w:p w14:paraId="106AC442">
            <w:pPr>
              <w:snapToGrid w:val="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3.具有履行合同所必需的设备和专业技术能力</w:t>
            </w:r>
          </w:p>
        </w:tc>
        <w:tc>
          <w:tcPr>
            <w:tcW w:w="3730" w:type="dxa"/>
            <w:vMerge w:val="continue"/>
            <w:vAlign w:val="center"/>
          </w:tcPr>
          <w:p w14:paraId="4C4C3D30">
            <w:pPr>
              <w:snapToGrid w:val="0"/>
              <w:ind w:firstLine="480" w:firstLineChars="200"/>
              <w:rPr>
                <w:rFonts w:ascii="方正仿宋_GBK" w:hAnsi="方正仿宋_GBK" w:eastAsia="方正仿宋_GBK" w:cs="方正仿宋_GBK"/>
                <w:color w:val="auto"/>
                <w:sz w:val="24"/>
                <w:szCs w:val="24"/>
              </w:rPr>
            </w:pPr>
          </w:p>
        </w:tc>
      </w:tr>
      <w:tr w14:paraId="558F4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3E896E82">
            <w:pPr>
              <w:snapToGrid w:val="0"/>
              <w:ind w:firstLine="480" w:firstLineChars="200"/>
              <w:rPr>
                <w:rFonts w:ascii="方正仿宋_GBK" w:hAnsi="方正仿宋_GBK" w:eastAsia="方正仿宋_GBK" w:cs="方正仿宋_GBK"/>
                <w:color w:val="auto"/>
                <w:sz w:val="24"/>
                <w:szCs w:val="24"/>
              </w:rPr>
            </w:pPr>
          </w:p>
        </w:tc>
        <w:tc>
          <w:tcPr>
            <w:tcW w:w="1139" w:type="dxa"/>
            <w:vMerge w:val="continue"/>
            <w:vAlign w:val="center"/>
          </w:tcPr>
          <w:p w14:paraId="06E42934">
            <w:pPr>
              <w:snapToGrid w:val="0"/>
              <w:ind w:firstLine="480" w:firstLineChars="200"/>
              <w:rPr>
                <w:rFonts w:ascii="方正仿宋_GBK" w:hAnsi="方正仿宋_GBK" w:eastAsia="方正仿宋_GBK" w:cs="方正仿宋_GBK"/>
                <w:color w:val="auto"/>
                <w:sz w:val="24"/>
                <w:szCs w:val="24"/>
              </w:rPr>
            </w:pPr>
          </w:p>
        </w:tc>
        <w:tc>
          <w:tcPr>
            <w:tcW w:w="3641" w:type="dxa"/>
            <w:vAlign w:val="center"/>
          </w:tcPr>
          <w:p w14:paraId="4BD1F7C3">
            <w:pPr>
              <w:snapToGrid w:val="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4.有依法缴纳税收和社会保障金的良好记录</w:t>
            </w:r>
          </w:p>
        </w:tc>
        <w:tc>
          <w:tcPr>
            <w:tcW w:w="3730" w:type="dxa"/>
            <w:vMerge w:val="continue"/>
            <w:vAlign w:val="center"/>
          </w:tcPr>
          <w:p w14:paraId="1805FD35">
            <w:pPr>
              <w:snapToGrid w:val="0"/>
              <w:ind w:firstLine="480" w:firstLineChars="200"/>
              <w:rPr>
                <w:rFonts w:ascii="方正仿宋_GBK" w:hAnsi="方正仿宋_GBK" w:eastAsia="方正仿宋_GBK" w:cs="方正仿宋_GBK"/>
                <w:color w:val="auto"/>
                <w:sz w:val="24"/>
                <w:szCs w:val="24"/>
              </w:rPr>
            </w:pPr>
          </w:p>
        </w:tc>
      </w:tr>
      <w:tr w14:paraId="7BFCA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0B486A63">
            <w:pPr>
              <w:snapToGrid w:val="0"/>
              <w:ind w:firstLine="480" w:firstLineChars="200"/>
              <w:rPr>
                <w:rFonts w:ascii="方正仿宋_GBK" w:hAnsi="方正仿宋_GBK" w:eastAsia="方正仿宋_GBK" w:cs="方正仿宋_GBK"/>
                <w:color w:val="auto"/>
                <w:sz w:val="24"/>
                <w:szCs w:val="24"/>
              </w:rPr>
            </w:pPr>
          </w:p>
        </w:tc>
        <w:tc>
          <w:tcPr>
            <w:tcW w:w="1139" w:type="dxa"/>
            <w:vMerge w:val="continue"/>
            <w:vAlign w:val="center"/>
          </w:tcPr>
          <w:p w14:paraId="14487EE5">
            <w:pPr>
              <w:snapToGrid w:val="0"/>
              <w:ind w:firstLine="480" w:firstLineChars="200"/>
              <w:rPr>
                <w:rFonts w:ascii="方正仿宋_GBK" w:hAnsi="方正仿宋_GBK" w:eastAsia="方正仿宋_GBK" w:cs="方正仿宋_GBK"/>
                <w:color w:val="auto"/>
                <w:sz w:val="24"/>
                <w:szCs w:val="24"/>
              </w:rPr>
            </w:pPr>
          </w:p>
        </w:tc>
        <w:tc>
          <w:tcPr>
            <w:tcW w:w="3641" w:type="dxa"/>
            <w:vAlign w:val="center"/>
          </w:tcPr>
          <w:p w14:paraId="3BD275C4">
            <w:pPr>
              <w:snapToGrid w:val="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5.参加政府采购活动前三年内，在经营活动中没有重大违法记录（注</w:t>
            </w:r>
            <w:r>
              <w:rPr>
                <w:rFonts w:hint="eastAsia" w:ascii="方正仿宋_GBK" w:hAnsi="方正仿宋_GBK" w:eastAsia="方正仿宋_GBK" w:cs="方正仿宋_GBK"/>
                <w:color w:val="auto"/>
                <w:sz w:val="24"/>
                <w:szCs w:val="24"/>
              </w:rPr>
              <w:fldChar w:fldCharType="begin"/>
            </w:r>
            <w:r>
              <w:rPr>
                <w:rFonts w:hint="eastAsia" w:ascii="方正仿宋_GBK" w:hAnsi="方正仿宋_GBK" w:eastAsia="方正仿宋_GBK" w:cs="方正仿宋_GBK"/>
                <w:color w:val="auto"/>
                <w:sz w:val="24"/>
                <w:szCs w:val="24"/>
              </w:rPr>
              <w:instrText xml:space="preserve"> eq \o\ac(</w:instrText>
            </w:r>
            <w:r>
              <w:rPr>
                <w:rFonts w:hint="eastAsia" w:ascii="方正仿宋_GBK" w:hAnsi="方正仿宋_GBK" w:eastAsia="方正仿宋_GBK" w:cs="方正仿宋_GBK"/>
                <w:color w:val="auto"/>
                <w:position w:val="-4"/>
                <w:sz w:val="36"/>
                <w:szCs w:val="24"/>
              </w:rPr>
              <w:instrText xml:space="preserve">○</w:instrText>
            </w:r>
            <w:r>
              <w:rPr>
                <w:rFonts w:hint="eastAsia" w:ascii="方正仿宋_GBK" w:hAnsi="方正仿宋_GBK" w:eastAsia="方正仿宋_GBK" w:cs="方正仿宋_GBK"/>
                <w:color w:val="auto"/>
                <w:sz w:val="24"/>
                <w:szCs w:val="24"/>
              </w:rPr>
              <w:instrText xml:space="preserve">,1)</w:instrText>
            </w:r>
            <w:r>
              <w:rPr>
                <w:rFonts w:hint="eastAsia" w:ascii="方正仿宋_GBK" w:hAnsi="方正仿宋_GBK" w:eastAsia="方正仿宋_GBK" w:cs="方正仿宋_GBK"/>
                <w:color w:val="auto"/>
                <w:sz w:val="24"/>
                <w:szCs w:val="24"/>
              </w:rPr>
              <w:fldChar w:fldCharType="end"/>
            </w:r>
            <w:r>
              <w:rPr>
                <w:rFonts w:hint="eastAsia" w:ascii="方正仿宋_GBK" w:hAnsi="方正仿宋_GBK" w:eastAsia="方正仿宋_GBK" w:cs="方正仿宋_GBK"/>
                <w:color w:val="auto"/>
                <w:sz w:val="24"/>
                <w:szCs w:val="24"/>
              </w:rPr>
              <w:t>）</w:t>
            </w:r>
          </w:p>
        </w:tc>
        <w:tc>
          <w:tcPr>
            <w:tcW w:w="3730" w:type="dxa"/>
            <w:vMerge w:val="continue"/>
            <w:vAlign w:val="center"/>
          </w:tcPr>
          <w:p w14:paraId="2366A79D">
            <w:pPr>
              <w:snapToGrid w:val="0"/>
              <w:ind w:firstLine="480" w:firstLineChars="200"/>
              <w:rPr>
                <w:rFonts w:ascii="方正仿宋_GBK" w:hAnsi="方正仿宋_GBK" w:eastAsia="方正仿宋_GBK" w:cs="方正仿宋_GBK"/>
                <w:color w:val="auto"/>
                <w:sz w:val="24"/>
                <w:szCs w:val="24"/>
              </w:rPr>
            </w:pPr>
          </w:p>
        </w:tc>
      </w:tr>
      <w:tr w14:paraId="29AAF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4D8BB79A">
            <w:pPr>
              <w:snapToGrid w:val="0"/>
              <w:ind w:firstLine="480" w:firstLineChars="200"/>
              <w:rPr>
                <w:rFonts w:ascii="方正仿宋_GBK" w:hAnsi="方正仿宋_GBK" w:eastAsia="方正仿宋_GBK" w:cs="方正仿宋_GBK"/>
                <w:color w:val="auto"/>
                <w:sz w:val="24"/>
                <w:szCs w:val="24"/>
              </w:rPr>
            </w:pPr>
          </w:p>
        </w:tc>
        <w:tc>
          <w:tcPr>
            <w:tcW w:w="1139" w:type="dxa"/>
            <w:vMerge w:val="continue"/>
            <w:vAlign w:val="center"/>
          </w:tcPr>
          <w:p w14:paraId="231162C2">
            <w:pPr>
              <w:snapToGrid w:val="0"/>
              <w:ind w:firstLine="480" w:firstLineChars="200"/>
              <w:rPr>
                <w:rFonts w:ascii="方正仿宋_GBK" w:hAnsi="方正仿宋_GBK" w:eastAsia="方正仿宋_GBK" w:cs="方正仿宋_GBK"/>
                <w:color w:val="auto"/>
                <w:sz w:val="24"/>
                <w:szCs w:val="24"/>
              </w:rPr>
            </w:pPr>
          </w:p>
        </w:tc>
        <w:tc>
          <w:tcPr>
            <w:tcW w:w="3641" w:type="dxa"/>
            <w:vAlign w:val="center"/>
          </w:tcPr>
          <w:p w14:paraId="0E9FA5E5">
            <w:pPr>
              <w:snapToGrid w:val="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6.法律、行政法规规定的其他条件</w:t>
            </w:r>
          </w:p>
        </w:tc>
        <w:tc>
          <w:tcPr>
            <w:tcW w:w="3730" w:type="dxa"/>
            <w:vAlign w:val="center"/>
          </w:tcPr>
          <w:p w14:paraId="7F3A9187">
            <w:pPr>
              <w:snapToGrid w:val="0"/>
              <w:ind w:firstLine="480" w:firstLineChars="200"/>
              <w:rPr>
                <w:rFonts w:ascii="方正仿宋_GBK" w:hAnsi="方正仿宋_GBK" w:eastAsia="方正仿宋_GBK" w:cs="方正仿宋_GBK"/>
                <w:color w:val="auto"/>
                <w:sz w:val="24"/>
                <w:szCs w:val="24"/>
              </w:rPr>
            </w:pPr>
          </w:p>
        </w:tc>
      </w:tr>
      <w:tr w14:paraId="6F7D4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14:paraId="289FB824">
            <w:pPr>
              <w:snapToGrid w:val="0"/>
              <w:ind w:firstLine="480" w:firstLineChars="200"/>
              <w:rPr>
                <w:rFonts w:ascii="方正仿宋_GBK" w:hAnsi="方正仿宋_GBK" w:eastAsia="方正仿宋_GBK" w:cs="方正仿宋_GBK"/>
                <w:color w:val="auto"/>
                <w:sz w:val="24"/>
                <w:szCs w:val="24"/>
              </w:rPr>
            </w:pPr>
          </w:p>
        </w:tc>
        <w:tc>
          <w:tcPr>
            <w:tcW w:w="1139" w:type="dxa"/>
            <w:vMerge w:val="continue"/>
          </w:tcPr>
          <w:p w14:paraId="285FB8A6">
            <w:pPr>
              <w:snapToGrid w:val="0"/>
              <w:ind w:firstLine="480" w:firstLineChars="200"/>
              <w:rPr>
                <w:rFonts w:ascii="方正仿宋_GBK" w:hAnsi="方正仿宋_GBK" w:eastAsia="方正仿宋_GBK" w:cs="方正仿宋_GBK"/>
                <w:color w:val="auto"/>
                <w:sz w:val="24"/>
                <w:szCs w:val="24"/>
              </w:rPr>
            </w:pPr>
          </w:p>
        </w:tc>
        <w:tc>
          <w:tcPr>
            <w:tcW w:w="3641" w:type="dxa"/>
            <w:vAlign w:val="center"/>
          </w:tcPr>
          <w:p w14:paraId="56BA85E1">
            <w:pPr>
              <w:snapToGrid w:val="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7.本项目的特定资格要求</w:t>
            </w:r>
          </w:p>
        </w:tc>
        <w:tc>
          <w:tcPr>
            <w:tcW w:w="3730" w:type="dxa"/>
            <w:vAlign w:val="center"/>
          </w:tcPr>
          <w:p w14:paraId="0EA91A6D">
            <w:pPr>
              <w:snapToGrid w:val="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按“第一篇三、供应商资格要求（三）本项目的特定资格要求”的要求提交（如果有）。</w:t>
            </w:r>
          </w:p>
        </w:tc>
      </w:tr>
      <w:tr w14:paraId="4F63F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3C9F7AE6">
            <w:pPr>
              <w:snapToGrid w:val="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（二）</w:t>
            </w:r>
          </w:p>
        </w:tc>
        <w:tc>
          <w:tcPr>
            <w:tcW w:w="4780" w:type="dxa"/>
            <w:gridSpan w:val="2"/>
            <w:vAlign w:val="center"/>
          </w:tcPr>
          <w:p w14:paraId="76BF166D">
            <w:pPr>
              <w:snapToGrid w:val="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落实政府采购政策需满足的资格要求</w:t>
            </w:r>
          </w:p>
        </w:tc>
        <w:tc>
          <w:tcPr>
            <w:tcW w:w="3730" w:type="dxa"/>
            <w:vAlign w:val="center"/>
          </w:tcPr>
          <w:p w14:paraId="3141FA2F">
            <w:pPr>
              <w:snapToGrid w:val="0"/>
              <w:jc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w:t>
            </w:r>
          </w:p>
        </w:tc>
      </w:tr>
      <w:tr w14:paraId="113AB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46" w:type="dxa"/>
            <w:vAlign w:val="center"/>
          </w:tcPr>
          <w:p w14:paraId="4B2232C3">
            <w:pPr>
              <w:snapToGrid w:val="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（三）</w:t>
            </w:r>
          </w:p>
        </w:tc>
        <w:tc>
          <w:tcPr>
            <w:tcW w:w="4780" w:type="dxa"/>
            <w:gridSpan w:val="2"/>
            <w:vAlign w:val="center"/>
          </w:tcPr>
          <w:p w14:paraId="56D2D242">
            <w:pPr>
              <w:snapToGrid w:val="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投标保证金</w:t>
            </w:r>
          </w:p>
        </w:tc>
        <w:tc>
          <w:tcPr>
            <w:tcW w:w="3730" w:type="dxa"/>
            <w:vAlign w:val="center"/>
          </w:tcPr>
          <w:p w14:paraId="13F8D3D3">
            <w:pPr>
              <w:snapToGrid w:val="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按照招标文件要求足额交纳所投包的投标保证金。</w:t>
            </w:r>
          </w:p>
        </w:tc>
      </w:tr>
    </w:tbl>
    <w:p w14:paraId="7B0CEA2E">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注：</w:t>
      </w:r>
    </w:p>
    <w:p w14:paraId="5EA67053">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fldChar w:fldCharType="begin"/>
      </w:r>
      <w:r>
        <w:rPr>
          <w:rFonts w:hint="eastAsia" w:ascii="方正仿宋_GBK" w:hAnsi="宋体" w:eastAsia="方正仿宋_GBK"/>
          <w:color w:val="auto"/>
          <w:sz w:val="24"/>
          <w:szCs w:val="24"/>
        </w:rPr>
        <w:instrText xml:space="preserve"> eq \o\ac(○,1)</w:instrText>
      </w:r>
      <w:r>
        <w:rPr>
          <w:rFonts w:hint="eastAsia" w:ascii="方正仿宋_GBK" w:hAnsi="宋体" w:eastAsia="方正仿宋_GBK"/>
          <w:color w:val="auto"/>
          <w:sz w:val="24"/>
          <w:szCs w:val="24"/>
        </w:rPr>
        <w:fldChar w:fldCharType="end"/>
      </w:r>
      <w:r>
        <w:rPr>
          <w:rFonts w:hint="eastAsia" w:ascii="方正仿宋_GBK" w:hAnsi="宋体" w:eastAsia="方正仿宋_GBK"/>
          <w:color w:val="auto"/>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号）”执行。供应商可于投标截止时间前通过“信用中国”网站(www.creditchina.gov.cn)"中国政府采购网"(www.ccgp.gov.cn)等渠道查询供应商信用记录。</w:t>
      </w:r>
    </w:p>
    <w:p w14:paraId="2D01D7DF">
      <w:pPr>
        <w:pStyle w:val="5"/>
        <w:spacing w:line="276" w:lineRule="auto"/>
        <w:ind w:firstLine="482" w:firstLineChars="200"/>
        <w:rPr>
          <w:rFonts w:ascii="方正仿宋_GBK" w:eastAsia="方正仿宋_GBK"/>
          <w:b/>
          <w:color w:val="auto"/>
          <w:sz w:val="24"/>
          <w:szCs w:val="24"/>
        </w:rPr>
      </w:pPr>
      <w:bookmarkStart w:id="114" w:name="_Toc115877707"/>
      <w:bookmarkStart w:id="115" w:name="_Toc129178883"/>
      <w:bookmarkStart w:id="116" w:name="_Toc3318"/>
      <w:bookmarkStart w:id="117" w:name="_Toc492721016"/>
      <w:bookmarkStart w:id="118" w:name="_Toc22628"/>
      <w:r>
        <w:rPr>
          <w:rFonts w:hint="eastAsia" w:ascii="方正仿宋_GBK" w:eastAsia="方正仿宋_GBK"/>
          <w:b/>
          <w:color w:val="auto"/>
          <w:sz w:val="24"/>
          <w:szCs w:val="24"/>
        </w:rPr>
        <w:t>二、</w:t>
      </w:r>
      <w:bookmarkEnd w:id="114"/>
      <w:bookmarkEnd w:id="115"/>
      <w:bookmarkEnd w:id="116"/>
      <w:bookmarkEnd w:id="117"/>
      <w:r>
        <w:rPr>
          <w:rFonts w:hint="eastAsia" w:ascii="方正仿宋_GBK" w:eastAsia="方正仿宋_GBK"/>
          <w:b/>
          <w:color w:val="auto"/>
          <w:sz w:val="24"/>
          <w:szCs w:val="24"/>
        </w:rPr>
        <w:t>符合性审查</w:t>
      </w:r>
      <w:bookmarkEnd w:id="118"/>
    </w:p>
    <w:p w14:paraId="1701EA42">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评标委员会应当对符合资格的供应商的投标文件进行符合性审查，以确定其是否满足招标文件的实质性要求。符合性审查资料表如下：</w:t>
      </w:r>
    </w:p>
    <w:tbl>
      <w:tblPr>
        <w:tblStyle w:val="20"/>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701"/>
        <w:gridCol w:w="5670"/>
      </w:tblGrid>
      <w:tr w14:paraId="2EE37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09" w:type="dxa"/>
            <w:vAlign w:val="center"/>
          </w:tcPr>
          <w:p w14:paraId="3199BEFD">
            <w:pPr>
              <w:snapToGrid w:val="0"/>
              <w:spacing w:line="276" w:lineRule="auto"/>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序号</w:t>
            </w:r>
          </w:p>
        </w:tc>
        <w:tc>
          <w:tcPr>
            <w:tcW w:w="2977" w:type="dxa"/>
            <w:gridSpan w:val="2"/>
            <w:vAlign w:val="center"/>
          </w:tcPr>
          <w:p w14:paraId="5359C2A7">
            <w:pPr>
              <w:snapToGrid w:val="0"/>
              <w:spacing w:line="276" w:lineRule="auto"/>
              <w:ind w:firstLine="480" w:firstLineChars="20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评审因素</w:t>
            </w:r>
          </w:p>
        </w:tc>
        <w:tc>
          <w:tcPr>
            <w:tcW w:w="5670" w:type="dxa"/>
            <w:vAlign w:val="center"/>
          </w:tcPr>
          <w:p w14:paraId="52A9EF15">
            <w:pPr>
              <w:snapToGrid w:val="0"/>
              <w:spacing w:line="276" w:lineRule="auto"/>
              <w:ind w:firstLine="480" w:firstLineChars="20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评审标准</w:t>
            </w:r>
          </w:p>
        </w:tc>
      </w:tr>
      <w:tr w14:paraId="77A1B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09" w:type="dxa"/>
            <w:vMerge w:val="restart"/>
            <w:vAlign w:val="center"/>
          </w:tcPr>
          <w:p w14:paraId="49ED22A7">
            <w:pPr>
              <w:snapToGrid w:val="0"/>
              <w:spacing w:line="276" w:lineRule="auto"/>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1</w:t>
            </w:r>
          </w:p>
        </w:tc>
        <w:tc>
          <w:tcPr>
            <w:tcW w:w="1276" w:type="dxa"/>
            <w:vMerge w:val="restart"/>
            <w:vAlign w:val="center"/>
          </w:tcPr>
          <w:p w14:paraId="47F7EC66">
            <w:pPr>
              <w:snapToGrid w:val="0"/>
              <w:spacing w:line="276" w:lineRule="auto"/>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有效性审查</w:t>
            </w:r>
          </w:p>
        </w:tc>
        <w:tc>
          <w:tcPr>
            <w:tcW w:w="1701" w:type="dxa"/>
            <w:vAlign w:val="center"/>
          </w:tcPr>
          <w:p w14:paraId="668A6B28">
            <w:pPr>
              <w:snapToGrid w:val="0"/>
              <w:spacing w:line="276" w:lineRule="auto"/>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投标文件签署</w:t>
            </w:r>
          </w:p>
        </w:tc>
        <w:tc>
          <w:tcPr>
            <w:tcW w:w="5670" w:type="dxa"/>
            <w:vAlign w:val="center"/>
          </w:tcPr>
          <w:p w14:paraId="42BAAB9F">
            <w:pPr>
              <w:snapToGrid w:val="0"/>
              <w:spacing w:line="276" w:lineRule="auto"/>
              <w:rPr>
                <w:rFonts w:ascii="方正仿宋_GBK" w:hAnsi="宋体" w:eastAsia="方正仿宋_GBK"/>
                <w:color w:val="auto"/>
                <w:sz w:val="24"/>
                <w:szCs w:val="24"/>
              </w:rPr>
            </w:pPr>
            <w:r>
              <w:rPr>
                <w:rFonts w:hint="eastAsia" w:ascii="方正仿宋_GBK" w:hAnsi="宋体" w:eastAsia="方正仿宋_GBK"/>
                <w:color w:val="auto"/>
                <w:sz w:val="24"/>
                <w:szCs w:val="24"/>
              </w:rPr>
              <w:t>投标文件上法定代表人或其授权代表人的签字齐全。</w:t>
            </w:r>
          </w:p>
        </w:tc>
      </w:tr>
      <w:tr w14:paraId="0E873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09" w:type="dxa"/>
            <w:vMerge w:val="continue"/>
            <w:vAlign w:val="center"/>
          </w:tcPr>
          <w:p w14:paraId="0E531B4F">
            <w:pPr>
              <w:snapToGrid w:val="0"/>
              <w:spacing w:line="276" w:lineRule="auto"/>
              <w:ind w:firstLine="480" w:firstLineChars="200"/>
              <w:jc w:val="center"/>
              <w:rPr>
                <w:rFonts w:ascii="方正仿宋_GBK" w:hAnsi="宋体" w:eastAsia="方正仿宋_GBK"/>
                <w:color w:val="auto"/>
                <w:sz w:val="24"/>
                <w:szCs w:val="24"/>
              </w:rPr>
            </w:pPr>
          </w:p>
        </w:tc>
        <w:tc>
          <w:tcPr>
            <w:tcW w:w="1276" w:type="dxa"/>
            <w:vMerge w:val="continue"/>
            <w:vAlign w:val="center"/>
          </w:tcPr>
          <w:p w14:paraId="024C267F">
            <w:pPr>
              <w:snapToGrid w:val="0"/>
              <w:spacing w:line="276" w:lineRule="auto"/>
              <w:ind w:firstLine="480" w:firstLineChars="200"/>
              <w:jc w:val="center"/>
              <w:rPr>
                <w:rFonts w:ascii="方正仿宋_GBK" w:hAnsi="宋体" w:eastAsia="方正仿宋_GBK"/>
                <w:color w:val="auto"/>
                <w:sz w:val="24"/>
                <w:szCs w:val="24"/>
              </w:rPr>
            </w:pPr>
          </w:p>
        </w:tc>
        <w:tc>
          <w:tcPr>
            <w:tcW w:w="1701" w:type="dxa"/>
            <w:vAlign w:val="center"/>
          </w:tcPr>
          <w:p w14:paraId="7D0988E2">
            <w:pPr>
              <w:snapToGrid w:val="0"/>
              <w:spacing w:line="276" w:lineRule="auto"/>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投标方案</w:t>
            </w:r>
          </w:p>
        </w:tc>
        <w:tc>
          <w:tcPr>
            <w:tcW w:w="5670" w:type="dxa"/>
            <w:vAlign w:val="center"/>
          </w:tcPr>
          <w:p w14:paraId="4EBF9E41">
            <w:pPr>
              <w:snapToGrid w:val="0"/>
              <w:spacing w:line="276" w:lineRule="auto"/>
              <w:rPr>
                <w:rFonts w:ascii="方正仿宋_GBK" w:hAnsi="宋体" w:eastAsia="方正仿宋_GBK"/>
                <w:color w:val="auto"/>
                <w:sz w:val="24"/>
                <w:szCs w:val="24"/>
              </w:rPr>
            </w:pPr>
            <w:r>
              <w:rPr>
                <w:rFonts w:hint="eastAsia" w:ascii="方正仿宋_GBK" w:hAnsi="宋体" w:eastAsia="方正仿宋_GBK"/>
                <w:color w:val="auto"/>
                <w:sz w:val="24"/>
                <w:szCs w:val="24"/>
              </w:rPr>
              <w:t>每个包只能有一个方案投标。</w:t>
            </w:r>
          </w:p>
        </w:tc>
      </w:tr>
      <w:tr w14:paraId="60037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9" w:type="dxa"/>
            <w:vMerge w:val="continue"/>
            <w:vAlign w:val="center"/>
          </w:tcPr>
          <w:p w14:paraId="14774D1D">
            <w:pPr>
              <w:snapToGrid w:val="0"/>
              <w:spacing w:line="276" w:lineRule="auto"/>
              <w:ind w:firstLine="480" w:firstLineChars="200"/>
              <w:jc w:val="center"/>
              <w:rPr>
                <w:rFonts w:ascii="方正仿宋_GBK" w:hAnsi="宋体" w:eastAsia="方正仿宋_GBK"/>
                <w:color w:val="auto"/>
                <w:sz w:val="24"/>
                <w:szCs w:val="24"/>
              </w:rPr>
            </w:pPr>
          </w:p>
        </w:tc>
        <w:tc>
          <w:tcPr>
            <w:tcW w:w="1276" w:type="dxa"/>
            <w:vMerge w:val="continue"/>
            <w:vAlign w:val="center"/>
          </w:tcPr>
          <w:p w14:paraId="0C3C4BCB">
            <w:pPr>
              <w:snapToGrid w:val="0"/>
              <w:spacing w:line="276" w:lineRule="auto"/>
              <w:ind w:firstLine="480" w:firstLineChars="200"/>
              <w:jc w:val="center"/>
              <w:rPr>
                <w:rFonts w:ascii="方正仿宋_GBK" w:hAnsi="宋体" w:eastAsia="方正仿宋_GBK"/>
                <w:color w:val="auto"/>
                <w:sz w:val="24"/>
                <w:szCs w:val="24"/>
              </w:rPr>
            </w:pPr>
          </w:p>
        </w:tc>
        <w:tc>
          <w:tcPr>
            <w:tcW w:w="1701" w:type="dxa"/>
            <w:vAlign w:val="center"/>
          </w:tcPr>
          <w:p w14:paraId="310191E0">
            <w:pPr>
              <w:snapToGrid w:val="0"/>
              <w:spacing w:line="276" w:lineRule="auto"/>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报价唯一</w:t>
            </w:r>
          </w:p>
        </w:tc>
        <w:tc>
          <w:tcPr>
            <w:tcW w:w="5670" w:type="dxa"/>
            <w:vAlign w:val="center"/>
          </w:tcPr>
          <w:p w14:paraId="62E0839F">
            <w:pPr>
              <w:snapToGrid w:val="0"/>
              <w:spacing w:line="276" w:lineRule="auto"/>
              <w:rPr>
                <w:rFonts w:ascii="方正仿宋_GBK" w:hAnsi="宋体" w:eastAsia="方正仿宋_GBK"/>
                <w:color w:val="auto"/>
                <w:sz w:val="24"/>
                <w:szCs w:val="24"/>
              </w:rPr>
            </w:pPr>
            <w:r>
              <w:rPr>
                <w:rFonts w:hint="eastAsia" w:ascii="方正仿宋_GBK" w:hAnsi="宋体" w:eastAsia="方正仿宋_GBK"/>
                <w:color w:val="auto"/>
                <w:sz w:val="24"/>
                <w:szCs w:val="24"/>
              </w:rPr>
              <w:t>只能在预算金额和最高限价内报价，只能有一个有效报价，不得提交选择性报价。</w:t>
            </w:r>
          </w:p>
        </w:tc>
      </w:tr>
      <w:tr w14:paraId="3108A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09" w:type="dxa"/>
            <w:vAlign w:val="center"/>
          </w:tcPr>
          <w:p w14:paraId="0B66D43E">
            <w:pPr>
              <w:snapToGrid w:val="0"/>
              <w:spacing w:line="276" w:lineRule="auto"/>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2</w:t>
            </w:r>
          </w:p>
        </w:tc>
        <w:tc>
          <w:tcPr>
            <w:tcW w:w="1276" w:type="dxa"/>
            <w:vAlign w:val="center"/>
          </w:tcPr>
          <w:p w14:paraId="12E6333A">
            <w:pPr>
              <w:snapToGrid w:val="0"/>
              <w:spacing w:line="276" w:lineRule="auto"/>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完整性审查</w:t>
            </w:r>
          </w:p>
        </w:tc>
        <w:tc>
          <w:tcPr>
            <w:tcW w:w="1701" w:type="dxa"/>
            <w:vAlign w:val="center"/>
          </w:tcPr>
          <w:p w14:paraId="3A59934B">
            <w:pPr>
              <w:snapToGrid w:val="0"/>
              <w:spacing w:line="276" w:lineRule="auto"/>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投标文件份数</w:t>
            </w:r>
          </w:p>
        </w:tc>
        <w:tc>
          <w:tcPr>
            <w:tcW w:w="5670" w:type="dxa"/>
            <w:vAlign w:val="center"/>
          </w:tcPr>
          <w:p w14:paraId="2CB5FCAF">
            <w:pPr>
              <w:snapToGrid w:val="0"/>
              <w:spacing w:line="276" w:lineRule="auto"/>
              <w:rPr>
                <w:rFonts w:ascii="方正仿宋_GBK" w:hAnsi="宋体" w:eastAsia="方正仿宋_GBK"/>
                <w:color w:val="auto"/>
                <w:sz w:val="24"/>
                <w:szCs w:val="24"/>
              </w:rPr>
            </w:pPr>
            <w:r>
              <w:rPr>
                <w:rFonts w:hint="eastAsia" w:ascii="方正仿宋_GBK" w:hAnsi="宋体" w:eastAsia="方正仿宋_GBK"/>
                <w:color w:val="auto"/>
                <w:sz w:val="24"/>
                <w:szCs w:val="24"/>
              </w:rPr>
              <w:t>投标文件正、副本数量（含电子文档）符合招标文件要求。</w:t>
            </w:r>
          </w:p>
        </w:tc>
      </w:tr>
      <w:tr w14:paraId="55724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vAlign w:val="center"/>
          </w:tcPr>
          <w:p w14:paraId="6D60A232">
            <w:pPr>
              <w:snapToGrid w:val="0"/>
              <w:spacing w:line="276" w:lineRule="auto"/>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3</w:t>
            </w:r>
          </w:p>
        </w:tc>
        <w:tc>
          <w:tcPr>
            <w:tcW w:w="1276" w:type="dxa"/>
            <w:vAlign w:val="center"/>
          </w:tcPr>
          <w:p w14:paraId="2AAFAC2F">
            <w:pPr>
              <w:snapToGrid w:val="0"/>
              <w:spacing w:line="276" w:lineRule="auto"/>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技术部分</w:t>
            </w:r>
          </w:p>
        </w:tc>
        <w:tc>
          <w:tcPr>
            <w:tcW w:w="1701" w:type="dxa"/>
            <w:vAlign w:val="center"/>
          </w:tcPr>
          <w:p w14:paraId="26A52812">
            <w:pPr>
              <w:snapToGrid w:val="0"/>
              <w:spacing w:line="276" w:lineRule="auto"/>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投标文件内容</w:t>
            </w:r>
          </w:p>
        </w:tc>
        <w:tc>
          <w:tcPr>
            <w:tcW w:w="5670" w:type="dxa"/>
            <w:vAlign w:val="center"/>
          </w:tcPr>
          <w:p w14:paraId="7DCEC3E7">
            <w:pPr>
              <w:snapToGrid w:val="0"/>
              <w:spacing w:line="276" w:lineRule="auto"/>
              <w:rPr>
                <w:rFonts w:ascii="方正仿宋_GBK" w:hAnsi="宋体" w:eastAsia="方正仿宋_GBK"/>
                <w:color w:val="auto"/>
                <w:sz w:val="24"/>
                <w:szCs w:val="24"/>
              </w:rPr>
            </w:pPr>
            <w:r>
              <w:rPr>
                <w:rFonts w:hint="eastAsia" w:ascii="方正仿宋_GBK" w:hAnsi="宋体" w:eastAsia="方正仿宋_GBK"/>
                <w:color w:val="auto"/>
                <w:sz w:val="24"/>
                <w:szCs w:val="24"/>
              </w:rPr>
              <w:t>本招标文件第二篇中（※）号标注的部分。</w:t>
            </w:r>
          </w:p>
        </w:tc>
      </w:tr>
      <w:tr w14:paraId="6F438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09" w:type="dxa"/>
            <w:vAlign w:val="center"/>
          </w:tcPr>
          <w:p w14:paraId="30B9ABBD">
            <w:pPr>
              <w:snapToGrid w:val="0"/>
              <w:spacing w:line="276" w:lineRule="auto"/>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4</w:t>
            </w:r>
          </w:p>
        </w:tc>
        <w:tc>
          <w:tcPr>
            <w:tcW w:w="1276" w:type="dxa"/>
            <w:vAlign w:val="center"/>
          </w:tcPr>
          <w:p w14:paraId="4685188D">
            <w:pPr>
              <w:snapToGrid w:val="0"/>
              <w:spacing w:line="276" w:lineRule="auto"/>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商务部分</w:t>
            </w:r>
          </w:p>
        </w:tc>
        <w:tc>
          <w:tcPr>
            <w:tcW w:w="1701" w:type="dxa"/>
            <w:vAlign w:val="center"/>
          </w:tcPr>
          <w:p w14:paraId="0530C1E4">
            <w:pPr>
              <w:snapToGrid w:val="0"/>
              <w:spacing w:line="276" w:lineRule="auto"/>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投标文件内容</w:t>
            </w:r>
          </w:p>
        </w:tc>
        <w:tc>
          <w:tcPr>
            <w:tcW w:w="5670" w:type="dxa"/>
            <w:vAlign w:val="center"/>
          </w:tcPr>
          <w:p w14:paraId="46C7B244">
            <w:pPr>
              <w:snapToGrid w:val="0"/>
              <w:spacing w:line="276" w:lineRule="auto"/>
              <w:rPr>
                <w:rFonts w:ascii="方正仿宋_GBK" w:hAnsi="宋体" w:eastAsia="方正仿宋_GBK"/>
                <w:color w:val="auto"/>
                <w:sz w:val="24"/>
                <w:szCs w:val="24"/>
              </w:rPr>
            </w:pPr>
            <w:r>
              <w:rPr>
                <w:rFonts w:hint="eastAsia" w:ascii="方正仿宋_GBK" w:hAnsi="宋体" w:eastAsia="方正仿宋_GBK"/>
                <w:color w:val="auto"/>
                <w:sz w:val="24"/>
                <w:szCs w:val="24"/>
              </w:rPr>
              <w:t>本招标文件第三篇中（※）号标注的部分。</w:t>
            </w:r>
          </w:p>
        </w:tc>
      </w:tr>
      <w:tr w14:paraId="56167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09" w:type="dxa"/>
            <w:vAlign w:val="center"/>
          </w:tcPr>
          <w:p w14:paraId="6B4B222D">
            <w:pPr>
              <w:snapToGrid w:val="0"/>
              <w:spacing w:line="276" w:lineRule="auto"/>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5</w:t>
            </w:r>
          </w:p>
        </w:tc>
        <w:tc>
          <w:tcPr>
            <w:tcW w:w="1276" w:type="dxa"/>
            <w:vAlign w:val="center"/>
          </w:tcPr>
          <w:p w14:paraId="6C0A556E">
            <w:pPr>
              <w:snapToGrid w:val="0"/>
              <w:spacing w:line="276" w:lineRule="auto"/>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投标有效期</w:t>
            </w:r>
          </w:p>
        </w:tc>
        <w:tc>
          <w:tcPr>
            <w:tcW w:w="1701" w:type="dxa"/>
            <w:vAlign w:val="center"/>
          </w:tcPr>
          <w:p w14:paraId="5717D76B">
            <w:pPr>
              <w:snapToGrid w:val="0"/>
              <w:spacing w:line="276" w:lineRule="auto"/>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投标文件内容</w:t>
            </w:r>
          </w:p>
        </w:tc>
        <w:tc>
          <w:tcPr>
            <w:tcW w:w="5670" w:type="dxa"/>
            <w:vAlign w:val="center"/>
          </w:tcPr>
          <w:p w14:paraId="5C2A2A99">
            <w:pPr>
              <w:snapToGrid w:val="0"/>
              <w:spacing w:line="276" w:lineRule="auto"/>
              <w:rPr>
                <w:rFonts w:ascii="方正仿宋_GBK" w:hAnsi="宋体" w:eastAsia="方正仿宋_GBK"/>
                <w:color w:val="auto"/>
                <w:sz w:val="24"/>
                <w:szCs w:val="24"/>
              </w:rPr>
            </w:pPr>
            <w:r>
              <w:rPr>
                <w:rFonts w:hint="eastAsia" w:ascii="方正仿宋_GBK" w:hAnsi="宋体" w:eastAsia="方正仿宋_GBK"/>
                <w:color w:val="auto"/>
                <w:sz w:val="24"/>
                <w:szCs w:val="24"/>
              </w:rPr>
              <w:t>投标有效期为投标截止日期起90天</w:t>
            </w:r>
          </w:p>
        </w:tc>
      </w:tr>
    </w:tbl>
    <w:p w14:paraId="5814F9A4">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澄清有关问题。对投标文件中含义不明确、同类问题表述不一致或者有明显文字和计算错误的内容，评标委员会可以书面形式（应当由评标委员会成员签字）要求供应商作出必要澄清、说明或者纠正。供应商的澄清、说明或者补正应当采用书面形式，由其法定代表人（或其授权代表）（供应商为自然人）签字，其澄清的内容不得超出投标文件的范围或者改变投标文件的实质性内容。</w:t>
      </w:r>
    </w:p>
    <w:p w14:paraId="5F0E123A">
      <w:pPr>
        <w:pStyle w:val="5"/>
        <w:spacing w:line="276" w:lineRule="auto"/>
        <w:ind w:firstLine="482" w:firstLineChars="200"/>
        <w:rPr>
          <w:rFonts w:ascii="方正仿宋_GBK" w:eastAsia="方正仿宋_GBK"/>
          <w:b/>
          <w:color w:val="auto"/>
          <w:sz w:val="24"/>
          <w:szCs w:val="24"/>
        </w:rPr>
      </w:pPr>
      <w:bookmarkStart w:id="119" w:name="_Toc6438"/>
      <w:r>
        <w:rPr>
          <w:rFonts w:hint="eastAsia" w:ascii="方正仿宋_GBK" w:eastAsia="方正仿宋_GBK"/>
          <w:b/>
          <w:color w:val="auto"/>
          <w:sz w:val="24"/>
          <w:szCs w:val="24"/>
        </w:rPr>
        <w:t>三、评标方法</w:t>
      </w:r>
      <w:bookmarkEnd w:id="119"/>
    </w:p>
    <w:p w14:paraId="7DC94637">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本项目采用综合评分法进行评标。</w:t>
      </w:r>
    </w:p>
    <w:p w14:paraId="4ECAB0F3">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综合评分法，是指投标文件满足招标文件全部实质性要求且按照评审因素的量化指标评审得分最高的供应商为中标候选人的评标方法。供应商总得分为价格、商务、技术（质量）等评定因素分别按照相应权重值计算分项得分后相加，满分为100分。</w:t>
      </w:r>
    </w:p>
    <w:p w14:paraId="7350B026">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（一）比较与评价。按招标文件中规定的评标方法和标准，对资格审查和符合性审查合格的投标文件进行商务和技术评估。</w:t>
      </w:r>
    </w:p>
    <w:p w14:paraId="1FAC6BAE">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评标委员会各成员独立对每个有效响应（通过资格性审查、符合性审查的供应商）的文件进行评价、打分，然后汇总每个供应商每项评分因素的得分，并根据综合评分情况按照评审得分由高到低顺序推荐3名以上中标候选人，并编写评标报告。</w:t>
      </w:r>
    </w:p>
    <w:p w14:paraId="496C8DBE">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评标委员会各成员独立对每个有效供应商（通过资格审查、符合性审查的供应商）的投标文件进行评价、打分，然后由评标委员会对各成员打分情况进行核查及复核，个别成员对同一供应商同一评分项的打分偏离较大的，应对供应商的投标文件进行再次核对，确属打分有误的，应及时进行修正。</w:t>
      </w:r>
    </w:p>
    <w:p w14:paraId="1B3D9E82">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复核后，评标委员会汇总每个供应商每项评分因素的得分。</w:t>
      </w:r>
    </w:p>
    <w:p w14:paraId="314D99EF">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（二）推荐中标候选人名单。</w:t>
      </w:r>
    </w:p>
    <w:p w14:paraId="7654721B">
      <w:pPr>
        <w:snapToGrid w:val="0"/>
        <w:spacing w:line="276" w:lineRule="auto"/>
        <w:ind w:firstLine="480" w:firstLineChars="200"/>
        <w:rPr>
          <w:rFonts w:ascii="方正仿宋_GBK" w:hAnsi="宋体" w:eastAsia="方正仿宋_GBK"/>
          <w:b/>
          <w:bCs/>
          <w:color w:val="auto"/>
          <w:sz w:val="24"/>
          <w:szCs w:val="24"/>
        </w:rPr>
      </w:pPr>
      <w:r>
        <w:rPr>
          <w:rFonts w:hint="eastAsia" w:ascii="方正仿宋_GBK" w:hAnsi="宋体" w:eastAsia="方正仿宋_GBK"/>
          <w:color w:val="auto"/>
          <w:sz w:val="24"/>
          <w:szCs w:val="24"/>
        </w:rPr>
        <w:t>按评审后得分由高到低的排列顺序推荐综合得分排名前三的供应商为本包（项目）中标候选人，排名第一的为第一中标候选人。若供应商的评审得分相同的，按照最后报价由低到高的顺序排列推荐。</w:t>
      </w:r>
      <w:r>
        <w:rPr>
          <w:rFonts w:hint="eastAsia" w:ascii="方正仿宋_GBK" w:hAnsi="宋体" w:eastAsia="方正仿宋_GBK"/>
          <w:b/>
          <w:bCs/>
          <w:color w:val="auto"/>
          <w:sz w:val="24"/>
          <w:szCs w:val="24"/>
        </w:rPr>
        <w:t>评审得分且报价相同的，按照服务部分得分顺序排列推荐。以上都相同的，按商务部分得分顺序排列推荐。</w:t>
      </w:r>
    </w:p>
    <w:p w14:paraId="226DB89F">
      <w:pPr>
        <w:pStyle w:val="5"/>
        <w:numPr>
          <w:ilvl w:val="0"/>
          <w:numId w:val="2"/>
        </w:numPr>
        <w:spacing w:line="276" w:lineRule="auto"/>
        <w:ind w:firstLine="482" w:firstLineChars="200"/>
        <w:rPr>
          <w:rFonts w:ascii="方正仿宋_GBK" w:eastAsia="方正仿宋_GBK"/>
          <w:b/>
          <w:color w:val="auto"/>
          <w:sz w:val="24"/>
          <w:szCs w:val="24"/>
        </w:rPr>
      </w:pPr>
      <w:bookmarkStart w:id="120" w:name="_Toc15286"/>
      <w:bookmarkStart w:id="121" w:name="_Toc267320057"/>
      <w:bookmarkStart w:id="122" w:name="_Toc129178884"/>
      <w:bookmarkStart w:id="123" w:name="_Toc492721017"/>
      <w:bookmarkStart w:id="124" w:name="_Toc115877708"/>
      <w:bookmarkStart w:id="125" w:name="_Hlk74928505"/>
      <w:bookmarkStart w:id="126" w:name="_Toc14032"/>
      <w:r>
        <w:rPr>
          <w:rFonts w:hint="eastAsia" w:ascii="方正仿宋_GBK" w:eastAsia="方正仿宋_GBK"/>
          <w:b/>
          <w:color w:val="auto"/>
          <w:sz w:val="24"/>
          <w:szCs w:val="24"/>
        </w:rPr>
        <w:t>评标标准</w:t>
      </w:r>
      <w:bookmarkEnd w:id="120"/>
      <w:bookmarkEnd w:id="121"/>
      <w:bookmarkEnd w:id="122"/>
      <w:bookmarkEnd w:id="123"/>
      <w:bookmarkEnd w:id="124"/>
      <w:bookmarkEnd w:id="125"/>
      <w:bookmarkEnd w:id="126"/>
    </w:p>
    <w:tbl>
      <w:tblPr>
        <w:tblStyle w:val="20"/>
        <w:tblW w:w="101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6"/>
        <w:gridCol w:w="999"/>
        <w:gridCol w:w="843"/>
        <w:gridCol w:w="646"/>
        <w:gridCol w:w="5211"/>
        <w:gridCol w:w="1921"/>
      </w:tblGrid>
      <w:tr w14:paraId="5CF66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546" w:type="dxa"/>
            <w:noWrap/>
            <w:tcMar>
              <w:left w:w="108" w:type="dxa"/>
              <w:right w:w="108" w:type="dxa"/>
            </w:tcMar>
            <w:vAlign w:val="center"/>
          </w:tcPr>
          <w:p w14:paraId="502BDF68">
            <w:pPr>
              <w:keepNext w:val="0"/>
              <w:keepLines w:val="0"/>
              <w:pageBreakBefore w:val="0"/>
              <w:widowControl w:val="0"/>
              <w:kinsoku/>
              <w:wordWrap/>
              <w:overflowPunct/>
              <w:topLinePunct w:val="0"/>
              <w:autoSpaceDN/>
              <w:bidi w:val="0"/>
              <w:adjustRightInd/>
              <w:snapToGrid/>
              <w:spacing w:line="360" w:lineRule="exact"/>
              <w:jc w:val="center"/>
              <w:textAlignment w:val="auto"/>
              <w:rPr>
                <w:rFonts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序号</w:t>
            </w:r>
          </w:p>
        </w:tc>
        <w:tc>
          <w:tcPr>
            <w:tcW w:w="1842" w:type="dxa"/>
            <w:gridSpan w:val="2"/>
            <w:noWrap/>
            <w:tcMar>
              <w:left w:w="108" w:type="dxa"/>
              <w:right w:w="108" w:type="dxa"/>
            </w:tcMar>
            <w:vAlign w:val="center"/>
          </w:tcPr>
          <w:p w14:paraId="3E2677A4">
            <w:pPr>
              <w:keepNext w:val="0"/>
              <w:keepLines w:val="0"/>
              <w:pageBreakBefore w:val="0"/>
              <w:widowControl w:val="0"/>
              <w:kinsoku/>
              <w:wordWrap/>
              <w:overflowPunct/>
              <w:topLinePunct w:val="0"/>
              <w:autoSpaceDN/>
              <w:bidi w:val="0"/>
              <w:adjustRightInd/>
              <w:snapToGrid/>
              <w:spacing w:line="360" w:lineRule="exact"/>
              <w:jc w:val="center"/>
              <w:textAlignment w:val="auto"/>
              <w:rPr>
                <w:rFonts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评分因素及</w:t>
            </w:r>
          </w:p>
          <w:p w14:paraId="64C8A6C4">
            <w:pPr>
              <w:keepNext w:val="0"/>
              <w:keepLines w:val="0"/>
              <w:pageBreakBefore w:val="0"/>
              <w:widowControl w:val="0"/>
              <w:kinsoku/>
              <w:wordWrap/>
              <w:overflowPunct/>
              <w:topLinePunct w:val="0"/>
              <w:autoSpaceDN/>
              <w:bidi w:val="0"/>
              <w:adjustRightInd/>
              <w:snapToGrid/>
              <w:spacing w:line="360" w:lineRule="exact"/>
              <w:jc w:val="center"/>
              <w:textAlignment w:val="auto"/>
              <w:rPr>
                <w:rFonts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权重</w:t>
            </w:r>
          </w:p>
        </w:tc>
        <w:tc>
          <w:tcPr>
            <w:tcW w:w="646" w:type="dxa"/>
            <w:noWrap/>
            <w:tcMar>
              <w:left w:w="108" w:type="dxa"/>
              <w:right w:w="108" w:type="dxa"/>
            </w:tcMar>
            <w:vAlign w:val="center"/>
          </w:tcPr>
          <w:p w14:paraId="00B2A564">
            <w:pPr>
              <w:keepNext w:val="0"/>
              <w:keepLines w:val="0"/>
              <w:pageBreakBefore w:val="0"/>
              <w:widowControl w:val="0"/>
              <w:kinsoku/>
              <w:wordWrap/>
              <w:overflowPunct/>
              <w:topLinePunct w:val="0"/>
              <w:autoSpaceDN/>
              <w:bidi w:val="0"/>
              <w:adjustRightInd/>
              <w:snapToGrid/>
              <w:spacing w:line="360" w:lineRule="exact"/>
              <w:jc w:val="center"/>
              <w:textAlignment w:val="auto"/>
              <w:rPr>
                <w:rFonts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分值</w:t>
            </w:r>
          </w:p>
        </w:tc>
        <w:tc>
          <w:tcPr>
            <w:tcW w:w="5211" w:type="dxa"/>
            <w:noWrap/>
            <w:tcMar>
              <w:left w:w="108" w:type="dxa"/>
              <w:right w:w="108" w:type="dxa"/>
            </w:tcMar>
            <w:vAlign w:val="center"/>
          </w:tcPr>
          <w:p w14:paraId="607FAE4A">
            <w:pPr>
              <w:keepNext w:val="0"/>
              <w:keepLines w:val="0"/>
              <w:pageBreakBefore w:val="0"/>
              <w:widowControl w:val="0"/>
              <w:kinsoku/>
              <w:wordWrap/>
              <w:overflowPunct/>
              <w:topLinePunct w:val="0"/>
              <w:autoSpaceDN/>
              <w:bidi w:val="0"/>
              <w:adjustRightInd/>
              <w:snapToGrid/>
              <w:spacing w:line="360" w:lineRule="exact"/>
              <w:jc w:val="center"/>
              <w:textAlignment w:val="auto"/>
              <w:rPr>
                <w:rFonts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评分标准</w:t>
            </w:r>
          </w:p>
        </w:tc>
        <w:tc>
          <w:tcPr>
            <w:tcW w:w="1921" w:type="dxa"/>
            <w:noWrap/>
            <w:tcMar>
              <w:left w:w="108" w:type="dxa"/>
              <w:right w:w="108" w:type="dxa"/>
            </w:tcMar>
          </w:tcPr>
          <w:p w14:paraId="1D4E393C">
            <w:pPr>
              <w:keepNext w:val="0"/>
              <w:keepLines w:val="0"/>
              <w:pageBreakBefore w:val="0"/>
              <w:widowControl w:val="0"/>
              <w:kinsoku/>
              <w:wordWrap/>
              <w:overflowPunct/>
              <w:topLinePunct w:val="0"/>
              <w:autoSpaceDN/>
              <w:bidi w:val="0"/>
              <w:adjustRightInd/>
              <w:snapToGrid/>
              <w:spacing w:line="360" w:lineRule="exact"/>
              <w:jc w:val="center"/>
              <w:textAlignment w:val="auto"/>
              <w:rPr>
                <w:rFonts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说明</w:t>
            </w:r>
          </w:p>
        </w:tc>
      </w:tr>
      <w:tr w14:paraId="60D61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jc w:val="center"/>
        </w:trPr>
        <w:tc>
          <w:tcPr>
            <w:tcW w:w="546" w:type="dxa"/>
            <w:noWrap/>
            <w:tcMar>
              <w:left w:w="108" w:type="dxa"/>
              <w:right w:w="108" w:type="dxa"/>
            </w:tcMar>
            <w:vAlign w:val="center"/>
          </w:tcPr>
          <w:p w14:paraId="73768055">
            <w:pPr>
              <w:keepNext w:val="0"/>
              <w:keepLines w:val="0"/>
              <w:pageBreakBefore w:val="0"/>
              <w:widowControl w:val="0"/>
              <w:kinsoku/>
              <w:wordWrap/>
              <w:overflowPunct/>
              <w:topLinePunct w:val="0"/>
              <w:autoSpaceDN/>
              <w:bidi w:val="0"/>
              <w:adjustRightInd/>
              <w:snapToGrid/>
              <w:spacing w:line="360" w:lineRule="exact"/>
              <w:ind w:firstLine="105"/>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w:t>
            </w:r>
          </w:p>
        </w:tc>
        <w:tc>
          <w:tcPr>
            <w:tcW w:w="1842" w:type="dxa"/>
            <w:gridSpan w:val="2"/>
            <w:noWrap/>
            <w:tcMar>
              <w:left w:w="108" w:type="dxa"/>
              <w:right w:w="108" w:type="dxa"/>
            </w:tcMar>
            <w:vAlign w:val="center"/>
          </w:tcPr>
          <w:p w14:paraId="24263092">
            <w:pPr>
              <w:keepNext w:val="0"/>
              <w:keepLines w:val="0"/>
              <w:pageBreakBefore w:val="0"/>
              <w:widowControl w:val="0"/>
              <w:kinsoku/>
              <w:wordWrap/>
              <w:overflowPunct/>
              <w:topLinePunct w:val="0"/>
              <w:autoSpaceDN/>
              <w:bidi w:val="0"/>
              <w:adjustRightInd/>
              <w:snapToGrid/>
              <w:spacing w:line="360" w:lineRule="exact"/>
              <w:ind w:firstLine="240" w:firstLineChars="100"/>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投标报价</w:t>
            </w:r>
          </w:p>
          <w:p w14:paraId="682215E5">
            <w:pPr>
              <w:keepNext w:val="0"/>
              <w:keepLines w:val="0"/>
              <w:pageBreakBefore w:val="0"/>
              <w:widowControl w:val="0"/>
              <w:kinsoku/>
              <w:wordWrap/>
              <w:overflowPunct/>
              <w:topLinePunct w:val="0"/>
              <w:autoSpaceDN/>
              <w:bidi w:val="0"/>
              <w:adjustRightInd/>
              <w:snapToGrid/>
              <w:spacing w:line="360" w:lineRule="exact"/>
              <w:ind w:firstLine="240" w:firstLineChars="100"/>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（50%）</w:t>
            </w:r>
          </w:p>
        </w:tc>
        <w:tc>
          <w:tcPr>
            <w:tcW w:w="646" w:type="dxa"/>
            <w:noWrap/>
            <w:tcMar>
              <w:left w:w="108" w:type="dxa"/>
              <w:right w:w="108" w:type="dxa"/>
            </w:tcMar>
            <w:vAlign w:val="center"/>
          </w:tcPr>
          <w:p w14:paraId="7EAEEF9E">
            <w:pPr>
              <w:keepNext w:val="0"/>
              <w:keepLines w:val="0"/>
              <w:pageBreakBefore w:val="0"/>
              <w:widowControl w:val="0"/>
              <w:kinsoku/>
              <w:wordWrap/>
              <w:overflowPunct/>
              <w:topLinePunct w:val="0"/>
              <w:autoSpaceDN/>
              <w:bidi w:val="0"/>
              <w:adjustRightInd/>
              <w:snapToGrid/>
              <w:spacing w:line="360" w:lineRule="exact"/>
              <w:jc w:val="center"/>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50</w:t>
            </w:r>
          </w:p>
        </w:tc>
        <w:tc>
          <w:tcPr>
            <w:tcW w:w="5211" w:type="dxa"/>
            <w:noWrap/>
            <w:tcMar>
              <w:left w:w="108" w:type="dxa"/>
              <w:right w:w="108" w:type="dxa"/>
            </w:tcMar>
            <w:vAlign w:val="center"/>
          </w:tcPr>
          <w:p w14:paraId="182B8327">
            <w:pPr>
              <w:pStyle w:val="2"/>
              <w:keepNext w:val="0"/>
              <w:keepLines w:val="0"/>
              <w:pageBreakBefore w:val="0"/>
              <w:widowControl w:val="0"/>
              <w:kinsoku/>
              <w:wordWrap/>
              <w:overflowPunct/>
              <w:topLinePunct w:val="0"/>
              <w:autoSpaceDN/>
              <w:bidi w:val="0"/>
              <w:adjustRightInd/>
              <w:snapToGrid/>
              <w:spacing w:line="360" w:lineRule="exact"/>
              <w:jc w:val="left"/>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有效的投标折扣系数中的最低投标折扣系数为评标基准折扣系数，其价格分为满分。其他供应商的价格分统一按照下列公式计算：</w:t>
            </w:r>
          </w:p>
          <w:p w14:paraId="5853214B">
            <w:pPr>
              <w:pStyle w:val="2"/>
              <w:keepNext w:val="0"/>
              <w:keepLines w:val="0"/>
              <w:pageBreakBefore w:val="0"/>
              <w:widowControl w:val="0"/>
              <w:kinsoku/>
              <w:wordWrap/>
              <w:overflowPunct/>
              <w:topLinePunct w:val="0"/>
              <w:autoSpaceDN/>
              <w:bidi w:val="0"/>
              <w:adjustRightInd/>
              <w:snapToGrid/>
              <w:spacing w:line="360" w:lineRule="exact"/>
              <w:ind w:firstLine="480" w:firstLineChars="200"/>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供应商报价得分=(评标基准折扣系数／投标折扣系数)×分值×100%。</w:t>
            </w:r>
          </w:p>
        </w:tc>
        <w:tc>
          <w:tcPr>
            <w:tcW w:w="1921" w:type="dxa"/>
            <w:noWrap/>
            <w:tcMar>
              <w:left w:w="108" w:type="dxa"/>
              <w:right w:w="108" w:type="dxa"/>
            </w:tcMar>
          </w:tcPr>
          <w:p w14:paraId="083127F2">
            <w:pPr>
              <w:keepNext w:val="0"/>
              <w:keepLines w:val="0"/>
              <w:pageBreakBefore w:val="0"/>
              <w:widowControl w:val="0"/>
              <w:kinsoku/>
              <w:wordWrap/>
              <w:overflowPunct/>
              <w:topLinePunct w:val="0"/>
              <w:autoSpaceDN/>
              <w:bidi w:val="0"/>
              <w:adjustRightInd/>
              <w:snapToGrid/>
              <w:spacing w:line="360" w:lineRule="exact"/>
              <w:textAlignment w:val="auto"/>
              <w:rPr>
                <w:rFonts w:ascii="方正仿宋_GBK" w:hAnsi="方正仿宋_GBK" w:eastAsia="方正仿宋_GBK" w:cs="方正仿宋_GBK"/>
                <w:color w:val="auto"/>
                <w:sz w:val="24"/>
                <w:szCs w:val="24"/>
                <w:highlight w:val="none"/>
              </w:rPr>
            </w:pPr>
          </w:p>
        </w:tc>
      </w:tr>
      <w:tr w14:paraId="0EA09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46" w:type="dxa"/>
            <w:vMerge w:val="restart"/>
            <w:noWrap/>
            <w:tcMar>
              <w:left w:w="108" w:type="dxa"/>
              <w:right w:w="108" w:type="dxa"/>
            </w:tcMar>
            <w:vAlign w:val="center"/>
          </w:tcPr>
          <w:p w14:paraId="117F2D2D">
            <w:pPr>
              <w:keepNext w:val="0"/>
              <w:keepLines w:val="0"/>
              <w:pageBreakBefore w:val="0"/>
              <w:widowControl w:val="0"/>
              <w:kinsoku/>
              <w:wordWrap/>
              <w:overflowPunct/>
              <w:topLinePunct w:val="0"/>
              <w:autoSpaceDN/>
              <w:bidi w:val="0"/>
              <w:adjustRightInd/>
              <w:snapToGrid/>
              <w:spacing w:line="360" w:lineRule="exact"/>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w:t>
            </w:r>
          </w:p>
        </w:tc>
        <w:tc>
          <w:tcPr>
            <w:tcW w:w="999" w:type="dxa"/>
            <w:vMerge w:val="restart"/>
            <w:noWrap/>
            <w:tcMar>
              <w:left w:w="108" w:type="dxa"/>
              <w:right w:w="108" w:type="dxa"/>
            </w:tcMar>
            <w:vAlign w:val="center"/>
          </w:tcPr>
          <w:p w14:paraId="56F4D5C3">
            <w:pPr>
              <w:keepNext w:val="0"/>
              <w:keepLines w:val="0"/>
              <w:pageBreakBefore w:val="0"/>
              <w:widowControl w:val="0"/>
              <w:kinsoku/>
              <w:wordWrap/>
              <w:overflowPunct/>
              <w:topLinePunct w:val="0"/>
              <w:autoSpaceDN/>
              <w:bidi w:val="0"/>
              <w:adjustRightInd/>
              <w:snapToGrid/>
              <w:spacing w:line="360" w:lineRule="exact"/>
              <w:jc w:val="center"/>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服务</w:t>
            </w:r>
          </w:p>
          <w:p w14:paraId="09B97F72">
            <w:pPr>
              <w:keepNext w:val="0"/>
              <w:keepLines w:val="0"/>
              <w:pageBreakBefore w:val="0"/>
              <w:widowControl w:val="0"/>
              <w:kinsoku/>
              <w:wordWrap/>
              <w:overflowPunct/>
              <w:topLinePunct w:val="0"/>
              <w:autoSpaceDN/>
              <w:bidi w:val="0"/>
              <w:adjustRightInd/>
              <w:snapToGrid/>
              <w:spacing w:line="360" w:lineRule="exact"/>
              <w:jc w:val="center"/>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部分</w:t>
            </w:r>
          </w:p>
          <w:p w14:paraId="2C5AF795">
            <w:pPr>
              <w:keepNext w:val="0"/>
              <w:keepLines w:val="0"/>
              <w:pageBreakBefore w:val="0"/>
              <w:widowControl w:val="0"/>
              <w:kinsoku/>
              <w:wordWrap/>
              <w:overflowPunct/>
              <w:topLinePunct w:val="0"/>
              <w:autoSpaceDN/>
              <w:bidi w:val="0"/>
              <w:adjustRightInd/>
              <w:snapToGrid/>
              <w:spacing w:line="360" w:lineRule="exact"/>
              <w:jc w:val="center"/>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（20%）</w:t>
            </w:r>
          </w:p>
        </w:tc>
        <w:tc>
          <w:tcPr>
            <w:tcW w:w="843" w:type="dxa"/>
            <w:vMerge w:val="restart"/>
            <w:noWrap/>
            <w:tcMar>
              <w:left w:w="108" w:type="dxa"/>
              <w:right w:w="108" w:type="dxa"/>
            </w:tcMar>
            <w:vAlign w:val="center"/>
          </w:tcPr>
          <w:p w14:paraId="38D8C753">
            <w:pPr>
              <w:keepNext w:val="0"/>
              <w:keepLines w:val="0"/>
              <w:pageBreakBefore w:val="0"/>
              <w:widowControl w:val="0"/>
              <w:kinsoku/>
              <w:wordWrap/>
              <w:overflowPunct/>
              <w:topLinePunct w:val="0"/>
              <w:autoSpaceDN/>
              <w:bidi w:val="0"/>
              <w:adjustRightInd/>
              <w:snapToGrid/>
              <w:spacing w:line="360" w:lineRule="exact"/>
              <w:jc w:val="center"/>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服务</w:t>
            </w:r>
          </w:p>
          <w:p w14:paraId="6F639DD5">
            <w:pPr>
              <w:keepNext w:val="0"/>
              <w:keepLines w:val="0"/>
              <w:pageBreakBefore w:val="0"/>
              <w:widowControl w:val="0"/>
              <w:kinsoku/>
              <w:wordWrap/>
              <w:overflowPunct/>
              <w:topLinePunct w:val="0"/>
              <w:autoSpaceDN/>
              <w:bidi w:val="0"/>
              <w:adjustRightInd/>
              <w:snapToGrid/>
              <w:spacing w:line="360" w:lineRule="exact"/>
              <w:jc w:val="center"/>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方案</w:t>
            </w:r>
          </w:p>
        </w:tc>
        <w:tc>
          <w:tcPr>
            <w:tcW w:w="646" w:type="dxa"/>
            <w:noWrap/>
            <w:tcMar>
              <w:left w:w="108" w:type="dxa"/>
              <w:right w:w="108" w:type="dxa"/>
            </w:tcMar>
            <w:vAlign w:val="center"/>
          </w:tcPr>
          <w:p w14:paraId="5BAAD6AF">
            <w:pPr>
              <w:keepNext w:val="0"/>
              <w:keepLines w:val="0"/>
              <w:pageBreakBefore w:val="0"/>
              <w:widowControl w:val="0"/>
              <w:kinsoku/>
              <w:wordWrap/>
              <w:overflowPunct/>
              <w:topLinePunct w:val="0"/>
              <w:autoSpaceDN/>
              <w:bidi w:val="0"/>
              <w:adjustRightInd/>
              <w:snapToGrid/>
              <w:spacing w:line="360" w:lineRule="exact"/>
              <w:jc w:val="center"/>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w:t>
            </w:r>
          </w:p>
        </w:tc>
        <w:tc>
          <w:tcPr>
            <w:tcW w:w="5211" w:type="dxa"/>
            <w:noWrap/>
            <w:tcMar>
              <w:left w:w="108" w:type="dxa"/>
              <w:right w:w="108" w:type="dxa"/>
            </w:tcMar>
            <w:vAlign w:val="center"/>
          </w:tcPr>
          <w:p w14:paraId="43FADD67">
            <w:pPr>
              <w:keepNext w:val="0"/>
              <w:keepLines w:val="0"/>
              <w:pageBreakBefore w:val="0"/>
              <w:widowControl w:val="0"/>
              <w:kinsoku/>
              <w:wordWrap/>
              <w:overflowPunct/>
              <w:topLinePunct w:val="0"/>
              <w:autoSpaceDN/>
              <w:bidi w:val="0"/>
              <w:adjustRightInd/>
              <w:snapToGrid/>
              <w:spacing w:line="360" w:lineRule="exact"/>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配送方案（5分）</w:t>
            </w:r>
          </w:p>
          <w:p w14:paraId="0A0C8C7E">
            <w:pPr>
              <w:keepNext w:val="0"/>
              <w:keepLines w:val="0"/>
              <w:pageBreakBefore w:val="0"/>
              <w:widowControl w:val="0"/>
              <w:kinsoku/>
              <w:wordWrap/>
              <w:overflowPunct/>
              <w:topLinePunct w:val="0"/>
              <w:autoSpaceDN/>
              <w:bidi w:val="0"/>
              <w:adjustRightInd/>
              <w:snapToGrid/>
              <w:spacing w:line="360" w:lineRule="exact"/>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根据供应商提供的配送方案进行评审，配送方案内容包括不限于①供货流程；②配送计划；③配送设施设备；④配送食材管理；</w:t>
            </w:r>
            <w:r>
              <w:rPr>
                <w:rFonts w:hint="eastAsia" w:ascii="宋体" w:hAnsi="宋体" w:cs="宋体"/>
                <w:color w:val="auto"/>
                <w:sz w:val="24"/>
                <w:szCs w:val="24"/>
                <w:highlight w:val="none"/>
              </w:rPr>
              <w:t>⑤</w:t>
            </w:r>
            <w:r>
              <w:rPr>
                <w:rFonts w:hint="eastAsia" w:ascii="方正仿宋_GBK" w:hAnsi="方正仿宋_GBK" w:eastAsia="方正仿宋_GBK" w:cs="方正仿宋_GBK"/>
                <w:color w:val="auto"/>
                <w:sz w:val="24"/>
                <w:szCs w:val="24"/>
                <w:highlight w:val="none"/>
              </w:rPr>
              <w:t>服务人员配置；</w:t>
            </w:r>
            <w:r>
              <w:rPr>
                <w:rFonts w:hint="eastAsia" w:ascii="宋体" w:hAnsi="宋体" w:cs="宋体"/>
                <w:color w:val="auto"/>
                <w:sz w:val="24"/>
                <w:szCs w:val="24"/>
                <w:highlight w:val="none"/>
              </w:rPr>
              <w:t>⑥</w:t>
            </w:r>
            <w:r>
              <w:rPr>
                <w:rFonts w:hint="eastAsia" w:ascii="方正仿宋_GBK" w:hAnsi="方正仿宋_GBK" w:eastAsia="方正仿宋_GBK" w:cs="方正仿宋_GBK"/>
                <w:color w:val="auto"/>
                <w:sz w:val="24"/>
                <w:szCs w:val="24"/>
                <w:highlight w:val="none"/>
              </w:rPr>
              <w:t>服务人员管理制度。</w:t>
            </w:r>
          </w:p>
          <w:p w14:paraId="1E76699C">
            <w:pPr>
              <w:keepNext w:val="0"/>
              <w:keepLines w:val="0"/>
              <w:pageBreakBefore w:val="0"/>
              <w:widowControl w:val="0"/>
              <w:kinsoku/>
              <w:wordWrap/>
              <w:overflowPunct/>
              <w:topLinePunct w:val="0"/>
              <w:autoSpaceDN/>
              <w:bidi w:val="0"/>
              <w:adjustRightInd/>
              <w:snapToGrid/>
              <w:spacing w:line="360" w:lineRule="exact"/>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内容不存在瑕疵，得5分；</w:t>
            </w:r>
          </w:p>
          <w:p w14:paraId="3FBE431D">
            <w:pPr>
              <w:keepNext w:val="0"/>
              <w:keepLines w:val="0"/>
              <w:pageBreakBefore w:val="0"/>
              <w:widowControl w:val="0"/>
              <w:kinsoku/>
              <w:wordWrap/>
              <w:overflowPunct/>
              <w:topLinePunct w:val="0"/>
              <w:autoSpaceDN/>
              <w:bidi w:val="0"/>
              <w:adjustRightInd/>
              <w:snapToGrid/>
              <w:spacing w:line="360" w:lineRule="exact"/>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内容存在</w:t>
            </w:r>
            <w:r>
              <w:rPr>
                <w:rFonts w:ascii="方正仿宋_GBK" w:hAnsi="方正仿宋_GBK" w:eastAsia="方正仿宋_GBK" w:cs="方正仿宋_GBK"/>
                <w:color w:val="auto"/>
                <w:sz w:val="24"/>
                <w:szCs w:val="24"/>
                <w:highlight w:val="none"/>
              </w:rPr>
              <w:t>1处瑕疵，得</w:t>
            </w:r>
            <w:r>
              <w:rPr>
                <w:rFonts w:hint="eastAsia" w:ascii="方正仿宋_GBK" w:hAnsi="方正仿宋_GBK" w:eastAsia="方正仿宋_GBK" w:cs="方正仿宋_GBK"/>
                <w:color w:val="auto"/>
                <w:sz w:val="24"/>
                <w:szCs w:val="24"/>
                <w:highlight w:val="none"/>
              </w:rPr>
              <w:t>3分；</w:t>
            </w:r>
          </w:p>
          <w:p w14:paraId="01218748">
            <w:pPr>
              <w:keepNext w:val="0"/>
              <w:keepLines w:val="0"/>
              <w:pageBreakBefore w:val="0"/>
              <w:widowControl w:val="0"/>
              <w:kinsoku/>
              <w:wordWrap/>
              <w:overflowPunct/>
              <w:topLinePunct w:val="0"/>
              <w:autoSpaceDN/>
              <w:bidi w:val="0"/>
              <w:adjustRightInd/>
              <w:snapToGrid/>
              <w:spacing w:line="360" w:lineRule="exact"/>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内容存在</w:t>
            </w:r>
            <w:r>
              <w:rPr>
                <w:rFonts w:ascii="方正仿宋_GBK" w:hAnsi="方正仿宋_GBK" w:eastAsia="方正仿宋_GBK" w:cs="方正仿宋_GBK"/>
                <w:color w:val="auto"/>
                <w:sz w:val="24"/>
                <w:szCs w:val="24"/>
                <w:highlight w:val="none"/>
              </w:rPr>
              <w:t>2处瑕疵，得</w:t>
            </w: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分；</w:t>
            </w:r>
          </w:p>
          <w:p w14:paraId="7E4F7D2A">
            <w:pPr>
              <w:keepNext w:val="0"/>
              <w:keepLines w:val="0"/>
              <w:pageBreakBefore w:val="0"/>
              <w:widowControl w:val="0"/>
              <w:kinsoku/>
              <w:wordWrap/>
              <w:overflowPunct/>
              <w:topLinePunct w:val="0"/>
              <w:autoSpaceDN/>
              <w:bidi w:val="0"/>
              <w:adjustRightInd/>
              <w:snapToGrid/>
              <w:spacing w:line="360" w:lineRule="exact"/>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内容存在</w:t>
            </w:r>
            <w:r>
              <w:rPr>
                <w:rFonts w:ascii="方正仿宋_GBK" w:hAnsi="方正仿宋_GBK" w:eastAsia="方正仿宋_GBK" w:cs="方正仿宋_GBK"/>
                <w:color w:val="auto"/>
                <w:sz w:val="24"/>
                <w:szCs w:val="24"/>
                <w:highlight w:val="none"/>
              </w:rPr>
              <w:t>3处及以上瑕疵或未提供方案不得分。</w:t>
            </w:r>
          </w:p>
        </w:tc>
        <w:tc>
          <w:tcPr>
            <w:tcW w:w="1921" w:type="dxa"/>
            <w:vMerge w:val="restart"/>
            <w:noWrap/>
            <w:tcMar>
              <w:left w:w="108" w:type="dxa"/>
              <w:right w:w="108" w:type="dxa"/>
            </w:tcMar>
            <w:vAlign w:val="center"/>
          </w:tcPr>
          <w:p w14:paraId="4A81B450">
            <w:pPr>
              <w:keepNext w:val="0"/>
              <w:keepLines w:val="0"/>
              <w:pageBreakBefore w:val="0"/>
              <w:widowControl w:val="0"/>
              <w:kinsoku/>
              <w:wordWrap/>
              <w:overflowPunct/>
              <w:topLinePunct w:val="0"/>
              <w:autoSpaceDN/>
              <w:bidi w:val="0"/>
              <w:adjustRightInd/>
              <w:snapToGrid/>
              <w:spacing w:line="360" w:lineRule="exact"/>
              <w:jc w:val="left"/>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1.提供对应方案，格式自拟，加盖供应商公章。</w:t>
            </w:r>
          </w:p>
          <w:p w14:paraId="6CEF3069">
            <w:pPr>
              <w:keepNext w:val="0"/>
              <w:keepLines w:val="0"/>
              <w:pageBreakBefore w:val="0"/>
              <w:widowControl w:val="0"/>
              <w:kinsoku/>
              <w:wordWrap/>
              <w:overflowPunct/>
              <w:topLinePunct w:val="0"/>
              <w:autoSpaceDN/>
              <w:bidi w:val="0"/>
              <w:adjustRightInd/>
              <w:snapToGrid/>
              <w:spacing w:line="360" w:lineRule="exact"/>
              <w:jc w:val="left"/>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2.本项内容中所称的“瑕疵”指以下内容：</w:t>
            </w:r>
          </w:p>
          <w:p w14:paraId="2F2113B2">
            <w:pPr>
              <w:keepNext w:val="0"/>
              <w:keepLines w:val="0"/>
              <w:pageBreakBefore w:val="0"/>
              <w:widowControl w:val="0"/>
              <w:kinsoku/>
              <w:wordWrap/>
              <w:overflowPunct/>
              <w:topLinePunct w:val="0"/>
              <w:autoSpaceDN/>
              <w:bidi w:val="0"/>
              <w:adjustRightInd/>
              <w:snapToGrid/>
              <w:spacing w:line="360" w:lineRule="exact"/>
              <w:jc w:val="left"/>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①方案内容要素欠缺、仅有标题而无实质意义叙述内容；</w:t>
            </w:r>
          </w:p>
          <w:p w14:paraId="22FD6EB4">
            <w:pPr>
              <w:keepNext w:val="0"/>
              <w:keepLines w:val="0"/>
              <w:pageBreakBefore w:val="0"/>
              <w:widowControl w:val="0"/>
              <w:kinsoku/>
              <w:wordWrap/>
              <w:overflowPunct/>
              <w:topLinePunct w:val="0"/>
              <w:autoSpaceDN/>
              <w:bidi w:val="0"/>
              <w:adjustRightInd/>
              <w:snapToGrid/>
              <w:spacing w:line="360" w:lineRule="exact"/>
              <w:jc w:val="left"/>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②方案内容中包含其他项目名称，或出现与本项目不相关的其他内容；</w:t>
            </w:r>
          </w:p>
          <w:p w14:paraId="6F8CBD77">
            <w:pPr>
              <w:keepNext w:val="0"/>
              <w:keepLines w:val="0"/>
              <w:pageBreakBefore w:val="0"/>
              <w:widowControl w:val="0"/>
              <w:kinsoku/>
              <w:wordWrap/>
              <w:overflowPunct/>
              <w:topLinePunct w:val="0"/>
              <w:autoSpaceDN/>
              <w:bidi w:val="0"/>
              <w:adjustRightInd/>
              <w:snapToGrid/>
              <w:spacing w:line="360" w:lineRule="exact"/>
              <w:jc w:val="left"/>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③内容表述前后矛盾、无连贯性、内容存在逻辑漏洞；</w:t>
            </w:r>
          </w:p>
          <w:p w14:paraId="054D626A">
            <w:pPr>
              <w:keepNext w:val="0"/>
              <w:keepLines w:val="0"/>
              <w:pageBreakBefore w:val="0"/>
              <w:widowControl w:val="0"/>
              <w:kinsoku/>
              <w:wordWrap/>
              <w:overflowPunct/>
              <w:topLinePunct w:val="0"/>
              <w:autoSpaceDN/>
              <w:bidi w:val="0"/>
              <w:adjustRightInd/>
              <w:snapToGrid/>
              <w:spacing w:line="360" w:lineRule="exact"/>
              <w:jc w:val="left"/>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④常识性错误；</w:t>
            </w:r>
          </w:p>
          <w:p w14:paraId="04C52A71">
            <w:pPr>
              <w:keepNext w:val="0"/>
              <w:keepLines w:val="0"/>
              <w:pageBreakBefore w:val="0"/>
              <w:widowControl w:val="0"/>
              <w:kinsoku/>
              <w:wordWrap/>
              <w:overflowPunct/>
              <w:topLinePunct w:val="0"/>
              <w:autoSpaceDN/>
              <w:bidi w:val="0"/>
              <w:adjustRightInd/>
              <w:snapToGrid/>
              <w:spacing w:line="360" w:lineRule="exact"/>
              <w:jc w:val="left"/>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⑤售后服务措施保障安排并不适用本项目特性或非专门针对本项目制定；</w:t>
            </w:r>
          </w:p>
          <w:p w14:paraId="1AF9F1CB">
            <w:pPr>
              <w:keepNext w:val="0"/>
              <w:keepLines w:val="0"/>
              <w:pageBreakBefore w:val="0"/>
              <w:widowControl w:val="0"/>
              <w:kinsoku/>
              <w:wordWrap/>
              <w:overflowPunct/>
              <w:topLinePunct w:val="0"/>
              <w:autoSpaceDN/>
              <w:bidi w:val="0"/>
              <w:adjustRightInd/>
              <w:snapToGrid/>
              <w:spacing w:line="360" w:lineRule="exact"/>
              <w:jc w:val="left"/>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⑥方案中提出的措施举措不利于本项目目标的实现；</w:t>
            </w:r>
          </w:p>
          <w:p w14:paraId="01BDA9D4">
            <w:pPr>
              <w:keepNext w:val="0"/>
              <w:keepLines w:val="0"/>
              <w:pageBreakBefore w:val="0"/>
              <w:widowControl w:val="0"/>
              <w:kinsoku/>
              <w:wordWrap/>
              <w:overflowPunct/>
              <w:topLinePunct w:val="0"/>
              <w:autoSpaceDN/>
              <w:bidi w:val="0"/>
              <w:adjustRightInd/>
              <w:snapToGrid/>
              <w:spacing w:line="360" w:lineRule="exact"/>
              <w:jc w:val="left"/>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⑦现有技术条件下不可能实现采购目标。</w:t>
            </w:r>
          </w:p>
          <w:p w14:paraId="6428DC84">
            <w:pPr>
              <w:keepNext w:val="0"/>
              <w:keepLines w:val="0"/>
              <w:pageBreakBefore w:val="0"/>
              <w:widowControl w:val="0"/>
              <w:kinsoku/>
              <w:wordWrap/>
              <w:overflowPunct/>
              <w:topLinePunct w:val="0"/>
              <w:autoSpaceDN/>
              <w:bidi w:val="0"/>
              <w:adjustRightInd/>
              <w:snapToGrid/>
              <w:spacing w:line="360" w:lineRule="exact"/>
              <w:jc w:val="left"/>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上述任意一种情形为1处瑕疵。</w:t>
            </w:r>
          </w:p>
        </w:tc>
      </w:tr>
      <w:tr w14:paraId="78E2B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46" w:type="dxa"/>
            <w:vMerge w:val="continue"/>
            <w:noWrap/>
            <w:tcMar>
              <w:left w:w="108" w:type="dxa"/>
              <w:right w:w="108" w:type="dxa"/>
            </w:tcMar>
            <w:vAlign w:val="center"/>
          </w:tcPr>
          <w:p w14:paraId="42DF313A">
            <w:pPr>
              <w:keepNext w:val="0"/>
              <w:keepLines w:val="0"/>
              <w:pageBreakBefore w:val="0"/>
              <w:widowControl w:val="0"/>
              <w:kinsoku/>
              <w:wordWrap/>
              <w:overflowPunct/>
              <w:topLinePunct w:val="0"/>
              <w:autoSpaceDN/>
              <w:bidi w:val="0"/>
              <w:adjustRightInd/>
              <w:snapToGrid/>
              <w:spacing w:line="360" w:lineRule="exact"/>
              <w:textAlignment w:val="auto"/>
              <w:rPr>
                <w:rFonts w:ascii="方正仿宋_GBK" w:hAnsi="方正仿宋_GBK" w:eastAsia="方正仿宋_GBK" w:cs="方正仿宋_GBK"/>
                <w:color w:val="auto"/>
                <w:sz w:val="24"/>
                <w:szCs w:val="24"/>
                <w:highlight w:val="none"/>
              </w:rPr>
            </w:pPr>
          </w:p>
        </w:tc>
        <w:tc>
          <w:tcPr>
            <w:tcW w:w="999" w:type="dxa"/>
            <w:vMerge w:val="continue"/>
            <w:noWrap/>
            <w:tcMar>
              <w:left w:w="108" w:type="dxa"/>
              <w:right w:w="108" w:type="dxa"/>
            </w:tcMar>
            <w:vAlign w:val="center"/>
          </w:tcPr>
          <w:p w14:paraId="077064BA">
            <w:pPr>
              <w:keepNext w:val="0"/>
              <w:keepLines w:val="0"/>
              <w:pageBreakBefore w:val="0"/>
              <w:widowControl w:val="0"/>
              <w:kinsoku/>
              <w:wordWrap/>
              <w:overflowPunct/>
              <w:topLinePunct w:val="0"/>
              <w:autoSpaceDN/>
              <w:bidi w:val="0"/>
              <w:adjustRightInd/>
              <w:snapToGrid/>
              <w:spacing w:line="360" w:lineRule="exact"/>
              <w:jc w:val="center"/>
              <w:textAlignment w:val="auto"/>
              <w:rPr>
                <w:rFonts w:ascii="方正仿宋_GBK" w:hAnsi="方正仿宋_GBK" w:eastAsia="方正仿宋_GBK" w:cs="方正仿宋_GBK"/>
                <w:color w:val="auto"/>
                <w:sz w:val="24"/>
                <w:szCs w:val="24"/>
                <w:highlight w:val="none"/>
              </w:rPr>
            </w:pPr>
          </w:p>
        </w:tc>
        <w:tc>
          <w:tcPr>
            <w:tcW w:w="843" w:type="dxa"/>
            <w:vMerge w:val="continue"/>
            <w:noWrap/>
            <w:tcMar>
              <w:left w:w="108" w:type="dxa"/>
              <w:right w:w="108" w:type="dxa"/>
            </w:tcMar>
            <w:vAlign w:val="center"/>
          </w:tcPr>
          <w:p w14:paraId="7DD4E133">
            <w:pPr>
              <w:keepNext w:val="0"/>
              <w:keepLines w:val="0"/>
              <w:pageBreakBefore w:val="0"/>
              <w:widowControl w:val="0"/>
              <w:kinsoku/>
              <w:wordWrap/>
              <w:overflowPunct/>
              <w:topLinePunct w:val="0"/>
              <w:autoSpaceDN/>
              <w:bidi w:val="0"/>
              <w:adjustRightInd/>
              <w:snapToGrid/>
              <w:spacing w:line="360" w:lineRule="exact"/>
              <w:jc w:val="center"/>
              <w:textAlignment w:val="auto"/>
              <w:rPr>
                <w:rFonts w:ascii="方正仿宋_GBK" w:hAnsi="方正仿宋_GBK" w:eastAsia="方正仿宋_GBK" w:cs="方正仿宋_GBK"/>
                <w:color w:val="auto"/>
                <w:sz w:val="24"/>
                <w:szCs w:val="24"/>
                <w:highlight w:val="none"/>
              </w:rPr>
            </w:pPr>
          </w:p>
        </w:tc>
        <w:tc>
          <w:tcPr>
            <w:tcW w:w="646" w:type="dxa"/>
            <w:noWrap/>
            <w:tcMar>
              <w:left w:w="108" w:type="dxa"/>
              <w:right w:w="108" w:type="dxa"/>
            </w:tcMar>
            <w:vAlign w:val="center"/>
          </w:tcPr>
          <w:p w14:paraId="6AD0531E">
            <w:pPr>
              <w:keepNext w:val="0"/>
              <w:keepLines w:val="0"/>
              <w:pageBreakBefore w:val="0"/>
              <w:widowControl w:val="0"/>
              <w:kinsoku/>
              <w:wordWrap/>
              <w:overflowPunct/>
              <w:topLinePunct w:val="0"/>
              <w:autoSpaceDN/>
              <w:bidi w:val="0"/>
              <w:adjustRightInd/>
              <w:snapToGrid/>
              <w:spacing w:line="360" w:lineRule="exact"/>
              <w:jc w:val="center"/>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w:t>
            </w:r>
          </w:p>
        </w:tc>
        <w:tc>
          <w:tcPr>
            <w:tcW w:w="5211" w:type="dxa"/>
            <w:noWrap/>
            <w:tcMar>
              <w:left w:w="108" w:type="dxa"/>
              <w:right w:w="108" w:type="dxa"/>
            </w:tcMar>
            <w:vAlign w:val="center"/>
          </w:tcPr>
          <w:p w14:paraId="55118DD3">
            <w:pPr>
              <w:keepNext w:val="0"/>
              <w:keepLines w:val="0"/>
              <w:pageBreakBefore w:val="0"/>
              <w:widowControl w:val="0"/>
              <w:kinsoku/>
              <w:wordWrap/>
              <w:overflowPunct/>
              <w:topLinePunct w:val="0"/>
              <w:autoSpaceDN/>
              <w:bidi w:val="0"/>
              <w:adjustRightInd/>
              <w:snapToGrid/>
              <w:spacing w:line="360" w:lineRule="exact"/>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应急处理预案（3分）</w:t>
            </w:r>
          </w:p>
          <w:p w14:paraId="1D7AAF19">
            <w:pPr>
              <w:keepNext w:val="0"/>
              <w:keepLines w:val="0"/>
              <w:pageBreakBefore w:val="0"/>
              <w:widowControl w:val="0"/>
              <w:kinsoku/>
              <w:wordWrap/>
              <w:overflowPunct/>
              <w:topLinePunct w:val="0"/>
              <w:autoSpaceDN/>
              <w:bidi w:val="0"/>
              <w:adjustRightInd/>
              <w:snapToGrid/>
              <w:spacing w:line="360" w:lineRule="exact"/>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根据供应商提供的应急处理预案进行评审，包括不限于以下内容：①不合格退换货应急预案；②传染性疾病应急预案；③食物中毒应急预案；④自然灾害应急处理预案；⑤应急物资供应预案。</w:t>
            </w:r>
          </w:p>
          <w:p w14:paraId="069C0496">
            <w:pPr>
              <w:keepNext w:val="0"/>
              <w:keepLines w:val="0"/>
              <w:pageBreakBefore w:val="0"/>
              <w:widowControl w:val="0"/>
              <w:kinsoku/>
              <w:wordWrap/>
              <w:overflowPunct/>
              <w:topLinePunct w:val="0"/>
              <w:autoSpaceDN/>
              <w:bidi w:val="0"/>
              <w:adjustRightInd/>
              <w:snapToGrid/>
              <w:spacing w:line="360" w:lineRule="exact"/>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内容不存在瑕疵，得3分；</w:t>
            </w:r>
          </w:p>
          <w:p w14:paraId="2A68B24E">
            <w:pPr>
              <w:keepNext w:val="0"/>
              <w:keepLines w:val="0"/>
              <w:pageBreakBefore w:val="0"/>
              <w:widowControl w:val="0"/>
              <w:kinsoku/>
              <w:wordWrap/>
              <w:overflowPunct/>
              <w:topLinePunct w:val="0"/>
              <w:autoSpaceDN/>
              <w:bidi w:val="0"/>
              <w:adjustRightInd/>
              <w:snapToGrid/>
              <w:spacing w:line="360" w:lineRule="exact"/>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内容存在1处瑕疵，得2分；</w:t>
            </w:r>
          </w:p>
          <w:p w14:paraId="0D8D1C93">
            <w:pPr>
              <w:keepNext w:val="0"/>
              <w:keepLines w:val="0"/>
              <w:pageBreakBefore w:val="0"/>
              <w:widowControl w:val="0"/>
              <w:kinsoku/>
              <w:wordWrap/>
              <w:overflowPunct/>
              <w:topLinePunct w:val="0"/>
              <w:autoSpaceDN/>
              <w:bidi w:val="0"/>
              <w:adjustRightInd/>
              <w:snapToGrid/>
              <w:spacing w:line="360" w:lineRule="exact"/>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内容存在2处瑕疵，得1分；</w:t>
            </w:r>
          </w:p>
          <w:p w14:paraId="798DFCC1">
            <w:pPr>
              <w:keepNext w:val="0"/>
              <w:keepLines w:val="0"/>
              <w:pageBreakBefore w:val="0"/>
              <w:widowControl w:val="0"/>
              <w:kinsoku/>
              <w:wordWrap/>
              <w:overflowPunct/>
              <w:topLinePunct w:val="0"/>
              <w:autoSpaceDN/>
              <w:bidi w:val="0"/>
              <w:adjustRightInd/>
              <w:snapToGrid/>
              <w:spacing w:line="360" w:lineRule="exact"/>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内容存在3处及以上瑕疵或未提供方案不得分。</w:t>
            </w:r>
          </w:p>
        </w:tc>
        <w:tc>
          <w:tcPr>
            <w:tcW w:w="1921" w:type="dxa"/>
            <w:vMerge w:val="continue"/>
            <w:noWrap/>
            <w:tcMar>
              <w:left w:w="108" w:type="dxa"/>
              <w:right w:w="108" w:type="dxa"/>
            </w:tcMar>
            <w:vAlign w:val="center"/>
          </w:tcPr>
          <w:p w14:paraId="572671A5">
            <w:pPr>
              <w:keepNext w:val="0"/>
              <w:keepLines w:val="0"/>
              <w:pageBreakBefore w:val="0"/>
              <w:widowControl w:val="0"/>
              <w:kinsoku/>
              <w:wordWrap/>
              <w:overflowPunct/>
              <w:topLinePunct w:val="0"/>
              <w:autoSpaceDN/>
              <w:bidi w:val="0"/>
              <w:adjustRightInd/>
              <w:snapToGrid/>
              <w:spacing w:line="360" w:lineRule="exact"/>
              <w:jc w:val="center"/>
              <w:textAlignment w:val="auto"/>
              <w:rPr>
                <w:rFonts w:ascii="方正仿宋_GBK" w:hAnsi="方正仿宋_GBK" w:eastAsia="方正仿宋_GBK" w:cs="方正仿宋_GBK"/>
                <w:color w:val="auto"/>
                <w:sz w:val="24"/>
                <w:szCs w:val="24"/>
                <w:highlight w:val="none"/>
              </w:rPr>
            </w:pPr>
          </w:p>
        </w:tc>
      </w:tr>
      <w:tr w14:paraId="7E744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46" w:type="dxa"/>
            <w:vMerge w:val="continue"/>
            <w:noWrap/>
            <w:tcMar>
              <w:left w:w="108" w:type="dxa"/>
              <w:right w:w="108" w:type="dxa"/>
            </w:tcMar>
            <w:vAlign w:val="center"/>
          </w:tcPr>
          <w:p w14:paraId="2CD6C0F2">
            <w:pPr>
              <w:keepNext w:val="0"/>
              <w:keepLines w:val="0"/>
              <w:pageBreakBefore w:val="0"/>
              <w:widowControl w:val="0"/>
              <w:kinsoku/>
              <w:wordWrap/>
              <w:overflowPunct/>
              <w:topLinePunct w:val="0"/>
              <w:autoSpaceDN/>
              <w:bidi w:val="0"/>
              <w:adjustRightInd/>
              <w:snapToGrid/>
              <w:spacing w:line="360" w:lineRule="exact"/>
              <w:textAlignment w:val="auto"/>
              <w:rPr>
                <w:rFonts w:ascii="方正仿宋_GBK" w:hAnsi="方正仿宋_GBK" w:eastAsia="方正仿宋_GBK" w:cs="方正仿宋_GBK"/>
                <w:color w:val="auto"/>
                <w:sz w:val="24"/>
                <w:szCs w:val="24"/>
                <w:highlight w:val="none"/>
              </w:rPr>
            </w:pPr>
          </w:p>
        </w:tc>
        <w:tc>
          <w:tcPr>
            <w:tcW w:w="999" w:type="dxa"/>
            <w:vMerge w:val="continue"/>
            <w:noWrap/>
            <w:tcMar>
              <w:left w:w="108" w:type="dxa"/>
              <w:right w:w="108" w:type="dxa"/>
            </w:tcMar>
            <w:vAlign w:val="center"/>
          </w:tcPr>
          <w:p w14:paraId="45B4CF11">
            <w:pPr>
              <w:keepNext w:val="0"/>
              <w:keepLines w:val="0"/>
              <w:pageBreakBefore w:val="0"/>
              <w:widowControl w:val="0"/>
              <w:kinsoku/>
              <w:wordWrap/>
              <w:overflowPunct/>
              <w:topLinePunct w:val="0"/>
              <w:autoSpaceDN/>
              <w:bidi w:val="0"/>
              <w:adjustRightInd/>
              <w:snapToGrid/>
              <w:spacing w:line="360" w:lineRule="exact"/>
              <w:jc w:val="center"/>
              <w:textAlignment w:val="auto"/>
              <w:rPr>
                <w:rFonts w:ascii="方正仿宋_GBK" w:hAnsi="方正仿宋_GBK" w:eastAsia="方正仿宋_GBK" w:cs="方正仿宋_GBK"/>
                <w:color w:val="auto"/>
                <w:sz w:val="24"/>
                <w:szCs w:val="24"/>
                <w:highlight w:val="none"/>
              </w:rPr>
            </w:pPr>
          </w:p>
        </w:tc>
        <w:tc>
          <w:tcPr>
            <w:tcW w:w="843" w:type="dxa"/>
            <w:vMerge w:val="continue"/>
            <w:noWrap/>
            <w:tcMar>
              <w:left w:w="108" w:type="dxa"/>
              <w:right w:w="108" w:type="dxa"/>
            </w:tcMar>
            <w:vAlign w:val="center"/>
          </w:tcPr>
          <w:p w14:paraId="4478A022">
            <w:pPr>
              <w:keepNext w:val="0"/>
              <w:keepLines w:val="0"/>
              <w:pageBreakBefore w:val="0"/>
              <w:widowControl w:val="0"/>
              <w:kinsoku/>
              <w:wordWrap/>
              <w:overflowPunct/>
              <w:topLinePunct w:val="0"/>
              <w:autoSpaceDN/>
              <w:bidi w:val="0"/>
              <w:adjustRightInd/>
              <w:snapToGrid/>
              <w:spacing w:line="360" w:lineRule="exact"/>
              <w:jc w:val="center"/>
              <w:textAlignment w:val="auto"/>
              <w:rPr>
                <w:rFonts w:ascii="方正仿宋_GBK" w:hAnsi="方正仿宋_GBK" w:eastAsia="方正仿宋_GBK" w:cs="方正仿宋_GBK"/>
                <w:color w:val="auto"/>
                <w:sz w:val="24"/>
                <w:szCs w:val="24"/>
                <w:highlight w:val="none"/>
              </w:rPr>
            </w:pPr>
          </w:p>
        </w:tc>
        <w:tc>
          <w:tcPr>
            <w:tcW w:w="646" w:type="dxa"/>
            <w:noWrap/>
            <w:tcMar>
              <w:left w:w="108" w:type="dxa"/>
              <w:right w:w="108" w:type="dxa"/>
            </w:tcMar>
            <w:vAlign w:val="center"/>
          </w:tcPr>
          <w:p w14:paraId="62A413D6">
            <w:pPr>
              <w:keepNext w:val="0"/>
              <w:keepLines w:val="0"/>
              <w:pageBreakBefore w:val="0"/>
              <w:widowControl w:val="0"/>
              <w:kinsoku/>
              <w:wordWrap/>
              <w:overflowPunct/>
              <w:topLinePunct w:val="0"/>
              <w:autoSpaceDN/>
              <w:bidi w:val="0"/>
              <w:adjustRightInd/>
              <w:snapToGrid/>
              <w:spacing w:line="360" w:lineRule="exact"/>
              <w:jc w:val="center"/>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w:t>
            </w:r>
          </w:p>
        </w:tc>
        <w:tc>
          <w:tcPr>
            <w:tcW w:w="5211" w:type="dxa"/>
            <w:noWrap/>
            <w:tcMar>
              <w:left w:w="108" w:type="dxa"/>
              <w:right w:w="108" w:type="dxa"/>
            </w:tcMar>
            <w:vAlign w:val="center"/>
          </w:tcPr>
          <w:p w14:paraId="4B99F0A1">
            <w:pPr>
              <w:keepNext w:val="0"/>
              <w:keepLines w:val="0"/>
              <w:pageBreakBefore w:val="0"/>
              <w:widowControl w:val="0"/>
              <w:kinsoku/>
              <w:wordWrap/>
              <w:overflowPunct/>
              <w:topLinePunct w:val="0"/>
              <w:autoSpaceDN/>
              <w:bidi w:val="0"/>
              <w:adjustRightInd/>
              <w:snapToGrid/>
              <w:spacing w:line="360" w:lineRule="exact"/>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提供食品溯源管理制度和溯源方案（3分）</w:t>
            </w:r>
          </w:p>
          <w:p w14:paraId="6BB11BF0">
            <w:pPr>
              <w:keepNext w:val="0"/>
              <w:keepLines w:val="0"/>
              <w:pageBreakBefore w:val="0"/>
              <w:widowControl w:val="0"/>
              <w:kinsoku/>
              <w:wordWrap/>
              <w:overflowPunct/>
              <w:topLinePunct w:val="0"/>
              <w:autoSpaceDN/>
              <w:bidi w:val="0"/>
              <w:adjustRightInd/>
              <w:snapToGrid/>
              <w:spacing w:line="360" w:lineRule="exact"/>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内容不存在瑕疵，得3分；</w:t>
            </w:r>
          </w:p>
          <w:p w14:paraId="0489C306">
            <w:pPr>
              <w:keepNext w:val="0"/>
              <w:keepLines w:val="0"/>
              <w:pageBreakBefore w:val="0"/>
              <w:widowControl w:val="0"/>
              <w:kinsoku/>
              <w:wordWrap/>
              <w:overflowPunct/>
              <w:topLinePunct w:val="0"/>
              <w:autoSpaceDN/>
              <w:bidi w:val="0"/>
              <w:adjustRightInd/>
              <w:snapToGrid/>
              <w:spacing w:line="360" w:lineRule="exact"/>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内容存在1处瑕疵，得2分；</w:t>
            </w:r>
          </w:p>
          <w:p w14:paraId="340B61F8">
            <w:pPr>
              <w:keepNext w:val="0"/>
              <w:keepLines w:val="0"/>
              <w:pageBreakBefore w:val="0"/>
              <w:widowControl w:val="0"/>
              <w:kinsoku/>
              <w:wordWrap/>
              <w:overflowPunct/>
              <w:topLinePunct w:val="0"/>
              <w:autoSpaceDN/>
              <w:bidi w:val="0"/>
              <w:adjustRightInd/>
              <w:snapToGrid/>
              <w:spacing w:line="360" w:lineRule="exact"/>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内容存在2处瑕疵，得1分；</w:t>
            </w:r>
          </w:p>
          <w:p w14:paraId="33BA480D">
            <w:pPr>
              <w:keepNext w:val="0"/>
              <w:keepLines w:val="0"/>
              <w:pageBreakBefore w:val="0"/>
              <w:widowControl w:val="0"/>
              <w:kinsoku/>
              <w:wordWrap/>
              <w:overflowPunct/>
              <w:topLinePunct w:val="0"/>
              <w:autoSpaceDN/>
              <w:bidi w:val="0"/>
              <w:adjustRightInd/>
              <w:snapToGrid/>
              <w:spacing w:line="360" w:lineRule="exact"/>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内容存在3处及以上瑕疵或未提供方案不得分。</w:t>
            </w:r>
          </w:p>
        </w:tc>
        <w:tc>
          <w:tcPr>
            <w:tcW w:w="1921" w:type="dxa"/>
            <w:vMerge w:val="continue"/>
            <w:noWrap/>
            <w:tcMar>
              <w:left w:w="108" w:type="dxa"/>
              <w:right w:w="108" w:type="dxa"/>
            </w:tcMar>
            <w:vAlign w:val="center"/>
          </w:tcPr>
          <w:p w14:paraId="0C6AF637">
            <w:pPr>
              <w:keepNext w:val="0"/>
              <w:keepLines w:val="0"/>
              <w:pageBreakBefore w:val="0"/>
              <w:widowControl w:val="0"/>
              <w:kinsoku/>
              <w:wordWrap/>
              <w:overflowPunct/>
              <w:topLinePunct w:val="0"/>
              <w:autoSpaceDN/>
              <w:bidi w:val="0"/>
              <w:adjustRightInd/>
              <w:snapToGrid/>
              <w:spacing w:line="360" w:lineRule="exact"/>
              <w:jc w:val="center"/>
              <w:textAlignment w:val="auto"/>
              <w:rPr>
                <w:rFonts w:ascii="方正仿宋_GBK" w:hAnsi="方正仿宋_GBK" w:eastAsia="方正仿宋_GBK" w:cs="方正仿宋_GBK"/>
                <w:color w:val="auto"/>
                <w:sz w:val="24"/>
                <w:szCs w:val="24"/>
                <w:highlight w:val="none"/>
              </w:rPr>
            </w:pPr>
          </w:p>
        </w:tc>
      </w:tr>
      <w:tr w14:paraId="56885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46" w:type="dxa"/>
            <w:vMerge w:val="continue"/>
            <w:noWrap/>
            <w:tcMar>
              <w:left w:w="108" w:type="dxa"/>
              <w:right w:w="108" w:type="dxa"/>
            </w:tcMar>
            <w:vAlign w:val="center"/>
          </w:tcPr>
          <w:p w14:paraId="4DD9FB88">
            <w:pPr>
              <w:keepNext w:val="0"/>
              <w:keepLines w:val="0"/>
              <w:pageBreakBefore w:val="0"/>
              <w:widowControl w:val="0"/>
              <w:kinsoku/>
              <w:wordWrap/>
              <w:overflowPunct/>
              <w:topLinePunct w:val="0"/>
              <w:autoSpaceDN/>
              <w:bidi w:val="0"/>
              <w:adjustRightInd/>
              <w:snapToGrid/>
              <w:spacing w:line="360" w:lineRule="exact"/>
              <w:textAlignment w:val="auto"/>
              <w:rPr>
                <w:rFonts w:ascii="方正仿宋_GBK" w:hAnsi="方正仿宋_GBK" w:eastAsia="方正仿宋_GBK" w:cs="方正仿宋_GBK"/>
                <w:color w:val="auto"/>
                <w:sz w:val="24"/>
                <w:szCs w:val="24"/>
                <w:highlight w:val="none"/>
              </w:rPr>
            </w:pPr>
          </w:p>
        </w:tc>
        <w:tc>
          <w:tcPr>
            <w:tcW w:w="999" w:type="dxa"/>
            <w:vMerge w:val="continue"/>
            <w:noWrap/>
            <w:tcMar>
              <w:left w:w="108" w:type="dxa"/>
              <w:right w:w="108" w:type="dxa"/>
            </w:tcMar>
            <w:vAlign w:val="center"/>
          </w:tcPr>
          <w:p w14:paraId="3E9366F3">
            <w:pPr>
              <w:keepNext w:val="0"/>
              <w:keepLines w:val="0"/>
              <w:pageBreakBefore w:val="0"/>
              <w:widowControl w:val="0"/>
              <w:kinsoku/>
              <w:wordWrap/>
              <w:overflowPunct/>
              <w:topLinePunct w:val="0"/>
              <w:autoSpaceDN/>
              <w:bidi w:val="0"/>
              <w:adjustRightInd/>
              <w:snapToGrid/>
              <w:spacing w:line="360" w:lineRule="exact"/>
              <w:jc w:val="center"/>
              <w:textAlignment w:val="auto"/>
              <w:rPr>
                <w:rFonts w:ascii="方正仿宋_GBK" w:hAnsi="方正仿宋_GBK" w:eastAsia="方正仿宋_GBK" w:cs="方正仿宋_GBK"/>
                <w:color w:val="auto"/>
                <w:sz w:val="24"/>
                <w:szCs w:val="24"/>
                <w:highlight w:val="none"/>
              </w:rPr>
            </w:pPr>
          </w:p>
        </w:tc>
        <w:tc>
          <w:tcPr>
            <w:tcW w:w="843" w:type="dxa"/>
            <w:vMerge w:val="continue"/>
            <w:noWrap/>
            <w:tcMar>
              <w:left w:w="108" w:type="dxa"/>
              <w:right w:w="108" w:type="dxa"/>
            </w:tcMar>
            <w:vAlign w:val="center"/>
          </w:tcPr>
          <w:p w14:paraId="37E14A40">
            <w:pPr>
              <w:keepNext w:val="0"/>
              <w:keepLines w:val="0"/>
              <w:pageBreakBefore w:val="0"/>
              <w:widowControl w:val="0"/>
              <w:kinsoku/>
              <w:wordWrap/>
              <w:overflowPunct/>
              <w:topLinePunct w:val="0"/>
              <w:autoSpaceDN/>
              <w:bidi w:val="0"/>
              <w:adjustRightInd/>
              <w:snapToGrid/>
              <w:spacing w:line="360" w:lineRule="exact"/>
              <w:jc w:val="center"/>
              <w:textAlignment w:val="auto"/>
              <w:rPr>
                <w:rFonts w:ascii="方正仿宋_GBK" w:hAnsi="方正仿宋_GBK" w:eastAsia="方正仿宋_GBK" w:cs="方正仿宋_GBK"/>
                <w:color w:val="auto"/>
                <w:sz w:val="24"/>
                <w:szCs w:val="24"/>
                <w:highlight w:val="none"/>
              </w:rPr>
            </w:pPr>
          </w:p>
        </w:tc>
        <w:tc>
          <w:tcPr>
            <w:tcW w:w="646" w:type="dxa"/>
            <w:noWrap/>
            <w:tcMar>
              <w:left w:w="108" w:type="dxa"/>
              <w:right w:w="108" w:type="dxa"/>
            </w:tcMar>
            <w:vAlign w:val="center"/>
          </w:tcPr>
          <w:p w14:paraId="58EA4826">
            <w:pPr>
              <w:keepNext w:val="0"/>
              <w:keepLines w:val="0"/>
              <w:pageBreakBefore w:val="0"/>
              <w:widowControl w:val="0"/>
              <w:kinsoku/>
              <w:wordWrap/>
              <w:overflowPunct/>
              <w:topLinePunct w:val="0"/>
              <w:autoSpaceDN/>
              <w:bidi w:val="0"/>
              <w:adjustRightInd/>
              <w:snapToGrid/>
              <w:spacing w:line="360" w:lineRule="exact"/>
              <w:jc w:val="center"/>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w:t>
            </w:r>
          </w:p>
        </w:tc>
        <w:tc>
          <w:tcPr>
            <w:tcW w:w="5211" w:type="dxa"/>
            <w:noWrap/>
            <w:tcMar>
              <w:left w:w="108" w:type="dxa"/>
              <w:right w:w="108" w:type="dxa"/>
            </w:tcMar>
            <w:vAlign w:val="center"/>
          </w:tcPr>
          <w:p w14:paraId="2EDEBDE9">
            <w:pPr>
              <w:keepNext w:val="0"/>
              <w:keepLines w:val="0"/>
              <w:pageBreakBefore w:val="0"/>
              <w:widowControl w:val="0"/>
              <w:kinsoku/>
              <w:wordWrap/>
              <w:overflowPunct/>
              <w:topLinePunct w:val="0"/>
              <w:autoSpaceDN/>
              <w:bidi w:val="0"/>
              <w:adjustRightInd/>
              <w:snapToGrid/>
              <w:spacing w:line="360" w:lineRule="exact"/>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食品安全预案（5分）</w:t>
            </w:r>
          </w:p>
          <w:p w14:paraId="322860E6">
            <w:pPr>
              <w:keepNext w:val="0"/>
              <w:keepLines w:val="0"/>
              <w:pageBreakBefore w:val="0"/>
              <w:widowControl w:val="0"/>
              <w:kinsoku/>
              <w:wordWrap/>
              <w:overflowPunct/>
              <w:topLinePunct w:val="0"/>
              <w:autoSpaceDE w:val="0"/>
              <w:autoSpaceDN/>
              <w:bidi w:val="0"/>
              <w:adjustRightInd/>
              <w:snapToGrid/>
              <w:spacing w:line="360" w:lineRule="exact"/>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供应商针对本项目制定完备的食品安全预案体系。供应商主要负责人和相关主管人员积极作为，主动担当，现场指导、处理，慰问学生及家长，做好应急处置、安抚工作和善后处理。</w:t>
            </w:r>
          </w:p>
          <w:p w14:paraId="521A1572">
            <w:pPr>
              <w:keepNext w:val="0"/>
              <w:keepLines w:val="0"/>
              <w:pageBreakBefore w:val="0"/>
              <w:widowControl w:val="0"/>
              <w:kinsoku/>
              <w:wordWrap/>
              <w:overflowPunct/>
              <w:topLinePunct w:val="0"/>
              <w:autoSpaceDN/>
              <w:bidi w:val="0"/>
              <w:adjustRightInd/>
              <w:snapToGrid/>
              <w:spacing w:line="360" w:lineRule="exact"/>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内容不存在瑕疵，得5分；</w:t>
            </w:r>
          </w:p>
          <w:p w14:paraId="4DB5919A">
            <w:pPr>
              <w:keepNext w:val="0"/>
              <w:keepLines w:val="0"/>
              <w:pageBreakBefore w:val="0"/>
              <w:widowControl w:val="0"/>
              <w:kinsoku/>
              <w:wordWrap/>
              <w:overflowPunct/>
              <w:topLinePunct w:val="0"/>
              <w:autoSpaceDN/>
              <w:bidi w:val="0"/>
              <w:adjustRightInd/>
              <w:snapToGrid/>
              <w:spacing w:line="360" w:lineRule="exact"/>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内容存在</w:t>
            </w:r>
            <w:r>
              <w:rPr>
                <w:rFonts w:ascii="方正仿宋_GBK" w:hAnsi="方正仿宋_GBK" w:eastAsia="方正仿宋_GBK" w:cs="方正仿宋_GBK"/>
                <w:color w:val="auto"/>
                <w:sz w:val="24"/>
                <w:szCs w:val="24"/>
                <w:highlight w:val="none"/>
              </w:rPr>
              <w:t>1处瑕疵，得</w:t>
            </w:r>
            <w:r>
              <w:rPr>
                <w:rFonts w:hint="eastAsia" w:ascii="方正仿宋_GBK" w:hAnsi="方正仿宋_GBK" w:eastAsia="方正仿宋_GBK" w:cs="方正仿宋_GBK"/>
                <w:color w:val="auto"/>
                <w:sz w:val="24"/>
                <w:szCs w:val="24"/>
                <w:highlight w:val="none"/>
              </w:rPr>
              <w:t>3分；</w:t>
            </w:r>
          </w:p>
          <w:p w14:paraId="499F9CF5">
            <w:pPr>
              <w:keepNext w:val="0"/>
              <w:keepLines w:val="0"/>
              <w:pageBreakBefore w:val="0"/>
              <w:widowControl w:val="0"/>
              <w:kinsoku/>
              <w:wordWrap/>
              <w:overflowPunct/>
              <w:topLinePunct w:val="0"/>
              <w:autoSpaceDN/>
              <w:bidi w:val="0"/>
              <w:adjustRightInd/>
              <w:snapToGrid/>
              <w:spacing w:line="360" w:lineRule="exact"/>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内容存在</w:t>
            </w:r>
            <w:r>
              <w:rPr>
                <w:rFonts w:ascii="方正仿宋_GBK" w:hAnsi="方正仿宋_GBK" w:eastAsia="方正仿宋_GBK" w:cs="方正仿宋_GBK"/>
                <w:color w:val="auto"/>
                <w:sz w:val="24"/>
                <w:szCs w:val="24"/>
                <w:highlight w:val="none"/>
              </w:rPr>
              <w:t>2处瑕疵，得</w:t>
            </w: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分；</w:t>
            </w:r>
          </w:p>
          <w:p w14:paraId="0B553EF2">
            <w:pPr>
              <w:keepNext w:val="0"/>
              <w:keepLines w:val="0"/>
              <w:pageBreakBefore w:val="0"/>
              <w:widowControl w:val="0"/>
              <w:kinsoku/>
              <w:wordWrap/>
              <w:overflowPunct/>
              <w:topLinePunct w:val="0"/>
              <w:autoSpaceDE w:val="0"/>
              <w:autoSpaceDN/>
              <w:bidi w:val="0"/>
              <w:adjustRightInd/>
              <w:snapToGrid/>
              <w:spacing w:line="360" w:lineRule="exact"/>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内容存在</w:t>
            </w:r>
            <w:r>
              <w:rPr>
                <w:rFonts w:ascii="方正仿宋_GBK" w:hAnsi="方正仿宋_GBK" w:eastAsia="方正仿宋_GBK" w:cs="方正仿宋_GBK"/>
                <w:color w:val="auto"/>
                <w:sz w:val="24"/>
                <w:szCs w:val="24"/>
                <w:highlight w:val="none"/>
              </w:rPr>
              <w:t>3处及以上瑕疵或未提供方案不得分。</w:t>
            </w:r>
          </w:p>
        </w:tc>
        <w:tc>
          <w:tcPr>
            <w:tcW w:w="1921" w:type="dxa"/>
            <w:vMerge w:val="continue"/>
            <w:noWrap/>
            <w:tcMar>
              <w:left w:w="108" w:type="dxa"/>
              <w:right w:w="108" w:type="dxa"/>
            </w:tcMar>
          </w:tcPr>
          <w:p w14:paraId="605C7885">
            <w:pPr>
              <w:keepNext w:val="0"/>
              <w:keepLines w:val="0"/>
              <w:pageBreakBefore w:val="0"/>
              <w:widowControl w:val="0"/>
              <w:kinsoku/>
              <w:wordWrap/>
              <w:overflowPunct/>
              <w:topLinePunct w:val="0"/>
              <w:autoSpaceDN/>
              <w:bidi w:val="0"/>
              <w:adjustRightInd/>
              <w:snapToGrid/>
              <w:spacing w:line="360" w:lineRule="exact"/>
              <w:textAlignment w:val="auto"/>
              <w:rPr>
                <w:rFonts w:ascii="方正仿宋_GBK" w:hAnsi="方正仿宋_GBK" w:eastAsia="方正仿宋_GBK" w:cs="方正仿宋_GBK"/>
                <w:color w:val="auto"/>
                <w:sz w:val="24"/>
                <w:szCs w:val="24"/>
                <w:highlight w:val="none"/>
              </w:rPr>
            </w:pPr>
          </w:p>
        </w:tc>
      </w:tr>
      <w:tr w14:paraId="162FA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46" w:type="dxa"/>
            <w:vMerge w:val="continue"/>
            <w:noWrap/>
            <w:vAlign w:val="center"/>
          </w:tcPr>
          <w:p w14:paraId="48C0F17F">
            <w:pPr>
              <w:keepNext w:val="0"/>
              <w:keepLines w:val="0"/>
              <w:pageBreakBefore w:val="0"/>
              <w:widowControl w:val="0"/>
              <w:kinsoku/>
              <w:wordWrap/>
              <w:overflowPunct/>
              <w:topLinePunct w:val="0"/>
              <w:autoSpaceDN/>
              <w:bidi w:val="0"/>
              <w:adjustRightInd/>
              <w:snapToGrid/>
              <w:spacing w:line="360" w:lineRule="exact"/>
              <w:textAlignment w:val="auto"/>
              <w:rPr>
                <w:rFonts w:ascii="方正仿宋_GBK" w:hAnsi="方正仿宋_GBK" w:eastAsia="方正仿宋_GBK" w:cs="方正仿宋_GBK"/>
                <w:color w:val="auto"/>
                <w:sz w:val="24"/>
                <w:szCs w:val="24"/>
                <w:highlight w:val="none"/>
              </w:rPr>
            </w:pPr>
          </w:p>
        </w:tc>
        <w:tc>
          <w:tcPr>
            <w:tcW w:w="999" w:type="dxa"/>
            <w:vMerge w:val="continue"/>
            <w:noWrap/>
            <w:vAlign w:val="center"/>
          </w:tcPr>
          <w:p w14:paraId="2CFD7160">
            <w:pPr>
              <w:keepNext w:val="0"/>
              <w:keepLines w:val="0"/>
              <w:pageBreakBefore w:val="0"/>
              <w:widowControl w:val="0"/>
              <w:kinsoku/>
              <w:wordWrap/>
              <w:overflowPunct/>
              <w:topLinePunct w:val="0"/>
              <w:autoSpaceDN/>
              <w:bidi w:val="0"/>
              <w:adjustRightInd/>
              <w:snapToGrid/>
              <w:spacing w:line="360" w:lineRule="exact"/>
              <w:textAlignment w:val="auto"/>
              <w:rPr>
                <w:rFonts w:ascii="方正仿宋_GBK" w:hAnsi="方正仿宋_GBK" w:eastAsia="方正仿宋_GBK" w:cs="方正仿宋_GBK"/>
                <w:color w:val="auto"/>
                <w:sz w:val="24"/>
                <w:szCs w:val="24"/>
                <w:highlight w:val="none"/>
              </w:rPr>
            </w:pPr>
          </w:p>
        </w:tc>
        <w:tc>
          <w:tcPr>
            <w:tcW w:w="843" w:type="dxa"/>
            <w:noWrap/>
            <w:vAlign w:val="center"/>
          </w:tcPr>
          <w:p w14:paraId="11F33A5B">
            <w:pPr>
              <w:keepNext w:val="0"/>
              <w:keepLines w:val="0"/>
              <w:pageBreakBefore w:val="0"/>
              <w:widowControl w:val="0"/>
              <w:kinsoku/>
              <w:wordWrap/>
              <w:overflowPunct/>
              <w:topLinePunct w:val="0"/>
              <w:autoSpaceDN/>
              <w:bidi w:val="0"/>
              <w:adjustRightInd/>
              <w:snapToGrid/>
              <w:spacing w:line="360" w:lineRule="exact"/>
              <w:jc w:val="center"/>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食品安全责任</w:t>
            </w:r>
          </w:p>
        </w:tc>
        <w:tc>
          <w:tcPr>
            <w:tcW w:w="646" w:type="dxa"/>
            <w:noWrap/>
            <w:vAlign w:val="center"/>
          </w:tcPr>
          <w:p w14:paraId="3B127DAA">
            <w:pPr>
              <w:keepNext w:val="0"/>
              <w:keepLines w:val="0"/>
              <w:pageBreakBefore w:val="0"/>
              <w:widowControl w:val="0"/>
              <w:kinsoku/>
              <w:wordWrap/>
              <w:overflowPunct/>
              <w:topLinePunct w:val="0"/>
              <w:autoSpaceDN/>
              <w:bidi w:val="0"/>
              <w:adjustRightInd/>
              <w:snapToGrid/>
              <w:spacing w:line="360" w:lineRule="exact"/>
              <w:ind w:firstLine="28"/>
              <w:jc w:val="center"/>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w:t>
            </w:r>
          </w:p>
        </w:tc>
        <w:tc>
          <w:tcPr>
            <w:tcW w:w="5211" w:type="dxa"/>
            <w:noWrap/>
            <w:tcMar>
              <w:left w:w="108" w:type="dxa"/>
              <w:right w:w="108" w:type="dxa"/>
            </w:tcMar>
            <w:vAlign w:val="center"/>
          </w:tcPr>
          <w:p w14:paraId="4F6BBCF9">
            <w:pPr>
              <w:keepNext w:val="0"/>
              <w:keepLines w:val="0"/>
              <w:pageBreakBefore w:val="0"/>
              <w:widowControl w:val="0"/>
              <w:kinsoku/>
              <w:wordWrap/>
              <w:overflowPunct/>
              <w:topLinePunct w:val="0"/>
              <w:autoSpaceDN/>
              <w:bidi w:val="0"/>
              <w:adjustRightInd/>
              <w:snapToGrid/>
              <w:spacing w:line="360" w:lineRule="exact"/>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出具承诺函，承诺内容为：中标后为所投产品购买食品安全责任保险。被保险人为采购人，保险额度为200万元/包，保险费用由中标人承担。按以上要求提供承诺函的，得4分，未提供或未按要求提供承诺函的，不得分。</w:t>
            </w:r>
          </w:p>
        </w:tc>
        <w:tc>
          <w:tcPr>
            <w:tcW w:w="1921" w:type="dxa"/>
            <w:noWrap/>
          </w:tcPr>
          <w:p w14:paraId="733D6A9B">
            <w:pPr>
              <w:keepNext w:val="0"/>
              <w:keepLines w:val="0"/>
              <w:pageBreakBefore w:val="0"/>
              <w:widowControl w:val="0"/>
              <w:kinsoku/>
              <w:wordWrap/>
              <w:overflowPunct/>
              <w:topLinePunct w:val="0"/>
              <w:autoSpaceDN/>
              <w:bidi w:val="0"/>
              <w:adjustRightInd/>
              <w:snapToGrid/>
              <w:spacing w:line="360" w:lineRule="exact"/>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签订合同前，中标人应提供符合招标文件要求的食品安全保险单及发票复印件并加盖供应商公章，否则承担虚假应标的全部法律责任。</w:t>
            </w:r>
          </w:p>
        </w:tc>
      </w:tr>
      <w:tr w14:paraId="20279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546" w:type="dxa"/>
            <w:vMerge w:val="restart"/>
            <w:noWrap/>
            <w:tcMar>
              <w:left w:w="108" w:type="dxa"/>
              <w:right w:w="108" w:type="dxa"/>
            </w:tcMar>
            <w:vAlign w:val="center"/>
          </w:tcPr>
          <w:p w14:paraId="3D3803C1">
            <w:pPr>
              <w:keepNext w:val="0"/>
              <w:keepLines w:val="0"/>
              <w:pageBreakBefore w:val="0"/>
              <w:widowControl w:val="0"/>
              <w:kinsoku/>
              <w:wordWrap/>
              <w:overflowPunct/>
              <w:topLinePunct w:val="0"/>
              <w:autoSpaceDN/>
              <w:bidi w:val="0"/>
              <w:adjustRightInd/>
              <w:snapToGrid/>
              <w:spacing w:line="360" w:lineRule="exact"/>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w:t>
            </w:r>
          </w:p>
        </w:tc>
        <w:tc>
          <w:tcPr>
            <w:tcW w:w="999" w:type="dxa"/>
            <w:vMerge w:val="restart"/>
            <w:noWrap/>
            <w:tcMar>
              <w:left w:w="108" w:type="dxa"/>
              <w:right w:w="108" w:type="dxa"/>
            </w:tcMar>
            <w:vAlign w:val="center"/>
          </w:tcPr>
          <w:p w14:paraId="28F4CB32">
            <w:pPr>
              <w:keepNext w:val="0"/>
              <w:keepLines w:val="0"/>
              <w:pageBreakBefore w:val="0"/>
              <w:widowControl w:val="0"/>
              <w:kinsoku/>
              <w:wordWrap/>
              <w:overflowPunct/>
              <w:topLinePunct w:val="0"/>
              <w:autoSpaceDN/>
              <w:bidi w:val="0"/>
              <w:adjustRightInd/>
              <w:snapToGrid/>
              <w:spacing w:line="360" w:lineRule="exact"/>
              <w:jc w:val="center"/>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商务</w:t>
            </w:r>
          </w:p>
          <w:p w14:paraId="52240CF6">
            <w:pPr>
              <w:keepNext w:val="0"/>
              <w:keepLines w:val="0"/>
              <w:pageBreakBefore w:val="0"/>
              <w:widowControl w:val="0"/>
              <w:kinsoku/>
              <w:wordWrap/>
              <w:overflowPunct/>
              <w:topLinePunct w:val="0"/>
              <w:autoSpaceDN/>
              <w:bidi w:val="0"/>
              <w:adjustRightInd/>
              <w:snapToGrid/>
              <w:spacing w:line="360" w:lineRule="exact"/>
              <w:jc w:val="center"/>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部分</w:t>
            </w:r>
          </w:p>
          <w:p w14:paraId="4C12245D">
            <w:pPr>
              <w:keepNext w:val="0"/>
              <w:keepLines w:val="0"/>
              <w:pageBreakBefore w:val="0"/>
              <w:widowControl w:val="0"/>
              <w:kinsoku/>
              <w:wordWrap/>
              <w:overflowPunct/>
              <w:topLinePunct w:val="0"/>
              <w:autoSpaceDN/>
              <w:bidi w:val="0"/>
              <w:adjustRightInd/>
              <w:snapToGrid/>
              <w:spacing w:line="360" w:lineRule="exact"/>
              <w:jc w:val="center"/>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(30%)</w:t>
            </w:r>
          </w:p>
        </w:tc>
        <w:tc>
          <w:tcPr>
            <w:tcW w:w="843" w:type="dxa"/>
            <w:noWrap/>
            <w:tcMar>
              <w:left w:w="108" w:type="dxa"/>
              <w:right w:w="108" w:type="dxa"/>
            </w:tcMar>
            <w:vAlign w:val="center"/>
          </w:tcPr>
          <w:p w14:paraId="6F09EC4F">
            <w:pPr>
              <w:keepNext w:val="0"/>
              <w:keepLines w:val="0"/>
              <w:pageBreakBefore w:val="0"/>
              <w:widowControl w:val="0"/>
              <w:kinsoku/>
              <w:wordWrap/>
              <w:overflowPunct/>
              <w:topLinePunct w:val="0"/>
              <w:autoSpaceDN/>
              <w:bidi w:val="0"/>
              <w:adjustRightInd/>
              <w:snapToGrid/>
              <w:spacing w:line="360" w:lineRule="exact"/>
              <w:jc w:val="center"/>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质量认证</w:t>
            </w:r>
          </w:p>
        </w:tc>
        <w:tc>
          <w:tcPr>
            <w:tcW w:w="646" w:type="dxa"/>
            <w:noWrap/>
            <w:tcMar>
              <w:left w:w="108" w:type="dxa"/>
              <w:right w:w="108" w:type="dxa"/>
            </w:tcMar>
            <w:vAlign w:val="center"/>
          </w:tcPr>
          <w:p w14:paraId="6ABB7B72">
            <w:pPr>
              <w:keepNext w:val="0"/>
              <w:keepLines w:val="0"/>
              <w:pageBreakBefore w:val="0"/>
              <w:widowControl w:val="0"/>
              <w:kinsoku/>
              <w:wordWrap/>
              <w:overflowPunct/>
              <w:topLinePunct w:val="0"/>
              <w:autoSpaceDN/>
              <w:bidi w:val="0"/>
              <w:adjustRightInd/>
              <w:snapToGrid/>
              <w:spacing w:line="360" w:lineRule="exact"/>
              <w:ind w:firstLine="28"/>
              <w:jc w:val="center"/>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10</w:t>
            </w:r>
          </w:p>
        </w:tc>
        <w:tc>
          <w:tcPr>
            <w:tcW w:w="5211" w:type="dxa"/>
            <w:noWrap/>
            <w:tcMar>
              <w:left w:w="108" w:type="dxa"/>
              <w:right w:w="108" w:type="dxa"/>
            </w:tcMar>
            <w:vAlign w:val="center"/>
          </w:tcPr>
          <w:p w14:paraId="357BC238">
            <w:pPr>
              <w:keepNext w:val="0"/>
              <w:keepLines w:val="0"/>
              <w:pageBreakBefore w:val="0"/>
              <w:widowControl w:val="0"/>
              <w:kinsoku/>
              <w:wordWrap/>
              <w:overflowPunct/>
              <w:topLinePunct w:val="0"/>
              <w:autoSpaceDN/>
              <w:bidi w:val="0"/>
              <w:adjustRightInd/>
              <w:snapToGrid/>
              <w:spacing w:line="360" w:lineRule="exact"/>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1.供应商具有有效的ISO9001质量管理体系认证证书，得2分；</w:t>
            </w:r>
          </w:p>
          <w:p w14:paraId="67D6B735">
            <w:pPr>
              <w:keepNext w:val="0"/>
              <w:keepLines w:val="0"/>
              <w:pageBreakBefore w:val="0"/>
              <w:widowControl w:val="0"/>
              <w:kinsoku/>
              <w:wordWrap/>
              <w:overflowPunct/>
              <w:topLinePunct w:val="0"/>
              <w:autoSpaceDN/>
              <w:bidi w:val="0"/>
              <w:adjustRightInd/>
              <w:snapToGrid/>
              <w:spacing w:line="360" w:lineRule="exact"/>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2.供应商具有有效的ISO14001环境管理体系认证证书，得2分；</w:t>
            </w:r>
          </w:p>
          <w:p w14:paraId="333F566E">
            <w:pPr>
              <w:keepNext w:val="0"/>
              <w:keepLines w:val="0"/>
              <w:pageBreakBefore w:val="0"/>
              <w:widowControl w:val="0"/>
              <w:kinsoku/>
              <w:wordWrap/>
              <w:overflowPunct/>
              <w:topLinePunct w:val="0"/>
              <w:autoSpaceDN/>
              <w:bidi w:val="0"/>
              <w:adjustRightInd/>
              <w:snapToGrid/>
              <w:spacing w:line="360" w:lineRule="exact"/>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3.供应商具有有效的职业健康安全管理体系认证证书，得2分；</w:t>
            </w:r>
          </w:p>
          <w:p w14:paraId="1FE37C33">
            <w:pPr>
              <w:keepNext w:val="0"/>
              <w:keepLines w:val="0"/>
              <w:pageBreakBefore w:val="0"/>
              <w:widowControl w:val="0"/>
              <w:kinsoku/>
              <w:wordWrap/>
              <w:overflowPunct/>
              <w:topLinePunct w:val="0"/>
              <w:autoSpaceDN/>
              <w:bidi w:val="0"/>
              <w:adjustRightInd/>
              <w:snapToGrid/>
              <w:spacing w:line="360" w:lineRule="exact"/>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4.供应商具有有效的ISO22000食品安全管理体系认证证书，得2分；</w:t>
            </w:r>
          </w:p>
          <w:p w14:paraId="752079E1">
            <w:pPr>
              <w:keepNext w:val="0"/>
              <w:keepLines w:val="0"/>
              <w:pageBreakBefore w:val="0"/>
              <w:widowControl w:val="0"/>
              <w:kinsoku/>
              <w:wordWrap/>
              <w:overflowPunct/>
              <w:topLinePunct w:val="0"/>
              <w:autoSpaceDN/>
              <w:bidi w:val="0"/>
              <w:adjustRightInd/>
              <w:snapToGrid/>
              <w:spacing w:line="360" w:lineRule="exact"/>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5.供应商具有有效的ISO28000供应链安全管理体系认证证书，得2分。</w:t>
            </w:r>
          </w:p>
        </w:tc>
        <w:tc>
          <w:tcPr>
            <w:tcW w:w="1921" w:type="dxa"/>
            <w:noWrap/>
            <w:tcMar>
              <w:left w:w="108" w:type="dxa"/>
              <w:right w:w="108" w:type="dxa"/>
            </w:tcMar>
            <w:vAlign w:val="center"/>
          </w:tcPr>
          <w:p w14:paraId="79F0A645">
            <w:pPr>
              <w:keepNext w:val="0"/>
              <w:keepLines w:val="0"/>
              <w:pageBreakBefore w:val="0"/>
              <w:widowControl w:val="0"/>
              <w:kinsoku/>
              <w:wordWrap/>
              <w:overflowPunct/>
              <w:topLinePunct w:val="0"/>
              <w:autoSpaceDN/>
              <w:bidi w:val="0"/>
              <w:adjustRightInd/>
              <w:snapToGrid/>
              <w:spacing w:line="360" w:lineRule="exact"/>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提供有效期内的证书复印件，加盖供应商公章。</w:t>
            </w:r>
          </w:p>
        </w:tc>
      </w:tr>
      <w:tr w14:paraId="18041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546" w:type="dxa"/>
            <w:vMerge w:val="continue"/>
            <w:noWrap/>
            <w:vAlign w:val="center"/>
          </w:tcPr>
          <w:p w14:paraId="29D432A5">
            <w:pPr>
              <w:keepNext w:val="0"/>
              <w:keepLines w:val="0"/>
              <w:pageBreakBefore w:val="0"/>
              <w:widowControl w:val="0"/>
              <w:kinsoku/>
              <w:wordWrap/>
              <w:overflowPunct/>
              <w:topLinePunct w:val="0"/>
              <w:autoSpaceDN/>
              <w:bidi w:val="0"/>
              <w:adjustRightInd/>
              <w:snapToGrid/>
              <w:spacing w:line="360" w:lineRule="exact"/>
              <w:textAlignment w:val="auto"/>
              <w:rPr>
                <w:rFonts w:ascii="方正仿宋_GBK" w:hAnsi="方正仿宋_GBK" w:eastAsia="方正仿宋_GBK" w:cs="方正仿宋_GBK"/>
                <w:color w:val="auto"/>
                <w:sz w:val="24"/>
                <w:szCs w:val="24"/>
                <w:highlight w:val="none"/>
              </w:rPr>
            </w:pPr>
          </w:p>
        </w:tc>
        <w:tc>
          <w:tcPr>
            <w:tcW w:w="999" w:type="dxa"/>
            <w:vMerge w:val="continue"/>
            <w:noWrap/>
            <w:vAlign w:val="center"/>
          </w:tcPr>
          <w:p w14:paraId="4CA7B5EA">
            <w:pPr>
              <w:keepNext w:val="0"/>
              <w:keepLines w:val="0"/>
              <w:pageBreakBefore w:val="0"/>
              <w:widowControl w:val="0"/>
              <w:kinsoku/>
              <w:wordWrap/>
              <w:overflowPunct/>
              <w:topLinePunct w:val="0"/>
              <w:autoSpaceDN/>
              <w:bidi w:val="0"/>
              <w:adjustRightInd/>
              <w:snapToGrid/>
              <w:spacing w:line="360" w:lineRule="exact"/>
              <w:textAlignment w:val="auto"/>
              <w:rPr>
                <w:rFonts w:ascii="方正仿宋_GBK" w:hAnsi="方正仿宋_GBK" w:eastAsia="方正仿宋_GBK" w:cs="方正仿宋_GBK"/>
                <w:color w:val="auto"/>
                <w:sz w:val="24"/>
                <w:szCs w:val="24"/>
                <w:highlight w:val="none"/>
              </w:rPr>
            </w:pPr>
          </w:p>
        </w:tc>
        <w:tc>
          <w:tcPr>
            <w:tcW w:w="843" w:type="dxa"/>
            <w:noWrap/>
            <w:tcMar>
              <w:left w:w="108" w:type="dxa"/>
              <w:right w:w="108" w:type="dxa"/>
            </w:tcMar>
            <w:vAlign w:val="center"/>
          </w:tcPr>
          <w:p w14:paraId="58FAA0E8">
            <w:pPr>
              <w:keepNext w:val="0"/>
              <w:keepLines w:val="0"/>
              <w:pageBreakBefore w:val="0"/>
              <w:widowControl w:val="0"/>
              <w:kinsoku/>
              <w:wordWrap/>
              <w:overflowPunct/>
              <w:topLinePunct w:val="0"/>
              <w:autoSpaceDN/>
              <w:bidi w:val="0"/>
              <w:adjustRightInd/>
              <w:snapToGrid/>
              <w:spacing w:line="360" w:lineRule="exact"/>
              <w:jc w:val="center"/>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投标人实力</w:t>
            </w:r>
          </w:p>
        </w:tc>
        <w:tc>
          <w:tcPr>
            <w:tcW w:w="646" w:type="dxa"/>
            <w:noWrap/>
            <w:tcMar>
              <w:left w:w="108" w:type="dxa"/>
              <w:right w:w="108" w:type="dxa"/>
            </w:tcMar>
            <w:vAlign w:val="center"/>
          </w:tcPr>
          <w:p w14:paraId="21FBC863">
            <w:pPr>
              <w:keepNext w:val="0"/>
              <w:keepLines w:val="0"/>
              <w:pageBreakBefore w:val="0"/>
              <w:widowControl w:val="0"/>
              <w:kinsoku/>
              <w:wordWrap/>
              <w:overflowPunct/>
              <w:topLinePunct w:val="0"/>
              <w:autoSpaceDN/>
              <w:bidi w:val="0"/>
              <w:adjustRightInd/>
              <w:snapToGrid/>
              <w:spacing w:line="360" w:lineRule="exact"/>
              <w:ind w:firstLine="28"/>
              <w:jc w:val="center"/>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w:t>
            </w:r>
          </w:p>
        </w:tc>
        <w:tc>
          <w:tcPr>
            <w:tcW w:w="5211" w:type="dxa"/>
            <w:noWrap/>
            <w:tcMar>
              <w:left w:w="108" w:type="dxa"/>
              <w:right w:w="108" w:type="dxa"/>
            </w:tcMar>
            <w:vAlign w:val="center"/>
          </w:tcPr>
          <w:p w14:paraId="78B1C652">
            <w:pPr>
              <w:spacing w:line="36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投标人具有的固定生产或经营场地：</w:t>
            </w:r>
          </w:p>
          <w:p w14:paraId="2D7D6D26">
            <w:pPr>
              <w:spacing w:line="36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150平方米-200(不含)平方米，得1分；</w:t>
            </w:r>
          </w:p>
          <w:p w14:paraId="5F168315">
            <w:pPr>
              <w:spacing w:line="36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200（含）平方米至</w:t>
            </w:r>
            <w:r>
              <w:rPr>
                <w:rFonts w:hint="eastAsia" w:ascii="方正仿宋_GBK" w:hAnsi="方正仿宋_GBK" w:eastAsia="方正仿宋_GBK" w:cs="方正仿宋_GBK"/>
                <w:color w:val="auto"/>
                <w:sz w:val="24"/>
                <w:szCs w:val="24"/>
                <w:highlight w:val="none"/>
                <w:lang w:val="en-US" w:eastAsia="zh-CN"/>
              </w:rPr>
              <w:t>5</w:t>
            </w:r>
            <w:r>
              <w:rPr>
                <w:rFonts w:hint="eastAsia" w:ascii="方正仿宋_GBK" w:hAnsi="方正仿宋_GBK" w:eastAsia="方正仿宋_GBK" w:cs="方正仿宋_GBK"/>
                <w:color w:val="auto"/>
                <w:sz w:val="24"/>
                <w:szCs w:val="24"/>
                <w:highlight w:val="none"/>
              </w:rPr>
              <w:t>00（不含）平方米，得2分；</w:t>
            </w:r>
          </w:p>
          <w:p w14:paraId="0A0E3B79">
            <w:pPr>
              <w:spacing w:line="36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5</w:t>
            </w:r>
            <w:r>
              <w:rPr>
                <w:rFonts w:hint="eastAsia" w:ascii="方正仿宋_GBK" w:hAnsi="方正仿宋_GBK" w:eastAsia="方正仿宋_GBK" w:cs="方正仿宋_GBK"/>
                <w:color w:val="auto"/>
                <w:sz w:val="24"/>
                <w:szCs w:val="24"/>
                <w:highlight w:val="none"/>
              </w:rPr>
              <w:t>00（含）平方米至</w:t>
            </w:r>
            <w:r>
              <w:rPr>
                <w:rFonts w:hint="eastAsia" w:ascii="方正仿宋_GBK" w:hAnsi="方正仿宋_GBK" w:eastAsia="方正仿宋_GBK" w:cs="方正仿宋_GBK"/>
                <w:color w:val="auto"/>
                <w:sz w:val="24"/>
                <w:szCs w:val="24"/>
                <w:highlight w:val="none"/>
                <w:lang w:val="en-US" w:eastAsia="zh-CN"/>
              </w:rPr>
              <w:t>8</w:t>
            </w:r>
            <w:r>
              <w:rPr>
                <w:rFonts w:hint="eastAsia" w:ascii="方正仿宋_GBK" w:hAnsi="方正仿宋_GBK" w:eastAsia="方正仿宋_GBK" w:cs="方正仿宋_GBK"/>
                <w:color w:val="auto"/>
                <w:sz w:val="24"/>
                <w:szCs w:val="24"/>
                <w:highlight w:val="none"/>
              </w:rPr>
              <w:t>00（不含）平米以上，得3分；</w:t>
            </w:r>
          </w:p>
          <w:p w14:paraId="051A31C3">
            <w:pPr>
              <w:spacing w:line="36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8</w:t>
            </w:r>
            <w:r>
              <w:rPr>
                <w:rFonts w:hint="eastAsia" w:ascii="方正仿宋_GBK" w:hAnsi="方正仿宋_GBK" w:eastAsia="方正仿宋_GBK" w:cs="方正仿宋_GBK"/>
                <w:color w:val="auto"/>
                <w:sz w:val="24"/>
                <w:szCs w:val="24"/>
                <w:highlight w:val="none"/>
              </w:rPr>
              <w:t>00（含）平方米至</w:t>
            </w:r>
            <w:r>
              <w:rPr>
                <w:rFonts w:hint="eastAsia" w:ascii="方正仿宋_GBK" w:hAnsi="方正仿宋_GBK" w:eastAsia="方正仿宋_GBK" w:cs="方正仿宋_GBK"/>
                <w:color w:val="auto"/>
                <w:sz w:val="24"/>
                <w:szCs w:val="24"/>
                <w:highlight w:val="none"/>
                <w:lang w:val="en-US" w:eastAsia="zh-CN"/>
              </w:rPr>
              <w:t>10</w:t>
            </w:r>
            <w:r>
              <w:rPr>
                <w:rFonts w:hint="eastAsia" w:ascii="方正仿宋_GBK" w:hAnsi="方正仿宋_GBK" w:eastAsia="方正仿宋_GBK" w:cs="方正仿宋_GBK"/>
                <w:color w:val="auto"/>
                <w:sz w:val="24"/>
                <w:szCs w:val="24"/>
                <w:highlight w:val="none"/>
              </w:rPr>
              <w:t>00（不含）平米以上，得</w:t>
            </w:r>
            <w:r>
              <w:rPr>
                <w:rFonts w:hint="eastAsia" w:ascii="方正仿宋_GBK" w:hAnsi="方正仿宋_GBK" w:eastAsia="方正仿宋_GBK" w:cs="方正仿宋_GBK"/>
                <w:color w:val="auto"/>
                <w:sz w:val="24"/>
                <w:szCs w:val="24"/>
                <w:highlight w:val="none"/>
                <w:lang w:val="en-US" w:eastAsia="zh-CN"/>
              </w:rPr>
              <w:t>4</w:t>
            </w:r>
            <w:r>
              <w:rPr>
                <w:rFonts w:hint="eastAsia" w:ascii="方正仿宋_GBK" w:hAnsi="方正仿宋_GBK" w:eastAsia="方正仿宋_GBK" w:cs="方正仿宋_GBK"/>
                <w:color w:val="auto"/>
                <w:sz w:val="24"/>
                <w:szCs w:val="24"/>
                <w:highlight w:val="none"/>
              </w:rPr>
              <w:t>分；</w:t>
            </w:r>
          </w:p>
          <w:p w14:paraId="3A0BBDB3">
            <w:pPr>
              <w:spacing w:line="36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1000（含）平方米以上得</w:t>
            </w:r>
            <w:r>
              <w:rPr>
                <w:rFonts w:hint="eastAsia" w:ascii="方正仿宋_GBK" w:hAnsi="方正仿宋_GBK" w:eastAsia="方正仿宋_GBK" w:cs="方正仿宋_GBK"/>
                <w:color w:val="auto"/>
                <w:sz w:val="24"/>
                <w:szCs w:val="24"/>
                <w:highlight w:val="none"/>
                <w:lang w:val="en-US" w:eastAsia="zh-CN"/>
              </w:rPr>
              <w:t>5</w:t>
            </w:r>
            <w:r>
              <w:rPr>
                <w:rFonts w:hint="eastAsia" w:ascii="方正仿宋_GBK" w:hAnsi="方正仿宋_GBK" w:eastAsia="方正仿宋_GBK" w:cs="方正仿宋_GBK"/>
                <w:color w:val="auto"/>
                <w:sz w:val="24"/>
                <w:szCs w:val="24"/>
                <w:highlight w:val="none"/>
              </w:rPr>
              <w:t>分。</w:t>
            </w:r>
          </w:p>
        </w:tc>
        <w:tc>
          <w:tcPr>
            <w:tcW w:w="1921" w:type="dxa"/>
            <w:noWrap/>
            <w:tcMar>
              <w:left w:w="108" w:type="dxa"/>
              <w:right w:w="108" w:type="dxa"/>
            </w:tcMar>
            <w:vAlign w:val="center"/>
          </w:tcPr>
          <w:p w14:paraId="60FEDF01">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1.提供房屋产权证明或租赁合同复印件，加盖投标人公章。其中，复印件上有使用面积数量，且产权证上的所有人或承租方须与投标人名称一致；</w:t>
            </w:r>
          </w:p>
          <w:p w14:paraId="12E82171">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2.提供门面门头或带有厂名的厂区照片，照片上记录名称须与投标投标人名称一致；</w:t>
            </w:r>
          </w:p>
          <w:p w14:paraId="0A5E6120">
            <w:pPr>
              <w:spacing w:line="36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3.以上两项要求必须同时</w:t>
            </w:r>
            <w:r>
              <w:rPr>
                <w:rFonts w:hint="eastAsia" w:ascii="方正仿宋_GBK" w:hAnsi="方正仿宋_GBK" w:eastAsia="方正仿宋_GBK" w:cs="方正仿宋_GBK"/>
                <w:color w:val="auto"/>
                <w:sz w:val="24"/>
                <w:szCs w:val="24"/>
                <w:highlight w:val="none"/>
                <w:lang w:eastAsia="zh-CN"/>
              </w:rPr>
              <w:t>提供</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eastAsia="zh-CN"/>
              </w:rPr>
              <w:t>否则</w:t>
            </w:r>
            <w:r>
              <w:rPr>
                <w:rFonts w:hint="eastAsia" w:ascii="方正仿宋_GBK" w:hAnsi="方正仿宋_GBK" w:eastAsia="方正仿宋_GBK" w:cs="方正仿宋_GBK"/>
                <w:color w:val="auto"/>
                <w:sz w:val="24"/>
                <w:szCs w:val="24"/>
                <w:highlight w:val="none"/>
              </w:rPr>
              <w:t>得0分。</w:t>
            </w:r>
          </w:p>
        </w:tc>
      </w:tr>
      <w:tr w14:paraId="629EB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546" w:type="dxa"/>
            <w:vMerge w:val="continue"/>
            <w:noWrap/>
            <w:vAlign w:val="center"/>
          </w:tcPr>
          <w:p w14:paraId="6DDEBFE5">
            <w:pPr>
              <w:keepNext w:val="0"/>
              <w:keepLines w:val="0"/>
              <w:pageBreakBefore w:val="0"/>
              <w:widowControl w:val="0"/>
              <w:kinsoku/>
              <w:wordWrap/>
              <w:overflowPunct/>
              <w:topLinePunct w:val="0"/>
              <w:autoSpaceDN/>
              <w:bidi w:val="0"/>
              <w:adjustRightInd/>
              <w:snapToGrid/>
              <w:spacing w:line="360" w:lineRule="exact"/>
              <w:textAlignment w:val="auto"/>
              <w:rPr>
                <w:rFonts w:ascii="方正仿宋_GBK" w:hAnsi="方正仿宋_GBK" w:eastAsia="方正仿宋_GBK" w:cs="方正仿宋_GBK"/>
                <w:color w:val="auto"/>
                <w:sz w:val="24"/>
                <w:szCs w:val="24"/>
                <w:highlight w:val="none"/>
              </w:rPr>
            </w:pPr>
          </w:p>
        </w:tc>
        <w:tc>
          <w:tcPr>
            <w:tcW w:w="999" w:type="dxa"/>
            <w:vMerge w:val="continue"/>
            <w:noWrap/>
            <w:vAlign w:val="center"/>
          </w:tcPr>
          <w:p w14:paraId="09D589E4">
            <w:pPr>
              <w:keepNext w:val="0"/>
              <w:keepLines w:val="0"/>
              <w:pageBreakBefore w:val="0"/>
              <w:widowControl w:val="0"/>
              <w:kinsoku/>
              <w:wordWrap/>
              <w:overflowPunct/>
              <w:topLinePunct w:val="0"/>
              <w:autoSpaceDN/>
              <w:bidi w:val="0"/>
              <w:adjustRightInd/>
              <w:snapToGrid/>
              <w:spacing w:line="360" w:lineRule="exact"/>
              <w:textAlignment w:val="auto"/>
              <w:rPr>
                <w:rFonts w:ascii="方正仿宋_GBK" w:hAnsi="方正仿宋_GBK" w:eastAsia="方正仿宋_GBK" w:cs="方正仿宋_GBK"/>
                <w:color w:val="auto"/>
                <w:sz w:val="24"/>
                <w:szCs w:val="24"/>
                <w:highlight w:val="none"/>
              </w:rPr>
            </w:pPr>
          </w:p>
        </w:tc>
        <w:tc>
          <w:tcPr>
            <w:tcW w:w="843" w:type="dxa"/>
            <w:noWrap/>
            <w:tcMar>
              <w:left w:w="108" w:type="dxa"/>
              <w:right w:w="108" w:type="dxa"/>
            </w:tcMar>
            <w:vAlign w:val="center"/>
          </w:tcPr>
          <w:p w14:paraId="60179E82">
            <w:pPr>
              <w:keepNext w:val="0"/>
              <w:keepLines w:val="0"/>
              <w:pageBreakBefore w:val="0"/>
              <w:widowControl w:val="0"/>
              <w:kinsoku/>
              <w:wordWrap/>
              <w:overflowPunct/>
              <w:topLinePunct w:val="0"/>
              <w:autoSpaceDN/>
              <w:bidi w:val="0"/>
              <w:adjustRightInd/>
              <w:snapToGrid/>
              <w:spacing w:line="360" w:lineRule="exact"/>
              <w:jc w:val="center"/>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供应商业绩</w:t>
            </w:r>
          </w:p>
        </w:tc>
        <w:tc>
          <w:tcPr>
            <w:tcW w:w="646" w:type="dxa"/>
            <w:noWrap/>
            <w:tcMar>
              <w:left w:w="108" w:type="dxa"/>
              <w:right w:w="108" w:type="dxa"/>
            </w:tcMar>
            <w:vAlign w:val="center"/>
          </w:tcPr>
          <w:p w14:paraId="0528C14A">
            <w:pPr>
              <w:keepNext w:val="0"/>
              <w:keepLines w:val="0"/>
              <w:pageBreakBefore w:val="0"/>
              <w:widowControl w:val="0"/>
              <w:kinsoku/>
              <w:wordWrap/>
              <w:overflowPunct/>
              <w:topLinePunct w:val="0"/>
              <w:autoSpaceDN/>
              <w:bidi w:val="0"/>
              <w:adjustRightInd/>
              <w:snapToGrid/>
              <w:spacing w:line="360" w:lineRule="exact"/>
              <w:ind w:firstLine="28"/>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10</w:t>
            </w:r>
          </w:p>
        </w:tc>
        <w:tc>
          <w:tcPr>
            <w:tcW w:w="5211" w:type="dxa"/>
            <w:noWrap/>
            <w:tcMar>
              <w:left w:w="108" w:type="dxa"/>
              <w:right w:w="108" w:type="dxa"/>
            </w:tcMar>
            <w:vAlign w:val="center"/>
          </w:tcPr>
          <w:p w14:paraId="078BE21E">
            <w:pPr>
              <w:keepNext w:val="0"/>
              <w:keepLines w:val="0"/>
              <w:pageBreakBefore w:val="0"/>
              <w:widowControl w:val="0"/>
              <w:kinsoku/>
              <w:wordWrap/>
              <w:overflowPunct/>
              <w:topLinePunct w:val="0"/>
              <w:autoSpaceDE w:val="0"/>
              <w:autoSpaceDN/>
              <w:bidi w:val="0"/>
              <w:adjustRightInd/>
              <w:snapToGrid/>
              <w:spacing w:line="360" w:lineRule="exact"/>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自2021年1月1日至投标截止时间止（以合同签订时间为准），与学校或机关事业单位签订的食堂食材供货合同或协议（含正在履行或已经履行完结的）为依据评价业绩，食材供货合同或协议应包括所投分包标的物。每提供1份，得1分，最高得10分。不提供合同、协议，或提供的合同、协议仅为学校或单位食堂的一个档口，或提供的合同、协议未包括所投分包标的物的，得0分。</w:t>
            </w:r>
          </w:p>
          <w:p w14:paraId="1C6E4F26">
            <w:pPr>
              <w:keepNext w:val="0"/>
              <w:keepLines w:val="0"/>
              <w:pageBreakBefore w:val="0"/>
              <w:widowControl w:val="0"/>
              <w:kinsoku/>
              <w:wordWrap/>
              <w:overflowPunct/>
              <w:topLinePunct w:val="0"/>
              <w:autoSpaceDE w:val="0"/>
              <w:autoSpaceDN/>
              <w:bidi w:val="0"/>
              <w:adjustRightInd/>
              <w:snapToGrid/>
              <w:spacing w:line="360" w:lineRule="exact"/>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注：同一个食堂多份合同视为一个业绩，且一个业绩不重复得分。</w:t>
            </w:r>
          </w:p>
        </w:tc>
        <w:tc>
          <w:tcPr>
            <w:tcW w:w="1921" w:type="dxa"/>
            <w:noWrap/>
            <w:tcMar>
              <w:left w:w="108" w:type="dxa"/>
              <w:right w:w="108" w:type="dxa"/>
            </w:tcMar>
            <w:vAlign w:val="center"/>
          </w:tcPr>
          <w:p w14:paraId="4EDF2BC3">
            <w:pPr>
              <w:keepNext w:val="0"/>
              <w:keepLines w:val="0"/>
              <w:pageBreakBefore w:val="0"/>
              <w:widowControl w:val="0"/>
              <w:kinsoku/>
              <w:wordWrap/>
              <w:overflowPunct/>
              <w:topLinePunct w:val="0"/>
              <w:autoSpaceDE w:val="0"/>
              <w:autoSpaceDN/>
              <w:bidi w:val="0"/>
              <w:adjustRightInd/>
              <w:snapToGrid/>
              <w:spacing w:line="360" w:lineRule="exact"/>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提供合同复印件并加盖供应商公章。</w:t>
            </w:r>
          </w:p>
        </w:tc>
      </w:tr>
      <w:tr w14:paraId="62643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546" w:type="dxa"/>
            <w:vMerge w:val="continue"/>
            <w:noWrap/>
            <w:vAlign w:val="center"/>
          </w:tcPr>
          <w:p w14:paraId="7D2750F9">
            <w:pPr>
              <w:keepNext w:val="0"/>
              <w:keepLines w:val="0"/>
              <w:pageBreakBefore w:val="0"/>
              <w:widowControl w:val="0"/>
              <w:kinsoku/>
              <w:wordWrap/>
              <w:overflowPunct/>
              <w:topLinePunct w:val="0"/>
              <w:autoSpaceDN/>
              <w:bidi w:val="0"/>
              <w:adjustRightInd/>
              <w:snapToGrid/>
              <w:spacing w:line="360" w:lineRule="exact"/>
              <w:textAlignment w:val="auto"/>
              <w:rPr>
                <w:rFonts w:ascii="方正仿宋_GBK" w:hAnsi="方正仿宋_GBK" w:eastAsia="方正仿宋_GBK" w:cs="方正仿宋_GBK"/>
                <w:color w:val="auto"/>
                <w:sz w:val="24"/>
                <w:szCs w:val="24"/>
                <w:highlight w:val="none"/>
              </w:rPr>
            </w:pPr>
          </w:p>
        </w:tc>
        <w:tc>
          <w:tcPr>
            <w:tcW w:w="999" w:type="dxa"/>
            <w:vMerge w:val="continue"/>
            <w:noWrap/>
            <w:vAlign w:val="center"/>
          </w:tcPr>
          <w:p w14:paraId="685A69B9">
            <w:pPr>
              <w:keepNext w:val="0"/>
              <w:keepLines w:val="0"/>
              <w:pageBreakBefore w:val="0"/>
              <w:widowControl w:val="0"/>
              <w:kinsoku/>
              <w:wordWrap/>
              <w:overflowPunct/>
              <w:topLinePunct w:val="0"/>
              <w:autoSpaceDN/>
              <w:bidi w:val="0"/>
              <w:adjustRightInd/>
              <w:snapToGrid/>
              <w:spacing w:line="360" w:lineRule="exact"/>
              <w:textAlignment w:val="auto"/>
              <w:rPr>
                <w:rFonts w:ascii="方正仿宋_GBK" w:hAnsi="方正仿宋_GBK" w:eastAsia="方正仿宋_GBK" w:cs="方正仿宋_GBK"/>
                <w:color w:val="auto"/>
                <w:sz w:val="24"/>
                <w:szCs w:val="24"/>
                <w:highlight w:val="none"/>
              </w:rPr>
            </w:pPr>
          </w:p>
        </w:tc>
        <w:tc>
          <w:tcPr>
            <w:tcW w:w="843" w:type="dxa"/>
            <w:noWrap/>
            <w:tcMar>
              <w:left w:w="108" w:type="dxa"/>
              <w:right w:w="108" w:type="dxa"/>
            </w:tcMar>
            <w:vAlign w:val="center"/>
          </w:tcPr>
          <w:p w14:paraId="6F96D56A">
            <w:pPr>
              <w:keepNext w:val="0"/>
              <w:keepLines w:val="0"/>
              <w:pageBreakBefore w:val="0"/>
              <w:widowControl w:val="0"/>
              <w:kinsoku/>
              <w:wordWrap/>
              <w:overflowPunct/>
              <w:topLinePunct w:val="0"/>
              <w:autoSpaceDN/>
              <w:bidi w:val="0"/>
              <w:adjustRightInd/>
              <w:snapToGrid/>
              <w:spacing w:line="360" w:lineRule="exact"/>
              <w:jc w:val="center"/>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满意度评价</w:t>
            </w:r>
          </w:p>
        </w:tc>
        <w:tc>
          <w:tcPr>
            <w:tcW w:w="646" w:type="dxa"/>
            <w:noWrap/>
            <w:tcMar>
              <w:left w:w="108" w:type="dxa"/>
              <w:right w:w="108" w:type="dxa"/>
            </w:tcMar>
            <w:vAlign w:val="center"/>
          </w:tcPr>
          <w:p w14:paraId="08864357">
            <w:pPr>
              <w:keepNext w:val="0"/>
              <w:keepLines w:val="0"/>
              <w:pageBreakBefore w:val="0"/>
              <w:widowControl w:val="0"/>
              <w:kinsoku/>
              <w:wordWrap/>
              <w:overflowPunct/>
              <w:topLinePunct w:val="0"/>
              <w:autoSpaceDN/>
              <w:bidi w:val="0"/>
              <w:adjustRightInd/>
              <w:snapToGrid/>
              <w:spacing w:line="360" w:lineRule="exact"/>
              <w:ind w:firstLine="28"/>
              <w:jc w:val="center"/>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w:t>
            </w:r>
          </w:p>
        </w:tc>
        <w:tc>
          <w:tcPr>
            <w:tcW w:w="5211" w:type="dxa"/>
            <w:noWrap/>
            <w:tcMar>
              <w:left w:w="108" w:type="dxa"/>
              <w:right w:w="108" w:type="dxa"/>
            </w:tcMar>
            <w:vAlign w:val="center"/>
          </w:tcPr>
          <w:p w14:paraId="21D20F96">
            <w:pPr>
              <w:keepNext w:val="0"/>
              <w:keepLines w:val="0"/>
              <w:pageBreakBefore w:val="0"/>
              <w:widowControl w:val="0"/>
              <w:kinsoku/>
              <w:wordWrap/>
              <w:overflowPunct/>
              <w:topLinePunct w:val="0"/>
              <w:autoSpaceDE w:val="0"/>
              <w:autoSpaceDN/>
              <w:bidi w:val="0"/>
              <w:adjustRightInd/>
              <w:snapToGrid/>
              <w:spacing w:line="360" w:lineRule="exact"/>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供应商自2021年1月1日至投标截止日期用户评价，优良或满意的肯定性评价证明，有一个得1分，没有得0分，本项最多得5分。</w:t>
            </w:r>
          </w:p>
          <w:p w14:paraId="12ACC310">
            <w:pPr>
              <w:keepNext w:val="0"/>
              <w:keepLines w:val="0"/>
              <w:pageBreakBefore w:val="0"/>
              <w:widowControl w:val="0"/>
              <w:kinsoku/>
              <w:wordWrap/>
              <w:overflowPunct/>
              <w:topLinePunct w:val="0"/>
              <w:autoSpaceDE w:val="0"/>
              <w:autoSpaceDN/>
              <w:bidi w:val="0"/>
              <w:adjustRightInd/>
              <w:snapToGrid/>
              <w:spacing w:line="360" w:lineRule="exact"/>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注：同一甲方不重复计分</w:t>
            </w:r>
          </w:p>
        </w:tc>
        <w:tc>
          <w:tcPr>
            <w:tcW w:w="1921" w:type="dxa"/>
            <w:noWrap/>
            <w:tcMar>
              <w:left w:w="108" w:type="dxa"/>
              <w:right w:w="108" w:type="dxa"/>
            </w:tcMar>
            <w:vAlign w:val="center"/>
          </w:tcPr>
          <w:p w14:paraId="08C400ED">
            <w:pPr>
              <w:keepNext w:val="0"/>
              <w:keepLines w:val="0"/>
              <w:pageBreakBefore w:val="0"/>
              <w:widowControl w:val="0"/>
              <w:kinsoku/>
              <w:wordWrap/>
              <w:overflowPunct/>
              <w:topLinePunct w:val="0"/>
              <w:autoSpaceDE w:val="0"/>
              <w:autoSpaceDN/>
              <w:bidi w:val="0"/>
              <w:adjustRightInd/>
              <w:snapToGrid/>
              <w:spacing w:line="360" w:lineRule="exact"/>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提供相关信息清晰的合同复印件及加盖合同甲方公章的评价证明文件（格式自拟），提供不齐全的不得分。</w:t>
            </w:r>
          </w:p>
        </w:tc>
      </w:tr>
    </w:tbl>
    <w:p w14:paraId="240902C4">
      <w:pPr>
        <w:snapToGrid w:val="0"/>
        <w:spacing w:line="276" w:lineRule="auto"/>
        <w:ind w:firstLine="480" w:firstLineChars="200"/>
        <w:rPr>
          <w:rFonts w:ascii="方正仿宋_GBK" w:eastAsia="方正仿宋_GBK"/>
          <w:color w:val="auto"/>
          <w:sz w:val="24"/>
          <w:szCs w:val="24"/>
        </w:rPr>
      </w:pPr>
      <w:r>
        <w:rPr>
          <w:rFonts w:hint="eastAsia" w:ascii="方正仿宋_GBK" w:hAnsi="宋体" w:eastAsia="方正仿宋_GBK"/>
          <w:color w:val="auto"/>
          <w:sz w:val="24"/>
          <w:szCs w:val="24"/>
        </w:rPr>
        <w:t>说明：评标委员会认为供应商的报价明显低于其他通过符合性审查供应商的报价，有可能影响产品质量或者不能诚信履约的，应当要求其在评标现场合理的时间内</w:t>
      </w:r>
      <w:r>
        <w:rPr>
          <w:rFonts w:hint="eastAsia" w:ascii="方正仿宋_GBK" w:hAnsi="宋体" w:eastAsia="方正仿宋_GBK"/>
          <w:b/>
          <w:bCs/>
          <w:color w:val="auto"/>
          <w:sz w:val="24"/>
          <w:szCs w:val="24"/>
        </w:rPr>
        <w:t>提供书面说明以及成本测算依据，必要时还需提交相关证明材料；</w:t>
      </w:r>
      <w:r>
        <w:rPr>
          <w:rFonts w:hint="eastAsia" w:ascii="方正仿宋_GBK" w:hAnsi="宋体" w:eastAsia="方正仿宋_GBK"/>
          <w:color w:val="auto"/>
          <w:sz w:val="24"/>
          <w:szCs w:val="24"/>
        </w:rPr>
        <w:t>供应商不能证明其报价合理性的，评标委员会应当将其作为无效投标处理。</w:t>
      </w:r>
    </w:p>
    <w:p w14:paraId="131A0E70">
      <w:pPr>
        <w:pStyle w:val="5"/>
        <w:spacing w:line="276" w:lineRule="auto"/>
        <w:ind w:firstLine="482" w:firstLineChars="200"/>
        <w:rPr>
          <w:rFonts w:ascii="方正仿宋_GBK" w:eastAsia="方正仿宋_GBK"/>
          <w:b/>
          <w:color w:val="auto"/>
          <w:sz w:val="24"/>
          <w:szCs w:val="24"/>
        </w:rPr>
      </w:pPr>
      <w:bookmarkStart w:id="127" w:name="_Toc115877709"/>
      <w:bookmarkStart w:id="128" w:name="_Toc129178885"/>
      <w:bookmarkStart w:id="129" w:name="_Toc29883"/>
      <w:bookmarkStart w:id="130" w:name="_Toc59621303"/>
      <w:bookmarkStart w:id="131" w:name="_Toc16239"/>
      <w:r>
        <w:rPr>
          <w:rFonts w:hint="eastAsia" w:ascii="方正仿宋_GBK" w:eastAsia="方正仿宋_GBK"/>
          <w:b/>
          <w:color w:val="auto"/>
          <w:sz w:val="24"/>
          <w:szCs w:val="24"/>
        </w:rPr>
        <w:t>五、无效投标条款</w:t>
      </w:r>
      <w:bookmarkEnd w:id="127"/>
      <w:bookmarkEnd w:id="128"/>
      <w:bookmarkEnd w:id="129"/>
      <w:bookmarkEnd w:id="130"/>
      <w:bookmarkEnd w:id="131"/>
    </w:p>
    <w:p w14:paraId="10A24D81">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供应商或其投标文件出现下列情况之一者，应为无效投标：</w:t>
      </w:r>
    </w:p>
    <w:p w14:paraId="28E379FA">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（一）未按照招标文件的规定提交投标保证金的；</w:t>
      </w:r>
    </w:p>
    <w:p w14:paraId="720FECA2">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（二）投标文件未按招标文件要求签署、盖章的；</w:t>
      </w:r>
    </w:p>
    <w:p w14:paraId="34E5E002">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（三）不具备招标文件中规定的资格要求的；</w:t>
      </w:r>
    </w:p>
    <w:p w14:paraId="608F11A1">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（四）报价超过招标文件中规定的最高限价、单价最高限价（折扣系数）的；</w:t>
      </w:r>
    </w:p>
    <w:p w14:paraId="79661CAB">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（五）投标文件含有采购人不能接受的附加条件的；</w:t>
      </w:r>
    </w:p>
    <w:p w14:paraId="6BF17EB9">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（六）供应商串通投标的；</w:t>
      </w:r>
    </w:p>
    <w:p w14:paraId="5832B650">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（七）供应商以联合体形式参与投标的；</w:t>
      </w:r>
    </w:p>
    <w:p w14:paraId="0217EFD4">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（八）法律、法规和招标文件规定的其他无效情形。</w:t>
      </w:r>
    </w:p>
    <w:p w14:paraId="20FE8640">
      <w:pPr>
        <w:pStyle w:val="5"/>
        <w:spacing w:line="276" w:lineRule="auto"/>
        <w:ind w:firstLine="482" w:firstLineChars="200"/>
        <w:rPr>
          <w:rFonts w:ascii="方正仿宋_GBK" w:eastAsia="方正仿宋_GBK"/>
          <w:b/>
          <w:color w:val="auto"/>
          <w:sz w:val="24"/>
          <w:szCs w:val="24"/>
        </w:rPr>
      </w:pPr>
      <w:bookmarkStart w:id="132" w:name="_Toc59621304"/>
      <w:bookmarkStart w:id="133" w:name="_Toc8586"/>
      <w:bookmarkStart w:id="134" w:name="_Toc115877710"/>
      <w:bookmarkStart w:id="135" w:name="_Toc129178886"/>
      <w:bookmarkStart w:id="136" w:name="_Toc15473"/>
      <w:r>
        <w:rPr>
          <w:rFonts w:hint="eastAsia" w:ascii="方正仿宋_GBK" w:eastAsia="方正仿宋_GBK"/>
          <w:b/>
          <w:color w:val="auto"/>
          <w:sz w:val="24"/>
          <w:szCs w:val="24"/>
        </w:rPr>
        <w:t>六、废标条款</w:t>
      </w:r>
      <w:bookmarkEnd w:id="132"/>
      <w:bookmarkEnd w:id="133"/>
      <w:bookmarkEnd w:id="134"/>
      <w:bookmarkEnd w:id="135"/>
      <w:bookmarkEnd w:id="136"/>
    </w:p>
    <w:p w14:paraId="2804D2E3">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在招标采购中，出现下列情形之一的，应予废标：</w:t>
      </w:r>
    </w:p>
    <w:p w14:paraId="75A1F8D0">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（一）符合专业条件的供应商或者对招标文件作实质响应的供应商不足三家的；</w:t>
      </w:r>
    </w:p>
    <w:p w14:paraId="7CC934D4">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（二）供应商的报价均超过了采购预算（或限价），采购人不能支付的；</w:t>
      </w:r>
    </w:p>
    <w:p w14:paraId="012CB198">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（三）出现影响采购公正的违法、违规行为的；</w:t>
      </w:r>
    </w:p>
    <w:p w14:paraId="27ABAEF1">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（四）因重大变故，采购任务取消的。</w:t>
      </w:r>
    </w:p>
    <w:p w14:paraId="528D472B">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废标后，除采购任务取消情形外，应当重新组织采购。</w:t>
      </w:r>
    </w:p>
    <w:p w14:paraId="46448607">
      <w:pPr>
        <w:pStyle w:val="4"/>
        <w:spacing w:beforeLines="0" w:afterLines="0" w:line="276" w:lineRule="auto"/>
        <w:rPr>
          <w:rFonts w:ascii="方正仿宋_GBK" w:hAnsi="宋体" w:eastAsia="方正仿宋_GBK"/>
          <w:b/>
          <w:color w:val="auto"/>
          <w:szCs w:val="44"/>
        </w:rPr>
      </w:pPr>
      <w:r>
        <w:rPr>
          <w:rFonts w:hint="eastAsia" w:ascii="方正仿宋_GBK" w:hAnsi="宋体" w:eastAsia="方正仿宋_GBK"/>
          <w:color w:val="auto"/>
          <w:sz w:val="24"/>
          <w:szCs w:val="24"/>
        </w:rPr>
        <w:br w:type="page"/>
      </w:r>
      <w:bookmarkStart w:id="137" w:name="_Toc129178887"/>
      <w:bookmarkStart w:id="138" w:name="_Toc23670"/>
      <w:bookmarkStart w:id="139" w:name="_Toc115877711"/>
      <w:bookmarkStart w:id="140" w:name="_Toc3519"/>
      <w:r>
        <w:rPr>
          <w:rFonts w:hint="eastAsia" w:ascii="方正仿宋_GBK" w:hAnsi="宋体" w:eastAsia="方正仿宋_GBK"/>
          <w:b/>
          <w:color w:val="auto"/>
          <w:szCs w:val="44"/>
        </w:rPr>
        <w:t>第五篇  供应商须知</w:t>
      </w:r>
      <w:bookmarkEnd w:id="137"/>
      <w:bookmarkEnd w:id="138"/>
      <w:bookmarkEnd w:id="139"/>
      <w:bookmarkEnd w:id="140"/>
    </w:p>
    <w:p w14:paraId="4F315D64">
      <w:pPr>
        <w:pStyle w:val="5"/>
        <w:spacing w:line="276" w:lineRule="auto"/>
        <w:ind w:firstLine="482" w:firstLineChars="200"/>
        <w:rPr>
          <w:rFonts w:ascii="方正仿宋_GBK" w:eastAsia="方正仿宋_GBK"/>
          <w:b/>
          <w:color w:val="auto"/>
          <w:sz w:val="24"/>
          <w:szCs w:val="24"/>
        </w:rPr>
      </w:pPr>
      <w:bookmarkStart w:id="141" w:name="_Toc19675"/>
      <w:bookmarkStart w:id="142" w:name="_Toc115877712"/>
      <w:bookmarkStart w:id="143" w:name="_Toc129178888"/>
      <w:bookmarkStart w:id="144" w:name="_Toc23046"/>
      <w:r>
        <w:rPr>
          <w:rFonts w:hint="eastAsia" w:ascii="方正仿宋_GBK" w:eastAsia="方正仿宋_GBK"/>
          <w:b/>
          <w:color w:val="auto"/>
          <w:sz w:val="24"/>
          <w:szCs w:val="24"/>
        </w:rPr>
        <w:t>一、供应商</w:t>
      </w:r>
      <w:bookmarkEnd w:id="141"/>
      <w:bookmarkEnd w:id="142"/>
      <w:bookmarkEnd w:id="143"/>
      <w:bookmarkEnd w:id="144"/>
    </w:p>
    <w:p w14:paraId="246C6423">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（一）供应商</w:t>
      </w:r>
    </w:p>
    <w:p w14:paraId="02E238C7">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供应商是指响应招标、参加投标竞争的法人、其他组织或者自然人。</w:t>
      </w:r>
    </w:p>
    <w:p w14:paraId="6E91ACD8">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（二）合格供应商条件</w:t>
      </w:r>
    </w:p>
    <w:p w14:paraId="01180037">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合格供应商应完全符合招标文件第一篇中规定的供应商资格条件，并对招标文件作出实质性响应。</w:t>
      </w:r>
    </w:p>
    <w:p w14:paraId="7E90AB16">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（三）供应商的风险</w:t>
      </w:r>
    </w:p>
    <w:p w14:paraId="2DBB2CBC">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供应商没有按照招标文件要求提供全部资料，或者供应商没有对招标文件在各方面作出实质性响应，可能导致投标被拒绝或评定为无效投标。</w:t>
      </w:r>
    </w:p>
    <w:p w14:paraId="6E1EA8F3">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（四）法律责任</w:t>
      </w:r>
    </w:p>
    <w:p w14:paraId="75820B86">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供应商违反《中华人民共和国政府采购法》、《中华人民共和国政府采购实施条例》等相关规定，将按规定追究供应商法律责任。</w:t>
      </w:r>
    </w:p>
    <w:p w14:paraId="3A29D700">
      <w:pPr>
        <w:pStyle w:val="5"/>
        <w:spacing w:line="276" w:lineRule="auto"/>
        <w:ind w:firstLine="482" w:firstLineChars="200"/>
        <w:rPr>
          <w:rFonts w:ascii="方正仿宋_GBK" w:eastAsia="方正仿宋_GBK"/>
          <w:b/>
          <w:color w:val="auto"/>
          <w:sz w:val="24"/>
          <w:szCs w:val="24"/>
        </w:rPr>
      </w:pPr>
      <w:bookmarkStart w:id="145" w:name="_Toc115877713"/>
      <w:bookmarkStart w:id="146" w:name="_Toc10400"/>
      <w:bookmarkStart w:id="147" w:name="_Toc129178889"/>
      <w:bookmarkStart w:id="148" w:name="_Toc10505"/>
      <w:r>
        <w:rPr>
          <w:rFonts w:hint="eastAsia" w:ascii="方正仿宋_GBK" w:eastAsia="方正仿宋_GBK"/>
          <w:b/>
          <w:color w:val="auto"/>
          <w:sz w:val="24"/>
          <w:szCs w:val="24"/>
        </w:rPr>
        <w:t>二、招标文件</w:t>
      </w:r>
      <w:bookmarkEnd w:id="145"/>
      <w:bookmarkEnd w:id="146"/>
      <w:bookmarkEnd w:id="147"/>
      <w:bookmarkEnd w:id="148"/>
    </w:p>
    <w:p w14:paraId="3D5016A1">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招标文件是供应商编制投标文件的依据，是评标委员会评判依据和标准。招标文件也是采购人与中标人签订合同的基础。</w:t>
      </w:r>
    </w:p>
    <w:p w14:paraId="51EE7B55">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（一）招标文件由投标邀请书；项目技术规格、数量及质量要求；商务条款；供应商须知；评标方法、评标标准、无效投标条款和废标条款；合同主要条款、合同范本；投标文件格式等七部分组成。</w:t>
      </w:r>
    </w:p>
    <w:p w14:paraId="4B150A62">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（二）采购代理机构对招标文件所作的一切有效的书面通知、修改及补充，都是招标文件不可分割的部分。</w:t>
      </w:r>
    </w:p>
    <w:p w14:paraId="707C7EE0">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本项目的招标文件、澄清文件（如果有）一律在行采家https://www.gec123.com/）和重庆工商大学招投标信息网（https://zbcg.ctbu.edu.cn/）上发布，请各供应商注意下载；无论供应商下载与否，均视同供应商已知晓本项目招标文件、澄清文件的内容。</w:t>
      </w:r>
    </w:p>
    <w:p w14:paraId="3D4B0779">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（四）采购代理机构对已发出的招标文件需要进行澄清或修改的，应以书面形式或公告形式通知所有招标文件收受人。该澄清或者修改的内容为招标文件的组成部分。</w:t>
      </w:r>
    </w:p>
    <w:p w14:paraId="707F9DDB">
      <w:pPr>
        <w:pStyle w:val="5"/>
        <w:spacing w:line="276" w:lineRule="auto"/>
        <w:ind w:firstLine="482" w:firstLineChars="200"/>
        <w:rPr>
          <w:rFonts w:ascii="方正仿宋_GBK" w:eastAsia="方正仿宋_GBK"/>
          <w:b/>
          <w:color w:val="auto"/>
          <w:sz w:val="24"/>
          <w:szCs w:val="24"/>
        </w:rPr>
      </w:pPr>
      <w:bookmarkStart w:id="149" w:name="_Toc129178890"/>
      <w:bookmarkStart w:id="150" w:name="_Toc7461"/>
      <w:bookmarkStart w:id="151" w:name="_Toc115877714"/>
      <w:bookmarkStart w:id="152" w:name="_Toc806"/>
      <w:r>
        <w:rPr>
          <w:rFonts w:hint="eastAsia" w:ascii="方正仿宋_GBK" w:eastAsia="方正仿宋_GBK"/>
          <w:b/>
          <w:color w:val="auto"/>
          <w:sz w:val="24"/>
          <w:szCs w:val="24"/>
        </w:rPr>
        <w:t>三、投标文件</w:t>
      </w:r>
      <w:bookmarkEnd w:id="149"/>
      <w:bookmarkEnd w:id="150"/>
      <w:bookmarkEnd w:id="151"/>
      <w:bookmarkEnd w:id="152"/>
    </w:p>
    <w:p w14:paraId="3C05DA35">
      <w:pPr>
        <w:pStyle w:val="11"/>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供应商应当按照招标文件的要求编制投标文件，并对招标文件提出的要求和条件作出实质性响应，投标文件原则上采用软面订本，同时应编制完整的页码、目录。</w:t>
      </w:r>
    </w:p>
    <w:p w14:paraId="0F683AC9">
      <w:pPr>
        <w:pStyle w:val="11"/>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（一）投标文件组成</w:t>
      </w:r>
    </w:p>
    <w:p w14:paraId="71B3B604">
      <w:pPr>
        <w:pStyle w:val="11"/>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投标文件由第七篇“投标文件格式”规定的部分和供应商所作的一切有效补充、修改和承诺等文件组成，供应商应按照第七篇“投标文件格式”规定的目录顺序组织编写和装订，否则有可能影响评委对投标文件的评审。</w:t>
      </w:r>
    </w:p>
    <w:p w14:paraId="5914B3FF">
      <w:pPr>
        <w:pStyle w:val="11"/>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（二）投标有效期</w:t>
      </w:r>
    </w:p>
    <w:p w14:paraId="56C14489">
      <w:pPr>
        <w:pStyle w:val="11"/>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投标有效期为投标截止时间起90天。</w:t>
      </w:r>
    </w:p>
    <w:p w14:paraId="171FE4FC">
      <w:pPr>
        <w:pStyle w:val="11"/>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（三）投标保证金</w:t>
      </w:r>
    </w:p>
    <w:p w14:paraId="5041162E">
      <w:pPr>
        <w:pStyle w:val="11"/>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1.供应商应在投标截止时间前，按招标文件第一篇规定交纳投标保证金。</w:t>
      </w:r>
    </w:p>
    <w:p w14:paraId="013A7BFE">
      <w:pPr>
        <w:pStyle w:val="11"/>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2.投标保证金为投标的有效约束条件。</w:t>
      </w:r>
    </w:p>
    <w:p w14:paraId="182E6629">
      <w:pPr>
        <w:pStyle w:val="11"/>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3.投标保证金的有效期限在投标有效期过后三十天继续有效。</w:t>
      </w:r>
    </w:p>
    <w:p w14:paraId="2020C8EE">
      <w:pPr>
        <w:pStyle w:val="11"/>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4.投标保证金币种应与投标报价币种相同。</w:t>
      </w:r>
    </w:p>
    <w:p w14:paraId="3B9CF955">
      <w:pPr>
        <w:pStyle w:val="11"/>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5.未中标供应商的投标保证金，在采购结果公告发布后五个工作日内按来款渠道全额无息直接退还；中标人的投标保证金，在中标人缴纳履约保证金且与采购人签订合同后五个工作日内按资金来款渠道全额无息直接退还。。</w:t>
      </w:r>
    </w:p>
    <w:p w14:paraId="1B1F6D16">
      <w:pPr>
        <w:pStyle w:val="11"/>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6.供应商有下列情形之一的，采购人或者采购代理机构可以不退还投标保证金：</w:t>
      </w:r>
    </w:p>
    <w:p w14:paraId="7CC898D1">
      <w:pPr>
        <w:pStyle w:val="11"/>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6.1供应商在投标有效期撤回投标文件的；</w:t>
      </w:r>
    </w:p>
    <w:p w14:paraId="6FCAC947">
      <w:pPr>
        <w:pStyle w:val="11"/>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6.2供应商未按规定提交履约保证金的；</w:t>
      </w:r>
    </w:p>
    <w:p w14:paraId="0FE9E3F6">
      <w:pPr>
        <w:pStyle w:val="11"/>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6.3供应商在投标过程中弄虚作假，提供虚假材料的；</w:t>
      </w:r>
    </w:p>
    <w:p w14:paraId="2D5BF76F">
      <w:pPr>
        <w:pStyle w:val="11"/>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6.4中标人无正当理由不与采购人签订合同的；</w:t>
      </w:r>
    </w:p>
    <w:p w14:paraId="108A0456">
      <w:pPr>
        <w:pStyle w:val="11"/>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6.5中标人将中标项目转让给他人或者在投标文件中未说明且未经采购人同意，将中标项目分包给他人的；</w:t>
      </w:r>
    </w:p>
    <w:p w14:paraId="32221B66">
      <w:pPr>
        <w:pStyle w:val="11"/>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6.6中标人拒绝履行合同义务的；</w:t>
      </w:r>
    </w:p>
    <w:p w14:paraId="7880BA9B">
      <w:pPr>
        <w:pStyle w:val="11"/>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6.7其他严重扰乱招投标程序的。</w:t>
      </w:r>
    </w:p>
    <w:p w14:paraId="59FD2DD7">
      <w:pPr>
        <w:pStyle w:val="11"/>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（四）投标文件的份数和签署</w:t>
      </w:r>
    </w:p>
    <w:p w14:paraId="53BD8524">
      <w:pPr>
        <w:pStyle w:val="11"/>
        <w:spacing w:line="276" w:lineRule="auto"/>
        <w:ind w:firstLine="482" w:firstLineChars="200"/>
        <w:rPr>
          <w:rFonts w:ascii="方正仿宋_GBK" w:hAnsi="宋体" w:eastAsia="方正仿宋_GBK"/>
          <w:color w:val="auto"/>
          <w:sz w:val="24"/>
          <w:szCs w:val="24"/>
        </w:rPr>
      </w:pPr>
      <w:r>
        <w:rPr>
          <w:rFonts w:hint="eastAsia" w:ascii="方正仿宋_GBK" w:hAnsi="宋体" w:eastAsia="方正仿宋_GBK"/>
          <w:b/>
          <w:bCs/>
          <w:color w:val="auto"/>
          <w:sz w:val="24"/>
          <w:szCs w:val="24"/>
        </w:rPr>
        <w:t>1.投标文件一式四份，其中正本一份，副本二份，电子文档一份（电子文档内容须为投标文件纸质正本的PDF扫描件，文件载体须为优盘）。</w:t>
      </w:r>
      <w:r>
        <w:rPr>
          <w:rFonts w:hint="eastAsia" w:ascii="方正仿宋_GBK" w:hAnsi="宋体" w:eastAsia="方正仿宋_GBK"/>
          <w:color w:val="auto"/>
          <w:sz w:val="24"/>
          <w:szCs w:val="24"/>
        </w:rPr>
        <w:t>每套纸质投标文件须在封面清楚地标明“正本”、“副本”或“电子文档”，副本应为正本的完整复印件，副本与正本不一致时以正本为准。投标文件电子文档与纸质投标文件正本不一致时，以纸质投标文件正本为准。</w:t>
      </w:r>
    </w:p>
    <w:p w14:paraId="0BDF4FC4">
      <w:pPr>
        <w:pStyle w:val="11"/>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2.在投标文件正本中，招标文件第七篇投标文件格式中规定签字、盖章的地方必须按其规定签字、盖章。</w:t>
      </w:r>
    </w:p>
    <w:p w14:paraId="1451E2C6">
      <w:pPr>
        <w:pStyle w:val="11"/>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3.若供应商对投标文件的错处作必要修改，则应在修改处加盖供应商公章或由法定代表人（或其授权代表）签字确认。</w:t>
      </w:r>
    </w:p>
    <w:p w14:paraId="058DDBC0">
      <w:pPr>
        <w:pStyle w:val="11"/>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4.电报、电话、传真形式的投标文件概不接受。</w:t>
      </w:r>
    </w:p>
    <w:p w14:paraId="0A2A33FA">
      <w:pPr>
        <w:pStyle w:val="11"/>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（五）投标报价</w:t>
      </w:r>
    </w:p>
    <w:p w14:paraId="5A8DEF92">
      <w:pPr>
        <w:pStyle w:val="11"/>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1.供应商应严格按照“投标文件格式”中“开标一览表”和“分项报价明细表”的格式填写报价。</w:t>
      </w:r>
    </w:p>
    <w:p w14:paraId="0CE10457">
      <w:pPr>
        <w:pStyle w:val="11"/>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2.供应商的报价为一次性报价，即在投标有效期内投标价格固定不变。</w:t>
      </w:r>
    </w:p>
    <w:p w14:paraId="247B0BDD">
      <w:pPr>
        <w:pStyle w:val="11"/>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3.本项目只接受一个投标报价，有选择的或有条件的报价将不予接受。</w:t>
      </w:r>
    </w:p>
    <w:p w14:paraId="445F9C51">
      <w:pPr>
        <w:pStyle w:val="11"/>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（六）修正错误</w:t>
      </w:r>
    </w:p>
    <w:p w14:paraId="053B6315">
      <w:pPr>
        <w:pStyle w:val="11"/>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若投标文件出现计算或表达上的错误，修正错误的原则如下：</w:t>
      </w:r>
    </w:p>
    <w:p w14:paraId="36D81D76">
      <w:pPr>
        <w:pStyle w:val="11"/>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1.投标文件中开标一览表（报价表）内容与投标文件中相应内容不一致的，以开标一览表（报价表）为准；</w:t>
      </w:r>
    </w:p>
    <w:p w14:paraId="5DF8A5E5">
      <w:pPr>
        <w:pStyle w:val="11"/>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2.大写金额和小写金额不一致的，以大写金额为准；</w:t>
      </w:r>
    </w:p>
    <w:p w14:paraId="4E42BF8F">
      <w:pPr>
        <w:pStyle w:val="11"/>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3.单价金额小数点或者百分比有明显错位的，以开标一览表的总价为准，并修改单价；</w:t>
      </w:r>
    </w:p>
    <w:p w14:paraId="0985077B">
      <w:pPr>
        <w:pStyle w:val="11"/>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4.总价金额与按单价汇总金额不一致的，以单价金额计算结果为准。</w:t>
      </w:r>
    </w:p>
    <w:p w14:paraId="6CD3298D">
      <w:pPr>
        <w:pStyle w:val="11"/>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评标委员会按上述修正错误的原则及方法调整或修正供应商投标报价，若同时出现两种以上不一致的，按照前款规定的顺序修正，供应商同意并签字确认后，调整后的投标报价对供应商具有约束作用。如果供应商不接受修正后的报价，则其投标将作为无效投标处理。</w:t>
      </w:r>
    </w:p>
    <w:p w14:paraId="52FFE7A7">
      <w:pPr>
        <w:pStyle w:val="11"/>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（七）投标文件的递交</w:t>
      </w:r>
    </w:p>
    <w:p w14:paraId="4AF908B3">
      <w:pPr>
        <w:pStyle w:val="11"/>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投标文件的正本、副本以及电子文档均应密封送达投标地点，应在封套上注明项目名称、供应商名称。若正本、副本以及电子文档分别进行密封的，还应在封套上注明“正本”、“副本”、“电子文档”字样。</w:t>
      </w:r>
    </w:p>
    <w:p w14:paraId="23E172BF">
      <w:pPr>
        <w:pStyle w:val="5"/>
        <w:spacing w:line="276" w:lineRule="auto"/>
        <w:ind w:firstLine="482" w:firstLineChars="200"/>
        <w:rPr>
          <w:rFonts w:ascii="方正仿宋_GBK" w:eastAsia="方正仿宋_GBK"/>
          <w:b/>
          <w:color w:val="auto"/>
          <w:sz w:val="24"/>
          <w:szCs w:val="24"/>
        </w:rPr>
      </w:pPr>
      <w:bookmarkStart w:id="153" w:name="_Toc15369"/>
      <w:bookmarkStart w:id="154" w:name="_Toc129178891"/>
      <w:bookmarkStart w:id="155" w:name="_Toc115877715"/>
      <w:bookmarkStart w:id="156" w:name="_Toc14159"/>
      <w:r>
        <w:rPr>
          <w:rFonts w:hint="eastAsia" w:ascii="方正仿宋_GBK" w:eastAsia="方正仿宋_GBK"/>
          <w:b/>
          <w:color w:val="auto"/>
          <w:sz w:val="24"/>
          <w:szCs w:val="24"/>
        </w:rPr>
        <w:t>四、开标</w:t>
      </w:r>
      <w:bookmarkEnd w:id="153"/>
      <w:bookmarkEnd w:id="154"/>
      <w:bookmarkEnd w:id="155"/>
      <w:bookmarkEnd w:id="156"/>
    </w:p>
    <w:p w14:paraId="3AFC2932">
      <w:pPr>
        <w:pStyle w:val="11"/>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（一）开标应当在招标文件中“投标邀请书”确定的时间和地点公开进行。</w:t>
      </w:r>
    </w:p>
    <w:p w14:paraId="350068B3">
      <w:pPr>
        <w:pStyle w:val="11"/>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（二）采购代理机构可视采购具体情况，延长投标截止时间和开标时间，并将变更时间书面通知所有招标文件收受人。</w:t>
      </w:r>
    </w:p>
    <w:p w14:paraId="77F59D12">
      <w:pPr>
        <w:pStyle w:val="11"/>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（三）开标由采购人或采购代理机构主持，邀请供应商和有关监督部门代表参加,有关监督部门可视情况派员现场监督。</w:t>
      </w:r>
    </w:p>
    <w:p w14:paraId="6F83A593">
      <w:pPr>
        <w:pStyle w:val="11"/>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四）开标时，由供应商或者其推选的代表检查投标文件的密封情况；经确认无误后，由采购人或者采购代理机构工作人员当众拆封，宣布供应商名称、投标价格和《开标一览表》规定的需要宣布的其他内容。供应商不足三家的，不得开标。</w:t>
      </w:r>
    </w:p>
    <w:p w14:paraId="2D689A67">
      <w:pPr>
        <w:pStyle w:val="11"/>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（五）未宣读的投标价格、价格折扣和招标文件允许提供的备选投标方案等实质性内容等，评标时不予承认。</w:t>
      </w:r>
    </w:p>
    <w:p w14:paraId="7ED01452">
      <w:pPr>
        <w:pStyle w:val="11"/>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（六）开标过程应由采购人或采购代理机构或重庆市公共资源交易中心指定专人负责记录，并存档备查。</w:t>
      </w:r>
    </w:p>
    <w:p w14:paraId="2795F22B">
      <w:pPr>
        <w:pStyle w:val="11"/>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（七）供应商未参加开标的，视同认可开标结果。</w:t>
      </w:r>
    </w:p>
    <w:p w14:paraId="112AE001">
      <w:pPr>
        <w:pStyle w:val="5"/>
        <w:spacing w:line="276" w:lineRule="auto"/>
        <w:ind w:firstLine="482" w:firstLineChars="200"/>
        <w:rPr>
          <w:rFonts w:ascii="方正仿宋_GBK" w:eastAsia="方正仿宋_GBK"/>
          <w:b/>
          <w:color w:val="auto"/>
          <w:sz w:val="24"/>
          <w:szCs w:val="24"/>
        </w:rPr>
      </w:pPr>
      <w:bookmarkStart w:id="157" w:name="_Toc28211"/>
      <w:bookmarkStart w:id="158" w:name="_Toc115877716"/>
      <w:bookmarkStart w:id="159" w:name="_Toc129178892"/>
      <w:bookmarkStart w:id="160" w:name="_Toc19332"/>
      <w:r>
        <w:rPr>
          <w:rFonts w:hint="eastAsia" w:ascii="方正仿宋_GBK" w:eastAsia="方正仿宋_GBK"/>
          <w:b/>
          <w:color w:val="auto"/>
          <w:sz w:val="24"/>
          <w:szCs w:val="24"/>
        </w:rPr>
        <w:t>五、评标</w:t>
      </w:r>
      <w:bookmarkEnd w:id="157"/>
      <w:bookmarkEnd w:id="158"/>
      <w:bookmarkEnd w:id="159"/>
      <w:bookmarkEnd w:id="160"/>
    </w:p>
    <w:p w14:paraId="5EE0E44B">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见第四篇“评标”内容。</w:t>
      </w:r>
    </w:p>
    <w:p w14:paraId="3BE01C73">
      <w:pPr>
        <w:pStyle w:val="5"/>
        <w:spacing w:line="276" w:lineRule="auto"/>
        <w:ind w:firstLine="482" w:firstLineChars="200"/>
        <w:rPr>
          <w:rFonts w:ascii="方正仿宋_GBK" w:eastAsia="方正仿宋_GBK"/>
          <w:b/>
          <w:color w:val="auto"/>
          <w:sz w:val="24"/>
          <w:szCs w:val="24"/>
        </w:rPr>
      </w:pPr>
      <w:bookmarkStart w:id="161" w:name="_Toc129178893"/>
      <w:bookmarkStart w:id="162" w:name="_Toc24228"/>
      <w:bookmarkStart w:id="163" w:name="_Toc115877717"/>
      <w:bookmarkStart w:id="164" w:name="_Toc21576"/>
      <w:r>
        <w:rPr>
          <w:rFonts w:hint="eastAsia" w:ascii="方正仿宋_GBK" w:eastAsia="方正仿宋_GBK"/>
          <w:b/>
          <w:color w:val="auto"/>
          <w:sz w:val="24"/>
          <w:szCs w:val="24"/>
        </w:rPr>
        <w:t>六、定标</w:t>
      </w:r>
      <w:bookmarkEnd w:id="161"/>
      <w:bookmarkEnd w:id="162"/>
      <w:bookmarkEnd w:id="163"/>
      <w:bookmarkEnd w:id="164"/>
    </w:p>
    <w:p w14:paraId="6D10AD26">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（一）定标原则</w:t>
      </w:r>
    </w:p>
    <w:p w14:paraId="47747B67">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采购人或其授权的评标委员会应按照评标报告中推荐的中标候选人排名顺序确定中标人。</w:t>
      </w:r>
    </w:p>
    <w:p w14:paraId="3295F9BB">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（二）定标程序</w:t>
      </w:r>
    </w:p>
    <w:p w14:paraId="705807C5">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1.采购代理机构应当在评标结束后2个工作日内将评标报告送采购人。</w:t>
      </w:r>
    </w:p>
    <w:p w14:paraId="536A9B70">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2.采购人应当自收到评标报告之日起5个工作日内按评标报告推荐的中标候选人顺序确定中标人。</w:t>
      </w:r>
    </w:p>
    <w:p w14:paraId="26818FE4">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中标候选人并列的，由采购人或者采购人委托评标委员会按照技术需求的优劣顺序排列；技术需求优劣顺序相同的，按商务条款的优劣顺序排列确定中标人。</w:t>
      </w:r>
    </w:p>
    <w:p w14:paraId="2FB10BA6">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3.采购人或者采购代理机构应当自中标人确定之日起2个工作日内，行采家（https://www.gec123.com/）和重庆工商大学招投标信息网（https://zbcg.ctbu.edu.cn/）公告中标结果。中标公告期限为1个工作日。</w:t>
      </w:r>
    </w:p>
    <w:p w14:paraId="5DC6A885">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4.中标人变更</w:t>
      </w:r>
    </w:p>
    <w:p w14:paraId="11BE3FE8">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中标人拒绝与采购人签订合同的，采购人可以按照评标报告推荐的中标候选人顺序，确定排名下一位的候选人为中标人，也可以重新开展政府采购活动。</w:t>
      </w:r>
    </w:p>
    <w:p w14:paraId="3F9E81DE">
      <w:pPr>
        <w:pStyle w:val="5"/>
        <w:spacing w:line="276" w:lineRule="auto"/>
        <w:ind w:firstLine="482" w:firstLineChars="200"/>
        <w:rPr>
          <w:rFonts w:ascii="方正仿宋_GBK" w:eastAsia="方正仿宋_GBK"/>
          <w:b/>
          <w:color w:val="auto"/>
          <w:sz w:val="24"/>
          <w:szCs w:val="24"/>
        </w:rPr>
      </w:pPr>
      <w:bookmarkStart w:id="165" w:name="_Toc7736"/>
      <w:bookmarkStart w:id="166" w:name="_Toc115877718"/>
      <w:bookmarkStart w:id="167" w:name="_Toc129178894"/>
      <w:bookmarkStart w:id="168" w:name="_Toc9091"/>
      <w:r>
        <w:rPr>
          <w:rFonts w:hint="eastAsia" w:ascii="方正仿宋_GBK" w:eastAsia="方正仿宋_GBK"/>
          <w:b/>
          <w:color w:val="auto"/>
          <w:sz w:val="24"/>
          <w:szCs w:val="24"/>
        </w:rPr>
        <w:t>七、中标</w:t>
      </w:r>
      <w:bookmarkEnd w:id="165"/>
      <w:bookmarkEnd w:id="166"/>
      <w:bookmarkEnd w:id="167"/>
      <w:bookmarkEnd w:id="168"/>
    </w:p>
    <w:p w14:paraId="3D46D140">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（一）采购人依法确定中标人后，采购代理机构将在“行采家”和“重庆工商大学招投标信息网”发布中标结果公告。</w:t>
      </w:r>
    </w:p>
    <w:p w14:paraId="147C4B09">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（二）中标结果公告发出后，采购人改变中标结果，或者中标人放弃中标，应当承担相应的法律责任。</w:t>
      </w:r>
    </w:p>
    <w:p w14:paraId="339EF6FF">
      <w:pPr>
        <w:pStyle w:val="5"/>
        <w:spacing w:line="276" w:lineRule="auto"/>
        <w:ind w:firstLine="482" w:firstLineChars="200"/>
        <w:rPr>
          <w:rFonts w:ascii="方正仿宋_GBK" w:eastAsia="方正仿宋_GBK"/>
          <w:b/>
          <w:color w:val="auto"/>
          <w:sz w:val="24"/>
          <w:szCs w:val="24"/>
        </w:rPr>
      </w:pPr>
      <w:bookmarkStart w:id="169" w:name="_Toc3115"/>
      <w:r>
        <w:rPr>
          <w:rFonts w:hint="eastAsia" w:ascii="方正仿宋_GBK" w:eastAsia="方正仿宋_GBK"/>
          <w:b/>
          <w:color w:val="auto"/>
          <w:sz w:val="24"/>
          <w:szCs w:val="24"/>
        </w:rPr>
        <w:t>八、询问、质疑和投诉</w:t>
      </w:r>
      <w:bookmarkEnd w:id="169"/>
    </w:p>
    <w:p w14:paraId="6A8B949C">
      <w:pPr>
        <w:snapToGrid w:val="0"/>
        <w:spacing w:line="276" w:lineRule="auto"/>
        <w:ind w:firstLine="480" w:firstLineChars="200"/>
        <w:rPr>
          <w:rFonts w:ascii="方正仿宋_GBK" w:hAnsi="宋体" w:eastAsia="方正仿宋_GBK" w:cs="仿宋"/>
          <w:color w:val="auto"/>
          <w:sz w:val="24"/>
          <w:szCs w:val="24"/>
        </w:rPr>
      </w:pPr>
      <w:r>
        <w:rPr>
          <w:rFonts w:hint="eastAsia" w:ascii="方正仿宋_GBK" w:hAnsi="宋体" w:eastAsia="方正仿宋_GBK" w:cs="仿宋"/>
          <w:color w:val="auto"/>
          <w:sz w:val="24"/>
          <w:szCs w:val="24"/>
        </w:rPr>
        <w:t>（一）询问</w:t>
      </w:r>
    </w:p>
    <w:p w14:paraId="0171ED7B">
      <w:pPr>
        <w:snapToGrid w:val="0"/>
        <w:spacing w:line="276" w:lineRule="auto"/>
        <w:ind w:firstLine="480" w:firstLineChars="200"/>
        <w:rPr>
          <w:rFonts w:ascii="方正仿宋_GBK" w:hAnsi="宋体" w:eastAsia="方正仿宋_GBK" w:cs="仿宋"/>
          <w:color w:val="auto"/>
          <w:sz w:val="24"/>
          <w:szCs w:val="24"/>
        </w:rPr>
      </w:pPr>
      <w:r>
        <w:rPr>
          <w:rFonts w:hint="eastAsia" w:ascii="方正仿宋_GBK" w:hAnsi="宋体" w:eastAsia="方正仿宋_GBK" w:cs="仿宋"/>
          <w:color w:val="auto"/>
          <w:sz w:val="24"/>
          <w:szCs w:val="24"/>
        </w:rPr>
        <w:t>采购人或者采购代理机构应当在3个工作日内对供应商依法提出的询问作出答复。供应商询问可以是口头或书面形式。</w:t>
      </w:r>
    </w:p>
    <w:p w14:paraId="6B5E49FD">
      <w:pPr>
        <w:snapToGrid w:val="0"/>
        <w:spacing w:line="276" w:lineRule="auto"/>
        <w:ind w:firstLine="480" w:firstLineChars="200"/>
        <w:rPr>
          <w:rFonts w:ascii="方正仿宋_GBK" w:hAnsi="宋体" w:eastAsia="方正仿宋_GBK" w:cs="仿宋"/>
          <w:color w:val="auto"/>
          <w:sz w:val="24"/>
          <w:szCs w:val="24"/>
        </w:rPr>
      </w:pPr>
      <w:r>
        <w:rPr>
          <w:rFonts w:hint="eastAsia" w:ascii="方正仿宋_GBK" w:hAnsi="宋体" w:eastAsia="方正仿宋_GBK" w:cs="仿宋"/>
          <w:color w:val="auto"/>
          <w:sz w:val="24"/>
          <w:szCs w:val="24"/>
        </w:rPr>
        <w:t>（二）质疑</w:t>
      </w:r>
    </w:p>
    <w:p w14:paraId="17D64C5E">
      <w:pPr>
        <w:snapToGrid w:val="0"/>
        <w:spacing w:line="276" w:lineRule="auto"/>
        <w:ind w:firstLine="480" w:firstLineChars="200"/>
        <w:rPr>
          <w:rFonts w:ascii="方正仿宋_GBK" w:hAnsi="宋体" w:eastAsia="方正仿宋_GBK" w:cs="仿宋"/>
          <w:color w:val="auto"/>
          <w:sz w:val="24"/>
          <w:szCs w:val="24"/>
        </w:rPr>
      </w:pPr>
      <w:r>
        <w:rPr>
          <w:rFonts w:hint="eastAsia" w:ascii="方正仿宋_GBK" w:hAnsi="宋体" w:eastAsia="方正仿宋_GBK" w:cs="仿宋"/>
          <w:color w:val="auto"/>
          <w:sz w:val="24"/>
          <w:szCs w:val="24"/>
        </w:rPr>
        <w:t>供应商认为采购文件、采购过程和中标结果使自己的权益受到伤害的，可向采购人或采购代理机构以书面形式提出质疑。</w:t>
      </w:r>
    </w:p>
    <w:p w14:paraId="749244AA">
      <w:pPr>
        <w:snapToGrid w:val="0"/>
        <w:spacing w:line="276" w:lineRule="auto"/>
        <w:ind w:firstLine="480" w:firstLineChars="200"/>
        <w:rPr>
          <w:rFonts w:ascii="方正仿宋_GBK" w:hAnsi="宋体" w:eastAsia="方正仿宋_GBK" w:cs="仿宋"/>
          <w:color w:val="auto"/>
          <w:sz w:val="24"/>
          <w:szCs w:val="24"/>
        </w:rPr>
      </w:pPr>
      <w:r>
        <w:rPr>
          <w:rFonts w:hint="eastAsia" w:ascii="方正仿宋_GBK" w:hAnsi="宋体" w:eastAsia="方正仿宋_GBK" w:cs="仿宋"/>
          <w:color w:val="auto"/>
          <w:sz w:val="24"/>
          <w:szCs w:val="24"/>
        </w:rPr>
        <w:t>提出质疑的应当是参与所质疑项目采购活动的供应商。</w:t>
      </w:r>
    </w:p>
    <w:p w14:paraId="547D6E9E">
      <w:pPr>
        <w:snapToGrid w:val="0"/>
        <w:spacing w:line="276" w:lineRule="auto"/>
        <w:ind w:firstLine="480" w:firstLineChars="200"/>
        <w:rPr>
          <w:rFonts w:ascii="方正仿宋_GBK" w:hAnsi="宋体" w:eastAsia="方正仿宋_GBK" w:cs="仿宋"/>
          <w:color w:val="auto"/>
          <w:sz w:val="24"/>
          <w:szCs w:val="24"/>
        </w:rPr>
      </w:pPr>
      <w:r>
        <w:rPr>
          <w:rFonts w:hint="eastAsia" w:ascii="方正仿宋_GBK" w:hAnsi="宋体" w:eastAsia="方正仿宋_GBK" w:cs="仿宋"/>
          <w:color w:val="auto"/>
          <w:sz w:val="24"/>
          <w:szCs w:val="24"/>
        </w:rPr>
        <w:t>1.质疑时限、内容</w:t>
      </w:r>
    </w:p>
    <w:p w14:paraId="41239294">
      <w:pPr>
        <w:snapToGrid w:val="0"/>
        <w:spacing w:line="276" w:lineRule="auto"/>
        <w:ind w:firstLine="480" w:firstLineChars="200"/>
        <w:rPr>
          <w:rFonts w:ascii="方正仿宋_GBK" w:hAnsi="宋体" w:eastAsia="方正仿宋_GBK" w:cs="仿宋"/>
          <w:color w:val="auto"/>
          <w:sz w:val="24"/>
          <w:szCs w:val="24"/>
        </w:rPr>
      </w:pPr>
      <w:r>
        <w:rPr>
          <w:rFonts w:hint="eastAsia" w:ascii="方正仿宋_GBK" w:hAnsi="宋体" w:eastAsia="方正仿宋_GBK" w:cs="仿宋"/>
          <w:color w:val="auto"/>
          <w:sz w:val="24"/>
          <w:szCs w:val="24"/>
        </w:rPr>
        <w:t>1.1供应商对招标文件提出质疑的，应在依法获取招标文件之日或者招标文件公告期限届满之日起七个工作日内提出。</w:t>
      </w:r>
    </w:p>
    <w:p w14:paraId="2490C1D4">
      <w:pPr>
        <w:snapToGrid w:val="0"/>
        <w:spacing w:line="276" w:lineRule="auto"/>
        <w:ind w:firstLine="480" w:firstLineChars="200"/>
        <w:rPr>
          <w:rFonts w:ascii="方正仿宋_GBK" w:hAnsi="宋体" w:eastAsia="方正仿宋_GBK" w:cs="仿宋"/>
          <w:color w:val="auto"/>
          <w:sz w:val="24"/>
          <w:szCs w:val="24"/>
        </w:rPr>
      </w:pPr>
      <w:r>
        <w:rPr>
          <w:rFonts w:hint="eastAsia" w:ascii="方正仿宋_GBK" w:hAnsi="宋体" w:eastAsia="方正仿宋_GBK" w:cs="仿宋"/>
          <w:color w:val="auto"/>
          <w:sz w:val="24"/>
          <w:szCs w:val="24"/>
        </w:rPr>
        <w:t>1.2 供应商对采购过程提出质疑的，应在各采购程序环节结束之日起七个工作日内提出。</w:t>
      </w:r>
    </w:p>
    <w:p w14:paraId="4F53320D">
      <w:pPr>
        <w:snapToGrid w:val="0"/>
        <w:spacing w:line="276" w:lineRule="auto"/>
        <w:ind w:firstLine="480" w:firstLineChars="200"/>
        <w:rPr>
          <w:rFonts w:ascii="方正仿宋_GBK" w:hAnsi="宋体" w:eastAsia="方正仿宋_GBK" w:cs="仿宋"/>
          <w:color w:val="auto"/>
          <w:sz w:val="24"/>
          <w:szCs w:val="24"/>
        </w:rPr>
      </w:pPr>
      <w:r>
        <w:rPr>
          <w:rFonts w:hint="eastAsia" w:ascii="方正仿宋_GBK" w:hAnsi="宋体" w:eastAsia="方正仿宋_GBK" w:cs="仿宋"/>
          <w:color w:val="auto"/>
          <w:sz w:val="24"/>
          <w:szCs w:val="24"/>
        </w:rPr>
        <w:t>1.3供应商对中标结果提出质疑的，应当在中标结果公告期限届满之日起七个工作日内提出。</w:t>
      </w:r>
    </w:p>
    <w:p w14:paraId="1E8BE79C">
      <w:pPr>
        <w:snapToGrid w:val="0"/>
        <w:spacing w:line="276" w:lineRule="auto"/>
        <w:ind w:firstLine="480" w:firstLineChars="200"/>
        <w:rPr>
          <w:rFonts w:ascii="方正仿宋_GBK" w:hAnsi="宋体" w:eastAsia="方正仿宋_GBK" w:cs="仿宋"/>
          <w:color w:val="auto"/>
          <w:sz w:val="24"/>
          <w:szCs w:val="24"/>
        </w:rPr>
      </w:pPr>
      <w:r>
        <w:rPr>
          <w:rFonts w:hint="eastAsia" w:ascii="方正仿宋_GBK" w:hAnsi="宋体" w:eastAsia="方正仿宋_GBK" w:cs="仿宋"/>
          <w:color w:val="auto"/>
          <w:sz w:val="24"/>
          <w:szCs w:val="24"/>
        </w:rPr>
        <w:t>1.4供应商提出质疑应当提交质疑函和必要的证明材料，质疑函应当包括下列内容：</w:t>
      </w:r>
    </w:p>
    <w:p w14:paraId="08CCA173">
      <w:pPr>
        <w:snapToGrid w:val="0"/>
        <w:spacing w:line="276" w:lineRule="auto"/>
        <w:ind w:firstLine="480" w:firstLineChars="200"/>
        <w:rPr>
          <w:rFonts w:ascii="方正仿宋_GBK" w:hAnsi="宋体" w:eastAsia="方正仿宋_GBK" w:cs="仿宋"/>
          <w:color w:val="auto"/>
          <w:sz w:val="24"/>
          <w:szCs w:val="24"/>
        </w:rPr>
      </w:pPr>
      <w:r>
        <w:rPr>
          <w:rFonts w:hint="eastAsia" w:ascii="方正仿宋_GBK" w:hAnsi="宋体" w:eastAsia="方正仿宋_GBK" w:cs="仿宋"/>
          <w:color w:val="auto"/>
          <w:sz w:val="24"/>
          <w:szCs w:val="24"/>
        </w:rPr>
        <w:t>1.4.1供应商的姓名或者名称、地址、邮编、联系人及联系电话；</w:t>
      </w:r>
    </w:p>
    <w:p w14:paraId="2C116D9B">
      <w:pPr>
        <w:snapToGrid w:val="0"/>
        <w:spacing w:line="276" w:lineRule="auto"/>
        <w:ind w:firstLine="480" w:firstLineChars="200"/>
        <w:rPr>
          <w:rFonts w:ascii="方正仿宋_GBK" w:hAnsi="宋体" w:eastAsia="方正仿宋_GBK" w:cs="仿宋"/>
          <w:color w:val="auto"/>
          <w:sz w:val="24"/>
          <w:szCs w:val="24"/>
        </w:rPr>
      </w:pPr>
      <w:r>
        <w:rPr>
          <w:rFonts w:hint="eastAsia" w:ascii="方正仿宋_GBK" w:hAnsi="宋体" w:eastAsia="方正仿宋_GBK" w:cs="仿宋"/>
          <w:color w:val="auto"/>
          <w:sz w:val="24"/>
          <w:szCs w:val="24"/>
        </w:rPr>
        <w:t>1.4.2质疑项目的名称、项目编号以及采购执行编号；</w:t>
      </w:r>
    </w:p>
    <w:p w14:paraId="08150EC5">
      <w:pPr>
        <w:snapToGrid w:val="0"/>
        <w:spacing w:line="276" w:lineRule="auto"/>
        <w:ind w:firstLine="480" w:firstLineChars="200"/>
        <w:rPr>
          <w:rFonts w:ascii="方正仿宋_GBK" w:hAnsi="宋体" w:eastAsia="方正仿宋_GBK" w:cs="仿宋"/>
          <w:color w:val="auto"/>
          <w:sz w:val="24"/>
          <w:szCs w:val="24"/>
        </w:rPr>
      </w:pPr>
      <w:r>
        <w:rPr>
          <w:rFonts w:hint="eastAsia" w:ascii="方正仿宋_GBK" w:hAnsi="宋体" w:eastAsia="方正仿宋_GBK" w:cs="仿宋"/>
          <w:color w:val="auto"/>
          <w:sz w:val="24"/>
          <w:szCs w:val="24"/>
        </w:rPr>
        <w:t>1.4.3具体、明确的质疑事项和与质疑事项相关的请求；</w:t>
      </w:r>
    </w:p>
    <w:p w14:paraId="6B63405A">
      <w:pPr>
        <w:snapToGrid w:val="0"/>
        <w:spacing w:line="276" w:lineRule="auto"/>
        <w:ind w:firstLine="480" w:firstLineChars="200"/>
        <w:rPr>
          <w:rFonts w:ascii="方正仿宋_GBK" w:hAnsi="宋体" w:eastAsia="方正仿宋_GBK" w:cs="仿宋"/>
          <w:color w:val="auto"/>
          <w:sz w:val="24"/>
          <w:szCs w:val="24"/>
        </w:rPr>
      </w:pPr>
      <w:r>
        <w:rPr>
          <w:rFonts w:hint="eastAsia" w:ascii="方正仿宋_GBK" w:hAnsi="宋体" w:eastAsia="方正仿宋_GBK" w:cs="仿宋"/>
          <w:color w:val="auto"/>
          <w:sz w:val="24"/>
          <w:szCs w:val="24"/>
        </w:rPr>
        <w:t>1.4.4事实依据；</w:t>
      </w:r>
    </w:p>
    <w:p w14:paraId="1517275B">
      <w:pPr>
        <w:snapToGrid w:val="0"/>
        <w:spacing w:line="276" w:lineRule="auto"/>
        <w:ind w:firstLine="480" w:firstLineChars="200"/>
        <w:rPr>
          <w:rFonts w:ascii="方正仿宋_GBK" w:hAnsi="宋体" w:eastAsia="方正仿宋_GBK" w:cs="仿宋"/>
          <w:color w:val="auto"/>
          <w:sz w:val="24"/>
          <w:szCs w:val="24"/>
        </w:rPr>
      </w:pPr>
      <w:r>
        <w:rPr>
          <w:rFonts w:hint="eastAsia" w:ascii="方正仿宋_GBK" w:hAnsi="宋体" w:eastAsia="方正仿宋_GBK" w:cs="仿宋"/>
          <w:color w:val="auto"/>
          <w:sz w:val="24"/>
          <w:szCs w:val="24"/>
        </w:rPr>
        <w:t>1.4.5必要的法律依据；</w:t>
      </w:r>
    </w:p>
    <w:p w14:paraId="320FF6DB">
      <w:pPr>
        <w:snapToGrid w:val="0"/>
        <w:spacing w:line="276" w:lineRule="auto"/>
        <w:ind w:firstLine="480" w:firstLineChars="200"/>
        <w:rPr>
          <w:rFonts w:ascii="方正仿宋_GBK" w:hAnsi="宋体" w:eastAsia="方正仿宋_GBK" w:cs="仿宋"/>
          <w:color w:val="auto"/>
          <w:sz w:val="24"/>
          <w:szCs w:val="24"/>
        </w:rPr>
      </w:pPr>
      <w:r>
        <w:rPr>
          <w:rFonts w:hint="eastAsia" w:ascii="方正仿宋_GBK" w:hAnsi="宋体" w:eastAsia="方正仿宋_GBK" w:cs="仿宋"/>
          <w:color w:val="auto"/>
          <w:sz w:val="24"/>
          <w:szCs w:val="24"/>
        </w:rPr>
        <w:t>1.4.6提出质疑的日期；</w:t>
      </w:r>
    </w:p>
    <w:p w14:paraId="1D11FEA1">
      <w:pPr>
        <w:snapToGrid w:val="0"/>
        <w:spacing w:line="276" w:lineRule="auto"/>
        <w:ind w:firstLine="480" w:firstLineChars="200"/>
        <w:rPr>
          <w:rFonts w:ascii="方正仿宋_GBK" w:hAnsi="宋体" w:eastAsia="方正仿宋_GBK" w:cs="仿宋"/>
          <w:color w:val="auto"/>
          <w:sz w:val="24"/>
          <w:szCs w:val="24"/>
        </w:rPr>
      </w:pPr>
      <w:r>
        <w:rPr>
          <w:rFonts w:hint="eastAsia" w:ascii="方正仿宋_GBK" w:hAnsi="宋体" w:eastAsia="方正仿宋_GBK" w:cs="仿宋"/>
          <w:color w:val="auto"/>
          <w:sz w:val="24"/>
          <w:szCs w:val="24"/>
        </w:rPr>
        <w:t>1.4.7营业执照（或事业单位法人证书，或个体工商户营业执照或有效的自然人身份证明）复印件；</w:t>
      </w:r>
    </w:p>
    <w:p w14:paraId="72EA4323">
      <w:pPr>
        <w:snapToGrid w:val="0"/>
        <w:spacing w:line="276" w:lineRule="auto"/>
        <w:ind w:firstLine="480" w:firstLineChars="200"/>
        <w:rPr>
          <w:rFonts w:ascii="方正仿宋_GBK" w:hAnsi="宋体" w:eastAsia="方正仿宋_GBK" w:cs="仿宋"/>
          <w:color w:val="auto"/>
          <w:sz w:val="24"/>
          <w:szCs w:val="24"/>
        </w:rPr>
      </w:pPr>
      <w:r>
        <w:rPr>
          <w:rFonts w:hint="eastAsia" w:ascii="方正仿宋_GBK" w:hAnsi="宋体" w:eastAsia="方正仿宋_GBK" w:cs="仿宋"/>
          <w:color w:val="auto"/>
          <w:sz w:val="24"/>
          <w:szCs w:val="24"/>
        </w:rPr>
        <w:t>1.4.8法定代表人授权委托书原件、法定代表人身份证复印件和其授权代表的身份证复印件（供应商为自然人的提供自然人身份证复印件）；</w:t>
      </w:r>
    </w:p>
    <w:p w14:paraId="03020824">
      <w:pPr>
        <w:snapToGrid w:val="0"/>
        <w:spacing w:line="276" w:lineRule="auto"/>
        <w:ind w:firstLine="480" w:firstLineChars="200"/>
        <w:rPr>
          <w:rFonts w:ascii="方正仿宋_GBK" w:hAnsi="宋体" w:eastAsia="方正仿宋_GBK" w:cs="仿宋"/>
          <w:color w:val="auto"/>
          <w:sz w:val="24"/>
          <w:szCs w:val="24"/>
        </w:rPr>
      </w:pPr>
      <w:r>
        <w:rPr>
          <w:rFonts w:hint="eastAsia" w:ascii="方正仿宋_GBK" w:hAnsi="宋体" w:eastAsia="方正仿宋_GBK" w:cs="仿宋"/>
          <w:color w:val="auto"/>
          <w:sz w:val="24"/>
          <w:szCs w:val="24"/>
        </w:rPr>
        <w:t>1.5供应商为自然人的，质疑函应当由本人签字；供应商为法人或者其他组织的，质疑函应当由法定代表人、主要负责人，或者其授权代表签字或者盖章，并加盖公章。</w:t>
      </w:r>
    </w:p>
    <w:p w14:paraId="53F8521E">
      <w:pPr>
        <w:snapToGrid w:val="0"/>
        <w:spacing w:line="276" w:lineRule="auto"/>
        <w:ind w:firstLine="480" w:firstLineChars="200"/>
        <w:rPr>
          <w:rFonts w:ascii="方正仿宋_GBK" w:hAnsi="宋体" w:eastAsia="方正仿宋_GBK" w:cs="仿宋"/>
          <w:color w:val="auto"/>
          <w:sz w:val="24"/>
          <w:szCs w:val="24"/>
        </w:rPr>
      </w:pPr>
      <w:r>
        <w:rPr>
          <w:rFonts w:hint="eastAsia" w:ascii="方正仿宋_GBK" w:hAnsi="宋体" w:eastAsia="方正仿宋_GBK" w:cs="仿宋"/>
          <w:color w:val="auto"/>
          <w:sz w:val="24"/>
          <w:szCs w:val="24"/>
        </w:rPr>
        <w:t>2.质疑答复</w:t>
      </w:r>
    </w:p>
    <w:p w14:paraId="51A97917">
      <w:pPr>
        <w:snapToGrid w:val="0"/>
        <w:spacing w:line="276" w:lineRule="auto"/>
        <w:ind w:firstLine="480" w:firstLineChars="200"/>
        <w:rPr>
          <w:rFonts w:ascii="方正仿宋_GBK" w:hAnsi="宋体" w:eastAsia="方正仿宋_GBK" w:cs="仿宋"/>
          <w:color w:val="auto"/>
          <w:sz w:val="24"/>
          <w:szCs w:val="24"/>
        </w:rPr>
      </w:pPr>
      <w:r>
        <w:rPr>
          <w:rFonts w:hint="eastAsia" w:ascii="方正仿宋_GBK" w:hAnsi="宋体" w:eastAsia="方正仿宋_GBK" w:cs="仿宋"/>
          <w:color w:val="auto"/>
          <w:sz w:val="24"/>
          <w:szCs w:val="24"/>
        </w:rPr>
        <w:t>采购人、采购代理机构应当在收到供应商的书面质疑后七个工作日内作出答复，并以书面形式通知质疑供应商和其他有关供应商。</w:t>
      </w:r>
    </w:p>
    <w:p w14:paraId="67500F4A">
      <w:pPr>
        <w:snapToGrid w:val="0"/>
        <w:spacing w:line="276" w:lineRule="auto"/>
        <w:ind w:firstLine="480" w:firstLineChars="200"/>
        <w:rPr>
          <w:rFonts w:ascii="方正仿宋_GBK" w:hAnsi="宋体" w:eastAsia="方正仿宋_GBK" w:cs="仿宋"/>
          <w:color w:val="auto"/>
          <w:sz w:val="24"/>
          <w:szCs w:val="24"/>
        </w:rPr>
      </w:pPr>
      <w:r>
        <w:rPr>
          <w:rFonts w:hint="eastAsia" w:ascii="方正仿宋_GBK" w:hAnsi="宋体" w:eastAsia="方正仿宋_GBK" w:cs="仿宋"/>
          <w:color w:val="auto"/>
          <w:sz w:val="24"/>
          <w:szCs w:val="24"/>
        </w:rPr>
        <w:t>3.其他</w:t>
      </w:r>
    </w:p>
    <w:p w14:paraId="154E2A35">
      <w:pPr>
        <w:snapToGrid w:val="0"/>
        <w:spacing w:line="276" w:lineRule="auto"/>
        <w:ind w:firstLine="480" w:firstLineChars="200"/>
        <w:rPr>
          <w:rFonts w:ascii="方正仿宋_GBK" w:hAnsi="宋体" w:eastAsia="方正仿宋_GBK" w:cs="仿宋"/>
          <w:color w:val="auto"/>
          <w:sz w:val="24"/>
          <w:szCs w:val="24"/>
        </w:rPr>
      </w:pPr>
      <w:r>
        <w:rPr>
          <w:rFonts w:hint="eastAsia" w:ascii="方正仿宋_GBK" w:hAnsi="宋体" w:eastAsia="方正仿宋_GBK" w:cs="仿宋"/>
          <w:color w:val="auto"/>
          <w:sz w:val="24"/>
          <w:szCs w:val="24"/>
        </w:rPr>
        <w:t>3.1供应商应按照《政府采购质疑和投诉办法》（财政部令第94号）及相关法律法规要求，在法定质疑期内一次性提出针对同一采购程序环节的质疑。</w:t>
      </w:r>
    </w:p>
    <w:p w14:paraId="148177BC">
      <w:pPr>
        <w:snapToGrid w:val="0"/>
        <w:spacing w:line="276" w:lineRule="auto"/>
        <w:ind w:firstLine="480" w:firstLineChars="200"/>
        <w:rPr>
          <w:rFonts w:ascii="方正仿宋_GBK" w:hAnsi="宋体" w:eastAsia="方正仿宋_GBK" w:cs="仿宋"/>
          <w:color w:val="auto"/>
          <w:sz w:val="24"/>
          <w:szCs w:val="24"/>
        </w:rPr>
      </w:pPr>
      <w:r>
        <w:rPr>
          <w:rFonts w:hint="eastAsia" w:ascii="方正仿宋_GBK" w:hAnsi="宋体" w:eastAsia="方正仿宋_GBK" w:cs="仿宋"/>
          <w:color w:val="auto"/>
          <w:sz w:val="24"/>
          <w:szCs w:val="24"/>
        </w:rPr>
        <w:t>3.2质疑函范本可在财政部门户网站和中国政府采购网下载。</w:t>
      </w:r>
    </w:p>
    <w:p w14:paraId="04721980">
      <w:pPr>
        <w:snapToGrid w:val="0"/>
        <w:spacing w:line="276" w:lineRule="auto"/>
        <w:ind w:firstLine="480" w:firstLineChars="200"/>
        <w:rPr>
          <w:rFonts w:ascii="方正仿宋_GBK" w:hAnsi="宋体" w:eastAsia="方正仿宋_GBK" w:cs="仿宋"/>
          <w:color w:val="auto"/>
          <w:sz w:val="24"/>
          <w:szCs w:val="24"/>
        </w:rPr>
      </w:pPr>
      <w:r>
        <w:rPr>
          <w:rFonts w:hint="eastAsia" w:ascii="方正仿宋_GBK" w:hAnsi="宋体" w:eastAsia="方正仿宋_GBK" w:cs="仿宋"/>
          <w:color w:val="auto"/>
          <w:sz w:val="24"/>
          <w:szCs w:val="24"/>
        </w:rPr>
        <w:t>4.质疑联系方式详见第一篇“联系方式”。</w:t>
      </w:r>
    </w:p>
    <w:p w14:paraId="1FEB2983">
      <w:pPr>
        <w:snapToGrid w:val="0"/>
        <w:spacing w:line="276" w:lineRule="auto"/>
        <w:ind w:firstLine="480" w:firstLineChars="200"/>
        <w:rPr>
          <w:rFonts w:ascii="方正仿宋_GBK" w:hAnsi="宋体" w:eastAsia="方正仿宋_GBK" w:cs="仿宋"/>
          <w:color w:val="auto"/>
          <w:sz w:val="24"/>
          <w:szCs w:val="24"/>
        </w:rPr>
      </w:pPr>
      <w:r>
        <w:rPr>
          <w:rFonts w:hint="eastAsia" w:ascii="方正仿宋_GBK" w:hAnsi="宋体" w:eastAsia="方正仿宋_GBK" w:cs="仿宋"/>
          <w:color w:val="auto"/>
          <w:sz w:val="24"/>
          <w:szCs w:val="24"/>
        </w:rPr>
        <w:t>（三）投诉</w:t>
      </w:r>
    </w:p>
    <w:p w14:paraId="52C75611">
      <w:pPr>
        <w:snapToGrid w:val="0"/>
        <w:spacing w:line="276" w:lineRule="auto"/>
        <w:ind w:firstLine="480" w:firstLineChars="200"/>
        <w:rPr>
          <w:rFonts w:ascii="方正仿宋_GBK" w:hAnsi="宋体" w:eastAsia="方正仿宋_GBK" w:cs="仿宋"/>
          <w:color w:val="auto"/>
          <w:sz w:val="24"/>
          <w:szCs w:val="24"/>
        </w:rPr>
      </w:pPr>
      <w:r>
        <w:rPr>
          <w:rFonts w:hint="eastAsia" w:ascii="方正仿宋_GBK" w:hAnsi="宋体" w:eastAsia="方正仿宋_GBK" w:cs="仿宋"/>
          <w:color w:val="auto"/>
          <w:sz w:val="24"/>
          <w:szCs w:val="24"/>
        </w:rPr>
        <w:t>1.供应商对采购人、采购代理机构的答复不满意，或者采购人、采购代理机构未在规定时间内作出答复的，可以在答复期满后15个工作日内按照采购人相关内控制度规定向采购人党政办公室提起投诉。</w:t>
      </w:r>
    </w:p>
    <w:p w14:paraId="2C580CE7">
      <w:pPr>
        <w:snapToGrid w:val="0"/>
        <w:spacing w:line="276" w:lineRule="auto"/>
        <w:ind w:firstLine="480" w:firstLineChars="200"/>
        <w:rPr>
          <w:rFonts w:ascii="方正仿宋_GBK" w:hAnsi="宋体" w:eastAsia="方正仿宋_GBK" w:cs="仿宋"/>
          <w:color w:val="auto"/>
          <w:sz w:val="24"/>
          <w:szCs w:val="24"/>
        </w:rPr>
      </w:pPr>
      <w:r>
        <w:rPr>
          <w:rFonts w:hint="eastAsia" w:ascii="方正仿宋_GBK" w:hAnsi="宋体" w:eastAsia="方正仿宋_GBK" w:cs="仿宋"/>
          <w:color w:val="auto"/>
          <w:sz w:val="24"/>
          <w:szCs w:val="24"/>
        </w:rPr>
        <w:t>2.供应商应按照《政府采购质疑和投诉办法》（财政部令第94号）及相关法律法规要求递交投诉书和必要的证明材料。投诉书范本可在财政部门户网站和中国政府采购网下载。</w:t>
      </w:r>
    </w:p>
    <w:p w14:paraId="18E0520C">
      <w:pPr>
        <w:snapToGrid w:val="0"/>
        <w:spacing w:line="276" w:lineRule="auto"/>
        <w:ind w:firstLine="480" w:firstLineChars="200"/>
        <w:rPr>
          <w:rFonts w:ascii="方正仿宋_GBK" w:hAnsi="宋体" w:eastAsia="方正仿宋_GBK" w:cs="仿宋"/>
          <w:color w:val="auto"/>
          <w:sz w:val="24"/>
          <w:szCs w:val="24"/>
        </w:rPr>
      </w:pPr>
      <w:r>
        <w:rPr>
          <w:rFonts w:hint="eastAsia" w:ascii="方正仿宋_GBK" w:hAnsi="宋体" w:eastAsia="方正仿宋_GBK" w:cs="仿宋"/>
          <w:color w:val="auto"/>
          <w:sz w:val="24"/>
          <w:szCs w:val="24"/>
        </w:rPr>
        <w:t>3.投诉书应当使用中文，相关当事人提供外文书证或者外国语视听资料的，应当附有中文译本，由翻译机构盖章或者翻译人员签名；相关当事人向党政办公室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038BA472">
      <w:pPr>
        <w:snapToGrid w:val="0"/>
        <w:spacing w:line="276" w:lineRule="auto"/>
        <w:ind w:firstLine="480" w:firstLineChars="200"/>
        <w:rPr>
          <w:rFonts w:ascii="方正仿宋_GBK" w:hAnsi="宋体" w:eastAsia="方正仿宋_GBK" w:cs="仿宋"/>
          <w:color w:val="auto"/>
          <w:sz w:val="24"/>
          <w:szCs w:val="24"/>
        </w:rPr>
      </w:pPr>
      <w:r>
        <w:rPr>
          <w:rFonts w:hint="eastAsia" w:ascii="方正仿宋_GBK" w:hAnsi="宋体" w:eastAsia="方正仿宋_GBK" w:cs="仿宋"/>
          <w:color w:val="auto"/>
          <w:sz w:val="24"/>
          <w:szCs w:val="24"/>
        </w:rPr>
        <w:t>4.在确定受理投诉后，党政办公室自受理投诉之日起30个工作日内（需要检验、检测、鉴定、专家评审以及需要投诉人补正材料的，所需时间不计算在投诉处理期限内）对投诉事项做出处理决定。</w:t>
      </w:r>
    </w:p>
    <w:p w14:paraId="3FA0A14B">
      <w:pPr>
        <w:pStyle w:val="5"/>
        <w:spacing w:line="276" w:lineRule="auto"/>
        <w:ind w:firstLine="482" w:firstLineChars="200"/>
        <w:rPr>
          <w:rFonts w:ascii="方正仿宋_GBK" w:eastAsia="方正仿宋_GBK"/>
          <w:b/>
          <w:color w:val="auto"/>
          <w:sz w:val="24"/>
          <w:szCs w:val="24"/>
        </w:rPr>
      </w:pPr>
      <w:bookmarkStart w:id="170" w:name="_Toc31669"/>
      <w:bookmarkStart w:id="171" w:name="_Toc129178895"/>
      <w:bookmarkStart w:id="172" w:name="_Toc115877719"/>
      <w:bookmarkStart w:id="173" w:name="_Toc22107"/>
      <w:r>
        <w:rPr>
          <w:rFonts w:hint="eastAsia" w:ascii="方正仿宋_GBK" w:eastAsia="方正仿宋_GBK"/>
          <w:b/>
          <w:color w:val="auto"/>
          <w:sz w:val="24"/>
          <w:szCs w:val="24"/>
        </w:rPr>
        <w:t>九、交易服务费</w:t>
      </w:r>
      <w:bookmarkEnd w:id="170"/>
      <w:bookmarkEnd w:id="171"/>
      <w:bookmarkEnd w:id="172"/>
      <w:bookmarkEnd w:id="173"/>
    </w:p>
    <w:p w14:paraId="7A3C4CF9">
      <w:pPr>
        <w:snapToGrid w:val="0"/>
        <w:spacing w:line="276" w:lineRule="auto"/>
        <w:ind w:firstLine="480" w:firstLineChars="200"/>
        <w:rPr>
          <w:rFonts w:hint="eastAsia" w:ascii="方正仿宋_GBK" w:hAnsi="宋体" w:eastAsia="方正仿宋_GBK" w:cs="仿宋"/>
          <w:color w:val="auto"/>
          <w:sz w:val="24"/>
          <w:szCs w:val="24"/>
          <w:lang w:eastAsia="zh-CN"/>
        </w:rPr>
      </w:pPr>
      <w:r>
        <w:rPr>
          <w:rFonts w:hint="eastAsia" w:ascii="方正仿宋_GBK" w:hAnsi="方正仿宋_GBK" w:eastAsia="方正仿宋_GBK" w:cs="方正仿宋_GBK"/>
          <w:color w:val="auto"/>
          <w:sz w:val="24"/>
          <w:lang w:val="en-US" w:eastAsia="zh-CN"/>
        </w:rPr>
        <w:t>无</w:t>
      </w:r>
    </w:p>
    <w:p w14:paraId="2ACFFDB0">
      <w:pPr>
        <w:pStyle w:val="5"/>
        <w:spacing w:line="276" w:lineRule="auto"/>
        <w:ind w:firstLine="482" w:firstLineChars="200"/>
        <w:rPr>
          <w:rFonts w:ascii="方正仿宋_GBK" w:eastAsia="方正仿宋_GBK"/>
          <w:b/>
          <w:color w:val="auto"/>
          <w:sz w:val="24"/>
          <w:szCs w:val="24"/>
        </w:rPr>
      </w:pPr>
      <w:bookmarkStart w:id="174" w:name="_Toc25022"/>
      <w:bookmarkStart w:id="175" w:name="_Toc115877720"/>
      <w:bookmarkStart w:id="176" w:name="_Toc129178896"/>
      <w:bookmarkStart w:id="177" w:name="_Toc5570"/>
      <w:r>
        <w:rPr>
          <w:rFonts w:hint="eastAsia" w:ascii="方正仿宋_GBK" w:eastAsia="方正仿宋_GBK"/>
          <w:b/>
          <w:color w:val="auto"/>
          <w:sz w:val="24"/>
          <w:szCs w:val="24"/>
        </w:rPr>
        <w:t>十、签订合同</w:t>
      </w:r>
      <w:bookmarkEnd w:id="174"/>
      <w:bookmarkEnd w:id="175"/>
      <w:bookmarkEnd w:id="176"/>
      <w:bookmarkEnd w:id="177"/>
    </w:p>
    <w:p w14:paraId="51228BC0">
      <w:pPr>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采购人应当自采购结果公告发出之日起三十日内，按照招标文件和中标人投标文件的约定，与中标人签订书面合同。所签订的合同不得对招标文件和中标人投标文件作实质性修改。其他未尽事宜由采购人和中标人在采购合同中详细约定。</w:t>
      </w:r>
    </w:p>
    <w:p w14:paraId="3BA68735">
      <w:pPr>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（二）采购人应当自政府采购合同签订之日起2个工作日内，将政府采购合同在重庆市政府采购网上公告，但政府采购合同中涉及国家秘密、商业秘密的内容除外。</w:t>
      </w:r>
    </w:p>
    <w:p w14:paraId="5DE6D2C4">
      <w:pPr>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（三）招标文件、中标人的投标文件及澄清文件等，均为签订政府采购合同的依据。</w:t>
      </w:r>
    </w:p>
    <w:p w14:paraId="58D9D937">
      <w:pPr>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（四）合同生效条款由供需双方约定，法律、行政法规规定应当办理批准、登记等手续后生效的合同，依照其规定。</w:t>
      </w:r>
    </w:p>
    <w:p w14:paraId="2D61A65B">
      <w:pPr>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（五）合同原则上应按照《重庆市政府采购合同》签订，相关单位要求适用合同通用格式版本的，应按其要求另行签订其他合同。</w:t>
      </w:r>
    </w:p>
    <w:p w14:paraId="482772E7">
      <w:pPr>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（六）采购人要求中标人提供履约保证金的，应当在招标文件中予以约定。中标人履约完毕后，采购人应按招标文件及合同的约定无息退还其履约保证金。</w:t>
      </w:r>
    </w:p>
    <w:p w14:paraId="7614895F">
      <w:pPr>
        <w:pStyle w:val="5"/>
        <w:spacing w:line="276" w:lineRule="auto"/>
        <w:ind w:firstLine="482" w:firstLineChars="200"/>
        <w:rPr>
          <w:rFonts w:ascii="方正仿宋_GBK" w:eastAsia="方正仿宋_GBK"/>
          <w:b/>
          <w:color w:val="auto"/>
          <w:sz w:val="24"/>
          <w:szCs w:val="24"/>
        </w:rPr>
      </w:pPr>
      <w:bookmarkStart w:id="178" w:name="_Toc115877721"/>
      <w:bookmarkStart w:id="179" w:name="_Toc31381"/>
      <w:bookmarkStart w:id="180" w:name="_Toc129178897"/>
      <w:bookmarkStart w:id="181" w:name="_Toc15956"/>
      <w:r>
        <w:rPr>
          <w:rFonts w:hint="eastAsia" w:ascii="方正仿宋_GBK" w:eastAsia="方正仿宋_GBK"/>
          <w:b/>
          <w:color w:val="auto"/>
          <w:sz w:val="24"/>
          <w:szCs w:val="24"/>
        </w:rPr>
        <w:t>十一、政府采购信用融资</w:t>
      </w:r>
      <w:bookmarkEnd w:id="178"/>
      <w:bookmarkEnd w:id="179"/>
      <w:bookmarkEnd w:id="180"/>
      <w:bookmarkEnd w:id="181"/>
    </w:p>
    <w:p w14:paraId="52135CC3">
      <w:pPr>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无。</w:t>
      </w:r>
    </w:p>
    <w:p w14:paraId="20130283">
      <w:pPr>
        <w:pStyle w:val="5"/>
        <w:spacing w:line="276" w:lineRule="auto"/>
        <w:ind w:firstLine="482" w:firstLineChars="200"/>
        <w:rPr>
          <w:rFonts w:ascii="方正仿宋_GBK" w:eastAsia="方正仿宋_GBK"/>
          <w:b/>
          <w:color w:val="auto"/>
          <w:sz w:val="24"/>
          <w:szCs w:val="24"/>
        </w:rPr>
      </w:pPr>
      <w:bookmarkStart w:id="182" w:name="_Toc15334"/>
      <w:bookmarkStart w:id="183" w:name="_Toc9666"/>
      <w:bookmarkStart w:id="184" w:name="_Toc115877722"/>
      <w:bookmarkStart w:id="185" w:name="_Toc129178898"/>
      <w:bookmarkStart w:id="186" w:name="_Toc534202998"/>
      <w:bookmarkStart w:id="187" w:name="_Toc3644"/>
      <w:r>
        <w:rPr>
          <w:rFonts w:hint="eastAsia" w:ascii="方正仿宋_GBK" w:eastAsia="方正仿宋_GBK"/>
          <w:b/>
          <w:color w:val="auto"/>
          <w:sz w:val="24"/>
          <w:szCs w:val="24"/>
        </w:rPr>
        <w:t>十二、其他</w:t>
      </w:r>
      <w:bookmarkEnd w:id="182"/>
      <w:bookmarkEnd w:id="183"/>
      <w:bookmarkEnd w:id="184"/>
      <w:bookmarkEnd w:id="185"/>
      <w:bookmarkEnd w:id="186"/>
      <w:bookmarkEnd w:id="187"/>
    </w:p>
    <w:p w14:paraId="75225B69">
      <w:pPr>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本招标文件未尽事宜及解释权属于重庆工商大学。</w:t>
      </w:r>
    </w:p>
    <w:p w14:paraId="0F0958B0">
      <w:pPr>
        <w:spacing w:line="276" w:lineRule="auto"/>
        <w:ind w:firstLine="480" w:firstLineChars="200"/>
        <w:rPr>
          <w:rFonts w:ascii="方正仿宋_GBK" w:hAnsi="宋体" w:eastAsia="方正仿宋_GBK"/>
          <w:color w:val="auto"/>
          <w:sz w:val="24"/>
          <w:szCs w:val="24"/>
        </w:rPr>
      </w:pPr>
    </w:p>
    <w:p w14:paraId="13188761">
      <w:pPr>
        <w:spacing w:line="276" w:lineRule="auto"/>
        <w:ind w:firstLine="480" w:firstLineChars="200"/>
        <w:rPr>
          <w:rFonts w:ascii="方正仿宋_GBK" w:hAnsi="宋体" w:eastAsia="方正仿宋_GBK"/>
          <w:color w:val="auto"/>
          <w:sz w:val="24"/>
          <w:szCs w:val="24"/>
        </w:rPr>
        <w:sectPr>
          <w:pgSz w:w="11907" w:h="16840"/>
          <w:pgMar w:top="1134" w:right="1191" w:bottom="1134" w:left="1304" w:header="964" w:footer="992" w:gutter="0"/>
          <w:pgNumType w:fmt="numberInDash"/>
          <w:cols w:space="720" w:num="1"/>
          <w:docGrid w:linePitch="312" w:charSpace="0"/>
        </w:sectPr>
      </w:pPr>
    </w:p>
    <w:p w14:paraId="047E4B6E">
      <w:pPr>
        <w:pStyle w:val="4"/>
        <w:spacing w:beforeLines="0" w:afterLines="0" w:line="276" w:lineRule="auto"/>
        <w:rPr>
          <w:rFonts w:ascii="方正仿宋_GBK" w:hAnsi="宋体" w:eastAsia="方正仿宋_GBK"/>
          <w:b/>
          <w:color w:val="auto"/>
          <w:szCs w:val="44"/>
        </w:rPr>
      </w:pPr>
      <w:bookmarkStart w:id="188" w:name="_Toc20068"/>
      <w:bookmarkStart w:id="189" w:name="_Toc129178899"/>
      <w:bookmarkStart w:id="190" w:name="_Toc115877723"/>
      <w:bookmarkStart w:id="191" w:name="_Toc72311783"/>
      <w:bookmarkStart w:id="192" w:name="_Toc2016"/>
      <w:r>
        <w:rPr>
          <w:rFonts w:hint="eastAsia" w:ascii="方正仿宋_GBK" w:hAnsi="宋体" w:eastAsia="方正仿宋_GBK"/>
          <w:b/>
          <w:color w:val="auto"/>
          <w:szCs w:val="44"/>
        </w:rPr>
        <w:t>第六篇  合同主要条款和格式合同（样本）</w:t>
      </w:r>
      <w:bookmarkEnd w:id="188"/>
      <w:bookmarkEnd w:id="189"/>
      <w:bookmarkEnd w:id="190"/>
      <w:bookmarkEnd w:id="191"/>
      <w:bookmarkEnd w:id="192"/>
    </w:p>
    <w:p w14:paraId="51A02989">
      <w:pPr>
        <w:pStyle w:val="5"/>
        <w:spacing w:line="276" w:lineRule="auto"/>
        <w:rPr>
          <w:rFonts w:ascii="方正仿宋_GBK" w:eastAsia="方正仿宋_GBK"/>
          <w:b/>
          <w:color w:val="auto"/>
          <w:sz w:val="24"/>
          <w:szCs w:val="24"/>
        </w:rPr>
      </w:pPr>
      <w:bookmarkStart w:id="193" w:name="_Toc108774403"/>
      <w:bookmarkStart w:id="194" w:name="_Toc26062"/>
      <w:bookmarkStart w:id="195" w:name="_Toc129178900"/>
      <w:bookmarkStart w:id="196" w:name="_Toc115877724"/>
      <w:bookmarkStart w:id="197" w:name="_Toc19533"/>
      <w:r>
        <w:rPr>
          <w:rFonts w:hint="eastAsia" w:ascii="方正仿宋_GBK" w:eastAsia="方正仿宋_GBK"/>
          <w:b/>
          <w:color w:val="auto"/>
          <w:sz w:val="24"/>
          <w:szCs w:val="24"/>
        </w:rPr>
        <w:t>一、采购合同（格式）</w:t>
      </w:r>
      <w:bookmarkEnd w:id="193"/>
      <w:bookmarkEnd w:id="194"/>
      <w:bookmarkEnd w:id="195"/>
      <w:bookmarkEnd w:id="196"/>
      <w:bookmarkEnd w:id="197"/>
    </w:p>
    <w:p w14:paraId="4E99C3C4">
      <w:pPr>
        <w:spacing w:line="276" w:lineRule="auto"/>
        <w:jc w:val="center"/>
        <w:rPr>
          <w:rFonts w:ascii="方正仿宋_GBK" w:hAnsi="宋体" w:eastAsia="方正仿宋_GBK"/>
          <w:b/>
          <w:color w:val="auto"/>
          <w:sz w:val="24"/>
          <w:szCs w:val="24"/>
        </w:rPr>
      </w:pPr>
      <w:r>
        <w:rPr>
          <w:rFonts w:hint="eastAsia" w:ascii="方正仿宋_GBK" w:hAnsi="宋体" w:eastAsia="方正仿宋_GBK"/>
          <w:b/>
          <w:color w:val="auto"/>
          <w:sz w:val="24"/>
          <w:szCs w:val="24"/>
        </w:rPr>
        <w:t>重庆工商大学采购合同</w:t>
      </w:r>
    </w:p>
    <w:p w14:paraId="10F7302E">
      <w:pPr>
        <w:spacing w:line="276" w:lineRule="auto"/>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（项目编号： ）</w:t>
      </w:r>
    </w:p>
    <w:p w14:paraId="72F2EED6">
      <w:pPr>
        <w:spacing w:line="276" w:lineRule="auto"/>
        <w:jc w:val="center"/>
        <w:rPr>
          <w:rFonts w:ascii="方正仿宋_GBK" w:hAnsi="宋体" w:eastAsia="方正仿宋_GBK"/>
          <w:color w:val="auto"/>
          <w:sz w:val="24"/>
          <w:szCs w:val="24"/>
        </w:rPr>
      </w:pPr>
    </w:p>
    <w:p w14:paraId="5E531EF3">
      <w:pPr>
        <w:spacing w:line="276" w:lineRule="auto"/>
        <w:rPr>
          <w:rFonts w:ascii="方正仿宋_GBK" w:hAnsi="宋体" w:eastAsia="方正仿宋_GBK"/>
          <w:color w:val="auto"/>
          <w:sz w:val="24"/>
          <w:szCs w:val="24"/>
          <w:u w:val="single"/>
        </w:rPr>
      </w:pPr>
      <w:r>
        <w:rPr>
          <w:rFonts w:hint="eastAsia" w:ascii="方正仿宋_GBK" w:hAnsi="宋体" w:eastAsia="方正仿宋_GBK"/>
          <w:color w:val="auto"/>
          <w:sz w:val="24"/>
          <w:szCs w:val="24"/>
        </w:rPr>
        <w:t>甲方 ：</w:t>
      </w:r>
      <w:r>
        <w:rPr>
          <w:rFonts w:hint="eastAsia" w:ascii="方正仿宋_GBK" w:hAnsi="宋体" w:eastAsia="方正仿宋_GBK"/>
          <w:color w:val="auto"/>
          <w:sz w:val="24"/>
          <w:szCs w:val="24"/>
          <w:u w:val="single"/>
        </w:rPr>
        <w:t xml:space="preserve">重庆工商大学 </w:t>
      </w:r>
      <w:r>
        <w:rPr>
          <w:rFonts w:hint="eastAsia" w:ascii="方正仿宋_GBK" w:hAnsi="宋体" w:eastAsia="方正仿宋_GBK"/>
          <w:color w:val="auto"/>
          <w:sz w:val="24"/>
          <w:szCs w:val="24"/>
        </w:rPr>
        <w:t xml:space="preserve">              计价单位：</w:t>
      </w:r>
      <w:r>
        <w:rPr>
          <w:rFonts w:hint="eastAsia" w:ascii="方正仿宋_GBK" w:hAnsi="宋体" w:eastAsia="方正仿宋_GBK"/>
          <w:color w:val="auto"/>
          <w:sz w:val="24"/>
          <w:szCs w:val="24"/>
          <w:u w:val="single"/>
        </w:rPr>
        <w:t xml:space="preserve">             </w:t>
      </w:r>
    </w:p>
    <w:p w14:paraId="09852AB4">
      <w:pPr>
        <w:spacing w:line="276" w:lineRule="auto"/>
        <w:rPr>
          <w:rFonts w:ascii="方正仿宋_GBK" w:hAnsi="宋体" w:eastAsia="方正仿宋_GBK"/>
          <w:color w:val="auto"/>
          <w:sz w:val="24"/>
          <w:szCs w:val="24"/>
        </w:rPr>
      </w:pPr>
      <w:r>
        <w:rPr>
          <w:rFonts w:hint="eastAsia" w:ascii="方正仿宋_GBK" w:hAnsi="宋体" w:eastAsia="方正仿宋_GBK"/>
          <w:color w:val="auto"/>
          <w:sz w:val="24"/>
          <w:szCs w:val="24"/>
        </w:rPr>
        <w:t>乙方 ：</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 xml:space="preserve">              计量单位：</w:t>
      </w:r>
      <w:r>
        <w:rPr>
          <w:rFonts w:hint="eastAsia" w:ascii="方正仿宋_GBK" w:hAnsi="宋体" w:eastAsia="方正仿宋_GBK"/>
          <w:color w:val="auto"/>
          <w:sz w:val="24"/>
          <w:szCs w:val="24"/>
          <w:u w:val="single"/>
        </w:rPr>
        <w:t xml:space="preserve">             </w:t>
      </w:r>
    </w:p>
    <w:p w14:paraId="7B68EBA4">
      <w:pPr>
        <w:spacing w:line="276" w:lineRule="auto"/>
        <w:rPr>
          <w:rFonts w:ascii="方正仿宋_GBK" w:hAnsi="宋体" w:eastAsia="方正仿宋_GBK"/>
          <w:color w:val="auto"/>
          <w:sz w:val="24"/>
          <w:szCs w:val="24"/>
        </w:rPr>
      </w:pPr>
    </w:p>
    <w:p w14:paraId="4756D3ED">
      <w:pPr>
        <w:spacing w:line="276" w:lineRule="auto"/>
        <w:rPr>
          <w:rFonts w:ascii="方正仿宋_GBK" w:hAnsi="宋体" w:eastAsia="方正仿宋_GBK"/>
          <w:color w:val="auto"/>
          <w:sz w:val="24"/>
          <w:szCs w:val="24"/>
        </w:rPr>
      </w:pPr>
      <w:r>
        <w:rPr>
          <w:rFonts w:hint="eastAsia" w:ascii="方正仿宋_GBK" w:hAnsi="宋体" w:eastAsia="方正仿宋_GBK"/>
          <w:color w:val="auto"/>
          <w:sz w:val="24"/>
          <w:szCs w:val="24"/>
        </w:rPr>
        <w:t>经双方协商一致，达成以下购销合同：</w:t>
      </w:r>
    </w:p>
    <w:tbl>
      <w:tblPr>
        <w:tblStyle w:val="20"/>
        <w:tblW w:w="9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765"/>
        <w:gridCol w:w="850"/>
        <w:gridCol w:w="709"/>
        <w:gridCol w:w="996"/>
        <w:gridCol w:w="1275"/>
        <w:gridCol w:w="1417"/>
        <w:gridCol w:w="1133"/>
        <w:gridCol w:w="1144"/>
        <w:gridCol w:w="15"/>
      </w:tblGrid>
      <w:tr w14:paraId="1C32F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28" w:type="dxa"/>
            <w:vAlign w:val="center"/>
          </w:tcPr>
          <w:p w14:paraId="2F408312">
            <w:pPr>
              <w:spacing w:line="276" w:lineRule="auto"/>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商品名称</w:t>
            </w:r>
          </w:p>
        </w:tc>
        <w:tc>
          <w:tcPr>
            <w:tcW w:w="765" w:type="dxa"/>
            <w:vAlign w:val="center"/>
          </w:tcPr>
          <w:p w14:paraId="534F51FC">
            <w:pPr>
              <w:spacing w:line="276" w:lineRule="auto"/>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品牌</w:t>
            </w:r>
          </w:p>
          <w:p w14:paraId="5D42F7B3">
            <w:pPr>
              <w:spacing w:line="276" w:lineRule="auto"/>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产地</w:t>
            </w:r>
          </w:p>
        </w:tc>
        <w:tc>
          <w:tcPr>
            <w:tcW w:w="850" w:type="dxa"/>
            <w:vAlign w:val="center"/>
          </w:tcPr>
          <w:p w14:paraId="13ED5E20">
            <w:pPr>
              <w:spacing w:line="276" w:lineRule="auto"/>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生产</w:t>
            </w:r>
          </w:p>
          <w:p w14:paraId="66E02BE2">
            <w:pPr>
              <w:spacing w:line="276" w:lineRule="auto"/>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厂商</w:t>
            </w:r>
          </w:p>
        </w:tc>
        <w:tc>
          <w:tcPr>
            <w:tcW w:w="709" w:type="dxa"/>
            <w:vAlign w:val="center"/>
          </w:tcPr>
          <w:p w14:paraId="56137ED7">
            <w:pPr>
              <w:spacing w:line="276" w:lineRule="auto"/>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规格型号</w:t>
            </w:r>
          </w:p>
        </w:tc>
        <w:tc>
          <w:tcPr>
            <w:tcW w:w="992" w:type="dxa"/>
            <w:vAlign w:val="center"/>
          </w:tcPr>
          <w:p w14:paraId="43EC161B">
            <w:pPr>
              <w:spacing w:line="276" w:lineRule="auto"/>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数量</w:t>
            </w:r>
          </w:p>
        </w:tc>
        <w:tc>
          <w:tcPr>
            <w:tcW w:w="1276" w:type="dxa"/>
            <w:vAlign w:val="center"/>
          </w:tcPr>
          <w:p w14:paraId="17E51693">
            <w:pPr>
              <w:spacing w:line="276" w:lineRule="auto"/>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单价</w:t>
            </w:r>
          </w:p>
        </w:tc>
        <w:tc>
          <w:tcPr>
            <w:tcW w:w="1418" w:type="dxa"/>
            <w:vAlign w:val="center"/>
          </w:tcPr>
          <w:p w14:paraId="128E47E1">
            <w:pPr>
              <w:spacing w:line="276" w:lineRule="auto"/>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总价</w:t>
            </w:r>
          </w:p>
        </w:tc>
        <w:tc>
          <w:tcPr>
            <w:tcW w:w="1134" w:type="dxa"/>
            <w:vAlign w:val="center"/>
          </w:tcPr>
          <w:p w14:paraId="6A901EDE">
            <w:pPr>
              <w:spacing w:line="276" w:lineRule="auto"/>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交货时间</w:t>
            </w:r>
          </w:p>
        </w:tc>
        <w:tc>
          <w:tcPr>
            <w:tcW w:w="1145" w:type="dxa"/>
            <w:vAlign w:val="center"/>
          </w:tcPr>
          <w:p w14:paraId="5F5D1547">
            <w:pPr>
              <w:spacing w:line="276" w:lineRule="auto"/>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交货地点</w:t>
            </w:r>
          </w:p>
        </w:tc>
      </w:tr>
      <w:tr w14:paraId="2F8D8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28" w:type="dxa"/>
            <w:vAlign w:val="center"/>
          </w:tcPr>
          <w:p w14:paraId="1C36F3FA">
            <w:pPr>
              <w:spacing w:line="276" w:lineRule="auto"/>
              <w:rPr>
                <w:rFonts w:ascii="方正仿宋_GBK" w:hAnsi="宋体" w:eastAsia="方正仿宋_GBK"/>
                <w:color w:val="auto"/>
                <w:sz w:val="24"/>
                <w:szCs w:val="24"/>
              </w:rPr>
            </w:pPr>
          </w:p>
        </w:tc>
        <w:tc>
          <w:tcPr>
            <w:tcW w:w="765" w:type="dxa"/>
            <w:vAlign w:val="center"/>
          </w:tcPr>
          <w:p w14:paraId="244EFA92">
            <w:pPr>
              <w:spacing w:line="276" w:lineRule="auto"/>
              <w:rPr>
                <w:rFonts w:ascii="方正仿宋_GBK" w:hAnsi="宋体" w:eastAsia="方正仿宋_GBK"/>
                <w:color w:val="auto"/>
                <w:sz w:val="24"/>
                <w:szCs w:val="24"/>
              </w:rPr>
            </w:pPr>
          </w:p>
        </w:tc>
        <w:tc>
          <w:tcPr>
            <w:tcW w:w="850" w:type="dxa"/>
            <w:vAlign w:val="center"/>
          </w:tcPr>
          <w:p w14:paraId="77157D8A">
            <w:pPr>
              <w:spacing w:line="276" w:lineRule="auto"/>
              <w:rPr>
                <w:rFonts w:ascii="方正仿宋_GBK" w:hAnsi="宋体" w:eastAsia="方正仿宋_GBK"/>
                <w:color w:val="auto"/>
                <w:sz w:val="24"/>
                <w:szCs w:val="24"/>
              </w:rPr>
            </w:pPr>
          </w:p>
        </w:tc>
        <w:tc>
          <w:tcPr>
            <w:tcW w:w="709" w:type="dxa"/>
            <w:vAlign w:val="center"/>
          </w:tcPr>
          <w:p w14:paraId="1673B125">
            <w:pPr>
              <w:spacing w:line="276" w:lineRule="auto"/>
              <w:rPr>
                <w:rFonts w:ascii="方正仿宋_GBK" w:hAnsi="宋体" w:eastAsia="方正仿宋_GBK"/>
                <w:color w:val="auto"/>
                <w:sz w:val="24"/>
                <w:szCs w:val="24"/>
              </w:rPr>
            </w:pPr>
          </w:p>
        </w:tc>
        <w:tc>
          <w:tcPr>
            <w:tcW w:w="992" w:type="dxa"/>
            <w:vAlign w:val="center"/>
          </w:tcPr>
          <w:p w14:paraId="581DF6B2">
            <w:pPr>
              <w:spacing w:line="276" w:lineRule="auto"/>
              <w:rPr>
                <w:rFonts w:ascii="方正仿宋_GBK" w:hAnsi="宋体" w:eastAsia="方正仿宋_GBK"/>
                <w:color w:val="auto"/>
                <w:sz w:val="24"/>
                <w:szCs w:val="24"/>
              </w:rPr>
            </w:pPr>
          </w:p>
        </w:tc>
        <w:tc>
          <w:tcPr>
            <w:tcW w:w="1276" w:type="dxa"/>
            <w:vAlign w:val="center"/>
          </w:tcPr>
          <w:p w14:paraId="43060F9B">
            <w:pPr>
              <w:spacing w:line="276" w:lineRule="auto"/>
              <w:rPr>
                <w:rFonts w:ascii="方正仿宋_GBK" w:hAnsi="宋体" w:eastAsia="方正仿宋_GBK"/>
                <w:color w:val="auto"/>
                <w:sz w:val="24"/>
                <w:szCs w:val="24"/>
              </w:rPr>
            </w:pPr>
          </w:p>
        </w:tc>
        <w:tc>
          <w:tcPr>
            <w:tcW w:w="1418" w:type="dxa"/>
            <w:vAlign w:val="center"/>
          </w:tcPr>
          <w:p w14:paraId="3FE010E7">
            <w:pPr>
              <w:spacing w:line="276" w:lineRule="auto"/>
              <w:rPr>
                <w:rFonts w:ascii="方正仿宋_GBK" w:hAnsi="宋体" w:eastAsia="方正仿宋_GBK"/>
                <w:color w:val="auto"/>
                <w:sz w:val="24"/>
                <w:szCs w:val="24"/>
              </w:rPr>
            </w:pPr>
          </w:p>
        </w:tc>
        <w:tc>
          <w:tcPr>
            <w:tcW w:w="1134" w:type="dxa"/>
            <w:vMerge w:val="restart"/>
            <w:vAlign w:val="center"/>
          </w:tcPr>
          <w:p w14:paraId="4C8F486B">
            <w:pPr>
              <w:spacing w:line="276" w:lineRule="auto"/>
              <w:rPr>
                <w:rFonts w:ascii="方正仿宋_GBK" w:hAnsi="宋体" w:eastAsia="方正仿宋_GBK"/>
                <w:color w:val="auto"/>
                <w:sz w:val="24"/>
                <w:szCs w:val="24"/>
              </w:rPr>
            </w:pPr>
          </w:p>
        </w:tc>
        <w:tc>
          <w:tcPr>
            <w:tcW w:w="1145" w:type="dxa"/>
            <w:vMerge w:val="restart"/>
            <w:vAlign w:val="center"/>
          </w:tcPr>
          <w:p w14:paraId="2E7472D6">
            <w:pPr>
              <w:spacing w:line="276" w:lineRule="auto"/>
              <w:rPr>
                <w:rFonts w:ascii="方正仿宋_GBK" w:hAnsi="宋体" w:eastAsia="方正仿宋_GBK"/>
                <w:color w:val="auto"/>
                <w:sz w:val="24"/>
                <w:szCs w:val="24"/>
              </w:rPr>
            </w:pPr>
            <w:r>
              <w:rPr>
                <w:rFonts w:hint="eastAsia" w:ascii="方正仿宋_GBK" w:hAnsi="宋体" w:eastAsia="方正仿宋_GBK"/>
                <w:color w:val="auto"/>
                <w:sz w:val="24"/>
                <w:szCs w:val="24"/>
              </w:rPr>
              <w:t>甲方指定地方。</w:t>
            </w:r>
          </w:p>
        </w:tc>
      </w:tr>
      <w:tr w14:paraId="49389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28" w:type="dxa"/>
            <w:vAlign w:val="center"/>
          </w:tcPr>
          <w:p w14:paraId="40E7ED83">
            <w:pPr>
              <w:spacing w:line="276" w:lineRule="auto"/>
              <w:rPr>
                <w:rFonts w:ascii="方正仿宋_GBK" w:hAnsi="宋体" w:eastAsia="方正仿宋_GBK"/>
                <w:color w:val="auto"/>
                <w:sz w:val="24"/>
                <w:szCs w:val="24"/>
              </w:rPr>
            </w:pPr>
          </w:p>
        </w:tc>
        <w:tc>
          <w:tcPr>
            <w:tcW w:w="765" w:type="dxa"/>
            <w:vAlign w:val="center"/>
          </w:tcPr>
          <w:p w14:paraId="336F051F">
            <w:pPr>
              <w:spacing w:line="276" w:lineRule="auto"/>
              <w:rPr>
                <w:rFonts w:ascii="方正仿宋_GBK" w:hAnsi="宋体" w:eastAsia="方正仿宋_GBK"/>
                <w:color w:val="auto"/>
                <w:sz w:val="24"/>
                <w:szCs w:val="24"/>
              </w:rPr>
            </w:pPr>
          </w:p>
        </w:tc>
        <w:tc>
          <w:tcPr>
            <w:tcW w:w="850" w:type="dxa"/>
            <w:vAlign w:val="center"/>
          </w:tcPr>
          <w:p w14:paraId="781B7D0A">
            <w:pPr>
              <w:spacing w:line="276" w:lineRule="auto"/>
              <w:rPr>
                <w:rFonts w:ascii="方正仿宋_GBK" w:hAnsi="宋体" w:eastAsia="方正仿宋_GBK"/>
                <w:color w:val="auto"/>
                <w:sz w:val="24"/>
                <w:szCs w:val="24"/>
              </w:rPr>
            </w:pPr>
          </w:p>
        </w:tc>
        <w:tc>
          <w:tcPr>
            <w:tcW w:w="709" w:type="dxa"/>
            <w:vAlign w:val="center"/>
          </w:tcPr>
          <w:p w14:paraId="78A3302E">
            <w:pPr>
              <w:spacing w:line="276" w:lineRule="auto"/>
              <w:rPr>
                <w:rFonts w:ascii="方正仿宋_GBK" w:hAnsi="宋体" w:eastAsia="方正仿宋_GBK"/>
                <w:color w:val="auto"/>
                <w:sz w:val="24"/>
                <w:szCs w:val="24"/>
              </w:rPr>
            </w:pPr>
          </w:p>
        </w:tc>
        <w:tc>
          <w:tcPr>
            <w:tcW w:w="992" w:type="dxa"/>
            <w:vAlign w:val="center"/>
          </w:tcPr>
          <w:p w14:paraId="52260A5A">
            <w:pPr>
              <w:spacing w:line="276" w:lineRule="auto"/>
              <w:rPr>
                <w:rFonts w:ascii="方正仿宋_GBK" w:hAnsi="宋体" w:eastAsia="方正仿宋_GBK"/>
                <w:color w:val="auto"/>
                <w:sz w:val="24"/>
                <w:szCs w:val="24"/>
              </w:rPr>
            </w:pPr>
          </w:p>
        </w:tc>
        <w:tc>
          <w:tcPr>
            <w:tcW w:w="1276" w:type="dxa"/>
            <w:vAlign w:val="center"/>
          </w:tcPr>
          <w:p w14:paraId="3B2B43B2">
            <w:pPr>
              <w:spacing w:line="276" w:lineRule="auto"/>
              <w:rPr>
                <w:rFonts w:ascii="方正仿宋_GBK" w:hAnsi="宋体" w:eastAsia="方正仿宋_GBK"/>
                <w:color w:val="auto"/>
                <w:sz w:val="24"/>
                <w:szCs w:val="24"/>
              </w:rPr>
            </w:pPr>
          </w:p>
        </w:tc>
        <w:tc>
          <w:tcPr>
            <w:tcW w:w="1418" w:type="dxa"/>
            <w:vAlign w:val="center"/>
          </w:tcPr>
          <w:p w14:paraId="17217E9A">
            <w:pPr>
              <w:spacing w:line="276" w:lineRule="auto"/>
              <w:rPr>
                <w:rFonts w:ascii="方正仿宋_GBK" w:hAnsi="宋体" w:eastAsia="方正仿宋_GBK"/>
                <w:color w:val="auto"/>
                <w:sz w:val="24"/>
                <w:szCs w:val="24"/>
              </w:rPr>
            </w:pPr>
          </w:p>
        </w:tc>
        <w:tc>
          <w:tcPr>
            <w:tcW w:w="1134" w:type="dxa"/>
            <w:vMerge w:val="continue"/>
            <w:vAlign w:val="center"/>
          </w:tcPr>
          <w:p w14:paraId="0A924124">
            <w:pPr>
              <w:spacing w:line="276" w:lineRule="auto"/>
              <w:rPr>
                <w:rFonts w:ascii="方正仿宋_GBK" w:hAnsi="宋体" w:eastAsia="方正仿宋_GBK"/>
                <w:color w:val="auto"/>
                <w:sz w:val="24"/>
                <w:szCs w:val="24"/>
              </w:rPr>
            </w:pPr>
          </w:p>
        </w:tc>
        <w:tc>
          <w:tcPr>
            <w:tcW w:w="1145" w:type="dxa"/>
            <w:vMerge w:val="continue"/>
            <w:vAlign w:val="center"/>
          </w:tcPr>
          <w:p w14:paraId="68186537">
            <w:pPr>
              <w:spacing w:line="276" w:lineRule="auto"/>
              <w:rPr>
                <w:rFonts w:ascii="方正仿宋_GBK" w:hAnsi="宋体" w:eastAsia="方正仿宋_GBK"/>
                <w:color w:val="auto"/>
                <w:sz w:val="24"/>
                <w:szCs w:val="24"/>
              </w:rPr>
            </w:pPr>
          </w:p>
        </w:tc>
      </w:tr>
      <w:tr w14:paraId="1302A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28" w:type="dxa"/>
            <w:vAlign w:val="center"/>
          </w:tcPr>
          <w:p w14:paraId="6882D76D">
            <w:pPr>
              <w:spacing w:line="276" w:lineRule="auto"/>
              <w:rPr>
                <w:rFonts w:ascii="方正仿宋_GBK" w:hAnsi="宋体" w:eastAsia="方正仿宋_GBK"/>
                <w:color w:val="auto"/>
                <w:sz w:val="24"/>
                <w:szCs w:val="24"/>
              </w:rPr>
            </w:pPr>
          </w:p>
        </w:tc>
        <w:tc>
          <w:tcPr>
            <w:tcW w:w="765" w:type="dxa"/>
            <w:vAlign w:val="center"/>
          </w:tcPr>
          <w:p w14:paraId="2D36DF00">
            <w:pPr>
              <w:spacing w:line="276" w:lineRule="auto"/>
              <w:rPr>
                <w:rFonts w:ascii="方正仿宋_GBK" w:hAnsi="宋体" w:eastAsia="方正仿宋_GBK"/>
                <w:color w:val="auto"/>
                <w:sz w:val="24"/>
                <w:szCs w:val="24"/>
              </w:rPr>
            </w:pPr>
          </w:p>
        </w:tc>
        <w:tc>
          <w:tcPr>
            <w:tcW w:w="850" w:type="dxa"/>
            <w:vAlign w:val="center"/>
          </w:tcPr>
          <w:p w14:paraId="2F200F1D">
            <w:pPr>
              <w:spacing w:line="276" w:lineRule="auto"/>
              <w:rPr>
                <w:rFonts w:ascii="方正仿宋_GBK" w:hAnsi="宋体" w:eastAsia="方正仿宋_GBK"/>
                <w:color w:val="auto"/>
                <w:sz w:val="24"/>
                <w:szCs w:val="24"/>
              </w:rPr>
            </w:pPr>
          </w:p>
        </w:tc>
        <w:tc>
          <w:tcPr>
            <w:tcW w:w="709" w:type="dxa"/>
            <w:vAlign w:val="center"/>
          </w:tcPr>
          <w:p w14:paraId="746D197D">
            <w:pPr>
              <w:spacing w:line="276" w:lineRule="auto"/>
              <w:rPr>
                <w:rFonts w:ascii="方正仿宋_GBK" w:hAnsi="宋体" w:eastAsia="方正仿宋_GBK"/>
                <w:color w:val="auto"/>
                <w:sz w:val="24"/>
                <w:szCs w:val="24"/>
              </w:rPr>
            </w:pPr>
          </w:p>
        </w:tc>
        <w:tc>
          <w:tcPr>
            <w:tcW w:w="992" w:type="dxa"/>
            <w:vAlign w:val="center"/>
          </w:tcPr>
          <w:p w14:paraId="2676D05B">
            <w:pPr>
              <w:spacing w:line="276" w:lineRule="auto"/>
              <w:rPr>
                <w:rFonts w:ascii="方正仿宋_GBK" w:hAnsi="宋体" w:eastAsia="方正仿宋_GBK"/>
                <w:color w:val="auto"/>
                <w:sz w:val="24"/>
                <w:szCs w:val="24"/>
              </w:rPr>
            </w:pPr>
          </w:p>
        </w:tc>
        <w:tc>
          <w:tcPr>
            <w:tcW w:w="1276" w:type="dxa"/>
            <w:vAlign w:val="center"/>
          </w:tcPr>
          <w:p w14:paraId="55942D51">
            <w:pPr>
              <w:spacing w:line="276" w:lineRule="auto"/>
              <w:rPr>
                <w:rFonts w:ascii="方正仿宋_GBK" w:hAnsi="宋体" w:eastAsia="方正仿宋_GBK"/>
                <w:color w:val="auto"/>
                <w:sz w:val="24"/>
                <w:szCs w:val="24"/>
              </w:rPr>
            </w:pPr>
          </w:p>
        </w:tc>
        <w:tc>
          <w:tcPr>
            <w:tcW w:w="1418" w:type="dxa"/>
            <w:vAlign w:val="center"/>
          </w:tcPr>
          <w:p w14:paraId="3BE56C06">
            <w:pPr>
              <w:spacing w:line="276" w:lineRule="auto"/>
              <w:rPr>
                <w:rFonts w:ascii="方正仿宋_GBK" w:hAnsi="宋体" w:eastAsia="方正仿宋_GBK"/>
                <w:color w:val="auto"/>
                <w:sz w:val="24"/>
                <w:szCs w:val="24"/>
              </w:rPr>
            </w:pPr>
          </w:p>
        </w:tc>
        <w:tc>
          <w:tcPr>
            <w:tcW w:w="1134" w:type="dxa"/>
            <w:vMerge w:val="continue"/>
            <w:vAlign w:val="center"/>
          </w:tcPr>
          <w:p w14:paraId="3C14CF26">
            <w:pPr>
              <w:spacing w:line="276" w:lineRule="auto"/>
              <w:rPr>
                <w:rFonts w:ascii="方正仿宋_GBK" w:hAnsi="宋体" w:eastAsia="方正仿宋_GBK"/>
                <w:color w:val="auto"/>
                <w:sz w:val="24"/>
                <w:szCs w:val="24"/>
              </w:rPr>
            </w:pPr>
          </w:p>
        </w:tc>
        <w:tc>
          <w:tcPr>
            <w:tcW w:w="1145" w:type="dxa"/>
            <w:vMerge w:val="continue"/>
            <w:vAlign w:val="center"/>
          </w:tcPr>
          <w:p w14:paraId="5EFAE813">
            <w:pPr>
              <w:spacing w:line="276" w:lineRule="auto"/>
              <w:rPr>
                <w:rFonts w:ascii="方正仿宋_GBK" w:hAnsi="宋体" w:eastAsia="方正仿宋_GBK"/>
                <w:color w:val="auto"/>
                <w:sz w:val="24"/>
                <w:szCs w:val="24"/>
              </w:rPr>
            </w:pPr>
          </w:p>
        </w:tc>
      </w:tr>
      <w:tr w14:paraId="628CF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28" w:type="dxa"/>
            <w:vAlign w:val="center"/>
          </w:tcPr>
          <w:p w14:paraId="00A3A385">
            <w:pPr>
              <w:spacing w:line="276" w:lineRule="auto"/>
              <w:rPr>
                <w:rFonts w:ascii="方正仿宋_GBK" w:hAnsi="宋体" w:eastAsia="方正仿宋_GBK"/>
                <w:color w:val="auto"/>
                <w:sz w:val="24"/>
                <w:szCs w:val="24"/>
              </w:rPr>
            </w:pPr>
          </w:p>
        </w:tc>
        <w:tc>
          <w:tcPr>
            <w:tcW w:w="765" w:type="dxa"/>
            <w:vAlign w:val="center"/>
          </w:tcPr>
          <w:p w14:paraId="6E60E970">
            <w:pPr>
              <w:spacing w:line="276" w:lineRule="auto"/>
              <w:rPr>
                <w:rFonts w:ascii="方正仿宋_GBK" w:hAnsi="宋体" w:eastAsia="方正仿宋_GBK"/>
                <w:color w:val="auto"/>
                <w:sz w:val="24"/>
                <w:szCs w:val="24"/>
              </w:rPr>
            </w:pPr>
          </w:p>
        </w:tc>
        <w:tc>
          <w:tcPr>
            <w:tcW w:w="850" w:type="dxa"/>
            <w:vAlign w:val="center"/>
          </w:tcPr>
          <w:p w14:paraId="2F6FACAD">
            <w:pPr>
              <w:spacing w:line="276" w:lineRule="auto"/>
              <w:rPr>
                <w:rFonts w:ascii="方正仿宋_GBK" w:hAnsi="宋体" w:eastAsia="方正仿宋_GBK"/>
                <w:color w:val="auto"/>
                <w:sz w:val="24"/>
                <w:szCs w:val="24"/>
              </w:rPr>
            </w:pPr>
          </w:p>
        </w:tc>
        <w:tc>
          <w:tcPr>
            <w:tcW w:w="709" w:type="dxa"/>
            <w:vAlign w:val="center"/>
          </w:tcPr>
          <w:p w14:paraId="415B07A2">
            <w:pPr>
              <w:spacing w:line="276" w:lineRule="auto"/>
              <w:rPr>
                <w:rFonts w:ascii="方正仿宋_GBK" w:hAnsi="宋体" w:eastAsia="方正仿宋_GBK"/>
                <w:color w:val="auto"/>
                <w:sz w:val="24"/>
                <w:szCs w:val="24"/>
              </w:rPr>
            </w:pPr>
          </w:p>
        </w:tc>
        <w:tc>
          <w:tcPr>
            <w:tcW w:w="992" w:type="dxa"/>
            <w:vAlign w:val="center"/>
          </w:tcPr>
          <w:p w14:paraId="1E321508">
            <w:pPr>
              <w:spacing w:line="276" w:lineRule="auto"/>
              <w:rPr>
                <w:rFonts w:ascii="方正仿宋_GBK" w:hAnsi="宋体" w:eastAsia="方正仿宋_GBK"/>
                <w:color w:val="auto"/>
                <w:sz w:val="24"/>
                <w:szCs w:val="24"/>
              </w:rPr>
            </w:pPr>
          </w:p>
        </w:tc>
        <w:tc>
          <w:tcPr>
            <w:tcW w:w="1276" w:type="dxa"/>
            <w:vAlign w:val="center"/>
          </w:tcPr>
          <w:p w14:paraId="00128B68">
            <w:pPr>
              <w:spacing w:line="276" w:lineRule="auto"/>
              <w:rPr>
                <w:rFonts w:ascii="方正仿宋_GBK" w:hAnsi="宋体" w:eastAsia="方正仿宋_GBK"/>
                <w:color w:val="auto"/>
                <w:sz w:val="24"/>
                <w:szCs w:val="24"/>
              </w:rPr>
            </w:pPr>
          </w:p>
        </w:tc>
        <w:tc>
          <w:tcPr>
            <w:tcW w:w="1418" w:type="dxa"/>
            <w:vAlign w:val="center"/>
          </w:tcPr>
          <w:p w14:paraId="12567E63">
            <w:pPr>
              <w:spacing w:line="276" w:lineRule="auto"/>
              <w:rPr>
                <w:rFonts w:ascii="方正仿宋_GBK" w:hAnsi="宋体" w:eastAsia="方正仿宋_GBK"/>
                <w:color w:val="auto"/>
                <w:sz w:val="24"/>
                <w:szCs w:val="24"/>
              </w:rPr>
            </w:pPr>
          </w:p>
        </w:tc>
        <w:tc>
          <w:tcPr>
            <w:tcW w:w="1134" w:type="dxa"/>
            <w:vMerge w:val="continue"/>
            <w:vAlign w:val="center"/>
          </w:tcPr>
          <w:p w14:paraId="16703383">
            <w:pPr>
              <w:spacing w:line="276" w:lineRule="auto"/>
              <w:rPr>
                <w:rFonts w:ascii="方正仿宋_GBK" w:hAnsi="宋体" w:eastAsia="方正仿宋_GBK"/>
                <w:color w:val="auto"/>
                <w:sz w:val="24"/>
                <w:szCs w:val="24"/>
              </w:rPr>
            </w:pPr>
          </w:p>
        </w:tc>
        <w:tc>
          <w:tcPr>
            <w:tcW w:w="1145" w:type="dxa"/>
            <w:vMerge w:val="continue"/>
            <w:vAlign w:val="center"/>
          </w:tcPr>
          <w:p w14:paraId="1A8DF60E">
            <w:pPr>
              <w:spacing w:line="276" w:lineRule="auto"/>
              <w:rPr>
                <w:rFonts w:ascii="方正仿宋_GBK" w:hAnsi="宋体" w:eastAsia="方正仿宋_GBK"/>
                <w:color w:val="auto"/>
                <w:sz w:val="24"/>
                <w:szCs w:val="24"/>
              </w:rPr>
            </w:pPr>
          </w:p>
        </w:tc>
      </w:tr>
      <w:tr w14:paraId="69DD2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28" w:type="dxa"/>
            <w:vAlign w:val="center"/>
          </w:tcPr>
          <w:p w14:paraId="2C772BDA">
            <w:pPr>
              <w:spacing w:line="276" w:lineRule="auto"/>
              <w:rPr>
                <w:rFonts w:ascii="方正仿宋_GBK" w:hAnsi="宋体" w:eastAsia="方正仿宋_GBK"/>
                <w:color w:val="auto"/>
                <w:sz w:val="24"/>
                <w:szCs w:val="24"/>
              </w:rPr>
            </w:pPr>
          </w:p>
        </w:tc>
        <w:tc>
          <w:tcPr>
            <w:tcW w:w="765" w:type="dxa"/>
            <w:vAlign w:val="center"/>
          </w:tcPr>
          <w:p w14:paraId="2DBB52D4">
            <w:pPr>
              <w:spacing w:line="276" w:lineRule="auto"/>
              <w:rPr>
                <w:rFonts w:ascii="方正仿宋_GBK" w:hAnsi="宋体" w:eastAsia="方正仿宋_GBK"/>
                <w:color w:val="auto"/>
                <w:sz w:val="24"/>
                <w:szCs w:val="24"/>
              </w:rPr>
            </w:pPr>
          </w:p>
        </w:tc>
        <w:tc>
          <w:tcPr>
            <w:tcW w:w="850" w:type="dxa"/>
            <w:vAlign w:val="center"/>
          </w:tcPr>
          <w:p w14:paraId="33C83A29">
            <w:pPr>
              <w:spacing w:line="276" w:lineRule="auto"/>
              <w:rPr>
                <w:rFonts w:ascii="方正仿宋_GBK" w:hAnsi="宋体" w:eastAsia="方正仿宋_GBK"/>
                <w:color w:val="auto"/>
                <w:sz w:val="24"/>
                <w:szCs w:val="24"/>
              </w:rPr>
            </w:pPr>
          </w:p>
        </w:tc>
        <w:tc>
          <w:tcPr>
            <w:tcW w:w="709" w:type="dxa"/>
            <w:vAlign w:val="center"/>
          </w:tcPr>
          <w:p w14:paraId="69639CEC">
            <w:pPr>
              <w:spacing w:line="276" w:lineRule="auto"/>
              <w:rPr>
                <w:rFonts w:ascii="方正仿宋_GBK" w:hAnsi="宋体" w:eastAsia="方正仿宋_GBK"/>
                <w:color w:val="auto"/>
                <w:sz w:val="24"/>
                <w:szCs w:val="24"/>
              </w:rPr>
            </w:pPr>
          </w:p>
        </w:tc>
        <w:tc>
          <w:tcPr>
            <w:tcW w:w="992" w:type="dxa"/>
            <w:vAlign w:val="center"/>
          </w:tcPr>
          <w:p w14:paraId="4FD7F364">
            <w:pPr>
              <w:spacing w:line="276" w:lineRule="auto"/>
              <w:rPr>
                <w:rFonts w:ascii="方正仿宋_GBK" w:hAnsi="宋体" w:eastAsia="方正仿宋_GBK"/>
                <w:color w:val="auto"/>
                <w:sz w:val="24"/>
                <w:szCs w:val="24"/>
              </w:rPr>
            </w:pPr>
          </w:p>
        </w:tc>
        <w:tc>
          <w:tcPr>
            <w:tcW w:w="1276" w:type="dxa"/>
            <w:vAlign w:val="center"/>
          </w:tcPr>
          <w:p w14:paraId="4DD0A7C4">
            <w:pPr>
              <w:spacing w:line="276" w:lineRule="auto"/>
              <w:rPr>
                <w:rFonts w:ascii="方正仿宋_GBK" w:hAnsi="宋体" w:eastAsia="方正仿宋_GBK"/>
                <w:color w:val="auto"/>
                <w:sz w:val="24"/>
                <w:szCs w:val="24"/>
              </w:rPr>
            </w:pPr>
          </w:p>
        </w:tc>
        <w:tc>
          <w:tcPr>
            <w:tcW w:w="1418" w:type="dxa"/>
            <w:vAlign w:val="center"/>
          </w:tcPr>
          <w:p w14:paraId="67D5B17A">
            <w:pPr>
              <w:spacing w:line="276" w:lineRule="auto"/>
              <w:rPr>
                <w:rFonts w:ascii="方正仿宋_GBK" w:hAnsi="宋体" w:eastAsia="方正仿宋_GBK"/>
                <w:color w:val="auto"/>
                <w:sz w:val="24"/>
                <w:szCs w:val="24"/>
              </w:rPr>
            </w:pPr>
          </w:p>
        </w:tc>
        <w:tc>
          <w:tcPr>
            <w:tcW w:w="1134" w:type="dxa"/>
            <w:vMerge w:val="continue"/>
            <w:vAlign w:val="center"/>
          </w:tcPr>
          <w:p w14:paraId="6520E276">
            <w:pPr>
              <w:spacing w:line="276" w:lineRule="auto"/>
              <w:rPr>
                <w:rFonts w:ascii="方正仿宋_GBK" w:hAnsi="宋体" w:eastAsia="方正仿宋_GBK"/>
                <w:color w:val="auto"/>
                <w:sz w:val="24"/>
                <w:szCs w:val="24"/>
              </w:rPr>
            </w:pPr>
          </w:p>
        </w:tc>
        <w:tc>
          <w:tcPr>
            <w:tcW w:w="1145" w:type="dxa"/>
            <w:vMerge w:val="continue"/>
            <w:vAlign w:val="center"/>
          </w:tcPr>
          <w:p w14:paraId="6BB725B9">
            <w:pPr>
              <w:spacing w:line="276" w:lineRule="auto"/>
              <w:rPr>
                <w:rFonts w:ascii="方正仿宋_GBK" w:hAnsi="宋体" w:eastAsia="方正仿宋_GBK"/>
                <w:color w:val="auto"/>
                <w:sz w:val="24"/>
                <w:szCs w:val="24"/>
              </w:rPr>
            </w:pPr>
          </w:p>
        </w:tc>
      </w:tr>
      <w:tr w14:paraId="48B46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28" w:type="dxa"/>
            <w:vAlign w:val="center"/>
          </w:tcPr>
          <w:p w14:paraId="530AB423">
            <w:pPr>
              <w:spacing w:line="276" w:lineRule="auto"/>
              <w:rPr>
                <w:rFonts w:ascii="方正仿宋_GBK" w:hAnsi="宋体" w:eastAsia="方正仿宋_GBK"/>
                <w:color w:val="auto"/>
                <w:sz w:val="24"/>
                <w:szCs w:val="24"/>
              </w:rPr>
            </w:pPr>
          </w:p>
        </w:tc>
        <w:tc>
          <w:tcPr>
            <w:tcW w:w="765" w:type="dxa"/>
            <w:vAlign w:val="center"/>
          </w:tcPr>
          <w:p w14:paraId="6DEF4280">
            <w:pPr>
              <w:spacing w:line="276" w:lineRule="auto"/>
              <w:rPr>
                <w:rFonts w:ascii="方正仿宋_GBK" w:hAnsi="宋体" w:eastAsia="方正仿宋_GBK"/>
                <w:color w:val="auto"/>
                <w:sz w:val="24"/>
                <w:szCs w:val="24"/>
              </w:rPr>
            </w:pPr>
          </w:p>
        </w:tc>
        <w:tc>
          <w:tcPr>
            <w:tcW w:w="850" w:type="dxa"/>
            <w:vAlign w:val="center"/>
          </w:tcPr>
          <w:p w14:paraId="33BA12D9">
            <w:pPr>
              <w:spacing w:line="276" w:lineRule="auto"/>
              <w:rPr>
                <w:rFonts w:ascii="方正仿宋_GBK" w:hAnsi="宋体" w:eastAsia="方正仿宋_GBK"/>
                <w:color w:val="auto"/>
                <w:sz w:val="24"/>
                <w:szCs w:val="24"/>
              </w:rPr>
            </w:pPr>
          </w:p>
        </w:tc>
        <w:tc>
          <w:tcPr>
            <w:tcW w:w="709" w:type="dxa"/>
            <w:vAlign w:val="center"/>
          </w:tcPr>
          <w:p w14:paraId="6DDA6EB1">
            <w:pPr>
              <w:spacing w:line="276" w:lineRule="auto"/>
              <w:rPr>
                <w:rFonts w:ascii="方正仿宋_GBK" w:hAnsi="宋体" w:eastAsia="方正仿宋_GBK"/>
                <w:color w:val="auto"/>
                <w:sz w:val="24"/>
                <w:szCs w:val="24"/>
              </w:rPr>
            </w:pPr>
          </w:p>
        </w:tc>
        <w:tc>
          <w:tcPr>
            <w:tcW w:w="992" w:type="dxa"/>
            <w:vAlign w:val="center"/>
          </w:tcPr>
          <w:p w14:paraId="2DD27B2A">
            <w:pPr>
              <w:spacing w:line="276" w:lineRule="auto"/>
              <w:rPr>
                <w:rFonts w:ascii="方正仿宋_GBK" w:hAnsi="宋体" w:eastAsia="方正仿宋_GBK"/>
                <w:color w:val="auto"/>
                <w:sz w:val="24"/>
                <w:szCs w:val="24"/>
              </w:rPr>
            </w:pPr>
          </w:p>
        </w:tc>
        <w:tc>
          <w:tcPr>
            <w:tcW w:w="1276" w:type="dxa"/>
            <w:vAlign w:val="center"/>
          </w:tcPr>
          <w:p w14:paraId="13F8A7BB">
            <w:pPr>
              <w:spacing w:line="276" w:lineRule="auto"/>
              <w:rPr>
                <w:rFonts w:ascii="方正仿宋_GBK" w:hAnsi="宋体" w:eastAsia="方正仿宋_GBK"/>
                <w:color w:val="auto"/>
                <w:sz w:val="24"/>
                <w:szCs w:val="24"/>
              </w:rPr>
            </w:pPr>
          </w:p>
        </w:tc>
        <w:tc>
          <w:tcPr>
            <w:tcW w:w="1418" w:type="dxa"/>
            <w:vAlign w:val="center"/>
          </w:tcPr>
          <w:p w14:paraId="1EE58BE9">
            <w:pPr>
              <w:spacing w:line="276" w:lineRule="auto"/>
              <w:rPr>
                <w:rFonts w:ascii="方正仿宋_GBK" w:hAnsi="宋体" w:eastAsia="方正仿宋_GBK"/>
                <w:color w:val="auto"/>
                <w:sz w:val="24"/>
                <w:szCs w:val="24"/>
              </w:rPr>
            </w:pPr>
          </w:p>
        </w:tc>
        <w:tc>
          <w:tcPr>
            <w:tcW w:w="1134" w:type="dxa"/>
            <w:vMerge w:val="continue"/>
            <w:vAlign w:val="center"/>
          </w:tcPr>
          <w:p w14:paraId="783349AB">
            <w:pPr>
              <w:spacing w:line="276" w:lineRule="auto"/>
              <w:rPr>
                <w:rFonts w:ascii="方正仿宋_GBK" w:hAnsi="宋体" w:eastAsia="方正仿宋_GBK"/>
                <w:color w:val="auto"/>
                <w:sz w:val="24"/>
                <w:szCs w:val="24"/>
              </w:rPr>
            </w:pPr>
          </w:p>
        </w:tc>
        <w:tc>
          <w:tcPr>
            <w:tcW w:w="1145" w:type="dxa"/>
            <w:vMerge w:val="continue"/>
            <w:vAlign w:val="center"/>
          </w:tcPr>
          <w:p w14:paraId="06D5AE33">
            <w:pPr>
              <w:spacing w:line="276" w:lineRule="auto"/>
              <w:rPr>
                <w:rFonts w:ascii="方正仿宋_GBK" w:hAnsi="宋体" w:eastAsia="方正仿宋_GBK"/>
                <w:color w:val="auto"/>
                <w:sz w:val="24"/>
                <w:szCs w:val="24"/>
              </w:rPr>
            </w:pPr>
          </w:p>
        </w:tc>
      </w:tr>
      <w:tr w14:paraId="1C6D0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7" w:type="dxa"/>
            <w:gridSpan w:val="9"/>
            <w:vAlign w:val="center"/>
          </w:tcPr>
          <w:p w14:paraId="4DFB12AC">
            <w:pPr>
              <w:spacing w:line="276" w:lineRule="auto"/>
              <w:rPr>
                <w:rFonts w:ascii="方正仿宋_GBK" w:hAnsi="宋体" w:eastAsia="方正仿宋_GBK"/>
                <w:color w:val="auto"/>
                <w:sz w:val="24"/>
                <w:szCs w:val="24"/>
              </w:rPr>
            </w:pPr>
            <w:r>
              <w:rPr>
                <w:rFonts w:hint="eastAsia" w:ascii="方正仿宋_GBK" w:hAnsi="宋体" w:eastAsia="方正仿宋_GBK"/>
                <w:color w:val="auto"/>
                <w:sz w:val="24"/>
                <w:szCs w:val="24"/>
              </w:rPr>
              <w:t>合计人民币（小写）：</w:t>
            </w:r>
          </w:p>
        </w:tc>
      </w:tr>
      <w:tr w14:paraId="7FCB9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7" w:type="dxa"/>
            <w:gridSpan w:val="9"/>
            <w:vAlign w:val="center"/>
          </w:tcPr>
          <w:p w14:paraId="7F243EF0">
            <w:pPr>
              <w:spacing w:line="276" w:lineRule="auto"/>
              <w:rPr>
                <w:rFonts w:ascii="方正仿宋_GBK" w:hAnsi="宋体" w:eastAsia="方正仿宋_GBK"/>
                <w:color w:val="auto"/>
                <w:sz w:val="24"/>
                <w:szCs w:val="24"/>
              </w:rPr>
            </w:pPr>
            <w:r>
              <w:rPr>
                <w:rFonts w:hint="eastAsia" w:ascii="方正仿宋_GBK" w:hAnsi="宋体" w:eastAsia="方正仿宋_GBK"/>
                <w:color w:val="auto"/>
                <w:sz w:val="24"/>
                <w:szCs w:val="24"/>
              </w:rPr>
              <w:t>合计人民币（大写）：</w:t>
            </w:r>
          </w:p>
        </w:tc>
      </w:tr>
      <w:tr w14:paraId="575C5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7" w:type="dxa"/>
            <w:gridSpan w:val="9"/>
            <w:vAlign w:val="center"/>
          </w:tcPr>
          <w:p w14:paraId="08F77DE2">
            <w:pPr>
              <w:spacing w:line="276" w:lineRule="auto"/>
              <w:rPr>
                <w:rFonts w:ascii="方正仿宋_GBK" w:hAnsi="宋体" w:eastAsia="方正仿宋_GBK"/>
                <w:color w:val="auto"/>
                <w:sz w:val="24"/>
                <w:szCs w:val="24"/>
              </w:rPr>
            </w:pPr>
            <w:r>
              <w:rPr>
                <w:rFonts w:hint="eastAsia" w:ascii="方正仿宋_GBK" w:hAnsi="宋体" w:eastAsia="方正仿宋_GBK"/>
                <w:color w:val="auto"/>
                <w:sz w:val="24"/>
                <w:szCs w:val="24"/>
              </w:rPr>
              <w:t>备注：</w:t>
            </w:r>
          </w:p>
        </w:tc>
      </w:tr>
      <w:tr w14:paraId="43A12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958" w:hRule="atLeast"/>
        </w:trPr>
        <w:tc>
          <w:tcPr>
            <w:tcW w:w="9617" w:type="dxa"/>
            <w:gridSpan w:val="9"/>
            <w:vAlign w:val="center"/>
          </w:tcPr>
          <w:p w14:paraId="4BF02D1F">
            <w:pPr>
              <w:numPr>
                <w:ilvl w:val="0"/>
                <w:numId w:val="3"/>
              </w:numPr>
              <w:spacing w:line="276" w:lineRule="auto"/>
              <w:rPr>
                <w:rFonts w:ascii="方正仿宋_GBK" w:hAnsi="宋体" w:eastAsia="方正仿宋_GBK"/>
                <w:color w:val="auto"/>
                <w:sz w:val="24"/>
                <w:szCs w:val="24"/>
              </w:rPr>
            </w:pPr>
            <w:r>
              <w:rPr>
                <w:rFonts w:hint="eastAsia" w:ascii="方正仿宋_GBK" w:hAnsi="宋体" w:eastAsia="方正仿宋_GBK"/>
                <w:color w:val="auto"/>
                <w:sz w:val="24"/>
                <w:szCs w:val="24"/>
              </w:rPr>
              <w:t>质量要求和技术标准</w:t>
            </w:r>
          </w:p>
          <w:p w14:paraId="7A33C782">
            <w:pPr>
              <w:spacing w:line="276" w:lineRule="auto"/>
              <w:rPr>
                <w:rFonts w:ascii="方正仿宋_GBK" w:hAnsi="宋体" w:eastAsia="方正仿宋_GBK"/>
                <w:color w:val="auto"/>
                <w:sz w:val="24"/>
                <w:szCs w:val="24"/>
              </w:rPr>
            </w:pPr>
            <w:r>
              <w:rPr>
                <w:rFonts w:hint="eastAsia" w:ascii="方正仿宋_GBK" w:hAnsi="宋体" w:eastAsia="方正仿宋_GBK"/>
                <w:color w:val="auto"/>
                <w:sz w:val="24"/>
                <w:szCs w:val="24"/>
              </w:rPr>
              <w:t>乙方提供的商品必须是全新的，完全符合国家有关技术标准，乙方的质量保证及售后服务承诺如下：</w:t>
            </w:r>
          </w:p>
          <w:p w14:paraId="1DBF1BFC">
            <w:pPr>
              <w:spacing w:line="276" w:lineRule="auto"/>
              <w:rPr>
                <w:rFonts w:ascii="方正仿宋_GBK" w:hAnsi="宋体" w:eastAsia="方正仿宋_GBK"/>
                <w:color w:val="auto"/>
                <w:sz w:val="24"/>
                <w:szCs w:val="24"/>
              </w:rPr>
            </w:pPr>
            <w:r>
              <w:rPr>
                <w:rFonts w:hint="eastAsia" w:ascii="方正仿宋_GBK" w:hAnsi="宋体" w:eastAsia="方正仿宋_GBK"/>
                <w:color w:val="auto"/>
                <w:sz w:val="24"/>
                <w:szCs w:val="24"/>
              </w:rPr>
              <w:t>（一）产品质量保证期</w:t>
            </w:r>
          </w:p>
          <w:p w14:paraId="30D727BD">
            <w:pPr>
              <w:spacing w:line="276" w:lineRule="auto"/>
              <w:rPr>
                <w:rFonts w:ascii="方正仿宋_GBK" w:hAnsi="宋体" w:eastAsia="方正仿宋_GBK"/>
                <w:color w:val="auto"/>
                <w:sz w:val="24"/>
                <w:szCs w:val="24"/>
              </w:rPr>
            </w:pPr>
            <w:r>
              <w:rPr>
                <w:rFonts w:hint="eastAsia" w:ascii="方正仿宋_GBK" w:hAnsi="宋体" w:eastAsia="方正仿宋_GBK"/>
                <w:color w:val="auto"/>
                <w:sz w:val="24"/>
                <w:szCs w:val="24"/>
              </w:rPr>
              <w:t>（二）售后服务内容</w:t>
            </w:r>
          </w:p>
          <w:p w14:paraId="6C929D56">
            <w:pPr>
              <w:spacing w:line="276" w:lineRule="auto"/>
              <w:rPr>
                <w:rFonts w:ascii="方正仿宋_GBK" w:hAnsi="宋体" w:eastAsia="方正仿宋_GBK"/>
                <w:color w:val="auto"/>
                <w:sz w:val="24"/>
                <w:szCs w:val="24"/>
              </w:rPr>
            </w:pPr>
          </w:p>
        </w:tc>
      </w:tr>
      <w:tr w14:paraId="0B4D9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17" w:hRule="atLeast"/>
        </w:trPr>
        <w:tc>
          <w:tcPr>
            <w:tcW w:w="9617" w:type="dxa"/>
            <w:gridSpan w:val="9"/>
            <w:vAlign w:val="center"/>
          </w:tcPr>
          <w:p w14:paraId="1ED73586">
            <w:pPr>
              <w:spacing w:line="276" w:lineRule="auto"/>
              <w:rPr>
                <w:rFonts w:ascii="方正仿宋_GBK" w:hAnsi="宋体" w:eastAsia="方正仿宋_GBK"/>
                <w:color w:val="auto"/>
                <w:sz w:val="24"/>
                <w:szCs w:val="24"/>
              </w:rPr>
            </w:pPr>
            <w:r>
              <w:rPr>
                <w:rFonts w:hint="eastAsia" w:ascii="方正仿宋_GBK" w:hAnsi="宋体" w:eastAsia="方正仿宋_GBK"/>
                <w:color w:val="auto"/>
                <w:sz w:val="24"/>
                <w:szCs w:val="24"/>
              </w:rPr>
              <w:t>二、随机备品、附件、工具数量及供应方法</w:t>
            </w:r>
          </w:p>
          <w:p w14:paraId="70BC9D61">
            <w:pPr>
              <w:spacing w:line="276" w:lineRule="auto"/>
              <w:rPr>
                <w:rFonts w:ascii="方正仿宋_GBK" w:hAnsi="宋体" w:eastAsia="方正仿宋_GBK"/>
                <w:color w:val="auto"/>
                <w:sz w:val="24"/>
                <w:szCs w:val="24"/>
              </w:rPr>
            </w:pPr>
          </w:p>
        </w:tc>
      </w:tr>
      <w:tr w14:paraId="16468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55" w:hRule="atLeast"/>
        </w:trPr>
        <w:tc>
          <w:tcPr>
            <w:tcW w:w="9617" w:type="dxa"/>
            <w:gridSpan w:val="9"/>
            <w:vAlign w:val="center"/>
          </w:tcPr>
          <w:p w14:paraId="4F79218D">
            <w:pPr>
              <w:numPr>
                <w:ilvl w:val="0"/>
                <w:numId w:val="3"/>
              </w:numPr>
              <w:spacing w:line="276" w:lineRule="auto"/>
              <w:rPr>
                <w:rFonts w:ascii="方正仿宋_GBK" w:hAnsi="宋体" w:eastAsia="方正仿宋_GBK"/>
                <w:color w:val="auto"/>
                <w:sz w:val="24"/>
                <w:szCs w:val="24"/>
              </w:rPr>
            </w:pPr>
            <w:r>
              <w:rPr>
                <w:rFonts w:hint="eastAsia" w:ascii="方正仿宋_GBK" w:hAnsi="宋体" w:eastAsia="方正仿宋_GBK"/>
                <w:color w:val="auto"/>
                <w:sz w:val="24"/>
                <w:szCs w:val="24"/>
              </w:rPr>
              <w:t>交提货方式</w:t>
            </w:r>
          </w:p>
          <w:p w14:paraId="022BBE49">
            <w:pPr>
              <w:spacing w:line="276" w:lineRule="auto"/>
              <w:rPr>
                <w:rFonts w:ascii="方正仿宋_GBK" w:hAnsi="宋体" w:eastAsia="方正仿宋_GBK"/>
                <w:color w:val="auto"/>
                <w:sz w:val="24"/>
                <w:szCs w:val="24"/>
              </w:rPr>
            </w:pPr>
          </w:p>
        </w:tc>
      </w:tr>
      <w:tr w14:paraId="477C7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32" w:type="dxa"/>
            <w:gridSpan w:val="10"/>
            <w:vAlign w:val="center"/>
          </w:tcPr>
          <w:p w14:paraId="052C244A">
            <w:pPr>
              <w:spacing w:line="276" w:lineRule="auto"/>
              <w:rPr>
                <w:rFonts w:ascii="方正仿宋_GBK" w:hAnsi="宋体" w:eastAsia="方正仿宋_GBK"/>
                <w:color w:val="auto"/>
                <w:sz w:val="24"/>
                <w:szCs w:val="24"/>
              </w:rPr>
            </w:pPr>
            <w:r>
              <w:rPr>
                <w:rFonts w:hint="eastAsia" w:ascii="方正仿宋_GBK" w:hAnsi="宋体" w:eastAsia="方正仿宋_GBK"/>
                <w:color w:val="auto"/>
                <w:sz w:val="24"/>
                <w:szCs w:val="24"/>
              </w:rPr>
              <w:t>四、验收标准、方法</w:t>
            </w:r>
          </w:p>
          <w:p w14:paraId="04DAD460">
            <w:pPr>
              <w:spacing w:line="276" w:lineRule="auto"/>
              <w:rPr>
                <w:rFonts w:ascii="方正仿宋_GBK" w:hAnsi="宋体" w:eastAsia="方正仿宋_GBK"/>
                <w:color w:val="auto"/>
                <w:sz w:val="24"/>
                <w:szCs w:val="24"/>
              </w:rPr>
            </w:pPr>
            <w:r>
              <w:rPr>
                <w:rFonts w:hint="eastAsia" w:ascii="方正仿宋_GBK" w:hAnsi="宋体" w:eastAsia="方正仿宋_GBK"/>
                <w:color w:val="auto"/>
                <w:sz w:val="24"/>
                <w:szCs w:val="24"/>
              </w:rPr>
              <w:t>如有异议，请于 5 日内以书面意见提出。</w:t>
            </w:r>
          </w:p>
        </w:tc>
      </w:tr>
      <w:tr w14:paraId="0D49F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32" w:type="dxa"/>
            <w:gridSpan w:val="10"/>
            <w:vAlign w:val="center"/>
          </w:tcPr>
          <w:p w14:paraId="556F78E0">
            <w:pPr>
              <w:spacing w:line="276" w:lineRule="auto"/>
              <w:rPr>
                <w:rFonts w:ascii="方正仿宋_GBK" w:hAnsi="宋体" w:eastAsia="方正仿宋_GBK"/>
                <w:color w:val="auto"/>
                <w:sz w:val="24"/>
                <w:szCs w:val="24"/>
              </w:rPr>
            </w:pPr>
            <w:r>
              <w:rPr>
                <w:rFonts w:hint="eastAsia" w:ascii="方正仿宋_GBK" w:hAnsi="宋体" w:eastAsia="方正仿宋_GBK"/>
                <w:color w:val="auto"/>
                <w:sz w:val="24"/>
                <w:szCs w:val="24"/>
              </w:rPr>
              <w:t>五、履约保证金</w:t>
            </w:r>
          </w:p>
          <w:p w14:paraId="04437334">
            <w:pPr>
              <w:spacing w:line="276" w:lineRule="auto"/>
              <w:rPr>
                <w:rFonts w:ascii="方正仿宋_GBK" w:hAnsi="宋体" w:eastAsia="方正仿宋_GBK"/>
                <w:color w:val="auto"/>
                <w:sz w:val="24"/>
                <w:szCs w:val="24"/>
              </w:rPr>
            </w:pPr>
          </w:p>
        </w:tc>
      </w:tr>
      <w:tr w14:paraId="18959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9632" w:type="dxa"/>
            <w:gridSpan w:val="10"/>
            <w:vAlign w:val="center"/>
          </w:tcPr>
          <w:p w14:paraId="279CEDED">
            <w:pPr>
              <w:spacing w:line="276" w:lineRule="auto"/>
              <w:rPr>
                <w:rFonts w:ascii="方正仿宋_GBK" w:hAnsi="宋体" w:eastAsia="方正仿宋_GBK"/>
                <w:color w:val="auto"/>
                <w:sz w:val="24"/>
                <w:szCs w:val="24"/>
              </w:rPr>
            </w:pPr>
            <w:r>
              <w:rPr>
                <w:rFonts w:hint="eastAsia" w:ascii="方正仿宋_GBK" w:hAnsi="宋体" w:eastAsia="方正仿宋_GBK"/>
                <w:color w:val="auto"/>
                <w:sz w:val="24"/>
                <w:szCs w:val="24"/>
              </w:rPr>
              <w:t>六、付款方式</w:t>
            </w:r>
          </w:p>
          <w:p w14:paraId="3A7E1430">
            <w:pPr>
              <w:spacing w:line="276" w:lineRule="auto"/>
              <w:rPr>
                <w:rFonts w:ascii="方正仿宋_GBK" w:hAnsi="宋体" w:eastAsia="方正仿宋_GBK"/>
                <w:color w:val="auto"/>
                <w:sz w:val="24"/>
                <w:szCs w:val="24"/>
              </w:rPr>
            </w:pPr>
          </w:p>
        </w:tc>
      </w:tr>
      <w:tr w14:paraId="335CA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632" w:type="dxa"/>
            <w:gridSpan w:val="10"/>
            <w:vAlign w:val="center"/>
          </w:tcPr>
          <w:p w14:paraId="0BDC480F">
            <w:pPr>
              <w:spacing w:line="276" w:lineRule="auto"/>
              <w:rPr>
                <w:rFonts w:ascii="方正仿宋_GBK" w:hAnsi="宋体" w:eastAsia="方正仿宋_GBK"/>
                <w:color w:val="auto"/>
                <w:sz w:val="24"/>
                <w:szCs w:val="24"/>
              </w:rPr>
            </w:pPr>
            <w:r>
              <w:rPr>
                <w:rFonts w:hint="eastAsia" w:ascii="方正仿宋_GBK" w:hAnsi="宋体" w:eastAsia="方正仿宋_GBK"/>
                <w:color w:val="auto"/>
                <w:sz w:val="24"/>
                <w:szCs w:val="24"/>
              </w:rPr>
              <w:t>七、违约责任</w:t>
            </w:r>
          </w:p>
          <w:p w14:paraId="3DC44176">
            <w:pPr>
              <w:spacing w:line="276" w:lineRule="auto"/>
              <w:rPr>
                <w:rFonts w:ascii="方正仿宋_GBK" w:hAnsi="宋体" w:eastAsia="方正仿宋_GBK"/>
                <w:color w:val="auto"/>
                <w:sz w:val="24"/>
                <w:szCs w:val="24"/>
              </w:rPr>
            </w:pPr>
          </w:p>
        </w:tc>
      </w:tr>
      <w:tr w14:paraId="61D40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9632" w:type="dxa"/>
            <w:gridSpan w:val="10"/>
            <w:vAlign w:val="center"/>
          </w:tcPr>
          <w:p w14:paraId="6091F099">
            <w:pPr>
              <w:spacing w:line="276" w:lineRule="auto"/>
              <w:rPr>
                <w:rFonts w:ascii="方正仿宋_GBK" w:hAnsi="宋体" w:eastAsia="方正仿宋_GBK"/>
                <w:color w:val="auto"/>
                <w:sz w:val="24"/>
                <w:szCs w:val="24"/>
              </w:rPr>
            </w:pPr>
            <w:r>
              <w:rPr>
                <w:rFonts w:hint="eastAsia" w:ascii="方正仿宋_GBK" w:hAnsi="宋体" w:eastAsia="方正仿宋_GBK"/>
                <w:color w:val="auto"/>
                <w:sz w:val="24"/>
                <w:szCs w:val="24"/>
              </w:rPr>
              <w:t>八、其他约定事项</w:t>
            </w:r>
          </w:p>
          <w:p w14:paraId="6C9C20CC">
            <w:pPr>
              <w:spacing w:line="276" w:lineRule="auto"/>
              <w:rPr>
                <w:rFonts w:ascii="方正仿宋_GBK" w:hAnsi="宋体" w:eastAsia="方正仿宋_GBK"/>
                <w:color w:val="auto"/>
                <w:sz w:val="24"/>
                <w:szCs w:val="24"/>
              </w:rPr>
            </w:pPr>
            <w:r>
              <w:rPr>
                <w:rFonts w:hint="eastAsia" w:ascii="方正仿宋_GBK" w:hAnsi="宋体" w:eastAsia="方正仿宋_GBK"/>
                <w:color w:val="auto"/>
                <w:sz w:val="24"/>
                <w:szCs w:val="24"/>
              </w:rPr>
              <w:t>（一）招标文件及其补遗文件、投标文件和承诺是本合同不可分割的部分。</w:t>
            </w:r>
          </w:p>
          <w:p w14:paraId="613D9A90">
            <w:pPr>
              <w:spacing w:line="276" w:lineRule="auto"/>
              <w:rPr>
                <w:rFonts w:ascii="方正仿宋_GBK" w:hAnsi="宋体" w:eastAsia="方正仿宋_GBK"/>
                <w:color w:val="auto"/>
                <w:sz w:val="24"/>
                <w:szCs w:val="24"/>
              </w:rPr>
            </w:pPr>
            <w:r>
              <w:rPr>
                <w:rFonts w:hint="eastAsia" w:ascii="方正仿宋_GBK" w:hAnsi="宋体" w:eastAsia="方正仿宋_GBK"/>
                <w:color w:val="auto"/>
                <w:sz w:val="24"/>
                <w:szCs w:val="24"/>
              </w:rPr>
              <w:t>（二）本合同如发生争议由双方协商解决，协商不成向甲方所在人民法院提请诉讼。</w:t>
            </w:r>
          </w:p>
          <w:p w14:paraId="07D63C44">
            <w:pPr>
              <w:spacing w:line="276" w:lineRule="auto"/>
              <w:rPr>
                <w:rFonts w:ascii="方正仿宋_GBK" w:hAnsi="宋体" w:eastAsia="方正仿宋_GBK"/>
                <w:color w:val="auto"/>
                <w:sz w:val="24"/>
                <w:szCs w:val="24"/>
              </w:rPr>
            </w:pPr>
            <w:r>
              <w:rPr>
                <w:rFonts w:hint="eastAsia" w:ascii="方正仿宋_GBK" w:hAnsi="宋体" w:eastAsia="方正仿宋_GBK"/>
                <w:color w:val="auto"/>
                <w:sz w:val="24"/>
                <w:szCs w:val="24"/>
              </w:rPr>
              <w:t>（三）本合同一式陆份，甲方肆份，乙方贰份，具同等法律效力。</w:t>
            </w:r>
          </w:p>
          <w:p w14:paraId="2E121142">
            <w:pPr>
              <w:spacing w:line="276" w:lineRule="auto"/>
              <w:rPr>
                <w:rFonts w:ascii="方正仿宋_GBK" w:hAnsi="宋体" w:eastAsia="方正仿宋_GBK"/>
                <w:color w:val="auto"/>
                <w:sz w:val="24"/>
                <w:szCs w:val="24"/>
              </w:rPr>
            </w:pPr>
            <w:r>
              <w:rPr>
                <w:rFonts w:hint="eastAsia" w:ascii="方正仿宋_GBK" w:hAnsi="宋体" w:eastAsia="方正仿宋_GBK"/>
                <w:color w:val="auto"/>
                <w:sz w:val="24"/>
                <w:szCs w:val="24"/>
              </w:rPr>
              <w:t>（四）甲方在中华人民共和国境内使用乙方提供的货物及服务时免受第三方提出的侵犯其专利权或其它知识产权的起诉。如果第三方提出侵权指控，乙方应承担由此而引起的一切法律责任和费用。</w:t>
            </w:r>
          </w:p>
          <w:p w14:paraId="5264586B">
            <w:pPr>
              <w:spacing w:line="276" w:lineRule="auto"/>
              <w:rPr>
                <w:rFonts w:ascii="方正仿宋_GBK" w:hAnsi="宋体" w:eastAsia="方正仿宋_GBK"/>
                <w:color w:val="auto"/>
                <w:sz w:val="24"/>
                <w:szCs w:val="24"/>
              </w:rPr>
            </w:pPr>
            <w:r>
              <w:rPr>
                <w:rFonts w:hint="eastAsia" w:ascii="方正仿宋_GBK" w:hAnsi="宋体" w:eastAsia="方正仿宋_GBK"/>
                <w:color w:val="auto"/>
                <w:sz w:val="24"/>
                <w:szCs w:val="24"/>
              </w:rPr>
              <w:t>（五）其他：无</w:t>
            </w:r>
          </w:p>
        </w:tc>
      </w:tr>
      <w:tr w14:paraId="4EE0F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4649" w:type="dxa"/>
            <w:gridSpan w:val="5"/>
            <w:vAlign w:val="center"/>
          </w:tcPr>
          <w:p w14:paraId="7F209F08">
            <w:pPr>
              <w:spacing w:line="276" w:lineRule="auto"/>
              <w:rPr>
                <w:rFonts w:ascii="方正仿宋_GBK" w:hAnsi="宋体" w:eastAsia="方正仿宋_GBK"/>
                <w:color w:val="auto"/>
                <w:sz w:val="24"/>
                <w:szCs w:val="24"/>
              </w:rPr>
            </w:pPr>
            <w:r>
              <w:rPr>
                <w:rFonts w:hint="eastAsia" w:ascii="方正仿宋_GBK" w:hAnsi="宋体" w:eastAsia="方正仿宋_GBK"/>
                <w:color w:val="auto"/>
                <w:sz w:val="24"/>
                <w:szCs w:val="24"/>
              </w:rPr>
              <w:t>甲方：重庆工商大学</w:t>
            </w:r>
          </w:p>
          <w:p w14:paraId="48448620">
            <w:pPr>
              <w:spacing w:line="276" w:lineRule="auto"/>
              <w:rPr>
                <w:rFonts w:ascii="方正仿宋_GBK" w:hAnsi="宋体" w:eastAsia="方正仿宋_GBK"/>
                <w:color w:val="auto"/>
                <w:sz w:val="24"/>
                <w:szCs w:val="24"/>
              </w:rPr>
            </w:pPr>
            <w:r>
              <w:rPr>
                <w:rFonts w:hint="eastAsia" w:ascii="方正仿宋_GBK" w:hAnsi="宋体" w:eastAsia="方正仿宋_GBK"/>
                <w:color w:val="auto"/>
                <w:sz w:val="24"/>
                <w:szCs w:val="24"/>
              </w:rPr>
              <w:t>地址：重庆市南岸区学府大道19号</w:t>
            </w:r>
          </w:p>
          <w:p w14:paraId="07E208D2">
            <w:pPr>
              <w:spacing w:line="276" w:lineRule="auto"/>
              <w:rPr>
                <w:rFonts w:ascii="方正仿宋_GBK" w:hAnsi="宋体" w:eastAsia="方正仿宋_GBK"/>
                <w:color w:val="auto"/>
                <w:sz w:val="24"/>
                <w:szCs w:val="24"/>
              </w:rPr>
            </w:pPr>
            <w:r>
              <w:rPr>
                <w:rFonts w:hint="eastAsia" w:ascii="方正仿宋_GBK" w:hAnsi="宋体" w:eastAsia="方正仿宋_GBK"/>
                <w:color w:val="auto"/>
                <w:sz w:val="24"/>
                <w:szCs w:val="24"/>
              </w:rPr>
              <w:t>联系电话：023-62769774</w:t>
            </w:r>
          </w:p>
          <w:p w14:paraId="1EF09B9F">
            <w:pPr>
              <w:spacing w:line="276" w:lineRule="auto"/>
              <w:rPr>
                <w:rFonts w:ascii="方正仿宋_GBK" w:hAnsi="宋体" w:eastAsia="方正仿宋_GBK"/>
                <w:color w:val="auto"/>
                <w:sz w:val="24"/>
                <w:szCs w:val="24"/>
              </w:rPr>
            </w:pPr>
            <w:r>
              <w:rPr>
                <w:rFonts w:hint="eastAsia" w:ascii="方正仿宋_GBK" w:hAnsi="宋体" w:eastAsia="方正仿宋_GBK"/>
                <w:color w:val="auto"/>
                <w:sz w:val="24"/>
                <w:szCs w:val="24"/>
              </w:rPr>
              <w:t>开户行：工行重庆南岸学府支行</w:t>
            </w:r>
          </w:p>
          <w:p w14:paraId="078CF4EA">
            <w:pPr>
              <w:spacing w:line="276" w:lineRule="auto"/>
              <w:rPr>
                <w:rFonts w:ascii="方正仿宋_GBK" w:hAnsi="宋体" w:eastAsia="方正仿宋_GBK"/>
                <w:color w:val="auto"/>
                <w:sz w:val="24"/>
                <w:szCs w:val="24"/>
              </w:rPr>
            </w:pPr>
            <w:r>
              <w:rPr>
                <w:rFonts w:hint="eastAsia" w:ascii="方正仿宋_GBK" w:hAnsi="宋体" w:eastAsia="方正仿宋_GBK"/>
                <w:color w:val="auto"/>
                <w:sz w:val="24"/>
                <w:szCs w:val="24"/>
              </w:rPr>
              <w:t>账号：3100027609024907533</w:t>
            </w:r>
          </w:p>
          <w:p w14:paraId="6B3E8F7F">
            <w:pPr>
              <w:spacing w:line="276" w:lineRule="auto"/>
              <w:jc w:val="left"/>
              <w:rPr>
                <w:rFonts w:ascii="方正仿宋_GBK" w:hAnsi="宋体" w:eastAsia="方正仿宋_GBK"/>
                <w:color w:val="auto"/>
                <w:sz w:val="24"/>
                <w:szCs w:val="24"/>
              </w:rPr>
            </w:pPr>
            <w:r>
              <w:rPr>
                <w:rFonts w:hint="eastAsia" w:ascii="方正仿宋_GBK" w:hAnsi="宋体" w:eastAsia="方正仿宋_GBK"/>
                <w:color w:val="auto"/>
                <w:sz w:val="24"/>
                <w:szCs w:val="24"/>
              </w:rPr>
              <w:t>纳税人识别号:125000007428748822</w:t>
            </w:r>
          </w:p>
          <w:p w14:paraId="77E19515">
            <w:pPr>
              <w:spacing w:line="276" w:lineRule="auto"/>
              <w:rPr>
                <w:rFonts w:ascii="方正仿宋_GBK" w:hAnsi="宋体" w:eastAsia="方正仿宋_GBK"/>
                <w:color w:val="auto"/>
                <w:sz w:val="24"/>
                <w:szCs w:val="24"/>
              </w:rPr>
            </w:pPr>
            <w:r>
              <w:rPr>
                <w:rFonts w:hint="eastAsia" w:ascii="方正仿宋_GBK" w:hAnsi="宋体" w:eastAsia="方正仿宋_GBK"/>
                <w:color w:val="auto"/>
                <w:sz w:val="24"/>
                <w:szCs w:val="24"/>
              </w:rPr>
              <w:t>法定代表人：</w:t>
            </w:r>
          </w:p>
          <w:p w14:paraId="0CE8FF0E">
            <w:pPr>
              <w:spacing w:line="276" w:lineRule="auto"/>
              <w:rPr>
                <w:rFonts w:ascii="方正仿宋_GBK" w:hAnsi="宋体" w:eastAsia="方正仿宋_GBK"/>
                <w:color w:val="auto"/>
                <w:sz w:val="24"/>
                <w:szCs w:val="24"/>
              </w:rPr>
            </w:pPr>
          </w:p>
          <w:p w14:paraId="7117DF11">
            <w:pPr>
              <w:spacing w:line="276" w:lineRule="auto"/>
              <w:rPr>
                <w:rFonts w:ascii="方正仿宋_GBK" w:hAnsi="宋体" w:eastAsia="方正仿宋_GBK"/>
                <w:color w:val="auto"/>
                <w:sz w:val="24"/>
                <w:szCs w:val="24"/>
              </w:rPr>
            </w:pPr>
            <w:r>
              <w:rPr>
                <w:rFonts w:hint="eastAsia" w:ascii="方正仿宋_GBK" w:hAnsi="宋体" w:eastAsia="方正仿宋_GBK"/>
                <w:color w:val="auto"/>
                <w:sz w:val="24"/>
                <w:szCs w:val="24"/>
              </w:rPr>
              <w:t>授权代表：</w:t>
            </w:r>
          </w:p>
        </w:tc>
        <w:tc>
          <w:tcPr>
            <w:tcW w:w="4983" w:type="dxa"/>
            <w:gridSpan w:val="5"/>
            <w:vAlign w:val="center"/>
          </w:tcPr>
          <w:p w14:paraId="1C2E8E55">
            <w:pPr>
              <w:spacing w:line="276" w:lineRule="auto"/>
              <w:rPr>
                <w:rFonts w:ascii="方正仿宋_GBK" w:hAnsi="宋体" w:eastAsia="方正仿宋_GBK"/>
                <w:color w:val="auto"/>
                <w:sz w:val="24"/>
                <w:szCs w:val="24"/>
              </w:rPr>
            </w:pPr>
            <w:r>
              <w:rPr>
                <w:rFonts w:hint="eastAsia" w:ascii="方正仿宋_GBK" w:hAnsi="宋体" w:eastAsia="方正仿宋_GBK"/>
                <w:color w:val="auto"/>
                <w:sz w:val="24"/>
                <w:szCs w:val="24"/>
              </w:rPr>
              <w:t>乙方：</w:t>
            </w:r>
          </w:p>
          <w:p w14:paraId="6E154D3B">
            <w:pPr>
              <w:spacing w:line="276" w:lineRule="auto"/>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地址： </w:t>
            </w:r>
          </w:p>
          <w:p w14:paraId="2EB82F17">
            <w:pPr>
              <w:spacing w:line="276" w:lineRule="auto"/>
              <w:rPr>
                <w:rFonts w:ascii="方正仿宋_GBK" w:hAnsi="宋体" w:eastAsia="方正仿宋_GBK"/>
                <w:color w:val="auto"/>
                <w:sz w:val="24"/>
                <w:szCs w:val="24"/>
              </w:rPr>
            </w:pPr>
            <w:r>
              <w:rPr>
                <w:rFonts w:hint="eastAsia" w:ascii="方正仿宋_GBK" w:hAnsi="宋体" w:eastAsia="方正仿宋_GBK"/>
                <w:color w:val="auto"/>
                <w:sz w:val="24"/>
                <w:szCs w:val="24"/>
              </w:rPr>
              <w:t>联系电话：</w:t>
            </w:r>
          </w:p>
          <w:p w14:paraId="3C4E9A65">
            <w:pPr>
              <w:spacing w:line="276" w:lineRule="auto"/>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开户行： </w:t>
            </w:r>
          </w:p>
          <w:p w14:paraId="20361E50">
            <w:pPr>
              <w:spacing w:line="276" w:lineRule="auto"/>
              <w:rPr>
                <w:rFonts w:ascii="方正仿宋_GBK" w:hAnsi="宋体" w:eastAsia="方正仿宋_GBK"/>
                <w:color w:val="auto"/>
                <w:sz w:val="24"/>
                <w:szCs w:val="24"/>
              </w:rPr>
            </w:pPr>
            <w:r>
              <w:rPr>
                <w:rFonts w:hint="eastAsia" w:ascii="方正仿宋_GBK" w:hAnsi="宋体" w:eastAsia="方正仿宋_GBK"/>
                <w:color w:val="auto"/>
                <w:sz w:val="24"/>
                <w:szCs w:val="24"/>
              </w:rPr>
              <w:t>账号：</w:t>
            </w:r>
          </w:p>
          <w:p w14:paraId="0ED053B6">
            <w:pPr>
              <w:spacing w:line="276" w:lineRule="auto"/>
              <w:rPr>
                <w:rFonts w:ascii="方正仿宋_GBK" w:hAnsi="宋体" w:eastAsia="方正仿宋_GBK"/>
                <w:color w:val="auto"/>
                <w:sz w:val="24"/>
                <w:szCs w:val="24"/>
              </w:rPr>
            </w:pPr>
            <w:r>
              <w:rPr>
                <w:rFonts w:hint="eastAsia" w:ascii="方正仿宋_GBK" w:hAnsi="宋体" w:eastAsia="方正仿宋_GBK"/>
                <w:color w:val="auto"/>
                <w:sz w:val="24"/>
                <w:szCs w:val="24"/>
              </w:rPr>
              <w:t>纳税人识别号:</w:t>
            </w:r>
          </w:p>
          <w:p w14:paraId="74CED190">
            <w:pPr>
              <w:spacing w:line="276" w:lineRule="auto"/>
              <w:rPr>
                <w:rFonts w:ascii="方正仿宋_GBK" w:hAnsi="宋体" w:eastAsia="方正仿宋_GBK"/>
                <w:color w:val="auto"/>
                <w:sz w:val="24"/>
                <w:szCs w:val="24"/>
              </w:rPr>
            </w:pPr>
            <w:r>
              <w:rPr>
                <w:rFonts w:hint="eastAsia" w:ascii="方正仿宋_GBK" w:hAnsi="宋体" w:eastAsia="方正仿宋_GBK"/>
                <w:color w:val="auto"/>
                <w:sz w:val="24"/>
                <w:szCs w:val="24"/>
              </w:rPr>
              <w:t>法定代表人：</w:t>
            </w:r>
          </w:p>
          <w:p w14:paraId="3284CBF1">
            <w:pPr>
              <w:spacing w:line="276" w:lineRule="auto"/>
              <w:rPr>
                <w:rFonts w:ascii="方正仿宋_GBK" w:hAnsi="宋体" w:eastAsia="方正仿宋_GBK"/>
                <w:color w:val="auto"/>
                <w:sz w:val="24"/>
                <w:szCs w:val="24"/>
              </w:rPr>
            </w:pPr>
          </w:p>
          <w:p w14:paraId="3A698B2F">
            <w:pPr>
              <w:spacing w:line="276" w:lineRule="auto"/>
              <w:rPr>
                <w:rFonts w:ascii="方正仿宋_GBK" w:hAnsi="宋体" w:eastAsia="方正仿宋_GBK"/>
                <w:color w:val="auto"/>
                <w:sz w:val="24"/>
                <w:szCs w:val="24"/>
              </w:rPr>
            </w:pPr>
            <w:r>
              <w:rPr>
                <w:rFonts w:hint="eastAsia" w:ascii="方正仿宋_GBK" w:hAnsi="宋体" w:eastAsia="方正仿宋_GBK"/>
                <w:color w:val="auto"/>
                <w:sz w:val="24"/>
                <w:szCs w:val="24"/>
              </w:rPr>
              <w:t>授权代表：</w:t>
            </w:r>
          </w:p>
        </w:tc>
      </w:tr>
      <w:tr w14:paraId="44CF0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632" w:type="dxa"/>
            <w:gridSpan w:val="10"/>
            <w:vAlign w:val="center"/>
          </w:tcPr>
          <w:p w14:paraId="122D5D67">
            <w:pPr>
              <w:spacing w:line="276" w:lineRule="auto"/>
              <w:rPr>
                <w:rFonts w:ascii="方正仿宋_GBK" w:hAnsi="宋体" w:eastAsia="方正仿宋_GBK"/>
                <w:color w:val="auto"/>
                <w:sz w:val="24"/>
                <w:szCs w:val="24"/>
              </w:rPr>
            </w:pPr>
            <w:r>
              <w:rPr>
                <w:rFonts w:hint="eastAsia" w:ascii="方正仿宋_GBK" w:hAnsi="宋体" w:eastAsia="方正仿宋_GBK"/>
                <w:color w:val="auto"/>
                <w:sz w:val="24"/>
                <w:szCs w:val="24"/>
              </w:rPr>
              <w:t>备注：技术参数，培训方案，售后服务能力和优惠承诺，备品备件及耗材清单</w:t>
            </w:r>
          </w:p>
        </w:tc>
      </w:tr>
    </w:tbl>
    <w:p w14:paraId="3CF9B6E5">
      <w:pPr>
        <w:spacing w:line="276" w:lineRule="auto"/>
        <w:rPr>
          <w:rFonts w:ascii="方正仿宋_GBK" w:hAnsi="宋体" w:eastAsia="方正仿宋_GBK"/>
          <w:color w:val="auto"/>
          <w:sz w:val="24"/>
          <w:szCs w:val="24"/>
        </w:rPr>
      </w:pPr>
      <w:r>
        <w:rPr>
          <w:rFonts w:hint="eastAsia" w:ascii="方正仿宋_GBK" w:hAnsi="宋体" w:eastAsia="方正仿宋_GBK"/>
          <w:color w:val="auto"/>
          <w:sz w:val="24"/>
          <w:szCs w:val="24"/>
        </w:rPr>
        <w:t>签约时间：     年   月   日                签约地点：重庆工商大学</w:t>
      </w:r>
    </w:p>
    <w:p w14:paraId="3DD2E5FC">
      <w:pPr>
        <w:spacing w:line="276" w:lineRule="auto"/>
        <w:outlineLvl w:val="1"/>
        <w:rPr>
          <w:rFonts w:ascii="方正仿宋_GBK" w:hAnsi="宋体" w:eastAsia="方正仿宋_GBK"/>
          <w:b/>
          <w:color w:val="auto"/>
          <w:sz w:val="24"/>
          <w:szCs w:val="24"/>
        </w:rPr>
      </w:pPr>
      <w:r>
        <w:rPr>
          <w:rFonts w:hint="eastAsia" w:ascii="方正仿宋_GBK" w:eastAsia="方正仿宋_GBK"/>
          <w:color w:val="auto"/>
          <w:sz w:val="24"/>
          <w:szCs w:val="24"/>
        </w:rPr>
        <w:br w:type="page"/>
      </w:r>
      <w:bookmarkStart w:id="198" w:name="_Toc5567252"/>
      <w:r>
        <w:rPr>
          <w:rFonts w:hint="eastAsia" w:ascii="方正仿宋_GBK" w:hAnsi="宋体" w:eastAsia="方正仿宋_GBK"/>
          <w:b/>
          <w:color w:val="auto"/>
          <w:sz w:val="24"/>
          <w:szCs w:val="24"/>
        </w:rPr>
        <w:t>二、廉洁协议格式：</w:t>
      </w:r>
      <w:bookmarkEnd w:id="198"/>
    </w:p>
    <w:p w14:paraId="333D33C3">
      <w:pPr>
        <w:snapToGrid w:val="0"/>
        <w:spacing w:line="360" w:lineRule="auto"/>
        <w:jc w:val="center"/>
        <w:rPr>
          <w:rFonts w:ascii="仿宋" w:hAnsi="仿宋" w:eastAsia="仿宋" w:cs="仿宋"/>
          <w:b/>
          <w:bCs/>
          <w:color w:val="auto"/>
          <w:sz w:val="32"/>
          <w:szCs w:val="44"/>
        </w:rPr>
      </w:pPr>
      <w:r>
        <w:rPr>
          <w:rFonts w:hint="eastAsia" w:ascii="仿宋" w:hAnsi="仿宋" w:eastAsia="仿宋" w:cs="仿宋"/>
          <w:b/>
          <w:bCs/>
          <w:color w:val="auto"/>
          <w:sz w:val="32"/>
          <w:szCs w:val="44"/>
        </w:rPr>
        <w:t>重庆工商大学货物服务类采购廉洁协议</w:t>
      </w:r>
    </w:p>
    <w:p w14:paraId="1DCAD4AA">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（项目名称：）</w:t>
      </w:r>
    </w:p>
    <w:p w14:paraId="5D23CC16">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zh-TW"/>
        </w:rPr>
        <w:t>采购项目编号：</w:t>
      </w:r>
      <w:r>
        <w:rPr>
          <w:rFonts w:hint="eastAsia" w:ascii="仿宋" w:hAnsi="仿宋" w:eastAsia="仿宋" w:cs="仿宋"/>
          <w:color w:val="auto"/>
          <w:sz w:val="24"/>
          <w:szCs w:val="24"/>
        </w:rPr>
        <w:t>）</w:t>
      </w:r>
    </w:p>
    <w:p w14:paraId="746CB4B8">
      <w:pPr>
        <w:spacing w:line="360" w:lineRule="auto"/>
        <w:rPr>
          <w:rFonts w:ascii="仿宋" w:hAnsi="仿宋" w:eastAsia="仿宋" w:cs="仿宋"/>
          <w:color w:val="auto"/>
          <w:sz w:val="24"/>
          <w:szCs w:val="24"/>
        </w:rPr>
      </w:pPr>
    </w:p>
    <w:tbl>
      <w:tblPr>
        <w:tblStyle w:val="21"/>
        <w:tblW w:w="101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30"/>
        <w:gridCol w:w="5085"/>
      </w:tblGrid>
      <w:tr w14:paraId="15307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4" w:hRule="atLeast"/>
          <w:jc w:val="center"/>
        </w:trPr>
        <w:tc>
          <w:tcPr>
            <w:tcW w:w="5030" w:type="dxa"/>
          </w:tcPr>
          <w:p w14:paraId="0B438B5C">
            <w:pPr>
              <w:tabs>
                <w:tab w:val="left" w:pos="5387"/>
              </w:tabs>
              <w:spacing w:line="360" w:lineRule="auto"/>
              <w:rPr>
                <w:rFonts w:ascii="仿宋" w:hAnsi="仿宋" w:eastAsia="仿宋" w:cs="仿宋"/>
                <w:color w:val="auto"/>
                <w:sz w:val="24"/>
                <w:szCs w:val="24"/>
              </w:rPr>
            </w:pPr>
            <w:r>
              <w:rPr>
                <w:rFonts w:hint="eastAsia" w:ascii="仿宋" w:hAnsi="仿宋" w:eastAsia="仿宋" w:cs="仿宋"/>
                <w:color w:val="auto"/>
                <w:sz w:val="24"/>
                <w:szCs w:val="24"/>
              </w:rPr>
              <w:t>需方：</w:t>
            </w:r>
            <w:r>
              <w:rPr>
                <w:rFonts w:hint="eastAsia" w:ascii="仿宋" w:hAnsi="仿宋" w:eastAsia="仿宋" w:cs="仿宋"/>
                <w:color w:val="auto"/>
                <w:sz w:val="24"/>
                <w:szCs w:val="24"/>
                <w:u w:val="single"/>
              </w:rPr>
              <w:t>重庆工商大学</w:t>
            </w:r>
          </w:p>
        </w:tc>
        <w:tc>
          <w:tcPr>
            <w:tcW w:w="5085" w:type="dxa"/>
          </w:tcPr>
          <w:p w14:paraId="011AA379">
            <w:pPr>
              <w:tabs>
                <w:tab w:val="left" w:pos="5387"/>
              </w:tabs>
              <w:spacing w:line="360" w:lineRule="auto"/>
              <w:ind w:left="840" w:hanging="840" w:hangingChars="350"/>
              <w:rPr>
                <w:rFonts w:ascii="仿宋" w:hAnsi="仿宋" w:eastAsia="仿宋" w:cs="仿宋"/>
                <w:color w:val="auto"/>
                <w:u w:val="single"/>
              </w:rPr>
            </w:pPr>
            <w:r>
              <w:rPr>
                <w:rFonts w:hint="eastAsia" w:ascii="仿宋" w:hAnsi="仿宋" w:eastAsia="仿宋" w:cs="仿宋"/>
                <w:color w:val="auto"/>
                <w:sz w:val="24"/>
                <w:szCs w:val="24"/>
              </w:rPr>
              <w:t>供方：</w:t>
            </w:r>
            <w:r>
              <w:rPr>
                <w:rFonts w:hint="eastAsia" w:ascii="仿宋" w:hAnsi="仿宋" w:eastAsia="仿宋" w:cs="仿宋"/>
                <w:color w:val="auto"/>
                <w:sz w:val="24"/>
                <w:szCs w:val="24"/>
                <w:u w:val="single"/>
              </w:rPr>
              <w:t xml:space="preserve">               </w:t>
            </w:r>
          </w:p>
        </w:tc>
      </w:tr>
    </w:tbl>
    <w:p w14:paraId="619A4572">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为认真贯彻落实党中央、国务院关于从源头上预防和治理腐败的精神，加强采购活动全过程的管理和廉政建设，保证采购活动公开、公平、公正，保护国家、集体和当事人的合法利益，防止发生各种谋取不正当利益的违法违纪行为。经双方同意，在签订采购合同的同时，自愿签订本廉洁协议。</w:t>
      </w:r>
    </w:p>
    <w:p w14:paraId="488CE427">
      <w:pPr>
        <w:spacing w:line="360" w:lineRule="auto"/>
        <w:ind w:firstLine="570"/>
        <w:rPr>
          <w:rFonts w:ascii="仿宋" w:hAnsi="仿宋" w:eastAsia="仿宋" w:cs="仿宋"/>
          <w:color w:val="auto"/>
          <w:sz w:val="24"/>
          <w:szCs w:val="24"/>
        </w:rPr>
      </w:pPr>
      <w:r>
        <w:rPr>
          <w:rFonts w:hint="eastAsia" w:ascii="仿宋" w:hAnsi="仿宋" w:eastAsia="仿宋" w:cs="仿宋"/>
          <w:color w:val="auto"/>
          <w:sz w:val="24"/>
          <w:szCs w:val="24"/>
        </w:rPr>
        <w:t>（一）需供双方应当自觉遵守国家有关廉政建设的法律法规，杜绝商业贿赂和不正当竞争。</w:t>
      </w:r>
    </w:p>
    <w:p w14:paraId="6C9E9ACB">
      <w:pPr>
        <w:spacing w:line="360" w:lineRule="auto"/>
        <w:ind w:firstLine="570"/>
        <w:rPr>
          <w:rFonts w:ascii="仿宋" w:hAnsi="仿宋" w:eastAsia="仿宋" w:cs="仿宋"/>
          <w:color w:val="auto"/>
          <w:sz w:val="24"/>
          <w:szCs w:val="24"/>
        </w:rPr>
      </w:pPr>
      <w:r>
        <w:rPr>
          <w:rFonts w:hint="eastAsia" w:ascii="仿宋" w:hAnsi="仿宋" w:eastAsia="仿宋" w:cs="仿宋"/>
          <w:color w:val="auto"/>
          <w:sz w:val="24"/>
          <w:szCs w:val="24"/>
        </w:rPr>
        <w:t>（二）需方需求部门有责任和义务公平公正地对需采购的货物或服务做好充分的市场调研，在综合分析不同供应商产品技术参数的前提下，确定合理的预算和技术参数，并在此基础上形成真实可信、切实可行的采购需求方案，表达规范、含义准确，并充分考虑后续采购竞争性，且不得出现与政府采购负面清单相违背的内容。</w:t>
      </w:r>
    </w:p>
    <w:p w14:paraId="7D2BBB53">
      <w:pPr>
        <w:spacing w:line="360" w:lineRule="auto"/>
        <w:ind w:firstLine="570"/>
        <w:rPr>
          <w:rFonts w:ascii="仿宋" w:hAnsi="仿宋" w:eastAsia="仿宋" w:cs="仿宋"/>
          <w:color w:val="auto"/>
          <w:sz w:val="24"/>
          <w:szCs w:val="24"/>
        </w:rPr>
      </w:pPr>
      <w:r>
        <w:rPr>
          <w:rFonts w:hint="eastAsia" w:ascii="仿宋" w:hAnsi="仿宋" w:eastAsia="仿宋" w:cs="仿宋"/>
          <w:color w:val="auto"/>
          <w:sz w:val="24"/>
          <w:szCs w:val="24"/>
        </w:rPr>
        <w:t>（三）需方采购部门应严格按照政府采购相关法律法规组织开评标，加强评审过程的规范性管理，客观公正对待评审结果，按照依法推荐的中标（成交）候选供应商顺序确定中标（成交）供应商。供需双方应依法合规签订合同，并严控合同变更，不得对招标（采购）文件和供方的投标（响应）文件作实质性修改，不得私下订立背离合同实质性内容的协议。</w:t>
      </w:r>
    </w:p>
    <w:p w14:paraId="0D4EF561">
      <w:pPr>
        <w:spacing w:line="360" w:lineRule="auto"/>
        <w:ind w:firstLine="570"/>
        <w:rPr>
          <w:rFonts w:ascii="仿宋" w:hAnsi="仿宋" w:eastAsia="仿宋" w:cs="仿宋"/>
          <w:color w:val="auto"/>
          <w:sz w:val="24"/>
          <w:szCs w:val="24"/>
        </w:rPr>
      </w:pPr>
      <w:r>
        <w:rPr>
          <w:rFonts w:hint="eastAsia" w:ascii="仿宋" w:hAnsi="仿宋" w:eastAsia="仿宋" w:cs="仿宋"/>
          <w:color w:val="auto"/>
          <w:sz w:val="24"/>
          <w:szCs w:val="24"/>
        </w:rPr>
        <w:t>（四）需方需求部门应加强采购项目的后续履约管理，做好到货验收，积极为供方进场履约提供相应保障，积极配合供方进行安装调试。</w:t>
      </w:r>
      <w:r>
        <w:rPr>
          <w:rFonts w:hint="eastAsia" w:ascii="仿宋" w:hAnsi="仿宋" w:eastAsia="仿宋" w:cs="仿宋"/>
          <w:color w:val="auto"/>
          <w:sz w:val="24"/>
          <w:szCs w:val="24"/>
          <w:lang w:val="zh-TW"/>
        </w:rPr>
        <w:t>若到货产品品牌、型号、质量、样式及规格参数等与合同、采购文件的规定不符的，供方不得进行设备安装。</w:t>
      </w:r>
      <w:r>
        <w:rPr>
          <w:rFonts w:hint="eastAsia" w:ascii="仿宋" w:hAnsi="仿宋" w:eastAsia="仿宋" w:cs="仿宋"/>
          <w:color w:val="auto"/>
          <w:sz w:val="24"/>
          <w:szCs w:val="24"/>
        </w:rPr>
        <w:t>需方资产管理部门或考核牵头部门应严格按照合同与招标（采购）文件内容进行验收或考核，双方不得出现未达到验收或考核条件弄虚作假以致验收考核虚假通过等情形。</w:t>
      </w:r>
    </w:p>
    <w:p w14:paraId="566D8905">
      <w:pPr>
        <w:spacing w:line="360" w:lineRule="auto"/>
        <w:ind w:firstLine="570"/>
        <w:rPr>
          <w:rFonts w:ascii="仿宋" w:hAnsi="仿宋" w:eastAsia="仿宋" w:cs="仿宋"/>
          <w:color w:val="auto"/>
          <w:sz w:val="24"/>
          <w:szCs w:val="24"/>
        </w:rPr>
      </w:pPr>
      <w:r>
        <w:rPr>
          <w:rFonts w:hint="eastAsia" w:ascii="仿宋" w:hAnsi="仿宋" w:eastAsia="仿宋" w:cs="仿宋"/>
          <w:color w:val="auto"/>
          <w:sz w:val="24"/>
          <w:szCs w:val="24"/>
        </w:rPr>
        <w:t>（五）需方相关人员及其近亲属不得参加供方和相关单位的宴请、健身和娱乐活动，不得向供方索贿或变相索贿，不得以任何借口向供方和相关单位索要或接受回扣、礼金、有价证券、贵重物品和好处费、感谢费等，不得要求供方报销应由需方或个人支付的费用。</w:t>
      </w:r>
    </w:p>
    <w:p w14:paraId="21EA9CFA">
      <w:pPr>
        <w:spacing w:line="360" w:lineRule="auto"/>
        <w:ind w:firstLine="570"/>
        <w:rPr>
          <w:rFonts w:ascii="仿宋" w:hAnsi="仿宋" w:eastAsia="仿宋" w:cs="仿宋"/>
          <w:color w:val="auto"/>
          <w:sz w:val="24"/>
          <w:szCs w:val="24"/>
        </w:rPr>
      </w:pPr>
      <w:r>
        <w:rPr>
          <w:rFonts w:hint="eastAsia" w:ascii="仿宋" w:hAnsi="仿宋" w:eastAsia="仿宋" w:cs="仿宋"/>
          <w:color w:val="auto"/>
          <w:sz w:val="24"/>
          <w:szCs w:val="24"/>
        </w:rPr>
        <w:t>（六）供方不得邀请需方相关人员及其近亲属参加宴请、健身和娱乐活动，不得赠送回扣、礼金、有价证券、贵重物品和好处费、感谢费等，不得代为报销应由需方或个人支付的费用。</w:t>
      </w:r>
    </w:p>
    <w:p w14:paraId="6E48A0C7">
      <w:pPr>
        <w:spacing w:line="360" w:lineRule="auto"/>
        <w:ind w:firstLine="570"/>
        <w:rPr>
          <w:rFonts w:ascii="仿宋" w:hAnsi="仿宋" w:eastAsia="仿宋" w:cs="仿宋"/>
          <w:color w:val="auto"/>
          <w:sz w:val="24"/>
          <w:szCs w:val="24"/>
        </w:rPr>
      </w:pPr>
      <w:r>
        <w:rPr>
          <w:rFonts w:hint="eastAsia" w:ascii="仿宋" w:hAnsi="仿宋" w:eastAsia="仿宋" w:cs="仿宋"/>
          <w:color w:val="auto"/>
          <w:sz w:val="24"/>
          <w:szCs w:val="24"/>
        </w:rPr>
        <w:t>（七）若需方出现违反本廉洁协议之行为的，依据相关法律法规和学校制度给予党纪、政纪处分或组织处理，涉嫌犯罪的，移交司法机关追究刑事责任；若供方出现违反本廉洁协议之行为的，需方有权直接终止合同，并将供方记入需方采购与招投标工作黑名单，同时供方应承担给需方造成的一切损失。</w:t>
      </w:r>
    </w:p>
    <w:p w14:paraId="473BE363">
      <w:pPr>
        <w:spacing w:line="360" w:lineRule="auto"/>
        <w:ind w:firstLine="555"/>
        <w:rPr>
          <w:rFonts w:ascii="仿宋" w:hAnsi="仿宋" w:eastAsia="仿宋" w:cs="仿宋"/>
          <w:color w:val="auto"/>
          <w:sz w:val="24"/>
          <w:szCs w:val="24"/>
        </w:rPr>
      </w:pPr>
      <w:r>
        <w:rPr>
          <w:rFonts w:hint="eastAsia" w:ascii="仿宋" w:hAnsi="仿宋" w:eastAsia="仿宋" w:cs="仿宋"/>
          <w:color w:val="auto"/>
          <w:sz w:val="24"/>
          <w:szCs w:val="24"/>
        </w:rPr>
        <w:t>（八）供需双方均应分别加强对相关人员廉洁教育，强化人员法纪意识，杜绝行贿、受贿、索贿（变相索贿）等违法乱纪行为发生，坚守纪律红线、法律准线、道德底线、责任钢线。</w:t>
      </w:r>
    </w:p>
    <w:p w14:paraId="11DCB2A5">
      <w:pPr>
        <w:spacing w:line="360" w:lineRule="auto"/>
        <w:ind w:firstLine="555"/>
        <w:rPr>
          <w:rFonts w:ascii="仿宋" w:hAnsi="仿宋" w:eastAsia="仿宋" w:cs="仿宋"/>
          <w:color w:val="auto"/>
          <w:sz w:val="24"/>
          <w:szCs w:val="24"/>
        </w:rPr>
      </w:pPr>
      <w:r>
        <w:rPr>
          <w:rFonts w:hint="eastAsia" w:ascii="仿宋" w:hAnsi="仿宋" w:eastAsia="仿宋" w:cs="仿宋"/>
          <w:color w:val="auto"/>
          <w:sz w:val="24"/>
          <w:szCs w:val="24"/>
        </w:rPr>
        <w:t>（九）需方相关人员包含但不限于需方需求部门、归口部门、考核牵头部门、采购部门、资产管理部门等相关人员。</w:t>
      </w:r>
    </w:p>
    <w:p w14:paraId="7DB1CC71">
      <w:pPr>
        <w:spacing w:line="360" w:lineRule="auto"/>
        <w:ind w:firstLine="555"/>
        <w:rPr>
          <w:rFonts w:ascii="仿宋" w:hAnsi="仿宋" w:eastAsia="仿宋" w:cs="仿宋"/>
          <w:color w:val="auto"/>
          <w:sz w:val="24"/>
          <w:szCs w:val="24"/>
        </w:rPr>
      </w:pPr>
      <w:r>
        <w:rPr>
          <w:rFonts w:hint="eastAsia" w:ascii="仿宋" w:hAnsi="仿宋" w:eastAsia="仿宋" w:cs="仿宋"/>
          <w:color w:val="auto"/>
          <w:sz w:val="24"/>
          <w:szCs w:val="24"/>
        </w:rPr>
        <w:t>（十）本协议作为采购合同的组成部分，具有同等法律效力。此协议一式叁份，需方贰份，供方壹份，自各方签字后生效。</w:t>
      </w:r>
    </w:p>
    <w:p w14:paraId="7E55A7F8">
      <w:pPr>
        <w:tabs>
          <w:tab w:val="left" w:pos="5387"/>
        </w:tabs>
        <w:spacing w:line="360" w:lineRule="auto"/>
        <w:rPr>
          <w:rFonts w:ascii="仿宋" w:hAnsi="仿宋" w:eastAsia="仿宋" w:cs="仿宋"/>
          <w:color w:val="auto"/>
          <w:sz w:val="24"/>
          <w:szCs w:val="24"/>
        </w:rPr>
      </w:pPr>
    </w:p>
    <w:tbl>
      <w:tblPr>
        <w:tblStyle w:val="21"/>
        <w:tblW w:w="101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30"/>
        <w:gridCol w:w="5085"/>
      </w:tblGrid>
      <w:tr w14:paraId="0D81F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5030" w:type="dxa"/>
          </w:tcPr>
          <w:p w14:paraId="308C82CB">
            <w:pPr>
              <w:tabs>
                <w:tab w:val="left" w:pos="5387"/>
              </w:tabs>
              <w:spacing w:line="360" w:lineRule="auto"/>
              <w:rPr>
                <w:rFonts w:ascii="仿宋" w:hAnsi="仿宋" w:eastAsia="仿宋" w:cs="仿宋"/>
                <w:color w:val="auto"/>
                <w:sz w:val="24"/>
                <w:szCs w:val="24"/>
              </w:rPr>
            </w:pPr>
            <w:r>
              <w:rPr>
                <w:rFonts w:hint="eastAsia" w:ascii="仿宋" w:hAnsi="仿宋" w:eastAsia="仿宋" w:cs="仿宋"/>
                <w:color w:val="auto"/>
                <w:sz w:val="24"/>
                <w:szCs w:val="24"/>
              </w:rPr>
              <w:t>需方：重庆工商大学（盖章）</w:t>
            </w:r>
          </w:p>
        </w:tc>
        <w:tc>
          <w:tcPr>
            <w:tcW w:w="5085" w:type="dxa"/>
          </w:tcPr>
          <w:p w14:paraId="774E3818">
            <w:pPr>
              <w:tabs>
                <w:tab w:val="left" w:pos="5387"/>
              </w:tabs>
              <w:spacing w:line="360" w:lineRule="auto"/>
              <w:ind w:left="840" w:hanging="840" w:hangingChars="350"/>
              <w:rPr>
                <w:rFonts w:ascii="仿宋" w:hAnsi="仿宋" w:eastAsia="仿宋" w:cs="仿宋"/>
                <w:color w:val="auto"/>
              </w:rPr>
            </w:pPr>
            <w:r>
              <w:rPr>
                <w:rFonts w:hint="eastAsia" w:ascii="仿宋" w:hAnsi="仿宋" w:eastAsia="仿宋" w:cs="仿宋"/>
                <w:color w:val="auto"/>
                <w:sz w:val="24"/>
                <w:szCs w:val="24"/>
              </w:rPr>
              <w:t>供方：（盖章）</w:t>
            </w:r>
          </w:p>
        </w:tc>
      </w:tr>
      <w:tr w14:paraId="24E83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30" w:type="dxa"/>
          </w:tcPr>
          <w:p w14:paraId="4DFF4AD0">
            <w:pPr>
              <w:tabs>
                <w:tab w:val="left" w:pos="5387"/>
              </w:tabs>
              <w:spacing w:line="360" w:lineRule="auto"/>
              <w:rPr>
                <w:rFonts w:ascii="仿宋" w:hAnsi="仿宋" w:eastAsia="仿宋" w:cs="仿宋"/>
                <w:color w:val="auto"/>
                <w:sz w:val="24"/>
                <w:szCs w:val="24"/>
              </w:rPr>
            </w:pPr>
            <w:r>
              <w:rPr>
                <w:rFonts w:hint="eastAsia" w:ascii="仿宋" w:hAnsi="仿宋" w:eastAsia="仿宋" w:cs="仿宋"/>
                <w:color w:val="auto"/>
                <w:sz w:val="24"/>
                <w:szCs w:val="24"/>
              </w:rPr>
              <w:t>采购与招投标管理中心（签字）：</w:t>
            </w:r>
          </w:p>
          <w:p w14:paraId="54544023">
            <w:pPr>
              <w:tabs>
                <w:tab w:val="left" w:pos="5387"/>
              </w:tabs>
              <w:spacing w:line="360" w:lineRule="auto"/>
              <w:rPr>
                <w:rFonts w:ascii="仿宋" w:hAnsi="仿宋" w:eastAsia="仿宋" w:cs="仿宋"/>
                <w:color w:val="auto"/>
                <w:sz w:val="24"/>
                <w:szCs w:val="24"/>
              </w:rPr>
            </w:pPr>
          </w:p>
        </w:tc>
        <w:tc>
          <w:tcPr>
            <w:tcW w:w="5085" w:type="dxa"/>
          </w:tcPr>
          <w:p w14:paraId="056EC4DA">
            <w:pPr>
              <w:tabs>
                <w:tab w:val="left" w:pos="5387"/>
              </w:tabs>
              <w:spacing w:line="360" w:lineRule="auto"/>
              <w:rPr>
                <w:rFonts w:ascii="仿宋" w:hAnsi="仿宋" w:eastAsia="仿宋" w:cs="仿宋"/>
                <w:color w:val="auto"/>
                <w:sz w:val="24"/>
                <w:szCs w:val="24"/>
              </w:rPr>
            </w:pPr>
            <w:r>
              <w:rPr>
                <w:rFonts w:hint="eastAsia" w:ascii="仿宋" w:hAnsi="仿宋" w:eastAsia="仿宋" w:cs="仿宋"/>
                <w:color w:val="auto"/>
                <w:sz w:val="24"/>
                <w:szCs w:val="24"/>
              </w:rPr>
              <w:t>法定代表人（签字）：</w:t>
            </w:r>
          </w:p>
        </w:tc>
      </w:tr>
      <w:tr w14:paraId="38819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jc w:val="center"/>
        </w:trPr>
        <w:tc>
          <w:tcPr>
            <w:tcW w:w="5030" w:type="dxa"/>
          </w:tcPr>
          <w:p w14:paraId="44F17A28">
            <w:pPr>
              <w:tabs>
                <w:tab w:val="left" w:pos="5387"/>
              </w:tabs>
              <w:spacing w:line="360" w:lineRule="auto"/>
              <w:rPr>
                <w:rFonts w:ascii="仿宋" w:hAnsi="仿宋" w:eastAsia="仿宋" w:cs="仿宋"/>
                <w:color w:val="auto"/>
                <w:sz w:val="24"/>
                <w:szCs w:val="24"/>
              </w:rPr>
            </w:pPr>
            <w:r>
              <w:rPr>
                <w:rFonts w:hint="eastAsia" w:ascii="仿宋" w:hAnsi="仿宋" w:eastAsia="仿宋" w:cs="仿宋"/>
                <w:color w:val="auto"/>
                <w:sz w:val="24"/>
                <w:szCs w:val="24"/>
              </w:rPr>
              <w:t>需求部门（签字）：</w:t>
            </w:r>
          </w:p>
          <w:p w14:paraId="7926B337">
            <w:pPr>
              <w:tabs>
                <w:tab w:val="left" w:pos="5387"/>
              </w:tabs>
              <w:spacing w:line="360" w:lineRule="auto"/>
              <w:rPr>
                <w:rFonts w:ascii="仿宋" w:hAnsi="仿宋" w:eastAsia="仿宋" w:cs="仿宋"/>
                <w:color w:val="auto"/>
              </w:rPr>
            </w:pPr>
          </w:p>
        </w:tc>
        <w:tc>
          <w:tcPr>
            <w:tcW w:w="5085" w:type="dxa"/>
          </w:tcPr>
          <w:p w14:paraId="56521252">
            <w:pPr>
              <w:tabs>
                <w:tab w:val="left" w:pos="5387"/>
              </w:tabs>
              <w:spacing w:line="360" w:lineRule="auto"/>
              <w:rPr>
                <w:rFonts w:ascii="仿宋" w:hAnsi="仿宋" w:eastAsia="仿宋" w:cs="仿宋"/>
                <w:color w:val="auto"/>
                <w:sz w:val="24"/>
                <w:szCs w:val="24"/>
              </w:rPr>
            </w:pPr>
            <w:r>
              <w:rPr>
                <w:rFonts w:hint="eastAsia" w:ascii="仿宋" w:hAnsi="仿宋" w:eastAsia="仿宋" w:cs="仿宋"/>
                <w:color w:val="auto"/>
                <w:sz w:val="24"/>
                <w:szCs w:val="24"/>
              </w:rPr>
              <w:t>授权代表（签字）：</w:t>
            </w:r>
          </w:p>
        </w:tc>
      </w:tr>
      <w:tr w14:paraId="54A77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jc w:val="center"/>
        </w:trPr>
        <w:tc>
          <w:tcPr>
            <w:tcW w:w="5030" w:type="dxa"/>
          </w:tcPr>
          <w:p w14:paraId="2802DDCE">
            <w:pPr>
              <w:tabs>
                <w:tab w:val="left" w:pos="5387"/>
              </w:tabs>
              <w:spacing w:line="360" w:lineRule="auto"/>
              <w:rPr>
                <w:rFonts w:ascii="仿宋" w:hAnsi="仿宋" w:eastAsia="仿宋" w:cs="仿宋"/>
                <w:color w:val="auto"/>
              </w:rPr>
            </w:pPr>
            <w:r>
              <w:rPr>
                <w:rFonts w:hint="eastAsia" w:ascii="仿宋" w:hAnsi="仿宋" w:eastAsia="仿宋" w:cs="仿宋"/>
                <w:color w:val="auto"/>
                <w:sz w:val="24"/>
                <w:szCs w:val="24"/>
              </w:rPr>
              <w:t>考核牵头部门（签字）：</w:t>
            </w:r>
          </w:p>
        </w:tc>
        <w:tc>
          <w:tcPr>
            <w:tcW w:w="5085" w:type="dxa"/>
          </w:tcPr>
          <w:p w14:paraId="40D90B70">
            <w:pPr>
              <w:tabs>
                <w:tab w:val="left" w:pos="5387"/>
              </w:tabs>
              <w:spacing w:line="360" w:lineRule="auto"/>
              <w:rPr>
                <w:rFonts w:ascii="仿宋" w:hAnsi="仿宋" w:eastAsia="仿宋" w:cs="仿宋"/>
                <w:color w:val="auto"/>
                <w:sz w:val="24"/>
                <w:szCs w:val="24"/>
              </w:rPr>
            </w:pPr>
          </w:p>
        </w:tc>
      </w:tr>
    </w:tbl>
    <w:p w14:paraId="5C9DFE4A">
      <w:pPr>
        <w:spacing w:line="276" w:lineRule="auto"/>
        <w:rPr>
          <w:rFonts w:ascii="方正仿宋_GBK" w:hAnsi="宋体" w:eastAsia="方正仿宋_GBK"/>
          <w:color w:val="auto"/>
          <w:sz w:val="24"/>
          <w:szCs w:val="24"/>
        </w:rPr>
      </w:pPr>
    </w:p>
    <w:p w14:paraId="403557D5">
      <w:pPr>
        <w:rPr>
          <w:rFonts w:ascii="方正仿宋_GBK" w:eastAsia="方正仿宋_GBK"/>
          <w:b/>
          <w:bCs/>
          <w:color w:val="auto"/>
          <w:sz w:val="24"/>
          <w:szCs w:val="24"/>
        </w:rPr>
      </w:pPr>
      <w:r>
        <w:rPr>
          <w:rFonts w:hint="eastAsia" w:ascii="方正仿宋_GBK" w:eastAsia="方正仿宋_GBK"/>
          <w:b/>
          <w:bCs/>
          <w:color w:val="auto"/>
          <w:sz w:val="24"/>
          <w:szCs w:val="24"/>
        </w:rPr>
        <w:br w:type="page"/>
      </w:r>
    </w:p>
    <w:p w14:paraId="2A728CD6">
      <w:pPr>
        <w:pStyle w:val="4"/>
        <w:spacing w:beforeLines="0" w:afterLines="0" w:line="276" w:lineRule="auto"/>
        <w:rPr>
          <w:rFonts w:ascii="方正仿宋_GBK" w:hAnsi="宋体" w:eastAsia="方正仿宋_GBK"/>
          <w:b/>
          <w:color w:val="auto"/>
          <w:szCs w:val="44"/>
        </w:rPr>
      </w:pPr>
      <w:bookmarkStart w:id="199" w:name="_Toc115877725"/>
      <w:bookmarkStart w:id="200" w:name="_Toc31828"/>
      <w:bookmarkStart w:id="201" w:name="_Toc59621317"/>
      <w:bookmarkStart w:id="202" w:name="_Toc129178901"/>
      <w:bookmarkStart w:id="203" w:name="_Toc25255"/>
      <w:r>
        <w:rPr>
          <w:rFonts w:hint="eastAsia" w:ascii="方正仿宋_GBK" w:hAnsi="宋体" w:eastAsia="方正仿宋_GBK"/>
          <w:b/>
          <w:color w:val="auto"/>
          <w:szCs w:val="44"/>
        </w:rPr>
        <w:t>第七篇  投标文件格式</w:t>
      </w:r>
      <w:bookmarkEnd w:id="199"/>
      <w:bookmarkEnd w:id="200"/>
      <w:bookmarkEnd w:id="201"/>
      <w:bookmarkEnd w:id="202"/>
      <w:bookmarkEnd w:id="203"/>
    </w:p>
    <w:p w14:paraId="0E1F541C">
      <w:pPr>
        <w:pStyle w:val="5"/>
        <w:spacing w:line="276" w:lineRule="auto"/>
        <w:ind w:firstLine="482" w:firstLineChars="200"/>
        <w:rPr>
          <w:rFonts w:ascii="方正仿宋_GBK" w:eastAsia="方正仿宋_GBK" w:cs="宋体"/>
          <w:b/>
          <w:color w:val="auto"/>
          <w:sz w:val="24"/>
          <w:szCs w:val="24"/>
        </w:rPr>
      </w:pPr>
      <w:bookmarkStart w:id="204" w:name="_Toc1569"/>
      <w:bookmarkStart w:id="205" w:name="_Toc115877726"/>
      <w:bookmarkStart w:id="206" w:name="_Toc129178902"/>
      <w:bookmarkStart w:id="207" w:name="_Toc19877"/>
      <w:r>
        <w:rPr>
          <w:rFonts w:hint="eastAsia" w:ascii="方正仿宋_GBK" w:eastAsia="方正仿宋_GBK" w:cs="宋体"/>
          <w:b/>
          <w:color w:val="auto"/>
          <w:sz w:val="24"/>
          <w:szCs w:val="24"/>
        </w:rPr>
        <w:t>一、经济文件</w:t>
      </w:r>
      <w:bookmarkEnd w:id="204"/>
      <w:bookmarkEnd w:id="205"/>
      <w:bookmarkEnd w:id="206"/>
      <w:bookmarkEnd w:id="207"/>
    </w:p>
    <w:p w14:paraId="3FDC2253">
      <w:pPr>
        <w:snapToGrid w:val="0"/>
        <w:spacing w:line="276" w:lineRule="auto"/>
        <w:ind w:firstLine="480" w:firstLineChars="200"/>
        <w:rPr>
          <w:rFonts w:ascii="方正仿宋_GBK" w:hAnsi="宋体" w:eastAsia="方正仿宋_GBK" w:cs="宋体"/>
          <w:color w:val="auto"/>
          <w:sz w:val="24"/>
          <w:szCs w:val="24"/>
        </w:rPr>
      </w:pPr>
      <w:r>
        <w:rPr>
          <w:rFonts w:hint="eastAsia" w:ascii="方正仿宋_GBK" w:hAnsi="宋体" w:eastAsia="方正仿宋_GBK" w:cs="宋体"/>
          <w:color w:val="auto"/>
          <w:sz w:val="24"/>
          <w:szCs w:val="24"/>
        </w:rPr>
        <w:t>（一）开标一览表</w:t>
      </w:r>
    </w:p>
    <w:p w14:paraId="47BE7AED">
      <w:pPr>
        <w:snapToGrid w:val="0"/>
        <w:spacing w:line="276" w:lineRule="auto"/>
        <w:ind w:firstLine="480" w:firstLineChars="200"/>
        <w:rPr>
          <w:rFonts w:ascii="方正仿宋_GBK" w:hAnsi="宋体" w:eastAsia="方正仿宋_GBK" w:cs="宋体"/>
          <w:color w:val="auto"/>
          <w:sz w:val="24"/>
          <w:szCs w:val="24"/>
        </w:rPr>
      </w:pPr>
      <w:r>
        <w:rPr>
          <w:rFonts w:hint="eastAsia" w:ascii="方正仿宋_GBK" w:hAnsi="宋体" w:eastAsia="方正仿宋_GBK" w:cs="宋体"/>
          <w:color w:val="auto"/>
          <w:sz w:val="24"/>
          <w:szCs w:val="24"/>
        </w:rPr>
        <w:t>（二）分项报价明细表</w:t>
      </w:r>
    </w:p>
    <w:p w14:paraId="64494A96">
      <w:pPr>
        <w:pStyle w:val="5"/>
        <w:spacing w:line="276" w:lineRule="auto"/>
        <w:ind w:firstLine="482" w:firstLineChars="200"/>
        <w:rPr>
          <w:rFonts w:ascii="方正仿宋_GBK" w:eastAsia="方正仿宋_GBK" w:cs="宋体"/>
          <w:b/>
          <w:color w:val="auto"/>
          <w:sz w:val="24"/>
          <w:szCs w:val="24"/>
        </w:rPr>
      </w:pPr>
      <w:bookmarkStart w:id="208" w:name="_Toc129178903"/>
      <w:bookmarkStart w:id="209" w:name="_Toc5513"/>
      <w:bookmarkStart w:id="210" w:name="_Toc115877727"/>
      <w:bookmarkStart w:id="211" w:name="_Toc14266"/>
      <w:r>
        <w:rPr>
          <w:rFonts w:hint="eastAsia" w:ascii="方正仿宋_GBK" w:eastAsia="方正仿宋_GBK" w:cs="宋体"/>
          <w:b/>
          <w:color w:val="auto"/>
          <w:sz w:val="24"/>
          <w:szCs w:val="24"/>
        </w:rPr>
        <w:t>二、服务文件</w:t>
      </w:r>
      <w:bookmarkEnd w:id="208"/>
      <w:bookmarkEnd w:id="209"/>
      <w:bookmarkEnd w:id="210"/>
      <w:bookmarkEnd w:id="211"/>
    </w:p>
    <w:p w14:paraId="568E2695">
      <w:pPr>
        <w:snapToGrid w:val="0"/>
        <w:spacing w:line="276" w:lineRule="auto"/>
        <w:ind w:firstLine="480" w:firstLineChars="200"/>
        <w:rPr>
          <w:rFonts w:ascii="方正仿宋_GBK" w:hAnsi="宋体" w:eastAsia="方正仿宋_GBK" w:cs="宋体"/>
          <w:color w:val="auto"/>
          <w:sz w:val="24"/>
          <w:szCs w:val="24"/>
        </w:rPr>
      </w:pPr>
      <w:r>
        <w:rPr>
          <w:rFonts w:hint="eastAsia" w:ascii="方正仿宋_GBK" w:hAnsi="宋体" w:eastAsia="方正仿宋_GBK" w:cs="宋体"/>
          <w:color w:val="auto"/>
          <w:sz w:val="24"/>
          <w:szCs w:val="24"/>
        </w:rPr>
        <w:t>（一）服务条款差异表</w:t>
      </w:r>
    </w:p>
    <w:p w14:paraId="441F9294">
      <w:pPr>
        <w:snapToGrid w:val="0"/>
        <w:spacing w:line="276" w:lineRule="auto"/>
        <w:ind w:firstLine="480" w:firstLineChars="200"/>
        <w:rPr>
          <w:rFonts w:ascii="方正仿宋_GBK" w:hAnsi="宋体" w:eastAsia="方正仿宋_GBK" w:cs="宋体"/>
          <w:color w:val="auto"/>
          <w:sz w:val="24"/>
          <w:szCs w:val="24"/>
        </w:rPr>
      </w:pPr>
      <w:r>
        <w:rPr>
          <w:rFonts w:hint="eastAsia" w:ascii="方正仿宋_GBK" w:hAnsi="宋体" w:eastAsia="方正仿宋_GBK" w:cs="宋体"/>
          <w:color w:val="auto"/>
          <w:sz w:val="24"/>
          <w:szCs w:val="24"/>
        </w:rPr>
        <w:t>（二）其他服务资料</w:t>
      </w:r>
    </w:p>
    <w:p w14:paraId="0DF9C6AA">
      <w:pPr>
        <w:pStyle w:val="5"/>
        <w:spacing w:line="276" w:lineRule="auto"/>
        <w:ind w:firstLine="482" w:firstLineChars="200"/>
        <w:rPr>
          <w:rFonts w:ascii="方正仿宋_GBK" w:eastAsia="方正仿宋_GBK" w:cs="宋体"/>
          <w:b/>
          <w:color w:val="auto"/>
          <w:sz w:val="24"/>
          <w:szCs w:val="24"/>
        </w:rPr>
      </w:pPr>
      <w:bookmarkStart w:id="212" w:name="_Toc129178904"/>
      <w:bookmarkStart w:id="213" w:name="_Toc115877728"/>
      <w:bookmarkStart w:id="214" w:name="_Toc25110"/>
      <w:bookmarkStart w:id="215" w:name="_Toc6338"/>
      <w:r>
        <w:rPr>
          <w:rFonts w:hint="eastAsia" w:ascii="方正仿宋_GBK" w:eastAsia="方正仿宋_GBK" w:cs="宋体"/>
          <w:b/>
          <w:color w:val="auto"/>
          <w:sz w:val="24"/>
          <w:szCs w:val="24"/>
        </w:rPr>
        <w:t>三、商务文件</w:t>
      </w:r>
      <w:bookmarkEnd w:id="212"/>
      <w:bookmarkEnd w:id="213"/>
      <w:bookmarkEnd w:id="214"/>
      <w:bookmarkEnd w:id="215"/>
    </w:p>
    <w:p w14:paraId="10A29DDE">
      <w:pPr>
        <w:snapToGrid w:val="0"/>
        <w:spacing w:line="276" w:lineRule="auto"/>
        <w:ind w:firstLine="480" w:firstLineChars="200"/>
        <w:rPr>
          <w:rFonts w:ascii="方正仿宋_GBK" w:hAnsi="宋体" w:eastAsia="方正仿宋_GBK" w:cs="宋体"/>
          <w:color w:val="auto"/>
          <w:sz w:val="24"/>
          <w:szCs w:val="24"/>
        </w:rPr>
      </w:pPr>
      <w:r>
        <w:rPr>
          <w:rFonts w:hint="eastAsia" w:ascii="方正仿宋_GBK" w:hAnsi="宋体" w:eastAsia="方正仿宋_GBK" w:cs="宋体"/>
          <w:color w:val="auto"/>
          <w:sz w:val="24"/>
          <w:szCs w:val="24"/>
        </w:rPr>
        <w:t>（一）投标函（格式）</w:t>
      </w:r>
    </w:p>
    <w:p w14:paraId="29872845">
      <w:pPr>
        <w:snapToGrid w:val="0"/>
        <w:spacing w:line="276" w:lineRule="auto"/>
        <w:ind w:firstLine="480" w:firstLineChars="200"/>
        <w:rPr>
          <w:rFonts w:ascii="方正仿宋_GBK" w:hAnsi="宋体" w:eastAsia="方正仿宋_GBK" w:cs="宋体"/>
          <w:color w:val="auto"/>
          <w:sz w:val="24"/>
          <w:szCs w:val="24"/>
        </w:rPr>
      </w:pPr>
      <w:r>
        <w:rPr>
          <w:rFonts w:hint="eastAsia" w:ascii="方正仿宋_GBK" w:hAnsi="宋体" w:eastAsia="方正仿宋_GBK" w:cs="宋体"/>
          <w:color w:val="auto"/>
          <w:sz w:val="24"/>
          <w:szCs w:val="24"/>
        </w:rPr>
        <w:t>（二）商务条款差异表</w:t>
      </w:r>
    </w:p>
    <w:p w14:paraId="0E30F213">
      <w:pPr>
        <w:snapToGrid w:val="0"/>
        <w:spacing w:line="276" w:lineRule="auto"/>
        <w:ind w:firstLine="480" w:firstLineChars="200"/>
        <w:rPr>
          <w:rFonts w:ascii="方正仿宋_GBK" w:hAnsi="宋体" w:eastAsia="方正仿宋_GBK" w:cs="宋体"/>
          <w:color w:val="auto"/>
          <w:sz w:val="24"/>
          <w:szCs w:val="24"/>
        </w:rPr>
      </w:pPr>
      <w:r>
        <w:rPr>
          <w:rFonts w:hint="eastAsia" w:ascii="方正仿宋_GBK" w:hAnsi="宋体" w:eastAsia="方正仿宋_GBK" w:cs="宋体"/>
          <w:color w:val="auto"/>
          <w:sz w:val="24"/>
          <w:szCs w:val="24"/>
        </w:rPr>
        <w:t>（三）其他商务资料</w:t>
      </w:r>
    </w:p>
    <w:p w14:paraId="6D0B4714">
      <w:pPr>
        <w:pStyle w:val="5"/>
        <w:spacing w:line="276" w:lineRule="auto"/>
        <w:ind w:firstLine="482" w:firstLineChars="200"/>
        <w:rPr>
          <w:rFonts w:ascii="方正仿宋_GBK" w:eastAsia="方正仿宋_GBK" w:cs="宋体"/>
          <w:b/>
          <w:color w:val="auto"/>
          <w:sz w:val="24"/>
          <w:szCs w:val="24"/>
        </w:rPr>
      </w:pPr>
      <w:bookmarkStart w:id="216" w:name="_Toc115877729"/>
      <w:bookmarkStart w:id="217" w:name="_Toc18578"/>
      <w:bookmarkStart w:id="218" w:name="_Toc129178905"/>
      <w:bookmarkStart w:id="219" w:name="_Toc30339"/>
      <w:r>
        <w:rPr>
          <w:rFonts w:hint="eastAsia" w:ascii="方正仿宋_GBK" w:eastAsia="方正仿宋_GBK" w:cs="宋体"/>
          <w:b/>
          <w:color w:val="auto"/>
          <w:sz w:val="24"/>
          <w:szCs w:val="24"/>
        </w:rPr>
        <w:t>四、其他</w:t>
      </w:r>
      <w:bookmarkEnd w:id="216"/>
      <w:bookmarkEnd w:id="217"/>
      <w:bookmarkEnd w:id="218"/>
      <w:bookmarkEnd w:id="219"/>
    </w:p>
    <w:p w14:paraId="351114F8">
      <w:pPr>
        <w:snapToGrid w:val="0"/>
        <w:spacing w:line="276" w:lineRule="auto"/>
        <w:ind w:firstLine="480" w:firstLineChars="200"/>
        <w:rPr>
          <w:rFonts w:ascii="方正仿宋_GBK" w:hAnsi="宋体" w:eastAsia="方正仿宋_GBK" w:cs="宋体"/>
          <w:color w:val="auto"/>
          <w:sz w:val="24"/>
          <w:szCs w:val="24"/>
        </w:rPr>
      </w:pPr>
      <w:r>
        <w:rPr>
          <w:rFonts w:hint="eastAsia" w:ascii="方正仿宋_GBK" w:hAnsi="宋体" w:eastAsia="方正仿宋_GBK" w:cs="宋体"/>
          <w:color w:val="auto"/>
          <w:sz w:val="24"/>
          <w:szCs w:val="24"/>
        </w:rPr>
        <w:t>其他与项目有关的资料（如有自附）</w:t>
      </w:r>
    </w:p>
    <w:p w14:paraId="24B6083F">
      <w:pPr>
        <w:pStyle w:val="5"/>
        <w:spacing w:line="276" w:lineRule="auto"/>
        <w:ind w:firstLine="482" w:firstLineChars="200"/>
        <w:rPr>
          <w:rFonts w:ascii="方正仿宋_GBK" w:eastAsia="方正仿宋_GBK" w:cs="宋体"/>
          <w:b/>
          <w:color w:val="auto"/>
          <w:sz w:val="24"/>
          <w:szCs w:val="24"/>
        </w:rPr>
      </w:pPr>
      <w:bookmarkStart w:id="220" w:name="_Toc15205"/>
      <w:bookmarkStart w:id="221" w:name="_Toc129178906"/>
      <w:bookmarkStart w:id="222" w:name="_Toc115877730"/>
      <w:bookmarkStart w:id="223" w:name="_Toc32421"/>
      <w:r>
        <w:rPr>
          <w:rFonts w:hint="eastAsia" w:ascii="方正仿宋_GBK" w:eastAsia="方正仿宋_GBK" w:cs="宋体"/>
          <w:b/>
          <w:color w:val="auto"/>
          <w:sz w:val="24"/>
          <w:szCs w:val="24"/>
        </w:rPr>
        <w:t>五、资格文件</w:t>
      </w:r>
      <w:bookmarkEnd w:id="220"/>
      <w:bookmarkEnd w:id="221"/>
      <w:bookmarkEnd w:id="222"/>
      <w:bookmarkEnd w:id="223"/>
    </w:p>
    <w:p w14:paraId="703EAC4D">
      <w:pPr>
        <w:tabs>
          <w:tab w:val="left" w:pos="6300"/>
        </w:tabs>
        <w:snapToGrid w:val="0"/>
        <w:spacing w:line="276" w:lineRule="auto"/>
        <w:jc w:val="left"/>
        <w:rPr>
          <w:rFonts w:ascii="方正仿宋_GBK" w:hAnsi="宋体" w:eastAsia="方正仿宋_GBK" w:cs="宋体"/>
          <w:color w:val="auto"/>
          <w:sz w:val="24"/>
          <w:szCs w:val="24"/>
        </w:rPr>
      </w:pPr>
      <w:r>
        <w:rPr>
          <w:rFonts w:hint="eastAsia" w:ascii="方正仿宋_GBK" w:hAnsi="宋体" w:eastAsia="方正仿宋_GBK" w:cs="宋体"/>
          <w:color w:val="auto"/>
          <w:sz w:val="24"/>
          <w:szCs w:val="24"/>
        </w:rPr>
        <w:t>（一）法人营业执照（副本）复印件</w:t>
      </w:r>
    </w:p>
    <w:p w14:paraId="1DD92F52">
      <w:pPr>
        <w:tabs>
          <w:tab w:val="left" w:pos="6300"/>
        </w:tabs>
        <w:snapToGrid w:val="0"/>
        <w:spacing w:line="276" w:lineRule="auto"/>
        <w:jc w:val="left"/>
        <w:rPr>
          <w:rFonts w:ascii="方正仿宋_GBK" w:hAnsi="宋体" w:eastAsia="方正仿宋_GBK" w:cs="宋体"/>
          <w:color w:val="auto"/>
          <w:sz w:val="24"/>
          <w:szCs w:val="24"/>
        </w:rPr>
      </w:pPr>
      <w:r>
        <w:rPr>
          <w:rFonts w:hint="eastAsia" w:ascii="方正仿宋_GBK" w:hAnsi="宋体" w:eastAsia="方正仿宋_GBK" w:cs="宋体"/>
          <w:color w:val="auto"/>
          <w:sz w:val="24"/>
          <w:szCs w:val="24"/>
        </w:rPr>
        <w:t>（二）法定代表人身份证明书（格式）</w:t>
      </w:r>
    </w:p>
    <w:p w14:paraId="18F194F6">
      <w:pPr>
        <w:tabs>
          <w:tab w:val="left" w:pos="6300"/>
        </w:tabs>
        <w:snapToGrid w:val="0"/>
        <w:spacing w:line="276" w:lineRule="auto"/>
        <w:jc w:val="left"/>
        <w:rPr>
          <w:rFonts w:ascii="方正仿宋_GBK" w:hAnsi="宋体" w:eastAsia="方正仿宋_GBK" w:cs="宋体"/>
          <w:color w:val="auto"/>
          <w:sz w:val="24"/>
          <w:szCs w:val="24"/>
        </w:rPr>
      </w:pPr>
      <w:r>
        <w:rPr>
          <w:rFonts w:hint="eastAsia" w:ascii="方正仿宋_GBK" w:hAnsi="宋体" w:eastAsia="方正仿宋_GBK" w:cs="宋体"/>
          <w:color w:val="auto"/>
          <w:sz w:val="24"/>
          <w:szCs w:val="24"/>
        </w:rPr>
        <w:t>（三）法定代表人授权委托书（格式）</w:t>
      </w:r>
    </w:p>
    <w:p w14:paraId="362997AB">
      <w:pPr>
        <w:tabs>
          <w:tab w:val="left" w:pos="6300"/>
        </w:tabs>
        <w:snapToGrid w:val="0"/>
        <w:spacing w:line="276" w:lineRule="auto"/>
        <w:jc w:val="left"/>
        <w:rPr>
          <w:rFonts w:ascii="方正仿宋_GBK" w:hAnsi="宋体" w:eastAsia="方正仿宋_GBK" w:cs="宋体"/>
          <w:color w:val="auto"/>
          <w:sz w:val="24"/>
          <w:szCs w:val="24"/>
        </w:rPr>
      </w:pPr>
      <w:r>
        <w:rPr>
          <w:rFonts w:hint="eastAsia" w:ascii="方正仿宋_GBK" w:hAnsi="宋体" w:eastAsia="方正仿宋_GBK" w:cs="宋体"/>
          <w:color w:val="auto"/>
          <w:sz w:val="24"/>
          <w:szCs w:val="24"/>
        </w:rPr>
        <w:t>（四）基本资格条件承诺函（格式）</w:t>
      </w:r>
    </w:p>
    <w:p w14:paraId="1D3E272D">
      <w:pPr>
        <w:tabs>
          <w:tab w:val="left" w:pos="6300"/>
        </w:tabs>
        <w:snapToGrid w:val="0"/>
        <w:spacing w:line="276" w:lineRule="auto"/>
        <w:jc w:val="left"/>
        <w:rPr>
          <w:rFonts w:ascii="方正仿宋_GBK" w:hAnsi="宋体" w:eastAsia="方正仿宋_GBK" w:cs="宋体"/>
          <w:color w:val="auto"/>
          <w:sz w:val="24"/>
          <w:szCs w:val="24"/>
        </w:rPr>
      </w:pPr>
      <w:r>
        <w:rPr>
          <w:rFonts w:hint="eastAsia" w:ascii="方正仿宋_GBK" w:hAnsi="宋体" w:eastAsia="方正仿宋_GBK" w:cs="宋体"/>
          <w:color w:val="auto"/>
          <w:sz w:val="24"/>
          <w:szCs w:val="24"/>
        </w:rPr>
        <w:t>（五）特定资格条件证书或证明文件（如有）</w:t>
      </w:r>
    </w:p>
    <w:p w14:paraId="66565BE1">
      <w:pPr>
        <w:tabs>
          <w:tab w:val="left" w:pos="6300"/>
        </w:tabs>
        <w:snapToGrid w:val="0"/>
        <w:spacing w:line="276" w:lineRule="auto"/>
        <w:jc w:val="left"/>
        <w:rPr>
          <w:rFonts w:ascii="方正仿宋_GBK" w:hAnsi="宋体" w:eastAsia="方正仿宋_GBK" w:cs="宋体"/>
          <w:color w:val="auto"/>
          <w:sz w:val="24"/>
          <w:szCs w:val="24"/>
        </w:rPr>
      </w:pPr>
      <w:r>
        <w:rPr>
          <w:rFonts w:hint="eastAsia" w:ascii="方正仿宋_GBK" w:hAnsi="宋体" w:eastAsia="方正仿宋_GBK" w:cs="宋体"/>
          <w:color w:val="auto"/>
          <w:sz w:val="24"/>
          <w:szCs w:val="24"/>
        </w:rPr>
        <w:t>（六）投标保证金和招标文件购买费。</w:t>
      </w:r>
    </w:p>
    <w:p w14:paraId="107CB488">
      <w:pPr>
        <w:spacing w:line="276" w:lineRule="auto"/>
        <w:rPr>
          <w:rFonts w:ascii="方正仿宋_GBK" w:eastAsia="方正仿宋_GBK"/>
          <w:b/>
          <w:color w:val="auto"/>
          <w:sz w:val="24"/>
          <w:szCs w:val="24"/>
        </w:rPr>
      </w:pPr>
      <w:r>
        <w:rPr>
          <w:rFonts w:hint="eastAsia" w:ascii="方正仿宋_GBK" w:eastAsia="方正仿宋_GBK"/>
          <w:color w:val="auto"/>
          <w:sz w:val="24"/>
          <w:szCs w:val="24"/>
        </w:rPr>
        <w:br w:type="page"/>
      </w:r>
      <w:bookmarkStart w:id="224" w:name="_Toc429584884"/>
      <w:bookmarkStart w:id="225" w:name="_Toc59621318"/>
      <w:r>
        <w:rPr>
          <w:rFonts w:hint="eastAsia" w:ascii="方正仿宋_GBK" w:eastAsia="方正仿宋_GBK"/>
          <w:b/>
          <w:color w:val="auto"/>
          <w:sz w:val="24"/>
          <w:szCs w:val="24"/>
        </w:rPr>
        <w:t>一、经济文件</w:t>
      </w:r>
      <w:bookmarkEnd w:id="224"/>
      <w:bookmarkEnd w:id="225"/>
    </w:p>
    <w:p w14:paraId="19630B4C">
      <w:pPr>
        <w:snapToGrid w:val="0"/>
        <w:spacing w:line="276" w:lineRule="auto"/>
        <w:ind w:firstLine="480" w:firstLineChars="200"/>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（一）开标一览表（包2）</w:t>
      </w:r>
    </w:p>
    <w:p w14:paraId="1CFC35A8">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项目编号：</w:t>
      </w:r>
    </w:p>
    <w:p w14:paraId="71BB854E">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招标项目名称：</w:t>
      </w:r>
      <w:r>
        <w:rPr>
          <w:rFonts w:hint="eastAsia" w:ascii="方正仿宋_GBK" w:hAnsi="方正仿宋_GBK" w:eastAsia="方正仿宋_GBK" w:cs="方正仿宋_GBK"/>
          <w:color w:val="auto"/>
          <w:kern w:val="0"/>
          <w:sz w:val="24"/>
          <w:szCs w:val="24"/>
        </w:rPr>
        <w:t>饮料</w:t>
      </w:r>
    </w:p>
    <w:tbl>
      <w:tblPr>
        <w:tblStyle w:val="20"/>
        <w:tblW w:w="5090" w:type="pct"/>
        <w:jc w:val="center"/>
        <w:tblLayout w:type="fixed"/>
        <w:tblCellMar>
          <w:top w:w="0" w:type="dxa"/>
          <w:left w:w="108" w:type="dxa"/>
          <w:bottom w:w="0" w:type="dxa"/>
          <w:right w:w="108" w:type="dxa"/>
        </w:tblCellMar>
      </w:tblPr>
      <w:tblGrid>
        <w:gridCol w:w="2336"/>
        <w:gridCol w:w="2600"/>
        <w:gridCol w:w="2858"/>
        <w:gridCol w:w="2007"/>
      </w:tblGrid>
      <w:tr w14:paraId="50DFBCF1">
        <w:tblPrEx>
          <w:tblCellMar>
            <w:top w:w="0" w:type="dxa"/>
            <w:left w:w="108" w:type="dxa"/>
            <w:bottom w:w="0" w:type="dxa"/>
            <w:right w:w="108" w:type="dxa"/>
          </w:tblCellMar>
        </w:tblPrEx>
        <w:trPr>
          <w:trHeight w:val="23" w:hRule="atLeast"/>
          <w:jc w:val="center"/>
        </w:trPr>
        <w:tc>
          <w:tcPr>
            <w:tcW w:w="2337" w:type="dxa"/>
            <w:tcBorders>
              <w:top w:val="single" w:color="000000" w:sz="4" w:space="0"/>
              <w:left w:val="single" w:color="000000" w:sz="4" w:space="0"/>
              <w:bottom w:val="single" w:color="000000" w:sz="4" w:space="0"/>
              <w:right w:val="single" w:color="000000" w:sz="4" w:space="0"/>
            </w:tcBorders>
            <w:vAlign w:val="center"/>
          </w:tcPr>
          <w:p w14:paraId="0423C3F7">
            <w:pPr>
              <w:spacing w:line="480" w:lineRule="exact"/>
              <w:jc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供应商全称</w:t>
            </w:r>
          </w:p>
        </w:tc>
        <w:tc>
          <w:tcPr>
            <w:tcW w:w="7465" w:type="dxa"/>
            <w:gridSpan w:val="3"/>
            <w:tcBorders>
              <w:top w:val="single" w:color="000000" w:sz="4" w:space="0"/>
              <w:left w:val="nil"/>
              <w:bottom w:val="single" w:color="000000" w:sz="4" w:space="0"/>
              <w:right w:val="single" w:color="000000" w:sz="4" w:space="0"/>
            </w:tcBorders>
            <w:vAlign w:val="center"/>
          </w:tcPr>
          <w:p w14:paraId="40618C2F">
            <w:pPr>
              <w:spacing w:line="480" w:lineRule="exact"/>
              <w:jc w:val="center"/>
              <w:rPr>
                <w:rFonts w:ascii="方正仿宋_GBK" w:hAnsi="方正仿宋_GBK" w:eastAsia="方正仿宋_GBK" w:cs="方正仿宋_GBK"/>
                <w:color w:val="auto"/>
                <w:sz w:val="24"/>
                <w:szCs w:val="24"/>
              </w:rPr>
            </w:pPr>
          </w:p>
        </w:tc>
      </w:tr>
      <w:tr w14:paraId="08E52B20">
        <w:tblPrEx>
          <w:tblCellMar>
            <w:top w:w="0" w:type="dxa"/>
            <w:left w:w="108" w:type="dxa"/>
            <w:bottom w:w="0" w:type="dxa"/>
            <w:right w:w="108" w:type="dxa"/>
          </w:tblCellMar>
        </w:tblPrEx>
        <w:trPr>
          <w:trHeight w:val="23" w:hRule="atLeast"/>
          <w:jc w:val="center"/>
        </w:trPr>
        <w:tc>
          <w:tcPr>
            <w:tcW w:w="2337" w:type="dxa"/>
            <w:tcBorders>
              <w:top w:val="single" w:color="000000" w:sz="4" w:space="0"/>
              <w:left w:val="single" w:color="000000" w:sz="4" w:space="0"/>
              <w:bottom w:val="single" w:color="000000" w:sz="4" w:space="0"/>
              <w:right w:val="single" w:color="000000" w:sz="4" w:space="0"/>
            </w:tcBorders>
            <w:vAlign w:val="center"/>
          </w:tcPr>
          <w:p w14:paraId="473309A1">
            <w:pPr>
              <w:spacing w:line="480" w:lineRule="exact"/>
              <w:jc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包号及名称</w:t>
            </w:r>
          </w:p>
        </w:tc>
        <w:tc>
          <w:tcPr>
            <w:tcW w:w="2600" w:type="dxa"/>
            <w:tcBorders>
              <w:top w:val="single" w:color="000000" w:sz="4" w:space="0"/>
              <w:left w:val="nil"/>
              <w:bottom w:val="single" w:color="000000" w:sz="4" w:space="0"/>
              <w:right w:val="single" w:color="000000" w:sz="4" w:space="0"/>
            </w:tcBorders>
            <w:vAlign w:val="center"/>
          </w:tcPr>
          <w:p w14:paraId="3B414CFD">
            <w:pPr>
              <w:spacing w:line="480" w:lineRule="exact"/>
              <w:jc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供货周期</w:t>
            </w:r>
          </w:p>
        </w:tc>
        <w:tc>
          <w:tcPr>
            <w:tcW w:w="2858" w:type="dxa"/>
            <w:tcBorders>
              <w:top w:val="single" w:color="000000" w:sz="4" w:space="0"/>
              <w:left w:val="nil"/>
              <w:bottom w:val="single" w:color="000000" w:sz="4" w:space="0"/>
              <w:right w:val="single" w:color="000000" w:sz="4" w:space="0"/>
            </w:tcBorders>
            <w:vAlign w:val="center"/>
          </w:tcPr>
          <w:p w14:paraId="31BAC83B">
            <w:pPr>
              <w:widowControl/>
              <w:spacing w:line="480" w:lineRule="exact"/>
              <w:jc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1"/>
                <w:sz w:val="24"/>
                <w:szCs w:val="24"/>
              </w:rPr>
              <w:t>预估总数量</w:t>
            </w:r>
          </w:p>
        </w:tc>
        <w:tc>
          <w:tcPr>
            <w:tcW w:w="2007" w:type="dxa"/>
            <w:tcBorders>
              <w:top w:val="single" w:color="000000" w:sz="4" w:space="0"/>
              <w:left w:val="nil"/>
              <w:bottom w:val="single" w:color="000000" w:sz="4" w:space="0"/>
              <w:right w:val="single" w:color="000000" w:sz="4" w:space="0"/>
            </w:tcBorders>
            <w:vAlign w:val="center"/>
          </w:tcPr>
          <w:p w14:paraId="54F710F1">
            <w:pPr>
              <w:spacing w:line="480" w:lineRule="exact"/>
              <w:jc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投标报价（折扣系数）（小写）</w:t>
            </w:r>
          </w:p>
          <w:p w14:paraId="0AA6AC94">
            <w:pPr>
              <w:spacing w:line="480" w:lineRule="exact"/>
              <w:jc w:val="center"/>
              <w:rPr>
                <w:rFonts w:ascii="方正仿宋_GBK" w:hAnsi="方正仿宋_GBK" w:eastAsia="方正仿宋_GBK" w:cs="方正仿宋_GBK"/>
                <w:color w:val="auto"/>
                <w:sz w:val="24"/>
                <w:szCs w:val="24"/>
              </w:rPr>
            </w:pPr>
          </w:p>
        </w:tc>
      </w:tr>
      <w:tr w14:paraId="5B3EC72A">
        <w:tblPrEx>
          <w:tblCellMar>
            <w:top w:w="0" w:type="dxa"/>
            <w:left w:w="108" w:type="dxa"/>
            <w:bottom w:w="0" w:type="dxa"/>
            <w:right w:w="108" w:type="dxa"/>
          </w:tblCellMar>
        </w:tblPrEx>
        <w:trPr>
          <w:trHeight w:val="1488" w:hRule="atLeast"/>
          <w:jc w:val="center"/>
        </w:trPr>
        <w:tc>
          <w:tcPr>
            <w:tcW w:w="2337" w:type="dxa"/>
            <w:tcBorders>
              <w:top w:val="single" w:color="000000" w:sz="4" w:space="0"/>
              <w:left w:val="single" w:color="000000" w:sz="4" w:space="0"/>
              <w:bottom w:val="single" w:color="000000" w:sz="4" w:space="0"/>
              <w:right w:val="single" w:color="000000" w:sz="4" w:space="0"/>
            </w:tcBorders>
            <w:vAlign w:val="center"/>
          </w:tcPr>
          <w:p w14:paraId="0EBB87DF">
            <w:pPr>
              <w:widowControl/>
              <w:jc w:val="center"/>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rPr>
              <w:t>包2：饮料</w:t>
            </w:r>
          </w:p>
        </w:tc>
        <w:tc>
          <w:tcPr>
            <w:tcW w:w="2600" w:type="dxa"/>
            <w:tcBorders>
              <w:top w:val="single" w:color="000000" w:sz="4" w:space="0"/>
              <w:left w:val="nil"/>
              <w:right w:val="single" w:color="000000" w:sz="4" w:space="0"/>
            </w:tcBorders>
            <w:vAlign w:val="center"/>
          </w:tcPr>
          <w:p w14:paraId="629D61EC">
            <w:pPr>
              <w:widowControl/>
              <w:jc w:val="center"/>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2年</w:t>
            </w:r>
          </w:p>
        </w:tc>
        <w:tc>
          <w:tcPr>
            <w:tcW w:w="2858" w:type="dxa"/>
            <w:tcBorders>
              <w:top w:val="single" w:color="000000" w:sz="4" w:space="0"/>
              <w:left w:val="nil"/>
              <w:right w:val="single" w:color="000000" w:sz="4" w:space="0"/>
            </w:tcBorders>
            <w:vAlign w:val="center"/>
          </w:tcPr>
          <w:p w14:paraId="715C3928">
            <w:pPr>
              <w:spacing w:line="480" w:lineRule="exact"/>
              <w:jc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详见招标文件第二篇招标项目一览表</w:t>
            </w:r>
          </w:p>
        </w:tc>
        <w:tc>
          <w:tcPr>
            <w:tcW w:w="2007" w:type="dxa"/>
            <w:tcBorders>
              <w:top w:val="single" w:color="000000" w:sz="4" w:space="0"/>
              <w:left w:val="nil"/>
              <w:right w:val="single" w:color="000000" w:sz="4" w:space="0"/>
            </w:tcBorders>
            <w:vAlign w:val="center"/>
          </w:tcPr>
          <w:p w14:paraId="7F275529">
            <w:pPr>
              <w:spacing w:line="480" w:lineRule="exact"/>
              <w:ind w:right="140"/>
              <w:jc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u w:val="single"/>
              </w:rPr>
              <w:t xml:space="preserve">    </w:t>
            </w:r>
          </w:p>
        </w:tc>
      </w:tr>
      <w:tr w14:paraId="66727C88">
        <w:tblPrEx>
          <w:tblCellMar>
            <w:top w:w="0" w:type="dxa"/>
            <w:left w:w="108" w:type="dxa"/>
            <w:bottom w:w="0" w:type="dxa"/>
            <w:right w:w="108" w:type="dxa"/>
          </w:tblCellMar>
        </w:tblPrEx>
        <w:trPr>
          <w:trHeight w:val="848" w:hRule="atLeast"/>
          <w:jc w:val="center"/>
        </w:trPr>
        <w:tc>
          <w:tcPr>
            <w:tcW w:w="9802" w:type="dxa"/>
            <w:gridSpan w:val="4"/>
            <w:tcBorders>
              <w:top w:val="single" w:color="000000" w:sz="4" w:space="0"/>
              <w:left w:val="single" w:color="000000" w:sz="4" w:space="0"/>
              <w:bottom w:val="single" w:color="000000" w:sz="4" w:space="0"/>
              <w:right w:val="single" w:color="000000" w:sz="4" w:space="0"/>
            </w:tcBorders>
            <w:vAlign w:val="center"/>
          </w:tcPr>
          <w:p w14:paraId="5A0E928A">
            <w:pPr>
              <w:spacing w:line="480" w:lineRule="exact"/>
              <w:ind w:right="560"/>
              <w:jc w:val="lef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投标报价（折扣系数）（大写）：                       </w:t>
            </w:r>
          </w:p>
        </w:tc>
      </w:tr>
      <w:tr w14:paraId="1605BEA9">
        <w:tblPrEx>
          <w:tblCellMar>
            <w:top w:w="0" w:type="dxa"/>
            <w:left w:w="108" w:type="dxa"/>
            <w:bottom w:w="0" w:type="dxa"/>
            <w:right w:w="108" w:type="dxa"/>
          </w:tblCellMar>
        </w:tblPrEx>
        <w:trPr>
          <w:trHeight w:val="23" w:hRule="atLeast"/>
          <w:jc w:val="center"/>
        </w:trPr>
        <w:tc>
          <w:tcPr>
            <w:tcW w:w="9802" w:type="dxa"/>
            <w:gridSpan w:val="4"/>
            <w:tcBorders>
              <w:top w:val="single" w:color="000000" w:sz="4" w:space="0"/>
              <w:left w:val="single" w:color="000000" w:sz="4" w:space="0"/>
              <w:bottom w:val="single" w:color="000000" w:sz="4" w:space="0"/>
              <w:right w:val="single" w:color="000000" w:sz="4" w:space="0"/>
            </w:tcBorders>
            <w:vAlign w:val="center"/>
          </w:tcPr>
          <w:p w14:paraId="024FC557">
            <w:pPr>
              <w:spacing w:line="480" w:lineRule="exact"/>
              <w:ind w:right="560"/>
              <w:jc w:val="lef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备注：</w:t>
            </w:r>
          </w:p>
          <w:p w14:paraId="1D9DE958">
            <w:pPr>
              <w:spacing w:line="480" w:lineRule="exact"/>
              <w:ind w:right="560"/>
              <w:jc w:val="lef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b/>
                <w:bCs/>
                <w:color w:val="auto"/>
                <w:sz w:val="24"/>
                <w:szCs w:val="24"/>
              </w:rPr>
              <w:t>1.本次投标报价报折扣系数。</w:t>
            </w:r>
            <w:r>
              <w:rPr>
                <w:rFonts w:hint="eastAsia" w:ascii="方正仿宋_GBK" w:hAnsi="方正仿宋_GBK" w:eastAsia="方正仿宋_GBK" w:cs="方正仿宋_GBK"/>
                <w:color w:val="auto"/>
                <w:sz w:val="24"/>
                <w:szCs w:val="24"/>
              </w:rPr>
              <w:t>投标人自行填报折扣系数，折扣系数必须小于</w:t>
            </w:r>
            <w:r>
              <w:rPr>
                <w:rFonts w:ascii="方正仿宋_GBK" w:hAnsi="方正仿宋_GBK" w:eastAsia="方正仿宋_GBK" w:cs="方正仿宋_GBK"/>
                <w:color w:val="auto"/>
                <w:sz w:val="24"/>
                <w:szCs w:val="24"/>
              </w:rPr>
              <w:t>0.95</w:t>
            </w:r>
            <w:r>
              <w:rPr>
                <w:rFonts w:hint="eastAsia" w:ascii="方正仿宋_GBK" w:hAnsi="方正仿宋_GBK" w:eastAsia="方正仿宋_GBK" w:cs="方正仿宋_GBK"/>
                <w:color w:val="auto"/>
                <w:sz w:val="24"/>
                <w:szCs w:val="24"/>
              </w:rPr>
              <w:t>，折扣系数最多保留小数点后2位，否则按无效投标处理。</w:t>
            </w:r>
          </w:p>
          <w:p w14:paraId="43C27189">
            <w:pPr>
              <w:spacing w:line="480" w:lineRule="exact"/>
              <w:ind w:right="560"/>
              <w:jc w:val="left"/>
              <w:rPr>
                <w:rFonts w:ascii="方正仿宋_GBK" w:hAnsi="方正仿宋_GBK" w:eastAsia="方正仿宋_GBK" w:cs="方正仿宋_GBK"/>
                <w:color w:val="auto"/>
                <w:sz w:val="24"/>
                <w:szCs w:val="24"/>
              </w:rPr>
            </w:pPr>
            <w:r>
              <w:rPr>
                <w:rFonts w:ascii="方正仿宋_GBK" w:hAnsi="方正仿宋_GBK" w:eastAsia="方正仿宋_GBK" w:cs="方正仿宋_GBK"/>
                <w:b/>
                <w:bCs/>
                <w:color w:val="auto"/>
                <w:sz w:val="24"/>
                <w:szCs w:val="24"/>
              </w:rPr>
              <w:t>2</w:t>
            </w:r>
            <w:r>
              <w:rPr>
                <w:rFonts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rPr>
              <w:t>结算单价＝</w:t>
            </w:r>
            <w:r>
              <w:rPr>
                <w:color w:val="auto"/>
              </w:rPr>
              <w:fldChar w:fldCharType="begin"/>
            </w:r>
            <w:r>
              <w:rPr>
                <w:color w:val="auto"/>
              </w:rPr>
              <w:instrText xml:space="preserve"> HYPERLINK "http://nyncw.cq.gov.cn/marketSta/）网上没有报价的其它鲜肉品种，按每月1号、11号、21号（逢周末提前或延后一天）上午附近永辉超市同品种零售价为基价。" </w:instrText>
            </w:r>
            <w:r>
              <w:rPr>
                <w:color w:val="auto"/>
              </w:rPr>
              <w:fldChar w:fldCharType="separate"/>
            </w:r>
            <w:r>
              <w:rPr>
                <w:rFonts w:hint="eastAsia" w:ascii="方正仿宋_GBK" w:hAnsi="宋体" w:eastAsia="方正仿宋_GBK"/>
                <w:color w:val="auto"/>
                <w:sz w:val="24"/>
                <w:szCs w:val="24"/>
              </w:rPr>
              <w:t>按招标文件第二篇 项目服务要求《招标项目一览表》中产品的单价最高限价</w:t>
            </w:r>
            <w:r>
              <w:rPr>
                <w:rFonts w:hint="eastAsia" w:ascii="方正仿宋_GBK" w:hAnsi="宋体" w:eastAsia="方正仿宋_GBK"/>
                <w:color w:val="auto"/>
                <w:sz w:val="24"/>
                <w:szCs w:val="24"/>
              </w:rPr>
              <w:fldChar w:fldCharType="end"/>
            </w:r>
            <w:r>
              <w:rPr>
                <w:rFonts w:hint="eastAsia" w:ascii="方正仿宋_GBK" w:hAnsi="方正仿宋_GBK" w:eastAsia="方正仿宋_GBK" w:cs="方正仿宋_GBK"/>
                <w:color w:val="auto"/>
                <w:sz w:val="24"/>
                <w:szCs w:val="24"/>
              </w:rPr>
              <w:t>×折扣系数</w:t>
            </w:r>
          </w:p>
          <w:p w14:paraId="6CC19CDE">
            <w:pPr>
              <w:spacing w:line="480" w:lineRule="exact"/>
              <w:ind w:right="560"/>
              <w:jc w:val="left"/>
              <w:rPr>
                <w:rFonts w:ascii="方正仿宋_GBK" w:hAnsi="方正仿宋_GBK" w:eastAsia="方正仿宋_GBK" w:cs="方正仿宋_GBK"/>
                <w:color w:val="auto"/>
                <w:sz w:val="24"/>
                <w:szCs w:val="24"/>
              </w:rPr>
            </w:pPr>
            <w:r>
              <w:rPr>
                <w:rFonts w:ascii="方正仿宋_GBK" w:hAnsi="方正仿宋_GBK" w:eastAsia="方正仿宋_GBK" w:cs="方正仿宋_GBK"/>
                <w:color w:val="auto"/>
                <w:sz w:val="24"/>
                <w:szCs w:val="24"/>
              </w:rPr>
              <w:t>3</w:t>
            </w:r>
            <w:r>
              <w:rPr>
                <w:rFonts w:hint="eastAsia" w:ascii="方正仿宋_GBK" w:hAnsi="方正仿宋_GBK" w:eastAsia="方正仿宋_GBK" w:cs="方正仿宋_GBK"/>
                <w:color w:val="auto"/>
                <w:sz w:val="24"/>
                <w:szCs w:val="24"/>
              </w:rPr>
              <w:t>.具体报价方式和结算方式详见招标文件第三篇。</w:t>
            </w:r>
          </w:p>
          <w:p w14:paraId="2D2DE309">
            <w:pPr>
              <w:spacing w:line="480" w:lineRule="exact"/>
              <w:ind w:right="560"/>
              <w:jc w:val="left"/>
              <w:rPr>
                <w:rFonts w:ascii="方正仿宋_GBK" w:hAnsi="方正仿宋_GBK" w:eastAsia="方正仿宋_GBK" w:cs="方正仿宋_GBK"/>
                <w:color w:val="auto"/>
                <w:sz w:val="24"/>
                <w:szCs w:val="24"/>
              </w:rPr>
            </w:pPr>
            <w:r>
              <w:rPr>
                <w:rFonts w:ascii="方正仿宋_GBK" w:hAnsi="方正仿宋_GBK" w:eastAsia="方正仿宋_GBK" w:cs="方正仿宋_GBK"/>
                <w:color w:val="auto"/>
                <w:sz w:val="24"/>
                <w:szCs w:val="24"/>
              </w:rPr>
              <w:t>4</w:t>
            </w:r>
            <w:r>
              <w:rPr>
                <w:rFonts w:hint="eastAsia" w:ascii="方正仿宋_GBK" w:hAnsi="方正仿宋_GBK" w:eastAsia="方正仿宋_GBK" w:cs="方正仿宋_GBK"/>
                <w:color w:val="auto"/>
                <w:sz w:val="24"/>
                <w:szCs w:val="24"/>
              </w:rPr>
              <w:t>.在合同期内，所有品目执行同一折扣系数且不调整。</w:t>
            </w:r>
          </w:p>
        </w:tc>
      </w:tr>
    </w:tbl>
    <w:p w14:paraId="1D3EB088">
      <w:pPr>
        <w:spacing w:line="276" w:lineRule="auto"/>
        <w:rPr>
          <w:rFonts w:ascii="方正仿宋_GBK" w:hAnsi="宋体" w:eastAsia="方正仿宋_GBK"/>
          <w:color w:val="auto"/>
          <w:sz w:val="24"/>
          <w:szCs w:val="24"/>
        </w:rPr>
      </w:pPr>
      <w:r>
        <w:rPr>
          <w:rFonts w:hint="eastAsia" w:ascii="方正仿宋_GBK" w:hAnsi="宋体" w:eastAsia="方正仿宋_GBK"/>
          <w:color w:val="auto"/>
          <w:sz w:val="24"/>
          <w:szCs w:val="24"/>
        </w:rPr>
        <w:t>供应商：                       法定代表人（或法定代表人授权代表）：</w:t>
      </w:r>
    </w:p>
    <w:p w14:paraId="1E9C0397">
      <w:pPr>
        <w:spacing w:line="276" w:lineRule="auto"/>
        <w:rPr>
          <w:rFonts w:ascii="方正仿宋_GBK" w:hAnsi="宋体" w:eastAsia="方正仿宋_GBK"/>
          <w:color w:val="auto"/>
          <w:sz w:val="24"/>
          <w:szCs w:val="24"/>
        </w:rPr>
      </w:pPr>
      <w:r>
        <w:rPr>
          <w:rFonts w:hint="eastAsia" w:ascii="方正仿宋_GBK" w:hAnsi="宋体" w:eastAsia="方正仿宋_GBK"/>
          <w:color w:val="auto"/>
          <w:sz w:val="24"/>
          <w:szCs w:val="24"/>
        </w:rPr>
        <w:t>（供应商公章）                                 （签字或盖章）</w:t>
      </w:r>
    </w:p>
    <w:p w14:paraId="1FFEABC5">
      <w:pPr>
        <w:spacing w:line="276" w:lineRule="auto"/>
        <w:rPr>
          <w:rFonts w:ascii="方正仿宋_GBK" w:hAnsi="宋体" w:eastAsia="方正仿宋_GBK"/>
          <w:color w:val="auto"/>
          <w:sz w:val="24"/>
          <w:szCs w:val="24"/>
        </w:rPr>
      </w:pPr>
    </w:p>
    <w:p w14:paraId="4105B0AE">
      <w:pPr>
        <w:spacing w:line="276" w:lineRule="auto"/>
        <w:rPr>
          <w:rFonts w:ascii="方正仿宋_GBK" w:hAnsi="宋体" w:eastAsia="方正仿宋_GBK"/>
          <w:color w:val="auto"/>
          <w:sz w:val="24"/>
          <w:szCs w:val="24"/>
        </w:rPr>
      </w:pPr>
    </w:p>
    <w:p w14:paraId="7E6DF99E">
      <w:pPr>
        <w:spacing w:line="276" w:lineRule="auto"/>
        <w:ind w:firstLine="5964" w:firstLineChars="2485"/>
        <w:rPr>
          <w:rFonts w:ascii="方正仿宋_GBK" w:hAnsi="宋体" w:eastAsia="方正仿宋_GBK"/>
          <w:color w:val="auto"/>
          <w:sz w:val="24"/>
          <w:szCs w:val="24"/>
        </w:rPr>
      </w:pPr>
      <w:r>
        <w:rPr>
          <w:rFonts w:hint="eastAsia" w:ascii="方正仿宋_GBK" w:hAnsi="宋体" w:eastAsia="方正仿宋_GBK"/>
          <w:color w:val="auto"/>
          <w:sz w:val="24"/>
          <w:szCs w:val="24"/>
        </w:rPr>
        <w:t>年      月     日</w:t>
      </w:r>
    </w:p>
    <w:p w14:paraId="4DE4ED60">
      <w:pPr>
        <w:snapToGrid w:val="0"/>
        <w:spacing w:line="276" w:lineRule="auto"/>
        <w:ind w:firstLine="480" w:firstLineChars="200"/>
        <w:rPr>
          <w:rFonts w:ascii="方正仿宋_GBK" w:hAnsi="宋体" w:eastAsia="方正仿宋_GBK"/>
          <w:color w:val="auto"/>
          <w:sz w:val="24"/>
          <w:szCs w:val="24"/>
        </w:rPr>
      </w:pPr>
    </w:p>
    <w:p w14:paraId="38502145">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说明：</w:t>
      </w:r>
    </w:p>
    <w:p w14:paraId="502996E1">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1.开标一览表按格式填列；</w:t>
      </w:r>
    </w:p>
    <w:p w14:paraId="233B02A4">
      <w:pPr>
        <w:snapToGrid w:val="0"/>
        <w:spacing w:line="276" w:lineRule="auto"/>
        <w:ind w:firstLine="480" w:firstLineChars="200"/>
        <w:rPr>
          <w:rFonts w:ascii="方正仿宋_GBK" w:eastAsia="方正仿宋_GBK"/>
          <w:color w:val="auto"/>
          <w:sz w:val="24"/>
          <w:szCs w:val="24"/>
        </w:rPr>
      </w:pPr>
      <w:r>
        <w:rPr>
          <w:rFonts w:hint="eastAsia" w:ascii="方正仿宋_GBK" w:hAnsi="宋体" w:eastAsia="方正仿宋_GBK"/>
          <w:color w:val="auto"/>
          <w:sz w:val="24"/>
          <w:szCs w:val="24"/>
        </w:rPr>
        <w:t>2.开标一览表在开标大会上当众宣读，务必填写清楚，准确无误。</w:t>
      </w:r>
    </w:p>
    <w:p w14:paraId="64C46E29">
      <w:pPr>
        <w:rPr>
          <w:rFonts w:ascii="方正仿宋_GBK" w:hAnsi="宋体" w:eastAsia="方正仿宋_GBK"/>
          <w:color w:val="auto"/>
          <w:sz w:val="24"/>
          <w:szCs w:val="24"/>
        </w:rPr>
      </w:pPr>
      <w:r>
        <w:rPr>
          <w:rFonts w:hint="eastAsia" w:ascii="方正仿宋_GBK" w:eastAsia="方正仿宋_GBK"/>
          <w:color w:val="auto"/>
          <w:sz w:val="24"/>
          <w:szCs w:val="24"/>
        </w:rPr>
        <w:br w:type="page"/>
      </w:r>
    </w:p>
    <w:p w14:paraId="4799D188">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（二）分项报价明细表（包2）</w:t>
      </w:r>
    </w:p>
    <w:p w14:paraId="6CF7CC03">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项目编号：</w:t>
      </w:r>
    </w:p>
    <w:p w14:paraId="19880703">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招标项目名称：饮料</w:t>
      </w:r>
    </w:p>
    <w:tbl>
      <w:tblPr>
        <w:tblStyle w:val="20"/>
        <w:tblW w:w="5000" w:type="pct"/>
        <w:jc w:val="center"/>
        <w:tblLayout w:type="fixed"/>
        <w:tblCellMar>
          <w:top w:w="0" w:type="dxa"/>
          <w:left w:w="108" w:type="dxa"/>
          <w:bottom w:w="0" w:type="dxa"/>
          <w:right w:w="108" w:type="dxa"/>
        </w:tblCellMar>
      </w:tblPr>
      <w:tblGrid>
        <w:gridCol w:w="723"/>
        <w:gridCol w:w="3496"/>
        <w:gridCol w:w="1559"/>
        <w:gridCol w:w="1806"/>
        <w:gridCol w:w="746"/>
        <w:gridCol w:w="1298"/>
      </w:tblGrid>
      <w:tr w14:paraId="1FB3C94D">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74890">
            <w:pPr>
              <w:widowControl/>
              <w:jc w:val="center"/>
              <w:textAlignment w:val="center"/>
              <w:rPr>
                <w:rFonts w:ascii="方正仿宋_GBK" w:hAnsi="宋体" w:eastAsia="方正仿宋_GBK" w:cs="宋体"/>
                <w:b/>
                <w:color w:val="auto"/>
                <w:sz w:val="24"/>
                <w:szCs w:val="24"/>
              </w:rPr>
            </w:pPr>
            <w:r>
              <w:rPr>
                <w:rFonts w:hint="eastAsia" w:ascii="方正仿宋_GBK" w:hAnsi="宋体" w:eastAsia="方正仿宋_GBK" w:cs="宋体"/>
                <w:b/>
                <w:color w:val="auto"/>
                <w:kern w:val="0"/>
                <w:sz w:val="24"/>
                <w:szCs w:val="24"/>
              </w:rPr>
              <w:t>序号</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C3E3E">
            <w:pPr>
              <w:widowControl/>
              <w:jc w:val="center"/>
              <w:textAlignment w:val="center"/>
              <w:rPr>
                <w:rFonts w:ascii="方正仿宋_GBK" w:hAnsi="宋体" w:eastAsia="方正仿宋_GBK" w:cs="宋体"/>
                <w:b/>
                <w:color w:val="auto"/>
                <w:sz w:val="24"/>
                <w:szCs w:val="24"/>
              </w:rPr>
            </w:pPr>
            <w:r>
              <w:rPr>
                <w:rFonts w:hint="eastAsia" w:ascii="方正仿宋_GBK" w:hAnsi="宋体" w:eastAsia="方正仿宋_GBK" w:cs="宋体"/>
                <w:b/>
                <w:color w:val="auto"/>
                <w:kern w:val="0"/>
                <w:sz w:val="24"/>
                <w:szCs w:val="24"/>
              </w:rPr>
              <w:t>名称</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B3B43">
            <w:pPr>
              <w:widowControl/>
              <w:jc w:val="center"/>
              <w:textAlignment w:val="center"/>
              <w:rPr>
                <w:rFonts w:ascii="方正仿宋_GBK" w:hAnsi="宋体" w:eastAsia="方正仿宋_GBK" w:cs="宋体"/>
                <w:b/>
                <w:color w:val="auto"/>
                <w:sz w:val="24"/>
                <w:szCs w:val="24"/>
              </w:rPr>
            </w:pPr>
            <w:r>
              <w:rPr>
                <w:rFonts w:hint="eastAsia" w:ascii="方正仿宋_GBK" w:hAnsi="宋体" w:eastAsia="方正仿宋_GBK" w:cs="宋体"/>
                <w:b/>
                <w:color w:val="auto"/>
                <w:kern w:val="0"/>
                <w:sz w:val="24"/>
                <w:szCs w:val="24"/>
              </w:rPr>
              <w:t>品牌、规格</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72558">
            <w:pPr>
              <w:widowControl/>
              <w:jc w:val="center"/>
              <w:textAlignment w:val="center"/>
              <w:rPr>
                <w:rFonts w:ascii="方正仿宋_GBK" w:hAnsi="宋体" w:eastAsia="方正仿宋_GBK" w:cs="宋体"/>
                <w:b/>
                <w:color w:val="auto"/>
                <w:sz w:val="24"/>
                <w:szCs w:val="24"/>
              </w:rPr>
            </w:pPr>
            <w:r>
              <w:rPr>
                <w:rFonts w:hint="eastAsia" w:ascii="方正仿宋_GBK" w:hAnsi="方正仿宋_GBK" w:eastAsia="方正仿宋_GBK" w:cs="方正仿宋_GBK"/>
                <w:b/>
                <w:bCs/>
                <w:color w:val="auto"/>
                <w:kern w:val="0"/>
                <w:sz w:val="24"/>
                <w:szCs w:val="24"/>
              </w:rPr>
              <w:t>所投产品生产厂家名称/品牌</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F4055">
            <w:pPr>
              <w:widowControl/>
              <w:jc w:val="center"/>
              <w:textAlignment w:val="center"/>
              <w:rPr>
                <w:rFonts w:ascii="方正仿宋_GBK" w:hAnsi="宋体" w:eastAsia="方正仿宋_GBK" w:cs="宋体"/>
                <w:b/>
                <w:color w:val="auto"/>
                <w:sz w:val="24"/>
                <w:szCs w:val="24"/>
              </w:rPr>
            </w:pPr>
            <w:r>
              <w:rPr>
                <w:rFonts w:hint="eastAsia" w:ascii="方正仿宋_GBK" w:hAnsi="宋体" w:eastAsia="方正仿宋_GBK" w:cs="宋体"/>
                <w:b/>
                <w:color w:val="auto"/>
                <w:kern w:val="0"/>
                <w:sz w:val="24"/>
                <w:szCs w:val="24"/>
              </w:rPr>
              <w:t>数量</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ACD8A">
            <w:pPr>
              <w:widowControl/>
              <w:jc w:val="center"/>
              <w:textAlignment w:val="center"/>
              <w:rPr>
                <w:rFonts w:ascii="方正仿宋_GBK" w:hAnsi="宋体" w:eastAsia="方正仿宋_GBK" w:cs="宋体"/>
                <w:b/>
                <w:color w:val="auto"/>
                <w:sz w:val="24"/>
                <w:szCs w:val="24"/>
              </w:rPr>
            </w:pPr>
            <w:r>
              <w:rPr>
                <w:rFonts w:hint="eastAsia" w:ascii="方正仿宋_GBK" w:hAnsi="宋体" w:eastAsia="方正仿宋_GBK" w:cs="宋体"/>
                <w:b/>
                <w:color w:val="auto"/>
                <w:kern w:val="0"/>
                <w:sz w:val="24"/>
                <w:szCs w:val="24"/>
              </w:rPr>
              <w:t>计量单位</w:t>
            </w:r>
          </w:p>
        </w:tc>
      </w:tr>
      <w:tr w14:paraId="61834F33">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45270">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DF28A6">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1.45L塑唯怡</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0FC642">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1*9</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FC0FD2">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6A4ACC">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500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32CC">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30D21D3C">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65B37">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2</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912E32">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1.5L景田纯净水</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DAB872">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1*12</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4DCA20">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AD71EA">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400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FED8E">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13629233">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D446F">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3</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A14BE4">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1.5L农夫山泉天然水</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AED813">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1*12</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6C7646">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F80172">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400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6DA76">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142AFF1B">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D082D">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4</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AF8F67">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1555ml怡宝纯净水</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D61E04">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1*12</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88F772">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6C6618">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400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6CC2">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47A29FD8">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94303">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76EDF4">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1L百事可乐系列</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EA5571">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1*12</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D5E482">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429395">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400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1AE3E">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0BE8B4BE">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7BECB">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6</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BD954A">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1L海之言柠檬</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D86837">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1*8</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C74A90">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45FF1B">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400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24451">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1D67AFF8">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EA181">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7</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6362C5">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1L康师傅茶系列</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1B95E1">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1*12</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1AB4E1">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7162D6">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350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7D29">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414E8DE8">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B32A6">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8</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605B34">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1L康师傅青梅绿茶13瓶装</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0F605F">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1*12</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F920B5">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CFCBE6">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300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6790">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0A5A84E9">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3D6FC">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9</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43EFCA">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1L绿茶（大包）</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682A2B">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1*12</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014C79">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3B4E37">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300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EA7BB">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3DAF7D38">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3A765">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10</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DC7537">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1L脉动系列（青柠、水蜜桃）</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D792DA">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1*12</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C0B0E9">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2C511D">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250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81FA">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3AD0FD3D">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AD098">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110E9E">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1L蜜桃多</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E2B320">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1*8</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8F9E75">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4ABC08">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250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B57B">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1064B913">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44810">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12</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A95F99">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1L七喜</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8CC456">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1*12</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2C5C0E">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0D4BD8">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250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B45A">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5637695B">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389A0">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13</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4E949C">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1L统一茶系列</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89AA3B">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1*8</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E39DCF">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B368B8">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250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57CB1">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41A0D2F6">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C874E">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14</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FDD712">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1L依能水系列</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F4771C">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1*12</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8B9BF6">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4E5EFA">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250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64A2">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38B07883">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66133">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15</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9E9A48">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2080ml怡宝纯净水</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CF53C1">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1*8</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C91D3C">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8AC264">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250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67E7F">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23AA1AFA">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11AEE">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16</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D5701D">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210ml厅装雀巢系列（特浓、香浓浓香）</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047640">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1*24</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5AC9A2">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52B391">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500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0E1FF">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24FC0719">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DF5B1">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17</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CC76CE">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245ml厅唯怡</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7291A1">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1*24</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FB9314">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DD16F0">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250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01CA">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3064A177">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C3717">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18</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EFE9E7">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245椰树椰汁</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4B6D5A">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1*24</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66807E">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2C8CB6">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250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3589C">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5D2368F6">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6F905">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19</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3EF935">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250ml厅红牛维生素功能饮料</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8FE6D7">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1*24</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CD9301">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F59E6C">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300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DF08">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0EB94A4C">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7AD95">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20</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61BD28">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2L百事</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F825E4">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1*6</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CF1331">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8E4995">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55358">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1662670F">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F701E">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21</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46C1E2">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2L农夫山泉</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1B82CA">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1*8</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5D64E2">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0EBFB5">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F78A">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02B93DEF">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E3F72">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22</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EC40D0">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2L七喜</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B56BD3">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1*6</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5B7CA7">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0E3E71">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F6809">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5C1E7511">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A2803">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23</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DB2D09">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2L统一鲜橙多</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4233EB">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1*6</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0ED3E6">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84A0C2">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795A0">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01D43C13">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B7297">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24</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2CD773">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300ml咖世家醇正拿铁</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0C0FE9">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834190">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0C0B5F">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A0D0">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43BF8A23">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C5B59">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25</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EAD5EA">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310ml厅装加多宝</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D61402">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1*24</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C8BB5C">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E6545B">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D895A">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16904361">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4357E">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26</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9A8493">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310ml厅装王老吉</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470089">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1*24</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9ECFC1">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96AF0A">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3C78">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3764C112">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C48D4">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27</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90CE85">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330ml高罐可口可乐（厅装）</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5562B1">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1*24</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1E7E2B">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9416FD">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BDF54">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5DE91B85">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AAA51">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28</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7FF454">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330ml高罐雪碧（厅装）</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E1ECD0">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1*24</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511FF5">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0704EA">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8BADC">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012A9A1D">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ED66E">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29</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47D182">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330ml可口可乐（星河漫步）</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0CDE31">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1*24</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3BA747">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2D0BB6">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E679">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68133248">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69340">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30</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5F4C3D">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330ml厅百事可乐系列</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A57775">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1*24</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B836C5">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714B28">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56CF">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5D99286D">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A8863">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31</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FBCB8C">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330ml厅可口可乐系列</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6EE5B3">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1*24</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DDF674">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D7B09A">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17E8">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183D4801">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2A7E7">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32</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3AA8F1">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360ml宜简苏打水系列</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73DAE8">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E630AC">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EAAF67">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F26C3">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70F630D5">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1EC12">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33</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3C6C31">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360ml元气森林系列（厚乳桃桃乳茶、清新椰椰）</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1D911B">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DC4DCD">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0709EE">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400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3E22">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18A1E953">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C90B0">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34</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59D4B9">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380ml乐虎</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5F7628">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39F479">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A31069">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742B">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32D5EAED">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5EDFB">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35</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2F157B">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380ml农夫山泉天然水</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A9D144">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1*24</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F1FE1C">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C10C3F">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94211">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0CC71FE4">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F615B">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36</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01832C">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380ml统一布偌乳茶原味</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1F26E4">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D1E39E">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AC3A3F">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620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9291B">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6AC7B1C8">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9C5A1">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37</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64EFCD">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4.5L怡宝纯净水</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2C42B7">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1*4</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28C802">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B03AF7">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300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CF4EF">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43D5C12F">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7B195">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38</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1F51E0">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450ml美汁源果粒橙</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D3752E">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1*12</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A62E54">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655298">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300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0452">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016657B6">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11301">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39</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BA17D9">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450ml统一鲜橙多</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8C669C">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B93E80">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1F8722">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300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72132">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08385574">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C2D35">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40</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63D29D">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480ml元气森林气泡水系列</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944AC8">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0DB228">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620FB2">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300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1188B">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1C41A46B">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B4E89">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41</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4EF28C">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500ml百事可乐系列</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2CF5E6">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1*24</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D7B6C9">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C121CE">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300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815C">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51BD27DA">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08614">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42</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15ACD3">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500ml大AD钙奶系列</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419C78">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5980BB">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890D8A">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300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5D182">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77AFE6FA">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8A5D0">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43</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32F3BE">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500ml东方树叶茶饮料系列</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71C242">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1DDD01">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9C10EB">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300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C02F">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476F860F">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B2B06">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44</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454D96">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500ml康师傅茶系列</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1DD0FB">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09A2C0">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F75183">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300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70C91">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1EA3ABE4">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AF622">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45</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E1C8BF">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500ml康师傅蜂蜜柚子</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9D2B0A">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175357">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DED3B7">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300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6026">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3F11EE7F">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383DF">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46</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ADCD82">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500ml可口可乐系列</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016BA7">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1*24</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7EDE61">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4011D8">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300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D5554">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6BC40E46">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3B769">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47</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1713D3">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500ml农夫茶π西柚15瓶装</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5D845A">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B3CA6C">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CB476A">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300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374E9">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60F34847">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A4E8C">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48</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CC5DCF">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500ml农夫水溶C100系列</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BF3F92">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C6C28D">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D30902">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300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CC58A">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2581DB96">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41625">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49</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FE0D05">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500ml三得利乌龙茶系列（低糖、无糖）</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91F18F">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72D388">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7EB01C">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600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8ED1">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2AE1E164">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E2FF6">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50</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1C7EE5">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500ml水趣多</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AF198E">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DDDFB3">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281B0B">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300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C278">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2BEC76C2">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C98EE">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51</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4D0683">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500ml水趣多荔枝</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83BD76">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DD663A">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460F9C">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300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8CE0">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4C5F0E0B">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5E13B">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52</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B0BCE8">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500ml统一阿萨姆奶茶系列</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BBF4F1">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74EC4A">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C87165">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300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A176">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6EFA1377">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17906">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53</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EF87A9">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500ml统一阿萨姆青提茉莉</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9ED441">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F3B5B6">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03D534">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300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E15A">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1AAA487D">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E0D14">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54</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042743">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500ml统一茶系列</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3D9450">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4EA6DE">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7FCA5D">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300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E8DE3">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68386AC5">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9207A">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55</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F1627A">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500ml统一海之言系列</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AC982E">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E7CE41">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DF33F4">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300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B7FC">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6990BD70">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AED97">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56</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143224">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500ml统一绿茶</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D25E54">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B6BA82">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013EFE">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300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6E4B1">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34CE1902">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5E05E">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57</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3EAFB4">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500ml维他命系列（西梅桃子、柚子复合风味）</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9D7E4F">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D4DF33">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FDCA24">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600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5221A">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59BBBFFD">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C21A6">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58</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5DE1FE">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500ml小茗同学系列（大麦红茶、冰橘、青柠红茶、溜溜哒）</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5DD18B">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0E0D03">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8DDE31">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600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70A0">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62C5278B">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F18BE">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59</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3E70CD">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500ml营养快线系列</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1D16EF">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787160">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8C4CF5">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300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3099E">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673CB289">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CDAEA">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60</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1243BB">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500ml元气燃茶系列（白燃（桃香）、黑燃（无糖乌龙））</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0C9B96">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38C475">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7AA389">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550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E3A08">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5E6D15F6">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80DB0">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61</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836D7C">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500ml元气外星人无糖运动饮料系列</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2970A8">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DB831B">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1A8AF8">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250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F3FC">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74C51F84">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C3048">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62</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9C3F61">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550ml康师傅矿物资水</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1715E2">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1*24</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D6FBE3">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48B487">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6CC43">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22429689">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8736F">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63</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3F76CE">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550ml农夫山泉天然水</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8557BA">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1*24</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7F8BE6">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B9E8D0">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66E3">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15C1D961">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5C10F">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64</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8DEBC7">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555ml怡宝纯净水</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5925C8">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1*24</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82FB51">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AB8D28">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EF40">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0153A16C">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FED22">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65</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2C4855">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560ml景田纯净水</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976BD6">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1*24</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01C90F">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53C61D">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82EC1">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1A9131C2">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5EA6C">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66</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F53C1E">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570ml百岁山</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C07F02">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1*24</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525F60">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063D6A">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9A44">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1E2FB90B">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D6C58">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67</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F4179D">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5L农夫山泉</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89B001">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1*4</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97783E">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E03745">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94396">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168E05DA">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8FA50">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68</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2B5313">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600ml佳得乐系列（橙味、蓝莓味、柠檬味)</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36D5E2">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A67221">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83E843">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600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B791D">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7C4AE063">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8CF79">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69</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91CB31">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600ml脉动维生素饮料系列</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7B4486">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9D2EE8">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8B37A1">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FE9D2">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79A280F9">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354F8">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70</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950490">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888ml可口可乐系列</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A6A52F">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1*12</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1CE885">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7BB358">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A0AD">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482AD40E">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7EF41">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71</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06AA2F">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900ml东方树叶系列（茉莉花茶、青柑普洱）</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B8A759">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1*12</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7F0866">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1C0B8E">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400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609F">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134D3D36">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D1354">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72</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677C54">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AD钙奶</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0BF682">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1*24</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A58D78">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BEECB6">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EFC7">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5CF32850">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3D2B9">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73</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7917F6">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百事可乐白桃乌龙</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BFA443">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1*12</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5D84CC">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3DC013">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29C6">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0426C45D">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FECDF">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74</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1996CE">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百事气泡水系列500ml（白桃、蜜柚）</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CA20B2">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1*12</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CF61A7">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C1837A">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400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DB52">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3442640F">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3AFB1">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75</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B171E0">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冰川时代Q1</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B5BDCF">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1*24</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604A06">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AB6D05">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50F63">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6AC692F6">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679A2">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76</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CC7D31">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玻唯怡</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A9D0A0">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1*20</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822891">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6D098D">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7962">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6408426F">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13CE9">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77</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3E4039">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茶里王茉莉花茶500ml</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C09542">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DA1F27">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797967">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400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D36B">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0304F536">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DB1E2">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78</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5C5039">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打奶茶（红茶）300ml</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30B28C">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EC6818">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B35D8C">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28ACE">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1E0BAF62">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CFBE4">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79</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FC15DF">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高罐百事330ml</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F98735">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1*24</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1667A6">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03A2C2">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DF35">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6C299017">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04830">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80</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64DF60">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盒装旺仔牛奶</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B1E775">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1*36</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01FF0D">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BDF090">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0138B">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2191832F">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0AA66">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81</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08ADE6">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盒装维他奶柠檬茶</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E70848">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1*24</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C0EB98">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A5C923">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17993">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7B972A00">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27864">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82</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8FABE8">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佳得乐奇异果600ml</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58DF15">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2231C8">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A5C8E0">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4BF6B">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15B16902">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548EA">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83</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BBC04A">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尖叫多肽（蓝）</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8DA41E">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D84099">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9490E9">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100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7E5E">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70DF13B7">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5515C">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84</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A52919">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尖叫纤维（绿）</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11DB04">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2710C0">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E05E43">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100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55D85">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3386A62D">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2E233">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85</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F02E3A">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康师傅1L蜜桃乌龙</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F6475E">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1*12</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F7D803">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BC948A">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100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2DCE">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2A06C11D">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E1144">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86</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C7260F">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康师傅橙汁饮品</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9B75BD">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F1E8E1">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A37233">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100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D138">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6CFD4248">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2A974">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87</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D1829D">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康师傅小酪多多</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46B335">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2E5427">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3AA8EA">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100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B713">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562E6FAC">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EBEA7">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88</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35C49C">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可口可乐高罐零度330Ml</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520182">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1*24</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D8678F">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FD1ADA">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16DB">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7220B6B5">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88F4F">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89</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E6D552">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脉动灵汽气泡水系列500ml（柠檬、香橙）</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6120CB">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451AD5">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92A712">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857F">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4DF93B1F">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BDAD2">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90</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56F43B">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农夫NFC系列</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A88B53">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1*10</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FB85B5">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FD27BD">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100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822B2">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780C9B52">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BB1BA">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91</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DE27C8">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农夫果园系列（橙苹果30%、凤梨苹果30%、桃子芭乐30%）</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BFF77E">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B4D39E">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D20051">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300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E404A">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17EB3B57">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FBD2A">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92</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4786AE">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农夫山泉苏打水系列（白桃味、柠檬味）</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73506E">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C78AD5">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1FA15E">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C5C6">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7922C2BC">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54A3D">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93</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A43C14">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农夫苏打水春见油柑410ml</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2BA912">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601015">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6E19FA">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100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146D4">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78A688A6">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9816D">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94</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E22C63">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农夫苏打水夏橘味</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CACC6F">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90160F">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E318DD">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100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C81BD">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5890DE2D">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954AA">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95</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3DE3BD">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瓶装雀巢丝滑系列268ml（拿铁咖啡、燕麦拿铁）</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311741">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543B1A">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E17EAD">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91FD5">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29C65F4D">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0D2CC">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96</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962B46">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雀巢茶系列500ml（冰极柠檬茶、柠檬冻红茶）</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79BDD4">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D250B3">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AA9394">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961E">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3656B069">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B14B0">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97</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423C87">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厅装旺仔牛奶</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A0B069">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1*24</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9EFC19">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C02F7A">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100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A664">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4D9A760B">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6FE83">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98</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53F9DE">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娃哈哈非常可乐500ml</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DB8EB3">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550D04">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DA43CD">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110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50E88">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3AF211BE">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075F3">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99</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59704C">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娃哈哈格瓦斯</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2BFAA3">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674DCA">
            <w:pPr>
              <w:widowControl/>
              <w:jc w:val="center"/>
              <w:textAlignment w:val="bottom"/>
              <w:rPr>
                <w:rFonts w:ascii="方正仿宋_GBK" w:hAnsi="新宋体" w:eastAsia="方正仿宋_GBK" w:cs="新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F015F5">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244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9565">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0F6583F7">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D20CA">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100</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4DFE24">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娃哈哈饮用水596ml方瓶</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6BD750">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1*24</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BDC35">
            <w:pPr>
              <w:widowControl/>
              <w:jc w:val="center"/>
              <w:textAlignment w:val="center"/>
              <w:rPr>
                <w:rFonts w:ascii="方正仿宋_GBK" w:hAnsi="宋体" w:eastAsia="方正仿宋_GBK" w:cs="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74A1A0">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100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AD1DF">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298A27DA">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CC0F5">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101</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56FCD7">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维他命系列15瓶装（柑橘、蓝莓树莓、柠檬、热带水果、石榴蓝莓）</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D20285">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3FDB1">
            <w:pPr>
              <w:widowControl/>
              <w:jc w:val="center"/>
              <w:textAlignment w:val="center"/>
              <w:rPr>
                <w:rFonts w:ascii="方正仿宋_GBK" w:hAnsi="宋体" w:eastAsia="方正仿宋_GBK" w:cs="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690B7E">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500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23CBF">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7A6E36FC">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ACB46">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102</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9F2AB8">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无糖雪碧系列500ml（柠檬味、薄荷味）</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7B5712">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1*12</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0AB55">
            <w:pPr>
              <w:widowControl/>
              <w:jc w:val="center"/>
              <w:textAlignment w:val="center"/>
              <w:rPr>
                <w:rFonts w:ascii="方正仿宋_GBK" w:hAnsi="宋体" w:eastAsia="方正仿宋_GBK" w:cs="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E4B897">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0E84">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475F7576">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CDD51">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103</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AF872E">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香飘飘果汁</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C9C3AA">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13D11">
            <w:pPr>
              <w:widowControl/>
              <w:jc w:val="center"/>
              <w:textAlignment w:val="center"/>
              <w:rPr>
                <w:rFonts w:ascii="方正仿宋_GBK" w:hAnsi="宋体" w:eastAsia="方正仿宋_GBK" w:cs="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476029">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100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A2EC2">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05B79671">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9404D">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104</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952F44">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小可口可乐</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AFD106">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1*24</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EBAE2">
            <w:pPr>
              <w:widowControl/>
              <w:jc w:val="center"/>
              <w:textAlignment w:val="center"/>
              <w:rPr>
                <w:rFonts w:ascii="方正仿宋_GBK" w:hAnsi="宋体" w:eastAsia="方正仿宋_GBK" w:cs="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496773">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100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F777">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23502EA4">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9CF91">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105</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6E33A5">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怡宝500ml午后奶茶（原味）</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B27FC3">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E2065">
            <w:pPr>
              <w:widowControl/>
              <w:jc w:val="center"/>
              <w:textAlignment w:val="center"/>
              <w:rPr>
                <w:rFonts w:ascii="方正仿宋_GBK" w:hAnsi="宋体" w:eastAsia="方正仿宋_GBK" w:cs="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77D313">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50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5D8F9">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1E6FB54F">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4FE25">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106</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BF3BA2">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怡宝茶系列（菊花茶、柠檬茶）</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893572">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74145">
            <w:pPr>
              <w:widowControl/>
              <w:jc w:val="center"/>
              <w:textAlignment w:val="center"/>
              <w:rPr>
                <w:rFonts w:ascii="方正仿宋_GBK" w:hAnsi="宋体" w:eastAsia="方正仿宋_GBK" w:cs="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29754A">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100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EA38">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1059A025">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F3EA6">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107</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63E39C">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怡宝蜜水系列（百柚、柠檬）</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298433">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53633">
            <w:pPr>
              <w:widowControl/>
              <w:jc w:val="center"/>
              <w:textAlignment w:val="center"/>
              <w:rPr>
                <w:rFonts w:ascii="方正仿宋_GBK" w:hAnsi="宋体" w:eastAsia="方正仿宋_GBK" w:cs="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B78DE7">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100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8026">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26E820A8">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A08AC">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108</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4CF6E5">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怡宝假日系列（葡萄味、桃子味）</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4B68A7">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7F6E3">
            <w:pPr>
              <w:widowControl/>
              <w:jc w:val="center"/>
              <w:textAlignment w:val="center"/>
              <w:rPr>
                <w:rFonts w:ascii="方正仿宋_GBK" w:hAnsi="宋体" w:eastAsia="方正仿宋_GBK" w:cs="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DB4173">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99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6682">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30CAB0C3">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D586D">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109</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ECCB6B">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怡宝水果水（苹果味）500ml</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F64696">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84682">
            <w:pPr>
              <w:widowControl/>
              <w:jc w:val="center"/>
              <w:textAlignment w:val="center"/>
              <w:rPr>
                <w:rFonts w:ascii="方正仿宋_GBK" w:hAnsi="宋体" w:eastAsia="方正仿宋_GBK" w:cs="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FE636B">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50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12E45">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398C91B0">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CAA16">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110</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EF998E">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宜简750果也系列</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3C935F">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1B110">
            <w:pPr>
              <w:widowControl/>
              <w:jc w:val="center"/>
              <w:textAlignment w:val="center"/>
              <w:rPr>
                <w:rFonts w:ascii="方正仿宋_GBK" w:hAnsi="宋体" w:eastAsia="方正仿宋_GBK" w:cs="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BDAD83">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50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EEE79">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6E08F22C">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7087F">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111</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67F1C0">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宜简轻乳泡泡系列500ml（白桃、乳酸菌）</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EAA796">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1105D">
            <w:pPr>
              <w:widowControl/>
              <w:jc w:val="center"/>
              <w:textAlignment w:val="center"/>
              <w:rPr>
                <w:rFonts w:ascii="方正仿宋_GBK" w:hAnsi="宋体" w:eastAsia="方正仿宋_GBK" w:cs="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D32CB3">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100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1703A">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0B63FE2F">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ECE5F">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112</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A92A00">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元气森林气泡水冰茶系列450ml（白桃茉莉、葡萄柚冰绿茶、柠檬）</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D06FCB">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40E18">
            <w:pPr>
              <w:widowControl/>
              <w:jc w:val="center"/>
              <w:textAlignment w:val="center"/>
              <w:rPr>
                <w:rFonts w:ascii="方正仿宋_GBK" w:hAnsi="宋体" w:eastAsia="方正仿宋_GBK" w:cs="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D28874">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150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C0B77">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30358714">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DD7B9">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113</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C076F6">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元气森林燃茶（茉莉花茶）</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D193E5">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87172">
            <w:pPr>
              <w:widowControl/>
              <w:jc w:val="center"/>
              <w:textAlignment w:val="center"/>
              <w:rPr>
                <w:rFonts w:ascii="方正仿宋_GBK" w:hAnsi="宋体" w:eastAsia="方正仿宋_GBK" w:cs="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1AD1BE">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50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8B09">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575FFCD1">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4D4F3">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114</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0D6C26">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元气外星人电解质（雏菊味）500ml</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E51A53">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04E57">
            <w:pPr>
              <w:widowControl/>
              <w:jc w:val="center"/>
              <w:textAlignment w:val="center"/>
              <w:rPr>
                <w:rFonts w:ascii="方正仿宋_GBK" w:hAnsi="宋体" w:eastAsia="方正仿宋_GBK" w:cs="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D42D3D">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 xml:space="preserve">50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3C31">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38644C83">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3A59B">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115</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3F4C9B">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纸盒椰树椰汁</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01ED14">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1*24</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3CAC89">
            <w:pPr>
              <w:widowControl/>
              <w:jc w:val="center"/>
              <w:textAlignment w:val="bottom"/>
              <w:rPr>
                <w:rFonts w:ascii="方正仿宋_GBK" w:hAnsi="宋体" w:eastAsia="方正仿宋_GBK" w:cs="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A9EB01">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42</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A57F0F">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r w14:paraId="30AF2D25">
        <w:tblPrEx>
          <w:tblCellMar>
            <w:top w:w="0" w:type="dxa"/>
            <w:left w:w="108" w:type="dxa"/>
            <w:bottom w:w="0" w:type="dxa"/>
            <w:right w:w="108" w:type="dxa"/>
          </w:tblCellMar>
        </w:tblPrEx>
        <w:trPr>
          <w:trHeight w:val="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C3DD0">
            <w:pPr>
              <w:widowControl/>
              <w:jc w:val="center"/>
              <w:textAlignment w:val="center"/>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116</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CE6A84">
            <w:pPr>
              <w:widowControl/>
              <w:jc w:val="left"/>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巴山蜀水</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9123E6">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1*24</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95CDCE">
            <w:pPr>
              <w:widowControl/>
              <w:jc w:val="center"/>
              <w:textAlignment w:val="bottom"/>
              <w:rPr>
                <w:rFonts w:ascii="方正仿宋_GBK" w:hAnsi="宋体" w:eastAsia="方正仿宋_GBK" w:cs="宋体"/>
                <w:color w:val="auto"/>
                <w:sz w:val="24"/>
                <w:szCs w:val="2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BCA93A">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50</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1BE920">
            <w:pPr>
              <w:widowControl/>
              <w:jc w:val="center"/>
              <w:textAlignment w:val="bottom"/>
              <w:rPr>
                <w:rFonts w:ascii="方正仿宋_GBK" w:hAnsi="宋体" w:eastAsia="方正仿宋_GBK" w:cs="宋体"/>
                <w:color w:val="auto"/>
                <w:sz w:val="24"/>
                <w:szCs w:val="24"/>
              </w:rPr>
            </w:pPr>
            <w:r>
              <w:rPr>
                <w:rFonts w:hint="eastAsia" w:ascii="方正仿宋_GBK" w:hAnsi="宋体" w:eastAsia="方正仿宋_GBK" w:cs="宋体"/>
                <w:color w:val="auto"/>
                <w:kern w:val="0"/>
                <w:sz w:val="24"/>
                <w:szCs w:val="24"/>
              </w:rPr>
              <w:t>件</w:t>
            </w:r>
          </w:p>
        </w:tc>
      </w:tr>
    </w:tbl>
    <w:p w14:paraId="2E33AC6D">
      <w:pPr>
        <w:snapToGrid w:val="0"/>
        <w:spacing w:line="276" w:lineRule="auto"/>
        <w:ind w:firstLine="480" w:firstLineChars="200"/>
        <w:rPr>
          <w:rFonts w:ascii="方正仿宋_GBK" w:hAnsi="宋体" w:eastAsia="方正仿宋_GBK"/>
          <w:color w:val="auto"/>
          <w:sz w:val="24"/>
          <w:szCs w:val="24"/>
        </w:rPr>
      </w:pPr>
    </w:p>
    <w:p w14:paraId="62059E18">
      <w:pPr>
        <w:spacing w:line="276" w:lineRule="auto"/>
        <w:rPr>
          <w:rFonts w:ascii="方正仿宋_GBK" w:hAnsi="宋体" w:eastAsia="方正仿宋_GBK"/>
          <w:color w:val="auto"/>
          <w:sz w:val="24"/>
          <w:szCs w:val="24"/>
        </w:rPr>
      </w:pPr>
      <w:r>
        <w:rPr>
          <w:rFonts w:hint="eastAsia" w:ascii="方正仿宋_GBK" w:hAnsi="宋体" w:eastAsia="方正仿宋_GBK"/>
          <w:color w:val="auto"/>
          <w:sz w:val="24"/>
          <w:szCs w:val="24"/>
        </w:rPr>
        <w:t>供应商：                  法定代表人（或法定代表人授权代表）：</w:t>
      </w:r>
    </w:p>
    <w:p w14:paraId="4419B3AC">
      <w:pPr>
        <w:spacing w:line="276" w:lineRule="auto"/>
        <w:rPr>
          <w:rFonts w:ascii="方正仿宋_GBK" w:hAnsi="宋体" w:eastAsia="方正仿宋_GBK"/>
          <w:color w:val="auto"/>
          <w:sz w:val="24"/>
          <w:szCs w:val="24"/>
        </w:rPr>
      </w:pPr>
      <w:r>
        <w:rPr>
          <w:rFonts w:hint="eastAsia" w:ascii="方正仿宋_GBK" w:hAnsi="宋体" w:eastAsia="方正仿宋_GBK"/>
          <w:color w:val="auto"/>
          <w:sz w:val="24"/>
          <w:szCs w:val="24"/>
        </w:rPr>
        <w:t>（供应商公章）                        （签字或盖章）</w:t>
      </w:r>
    </w:p>
    <w:p w14:paraId="6016A94C">
      <w:pPr>
        <w:spacing w:line="276" w:lineRule="auto"/>
        <w:rPr>
          <w:rFonts w:ascii="方正仿宋_GBK" w:hAnsi="宋体" w:eastAsia="方正仿宋_GBK"/>
          <w:color w:val="auto"/>
          <w:sz w:val="24"/>
          <w:szCs w:val="24"/>
        </w:rPr>
      </w:pPr>
    </w:p>
    <w:p w14:paraId="3A2B2328">
      <w:pPr>
        <w:snapToGrid w:val="0"/>
        <w:spacing w:line="276" w:lineRule="auto"/>
        <w:ind w:firstLine="4800" w:firstLineChars="2000"/>
        <w:rPr>
          <w:rFonts w:ascii="方正仿宋_GBK" w:hAnsi="宋体" w:eastAsia="方正仿宋_GBK"/>
          <w:color w:val="auto"/>
          <w:sz w:val="24"/>
          <w:szCs w:val="24"/>
        </w:rPr>
      </w:pPr>
      <w:r>
        <w:rPr>
          <w:rFonts w:hint="eastAsia" w:ascii="方正仿宋_GBK" w:hAnsi="宋体" w:eastAsia="方正仿宋_GBK"/>
          <w:color w:val="auto"/>
          <w:sz w:val="24"/>
          <w:szCs w:val="24"/>
        </w:rPr>
        <w:t>年      月     日</w:t>
      </w:r>
    </w:p>
    <w:p w14:paraId="43EC9C2B">
      <w:pPr>
        <w:spacing w:line="276" w:lineRule="auto"/>
        <w:ind w:firstLine="480" w:firstLineChars="200"/>
        <w:rPr>
          <w:rFonts w:ascii="方正仿宋_GBK" w:hAnsi="宋体" w:eastAsia="方正仿宋_GBK"/>
          <w:color w:val="auto"/>
          <w:sz w:val="24"/>
          <w:szCs w:val="24"/>
        </w:rPr>
      </w:pPr>
    </w:p>
    <w:p w14:paraId="097E3ECA">
      <w:pPr>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注：</w:t>
      </w:r>
    </w:p>
    <w:p w14:paraId="449DB51F">
      <w:pPr>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w:t>
      </w:r>
      <w:r>
        <w:rPr>
          <w:rFonts w:hint="eastAsia" w:ascii="方正仿宋_GBK" w:hAnsi="方正仿宋_GBK" w:eastAsia="方正仿宋_GBK" w:cs="方正仿宋_GBK"/>
          <w:color w:val="auto"/>
          <w:sz w:val="24"/>
          <w:szCs w:val="24"/>
        </w:rPr>
        <w:t>采购人食堂2年物资数量仅供投标人计算报价所用，不作为中标后采购依据；</w:t>
      </w:r>
    </w:p>
    <w:p w14:paraId="2B954AA5">
      <w:pPr>
        <w:spacing w:line="276" w:lineRule="auto"/>
        <w:ind w:firstLine="480" w:firstLineChars="200"/>
        <w:rPr>
          <w:rFonts w:ascii="方正仿宋_GBK" w:hAnsi="宋体" w:eastAsia="方正仿宋_GBK"/>
          <w:color w:val="auto"/>
          <w:sz w:val="24"/>
          <w:szCs w:val="24"/>
        </w:rPr>
      </w:pPr>
      <w:r>
        <w:rPr>
          <w:rFonts w:ascii="方正仿宋_GBK" w:hAnsi="宋体" w:eastAsia="方正仿宋_GBK"/>
          <w:color w:val="auto"/>
          <w:sz w:val="24"/>
          <w:szCs w:val="24"/>
        </w:rPr>
        <w:t>2</w:t>
      </w:r>
      <w:r>
        <w:rPr>
          <w:rFonts w:hint="eastAsia" w:ascii="方正仿宋_GBK" w:hAnsi="宋体" w:eastAsia="方正仿宋_GBK"/>
          <w:color w:val="auto"/>
          <w:sz w:val="24"/>
          <w:szCs w:val="24"/>
        </w:rPr>
        <w:t>.请投标人完整填写本表；</w:t>
      </w:r>
    </w:p>
    <w:p w14:paraId="36D18228">
      <w:pPr>
        <w:spacing w:line="276" w:lineRule="auto"/>
        <w:ind w:firstLine="480" w:firstLineChars="200"/>
        <w:rPr>
          <w:rFonts w:ascii="方正仿宋_GBK" w:hAnsi="宋体" w:eastAsia="方正仿宋_GBK"/>
          <w:color w:val="auto"/>
          <w:sz w:val="24"/>
          <w:szCs w:val="24"/>
        </w:rPr>
      </w:pPr>
      <w:r>
        <w:rPr>
          <w:rFonts w:ascii="方正仿宋_GBK" w:hAnsi="宋体" w:eastAsia="方正仿宋_GBK"/>
          <w:color w:val="auto"/>
          <w:sz w:val="24"/>
          <w:szCs w:val="24"/>
        </w:rPr>
        <w:t>3</w:t>
      </w:r>
      <w:r>
        <w:rPr>
          <w:rFonts w:hint="eastAsia" w:ascii="方正仿宋_GBK" w:hAnsi="宋体" w:eastAsia="方正仿宋_GBK"/>
          <w:color w:val="auto"/>
          <w:sz w:val="24"/>
          <w:szCs w:val="24"/>
        </w:rPr>
        <w:t>.该表可扩展，并逐页签字或盖章。</w:t>
      </w:r>
    </w:p>
    <w:p w14:paraId="6FE0AA67">
      <w:pPr>
        <w:snapToGrid w:val="0"/>
        <w:spacing w:line="276" w:lineRule="auto"/>
        <w:jc w:val="left"/>
        <w:rPr>
          <w:rFonts w:ascii="方正仿宋_GBK" w:eastAsia="方正仿宋_GBK"/>
          <w:b/>
          <w:color w:val="auto"/>
          <w:sz w:val="24"/>
          <w:szCs w:val="24"/>
        </w:rPr>
      </w:pPr>
      <w:r>
        <w:rPr>
          <w:rFonts w:hint="eastAsia" w:ascii="方正仿宋_GBK" w:eastAsia="方正仿宋_GBK"/>
          <w:color w:val="auto"/>
          <w:sz w:val="24"/>
          <w:szCs w:val="24"/>
        </w:rPr>
        <w:br w:type="page"/>
      </w:r>
      <w:bookmarkStart w:id="226" w:name="_Toc7171253"/>
      <w:bookmarkStart w:id="227" w:name="_Toc493178790"/>
      <w:bookmarkStart w:id="228" w:name="_Toc59621319"/>
      <w:r>
        <w:rPr>
          <w:rFonts w:hint="eastAsia" w:ascii="方正仿宋_GBK" w:eastAsia="方正仿宋_GBK"/>
          <w:b/>
          <w:color w:val="auto"/>
          <w:sz w:val="24"/>
          <w:szCs w:val="24"/>
        </w:rPr>
        <w:t>二、服务文件</w:t>
      </w:r>
      <w:bookmarkEnd w:id="226"/>
    </w:p>
    <w:p w14:paraId="6DEF1EED">
      <w:pPr>
        <w:tabs>
          <w:tab w:val="left" w:pos="6300"/>
        </w:tabs>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（一）服务（质量）条款差异表</w:t>
      </w:r>
    </w:p>
    <w:p w14:paraId="5E852AF3">
      <w:pPr>
        <w:tabs>
          <w:tab w:val="left" w:pos="6300"/>
        </w:tabs>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项目号：</w:t>
      </w:r>
    </w:p>
    <w:p w14:paraId="307D650E">
      <w:pPr>
        <w:tabs>
          <w:tab w:val="left" w:pos="6300"/>
        </w:tabs>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招标项目名称：</w:t>
      </w:r>
    </w:p>
    <w:p w14:paraId="4A691096">
      <w:pPr>
        <w:tabs>
          <w:tab w:val="left" w:pos="6300"/>
        </w:tabs>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包号：</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9"/>
        <w:gridCol w:w="3081"/>
        <w:gridCol w:w="2307"/>
      </w:tblGrid>
      <w:tr w14:paraId="20C56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vAlign w:val="center"/>
          </w:tcPr>
          <w:p w14:paraId="5D6952F5">
            <w:pPr>
              <w:tabs>
                <w:tab w:val="left" w:pos="6300"/>
              </w:tabs>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序号</w:t>
            </w:r>
          </w:p>
        </w:tc>
        <w:tc>
          <w:tcPr>
            <w:tcW w:w="1542" w:type="pct"/>
            <w:vAlign w:val="center"/>
          </w:tcPr>
          <w:p w14:paraId="1E32B571">
            <w:pPr>
              <w:tabs>
                <w:tab w:val="left" w:pos="6300"/>
              </w:tabs>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招标要求</w:t>
            </w:r>
          </w:p>
        </w:tc>
        <w:tc>
          <w:tcPr>
            <w:tcW w:w="1600" w:type="pct"/>
            <w:vAlign w:val="center"/>
          </w:tcPr>
          <w:p w14:paraId="7DCBE93B">
            <w:pPr>
              <w:tabs>
                <w:tab w:val="left" w:pos="6300"/>
              </w:tabs>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投标应答</w:t>
            </w:r>
          </w:p>
        </w:tc>
        <w:tc>
          <w:tcPr>
            <w:tcW w:w="1198" w:type="pct"/>
            <w:vAlign w:val="center"/>
          </w:tcPr>
          <w:p w14:paraId="02AF1CD7">
            <w:pPr>
              <w:tabs>
                <w:tab w:val="left" w:pos="6300"/>
              </w:tabs>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差异说明</w:t>
            </w:r>
          </w:p>
        </w:tc>
      </w:tr>
      <w:tr w14:paraId="786A5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67ED6CA">
            <w:pPr>
              <w:tabs>
                <w:tab w:val="left" w:pos="6300"/>
              </w:tabs>
              <w:snapToGrid w:val="0"/>
              <w:spacing w:line="276" w:lineRule="auto"/>
              <w:ind w:firstLine="480" w:firstLineChars="200"/>
              <w:rPr>
                <w:rFonts w:ascii="方正仿宋_GBK" w:hAnsi="宋体" w:eastAsia="方正仿宋_GBK"/>
                <w:color w:val="auto"/>
                <w:sz w:val="24"/>
                <w:szCs w:val="24"/>
              </w:rPr>
            </w:pPr>
          </w:p>
        </w:tc>
        <w:tc>
          <w:tcPr>
            <w:tcW w:w="1542" w:type="pct"/>
            <w:vAlign w:val="center"/>
          </w:tcPr>
          <w:p w14:paraId="56425201">
            <w:pPr>
              <w:tabs>
                <w:tab w:val="left" w:pos="6300"/>
              </w:tabs>
              <w:snapToGrid w:val="0"/>
              <w:spacing w:line="276" w:lineRule="auto"/>
              <w:ind w:firstLine="480" w:firstLineChars="200"/>
              <w:rPr>
                <w:rFonts w:ascii="方正仿宋_GBK" w:hAnsi="宋体" w:eastAsia="方正仿宋_GBK"/>
                <w:color w:val="auto"/>
                <w:sz w:val="24"/>
                <w:szCs w:val="24"/>
              </w:rPr>
            </w:pPr>
          </w:p>
        </w:tc>
        <w:tc>
          <w:tcPr>
            <w:tcW w:w="1600" w:type="pct"/>
            <w:vAlign w:val="center"/>
          </w:tcPr>
          <w:p w14:paraId="636AEABE">
            <w:pPr>
              <w:tabs>
                <w:tab w:val="left" w:pos="6300"/>
              </w:tabs>
              <w:snapToGrid w:val="0"/>
              <w:spacing w:line="276" w:lineRule="auto"/>
              <w:rPr>
                <w:rFonts w:ascii="方正仿宋_GBK" w:hAnsi="宋体" w:eastAsia="方正仿宋_GBK"/>
                <w:color w:val="auto"/>
                <w:sz w:val="24"/>
                <w:szCs w:val="24"/>
              </w:rPr>
            </w:pPr>
            <w:r>
              <w:rPr>
                <w:rFonts w:hint="eastAsia" w:ascii="方正仿宋_GBK" w:hAnsi="宋体" w:eastAsia="方正仿宋_GBK"/>
                <w:color w:val="auto"/>
                <w:sz w:val="24"/>
                <w:szCs w:val="24"/>
              </w:rPr>
              <w:t>提醒：请注明技术参数或具体内容以及投标文件中技术参数或具体内容的位置（页码）</w:t>
            </w:r>
          </w:p>
        </w:tc>
        <w:tc>
          <w:tcPr>
            <w:tcW w:w="1198" w:type="pct"/>
            <w:vAlign w:val="center"/>
          </w:tcPr>
          <w:p w14:paraId="40428137">
            <w:pPr>
              <w:tabs>
                <w:tab w:val="left" w:pos="6300"/>
              </w:tabs>
              <w:snapToGrid w:val="0"/>
              <w:spacing w:line="276" w:lineRule="auto"/>
              <w:ind w:firstLine="480" w:firstLineChars="200"/>
              <w:rPr>
                <w:rFonts w:ascii="方正仿宋_GBK" w:hAnsi="宋体" w:eastAsia="方正仿宋_GBK"/>
                <w:color w:val="auto"/>
                <w:sz w:val="24"/>
                <w:szCs w:val="24"/>
              </w:rPr>
            </w:pPr>
          </w:p>
        </w:tc>
      </w:tr>
      <w:tr w14:paraId="6FDB3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2512A4A">
            <w:pPr>
              <w:tabs>
                <w:tab w:val="left" w:pos="6300"/>
              </w:tabs>
              <w:snapToGrid w:val="0"/>
              <w:spacing w:line="276" w:lineRule="auto"/>
              <w:ind w:firstLine="480" w:firstLineChars="200"/>
              <w:rPr>
                <w:rFonts w:ascii="方正仿宋_GBK" w:hAnsi="宋体" w:eastAsia="方正仿宋_GBK"/>
                <w:color w:val="auto"/>
                <w:sz w:val="24"/>
                <w:szCs w:val="24"/>
              </w:rPr>
            </w:pPr>
          </w:p>
        </w:tc>
        <w:tc>
          <w:tcPr>
            <w:tcW w:w="1542" w:type="pct"/>
            <w:vAlign w:val="center"/>
          </w:tcPr>
          <w:p w14:paraId="27174FFB">
            <w:pPr>
              <w:tabs>
                <w:tab w:val="left" w:pos="6300"/>
              </w:tabs>
              <w:snapToGrid w:val="0"/>
              <w:spacing w:line="276" w:lineRule="auto"/>
              <w:ind w:firstLine="480" w:firstLineChars="200"/>
              <w:rPr>
                <w:rFonts w:ascii="方正仿宋_GBK" w:hAnsi="宋体" w:eastAsia="方正仿宋_GBK"/>
                <w:color w:val="auto"/>
                <w:sz w:val="24"/>
                <w:szCs w:val="24"/>
              </w:rPr>
            </w:pPr>
          </w:p>
        </w:tc>
        <w:tc>
          <w:tcPr>
            <w:tcW w:w="1600" w:type="pct"/>
            <w:vAlign w:val="center"/>
          </w:tcPr>
          <w:p w14:paraId="29466021">
            <w:pPr>
              <w:tabs>
                <w:tab w:val="left" w:pos="6300"/>
              </w:tabs>
              <w:snapToGrid w:val="0"/>
              <w:spacing w:line="276" w:lineRule="auto"/>
              <w:ind w:firstLine="480" w:firstLineChars="200"/>
              <w:rPr>
                <w:rFonts w:ascii="方正仿宋_GBK" w:hAnsi="宋体" w:eastAsia="方正仿宋_GBK"/>
                <w:color w:val="auto"/>
                <w:sz w:val="24"/>
                <w:szCs w:val="24"/>
              </w:rPr>
            </w:pPr>
          </w:p>
        </w:tc>
        <w:tc>
          <w:tcPr>
            <w:tcW w:w="1198" w:type="pct"/>
            <w:vAlign w:val="center"/>
          </w:tcPr>
          <w:p w14:paraId="48D93F9F">
            <w:pPr>
              <w:tabs>
                <w:tab w:val="left" w:pos="6300"/>
              </w:tabs>
              <w:snapToGrid w:val="0"/>
              <w:spacing w:line="276" w:lineRule="auto"/>
              <w:ind w:firstLine="480" w:firstLineChars="200"/>
              <w:rPr>
                <w:rFonts w:ascii="方正仿宋_GBK" w:hAnsi="宋体" w:eastAsia="方正仿宋_GBK"/>
                <w:color w:val="auto"/>
                <w:sz w:val="24"/>
                <w:szCs w:val="24"/>
              </w:rPr>
            </w:pPr>
          </w:p>
        </w:tc>
      </w:tr>
      <w:tr w14:paraId="5588B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71B0718">
            <w:pPr>
              <w:tabs>
                <w:tab w:val="left" w:pos="6300"/>
              </w:tabs>
              <w:snapToGrid w:val="0"/>
              <w:spacing w:line="276" w:lineRule="auto"/>
              <w:ind w:firstLine="480" w:firstLineChars="200"/>
              <w:rPr>
                <w:rFonts w:ascii="方正仿宋_GBK" w:hAnsi="宋体" w:eastAsia="方正仿宋_GBK"/>
                <w:color w:val="auto"/>
                <w:sz w:val="24"/>
                <w:szCs w:val="24"/>
              </w:rPr>
            </w:pPr>
          </w:p>
        </w:tc>
        <w:tc>
          <w:tcPr>
            <w:tcW w:w="1542" w:type="pct"/>
            <w:vAlign w:val="center"/>
          </w:tcPr>
          <w:p w14:paraId="3F7A1D5C">
            <w:pPr>
              <w:tabs>
                <w:tab w:val="left" w:pos="6300"/>
              </w:tabs>
              <w:snapToGrid w:val="0"/>
              <w:spacing w:line="276" w:lineRule="auto"/>
              <w:ind w:firstLine="480" w:firstLineChars="200"/>
              <w:rPr>
                <w:rFonts w:ascii="方正仿宋_GBK" w:hAnsi="宋体" w:eastAsia="方正仿宋_GBK"/>
                <w:color w:val="auto"/>
                <w:sz w:val="24"/>
                <w:szCs w:val="24"/>
              </w:rPr>
            </w:pPr>
          </w:p>
        </w:tc>
        <w:tc>
          <w:tcPr>
            <w:tcW w:w="1600" w:type="pct"/>
            <w:vAlign w:val="center"/>
          </w:tcPr>
          <w:p w14:paraId="4E62DA99">
            <w:pPr>
              <w:tabs>
                <w:tab w:val="left" w:pos="6300"/>
              </w:tabs>
              <w:snapToGrid w:val="0"/>
              <w:spacing w:line="276" w:lineRule="auto"/>
              <w:ind w:firstLine="480" w:firstLineChars="200"/>
              <w:rPr>
                <w:rFonts w:ascii="方正仿宋_GBK" w:hAnsi="宋体" w:eastAsia="方正仿宋_GBK"/>
                <w:color w:val="auto"/>
                <w:sz w:val="24"/>
                <w:szCs w:val="24"/>
              </w:rPr>
            </w:pPr>
          </w:p>
        </w:tc>
        <w:tc>
          <w:tcPr>
            <w:tcW w:w="1198" w:type="pct"/>
            <w:vAlign w:val="center"/>
          </w:tcPr>
          <w:p w14:paraId="1AF30B53">
            <w:pPr>
              <w:tabs>
                <w:tab w:val="left" w:pos="6300"/>
              </w:tabs>
              <w:snapToGrid w:val="0"/>
              <w:spacing w:line="276" w:lineRule="auto"/>
              <w:ind w:firstLine="480" w:firstLineChars="200"/>
              <w:rPr>
                <w:rFonts w:ascii="方正仿宋_GBK" w:hAnsi="宋体" w:eastAsia="方正仿宋_GBK"/>
                <w:color w:val="auto"/>
                <w:sz w:val="24"/>
                <w:szCs w:val="24"/>
              </w:rPr>
            </w:pPr>
          </w:p>
        </w:tc>
      </w:tr>
      <w:tr w14:paraId="36353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69E63D8">
            <w:pPr>
              <w:tabs>
                <w:tab w:val="left" w:pos="6300"/>
              </w:tabs>
              <w:snapToGrid w:val="0"/>
              <w:spacing w:line="276" w:lineRule="auto"/>
              <w:ind w:firstLine="480" w:firstLineChars="200"/>
              <w:rPr>
                <w:rFonts w:ascii="方正仿宋_GBK" w:hAnsi="宋体" w:eastAsia="方正仿宋_GBK"/>
                <w:color w:val="auto"/>
                <w:sz w:val="24"/>
                <w:szCs w:val="24"/>
              </w:rPr>
            </w:pPr>
          </w:p>
        </w:tc>
        <w:tc>
          <w:tcPr>
            <w:tcW w:w="1542" w:type="pct"/>
            <w:vAlign w:val="center"/>
          </w:tcPr>
          <w:p w14:paraId="54391F1B">
            <w:pPr>
              <w:tabs>
                <w:tab w:val="left" w:pos="6300"/>
              </w:tabs>
              <w:snapToGrid w:val="0"/>
              <w:spacing w:line="276" w:lineRule="auto"/>
              <w:ind w:firstLine="480" w:firstLineChars="200"/>
              <w:rPr>
                <w:rFonts w:ascii="方正仿宋_GBK" w:hAnsi="宋体" w:eastAsia="方正仿宋_GBK"/>
                <w:color w:val="auto"/>
                <w:sz w:val="24"/>
                <w:szCs w:val="24"/>
              </w:rPr>
            </w:pPr>
          </w:p>
        </w:tc>
        <w:tc>
          <w:tcPr>
            <w:tcW w:w="1600" w:type="pct"/>
            <w:vAlign w:val="center"/>
          </w:tcPr>
          <w:p w14:paraId="3AC48D33">
            <w:pPr>
              <w:tabs>
                <w:tab w:val="left" w:pos="6300"/>
              </w:tabs>
              <w:snapToGrid w:val="0"/>
              <w:spacing w:line="276" w:lineRule="auto"/>
              <w:ind w:firstLine="480" w:firstLineChars="200"/>
              <w:rPr>
                <w:rFonts w:ascii="方正仿宋_GBK" w:hAnsi="宋体" w:eastAsia="方正仿宋_GBK"/>
                <w:color w:val="auto"/>
                <w:sz w:val="24"/>
                <w:szCs w:val="24"/>
              </w:rPr>
            </w:pPr>
          </w:p>
        </w:tc>
        <w:tc>
          <w:tcPr>
            <w:tcW w:w="1198" w:type="pct"/>
            <w:vAlign w:val="center"/>
          </w:tcPr>
          <w:p w14:paraId="6D1BC24F">
            <w:pPr>
              <w:tabs>
                <w:tab w:val="left" w:pos="6300"/>
              </w:tabs>
              <w:snapToGrid w:val="0"/>
              <w:spacing w:line="276" w:lineRule="auto"/>
              <w:ind w:firstLine="480" w:firstLineChars="200"/>
              <w:rPr>
                <w:rFonts w:ascii="方正仿宋_GBK" w:hAnsi="宋体" w:eastAsia="方正仿宋_GBK"/>
                <w:color w:val="auto"/>
                <w:sz w:val="24"/>
                <w:szCs w:val="24"/>
              </w:rPr>
            </w:pPr>
          </w:p>
        </w:tc>
      </w:tr>
      <w:tr w14:paraId="2CCC9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4C7E902">
            <w:pPr>
              <w:tabs>
                <w:tab w:val="left" w:pos="6300"/>
              </w:tabs>
              <w:snapToGrid w:val="0"/>
              <w:spacing w:line="276" w:lineRule="auto"/>
              <w:ind w:firstLine="480" w:firstLineChars="200"/>
              <w:rPr>
                <w:rFonts w:ascii="方正仿宋_GBK" w:hAnsi="宋体" w:eastAsia="方正仿宋_GBK"/>
                <w:color w:val="auto"/>
                <w:sz w:val="24"/>
                <w:szCs w:val="24"/>
              </w:rPr>
            </w:pPr>
          </w:p>
        </w:tc>
        <w:tc>
          <w:tcPr>
            <w:tcW w:w="1542" w:type="pct"/>
            <w:vAlign w:val="center"/>
          </w:tcPr>
          <w:p w14:paraId="69FE128D">
            <w:pPr>
              <w:tabs>
                <w:tab w:val="left" w:pos="6300"/>
              </w:tabs>
              <w:snapToGrid w:val="0"/>
              <w:spacing w:line="276" w:lineRule="auto"/>
              <w:ind w:firstLine="480" w:firstLineChars="200"/>
              <w:rPr>
                <w:rFonts w:ascii="方正仿宋_GBK" w:hAnsi="宋体" w:eastAsia="方正仿宋_GBK"/>
                <w:color w:val="auto"/>
                <w:sz w:val="24"/>
                <w:szCs w:val="24"/>
              </w:rPr>
            </w:pPr>
          </w:p>
        </w:tc>
        <w:tc>
          <w:tcPr>
            <w:tcW w:w="1600" w:type="pct"/>
            <w:vAlign w:val="center"/>
          </w:tcPr>
          <w:p w14:paraId="168342EA">
            <w:pPr>
              <w:tabs>
                <w:tab w:val="left" w:pos="6300"/>
              </w:tabs>
              <w:snapToGrid w:val="0"/>
              <w:spacing w:line="276" w:lineRule="auto"/>
              <w:ind w:firstLine="480" w:firstLineChars="200"/>
              <w:rPr>
                <w:rFonts w:ascii="方正仿宋_GBK" w:hAnsi="宋体" w:eastAsia="方正仿宋_GBK"/>
                <w:color w:val="auto"/>
                <w:sz w:val="24"/>
                <w:szCs w:val="24"/>
              </w:rPr>
            </w:pPr>
          </w:p>
        </w:tc>
        <w:tc>
          <w:tcPr>
            <w:tcW w:w="1198" w:type="pct"/>
            <w:vAlign w:val="center"/>
          </w:tcPr>
          <w:p w14:paraId="0CA051E7">
            <w:pPr>
              <w:tabs>
                <w:tab w:val="left" w:pos="6300"/>
              </w:tabs>
              <w:snapToGrid w:val="0"/>
              <w:spacing w:line="276" w:lineRule="auto"/>
              <w:ind w:firstLine="480" w:firstLineChars="200"/>
              <w:rPr>
                <w:rFonts w:ascii="方正仿宋_GBK" w:hAnsi="宋体" w:eastAsia="方正仿宋_GBK"/>
                <w:color w:val="auto"/>
                <w:sz w:val="24"/>
                <w:szCs w:val="24"/>
              </w:rPr>
            </w:pPr>
          </w:p>
        </w:tc>
      </w:tr>
      <w:tr w14:paraId="39C2E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182A982">
            <w:pPr>
              <w:tabs>
                <w:tab w:val="left" w:pos="6300"/>
              </w:tabs>
              <w:snapToGrid w:val="0"/>
              <w:spacing w:line="276" w:lineRule="auto"/>
              <w:ind w:firstLine="480" w:firstLineChars="200"/>
              <w:rPr>
                <w:rFonts w:ascii="方正仿宋_GBK" w:hAnsi="宋体" w:eastAsia="方正仿宋_GBK"/>
                <w:color w:val="auto"/>
                <w:sz w:val="24"/>
                <w:szCs w:val="24"/>
              </w:rPr>
            </w:pPr>
          </w:p>
        </w:tc>
        <w:tc>
          <w:tcPr>
            <w:tcW w:w="1542" w:type="pct"/>
            <w:vAlign w:val="center"/>
          </w:tcPr>
          <w:p w14:paraId="484BB142">
            <w:pPr>
              <w:tabs>
                <w:tab w:val="left" w:pos="6300"/>
              </w:tabs>
              <w:snapToGrid w:val="0"/>
              <w:spacing w:line="276" w:lineRule="auto"/>
              <w:ind w:firstLine="480" w:firstLineChars="200"/>
              <w:rPr>
                <w:rFonts w:ascii="方正仿宋_GBK" w:hAnsi="宋体" w:eastAsia="方正仿宋_GBK"/>
                <w:color w:val="auto"/>
                <w:sz w:val="24"/>
                <w:szCs w:val="24"/>
              </w:rPr>
            </w:pPr>
          </w:p>
        </w:tc>
        <w:tc>
          <w:tcPr>
            <w:tcW w:w="1600" w:type="pct"/>
            <w:vAlign w:val="center"/>
          </w:tcPr>
          <w:p w14:paraId="0DDCD5C3">
            <w:pPr>
              <w:tabs>
                <w:tab w:val="left" w:pos="6300"/>
              </w:tabs>
              <w:snapToGrid w:val="0"/>
              <w:spacing w:line="276" w:lineRule="auto"/>
              <w:ind w:firstLine="480" w:firstLineChars="200"/>
              <w:rPr>
                <w:rFonts w:ascii="方正仿宋_GBK" w:hAnsi="宋体" w:eastAsia="方正仿宋_GBK"/>
                <w:color w:val="auto"/>
                <w:sz w:val="24"/>
                <w:szCs w:val="24"/>
              </w:rPr>
            </w:pPr>
          </w:p>
        </w:tc>
        <w:tc>
          <w:tcPr>
            <w:tcW w:w="1198" w:type="pct"/>
            <w:vAlign w:val="center"/>
          </w:tcPr>
          <w:p w14:paraId="2020641C">
            <w:pPr>
              <w:tabs>
                <w:tab w:val="left" w:pos="6300"/>
              </w:tabs>
              <w:snapToGrid w:val="0"/>
              <w:spacing w:line="276" w:lineRule="auto"/>
              <w:ind w:firstLine="480" w:firstLineChars="200"/>
              <w:rPr>
                <w:rFonts w:ascii="方正仿宋_GBK" w:hAnsi="宋体" w:eastAsia="方正仿宋_GBK"/>
                <w:color w:val="auto"/>
                <w:sz w:val="24"/>
                <w:szCs w:val="24"/>
              </w:rPr>
            </w:pPr>
          </w:p>
        </w:tc>
      </w:tr>
      <w:tr w14:paraId="53359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D20E9C4">
            <w:pPr>
              <w:tabs>
                <w:tab w:val="left" w:pos="6300"/>
              </w:tabs>
              <w:snapToGrid w:val="0"/>
              <w:spacing w:line="276" w:lineRule="auto"/>
              <w:ind w:firstLine="480" w:firstLineChars="200"/>
              <w:rPr>
                <w:rFonts w:ascii="方正仿宋_GBK" w:hAnsi="宋体" w:eastAsia="方正仿宋_GBK"/>
                <w:color w:val="auto"/>
                <w:sz w:val="24"/>
                <w:szCs w:val="24"/>
              </w:rPr>
            </w:pPr>
          </w:p>
        </w:tc>
        <w:tc>
          <w:tcPr>
            <w:tcW w:w="1542" w:type="pct"/>
            <w:vAlign w:val="center"/>
          </w:tcPr>
          <w:p w14:paraId="616070D7">
            <w:pPr>
              <w:tabs>
                <w:tab w:val="left" w:pos="6300"/>
              </w:tabs>
              <w:snapToGrid w:val="0"/>
              <w:spacing w:line="276" w:lineRule="auto"/>
              <w:ind w:firstLine="480" w:firstLineChars="200"/>
              <w:rPr>
                <w:rFonts w:ascii="方正仿宋_GBK" w:hAnsi="宋体" w:eastAsia="方正仿宋_GBK"/>
                <w:color w:val="auto"/>
                <w:sz w:val="24"/>
                <w:szCs w:val="24"/>
              </w:rPr>
            </w:pPr>
          </w:p>
        </w:tc>
        <w:tc>
          <w:tcPr>
            <w:tcW w:w="1600" w:type="pct"/>
            <w:vAlign w:val="center"/>
          </w:tcPr>
          <w:p w14:paraId="6943122D">
            <w:pPr>
              <w:tabs>
                <w:tab w:val="left" w:pos="6300"/>
              </w:tabs>
              <w:snapToGrid w:val="0"/>
              <w:spacing w:line="276" w:lineRule="auto"/>
              <w:ind w:firstLine="480" w:firstLineChars="200"/>
              <w:rPr>
                <w:rFonts w:ascii="方正仿宋_GBK" w:hAnsi="宋体" w:eastAsia="方正仿宋_GBK"/>
                <w:color w:val="auto"/>
                <w:sz w:val="24"/>
                <w:szCs w:val="24"/>
              </w:rPr>
            </w:pPr>
          </w:p>
        </w:tc>
        <w:tc>
          <w:tcPr>
            <w:tcW w:w="1198" w:type="pct"/>
            <w:vAlign w:val="center"/>
          </w:tcPr>
          <w:p w14:paraId="3DDE022E">
            <w:pPr>
              <w:tabs>
                <w:tab w:val="left" w:pos="6300"/>
              </w:tabs>
              <w:snapToGrid w:val="0"/>
              <w:spacing w:line="276" w:lineRule="auto"/>
              <w:ind w:firstLine="480" w:firstLineChars="200"/>
              <w:rPr>
                <w:rFonts w:ascii="方正仿宋_GBK" w:hAnsi="宋体" w:eastAsia="方正仿宋_GBK"/>
                <w:color w:val="auto"/>
                <w:sz w:val="24"/>
                <w:szCs w:val="24"/>
              </w:rPr>
            </w:pPr>
          </w:p>
        </w:tc>
      </w:tr>
      <w:tr w14:paraId="7C2F0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99DE64A">
            <w:pPr>
              <w:tabs>
                <w:tab w:val="left" w:pos="6300"/>
              </w:tabs>
              <w:snapToGrid w:val="0"/>
              <w:spacing w:line="276" w:lineRule="auto"/>
              <w:ind w:firstLine="480" w:firstLineChars="200"/>
              <w:rPr>
                <w:rFonts w:ascii="方正仿宋_GBK" w:hAnsi="宋体" w:eastAsia="方正仿宋_GBK"/>
                <w:color w:val="auto"/>
                <w:sz w:val="24"/>
                <w:szCs w:val="24"/>
              </w:rPr>
            </w:pPr>
          </w:p>
        </w:tc>
        <w:tc>
          <w:tcPr>
            <w:tcW w:w="1542" w:type="pct"/>
            <w:vAlign w:val="center"/>
          </w:tcPr>
          <w:p w14:paraId="2C6CD839">
            <w:pPr>
              <w:tabs>
                <w:tab w:val="left" w:pos="6300"/>
              </w:tabs>
              <w:snapToGrid w:val="0"/>
              <w:spacing w:line="276" w:lineRule="auto"/>
              <w:ind w:firstLine="480" w:firstLineChars="200"/>
              <w:rPr>
                <w:rFonts w:ascii="方正仿宋_GBK" w:hAnsi="宋体" w:eastAsia="方正仿宋_GBK"/>
                <w:color w:val="auto"/>
                <w:sz w:val="24"/>
                <w:szCs w:val="24"/>
              </w:rPr>
            </w:pPr>
          </w:p>
        </w:tc>
        <w:tc>
          <w:tcPr>
            <w:tcW w:w="1600" w:type="pct"/>
            <w:vAlign w:val="center"/>
          </w:tcPr>
          <w:p w14:paraId="59BEE28B">
            <w:pPr>
              <w:tabs>
                <w:tab w:val="left" w:pos="6300"/>
              </w:tabs>
              <w:snapToGrid w:val="0"/>
              <w:spacing w:line="276" w:lineRule="auto"/>
              <w:ind w:firstLine="480" w:firstLineChars="200"/>
              <w:rPr>
                <w:rFonts w:ascii="方正仿宋_GBK" w:hAnsi="宋体" w:eastAsia="方正仿宋_GBK"/>
                <w:color w:val="auto"/>
                <w:sz w:val="24"/>
                <w:szCs w:val="24"/>
              </w:rPr>
            </w:pPr>
          </w:p>
        </w:tc>
        <w:tc>
          <w:tcPr>
            <w:tcW w:w="1198" w:type="pct"/>
            <w:vAlign w:val="center"/>
          </w:tcPr>
          <w:p w14:paraId="770B3C12">
            <w:pPr>
              <w:tabs>
                <w:tab w:val="left" w:pos="6300"/>
              </w:tabs>
              <w:snapToGrid w:val="0"/>
              <w:spacing w:line="276" w:lineRule="auto"/>
              <w:ind w:firstLine="480" w:firstLineChars="200"/>
              <w:rPr>
                <w:rFonts w:ascii="方正仿宋_GBK" w:hAnsi="宋体" w:eastAsia="方正仿宋_GBK"/>
                <w:color w:val="auto"/>
                <w:sz w:val="24"/>
                <w:szCs w:val="24"/>
              </w:rPr>
            </w:pPr>
          </w:p>
        </w:tc>
      </w:tr>
      <w:tr w14:paraId="5D489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418B598">
            <w:pPr>
              <w:tabs>
                <w:tab w:val="left" w:pos="6300"/>
              </w:tabs>
              <w:snapToGrid w:val="0"/>
              <w:spacing w:line="276" w:lineRule="auto"/>
              <w:ind w:firstLine="480" w:firstLineChars="200"/>
              <w:rPr>
                <w:rFonts w:ascii="方正仿宋_GBK" w:hAnsi="宋体" w:eastAsia="方正仿宋_GBK"/>
                <w:color w:val="auto"/>
                <w:sz w:val="24"/>
                <w:szCs w:val="24"/>
              </w:rPr>
            </w:pPr>
          </w:p>
        </w:tc>
        <w:tc>
          <w:tcPr>
            <w:tcW w:w="1542" w:type="pct"/>
            <w:vAlign w:val="center"/>
          </w:tcPr>
          <w:p w14:paraId="6AEC2E35">
            <w:pPr>
              <w:tabs>
                <w:tab w:val="left" w:pos="6300"/>
              </w:tabs>
              <w:snapToGrid w:val="0"/>
              <w:spacing w:line="276" w:lineRule="auto"/>
              <w:ind w:firstLine="480" w:firstLineChars="200"/>
              <w:rPr>
                <w:rFonts w:ascii="方正仿宋_GBK" w:hAnsi="宋体" w:eastAsia="方正仿宋_GBK"/>
                <w:color w:val="auto"/>
                <w:sz w:val="24"/>
                <w:szCs w:val="24"/>
              </w:rPr>
            </w:pPr>
          </w:p>
        </w:tc>
        <w:tc>
          <w:tcPr>
            <w:tcW w:w="1600" w:type="pct"/>
            <w:vAlign w:val="center"/>
          </w:tcPr>
          <w:p w14:paraId="0F763368">
            <w:pPr>
              <w:tabs>
                <w:tab w:val="left" w:pos="6300"/>
              </w:tabs>
              <w:snapToGrid w:val="0"/>
              <w:spacing w:line="276" w:lineRule="auto"/>
              <w:ind w:firstLine="480" w:firstLineChars="200"/>
              <w:rPr>
                <w:rFonts w:ascii="方正仿宋_GBK" w:hAnsi="宋体" w:eastAsia="方正仿宋_GBK"/>
                <w:color w:val="auto"/>
                <w:sz w:val="24"/>
                <w:szCs w:val="24"/>
              </w:rPr>
            </w:pPr>
          </w:p>
        </w:tc>
        <w:tc>
          <w:tcPr>
            <w:tcW w:w="1198" w:type="pct"/>
            <w:vAlign w:val="center"/>
          </w:tcPr>
          <w:p w14:paraId="72C6349B">
            <w:pPr>
              <w:tabs>
                <w:tab w:val="left" w:pos="6300"/>
              </w:tabs>
              <w:snapToGrid w:val="0"/>
              <w:spacing w:line="276" w:lineRule="auto"/>
              <w:ind w:firstLine="480" w:firstLineChars="200"/>
              <w:rPr>
                <w:rFonts w:ascii="方正仿宋_GBK" w:hAnsi="宋体" w:eastAsia="方正仿宋_GBK"/>
                <w:color w:val="auto"/>
                <w:sz w:val="24"/>
                <w:szCs w:val="24"/>
              </w:rPr>
            </w:pPr>
          </w:p>
        </w:tc>
      </w:tr>
    </w:tbl>
    <w:p w14:paraId="6A4FF5C8">
      <w:pPr>
        <w:tabs>
          <w:tab w:val="left" w:pos="6300"/>
        </w:tabs>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供应商：                      法定代表人（或法定代表人授权代表）：</w:t>
      </w:r>
    </w:p>
    <w:p w14:paraId="7C49BA2F">
      <w:pPr>
        <w:tabs>
          <w:tab w:val="left" w:pos="6300"/>
        </w:tabs>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    </w:t>
      </w:r>
    </w:p>
    <w:p w14:paraId="606B8B17">
      <w:pPr>
        <w:tabs>
          <w:tab w:val="left" w:pos="6300"/>
        </w:tabs>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（供应商公章）                               （签署或盖章）</w:t>
      </w:r>
    </w:p>
    <w:p w14:paraId="6DE30E63">
      <w:pPr>
        <w:tabs>
          <w:tab w:val="left" w:pos="6300"/>
        </w:tabs>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                                            年     月     日</w:t>
      </w:r>
    </w:p>
    <w:p w14:paraId="1C803432">
      <w:pPr>
        <w:tabs>
          <w:tab w:val="left" w:pos="6300"/>
        </w:tabs>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注：</w:t>
      </w:r>
    </w:p>
    <w:p w14:paraId="23DF179B">
      <w:pPr>
        <w:tabs>
          <w:tab w:val="left" w:pos="6300"/>
        </w:tabs>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1.本表即为对本项目“第二篇  项目服务需求”中所列条款进行比较和响应；</w:t>
      </w:r>
    </w:p>
    <w:p w14:paraId="6FF96DC4">
      <w:pPr>
        <w:tabs>
          <w:tab w:val="left" w:pos="6300"/>
        </w:tabs>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2.本表可扩展；</w:t>
      </w:r>
    </w:p>
    <w:p w14:paraId="353B05BB">
      <w:pPr>
        <w:tabs>
          <w:tab w:val="left" w:pos="6300"/>
        </w:tabs>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3.可附相关支撑材料。（格式自定）</w:t>
      </w:r>
    </w:p>
    <w:p w14:paraId="2E4AFF6A">
      <w:pPr>
        <w:tabs>
          <w:tab w:val="left" w:pos="6300"/>
        </w:tabs>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4.投标应答栏中应当注明技术参数或具体内容，且必须标注技术参数或具体内容在投标文件中的位置（页码）。</w:t>
      </w:r>
    </w:p>
    <w:p w14:paraId="249EBB57">
      <w:pPr>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br w:type="page"/>
      </w:r>
      <w:bookmarkEnd w:id="227"/>
      <w:bookmarkEnd w:id="228"/>
      <w:r>
        <w:rPr>
          <w:rFonts w:hint="eastAsia" w:ascii="方正仿宋_GBK" w:hAnsi="宋体" w:eastAsia="方正仿宋_GBK"/>
          <w:color w:val="auto"/>
          <w:sz w:val="24"/>
          <w:szCs w:val="24"/>
        </w:rPr>
        <w:t>（二）其他服务资料（如有）</w:t>
      </w:r>
    </w:p>
    <w:p w14:paraId="0014488E">
      <w:pPr>
        <w:snapToGrid w:val="0"/>
        <w:spacing w:line="276" w:lineRule="auto"/>
        <w:ind w:firstLine="480" w:firstLineChars="200"/>
        <w:rPr>
          <w:rFonts w:ascii="方正仿宋_GBK" w:hAnsi="宋体" w:eastAsia="方正仿宋_GBK"/>
          <w:color w:val="auto"/>
          <w:sz w:val="24"/>
          <w:szCs w:val="24"/>
        </w:rPr>
      </w:pPr>
    </w:p>
    <w:p w14:paraId="5C982542">
      <w:pPr>
        <w:snapToGrid w:val="0"/>
        <w:spacing w:line="276" w:lineRule="auto"/>
        <w:ind w:firstLine="480" w:firstLineChars="200"/>
        <w:rPr>
          <w:rFonts w:ascii="方正仿宋_GBK" w:eastAsia="方正仿宋_GBK"/>
          <w:color w:val="auto"/>
          <w:sz w:val="24"/>
          <w:szCs w:val="24"/>
        </w:rPr>
      </w:pPr>
    </w:p>
    <w:p w14:paraId="679E688C">
      <w:pPr>
        <w:spacing w:line="276" w:lineRule="auto"/>
        <w:rPr>
          <w:rFonts w:ascii="方正仿宋_GBK" w:eastAsia="方正仿宋_GBK"/>
          <w:b/>
          <w:color w:val="auto"/>
          <w:sz w:val="24"/>
          <w:szCs w:val="24"/>
        </w:rPr>
      </w:pPr>
      <w:r>
        <w:rPr>
          <w:rFonts w:hint="eastAsia" w:ascii="方正仿宋_GBK" w:hAnsi="仿宋" w:eastAsia="方正仿宋_GBK"/>
          <w:color w:val="auto"/>
          <w:sz w:val="24"/>
          <w:szCs w:val="24"/>
        </w:rPr>
        <w:br w:type="page"/>
      </w:r>
      <w:bookmarkStart w:id="229" w:name="_Toc493178791"/>
      <w:bookmarkStart w:id="230" w:name="_Toc492721039"/>
      <w:bookmarkStart w:id="231" w:name="_Toc59621320"/>
      <w:r>
        <w:rPr>
          <w:rFonts w:hint="eastAsia" w:ascii="方正仿宋_GBK" w:eastAsia="方正仿宋_GBK"/>
          <w:b/>
          <w:color w:val="auto"/>
          <w:sz w:val="24"/>
          <w:szCs w:val="24"/>
        </w:rPr>
        <w:t>三、商务文件</w:t>
      </w:r>
      <w:bookmarkEnd w:id="229"/>
      <w:bookmarkEnd w:id="230"/>
      <w:bookmarkEnd w:id="231"/>
    </w:p>
    <w:p w14:paraId="1BA65C29">
      <w:pPr>
        <w:snapToGrid w:val="0"/>
        <w:spacing w:beforeLines="50" w:line="276" w:lineRule="auto"/>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（一）投标函（格式）</w:t>
      </w:r>
    </w:p>
    <w:p w14:paraId="116567D5">
      <w:pPr>
        <w:spacing w:line="276" w:lineRule="auto"/>
        <w:ind w:firstLine="480" w:firstLineChars="200"/>
        <w:rPr>
          <w:rFonts w:ascii="方正仿宋_GBK" w:hAnsi="宋体" w:eastAsia="方正仿宋_GBK"/>
          <w:color w:val="auto"/>
          <w:sz w:val="24"/>
          <w:szCs w:val="24"/>
          <w:u w:val="single"/>
        </w:rPr>
      </w:pPr>
      <w:r>
        <w:rPr>
          <w:rFonts w:hint="eastAsia" w:ascii="方正仿宋_GBK" w:hAnsi="宋体" w:eastAsia="方正仿宋_GBK"/>
          <w:color w:val="auto"/>
          <w:sz w:val="24"/>
          <w:szCs w:val="24"/>
        </w:rPr>
        <w:t>招标项目名称：</w:t>
      </w:r>
      <w:r>
        <w:rPr>
          <w:rFonts w:hint="eastAsia" w:ascii="方正仿宋_GBK" w:hAnsi="宋体" w:eastAsia="方正仿宋_GBK"/>
          <w:color w:val="auto"/>
          <w:sz w:val="24"/>
          <w:szCs w:val="24"/>
          <w:u w:val="single"/>
        </w:rPr>
        <w:t xml:space="preserve">                                             </w:t>
      </w:r>
    </w:p>
    <w:p w14:paraId="433CC9F3">
      <w:pPr>
        <w:tabs>
          <w:tab w:val="left" w:pos="6300"/>
        </w:tabs>
        <w:snapToGrid w:val="0"/>
        <w:spacing w:line="276" w:lineRule="auto"/>
        <w:ind w:firstLine="480" w:firstLineChars="200"/>
        <w:rPr>
          <w:rFonts w:ascii="方正仿宋_GBK" w:hAnsi="宋体" w:eastAsia="方正仿宋_GBK"/>
          <w:color w:val="auto"/>
          <w:sz w:val="24"/>
          <w:szCs w:val="24"/>
          <w:u w:val="single"/>
        </w:rPr>
      </w:pPr>
      <w:r>
        <w:rPr>
          <w:rFonts w:hint="eastAsia" w:ascii="方正仿宋_GBK" w:hAnsi="宋体" w:eastAsia="方正仿宋_GBK"/>
          <w:color w:val="auto"/>
          <w:sz w:val="24"/>
          <w:szCs w:val="24"/>
        </w:rPr>
        <w:t>包号：</w:t>
      </w:r>
      <w:r>
        <w:rPr>
          <w:rFonts w:hint="eastAsia" w:ascii="方正仿宋_GBK" w:hAnsi="宋体" w:eastAsia="方正仿宋_GBK"/>
          <w:color w:val="auto"/>
          <w:sz w:val="24"/>
          <w:szCs w:val="24"/>
          <w:u w:val="single"/>
        </w:rPr>
        <w:t xml:space="preserve">      </w:t>
      </w:r>
    </w:p>
    <w:p w14:paraId="43A8F0F7">
      <w:pPr>
        <w:tabs>
          <w:tab w:val="left" w:pos="6300"/>
        </w:tabs>
        <w:snapToGrid w:val="0"/>
        <w:spacing w:line="276" w:lineRule="auto"/>
        <w:rPr>
          <w:rFonts w:ascii="方正仿宋_GBK" w:hAnsi="宋体" w:eastAsia="方正仿宋_GBK"/>
          <w:color w:val="auto"/>
          <w:sz w:val="24"/>
          <w:szCs w:val="24"/>
        </w:rPr>
      </w:pPr>
    </w:p>
    <w:p w14:paraId="0AA006AE">
      <w:pPr>
        <w:tabs>
          <w:tab w:val="left" w:pos="6300"/>
        </w:tabs>
        <w:snapToGrid w:val="0"/>
        <w:spacing w:line="276" w:lineRule="auto"/>
        <w:rPr>
          <w:rFonts w:ascii="方正仿宋_GBK" w:hAnsi="宋体" w:eastAsia="方正仿宋_GBK"/>
          <w:color w:val="auto"/>
          <w:sz w:val="24"/>
          <w:szCs w:val="24"/>
        </w:rPr>
      </w:pPr>
      <w:r>
        <w:rPr>
          <w:rFonts w:hint="eastAsia" w:ascii="方正仿宋_GBK" w:hAnsi="宋体" w:eastAsia="方正仿宋_GBK"/>
          <w:color w:val="auto"/>
          <w:sz w:val="24"/>
          <w:szCs w:val="24"/>
        </w:rPr>
        <w:t>致：</w:t>
      </w:r>
      <w:r>
        <w:rPr>
          <w:rFonts w:hint="eastAsia" w:ascii="方正仿宋_GBK" w:hAnsi="宋体" w:eastAsia="方正仿宋_GBK"/>
          <w:color w:val="auto"/>
          <w:sz w:val="24"/>
          <w:szCs w:val="24"/>
          <w:u w:val="single"/>
        </w:rPr>
        <w:t>重庆工商大学</w:t>
      </w:r>
      <w:r>
        <w:rPr>
          <w:rFonts w:hint="eastAsia" w:ascii="方正仿宋_GBK" w:hAnsi="宋体" w:eastAsia="方正仿宋_GBK"/>
          <w:color w:val="auto"/>
          <w:sz w:val="24"/>
          <w:szCs w:val="24"/>
        </w:rPr>
        <w:t>：</w:t>
      </w:r>
    </w:p>
    <w:p w14:paraId="2CE84CB3">
      <w:pPr>
        <w:snapToGrid w:val="0"/>
        <w:spacing w:beforeLines="50"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（供应商名称）系中华人民共和国合法企业，注册地址：</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。我方就参加本次投标有关事项郑重声明如下：</w:t>
      </w:r>
    </w:p>
    <w:p w14:paraId="610D19E5">
      <w:pPr>
        <w:tabs>
          <w:tab w:val="left" w:pos="6300"/>
        </w:tabs>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一、我方完全理解并接受该项目招标文件所有要求。</w:t>
      </w:r>
    </w:p>
    <w:p w14:paraId="635C383E">
      <w:pPr>
        <w:tabs>
          <w:tab w:val="left" w:pos="6300"/>
        </w:tabs>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二、我方提交的所有投标文件、资料都是准确和真实的，如有虚假或隐瞒，我方愿意承担一切法律责任。</w:t>
      </w:r>
    </w:p>
    <w:p w14:paraId="6801C9EC">
      <w:pPr>
        <w:tabs>
          <w:tab w:val="left" w:pos="6300"/>
        </w:tabs>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三、我方承诺按照招标文件要求，提供招标项目的服务。</w:t>
      </w:r>
    </w:p>
    <w:p w14:paraId="2212D410">
      <w:pPr>
        <w:tabs>
          <w:tab w:val="left" w:pos="6300"/>
        </w:tabs>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四、我方按招标文件要求提交的投标文件为：投标文件正本1份，副本 2 份，电子文档 1 份。</w:t>
      </w:r>
    </w:p>
    <w:p w14:paraId="0D918ED2">
      <w:pPr>
        <w:tabs>
          <w:tab w:val="left" w:pos="6300"/>
        </w:tabs>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五、我方承诺：本次投标的投标有效期为投标截止日期起90天。</w:t>
      </w:r>
    </w:p>
    <w:p w14:paraId="6A980856">
      <w:pPr>
        <w:tabs>
          <w:tab w:val="left" w:pos="6300"/>
        </w:tabs>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六、我方投标报价为闭口价。即在投标有效期和合同有效期内，该报价固定不变。</w:t>
      </w:r>
    </w:p>
    <w:p w14:paraId="0F492329">
      <w:pPr>
        <w:tabs>
          <w:tab w:val="left" w:pos="6300"/>
        </w:tabs>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七、如果我方中标，我方将履行招标文件中规定的各项要求以及我方投标文件的各项承诺，按《政府采购法》、《民法典》及合同约定条款承担我方责任。</w:t>
      </w:r>
    </w:p>
    <w:p w14:paraId="062DB9F1">
      <w:pPr>
        <w:tabs>
          <w:tab w:val="left" w:pos="6300"/>
        </w:tabs>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八、我方未为采购项目提供整体设计、规范编制或者项目管理、监理、检测等服务。</w:t>
      </w:r>
    </w:p>
    <w:p w14:paraId="11CB54A6">
      <w:pPr>
        <w:tabs>
          <w:tab w:val="left" w:pos="6300"/>
        </w:tabs>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九、我方理解，最低报价不是中标的唯一条件。</w:t>
      </w:r>
    </w:p>
    <w:p w14:paraId="7F752CAC">
      <w:pPr>
        <w:tabs>
          <w:tab w:val="left" w:pos="6300"/>
        </w:tabs>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十、我方同意按有关规定及招标文件要求，交纳足额投标保证金。</w:t>
      </w:r>
    </w:p>
    <w:p w14:paraId="537052A3">
      <w:pPr>
        <w:tabs>
          <w:tab w:val="left" w:pos="6300"/>
        </w:tabs>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十一、若我方中标，愿意按有关规定及招标文件要求缴纳招标代理服务费和交易服务费。</w:t>
      </w:r>
    </w:p>
    <w:p w14:paraId="0D8D246A">
      <w:pPr>
        <w:tabs>
          <w:tab w:val="left" w:pos="6300"/>
        </w:tabs>
        <w:snapToGrid w:val="0"/>
        <w:spacing w:line="276" w:lineRule="auto"/>
        <w:ind w:firstLine="5700" w:firstLineChars="2375"/>
        <w:rPr>
          <w:rFonts w:ascii="方正仿宋_GBK" w:hAnsi="宋体" w:eastAsia="方正仿宋_GBK"/>
          <w:color w:val="auto"/>
          <w:sz w:val="24"/>
          <w:szCs w:val="24"/>
        </w:rPr>
      </w:pPr>
      <w:r>
        <w:rPr>
          <w:rFonts w:hint="eastAsia" w:ascii="方正仿宋_GBK" w:hAnsi="宋体" w:eastAsia="方正仿宋_GBK"/>
          <w:color w:val="auto"/>
          <w:sz w:val="24"/>
          <w:szCs w:val="24"/>
        </w:rPr>
        <w:t>（供应商公章）</w:t>
      </w:r>
    </w:p>
    <w:p w14:paraId="13C5721B">
      <w:pPr>
        <w:tabs>
          <w:tab w:val="left" w:pos="6300"/>
        </w:tabs>
        <w:snapToGrid w:val="0"/>
        <w:spacing w:line="276" w:lineRule="auto"/>
        <w:ind w:firstLine="5760" w:firstLineChars="2400"/>
        <w:rPr>
          <w:rFonts w:ascii="方正仿宋_GBK" w:hAnsi="宋体" w:eastAsia="方正仿宋_GBK"/>
          <w:color w:val="auto"/>
          <w:sz w:val="24"/>
          <w:szCs w:val="24"/>
        </w:rPr>
      </w:pPr>
      <w:r>
        <w:rPr>
          <w:rFonts w:hint="eastAsia" w:ascii="方正仿宋_GBK" w:hAnsi="宋体" w:eastAsia="方正仿宋_GBK"/>
          <w:color w:val="auto"/>
          <w:sz w:val="24"/>
          <w:szCs w:val="24"/>
        </w:rPr>
        <w:t>年    月   日</w:t>
      </w:r>
    </w:p>
    <w:p w14:paraId="45CEDBD2">
      <w:pPr>
        <w:tabs>
          <w:tab w:val="left" w:pos="6300"/>
        </w:tabs>
        <w:snapToGrid w:val="0"/>
        <w:spacing w:line="276" w:lineRule="auto"/>
        <w:ind w:firstLine="570"/>
        <w:jc w:val="left"/>
        <w:rPr>
          <w:rFonts w:ascii="方正仿宋_GBK" w:hAnsi="仿宋" w:eastAsia="方正仿宋_GBK"/>
          <w:color w:val="auto"/>
          <w:sz w:val="24"/>
          <w:szCs w:val="24"/>
        </w:rPr>
      </w:pPr>
      <w:r>
        <w:rPr>
          <w:rFonts w:hint="eastAsia" w:ascii="方正仿宋_GBK" w:hAnsi="仿宋" w:eastAsia="方正仿宋_GBK"/>
          <w:color w:val="auto"/>
          <w:sz w:val="24"/>
          <w:szCs w:val="24"/>
        </w:rPr>
        <w:br w:type="page"/>
      </w:r>
      <w:r>
        <w:rPr>
          <w:rFonts w:hint="eastAsia" w:ascii="方正仿宋_GBK" w:hAnsi="仿宋" w:eastAsia="方正仿宋_GBK"/>
          <w:color w:val="auto"/>
          <w:sz w:val="24"/>
          <w:szCs w:val="24"/>
        </w:rPr>
        <w:t>（二）商务条款差异表</w:t>
      </w:r>
    </w:p>
    <w:p w14:paraId="2331195F">
      <w:pPr>
        <w:tabs>
          <w:tab w:val="left" w:pos="6300"/>
        </w:tabs>
        <w:snapToGrid w:val="0"/>
        <w:spacing w:line="276"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项目号：</w:t>
      </w:r>
    </w:p>
    <w:p w14:paraId="30ED84ED">
      <w:pPr>
        <w:tabs>
          <w:tab w:val="left" w:pos="6300"/>
        </w:tabs>
        <w:snapToGrid w:val="0"/>
        <w:spacing w:line="276"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招标项目名称：</w:t>
      </w:r>
    </w:p>
    <w:p w14:paraId="0A0EF4BB">
      <w:pPr>
        <w:tabs>
          <w:tab w:val="left" w:pos="6300"/>
        </w:tabs>
        <w:snapToGrid w:val="0"/>
        <w:spacing w:line="276"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包号：</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8"/>
        <w:gridCol w:w="3082"/>
        <w:gridCol w:w="2307"/>
      </w:tblGrid>
      <w:tr w14:paraId="220D1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vAlign w:val="center"/>
          </w:tcPr>
          <w:p w14:paraId="5051E1ED">
            <w:pPr>
              <w:tabs>
                <w:tab w:val="left" w:pos="6300"/>
              </w:tabs>
              <w:snapToGrid w:val="0"/>
              <w:spacing w:line="276"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序号</w:t>
            </w:r>
          </w:p>
        </w:tc>
        <w:tc>
          <w:tcPr>
            <w:tcW w:w="1541" w:type="pct"/>
            <w:vAlign w:val="center"/>
          </w:tcPr>
          <w:p w14:paraId="77C04973">
            <w:pPr>
              <w:tabs>
                <w:tab w:val="left" w:pos="6300"/>
              </w:tabs>
              <w:snapToGrid w:val="0"/>
              <w:spacing w:line="276"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招标商务要求</w:t>
            </w:r>
          </w:p>
        </w:tc>
        <w:tc>
          <w:tcPr>
            <w:tcW w:w="1600" w:type="pct"/>
            <w:vAlign w:val="center"/>
          </w:tcPr>
          <w:p w14:paraId="2536E60D">
            <w:pPr>
              <w:tabs>
                <w:tab w:val="left" w:pos="6300"/>
              </w:tabs>
              <w:snapToGrid w:val="0"/>
              <w:spacing w:line="276"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投标商务应答</w:t>
            </w:r>
          </w:p>
        </w:tc>
        <w:tc>
          <w:tcPr>
            <w:tcW w:w="1198" w:type="pct"/>
            <w:vAlign w:val="center"/>
          </w:tcPr>
          <w:p w14:paraId="4FA5A126">
            <w:pPr>
              <w:tabs>
                <w:tab w:val="left" w:pos="6300"/>
              </w:tabs>
              <w:snapToGrid w:val="0"/>
              <w:spacing w:line="276"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差异说明</w:t>
            </w:r>
          </w:p>
        </w:tc>
      </w:tr>
      <w:tr w14:paraId="7B806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FB0BE11">
            <w:pPr>
              <w:tabs>
                <w:tab w:val="left" w:pos="6300"/>
              </w:tabs>
              <w:snapToGrid w:val="0"/>
              <w:spacing w:line="276" w:lineRule="auto"/>
              <w:ind w:firstLine="570"/>
              <w:rPr>
                <w:rFonts w:ascii="方正仿宋_GBK" w:hAnsi="宋体" w:eastAsia="方正仿宋_GBK"/>
                <w:color w:val="auto"/>
                <w:sz w:val="24"/>
                <w:szCs w:val="24"/>
              </w:rPr>
            </w:pPr>
          </w:p>
        </w:tc>
        <w:tc>
          <w:tcPr>
            <w:tcW w:w="1541" w:type="pct"/>
            <w:vAlign w:val="center"/>
          </w:tcPr>
          <w:p w14:paraId="20AE5E94">
            <w:pPr>
              <w:tabs>
                <w:tab w:val="left" w:pos="6300"/>
              </w:tabs>
              <w:snapToGrid w:val="0"/>
              <w:spacing w:line="276" w:lineRule="auto"/>
              <w:ind w:firstLine="570"/>
              <w:rPr>
                <w:rFonts w:ascii="方正仿宋_GBK" w:hAnsi="宋体" w:eastAsia="方正仿宋_GBK"/>
                <w:color w:val="auto"/>
                <w:sz w:val="24"/>
                <w:szCs w:val="24"/>
              </w:rPr>
            </w:pPr>
          </w:p>
        </w:tc>
        <w:tc>
          <w:tcPr>
            <w:tcW w:w="1600" w:type="pct"/>
            <w:vAlign w:val="center"/>
          </w:tcPr>
          <w:p w14:paraId="7970D3EC">
            <w:pPr>
              <w:tabs>
                <w:tab w:val="left" w:pos="6300"/>
              </w:tabs>
              <w:snapToGrid w:val="0"/>
              <w:spacing w:line="276" w:lineRule="auto"/>
              <w:rPr>
                <w:rFonts w:ascii="方正仿宋_GBK" w:hAnsi="宋体" w:eastAsia="方正仿宋_GBK"/>
                <w:color w:val="auto"/>
                <w:sz w:val="24"/>
                <w:szCs w:val="24"/>
              </w:rPr>
            </w:pPr>
            <w:r>
              <w:rPr>
                <w:rFonts w:hint="eastAsia" w:ascii="方正仿宋_GBK" w:hAnsi="宋体" w:eastAsia="方正仿宋_GBK"/>
                <w:color w:val="auto"/>
                <w:sz w:val="24"/>
                <w:szCs w:val="24"/>
              </w:rPr>
              <w:t>提醒：请注明具体内容以及投标文件中具体内容的位置（页码）</w:t>
            </w:r>
          </w:p>
        </w:tc>
        <w:tc>
          <w:tcPr>
            <w:tcW w:w="1198" w:type="pct"/>
            <w:vAlign w:val="center"/>
          </w:tcPr>
          <w:p w14:paraId="7BFDA1C6">
            <w:pPr>
              <w:tabs>
                <w:tab w:val="left" w:pos="6300"/>
              </w:tabs>
              <w:snapToGrid w:val="0"/>
              <w:spacing w:line="276" w:lineRule="auto"/>
              <w:ind w:firstLine="570"/>
              <w:rPr>
                <w:rFonts w:ascii="方正仿宋_GBK" w:hAnsi="宋体" w:eastAsia="方正仿宋_GBK"/>
                <w:color w:val="auto"/>
                <w:sz w:val="24"/>
                <w:szCs w:val="24"/>
              </w:rPr>
            </w:pPr>
          </w:p>
        </w:tc>
      </w:tr>
      <w:tr w14:paraId="36ED1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7331FDF">
            <w:pPr>
              <w:tabs>
                <w:tab w:val="left" w:pos="6300"/>
              </w:tabs>
              <w:snapToGrid w:val="0"/>
              <w:spacing w:line="276" w:lineRule="auto"/>
              <w:ind w:firstLine="570"/>
              <w:rPr>
                <w:rFonts w:ascii="方正仿宋_GBK" w:hAnsi="宋体" w:eastAsia="方正仿宋_GBK"/>
                <w:color w:val="auto"/>
                <w:sz w:val="24"/>
                <w:szCs w:val="24"/>
              </w:rPr>
            </w:pPr>
          </w:p>
        </w:tc>
        <w:tc>
          <w:tcPr>
            <w:tcW w:w="1541" w:type="pct"/>
            <w:vAlign w:val="center"/>
          </w:tcPr>
          <w:p w14:paraId="33F35965">
            <w:pPr>
              <w:tabs>
                <w:tab w:val="left" w:pos="6300"/>
              </w:tabs>
              <w:snapToGrid w:val="0"/>
              <w:spacing w:line="276" w:lineRule="auto"/>
              <w:ind w:firstLine="570"/>
              <w:rPr>
                <w:rFonts w:ascii="方正仿宋_GBK" w:hAnsi="宋体" w:eastAsia="方正仿宋_GBK"/>
                <w:color w:val="auto"/>
                <w:sz w:val="24"/>
                <w:szCs w:val="24"/>
              </w:rPr>
            </w:pPr>
          </w:p>
        </w:tc>
        <w:tc>
          <w:tcPr>
            <w:tcW w:w="1600" w:type="pct"/>
            <w:vAlign w:val="center"/>
          </w:tcPr>
          <w:p w14:paraId="70D5FC75">
            <w:pPr>
              <w:tabs>
                <w:tab w:val="left" w:pos="6300"/>
              </w:tabs>
              <w:snapToGrid w:val="0"/>
              <w:spacing w:line="276" w:lineRule="auto"/>
              <w:ind w:firstLine="570"/>
              <w:rPr>
                <w:rFonts w:ascii="方正仿宋_GBK" w:hAnsi="宋体" w:eastAsia="方正仿宋_GBK"/>
                <w:color w:val="auto"/>
                <w:sz w:val="24"/>
                <w:szCs w:val="24"/>
              </w:rPr>
            </w:pPr>
          </w:p>
        </w:tc>
        <w:tc>
          <w:tcPr>
            <w:tcW w:w="1198" w:type="pct"/>
            <w:vAlign w:val="center"/>
          </w:tcPr>
          <w:p w14:paraId="368FA73B">
            <w:pPr>
              <w:tabs>
                <w:tab w:val="left" w:pos="6300"/>
              </w:tabs>
              <w:snapToGrid w:val="0"/>
              <w:spacing w:line="276" w:lineRule="auto"/>
              <w:ind w:firstLine="570"/>
              <w:rPr>
                <w:rFonts w:ascii="方正仿宋_GBK" w:hAnsi="宋体" w:eastAsia="方正仿宋_GBK"/>
                <w:color w:val="auto"/>
                <w:sz w:val="24"/>
                <w:szCs w:val="24"/>
              </w:rPr>
            </w:pPr>
          </w:p>
        </w:tc>
      </w:tr>
      <w:tr w14:paraId="2D545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91D9448">
            <w:pPr>
              <w:tabs>
                <w:tab w:val="left" w:pos="6300"/>
              </w:tabs>
              <w:snapToGrid w:val="0"/>
              <w:spacing w:line="276" w:lineRule="auto"/>
              <w:ind w:firstLine="570"/>
              <w:rPr>
                <w:rFonts w:ascii="方正仿宋_GBK" w:hAnsi="宋体" w:eastAsia="方正仿宋_GBK"/>
                <w:color w:val="auto"/>
                <w:sz w:val="24"/>
                <w:szCs w:val="24"/>
              </w:rPr>
            </w:pPr>
          </w:p>
        </w:tc>
        <w:tc>
          <w:tcPr>
            <w:tcW w:w="1541" w:type="pct"/>
            <w:vAlign w:val="center"/>
          </w:tcPr>
          <w:p w14:paraId="08AB6E1B">
            <w:pPr>
              <w:tabs>
                <w:tab w:val="left" w:pos="6300"/>
              </w:tabs>
              <w:snapToGrid w:val="0"/>
              <w:spacing w:line="276" w:lineRule="auto"/>
              <w:ind w:firstLine="570"/>
              <w:rPr>
                <w:rFonts w:ascii="方正仿宋_GBK" w:hAnsi="宋体" w:eastAsia="方正仿宋_GBK"/>
                <w:color w:val="auto"/>
                <w:sz w:val="24"/>
                <w:szCs w:val="24"/>
              </w:rPr>
            </w:pPr>
          </w:p>
        </w:tc>
        <w:tc>
          <w:tcPr>
            <w:tcW w:w="1600" w:type="pct"/>
            <w:vAlign w:val="center"/>
          </w:tcPr>
          <w:p w14:paraId="40946983">
            <w:pPr>
              <w:tabs>
                <w:tab w:val="left" w:pos="6300"/>
              </w:tabs>
              <w:snapToGrid w:val="0"/>
              <w:spacing w:line="276" w:lineRule="auto"/>
              <w:ind w:firstLine="570"/>
              <w:rPr>
                <w:rFonts w:ascii="方正仿宋_GBK" w:hAnsi="宋体" w:eastAsia="方正仿宋_GBK"/>
                <w:color w:val="auto"/>
                <w:sz w:val="24"/>
                <w:szCs w:val="24"/>
              </w:rPr>
            </w:pPr>
          </w:p>
        </w:tc>
        <w:tc>
          <w:tcPr>
            <w:tcW w:w="1198" w:type="pct"/>
            <w:vAlign w:val="center"/>
          </w:tcPr>
          <w:p w14:paraId="5D1D32C0">
            <w:pPr>
              <w:tabs>
                <w:tab w:val="left" w:pos="6300"/>
              </w:tabs>
              <w:snapToGrid w:val="0"/>
              <w:spacing w:line="276" w:lineRule="auto"/>
              <w:ind w:firstLine="570"/>
              <w:rPr>
                <w:rFonts w:ascii="方正仿宋_GBK" w:hAnsi="宋体" w:eastAsia="方正仿宋_GBK"/>
                <w:color w:val="auto"/>
                <w:sz w:val="24"/>
                <w:szCs w:val="24"/>
              </w:rPr>
            </w:pPr>
          </w:p>
        </w:tc>
      </w:tr>
      <w:tr w14:paraId="256A1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9360D76">
            <w:pPr>
              <w:tabs>
                <w:tab w:val="left" w:pos="6300"/>
              </w:tabs>
              <w:snapToGrid w:val="0"/>
              <w:spacing w:line="276" w:lineRule="auto"/>
              <w:ind w:firstLine="570"/>
              <w:rPr>
                <w:rFonts w:ascii="方正仿宋_GBK" w:hAnsi="宋体" w:eastAsia="方正仿宋_GBK"/>
                <w:color w:val="auto"/>
                <w:sz w:val="24"/>
                <w:szCs w:val="24"/>
              </w:rPr>
            </w:pPr>
          </w:p>
        </w:tc>
        <w:tc>
          <w:tcPr>
            <w:tcW w:w="1541" w:type="pct"/>
            <w:vAlign w:val="center"/>
          </w:tcPr>
          <w:p w14:paraId="270522DE">
            <w:pPr>
              <w:tabs>
                <w:tab w:val="left" w:pos="6300"/>
              </w:tabs>
              <w:snapToGrid w:val="0"/>
              <w:spacing w:line="276" w:lineRule="auto"/>
              <w:ind w:firstLine="570"/>
              <w:rPr>
                <w:rFonts w:ascii="方正仿宋_GBK" w:hAnsi="宋体" w:eastAsia="方正仿宋_GBK"/>
                <w:color w:val="auto"/>
                <w:sz w:val="24"/>
                <w:szCs w:val="24"/>
              </w:rPr>
            </w:pPr>
          </w:p>
        </w:tc>
        <w:tc>
          <w:tcPr>
            <w:tcW w:w="1600" w:type="pct"/>
            <w:vAlign w:val="center"/>
          </w:tcPr>
          <w:p w14:paraId="7A11F4A1">
            <w:pPr>
              <w:tabs>
                <w:tab w:val="left" w:pos="6300"/>
              </w:tabs>
              <w:snapToGrid w:val="0"/>
              <w:spacing w:line="276" w:lineRule="auto"/>
              <w:ind w:firstLine="570"/>
              <w:rPr>
                <w:rFonts w:ascii="方正仿宋_GBK" w:hAnsi="宋体" w:eastAsia="方正仿宋_GBK"/>
                <w:color w:val="auto"/>
                <w:sz w:val="24"/>
                <w:szCs w:val="24"/>
              </w:rPr>
            </w:pPr>
          </w:p>
        </w:tc>
        <w:tc>
          <w:tcPr>
            <w:tcW w:w="1198" w:type="pct"/>
            <w:vAlign w:val="center"/>
          </w:tcPr>
          <w:p w14:paraId="457CFC85">
            <w:pPr>
              <w:tabs>
                <w:tab w:val="left" w:pos="6300"/>
              </w:tabs>
              <w:snapToGrid w:val="0"/>
              <w:spacing w:line="276" w:lineRule="auto"/>
              <w:ind w:firstLine="570"/>
              <w:rPr>
                <w:rFonts w:ascii="方正仿宋_GBK" w:hAnsi="宋体" w:eastAsia="方正仿宋_GBK"/>
                <w:color w:val="auto"/>
                <w:sz w:val="24"/>
                <w:szCs w:val="24"/>
              </w:rPr>
            </w:pPr>
          </w:p>
        </w:tc>
      </w:tr>
      <w:tr w14:paraId="1F3C4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AD0649A">
            <w:pPr>
              <w:tabs>
                <w:tab w:val="left" w:pos="6300"/>
              </w:tabs>
              <w:snapToGrid w:val="0"/>
              <w:spacing w:line="276" w:lineRule="auto"/>
              <w:ind w:firstLine="570"/>
              <w:rPr>
                <w:rFonts w:ascii="方正仿宋_GBK" w:hAnsi="宋体" w:eastAsia="方正仿宋_GBK"/>
                <w:color w:val="auto"/>
                <w:sz w:val="24"/>
                <w:szCs w:val="24"/>
              </w:rPr>
            </w:pPr>
          </w:p>
        </w:tc>
        <w:tc>
          <w:tcPr>
            <w:tcW w:w="1541" w:type="pct"/>
            <w:vAlign w:val="center"/>
          </w:tcPr>
          <w:p w14:paraId="709C052A">
            <w:pPr>
              <w:tabs>
                <w:tab w:val="left" w:pos="6300"/>
              </w:tabs>
              <w:snapToGrid w:val="0"/>
              <w:spacing w:line="276" w:lineRule="auto"/>
              <w:ind w:firstLine="570"/>
              <w:rPr>
                <w:rFonts w:ascii="方正仿宋_GBK" w:hAnsi="宋体" w:eastAsia="方正仿宋_GBK"/>
                <w:color w:val="auto"/>
                <w:sz w:val="24"/>
                <w:szCs w:val="24"/>
              </w:rPr>
            </w:pPr>
          </w:p>
        </w:tc>
        <w:tc>
          <w:tcPr>
            <w:tcW w:w="1600" w:type="pct"/>
            <w:vAlign w:val="center"/>
          </w:tcPr>
          <w:p w14:paraId="2D17DF9A">
            <w:pPr>
              <w:tabs>
                <w:tab w:val="left" w:pos="6300"/>
              </w:tabs>
              <w:snapToGrid w:val="0"/>
              <w:spacing w:line="276" w:lineRule="auto"/>
              <w:ind w:firstLine="570"/>
              <w:rPr>
                <w:rFonts w:ascii="方正仿宋_GBK" w:hAnsi="宋体" w:eastAsia="方正仿宋_GBK"/>
                <w:color w:val="auto"/>
                <w:sz w:val="24"/>
                <w:szCs w:val="24"/>
              </w:rPr>
            </w:pPr>
          </w:p>
        </w:tc>
        <w:tc>
          <w:tcPr>
            <w:tcW w:w="1198" w:type="pct"/>
            <w:vAlign w:val="center"/>
          </w:tcPr>
          <w:p w14:paraId="41E7BB29">
            <w:pPr>
              <w:tabs>
                <w:tab w:val="left" w:pos="6300"/>
              </w:tabs>
              <w:snapToGrid w:val="0"/>
              <w:spacing w:line="276" w:lineRule="auto"/>
              <w:ind w:firstLine="570"/>
              <w:rPr>
                <w:rFonts w:ascii="方正仿宋_GBK" w:hAnsi="宋体" w:eastAsia="方正仿宋_GBK"/>
                <w:color w:val="auto"/>
                <w:sz w:val="24"/>
                <w:szCs w:val="24"/>
              </w:rPr>
            </w:pPr>
          </w:p>
        </w:tc>
      </w:tr>
      <w:tr w14:paraId="0C1E5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B69FC6E">
            <w:pPr>
              <w:tabs>
                <w:tab w:val="left" w:pos="6300"/>
              </w:tabs>
              <w:snapToGrid w:val="0"/>
              <w:spacing w:line="276" w:lineRule="auto"/>
              <w:ind w:firstLine="570"/>
              <w:rPr>
                <w:rFonts w:ascii="方正仿宋_GBK" w:hAnsi="宋体" w:eastAsia="方正仿宋_GBK"/>
                <w:color w:val="auto"/>
                <w:sz w:val="24"/>
                <w:szCs w:val="24"/>
              </w:rPr>
            </w:pPr>
          </w:p>
        </w:tc>
        <w:tc>
          <w:tcPr>
            <w:tcW w:w="1541" w:type="pct"/>
            <w:vAlign w:val="center"/>
          </w:tcPr>
          <w:p w14:paraId="3CED7FA0">
            <w:pPr>
              <w:tabs>
                <w:tab w:val="left" w:pos="6300"/>
              </w:tabs>
              <w:snapToGrid w:val="0"/>
              <w:spacing w:line="276" w:lineRule="auto"/>
              <w:ind w:firstLine="570"/>
              <w:rPr>
                <w:rFonts w:ascii="方正仿宋_GBK" w:hAnsi="宋体" w:eastAsia="方正仿宋_GBK"/>
                <w:color w:val="auto"/>
                <w:sz w:val="24"/>
                <w:szCs w:val="24"/>
              </w:rPr>
            </w:pPr>
          </w:p>
        </w:tc>
        <w:tc>
          <w:tcPr>
            <w:tcW w:w="1600" w:type="pct"/>
            <w:vAlign w:val="center"/>
          </w:tcPr>
          <w:p w14:paraId="2EAC1514">
            <w:pPr>
              <w:tabs>
                <w:tab w:val="left" w:pos="6300"/>
              </w:tabs>
              <w:snapToGrid w:val="0"/>
              <w:spacing w:line="276" w:lineRule="auto"/>
              <w:ind w:firstLine="570"/>
              <w:rPr>
                <w:rFonts w:ascii="方正仿宋_GBK" w:hAnsi="宋体" w:eastAsia="方正仿宋_GBK"/>
                <w:color w:val="auto"/>
                <w:sz w:val="24"/>
                <w:szCs w:val="24"/>
              </w:rPr>
            </w:pPr>
          </w:p>
        </w:tc>
        <w:tc>
          <w:tcPr>
            <w:tcW w:w="1198" w:type="pct"/>
            <w:vAlign w:val="center"/>
          </w:tcPr>
          <w:p w14:paraId="61FCDEB5">
            <w:pPr>
              <w:tabs>
                <w:tab w:val="left" w:pos="6300"/>
              </w:tabs>
              <w:snapToGrid w:val="0"/>
              <w:spacing w:line="276" w:lineRule="auto"/>
              <w:ind w:firstLine="570"/>
              <w:rPr>
                <w:rFonts w:ascii="方正仿宋_GBK" w:hAnsi="宋体" w:eastAsia="方正仿宋_GBK"/>
                <w:color w:val="auto"/>
                <w:sz w:val="24"/>
                <w:szCs w:val="24"/>
              </w:rPr>
            </w:pPr>
          </w:p>
        </w:tc>
      </w:tr>
      <w:tr w14:paraId="324E0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24B748BC">
            <w:pPr>
              <w:tabs>
                <w:tab w:val="left" w:pos="6300"/>
              </w:tabs>
              <w:snapToGrid w:val="0"/>
              <w:spacing w:line="276" w:lineRule="auto"/>
              <w:ind w:firstLine="570"/>
              <w:rPr>
                <w:rFonts w:ascii="方正仿宋_GBK" w:hAnsi="宋体" w:eastAsia="方正仿宋_GBK"/>
                <w:color w:val="auto"/>
                <w:sz w:val="24"/>
                <w:szCs w:val="24"/>
              </w:rPr>
            </w:pPr>
          </w:p>
        </w:tc>
        <w:tc>
          <w:tcPr>
            <w:tcW w:w="1541" w:type="pct"/>
            <w:vAlign w:val="center"/>
          </w:tcPr>
          <w:p w14:paraId="2AD1B73F">
            <w:pPr>
              <w:tabs>
                <w:tab w:val="left" w:pos="6300"/>
              </w:tabs>
              <w:snapToGrid w:val="0"/>
              <w:spacing w:line="276" w:lineRule="auto"/>
              <w:ind w:firstLine="570"/>
              <w:rPr>
                <w:rFonts w:ascii="方正仿宋_GBK" w:hAnsi="宋体" w:eastAsia="方正仿宋_GBK"/>
                <w:color w:val="auto"/>
                <w:sz w:val="24"/>
                <w:szCs w:val="24"/>
              </w:rPr>
            </w:pPr>
          </w:p>
        </w:tc>
        <w:tc>
          <w:tcPr>
            <w:tcW w:w="1600" w:type="pct"/>
            <w:vAlign w:val="center"/>
          </w:tcPr>
          <w:p w14:paraId="68EB9413">
            <w:pPr>
              <w:tabs>
                <w:tab w:val="left" w:pos="6300"/>
              </w:tabs>
              <w:snapToGrid w:val="0"/>
              <w:spacing w:line="276" w:lineRule="auto"/>
              <w:ind w:firstLine="570"/>
              <w:rPr>
                <w:rFonts w:ascii="方正仿宋_GBK" w:hAnsi="宋体" w:eastAsia="方正仿宋_GBK"/>
                <w:color w:val="auto"/>
                <w:sz w:val="24"/>
                <w:szCs w:val="24"/>
              </w:rPr>
            </w:pPr>
          </w:p>
        </w:tc>
        <w:tc>
          <w:tcPr>
            <w:tcW w:w="1198" w:type="pct"/>
            <w:vAlign w:val="center"/>
          </w:tcPr>
          <w:p w14:paraId="5BA5991F">
            <w:pPr>
              <w:tabs>
                <w:tab w:val="left" w:pos="6300"/>
              </w:tabs>
              <w:snapToGrid w:val="0"/>
              <w:spacing w:line="276" w:lineRule="auto"/>
              <w:ind w:firstLine="570"/>
              <w:rPr>
                <w:rFonts w:ascii="方正仿宋_GBK" w:hAnsi="宋体" w:eastAsia="方正仿宋_GBK"/>
                <w:color w:val="auto"/>
                <w:sz w:val="24"/>
                <w:szCs w:val="24"/>
              </w:rPr>
            </w:pPr>
          </w:p>
        </w:tc>
      </w:tr>
      <w:tr w14:paraId="25ECF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A7535CE">
            <w:pPr>
              <w:tabs>
                <w:tab w:val="left" w:pos="6300"/>
              </w:tabs>
              <w:snapToGrid w:val="0"/>
              <w:spacing w:line="276" w:lineRule="auto"/>
              <w:ind w:firstLine="570"/>
              <w:rPr>
                <w:rFonts w:ascii="方正仿宋_GBK" w:hAnsi="宋体" w:eastAsia="方正仿宋_GBK"/>
                <w:color w:val="auto"/>
                <w:sz w:val="24"/>
                <w:szCs w:val="24"/>
              </w:rPr>
            </w:pPr>
          </w:p>
        </w:tc>
        <w:tc>
          <w:tcPr>
            <w:tcW w:w="1541" w:type="pct"/>
            <w:vAlign w:val="center"/>
          </w:tcPr>
          <w:p w14:paraId="09DCA2AC">
            <w:pPr>
              <w:tabs>
                <w:tab w:val="left" w:pos="6300"/>
              </w:tabs>
              <w:snapToGrid w:val="0"/>
              <w:spacing w:line="276" w:lineRule="auto"/>
              <w:ind w:firstLine="570"/>
              <w:rPr>
                <w:rFonts w:ascii="方正仿宋_GBK" w:hAnsi="宋体" w:eastAsia="方正仿宋_GBK"/>
                <w:color w:val="auto"/>
                <w:sz w:val="24"/>
                <w:szCs w:val="24"/>
              </w:rPr>
            </w:pPr>
          </w:p>
        </w:tc>
        <w:tc>
          <w:tcPr>
            <w:tcW w:w="1600" w:type="pct"/>
            <w:vAlign w:val="center"/>
          </w:tcPr>
          <w:p w14:paraId="4D61D66B">
            <w:pPr>
              <w:tabs>
                <w:tab w:val="left" w:pos="6300"/>
              </w:tabs>
              <w:snapToGrid w:val="0"/>
              <w:spacing w:line="276" w:lineRule="auto"/>
              <w:ind w:firstLine="570"/>
              <w:rPr>
                <w:rFonts w:ascii="方正仿宋_GBK" w:hAnsi="宋体" w:eastAsia="方正仿宋_GBK"/>
                <w:color w:val="auto"/>
                <w:sz w:val="24"/>
                <w:szCs w:val="24"/>
              </w:rPr>
            </w:pPr>
          </w:p>
        </w:tc>
        <w:tc>
          <w:tcPr>
            <w:tcW w:w="1198" w:type="pct"/>
            <w:vAlign w:val="center"/>
          </w:tcPr>
          <w:p w14:paraId="40F61329">
            <w:pPr>
              <w:tabs>
                <w:tab w:val="left" w:pos="6300"/>
              </w:tabs>
              <w:snapToGrid w:val="0"/>
              <w:spacing w:line="276" w:lineRule="auto"/>
              <w:ind w:firstLine="570"/>
              <w:rPr>
                <w:rFonts w:ascii="方正仿宋_GBK" w:hAnsi="宋体" w:eastAsia="方正仿宋_GBK"/>
                <w:color w:val="auto"/>
                <w:sz w:val="24"/>
                <w:szCs w:val="24"/>
              </w:rPr>
            </w:pPr>
          </w:p>
        </w:tc>
      </w:tr>
      <w:tr w14:paraId="0BF4D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97DFD6D">
            <w:pPr>
              <w:tabs>
                <w:tab w:val="left" w:pos="6300"/>
              </w:tabs>
              <w:snapToGrid w:val="0"/>
              <w:spacing w:line="276" w:lineRule="auto"/>
              <w:ind w:firstLine="570"/>
              <w:rPr>
                <w:rFonts w:ascii="方正仿宋_GBK" w:hAnsi="宋体" w:eastAsia="方正仿宋_GBK"/>
                <w:color w:val="auto"/>
                <w:sz w:val="24"/>
                <w:szCs w:val="24"/>
              </w:rPr>
            </w:pPr>
          </w:p>
        </w:tc>
        <w:tc>
          <w:tcPr>
            <w:tcW w:w="1541" w:type="pct"/>
            <w:vAlign w:val="center"/>
          </w:tcPr>
          <w:p w14:paraId="2F33C0A0">
            <w:pPr>
              <w:tabs>
                <w:tab w:val="left" w:pos="6300"/>
              </w:tabs>
              <w:snapToGrid w:val="0"/>
              <w:spacing w:line="276" w:lineRule="auto"/>
              <w:ind w:firstLine="570"/>
              <w:rPr>
                <w:rFonts w:ascii="方正仿宋_GBK" w:hAnsi="宋体" w:eastAsia="方正仿宋_GBK"/>
                <w:color w:val="auto"/>
                <w:sz w:val="24"/>
                <w:szCs w:val="24"/>
              </w:rPr>
            </w:pPr>
          </w:p>
        </w:tc>
        <w:tc>
          <w:tcPr>
            <w:tcW w:w="1600" w:type="pct"/>
            <w:vAlign w:val="center"/>
          </w:tcPr>
          <w:p w14:paraId="4F6B9663">
            <w:pPr>
              <w:tabs>
                <w:tab w:val="left" w:pos="6300"/>
              </w:tabs>
              <w:snapToGrid w:val="0"/>
              <w:spacing w:line="276" w:lineRule="auto"/>
              <w:ind w:firstLine="570"/>
              <w:rPr>
                <w:rFonts w:ascii="方正仿宋_GBK" w:hAnsi="宋体" w:eastAsia="方正仿宋_GBK"/>
                <w:color w:val="auto"/>
                <w:sz w:val="24"/>
                <w:szCs w:val="24"/>
              </w:rPr>
            </w:pPr>
          </w:p>
        </w:tc>
        <w:tc>
          <w:tcPr>
            <w:tcW w:w="1198" w:type="pct"/>
            <w:vAlign w:val="center"/>
          </w:tcPr>
          <w:p w14:paraId="2DBD6CD2">
            <w:pPr>
              <w:tabs>
                <w:tab w:val="left" w:pos="6300"/>
              </w:tabs>
              <w:snapToGrid w:val="0"/>
              <w:spacing w:line="276" w:lineRule="auto"/>
              <w:ind w:firstLine="570"/>
              <w:rPr>
                <w:rFonts w:ascii="方正仿宋_GBK" w:hAnsi="宋体" w:eastAsia="方正仿宋_GBK"/>
                <w:color w:val="auto"/>
                <w:sz w:val="24"/>
                <w:szCs w:val="24"/>
              </w:rPr>
            </w:pPr>
          </w:p>
        </w:tc>
      </w:tr>
      <w:tr w14:paraId="609EE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90E39FA">
            <w:pPr>
              <w:tabs>
                <w:tab w:val="left" w:pos="6300"/>
              </w:tabs>
              <w:snapToGrid w:val="0"/>
              <w:spacing w:line="276" w:lineRule="auto"/>
              <w:ind w:firstLine="570"/>
              <w:rPr>
                <w:rFonts w:ascii="方正仿宋_GBK" w:hAnsi="宋体" w:eastAsia="方正仿宋_GBK"/>
                <w:color w:val="auto"/>
                <w:sz w:val="24"/>
                <w:szCs w:val="24"/>
              </w:rPr>
            </w:pPr>
          </w:p>
        </w:tc>
        <w:tc>
          <w:tcPr>
            <w:tcW w:w="1541" w:type="pct"/>
            <w:vAlign w:val="center"/>
          </w:tcPr>
          <w:p w14:paraId="7DAEF92D">
            <w:pPr>
              <w:tabs>
                <w:tab w:val="left" w:pos="6300"/>
              </w:tabs>
              <w:snapToGrid w:val="0"/>
              <w:spacing w:line="276" w:lineRule="auto"/>
              <w:ind w:firstLine="570"/>
              <w:rPr>
                <w:rFonts w:ascii="方正仿宋_GBK" w:hAnsi="宋体" w:eastAsia="方正仿宋_GBK"/>
                <w:color w:val="auto"/>
                <w:sz w:val="24"/>
                <w:szCs w:val="24"/>
              </w:rPr>
            </w:pPr>
          </w:p>
        </w:tc>
        <w:tc>
          <w:tcPr>
            <w:tcW w:w="1600" w:type="pct"/>
            <w:vAlign w:val="center"/>
          </w:tcPr>
          <w:p w14:paraId="2FBC1145">
            <w:pPr>
              <w:tabs>
                <w:tab w:val="left" w:pos="6300"/>
              </w:tabs>
              <w:snapToGrid w:val="0"/>
              <w:spacing w:line="276" w:lineRule="auto"/>
              <w:ind w:firstLine="570"/>
              <w:rPr>
                <w:rFonts w:ascii="方正仿宋_GBK" w:hAnsi="宋体" w:eastAsia="方正仿宋_GBK"/>
                <w:color w:val="auto"/>
                <w:sz w:val="24"/>
                <w:szCs w:val="24"/>
              </w:rPr>
            </w:pPr>
          </w:p>
        </w:tc>
        <w:tc>
          <w:tcPr>
            <w:tcW w:w="1198" w:type="pct"/>
            <w:vAlign w:val="center"/>
          </w:tcPr>
          <w:p w14:paraId="78A46B45">
            <w:pPr>
              <w:tabs>
                <w:tab w:val="left" w:pos="6300"/>
              </w:tabs>
              <w:snapToGrid w:val="0"/>
              <w:spacing w:line="276" w:lineRule="auto"/>
              <w:ind w:firstLine="570"/>
              <w:rPr>
                <w:rFonts w:ascii="方正仿宋_GBK" w:hAnsi="宋体" w:eastAsia="方正仿宋_GBK"/>
                <w:color w:val="auto"/>
                <w:sz w:val="24"/>
                <w:szCs w:val="24"/>
              </w:rPr>
            </w:pPr>
          </w:p>
        </w:tc>
      </w:tr>
    </w:tbl>
    <w:p w14:paraId="70CC1066">
      <w:pPr>
        <w:tabs>
          <w:tab w:val="left" w:pos="6300"/>
        </w:tabs>
        <w:snapToGrid w:val="0"/>
        <w:spacing w:line="276" w:lineRule="auto"/>
        <w:ind w:firstLine="570"/>
        <w:rPr>
          <w:rFonts w:ascii="方正仿宋_GBK" w:hAnsi="宋体" w:eastAsia="方正仿宋_GBK"/>
          <w:color w:val="auto"/>
          <w:sz w:val="24"/>
          <w:szCs w:val="24"/>
        </w:rPr>
      </w:pPr>
    </w:p>
    <w:p w14:paraId="30D868B0">
      <w:pPr>
        <w:tabs>
          <w:tab w:val="left" w:pos="6300"/>
        </w:tabs>
        <w:snapToGrid w:val="0"/>
        <w:spacing w:line="276"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供应商：                     法定代表人（或法定代表人授权代表）：</w:t>
      </w:r>
    </w:p>
    <w:p w14:paraId="6B9050E8">
      <w:pPr>
        <w:tabs>
          <w:tab w:val="left" w:pos="6300"/>
        </w:tabs>
        <w:snapToGrid w:val="0"/>
        <w:spacing w:line="276"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    （供应商公章）                               （签署或盖章）</w:t>
      </w:r>
    </w:p>
    <w:p w14:paraId="15F155BC">
      <w:pPr>
        <w:tabs>
          <w:tab w:val="left" w:pos="6300"/>
        </w:tabs>
        <w:snapToGrid w:val="0"/>
        <w:spacing w:line="276"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                                            年     月     日</w:t>
      </w:r>
    </w:p>
    <w:p w14:paraId="2CE0C8D5">
      <w:pPr>
        <w:tabs>
          <w:tab w:val="left" w:pos="6300"/>
        </w:tabs>
        <w:snapToGrid w:val="0"/>
        <w:spacing w:line="276"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注：</w:t>
      </w:r>
    </w:p>
    <w:p w14:paraId="65F0FCA3">
      <w:pPr>
        <w:tabs>
          <w:tab w:val="left" w:pos="6300"/>
        </w:tabs>
        <w:snapToGrid w:val="0"/>
        <w:spacing w:line="276"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1.本表即为对本项目“第三篇 项目商务需求”中所列条款进行比较和响应；</w:t>
      </w:r>
    </w:p>
    <w:p w14:paraId="7ED0E193">
      <w:pPr>
        <w:tabs>
          <w:tab w:val="left" w:pos="6300"/>
        </w:tabs>
        <w:snapToGrid w:val="0"/>
        <w:spacing w:line="276"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2.本表可扩展。</w:t>
      </w:r>
    </w:p>
    <w:p w14:paraId="3ACA0FE6">
      <w:pPr>
        <w:tabs>
          <w:tab w:val="left" w:pos="6300"/>
        </w:tabs>
        <w:snapToGrid w:val="0"/>
        <w:spacing w:line="276"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3.可附相关支撑材料。（格式自定）</w:t>
      </w:r>
    </w:p>
    <w:p w14:paraId="462B07B3">
      <w:pPr>
        <w:tabs>
          <w:tab w:val="left" w:pos="6300"/>
        </w:tabs>
        <w:snapToGrid w:val="0"/>
        <w:spacing w:line="276"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3.投标应答栏中应当注明具体内容，且必须标注具体内容在投标文件中的位置（页码）。</w:t>
      </w:r>
    </w:p>
    <w:p w14:paraId="4133047E">
      <w:pPr>
        <w:tabs>
          <w:tab w:val="left" w:pos="6300"/>
        </w:tabs>
        <w:snapToGrid w:val="0"/>
        <w:spacing w:line="276"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br w:type="page"/>
      </w:r>
      <w:r>
        <w:rPr>
          <w:rFonts w:hint="eastAsia" w:ascii="方正仿宋_GBK" w:hAnsi="宋体" w:eastAsia="方正仿宋_GBK"/>
          <w:color w:val="auto"/>
          <w:sz w:val="24"/>
          <w:szCs w:val="24"/>
        </w:rPr>
        <w:t>（三）其他商务承诺（自拟）</w:t>
      </w:r>
    </w:p>
    <w:p w14:paraId="5741170B">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方正仿宋_GBK" w:hAnsi="宋体" w:eastAsia="方正仿宋_GBK"/>
          <w:color w:val="auto"/>
          <w:sz w:val="24"/>
          <w:szCs w:val="24"/>
        </w:rPr>
        <w:t>重庆工商大学自营食堂饮料供应商采购项目</w:t>
      </w:r>
      <w:r>
        <w:rPr>
          <w:rFonts w:hint="eastAsia" w:ascii="仿宋" w:hAnsi="仿宋" w:eastAsia="仿宋" w:cs="仿宋"/>
          <w:color w:val="auto"/>
          <w:sz w:val="24"/>
          <w:szCs w:val="24"/>
        </w:rPr>
        <w:t>中标人安全服务承诺书</w:t>
      </w:r>
    </w:p>
    <w:p w14:paraId="54C57484">
      <w:pPr>
        <w:spacing w:line="360" w:lineRule="auto"/>
        <w:jc w:val="center"/>
        <w:rPr>
          <w:rFonts w:ascii="仿宋" w:hAnsi="仿宋" w:eastAsia="仿宋" w:cs="仿宋"/>
          <w:b/>
          <w:color w:val="auto"/>
          <w:sz w:val="24"/>
          <w:szCs w:val="24"/>
        </w:rPr>
      </w:pPr>
    </w:p>
    <w:p w14:paraId="50F19FE4">
      <w:pPr>
        <w:spacing w:line="360" w:lineRule="auto"/>
        <w:jc w:val="center"/>
        <w:rPr>
          <w:rFonts w:ascii="仿宋" w:hAnsi="仿宋" w:eastAsia="仿宋" w:cs="仿宋"/>
          <w:b/>
          <w:color w:val="auto"/>
          <w:sz w:val="30"/>
          <w:szCs w:val="30"/>
        </w:rPr>
      </w:pPr>
      <w:r>
        <w:rPr>
          <w:rFonts w:hint="eastAsia" w:ascii="仿宋" w:hAnsi="仿宋" w:eastAsia="仿宋" w:cs="仿宋"/>
          <w:b/>
          <w:color w:val="auto"/>
          <w:sz w:val="30"/>
          <w:szCs w:val="30"/>
        </w:rPr>
        <w:t>重庆工商大学自营食堂饮料等</w:t>
      </w:r>
    </w:p>
    <w:p w14:paraId="3BD64A67">
      <w:pPr>
        <w:spacing w:line="360" w:lineRule="auto"/>
        <w:jc w:val="center"/>
        <w:rPr>
          <w:rFonts w:ascii="仿宋" w:hAnsi="仿宋" w:eastAsia="仿宋" w:cs="仿宋"/>
          <w:b/>
          <w:color w:val="auto"/>
          <w:sz w:val="30"/>
          <w:szCs w:val="30"/>
        </w:rPr>
      </w:pPr>
      <w:r>
        <w:rPr>
          <w:rFonts w:hint="eastAsia" w:ascii="仿宋" w:hAnsi="仿宋" w:eastAsia="仿宋" w:cs="仿宋"/>
          <w:b/>
          <w:color w:val="auto"/>
          <w:sz w:val="30"/>
          <w:szCs w:val="30"/>
        </w:rPr>
        <w:t>食堂大宗物资采购项目中标人安全服务承诺书</w:t>
      </w:r>
    </w:p>
    <w:p w14:paraId="3B866199">
      <w:pPr>
        <w:spacing w:line="360" w:lineRule="auto"/>
        <w:rPr>
          <w:rFonts w:ascii="仿宋" w:hAnsi="仿宋" w:eastAsia="仿宋" w:cs="仿宋"/>
          <w:color w:val="auto"/>
          <w:sz w:val="24"/>
          <w:szCs w:val="24"/>
        </w:rPr>
      </w:pPr>
    </w:p>
    <w:p w14:paraId="64DD4782">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致</w:t>
      </w:r>
      <w:r>
        <w:rPr>
          <w:rFonts w:hint="eastAsia" w:ascii="仿宋" w:hAnsi="仿宋" w:eastAsia="仿宋" w:cs="仿宋"/>
          <w:color w:val="auto"/>
          <w:sz w:val="24"/>
          <w:szCs w:val="24"/>
          <w:u w:val="single"/>
        </w:rPr>
        <w:t>重庆工商大学</w:t>
      </w:r>
      <w:r>
        <w:rPr>
          <w:rFonts w:hint="eastAsia" w:ascii="仿宋" w:hAnsi="仿宋" w:eastAsia="仿宋" w:cs="仿宋"/>
          <w:color w:val="auto"/>
          <w:sz w:val="24"/>
          <w:szCs w:val="24"/>
        </w:rPr>
        <w:t>：</w:t>
      </w:r>
    </w:p>
    <w:p w14:paraId="0805D9FA">
      <w:pPr>
        <w:spacing w:line="360" w:lineRule="auto"/>
        <w:ind w:firstLine="480" w:firstLineChars="200"/>
        <w:rPr>
          <w:rFonts w:ascii="仿宋" w:hAnsi="仿宋" w:eastAsia="仿宋" w:cs="仿宋"/>
          <w:color w:val="auto"/>
          <w:sz w:val="24"/>
          <w:szCs w:val="24"/>
          <w:u w:val="single"/>
        </w:rPr>
      </w:pPr>
      <w:r>
        <w:rPr>
          <w:rFonts w:hint="eastAsia" w:ascii="仿宋" w:hAnsi="仿宋" w:eastAsia="仿宋" w:cs="仿宋"/>
          <w:color w:val="auto"/>
          <w:sz w:val="24"/>
          <w:szCs w:val="24"/>
        </w:rPr>
        <w:t>为全校师生提供安全的食品是每一个食品生产供应经营者的法律责任，作为食品配送服务企业，我司将通过行之有效的管理措施，确保食品安全。为此我司郑重承诺如下：</w:t>
      </w:r>
    </w:p>
    <w:p w14:paraId="76255691">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一、严格遵守《中华人民共和国食品安全法》，严格依照法律法规规定的标准要求从事生产经营活动，做到诚信守法经营。</w:t>
      </w:r>
    </w:p>
    <w:p w14:paraId="4E374499">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二、积极配合贵校及时提供合法有效的营业执照、税务登记证及经营生产许可证、产品第三方质量检验报告等必要证件资料，并保证资料的真实性。</w:t>
      </w:r>
    </w:p>
    <w:p w14:paraId="408FC8FF">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三、保证产品的包装、运输，符合有关的卫生要求，不对产品造成污染。</w:t>
      </w:r>
    </w:p>
    <w:p w14:paraId="08BD3F05">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四、应对验收不合格产品及时回收并进行补货，自愿承担给食堂生产经营造成的经济损失。</w:t>
      </w:r>
    </w:p>
    <w:p w14:paraId="18C479AB">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五、保证周到服务，严格按照贵校后勤处的叫货量及送达时间、地点进行供货，不得随意更改，由此造成的经济损失自愿承担。</w:t>
      </w:r>
    </w:p>
    <w:p w14:paraId="33E3C0BE">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如违反上述承诺，我司愿意承担相应的法律责任，并同意贵校取消与我司的合作。</w:t>
      </w:r>
    </w:p>
    <w:p w14:paraId="5449ECFF">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本承诺在双方合作期间有效。</w:t>
      </w:r>
    </w:p>
    <w:p w14:paraId="501220C8">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承诺人：</w:t>
      </w:r>
      <w:r>
        <w:rPr>
          <w:rFonts w:hint="eastAsia" w:ascii="仿宋" w:hAnsi="仿宋" w:eastAsia="仿宋" w:cs="仿宋"/>
          <w:color w:val="auto"/>
          <w:sz w:val="24"/>
          <w:szCs w:val="24"/>
          <w:u w:val="single"/>
        </w:rPr>
        <w:t xml:space="preserve">         （供应商公章）</w:t>
      </w:r>
      <w:r>
        <w:rPr>
          <w:rFonts w:hint="eastAsia" w:ascii="仿宋" w:hAnsi="仿宋" w:eastAsia="仿宋" w:cs="仿宋"/>
          <w:color w:val="auto"/>
          <w:sz w:val="24"/>
          <w:szCs w:val="24"/>
        </w:rPr>
        <w:t xml:space="preserve">   </w:t>
      </w:r>
    </w:p>
    <w:p w14:paraId="08A45C77">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法定代表人（或法定代表人授权代表）（签字或盖章）：</w:t>
      </w:r>
    </w:p>
    <w:p w14:paraId="32594ED5">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法定代表人（或法定代表人授权代表）身份证号码：</w:t>
      </w:r>
    </w:p>
    <w:p w14:paraId="7525C06E">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日期：  年   月   日</w:t>
      </w:r>
    </w:p>
    <w:p w14:paraId="573C3A49">
      <w:pPr>
        <w:pStyle w:val="27"/>
        <w:rPr>
          <w:color w:val="auto"/>
        </w:rPr>
      </w:pPr>
    </w:p>
    <w:p w14:paraId="5BD45261">
      <w:pPr>
        <w:pStyle w:val="14"/>
        <w:spacing w:line="276" w:lineRule="auto"/>
        <w:rPr>
          <w:rFonts w:ascii="方正仿宋_GBK" w:eastAsia="方正仿宋_GBK"/>
          <w:color w:val="auto"/>
          <w:sz w:val="24"/>
          <w:szCs w:val="24"/>
        </w:rPr>
        <w:sectPr>
          <w:pgSz w:w="11907" w:h="16840"/>
          <w:pgMar w:top="1134" w:right="1191" w:bottom="1134" w:left="1304" w:header="964" w:footer="992" w:gutter="0"/>
          <w:pgNumType w:fmt="numberInDash"/>
          <w:cols w:space="720" w:num="1"/>
          <w:docGrid w:linePitch="312" w:charSpace="0"/>
        </w:sectPr>
      </w:pPr>
    </w:p>
    <w:p w14:paraId="117E2D92">
      <w:pPr>
        <w:tabs>
          <w:tab w:val="left" w:pos="6300"/>
        </w:tabs>
        <w:snapToGrid w:val="0"/>
        <w:spacing w:line="276"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2.供应商根据招标文件要求添加其他资料。</w:t>
      </w:r>
    </w:p>
    <w:p w14:paraId="60D227BE">
      <w:pPr>
        <w:tabs>
          <w:tab w:val="left" w:pos="6300"/>
        </w:tabs>
        <w:snapToGrid w:val="0"/>
        <w:spacing w:line="276" w:lineRule="auto"/>
        <w:ind w:firstLine="570"/>
        <w:rPr>
          <w:rFonts w:ascii="方正仿宋_GBK" w:hAnsi="宋体" w:eastAsia="方正仿宋_GBK"/>
          <w:color w:val="auto"/>
          <w:sz w:val="24"/>
          <w:szCs w:val="24"/>
        </w:rPr>
      </w:pPr>
    </w:p>
    <w:p w14:paraId="74DC142A">
      <w:pPr>
        <w:tabs>
          <w:tab w:val="left" w:pos="6300"/>
        </w:tabs>
        <w:snapToGrid w:val="0"/>
        <w:spacing w:line="276" w:lineRule="auto"/>
        <w:ind w:firstLine="570"/>
        <w:rPr>
          <w:rFonts w:ascii="方正仿宋_GBK" w:hAnsi="宋体" w:eastAsia="方正仿宋_GBK"/>
          <w:color w:val="auto"/>
          <w:sz w:val="24"/>
          <w:szCs w:val="24"/>
        </w:rPr>
      </w:pPr>
    </w:p>
    <w:p w14:paraId="51FADC7D">
      <w:pPr>
        <w:spacing w:line="276" w:lineRule="auto"/>
        <w:rPr>
          <w:rFonts w:ascii="方正仿宋_GBK" w:eastAsia="方正仿宋_GBK"/>
          <w:b/>
          <w:color w:val="auto"/>
          <w:sz w:val="24"/>
          <w:szCs w:val="24"/>
        </w:rPr>
      </w:pPr>
      <w:r>
        <w:rPr>
          <w:rFonts w:hint="eastAsia" w:ascii="方正仿宋_GBK" w:hAnsi="仿宋" w:eastAsia="方正仿宋_GBK"/>
          <w:color w:val="auto"/>
          <w:sz w:val="24"/>
          <w:szCs w:val="24"/>
        </w:rPr>
        <w:br w:type="page"/>
      </w:r>
      <w:bookmarkStart w:id="232" w:name="_Toc492721041"/>
      <w:bookmarkStart w:id="233" w:name="_Toc493178792"/>
      <w:r>
        <w:rPr>
          <w:rFonts w:hint="eastAsia" w:ascii="方正仿宋_GBK" w:eastAsia="方正仿宋_GBK"/>
          <w:b/>
          <w:color w:val="auto"/>
          <w:sz w:val="24"/>
          <w:szCs w:val="24"/>
        </w:rPr>
        <w:t>四、其他</w:t>
      </w:r>
      <w:bookmarkEnd w:id="232"/>
      <w:bookmarkEnd w:id="233"/>
    </w:p>
    <w:p w14:paraId="7ECEE152">
      <w:pPr>
        <w:snapToGrid w:val="0"/>
        <w:spacing w:line="276" w:lineRule="auto"/>
        <w:rPr>
          <w:rFonts w:ascii="方正仿宋_GBK" w:hAnsi="宋体" w:eastAsia="方正仿宋_GBK"/>
          <w:color w:val="auto"/>
          <w:sz w:val="24"/>
          <w:szCs w:val="24"/>
        </w:rPr>
      </w:pPr>
      <w:r>
        <w:rPr>
          <w:rFonts w:hint="eastAsia" w:ascii="方正仿宋_GBK" w:hAnsi="宋体" w:eastAsia="方正仿宋_GBK"/>
          <w:color w:val="auto"/>
          <w:sz w:val="24"/>
          <w:szCs w:val="24"/>
        </w:rPr>
        <w:t>其他与项目有关的资料（如有自附）</w:t>
      </w:r>
    </w:p>
    <w:p w14:paraId="16771AFE">
      <w:pPr>
        <w:spacing w:line="276" w:lineRule="auto"/>
        <w:rPr>
          <w:rFonts w:ascii="方正仿宋_GBK" w:eastAsia="方正仿宋_GBK"/>
          <w:b/>
          <w:color w:val="auto"/>
          <w:sz w:val="24"/>
          <w:szCs w:val="24"/>
        </w:rPr>
      </w:pPr>
      <w:r>
        <w:rPr>
          <w:rFonts w:hint="eastAsia" w:ascii="方正仿宋_GBK" w:hAnsi="仿宋" w:eastAsia="方正仿宋_GBK"/>
          <w:color w:val="auto"/>
          <w:sz w:val="24"/>
          <w:szCs w:val="24"/>
        </w:rPr>
        <w:br w:type="page"/>
      </w:r>
      <w:bookmarkStart w:id="234" w:name="_Toc492721038"/>
      <w:bookmarkStart w:id="235" w:name="_Toc59621321"/>
      <w:bookmarkStart w:id="236" w:name="_Toc493178793"/>
      <w:r>
        <w:rPr>
          <w:rFonts w:hint="eastAsia" w:ascii="方正仿宋_GBK" w:eastAsia="方正仿宋_GBK"/>
          <w:b/>
          <w:color w:val="auto"/>
          <w:sz w:val="24"/>
          <w:szCs w:val="24"/>
        </w:rPr>
        <w:t>五、资格文件</w:t>
      </w:r>
      <w:bookmarkEnd w:id="234"/>
      <w:bookmarkEnd w:id="235"/>
      <w:bookmarkEnd w:id="236"/>
    </w:p>
    <w:p w14:paraId="6E571BC1">
      <w:pPr>
        <w:spacing w:line="276" w:lineRule="auto"/>
        <w:rPr>
          <w:rFonts w:ascii="方正仿宋_GBK" w:hAnsi="宋体" w:eastAsia="方正仿宋_GBK"/>
          <w:color w:val="auto"/>
          <w:sz w:val="24"/>
          <w:szCs w:val="24"/>
        </w:rPr>
      </w:pPr>
      <w:r>
        <w:rPr>
          <w:rFonts w:hint="eastAsia" w:ascii="方正仿宋_GBK" w:hAnsi="宋体" w:eastAsia="方正仿宋_GBK"/>
          <w:color w:val="auto"/>
          <w:sz w:val="24"/>
          <w:szCs w:val="24"/>
        </w:rPr>
        <w:t>（一）企业法人营业执照（副本）复印件</w:t>
      </w:r>
    </w:p>
    <w:p w14:paraId="482F05A4">
      <w:pPr>
        <w:spacing w:line="276" w:lineRule="auto"/>
        <w:ind w:firstLine="480" w:firstLineChars="200"/>
        <w:rPr>
          <w:rFonts w:ascii="方正仿宋_GBK" w:hAnsi="宋体" w:eastAsia="方正仿宋_GBK"/>
          <w:color w:val="auto"/>
          <w:sz w:val="24"/>
          <w:szCs w:val="24"/>
        </w:rPr>
      </w:pPr>
      <w:r>
        <w:rPr>
          <w:rFonts w:hint="eastAsia" w:ascii="方正仿宋_GBK" w:hAnsi="仿宋" w:eastAsia="方正仿宋_GBK"/>
          <w:color w:val="auto"/>
          <w:sz w:val="24"/>
          <w:szCs w:val="24"/>
        </w:rPr>
        <w:br w:type="page"/>
      </w:r>
      <w:r>
        <w:rPr>
          <w:rFonts w:hint="eastAsia" w:ascii="方正仿宋_GBK" w:hAnsi="宋体" w:eastAsia="方正仿宋_GBK"/>
          <w:color w:val="auto"/>
          <w:sz w:val="24"/>
          <w:szCs w:val="24"/>
        </w:rPr>
        <w:t>（二）法定代表人身份证明书（格式）</w:t>
      </w:r>
    </w:p>
    <w:p w14:paraId="638A9711">
      <w:pPr>
        <w:tabs>
          <w:tab w:val="left" w:pos="6300"/>
        </w:tabs>
        <w:snapToGrid w:val="0"/>
        <w:spacing w:line="276" w:lineRule="auto"/>
        <w:ind w:firstLine="570"/>
        <w:rPr>
          <w:rFonts w:ascii="方正仿宋_GBK" w:hAnsi="宋体" w:eastAsia="方正仿宋_GBK"/>
          <w:color w:val="auto"/>
          <w:sz w:val="24"/>
          <w:szCs w:val="24"/>
        </w:rPr>
      </w:pPr>
    </w:p>
    <w:p w14:paraId="276CB73D">
      <w:pPr>
        <w:tabs>
          <w:tab w:val="left" w:pos="6300"/>
        </w:tabs>
        <w:snapToGrid w:val="0"/>
        <w:spacing w:line="276"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招标项目名称：</w:t>
      </w:r>
      <w:r>
        <w:rPr>
          <w:rFonts w:hint="eastAsia" w:ascii="方正仿宋_GBK" w:hAnsi="宋体" w:eastAsia="方正仿宋_GBK"/>
          <w:color w:val="auto"/>
          <w:sz w:val="24"/>
          <w:szCs w:val="24"/>
          <w:u w:val="single"/>
        </w:rPr>
        <w:t xml:space="preserve">                                                </w:t>
      </w:r>
    </w:p>
    <w:p w14:paraId="2FA02E11">
      <w:pPr>
        <w:tabs>
          <w:tab w:val="left" w:pos="6300"/>
        </w:tabs>
        <w:snapToGrid w:val="0"/>
        <w:spacing w:line="276"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包号：</w:t>
      </w:r>
    </w:p>
    <w:p w14:paraId="4D4DE52B">
      <w:pPr>
        <w:tabs>
          <w:tab w:val="left" w:pos="6300"/>
        </w:tabs>
        <w:snapToGrid w:val="0"/>
        <w:spacing w:line="276" w:lineRule="auto"/>
        <w:rPr>
          <w:rFonts w:ascii="方正仿宋_GBK" w:hAnsi="宋体" w:eastAsia="方正仿宋_GBK"/>
          <w:color w:val="auto"/>
          <w:sz w:val="24"/>
          <w:szCs w:val="24"/>
        </w:rPr>
      </w:pPr>
    </w:p>
    <w:p w14:paraId="35C82DFC">
      <w:pPr>
        <w:tabs>
          <w:tab w:val="left" w:pos="6300"/>
        </w:tabs>
        <w:snapToGrid w:val="0"/>
        <w:spacing w:line="276" w:lineRule="auto"/>
        <w:rPr>
          <w:rFonts w:ascii="方正仿宋_GBK" w:hAnsi="宋体" w:eastAsia="方正仿宋_GBK"/>
          <w:color w:val="auto"/>
          <w:sz w:val="24"/>
          <w:szCs w:val="24"/>
        </w:rPr>
      </w:pPr>
      <w:r>
        <w:rPr>
          <w:rFonts w:hint="eastAsia" w:ascii="方正仿宋_GBK" w:hAnsi="宋体" w:eastAsia="方正仿宋_GBK"/>
          <w:color w:val="auto"/>
          <w:sz w:val="24"/>
          <w:szCs w:val="24"/>
        </w:rPr>
        <w:t>致：重庆工商大学：</w:t>
      </w:r>
    </w:p>
    <w:p w14:paraId="15C9EC54">
      <w:pPr>
        <w:tabs>
          <w:tab w:val="left" w:pos="6300"/>
        </w:tabs>
        <w:snapToGrid w:val="0"/>
        <w:spacing w:line="276"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（法定代表人姓名）在</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（供应商名称）任</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（职务名称）职务，是（供应商名称）</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的法定代表人。</w:t>
      </w:r>
    </w:p>
    <w:p w14:paraId="7CAE9320">
      <w:pPr>
        <w:tabs>
          <w:tab w:val="left" w:pos="6300"/>
        </w:tabs>
        <w:snapToGrid w:val="0"/>
        <w:spacing w:line="276" w:lineRule="auto"/>
        <w:ind w:firstLine="570"/>
        <w:rPr>
          <w:rFonts w:ascii="方正仿宋_GBK" w:hAnsi="宋体" w:eastAsia="方正仿宋_GBK"/>
          <w:color w:val="auto"/>
          <w:sz w:val="24"/>
          <w:szCs w:val="24"/>
        </w:rPr>
      </w:pPr>
    </w:p>
    <w:p w14:paraId="1BE60A3C">
      <w:pPr>
        <w:tabs>
          <w:tab w:val="left" w:pos="6300"/>
        </w:tabs>
        <w:snapToGrid w:val="0"/>
        <w:spacing w:line="276"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特此证明。</w:t>
      </w:r>
    </w:p>
    <w:p w14:paraId="4ECF9631">
      <w:pPr>
        <w:tabs>
          <w:tab w:val="left" w:pos="6300"/>
        </w:tabs>
        <w:snapToGrid w:val="0"/>
        <w:spacing w:line="276" w:lineRule="auto"/>
        <w:ind w:firstLine="570"/>
        <w:rPr>
          <w:rFonts w:ascii="方正仿宋_GBK" w:hAnsi="宋体" w:eastAsia="方正仿宋_GBK"/>
          <w:color w:val="auto"/>
          <w:sz w:val="24"/>
          <w:szCs w:val="24"/>
        </w:rPr>
      </w:pPr>
    </w:p>
    <w:p w14:paraId="7EFF3C5D">
      <w:pPr>
        <w:tabs>
          <w:tab w:val="left" w:pos="6300"/>
        </w:tabs>
        <w:snapToGrid w:val="0"/>
        <w:spacing w:line="276" w:lineRule="auto"/>
        <w:ind w:firstLine="570"/>
        <w:rPr>
          <w:rFonts w:ascii="方正仿宋_GBK" w:hAnsi="宋体" w:eastAsia="方正仿宋_GBK"/>
          <w:color w:val="auto"/>
          <w:sz w:val="24"/>
          <w:szCs w:val="24"/>
        </w:rPr>
      </w:pPr>
    </w:p>
    <w:p w14:paraId="5301026B">
      <w:pPr>
        <w:tabs>
          <w:tab w:val="left" w:pos="6300"/>
        </w:tabs>
        <w:snapToGrid w:val="0"/>
        <w:spacing w:line="276"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                                             供应商：</w:t>
      </w:r>
    </w:p>
    <w:p w14:paraId="4EF78762">
      <w:pPr>
        <w:tabs>
          <w:tab w:val="left" w:pos="6300"/>
        </w:tabs>
        <w:snapToGrid w:val="0"/>
        <w:spacing w:line="276" w:lineRule="auto"/>
        <w:ind w:firstLine="5848" w:firstLineChars="2437"/>
        <w:rPr>
          <w:rFonts w:ascii="方正仿宋_GBK" w:hAnsi="宋体" w:eastAsia="方正仿宋_GBK"/>
          <w:color w:val="auto"/>
          <w:sz w:val="24"/>
          <w:szCs w:val="24"/>
        </w:rPr>
      </w:pPr>
      <w:r>
        <w:rPr>
          <w:rFonts w:hint="eastAsia" w:ascii="方正仿宋_GBK" w:hAnsi="宋体" w:eastAsia="方正仿宋_GBK"/>
          <w:color w:val="auto"/>
          <w:sz w:val="24"/>
          <w:szCs w:val="24"/>
        </w:rPr>
        <w:t>（供应商公章）</w:t>
      </w:r>
    </w:p>
    <w:p w14:paraId="256E2A5C">
      <w:pPr>
        <w:tabs>
          <w:tab w:val="left" w:pos="6300"/>
        </w:tabs>
        <w:snapToGrid w:val="0"/>
        <w:spacing w:line="276" w:lineRule="auto"/>
        <w:ind w:firstLine="570"/>
        <w:rPr>
          <w:rFonts w:ascii="方正仿宋_GBK" w:hAnsi="宋体" w:eastAsia="方正仿宋_GBK"/>
          <w:color w:val="auto"/>
          <w:sz w:val="24"/>
          <w:szCs w:val="24"/>
        </w:rPr>
      </w:pPr>
    </w:p>
    <w:p w14:paraId="529CCA1C">
      <w:pPr>
        <w:tabs>
          <w:tab w:val="left" w:pos="6300"/>
        </w:tabs>
        <w:snapToGrid w:val="0"/>
        <w:spacing w:line="276"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                                             年   月   日</w:t>
      </w:r>
    </w:p>
    <w:p w14:paraId="0C79913C">
      <w:pPr>
        <w:tabs>
          <w:tab w:val="left" w:pos="6300"/>
        </w:tabs>
        <w:snapToGrid w:val="0"/>
        <w:spacing w:line="276"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法定代表人电话：XXXXXXX      电子邮箱：XXXXXX@XXXXX（若授权他人办理并签署投标文件的可不填写）</w:t>
      </w:r>
    </w:p>
    <w:p w14:paraId="07566DD1">
      <w:pPr>
        <w:tabs>
          <w:tab w:val="left" w:pos="6300"/>
        </w:tabs>
        <w:snapToGrid w:val="0"/>
        <w:spacing w:line="276"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（附：法定代表人身份证正反面复印件）</w:t>
      </w:r>
    </w:p>
    <w:p w14:paraId="52CEE7F2">
      <w:pPr>
        <w:tabs>
          <w:tab w:val="left" w:pos="6300"/>
        </w:tabs>
        <w:snapToGrid w:val="0"/>
        <w:spacing w:line="276" w:lineRule="auto"/>
        <w:ind w:firstLine="570"/>
        <w:rPr>
          <w:rFonts w:ascii="方正仿宋_GBK" w:hAnsi="宋体" w:eastAsia="方正仿宋_GBK"/>
          <w:color w:val="auto"/>
          <w:sz w:val="24"/>
          <w:szCs w:val="24"/>
        </w:rPr>
      </w:pPr>
    </w:p>
    <w:p w14:paraId="53D25CF5">
      <w:pPr>
        <w:tabs>
          <w:tab w:val="left" w:pos="6300"/>
        </w:tabs>
        <w:snapToGrid w:val="0"/>
        <w:spacing w:line="276" w:lineRule="auto"/>
        <w:ind w:firstLine="570"/>
        <w:rPr>
          <w:rFonts w:ascii="方正仿宋_GBK" w:hAnsi="宋体" w:eastAsia="方正仿宋_GBK"/>
          <w:color w:val="auto"/>
          <w:sz w:val="24"/>
          <w:szCs w:val="24"/>
        </w:rPr>
      </w:pPr>
    </w:p>
    <w:p w14:paraId="476D44A2">
      <w:pPr>
        <w:tabs>
          <w:tab w:val="left" w:pos="6300"/>
        </w:tabs>
        <w:snapToGrid w:val="0"/>
        <w:spacing w:line="276" w:lineRule="auto"/>
        <w:ind w:firstLine="570"/>
        <w:rPr>
          <w:rFonts w:ascii="方正仿宋_GBK" w:hAnsi="宋体" w:eastAsia="方正仿宋_GBK"/>
          <w:color w:val="auto"/>
          <w:sz w:val="24"/>
          <w:szCs w:val="24"/>
        </w:rPr>
      </w:pPr>
    </w:p>
    <w:p w14:paraId="55D98475">
      <w:pPr>
        <w:tabs>
          <w:tab w:val="left" w:pos="6300"/>
        </w:tabs>
        <w:snapToGrid w:val="0"/>
        <w:spacing w:line="276" w:lineRule="auto"/>
        <w:ind w:firstLine="570"/>
        <w:rPr>
          <w:rFonts w:ascii="方正仿宋_GBK" w:hAnsi="宋体" w:eastAsia="方正仿宋_GBK"/>
          <w:color w:val="auto"/>
          <w:sz w:val="24"/>
          <w:szCs w:val="24"/>
        </w:rPr>
      </w:pPr>
    </w:p>
    <w:p w14:paraId="32315975">
      <w:pPr>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br w:type="column"/>
      </w:r>
      <w:r>
        <w:rPr>
          <w:rFonts w:hint="eastAsia" w:ascii="方正仿宋_GBK" w:hAnsi="宋体" w:eastAsia="方正仿宋_GBK"/>
          <w:color w:val="auto"/>
          <w:sz w:val="24"/>
          <w:szCs w:val="24"/>
        </w:rPr>
        <w:t>（三）法定代表人授权委托书（格式）</w:t>
      </w:r>
    </w:p>
    <w:p w14:paraId="4E7CB068">
      <w:pPr>
        <w:tabs>
          <w:tab w:val="left" w:pos="6300"/>
        </w:tabs>
        <w:snapToGrid w:val="0"/>
        <w:spacing w:line="276"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    </w:t>
      </w:r>
    </w:p>
    <w:p w14:paraId="15240876">
      <w:pPr>
        <w:tabs>
          <w:tab w:val="left" w:pos="6300"/>
        </w:tabs>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招标项目名称：</w:t>
      </w:r>
      <w:r>
        <w:rPr>
          <w:rFonts w:hint="eastAsia" w:ascii="方正仿宋_GBK" w:hAnsi="宋体" w:eastAsia="方正仿宋_GBK"/>
          <w:color w:val="auto"/>
          <w:sz w:val="24"/>
          <w:szCs w:val="24"/>
          <w:u w:val="single"/>
        </w:rPr>
        <w:t xml:space="preserve">                                                </w:t>
      </w:r>
    </w:p>
    <w:p w14:paraId="6DEAF883">
      <w:pPr>
        <w:tabs>
          <w:tab w:val="left" w:pos="6300"/>
        </w:tabs>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包号：</w:t>
      </w:r>
    </w:p>
    <w:p w14:paraId="4F9C7E93">
      <w:pPr>
        <w:tabs>
          <w:tab w:val="left" w:pos="6300"/>
        </w:tabs>
        <w:snapToGrid w:val="0"/>
        <w:spacing w:line="276" w:lineRule="auto"/>
        <w:rPr>
          <w:rFonts w:ascii="方正仿宋_GBK" w:hAnsi="宋体" w:eastAsia="方正仿宋_GBK"/>
          <w:color w:val="auto"/>
          <w:sz w:val="24"/>
          <w:szCs w:val="24"/>
        </w:rPr>
      </w:pPr>
    </w:p>
    <w:p w14:paraId="7AA7056A">
      <w:pPr>
        <w:tabs>
          <w:tab w:val="left" w:pos="6300"/>
        </w:tabs>
        <w:snapToGrid w:val="0"/>
        <w:spacing w:line="276" w:lineRule="auto"/>
        <w:rPr>
          <w:rFonts w:ascii="方正仿宋_GBK" w:hAnsi="宋体" w:eastAsia="方正仿宋_GBK"/>
          <w:color w:val="auto"/>
          <w:sz w:val="24"/>
          <w:szCs w:val="24"/>
        </w:rPr>
      </w:pPr>
      <w:r>
        <w:rPr>
          <w:rFonts w:hint="eastAsia" w:ascii="方正仿宋_GBK" w:hAnsi="宋体" w:eastAsia="方正仿宋_GBK"/>
          <w:color w:val="auto"/>
          <w:sz w:val="24"/>
          <w:szCs w:val="24"/>
        </w:rPr>
        <w:t>致：重庆工商大学：</w:t>
      </w:r>
    </w:p>
    <w:p w14:paraId="6A546C38">
      <w:pPr>
        <w:tabs>
          <w:tab w:val="left" w:pos="6300"/>
        </w:tabs>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（供应商法定代表人名称）是</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（供应商名称）的法定代表人，特授权</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（被授权人姓名及身份证代码）代表我单位全权办理上述项目的投标、谈判、签约等具体工作，并签署全部有关文件、协议及合同。</w:t>
      </w:r>
    </w:p>
    <w:p w14:paraId="3E5F1C2D">
      <w:pPr>
        <w:tabs>
          <w:tab w:val="left" w:pos="6300"/>
        </w:tabs>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我单位对被授权人的签字负全部责任。</w:t>
      </w:r>
    </w:p>
    <w:p w14:paraId="13CE34D7">
      <w:pPr>
        <w:tabs>
          <w:tab w:val="left" w:pos="6300"/>
        </w:tabs>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在撤消授权的书面通知以前，本授权书一直有效。被授权人在授权书有效期内签署的所有文件不因授权的撤消而失效。</w:t>
      </w:r>
    </w:p>
    <w:p w14:paraId="045BF6A9">
      <w:pPr>
        <w:tabs>
          <w:tab w:val="left" w:pos="6300"/>
        </w:tabs>
        <w:snapToGrid w:val="0"/>
        <w:spacing w:line="276" w:lineRule="auto"/>
        <w:ind w:firstLine="570"/>
        <w:rPr>
          <w:rFonts w:ascii="方正仿宋_GBK" w:hAnsi="宋体" w:eastAsia="方正仿宋_GBK"/>
          <w:color w:val="auto"/>
          <w:sz w:val="24"/>
          <w:szCs w:val="24"/>
        </w:rPr>
      </w:pPr>
    </w:p>
    <w:p w14:paraId="770D7CB5">
      <w:pPr>
        <w:tabs>
          <w:tab w:val="left" w:pos="6300"/>
        </w:tabs>
        <w:snapToGrid w:val="0"/>
        <w:spacing w:line="276" w:lineRule="auto"/>
        <w:ind w:firstLine="570"/>
        <w:rPr>
          <w:rFonts w:ascii="方正仿宋_GBK" w:hAnsi="宋体" w:eastAsia="方正仿宋_GBK"/>
          <w:color w:val="auto"/>
          <w:sz w:val="24"/>
          <w:szCs w:val="24"/>
        </w:rPr>
      </w:pPr>
    </w:p>
    <w:p w14:paraId="5EE85E68">
      <w:pPr>
        <w:tabs>
          <w:tab w:val="left" w:pos="6300"/>
        </w:tabs>
        <w:snapToGrid w:val="0"/>
        <w:spacing w:line="276"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被授权人：                                 供应商法定代表人：</w:t>
      </w:r>
    </w:p>
    <w:p w14:paraId="5CDEB92D">
      <w:pPr>
        <w:tabs>
          <w:tab w:val="left" w:pos="6300"/>
        </w:tabs>
        <w:snapToGrid w:val="0"/>
        <w:spacing w:line="276"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（签字或盖章）                                （签字或盖章）</w:t>
      </w:r>
    </w:p>
    <w:p w14:paraId="0F052D1A">
      <w:pPr>
        <w:tabs>
          <w:tab w:val="left" w:pos="6300"/>
        </w:tabs>
        <w:snapToGrid w:val="0"/>
        <w:spacing w:line="276" w:lineRule="auto"/>
        <w:ind w:firstLine="570"/>
        <w:rPr>
          <w:rFonts w:ascii="方正仿宋_GBK" w:hAnsi="宋体" w:eastAsia="方正仿宋_GBK"/>
          <w:color w:val="auto"/>
          <w:sz w:val="24"/>
          <w:szCs w:val="24"/>
        </w:rPr>
      </w:pPr>
    </w:p>
    <w:p w14:paraId="6289779B">
      <w:pPr>
        <w:tabs>
          <w:tab w:val="left" w:pos="6300"/>
        </w:tabs>
        <w:snapToGrid w:val="0"/>
        <w:spacing w:line="276"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（附：被授权人身份证正反面复印件）</w:t>
      </w:r>
    </w:p>
    <w:p w14:paraId="0EDC9A5D">
      <w:pPr>
        <w:tabs>
          <w:tab w:val="left" w:pos="6300"/>
        </w:tabs>
        <w:snapToGrid w:val="0"/>
        <w:spacing w:line="276"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                                          </w:t>
      </w:r>
    </w:p>
    <w:p w14:paraId="0E9D8F30">
      <w:pPr>
        <w:tabs>
          <w:tab w:val="left" w:pos="6300"/>
        </w:tabs>
        <w:snapToGrid w:val="0"/>
        <w:spacing w:line="276" w:lineRule="auto"/>
        <w:ind w:firstLine="570"/>
        <w:rPr>
          <w:rFonts w:ascii="方正仿宋_GBK" w:hAnsi="宋体" w:eastAsia="方正仿宋_GBK"/>
          <w:color w:val="auto"/>
          <w:sz w:val="24"/>
          <w:szCs w:val="24"/>
        </w:rPr>
      </w:pPr>
    </w:p>
    <w:p w14:paraId="392505CF">
      <w:pPr>
        <w:tabs>
          <w:tab w:val="left" w:pos="6300"/>
        </w:tabs>
        <w:snapToGrid w:val="0"/>
        <w:spacing w:line="276" w:lineRule="auto"/>
        <w:ind w:right="480" w:firstLine="570"/>
        <w:jc w:val="right"/>
        <w:rPr>
          <w:rFonts w:ascii="方正仿宋_GBK" w:hAnsi="宋体" w:eastAsia="方正仿宋_GBK"/>
          <w:color w:val="auto"/>
          <w:sz w:val="24"/>
          <w:szCs w:val="24"/>
        </w:rPr>
      </w:pPr>
      <w:r>
        <w:rPr>
          <w:rFonts w:hint="eastAsia" w:ascii="方正仿宋_GBK" w:hAnsi="宋体" w:eastAsia="方正仿宋_GBK"/>
          <w:color w:val="auto"/>
          <w:sz w:val="24"/>
          <w:szCs w:val="24"/>
        </w:rPr>
        <w:t>（供应商公章）</w:t>
      </w:r>
    </w:p>
    <w:p w14:paraId="4FEE8E3F">
      <w:pPr>
        <w:tabs>
          <w:tab w:val="left" w:pos="6300"/>
        </w:tabs>
        <w:snapToGrid w:val="0"/>
        <w:spacing w:line="276" w:lineRule="auto"/>
        <w:ind w:right="480" w:firstLine="570"/>
        <w:jc w:val="right"/>
        <w:rPr>
          <w:rFonts w:ascii="方正仿宋_GBK" w:hAnsi="宋体" w:eastAsia="方正仿宋_GBK"/>
          <w:color w:val="auto"/>
          <w:sz w:val="24"/>
          <w:szCs w:val="24"/>
        </w:rPr>
      </w:pPr>
      <w:r>
        <w:rPr>
          <w:rFonts w:hint="eastAsia" w:ascii="方正仿宋_GBK" w:hAnsi="宋体" w:eastAsia="方正仿宋_GBK"/>
          <w:color w:val="auto"/>
          <w:sz w:val="24"/>
          <w:szCs w:val="24"/>
        </w:rPr>
        <w:t>年   月   日</w:t>
      </w:r>
    </w:p>
    <w:p w14:paraId="74718EBD">
      <w:pPr>
        <w:tabs>
          <w:tab w:val="left" w:pos="6300"/>
        </w:tabs>
        <w:snapToGrid w:val="0"/>
        <w:spacing w:line="276" w:lineRule="auto"/>
        <w:ind w:right="720" w:firstLine="570"/>
        <w:jc w:val="right"/>
        <w:rPr>
          <w:rFonts w:ascii="方正仿宋_GBK" w:hAnsi="宋体" w:eastAsia="方正仿宋_GBK"/>
          <w:color w:val="auto"/>
          <w:sz w:val="24"/>
          <w:szCs w:val="24"/>
        </w:rPr>
      </w:pPr>
    </w:p>
    <w:p w14:paraId="5202D040">
      <w:pPr>
        <w:tabs>
          <w:tab w:val="left" w:pos="6300"/>
        </w:tabs>
        <w:snapToGrid w:val="0"/>
        <w:spacing w:line="276" w:lineRule="auto"/>
        <w:ind w:right="480" w:firstLine="570"/>
        <w:jc w:val="left"/>
        <w:rPr>
          <w:rFonts w:ascii="方正仿宋_GBK" w:hAnsi="宋体" w:eastAsia="方正仿宋_GBK"/>
          <w:color w:val="auto"/>
          <w:sz w:val="24"/>
          <w:szCs w:val="24"/>
        </w:rPr>
      </w:pPr>
      <w:r>
        <w:rPr>
          <w:rFonts w:hint="eastAsia" w:ascii="方正仿宋_GBK" w:hAnsi="宋体" w:eastAsia="方正仿宋_GBK"/>
          <w:color w:val="auto"/>
          <w:sz w:val="24"/>
          <w:szCs w:val="24"/>
        </w:rPr>
        <w:t>被授权人电话：XXXXXXX     电子邮箱：XXXXXX@XXXXX（若法定代表人办理并签署投标文件的可不填写）</w:t>
      </w:r>
    </w:p>
    <w:p w14:paraId="200E1F0C">
      <w:pPr>
        <w:tabs>
          <w:tab w:val="left" w:pos="6300"/>
        </w:tabs>
        <w:snapToGrid w:val="0"/>
        <w:spacing w:line="276" w:lineRule="auto"/>
        <w:ind w:right="480" w:firstLine="570"/>
        <w:jc w:val="left"/>
        <w:rPr>
          <w:rFonts w:ascii="方正仿宋_GBK" w:hAnsi="宋体" w:eastAsia="方正仿宋_GBK"/>
          <w:color w:val="auto"/>
          <w:sz w:val="24"/>
          <w:szCs w:val="24"/>
        </w:rPr>
      </w:pPr>
      <w:r>
        <w:rPr>
          <w:rFonts w:hint="eastAsia" w:ascii="方正仿宋_GBK" w:hAnsi="宋体" w:eastAsia="方正仿宋_GBK"/>
          <w:color w:val="auto"/>
          <w:sz w:val="24"/>
          <w:szCs w:val="24"/>
        </w:rPr>
        <w:t>注：若为法定代表人办理并签署投标文件的，不提供此文件。</w:t>
      </w:r>
    </w:p>
    <w:p w14:paraId="31772787">
      <w:pPr>
        <w:spacing w:line="276" w:lineRule="auto"/>
        <w:ind w:firstLine="480" w:firstLineChars="200"/>
        <w:rPr>
          <w:rFonts w:ascii="方正仿宋_GBK" w:hAnsi="宋体" w:eastAsia="方正仿宋_GBK"/>
          <w:color w:val="auto"/>
          <w:sz w:val="24"/>
          <w:szCs w:val="24"/>
        </w:rPr>
      </w:pPr>
      <w:r>
        <w:rPr>
          <w:rFonts w:hint="eastAsia" w:ascii="方正仿宋_GBK" w:eastAsia="方正仿宋_GBK"/>
          <w:color w:val="auto"/>
          <w:sz w:val="24"/>
          <w:szCs w:val="24"/>
        </w:rPr>
        <w:br w:type="page"/>
      </w:r>
    </w:p>
    <w:p w14:paraId="5D79C3BD">
      <w:pPr>
        <w:widowControl/>
        <w:spacing w:line="276" w:lineRule="auto"/>
        <w:jc w:val="left"/>
        <w:rPr>
          <w:rFonts w:ascii="方正仿宋_GBK" w:hAnsi="宋体" w:eastAsia="方正仿宋_GBK"/>
          <w:color w:val="auto"/>
          <w:sz w:val="24"/>
          <w:szCs w:val="24"/>
        </w:rPr>
      </w:pPr>
      <w:r>
        <w:rPr>
          <w:rFonts w:hint="eastAsia" w:ascii="方正仿宋_GBK" w:hAnsi="宋体" w:eastAsia="方正仿宋_GBK"/>
          <w:color w:val="auto"/>
          <w:sz w:val="24"/>
          <w:szCs w:val="24"/>
        </w:rPr>
        <w:t>（四）</w:t>
      </w:r>
    </w:p>
    <w:p w14:paraId="617E83C7">
      <w:pPr>
        <w:tabs>
          <w:tab w:val="left" w:pos="6300"/>
        </w:tabs>
        <w:snapToGrid w:val="0"/>
        <w:spacing w:line="276" w:lineRule="auto"/>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基本资格条件承诺函</w:t>
      </w:r>
    </w:p>
    <w:p w14:paraId="25151FFE">
      <w:pPr>
        <w:tabs>
          <w:tab w:val="left" w:pos="6300"/>
        </w:tabs>
        <w:snapToGrid w:val="0"/>
        <w:spacing w:line="276" w:lineRule="auto"/>
        <w:rPr>
          <w:rFonts w:ascii="方正仿宋_GBK" w:hAnsi="宋体" w:eastAsia="方正仿宋_GBK"/>
          <w:color w:val="auto"/>
          <w:sz w:val="24"/>
          <w:szCs w:val="24"/>
        </w:rPr>
      </w:pPr>
    </w:p>
    <w:p w14:paraId="6BFC1AC7">
      <w:pPr>
        <w:tabs>
          <w:tab w:val="left" w:pos="6300"/>
        </w:tabs>
        <w:snapToGrid w:val="0"/>
        <w:spacing w:line="276" w:lineRule="auto"/>
        <w:rPr>
          <w:rFonts w:ascii="方正仿宋_GBK" w:hAnsi="宋体" w:eastAsia="方正仿宋_GBK"/>
          <w:color w:val="auto"/>
          <w:sz w:val="24"/>
          <w:szCs w:val="24"/>
        </w:rPr>
      </w:pPr>
      <w:r>
        <w:rPr>
          <w:rFonts w:hint="eastAsia" w:ascii="方正仿宋_GBK" w:hAnsi="宋体" w:eastAsia="方正仿宋_GBK"/>
          <w:color w:val="auto"/>
          <w:sz w:val="24"/>
          <w:szCs w:val="24"/>
        </w:rPr>
        <w:t>致重庆工商大学：</w:t>
      </w:r>
    </w:p>
    <w:p w14:paraId="34B98849">
      <w:pPr>
        <w:tabs>
          <w:tab w:val="left" w:pos="6300"/>
        </w:tabs>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（供应商名称）郑重承诺：</w:t>
      </w:r>
    </w:p>
    <w:p w14:paraId="0E060828">
      <w:pPr>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1.我方具有良好的商业信誉和健全的财务会计制度，具有履行合同所必需的设备和专业技术能力，具</w:t>
      </w:r>
      <w:r>
        <w:rPr>
          <w:rFonts w:hint="eastAsia" w:ascii="方正仿宋_GBK" w:hAnsi="宋体" w:eastAsia="方正仿宋_GBK" w:cs="仿宋_GB2312"/>
          <w:color w:val="auto"/>
          <w:sz w:val="24"/>
          <w:szCs w:val="24"/>
          <w:lang w:val="zh-CN"/>
        </w:rPr>
        <w:t>有依法缴纳税收和社会保障金的良好记录</w:t>
      </w:r>
      <w:r>
        <w:rPr>
          <w:rFonts w:hint="eastAsia" w:ascii="方正仿宋_GBK" w:hAnsi="宋体" w:eastAsia="方正仿宋_GBK" w:cs="仿宋_GB2312"/>
          <w:color w:val="auto"/>
          <w:sz w:val="24"/>
          <w:szCs w:val="24"/>
        </w:rPr>
        <w:t>，</w:t>
      </w:r>
      <w:r>
        <w:rPr>
          <w:rFonts w:hint="eastAsia" w:ascii="方正仿宋_GBK" w:hAnsi="宋体" w:eastAsia="方正仿宋_GBK"/>
          <w:color w:val="auto"/>
          <w:sz w:val="24"/>
          <w:szCs w:val="24"/>
        </w:rPr>
        <w:t>参加本项目采购活动前三年内无重大违法活动记录。</w:t>
      </w:r>
    </w:p>
    <w:p w14:paraId="0AFB32C9">
      <w:pPr>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2.我方未列入在信用中国网站（www.creditchina.gov.cn）“失信被执行人”、“重大税收违法案件当事人名单”中，也未列入中国政府采购网（www.ccgp.gov.cn）“政府采购严重违法失信行为记录名单”中。</w:t>
      </w:r>
    </w:p>
    <w:p w14:paraId="7F35ABD8">
      <w:pPr>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3.我方在采购项目评审（评标）环节结束后，随时接受采购人、采购代理机构的检查验证，配合提供相关证明材料，证明符合《中华人民共和国政府采购法》规定的供应商基本资格条件。</w:t>
      </w:r>
    </w:p>
    <w:p w14:paraId="7BF0032D">
      <w:pPr>
        <w:tabs>
          <w:tab w:val="left" w:pos="6300"/>
        </w:tabs>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我方对以上承诺负全部法律责任。</w:t>
      </w:r>
    </w:p>
    <w:p w14:paraId="604BE863">
      <w:pPr>
        <w:tabs>
          <w:tab w:val="left" w:pos="6300"/>
        </w:tabs>
        <w:snapToGrid w:val="0"/>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特此承诺。</w:t>
      </w:r>
    </w:p>
    <w:p w14:paraId="7B1180CB">
      <w:pPr>
        <w:tabs>
          <w:tab w:val="left" w:pos="6300"/>
        </w:tabs>
        <w:snapToGrid w:val="0"/>
        <w:spacing w:line="276" w:lineRule="auto"/>
        <w:rPr>
          <w:rFonts w:ascii="方正仿宋_GBK" w:hAnsi="宋体" w:eastAsia="方正仿宋_GBK"/>
          <w:color w:val="auto"/>
          <w:sz w:val="24"/>
          <w:szCs w:val="24"/>
        </w:rPr>
      </w:pPr>
    </w:p>
    <w:p w14:paraId="50FF0BBE">
      <w:pPr>
        <w:tabs>
          <w:tab w:val="left" w:pos="6300"/>
        </w:tabs>
        <w:snapToGrid w:val="0"/>
        <w:spacing w:line="276" w:lineRule="auto"/>
        <w:ind w:right="424" w:firstLine="570"/>
        <w:jc w:val="right"/>
        <w:rPr>
          <w:rFonts w:ascii="方正仿宋_GBK" w:hAnsi="宋体" w:eastAsia="方正仿宋_GBK"/>
          <w:color w:val="auto"/>
          <w:sz w:val="24"/>
          <w:szCs w:val="24"/>
        </w:rPr>
      </w:pPr>
      <w:r>
        <w:rPr>
          <w:rFonts w:hint="eastAsia" w:ascii="方正仿宋_GBK" w:hAnsi="宋体" w:eastAsia="方正仿宋_GBK"/>
          <w:color w:val="auto"/>
          <w:sz w:val="24"/>
          <w:szCs w:val="24"/>
        </w:rPr>
        <w:t>（供应商公章）</w:t>
      </w:r>
    </w:p>
    <w:p w14:paraId="415D056A">
      <w:pPr>
        <w:tabs>
          <w:tab w:val="left" w:pos="6300"/>
        </w:tabs>
        <w:snapToGrid w:val="0"/>
        <w:spacing w:line="276" w:lineRule="auto"/>
        <w:ind w:right="480" w:firstLine="570"/>
        <w:jc w:val="right"/>
        <w:rPr>
          <w:rFonts w:ascii="方正仿宋_GBK" w:hAnsi="宋体" w:eastAsia="方正仿宋_GBK"/>
          <w:color w:val="auto"/>
          <w:sz w:val="24"/>
          <w:szCs w:val="24"/>
        </w:rPr>
      </w:pPr>
      <w:r>
        <w:rPr>
          <w:rFonts w:hint="eastAsia" w:ascii="方正仿宋_GBK" w:hAnsi="宋体" w:eastAsia="方正仿宋_GBK"/>
          <w:color w:val="auto"/>
          <w:sz w:val="24"/>
          <w:szCs w:val="24"/>
        </w:rPr>
        <w:t>年   月   日</w:t>
      </w:r>
    </w:p>
    <w:p w14:paraId="49790E36">
      <w:pPr>
        <w:spacing w:line="276" w:lineRule="auto"/>
        <w:rPr>
          <w:rFonts w:ascii="方正仿宋_GBK" w:hAnsi="宋体" w:eastAsia="方正仿宋_GBK"/>
          <w:color w:val="auto"/>
          <w:sz w:val="24"/>
          <w:szCs w:val="24"/>
        </w:rPr>
      </w:pPr>
    </w:p>
    <w:p w14:paraId="5209A97D">
      <w:pPr>
        <w:adjustRightInd w:val="0"/>
        <w:snapToGrid w:val="0"/>
        <w:spacing w:line="276" w:lineRule="auto"/>
        <w:ind w:firstLine="420"/>
        <w:rPr>
          <w:rFonts w:ascii="方正仿宋_GBK" w:hAnsi="宋体" w:eastAsia="方正仿宋_GBK"/>
          <w:color w:val="auto"/>
          <w:sz w:val="24"/>
          <w:szCs w:val="24"/>
        </w:rPr>
      </w:pPr>
    </w:p>
    <w:p w14:paraId="549057EA">
      <w:pPr>
        <w:adjustRightInd w:val="0"/>
        <w:snapToGrid w:val="0"/>
        <w:spacing w:line="276" w:lineRule="auto"/>
        <w:ind w:firstLine="420"/>
        <w:rPr>
          <w:rFonts w:ascii="方正仿宋_GBK" w:hAnsi="宋体" w:eastAsia="方正仿宋_GBK"/>
          <w:color w:val="auto"/>
          <w:sz w:val="24"/>
          <w:szCs w:val="24"/>
        </w:rPr>
      </w:pPr>
    </w:p>
    <w:p w14:paraId="13DB885E">
      <w:pPr>
        <w:spacing w:line="276"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br w:type="page"/>
      </w:r>
      <w:r>
        <w:rPr>
          <w:rFonts w:hint="eastAsia" w:ascii="方正仿宋_GBK" w:hAnsi="宋体" w:eastAsia="方正仿宋_GBK"/>
          <w:color w:val="auto"/>
          <w:sz w:val="24"/>
          <w:szCs w:val="24"/>
        </w:rPr>
        <w:t>（五）特定资格条件证书或证明文件</w:t>
      </w:r>
    </w:p>
    <w:p w14:paraId="15C59CEA">
      <w:pPr>
        <w:snapToGrid w:val="0"/>
        <w:spacing w:line="276" w:lineRule="auto"/>
        <w:ind w:firstLine="480" w:firstLineChars="200"/>
        <w:jc w:val="left"/>
        <w:rPr>
          <w:rFonts w:ascii="方正仿宋_GBK" w:hAnsi="宋体" w:eastAsia="方正仿宋_GBK"/>
          <w:color w:val="auto"/>
          <w:sz w:val="24"/>
          <w:szCs w:val="24"/>
        </w:rPr>
      </w:pPr>
      <w:r>
        <w:rPr>
          <w:rFonts w:hint="eastAsia" w:ascii="方正仿宋_GBK" w:hAnsi="宋体" w:eastAsia="方正仿宋_GBK"/>
          <w:color w:val="auto"/>
          <w:sz w:val="24"/>
          <w:szCs w:val="24"/>
        </w:rPr>
        <w:br w:type="page"/>
      </w:r>
      <w:r>
        <w:rPr>
          <w:rFonts w:hint="eastAsia" w:ascii="方正仿宋_GBK" w:hAnsi="宋体" w:eastAsia="方正仿宋_GBK"/>
          <w:color w:val="auto"/>
          <w:sz w:val="24"/>
          <w:szCs w:val="24"/>
        </w:rPr>
        <w:t>（六）投标保证金和招标文件购买费</w:t>
      </w:r>
    </w:p>
    <w:p w14:paraId="58B8365C">
      <w:pPr>
        <w:snapToGrid w:val="0"/>
        <w:spacing w:line="276" w:lineRule="auto"/>
        <w:ind w:firstLine="480" w:firstLineChars="200"/>
        <w:jc w:val="left"/>
        <w:rPr>
          <w:rFonts w:ascii="方正仿宋_GBK" w:hAnsi="宋体" w:eastAsia="方正仿宋_GBK"/>
          <w:color w:val="auto"/>
          <w:sz w:val="24"/>
          <w:szCs w:val="24"/>
        </w:rPr>
      </w:pPr>
      <w:r>
        <w:rPr>
          <w:rFonts w:hint="eastAsia" w:ascii="方正仿宋_GBK" w:hAnsi="宋体" w:eastAsia="方正仿宋_GBK"/>
          <w:color w:val="auto"/>
          <w:sz w:val="24"/>
          <w:szCs w:val="24"/>
        </w:rPr>
        <w:t>1.招标文件购买费、投标保证金缴纳凭据</w:t>
      </w:r>
    </w:p>
    <w:p w14:paraId="00B03125">
      <w:pPr>
        <w:snapToGrid w:val="0"/>
        <w:spacing w:line="276" w:lineRule="auto"/>
        <w:ind w:firstLine="480" w:firstLineChars="200"/>
        <w:jc w:val="left"/>
        <w:rPr>
          <w:rFonts w:ascii="方正仿宋_GBK" w:hAnsi="宋体" w:eastAsia="方正仿宋_GBK"/>
          <w:color w:val="auto"/>
          <w:sz w:val="24"/>
          <w:szCs w:val="24"/>
        </w:rPr>
      </w:pPr>
      <w:r>
        <w:rPr>
          <w:rFonts w:hint="eastAsia" w:ascii="方正仿宋_GBK" w:hAnsi="宋体" w:eastAsia="方正仿宋_GBK"/>
          <w:color w:val="auto"/>
          <w:sz w:val="24"/>
          <w:szCs w:val="24"/>
        </w:rPr>
        <w:t>2.供应商提供招标文件购买费发票信息表。</w:t>
      </w:r>
    </w:p>
    <w:p w14:paraId="344460D7">
      <w:pPr>
        <w:snapToGrid w:val="0"/>
        <w:spacing w:line="276" w:lineRule="auto"/>
        <w:ind w:firstLine="480" w:firstLineChars="200"/>
        <w:jc w:val="left"/>
        <w:rPr>
          <w:rFonts w:ascii="方正仿宋_GBK" w:hAnsi="宋体" w:eastAsia="方正仿宋_GBK"/>
          <w:color w:val="auto"/>
          <w:sz w:val="24"/>
          <w:szCs w:val="24"/>
        </w:rPr>
      </w:pPr>
    </w:p>
    <w:p w14:paraId="7FE67358">
      <w:pPr>
        <w:snapToGrid w:val="0"/>
        <w:spacing w:line="276" w:lineRule="auto"/>
        <w:ind w:firstLine="480" w:firstLineChars="200"/>
        <w:jc w:val="left"/>
        <w:rPr>
          <w:rFonts w:ascii="方正仿宋_GBK" w:hAnsi="宋体" w:eastAsia="方正仿宋_GBK"/>
          <w:color w:val="auto"/>
          <w:sz w:val="24"/>
          <w:szCs w:val="24"/>
        </w:rPr>
      </w:pPr>
      <w:r>
        <w:rPr>
          <w:rFonts w:hint="eastAsia" w:ascii="方正仿宋_GBK" w:hAnsi="宋体" w:eastAsia="方正仿宋_GBK"/>
          <w:color w:val="auto"/>
          <w:sz w:val="24"/>
          <w:szCs w:val="24"/>
        </w:rPr>
        <w:t>招标文件购买费发票开票信息如下</w:t>
      </w:r>
    </w:p>
    <w:tbl>
      <w:tblPr>
        <w:tblStyle w:val="20"/>
        <w:tblW w:w="9638" w:type="dxa"/>
        <w:jc w:val="center"/>
        <w:tblLayout w:type="autofit"/>
        <w:tblCellMar>
          <w:top w:w="0" w:type="dxa"/>
          <w:left w:w="108" w:type="dxa"/>
          <w:bottom w:w="0" w:type="dxa"/>
          <w:right w:w="108" w:type="dxa"/>
        </w:tblCellMar>
      </w:tblPr>
      <w:tblGrid>
        <w:gridCol w:w="859"/>
        <w:gridCol w:w="1582"/>
        <w:gridCol w:w="1965"/>
        <w:gridCol w:w="1688"/>
        <w:gridCol w:w="1636"/>
        <w:gridCol w:w="1908"/>
      </w:tblGrid>
      <w:tr w14:paraId="6237A023">
        <w:tblPrEx>
          <w:tblCellMar>
            <w:top w:w="0" w:type="dxa"/>
            <w:left w:w="108" w:type="dxa"/>
            <w:bottom w:w="0" w:type="dxa"/>
            <w:right w:w="108" w:type="dxa"/>
          </w:tblCellMar>
        </w:tblPrEx>
        <w:trPr>
          <w:trHeight w:val="634"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22876688">
            <w:pPr>
              <w:tabs>
                <w:tab w:val="left" w:pos="6300"/>
              </w:tabs>
              <w:snapToGrid w:val="0"/>
              <w:spacing w:line="276" w:lineRule="auto"/>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序号</w:t>
            </w:r>
          </w:p>
        </w:tc>
        <w:tc>
          <w:tcPr>
            <w:tcW w:w="1582" w:type="dxa"/>
            <w:tcBorders>
              <w:top w:val="single" w:color="auto" w:sz="4" w:space="0"/>
              <w:left w:val="nil"/>
              <w:bottom w:val="single" w:color="auto" w:sz="4" w:space="0"/>
              <w:right w:val="single" w:color="auto" w:sz="4" w:space="0"/>
            </w:tcBorders>
            <w:vAlign w:val="center"/>
          </w:tcPr>
          <w:p w14:paraId="43144B06">
            <w:pPr>
              <w:tabs>
                <w:tab w:val="left" w:pos="6300"/>
              </w:tabs>
              <w:snapToGrid w:val="0"/>
              <w:spacing w:line="276" w:lineRule="auto"/>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供应商名称</w:t>
            </w:r>
          </w:p>
        </w:tc>
        <w:tc>
          <w:tcPr>
            <w:tcW w:w="1965" w:type="dxa"/>
            <w:tcBorders>
              <w:top w:val="single" w:color="auto" w:sz="4" w:space="0"/>
              <w:left w:val="nil"/>
              <w:bottom w:val="single" w:color="auto" w:sz="4" w:space="0"/>
              <w:right w:val="single" w:color="auto" w:sz="4" w:space="0"/>
            </w:tcBorders>
            <w:vAlign w:val="center"/>
          </w:tcPr>
          <w:p w14:paraId="50217909">
            <w:pPr>
              <w:tabs>
                <w:tab w:val="left" w:pos="6300"/>
              </w:tabs>
              <w:snapToGrid w:val="0"/>
              <w:spacing w:line="276" w:lineRule="auto"/>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基本账户开户行</w:t>
            </w:r>
          </w:p>
        </w:tc>
        <w:tc>
          <w:tcPr>
            <w:tcW w:w="1688" w:type="dxa"/>
            <w:tcBorders>
              <w:top w:val="single" w:color="auto" w:sz="4" w:space="0"/>
              <w:left w:val="nil"/>
              <w:bottom w:val="single" w:color="auto" w:sz="4" w:space="0"/>
              <w:right w:val="single" w:color="auto" w:sz="4" w:space="0"/>
            </w:tcBorders>
            <w:vAlign w:val="center"/>
          </w:tcPr>
          <w:p w14:paraId="543A15F7">
            <w:pPr>
              <w:tabs>
                <w:tab w:val="left" w:pos="6300"/>
              </w:tabs>
              <w:snapToGrid w:val="0"/>
              <w:spacing w:line="276" w:lineRule="auto"/>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基本账户账号（卡号）</w:t>
            </w:r>
          </w:p>
        </w:tc>
        <w:tc>
          <w:tcPr>
            <w:tcW w:w="1636" w:type="dxa"/>
            <w:tcBorders>
              <w:top w:val="single" w:color="auto" w:sz="4" w:space="0"/>
              <w:left w:val="nil"/>
              <w:bottom w:val="single" w:color="auto" w:sz="4" w:space="0"/>
              <w:right w:val="single" w:color="auto" w:sz="4" w:space="0"/>
            </w:tcBorders>
            <w:vAlign w:val="center"/>
          </w:tcPr>
          <w:p w14:paraId="3A9724F3">
            <w:pPr>
              <w:tabs>
                <w:tab w:val="left" w:pos="6300"/>
              </w:tabs>
              <w:snapToGrid w:val="0"/>
              <w:spacing w:line="276" w:lineRule="auto"/>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统一社会信用代码</w:t>
            </w:r>
          </w:p>
        </w:tc>
        <w:tc>
          <w:tcPr>
            <w:tcW w:w="1908" w:type="dxa"/>
            <w:tcBorders>
              <w:top w:val="single" w:color="auto" w:sz="4" w:space="0"/>
              <w:left w:val="single" w:color="auto" w:sz="4" w:space="0"/>
              <w:bottom w:val="single" w:color="auto" w:sz="4" w:space="0"/>
              <w:right w:val="single" w:color="auto" w:sz="4" w:space="0"/>
            </w:tcBorders>
            <w:vAlign w:val="center"/>
          </w:tcPr>
          <w:p w14:paraId="44FB0428">
            <w:pPr>
              <w:tabs>
                <w:tab w:val="left" w:pos="6300"/>
              </w:tabs>
              <w:snapToGrid w:val="0"/>
              <w:spacing w:line="276" w:lineRule="auto"/>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授权委托人联系电话（须为手机号）</w:t>
            </w:r>
          </w:p>
        </w:tc>
      </w:tr>
      <w:tr w14:paraId="10F2F9F3">
        <w:tblPrEx>
          <w:tblCellMar>
            <w:top w:w="0" w:type="dxa"/>
            <w:left w:w="108" w:type="dxa"/>
            <w:bottom w:w="0" w:type="dxa"/>
            <w:right w:w="108" w:type="dxa"/>
          </w:tblCellMar>
        </w:tblPrEx>
        <w:trPr>
          <w:trHeight w:val="600" w:hRule="atLeast"/>
          <w:jc w:val="center"/>
        </w:trPr>
        <w:tc>
          <w:tcPr>
            <w:tcW w:w="859" w:type="dxa"/>
            <w:tcBorders>
              <w:top w:val="nil"/>
              <w:left w:val="single" w:color="auto" w:sz="4" w:space="0"/>
              <w:bottom w:val="single" w:color="auto" w:sz="4" w:space="0"/>
              <w:right w:val="single" w:color="auto" w:sz="4" w:space="0"/>
            </w:tcBorders>
            <w:vAlign w:val="center"/>
          </w:tcPr>
          <w:p w14:paraId="7A88BF8C">
            <w:pPr>
              <w:tabs>
                <w:tab w:val="left" w:pos="6300"/>
              </w:tabs>
              <w:snapToGrid w:val="0"/>
              <w:spacing w:line="276" w:lineRule="auto"/>
              <w:jc w:val="center"/>
              <w:rPr>
                <w:rFonts w:ascii="方正仿宋_GBK" w:hAnsi="宋体" w:eastAsia="方正仿宋_GBK"/>
                <w:color w:val="auto"/>
                <w:sz w:val="24"/>
                <w:szCs w:val="24"/>
              </w:rPr>
            </w:pPr>
          </w:p>
        </w:tc>
        <w:tc>
          <w:tcPr>
            <w:tcW w:w="1582" w:type="dxa"/>
            <w:tcBorders>
              <w:top w:val="nil"/>
              <w:left w:val="nil"/>
              <w:bottom w:val="single" w:color="auto" w:sz="4" w:space="0"/>
              <w:right w:val="single" w:color="auto" w:sz="4" w:space="0"/>
            </w:tcBorders>
            <w:vAlign w:val="center"/>
          </w:tcPr>
          <w:p w14:paraId="3245740D">
            <w:pPr>
              <w:tabs>
                <w:tab w:val="left" w:pos="6300"/>
              </w:tabs>
              <w:snapToGrid w:val="0"/>
              <w:spacing w:line="276" w:lineRule="auto"/>
              <w:ind w:firstLine="570"/>
              <w:jc w:val="center"/>
              <w:rPr>
                <w:rFonts w:ascii="方正仿宋_GBK" w:hAnsi="宋体" w:eastAsia="方正仿宋_GBK"/>
                <w:color w:val="auto"/>
                <w:sz w:val="24"/>
                <w:szCs w:val="24"/>
              </w:rPr>
            </w:pPr>
          </w:p>
        </w:tc>
        <w:tc>
          <w:tcPr>
            <w:tcW w:w="1965" w:type="dxa"/>
            <w:tcBorders>
              <w:top w:val="nil"/>
              <w:left w:val="nil"/>
              <w:bottom w:val="single" w:color="auto" w:sz="4" w:space="0"/>
              <w:right w:val="single" w:color="auto" w:sz="4" w:space="0"/>
            </w:tcBorders>
            <w:vAlign w:val="center"/>
          </w:tcPr>
          <w:p w14:paraId="14D91DC7">
            <w:pPr>
              <w:tabs>
                <w:tab w:val="left" w:pos="6300"/>
              </w:tabs>
              <w:snapToGrid w:val="0"/>
              <w:spacing w:line="276" w:lineRule="auto"/>
              <w:ind w:firstLine="570"/>
              <w:jc w:val="center"/>
              <w:rPr>
                <w:rFonts w:ascii="方正仿宋_GBK" w:hAnsi="宋体" w:eastAsia="方正仿宋_GBK"/>
                <w:color w:val="auto"/>
                <w:sz w:val="24"/>
                <w:szCs w:val="24"/>
              </w:rPr>
            </w:pPr>
          </w:p>
        </w:tc>
        <w:tc>
          <w:tcPr>
            <w:tcW w:w="1688" w:type="dxa"/>
            <w:tcBorders>
              <w:top w:val="nil"/>
              <w:left w:val="nil"/>
              <w:bottom w:val="single" w:color="auto" w:sz="4" w:space="0"/>
              <w:right w:val="single" w:color="auto" w:sz="4" w:space="0"/>
            </w:tcBorders>
            <w:vAlign w:val="center"/>
          </w:tcPr>
          <w:p w14:paraId="3A0921C0">
            <w:pPr>
              <w:tabs>
                <w:tab w:val="left" w:pos="6300"/>
              </w:tabs>
              <w:snapToGrid w:val="0"/>
              <w:spacing w:line="276" w:lineRule="auto"/>
              <w:ind w:firstLine="570"/>
              <w:jc w:val="center"/>
              <w:rPr>
                <w:rFonts w:ascii="方正仿宋_GBK" w:hAnsi="宋体" w:eastAsia="方正仿宋_GBK"/>
                <w:color w:val="auto"/>
                <w:sz w:val="24"/>
                <w:szCs w:val="24"/>
              </w:rPr>
            </w:pPr>
          </w:p>
        </w:tc>
        <w:tc>
          <w:tcPr>
            <w:tcW w:w="1636" w:type="dxa"/>
            <w:tcBorders>
              <w:top w:val="single" w:color="auto" w:sz="4" w:space="0"/>
              <w:left w:val="nil"/>
              <w:bottom w:val="single" w:color="auto" w:sz="4" w:space="0"/>
              <w:right w:val="single" w:color="auto" w:sz="4" w:space="0"/>
            </w:tcBorders>
            <w:vAlign w:val="center"/>
          </w:tcPr>
          <w:p w14:paraId="6437D164">
            <w:pPr>
              <w:tabs>
                <w:tab w:val="left" w:pos="6300"/>
              </w:tabs>
              <w:snapToGrid w:val="0"/>
              <w:spacing w:line="276" w:lineRule="auto"/>
              <w:ind w:firstLine="570"/>
              <w:jc w:val="center"/>
              <w:rPr>
                <w:rFonts w:ascii="方正仿宋_GBK" w:hAnsi="宋体" w:eastAsia="方正仿宋_GBK"/>
                <w:color w:val="auto"/>
                <w:sz w:val="24"/>
                <w:szCs w:val="24"/>
              </w:rPr>
            </w:pPr>
          </w:p>
        </w:tc>
        <w:tc>
          <w:tcPr>
            <w:tcW w:w="1908" w:type="dxa"/>
            <w:tcBorders>
              <w:top w:val="nil"/>
              <w:left w:val="single" w:color="auto" w:sz="4" w:space="0"/>
              <w:bottom w:val="single" w:color="auto" w:sz="4" w:space="0"/>
              <w:right w:val="single" w:color="auto" w:sz="4" w:space="0"/>
            </w:tcBorders>
            <w:vAlign w:val="center"/>
          </w:tcPr>
          <w:p w14:paraId="6D4CBD54">
            <w:pPr>
              <w:tabs>
                <w:tab w:val="left" w:pos="6300"/>
              </w:tabs>
              <w:snapToGrid w:val="0"/>
              <w:spacing w:line="276" w:lineRule="auto"/>
              <w:ind w:firstLine="570"/>
              <w:jc w:val="center"/>
              <w:rPr>
                <w:rFonts w:ascii="方正仿宋_GBK" w:hAnsi="宋体" w:eastAsia="方正仿宋_GBK"/>
                <w:color w:val="auto"/>
                <w:sz w:val="24"/>
                <w:szCs w:val="24"/>
              </w:rPr>
            </w:pPr>
          </w:p>
        </w:tc>
      </w:tr>
    </w:tbl>
    <w:p w14:paraId="5D446E71">
      <w:pPr>
        <w:tabs>
          <w:tab w:val="left" w:pos="6300"/>
        </w:tabs>
        <w:snapToGrid w:val="0"/>
        <w:spacing w:line="276" w:lineRule="auto"/>
        <w:ind w:firstLine="570"/>
        <w:jc w:val="left"/>
        <w:rPr>
          <w:rFonts w:ascii="方正仿宋_GBK" w:eastAsia="方正仿宋_GBK"/>
          <w:color w:val="auto"/>
          <w:sz w:val="24"/>
          <w:szCs w:val="24"/>
        </w:rPr>
      </w:pPr>
    </w:p>
    <w:p w14:paraId="0EECCEE9">
      <w:pPr>
        <w:tabs>
          <w:tab w:val="left" w:pos="6300"/>
        </w:tabs>
        <w:snapToGrid w:val="0"/>
        <w:spacing w:line="276" w:lineRule="auto"/>
        <w:ind w:firstLine="570"/>
        <w:jc w:val="left"/>
        <w:rPr>
          <w:rFonts w:ascii="方正仿宋_GBK" w:eastAsia="方正仿宋_GBK"/>
          <w:color w:val="auto"/>
          <w:sz w:val="24"/>
          <w:szCs w:val="24"/>
        </w:rPr>
      </w:pPr>
    </w:p>
    <w:p w14:paraId="58EC616F">
      <w:pPr>
        <w:tabs>
          <w:tab w:val="left" w:pos="6300"/>
        </w:tabs>
        <w:snapToGrid w:val="0"/>
        <w:spacing w:line="276" w:lineRule="auto"/>
        <w:ind w:firstLine="570"/>
        <w:jc w:val="left"/>
        <w:rPr>
          <w:rFonts w:ascii="方正仿宋_GBK" w:eastAsia="方正仿宋_GBK"/>
          <w:color w:val="auto"/>
          <w:sz w:val="24"/>
          <w:szCs w:val="24"/>
        </w:rPr>
      </w:pPr>
    </w:p>
    <w:p w14:paraId="685883F1">
      <w:pPr>
        <w:tabs>
          <w:tab w:val="left" w:pos="6300"/>
        </w:tabs>
        <w:snapToGrid w:val="0"/>
        <w:spacing w:line="276" w:lineRule="auto"/>
        <w:ind w:firstLine="4562" w:firstLineChars="1901"/>
        <w:jc w:val="left"/>
        <w:rPr>
          <w:rFonts w:ascii="方正仿宋_GBK" w:hAnsi="宋体" w:eastAsia="方正仿宋_GBK"/>
          <w:color w:val="auto"/>
          <w:sz w:val="24"/>
          <w:szCs w:val="24"/>
        </w:rPr>
      </w:pPr>
      <w:r>
        <w:rPr>
          <w:rFonts w:hint="eastAsia" w:ascii="方正仿宋_GBK" w:hAnsi="宋体" w:eastAsia="方正仿宋_GBK"/>
          <w:color w:val="auto"/>
          <w:sz w:val="24"/>
          <w:szCs w:val="24"/>
        </w:rPr>
        <w:t>供应商名称（盖章）：</w:t>
      </w:r>
    </w:p>
    <w:p w14:paraId="77E2408C">
      <w:pPr>
        <w:tabs>
          <w:tab w:val="left" w:pos="6300"/>
        </w:tabs>
        <w:snapToGrid w:val="0"/>
        <w:spacing w:line="276" w:lineRule="auto"/>
        <w:ind w:firstLine="570"/>
        <w:jc w:val="left"/>
        <w:rPr>
          <w:rFonts w:ascii="方正仿宋_GBK" w:eastAsia="方正仿宋_GBK"/>
          <w:color w:val="auto"/>
          <w:sz w:val="24"/>
          <w:szCs w:val="24"/>
        </w:rPr>
      </w:pPr>
    </w:p>
    <w:p w14:paraId="7A3B8409">
      <w:pPr>
        <w:tabs>
          <w:tab w:val="left" w:pos="6300"/>
        </w:tabs>
        <w:snapToGrid w:val="0"/>
        <w:spacing w:line="276" w:lineRule="auto"/>
        <w:ind w:firstLine="570"/>
        <w:jc w:val="left"/>
        <w:rPr>
          <w:rFonts w:ascii="方正仿宋_GBK" w:eastAsia="方正仿宋_GBK"/>
          <w:color w:val="auto"/>
          <w:sz w:val="24"/>
          <w:szCs w:val="24"/>
        </w:rPr>
      </w:pPr>
    </w:p>
    <w:p w14:paraId="301FA81B">
      <w:pPr>
        <w:tabs>
          <w:tab w:val="left" w:pos="6300"/>
        </w:tabs>
        <w:snapToGrid w:val="0"/>
        <w:spacing w:line="276" w:lineRule="auto"/>
        <w:ind w:firstLine="570"/>
        <w:jc w:val="left"/>
        <w:rPr>
          <w:rFonts w:ascii="方正仿宋_GBK" w:eastAsia="方正仿宋_GBK"/>
          <w:color w:val="auto"/>
          <w:sz w:val="24"/>
          <w:szCs w:val="24"/>
        </w:rPr>
      </w:pPr>
    </w:p>
    <w:p w14:paraId="37EDF874">
      <w:pPr>
        <w:tabs>
          <w:tab w:val="left" w:pos="6300"/>
        </w:tabs>
        <w:snapToGrid w:val="0"/>
        <w:spacing w:line="276" w:lineRule="auto"/>
        <w:ind w:firstLine="570"/>
        <w:jc w:val="left"/>
        <w:rPr>
          <w:rFonts w:ascii="方正仿宋_GBK" w:eastAsia="方正仿宋_GBK"/>
          <w:color w:val="auto"/>
          <w:sz w:val="24"/>
          <w:szCs w:val="24"/>
        </w:rPr>
      </w:pPr>
    </w:p>
    <w:p w14:paraId="2E1ECC74">
      <w:pPr>
        <w:tabs>
          <w:tab w:val="left" w:pos="6300"/>
        </w:tabs>
        <w:snapToGrid w:val="0"/>
        <w:spacing w:line="276" w:lineRule="auto"/>
        <w:ind w:firstLine="570"/>
        <w:jc w:val="left"/>
        <w:rPr>
          <w:rFonts w:ascii="方正仿宋_GBK" w:eastAsia="方正仿宋_GBK"/>
          <w:color w:val="auto"/>
          <w:sz w:val="24"/>
          <w:szCs w:val="24"/>
        </w:rPr>
      </w:pPr>
    </w:p>
    <w:p w14:paraId="0D774E79">
      <w:pPr>
        <w:tabs>
          <w:tab w:val="left" w:pos="6300"/>
        </w:tabs>
        <w:snapToGrid w:val="0"/>
        <w:spacing w:line="276" w:lineRule="auto"/>
        <w:ind w:firstLine="570"/>
        <w:jc w:val="left"/>
        <w:rPr>
          <w:rFonts w:ascii="方正仿宋_GBK" w:eastAsia="方正仿宋_GBK"/>
          <w:color w:val="auto"/>
          <w:sz w:val="24"/>
          <w:szCs w:val="24"/>
        </w:rPr>
      </w:pPr>
    </w:p>
    <w:p w14:paraId="27B5F602">
      <w:pPr>
        <w:snapToGrid w:val="0"/>
        <w:spacing w:line="276" w:lineRule="auto"/>
        <w:ind w:firstLine="480" w:firstLineChars="200"/>
        <w:rPr>
          <w:rFonts w:ascii="方正仿宋_GBK" w:eastAsia="方正仿宋_GBK"/>
          <w:color w:val="auto"/>
          <w:sz w:val="24"/>
          <w:szCs w:val="24"/>
        </w:rPr>
      </w:pPr>
    </w:p>
    <w:p w14:paraId="79978403">
      <w:pPr>
        <w:tabs>
          <w:tab w:val="left" w:pos="6300"/>
        </w:tabs>
        <w:snapToGrid w:val="0"/>
        <w:spacing w:line="276" w:lineRule="auto"/>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（招标文件结束）</w:t>
      </w:r>
    </w:p>
    <w:p w14:paraId="187B86C8">
      <w:pPr>
        <w:rPr>
          <w:color w:val="auto"/>
        </w:rPr>
      </w:pPr>
    </w:p>
    <w:p w14:paraId="066E9530">
      <w:pPr>
        <w:rPr>
          <w:color w:val="auto"/>
        </w:rPr>
      </w:pPr>
    </w:p>
    <w:sectPr>
      <w:footerReference r:id="rId10" w:type="default"/>
      <w:pgSz w:w="11907" w:h="16840"/>
      <w:pgMar w:top="1134" w:right="1191" w:bottom="1134" w:left="1304" w:header="964"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新宋体">
    <w:panose1 w:val="02010609030101010101"/>
    <w:charset w:val="86"/>
    <w:family w:val="modern"/>
    <w:pitch w:val="default"/>
    <w:sig w:usb0="00000283" w:usb1="288F0000" w:usb2="00000006" w:usb3="00000000" w:csb0="00040001"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82F94">
    <w:pPr>
      <w:pStyle w:val="14"/>
      <w:jc w:val="center"/>
      <w:rPr>
        <w:sz w:val="24"/>
      </w:rPr>
    </w:pPr>
    <w:r>
      <w:rPr>
        <w:sz w:val="24"/>
      </w:rPr>
      <w:fldChar w:fldCharType="begin"/>
    </w:r>
    <w:r>
      <w:rPr>
        <w:rStyle w:val="23"/>
        <w:sz w:val="24"/>
      </w:rPr>
      <w:instrText xml:space="preserve"> PAGE </w:instrText>
    </w:r>
    <w:r>
      <w:rPr>
        <w:sz w:val="24"/>
      </w:rPr>
      <w:fldChar w:fldCharType="separate"/>
    </w:r>
    <w:r>
      <w:rPr>
        <w:rStyle w:val="23"/>
        <w:sz w:val="24"/>
      </w:rPr>
      <w:t>2</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D27CB">
    <w:pPr>
      <w:pStyle w:val="14"/>
      <w:framePr w:wrap="around" w:vAnchor="text" w:hAnchor="margin" w:xAlign="center" w:y="1"/>
      <w:rPr>
        <w:rStyle w:val="23"/>
      </w:rPr>
    </w:pPr>
    <w:r>
      <w:fldChar w:fldCharType="begin"/>
    </w:r>
    <w:r>
      <w:rPr>
        <w:rStyle w:val="23"/>
      </w:rPr>
      <w:instrText xml:space="preserve">PAGE  </w:instrText>
    </w:r>
    <w:r>
      <w:fldChar w:fldCharType="end"/>
    </w:r>
  </w:p>
  <w:p w14:paraId="6772B809">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C65A6">
    <w:pPr>
      <w:pStyle w:val="14"/>
      <w:rPr>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A7785">
    <w:pPr>
      <w:pStyle w:val="14"/>
      <w:ind w:right="360"/>
      <w:jc w:val="center"/>
    </w:pPr>
    <w:r>
      <w:pict>
        <v:shape id="文本框 1" o:spid="_x0000_s4098"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v:path/>
          <v:fill on="f" focussize="0,0"/>
          <v:stroke on="f" joinstyle="miter"/>
          <v:imagedata o:title=""/>
          <o:lock v:ext="edit"/>
          <v:textbox inset="0mm,0mm,0mm,0mm" style="mso-fit-shape-to-text:t;">
            <w:txbxContent>
              <w:p w14:paraId="425D99B8">
                <w:pPr>
                  <w:pStyle w:val="14"/>
                  <w:ind w:right="360"/>
                  <w:jc w:val="center"/>
                </w:pPr>
                <w:r>
                  <w:fldChar w:fldCharType="begin"/>
                </w:r>
                <w:r>
                  <w:rPr>
                    <w:rStyle w:val="23"/>
                  </w:rPr>
                  <w:instrText xml:space="preserve"> PAGE </w:instrText>
                </w:r>
                <w:r>
                  <w:fldChar w:fldCharType="separate"/>
                </w:r>
                <w:r>
                  <w:rPr>
                    <w:rStyle w:val="23"/>
                  </w:rPr>
                  <w:t>- 16 -</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F3149">
    <w:pPr>
      <w:pStyle w:val="14"/>
      <w:framePr w:wrap="around" w:vAnchor="text" w:hAnchor="margin" w:xAlign="right" w:y="1"/>
      <w:rPr>
        <w:rStyle w:val="23"/>
      </w:rPr>
    </w:pPr>
    <w:r>
      <w:fldChar w:fldCharType="begin"/>
    </w:r>
    <w:r>
      <w:rPr>
        <w:rStyle w:val="23"/>
      </w:rPr>
      <w:instrText xml:space="preserve">PAGE  </w:instrText>
    </w:r>
    <w:r>
      <w:fldChar w:fldCharType="end"/>
    </w:r>
  </w:p>
  <w:p w14:paraId="4660AED3">
    <w:pPr>
      <w:pStyle w:val="1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8C747">
    <w:pPr>
      <w:pStyle w:val="14"/>
      <w:jc w:val="center"/>
      <w:rPr>
        <w:sz w:val="24"/>
      </w:rPr>
    </w:pPr>
    <w:r>
      <w:rPr>
        <w:sz w:val="24"/>
      </w:rPr>
      <w:pict>
        <v:shape id="文本框 2"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&#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IDnuoOuAQAARgMAAA4AAAAAAAAAAAAAAAAALgIAAGRycy9lMm9Eb2MueG1sUEsBAi0AFAAG&#10;AAgAAAAhAAxK8O7WAAAABQEAAA8AAAAAAAAAAAAAAAAACAQAAGRycy9kb3ducmV2LnhtbFBLBQYA&#10;AAAABAAEAPMAAAALBQAAAAA=&#10;">
          <v:path/>
          <v:fill on="f" focussize="0,0"/>
          <v:stroke on="f" joinstyle="miter"/>
          <v:imagedata o:title=""/>
          <o:lock v:ext="edit"/>
          <v:textbox inset="0mm,0mm,0mm,0mm" style="mso-fit-shape-to-text:t;">
            <w:txbxContent>
              <w:p w14:paraId="08D82B72">
                <w:pPr>
                  <w:pStyle w:val="14"/>
                  <w:jc w:val="center"/>
                </w:pPr>
                <w:r>
                  <w:rPr>
                    <w:sz w:val="24"/>
                  </w:rPr>
                  <w:fldChar w:fldCharType="begin"/>
                </w:r>
                <w:r>
                  <w:rPr>
                    <w:rStyle w:val="23"/>
                    <w:sz w:val="24"/>
                  </w:rPr>
                  <w:instrText xml:space="preserve"> PAGE </w:instrText>
                </w:r>
                <w:r>
                  <w:rPr>
                    <w:sz w:val="24"/>
                  </w:rPr>
                  <w:fldChar w:fldCharType="separate"/>
                </w:r>
                <w:r>
                  <w:rPr>
                    <w:rStyle w:val="23"/>
                    <w:sz w:val="24"/>
                  </w:rPr>
                  <w:t>- 76 -</w:t>
                </w:r>
                <w:r>
                  <w:rPr>
                    <w:sz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2629B">
    <w:pPr>
      <w:pStyle w:val="16"/>
      <w:pBdr>
        <w:bottom w:val="single" w:color="auto" w:sz="4" w:space="1"/>
      </w:pBdr>
      <w:ind w:firstLine="105" w:firstLineChars="50"/>
      <w:jc w:val="both"/>
      <w:rPr>
        <w:rFonts w:ascii="方正仿宋_GBK" w:eastAsia="方正仿宋_GBK"/>
        <w:sz w:val="21"/>
        <w:szCs w:val="24"/>
      </w:rPr>
    </w:pPr>
    <w:r>
      <w:rPr>
        <w:rFonts w:hint="eastAsia" w:ascii="方正仿宋_GBK" w:eastAsia="方正仿宋_GBK"/>
        <w:sz w:val="21"/>
        <w:szCs w:val="24"/>
      </w:rPr>
      <w:t>重庆工商大学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5F843">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70B13C"/>
    <w:multiLevelType w:val="singleLevel"/>
    <w:tmpl w:val="C770B13C"/>
    <w:lvl w:ilvl="0" w:tentative="0">
      <w:start w:val="1"/>
      <w:numFmt w:val="chineseCounting"/>
      <w:suff w:val="nothing"/>
      <w:lvlText w:val="%1、"/>
      <w:lvlJc w:val="left"/>
      <w:rPr>
        <w:rFonts w:hint="eastAsia"/>
      </w:rPr>
    </w:lvl>
  </w:abstractNum>
  <w:abstractNum w:abstractNumId="1">
    <w:nsid w:val="FD972EED"/>
    <w:multiLevelType w:val="singleLevel"/>
    <w:tmpl w:val="FD972EED"/>
    <w:lvl w:ilvl="0" w:tentative="0">
      <w:start w:val="4"/>
      <w:numFmt w:val="chineseCounting"/>
      <w:suff w:val="nothing"/>
      <w:lvlText w:val="%1、"/>
      <w:lvlJc w:val="left"/>
      <w:rPr>
        <w:rFonts w:hint="eastAsia"/>
      </w:rPr>
    </w:lvl>
  </w:abstractNum>
  <w:abstractNum w:abstractNumId="2">
    <w:nsid w:val="6F71434E"/>
    <w:multiLevelType w:val="singleLevel"/>
    <w:tmpl w:val="6F71434E"/>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ZlMjVjZWI4ZTQ5ZDVmZjZkYTU0NGYxYzhiMmJmMTEifQ=="/>
    <w:docVar w:name="KSO_WPS_MARK_KEY" w:val="d0497bb7-77e8-444c-8ee3-f5f7f67e0be5"/>
  </w:docVars>
  <w:rsids>
    <w:rsidRoot w:val="51DB37DF"/>
    <w:rsid w:val="00034C27"/>
    <w:rsid w:val="00060129"/>
    <w:rsid w:val="00074853"/>
    <w:rsid w:val="0009778D"/>
    <w:rsid w:val="000C72C9"/>
    <w:rsid w:val="000D00B2"/>
    <w:rsid w:val="00150671"/>
    <w:rsid w:val="00173510"/>
    <w:rsid w:val="001757DD"/>
    <w:rsid w:val="001B6BA0"/>
    <w:rsid w:val="001C2507"/>
    <w:rsid w:val="00221F98"/>
    <w:rsid w:val="002415F1"/>
    <w:rsid w:val="00247852"/>
    <w:rsid w:val="0027055D"/>
    <w:rsid w:val="002906DB"/>
    <w:rsid w:val="002A7F86"/>
    <w:rsid w:val="002B4E59"/>
    <w:rsid w:val="002D433B"/>
    <w:rsid w:val="002E5ABB"/>
    <w:rsid w:val="002F04AD"/>
    <w:rsid w:val="002F23F2"/>
    <w:rsid w:val="002F6BF5"/>
    <w:rsid w:val="003015D7"/>
    <w:rsid w:val="00316E14"/>
    <w:rsid w:val="00333C9C"/>
    <w:rsid w:val="00347708"/>
    <w:rsid w:val="003D1002"/>
    <w:rsid w:val="003F0218"/>
    <w:rsid w:val="003F2AE8"/>
    <w:rsid w:val="00495BC7"/>
    <w:rsid w:val="004A3E21"/>
    <w:rsid w:val="004C47D7"/>
    <w:rsid w:val="004C5665"/>
    <w:rsid w:val="0051695F"/>
    <w:rsid w:val="00552C82"/>
    <w:rsid w:val="00563AAE"/>
    <w:rsid w:val="0058012D"/>
    <w:rsid w:val="00586899"/>
    <w:rsid w:val="00587A4C"/>
    <w:rsid w:val="005D42C0"/>
    <w:rsid w:val="00605BB5"/>
    <w:rsid w:val="00611C8D"/>
    <w:rsid w:val="00622CEC"/>
    <w:rsid w:val="006244BD"/>
    <w:rsid w:val="0064753D"/>
    <w:rsid w:val="00653ADE"/>
    <w:rsid w:val="006800DA"/>
    <w:rsid w:val="006A2D93"/>
    <w:rsid w:val="006E186A"/>
    <w:rsid w:val="00751E31"/>
    <w:rsid w:val="0078332C"/>
    <w:rsid w:val="007A582B"/>
    <w:rsid w:val="007D5955"/>
    <w:rsid w:val="008433B6"/>
    <w:rsid w:val="008445EA"/>
    <w:rsid w:val="0086776F"/>
    <w:rsid w:val="008C0057"/>
    <w:rsid w:val="008E6F07"/>
    <w:rsid w:val="00917E28"/>
    <w:rsid w:val="00922402"/>
    <w:rsid w:val="009954B3"/>
    <w:rsid w:val="009B61BA"/>
    <w:rsid w:val="009C4D5D"/>
    <w:rsid w:val="009F6D57"/>
    <w:rsid w:val="00A21177"/>
    <w:rsid w:val="00A7797A"/>
    <w:rsid w:val="00A8155B"/>
    <w:rsid w:val="00AB5FDE"/>
    <w:rsid w:val="00B20B4A"/>
    <w:rsid w:val="00B24BA0"/>
    <w:rsid w:val="00B26635"/>
    <w:rsid w:val="00B8607C"/>
    <w:rsid w:val="00BC4D12"/>
    <w:rsid w:val="00BE68EA"/>
    <w:rsid w:val="00BF2744"/>
    <w:rsid w:val="00C349BF"/>
    <w:rsid w:val="00C54C5D"/>
    <w:rsid w:val="00C57264"/>
    <w:rsid w:val="00CB540A"/>
    <w:rsid w:val="00CB5B09"/>
    <w:rsid w:val="00CE0F63"/>
    <w:rsid w:val="00CF7DB5"/>
    <w:rsid w:val="00D3599C"/>
    <w:rsid w:val="00D41E22"/>
    <w:rsid w:val="00D5158C"/>
    <w:rsid w:val="00D8373B"/>
    <w:rsid w:val="00DA3011"/>
    <w:rsid w:val="00E02FBA"/>
    <w:rsid w:val="00E34D8E"/>
    <w:rsid w:val="00E46155"/>
    <w:rsid w:val="00E66060"/>
    <w:rsid w:val="00E709D8"/>
    <w:rsid w:val="00E7662A"/>
    <w:rsid w:val="00E93AA6"/>
    <w:rsid w:val="00EA6941"/>
    <w:rsid w:val="00ED586B"/>
    <w:rsid w:val="00ED6EE9"/>
    <w:rsid w:val="00EE2EBB"/>
    <w:rsid w:val="00EF1348"/>
    <w:rsid w:val="00EF2F8B"/>
    <w:rsid w:val="00EF4DC5"/>
    <w:rsid w:val="00F227DF"/>
    <w:rsid w:val="00F57614"/>
    <w:rsid w:val="00F9452C"/>
    <w:rsid w:val="00FD60C5"/>
    <w:rsid w:val="00FF682A"/>
    <w:rsid w:val="01646020"/>
    <w:rsid w:val="02290C40"/>
    <w:rsid w:val="02450C23"/>
    <w:rsid w:val="029215B0"/>
    <w:rsid w:val="02D539F7"/>
    <w:rsid w:val="046C69FD"/>
    <w:rsid w:val="058A79B2"/>
    <w:rsid w:val="05A83E55"/>
    <w:rsid w:val="0619721E"/>
    <w:rsid w:val="06223516"/>
    <w:rsid w:val="0870489F"/>
    <w:rsid w:val="088A1DA4"/>
    <w:rsid w:val="08D86F1C"/>
    <w:rsid w:val="096F1009"/>
    <w:rsid w:val="09E4495D"/>
    <w:rsid w:val="0A4474A7"/>
    <w:rsid w:val="0AFF4C34"/>
    <w:rsid w:val="0B657E64"/>
    <w:rsid w:val="0B6947A3"/>
    <w:rsid w:val="0B903AE8"/>
    <w:rsid w:val="0C926544"/>
    <w:rsid w:val="0D1C2D13"/>
    <w:rsid w:val="0E5A2330"/>
    <w:rsid w:val="0E5E060E"/>
    <w:rsid w:val="0ECD1AAF"/>
    <w:rsid w:val="0F2C10BC"/>
    <w:rsid w:val="0FBF08D2"/>
    <w:rsid w:val="0FE96A31"/>
    <w:rsid w:val="10DC36FF"/>
    <w:rsid w:val="11C24C0D"/>
    <w:rsid w:val="11C92EC1"/>
    <w:rsid w:val="11EA7A3A"/>
    <w:rsid w:val="12931D0F"/>
    <w:rsid w:val="12B27FA6"/>
    <w:rsid w:val="143B01BD"/>
    <w:rsid w:val="15002699"/>
    <w:rsid w:val="15BE5F2B"/>
    <w:rsid w:val="15D63F6D"/>
    <w:rsid w:val="16E5101D"/>
    <w:rsid w:val="17881B5A"/>
    <w:rsid w:val="17FB560C"/>
    <w:rsid w:val="19CA0B03"/>
    <w:rsid w:val="1AAF34B1"/>
    <w:rsid w:val="1AB53919"/>
    <w:rsid w:val="1AE725C8"/>
    <w:rsid w:val="1B387104"/>
    <w:rsid w:val="1B400365"/>
    <w:rsid w:val="1BE27765"/>
    <w:rsid w:val="1C041F57"/>
    <w:rsid w:val="1C3070F9"/>
    <w:rsid w:val="1CDB531C"/>
    <w:rsid w:val="1D597D67"/>
    <w:rsid w:val="1DCA1877"/>
    <w:rsid w:val="1E310ADB"/>
    <w:rsid w:val="1EB62D85"/>
    <w:rsid w:val="1EB92341"/>
    <w:rsid w:val="1F180379"/>
    <w:rsid w:val="201056CD"/>
    <w:rsid w:val="202A320F"/>
    <w:rsid w:val="20DE4B10"/>
    <w:rsid w:val="21A55D49"/>
    <w:rsid w:val="221E77C8"/>
    <w:rsid w:val="22D05153"/>
    <w:rsid w:val="23747406"/>
    <w:rsid w:val="2453265A"/>
    <w:rsid w:val="25BC39C9"/>
    <w:rsid w:val="26AA1AA0"/>
    <w:rsid w:val="27FD07BD"/>
    <w:rsid w:val="2836022E"/>
    <w:rsid w:val="283A6F01"/>
    <w:rsid w:val="290D27BA"/>
    <w:rsid w:val="29481B78"/>
    <w:rsid w:val="29B068A8"/>
    <w:rsid w:val="29D15596"/>
    <w:rsid w:val="29D611A0"/>
    <w:rsid w:val="2BC14790"/>
    <w:rsid w:val="2C5961AB"/>
    <w:rsid w:val="2C862244"/>
    <w:rsid w:val="2CAA6B3E"/>
    <w:rsid w:val="2D5A4F80"/>
    <w:rsid w:val="2F065CE2"/>
    <w:rsid w:val="2F4D1B62"/>
    <w:rsid w:val="2FC05B3E"/>
    <w:rsid w:val="31DB51BC"/>
    <w:rsid w:val="32144BB9"/>
    <w:rsid w:val="32912953"/>
    <w:rsid w:val="32B55A55"/>
    <w:rsid w:val="331973A0"/>
    <w:rsid w:val="33E95D5F"/>
    <w:rsid w:val="35C3770C"/>
    <w:rsid w:val="35F96AF9"/>
    <w:rsid w:val="36106BD3"/>
    <w:rsid w:val="363F21EA"/>
    <w:rsid w:val="38F97974"/>
    <w:rsid w:val="39AC17A8"/>
    <w:rsid w:val="39AF520E"/>
    <w:rsid w:val="39D1578E"/>
    <w:rsid w:val="39FB3881"/>
    <w:rsid w:val="3A543974"/>
    <w:rsid w:val="3A7846E9"/>
    <w:rsid w:val="3A9E14C4"/>
    <w:rsid w:val="3B10787A"/>
    <w:rsid w:val="3DD658FA"/>
    <w:rsid w:val="3DEB20DE"/>
    <w:rsid w:val="3F1955BD"/>
    <w:rsid w:val="3F54373B"/>
    <w:rsid w:val="3F5C25F4"/>
    <w:rsid w:val="3FC45E1F"/>
    <w:rsid w:val="405D01CC"/>
    <w:rsid w:val="425C76EA"/>
    <w:rsid w:val="42E410D8"/>
    <w:rsid w:val="43A96218"/>
    <w:rsid w:val="43AE386B"/>
    <w:rsid w:val="43E80DDE"/>
    <w:rsid w:val="454B6FE6"/>
    <w:rsid w:val="45DC10F2"/>
    <w:rsid w:val="46853FF0"/>
    <w:rsid w:val="46B04A59"/>
    <w:rsid w:val="46BC30F1"/>
    <w:rsid w:val="4751118B"/>
    <w:rsid w:val="47655843"/>
    <w:rsid w:val="482A7BEC"/>
    <w:rsid w:val="497B454E"/>
    <w:rsid w:val="4A0B01F8"/>
    <w:rsid w:val="4AC8729C"/>
    <w:rsid w:val="4B57391E"/>
    <w:rsid w:val="4C8C0B39"/>
    <w:rsid w:val="4DDD0570"/>
    <w:rsid w:val="4E8714DB"/>
    <w:rsid w:val="4E893369"/>
    <w:rsid w:val="51A57F0C"/>
    <w:rsid w:val="51DB37DF"/>
    <w:rsid w:val="53073C53"/>
    <w:rsid w:val="533B29F6"/>
    <w:rsid w:val="545729B8"/>
    <w:rsid w:val="552B02EF"/>
    <w:rsid w:val="56D22939"/>
    <w:rsid w:val="57465906"/>
    <w:rsid w:val="574F34A8"/>
    <w:rsid w:val="57FC08F2"/>
    <w:rsid w:val="587E414F"/>
    <w:rsid w:val="59594ADC"/>
    <w:rsid w:val="59B85CA7"/>
    <w:rsid w:val="59D764C5"/>
    <w:rsid w:val="5A533C21"/>
    <w:rsid w:val="5B651136"/>
    <w:rsid w:val="5C1F025F"/>
    <w:rsid w:val="5CFB7377"/>
    <w:rsid w:val="5D6F0D72"/>
    <w:rsid w:val="5FF86B2F"/>
    <w:rsid w:val="611265B0"/>
    <w:rsid w:val="61CE251D"/>
    <w:rsid w:val="61E239A6"/>
    <w:rsid w:val="6252656D"/>
    <w:rsid w:val="631E2CE0"/>
    <w:rsid w:val="64FD49D9"/>
    <w:rsid w:val="66350262"/>
    <w:rsid w:val="68012F0F"/>
    <w:rsid w:val="68153AD4"/>
    <w:rsid w:val="68E6027C"/>
    <w:rsid w:val="69872B49"/>
    <w:rsid w:val="6A481A3A"/>
    <w:rsid w:val="6A482BC4"/>
    <w:rsid w:val="6AEE34C2"/>
    <w:rsid w:val="6B20545A"/>
    <w:rsid w:val="6D8753AD"/>
    <w:rsid w:val="6E050C87"/>
    <w:rsid w:val="6E3B6A4F"/>
    <w:rsid w:val="6E562150"/>
    <w:rsid w:val="6EE1644B"/>
    <w:rsid w:val="6F7C598B"/>
    <w:rsid w:val="70955C8A"/>
    <w:rsid w:val="70FA04FB"/>
    <w:rsid w:val="71D12A25"/>
    <w:rsid w:val="72451E37"/>
    <w:rsid w:val="73CB4AEF"/>
    <w:rsid w:val="76BD726A"/>
    <w:rsid w:val="76C95B71"/>
    <w:rsid w:val="77575D2B"/>
    <w:rsid w:val="77836B8A"/>
    <w:rsid w:val="79AE27CB"/>
    <w:rsid w:val="7A460C55"/>
    <w:rsid w:val="7A5461A9"/>
    <w:rsid w:val="7B1B5C3E"/>
    <w:rsid w:val="7B4116C8"/>
    <w:rsid w:val="7B700E0F"/>
    <w:rsid w:val="7B845591"/>
    <w:rsid w:val="7BF94D6B"/>
    <w:rsid w:val="7C6F7C42"/>
    <w:rsid w:val="7CE81B50"/>
    <w:rsid w:val="7D4A26D8"/>
    <w:rsid w:val="7E5D5AD4"/>
    <w:rsid w:val="7EC16AFC"/>
    <w:rsid w:val="7F517E80"/>
    <w:rsid w:val="7F9649B7"/>
    <w:rsid w:val="7FE17456"/>
    <w:rsid w:val="7FE30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autoRedefine/>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5">
    <w:name w:val="heading 2"/>
    <w:basedOn w:val="1"/>
    <w:next w:val="1"/>
    <w:autoRedefine/>
    <w:qFormat/>
    <w:uiPriority w:val="0"/>
    <w:pPr>
      <w:keepNext/>
      <w:keepLines/>
      <w:adjustRightInd w:val="0"/>
      <w:snapToGrid w:val="0"/>
      <w:spacing w:line="360" w:lineRule="auto"/>
      <w:outlineLvl w:val="1"/>
    </w:pPr>
    <w:rPr>
      <w:rFonts w:ascii="宋体" w:hAnsi="宋体"/>
    </w:rPr>
  </w:style>
  <w:style w:type="paragraph" w:styleId="6">
    <w:name w:val="heading 3"/>
    <w:basedOn w:val="1"/>
    <w:next w:val="1"/>
    <w:autoRedefine/>
    <w:qFormat/>
    <w:uiPriority w:val="0"/>
    <w:pPr>
      <w:keepNext/>
      <w:keepLines/>
      <w:spacing w:before="260" w:after="260" w:line="413" w:lineRule="auto"/>
      <w:jc w:val="center"/>
      <w:outlineLvl w:val="2"/>
    </w:pPr>
    <w:rPr>
      <w:b/>
      <w:sz w:val="44"/>
    </w:rPr>
  </w:style>
  <w:style w:type="paragraph" w:styleId="7">
    <w:name w:val="heading 4"/>
    <w:basedOn w:val="1"/>
    <w:next w:val="1"/>
    <w:qFormat/>
    <w:uiPriority w:val="9"/>
    <w:pPr>
      <w:tabs>
        <w:tab w:val="left" w:pos="720"/>
      </w:tabs>
      <w:spacing w:before="560" w:after="290" w:line="376" w:lineRule="auto"/>
      <w:ind w:left="420" w:hanging="420"/>
      <w:outlineLvl w:val="3"/>
    </w:pPr>
    <w:rPr>
      <w:rFonts w:ascii="Arial" w:hAnsi="Arial" w:eastAsia="黑体"/>
      <w:b/>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99"/>
    <w:rPr>
      <w:rFonts w:ascii="仿宋_GB2312" w:eastAsia="仿宋_GB2312"/>
      <w:sz w:val="32"/>
    </w:rPr>
  </w:style>
  <w:style w:type="paragraph" w:styleId="3">
    <w:name w:val="Quote"/>
    <w:basedOn w:val="1"/>
    <w:next w:val="1"/>
    <w:link w:val="31"/>
    <w:autoRedefine/>
    <w:qFormat/>
    <w:uiPriority w:val="0"/>
    <w:pPr>
      <w:widowControl/>
      <w:jc w:val="left"/>
    </w:pPr>
    <w:rPr>
      <w:rFonts w:ascii="Calibri" w:hAnsi="Calibri"/>
      <w:i/>
      <w:kern w:val="0"/>
      <w:sz w:val="24"/>
      <w:szCs w:val="24"/>
    </w:rPr>
  </w:style>
  <w:style w:type="paragraph" w:styleId="8">
    <w:name w:val="Normal Indent"/>
    <w:basedOn w:val="1"/>
    <w:autoRedefine/>
    <w:qFormat/>
    <w:uiPriority w:val="0"/>
    <w:pPr>
      <w:spacing w:line="360" w:lineRule="auto"/>
      <w:ind w:firstLine="420"/>
    </w:pPr>
    <w:rPr>
      <w:sz w:val="24"/>
      <w:szCs w:val="24"/>
    </w:rPr>
  </w:style>
  <w:style w:type="paragraph" w:styleId="9">
    <w:name w:val="annotation text"/>
    <w:basedOn w:val="1"/>
    <w:link w:val="29"/>
    <w:autoRedefine/>
    <w:qFormat/>
    <w:uiPriority w:val="0"/>
    <w:pPr>
      <w:jc w:val="left"/>
    </w:pPr>
  </w:style>
  <w:style w:type="paragraph" w:styleId="10">
    <w:name w:val="Body Text Indent"/>
    <w:basedOn w:val="1"/>
    <w:autoRedefine/>
    <w:qFormat/>
    <w:uiPriority w:val="0"/>
    <w:pPr>
      <w:spacing w:line="700" w:lineRule="exact"/>
      <w:ind w:left="960"/>
    </w:pPr>
    <w:rPr>
      <w:sz w:val="44"/>
    </w:rPr>
  </w:style>
  <w:style w:type="paragraph" w:styleId="11">
    <w:name w:val="Plain Text"/>
    <w:basedOn w:val="1"/>
    <w:autoRedefine/>
    <w:qFormat/>
    <w:uiPriority w:val="0"/>
    <w:pPr>
      <w:adjustRightInd w:val="0"/>
      <w:snapToGrid w:val="0"/>
      <w:spacing w:line="360" w:lineRule="auto"/>
    </w:pPr>
    <w:rPr>
      <w:rFonts w:ascii="宋体" w:hAnsi="Courier New"/>
      <w:sz w:val="21"/>
    </w:rPr>
  </w:style>
  <w:style w:type="paragraph" w:styleId="12">
    <w:name w:val="Date"/>
    <w:basedOn w:val="1"/>
    <w:next w:val="1"/>
    <w:autoRedefine/>
    <w:qFormat/>
    <w:uiPriority w:val="0"/>
  </w:style>
  <w:style w:type="paragraph" w:styleId="13">
    <w:name w:val="Balloon Text"/>
    <w:basedOn w:val="1"/>
    <w:link w:val="28"/>
    <w:autoRedefine/>
    <w:qFormat/>
    <w:uiPriority w:val="0"/>
    <w:rPr>
      <w:sz w:val="18"/>
      <w:szCs w:val="18"/>
    </w:rPr>
  </w:style>
  <w:style w:type="paragraph" w:styleId="14">
    <w:name w:val="footer"/>
    <w:basedOn w:val="1"/>
    <w:next w:val="15"/>
    <w:autoRedefine/>
    <w:qFormat/>
    <w:uiPriority w:val="0"/>
    <w:pPr>
      <w:tabs>
        <w:tab w:val="center" w:pos="4153"/>
        <w:tab w:val="right" w:pos="8306"/>
      </w:tabs>
      <w:snapToGrid w:val="0"/>
      <w:jc w:val="left"/>
    </w:pPr>
    <w:rPr>
      <w:sz w:val="18"/>
    </w:rPr>
  </w:style>
  <w:style w:type="paragraph" w:customStyle="1" w:styleId="15">
    <w:name w:val="索引 51"/>
    <w:basedOn w:val="1"/>
    <w:next w:val="1"/>
    <w:autoRedefine/>
    <w:qFormat/>
    <w:uiPriority w:val="0"/>
    <w:pPr>
      <w:ind w:left="1680"/>
    </w:pPr>
  </w:style>
  <w:style w:type="paragraph" w:styleId="16">
    <w:name w:val="header"/>
    <w:basedOn w:val="1"/>
    <w:link w:val="34"/>
    <w:autoRedefine/>
    <w:qFormat/>
    <w:uiPriority w:val="0"/>
    <w:pPr>
      <w:pBdr>
        <w:bottom w:val="single" w:color="auto" w:sz="6" w:space="1"/>
      </w:pBdr>
      <w:tabs>
        <w:tab w:val="center" w:pos="4153"/>
        <w:tab w:val="right" w:pos="8306"/>
      </w:tabs>
      <w:snapToGrid w:val="0"/>
      <w:jc w:val="center"/>
    </w:pPr>
    <w:rPr>
      <w:sz w:val="18"/>
    </w:rPr>
  </w:style>
  <w:style w:type="paragraph" w:styleId="17">
    <w:name w:val="toc 1"/>
    <w:basedOn w:val="1"/>
    <w:next w:val="1"/>
    <w:autoRedefine/>
    <w:qFormat/>
    <w:uiPriority w:val="39"/>
    <w:pPr>
      <w:tabs>
        <w:tab w:val="left" w:pos="1260"/>
        <w:tab w:val="left" w:pos="1685"/>
        <w:tab w:val="right" w:leader="dot" w:pos="8400"/>
      </w:tabs>
      <w:spacing w:line="320" w:lineRule="exact"/>
      <w:ind w:firstLine="280" w:firstLineChars="100"/>
    </w:pPr>
  </w:style>
  <w:style w:type="paragraph" w:styleId="18">
    <w:name w:val="toc 2"/>
    <w:basedOn w:val="1"/>
    <w:next w:val="1"/>
    <w:autoRedefine/>
    <w:qFormat/>
    <w:uiPriority w:val="39"/>
    <w:pPr>
      <w:tabs>
        <w:tab w:val="right" w:leader="dot" w:pos="8400"/>
      </w:tabs>
      <w:spacing w:line="440" w:lineRule="exact"/>
      <w:ind w:left="280" w:leftChars="100" w:right="-91" w:rightChars="-91"/>
    </w:pPr>
  </w:style>
  <w:style w:type="paragraph" w:styleId="19">
    <w:name w:val="annotation subject"/>
    <w:basedOn w:val="9"/>
    <w:next w:val="9"/>
    <w:link w:val="30"/>
    <w:autoRedefine/>
    <w:qFormat/>
    <w:uiPriority w:val="0"/>
    <w:rPr>
      <w:b/>
      <w:bCs/>
    </w:rPr>
  </w:style>
  <w:style w:type="table" w:styleId="21">
    <w:name w:val="Table Grid"/>
    <w:basedOn w:val="2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qFormat/>
    <w:uiPriority w:val="0"/>
  </w:style>
  <w:style w:type="character" w:styleId="24">
    <w:name w:val="FollowedHyperlink"/>
    <w:basedOn w:val="22"/>
    <w:unhideWhenUsed/>
    <w:qFormat/>
    <w:uiPriority w:val="99"/>
    <w:rPr>
      <w:color w:val="800080"/>
      <w:u w:val="single"/>
    </w:rPr>
  </w:style>
  <w:style w:type="character" w:styleId="25">
    <w:name w:val="Hyperlink"/>
    <w:basedOn w:val="22"/>
    <w:unhideWhenUsed/>
    <w:qFormat/>
    <w:uiPriority w:val="99"/>
    <w:rPr>
      <w:color w:val="0000FF"/>
      <w:u w:val="single"/>
    </w:rPr>
  </w:style>
  <w:style w:type="character" w:styleId="26">
    <w:name w:val="annotation reference"/>
    <w:basedOn w:val="22"/>
    <w:autoRedefine/>
    <w:qFormat/>
    <w:uiPriority w:val="0"/>
    <w:rPr>
      <w:sz w:val="21"/>
      <w:szCs w:val="21"/>
    </w:rPr>
  </w:style>
  <w:style w:type="paragraph" w:customStyle="1" w:styleId="27">
    <w:name w:val="无间隔1"/>
    <w:autoRedefine/>
    <w:qFormat/>
    <w:uiPriority w:val="1"/>
    <w:pPr>
      <w:jc w:val="both"/>
    </w:pPr>
    <w:rPr>
      <w:rFonts w:ascii="Times New Roman" w:hAnsi="Times New Roman" w:eastAsia="Times New Roman" w:cs="Times New Roman"/>
      <w:lang w:val="en-US" w:eastAsia="zh-CN" w:bidi="ar-SA"/>
    </w:rPr>
  </w:style>
  <w:style w:type="character" w:customStyle="1" w:styleId="28">
    <w:name w:val="批注框文本 Char"/>
    <w:basedOn w:val="22"/>
    <w:link w:val="13"/>
    <w:autoRedefine/>
    <w:qFormat/>
    <w:uiPriority w:val="0"/>
    <w:rPr>
      <w:kern w:val="2"/>
      <w:sz w:val="18"/>
      <w:szCs w:val="18"/>
    </w:rPr>
  </w:style>
  <w:style w:type="character" w:customStyle="1" w:styleId="29">
    <w:name w:val="批注文字 Char"/>
    <w:basedOn w:val="22"/>
    <w:link w:val="9"/>
    <w:autoRedefine/>
    <w:qFormat/>
    <w:uiPriority w:val="0"/>
    <w:rPr>
      <w:kern w:val="2"/>
      <w:sz w:val="28"/>
    </w:rPr>
  </w:style>
  <w:style w:type="character" w:customStyle="1" w:styleId="30">
    <w:name w:val="批注主题 Char"/>
    <w:basedOn w:val="29"/>
    <w:link w:val="19"/>
    <w:qFormat/>
    <w:uiPriority w:val="0"/>
    <w:rPr>
      <w:b/>
      <w:bCs/>
      <w:kern w:val="2"/>
      <w:sz w:val="28"/>
    </w:rPr>
  </w:style>
  <w:style w:type="character" w:customStyle="1" w:styleId="31">
    <w:name w:val="引用 Char"/>
    <w:basedOn w:val="22"/>
    <w:link w:val="3"/>
    <w:autoRedefine/>
    <w:qFormat/>
    <w:uiPriority w:val="29"/>
    <w:rPr>
      <w:rFonts w:ascii="Calibri" w:hAnsi="Calibri"/>
      <w:i/>
      <w:sz w:val="24"/>
      <w:szCs w:val="24"/>
    </w:rPr>
  </w:style>
  <w:style w:type="character" w:customStyle="1" w:styleId="32">
    <w:name w:val="trnone1"/>
    <w:basedOn w:val="22"/>
    <w:qFormat/>
    <w:uiPriority w:val="0"/>
  </w:style>
  <w:style w:type="paragraph" w:customStyle="1" w:styleId="33">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34">
    <w:name w:val="页眉 Char"/>
    <w:basedOn w:val="22"/>
    <w:link w:val="16"/>
    <w:qFormat/>
    <w:uiPriority w:val="0"/>
    <w:rPr>
      <w:kern w:val="2"/>
      <w:sz w:val="18"/>
    </w:rPr>
  </w:style>
  <w:style w:type="character" w:customStyle="1" w:styleId="35">
    <w:name w:val="font31"/>
    <w:basedOn w:val="22"/>
    <w:qFormat/>
    <w:uiPriority w:val="0"/>
    <w:rPr>
      <w:rFonts w:hint="eastAsia" w:ascii="宋体" w:hAnsi="宋体" w:eastAsia="宋体" w:cs="宋体"/>
      <w:color w:val="000000"/>
      <w:sz w:val="20"/>
      <w:szCs w:val="20"/>
      <w:u w:val="none"/>
    </w:rPr>
  </w:style>
  <w:style w:type="character" w:customStyle="1" w:styleId="36">
    <w:name w:val="font91"/>
    <w:basedOn w:val="22"/>
    <w:qFormat/>
    <w:uiPriority w:val="0"/>
    <w:rPr>
      <w:rFonts w:ascii="Arial" w:hAnsi="Arial" w:cs="Arial"/>
      <w:color w:val="000000"/>
      <w:sz w:val="20"/>
      <w:szCs w:val="20"/>
      <w:u w:val="none"/>
    </w:rPr>
  </w:style>
  <w:style w:type="character" w:customStyle="1" w:styleId="37">
    <w:name w:val="font41"/>
    <w:basedOn w:val="22"/>
    <w:qFormat/>
    <w:uiPriority w:val="0"/>
    <w:rPr>
      <w:rFonts w:hint="eastAsia" w:ascii="宋体" w:hAnsi="宋体" w:eastAsia="宋体" w:cs="宋体"/>
      <w:color w:val="000000"/>
      <w:sz w:val="20"/>
      <w:szCs w:val="20"/>
      <w:u w:val="none"/>
    </w:rPr>
  </w:style>
  <w:style w:type="character" w:customStyle="1" w:styleId="38">
    <w:name w:val="font101"/>
    <w:basedOn w:val="22"/>
    <w:qFormat/>
    <w:uiPriority w:val="0"/>
    <w:rPr>
      <w:rFonts w:hint="default" w:ascii="Arial" w:hAnsi="Arial" w:cs="Arial"/>
      <w:color w:val="000000"/>
      <w:sz w:val="20"/>
      <w:szCs w:val="20"/>
      <w:u w:val="none"/>
    </w:rPr>
  </w:style>
  <w:style w:type="character" w:customStyle="1" w:styleId="39">
    <w:name w:val="font61"/>
    <w:basedOn w:val="22"/>
    <w:qFormat/>
    <w:uiPriority w:val="0"/>
    <w:rPr>
      <w:rFonts w:hint="eastAsia" w:ascii="宋体" w:hAnsi="宋体" w:eastAsia="宋体" w:cs="宋体"/>
      <w:color w:val="000000"/>
      <w:sz w:val="20"/>
      <w:szCs w:val="20"/>
      <w:u w:val="none"/>
    </w:rPr>
  </w:style>
  <w:style w:type="character" w:customStyle="1" w:styleId="40">
    <w:name w:val="font112"/>
    <w:basedOn w:val="22"/>
    <w:qFormat/>
    <w:uiPriority w:val="0"/>
    <w:rPr>
      <w:rFonts w:hint="default" w:ascii="Arial" w:hAnsi="Arial" w:cs="Arial"/>
      <w:color w:val="000000"/>
      <w:sz w:val="20"/>
      <w:szCs w:val="20"/>
      <w:u w:val="none"/>
    </w:rPr>
  </w:style>
  <w:style w:type="character" w:customStyle="1" w:styleId="41">
    <w:name w:val="font71"/>
    <w:basedOn w:val="22"/>
    <w:qFormat/>
    <w:uiPriority w:val="0"/>
    <w:rPr>
      <w:rFonts w:hint="default" w:ascii="Arial" w:hAnsi="Arial" w:cs="Arial"/>
      <w:color w:val="000000"/>
      <w:sz w:val="20"/>
      <w:szCs w:val="20"/>
      <w:u w:val="none"/>
    </w:rPr>
  </w:style>
  <w:style w:type="character" w:customStyle="1" w:styleId="42">
    <w:name w:val="font81"/>
    <w:basedOn w:val="22"/>
    <w:qFormat/>
    <w:uiPriority w:val="0"/>
    <w:rPr>
      <w:rFonts w:hint="eastAsia" w:ascii="宋体" w:hAnsi="宋体" w:eastAsia="宋体" w:cs="宋体"/>
      <w:color w:val="000000"/>
      <w:sz w:val="20"/>
      <w:szCs w:val="20"/>
      <w:u w:val="none"/>
    </w:rPr>
  </w:style>
  <w:style w:type="paragraph" w:customStyle="1" w:styleId="43">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4">
    <w:name w:val="xl6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45">
    <w:name w:val="xl69"/>
    <w:basedOn w:val="1"/>
    <w:qFormat/>
    <w:uiPriority w:val="0"/>
    <w:pPr>
      <w:widowControl/>
      <w:spacing w:before="100" w:beforeAutospacing="1" w:after="100" w:afterAutospacing="1"/>
      <w:jc w:val="center"/>
    </w:pPr>
    <w:rPr>
      <w:rFonts w:ascii="宋体" w:hAnsi="宋体" w:cs="宋体"/>
      <w:kern w:val="0"/>
      <w:sz w:val="32"/>
      <w:szCs w:val="32"/>
    </w:rPr>
  </w:style>
  <w:style w:type="paragraph" w:customStyle="1" w:styleId="46">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4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新宋体" w:hAnsi="新宋体" w:eastAsia="新宋体" w:cs="宋体"/>
      <w:kern w:val="0"/>
      <w:sz w:val="24"/>
      <w:szCs w:val="24"/>
    </w:rPr>
  </w:style>
  <w:style w:type="paragraph" w:customStyle="1" w:styleId="4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新宋体" w:hAnsi="新宋体" w:eastAsia="新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A87C2F-D5AA-428E-AA01-5552D14889F8}">
  <ds:schemaRefs/>
</ds:datastoreItem>
</file>

<file path=docProps/app.xml><?xml version="1.0" encoding="utf-8"?>
<Properties xmlns="http://schemas.openxmlformats.org/officeDocument/2006/extended-properties" xmlns:vt="http://schemas.openxmlformats.org/officeDocument/2006/docPropsVTypes">
  <Template>Normal</Template>
  <Pages>55</Pages>
  <Words>9151</Words>
  <Characters>11448</Characters>
  <Lines>352</Lines>
  <Paragraphs>99</Paragraphs>
  <TotalTime>3</TotalTime>
  <ScaleCrop>false</ScaleCrop>
  <LinksUpToDate>false</LinksUpToDate>
  <CharactersWithSpaces>11951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2024-01-17T05:17:00Z</dcterms:created>
  <dc:creator>阎晗</dc:creator>
  <cp:lastModifiedBy>晗子</cp:lastModifiedBy>
  <cp:lastPrinted>2025-07-25T05:49:00Z</cp:lastPrinted>
  <dcterms:modified xsi:type="dcterms:W3CDTF">2025-09-08T06:19:00Z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253E2477EEB846738C20A794A5974948_11</vt:lpwstr>
  </property>
  <property fmtid="{D5CDD505-2E9C-101B-9397-08002B2CF9AE}" pid="4" name="KSOTemplateDocerSaveRecord">
    <vt:lpwstr>eyJoZGlkIjoiMTQ4YzhkMGQxOTk5MWY0NWFjNTNmOWVmNjhkMTdiMjYiLCJ1c2VySWQiOiIxMjIzNjkzNTAwIn0=</vt:lpwstr>
  </property>
</Properties>
</file>