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人体靶向代谢组学物质相对定量：</w:t>
      </w:r>
    </w:p>
    <w:p>
      <w:pPr>
        <w:numPr>
          <w:ilvl w:val="0"/>
          <w:numId w:val="1"/>
        </w:numPr>
      </w:pPr>
      <w:r>
        <w:rPr>
          <w:rFonts w:hint="eastAsia"/>
        </w:rPr>
        <w:t>检测平台：AB Triple TOF 6600平台。</w:t>
      </w:r>
    </w:p>
    <w:p>
      <w:pPr>
        <w:numPr>
          <w:ilvl w:val="0"/>
          <w:numId w:val="1"/>
        </w:numPr>
      </w:pPr>
      <w:r>
        <w:rPr>
          <w:rFonts w:hint="eastAsia"/>
        </w:rPr>
        <w:t>鉴定分析平台：XCMS专业数据处理，3万+高质量本地数据库查库</w:t>
      </w:r>
    </w:p>
    <w:p>
      <w:pPr>
        <w:numPr>
          <w:ilvl w:val="0"/>
          <w:numId w:val="1"/>
        </w:numPr>
      </w:pPr>
      <w:r>
        <w:rPr>
          <w:rFonts w:hint="eastAsia"/>
        </w:rPr>
        <w:t>基于高效液相色谱质谱的常规：能量、胆汁酸、氨基酸、短链脂肪酸、中长链脂肪酸、神经递质、色氨酸、TMAO、水溶性维生素、植物激素、黄铜、代谢流及其各类的衍生物等基础小分子代谢物，包括至少3万+标准品数据库和100万+高质量二级谱图，均由高分辨质谱完成采集，包含多浓度、多能级等不同条件下采集的谱图，经过噪音过滤、低质量图谱过滤、人工信息确认等操作，全方位保证谱图高质量。</w:t>
      </w:r>
    </w:p>
    <w:p>
      <w:r>
        <w:rPr>
          <w:rFonts w:hint="eastAsia"/>
        </w:rPr>
        <w:t>4、6大质控分析：（1）QC 样本总离子流图（TIC）的比较，（2）总体样本主成分分析（PCA）</w:t>
      </w:r>
    </w:p>
    <w:p>
      <w:r>
        <w:rPr>
          <w:rFonts w:hint="eastAsia"/>
        </w:rPr>
        <w:t>（3）QC 样本相关性，（4）总体样本 Hotelling‘s T2 检验，（5）QC 样本的多变量控制图，（6）QC 样本的相对标准偏差（RSD）</w:t>
      </w:r>
    </w:p>
    <w:p/>
    <w:p>
      <w:r>
        <w:rPr>
          <w:rFonts w:hint="eastAsia"/>
        </w:rPr>
        <w:t>公司能力</w:t>
      </w:r>
    </w:p>
    <w:p>
      <w:pPr>
        <w:numPr>
          <w:ilvl w:val="0"/>
          <w:numId w:val="2"/>
        </w:numPr>
      </w:pPr>
      <w:r>
        <w:rPr>
          <w:rFonts w:hint="eastAsia"/>
        </w:rPr>
        <w:t>公司成立时间至少15年以上，</w:t>
      </w:r>
    </w:p>
    <w:p>
      <w:pPr>
        <w:numPr>
          <w:ilvl w:val="0"/>
          <w:numId w:val="2"/>
        </w:numPr>
      </w:pPr>
      <w:r>
        <w:rPr>
          <w:rFonts w:hint="eastAsia"/>
        </w:rPr>
        <w:t>有丰富的项目经验，有至少一篇发表在nature、science或者cell</w:t>
      </w:r>
      <w:r>
        <w:fldChar w:fldCharType="begin"/>
      </w:r>
      <w:r>
        <w:instrText xml:space="preserve"> HYPERLINK "http://www.baidu.com/link?url=OWaIHNUqh7u8WhuxHXwCpzYQGsujTR4ZV83u21SEzIHt77YIZqcXYfv-3h2nwpiPomM-MPJwETPCwx23KMTYe_" \t "https://www.baidu.com/_blank" </w:instrText>
      </w:r>
      <w:r>
        <w:fldChar w:fldCharType="separate"/>
      </w:r>
      <w:r>
        <w:rPr>
          <w:rFonts w:hint="eastAsia"/>
        </w:rPr>
        <w:t>期刊</w:t>
      </w:r>
      <w:r>
        <w:rPr>
          <w:rFonts w:hint="eastAsia"/>
        </w:rPr>
        <w:fldChar w:fldCharType="end"/>
      </w:r>
      <w:r>
        <w:rPr>
          <w:rFonts w:hint="eastAsia"/>
        </w:rPr>
        <w:t>的谢组学项目文章，</w:t>
      </w:r>
    </w:p>
    <w:p>
      <w:pPr>
        <w:numPr>
          <w:ilvl w:val="0"/>
          <w:numId w:val="2"/>
        </w:numPr>
      </w:pPr>
      <w:r>
        <w:t>招标公司需具备ISO9001质量管理体系认证；实验室通过国家计量CMA认证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9D1999"/>
    <w:multiLevelType w:val="singleLevel"/>
    <w:tmpl w:val="EE9D19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9AFB3E"/>
    <w:multiLevelType w:val="singleLevel"/>
    <w:tmpl w:val="FD9AFB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GNlOTMwZjJlOGJjNjY2N2U3ZDNlNDgyZWU0NzgifQ=="/>
  </w:docVars>
  <w:rsids>
    <w:rsidRoot w:val="00172A27"/>
    <w:rsid w:val="00172A27"/>
    <w:rsid w:val="005C26D8"/>
    <w:rsid w:val="00811201"/>
    <w:rsid w:val="00E40567"/>
    <w:rsid w:val="1143463A"/>
    <w:rsid w:val="4D1A5130"/>
    <w:rsid w:val="617A3E56"/>
    <w:rsid w:val="6B6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562</Characters>
  <Lines>4</Lines>
  <Paragraphs>1</Paragraphs>
  <TotalTime>2</TotalTime>
  <ScaleCrop>false</ScaleCrop>
  <LinksUpToDate>false</LinksUpToDate>
  <CharactersWithSpaces>659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2023-11-02T03:29:00Z</dcterms:created>
  <dc:creator>中科新生命-杜丹丹</dc:creator>
  <cp:lastModifiedBy>陈兆维</cp:lastModifiedBy>
  <dcterms:modified xsi:type="dcterms:W3CDTF">2023-11-09T01:06:13Z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E4472C324F9E4B7E8113E5CBC50F790F_11</vt:lpwstr>
  </property>
</Properties>
</file>