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33D4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黑体" w:hAnsi="黑体" w:eastAsia="黑体" w:cs="黑体"/>
          <w:b/>
          <w:bCs/>
          <w:i w:val="0"/>
          <w:iCs w:val="0"/>
          <w:snapToGrid w:val="0"/>
          <w:color w:val="auto"/>
          <w:kern w:val="0"/>
          <w:sz w:val="96"/>
          <w:szCs w:val="96"/>
          <w:shd w:val="clear" w:color="auto" w:fill="auto"/>
          <w:lang w:val="en-US" w:eastAsia="en-US" w:bidi="ar-SA"/>
        </w:rPr>
      </w:pPr>
    </w:p>
    <w:p w14:paraId="5A4D05D9">
      <w:pPr>
        <w:pStyle w:val="4"/>
        <w:rPr>
          <w:rFonts w:hint="eastAsia"/>
          <w:lang w:val="en-US" w:eastAsia="en-US"/>
        </w:rPr>
      </w:pPr>
    </w:p>
    <w:p w14:paraId="4E5414A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黑体" w:hAnsi="黑体" w:eastAsia="黑体" w:cs="黑体"/>
          <w:b/>
          <w:bCs/>
          <w:i w:val="0"/>
          <w:iCs w:val="0"/>
          <w:snapToGrid w:val="0"/>
          <w:color w:val="auto"/>
          <w:kern w:val="0"/>
          <w:sz w:val="96"/>
          <w:szCs w:val="96"/>
          <w:shd w:val="clear" w:color="auto" w:fill="auto"/>
          <w:lang w:val="en-US" w:eastAsia="en-US" w:bidi="ar-SA"/>
        </w:rPr>
      </w:pPr>
      <w:r>
        <w:rPr>
          <w:rFonts w:hint="eastAsia" w:ascii="黑体" w:hAnsi="黑体" w:eastAsia="黑体" w:cs="黑体"/>
          <w:b/>
          <w:bCs/>
          <w:i w:val="0"/>
          <w:iCs w:val="0"/>
          <w:snapToGrid w:val="0"/>
          <w:color w:val="auto"/>
          <w:kern w:val="0"/>
          <w:sz w:val="96"/>
          <w:szCs w:val="96"/>
          <w:shd w:val="clear" w:color="auto" w:fill="auto"/>
          <w:lang w:val="en-US" w:eastAsia="en-US" w:bidi="ar-SA"/>
        </w:rPr>
        <w:t>询价通知书</w:t>
      </w:r>
    </w:p>
    <w:p w14:paraId="17D7166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仿宋" w:hAnsi="仿宋" w:eastAsia="仿宋" w:cs="仿宋"/>
          <w:b w:val="0"/>
          <w:bCs w:val="0"/>
          <w:i w:val="0"/>
          <w:iCs w:val="0"/>
          <w:snapToGrid w:val="0"/>
          <w:color w:val="auto"/>
          <w:kern w:val="0"/>
          <w:sz w:val="28"/>
          <w:szCs w:val="28"/>
          <w:shd w:val="clear" w:color="auto" w:fill="auto"/>
          <w:lang w:val="en-US" w:eastAsia="en-US" w:bidi="ar-SA"/>
        </w:rPr>
      </w:pPr>
      <w:r>
        <w:rPr>
          <w:rFonts w:hint="eastAsia" w:ascii="仿宋" w:hAnsi="仿宋" w:eastAsia="仿宋" w:cs="仿宋"/>
          <w:b w:val="0"/>
          <w:bCs w:val="0"/>
          <w:i w:val="0"/>
          <w:iCs w:val="0"/>
          <w:snapToGrid w:val="0"/>
          <w:color w:val="auto"/>
          <w:kern w:val="0"/>
          <w:sz w:val="28"/>
          <w:szCs w:val="28"/>
          <w:shd w:val="clear" w:color="auto" w:fill="auto"/>
          <w:lang w:val="en-US" w:eastAsia="en-US" w:bidi="ar-SA"/>
        </w:rPr>
        <w:t>（编号：CQIP-202508</w:t>
      </w:r>
      <w:r>
        <w:rPr>
          <w:rFonts w:hint="eastAsia" w:ascii="仿宋" w:hAnsi="仿宋" w:eastAsia="仿宋" w:cs="仿宋"/>
          <w:b w:val="0"/>
          <w:bCs w:val="0"/>
          <w:i w:val="0"/>
          <w:iCs w:val="0"/>
          <w:snapToGrid w:val="0"/>
          <w:color w:val="auto"/>
          <w:kern w:val="0"/>
          <w:sz w:val="28"/>
          <w:szCs w:val="28"/>
          <w:shd w:val="clear" w:color="auto" w:fill="auto"/>
          <w:lang w:val="en-US" w:eastAsia="zh-CN" w:bidi="ar-SA"/>
        </w:rPr>
        <w:t>15</w:t>
      </w:r>
      <w:r>
        <w:rPr>
          <w:rFonts w:hint="eastAsia" w:ascii="仿宋" w:hAnsi="仿宋" w:eastAsia="仿宋" w:cs="仿宋"/>
          <w:b w:val="0"/>
          <w:bCs w:val="0"/>
          <w:i w:val="0"/>
          <w:iCs w:val="0"/>
          <w:snapToGrid w:val="0"/>
          <w:color w:val="auto"/>
          <w:kern w:val="0"/>
          <w:sz w:val="28"/>
          <w:szCs w:val="28"/>
          <w:shd w:val="clear" w:color="auto" w:fill="auto"/>
          <w:lang w:val="en-US" w:eastAsia="en-US" w:bidi="ar-SA"/>
        </w:rPr>
        <w:t>01）</w:t>
      </w:r>
    </w:p>
    <w:p w14:paraId="11D900B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仿宋" w:hAnsi="仿宋" w:eastAsia="仿宋" w:cs="仿宋"/>
          <w:b w:val="0"/>
          <w:bCs w:val="0"/>
          <w:i w:val="0"/>
          <w:iCs w:val="0"/>
          <w:snapToGrid w:val="0"/>
          <w:color w:val="auto"/>
          <w:kern w:val="0"/>
          <w:sz w:val="24"/>
          <w:szCs w:val="24"/>
          <w:shd w:val="clear" w:color="auto" w:fill="auto"/>
          <w:lang w:val="en-US" w:eastAsia="en-US" w:bidi="ar-SA"/>
        </w:rPr>
      </w:pPr>
    </w:p>
    <w:p w14:paraId="4F58619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仿宋" w:hAnsi="仿宋" w:eastAsia="仿宋" w:cs="仿宋"/>
          <w:b w:val="0"/>
          <w:bCs w:val="0"/>
          <w:i w:val="0"/>
          <w:iCs w:val="0"/>
          <w:snapToGrid w:val="0"/>
          <w:color w:val="auto"/>
          <w:kern w:val="0"/>
          <w:sz w:val="24"/>
          <w:szCs w:val="24"/>
          <w:shd w:val="clear" w:color="auto" w:fill="auto"/>
          <w:lang w:val="en-US" w:eastAsia="en-US" w:bidi="ar-SA"/>
        </w:rPr>
      </w:pPr>
    </w:p>
    <w:p w14:paraId="2D9B17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仿宋" w:hAnsi="仿宋" w:eastAsia="仿宋" w:cs="仿宋"/>
          <w:b w:val="0"/>
          <w:bCs w:val="0"/>
          <w:i w:val="0"/>
          <w:iCs w:val="0"/>
          <w:snapToGrid w:val="0"/>
          <w:color w:val="auto"/>
          <w:kern w:val="0"/>
          <w:sz w:val="24"/>
          <w:szCs w:val="24"/>
          <w:shd w:val="clear" w:color="auto" w:fill="auto"/>
          <w:lang w:val="en-US" w:eastAsia="en-US" w:bidi="ar-SA"/>
        </w:rPr>
      </w:pPr>
    </w:p>
    <w:p w14:paraId="7CED580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仿宋" w:hAnsi="仿宋" w:eastAsia="仿宋" w:cs="仿宋"/>
          <w:b w:val="0"/>
          <w:bCs w:val="0"/>
          <w:i w:val="0"/>
          <w:iCs w:val="0"/>
          <w:snapToGrid w:val="0"/>
          <w:color w:val="auto"/>
          <w:kern w:val="0"/>
          <w:sz w:val="24"/>
          <w:szCs w:val="24"/>
          <w:shd w:val="clear" w:color="auto" w:fill="auto"/>
          <w:lang w:val="en-US" w:eastAsia="en-US" w:bidi="ar-SA"/>
        </w:rPr>
      </w:pPr>
    </w:p>
    <w:p w14:paraId="6C13C36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仿宋" w:hAnsi="仿宋" w:eastAsia="仿宋" w:cs="仿宋"/>
          <w:b w:val="0"/>
          <w:bCs w:val="0"/>
          <w:i w:val="0"/>
          <w:iCs w:val="0"/>
          <w:snapToGrid w:val="0"/>
          <w:color w:val="auto"/>
          <w:kern w:val="0"/>
          <w:sz w:val="24"/>
          <w:szCs w:val="24"/>
          <w:shd w:val="clear" w:color="auto" w:fill="auto"/>
          <w:lang w:val="en-US" w:eastAsia="en-US" w:bidi="ar-SA"/>
        </w:rPr>
      </w:pPr>
    </w:p>
    <w:p w14:paraId="1EE7F8E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仿宋" w:hAnsi="仿宋" w:eastAsia="仿宋" w:cs="仿宋"/>
          <w:b w:val="0"/>
          <w:bCs w:val="0"/>
          <w:i w:val="0"/>
          <w:iCs w:val="0"/>
          <w:snapToGrid w:val="0"/>
          <w:color w:val="auto"/>
          <w:kern w:val="0"/>
          <w:sz w:val="24"/>
          <w:szCs w:val="24"/>
          <w:shd w:val="clear" w:color="auto" w:fill="auto"/>
          <w:lang w:val="en-US" w:eastAsia="en-US" w:bidi="ar-SA"/>
        </w:rPr>
      </w:pPr>
    </w:p>
    <w:p w14:paraId="7CC671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eastAsia" w:ascii="微软雅黑" w:hAnsi="微软雅黑" w:eastAsia="微软雅黑" w:cs="微软雅黑"/>
          <w:b/>
          <w:bCs/>
          <w:i w:val="0"/>
          <w:iCs w:val="0"/>
          <w:snapToGrid w:val="0"/>
          <w:color w:val="auto"/>
          <w:kern w:val="0"/>
          <w:sz w:val="32"/>
          <w:szCs w:val="32"/>
          <w:shd w:val="clear" w:color="auto" w:fill="auto"/>
          <w:lang w:val="en-US" w:eastAsia="zh-CN" w:bidi="ar-SA"/>
        </w:rPr>
      </w:pPr>
      <w:r>
        <w:rPr>
          <w:rFonts w:hint="eastAsia" w:ascii="微软雅黑" w:hAnsi="微软雅黑" w:eastAsia="微软雅黑" w:cs="微软雅黑"/>
          <w:b/>
          <w:bCs/>
          <w:i w:val="0"/>
          <w:iCs w:val="0"/>
          <w:snapToGrid w:val="0"/>
          <w:color w:val="auto"/>
          <w:kern w:val="0"/>
          <w:sz w:val="36"/>
          <w:szCs w:val="36"/>
          <w:shd w:val="clear" w:color="auto" w:fill="auto"/>
          <w:lang w:val="en-US" w:eastAsia="zh-CN" w:bidi="ar-SA"/>
        </w:rPr>
        <w:t xml:space="preserve">   </w:t>
      </w:r>
      <w:r>
        <w:rPr>
          <w:rFonts w:hint="eastAsia" w:ascii="微软雅黑" w:hAnsi="微软雅黑" w:eastAsia="微软雅黑" w:cs="微软雅黑"/>
          <w:b/>
          <w:bCs/>
          <w:i w:val="0"/>
          <w:iCs w:val="0"/>
          <w:snapToGrid w:val="0"/>
          <w:color w:val="auto"/>
          <w:kern w:val="0"/>
          <w:sz w:val="32"/>
          <w:szCs w:val="32"/>
          <w:shd w:val="clear" w:color="auto" w:fill="auto"/>
          <w:lang w:val="en-US" w:eastAsia="zh-CN" w:bidi="ar-SA"/>
        </w:rPr>
        <w:t xml:space="preserve"> </w:t>
      </w:r>
      <w:r>
        <w:rPr>
          <w:rFonts w:hint="eastAsia" w:ascii="微软雅黑" w:hAnsi="微软雅黑" w:eastAsia="微软雅黑" w:cs="微软雅黑"/>
          <w:b/>
          <w:bCs/>
          <w:i w:val="0"/>
          <w:iCs w:val="0"/>
          <w:snapToGrid w:val="0"/>
          <w:color w:val="auto"/>
          <w:kern w:val="0"/>
          <w:sz w:val="32"/>
          <w:szCs w:val="32"/>
          <w:shd w:val="clear" w:color="auto" w:fill="auto"/>
          <w:lang w:val="en-US" w:eastAsia="en-US" w:bidi="ar-SA"/>
        </w:rPr>
        <w:t>项目名称：</w:t>
      </w:r>
      <w:r>
        <w:rPr>
          <w:rFonts w:hint="eastAsia" w:ascii="微软雅黑" w:hAnsi="微软雅黑" w:eastAsia="微软雅黑" w:cs="微软雅黑"/>
          <w:b w:val="0"/>
          <w:bCs w:val="0"/>
          <w:i w:val="0"/>
          <w:iCs w:val="0"/>
          <w:snapToGrid w:val="0"/>
          <w:color w:val="auto"/>
          <w:kern w:val="0"/>
          <w:sz w:val="32"/>
          <w:szCs w:val="32"/>
          <w:shd w:val="clear" w:color="auto" w:fill="auto"/>
          <w:lang w:val="en-US" w:eastAsia="zh-CN" w:bidi="ar-SA"/>
        </w:rPr>
        <w:t>培训楼中央空调安装工程结算审计</w:t>
      </w:r>
    </w:p>
    <w:p w14:paraId="3AB2589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720" w:firstLineChars="0"/>
        <w:jc w:val="both"/>
        <w:textAlignment w:val="baseline"/>
        <w:outlineLvl w:val="9"/>
        <w:rPr>
          <w:rFonts w:hint="eastAsia" w:ascii="微软雅黑" w:hAnsi="微软雅黑" w:eastAsia="微软雅黑" w:cs="微软雅黑"/>
          <w:b w:val="0"/>
          <w:bCs w:val="0"/>
          <w:i w:val="0"/>
          <w:iCs w:val="0"/>
          <w:snapToGrid w:val="0"/>
          <w:color w:val="auto"/>
          <w:kern w:val="0"/>
          <w:sz w:val="32"/>
          <w:szCs w:val="32"/>
          <w:shd w:val="clear" w:color="auto" w:fill="auto"/>
          <w:lang w:val="en-US" w:eastAsia="en-US" w:bidi="ar-SA"/>
        </w:rPr>
      </w:pPr>
      <w:r>
        <w:rPr>
          <w:rFonts w:hint="eastAsia" w:ascii="微软雅黑" w:hAnsi="微软雅黑" w:eastAsia="微软雅黑" w:cs="微软雅黑"/>
          <w:b/>
          <w:bCs/>
          <w:i w:val="0"/>
          <w:iCs w:val="0"/>
          <w:snapToGrid w:val="0"/>
          <w:color w:val="auto"/>
          <w:kern w:val="0"/>
          <w:sz w:val="32"/>
          <w:szCs w:val="32"/>
          <w:shd w:val="clear" w:color="auto" w:fill="auto"/>
          <w:lang w:val="en-US" w:eastAsia="en-US" w:bidi="ar-SA"/>
        </w:rPr>
        <w:t>采 购 人：</w:t>
      </w:r>
      <w:r>
        <w:rPr>
          <w:rFonts w:hint="eastAsia" w:ascii="微软雅黑" w:hAnsi="微软雅黑" w:eastAsia="微软雅黑" w:cs="微软雅黑"/>
          <w:b w:val="0"/>
          <w:bCs w:val="0"/>
          <w:i w:val="0"/>
          <w:iCs w:val="0"/>
          <w:snapToGrid w:val="0"/>
          <w:color w:val="auto"/>
          <w:kern w:val="0"/>
          <w:sz w:val="32"/>
          <w:szCs w:val="32"/>
          <w:shd w:val="clear" w:color="auto" w:fill="auto"/>
          <w:lang w:val="en-US" w:eastAsia="en-US" w:bidi="ar-SA"/>
        </w:rPr>
        <w:t>重庆理工职业学院</w:t>
      </w:r>
    </w:p>
    <w:p w14:paraId="06B61FB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720" w:firstLineChars="0"/>
        <w:jc w:val="center"/>
        <w:textAlignment w:val="baseline"/>
        <w:outlineLvl w:val="9"/>
        <w:rPr>
          <w:rFonts w:hint="eastAsia" w:ascii="微软雅黑" w:hAnsi="微软雅黑" w:eastAsia="微软雅黑" w:cs="微软雅黑"/>
          <w:b/>
          <w:bCs/>
          <w:i w:val="0"/>
          <w:iCs w:val="0"/>
          <w:snapToGrid w:val="0"/>
          <w:color w:val="auto"/>
          <w:kern w:val="0"/>
          <w:sz w:val="48"/>
          <w:szCs w:val="48"/>
          <w:shd w:val="clear" w:color="auto" w:fill="auto"/>
          <w:lang w:val="en-US" w:eastAsia="en-US" w:bidi="ar-SA"/>
        </w:rPr>
      </w:pPr>
    </w:p>
    <w:p w14:paraId="27C16C2E">
      <w:pPr>
        <w:pStyle w:val="2"/>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rPr>
          <w:rFonts w:hint="eastAsia" w:ascii="微软雅黑" w:hAnsi="微软雅黑" w:eastAsia="微软雅黑" w:cs="微软雅黑"/>
          <w:b w:val="0"/>
          <w:bCs w:val="0"/>
          <w:i w:val="0"/>
          <w:iCs w:val="0"/>
          <w:snapToGrid w:val="0"/>
          <w:color w:val="auto"/>
          <w:kern w:val="0"/>
          <w:sz w:val="36"/>
          <w:szCs w:val="36"/>
          <w:shd w:val="clear" w:color="auto" w:fill="auto"/>
          <w:lang w:val="en-US" w:eastAsia="en-US" w:bidi="ar-SA"/>
        </w:rPr>
      </w:pPr>
      <w:r>
        <w:rPr>
          <w:rFonts w:hint="eastAsia" w:ascii="微软雅黑" w:hAnsi="微软雅黑" w:eastAsia="微软雅黑" w:cs="微软雅黑"/>
          <w:b w:val="0"/>
          <w:bCs w:val="0"/>
          <w:i w:val="0"/>
          <w:iCs w:val="0"/>
          <w:snapToGrid w:val="0"/>
          <w:color w:val="auto"/>
          <w:kern w:val="0"/>
          <w:sz w:val="36"/>
          <w:szCs w:val="36"/>
          <w:shd w:val="clear" w:color="auto" w:fill="auto"/>
          <w:lang w:val="en-US" w:eastAsia="en-US" w:bidi="ar-SA"/>
        </w:rPr>
        <w:t>二〇二五年</w:t>
      </w:r>
      <w:r>
        <w:rPr>
          <w:rFonts w:hint="eastAsia" w:ascii="微软雅黑" w:hAnsi="微软雅黑" w:eastAsia="微软雅黑" w:cs="微软雅黑"/>
          <w:b w:val="0"/>
          <w:bCs w:val="0"/>
          <w:i w:val="0"/>
          <w:iCs w:val="0"/>
          <w:snapToGrid w:val="0"/>
          <w:color w:val="auto"/>
          <w:kern w:val="0"/>
          <w:sz w:val="36"/>
          <w:szCs w:val="36"/>
          <w:shd w:val="clear" w:color="auto" w:fill="auto"/>
          <w:lang w:val="en-US" w:eastAsia="zh-CN" w:bidi="ar-SA"/>
        </w:rPr>
        <w:t>八</w:t>
      </w:r>
      <w:r>
        <w:rPr>
          <w:rFonts w:hint="eastAsia" w:ascii="微软雅黑" w:hAnsi="微软雅黑" w:eastAsia="微软雅黑" w:cs="微软雅黑"/>
          <w:b w:val="0"/>
          <w:bCs w:val="0"/>
          <w:i w:val="0"/>
          <w:iCs w:val="0"/>
          <w:snapToGrid w:val="0"/>
          <w:color w:val="auto"/>
          <w:kern w:val="0"/>
          <w:sz w:val="36"/>
          <w:szCs w:val="36"/>
          <w:shd w:val="clear" w:color="auto" w:fill="auto"/>
          <w:lang w:val="en-US" w:eastAsia="en-US" w:bidi="ar-SA"/>
        </w:rPr>
        <w:t>月</w:t>
      </w:r>
    </w:p>
    <w:p w14:paraId="3111CF98">
      <w:pPr>
        <w:rPr>
          <w:rFonts w:hint="eastAsia" w:ascii="微软雅黑" w:hAnsi="微软雅黑" w:eastAsia="微软雅黑" w:cs="微软雅黑"/>
          <w:b w:val="0"/>
          <w:bCs w:val="0"/>
          <w:i w:val="0"/>
          <w:iCs w:val="0"/>
          <w:snapToGrid w:val="0"/>
          <w:color w:val="auto"/>
          <w:kern w:val="0"/>
          <w:sz w:val="36"/>
          <w:szCs w:val="36"/>
          <w:shd w:val="clear" w:color="auto" w:fill="auto"/>
          <w:lang w:val="en-US" w:eastAsia="en-US" w:bidi="ar-SA"/>
        </w:rPr>
      </w:pPr>
      <w:r>
        <w:rPr>
          <w:rFonts w:hint="eastAsia" w:ascii="微软雅黑" w:hAnsi="微软雅黑" w:eastAsia="微软雅黑" w:cs="微软雅黑"/>
          <w:b w:val="0"/>
          <w:bCs w:val="0"/>
          <w:i w:val="0"/>
          <w:iCs w:val="0"/>
          <w:snapToGrid w:val="0"/>
          <w:color w:val="auto"/>
          <w:kern w:val="0"/>
          <w:sz w:val="36"/>
          <w:szCs w:val="36"/>
          <w:shd w:val="clear" w:color="auto" w:fill="auto"/>
          <w:lang w:val="en-US" w:eastAsia="en-US" w:bidi="ar-SA"/>
        </w:rPr>
        <w:br w:type="page"/>
      </w:r>
    </w:p>
    <w:p w14:paraId="6480F1E5">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重庆理工职业学院培训楼中央空调安装工程于2021年实施，由于历史遗留问题迟迟未结算，为确保工程结算的真实性、准确性，现公开遴选选中介审计咨询服务单位（以下简称“供应商”）实施该项目的结算审计。具体需求如下:</w:t>
      </w:r>
    </w:p>
    <w:p w14:paraId="4801CD85">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黑体_GBK" w:cs="Times New Roman"/>
          <w:kern w:val="2"/>
          <w:sz w:val="24"/>
          <w:szCs w:val="24"/>
          <w:lang w:val="en-US" w:eastAsia="zh-CN" w:bidi="ar-SA"/>
        </w:rPr>
      </w:pPr>
      <w:r>
        <w:rPr>
          <w:rFonts w:hint="eastAsia" w:eastAsia="方正黑体_GBK" w:cs="Times New Roman"/>
          <w:kern w:val="2"/>
          <w:sz w:val="24"/>
          <w:szCs w:val="24"/>
          <w:lang w:val="en-US" w:eastAsia="zh-CN" w:bidi="ar-SA"/>
        </w:rPr>
        <w:t>一</w:t>
      </w:r>
      <w:r>
        <w:rPr>
          <w:rFonts w:hint="eastAsia" w:ascii="Times New Roman" w:hAnsi="Times New Roman" w:eastAsia="方正黑体_GBK" w:cs="Times New Roman"/>
          <w:kern w:val="2"/>
          <w:sz w:val="24"/>
          <w:szCs w:val="24"/>
          <w:lang w:val="en-US" w:eastAsia="zh-CN" w:bidi="ar-SA"/>
        </w:rPr>
        <w:t>、</w:t>
      </w:r>
      <w:r>
        <w:rPr>
          <w:rFonts w:hint="default" w:ascii="Times New Roman" w:hAnsi="Times New Roman" w:eastAsia="方正黑体_GBK" w:cs="Times New Roman"/>
          <w:kern w:val="2"/>
          <w:sz w:val="24"/>
          <w:szCs w:val="24"/>
          <w:lang w:val="en-US" w:eastAsia="zh-CN" w:bidi="ar-SA"/>
        </w:rPr>
        <w:t>资质要求
</w:t>
      </w:r>
    </w:p>
    <w:p w14:paraId="63B9F4D4">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（一）供应商</w:t>
      </w:r>
      <w:r>
        <w:rPr>
          <w:rFonts w:hint="default" w:ascii="Times New Roman" w:hAnsi="Times New Roman" w:eastAsia="方正仿宋_GBK" w:cs="Times New Roman"/>
          <w:sz w:val="24"/>
          <w:szCs w:val="24"/>
          <w:lang w:val="en-US" w:eastAsia="zh-CN"/>
        </w:rPr>
        <w:t>须为在中华人民共和国境内注册的独立法人或其他组织，具有有效的营业执照或事业单位法人证书，具备承担民事责任的能力。​</w:t>
      </w:r>
    </w:p>
    <w:p w14:paraId="5FAD8B42">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val="en-US" w:eastAsia="zh-CN"/>
        </w:rPr>
        <w:t>具备建设行政主管部门颁发的工程造价</w:t>
      </w:r>
      <w:r>
        <w:rPr>
          <w:rFonts w:hint="default" w:ascii="Times New Roman" w:hAnsi="Times New Roman" w:eastAsia="方正仿宋_GBK" w:cs="Times New Roman"/>
          <w:sz w:val="24"/>
          <w:szCs w:val="24"/>
          <w:highlight w:val="none"/>
          <w:lang w:val="en-US" w:eastAsia="zh-CN"/>
        </w:rPr>
        <w:t>咨询乙级及以上资质，资质证书处于有效期内。​</w:t>
      </w:r>
    </w:p>
    <w:p w14:paraId="40071833">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szCs w:val="24"/>
          <w:lang w:val="en-US" w:eastAsia="zh-CN"/>
        </w:rPr>
        <w:t>具有良好的商业信誉和健全的财务会计制度。​</w:t>
      </w:r>
    </w:p>
    <w:p w14:paraId="7FA0F494">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szCs w:val="24"/>
          <w:lang w:val="en-US" w:eastAsia="zh-CN"/>
        </w:rPr>
        <w:t>有依法缴纳税收和社会保障资金的良好记录。​</w:t>
      </w:r>
    </w:p>
    <w:p w14:paraId="4C64F5C2">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（五）</w:t>
      </w:r>
      <w:r>
        <w:rPr>
          <w:rFonts w:hint="default" w:ascii="Times New Roman" w:hAnsi="Times New Roman" w:eastAsia="方正仿宋_GBK" w:cs="Times New Roman"/>
          <w:sz w:val="24"/>
          <w:szCs w:val="24"/>
          <w:lang w:val="en-US" w:eastAsia="zh-CN"/>
        </w:rPr>
        <w:t>近三年内，在经营活动中没有重大违法记录，未被列入失信被执行人、重大税收违法案件当事人名单、政府采购严重违法失信行为记录名单。</w:t>
      </w:r>
    </w:p>
    <w:p w14:paraId="308E442E">
      <w:pPr>
        <w:keepNext w:val="0"/>
        <w:keepLines w:val="0"/>
        <w:pageBreakBefore w:val="0"/>
        <w:kinsoku/>
        <w:wordWrap/>
        <w:overflowPunct/>
        <w:topLinePunct w:val="0"/>
        <w:autoSpaceDE/>
        <w:autoSpaceDN/>
        <w:bidi w:val="0"/>
        <w:adjustRightInd/>
        <w:snapToGrid/>
        <w:spacing w:line="400" w:lineRule="exact"/>
        <w:ind w:firstLine="645"/>
        <w:textAlignment w:val="auto"/>
        <w:rPr>
          <w:rFonts w:eastAsia="方正黑体_GBK"/>
          <w:kern w:val="2"/>
          <w:sz w:val="24"/>
          <w:szCs w:val="24"/>
        </w:rPr>
      </w:pPr>
      <w:r>
        <w:rPr>
          <w:rFonts w:hint="eastAsia" w:eastAsia="方正黑体_GBK"/>
          <w:kern w:val="2"/>
          <w:sz w:val="24"/>
          <w:szCs w:val="24"/>
          <w:lang w:val="en-US" w:eastAsia="zh-CN"/>
        </w:rPr>
        <w:t>二</w:t>
      </w:r>
      <w:r>
        <w:rPr>
          <w:rFonts w:hint="eastAsia" w:eastAsia="方正黑体_GBK"/>
          <w:kern w:val="2"/>
          <w:sz w:val="24"/>
          <w:szCs w:val="24"/>
        </w:rPr>
        <w:t>、</w:t>
      </w:r>
      <w:r>
        <w:rPr>
          <w:rFonts w:eastAsia="方正黑体_GBK"/>
          <w:kern w:val="2"/>
          <w:sz w:val="24"/>
          <w:szCs w:val="24"/>
        </w:rPr>
        <w:t>人员要求​</w:t>
      </w:r>
    </w:p>
    <w:p w14:paraId="24EAA296">
      <w:pPr>
        <w:pStyle w:val="13"/>
        <w:keepNext w:val="0"/>
        <w:keepLines w:val="0"/>
        <w:pageBreakBefore w:val="0"/>
        <w:kinsoku/>
        <w:wordWrap/>
        <w:overflowPunct/>
        <w:topLinePunct w:val="0"/>
        <w:autoSpaceDE/>
        <w:autoSpaceDN/>
        <w:bidi w:val="0"/>
        <w:adjustRightInd/>
        <w:snapToGrid/>
        <w:spacing w:before="0" w:after="0" w:line="400" w:lineRule="exact"/>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楷体_GB2312" w:cs="Times New Roman"/>
          <w:sz w:val="24"/>
          <w:szCs w:val="24"/>
          <w:lang w:val="en-US" w:eastAsia="zh-CN"/>
        </w:rPr>
        <w:t>（一）服务团队要求：</w:t>
      </w:r>
      <w:r>
        <w:rPr>
          <w:rFonts w:hint="eastAsia" w:ascii="Times New Roman" w:hAnsi="Times New Roman" w:eastAsia="方正仿宋_GBK" w:cs="Times New Roman"/>
          <w:sz w:val="24"/>
          <w:szCs w:val="24"/>
        </w:rPr>
        <w:t xml:space="preserve">审计组人员数量原则上不少于 </w:t>
      </w: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rPr>
        <w:t xml:space="preserve"> 人（含项目负责人）</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至少应包含项目负责人1人，安装专业负责人1人。</w:t>
      </w:r>
    </w:p>
    <w:p w14:paraId="4F0A699A">
      <w:pPr>
        <w:pStyle w:val="13"/>
        <w:keepNext w:val="0"/>
        <w:keepLines w:val="0"/>
        <w:pageBreakBefore w:val="0"/>
        <w:kinsoku/>
        <w:wordWrap/>
        <w:overflowPunct/>
        <w:topLinePunct w:val="0"/>
        <w:autoSpaceDE/>
        <w:autoSpaceDN/>
        <w:bidi w:val="0"/>
        <w:adjustRightInd/>
        <w:snapToGrid/>
        <w:spacing w:before="0" w:after="0" w:line="400" w:lineRule="exact"/>
        <w:ind w:firstLine="480" w:firstLineChars="200"/>
        <w:jc w:val="both"/>
        <w:textAlignment w:val="auto"/>
        <w:rPr>
          <w:rFonts w:hint="eastAsia" w:ascii="Times New Roman" w:hAnsi="Times New Roman" w:eastAsia="方正仿宋_GBK" w:cs="Times New Roman"/>
          <w:sz w:val="24"/>
          <w:szCs w:val="24"/>
        </w:rPr>
      </w:pPr>
      <w:r>
        <w:rPr>
          <w:rFonts w:hint="eastAsia" w:ascii="Times New Roman" w:hAnsi="Times New Roman" w:eastAsia="方正楷体_GB2312" w:cs="Times New Roman"/>
          <w:sz w:val="24"/>
          <w:szCs w:val="24"/>
          <w:lang w:val="en-US" w:eastAsia="zh-CN"/>
        </w:rPr>
        <w:t>（二）项目负责人</w:t>
      </w:r>
      <w:r>
        <w:rPr>
          <w:rFonts w:hint="eastAsia" w:ascii="Times New Roman" w:hAnsi="Times New Roman" w:eastAsia="方正仿宋_GBK" w:cs="Times New Roman"/>
          <w:sz w:val="24"/>
          <w:szCs w:val="24"/>
          <w:lang w:val="en-US" w:eastAsia="zh-CN"/>
        </w:rPr>
        <w:t>：项目负责人需具备一级注册造价工程师注册证书和工程专业高级及以上职称，取得以上注册证书和职称证书不少于3年（以注册证初始注册时间为准），</w:t>
      </w:r>
      <w:r>
        <w:rPr>
          <w:rFonts w:hint="eastAsia" w:ascii="Times New Roman" w:hAnsi="Times New Roman" w:eastAsia="方正仿宋_GBK" w:cs="Times New Roman"/>
          <w:sz w:val="24"/>
          <w:szCs w:val="24"/>
        </w:rPr>
        <w:t>具备</w:t>
      </w:r>
      <w:r>
        <w:rPr>
          <w:rFonts w:hint="eastAsia" w:ascii="Times New Roman" w:hAnsi="Times New Roman" w:eastAsia="方正仿宋_GBK" w:cs="Times New Roman"/>
          <w:sz w:val="24"/>
          <w:szCs w:val="24"/>
          <w:lang w:val="en-US" w:eastAsia="zh-CN"/>
        </w:rPr>
        <w:t>5</w:t>
      </w:r>
      <w:r>
        <w:rPr>
          <w:rFonts w:hint="eastAsia" w:ascii="Times New Roman" w:hAnsi="Times New Roman" w:eastAsia="方正仿宋_GBK" w:cs="Times New Roman"/>
          <w:sz w:val="24"/>
          <w:szCs w:val="24"/>
        </w:rPr>
        <w:t xml:space="preserve"> 年以上工程审计或工程造价咨询工作经验，至少主持过 3 个</w:t>
      </w:r>
      <w:r>
        <w:rPr>
          <w:rFonts w:hint="eastAsia" w:ascii="Times New Roman" w:hAnsi="Times New Roman" w:eastAsia="方正仿宋_GBK" w:cs="Times New Roman"/>
          <w:sz w:val="24"/>
          <w:szCs w:val="24"/>
          <w:lang w:val="en-US" w:eastAsia="zh-CN"/>
        </w:rPr>
        <w:t>大型项目（投资金额500万元以上）</w:t>
      </w:r>
      <w:r>
        <w:rPr>
          <w:rFonts w:hint="eastAsia" w:ascii="Times New Roman" w:hAnsi="Times New Roman" w:eastAsia="方正仿宋_GBK" w:cs="Times New Roman"/>
          <w:sz w:val="24"/>
          <w:szCs w:val="24"/>
        </w:rPr>
        <w:t>工程审计</w:t>
      </w:r>
      <w:r>
        <w:rPr>
          <w:rFonts w:hint="eastAsia" w:ascii="Times New Roman" w:hAnsi="Times New Roman" w:eastAsia="方正仿宋_GBK" w:cs="Times New Roman"/>
          <w:sz w:val="24"/>
          <w:szCs w:val="24"/>
          <w:lang w:val="en-US" w:eastAsia="zh-CN"/>
        </w:rPr>
        <w:t>工作</w:t>
      </w:r>
      <w:r>
        <w:rPr>
          <w:rFonts w:hint="eastAsia" w:ascii="Times New Roman" w:hAnsi="Times New Roman" w:eastAsia="方正仿宋_GBK" w:cs="Times New Roman"/>
          <w:sz w:val="24"/>
          <w:szCs w:val="24"/>
        </w:rPr>
        <w:t>，能够独立组织和协调审计</w:t>
      </w:r>
      <w:r>
        <w:rPr>
          <w:rFonts w:hint="eastAsia" w:ascii="Times New Roman" w:hAnsi="Times New Roman" w:eastAsia="方正仿宋_GBK" w:cs="Times New Roman"/>
          <w:sz w:val="24"/>
          <w:szCs w:val="24"/>
          <w:lang w:val="en-US" w:eastAsia="zh-CN"/>
        </w:rPr>
        <w:t>项目的实施，</w:t>
      </w:r>
      <w:r>
        <w:rPr>
          <w:rFonts w:hint="eastAsia" w:ascii="Times New Roman" w:hAnsi="Times New Roman" w:eastAsia="方正仿宋_GBK" w:cs="Times New Roman"/>
          <w:sz w:val="24"/>
          <w:szCs w:val="24"/>
        </w:rPr>
        <w:t>熟悉国家</w:t>
      </w:r>
      <w:r>
        <w:rPr>
          <w:rFonts w:hint="eastAsia" w:ascii="Times New Roman" w:hAnsi="Times New Roman" w:eastAsia="方正仿宋_GBK" w:cs="Times New Roman"/>
          <w:sz w:val="24"/>
          <w:szCs w:val="24"/>
          <w:lang w:val="en-US" w:eastAsia="zh-CN"/>
        </w:rPr>
        <w:t>法律法规</w:t>
      </w:r>
      <w:r>
        <w:rPr>
          <w:rFonts w:hint="eastAsia" w:ascii="Times New Roman" w:hAnsi="Times New Roman" w:eastAsia="方正仿宋_GBK" w:cs="Times New Roman"/>
          <w:sz w:val="24"/>
          <w:szCs w:val="24"/>
        </w:rPr>
        <w:t>，具备良好的沟通协调能力和问题解决能力。</w:t>
      </w:r>
    </w:p>
    <w:p w14:paraId="2717B53F">
      <w:pPr>
        <w:pStyle w:val="13"/>
        <w:keepNext w:val="0"/>
        <w:keepLines w:val="0"/>
        <w:pageBreakBefore w:val="0"/>
        <w:kinsoku/>
        <w:wordWrap/>
        <w:overflowPunct/>
        <w:topLinePunct w:val="0"/>
        <w:autoSpaceDE/>
        <w:autoSpaceDN/>
        <w:bidi w:val="0"/>
        <w:adjustRightInd/>
        <w:snapToGrid/>
        <w:spacing w:before="0" w:after="0" w:line="400" w:lineRule="exact"/>
        <w:ind w:firstLine="480" w:firstLineChars="200"/>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楷体_GB2312" w:cs="Times New Roman"/>
          <w:sz w:val="24"/>
          <w:szCs w:val="24"/>
          <w:lang w:val="en-US" w:eastAsia="zh-CN"/>
        </w:rPr>
        <w:t>（三）安装专业负责人</w:t>
      </w:r>
      <w:r>
        <w:rPr>
          <w:rFonts w:hint="eastAsia" w:ascii="Times New Roman" w:hAnsi="Times New Roman" w:eastAsia="方正仿宋_GBK" w:cs="Times New Roman"/>
          <w:sz w:val="24"/>
          <w:szCs w:val="24"/>
          <w:lang w:val="en-US" w:eastAsia="zh-CN"/>
        </w:rPr>
        <w:t>：安装专业负责人需具备二级注册造价工程师（安装工程专业）注册证书，取得注册证书不少于3年（以注册证初始注册时间为准），</w:t>
      </w:r>
      <w:r>
        <w:rPr>
          <w:rFonts w:hint="eastAsia" w:ascii="Times New Roman" w:hAnsi="Times New Roman" w:eastAsia="方正仿宋_GBK" w:cs="Times New Roman"/>
          <w:sz w:val="24"/>
          <w:szCs w:val="24"/>
        </w:rPr>
        <w:t>且从事安装工程审计或造价工作不少于 5 年</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熟悉电气、给排水、暖通等安装工程图纸识读、工程量计算规则、安装工程施工工艺及流程，熟练掌握安装工程相关计价软件和办公软件。</w:t>
      </w:r>
      <w:r>
        <w:rPr>
          <w:rFonts w:hint="eastAsia" w:ascii="Times New Roman" w:hAnsi="Times New Roman" w:eastAsia="方正仿宋_GBK" w:cs="Times New Roman"/>
          <w:sz w:val="24"/>
          <w:szCs w:val="24"/>
          <w:lang w:val="en-US" w:eastAsia="zh-CN"/>
        </w:rPr>
        <w:t>参与3个及以上的大型项目（投资金额500万元以上）审计工作经验。</w:t>
      </w:r>
    </w:p>
    <w:p w14:paraId="630760F6">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黑体_GBK"/>
          <w:sz w:val="24"/>
          <w:szCs w:val="24"/>
          <w:lang w:val="en-US" w:eastAsia="zh-CN"/>
        </w:rPr>
      </w:pPr>
      <w:r>
        <w:rPr>
          <w:rFonts w:hint="eastAsia" w:eastAsia="方正黑体_GBK"/>
          <w:sz w:val="24"/>
          <w:szCs w:val="24"/>
          <w:lang w:val="en-US" w:eastAsia="zh-CN"/>
        </w:rPr>
        <w:t>三</w:t>
      </w:r>
      <w:r>
        <w:rPr>
          <w:rFonts w:ascii="Times New Roman" w:hAnsi="Times New Roman" w:eastAsia="方正黑体_GBK"/>
          <w:sz w:val="24"/>
          <w:szCs w:val="24"/>
        </w:rPr>
        <w:t>、</w:t>
      </w:r>
      <w:r>
        <w:rPr>
          <w:rFonts w:hint="eastAsia" w:ascii="Times New Roman" w:hAnsi="Times New Roman" w:eastAsia="方正黑体_GBK"/>
          <w:sz w:val="24"/>
          <w:szCs w:val="24"/>
        </w:rPr>
        <w:t>审</w:t>
      </w:r>
      <w:r>
        <w:rPr>
          <w:rFonts w:hint="eastAsia" w:eastAsia="方正黑体_GBK"/>
          <w:sz w:val="24"/>
          <w:szCs w:val="24"/>
          <w:lang w:val="en-US" w:eastAsia="zh-CN"/>
        </w:rPr>
        <w:t>计</w:t>
      </w:r>
      <w:r>
        <w:rPr>
          <w:rFonts w:hint="eastAsia" w:ascii="Times New Roman" w:hAnsi="Times New Roman" w:eastAsia="方正黑体_GBK"/>
          <w:sz w:val="24"/>
          <w:szCs w:val="24"/>
        </w:rPr>
        <w:t>服务费计算方法</w:t>
      </w:r>
      <w:r>
        <w:rPr>
          <w:rFonts w:hint="eastAsia" w:eastAsia="方正黑体_GBK"/>
          <w:sz w:val="24"/>
          <w:szCs w:val="24"/>
          <w:lang w:val="en-US" w:eastAsia="zh-CN"/>
        </w:rPr>
        <w:t>及限价</w:t>
      </w:r>
    </w:p>
    <w:p w14:paraId="1265F571">
      <w:pPr>
        <w:pStyle w:val="13"/>
        <w:keepNext w:val="0"/>
        <w:keepLines w:val="0"/>
        <w:pageBreakBefore w:val="0"/>
        <w:kinsoku/>
        <w:wordWrap/>
        <w:overflowPunct/>
        <w:topLinePunct w:val="0"/>
        <w:autoSpaceDE/>
        <w:autoSpaceDN/>
        <w:bidi w:val="0"/>
        <w:adjustRightInd/>
        <w:snapToGrid/>
        <w:spacing w:before="0" w:after="0" w:line="400" w:lineRule="exact"/>
        <w:ind w:firstLine="480" w:firstLineChars="200"/>
        <w:jc w:val="both"/>
        <w:textAlignment w:val="auto"/>
        <w:rPr>
          <w:rFonts w:hint="eastAsia" w:ascii="Times New Roman" w:hAnsi="Times New Roman" w:eastAsia="方正楷体_GB2312" w:cs="Times New Roman"/>
          <w:sz w:val="24"/>
          <w:szCs w:val="24"/>
          <w:lang w:val="en-US" w:eastAsia="zh-CN"/>
        </w:rPr>
      </w:pPr>
      <w:r>
        <w:rPr>
          <w:rFonts w:hint="eastAsia" w:ascii="Times New Roman" w:hAnsi="Times New Roman" w:eastAsia="方正楷体_GB2312" w:cs="Times New Roman"/>
          <w:sz w:val="24"/>
          <w:szCs w:val="24"/>
          <w:lang w:val="en-US" w:eastAsia="zh-CN"/>
        </w:rPr>
        <w:t>（一）结算编制（审核）基本收费</w:t>
      </w:r>
    </w:p>
    <w:tbl>
      <w:tblPr>
        <w:tblStyle w:val="9"/>
        <w:tblW w:w="5247" w:type="pct"/>
        <w:tblInd w:w="0" w:type="dxa"/>
        <w:tblLayout w:type="fixed"/>
        <w:tblCellMar>
          <w:top w:w="0" w:type="dxa"/>
          <w:left w:w="108" w:type="dxa"/>
          <w:bottom w:w="0" w:type="dxa"/>
          <w:right w:w="108" w:type="dxa"/>
        </w:tblCellMar>
      </w:tblPr>
      <w:tblGrid>
        <w:gridCol w:w="440"/>
        <w:gridCol w:w="1247"/>
        <w:gridCol w:w="1732"/>
        <w:gridCol w:w="1491"/>
        <w:gridCol w:w="953"/>
        <w:gridCol w:w="1050"/>
        <w:gridCol w:w="1085"/>
        <w:gridCol w:w="946"/>
      </w:tblGrid>
      <w:tr w14:paraId="32B24CE6">
        <w:tblPrEx>
          <w:tblCellMar>
            <w:top w:w="0" w:type="dxa"/>
            <w:left w:w="108" w:type="dxa"/>
            <w:bottom w:w="0" w:type="dxa"/>
            <w:right w:w="108" w:type="dxa"/>
          </w:tblCellMar>
        </w:tblPrEx>
        <w:trPr>
          <w:trHeight w:val="417"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490D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EEA8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费用类型</w:t>
            </w:r>
          </w:p>
        </w:tc>
        <w:tc>
          <w:tcPr>
            <w:tcW w:w="9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EF03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专业</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B62D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计费基数</w:t>
            </w:r>
          </w:p>
        </w:tc>
        <w:tc>
          <w:tcPr>
            <w:tcW w:w="22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C1611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收费费率（‰）</w:t>
            </w:r>
          </w:p>
        </w:tc>
      </w:tr>
      <w:tr w14:paraId="62B77D92">
        <w:tblPrEx>
          <w:tblCellMar>
            <w:top w:w="0" w:type="dxa"/>
            <w:left w:w="108" w:type="dxa"/>
            <w:bottom w:w="0" w:type="dxa"/>
            <w:right w:w="108" w:type="dxa"/>
          </w:tblCellMar>
        </w:tblPrEx>
        <w:trPr>
          <w:trHeight w:val="882"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369CA">
            <w:pPr>
              <w:jc w:val="center"/>
              <w:rPr>
                <w:rFonts w:hint="eastAsia" w:ascii="宋体" w:hAnsi="宋体" w:cs="宋体"/>
                <w:color w:val="000000"/>
                <w:sz w:val="18"/>
                <w:szCs w:val="18"/>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75A80">
            <w:pPr>
              <w:jc w:val="center"/>
              <w:rPr>
                <w:rFonts w:hint="eastAsia" w:ascii="宋体" w:hAnsi="宋体" w:cs="宋体"/>
                <w:color w:val="000000"/>
                <w:sz w:val="18"/>
                <w:szCs w:val="18"/>
              </w:rPr>
            </w:pPr>
          </w:p>
        </w:tc>
        <w:tc>
          <w:tcPr>
            <w:tcW w:w="9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4AA34">
            <w:pPr>
              <w:jc w:val="center"/>
              <w:rPr>
                <w:rFonts w:hint="eastAsia" w:ascii="宋体" w:hAnsi="宋体" w:cs="宋体"/>
                <w:color w:val="000000"/>
                <w:sz w:val="18"/>
                <w:szCs w:val="18"/>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94E03">
            <w:pPr>
              <w:jc w:val="center"/>
              <w:rPr>
                <w:rFonts w:hint="eastAsia" w:ascii="宋体" w:hAnsi="宋体" w:cs="宋体"/>
                <w:color w:val="000000"/>
                <w:sz w:val="18"/>
                <w:szCs w:val="18"/>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873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500万以内</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4A0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500万-1000万以内</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514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1000万到5000万以内</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EEA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5000万-1亿以内</w:t>
            </w:r>
          </w:p>
        </w:tc>
      </w:tr>
      <w:tr w14:paraId="3F6011FB">
        <w:tblPrEx>
          <w:tblCellMar>
            <w:top w:w="0" w:type="dxa"/>
            <w:left w:w="108" w:type="dxa"/>
            <w:bottom w:w="0" w:type="dxa"/>
            <w:right w:w="108" w:type="dxa"/>
          </w:tblCellMar>
        </w:tblPrEx>
        <w:trPr>
          <w:trHeight w:val="549"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1328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51AA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基本收费</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D89A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建筑、市政</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2EFD5">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送审</w:t>
            </w:r>
            <w:r>
              <w:rPr>
                <w:rFonts w:hint="eastAsia" w:ascii="宋体" w:hAnsi="宋体" w:cs="宋体"/>
                <w:color w:val="000000"/>
                <w:kern w:val="0"/>
                <w:sz w:val="18"/>
                <w:szCs w:val="18"/>
                <w:lang w:val="en-US" w:eastAsia="zh-CN" w:bidi="ar"/>
              </w:rPr>
              <w:t>金额</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8A7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E9BA">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A2120">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1.0</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1F58C">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0.8</w:t>
            </w:r>
          </w:p>
        </w:tc>
      </w:tr>
      <w:tr w14:paraId="49D3DA50">
        <w:tblPrEx>
          <w:tblCellMar>
            <w:top w:w="0" w:type="dxa"/>
            <w:left w:w="108" w:type="dxa"/>
            <w:bottom w:w="0" w:type="dxa"/>
            <w:right w:w="108" w:type="dxa"/>
          </w:tblCellMar>
        </w:tblPrEx>
        <w:trPr>
          <w:trHeight w:val="619"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54AC2">
            <w:pPr>
              <w:jc w:val="center"/>
              <w:rPr>
                <w:rFonts w:hint="eastAsia" w:ascii="宋体" w:hAnsi="宋体" w:cs="宋体"/>
                <w:color w:val="000000"/>
                <w:sz w:val="18"/>
                <w:szCs w:val="18"/>
              </w:rPr>
            </w:pP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73B5F">
            <w:pPr>
              <w:jc w:val="center"/>
              <w:rPr>
                <w:rFonts w:hint="eastAsia" w:ascii="宋体" w:hAnsi="宋体" w:cs="宋体"/>
                <w:color w:val="000000"/>
                <w:sz w:val="18"/>
                <w:szCs w:val="18"/>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0779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园林、安装、装饰、维修</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33F04">
            <w:pPr>
              <w:jc w:val="center"/>
              <w:rPr>
                <w:rFonts w:hint="eastAsia" w:ascii="宋体" w:hAnsi="宋体" w:cs="宋体"/>
                <w:color w:val="000000"/>
                <w:sz w:val="18"/>
                <w:szCs w:val="18"/>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45A6A">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04E65">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2.0</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4C39A">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1.5</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0F37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2</w:t>
            </w:r>
          </w:p>
        </w:tc>
      </w:tr>
    </w:tbl>
    <w:p w14:paraId="5A7F4B48">
      <w:pPr>
        <w:pStyle w:val="13"/>
        <w:keepNext w:val="0"/>
        <w:keepLines w:val="0"/>
        <w:pageBreakBefore w:val="0"/>
        <w:kinsoku/>
        <w:wordWrap/>
        <w:overflowPunct/>
        <w:topLinePunct w:val="0"/>
        <w:autoSpaceDE/>
        <w:autoSpaceDN/>
        <w:bidi w:val="0"/>
        <w:adjustRightInd/>
        <w:snapToGrid/>
        <w:spacing w:before="0" w:after="0" w:line="400" w:lineRule="exact"/>
        <w:ind w:firstLine="480" w:firstLineChars="20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结算编制（审核）基本收费折扣率不得超过 70%（即折扣率≤70%），</w:t>
      </w:r>
      <w:r>
        <w:rPr>
          <w:rFonts w:hint="eastAsia" w:ascii="Times New Roman" w:hAnsi="Times New Roman" w:eastAsia="方正仿宋_GBK" w:cs="Times New Roman"/>
          <w:sz w:val="24"/>
          <w:szCs w:val="24"/>
          <w:lang w:val="en-US" w:eastAsia="zh-CN"/>
        </w:rPr>
        <w:t>供应商可根据自身实力和市场行情</w:t>
      </w:r>
      <w:r>
        <w:rPr>
          <w:rFonts w:hint="default" w:ascii="Times New Roman" w:hAnsi="Times New Roman" w:eastAsia="方正仿宋_GBK" w:cs="Times New Roman"/>
          <w:sz w:val="24"/>
          <w:szCs w:val="24"/>
          <w:lang w:val="en-US" w:eastAsia="zh-CN"/>
        </w:rPr>
        <w:t>进行折扣率自主报价</w:t>
      </w:r>
      <w:r>
        <w:rPr>
          <w:rFonts w:hint="eastAsia" w:ascii="Times New Roman" w:hAnsi="Times New Roman" w:eastAsia="方正仿宋_GBK" w:cs="Times New Roman"/>
          <w:sz w:val="24"/>
          <w:szCs w:val="24"/>
          <w:lang w:val="en-US" w:eastAsia="zh-CN"/>
        </w:rPr>
        <w:t>。</w:t>
      </w:r>
    </w:p>
    <w:p w14:paraId="258598FD">
      <w:pPr>
        <w:pStyle w:val="13"/>
        <w:keepNext w:val="0"/>
        <w:keepLines w:val="0"/>
        <w:pageBreakBefore w:val="0"/>
        <w:kinsoku/>
        <w:wordWrap/>
        <w:overflowPunct/>
        <w:topLinePunct w:val="0"/>
        <w:autoSpaceDE/>
        <w:autoSpaceDN/>
        <w:bidi w:val="0"/>
        <w:adjustRightInd/>
        <w:snapToGrid/>
        <w:spacing w:before="0" w:after="0" w:line="400" w:lineRule="exact"/>
        <w:ind w:firstLine="480" w:firstLineChars="20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计算</w:t>
      </w:r>
      <w:r>
        <w:rPr>
          <w:rFonts w:hint="eastAsia" w:ascii="Times New Roman" w:hAnsi="Times New Roman" w:eastAsia="方正仿宋_GBK" w:cs="Times New Roman"/>
          <w:sz w:val="24"/>
          <w:szCs w:val="24"/>
          <w:lang w:val="en-US" w:eastAsia="zh-CN"/>
        </w:rPr>
        <w:t>方式</w:t>
      </w:r>
      <w:r>
        <w:rPr>
          <w:rFonts w:hint="default" w:ascii="Times New Roman" w:hAnsi="Times New Roman" w:eastAsia="方正仿宋_GBK" w:cs="Times New Roman"/>
          <w:sz w:val="24"/>
          <w:szCs w:val="24"/>
          <w:lang w:val="en-US" w:eastAsia="zh-CN"/>
        </w:rPr>
        <w:t>：以项目送审结算工程造价为基础，根据其金额所在区间选取对应收费费率</w:t>
      </w:r>
      <w:r>
        <w:rPr>
          <w:rFonts w:hint="eastAsia" w:ascii="Times New Roman" w:hAnsi="Times New Roman" w:eastAsia="方正仿宋_GBK" w:cs="Times New Roman"/>
          <w:sz w:val="24"/>
          <w:szCs w:val="24"/>
          <w:lang w:val="en-US" w:eastAsia="zh-CN"/>
        </w:rPr>
        <w:t>，再乘以报价折扣率。</w:t>
      </w:r>
    </w:p>
    <w:p w14:paraId="65E870CD">
      <w:pPr>
        <w:pStyle w:val="13"/>
        <w:keepNext w:val="0"/>
        <w:keepLines w:val="0"/>
        <w:pageBreakBefore w:val="0"/>
        <w:kinsoku/>
        <w:wordWrap/>
        <w:overflowPunct/>
        <w:topLinePunct w:val="0"/>
        <w:autoSpaceDE/>
        <w:autoSpaceDN/>
        <w:bidi w:val="0"/>
        <w:adjustRightInd/>
        <w:snapToGrid/>
        <w:spacing w:before="0" w:after="0" w:line="400" w:lineRule="exact"/>
        <w:ind w:firstLine="480" w:firstLineChars="200"/>
        <w:jc w:val="both"/>
        <w:textAlignment w:val="auto"/>
        <w:rPr>
          <w:rFonts w:hint="eastAsia" w:ascii="Times New Roman" w:hAnsi="Times New Roman" w:eastAsia="方正楷体_GB2312" w:cs="Times New Roman"/>
          <w:sz w:val="24"/>
          <w:szCs w:val="24"/>
          <w:lang w:val="en-US" w:eastAsia="zh-CN"/>
        </w:rPr>
      </w:pPr>
      <w:r>
        <w:rPr>
          <w:rFonts w:hint="eastAsia" w:ascii="Times New Roman" w:hAnsi="Times New Roman" w:eastAsia="方正楷体_GB2312" w:cs="Times New Roman"/>
          <w:sz w:val="24"/>
          <w:szCs w:val="24"/>
          <w:lang w:val="en-US" w:eastAsia="zh-CN"/>
        </w:rPr>
        <w:t>（二）审减效益费阶梯费率表</w:t>
      </w:r>
    </w:p>
    <w:tbl>
      <w:tblPr>
        <w:tblStyle w:val="9"/>
        <w:tblW w:w="4749" w:type="pct"/>
        <w:tblInd w:w="0" w:type="dxa"/>
        <w:tblLayout w:type="fixed"/>
        <w:tblCellMar>
          <w:top w:w="0" w:type="dxa"/>
          <w:left w:w="108" w:type="dxa"/>
          <w:bottom w:w="0" w:type="dxa"/>
          <w:right w:w="108" w:type="dxa"/>
        </w:tblCellMar>
      </w:tblPr>
      <w:tblGrid>
        <w:gridCol w:w="593"/>
        <w:gridCol w:w="1493"/>
        <w:gridCol w:w="986"/>
        <w:gridCol w:w="1239"/>
        <w:gridCol w:w="3784"/>
      </w:tblGrid>
      <w:tr w14:paraId="4B2AB851">
        <w:tblPrEx>
          <w:tblCellMar>
            <w:top w:w="0" w:type="dxa"/>
            <w:left w:w="108" w:type="dxa"/>
            <w:bottom w:w="0" w:type="dxa"/>
            <w:right w:w="108" w:type="dxa"/>
          </w:tblCellMar>
        </w:tblPrEx>
        <w:trPr>
          <w:trHeight w:val="681"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304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序号</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51AF4">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审减额区间</w:t>
            </w:r>
          </w:p>
        </w:tc>
        <w:tc>
          <w:tcPr>
            <w:tcW w:w="608" w:type="pct"/>
            <w:tcBorders>
              <w:top w:val="single" w:color="000000" w:sz="4" w:space="0"/>
              <w:left w:val="single" w:color="000000" w:sz="4" w:space="0"/>
              <w:right w:val="single" w:color="auto" w:sz="4" w:space="0"/>
            </w:tcBorders>
            <w:shd w:val="clear" w:color="auto" w:fill="auto"/>
            <w:vAlign w:val="center"/>
          </w:tcPr>
          <w:p w14:paraId="303CB83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收费费率（‰）</w:t>
            </w:r>
          </w:p>
        </w:tc>
        <w:tc>
          <w:tcPr>
            <w:tcW w:w="765" w:type="pct"/>
            <w:tcBorders>
              <w:top w:val="single" w:color="000000" w:sz="4" w:space="0"/>
              <w:left w:val="single" w:color="auto" w:sz="4" w:space="0"/>
              <w:right w:val="single" w:color="auto" w:sz="4" w:space="0"/>
            </w:tcBorders>
            <w:shd w:val="clear" w:color="auto" w:fill="auto"/>
            <w:vAlign w:val="center"/>
          </w:tcPr>
          <w:p w14:paraId="0C5C7F6D">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计算基数</w:t>
            </w:r>
          </w:p>
        </w:tc>
        <w:tc>
          <w:tcPr>
            <w:tcW w:w="2337" w:type="pct"/>
            <w:tcBorders>
              <w:top w:val="single" w:color="000000" w:sz="4" w:space="0"/>
              <w:left w:val="single" w:color="auto" w:sz="4" w:space="0"/>
              <w:right w:val="single" w:color="auto" w:sz="4" w:space="0"/>
            </w:tcBorders>
            <w:shd w:val="clear" w:color="auto" w:fill="auto"/>
            <w:vAlign w:val="center"/>
          </w:tcPr>
          <w:p w14:paraId="5617FBE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收费费用计算方式</w:t>
            </w:r>
          </w:p>
        </w:tc>
      </w:tr>
      <w:tr w14:paraId="150EF887">
        <w:tblPrEx>
          <w:tblCellMar>
            <w:top w:w="0" w:type="dxa"/>
            <w:left w:w="108" w:type="dxa"/>
            <w:bottom w:w="0" w:type="dxa"/>
            <w:right w:w="108" w:type="dxa"/>
          </w:tblCellMar>
        </w:tblPrEx>
        <w:trPr>
          <w:trHeight w:val="6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03C5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0F034">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bidi="ar"/>
              </w:rPr>
              <w:t>0 - 50 万元（含）</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0CB2D">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bidi="ar"/>
              </w:rPr>
              <w:t>50.00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AD675">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bidi="ar"/>
              </w:rPr>
              <w:t>该区间内实际审减金额</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2A43A">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bidi="ar"/>
              </w:rPr>
              <w:t>审减效益费 = 该区间内实际审减金额 ×5</w:t>
            </w:r>
            <w:r>
              <w:rPr>
                <w:rFonts w:hint="eastAsia" w:ascii="宋体" w:hAnsi="宋体" w:cs="宋体"/>
                <w:color w:val="000000"/>
                <w:kern w:val="0"/>
                <w:sz w:val="18"/>
                <w:szCs w:val="18"/>
                <w:lang w:val="en-US" w:eastAsia="zh-CN" w:bidi="ar"/>
              </w:rPr>
              <w:t>0</w:t>
            </w:r>
            <w:r>
              <w:rPr>
                <w:rFonts w:hint="eastAsia" w:ascii="宋体" w:hAnsi="宋体" w:cs="宋体"/>
                <w:color w:val="000000"/>
                <w:kern w:val="0"/>
                <w:sz w:val="18"/>
                <w:szCs w:val="18"/>
                <w:lang w:bidi="ar"/>
              </w:rPr>
              <w:t>.00</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 报价折扣率</w:t>
            </w:r>
          </w:p>
        </w:tc>
      </w:tr>
      <w:tr w14:paraId="4CC204C2">
        <w:tblPrEx>
          <w:tblCellMar>
            <w:top w:w="0" w:type="dxa"/>
            <w:left w:w="108" w:type="dxa"/>
            <w:bottom w:w="0" w:type="dxa"/>
            <w:right w:w="108" w:type="dxa"/>
          </w:tblCellMar>
        </w:tblPrEx>
        <w:trPr>
          <w:trHeight w:val="709"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1E020">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D71B9">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50 万元 - 200 万元（含）</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52E00">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55.00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6CDC6">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该区间内实际审减金额</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BA9B9">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审减效益费 = 该区间内实际审减金额 ×55.00</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 报价折扣率</w:t>
            </w:r>
          </w:p>
        </w:tc>
      </w:tr>
      <w:tr w14:paraId="0495A828">
        <w:tblPrEx>
          <w:tblCellMar>
            <w:top w:w="0" w:type="dxa"/>
            <w:left w:w="108" w:type="dxa"/>
            <w:bottom w:w="0" w:type="dxa"/>
            <w:right w:w="108" w:type="dxa"/>
          </w:tblCellMar>
        </w:tblPrEx>
        <w:trPr>
          <w:trHeight w:val="691"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92F0E">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C1E58">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200 万元 - 500 万元（含）</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CFB8C">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60.00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A4851">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该区间内实际审减金额</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41640">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审减效益费 = 该区间内实际审减金额 ×60.00</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 报价折扣率</w:t>
            </w:r>
          </w:p>
        </w:tc>
      </w:tr>
      <w:tr w14:paraId="3C36574C">
        <w:tblPrEx>
          <w:tblCellMar>
            <w:top w:w="0" w:type="dxa"/>
            <w:left w:w="108" w:type="dxa"/>
            <w:bottom w:w="0" w:type="dxa"/>
            <w:right w:w="108" w:type="dxa"/>
          </w:tblCellMar>
        </w:tblPrEx>
        <w:trPr>
          <w:trHeight w:val="709"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FEB17">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1A00">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500 万元以上</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F6C6E">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65.00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72D8">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该区间内实际审减金额</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BF792">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审减效益费 = 该区间内实际审减金额 ×65.00</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 报价折扣率</w:t>
            </w:r>
          </w:p>
        </w:tc>
      </w:tr>
      <w:tr w14:paraId="2CE8B7DD">
        <w:tblPrEx>
          <w:tblCellMar>
            <w:top w:w="0" w:type="dxa"/>
            <w:left w:w="108" w:type="dxa"/>
            <w:bottom w:w="0" w:type="dxa"/>
            <w:right w:w="108" w:type="dxa"/>
          </w:tblCellMar>
        </w:tblPrEx>
        <w:trPr>
          <w:trHeight w:val="8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758B26">
            <w:pPr>
              <w:widowControl/>
              <w:jc w:val="lef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若最终审减额跨越多个区间，需分段计算审减效益费，再将各段费用相加，得到总审减效益费。例如，审减额为 600 万元时，审减效益费计算如下：</w:t>
            </w:r>
          </w:p>
          <w:p w14:paraId="3A54AD3A">
            <w:pPr>
              <w:widowControl/>
              <w:jc w:val="lef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0 - 50 万元区间费用：500,000×50.00‰× 报价折扣率</w:t>
            </w:r>
          </w:p>
          <w:p w14:paraId="0349C26A">
            <w:pPr>
              <w:widowControl/>
              <w:jc w:val="lef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50 万元 - 200 万元区间费用：(2,000,000 - 500,000)×55.00‰× 报价折扣率</w:t>
            </w:r>
          </w:p>
          <w:p w14:paraId="7E0B3B41">
            <w:pPr>
              <w:widowControl/>
              <w:jc w:val="lef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200 万元 - 500 万元区间费用：(5,000,000 - 2,000,000)×60.00‰× 报价折扣率</w:t>
            </w:r>
          </w:p>
          <w:p w14:paraId="5CA9F1A6">
            <w:pPr>
              <w:widowControl/>
              <w:jc w:val="lef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500 万元以上区间费用：(6,000,000 - 5,000,000)×65.00‰× 报价折扣率</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总审减效益费 = 以上四段费用之和。</w:t>
            </w:r>
          </w:p>
        </w:tc>
      </w:tr>
    </w:tbl>
    <w:p w14:paraId="735823E3">
      <w:pPr>
        <w:pStyle w:val="13"/>
        <w:keepNext w:val="0"/>
        <w:keepLines w:val="0"/>
        <w:pageBreakBefore w:val="0"/>
        <w:kinsoku/>
        <w:wordWrap/>
        <w:overflowPunct/>
        <w:topLinePunct w:val="0"/>
        <w:autoSpaceDE/>
        <w:autoSpaceDN/>
        <w:bidi w:val="0"/>
        <w:adjustRightInd/>
        <w:snapToGrid/>
        <w:spacing w:before="0" w:after="0" w:line="400" w:lineRule="exact"/>
        <w:ind w:firstLine="480" w:firstLineChars="200"/>
        <w:jc w:val="both"/>
        <w:textAlignment w:val="auto"/>
        <w:rPr>
          <w:rFonts w:hint="eastAsia" w:ascii="Times New Roman" w:hAnsi="Times New Roman" w:eastAsia="方正楷体_GB2312" w:cs="Times New Roman"/>
          <w:sz w:val="24"/>
          <w:szCs w:val="24"/>
          <w:lang w:val="en-US" w:eastAsia="zh-CN"/>
        </w:rPr>
      </w:pPr>
      <w:r>
        <w:rPr>
          <w:rFonts w:hint="eastAsia" w:ascii="Times New Roman" w:hAnsi="Times New Roman" w:eastAsia="方正楷体_GB2312" w:cs="Times New Roman"/>
          <w:sz w:val="24"/>
          <w:szCs w:val="24"/>
          <w:lang w:val="en-US" w:eastAsia="zh-CN"/>
        </w:rPr>
        <w:t>（三）其他费用约定</w:t>
      </w:r>
    </w:p>
    <w:p w14:paraId="5521EC78">
      <w:pPr>
        <w:pStyle w:val="13"/>
        <w:keepNext w:val="0"/>
        <w:keepLines w:val="0"/>
        <w:pageBreakBefore w:val="0"/>
        <w:kinsoku/>
        <w:wordWrap/>
        <w:overflowPunct/>
        <w:topLinePunct w:val="0"/>
        <w:autoSpaceDE/>
        <w:autoSpaceDN/>
        <w:bidi w:val="0"/>
        <w:adjustRightInd/>
        <w:snapToGrid/>
        <w:spacing w:before="0" w:after="0" w:line="400" w:lineRule="exact"/>
        <w:ind w:firstLine="480" w:firstLineChars="20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需求内容或合同文件中出现的 “协助”“配合”“复核” 等工作内容，不单独收费，均包含在审核服务费中。</w:t>
      </w:r>
      <w:r>
        <w:rPr>
          <w:rFonts w:hint="eastAsia" w:ascii="Times New Roman" w:hAnsi="Times New Roman" w:eastAsia="方正仿宋_GBK" w:cs="Times New Roman"/>
          <w:sz w:val="24"/>
          <w:szCs w:val="24"/>
          <w:lang w:val="en-US" w:eastAsia="zh-CN"/>
        </w:rPr>
        <w:t>在服务期间，审计人员食宿、交通、安全等由服务单位自行承担。</w:t>
      </w:r>
    </w:p>
    <w:p w14:paraId="138E29D0">
      <w:pPr>
        <w:numPr>
          <w:ilvl w:val="0"/>
          <w:numId w:val="1"/>
        </w:numPr>
        <w:spacing w:line="560" w:lineRule="exact"/>
        <w:ind w:firstLine="480" w:firstLineChars="200"/>
        <w:jc w:val="left"/>
        <w:rPr>
          <w:rFonts w:hint="eastAsia" w:eastAsia="方正黑体_GBK"/>
          <w:sz w:val="24"/>
          <w:szCs w:val="24"/>
          <w:lang w:val="en-US" w:eastAsia="zh-CN"/>
        </w:rPr>
      </w:pPr>
      <w:r>
        <w:rPr>
          <w:rFonts w:hint="eastAsia" w:eastAsia="方正黑体_GBK"/>
          <w:sz w:val="24"/>
          <w:szCs w:val="24"/>
          <w:lang w:val="en-US" w:eastAsia="zh-CN"/>
        </w:rPr>
        <w:t>审计质量标准、时限要求、支付方式、违约责任详见附件《审计业务委托合同书（范本）》</w:t>
      </w:r>
    </w:p>
    <w:p w14:paraId="33FC3452">
      <w:pPr>
        <w:numPr>
          <w:ilvl w:val="0"/>
          <w:numId w:val="1"/>
        </w:numPr>
        <w:spacing w:line="560" w:lineRule="exact"/>
        <w:ind w:firstLine="480" w:firstLineChars="200"/>
        <w:jc w:val="left"/>
        <w:rPr>
          <w:rFonts w:hint="eastAsia" w:eastAsia="方正黑体_GBK"/>
          <w:sz w:val="24"/>
          <w:szCs w:val="24"/>
          <w:lang w:val="en-US" w:eastAsia="zh-CN"/>
        </w:rPr>
      </w:pPr>
      <w:bookmarkStart w:id="0" w:name="_Toc17324"/>
      <w:r>
        <w:rPr>
          <w:rFonts w:hint="eastAsia" w:eastAsia="方正黑体_GBK"/>
          <w:sz w:val="24"/>
          <w:szCs w:val="24"/>
          <w:lang w:val="en-US" w:eastAsia="zh-CN"/>
        </w:rPr>
        <w:t>评审标准</w:t>
      </w:r>
      <w:bookmarkEnd w:id="0"/>
    </w:p>
    <w:tbl>
      <w:tblPr>
        <w:tblStyle w:val="9"/>
        <w:tblpPr w:leftFromText="180" w:rightFromText="180" w:vertAnchor="text" w:horzAnchor="page" w:tblpX="1357" w:tblpY="343"/>
        <w:tblOverlap w:val="never"/>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25"/>
        <w:gridCol w:w="1284"/>
        <w:gridCol w:w="4622"/>
        <w:gridCol w:w="1734"/>
      </w:tblGrid>
      <w:tr w14:paraId="71D4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dxa"/>
            <w:noWrap w:val="0"/>
            <w:vAlign w:val="center"/>
          </w:tcPr>
          <w:p w14:paraId="355CF98F">
            <w:pPr>
              <w:spacing w:line="240" w:lineRule="atLeast"/>
              <w:ind w:left="0" w:leftChars="0" w:firstLine="0" w:firstLineChars="0"/>
              <w:jc w:val="both"/>
              <w:rPr>
                <w:rFonts w:hint="eastAsia" w:ascii="方正仿宋_GB2312" w:hAnsi="方正仿宋_GB2312" w:eastAsia="方正仿宋_GB2312" w:cs="方正仿宋_GB2312"/>
                <w:b/>
                <w:color w:val="000000"/>
                <w:sz w:val="24"/>
                <w:szCs w:val="24"/>
                <w:lang w:val="en-US" w:eastAsia="zh-CN"/>
              </w:rPr>
            </w:pPr>
            <w:r>
              <w:rPr>
                <w:rFonts w:hint="eastAsia" w:ascii="方正仿宋_GB2312" w:hAnsi="方正仿宋_GB2312" w:eastAsia="方正仿宋_GB2312" w:cs="方正仿宋_GB2312"/>
                <w:b/>
                <w:color w:val="000000"/>
                <w:sz w:val="20"/>
                <w:szCs w:val="20"/>
                <w:lang w:val="en-US" w:eastAsia="zh-CN"/>
              </w:rPr>
              <w:t>序号</w:t>
            </w:r>
          </w:p>
        </w:tc>
        <w:tc>
          <w:tcPr>
            <w:tcW w:w="1125" w:type="dxa"/>
            <w:noWrap w:val="0"/>
            <w:vAlign w:val="center"/>
          </w:tcPr>
          <w:p w14:paraId="48D0614E">
            <w:pPr>
              <w:spacing w:line="240" w:lineRule="atLeast"/>
              <w:ind w:left="0" w:leftChars="0" w:firstLine="0" w:firstLineChars="0"/>
              <w:jc w:val="both"/>
              <w:rPr>
                <w:rFonts w:hint="eastAsia" w:ascii="方正仿宋_GB2312" w:hAnsi="方正仿宋_GB2312" w:eastAsia="方正仿宋_GB2312" w:cs="方正仿宋_GB2312"/>
                <w:b/>
                <w:color w:val="000000"/>
                <w:sz w:val="24"/>
                <w:szCs w:val="24"/>
              </w:rPr>
            </w:pPr>
            <w:r>
              <w:rPr>
                <w:rFonts w:hint="eastAsia" w:ascii="方正仿宋_GB2312" w:hAnsi="方正仿宋_GB2312" w:eastAsia="方正仿宋_GB2312" w:cs="方正仿宋_GB2312"/>
                <w:b/>
                <w:color w:val="000000"/>
                <w:sz w:val="21"/>
                <w:szCs w:val="21"/>
              </w:rPr>
              <w:t>评分因素及权值</w:t>
            </w:r>
          </w:p>
        </w:tc>
        <w:tc>
          <w:tcPr>
            <w:tcW w:w="1284" w:type="dxa"/>
            <w:noWrap w:val="0"/>
            <w:vAlign w:val="center"/>
          </w:tcPr>
          <w:p w14:paraId="1C271ECB">
            <w:pPr>
              <w:spacing w:line="240" w:lineRule="atLeast"/>
              <w:ind w:left="0" w:leftChars="0" w:firstLine="0" w:firstLineChars="0"/>
              <w:jc w:val="center"/>
              <w:rPr>
                <w:rFonts w:hint="eastAsia" w:ascii="方正仿宋_GB2312" w:hAnsi="方正仿宋_GB2312" w:eastAsia="方正仿宋_GB2312" w:cs="方正仿宋_GB2312"/>
                <w:b/>
                <w:color w:val="000000"/>
                <w:sz w:val="24"/>
                <w:szCs w:val="24"/>
              </w:rPr>
            </w:pPr>
            <w:r>
              <w:rPr>
                <w:rFonts w:hint="eastAsia" w:ascii="方正仿宋_GB2312" w:hAnsi="方正仿宋_GB2312" w:eastAsia="方正仿宋_GB2312" w:cs="方正仿宋_GB2312"/>
                <w:b/>
                <w:color w:val="000000"/>
                <w:sz w:val="24"/>
                <w:szCs w:val="24"/>
              </w:rPr>
              <w:t>分值</w:t>
            </w:r>
          </w:p>
        </w:tc>
        <w:tc>
          <w:tcPr>
            <w:tcW w:w="4622" w:type="dxa"/>
            <w:noWrap w:val="0"/>
            <w:vAlign w:val="center"/>
          </w:tcPr>
          <w:p w14:paraId="24C7831F">
            <w:pPr>
              <w:spacing w:line="240" w:lineRule="atLeast"/>
              <w:ind w:firstLine="1687" w:firstLineChars="700"/>
              <w:jc w:val="both"/>
              <w:rPr>
                <w:rFonts w:hint="eastAsia" w:ascii="方正仿宋_GB2312" w:hAnsi="方正仿宋_GB2312" w:eastAsia="方正仿宋_GB2312" w:cs="方正仿宋_GB2312"/>
                <w:b/>
                <w:color w:val="000000"/>
                <w:sz w:val="24"/>
                <w:szCs w:val="24"/>
              </w:rPr>
            </w:pPr>
            <w:r>
              <w:rPr>
                <w:rFonts w:hint="eastAsia" w:ascii="方正仿宋_GB2312" w:hAnsi="方正仿宋_GB2312" w:eastAsia="方正仿宋_GB2312" w:cs="方正仿宋_GB2312"/>
                <w:b/>
                <w:color w:val="000000"/>
                <w:sz w:val="24"/>
                <w:szCs w:val="24"/>
              </w:rPr>
              <w:t>评分标准</w:t>
            </w:r>
          </w:p>
        </w:tc>
        <w:tc>
          <w:tcPr>
            <w:tcW w:w="1734" w:type="dxa"/>
            <w:noWrap w:val="0"/>
            <w:vAlign w:val="center"/>
          </w:tcPr>
          <w:p w14:paraId="3DB452FD">
            <w:pPr>
              <w:pStyle w:val="14"/>
              <w:spacing w:before="0" w:after="0" w:line="240" w:lineRule="atLeast"/>
              <w:jc w:val="both"/>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说明</w:t>
            </w:r>
          </w:p>
        </w:tc>
      </w:tr>
      <w:tr w14:paraId="5593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noWrap w:val="0"/>
            <w:vAlign w:val="center"/>
          </w:tcPr>
          <w:p w14:paraId="00C74053">
            <w:pPr>
              <w:spacing w:line="240" w:lineRule="atLeast"/>
              <w:ind w:left="0" w:leftChars="0" w:firstLine="0" w:firstLineChars="0"/>
              <w:jc w:val="left"/>
              <w:rPr>
                <w:rFonts w:hint="eastAsia" w:ascii="方正仿宋_GB2312" w:hAnsi="方正仿宋_GB2312" w:eastAsia="方正仿宋_GB2312" w:cs="方正仿宋_GB2312"/>
                <w:color w:val="000000"/>
                <w:sz w:val="22"/>
                <w:szCs w:val="22"/>
              </w:rPr>
            </w:pPr>
            <w:r>
              <w:rPr>
                <w:rFonts w:hint="eastAsia" w:ascii="方正仿宋_GB2312" w:hAnsi="方正仿宋_GB2312" w:eastAsia="方正仿宋_GB2312" w:cs="方正仿宋_GB2312"/>
                <w:color w:val="000000"/>
                <w:sz w:val="22"/>
                <w:szCs w:val="22"/>
              </w:rPr>
              <w:t>1</w:t>
            </w:r>
          </w:p>
        </w:tc>
        <w:tc>
          <w:tcPr>
            <w:tcW w:w="1125" w:type="dxa"/>
            <w:noWrap w:val="0"/>
            <w:vAlign w:val="center"/>
          </w:tcPr>
          <w:p w14:paraId="4CBA1A29">
            <w:pPr>
              <w:spacing w:line="240" w:lineRule="atLeast"/>
              <w:ind w:left="0" w:leftChars="0" w:firstLine="0" w:firstLineChars="0"/>
              <w:jc w:val="left"/>
              <w:rPr>
                <w:rFonts w:hint="default"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基本收费</w:t>
            </w:r>
            <w:r>
              <w:rPr>
                <w:rFonts w:hint="eastAsia" w:ascii="方正仿宋_GB2312" w:hAnsi="方正仿宋_GB2312" w:eastAsia="方正仿宋_GB2312" w:cs="方正仿宋_GB2312"/>
                <w:sz w:val="22"/>
                <w:szCs w:val="22"/>
              </w:rPr>
              <w:t>（</w:t>
            </w:r>
            <w:r>
              <w:rPr>
                <w:rFonts w:hint="eastAsia" w:ascii="方正仿宋_GB2312" w:hAnsi="方正仿宋_GB2312" w:eastAsia="方正仿宋_GB2312" w:cs="方正仿宋_GB2312"/>
                <w:sz w:val="22"/>
                <w:szCs w:val="22"/>
                <w:lang w:val="en-US" w:eastAsia="zh-CN"/>
              </w:rPr>
              <w:t>50</w:t>
            </w:r>
            <w:r>
              <w:rPr>
                <w:rFonts w:hint="eastAsia" w:ascii="方正仿宋_GB2312" w:hAnsi="方正仿宋_GB2312" w:eastAsia="方正仿宋_GB2312" w:cs="方正仿宋_GB2312"/>
                <w:sz w:val="22"/>
                <w:szCs w:val="22"/>
              </w:rPr>
              <w:t>%）</w:t>
            </w:r>
          </w:p>
        </w:tc>
        <w:tc>
          <w:tcPr>
            <w:tcW w:w="1284" w:type="dxa"/>
            <w:noWrap w:val="0"/>
            <w:vAlign w:val="center"/>
          </w:tcPr>
          <w:p w14:paraId="797E6374">
            <w:pPr>
              <w:numPr>
                <w:ilvl w:val="0"/>
                <w:numId w:val="0"/>
              </w:numPr>
              <w:spacing w:line="240" w:lineRule="atLeast"/>
              <w:jc w:val="left"/>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基本收费折扣率</w:t>
            </w:r>
          </w:p>
          <w:p w14:paraId="3A46C2EA">
            <w:pPr>
              <w:numPr>
                <w:ilvl w:val="0"/>
                <w:numId w:val="0"/>
              </w:numPr>
              <w:spacing w:line="240" w:lineRule="atLeast"/>
              <w:jc w:val="left"/>
              <w:rPr>
                <w:rFonts w:hint="eastAsia" w:ascii="方正仿宋_GB2312" w:hAnsi="方正仿宋_GB2312" w:eastAsia="方正仿宋_GB2312" w:cs="方正仿宋_GB2312"/>
                <w:sz w:val="22"/>
                <w:szCs w:val="22"/>
                <w:lang w:eastAsia="zh-CN"/>
              </w:rPr>
            </w:pPr>
            <w:r>
              <w:rPr>
                <w:rFonts w:hint="eastAsia" w:ascii="方正仿宋_GB2312" w:hAnsi="方正仿宋_GB2312" w:eastAsia="方正仿宋_GB2312" w:cs="方正仿宋_GB2312"/>
                <w:sz w:val="22"/>
                <w:szCs w:val="22"/>
                <w:lang w:val="en-US" w:eastAsia="zh-CN"/>
              </w:rPr>
              <w:t>（50</w:t>
            </w:r>
            <w:r>
              <w:rPr>
                <w:rFonts w:hint="eastAsia" w:ascii="方正仿宋_GB2312" w:hAnsi="方正仿宋_GB2312" w:eastAsia="方正仿宋_GB2312" w:cs="方正仿宋_GB2312"/>
                <w:sz w:val="22"/>
                <w:szCs w:val="22"/>
              </w:rPr>
              <w:t>分</w:t>
            </w:r>
            <w:r>
              <w:rPr>
                <w:rFonts w:hint="eastAsia" w:ascii="方正仿宋_GB2312" w:hAnsi="方正仿宋_GB2312" w:eastAsia="方正仿宋_GB2312" w:cs="方正仿宋_GB2312"/>
                <w:sz w:val="22"/>
                <w:szCs w:val="22"/>
                <w:lang w:eastAsia="zh-CN"/>
              </w:rPr>
              <w:t>）</w:t>
            </w:r>
          </w:p>
        </w:tc>
        <w:tc>
          <w:tcPr>
            <w:tcW w:w="4622" w:type="dxa"/>
            <w:noWrap w:val="0"/>
            <w:vAlign w:val="center"/>
          </w:tcPr>
          <w:p w14:paraId="1D6EF2A6">
            <w:pPr>
              <w:numPr>
                <w:ilvl w:val="0"/>
                <w:numId w:val="0"/>
              </w:numPr>
              <w:spacing w:line="240" w:lineRule="atLeast"/>
              <w:jc w:val="left"/>
              <w:rPr>
                <w:rFonts w:hint="eastAsia" w:ascii="方正仿宋_GB2312" w:hAnsi="方正仿宋_GB2312" w:eastAsia="方正仿宋_GB2312" w:cs="方正仿宋_GB2312"/>
                <w:sz w:val="22"/>
                <w:szCs w:val="22"/>
                <w:lang w:eastAsia="zh-CN"/>
              </w:rPr>
            </w:pPr>
            <w:r>
              <w:rPr>
                <w:rFonts w:hint="eastAsia" w:ascii="方正仿宋_GB2312" w:hAnsi="方正仿宋_GB2312" w:eastAsia="方正仿宋_GB2312" w:cs="方正仿宋_GB2312"/>
                <w:sz w:val="22"/>
                <w:szCs w:val="22"/>
              </w:rPr>
              <w:t>有效报价中的最低</w:t>
            </w:r>
            <w:r>
              <w:rPr>
                <w:rFonts w:hint="eastAsia" w:ascii="方正仿宋_GB2312" w:hAnsi="方正仿宋_GB2312" w:eastAsia="方正仿宋_GB2312" w:cs="方正仿宋_GB2312"/>
                <w:sz w:val="22"/>
                <w:szCs w:val="22"/>
                <w:lang w:val="en-US" w:eastAsia="zh-CN"/>
              </w:rPr>
              <w:t>折扣率</w:t>
            </w:r>
            <w:r>
              <w:rPr>
                <w:rFonts w:hint="eastAsia" w:ascii="方正仿宋_GB2312" w:hAnsi="方正仿宋_GB2312" w:eastAsia="方正仿宋_GB2312" w:cs="方正仿宋_GB2312"/>
                <w:sz w:val="22"/>
                <w:szCs w:val="22"/>
              </w:rPr>
              <w:t>为基准价，按照下列公式计算</w:t>
            </w:r>
            <w:r>
              <w:rPr>
                <w:rFonts w:hint="eastAsia" w:ascii="方正仿宋_GB2312" w:hAnsi="方正仿宋_GB2312" w:eastAsia="方正仿宋_GB2312" w:cs="方正仿宋_GB2312"/>
                <w:sz w:val="22"/>
                <w:szCs w:val="22"/>
                <w:lang w:val="en-US" w:eastAsia="zh-CN"/>
              </w:rPr>
              <w:t>报价</w:t>
            </w:r>
            <w:r>
              <w:rPr>
                <w:rFonts w:hint="eastAsia" w:ascii="方正仿宋_GB2312" w:hAnsi="方正仿宋_GB2312" w:eastAsia="方正仿宋_GB2312" w:cs="方正仿宋_GB2312"/>
                <w:sz w:val="22"/>
                <w:szCs w:val="22"/>
              </w:rPr>
              <w:t>得分。报价得分=（基准价/报价）×</w:t>
            </w:r>
            <w:r>
              <w:rPr>
                <w:rFonts w:hint="eastAsia" w:ascii="方正仿宋_GB2312" w:hAnsi="方正仿宋_GB2312" w:eastAsia="方正仿宋_GB2312" w:cs="方正仿宋_GB2312"/>
                <w:sz w:val="22"/>
                <w:szCs w:val="22"/>
                <w:lang w:val="en-US" w:eastAsia="zh-CN"/>
              </w:rPr>
              <w:t>分值（50）</w:t>
            </w:r>
          </w:p>
        </w:tc>
        <w:tc>
          <w:tcPr>
            <w:tcW w:w="1734" w:type="dxa"/>
            <w:noWrap w:val="0"/>
            <w:vAlign w:val="center"/>
          </w:tcPr>
          <w:p w14:paraId="5B2357A7">
            <w:pPr>
              <w:numPr>
                <w:ilvl w:val="0"/>
                <w:numId w:val="0"/>
              </w:numPr>
              <w:spacing w:line="240" w:lineRule="atLeast"/>
              <w:jc w:val="left"/>
              <w:rPr>
                <w:rFonts w:hint="default"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rPr>
              <w:t>取费比率保留整数</w:t>
            </w:r>
            <w:r>
              <w:rPr>
                <w:rFonts w:hint="eastAsia" w:ascii="方正仿宋_GB2312" w:hAnsi="方正仿宋_GB2312" w:eastAsia="方正仿宋_GB2312" w:cs="方正仿宋_GB2312"/>
                <w:sz w:val="22"/>
                <w:szCs w:val="22"/>
                <w:lang w:eastAsia="zh-CN"/>
              </w:rPr>
              <w:t>，</w:t>
            </w:r>
            <w:r>
              <w:rPr>
                <w:rFonts w:hint="eastAsia" w:ascii="方正仿宋_GB2312" w:hAnsi="方正仿宋_GB2312" w:eastAsia="方正仿宋_GB2312" w:cs="方正仿宋_GB2312"/>
                <w:sz w:val="22"/>
                <w:szCs w:val="22"/>
                <w:lang w:val="en-US" w:eastAsia="zh-CN"/>
              </w:rPr>
              <w:t>且</w:t>
            </w:r>
            <w:r>
              <w:rPr>
                <w:rFonts w:hint="eastAsia" w:ascii="宋体" w:hAnsi="宋体" w:eastAsia="宋体" w:cs="宋体"/>
                <w:sz w:val="22"/>
                <w:szCs w:val="22"/>
                <w:lang w:val="en-US" w:eastAsia="zh-CN"/>
              </w:rPr>
              <w:t>≦</w:t>
            </w:r>
            <w:r>
              <w:rPr>
                <w:rFonts w:hint="eastAsia" w:ascii="方正仿宋_GB2312" w:hAnsi="方正仿宋_GB2312" w:eastAsia="方正仿宋_GB2312" w:cs="方正仿宋_GB2312"/>
                <w:sz w:val="22"/>
                <w:szCs w:val="22"/>
                <w:lang w:val="en-US" w:eastAsia="zh-CN"/>
              </w:rPr>
              <w:t>70%</w:t>
            </w:r>
          </w:p>
        </w:tc>
      </w:tr>
      <w:tr w14:paraId="1780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62" w:type="dxa"/>
            <w:noWrap w:val="0"/>
            <w:vAlign w:val="center"/>
          </w:tcPr>
          <w:p w14:paraId="2C34F237">
            <w:pPr>
              <w:spacing w:line="240" w:lineRule="atLeast"/>
              <w:ind w:left="0" w:leftChars="0" w:firstLine="0" w:firstLineChars="0"/>
              <w:jc w:val="left"/>
              <w:rPr>
                <w:rFonts w:hint="eastAsia" w:ascii="方正仿宋_GB2312" w:hAnsi="方正仿宋_GB2312" w:eastAsia="方正仿宋_GB2312" w:cs="方正仿宋_GB2312"/>
                <w:color w:val="000000"/>
                <w:sz w:val="22"/>
                <w:szCs w:val="22"/>
                <w:lang w:val="en-US" w:eastAsia="zh-CN"/>
              </w:rPr>
            </w:pPr>
            <w:r>
              <w:rPr>
                <w:rFonts w:hint="eastAsia" w:ascii="方正仿宋_GB2312" w:hAnsi="方正仿宋_GB2312" w:eastAsia="方正仿宋_GB2312" w:cs="方正仿宋_GB2312"/>
                <w:color w:val="000000"/>
                <w:sz w:val="22"/>
                <w:szCs w:val="22"/>
                <w:lang w:val="en-US" w:eastAsia="zh-CN"/>
              </w:rPr>
              <w:t>2</w:t>
            </w:r>
          </w:p>
        </w:tc>
        <w:tc>
          <w:tcPr>
            <w:tcW w:w="1125" w:type="dxa"/>
            <w:noWrap w:val="0"/>
            <w:vAlign w:val="center"/>
          </w:tcPr>
          <w:p w14:paraId="2B7A9B3C">
            <w:pPr>
              <w:spacing w:line="240" w:lineRule="atLeast"/>
              <w:ind w:left="0" w:leftChars="0" w:firstLine="0" w:firstLineChars="0"/>
              <w:jc w:val="left"/>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审减效益费</w:t>
            </w:r>
            <w:r>
              <w:rPr>
                <w:rFonts w:hint="eastAsia" w:ascii="方正仿宋_GB2312" w:hAnsi="方正仿宋_GB2312" w:eastAsia="方正仿宋_GB2312" w:cs="方正仿宋_GB2312"/>
                <w:sz w:val="22"/>
                <w:szCs w:val="22"/>
              </w:rPr>
              <w:t>（</w:t>
            </w:r>
            <w:r>
              <w:rPr>
                <w:rFonts w:hint="eastAsia" w:ascii="方正仿宋_GB2312" w:hAnsi="方正仿宋_GB2312" w:eastAsia="方正仿宋_GB2312" w:cs="方正仿宋_GB2312"/>
                <w:sz w:val="22"/>
                <w:szCs w:val="22"/>
                <w:lang w:val="en-US" w:eastAsia="zh-CN"/>
              </w:rPr>
              <w:t>50</w:t>
            </w:r>
            <w:r>
              <w:rPr>
                <w:rFonts w:hint="eastAsia" w:ascii="方正仿宋_GB2312" w:hAnsi="方正仿宋_GB2312" w:eastAsia="方正仿宋_GB2312" w:cs="方正仿宋_GB2312"/>
                <w:sz w:val="22"/>
                <w:szCs w:val="22"/>
              </w:rPr>
              <w:t>%）</w:t>
            </w:r>
          </w:p>
        </w:tc>
        <w:tc>
          <w:tcPr>
            <w:tcW w:w="1284" w:type="dxa"/>
            <w:noWrap w:val="0"/>
            <w:vAlign w:val="center"/>
          </w:tcPr>
          <w:p w14:paraId="0C5F64A6">
            <w:pPr>
              <w:numPr>
                <w:ilvl w:val="0"/>
                <w:numId w:val="0"/>
              </w:numPr>
              <w:spacing w:line="240" w:lineRule="atLeast"/>
              <w:jc w:val="left"/>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lang w:val="en-US" w:eastAsia="zh-CN"/>
              </w:rPr>
              <w:t>审减效益</w:t>
            </w:r>
            <w:r>
              <w:rPr>
                <w:rFonts w:hint="eastAsia" w:ascii="方正仿宋_GB2312" w:hAnsi="方正仿宋_GB2312" w:eastAsia="方正仿宋_GB2312" w:cs="方正仿宋_GB2312"/>
                <w:sz w:val="22"/>
                <w:szCs w:val="22"/>
              </w:rPr>
              <w:t>折扣率</w:t>
            </w:r>
          </w:p>
          <w:p w14:paraId="022038E2">
            <w:pPr>
              <w:numPr>
                <w:ilvl w:val="0"/>
                <w:numId w:val="0"/>
              </w:numPr>
              <w:spacing w:line="240" w:lineRule="atLeast"/>
              <w:jc w:val="left"/>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（50</w:t>
            </w:r>
            <w:r>
              <w:rPr>
                <w:rFonts w:hint="eastAsia" w:ascii="方正仿宋_GB2312" w:hAnsi="方正仿宋_GB2312" w:eastAsia="方正仿宋_GB2312" w:cs="方正仿宋_GB2312"/>
                <w:sz w:val="22"/>
                <w:szCs w:val="22"/>
              </w:rPr>
              <w:t>分</w:t>
            </w:r>
            <w:r>
              <w:rPr>
                <w:rFonts w:hint="eastAsia" w:ascii="方正仿宋_GB2312" w:hAnsi="方正仿宋_GB2312" w:eastAsia="方正仿宋_GB2312" w:cs="方正仿宋_GB2312"/>
                <w:sz w:val="22"/>
                <w:szCs w:val="22"/>
                <w:lang w:eastAsia="zh-CN"/>
              </w:rPr>
              <w:t>）</w:t>
            </w:r>
          </w:p>
        </w:tc>
        <w:tc>
          <w:tcPr>
            <w:tcW w:w="4622" w:type="dxa"/>
            <w:noWrap w:val="0"/>
            <w:vAlign w:val="center"/>
          </w:tcPr>
          <w:p w14:paraId="0E02183A">
            <w:pPr>
              <w:numPr>
                <w:ilvl w:val="0"/>
                <w:numId w:val="0"/>
              </w:numPr>
              <w:spacing w:line="240" w:lineRule="atLeast"/>
              <w:jc w:val="left"/>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有效报价中的最低</w:t>
            </w:r>
            <w:r>
              <w:rPr>
                <w:rFonts w:hint="eastAsia" w:ascii="方正仿宋_GB2312" w:hAnsi="方正仿宋_GB2312" w:eastAsia="方正仿宋_GB2312" w:cs="方正仿宋_GB2312"/>
                <w:sz w:val="22"/>
                <w:szCs w:val="22"/>
                <w:lang w:val="en-US" w:eastAsia="zh-CN"/>
              </w:rPr>
              <w:t>折扣率</w:t>
            </w:r>
            <w:r>
              <w:rPr>
                <w:rFonts w:hint="eastAsia" w:ascii="方正仿宋_GB2312" w:hAnsi="方正仿宋_GB2312" w:eastAsia="方正仿宋_GB2312" w:cs="方正仿宋_GB2312"/>
                <w:sz w:val="22"/>
                <w:szCs w:val="22"/>
              </w:rPr>
              <w:t>为基准价，按照下列公式计算</w:t>
            </w:r>
            <w:r>
              <w:rPr>
                <w:rFonts w:hint="eastAsia" w:ascii="方正仿宋_GB2312" w:hAnsi="方正仿宋_GB2312" w:eastAsia="方正仿宋_GB2312" w:cs="方正仿宋_GB2312"/>
                <w:sz w:val="22"/>
                <w:szCs w:val="22"/>
                <w:lang w:val="en-US" w:eastAsia="zh-CN"/>
              </w:rPr>
              <w:t>报价</w:t>
            </w:r>
            <w:r>
              <w:rPr>
                <w:rFonts w:hint="eastAsia" w:ascii="方正仿宋_GB2312" w:hAnsi="方正仿宋_GB2312" w:eastAsia="方正仿宋_GB2312" w:cs="方正仿宋_GB2312"/>
                <w:sz w:val="22"/>
                <w:szCs w:val="22"/>
              </w:rPr>
              <w:t>得分。报价得分=（基准价/报价）×</w:t>
            </w:r>
            <w:r>
              <w:rPr>
                <w:rFonts w:hint="eastAsia" w:ascii="方正仿宋_GB2312" w:hAnsi="方正仿宋_GB2312" w:eastAsia="方正仿宋_GB2312" w:cs="方正仿宋_GB2312"/>
                <w:sz w:val="22"/>
                <w:szCs w:val="22"/>
                <w:lang w:val="en-US" w:eastAsia="zh-CN"/>
              </w:rPr>
              <w:t>分值（50）</w:t>
            </w:r>
          </w:p>
        </w:tc>
        <w:tc>
          <w:tcPr>
            <w:tcW w:w="1734" w:type="dxa"/>
            <w:noWrap w:val="0"/>
            <w:vAlign w:val="center"/>
          </w:tcPr>
          <w:p w14:paraId="5893D48E">
            <w:pPr>
              <w:numPr>
                <w:ilvl w:val="0"/>
                <w:numId w:val="0"/>
              </w:numPr>
              <w:spacing w:line="240" w:lineRule="atLeast"/>
              <w:jc w:val="left"/>
              <w:rPr>
                <w:rFonts w:hint="default" w:ascii="方正仿宋_GB2312" w:hAnsi="方正仿宋_GB2312" w:eastAsia="方正仿宋_GB2312" w:cs="方正仿宋_GB2312"/>
                <w:sz w:val="22"/>
                <w:szCs w:val="22"/>
                <w:lang w:val="en-US"/>
              </w:rPr>
            </w:pPr>
          </w:p>
        </w:tc>
      </w:tr>
      <w:tr w14:paraId="73DD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2" w:type="dxa"/>
            <w:noWrap w:val="0"/>
            <w:vAlign w:val="center"/>
          </w:tcPr>
          <w:p w14:paraId="39C65385">
            <w:pPr>
              <w:spacing w:line="240" w:lineRule="atLeast"/>
              <w:ind w:left="0" w:leftChars="0" w:firstLine="0" w:firstLineChars="0"/>
              <w:jc w:val="left"/>
              <w:rPr>
                <w:rFonts w:hint="default" w:ascii="方正仿宋_GB2312" w:hAnsi="方正仿宋_GB2312" w:eastAsia="方正仿宋_GB2312" w:cs="方正仿宋_GB2312"/>
                <w:color w:val="000000"/>
                <w:sz w:val="22"/>
                <w:szCs w:val="22"/>
                <w:lang w:val="en-US" w:eastAsia="zh-CN"/>
              </w:rPr>
            </w:pPr>
            <w:r>
              <w:rPr>
                <w:rFonts w:hint="eastAsia" w:ascii="方正仿宋_GB2312" w:hAnsi="方正仿宋_GB2312" w:eastAsia="方正仿宋_GB2312" w:cs="方正仿宋_GB2312"/>
                <w:color w:val="000000"/>
                <w:sz w:val="22"/>
                <w:szCs w:val="22"/>
                <w:lang w:val="en-US" w:eastAsia="zh-CN"/>
              </w:rPr>
              <w:t>3</w:t>
            </w:r>
          </w:p>
        </w:tc>
        <w:tc>
          <w:tcPr>
            <w:tcW w:w="7031" w:type="dxa"/>
            <w:gridSpan w:val="3"/>
            <w:noWrap w:val="0"/>
            <w:vAlign w:val="center"/>
          </w:tcPr>
          <w:p w14:paraId="23A20CBA">
            <w:pPr>
              <w:numPr>
                <w:ilvl w:val="0"/>
                <w:numId w:val="0"/>
              </w:numPr>
              <w:spacing w:line="240" w:lineRule="auto"/>
              <w:jc w:val="left"/>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lang w:val="en-US" w:eastAsia="zh-CN"/>
              </w:rPr>
              <w:t>审计服务费报价分=基本收费得分+审减效益费得分</w:t>
            </w:r>
          </w:p>
          <w:p w14:paraId="747467F8">
            <w:pPr>
              <w:numPr>
                <w:ilvl w:val="0"/>
                <w:numId w:val="0"/>
              </w:numPr>
              <w:spacing w:line="240" w:lineRule="auto"/>
              <w:jc w:val="left"/>
              <w:rPr>
                <w:rFonts w:hint="default"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b/>
                <w:bCs/>
                <w:sz w:val="21"/>
                <w:szCs w:val="21"/>
                <w:lang w:val="en-US" w:eastAsia="zh-CN"/>
              </w:rPr>
              <w:t>满足资质要求及人员要求且报价得分最高的为成交候选人。</w:t>
            </w:r>
          </w:p>
        </w:tc>
        <w:tc>
          <w:tcPr>
            <w:tcW w:w="1734" w:type="dxa"/>
            <w:noWrap w:val="0"/>
            <w:vAlign w:val="center"/>
          </w:tcPr>
          <w:p w14:paraId="2B3A454F">
            <w:pPr>
              <w:numPr>
                <w:ilvl w:val="0"/>
                <w:numId w:val="0"/>
              </w:numPr>
              <w:spacing w:line="240" w:lineRule="atLeast"/>
              <w:jc w:val="left"/>
              <w:rPr>
                <w:rFonts w:hint="default" w:ascii="方正仿宋_GB2312" w:hAnsi="方正仿宋_GB2312" w:eastAsia="方正仿宋_GB2312" w:cs="方正仿宋_GB2312"/>
                <w:sz w:val="22"/>
                <w:szCs w:val="22"/>
                <w:lang w:val="en-US"/>
              </w:rPr>
            </w:pPr>
          </w:p>
        </w:tc>
      </w:tr>
    </w:tbl>
    <w:p w14:paraId="46C5A27B">
      <w:pPr>
        <w:spacing w:line="560" w:lineRule="exact"/>
        <w:ind w:firstLine="480" w:firstLineChars="200"/>
        <w:jc w:val="left"/>
        <w:rPr>
          <w:rFonts w:hint="eastAsia" w:eastAsia="方正黑体_GBK"/>
          <w:sz w:val="24"/>
          <w:szCs w:val="24"/>
          <w:lang w:val="en-US" w:eastAsia="zh-CN"/>
        </w:rPr>
      </w:pPr>
      <w:r>
        <w:rPr>
          <w:rFonts w:hint="eastAsia" w:eastAsia="方正黑体_GBK"/>
          <w:sz w:val="24"/>
          <w:szCs w:val="24"/>
          <w:lang w:val="en-US" w:eastAsia="zh-CN"/>
        </w:rPr>
        <w:t>六、其他</w:t>
      </w:r>
      <w:bookmarkStart w:id="1" w:name="_GoBack"/>
      <w:bookmarkEnd w:id="1"/>
    </w:p>
    <w:p w14:paraId="6185CD0F">
      <w:pPr>
        <w:pStyle w:val="8"/>
        <w:ind w:left="0" w:leftChars="0" w:firstLine="480" w:firstLineChars="200"/>
        <w:rPr>
          <w:rFonts w:hint="eastAsia"/>
        </w:rPr>
      </w:pPr>
      <w:r>
        <w:rPr>
          <w:rFonts w:hint="eastAsia"/>
        </w:rPr>
        <w:t>请有意向的潜在供应商在重庆理工职业学院官网校企合作一体化招标采购平台（http://www.cqip.com.cn/html/15/Index.shtml）“下载中心”下载询价单电子文件，并于2025年8月2</w:t>
      </w:r>
      <w:r>
        <w:rPr>
          <w:rFonts w:hint="eastAsia"/>
          <w:lang w:val="en-US" w:eastAsia="zh-CN"/>
        </w:rPr>
        <w:t>1</w:t>
      </w:r>
      <w:r>
        <w:rPr>
          <w:rFonts w:hint="eastAsia"/>
        </w:rPr>
        <w:t>日下午15:00前将①已盖章的报价表</w:t>
      </w:r>
      <w:r>
        <w:rPr>
          <w:rFonts w:hint="eastAsia"/>
          <w:lang w:val="en-US" w:eastAsia="zh-CN"/>
        </w:rPr>
        <w:t>电子版</w:t>
      </w:r>
      <w:r>
        <w:rPr>
          <w:rFonts w:hint="eastAsia"/>
        </w:rPr>
        <w:t>②营业执照及资质</w:t>
      </w:r>
      <w:r>
        <w:rPr>
          <w:rFonts w:hint="eastAsia"/>
          <w:lang w:val="en-US" w:eastAsia="zh-CN"/>
        </w:rPr>
        <w:t>扫描件</w:t>
      </w:r>
      <w:r>
        <w:rPr>
          <w:rFonts w:hint="default" w:ascii="Calibri" w:hAnsi="Calibri" w:cs="Calibri"/>
          <w:lang w:val="en-US" w:eastAsia="zh-CN"/>
        </w:rPr>
        <w:t>③</w:t>
      </w:r>
      <w:r>
        <w:rPr>
          <w:rFonts w:hint="eastAsia"/>
          <w:lang w:val="en-US" w:eastAsia="zh-CN"/>
        </w:rPr>
        <w:t>服务团队人员简历及执业证书 发送至采购人邮箱：46674281@qq.com</w:t>
      </w:r>
      <w:r>
        <w:rPr>
          <w:rFonts w:hint="eastAsia"/>
        </w:rPr>
        <w:t>，</w:t>
      </w:r>
      <w:r>
        <w:rPr>
          <w:rFonts w:hint="eastAsia"/>
          <w:lang w:val="en-US" w:eastAsia="zh-CN"/>
        </w:rPr>
        <w:t>邮箱标题</w:t>
      </w:r>
      <w:r>
        <w:rPr>
          <w:rFonts w:hint="eastAsia"/>
        </w:rPr>
        <w:t>注明：培训楼中央空调安装工程结算审计</w:t>
      </w:r>
      <w:r>
        <w:rPr>
          <w:rFonts w:hint="eastAsia"/>
          <w:lang w:val="en-US" w:eastAsia="zh-CN"/>
        </w:rPr>
        <w:t>报价</w:t>
      </w:r>
      <w:r>
        <w:rPr>
          <w:rFonts w:hint="eastAsia"/>
        </w:rPr>
        <w:t>。</w:t>
      </w:r>
    </w:p>
    <w:p w14:paraId="76B9B7D3">
      <w:pPr>
        <w:pStyle w:val="8"/>
        <w:ind w:left="0" w:leftChars="0" w:firstLine="480" w:firstLineChars="200"/>
        <w:jc w:val="both"/>
        <w:rPr>
          <w:rFonts w:hint="eastAsia"/>
        </w:rPr>
      </w:pPr>
    </w:p>
    <w:p w14:paraId="2AE36C87">
      <w:pPr>
        <w:pStyle w:val="8"/>
        <w:ind w:left="0" w:leftChars="0" w:firstLine="480" w:firstLineChars="200"/>
        <w:jc w:val="center"/>
        <w:rPr>
          <w:rFonts w:hint="eastAsia"/>
          <w:lang w:val="en-US" w:eastAsia="zh-CN"/>
        </w:rPr>
      </w:pPr>
      <w:r>
        <w:rPr>
          <w:rFonts w:hint="eastAsia"/>
          <w:lang w:val="en-US" w:eastAsia="zh-CN"/>
        </w:rPr>
        <w:t xml:space="preserve">                       </w:t>
      </w:r>
      <w:r>
        <w:rPr>
          <w:rFonts w:hint="eastAsia"/>
        </w:rPr>
        <w:t>采购人：重庆理工职业学院</w:t>
      </w:r>
      <w:r>
        <w:rPr>
          <w:rFonts w:hint="eastAsia"/>
          <w:lang w:val="en-US" w:eastAsia="zh-CN"/>
        </w:rPr>
        <w:t xml:space="preserve">   </w:t>
      </w:r>
    </w:p>
    <w:p w14:paraId="2A207829">
      <w:pPr>
        <w:pStyle w:val="8"/>
        <w:ind w:left="0" w:leftChars="0" w:firstLine="480" w:firstLineChars="200"/>
        <w:jc w:val="right"/>
        <w:rPr>
          <w:rFonts w:hint="eastAsia"/>
        </w:rPr>
      </w:pPr>
      <w:r>
        <w:rPr>
          <w:rFonts w:hint="eastAsia"/>
        </w:rPr>
        <w:t>联系人:张老师，电话:16623604445。</w:t>
      </w:r>
    </w:p>
    <w:p w14:paraId="0F6EA26B">
      <w:pPr>
        <w:pStyle w:val="8"/>
        <w:jc w:val="right"/>
      </w:pPr>
      <w:r>
        <w:rPr>
          <w:rFonts w:hint="eastAsia"/>
        </w:rPr>
        <w:t>2025年8月1</w:t>
      </w:r>
      <w:r>
        <w:rPr>
          <w:rFonts w:hint="eastAsia"/>
          <w:lang w:val="en-US" w:eastAsia="zh-CN"/>
        </w:rPr>
        <w:t>5</w:t>
      </w:r>
      <w:r>
        <w:rPr>
          <w:rFonts w:hint="eastAsia"/>
        </w:rPr>
        <w:t>日</w:t>
      </w:r>
    </w:p>
    <w:p w14:paraId="2C73340C">
      <w:pPr>
        <w:rPr>
          <w:rFonts w:hint="eastAsia" w:ascii="方正小标宋_GBK" w:hAnsi="方正小标宋_GBK" w:eastAsia="方正小标宋_GBK" w:cs="方正小标宋_GBK"/>
          <w:b/>
          <w:color w:val="000000"/>
          <w:kern w:val="2"/>
          <w:sz w:val="28"/>
          <w:szCs w:val="28"/>
          <w:lang w:val="en-US" w:eastAsia="zh-CN" w:bidi="ar-SA"/>
        </w:rPr>
      </w:pPr>
      <w:r>
        <w:rPr>
          <w:rFonts w:hint="eastAsia" w:ascii="方正小标宋_GBK" w:hAnsi="方正小标宋_GBK" w:eastAsia="方正小标宋_GBK" w:cs="方正小标宋_GBK"/>
          <w:b/>
          <w:color w:val="000000"/>
          <w:kern w:val="2"/>
          <w:sz w:val="28"/>
          <w:szCs w:val="28"/>
          <w:lang w:val="en-US" w:eastAsia="zh-CN" w:bidi="ar-SA"/>
        </w:rPr>
        <w:br w:type="page"/>
      </w:r>
    </w:p>
    <w:p w14:paraId="2D1DDAA5">
      <w:pPr>
        <w:widowControl/>
        <w:tabs>
          <w:tab w:val="left" w:pos="6300"/>
        </w:tabs>
        <w:snapToGrid w:val="0"/>
        <w:spacing w:line="400" w:lineRule="exact"/>
        <w:jc w:val="center"/>
        <w:textAlignment w:val="baseline"/>
        <w:rPr>
          <w:rFonts w:hint="eastAsia" w:ascii="方正小标宋_GBK" w:hAnsi="方正小标宋_GBK" w:eastAsia="方正小标宋_GBK" w:cs="方正小标宋_GBK"/>
          <w:b/>
          <w:color w:val="000000"/>
          <w:kern w:val="2"/>
          <w:sz w:val="28"/>
          <w:szCs w:val="28"/>
          <w:lang w:val="en-US" w:eastAsia="zh-CN" w:bidi="ar-SA"/>
        </w:rPr>
      </w:pPr>
      <w:r>
        <w:rPr>
          <w:rFonts w:hint="eastAsia" w:ascii="方正小标宋_GBK" w:hAnsi="方正小标宋_GBK" w:eastAsia="方正小标宋_GBK" w:cs="方正小标宋_GBK"/>
          <w:b/>
          <w:color w:val="000000"/>
          <w:kern w:val="2"/>
          <w:sz w:val="28"/>
          <w:szCs w:val="28"/>
          <w:lang w:val="en-US" w:eastAsia="zh-CN" w:bidi="ar-SA"/>
        </w:rPr>
        <w:t>报价表</w:t>
      </w:r>
    </w:p>
    <w:p w14:paraId="25C09020">
      <w:pPr>
        <w:widowControl/>
        <w:snapToGrid w:val="0"/>
        <w:spacing w:line="400" w:lineRule="exact"/>
        <w:textAlignment w:val="baseline"/>
        <w:rPr>
          <w:rFonts w:hint="eastAsia" w:ascii="宋体" w:hAnsi="宋体"/>
          <w:color w:val="000000"/>
          <w:kern w:val="2"/>
          <w:sz w:val="22"/>
          <w:szCs w:val="22"/>
          <w:u w:val="single"/>
          <w:lang w:val="en-US" w:eastAsia="zh-CN" w:bidi="ar-SA"/>
        </w:rPr>
      </w:pPr>
      <w:r>
        <w:rPr>
          <w:rFonts w:hint="eastAsia" w:ascii="宋体" w:hAnsi="宋体"/>
          <w:color w:val="000000"/>
          <w:kern w:val="2"/>
          <w:sz w:val="22"/>
          <w:szCs w:val="22"/>
          <w:u w:val="single"/>
          <w:lang w:val="en-US" w:eastAsia="zh-CN" w:bidi="ar-SA"/>
        </w:rPr>
        <w:t>重庆理工职业学院：</w:t>
      </w:r>
    </w:p>
    <w:p w14:paraId="4B2B939B">
      <w:pPr>
        <w:widowControl/>
        <w:snapToGrid w:val="0"/>
        <w:spacing w:line="400" w:lineRule="exact"/>
        <w:ind w:firstLine="440" w:firstLineChars="200"/>
        <w:textAlignment w:val="baseline"/>
        <w:rPr>
          <w:rFonts w:hint="eastAsia" w:ascii="宋体" w:hAnsi="宋体"/>
          <w:color w:val="000000"/>
          <w:kern w:val="2"/>
          <w:sz w:val="22"/>
          <w:szCs w:val="22"/>
          <w:lang w:val="en-US" w:eastAsia="zh-CN" w:bidi="ar-SA"/>
        </w:rPr>
      </w:pPr>
      <w:r>
        <w:rPr>
          <w:rFonts w:hint="eastAsia" w:ascii="宋体" w:hAnsi="宋体"/>
          <w:color w:val="000000"/>
          <w:kern w:val="2"/>
          <w:sz w:val="22"/>
          <w:szCs w:val="22"/>
          <w:lang w:val="en-US" w:eastAsia="zh-CN" w:bidi="ar-SA"/>
        </w:rPr>
        <w:t>1.我方已仔细阅读、理解《培训楼中央空调安装工程结算审计询价通知书》及全部附件（含《审计业务委托合同书》）的内容，现就参与本项目报价作出如下承诺：</w:t>
      </w:r>
    </w:p>
    <w:p w14:paraId="7C26A530">
      <w:pPr>
        <w:widowControl/>
        <w:snapToGrid w:val="0"/>
        <w:spacing w:line="400" w:lineRule="exact"/>
        <w:ind w:firstLine="440" w:firstLineChars="200"/>
        <w:textAlignment w:val="baseline"/>
        <w:rPr>
          <w:rFonts w:hint="eastAsia" w:ascii="宋体" w:hAnsi="宋体"/>
          <w:color w:val="000000"/>
          <w:kern w:val="2"/>
          <w:sz w:val="22"/>
          <w:szCs w:val="22"/>
          <w:lang w:val="en-US" w:eastAsia="zh-CN" w:bidi="ar-SA"/>
        </w:rPr>
      </w:pPr>
      <w:r>
        <w:rPr>
          <w:rFonts w:hint="eastAsia" w:ascii="宋体" w:hAnsi="宋体"/>
          <w:color w:val="000000"/>
          <w:kern w:val="2"/>
          <w:sz w:val="22"/>
          <w:szCs w:val="22"/>
          <w:lang w:val="en-US" w:eastAsia="zh-CN" w:bidi="ar-SA"/>
        </w:rPr>
        <w:t>我方接受询价通知书中关于服务团队、审计费计算方式、审计质量标准、时限要求、履约责任等全部条款约定。</w:t>
      </w:r>
    </w:p>
    <w:p w14:paraId="5E91370D">
      <w:pPr>
        <w:widowControl/>
        <w:snapToGrid w:val="0"/>
        <w:spacing w:line="400" w:lineRule="exact"/>
        <w:ind w:firstLine="660" w:firstLineChars="300"/>
        <w:textAlignment w:val="baseline"/>
        <w:rPr>
          <w:rFonts w:hint="eastAsia" w:ascii="宋体" w:hAnsi="宋体"/>
          <w:color w:val="000000"/>
          <w:kern w:val="2"/>
          <w:sz w:val="22"/>
          <w:szCs w:val="22"/>
          <w:lang w:val="en-US" w:eastAsia="zh-CN" w:bidi="ar-SA"/>
        </w:rPr>
      </w:pPr>
      <w:r>
        <w:rPr>
          <w:rFonts w:hint="eastAsia" w:ascii="宋体" w:hAnsi="宋体"/>
          <w:color w:val="000000"/>
          <w:kern w:val="2"/>
          <w:sz w:val="22"/>
          <w:szCs w:val="22"/>
          <w:lang w:val="en-US" w:eastAsia="zh-CN" w:bidi="ar-SA"/>
        </w:rPr>
        <w:t>2.我方结合自身实力，综合考虑各项成本后报价如下：</w:t>
      </w:r>
    </w:p>
    <w:tbl>
      <w:tblPr>
        <w:tblStyle w:val="10"/>
        <w:tblW w:w="8967"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3051"/>
        <w:gridCol w:w="3613"/>
      </w:tblGrid>
      <w:tr w14:paraId="21D7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tcPr>
          <w:p w14:paraId="6ABC92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iCs w:val="0"/>
                <w:caps w:val="0"/>
                <w:color w:val="1C1F23"/>
                <w:spacing w:val="0"/>
                <w:kern w:val="2"/>
                <w:sz w:val="22"/>
                <w:szCs w:val="22"/>
                <w:shd w:val="clear" w:fill="FFFFFF"/>
                <w:vertAlign w:val="baseline"/>
                <w:lang w:val="en-US" w:eastAsia="zh-CN" w:bidi="ar-SA"/>
              </w:rPr>
            </w:pPr>
            <w:r>
              <w:rPr>
                <w:rFonts w:hint="eastAsia" w:ascii="宋体" w:hAnsi="宋体" w:eastAsia="宋体" w:cs="宋体"/>
                <w:b/>
                <w:bCs/>
                <w:i w:val="0"/>
                <w:iCs w:val="0"/>
                <w:caps w:val="0"/>
                <w:color w:val="1C1F23"/>
                <w:spacing w:val="0"/>
                <w:kern w:val="2"/>
                <w:sz w:val="22"/>
                <w:szCs w:val="22"/>
                <w:shd w:val="clear" w:fill="FFFFFF"/>
                <w:lang w:val="en-US" w:eastAsia="zh-CN" w:bidi="ar-SA"/>
              </w:rPr>
              <w:t>费用项目</w:t>
            </w:r>
          </w:p>
        </w:tc>
        <w:tc>
          <w:tcPr>
            <w:tcW w:w="3051" w:type="dxa"/>
          </w:tcPr>
          <w:p w14:paraId="7BCB1A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iCs w:val="0"/>
                <w:caps w:val="0"/>
                <w:color w:val="1C1F23"/>
                <w:spacing w:val="0"/>
                <w:kern w:val="2"/>
                <w:sz w:val="22"/>
                <w:szCs w:val="22"/>
                <w:shd w:val="clear" w:fill="FFFFFF"/>
                <w:vertAlign w:val="baseline"/>
                <w:lang w:val="en-US" w:eastAsia="zh-CN" w:bidi="ar-SA"/>
              </w:rPr>
            </w:pPr>
            <w:r>
              <w:rPr>
                <w:rFonts w:hint="eastAsia" w:ascii="宋体" w:hAnsi="宋体" w:eastAsia="宋体" w:cs="宋体"/>
                <w:b/>
                <w:bCs/>
                <w:i w:val="0"/>
                <w:iCs w:val="0"/>
                <w:caps w:val="0"/>
                <w:color w:val="1C1F23"/>
                <w:spacing w:val="0"/>
                <w:kern w:val="2"/>
                <w:sz w:val="22"/>
                <w:szCs w:val="22"/>
                <w:shd w:val="clear" w:fill="FFFFFF"/>
                <w:lang w:val="en-US" w:eastAsia="zh-CN" w:bidi="ar-SA"/>
              </w:rPr>
              <w:t>折扣率（%）</w:t>
            </w:r>
          </w:p>
        </w:tc>
        <w:tc>
          <w:tcPr>
            <w:tcW w:w="3613" w:type="dxa"/>
          </w:tcPr>
          <w:p w14:paraId="3A33F5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iCs w:val="0"/>
                <w:caps w:val="0"/>
                <w:color w:val="1C1F23"/>
                <w:spacing w:val="0"/>
                <w:kern w:val="2"/>
                <w:sz w:val="22"/>
                <w:szCs w:val="22"/>
                <w:shd w:val="clear" w:fill="FFFFFF"/>
                <w:vertAlign w:val="baseline"/>
                <w:lang w:val="en-US" w:eastAsia="zh-CN" w:bidi="ar-SA"/>
              </w:rPr>
            </w:pPr>
            <w:r>
              <w:rPr>
                <w:rFonts w:hint="eastAsia" w:ascii="宋体" w:hAnsi="宋体" w:eastAsia="宋体" w:cs="宋体"/>
                <w:b/>
                <w:bCs/>
                <w:i w:val="0"/>
                <w:iCs w:val="0"/>
                <w:caps w:val="0"/>
                <w:color w:val="1C1F23"/>
                <w:spacing w:val="0"/>
                <w:kern w:val="2"/>
                <w:sz w:val="22"/>
                <w:szCs w:val="22"/>
                <w:shd w:val="clear" w:fill="FFFFFF"/>
                <w:lang w:val="en-US" w:eastAsia="zh-CN" w:bidi="ar-SA"/>
              </w:rPr>
              <w:t>大写金额</w:t>
            </w:r>
          </w:p>
        </w:tc>
      </w:tr>
      <w:tr w14:paraId="6CE8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303" w:type="dxa"/>
            <w:vAlign w:val="center"/>
          </w:tcPr>
          <w:p w14:paraId="449D2A36">
            <w:pPr>
              <w:widowControl w:val="0"/>
              <w:snapToGrid w:val="0"/>
              <w:spacing w:line="400" w:lineRule="exact"/>
              <w:jc w:val="center"/>
              <w:textAlignment w:val="baseline"/>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18"/>
                <w:szCs w:val="18"/>
                <w:lang w:val="en-US" w:eastAsia="zh-CN" w:bidi="ar-SA"/>
              </w:rPr>
              <w:t>基本收费</w:t>
            </w:r>
          </w:p>
        </w:tc>
        <w:tc>
          <w:tcPr>
            <w:tcW w:w="3051" w:type="dxa"/>
          </w:tcPr>
          <w:p w14:paraId="268BB77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i w:val="0"/>
                <w:iCs w:val="0"/>
                <w:caps w:val="0"/>
                <w:color w:val="1C1F23"/>
                <w:spacing w:val="0"/>
                <w:kern w:val="2"/>
                <w:sz w:val="21"/>
                <w:szCs w:val="21"/>
                <w:shd w:val="clear" w:fill="FFFFFF"/>
                <w:vertAlign w:val="baseline"/>
                <w:lang w:val="en-US" w:eastAsia="zh-CN" w:bidi="ar-SA"/>
              </w:rPr>
            </w:pPr>
          </w:p>
        </w:tc>
        <w:tc>
          <w:tcPr>
            <w:tcW w:w="3613" w:type="dxa"/>
          </w:tcPr>
          <w:p w14:paraId="130582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i w:val="0"/>
                <w:iCs w:val="0"/>
                <w:caps w:val="0"/>
                <w:color w:val="1C1F23"/>
                <w:spacing w:val="0"/>
                <w:kern w:val="2"/>
                <w:sz w:val="21"/>
                <w:szCs w:val="21"/>
                <w:shd w:val="clear" w:fill="FFFFFF"/>
                <w:vertAlign w:val="baseline"/>
                <w:lang w:val="en-US" w:eastAsia="zh-CN" w:bidi="ar-SA"/>
              </w:rPr>
            </w:pPr>
          </w:p>
        </w:tc>
      </w:tr>
      <w:tr w14:paraId="0BA7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03" w:type="dxa"/>
            <w:vAlign w:val="center"/>
          </w:tcPr>
          <w:p w14:paraId="0D1572FB">
            <w:pPr>
              <w:widowControl w:val="0"/>
              <w:snapToGrid w:val="0"/>
              <w:spacing w:line="400" w:lineRule="exact"/>
              <w:jc w:val="center"/>
              <w:textAlignment w:val="baseline"/>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18"/>
                <w:szCs w:val="18"/>
                <w:lang w:val="en-US" w:eastAsia="zh-CN" w:bidi="ar-SA"/>
              </w:rPr>
              <w:t>审减效益费</w:t>
            </w:r>
          </w:p>
        </w:tc>
        <w:tc>
          <w:tcPr>
            <w:tcW w:w="3051" w:type="dxa"/>
          </w:tcPr>
          <w:p w14:paraId="5167021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i w:val="0"/>
                <w:iCs w:val="0"/>
                <w:caps w:val="0"/>
                <w:color w:val="1C1F23"/>
                <w:spacing w:val="0"/>
                <w:kern w:val="2"/>
                <w:sz w:val="21"/>
                <w:szCs w:val="21"/>
                <w:shd w:val="clear" w:fill="FFFFFF"/>
                <w:vertAlign w:val="baseline"/>
                <w:lang w:val="en-US" w:eastAsia="zh-CN" w:bidi="ar-SA"/>
              </w:rPr>
            </w:pPr>
          </w:p>
        </w:tc>
        <w:tc>
          <w:tcPr>
            <w:tcW w:w="3613" w:type="dxa"/>
          </w:tcPr>
          <w:p w14:paraId="242D9BD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i w:val="0"/>
                <w:iCs w:val="0"/>
                <w:caps w:val="0"/>
                <w:color w:val="1C1F23"/>
                <w:spacing w:val="0"/>
                <w:kern w:val="2"/>
                <w:sz w:val="21"/>
                <w:szCs w:val="21"/>
                <w:shd w:val="clear" w:fill="FFFFFF"/>
                <w:vertAlign w:val="baseline"/>
                <w:lang w:val="en-US" w:eastAsia="zh-CN" w:bidi="ar-SA"/>
              </w:rPr>
            </w:pPr>
          </w:p>
        </w:tc>
      </w:tr>
    </w:tbl>
    <w:p w14:paraId="439F0997">
      <w:pPr>
        <w:widowControl/>
        <w:numPr>
          <w:ilvl w:val="0"/>
          <w:numId w:val="0"/>
        </w:numPr>
        <w:snapToGrid w:val="0"/>
        <w:spacing w:line="400" w:lineRule="exact"/>
        <w:ind w:firstLine="660" w:firstLineChars="300"/>
        <w:textAlignment w:val="baseline"/>
        <w:rPr>
          <w:rFonts w:hint="eastAsia" w:ascii="宋体" w:hAnsi="宋体"/>
          <w:color w:val="000000"/>
          <w:kern w:val="2"/>
          <w:sz w:val="22"/>
          <w:szCs w:val="22"/>
          <w:lang w:val="en-US" w:eastAsia="zh-CN" w:bidi="ar-SA"/>
        </w:rPr>
      </w:pPr>
      <w:r>
        <w:rPr>
          <w:rFonts w:hint="eastAsia" w:ascii="宋体" w:hAnsi="宋体"/>
          <w:color w:val="000000"/>
          <w:kern w:val="2"/>
          <w:sz w:val="22"/>
          <w:szCs w:val="22"/>
          <w:lang w:val="en-US" w:eastAsia="zh-CN" w:bidi="ar-SA"/>
        </w:rPr>
        <w:t>3.我方承诺：</w:t>
      </w:r>
    </w:p>
    <w:p w14:paraId="44F3E30E">
      <w:pPr>
        <w:widowControl/>
        <w:numPr>
          <w:ilvl w:val="0"/>
          <w:numId w:val="0"/>
        </w:numPr>
        <w:snapToGrid w:val="0"/>
        <w:spacing w:line="400" w:lineRule="exact"/>
        <w:ind w:firstLine="660" w:firstLineChars="300"/>
        <w:textAlignment w:val="baseline"/>
        <w:rPr>
          <w:rFonts w:hint="eastAsia" w:ascii="宋体" w:hAnsi="宋体"/>
          <w:color w:val="000000"/>
          <w:kern w:val="2"/>
          <w:sz w:val="22"/>
          <w:szCs w:val="22"/>
          <w:lang w:val="en-US" w:eastAsia="zh-CN" w:bidi="ar-SA"/>
        </w:rPr>
      </w:pPr>
      <w:r>
        <w:rPr>
          <w:rFonts w:hint="eastAsia" w:ascii="宋体" w:hAnsi="宋体"/>
          <w:color w:val="000000"/>
          <w:kern w:val="2"/>
          <w:sz w:val="22"/>
          <w:szCs w:val="22"/>
          <w:lang w:val="en-US" w:eastAsia="zh-CN" w:bidi="ar-SA"/>
        </w:rPr>
        <w:t>（1）我方具有良好的商业信誉和健全的财务会计制度。​</w:t>
      </w:r>
    </w:p>
    <w:p w14:paraId="65EEEFE7">
      <w:pPr>
        <w:widowControl/>
        <w:snapToGrid w:val="0"/>
        <w:spacing w:line="400" w:lineRule="exact"/>
        <w:ind w:firstLine="660" w:firstLineChars="300"/>
        <w:textAlignment w:val="baseline"/>
        <w:rPr>
          <w:rFonts w:hint="eastAsia" w:ascii="宋体" w:hAnsi="宋体"/>
          <w:color w:val="000000"/>
          <w:kern w:val="2"/>
          <w:sz w:val="22"/>
          <w:szCs w:val="22"/>
          <w:lang w:val="en-US" w:eastAsia="zh-CN" w:bidi="ar-SA"/>
        </w:rPr>
      </w:pPr>
      <w:r>
        <w:rPr>
          <w:rFonts w:hint="eastAsia" w:ascii="宋体" w:hAnsi="宋体"/>
          <w:color w:val="000000"/>
          <w:kern w:val="2"/>
          <w:sz w:val="22"/>
          <w:szCs w:val="22"/>
          <w:lang w:val="en-US" w:eastAsia="zh-CN" w:bidi="ar-SA"/>
        </w:rPr>
        <w:t>（2）我方有依法缴纳税收和社会保障资金的良好记录。​</w:t>
      </w:r>
    </w:p>
    <w:p w14:paraId="7B38C805">
      <w:pPr>
        <w:widowControl/>
        <w:snapToGrid w:val="0"/>
        <w:spacing w:line="400" w:lineRule="exact"/>
        <w:ind w:firstLine="660" w:firstLineChars="300"/>
        <w:textAlignment w:val="baseline"/>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（3）我方近三年内，在经营活动中没有重大违法记录，未被列入失信被执行人、重大税收违法案件当事人名单、政府采购严重违法失信行为记录名单。</w:t>
      </w:r>
    </w:p>
    <w:p w14:paraId="46BF2C89">
      <w:pPr>
        <w:widowControl/>
        <w:snapToGrid w:val="0"/>
        <w:spacing w:line="400" w:lineRule="exact"/>
        <w:ind w:firstLine="660" w:firstLineChars="300"/>
        <w:textAlignment w:val="baseline"/>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 xml:space="preserve">4.我方承诺如我方中标，在收到成交通知书后，在规定期限内与你方签订合同； </w:t>
      </w:r>
    </w:p>
    <w:p w14:paraId="0ACB0457">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660" w:firstLineChars="300"/>
        <w:jc w:val="both"/>
        <w:textAlignment w:val="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5.我方在此声明，所递交的响应文件及有关资料内容完整、真实和准确，如发现虚假资料或与事实不符导致投标无效的，一切法律和经济责任由我方承担。</w:t>
      </w:r>
    </w:p>
    <w:p w14:paraId="2694F4E8">
      <w:pPr>
        <w:widowControl/>
        <w:snapToGrid w:val="0"/>
        <w:spacing w:line="400" w:lineRule="exact"/>
        <w:ind w:firstLine="660" w:firstLineChars="300"/>
        <w:textAlignment w:val="baseline"/>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 xml:space="preserve">6.（其他补充说明）____________________ </w:t>
      </w:r>
    </w:p>
    <w:p w14:paraId="6E623157">
      <w:pPr>
        <w:widowControl/>
        <w:snapToGrid w:val="0"/>
        <w:spacing w:line="400" w:lineRule="exact"/>
        <w:ind w:firstLine="660" w:firstLineChars="300"/>
        <w:textAlignment w:val="baseline"/>
        <w:rPr>
          <w:rFonts w:hint="eastAsia" w:ascii="宋体" w:hAnsi="宋体"/>
          <w:color w:val="000000"/>
          <w:kern w:val="2"/>
          <w:sz w:val="22"/>
          <w:szCs w:val="22"/>
          <w:lang w:val="en-US" w:eastAsia="zh-CN" w:bidi="ar-SA"/>
        </w:rPr>
      </w:pPr>
    </w:p>
    <w:p w14:paraId="00569A6F">
      <w:pPr>
        <w:widowControl/>
        <w:snapToGrid w:val="0"/>
        <w:spacing w:line="400" w:lineRule="exact"/>
        <w:ind w:firstLine="660" w:firstLineChars="300"/>
        <w:textAlignment w:val="baseline"/>
        <w:rPr>
          <w:rFonts w:hint="eastAsia" w:ascii="宋体" w:hAnsi="宋体"/>
          <w:color w:val="000000"/>
          <w:kern w:val="2"/>
          <w:sz w:val="22"/>
          <w:szCs w:val="22"/>
          <w:lang w:val="en-US" w:eastAsia="zh-CN" w:bidi="ar-SA"/>
        </w:rPr>
      </w:pPr>
    </w:p>
    <w:p w14:paraId="6915F329">
      <w:pPr>
        <w:widowControl/>
        <w:snapToGrid w:val="0"/>
        <w:spacing w:line="400" w:lineRule="exact"/>
        <w:ind w:firstLine="660" w:firstLineChars="300"/>
        <w:textAlignment w:val="baseline"/>
        <w:rPr>
          <w:rFonts w:hint="eastAsia" w:ascii="宋体" w:hAnsi="宋体"/>
          <w:color w:val="000000"/>
          <w:kern w:val="2"/>
          <w:sz w:val="22"/>
          <w:szCs w:val="22"/>
          <w:lang w:val="en-US" w:eastAsia="zh-CN" w:bidi="ar-SA"/>
        </w:rPr>
      </w:pPr>
    </w:p>
    <w:p w14:paraId="6599445D">
      <w:pPr>
        <w:widowControl/>
        <w:snapToGrid w:val="0"/>
        <w:spacing w:line="400" w:lineRule="exact"/>
        <w:ind w:firstLine="660" w:firstLineChars="300"/>
        <w:textAlignment w:val="baseline"/>
        <w:rPr>
          <w:rFonts w:hint="eastAsia" w:ascii="宋体" w:hAnsi="宋体"/>
          <w:color w:val="000000"/>
          <w:kern w:val="2"/>
          <w:sz w:val="22"/>
          <w:szCs w:val="22"/>
          <w:lang w:val="en-US" w:eastAsia="zh-CN" w:bidi="ar-SA"/>
        </w:rPr>
      </w:pPr>
    </w:p>
    <w:p w14:paraId="4841225C">
      <w:pPr>
        <w:widowControl/>
        <w:snapToGrid w:val="0"/>
        <w:spacing w:line="400" w:lineRule="exact"/>
        <w:ind w:firstLine="660" w:firstLineChars="300"/>
        <w:textAlignment w:val="baseline"/>
        <w:rPr>
          <w:rFonts w:hint="eastAsia" w:ascii="宋体" w:hAnsi="宋体"/>
          <w:color w:val="000000"/>
          <w:kern w:val="2"/>
          <w:sz w:val="22"/>
          <w:szCs w:val="22"/>
          <w:lang w:val="en-US" w:eastAsia="zh-CN" w:bidi="ar-SA"/>
        </w:rPr>
      </w:pPr>
    </w:p>
    <w:p w14:paraId="31C1BE7E">
      <w:pPr>
        <w:widowControl/>
        <w:snapToGrid w:val="0"/>
        <w:spacing w:line="360" w:lineRule="auto"/>
        <w:ind w:firstLine="660" w:firstLineChars="300"/>
        <w:jc w:val="right"/>
        <w:textAlignment w:val="baseline"/>
        <w:rPr>
          <w:rFonts w:hint="eastAsia" w:ascii="宋体" w:hAnsi="宋体" w:eastAsia="宋体" w:cs="宋体"/>
          <w:color w:val="000000"/>
          <w:kern w:val="2"/>
          <w:sz w:val="22"/>
          <w:szCs w:val="22"/>
          <w:lang w:val="en-US" w:eastAsia="zh-CN" w:bidi="ar-SA"/>
        </w:rPr>
      </w:pPr>
      <w:r>
        <w:rPr>
          <w:rFonts w:hint="eastAsia" w:ascii="宋体" w:hAnsi="宋体"/>
          <w:color w:val="000000"/>
          <w:kern w:val="2"/>
          <w:sz w:val="22"/>
          <w:szCs w:val="22"/>
          <w:lang w:val="en-US" w:eastAsia="zh-CN" w:bidi="ar-SA"/>
        </w:rPr>
        <w:t xml:space="preserve">  </w:t>
      </w:r>
      <w:r>
        <w:rPr>
          <w:rFonts w:hint="eastAsia" w:ascii="宋体" w:hAnsi="宋体" w:eastAsia="宋体" w:cs="宋体"/>
          <w:color w:val="000000"/>
          <w:kern w:val="2"/>
          <w:sz w:val="22"/>
          <w:szCs w:val="22"/>
          <w:lang w:val="en-US" w:eastAsia="zh-CN" w:bidi="ar-SA"/>
        </w:rPr>
        <w:t xml:space="preserve">   </w:t>
      </w:r>
      <w:r>
        <w:rPr>
          <w:rFonts w:hint="eastAsia" w:ascii="宋体" w:hAnsi="宋体" w:cs="宋体"/>
          <w:color w:val="000000"/>
          <w:kern w:val="2"/>
          <w:sz w:val="22"/>
          <w:szCs w:val="22"/>
          <w:lang w:val="en-US" w:eastAsia="zh-CN" w:bidi="ar-SA"/>
        </w:rPr>
        <w:t>供应商</w:t>
      </w:r>
      <w:r>
        <w:rPr>
          <w:rFonts w:hint="eastAsia" w:ascii="宋体" w:hAnsi="宋体" w:eastAsia="宋体" w:cs="宋体"/>
          <w:color w:val="000000"/>
          <w:kern w:val="2"/>
          <w:sz w:val="22"/>
          <w:szCs w:val="22"/>
          <w:lang w:val="en-US" w:eastAsia="zh-CN" w:bidi="ar-SA"/>
        </w:rPr>
        <w:t xml:space="preserve">（盖公章）：____________________ </w:t>
      </w:r>
    </w:p>
    <w:p w14:paraId="70FCFF4B">
      <w:pPr>
        <w:widowControl/>
        <w:snapToGrid w:val="0"/>
        <w:spacing w:line="360" w:lineRule="auto"/>
        <w:ind w:firstLine="660" w:firstLineChars="300"/>
        <w:jc w:val="right"/>
        <w:textAlignment w:val="baseline"/>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法定代表人或其委托代理人（签字或盖章）：</w:t>
      </w:r>
    </w:p>
    <w:p w14:paraId="0C7C417E">
      <w:pPr>
        <w:widowControl/>
        <w:snapToGrid w:val="0"/>
        <w:spacing w:line="360" w:lineRule="auto"/>
        <w:ind w:firstLine="720" w:firstLineChars="300"/>
        <w:jc w:val="right"/>
        <w:textAlignment w:val="baseline"/>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地址：____________________ </w:t>
      </w:r>
    </w:p>
    <w:p w14:paraId="33F533D5">
      <w:pPr>
        <w:pStyle w:val="8"/>
        <w:spacing w:line="360" w:lineRule="auto"/>
        <w:rPr>
          <w:rFonts w:hint="eastAsia" w:ascii="宋体" w:hAnsi="宋体" w:eastAsia="宋体" w:cs="宋体"/>
        </w:rPr>
      </w:pPr>
    </w:p>
    <w:p w14:paraId="0D4DDAB6">
      <w:pPr>
        <w:pStyle w:val="8"/>
      </w:pPr>
    </w:p>
    <w:p w14:paraId="4ED2D70E">
      <w:pPr>
        <w:pStyle w:val="8"/>
      </w:pPr>
    </w:p>
    <w:p w14:paraId="5C8048F4">
      <w:pPr>
        <w:pStyle w:val="8"/>
      </w:pPr>
    </w:p>
    <w:p w14:paraId="2E185C57">
      <w:pPr>
        <w:rPr>
          <w:rFonts w:hint="eastAsia"/>
          <w:lang w:val="en-US" w:eastAsia="zh-CN"/>
        </w:rPr>
      </w:pPr>
      <w:r>
        <w:rPr>
          <w:rFonts w:hint="eastAsia"/>
          <w:lang w:val="en-US" w:eastAsia="zh-CN"/>
        </w:rPr>
        <w:br w:type="page"/>
      </w:r>
    </w:p>
    <w:p w14:paraId="73DFBF2E">
      <w:pPr>
        <w:pStyle w:val="8"/>
        <w:rPr>
          <w:rFonts w:hint="eastAsia" w:eastAsia="仿宋_GB2312"/>
          <w:lang w:val="en-US" w:eastAsia="zh-CN"/>
        </w:rPr>
      </w:pPr>
      <w:r>
        <w:rPr>
          <w:rFonts w:hint="eastAsia"/>
          <w:lang w:val="en-US" w:eastAsia="zh-CN"/>
        </w:rPr>
        <w:t>附件：</w:t>
      </w:r>
    </w:p>
    <w:p w14:paraId="385F9743">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审</w:t>
      </w:r>
      <w:r>
        <w:rPr>
          <w:rFonts w:hint="eastAsia" w:ascii="方正小标宋简体" w:eastAsia="方正小标宋简体"/>
          <w:sz w:val="44"/>
          <w:szCs w:val="44"/>
          <w:lang w:eastAsia="zh-CN"/>
        </w:rPr>
        <w:t>计</w:t>
      </w:r>
      <w:r>
        <w:rPr>
          <w:rFonts w:hint="eastAsia" w:ascii="方正小标宋简体" w:eastAsia="方正小标宋简体"/>
          <w:sz w:val="44"/>
          <w:szCs w:val="44"/>
        </w:rPr>
        <w:t>业务</w:t>
      </w:r>
      <w:r>
        <w:rPr>
          <w:rFonts w:hint="eastAsia" w:ascii="方正小标宋简体" w:eastAsia="方正小标宋简体"/>
          <w:sz w:val="44"/>
          <w:szCs w:val="44"/>
          <w:lang w:eastAsia="zh-CN"/>
        </w:rPr>
        <w:t>委托合同</w:t>
      </w:r>
      <w:r>
        <w:rPr>
          <w:rFonts w:hint="eastAsia" w:ascii="方正小标宋简体" w:eastAsia="方正小标宋简体"/>
          <w:sz w:val="44"/>
          <w:szCs w:val="44"/>
        </w:rPr>
        <w:t>书</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范本</w:t>
      </w:r>
      <w:r>
        <w:rPr>
          <w:rFonts w:hint="eastAsia" w:ascii="方正小标宋简体" w:eastAsia="方正小标宋简体"/>
          <w:sz w:val="44"/>
          <w:szCs w:val="44"/>
          <w:lang w:eastAsia="zh-CN"/>
        </w:rPr>
        <w:t>）</w:t>
      </w:r>
    </w:p>
    <w:p w14:paraId="5C0D6F06">
      <w:pPr>
        <w:spacing w:line="560" w:lineRule="exact"/>
        <w:jc w:val="center"/>
        <w:rPr>
          <w:rFonts w:hint="default" w:ascii="方正楷体_GBK" w:hAnsi="方正楷体_GBK" w:eastAsia="方正楷体_GBK" w:cs="方正楷体_GBK"/>
          <w:sz w:val="30"/>
          <w:szCs w:val="30"/>
          <w:lang w:val="en-US" w:eastAsia="zh-CN"/>
        </w:rPr>
      </w:pPr>
      <w:r>
        <w:rPr>
          <w:rFonts w:hint="eastAsia" w:ascii="方正楷体_GBK" w:hAnsi="方正楷体_GBK" w:eastAsia="方正楷体_GBK" w:cs="方正楷体_GBK"/>
          <w:sz w:val="30"/>
          <w:szCs w:val="30"/>
          <w:lang w:eastAsia="zh-CN"/>
        </w:rPr>
        <w:t>（编号：</w:t>
      </w:r>
      <w:r>
        <w:rPr>
          <w:rFonts w:hint="eastAsia" w:ascii="方正楷体_GBK" w:hAnsi="方正楷体_GBK" w:eastAsia="方正楷体_GBK" w:cs="方正楷体_GBK"/>
          <w:sz w:val="30"/>
          <w:szCs w:val="30"/>
          <w:lang w:val="en-US" w:eastAsia="zh-CN"/>
        </w:rPr>
        <w:t>CQIP-XXXXXXXXXX</w:t>
      </w:r>
      <w:r>
        <w:rPr>
          <w:rFonts w:hint="eastAsia" w:ascii="方正楷体_GBK" w:hAnsi="方正楷体_GBK" w:eastAsia="方正楷体_GBK" w:cs="方正楷体_GBK"/>
          <w:sz w:val="30"/>
          <w:szCs w:val="30"/>
          <w:lang w:eastAsia="zh-CN"/>
        </w:rPr>
        <w:t>）</w:t>
      </w:r>
    </w:p>
    <w:p w14:paraId="3DD2AAFB">
      <w:pPr>
        <w:spacing w:line="560" w:lineRule="exact"/>
        <w:ind w:left="454"/>
        <w:rPr>
          <w:rFonts w:hint="eastAsia" w:ascii="仿宋_GB2312" w:hAnsi="宋体" w:eastAsia="仿宋_GB2312" w:cs="宋体"/>
          <w:kern w:val="0"/>
          <w:szCs w:val="21"/>
        </w:rPr>
      </w:pPr>
    </w:p>
    <w:p w14:paraId="136EE6CA">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color w:val="000000"/>
          <w:sz w:val="28"/>
          <w:szCs w:val="28"/>
          <w:lang w:eastAsia="zh-CN"/>
        </w:rPr>
      </w:pPr>
      <w:r>
        <w:rPr>
          <w:rFonts w:hint="eastAsia" w:ascii="黑体" w:hAnsi="黑体" w:eastAsia="黑体" w:cs="黑体"/>
          <w:b/>
          <w:bCs/>
          <w:color w:val="000000"/>
          <w:sz w:val="28"/>
          <w:szCs w:val="28"/>
        </w:rPr>
        <w:t>委托单位（甲方）</w:t>
      </w:r>
      <w:r>
        <w:rPr>
          <w:rFonts w:hint="eastAsia" w:ascii="黑体" w:hAnsi="黑体" w:eastAsia="黑体" w:cs="黑体"/>
          <w:color w:val="000000"/>
          <w:sz w:val="28"/>
          <w:szCs w:val="28"/>
        </w:rPr>
        <w:t>：</w:t>
      </w:r>
      <w:r>
        <w:rPr>
          <w:rFonts w:hint="eastAsia" w:ascii="仿宋_GB2312" w:hAnsi="仿宋_GB2312" w:eastAsia="仿宋_GB2312" w:cs="仿宋_GB2312"/>
          <w:color w:val="000000"/>
          <w:sz w:val="28"/>
          <w:szCs w:val="28"/>
          <w:lang w:eastAsia="zh-CN"/>
        </w:rPr>
        <w:t>重庆理工职业学院</w:t>
      </w:r>
    </w:p>
    <w:p w14:paraId="16C4972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黑体" w:hAnsi="黑体" w:eastAsia="黑体" w:cs="黑体"/>
          <w:color w:val="000000"/>
          <w:sz w:val="28"/>
          <w:szCs w:val="28"/>
          <w:lang w:eastAsia="zh-CN"/>
        </w:rPr>
        <w:t>统一社会信用代码：</w:t>
      </w:r>
      <w:r>
        <w:rPr>
          <w:rFonts w:hint="eastAsia" w:ascii="仿宋_GB2312" w:hAnsi="仿宋_GB2312" w:eastAsia="仿宋_GB2312" w:cs="仿宋_GB2312"/>
          <w:color w:val="000000"/>
          <w:sz w:val="28"/>
          <w:szCs w:val="28"/>
          <w:lang w:val="en-US" w:eastAsia="zh-CN"/>
        </w:rPr>
        <w:t>52500000MJP5965746</w:t>
      </w:r>
    </w:p>
    <w:p w14:paraId="6C1A3EC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color w:val="000000"/>
          <w:sz w:val="28"/>
          <w:szCs w:val="28"/>
          <w:lang w:val="en-US" w:eastAsia="zh-CN"/>
        </w:rPr>
      </w:pPr>
    </w:p>
    <w:p w14:paraId="1CE9586A">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color w:val="000000"/>
          <w:sz w:val="28"/>
          <w:szCs w:val="28"/>
          <w:lang w:eastAsia="zh-CN"/>
        </w:rPr>
      </w:pPr>
      <w:r>
        <w:rPr>
          <w:rFonts w:hint="eastAsia" w:ascii="黑体" w:hAnsi="黑体" w:eastAsia="黑体" w:cs="黑体"/>
          <w:b/>
          <w:bCs/>
          <w:color w:val="000000"/>
          <w:sz w:val="28"/>
          <w:szCs w:val="28"/>
        </w:rPr>
        <w:t>被委托单位（乙方）</w:t>
      </w:r>
      <w:r>
        <w:rPr>
          <w:rFonts w:hint="eastAsia" w:ascii="黑体" w:hAnsi="黑体" w:eastAsia="黑体" w:cs="黑体"/>
          <w:color w:val="000000"/>
          <w:sz w:val="28"/>
          <w:szCs w:val="28"/>
        </w:rPr>
        <w:t>：</w:t>
      </w:r>
    </w:p>
    <w:p w14:paraId="043444B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黑体" w:hAnsi="黑体" w:eastAsia="黑体" w:cs="黑体"/>
          <w:color w:val="000000"/>
          <w:sz w:val="28"/>
          <w:szCs w:val="28"/>
          <w:lang w:eastAsia="zh-CN"/>
        </w:rPr>
        <w:t>统一社会信用代码：</w:t>
      </w:r>
    </w:p>
    <w:p w14:paraId="725292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p w14:paraId="24AD56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经甲、乙</w:t>
      </w:r>
      <w:r>
        <w:rPr>
          <w:rFonts w:hint="eastAsia" w:ascii="仿宋_GB2312" w:hAnsi="仿宋_GB2312" w:eastAsia="仿宋_GB2312" w:cs="仿宋_GB2312"/>
          <w:kern w:val="0"/>
          <w:sz w:val="24"/>
          <w:szCs w:val="24"/>
        </w:rPr>
        <w:t>双方在平等、自愿的基础上协商一致，就甲方委托乙方开展</w:t>
      </w:r>
      <w:r>
        <w:rPr>
          <w:rFonts w:hint="eastAsia" w:ascii="仿宋_GB2312" w:hAnsi="仿宋_GB2312" w:eastAsia="仿宋_GB2312" w:cs="仿宋_GB2312"/>
          <w:sz w:val="24"/>
          <w:szCs w:val="24"/>
          <w:u w:val="single"/>
          <w:lang w:val="en-US" w:eastAsia="zh-CN"/>
        </w:rPr>
        <w:t>重庆理工职业学院培训楼中央空调安装工程</w:t>
      </w:r>
      <w:r>
        <w:rPr>
          <w:rFonts w:hint="eastAsia" w:ascii="仿宋_GB2312" w:hAnsi="仿宋_GB2312" w:eastAsia="仿宋_GB2312" w:cs="仿宋_GB2312"/>
          <w:kern w:val="0"/>
          <w:sz w:val="24"/>
          <w:szCs w:val="24"/>
          <w:u w:val="none"/>
          <w:lang w:eastAsia="zh-CN"/>
        </w:rPr>
        <w:t>结算</w:t>
      </w:r>
      <w:r>
        <w:rPr>
          <w:rFonts w:hint="eastAsia" w:ascii="仿宋_GB2312" w:hAnsi="仿宋_GB2312" w:eastAsia="仿宋_GB2312" w:cs="仿宋_GB2312"/>
          <w:kern w:val="0"/>
          <w:sz w:val="24"/>
          <w:szCs w:val="24"/>
          <w:u w:val="none"/>
        </w:rPr>
        <w:t>审计的</w:t>
      </w:r>
      <w:r>
        <w:rPr>
          <w:rFonts w:hint="eastAsia" w:ascii="仿宋_GB2312" w:hAnsi="仿宋_GB2312" w:eastAsia="仿宋_GB2312" w:cs="仿宋_GB2312"/>
          <w:kern w:val="0"/>
          <w:sz w:val="24"/>
          <w:szCs w:val="24"/>
        </w:rPr>
        <w:t>有关事宜达成如下协议</w:t>
      </w:r>
      <w:r>
        <w:rPr>
          <w:rFonts w:hint="eastAsia" w:ascii="仿宋_GB2312" w:hAnsi="仿宋_GB2312" w:eastAsia="仿宋_GB2312" w:cs="仿宋_GB2312"/>
          <w:kern w:val="0"/>
          <w:sz w:val="24"/>
          <w:szCs w:val="24"/>
          <w:lang w:eastAsia="zh-CN"/>
        </w:rPr>
        <w:t>，并签定本合同供双方共同信守。</w:t>
      </w:r>
    </w:p>
    <w:p w14:paraId="1AB18EAE">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kern w:val="0"/>
          <w:sz w:val="24"/>
          <w:szCs w:val="24"/>
        </w:rPr>
      </w:pPr>
      <w:r>
        <w:rPr>
          <w:rFonts w:hint="eastAsia" w:ascii="方正黑体_GBK" w:hAnsi="方正黑体_GBK" w:eastAsia="方正黑体_GBK" w:cs="方正黑体_GBK"/>
          <w:kern w:val="0"/>
          <w:sz w:val="24"/>
          <w:szCs w:val="24"/>
        </w:rPr>
        <w:t>一、委托目的</w:t>
      </w:r>
    </w:p>
    <w:p w14:paraId="55EB8AA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rPr>
        <w:t>为</w:t>
      </w:r>
      <w:r>
        <w:rPr>
          <w:rFonts w:hint="eastAsia" w:ascii="仿宋_GB2312" w:hAnsi="仿宋_GB2312" w:eastAsia="仿宋_GB2312" w:cs="仿宋_GB2312"/>
          <w:sz w:val="24"/>
          <w:szCs w:val="24"/>
          <w:lang w:eastAsia="zh-CN"/>
        </w:rPr>
        <w:t>实现工程价款结算真实、合理、符合招标规定及实现施工合同约定条款</w:t>
      </w:r>
      <w:r>
        <w:rPr>
          <w:rFonts w:hint="eastAsia" w:ascii="仿宋_GB2312" w:hAnsi="仿宋_GB2312" w:eastAsia="仿宋_GB2312" w:cs="仿宋_GB2312"/>
          <w:sz w:val="24"/>
          <w:szCs w:val="24"/>
        </w:rPr>
        <w:t>，甲方委托乙方对</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single"/>
          <w:lang w:val="en-US" w:eastAsia="zh-CN"/>
        </w:rPr>
        <w:t>重庆理工职业学院培训楼中央空调安装工程</w:t>
      </w:r>
      <w:r>
        <w:rPr>
          <w:rFonts w:hint="eastAsia" w:ascii="仿宋_GB2312" w:hAnsi="仿宋_GB2312" w:eastAsia="仿宋_GB2312" w:cs="仿宋_GB2312"/>
          <w:sz w:val="24"/>
          <w:szCs w:val="24"/>
          <w:u w:val="none"/>
          <w:lang w:eastAsia="zh-CN"/>
        </w:rPr>
        <w:t>结算实施</w:t>
      </w:r>
      <w:r>
        <w:rPr>
          <w:rFonts w:hint="eastAsia" w:ascii="仿宋_GB2312" w:hAnsi="仿宋_GB2312" w:eastAsia="仿宋_GB2312" w:cs="仿宋_GB2312"/>
          <w:sz w:val="24"/>
          <w:szCs w:val="24"/>
          <w:u w:val="none"/>
        </w:rPr>
        <w:t>审计工作。</w:t>
      </w:r>
      <w:r>
        <w:rPr>
          <w:rFonts w:hint="eastAsia" w:ascii="仿宋_GB2312" w:hAnsi="仿宋_GB2312" w:eastAsia="仿宋_GB2312" w:cs="仿宋_GB2312"/>
          <w:sz w:val="24"/>
          <w:szCs w:val="24"/>
          <w:u w:val="none"/>
          <w:lang w:eastAsia="zh-CN"/>
        </w:rPr>
        <w:t>该工程合同金额</w:t>
      </w:r>
      <w:r>
        <w:rPr>
          <w:rFonts w:hint="eastAsia" w:ascii="仿宋_GB2312" w:hAnsi="仿宋_GB2312" w:eastAsia="仿宋_GB2312" w:cs="仿宋_GB2312"/>
          <w:sz w:val="24"/>
          <w:szCs w:val="24"/>
          <w:u w:val="none"/>
          <w:lang w:val="en-US" w:eastAsia="zh-CN"/>
        </w:rPr>
        <w:t>4465235.5元，结算送审金额5531466.03元。</w:t>
      </w:r>
    </w:p>
    <w:p w14:paraId="3EC62D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乙方主要对该工程执行基本建设程序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工程结算价款的真实性、合</w:t>
      </w:r>
      <w:r>
        <w:rPr>
          <w:rFonts w:hint="eastAsia" w:ascii="仿宋_GB2312" w:hAnsi="仿宋_GB2312" w:eastAsia="仿宋_GB2312" w:cs="仿宋_GB2312"/>
          <w:sz w:val="24"/>
          <w:szCs w:val="24"/>
          <w:lang w:eastAsia="zh-CN"/>
        </w:rPr>
        <w:t>理</w:t>
      </w:r>
      <w:r>
        <w:rPr>
          <w:rFonts w:hint="eastAsia" w:ascii="仿宋_GB2312" w:hAnsi="仿宋_GB2312" w:eastAsia="仿宋_GB2312" w:cs="仿宋_GB2312"/>
          <w:sz w:val="24"/>
          <w:szCs w:val="24"/>
        </w:rPr>
        <w:t>性，工程造价控制的有效性，按照国家审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的相关要求和准则</w:t>
      </w:r>
      <w:r>
        <w:rPr>
          <w:rFonts w:hint="eastAsia" w:ascii="仿宋_GB2312" w:hAnsi="仿宋_GB2312" w:eastAsia="仿宋_GB2312" w:cs="仿宋_GB2312"/>
          <w:sz w:val="24"/>
          <w:szCs w:val="24"/>
          <w:lang w:eastAsia="zh-CN"/>
        </w:rPr>
        <w:t>、《教育系统内部审计工作规定》及甲方《战略发展委员会监察审计实施办法（试行）》</w:t>
      </w:r>
      <w:r>
        <w:rPr>
          <w:rFonts w:hint="eastAsia" w:ascii="仿宋_GB2312" w:hAnsi="仿宋_GB2312" w:eastAsia="仿宋_GB2312" w:cs="仿宋_GB2312"/>
          <w:sz w:val="24"/>
          <w:szCs w:val="24"/>
        </w:rPr>
        <w:t>进行审查，向甲方提交真实、准确的审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结果报告。</w:t>
      </w:r>
    </w:p>
    <w:p w14:paraId="5A693A28">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二、审计事项、范围、质量标准</w:t>
      </w:r>
    </w:p>
    <w:p w14:paraId="7F0DE37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审计事项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single"/>
          <w:lang w:val="en-US" w:eastAsia="zh-CN"/>
        </w:rPr>
        <w:t>重庆理工职业学院培训楼中央空调安装工程</w:t>
      </w:r>
      <w:r>
        <w:rPr>
          <w:rFonts w:hint="eastAsia" w:ascii="仿宋_GB2312" w:hAnsi="仿宋_GB2312" w:eastAsia="仿宋_GB2312" w:cs="仿宋_GB2312"/>
          <w:sz w:val="24"/>
          <w:szCs w:val="24"/>
          <w:lang w:val="zh-CN"/>
        </w:rPr>
        <w:t>结算审计</w:t>
      </w:r>
      <w:r>
        <w:rPr>
          <w:rFonts w:hint="eastAsia" w:ascii="仿宋_GB2312" w:hAnsi="仿宋_GB2312" w:eastAsia="仿宋_GB2312" w:cs="仿宋_GB2312"/>
          <w:sz w:val="24"/>
          <w:szCs w:val="24"/>
        </w:rPr>
        <w:t>。</w:t>
      </w:r>
    </w:p>
    <w:p w14:paraId="12AFF76E">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default" w:ascii="仿宋_GB2312" w:hAnsi="仿宋_GB2312" w:eastAsia="方正仿宋_GBK" w:cs="仿宋_GB2312"/>
          <w:sz w:val="24"/>
          <w:szCs w:val="24"/>
          <w:lang w:val="en-US" w:eastAsia="zh-CN"/>
        </w:rPr>
      </w:pPr>
      <w:r>
        <w:rPr>
          <w:rFonts w:hint="eastAsia" w:ascii="仿宋_GB2312" w:hAnsi="仿宋_GB2312" w:eastAsia="仿宋_GB2312" w:cs="仿宋_GB2312"/>
          <w:sz w:val="24"/>
          <w:szCs w:val="24"/>
        </w:rPr>
        <w:t>审计范围：乙方对</w:t>
      </w:r>
      <w:r>
        <w:rPr>
          <w:rFonts w:hint="eastAsia" w:ascii="仿宋_GB2312" w:hAnsi="仿宋_GB2312" w:eastAsia="仿宋_GB2312" w:cs="仿宋_GB2312"/>
          <w:sz w:val="24"/>
          <w:szCs w:val="24"/>
          <w:u w:val="single"/>
          <w:lang w:val="en-US" w:eastAsia="zh-CN"/>
        </w:rPr>
        <w:t>重庆理工职业学院培训楼中央空调安装工程</w:t>
      </w:r>
      <w:r>
        <w:rPr>
          <w:rFonts w:hint="eastAsia" w:ascii="仿宋_GB2312" w:hAnsi="仿宋_GB2312" w:eastAsia="仿宋_GB2312" w:cs="仿宋_GB2312"/>
          <w:sz w:val="24"/>
          <w:szCs w:val="24"/>
        </w:rPr>
        <w:t>项目进行基本建设程序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工程结算价款的真实性、合</w:t>
      </w:r>
      <w:r>
        <w:rPr>
          <w:rFonts w:hint="eastAsia" w:ascii="仿宋_GB2312" w:hAnsi="仿宋_GB2312" w:eastAsia="仿宋_GB2312" w:cs="仿宋_GB2312"/>
          <w:sz w:val="24"/>
          <w:szCs w:val="24"/>
          <w:lang w:eastAsia="zh-CN"/>
        </w:rPr>
        <w:t>理</w:t>
      </w:r>
      <w:r>
        <w:rPr>
          <w:rFonts w:hint="eastAsia" w:ascii="仿宋_GB2312" w:hAnsi="仿宋_GB2312" w:eastAsia="仿宋_GB2312" w:cs="仿宋_GB2312"/>
          <w:sz w:val="24"/>
          <w:szCs w:val="24"/>
        </w:rPr>
        <w:t>性，工程造价控制的有效性进行审查。重点审查工程结算价款的真实性、合</w:t>
      </w:r>
      <w:r>
        <w:rPr>
          <w:rFonts w:hint="eastAsia" w:ascii="仿宋_GB2312" w:hAnsi="仿宋_GB2312" w:eastAsia="仿宋_GB2312" w:cs="仿宋_GB2312"/>
          <w:sz w:val="24"/>
          <w:szCs w:val="24"/>
          <w:lang w:eastAsia="zh-CN"/>
        </w:rPr>
        <w:t>理</w:t>
      </w:r>
      <w:r>
        <w:rPr>
          <w:rFonts w:hint="eastAsia" w:ascii="仿宋_GB2312" w:hAnsi="仿宋_GB2312" w:eastAsia="仿宋_GB2312" w:cs="仿宋_GB2312"/>
          <w:sz w:val="24"/>
          <w:szCs w:val="24"/>
        </w:rPr>
        <w:t>性及基本建设程序执行情况。</w:t>
      </w:r>
      <w:r>
        <w:rPr>
          <w:rFonts w:hint="default" w:ascii="Times New Roman" w:hAnsi="Times New Roman" w:eastAsia="方正仿宋_GBK" w:cs="Times New Roman"/>
          <w:sz w:val="24"/>
          <w:szCs w:val="24"/>
        </w:rPr>
        <w:t>依据竣工图纸、现场实际情况及相关规范</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对结算书中的工程量进行全面计算和核对</w:t>
      </w:r>
      <w:r>
        <w:rPr>
          <w:rFonts w:hint="default" w:ascii="Times New Roman" w:hAnsi="Times New Roman" w:eastAsia="方正仿宋_GBK" w:cs="Times New Roman"/>
          <w:sz w:val="24"/>
          <w:szCs w:val="24"/>
          <w:highlight w:val="none"/>
        </w:rPr>
        <w:t>。对各项取费标准进行审查</w:t>
      </w:r>
      <w:r>
        <w:rPr>
          <w:rFonts w:hint="eastAsia"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rPr>
        <w:t>对工程变更和现场签证产生的费用进行专项审核，</w:t>
      </w:r>
      <w:r>
        <w:rPr>
          <w:rFonts w:hint="default" w:ascii="Times New Roman" w:hAnsi="Times New Roman" w:eastAsia="方正仿宋_GBK" w:cs="Times New Roman"/>
          <w:sz w:val="24"/>
          <w:szCs w:val="24"/>
        </w:rPr>
        <w:t>除对材料设备价格进行常规核定外，针对新材料、特殊材料或价格波动较大的材料，深入调查其生产工艺、市场供需关系、运输成本等影响价格的因素，通过多渠道询价（如供应商报价、同类项目价格对比、行业协会价格信息等），综合评估其合理价格。对于设备，审查其品牌、规格型号、技术参数与合同及设计要求的一致性，结合市场行情、设备性能及售后服务等因素，确定设备采购价格的合理性。​</w:t>
      </w:r>
    </w:p>
    <w:p w14:paraId="64207C6A">
      <w:pPr>
        <w:keepNext w:val="0"/>
        <w:keepLines w:val="0"/>
        <w:pageBreakBefore w:val="0"/>
        <w:widowControl w:val="0"/>
        <w:kinsoku/>
        <w:wordWrap/>
        <w:overflowPunct/>
        <w:topLinePunct w:val="0"/>
        <w:autoSpaceDE/>
        <w:autoSpaceDN/>
        <w:bidi w:val="0"/>
        <w:adjustRightInd/>
        <w:snapToGrid/>
        <w:spacing w:line="400" w:lineRule="exact"/>
        <w:ind w:firstLine="62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质量标准：</w:t>
      </w:r>
      <w:r>
        <w:rPr>
          <w:rFonts w:hint="eastAsia" w:ascii="仿宋_GB2312" w:hAnsi="仿宋_GB2312" w:eastAsia="仿宋_GB2312" w:cs="仿宋_GB2312"/>
          <w:sz w:val="24"/>
          <w:szCs w:val="24"/>
          <w:lang w:eastAsia="zh-CN"/>
        </w:rPr>
        <w:t>依据该工程项目施工方案（图纸）及招标文件、施工合同约定，参照</w:t>
      </w:r>
      <w:r>
        <w:rPr>
          <w:rFonts w:hint="eastAsia" w:ascii="仿宋_GB2312" w:hAnsi="仿宋_GB2312" w:eastAsia="仿宋_GB2312" w:cs="仿宋_GB2312"/>
          <w:sz w:val="24"/>
          <w:szCs w:val="24"/>
        </w:rPr>
        <w:t>审计</w:t>
      </w:r>
      <w:r>
        <w:rPr>
          <w:rFonts w:hint="eastAsia" w:ascii="仿宋_GB2312" w:hAnsi="仿宋_GB2312" w:eastAsia="仿宋_GB2312" w:cs="仿宋_GB2312"/>
          <w:sz w:val="24"/>
          <w:szCs w:val="24"/>
          <w:lang w:eastAsia="zh-CN"/>
        </w:rPr>
        <w:t>部门</w:t>
      </w:r>
      <w:r>
        <w:rPr>
          <w:rFonts w:hint="eastAsia" w:ascii="仿宋_GB2312" w:hAnsi="仿宋_GB2312" w:eastAsia="仿宋_GB2312" w:cs="仿宋_GB2312"/>
          <w:sz w:val="24"/>
          <w:szCs w:val="24"/>
        </w:rPr>
        <w:t>审计项目质量控制办法、《重庆市建设工程造价管理规定》</w:t>
      </w:r>
      <w:r>
        <w:rPr>
          <w:rFonts w:hint="eastAsia" w:ascii="仿宋_GB2312" w:hAnsi="仿宋_GB2312" w:eastAsia="仿宋_GB2312" w:cs="仿宋_GB2312"/>
          <w:sz w:val="24"/>
          <w:szCs w:val="24"/>
          <w:lang w:eastAsia="zh-CN"/>
        </w:rPr>
        <w:t>等</w:t>
      </w:r>
      <w:r>
        <w:rPr>
          <w:rFonts w:hint="eastAsia" w:ascii="仿宋_GB2312" w:hAnsi="仿宋_GB2312" w:eastAsia="仿宋_GB2312" w:cs="仿宋_GB2312"/>
          <w:sz w:val="24"/>
          <w:szCs w:val="24"/>
        </w:rPr>
        <w:t>相关要求，以及国家其他造价相关规定。</w:t>
      </w:r>
    </w:p>
    <w:p w14:paraId="741367E1">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三、完成时限</w:t>
      </w:r>
    </w:p>
    <w:p w14:paraId="313FA995">
      <w:pPr>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val="en-US" w:eastAsia="zh-CN"/>
        </w:rPr>
        <w:t xml:space="preserve"> 2025</w:t>
      </w:r>
      <w:r>
        <w:rPr>
          <w:rFonts w:hint="eastAsia" w:ascii="仿宋_GB2312" w:hAnsi="仿宋_GB2312" w:eastAsia="仿宋_GB2312" w:cs="仿宋_GB2312"/>
          <w:sz w:val="24"/>
          <w:szCs w:val="24"/>
          <w:u w:val="none"/>
        </w:rPr>
        <w:t>年</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rPr>
        <w:t>月</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rPr>
        <w:t>日至</w:t>
      </w:r>
      <w:r>
        <w:rPr>
          <w:rFonts w:hint="eastAsia" w:ascii="仿宋_GB2312" w:hAnsi="仿宋_GB2312" w:eastAsia="仿宋_GB2312" w:cs="仿宋_GB2312"/>
          <w:sz w:val="24"/>
          <w:szCs w:val="24"/>
          <w:u w:val="none"/>
          <w:lang w:val="en-US" w:eastAsia="zh-CN"/>
        </w:rPr>
        <w:t xml:space="preserve"> 2025 </w:t>
      </w:r>
      <w:r>
        <w:rPr>
          <w:rFonts w:hint="eastAsia" w:ascii="仿宋_GB2312" w:hAnsi="仿宋_GB2312" w:eastAsia="仿宋_GB2312" w:cs="仿宋_GB2312"/>
          <w:sz w:val="24"/>
          <w:szCs w:val="24"/>
          <w:u w:val="none"/>
        </w:rPr>
        <w:t>年</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rPr>
        <w:t>月</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rPr>
        <w:t>日。</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合同签订并接收到完整的审计资料后15日内完成全部审核工作</w:t>
      </w:r>
      <w:r>
        <w:rPr>
          <w:rFonts w:hint="eastAsia" w:ascii="仿宋_GB2312" w:hAnsi="仿宋_GB2312" w:eastAsia="仿宋_GB2312" w:cs="仿宋_GB2312"/>
          <w:sz w:val="24"/>
          <w:szCs w:val="24"/>
          <w:u w:val="none"/>
          <w:lang w:eastAsia="zh-CN"/>
        </w:rPr>
        <w:t>）。</w:t>
      </w:r>
    </w:p>
    <w:p w14:paraId="6BF04EA7">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四、权利和义务</w:t>
      </w:r>
    </w:p>
    <w:p w14:paraId="7B6C3E9A">
      <w:pPr>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hint="eastAsia" w:ascii="仿宋_GB2312" w:hAnsi="仿宋_GB2312" w:eastAsia="仿宋_GB2312" w:cs="仿宋_GB2312"/>
          <w:sz w:val="24"/>
          <w:szCs w:val="24"/>
        </w:rPr>
      </w:pPr>
      <w:r>
        <w:rPr>
          <w:rFonts w:hint="eastAsia" w:ascii="方正楷体_GBK" w:hAnsi="方正楷体_GBK" w:eastAsia="方正楷体_GBK" w:cs="方正楷体_GBK"/>
          <w:sz w:val="24"/>
          <w:szCs w:val="24"/>
        </w:rPr>
        <w:t>（一）甲方的权利和义务</w:t>
      </w:r>
    </w:p>
    <w:p w14:paraId="44D2E65C">
      <w:pPr>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为乙方提供必要的工作条件，确定专人配合协调乙方的相关工作。</w:t>
      </w:r>
    </w:p>
    <w:p w14:paraId="6CEF1A08">
      <w:pPr>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及时向乙方提供该工程项目结（预）算资料及相关施工资料、招标文件。</w:t>
      </w:r>
    </w:p>
    <w:p w14:paraId="510C897A">
      <w:pPr>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 </w:t>
      </w:r>
      <w:r>
        <w:rPr>
          <w:rFonts w:hint="eastAsia" w:ascii="仿宋_GB2312" w:hAnsi="仿宋_GB2312" w:eastAsia="仿宋_GB2312" w:cs="仿宋_GB2312"/>
          <w:sz w:val="24"/>
          <w:szCs w:val="24"/>
        </w:rPr>
        <w:t>对乙方的审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业务及时予以指导和监督。</w:t>
      </w:r>
      <w:r>
        <w:rPr>
          <w:rFonts w:hint="eastAsia" w:ascii="仿宋_GB2312" w:hAnsi="仿宋_GB2312" w:eastAsia="仿宋_GB2312" w:cs="仿宋_GB2312"/>
          <w:sz w:val="24"/>
          <w:szCs w:val="24"/>
          <w:lang w:val="en-US" w:eastAsia="zh-CN"/>
        </w:rPr>
        <w:t xml:space="preserve"> </w:t>
      </w:r>
    </w:p>
    <w:p w14:paraId="6C5D0631">
      <w:pPr>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 按照约定及时向乙方支付工程造价咨询服务费（含审计基本费和审减效益费）。</w:t>
      </w:r>
    </w:p>
    <w:p w14:paraId="0EA66CF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63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因乙方过错导致审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结论错误、造成严重后果的，甲方有权追究乙方的责任。</w:t>
      </w:r>
    </w:p>
    <w:p w14:paraId="31CBF397">
      <w:pPr>
        <w:keepNext w:val="0"/>
        <w:keepLines w:val="0"/>
        <w:pageBreakBefore w:val="0"/>
        <w:widowControl w:val="0"/>
        <w:kinsoku/>
        <w:wordWrap/>
        <w:overflowPunct/>
        <w:topLinePunct w:val="0"/>
        <w:autoSpaceDE/>
        <w:autoSpaceDN/>
        <w:bidi w:val="0"/>
        <w:adjustRightInd/>
        <w:snapToGrid/>
        <w:spacing w:line="400" w:lineRule="exact"/>
        <w:ind w:firstLine="630"/>
        <w:textAlignment w:val="auto"/>
        <w:rPr>
          <w:rFonts w:hint="eastAsia" w:ascii="仿宋_GB2312" w:hAnsi="仿宋_GB2312" w:eastAsia="仿宋_GB2312" w:cs="仿宋_GB2312"/>
          <w:sz w:val="24"/>
          <w:szCs w:val="24"/>
        </w:rPr>
      </w:pPr>
      <w:r>
        <w:rPr>
          <w:rFonts w:hint="eastAsia" w:ascii="方正楷体_GBK" w:hAnsi="方正楷体_GBK" w:eastAsia="方正楷体_GBK" w:cs="方正楷体_GBK"/>
          <w:sz w:val="24"/>
          <w:szCs w:val="24"/>
        </w:rPr>
        <w:t>（二）乙方的权利和义务</w:t>
      </w:r>
    </w:p>
    <w:p w14:paraId="75EEEF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1．按照国家有关法律法规及相关制度规范进行审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执行国家审计准则和约定的质量标准，审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中发现被审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单位</w:t>
      </w:r>
      <w:r>
        <w:rPr>
          <w:rFonts w:hint="eastAsia" w:ascii="仿宋_GB2312" w:hAnsi="仿宋_GB2312" w:eastAsia="仿宋_GB2312" w:cs="仿宋_GB2312"/>
          <w:kern w:val="0"/>
          <w:sz w:val="24"/>
          <w:szCs w:val="24"/>
        </w:rPr>
        <w:t>内部控制制度重大缺陷或者</w:t>
      </w:r>
      <w:r>
        <w:rPr>
          <w:rFonts w:hint="eastAsia" w:ascii="仿宋_GB2312" w:hAnsi="仿宋_GB2312" w:eastAsia="仿宋_GB2312" w:cs="仿宋_GB2312"/>
          <w:sz w:val="24"/>
          <w:szCs w:val="24"/>
        </w:rPr>
        <w:t>重大违法违纪</w:t>
      </w:r>
      <w:r>
        <w:rPr>
          <w:rFonts w:hint="eastAsia" w:ascii="仿宋_GB2312" w:hAnsi="仿宋_GB2312" w:eastAsia="仿宋_GB2312" w:cs="仿宋_GB2312"/>
          <w:sz w:val="24"/>
          <w:szCs w:val="24"/>
          <w:lang w:eastAsia="zh-CN"/>
        </w:rPr>
        <w:t>违规</w:t>
      </w:r>
      <w:r>
        <w:rPr>
          <w:rFonts w:hint="eastAsia" w:ascii="仿宋_GB2312" w:hAnsi="仿宋_GB2312" w:eastAsia="仿宋_GB2312" w:cs="仿宋_GB2312"/>
          <w:sz w:val="24"/>
          <w:szCs w:val="24"/>
        </w:rPr>
        <w:t>问题应及时报告甲方，接受甲方的指导和监督。</w:t>
      </w:r>
    </w:p>
    <w:p w14:paraId="3F6DA0A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2．遵循独立、客观、公正的原则，按照约定时间完成审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工作，出具审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报告书。</w:t>
      </w:r>
    </w:p>
    <w:p w14:paraId="14E3B2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3．负责对甲方委托的工程执行基本建设程序和工程造价进行</w:t>
      </w:r>
      <w:r>
        <w:rPr>
          <w:rFonts w:hint="eastAsia" w:ascii="仿宋_GB2312" w:hAnsi="仿宋_GB2312" w:eastAsia="仿宋_GB2312" w:cs="仿宋_GB2312"/>
          <w:sz w:val="24"/>
          <w:szCs w:val="24"/>
          <w:lang w:eastAsia="zh-CN"/>
        </w:rPr>
        <w:t>严格</w:t>
      </w:r>
      <w:r>
        <w:rPr>
          <w:rFonts w:hint="eastAsia" w:ascii="仿宋_GB2312" w:hAnsi="仿宋_GB2312" w:eastAsia="仿宋_GB2312" w:cs="仿宋_GB2312"/>
          <w:sz w:val="24"/>
          <w:szCs w:val="24"/>
        </w:rPr>
        <w:t>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w:t>
      </w:r>
    </w:p>
    <w:p w14:paraId="7EC1CC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4．乙方在审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过程中，形成并收集审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业务所需要的资料。在审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结束时，应当将审核证据、审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结果等</w:t>
      </w:r>
      <w:r>
        <w:rPr>
          <w:rFonts w:hint="eastAsia" w:ascii="仿宋_GB2312" w:hAnsi="仿宋_GB2312" w:eastAsia="仿宋_GB2312" w:cs="仿宋_GB2312"/>
          <w:sz w:val="24"/>
          <w:szCs w:val="24"/>
          <w:lang w:eastAsia="zh-CN"/>
        </w:rPr>
        <w:t>所</w:t>
      </w:r>
      <w:r>
        <w:rPr>
          <w:rFonts w:hint="eastAsia" w:ascii="仿宋_GB2312" w:hAnsi="仿宋_GB2312" w:eastAsia="仿宋_GB2312" w:cs="仿宋_GB2312"/>
          <w:sz w:val="24"/>
          <w:szCs w:val="24"/>
        </w:rPr>
        <w:t>形成的全部资料移交</w:t>
      </w:r>
      <w:r>
        <w:rPr>
          <w:rFonts w:hint="eastAsia" w:ascii="仿宋_GB2312" w:hAnsi="仿宋_GB2312" w:eastAsia="仿宋_GB2312" w:cs="仿宋_GB2312"/>
          <w:sz w:val="24"/>
          <w:szCs w:val="24"/>
          <w:lang w:eastAsia="zh-CN"/>
        </w:rPr>
        <w:t>甲方审计</w:t>
      </w:r>
      <w:r>
        <w:rPr>
          <w:rFonts w:hint="eastAsia" w:ascii="仿宋_GB2312" w:hAnsi="仿宋_GB2312" w:eastAsia="仿宋_GB2312" w:cs="仿宋_GB2312"/>
          <w:sz w:val="24"/>
          <w:szCs w:val="24"/>
        </w:rPr>
        <w:t>机</w:t>
      </w:r>
      <w:r>
        <w:rPr>
          <w:rFonts w:hint="eastAsia" w:ascii="仿宋_GB2312" w:hAnsi="仿宋_GB2312" w:eastAsia="仿宋_GB2312" w:cs="仿宋_GB2312"/>
          <w:sz w:val="24"/>
          <w:szCs w:val="24"/>
          <w:lang w:eastAsia="zh-CN"/>
        </w:rPr>
        <w:t>构</w:t>
      </w:r>
      <w:r>
        <w:rPr>
          <w:rFonts w:hint="eastAsia" w:ascii="仿宋_GB2312" w:hAnsi="仿宋_GB2312" w:eastAsia="仿宋_GB2312" w:cs="仿宋_GB2312"/>
          <w:sz w:val="24"/>
          <w:szCs w:val="24"/>
        </w:rPr>
        <w:t>，并进行立卷归档。</w:t>
      </w:r>
    </w:p>
    <w:p w14:paraId="76B715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5．乙方在审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期间应当严格执行“四严禁”审计工作要求</w:t>
      </w:r>
      <w:r>
        <w:rPr>
          <w:rFonts w:hint="eastAsia" w:ascii="仿宋_GB2312" w:hAnsi="仿宋_GB2312" w:eastAsia="仿宋_GB2312" w:cs="仿宋_GB2312"/>
          <w:sz w:val="24"/>
          <w:szCs w:val="24"/>
          <w:lang w:eastAsia="zh-CN"/>
        </w:rPr>
        <w:t>和</w:t>
      </w:r>
      <w:r>
        <w:rPr>
          <w:rFonts w:hint="eastAsia" w:ascii="仿宋_GB2312" w:hAnsi="仿宋_GB2312" w:eastAsia="仿宋_GB2312" w:cs="仿宋_GB2312"/>
          <w:sz w:val="24"/>
          <w:szCs w:val="24"/>
        </w:rPr>
        <w:t>“八不准”审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纪律等廉洁自律相关规定。</w:t>
      </w:r>
    </w:p>
    <w:p w14:paraId="75C8DEBF">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6．乙方有审计</w:t>
      </w:r>
      <w:r>
        <w:rPr>
          <w:rFonts w:hint="eastAsia" w:ascii="仿宋_GB2312" w:hAnsi="仿宋_GB2312" w:eastAsia="仿宋_GB2312" w:cs="仿宋_GB2312"/>
          <w:sz w:val="24"/>
          <w:szCs w:val="24"/>
          <w:lang w:eastAsia="zh-CN"/>
        </w:rPr>
        <w:t>部门</w:t>
      </w:r>
      <w:r>
        <w:rPr>
          <w:rFonts w:hint="eastAsia" w:ascii="仿宋_GB2312" w:hAnsi="仿宋_GB2312" w:eastAsia="仿宋_GB2312" w:cs="仿宋_GB2312"/>
          <w:sz w:val="24"/>
          <w:szCs w:val="24"/>
        </w:rPr>
        <w:t>聘请外部专业人员实施办法规定的回避情形的，应当主动告知甲方，并予以回避。</w:t>
      </w:r>
    </w:p>
    <w:p w14:paraId="6BADE30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乙方应当遵守保密规定，未经甲方同意不得擅自使用审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资料和结果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并</w:t>
      </w:r>
      <w:r>
        <w:rPr>
          <w:rFonts w:ascii="Times New Roman" w:hAnsi="Times New Roman" w:eastAsia="方正仿宋_GBK" w:cs="Times New Roman"/>
          <w:sz w:val="24"/>
          <w:szCs w:val="24"/>
        </w:rPr>
        <w:t>妥善保管审计过程中产生的各类资料。</w:t>
      </w:r>
    </w:p>
    <w:p w14:paraId="61F7E6EF">
      <w:pPr>
        <w:pStyle w:val="13"/>
        <w:keepNext w:val="0"/>
        <w:keepLines w:val="0"/>
        <w:pageBreakBefore w:val="0"/>
        <w:kinsoku/>
        <w:wordWrap/>
        <w:overflowPunct/>
        <w:topLinePunct w:val="0"/>
        <w:autoSpaceDE/>
        <w:autoSpaceDN/>
        <w:bidi w:val="0"/>
        <w:adjustRightInd/>
        <w:snapToGrid/>
        <w:spacing w:before="0" w:after="0" w:line="400" w:lineRule="exact"/>
        <w:ind w:firstLine="480" w:firstLineChars="200"/>
        <w:jc w:val="both"/>
        <w:rPr>
          <w:rFonts w:ascii="Times New Roman" w:hAnsi="Times New Roman" w:eastAsia="方正仿宋_GBK" w:cs="Times New Roman"/>
          <w:sz w:val="24"/>
          <w:szCs w:val="24"/>
        </w:rPr>
      </w:pPr>
      <w:r>
        <w:rPr>
          <w:rFonts w:hint="eastAsia" w:ascii="仿宋_GB2312" w:hAnsi="仿宋_GB2312" w:cs="仿宋_GB2312"/>
          <w:sz w:val="24"/>
          <w:szCs w:val="24"/>
          <w:lang w:val="en-US" w:eastAsia="zh-CN"/>
        </w:rPr>
        <w:t>8.</w:t>
      </w:r>
      <w:r>
        <w:rPr>
          <w:rFonts w:hint="eastAsia" w:ascii="仿宋_GB2312" w:hAnsi="仿宋_GB2312" w:eastAsia="仿宋_GB2312" w:cs="仿宋_GB2312"/>
          <w:kern w:val="2"/>
          <w:sz w:val="24"/>
          <w:szCs w:val="24"/>
          <w:lang w:val="en-US" w:eastAsia="zh-CN" w:bidi="ar-SA"/>
        </w:rPr>
        <w:t>乙方应定期以</w:t>
      </w:r>
      <w:r>
        <w:rPr>
          <w:rFonts w:ascii="Times New Roman" w:hAnsi="Times New Roman" w:eastAsia="方正仿宋_GBK" w:cs="Times New Roman"/>
          <w:sz w:val="24"/>
          <w:szCs w:val="24"/>
        </w:rPr>
        <w:t>书面形式向</w:t>
      </w:r>
      <w:r>
        <w:rPr>
          <w:rFonts w:hint="eastAsia" w:ascii="Times New Roman" w:hAnsi="Times New Roman" w:eastAsia="方正仿宋_GBK" w:cs="Times New Roman"/>
          <w:sz w:val="24"/>
          <w:szCs w:val="24"/>
          <w:lang w:val="en-US" w:eastAsia="zh-CN"/>
        </w:rPr>
        <w:t>甲方</w:t>
      </w:r>
      <w:r>
        <w:rPr>
          <w:rFonts w:ascii="Times New Roman" w:hAnsi="Times New Roman" w:eastAsia="方正仿宋_GBK" w:cs="Times New Roman"/>
          <w:sz w:val="24"/>
          <w:szCs w:val="24"/>
        </w:rPr>
        <w:t>汇报审计工作进展、发现的问题及解决方案；遇到重大问题或紧急情况，需在 2 小时内电话报告</w:t>
      </w:r>
      <w:r>
        <w:rPr>
          <w:rFonts w:hint="eastAsia" w:ascii="Times New Roman" w:hAnsi="Times New Roman" w:eastAsia="方正仿宋_GBK" w:cs="Times New Roman"/>
          <w:sz w:val="24"/>
          <w:szCs w:val="24"/>
        </w:rPr>
        <w:t>甲方</w:t>
      </w:r>
      <w:r>
        <w:rPr>
          <w:rFonts w:ascii="Times New Roman" w:hAnsi="Times New Roman" w:eastAsia="方正仿宋_GBK" w:cs="Times New Roman"/>
          <w:sz w:val="24"/>
          <w:szCs w:val="24"/>
        </w:rPr>
        <w:t>，并在 24 小时内提交详细书面报告。积极配合</w:t>
      </w:r>
      <w:r>
        <w:rPr>
          <w:rFonts w:hint="eastAsia" w:ascii="Times New Roman" w:hAnsi="Times New Roman" w:eastAsia="方正仿宋_GBK" w:cs="Times New Roman"/>
          <w:sz w:val="24"/>
          <w:szCs w:val="24"/>
          <w:lang w:val="en-US" w:eastAsia="zh-CN"/>
        </w:rPr>
        <w:t>甲方</w:t>
      </w:r>
      <w:r>
        <w:rPr>
          <w:rFonts w:ascii="Times New Roman" w:hAnsi="Times New Roman" w:eastAsia="方正仿宋_GBK" w:cs="Times New Roman"/>
          <w:sz w:val="24"/>
          <w:szCs w:val="24"/>
        </w:rPr>
        <w:t>组织的审计工作协调会，及时解答疑问。</w:t>
      </w:r>
    </w:p>
    <w:p w14:paraId="35824985">
      <w:pPr>
        <w:pStyle w:val="13"/>
        <w:keepNext w:val="0"/>
        <w:keepLines w:val="0"/>
        <w:pageBreakBefore w:val="0"/>
        <w:kinsoku/>
        <w:wordWrap/>
        <w:overflowPunct/>
        <w:topLinePunct w:val="0"/>
        <w:autoSpaceDE/>
        <w:autoSpaceDN/>
        <w:bidi w:val="0"/>
        <w:adjustRightInd/>
        <w:snapToGrid/>
        <w:spacing w:before="0" w:after="0" w:line="400" w:lineRule="exact"/>
        <w:ind w:firstLine="480" w:firstLineChars="200"/>
        <w:jc w:val="both"/>
        <w:rPr>
          <w:rFonts w:hint="default" w:eastAsia="仿宋_GB2312"/>
          <w:sz w:val="24"/>
          <w:szCs w:val="24"/>
          <w:lang w:val="en-US" w:eastAsia="zh-CN"/>
        </w:rPr>
      </w:pPr>
      <w:r>
        <w:rPr>
          <w:rFonts w:hint="eastAsia" w:ascii="Times New Roman" w:hAnsi="Times New Roman" w:eastAsia="方正仿宋_GBK" w:cs="Times New Roman"/>
          <w:sz w:val="24"/>
          <w:szCs w:val="24"/>
          <w:lang w:val="en-US" w:eastAsia="zh-CN"/>
        </w:rPr>
        <w:t>9.乙方</w:t>
      </w:r>
      <w:r>
        <w:rPr>
          <w:rFonts w:ascii="Times New Roman" w:hAnsi="Times New Roman" w:eastAsia="方正仿宋_GBK" w:cs="Times New Roman"/>
          <w:sz w:val="24"/>
          <w:szCs w:val="24"/>
        </w:rPr>
        <w:t>应积极配合</w:t>
      </w:r>
      <w:r>
        <w:rPr>
          <w:rFonts w:hint="eastAsia" w:ascii="Times New Roman" w:hAnsi="Times New Roman" w:eastAsia="方正仿宋_GBK" w:cs="Times New Roman"/>
          <w:sz w:val="24"/>
          <w:szCs w:val="24"/>
          <w:lang w:val="en-US" w:eastAsia="zh-CN"/>
        </w:rPr>
        <w:t>甲方</w:t>
      </w:r>
      <w:r>
        <w:rPr>
          <w:rFonts w:ascii="Times New Roman" w:hAnsi="Times New Roman" w:eastAsia="方正仿宋_GBK" w:cs="Times New Roman"/>
          <w:sz w:val="24"/>
          <w:szCs w:val="24"/>
        </w:rPr>
        <w:t>及相关主管部门</w:t>
      </w:r>
      <w:r>
        <w:rPr>
          <w:rFonts w:hint="eastAsia" w:ascii="Times New Roman" w:hAnsi="Times New Roman" w:eastAsia="方正仿宋_GBK" w:cs="Times New Roman"/>
          <w:sz w:val="24"/>
          <w:szCs w:val="24"/>
          <w:lang w:val="en-US" w:eastAsia="zh-CN"/>
        </w:rPr>
        <w:t>的</w:t>
      </w:r>
      <w:r>
        <w:rPr>
          <w:rFonts w:ascii="Times New Roman" w:hAnsi="Times New Roman" w:eastAsia="方正仿宋_GBK" w:cs="Times New Roman"/>
          <w:sz w:val="24"/>
          <w:szCs w:val="24"/>
        </w:rPr>
        <w:t>监督检查，如实提供审计工作相关资料和情况说明</w:t>
      </w:r>
      <w:r>
        <w:rPr>
          <w:rFonts w:hint="eastAsia" w:ascii="Times New Roman" w:hAnsi="Times New Roman" w:eastAsia="方正仿宋_GBK" w:cs="Times New Roman"/>
          <w:sz w:val="24"/>
          <w:szCs w:val="24"/>
        </w:rPr>
        <w:t>，</w:t>
      </w:r>
      <w:r>
        <w:rPr>
          <w:rFonts w:hint="eastAsia" w:ascii="Times New Roman" w:hAnsi="Times New Roman" w:eastAsia="方正仿宋_GBK"/>
          <w:sz w:val="24"/>
          <w:szCs w:val="24"/>
        </w:rPr>
        <w:t>解释由</w:t>
      </w:r>
      <w:r>
        <w:rPr>
          <w:rFonts w:hint="eastAsia" w:ascii="Times New Roman" w:hAnsi="Times New Roman" w:eastAsia="方正仿宋_GBK"/>
          <w:sz w:val="24"/>
          <w:szCs w:val="24"/>
          <w:lang w:val="en-US" w:eastAsia="zh-CN"/>
        </w:rPr>
        <w:t>乙方</w:t>
      </w:r>
      <w:r>
        <w:rPr>
          <w:rFonts w:hint="eastAsia" w:ascii="Times New Roman" w:hAnsi="Times New Roman" w:eastAsia="方正仿宋_GBK"/>
          <w:sz w:val="24"/>
          <w:szCs w:val="24"/>
        </w:rPr>
        <w:t>出具的审计有关结论和意见。</w:t>
      </w:r>
    </w:p>
    <w:p w14:paraId="568FE9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乙方对所承担的工作质量负责（包括执行基本建设程序审核、工程造价审核等方面）。但乙方的审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责任并不替代、减轻或免除被审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方的责任</w:t>
      </w:r>
      <w:r>
        <w:rPr>
          <w:rFonts w:hint="eastAsia" w:ascii="仿宋_GB2312" w:hAnsi="仿宋_GB2312" w:eastAsia="仿宋_GB2312" w:cs="仿宋_GB2312"/>
          <w:sz w:val="24"/>
          <w:szCs w:val="24"/>
          <w:lang w:eastAsia="zh-CN"/>
        </w:rPr>
        <w:t>。</w:t>
      </w:r>
    </w:p>
    <w:p w14:paraId="78D38E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因为甲方的原因未按时完成约定的工作，不承担违约责任</w:t>
      </w:r>
      <w:r>
        <w:rPr>
          <w:rFonts w:hint="eastAsia" w:ascii="仿宋_GB2312" w:hAnsi="仿宋_GB2312" w:eastAsia="仿宋_GB2312" w:cs="仿宋_GB2312"/>
          <w:sz w:val="24"/>
          <w:szCs w:val="24"/>
        </w:rPr>
        <w:t>。</w:t>
      </w:r>
    </w:p>
    <w:p w14:paraId="14010982">
      <w:pPr>
        <w:pStyle w:val="8"/>
        <w:keepNext w:val="0"/>
        <w:keepLines w:val="0"/>
        <w:pageBreakBefore w:val="0"/>
        <w:kinsoku/>
        <w:wordWrap/>
        <w:overflowPunct/>
        <w:topLinePunct w:val="0"/>
        <w:autoSpaceDE/>
        <w:autoSpaceDN/>
        <w:bidi w:val="0"/>
        <w:adjustRightInd/>
        <w:snapToGrid/>
        <w:spacing w:line="400" w:lineRule="exact"/>
        <w:rPr>
          <w:rFonts w:hint="default" w:eastAsia="仿宋_GB2312"/>
          <w:sz w:val="24"/>
          <w:szCs w:val="24"/>
          <w:lang w:val="en-US" w:eastAsia="zh-CN"/>
        </w:rPr>
      </w:pPr>
      <w:r>
        <w:rPr>
          <w:rFonts w:hint="eastAsia" w:ascii="仿宋_GB2312" w:hAnsi="仿宋_GB2312" w:cs="仿宋_GB2312"/>
          <w:sz w:val="24"/>
          <w:szCs w:val="24"/>
          <w:lang w:val="en-US" w:eastAsia="zh-CN"/>
        </w:rPr>
        <w:t xml:space="preserve"> 12.</w:t>
      </w:r>
      <w:r>
        <w:rPr>
          <w:rFonts w:hint="eastAsia" w:ascii="Times New Roman" w:hAnsi="Times New Roman" w:eastAsia="方正仿宋_GBK" w:cs="Times New Roman"/>
          <w:sz w:val="24"/>
          <w:szCs w:val="24"/>
          <w:lang w:val="en-US" w:eastAsia="zh-CN"/>
        </w:rPr>
        <w:t>乙方</w:t>
      </w:r>
      <w:r>
        <w:rPr>
          <w:rFonts w:hint="default" w:ascii="Times New Roman" w:hAnsi="Times New Roman" w:eastAsia="方正仿宋_GBK" w:cs="Times New Roman"/>
          <w:sz w:val="24"/>
          <w:szCs w:val="24"/>
        </w:rPr>
        <w:t>不得与被审计单位或其他相关利益方串通舞弊，谋取不正当利益。不得将承接的审计项目转包或分包给其他单位或个人。</w:t>
      </w:r>
    </w:p>
    <w:p w14:paraId="7197C461">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五、审</w:t>
      </w:r>
      <w:r>
        <w:rPr>
          <w:rFonts w:hint="eastAsia" w:ascii="方正黑体_GBK" w:hAnsi="方正黑体_GBK" w:eastAsia="方正黑体_GBK" w:cs="方正黑体_GBK"/>
          <w:kern w:val="0"/>
          <w:sz w:val="24"/>
          <w:szCs w:val="24"/>
          <w:lang w:eastAsia="zh-CN"/>
        </w:rPr>
        <w:t>计</w:t>
      </w:r>
      <w:r>
        <w:rPr>
          <w:rFonts w:hint="eastAsia" w:ascii="方正黑体_GBK" w:hAnsi="方正黑体_GBK" w:eastAsia="方正黑体_GBK" w:cs="方正黑体_GBK"/>
          <w:kern w:val="0"/>
          <w:sz w:val="24"/>
          <w:szCs w:val="24"/>
        </w:rPr>
        <w:t>经费</w:t>
      </w:r>
    </w:p>
    <w:p w14:paraId="53F39A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结算审计费=基本费+审计效益费</w:t>
      </w:r>
    </w:p>
    <w:p w14:paraId="4683DB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基本费</w:t>
      </w:r>
    </w:p>
    <w:p w14:paraId="51D367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清单计价方式工程项目：</w:t>
      </w:r>
      <w:r>
        <w:rPr>
          <w:rFonts w:hint="eastAsia" w:ascii="仿宋_GB2312" w:hAnsi="仿宋_GB2312" w:eastAsia="仿宋_GB2312" w:cs="仿宋_GB2312"/>
          <w:sz w:val="24"/>
          <w:szCs w:val="24"/>
          <w:lang w:eastAsia="zh-CN"/>
        </w:rPr>
        <w:t>以该工程送审结（决）算金额为基数，</w:t>
      </w:r>
      <w:r>
        <w:rPr>
          <w:rFonts w:hint="eastAsia" w:ascii="仿宋_GB2312" w:hAnsi="仿宋_GB2312" w:eastAsia="仿宋_GB2312" w:cs="仿宋_GB2312"/>
          <w:sz w:val="24"/>
          <w:szCs w:val="24"/>
          <w:lang w:val="en-US" w:eastAsia="zh-CN"/>
        </w:rPr>
        <w:t>收费费率详见下表：</w:t>
      </w:r>
    </w:p>
    <w:tbl>
      <w:tblPr>
        <w:tblStyle w:val="9"/>
        <w:tblW w:w="4760" w:type="pct"/>
        <w:tblInd w:w="0" w:type="dxa"/>
        <w:tblLayout w:type="fixed"/>
        <w:tblCellMar>
          <w:top w:w="0" w:type="dxa"/>
          <w:left w:w="108" w:type="dxa"/>
          <w:bottom w:w="0" w:type="dxa"/>
          <w:right w:w="108" w:type="dxa"/>
        </w:tblCellMar>
      </w:tblPr>
      <w:tblGrid>
        <w:gridCol w:w="440"/>
        <w:gridCol w:w="1247"/>
        <w:gridCol w:w="1487"/>
        <w:gridCol w:w="1125"/>
        <w:gridCol w:w="964"/>
        <w:gridCol w:w="1018"/>
        <w:gridCol w:w="900"/>
        <w:gridCol w:w="932"/>
      </w:tblGrid>
      <w:tr w14:paraId="3C8AD507">
        <w:tblPrEx>
          <w:tblCellMar>
            <w:top w:w="0" w:type="dxa"/>
            <w:left w:w="108" w:type="dxa"/>
            <w:bottom w:w="0" w:type="dxa"/>
            <w:right w:w="108" w:type="dxa"/>
          </w:tblCellMar>
        </w:tblPrEx>
        <w:trPr>
          <w:trHeight w:val="48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1D8B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34F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费用类型</w:t>
            </w:r>
          </w:p>
        </w:tc>
        <w:tc>
          <w:tcPr>
            <w:tcW w:w="9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A3AB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专业</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850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计费基数</w:t>
            </w:r>
          </w:p>
        </w:tc>
        <w:tc>
          <w:tcPr>
            <w:tcW w:w="23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1692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收费费率（‰）</w:t>
            </w:r>
          </w:p>
        </w:tc>
      </w:tr>
      <w:tr w14:paraId="54E08C55">
        <w:tblPrEx>
          <w:tblCellMar>
            <w:top w:w="0" w:type="dxa"/>
            <w:left w:w="108" w:type="dxa"/>
            <w:bottom w:w="0" w:type="dxa"/>
            <w:right w:w="108" w:type="dxa"/>
          </w:tblCellMar>
        </w:tblPrEx>
        <w:trPr>
          <w:trHeight w:val="76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A49B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sz w:val="22"/>
                <w:szCs w:val="22"/>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9AD0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sz w:val="22"/>
                <w:szCs w:val="22"/>
              </w:rPr>
            </w:pP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0956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sz w:val="22"/>
                <w:szCs w:val="22"/>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EB82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sz w:val="22"/>
                <w:szCs w:val="22"/>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9B6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500万以内</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E88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500万-1000万以内</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F20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1000万到5000万以内</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F2B1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5000万-1亿以内</w:t>
            </w:r>
          </w:p>
        </w:tc>
      </w:tr>
      <w:tr w14:paraId="6DB6AC81">
        <w:tblPrEx>
          <w:tblCellMar>
            <w:top w:w="0" w:type="dxa"/>
            <w:left w:w="108" w:type="dxa"/>
            <w:bottom w:w="0" w:type="dxa"/>
            <w:right w:w="108" w:type="dxa"/>
          </w:tblCellMar>
        </w:tblPrEx>
        <w:trPr>
          <w:trHeight w:val="86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222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F854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基本收费</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464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建筑、市政</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74B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送审</w:t>
            </w:r>
            <w:r>
              <w:rPr>
                <w:rFonts w:hint="eastAsia" w:ascii="宋体" w:hAnsi="宋体" w:cs="宋体"/>
                <w:color w:val="000000"/>
                <w:kern w:val="0"/>
                <w:sz w:val="22"/>
                <w:szCs w:val="22"/>
                <w:lang w:val="en-US" w:eastAsia="zh-CN" w:bidi="ar"/>
              </w:rPr>
              <w:t>金额</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E65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.50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53A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1.2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9441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1.0</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58F5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0.8</w:t>
            </w:r>
          </w:p>
        </w:tc>
      </w:tr>
      <w:tr w14:paraId="7F2CE2B5">
        <w:tblPrEx>
          <w:tblCellMar>
            <w:top w:w="0" w:type="dxa"/>
            <w:left w:w="108" w:type="dxa"/>
            <w:bottom w:w="0" w:type="dxa"/>
            <w:right w:w="108" w:type="dxa"/>
          </w:tblCellMar>
        </w:tblPrEx>
        <w:trPr>
          <w:trHeight w:val="114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BBBA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sz w:val="22"/>
                <w:szCs w:val="22"/>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1966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sz w:val="22"/>
                <w:szCs w:val="22"/>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185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园林、安装、装饰、维修</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C4D4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000000"/>
                <w:sz w:val="22"/>
                <w:szCs w:val="22"/>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DD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2.5</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B49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2.0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523C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1.5</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504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2</w:t>
            </w:r>
          </w:p>
        </w:tc>
      </w:tr>
    </w:tbl>
    <w:p w14:paraId="09D0D0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基本费计算方式：以项目送审结算工程造价为基础，根据其金额所在区间选取对应收费费率，再乘以报价折扣率。</w:t>
      </w:r>
    </w:p>
    <w:p w14:paraId="0976CE3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（二）审计效益费</w:t>
      </w:r>
    </w:p>
    <w:tbl>
      <w:tblPr>
        <w:tblStyle w:val="9"/>
        <w:tblW w:w="4749" w:type="pct"/>
        <w:tblInd w:w="0" w:type="dxa"/>
        <w:tblLayout w:type="fixed"/>
        <w:tblCellMar>
          <w:top w:w="0" w:type="dxa"/>
          <w:left w:w="108" w:type="dxa"/>
          <w:bottom w:w="0" w:type="dxa"/>
          <w:right w:w="108" w:type="dxa"/>
        </w:tblCellMar>
      </w:tblPr>
      <w:tblGrid>
        <w:gridCol w:w="593"/>
        <w:gridCol w:w="1493"/>
        <w:gridCol w:w="986"/>
        <w:gridCol w:w="1239"/>
        <w:gridCol w:w="3784"/>
      </w:tblGrid>
      <w:tr w14:paraId="12CD64D6">
        <w:tblPrEx>
          <w:tblCellMar>
            <w:top w:w="0" w:type="dxa"/>
            <w:left w:w="108" w:type="dxa"/>
            <w:bottom w:w="0" w:type="dxa"/>
            <w:right w:w="108" w:type="dxa"/>
          </w:tblCellMar>
        </w:tblPrEx>
        <w:trPr>
          <w:trHeight w:val="681"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4E2D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CF7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审减额区间</w:t>
            </w:r>
          </w:p>
        </w:tc>
        <w:tc>
          <w:tcPr>
            <w:tcW w:w="608" w:type="pct"/>
            <w:tcBorders>
              <w:top w:val="single" w:color="000000" w:sz="4" w:space="0"/>
              <w:left w:val="single" w:color="000000" w:sz="4" w:space="0"/>
              <w:right w:val="single" w:color="auto" w:sz="4" w:space="0"/>
            </w:tcBorders>
            <w:shd w:val="clear" w:color="auto" w:fill="auto"/>
            <w:vAlign w:val="center"/>
          </w:tcPr>
          <w:p w14:paraId="7DAD9EA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收费费率（‰）</w:t>
            </w:r>
          </w:p>
        </w:tc>
        <w:tc>
          <w:tcPr>
            <w:tcW w:w="765" w:type="pct"/>
            <w:tcBorders>
              <w:top w:val="single" w:color="000000" w:sz="4" w:space="0"/>
              <w:left w:val="single" w:color="auto" w:sz="4" w:space="0"/>
              <w:right w:val="single" w:color="auto" w:sz="4" w:space="0"/>
            </w:tcBorders>
            <w:shd w:val="clear" w:color="auto" w:fill="auto"/>
            <w:vAlign w:val="center"/>
          </w:tcPr>
          <w:p w14:paraId="77EC3B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计算基数</w:t>
            </w:r>
          </w:p>
        </w:tc>
        <w:tc>
          <w:tcPr>
            <w:tcW w:w="2337" w:type="pct"/>
            <w:tcBorders>
              <w:top w:val="single" w:color="000000" w:sz="4" w:space="0"/>
              <w:left w:val="single" w:color="auto" w:sz="4" w:space="0"/>
              <w:right w:val="single" w:color="auto" w:sz="4" w:space="0"/>
            </w:tcBorders>
            <w:shd w:val="clear" w:color="auto" w:fill="auto"/>
            <w:vAlign w:val="center"/>
          </w:tcPr>
          <w:p w14:paraId="081277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收费费用计算方式</w:t>
            </w:r>
          </w:p>
        </w:tc>
      </w:tr>
      <w:tr w14:paraId="36016515">
        <w:tblPrEx>
          <w:tblCellMar>
            <w:top w:w="0" w:type="dxa"/>
            <w:left w:w="108" w:type="dxa"/>
            <w:bottom w:w="0" w:type="dxa"/>
            <w:right w:w="108" w:type="dxa"/>
          </w:tblCellMar>
        </w:tblPrEx>
        <w:trPr>
          <w:trHeight w:val="86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C4F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6330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2"/>
                <w:szCs w:val="22"/>
                <w:lang w:eastAsia="zh-CN"/>
              </w:rPr>
            </w:pPr>
            <w:r>
              <w:rPr>
                <w:rFonts w:hint="eastAsia" w:ascii="宋体" w:hAnsi="宋体" w:eastAsia="宋体" w:cs="宋体"/>
                <w:i w:val="0"/>
                <w:iCs w:val="0"/>
                <w:caps w:val="0"/>
                <w:spacing w:val="0"/>
                <w:sz w:val="22"/>
                <w:szCs w:val="22"/>
                <w:shd w:val="clear" w:fill="FFFFFF"/>
              </w:rPr>
              <w:t>0 - 50 万元（含）</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2FB7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i w:val="0"/>
                <w:iCs w:val="0"/>
                <w:caps w:val="0"/>
                <w:spacing w:val="0"/>
                <w:sz w:val="22"/>
                <w:szCs w:val="22"/>
                <w:shd w:val="clear" w:fill="FFFFFF"/>
              </w:rPr>
              <w:t>50.00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953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i w:val="0"/>
                <w:iCs w:val="0"/>
                <w:caps w:val="0"/>
                <w:spacing w:val="0"/>
                <w:sz w:val="22"/>
                <w:szCs w:val="22"/>
                <w:shd w:val="clear" w:fill="FFFFFF"/>
              </w:rPr>
              <w:t>该区间内实际审减金额</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8022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i w:val="0"/>
                <w:iCs w:val="0"/>
                <w:caps w:val="0"/>
                <w:spacing w:val="0"/>
                <w:sz w:val="22"/>
                <w:szCs w:val="22"/>
                <w:shd w:val="clear" w:fill="FFFFFF"/>
              </w:rPr>
              <w:t>审减效益费 = 该区间内实际审减金额 ×5</w:t>
            </w:r>
            <w:r>
              <w:rPr>
                <w:rFonts w:hint="eastAsia" w:ascii="宋体" w:hAnsi="宋体" w:cs="宋体"/>
                <w:i w:val="0"/>
                <w:iCs w:val="0"/>
                <w:caps w:val="0"/>
                <w:spacing w:val="0"/>
                <w:sz w:val="22"/>
                <w:szCs w:val="22"/>
                <w:shd w:val="clear" w:fill="FFFFFF"/>
                <w:lang w:val="en-US" w:eastAsia="zh-CN"/>
              </w:rPr>
              <w:t>0</w:t>
            </w:r>
            <w:r>
              <w:rPr>
                <w:rFonts w:hint="eastAsia" w:ascii="宋体" w:hAnsi="宋体" w:eastAsia="宋体" w:cs="宋体"/>
                <w:i w:val="0"/>
                <w:iCs w:val="0"/>
                <w:caps w:val="0"/>
                <w:spacing w:val="0"/>
                <w:sz w:val="22"/>
                <w:szCs w:val="22"/>
                <w:shd w:val="clear" w:fill="FFFFFF"/>
              </w:rPr>
              <w:t>.00</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 报价折扣率</w:t>
            </w:r>
          </w:p>
        </w:tc>
      </w:tr>
      <w:tr w14:paraId="455705DC">
        <w:tblPrEx>
          <w:tblCellMar>
            <w:top w:w="0" w:type="dxa"/>
            <w:left w:w="108" w:type="dxa"/>
            <w:bottom w:w="0" w:type="dxa"/>
            <w:right w:w="108" w:type="dxa"/>
          </w:tblCellMar>
        </w:tblPrEx>
        <w:trPr>
          <w:trHeight w:val="86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941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212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aps w:val="0"/>
                <w:spacing w:val="0"/>
                <w:sz w:val="22"/>
                <w:szCs w:val="22"/>
                <w:shd w:val="clear" w:fill="FFFFFF"/>
              </w:rPr>
              <w:t>50 万元 - 200 万元（含）</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EB42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55.00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05F3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aps w:val="0"/>
                <w:spacing w:val="0"/>
                <w:sz w:val="22"/>
                <w:szCs w:val="22"/>
                <w:shd w:val="clear" w:fill="FFFFFF"/>
              </w:rPr>
              <w:t>该区间内实际审减金额</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E45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aps w:val="0"/>
                <w:spacing w:val="0"/>
                <w:sz w:val="22"/>
                <w:szCs w:val="22"/>
                <w:shd w:val="clear" w:fill="FFFFFF"/>
              </w:rPr>
              <w:t>审减效益费 = 该区间内实际审减金额 ×55.00</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 报价折扣率</w:t>
            </w:r>
          </w:p>
        </w:tc>
      </w:tr>
      <w:tr w14:paraId="46959A41">
        <w:tblPrEx>
          <w:tblCellMar>
            <w:top w:w="0" w:type="dxa"/>
            <w:left w:w="108" w:type="dxa"/>
            <w:bottom w:w="0" w:type="dxa"/>
            <w:right w:w="108" w:type="dxa"/>
          </w:tblCellMar>
        </w:tblPrEx>
        <w:trPr>
          <w:trHeight w:val="86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515E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E25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aps w:val="0"/>
                <w:spacing w:val="0"/>
                <w:sz w:val="22"/>
                <w:szCs w:val="22"/>
                <w:shd w:val="clear" w:fill="FFFFFF"/>
              </w:rPr>
              <w:t>200 万元 - 500 万元（含）</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143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60.00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24A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aps w:val="0"/>
                <w:spacing w:val="0"/>
                <w:sz w:val="22"/>
                <w:szCs w:val="22"/>
                <w:shd w:val="clear" w:fill="FFFFFF"/>
              </w:rPr>
              <w:t>该区间内实际审减金额</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C9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aps w:val="0"/>
                <w:spacing w:val="0"/>
                <w:sz w:val="22"/>
                <w:szCs w:val="22"/>
                <w:shd w:val="clear" w:fill="FFFFFF"/>
              </w:rPr>
              <w:t>审减效益费 = 该区间内实际审减金额 ×60.00</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 报价折扣率</w:t>
            </w:r>
          </w:p>
        </w:tc>
      </w:tr>
      <w:tr w14:paraId="0721E072">
        <w:tblPrEx>
          <w:tblCellMar>
            <w:top w:w="0" w:type="dxa"/>
            <w:left w:w="108" w:type="dxa"/>
            <w:bottom w:w="0" w:type="dxa"/>
            <w:right w:w="108" w:type="dxa"/>
          </w:tblCellMar>
        </w:tblPrEx>
        <w:trPr>
          <w:trHeight w:val="86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9F1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3145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aps w:val="0"/>
                <w:spacing w:val="0"/>
                <w:sz w:val="22"/>
                <w:szCs w:val="22"/>
                <w:shd w:val="clear" w:fill="FFFFFF"/>
              </w:rPr>
              <w:t>500 万元以上</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A66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65.00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E58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aps w:val="0"/>
                <w:spacing w:val="0"/>
                <w:sz w:val="22"/>
                <w:szCs w:val="22"/>
                <w:shd w:val="clear" w:fill="FFFFFF"/>
              </w:rPr>
              <w:t>该区间内实际审减金额</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AB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aps w:val="0"/>
                <w:spacing w:val="0"/>
                <w:sz w:val="22"/>
                <w:szCs w:val="22"/>
                <w:shd w:val="clear" w:fill="FFFFFF"/>
              </w:rPr>
              <w:t>审减效益费 = 该区间内实际审减金额 ×65.00</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i w:val="0"/>
                <w:iCs w:val="0"/>
                <w:caps w:val="0"/>
                <w:spacing w:val="0"/>
                <w:sz w:val="22"/>
                <w:szCs w:val="22"/>
                <w:shd w:val="clear" w:fill="FFFFFF"/>
              </w:rPr>
              <w:t>× 报价折扣率</w:t>
            </w:r>
          </w:p>
        </w:tc>
      </w:tr>
      <w:tr w14:paraId="7D0ECCFA">
        <w:tblPrEx>
          <w:tblCellMar>
            <w:top w:w="0" w:type="dxa"/>
            <w:left w:w="108" w:type="dxa"/>
            <w:bottom w:w="0" w:type="dxa"/>
            <w:right w:w="108" w:type="dxa"/>
          </w:tblCellMar>
        </w:tblPrEx>
        <w:trPr>
          <w:trHeight w:val="8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68AE22">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若最终审减额跨越多个区间，需分段计算审减效益费，再将各段费用相加，得到总审减效益费。例如，审减额为 600 万元时，审减效益费计算如下：</w:t>
            </w:r>
          </w:p>
          <w:p w14:paraId="1AE7493D">
            <w:pPr>
              <w:keepNext w:val="0"/>
              <w:keepLines w:val="0"/>
              <w:pageBreakBefore w:val="0"/>
              <w:widowControl/>
              <w:kinsoku/>
              <w:wordWrap/>
              <w:overflowPunct/>
              <w:topLinePunct w:val="0"/>
              <w:autoSpaceDE/>
              <w:autoSpaceDN/>
              <w:bidi w:val="0"/>
              <w:adjustRightInd/>
              <w:snapToGrid/>
              <w:spacing w:line="400" w:lineRule="exact"/>
              <w:ind w:firstLine="220" w:firstLineChars="100"/>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0 - 50 万元区间费用：500,000×50.00</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color w:val="000000"/>
                <w:kern w:val="0"/>
                <w:sz w:val="22"/>
                <w:szCs w:val="22"/>
                <w:lang w:val="en-US" w:eastAsia="zh-CN" w:bidi="ar"/>
              </w:rPr>
              <w:t>× 报价折扣率</w:t>
            </w:r>
          </w:p>
          <w:p w14:paraId="69F99765">
            <w:pPr>
              <w:keepNext w:val="0"/>
              <w:keepLines w:val="0"/>
              <w:pageBreakBefore w:val="0"/>
              <w:widowControl/>
              <w:kinsoku/>
              <w:wordWrap/>
              <w:overflowPunct/>
              <w:topLinePunct w:val="0"/>
              <w:autoSpaceDE/>
              <w:autoSpaceDN/>
              <w:bidi w:val="0"/>
              <w:adjustRightInd/>
              <w:snapToGrid/>
              <w:spacing w:line="400" w:lineRule="exact"/>
              <w:ind w:firstLine="220" w:firstLineChars="100"/>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50 万元 - 200 万元区间费用：(2,000,000 - 500,000)×55.00</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color w:val="000000"/>
                <w:kern w:val="0"/>
                <w:sz w:val="22"/>
                <w:szCs w:val="22"/>
                <w:lang w:val="en-US" w:eastAsia="zh-CN" w:bidi="ar"/>
              </w:rPr>
              <w:t>× 报价折扣率</w:t>
            </w:r>
          </w:p>
          <w:p w14:paraId="7CE80138">
            <w:pPr>
              <w:keepNext w:val="0"/>
              <w:keepLines w:val="0"/>
              <w:pageBreakBefore w:val="0"/>
              <w:widowControl/>
              <w:kinsoku/>
              <w:wordWrap/>
              <w:overflowPunct/>
              <w:topLinePunct w:val="0"/>
              <w:autoSpaceDE/>
              <w:autoSpaceDN/>
              <w:bidi w:val="0"/>
              <w:adjustRightInd/>
              <w:snapToGrid/>
              <w:spacing w:line="400" w:lineRule="exact"/>
              <w:ind w:firstLine="220" w:firstLineChars="100"/>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200 万元 - 500 万元区间费用：(5,000,000 - 2,000,000)×60.00</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color w:val="000000"/>
                <w:kern w:val="0"/>
                <w:sz w:val="22"/>
                <w:szCs w:val="22"/>
                <w:lang w:val="en-US" w:eastAsia="zh-CN" w:bidi="ar"/>
              </w:rPr>
              <w:t>× 报价折扣率</w:t>
            </w:r>
          </w:p>
          <w:p w14:paraId="665AF138">
            <w:pPr>
              <w:keepNext w:val="0"/>
              <w:keepLines w:val="0"/>
              <w:pageBreakBefore w:val="0"/>
              <w:widowControl/>
              <w:kinsoku/>
              <w:wordWrap/>
              <w:overflowPunct/>
              <w:topLinePunct w:val="0"/>
              <w:autoSpaceDE/>
              <w:autoSpaceDN/>
              <w:bidi w:val="0"/>
              <w:adjustRightInd/>
              <w:snapToGrid/>
              <w:spacing w:line="400" w:lineRule="exact"/>
              <w:ind w:left="210" w:leftChars="100" w:firstLine="0" w:firstLineChars="0"/>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500 万元以上区间费用：(6,000,000 - 5,000,000)×65.00</w:t>
            </w:r>
            <w:r>
              <w:rPr>
                <w:rFonts w:hint="eastAsia" w:ascii="宋体" w:hAnsi="宋体" w:eastAsia="宋体" w:cs="宋体"/>
                <w:i w:val="0"/>
                <w:iCs w:val="0"/>
                <w:caps w:val="0"/>
                <w:spacing w:val="0"/>
                <w:sz w:val="22"/>
                <w:szCs w:val="22"/>
                <w:shd w:val="clear" w:fill="FFFFFF"/>
                <w:lang w:val="en-US" w:eastAsia="zh-CN"/>
              </w:rPr>
              <w:t>‰</w:t>
            </w:r>
            <w:r>
              <w:rPr>
                <w:rFonts w:hint="eastAsia" w:ascii="宋体" w:hAnsi="宋体" w:eastAsia="宋体" w:cs="宋体"/>
                <w:color w:val="000000"/>
                <w:kern w:val="0"/>
                <w:sz w:val="22"/>
                <w:szCs w:val="22"/>
                <w:lang w:val="en-US" w:eastAsia="zh-CN" w:bidi="ar"/>
              </w:rPr>
              <w:t>× 报价折扣率</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总审减效益费 = 以上四段费用之和。</w:t>
            </w:r>
          </w:p>
        </w:tc>
      </w:tr>
    </w:tbl>
    <w:p w14:paraId="2129D40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（三）单项委托合同按上述费用计算不足3000元时，按3000元计取。</w:t>
      </w:r>
    </w:p>
    <w:p w14:paraId="60322181">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default" w:ascii="方正黑体_GBK" w:hAnsi="方正黑体_GBK" w:eastAsia="方正黑体_GBK" w:cs="方正黑体_GBK"/>
          <w:kern w:val="0"/>
          <w:sz w:val="24"/>
          <w:szCs w:val="24"/>
          <w:lang w:eastAsia="zh-CN"/>
        </w:rPr>
      </w:pPr>
      <w:r>
        <w:rPr>
          <w:rFonts w:hint="eastAsia" w:ascii="方正黑体_GBK" w:hAnsi="方正黑体_GBK" w:eastAsia="方正黑体_GBK" w:cs="方正黑体_GBK"/>
          <w:kern w:val="0"/>
          <w:sz w:val="24"/>
          <w:szCs w:val="24"/>
          <w:lang w:val="en-US" w:eastAsia="zh-CN"/>
        </w:rPr>
        <w:t>六</w:t>
      </w:r>
      <w:r>
        <w:rPr>
          <w:rFonts w:hint="default" w:ascii="方正黑体_GBK" w:hAnsi="方正黑体_GBK" w:eastAsia="方正黑体_GBK" w:cs="方正黑体_GBK"/>
          <w:kern w:val="0"/>
          <w:sz w:val="24"/>
          <w:szCs w:val="24"/>
        </w:rPr>
        <w:t>、</w:t>
      </w:r>
      <w:r>
        <w:rPr>
          <w:rFonts w:hint="eastAsia" w:ascii="方正黑体_GBK" w:hAnsi="方正黑体_GBK" w:eastAsia="方正黑体_GBK" w:cs="方正黑体_GBK"/>
          <w:kern w:val="0"/>
          <w:sz w:val="24"/>
          <w:szCs w:val="24"/>
          <w:lang w:val="en-US" w:eastAsia="zh-CN"/>
        </w:rPr>
        <w:t>支付方式</w:t>
      </w:r>
    </w:p>
    <w:p w14:paraId="36026CB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w:t>
      </w:r>
      <w:r>
        <w:rPr>
          <w:rFonts w:hint="default" w:ascii="仿宋_GB2312" w:hAnsi="仿宋_GB2312" w:eastAsia="仿宋_GB2312" w:cs="仿宋_GB2312"/>
          <w:kern w:val="2"/>
          <w:sz w:val="24"/>
          <w:szCs w:val="24"/>
          <w:lang w:val="en-US" w:eastAsia="zh-CN" w:bidi="ar-SA"/>
        </w:rPr>
        <w:t>基础费用支付：施工单位完成工程结算资料送审，且</w:t>
      </w:r>
      <w:r>
        <w:rPr>
          <w:rFonts w:hint="eastAsia" w:ascii="仿宋_GB2312" w:hAnsi="仿宋_GB2312" w:eastAsia="仿宋_GB2312" w:cs="仿宋_GB2312"/>
          <w:kern w:val="2"/>
          <w:sz w:val="24"/>
          <w:szCs w:val="24"/>
          <w:lang w:val="en-US" w:eastAsia="zh-CN" w:bidi="ar-SA"/>
        </w:rPr>
        <w:t>审计单位</w:t>
      </w:r>
      <w:r>
        <w:rPr>
          <w:rFonts w:hint="default" w:ascii="仿宋_GB2312" w:hAnsi="仿宋_GB2312" w:eastAsia="仿宋_GB2312" w:cs="仿宋_GB2312"/>
          <w:kern w:val="2"/>
          <w:sz w:val="24"/>
          <w:szCs w:val="24"/>
          <w:lang w:val="en-US" w:eastAsia="zh-CN" w:bidi="ar-SA"/>
        </w:rPr>
        <w:t>确认</w:t>
      </w:r>
      <w:r>
        <w:rPr>
          <w:rFonts w:hint="eastAsia" w:ascii="仿宋_GB2312" w:hAnsi="仿宋_GB2312" w:eastAsia="仿宋_GB2312" w:cs="仿宋_GB2312"/>
          <w:kern w:val="2"/>
          <w:sz w:val="24"/>
          <w:szCs w:val="24"/>
          <w:lang w:val="en-US" w:eastAsia="zh-CN" w:bidi="ar-SA"/>
        </w:rPr>
        <w:t>其</w:t>
      </w:r>
      <w:r>
        <w:rPr>
          <w:rFonts w:hint="default" w:ascii="仿宋_GB2312" w:hAnsi="仿宋_GB2312" w:eastAsia="仿宋_GB2312" w:cs="仿宋_GB2312"/>
          <w:kern w:val="2"/>
          <w:sz w:val="24"/>
          <w:szCs w:val="24"/>
          <w:lang w:val="en-US" w:eastAsia="zh-CN" w:bidi="ar-SA"/>
        </w:rPr>
        <w:t>资料</w:t>
      </w:r>
      <w:r>
        <w:rPr>
          <w:rFonts w:hint="eastAsia" w:ascii="仿宋_GB2312" w:hAnsi="仿宋_GB2312" w:eastAsia="仿宋_GB2312" w:cs="仿宋_GB2312"/>
          <w:kern w:val="2"/>
          <w:sz w:val="24"/>
          <w:szCs w:val="24"/>
          <w:lang w:val="en-US" w:eastAsia="zh-CN" w:bidi="ar-SA"/>
        </w:rPr>
        <w:t>完整并</w:t>
      </w:r>
      <w:r>
        <w:rPr>
          <w:rFonts w:hint="default" w:ascii="仿宋_GB2312" w:hAnsi="仿宋_GB2312" w:eastAsia="仿宋_GB2312" w:cs="仿宋_GB2312"/>
          <w:kern w:val="2"/>
          <w:sz w:val="24"/>
          <w:szCs w:val="24"/>
          <w:lang w:val="en-US" w:eastAsia="zh-CN" w:bidi="ar-SA"/>
        </w:rPr>
        <w:t>符合审核要求后 15 个工作日内，</w:t>
      </w:r>
      <w:r>
        <w:rPr>
          <w:rFonts w:hint="eastAsia" w:ascii="仿宋_GB2312" w:hAnsi="仿宋_GB2312" w:eastAsia="仿宋_GB2312" w:cs="仿宋_GB2312"/>
          <w:kern w:val="2"/>
          <w:sz w:val="24"/>
          <w:szCs w:val="24"/>
          <w:lang w:val="en-US" w:eastAsia="zh-CN" w:bidi="ar-SA"/>
        </w:rPr>
        <w:t>甲方</w:t>
      </w:r>
      <w:r>
        <w:rPr>
          <w:rFonts w:hint="default" w:ascii="仿宋_GB2312" w:hAnsi="仿宋_GB2312" w:eastAsia="仿宋_GB2312" w:cs="仿宋_GB2312"/>
          <w:kern w:val="2"/>
          <w:sz w:val="24"/>
          <w:szCs w:val="24"/>
          <w:lang w:val="en-US" w:eastAsia="zh-CN" w:bidi="ar-SA"/>
        </w:rPr>
        <w:t>向</w:t>
      </w:r>
      <w:r>
        <w:rPr>
          <w:rFonts w:hint="eastAsia" w:ascii="仿宋_GB2312" w:hAnsi="仿宋_GB2312" w:eastAsia="仿宋_GB2312" w:cs="仿宋_GB2312"/>
          <w:kern w:val="2"/>
          <w:sz w:val="24"/>
          <w:szCs w:val="24"/>
          <w:lang w:val="en-US" w:eastAsia="zh-CN" w:bidi="ar-SA"/>
        </w:rPr>
        <w:t>乙方</w:t>
      </w:r>
      <w:r>
        <w:rPr>
          <w:rFonts w:hint="default" w:ascii="仿宋_GB2312" w:hAnsi="仿宋_GB2312" w:eastAsia="仿宋_GB2312" w:cs="仿宋_GB2312"/>
          <w:kern w:val="2"/>
          <w:sz w:val="24"/>
          <w:szCs w:val="24"/>
          <w:lang w:val="en-US" w:eastAsia="zh-CN" w:bidi="ar-SA"/>
        </w:rPr>
        <w:t>支付结算编制（审核）基本收费的 50%。</w:t>
      </w:r>
      <w:r>
        <w:rPr>
          <w:rFonts w:hint="eastAsia" w:ascii="仿宋_GB2312" w:hAnsi="仿宋_GB2312" w:eastAsia="仿宋_GB2312" w:cs="仿宋_GB2312"/>
          <w:kern w:val="2"/>
          <w:sz w:val="24"/>
          <w:szCs w:val="24"/>
          <w:lang w:val="en-US" w:eastAsia="zh-CN" w:bidi="ar-SA"/>
        </w:rPr>
        <w:t>乙方</w:t>
      </w:r>
      <w:r>
        <w:rPr>
          <w:rFonts w:hint="default" w:ascii="仿宋_GB2312" w:hAnsi="仿宋_GB2312" w:eastAsia="仿宋_GB2312" w:cs="仿宋_GB2312"/>
          <w:kern w:val="2"/>
          <w:sz w:val="24"/>
          <w:szCs w:val="24"/>
          <w:lang w:val="en-US" w:eastAsia="zh-CN" w:bidi="ar-SA"/>
        </w:rPr>
        <w:t>需同时提供合法有效的等额增值税</w:t>
      </w:r>
      <w:r>
        <w:rPr>
          <w:rFonts w:hint="eastAsia" w:ascii="仿宋_GB2312" w:hAnsi="仿宋_GB2312" w:eastAsia="仿宋_GB2312" w:cs="仿宋_GB2312"/>
          <w:kern w:val="2"/>
          <w:sz w:val="24"/>
          <w:szCs w:val="24"/>
          <w:lang w:val="en-US" w:eastAsia="zh-CN" w:bidi="ar-SA"/>
        </w:rPr>
        <w:t>普通</w:t>
      </w:r>
      <w:r>
        <w:rPr>
          <w:rFonts w:hint="default" w:ascii="仿宋_GB2312" w:hAnsi="仿宋_GB2312" w:eastAsia="仿宋_GB2312" w:cs="仿宋_GB2312"/>
          <w:kern w:val="2"/>
          <w:sz w:val="24"/>
          <w:szCs w:val="24"/>
          <w:lang w:val="en-US" w:eastAsia="zh-CN" w:bidi="ar-SA"/>
        </w:rPr>
        <w:t>发票，否则</w:t>
      </w:r>
      <w:r>
        <w:rPr>
          <w:rFonts w:hint="eastAsia" w:ascii="仿宋_GB2312" w:hAnsi="仿宋_GB2312" w:eastAsia="仿宋_GB2312" w:cs="仿宋_GB2312"/>
          <w:kern w:val="2"/>
          <w:sz w:val="24"/>
          <w:szCs w:val="24"/>
          <w:lang w:val="en-US" w:eastAsia="zh-CN" w:bidi="ar-SA"/>
        </w:rPr>
        <w:t>甲方</w:t>
      </w:r>
      <w:r>
        <w:rPr>
          <w:rFonts w:hint="default" w:ascii="仿宋_GB2312" w:hAnsi="仿宋_GB2312" w:eastAsia="仿宋_GB2312" w:cs="仿宋_GB2312"/>
          <w:kern w:val="2"/>
          <w:sz w:val="24"/>
          <w:szCs w:val="24"/>
          <w:lang w:val="en-US" w:eastAsia="zh-CN" w:bidi="ar-SA"/>
        </w:rPr>
        <w:t>有权顺延付款且不承担违约责任。</w:t>
      </w:r>
    </w:p>
    <w:p w14:paraId="002E12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w:t>
      </w:r>
      <w:r>
        <w:rPr>
          <w:rFonts w:hint="default" w:ascii="仿宋_GB2312" w:hAnsi="仿宋_GB2312" w:eastAsia="仿宋_GB2312" w:cs="仿宋_GB2312"/>
          <w:kern w:val="2"/>
          <w:sz w:val="24"/>
          <w:szCs w:val="24"/>
          <w:lang w:val="en-US" w:eastAsia="zh-CN" w:bidi="ar-SA"/>
        </w:rPr>
        <w:t>剩余款项支付：</w:t>
      </w:r>
      <w:r>
        <w:rPr>
          <w:rFonts w:hint="eastAsia" w:ascii="仿宋_GB2312" w:hAnsi="仿宋_GB2312" w:eastAsia="仿宋_GB2312" w:cs="仿宋_GB2312"/>
          <w:kern w:val="2"/>
          <w:sz w:val="24"/>
          <w:szCs w:val="24"/>
          <w:lang w:val="en-US" w:eastAsia="zh-CN" w:bidi="ar-SA"/>
        </w:rPr>
        <w:t>乙方</w:t>
      </w:r>
      <w:r>
        <w:rPr>
          <w:rFonts w:hint="default" w:ascii="仿宋_GB2312" w:hAnsi="仿宋_GB2312" w:eastAsia="仿宋_GB2312" w:cs="仿宋_GB2312"/>
          <w:kern w:val="2"/>
          <w:sz w:val="24"/>
          <w:szCs w:val="24"/>
          <w:lang w:val="en-US" w:eastAsia="zh-CN" w:bidi="ar-SA"/>
        </w:rPr>
        <w:t>完成全部审计工作，提交正式工程结算审核报告及相关资料，经施工单位</w:t>
      </w:r>
      <w:r>
        <w:rPr>
          <w:rFonts w:hint="eastAsia" w:ascii="仿宋_GB2312" w:hAnsi="仿宋_GB2312" w:eastAsia="仿宋_GB2312" w:cs="仿宋_GB2312"/>
          <w:kern w:val="2"/>
          <w:sz w:val="24"/>
          <w:szCs w:val="24"/>
          <w:lang w:val="en-US" w:eastAsia="zh-CN" w:bidi="ar-SA"/>
        </w:rPr>
        <w:t>签章确认后且甲方</w:t>
      </w:r>
      <w:r>
        <w:rPr>
          <w:rFonts w:hint="default" w:ascii="仿宋_GB2312" w:hAnsi="仿宋_GB2312" w:eastAsia="仿宋_GB2312" w:cs="仿宋_GB2312"/>
          <w:kern w:val="2"/>
          <w:sz w:val="24"/>
          <w:szCs w:val="24"/>
          <w:lang w:val="en-US" w:eastAsia="zh-CN" w:bidi="ar-SA"/>
        </w:rPr>
        <w:t xml:space="preserve">审核通过后 </w:t>
      </w:r>
      <w:r>
        <w:rPr>
          <w:rFonts w:hint="eastAsia" w:ascii="仿宋_GB2312" w:hAnsi="仿宋_GB2312" w:eastAsia="仿宋_GB2312" w:cs="仿宋_GB2312"/>
          <w:kern w:val="2"/>
          <w:sz w:val="24"/>
          <w:szCs w:val="24"/>
          <w:lang w:val="en-US" w:eastAsia="zh-CN" w:bidi="ar-SA"/>
        </w:rPr>
        <w:t>7</w:t>
      </w:r>
      <w:r>
        <w:rPr>
          <w:rFonts w:hint="default" w:ascii="仿宋_GB2312" w:hAnsi="仿宋_GB2312" w:eastAsia="仿宋_GB2312" w:cs="仿宋_GB2312"/>
          <w:kern w:val="2"/>
          <w:sz w:val="24"/>
          <w:szCs w:val="24"/>
          <w:lang w:val="en-US" w:eastAsia="zh-CN" w:bidi="ar-SA"/>
        </w:rPr>
        <w:t xml:space="preserve"> 个工作日内，</w:t>
      </w:r>
      <w:r>
        <w:rPr>
          <w:rFonts w:hint="eastAsia" w:ascii="仿宋_GB2312" w:hAnsi="仿宋_GB2312" w:eastAsia="仿宋_GB2312" w:cs="仿宋_GB2312"/>
          <w:kern w:val="2"/>
          <w:sz w:val="24"/>
          <w:szCs w:val="24"/>
          <w:lang w:val="en-US" w:eastAsia="zh-CN" w:bidi="ar-SA"/>
        </w:rPr>
        <w:t>甲方</w:t>
      </w:r>
      <w:r>
        <w:rPr>
          <w:rFonts w:hint="default" w:ascii="仿宋_GB2312" w:hAnsi="仿宋_GB2312" w:eastAsia="仿宋_GB2312" w:cs="仿宋_GB2312"/>
          <w:kern w:val="2"/>
          <w:sz w:val="24"/>
          <w:szCs w:val="24"/>
          <w:lang w:val="en-US" w:eastAsia="zh-CN" w:bidi="ar-SA"/>
        </w:rPr>
        <w:t>向</w:t>
      </w:r>
      <w:r>
        <w:rPr>
          <w:rFonts w:hint="eastAsia" w:ascii="仿宋_GB2312" w:hAnsi="仿宋_GB2312" w:eastAsia="仿宋_GB2312" w:cs="仿宋_GB2312"/>
          <w:kern w:val="2"/>
          <w:sz w:val="24"/>
          <w:szCs w:val="24"/>
          <w:lang w:val="en-US" w:eastAsia="zh-CN" w:bidi="ar-SA"/>
        </w:rPr>
        <w:t>乙方</w:t>
      </w:r>
      <w:r>
        <w:rPr>
          <w:rFonts w:hint="default" w:ascii="仿宋_GB2312" w:hAnsi="仿宋_GB2312" w:eastAsia="仿宋_GB2312" w:cs="仿宋_GB2312"/>
          <w:kern w:val="2"/>
          <w:sz w:val="24"/>
          <w:szCs w:val="24"/>
          <w:lang w:val="en-US" w:eastAsia="zh-CN" w:bidi="ar-SA"/>
        </w:rPr>
        <w:t>支付结算编制（审核）基本收费剩余的 50%，以及全部审减效益费。</w:t>
      </w:r>
    </w:p>
    <w:p w14:paraId="4241FE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甲方有权</w:t>
      </w:r>
      <w:r>
        <w:rPr>
          <w:rFonts w:hint="default" w:ascii="仿宋_GB2312" w:hAnsi="仿宋_GB2312" w:eastAsia="仿宋_GB2312" w:cs="仿宋_GB2312"/>
          <w:kern w:val="2"/>
          <w:sz w:val="24"/>
          <w:szCs w:val="24"/>
          <w:lang w:val="en-US" w:eastAsia="zh-CN" w:bidi="ar-SA"/>
        </w:rPr>
        <w:t>委托第三方</w:t>
      </w:r>
      <w:r>
        <w:rPr>
          <w:rFonts w:hint="eastAsia" w:ascii="仿宋_GB2312" w:hAnsi="仿宋_GB2312" w:eastAsia="仿宋_GB2312" w:cs="仿宋_GB2312"/>
          <w:kern w:val="2"/>
          <w:sz w:val="24"/>
          <w:szCs w:val="24"/>
          <w:lang w:val="en-US" w:eastAsia="zh-CN" w:bidi="ar-SA"/>
        </w:rPr>
        <w:t>对乙方的审计结果进行</w:t>
      </w:r>
      <w:r>
        <w:rPr>
          <w:rFonts w:hint="default" w:ascii="仿宋_GB2312" w:hAnsi="仿宋_GB2312" w:eastAsia="仿宋_GB2312" w:cs="仿宋_GB2312"/>
          <w:kern w:val="2"/>
          <w:sz w:val="24"/>
          <w:szCs w:val="24"/>
          <w:lang w:val="en-US" w:eastAsia="zh-CN" w:bidi="ar-SA"/>
        </w:rPr>
        <w:t>复核，审计结果误差率超出质量要求（误差率＞±2%），则按照以下标准扣除相应比例的审核服务费：</w:t>
      </w:r>
    </w:p>
    <w:p w14:paraId="452E12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r>
        <w:rPr>
          <w:rFonts w:hint="default" w:ascii="仿宋_GB2312" w:hAnsi="仿宋_GB2312" w:eastAsia="仿宋_GB2312" w:cs="仿宋_GB2312"/>
          <w:kern w:val="2"/>
          <w:sz w:val="24"/>
          <w:szCs w:val="24"/>
          <w:lang w:val="en-US" w:eastAsia="zh-CN" w:bidi="ar-SA"/>
        </w:rPr>
        <w:t xml:space="preserve">当 2%＜误差率≤5% 时，扣除审核服务费用总额（基本收费与审减效益费总和）的 </w:t>
      </w:r>
      <w:r>
        <w:rPr>
          <w:rFonts w:hint="eastAsia" w:ascii="仿宋_GB2312" w:hAnsi="仿宋_GB2312" w:eastAsia="仿宋_GB2312" w:cs="仿宋_GB2312"/>
          <w:kern w:val="2"/>
          <w:sz w:val="24"/>
          <w:szCs w:val="24"/>
          <w:lang w:val="en-US" w:eastAsia="zh-CN" w:bidi="ar-SA"/>
        </w:rPr>
        <w:t>2</w:t>
      </w:r>
      <w:r>
        <w:rPr>
          <w:rFonts w:hint="default" w:ascii="仿宋_GB2312" w:hAnsi="仿宋_GB2312" w:eastAsia="仿宋_GB2312" w:cs="仿宋_GB2312"/>
          <w:kern w:val="2"/>
          <w:sz w:val="24"/>
          <w:szCs w:val="24"/>
          <w:lang w:val="en-US" w:eastAsia="zh-CN" w:bidi="ar-SA"/>
        </w:rPr>
        <w:t>0%；</w:t>
      </w:r>
    </w:p>
    <w:p w14:paraId="6379EF6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2. </w:t>
      </w:r>
      <w:r>
        <w:rPr>
          <w:rFonts w:hint="default" w:ascii="仿宋_GB2312" w:hAnsi="仿宋_GB2312" w:eastAsia="仿宋_GB2312" w:cs="仿宋_GB2312"/>
          <w:kern w:val="2"/>
          <w:sz w:val="24"/>
          <w:szCs w:val="24"/>
          <w:lang w:val="en-US" w:eastAsia="zh-CN" w:bidi="ar-SA"/>
        </w:rPr>
        <w:t xml:space="preserve">当 5%＜误差率≤8% 时，扣除审核服务费用总额的 </w:t>
      </w:r>
      <w:r>
        <w:rPr>
          <w:rFonts w:hint="eastAsia" w:ascii="仿宋_GB2312" w:hAnsi="仿宋_GB2312" w:eastAsia="仿宋_GB2312" w:cs="仿宋_GB2312"/>
          <w:kern w:val="2"/>
          <w:sz w:val="24"/>
          <w:szCs w:val="24"/>
          <w:lang w:val="en-US" w:eastAsia="zh-CN" w:bidi="ar-SA"/>
        </w:rPr>
        <w:t>3</w:t>
      </w:r>
      <w:r>
        <w:rPr>
          <w:rFonts w:hint="default" w:ascii="仿宋_GB2312" w:hAnsi="仿宋_GB2312" w:eastAsia="仿宋_GB2312" w:cs="仿宋_GB2312"/>
          <w:kern w:val="2"/>
          <w:sz w:val="24"/>
          <w:szCs w:val="24"/>
          <w:lang w:val="en-US" w:eastAsia="zh-CN" w:bidi="ar-SA"/>
        </w:rPr>
        <w:t>0%；</w:t>
      </w:r>
    </w:p>
    <w:p w14:paraId="4C03A4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r>
        <w:rPr>
          <w:rFonts w:hint="default" w:ascii="仿宋_GB2312" w:hAnsi="仿宋_GB2312" w:eastAsia="仿宋_GB2312" w:cs="仿宋_GB2312"/>
          <w:kern w:val="2"/>
          <w:sz w:val="24"/>
          <w:szCs w:val="24"/>
          <w:lang w:val="en-US" w:eastAsia="zh-CN" w:bidi="ar-SA"/>
        </w:rPr>
        <w:t xml:space="preserve">当误差率＞8% 时，扣除审核服务费用总额的 </w:t>
      </w:r>
      <w:r>
        <w:rPr>
          <w:rFonts w:hint="eastAsia" w:ascii="仿宋_GB2312" w:hAnsi="仿宋_GB2312" w:eastAsia="仿宋_GB2312" w:cs="仿宋_GB2312"/>
          <w:kern w:val="2"/>
          <w:sz w:val="24"/>
          <w:szCs w:val="24"/>
          <w:lang w:val="en-US" w:eastAsia="zh-CN" w:bidi="ar-SA"/>
        </w:rPr>
        <w:t>5</w:t>
      </w:r>
      <w:r>
        <w:rPr>
          <w:rFonts w:hint="default" w:ascii="仿宋_GB2312" w:hAnsi="仿宋_GB2312" w:eastAsia="仿宋_GB2312" w:cs="仿宋_GB2312"/>
          <w:kern w:val="2"/>
          <w:sz w:val="24"/>
          <w:szCs w:val="24"/>
          <w:lang w:val="en-US" w:eastAsia="zh-CN" w:bidi="ar-SA"/>
        </w:rPr>
        <w:t>0%，且</w:t>
      </w:r>
      <w:r>
        <w:rPr>
          <w:rFonts w:hint="eastAsia" w:ascii="仿宋_GB2312" w:hAnsi="仿宋_GB2312" w:eastAsia="仿宋_GB2312" w:cs="仿宋_GB2312"/>
          <w:kern w:val="2"/>
          <w:sz w:val="24"/>
          <w:szCs w:val="24"/>
          <w:lang w:val="en-US" w:eastAsia="zh-CN" w:bidi="ar-SA"/>
        </w:rPr>
        <w:t>乙方</w:t>
      </w:r>
      <w:r>
        <w:rPr>
          <w:rFonts w:hint="default" w:ascii="仿宋_GB2312" w:hAnsi="仿宋_GB2312" w:eastAsia="仿宋_GB2312" w:cs="仿宋_GB2312"/>
          <w:kern w:val="2"/>
          <w:sz w:val="24"/>
          <w:szCs w:val="24"/>
          <w:lang w:val="en-US" w:eastAsia="zh-CN" w:bidi="ar-SA"/>
        </w:rPr>
        <w:t>需在接到通知后 10 个工作日内免费重新审核。若重新审核后误差率仍不达标，</w:t>
      </w:r>
      <w:r>
        <w:rPr>
          <w:rFonts w:hint="eastAsia" w:ascii="仿宋_GB2312" w:hAnsi="仿宋_GB2312" w:eastAsia="仿宋_GB2312" w:cs="仿宋_GB2312"/>
          <w:kern w:val="2"/>
          <w:sz w:val="24"/>
          <w:szCs w:val="24"/>
          <w:lang w:val="en-US" w:eastAsia="zh-CN" w:bidi="ar-SA"/>
        </w:rPr>
        <w:t>甲方</w:t>
      </w:r>
      <w:r>
        <w:rPr>
          <w:rFonts w:hint="default" w:ascii="仿宋_GB2312" w:hAnsi="仿宋_GB2312" w:eastAsia="仿宋_GB2312" w:cs="仿宋_GB2312"/>
          <w:kern w:val="2"/>
          <w:sz w:val="24"/>
          <w:szCs w:val="24"/>
          <w:lang w:val="en-US" w:eastAsia="zh-CN" w:bidi="ar-SA"/>
        </w:rPr>
        <w:t>有权另行委托其他单位进行审计，由此产生的费用由</w:t>
      </w:r>
      <w:r>
        <w:rPr>
          <w:rFonts w:hint="eastAsia" w:ascii="仿宋_GB2312" w:hAnsi="仿宋_GB2312" w:eastAsia="仿宋_GB2312" w:cs="仿宋_GB2312"/>
          <w:kern w:val="2"/>
          <w:sz w:val="24"/>
          <w:szCs w:val="24"/>
          <w:lang w:val="en-US" w:eastAsia="zh-CN" w:bidi="ar-SA"/>
        </w:rPr>
        <w:t>乙方</w:t>
      </w:r>
      <w:r>
        <w:rPr>
          <w:rFonts w:hint="default" w:ascii="仿宋_GB2312" w:hAnsi="仿宋_GB2312" w:eastAsia="仿宋_GB2312" w:cs="仿宋_GB2312"/>
          <w:kern w:val="2"/>
          <w:sz w:val="24"/>
          <w:szCs w:val="24"/>
          <w:lang w:val="en-US" w:eastAsia="zh-CN" w:bidi="ar-SA"/>
        </w:rPr>
        <w:t>承担，同时</w:t>
      </w:r>
      <w:r>
        <w:rPr>
          <w:rFonts w:hint="eastAsia" w:ascii="仿宋_GB2312" w:hAnsi="仿宋_GB2312" w:eastAsia="仿宋_GB2312" w:cs="仿宋_GB2312"/>
          <w:kern w:val="2"/>
          <w:sz w:val="24"/>
          <w:szCs w:val="24"/>
          <w:lang w:val="en-US" w:eastAsia="zh-CN" w:bidi="ar-SA"/>
        </w:rPr>
        <w:t>甲方</w:t>
      </w:r>
      <w:r>
        <w:rPr>
          <w:rFonts w:hint="default" w:ascii="仿宋_GB2312" w:hAnsi="仿宋_GB2312" w:eastAsia="仿宋_GB2312" w:cs="仿宋_GB2312"/>
          <w:kern w:val="2"/>
          <w:sz w:val="24"/>
          <w:szCs w:val="24"/>
          <w:lang w:val="en-US" w:eastAsia="zh-CN" w:bidi="ar-SA"/>
        </w:rPr>
        <w:t>保留进一步追究其违约责任的权利。</w:t>
      </w:r>
    </w:p>
    <w:p w14:paraId="28B056BA">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lang w:val="en-US" w:eastAsia="zh-CN"/>
        </w:rPr>
        <w:t>七</w:t>
      </w:r>
      <w:r>
        <w:rPr>
          <w:rFonts w:hint="eastAsia" w:ascii="方正黑体_GBK" w:hAnsi="方正黑体_GBK" w:eastAsia="方正黑体_GBK" w:cs="方正黑体_GBK"/>
          <w:kern w:val="0"/>
          <w:sz w:val="24"/>
          <w:szCs w:val="24"/>
        </w:rPr>
        <w:t>、违约责任</w:t>
      </w:r>
    </w:p>
    <w:p w14:paraId="3FE46A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（一）甲方未履行约定的义务给乙方造成损失的，应当承担相应的赔偿责任。</w:t>
      </w:r>
    </w:p>
    <w:p w14:paraId="6C756E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（二）乙方未按时完成工作并交付相关资料的，乙方按应付审计费的</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%向甲方支付违约金。甲方可从未支付款项中直接扣除。</w:t>
      </w:r>
    </w:p>
    <w:p w14:paraId="24D156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（三）乙方虽完成工作但未达到甲方质量标准，又拒不按照甲方的要求补充、纠正的，乙方按应付审计费的</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0%向甲方支付违约金。甲方可从未支付款项中直接扣除。</w:t>
      </w:r>
    </w:p>
    <w:p w14:paraId="153E71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（四）因乙方过错导致审计结论错误、造成严重后果的，乙方不得计取审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费。同时，甲方可以按照相关规定追究其相应责任。</w:t>
      </w:r>
    </w:p>
    <w:p w14:paraId="0057B5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（五）乙方违反相关规定，乙方按应付审</w:t>
      </w:r>
      <w:r>
        <w:rPr>
          <w:rFonts w:hint="eastAsia" w:ascii="仿宋_GB2312" w:hAnsi="仿宋_GB2312" w:eastAsia="仿宋_GB2312" w:cs="仿宋_GB2312"/>
          <w:sz w:val="24"/>
          <w:szCs w:val="24"/>
          <w:lang w:eastAsia="zh-CN"/>
        </w:rPr>
        <w:t>计</w:t>
      </w:r>
      <w:r>
        <w:rPr>
          <w:rFonts w:hint="eastAsia" w:ascii="仿宋_GB2312" w:hAnsi="仿宋_GB2312" w:eastAsia="仿宋_GB2312" w:cs="仿宋_GB2312"/>
          <w:sz w:val="24"/>
          <w:szCs w:val="24"/>
        </w:rPr>
        <w:t>费的50%向甲方支付违约金。甲方可从未支付款项中直接扣除。</w:t>
      </w:r>
    </w:p>
    <w:p w14:paraId="62D3EEB8">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lang w:val="en-US" w:eastAsia="zh-CN"/>
        </w:rPr>
        <w:t>八</w:t>
      </w:r>
      <w:r>
        <w:rPr>
          <w:rFonts w:hint="eastAsia" w:ascii="方正黑体_GBK" w:hAnsi="方正黑体_GBK" w:eastAsia="方正黑体_GBK" w:cs="方正黑体_GBK"/>
          <w:kern w:val="0"/>
          <w:sz w:val="24"/>
          <w:szCs w:val="24"/>
        </w:rPr>
        <w:t>、解决争议的方式</w:t>
      </w:r>
    </w:p>
    <w:p w14:paraId="6D143582">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（一）甲乙双方如发生争议，应协商解决。</w:t>
      </w:r>
    </w:p>
    <w:p w14:paraId="42C8B8A1">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（二）无法协商解决的，可以向</w:t>
      </w:r>
      <w:r>
        <w:rPr>
          <w:rFonts w:hint="eastAsia" w:ascii="仿宋_GB2312" w:hAnsi="仿宋_GB2312" w:eastAsia="仿宋_GB2312" w:cs="仿宋_GB2312"/>
          <w:sz w:val="24"/>
          <w:szCs w:val="24"/>
          <w:lang w:eastAsia="zh-CN"/>
        </w:rPr>
        <w:t>审计项目工程所在地</w:t>
      </w:r>
      <w:r>
        <w:rPr>
          <w:rFonts w:hint="eastAsia" w:ascii="仿宋_GB2312" w:hAnsi="仿宋_GB2312" w:eastAsia="仿宋_GB2312" w:cs="仿宋_GB2312"/>
          <w:sz w:val="24"/>
          <w:szCs w:val="24"/>
        </w:rPr>
        <w:t>仲裁委员会申请仲裁或者向人民法院起诉。</w:t>
      </w:r>
    </w:p>
    <w:p w14:paraId="0057EB9D">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lang w:val="en-US" w:eastAsia="zh-CN"/>
        </w:rPr>
        <w:t>九</w:t>
      </w:r>
      <w:r>
        <w:rPr>
          <w:rFonts w:hint="eastAsia" w:ascii="方正黑体_GBK" w:hAnsi="方正黑体_GBK" w:eastAsia="方正黑体_GBK" w:cs="方正黑体_GBK"/>
          <w:kern w:val="0"/>
          <w:sz w:val="24"/>
          <w:szCs w:val="24"/>
        </w:rPr>
        <w:t>、其他应当约定的事项</w:t>
      </w:r>
    </w:p>
    <w:p w14:paraId="5C6391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本约定书未尽事宜，由双方协商</w:t>
      </w:r>
      <w:r>
        <w:rPr>
          <w:rFonts w:hint="eastAsia" w:ascii="仿宋_GB2312" w:hAnsi="仿宋_GB2312" w:eastAsia="仿宋_GB2312" w:cs="仿宋_GB2312"/>
          <w:sz w:val="24"/>
          <w:szCs w:val="24"/>
          <w:lang w:eastAsia="zh-CN"/>
        </w:rPr>
        <w:t>或另行签订补充合同</w:t>
      </w:r>
      <w:r>
        <w:rPr>
          <w:rFonts w:hint="eastAsia" w:ascii="仿宋_GB2312" w:hAnsi="仿宋_GB2312" w:eastAsia="仿宋_GB2312" w:cs="仿宋_GB2312"/>
          <w:sz w:val="24"/>
          <w:szCs w:val="24"/>
        </w:rPr>
        <w:t>。</w:t>
      </w:r>
    </w:p>
    <w:p w14:paraId="1FC6116E">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lang w:val="en-US" w:eastAsia="zh-CN"/>
        </w:rPr>
        <w:t>十</w:t>
      </w:r>
      <w:r>
        <w:rPr>
          <w:rFonts w:hint="eastAsia" w:ascii="方正黑体_GBK" w:hAnsi="方正黑体_GBK" w:eastAsia="方正黑体_GBK" w:cs="方正黑体_GBK"/>
          <w:kern w:val="0"/>
          <w:sz w:val="24"/>
          <w:szCs w:val="24"/>
        </w:rPr>
        <w:t>、合同生效</w:t>
      </w:r>
    </w:p>
    <w:p w14:paraId="375975EF">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（一）本合同和合同附件须经双方签字盖章后生效。</w:t>
      </w:r>
    </w:p>
    <w:p w14:paraId="73BEB02D">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（二）补充合同与本合同具有同等的法律效力。</w:t>
      </w:r>
    </w:p>
    <w:p w14:paraId="6916320A">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（三）本合同（包括合同附件、补充合同）一式</w:t>
      </w:r>
      <w:r>
        <w:rPr>
          <w:rFonts w:hint="eastAsia" w:ascii="仿宋_GB2312" w:hAnsi="仿宋_GB2312" w:eastAsia="仿宋_GB2312" w:cs="仿宋_GB2312"/>
          <w:sz w:val="24"/>
          <w:szCs w:val="24"/>
          <w:lang w:eastAsia="zh-CN"/>
        </w:rPr>
        <w:t>伍</w:t>
      </w:r>
      <w:r>
        <w:rPr>
          <w:rFonts w:hint="eastAsia" w:ascii="仿宋_GB2312" w:hAnsi="仿宋_GB2312" w:eastAsia="仿宋_GB2312" w:cs="仿宋_GB2312"/>
          <w:sz w:val="24"/>
          <w:szCs w:val="24"/>
        </w:rPr>
        <w:t>份，甲方执</w:t>
      </w:r>
      <w:r>
        <w:rPr>
          <w:rFonts w:hint="eastAsia" w:ascii="仿宋_GB2312" w:hAnsi="仿宋_GB2312" w:eastAsia="仿宋_GB2312" w:cs="仿宋_GB2312"/>
          <w:sz w:val="24"/>
          <w:szCs w:val="24"/>
          <w:lang w:eastAsia="zh-CN"/>
        </w:rPr>
        <w:t>叁</w:t>
      </w:r>
      <w:r>
        <w:rPr>
          <w:rFonts w:hint="eastAsia" w:ascii="仿宋_GB2312" w:hAnsi="仿宋_GB2312" w:eastAsia="仿宋_GB2312" w:cs="仿宋_GB2312"/>
          <w:sz w:val="24"/>
          <w:szCs w:val="24"/>
        </w:rPr>
        <w:t>份，乙方执贰份。</w:t>
      </w:r>
    </w:p>
    <w:p w14:paraId="0EE39141">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szCs w:val="24"/>
        </w:rPr>
      </w:pPr>
    </w:p>
    <w:p w14:paraId="2D06EB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p>
    <w:p w14:paraId="5C47ED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甲方：（盖章）                乙方：（盖章）</w:t>
      </w:r>
    </w:p>
    <w:p w14:paraId="3C8FBCD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p>
    <w:p w14:paraId="21CF5F41">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eastAsia="zh-CN"/>
        </w:rPr>
        <w:t>或</w:t>
      </w:r>
    </w:p>
    <w:p w14:paraId="160AF6BC">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w:t>
      </w:r>
      <w:r>
        <w:rPr>
          <w:rFonts w:hint="eastAsia" w:ascii="仿宋_GB2312" w:hAnsi="仿宋_GB2312" w:eastAsia="仿宋_GB2312" w:cs="仿宋_GB2312"/>
          <w:sz w:val="24"/>
          <w:szCs w:val="24"/>
          <w:lang w:eastAsia="zh-CN"/>
        </w:rPr>
        <w:t>签字</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代理人（</w:t>
      </w:r>
      <w:r>
        <w:rPr>
          <w:rFonts w:hint="eastAsia" w:ascii="仿宋_GB2312" w:hAnsi="仿宋_GB2312" w:eastAsia="仿宋_GB2312" w:cs="仿宋_GB2312"/>
          <w:sz w:val="24"/>
          <w:szCs w:val="24"/>
          <w:lang w:eastAsia="zh-CN"/>
        </w:rPr>
        <w:t>签字</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p>
    <w:p w14:paraId="2057984C">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2025年  月  日</w:t>
      </w:r>
      <w:r>
        <w:rPr>
          <w:rFonts w:hint="eastAsia" w:ascii="仿宋_GB2312" w:hAnsi="仿宋_GB2312" w:eastAsia="仿宋_GB2312" w:cs="仿宋_GB2312"/>
          <w:sz w:val="24"/>
          <w:szCs w:val="24"/>
        </w:rPr>
        <w:t xml:space="preserve">       时间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年  月  日</w:t>
      </w:r>
    </w:p>
    <w:p w14:paraId="34AE2772">
      <w:pPr>
        <w:pStyle w:val="8"/>
        <w:ind w:left="0" w:leftChars="0" w:firstLine="0" w:firstLineChars="0"/>
      </w:pPr>
    </w:p>
    <w:sectPr>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615D4E-ED31-4D31-8AD1-CD2201F205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896B97A-89E8-4A76-AEFF-AAEEB95F4F4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embedRegular r:id="rId3" w:fontKey="{8C21A2F7-D6B4-4445-9DB4-35378DE2A929}"/>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embedRegular r:id="rId4" w:fontKey="{5C2275CB-6566-4F93-A6DB-E408B0BA5290}"/>
  </w:font>
  <w:font w:name="方正黑体_GBK">
    <w:panose1 w:val="03000509000000000000"/>
    <w:charset w:val="86"/>
    <w:family w:val="auto"/>
    <w:pitch w:val="default"/>
    <w:sig w:usb0="00000001" w:usb1="080E0000" w:usb2="00000000" w:usb3="00000000" w:csb0="00040000" w:csb1="00000000"/>
    <w:embedRegular r:id="rId5" w:fontKey="{80A8652C-68D2-4C2D-B698-27AAB17AF31B}"/>
  </w:font>
  <w:font w:name="方正楷体_GB2312">
    <w:panose1 w:val="02000000000000000000"/>
    <w:charset w:val="86"/>
    <w:family w:val="auto"/>
    <w:pitch w:val="default"/>
    <w:sig w:usb0="A00002BF" w:usb1="184F6CFA" w:usb2="00000012" w:usb3="00000000" w:csb0="00040001" w:csb1="00000000"/>
    <w:embedRegular r:id="rId6" w:fontKey="{FABAE5A0-266C-480C-9223-E600BBC93025}"/>
  </w:font>
  <w:font w:name="方正小标宋_GBK">
    <w:panose1 w:val="03000509000000000000"/>
    <w:charset w:val="86"/>
    <w:family w:val="auto"/>
    <w:pitch w:val="default"/>
    <w:sig w:usb0="00000001" w:usb1="080E0000" w:usb2="00000000" w:usb3="00000000" w:csb0="00040000" w:csb1="00000000"/>
    <w:embedRegular r:id="rId7" w:fontKey="{AAF4939F-4281-45A4-81EC-0ED007C8B24F}"/>
  </w:font>
  <w:font w:name="方正小标宋简体">
    <w:panose1 w:val="03000509000000000000"/>
    <w:charset w:val="86"/>
    <w:family w:val="auto"/>
    <w:pitch w:val="default"/>
    <w:sig w:usb0="00000001" w:usb1="080E0000" w:usb2="00000000" w:usb3="00000000" w:csb0="00040000" w:csb1="00000000"/>
    <w:embedRegular r:id="rId8" w:fontKey="{440DDA15-488A-41C1-ADA8-DA4E2FC1B84D}"/>
  </w:font>
  <w:font w:name="方正楷体_GBK">
    <w:panose1 w:val="03000509000000000000"/>
    <w:charset w:val="86"/>
    <w:family w:val="auto"/>
    <w:pitch w:val="default"/>
    <w:sig w:usb0="00000001" w:usb1="080E0000" w:usb2="00000000" w:usb3="00000000" w:csb0="00040000" w:csb1="00000000"/>
    <w:embedRegular r:id="rId9" w:fontKey="{7185DDBF-234A-4F64-80BA-1ADD0FE9A08C}"/>
  </w:font>
  <w:font w:name="方正仿宋_GB2312">
    <w:panose1 w:val="02000000000000000000"/>
    <w:charset w:val="86"/>
    <w:family w:val="auto"/>
    <w:pitch w:val="default"/>
    <w:sig w:usb0="A00002BF" w:usb1="184F6CFA" w:usb2="00000012" w:usb3="00000000" w:csb0="00040001" w:csb1="00000000"/>
    <w:embedRegular r:id="rId10" w:fontKey="{FA7F8921-EC3C-4F39-8D50-7E0A9A526AF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1F28E"/>
    <w:multiLevelType w:val="singleLevel"/>
    <w:tmpl w:val="4451F28E"/>
    <w:lvl w:ilvl="0" w:tentative="0">
      <w:start w:val="4"/>
      <w:numFmt w:val="chineseCounting"/>
      <w:suff w:val="nothing"/>
      <w:lvlText w:val="%1、"/>
      <w:lvlJc w:val="left"/>
      <w:rPr>
        <w:rFonts w:hint="eastAsia"/>
      </w:rPr>
    </w:lvl>
  </w:abstractNum>
  <w:abstractNum w:abstractNumId="1">
    <w:nsid w:val="51DBDBD3"/>
    <w:multiLevelType w:val="singleLevel"/>
    <w:tmpl w:val="51DBDBD3"/>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35D3C"/>
    <w:rsid w:val="0A1F43B2"/>
    <w:rsid w:val="0B753148"/>
    <w:rsid w:val="1B672584"/>
    <w:rsid w:val="1FE37470"/>
    <w:rsid w:val="201E4A18"/>
    <w:rsid w:val="296561E3"/>
    <w:rsid w:val="3A706705"/>
    <w:rsid w:val="44035D3C"/>
    <w:rsid w:val="5B030332"/>
    <w:rsid w:val="5D0D455B"/>
    <w:rsid w:val="5FB438AB"/>
    <w:rsid w:val="67AE26DA"/>
    <w:rsid w:val="70A215CF"/>
    <w:rsid w:val="76D9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basedOn w:val="1"/>
    <w:next w:val="1"/>
    <w:unhideWhenUsed/>
    <w:qFormat/>
    <w:uiPriority w:val="0"/>
    <w:pPr>
      <w:keepNext/>
      <w:keepLines/>
      <w:widowControl w:val="0"/>
      <w:spacing w:before="260" w:beforeLines="0" w:beforeAutospacing="0" w:after="260" w:afterLines="0" w:afterAutospacing="0" w:line="413" w:lineRule="auto"/>
      <w:jc w:val="both"/>
      <w:outlineLvl w:val="2"/>
    </w:pPr>
    <w:rPr>
      <w:rFonts w:ascii="Calibri" w:hAnsi="Calibri" w:eastAsia="宋体" w:cs="Times New Roman"/>
      <w:b/>
      <w:kern w:val="2"/>
      <w:sz w:val="32"/>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qFormat/>
    <w:uiPriority w:val="0"/>
    <w:pPr>
      <w:spacing w:line="360" w:lineRule="auto"/>
      <w:ind w:firstLine="420"/>
    </w:pPr>
    <w:rPr>
      <w:rFonts w:ascii="宋体" w:hAnsi="宋体"/>
      <w:sz w:val="24"/>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_Style 13"/>
    <w:qFormat/>
    <w:uiPriority w:val="0"/>
    <w:pPr>
      <w:spacing w:before="120" w:after="120" w:line="288" w:lineRule="auto"/>
      <w:ind w:left="0"/>
      <w:jc w:val="left"/>
    </w:pPr>
    <w:rPr>
      <w:rFonts w:ascii="Arial" w:hAnsi="Arial" w:eastAsia="等线" w:cs="Arial"/>
      <w:sz w:val="22"/>
      <w:szCs w:val="22"/>
    </w:rPr>
  </w:style>
  <w:style w:type="paragraph" w:customStyle="1" w:styleId="14">
    <w:name w:val="图例"/>
    <w:basedOn w:val="1"/>
    <w:qFormat/>
    <w:uiPriority w:val="0"/>
    <w:pPr>
      <w:spacing w:before="120" w:beforeLines="0" w:beforeAutospacing="0" w:after="120" w:afterLines="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5451</Words>
  <Characters>6049</Characters>
  <Lines>0</Lines>
  <Paragraphs>0</Paragraphs>
  <TotalTime>7</TotalTime>
  <ScaleCrop>false</ScaleCrop>
  <LinksUpToDate>false</LinksUpToDate>
  <CharactersWithSpaces>6291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2025-07-11T05:00:00Z</dcterms:created>
  <dc:creator>WPS_1688562214</dc:creator>
  <cp:lastModifiedBy>瓷娃娃</cp:lastModifiedBy>
  <cp:lastPrinted>2025-07-11T05:38:00Z</cp:lastPrinted>
  <dcterms:modified xsi:type="dcterms:W3CDTF">2025-08-18T05:30:58Z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DEB64D824A0340B6A5F2FB64EBF0C1F3_13</vt:lpwstr>
  </property>
  <property fmtid="{D5CDD505-2E9C-101B-9397-08002B2CF9AE}" pid="4" name="KSOTemplateDocerSaveRecord">
    <vt:lpwstr>eyJoZGlkIjoiMTQ1MjViMTYxN2JhZGMzZmJmZDM2YTAyZDMzMjFmZjQiLCJ1c2VySWQiOiIzODY3NTk5NjgifQ==</vt:lpwstr>
  </property>
</Properties>
</file>