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34AE3">
      <w:pPr>
        <w:shd w:val="clear"/>
        <w:spacing w:line="360" w:lineRule="auto"/>
        <w:jc w:val="center"/>
        <w:textAlignment w:val="baseline"/>
        <w:rPr>
          <w:rFonts w:hint="eastAsia" w:ascii="宋体" w:hAnsi="宋体" w:cs="宋体"/>
          <w:b/>
          <w:snapToGrid w:val="0"/>
          <w:color w:val="auto"/>
          <w:w w:val="99"/>
          <w:kern w:val="0"/>
          <w:sz w:val="32"/>
          <w:szCs w:val="32"/>
          <w:highlight w:val="none"/>
          <w:lang w:eastAsia="zh-CN"/>
        </w:rPr>
      </w:pPr>
      <w:bookmarkStart w:id="0" w:name="OLE_LINK1"/>
      <w:r>
        <w:rPr>
          <w:rFonts w:hint="eastAsia" w:ascii="宋体" w:hAnsi="宋体" w:cs="宋体"/>
          <w:b/>
          <w:snapToGrid w:val="0"/>
          <w:color w:val="auto"/>
          <w:w w:val="99"/>
          <w:kern w:val="0"/>
          <w:sz w:val="32"/>
          <w:szCs w:val="32"/>
          <w:highlight w:val="none"/>
          <w:lang w:val="en-US" w:eastAsia="zh-CN"/>
        </w:rPr>
        <w:t>华侨城天际湾A区2、3、4栋外墙维修工程</w:t>
      </w:r>
    </w:p>
    <w:p w14:paraId="2E660B61">
      <w:pPr>
        <w:shd w:val="clear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snapToGrid w:val="0"/>
          <w:color w:val="auto"/>
          <w:w w:val="99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auto"/>
          <w:w w:val="99"/>
          <w:kern w:val="0"/>
          <w:sz w:val="32"/>
          <w:szCs w:val="32"/>
          <w:highlight w:val="none"/>
        </w:rPr>
        <w:t>竞争性比选公告</w:t>
      </w:r>
    </w:p>
    <w:p w14:paraId="1E7C79C5">
      <w:pPr>
        <w:shd w:val="clear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napToGrid w:val="0"/>
          <w:color w:val="auto"/>
          <w:kern w:val="0"/>
          <w:sz w:val="10"/>
          <w:szCs w:val="10"/>
          <w:highlight w:val="none"/>
        </w:rPr>
      </w:pPr>
    </w:p>
    <w:p w14:paraId="09D30F3E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</w:pPr>
      <w:bookmarkStart w:id="1" w:name="_Toc377067274"/>
      <w:bookmarkStart w:id="2" w:name="_Toc224103299"/>
      <w:bookmarkStart w:id="3" w:name="_Toc200359238"/>
      <w:bookmarkStart w:id="4" w:name="_Toc21111"/>
      <w:bookmarkStart w:id="5" w:name="_Toc347847757"/>
      <w:bookmarkStart w:id="6" w:name="_Toc11166807"/>
      <w:bookmarkStart w:id="7" w:name="_Toc376114055"/>
      <w:bookmarkStart w:id="8" w:name="_Toc431287035"/>
      <w:bookmarkStart w:id="9" w:name="_Toc200359427"/>
      <w:bookmarkStart w:id="10" w:name="_Toc377115354"/>
      <w:bookmarkStart w:id="11" w:name="_Toc277082536"/>
      <w:bookmarkStart w:id="12" w:name="_Toc5551"/>
      <w:bookmarkStart w:id="13" w:name="_Toc287607728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1. 比选条件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087E7C7">
      <w:pPr>
        <w:keepNext w:val="0"/>
        <w:keepLines w:val="0"/>
        <w:pageBreakBefore w:val="0"/>
        <w:shd w:val="clear"/>
        <w:tabs>
          <w:tab w:val="left" w:pos="3000"/>
          <w:tab w:val="left" w:pos="3280"/>
          <w:tab w:val="left" w:pos="6120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bookmarkStart w:id="14" w:name="_Toc287607729"/>
      <w:bookmarkStart w:id="15" w:name="_Toc377115355"/>
      <w:bookmarkStart w:id="16" w:name="_Toc200359428"/>
      <w:bookmarkStart w:id="17" w:name="_Toc431287036"/>
      <w:bookmarkStart w:id="18" w:name="_Toc277082537"/>
      <w:bookmarkStart w:id="19" w:name="_Toc11166808"/>
      <w:bookmarkStart w:id="20" w:name="_Toc224103300"/>
      <w:bookmarkStart w:id="21" w:name="_Toc376114056"/>
      <w:bookmarkStart w:id="22" w:name="_Toc200359239"/>
      <w:bookmarkStart w:id="23" w:name="_Toc347847758"/>
      <w:bookmarkStart w:id="24" w:name="_Toc377067275"/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本比选项目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华侨城天际湾A区2、3、4栋外墙维修工程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，比选人为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华侨城物业（集团）有限公司重庆分公司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，建设资金来源为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大修基金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，项目出资比例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100%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。项目已具备比选条件，现对该项目进行公开竞争性比选，欢迎符合条件的单位参与竞选。</w:t>
      </w:r>
    </w:p>
    <w:p w14:paraId="79421C19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</w:pPr>
      <w:bookmarkStart w:id="25" w:name="_Toc12432"/>
      <w:bookmarkStart w:id="26" w:name="_Toc6600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2. 项目概况与比选范围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715C425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bookmarkStart w:id="27" w:name="_Toc224103301"/>
      <w:bookmarkStart w:id="28" w:name="_Toc200359240"/>
      <w:bookmarkStart w:id="29" w:name="_Toc200359429"/>
      <w:bookmarkStart w:id="30" w:name="_Toc277082538"/>
      <w:bookmarkStart w:id="31" w:name="_Toc347847759"/>
      <w:bookmarkStart w:id="32" w:name="_Toc287607730"/>
      <w:r>
        <w:rPr>
          <w:rFonts w:hint="eastAsia" w:ascii="宋体" w:hAnsi="宋体" w:eastAsia="宋体" w:cs="宋体"/>
          <w:color w:val="auto"/>
          <w:szCs w:val="21"/>
          <w:highlight w:val="none"/>
        </w:rPr>
        <w:t>2.1 工程地点：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重庆市渝北区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礼嘉街道悦华路9号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</w:t>
      </w:r>
    </w:p>
    <w:p w14:paraId="463D8F02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2.2 本项目合同估算价：约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18.86</w:t>
      </w:r>
      <w:r>
        <w:rPr>
          <w:rFonts w:hint="eastAsia" w:ascii="宋体" w:hAnsi="宋体" w:cs="宋体"/>
          <w:color w:val="auto"/>
          <w:szCs w:val="21"/>
          <w:highlight w:val="none"/>
          <w:u w:val="none"/>
          <w:lang w:val="en-US" w:eastAsia="zh-CN"/>
        </w:rPr>
        <w:t>万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元。</w:t>
      </w:r>
    </w:p>
    <w:p w14:paraId="20801A22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2.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比选范围：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华侨城天际湾A区2、3、4栋外墙维修工程，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主要内容包括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2、3、4栋</w:t>
      </w:r>
      <w:r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外墙立面拆除、外墙修复、外墙保温板覆盖、外墙防水腻子、刷外墙真石漆等</w:t>
      </w:r>
      <w:r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  <w:u w:val="singl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具体详见比选人提供的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比选文件、工程量清单、比选文件补遗、答疑、澄清中补充的全部工程内容等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。</w:t>
      </w:r>
    </w:p>
    <w:p w14:paraId="0BE30E91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4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2.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>计划工期：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30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>日历天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>，缺陷责任期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 5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>年。</w:t>
      </w:r>
    </w:p>
    <w:p w14:paraId="33DDD0E9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</w:pPr>
      <w:bookmarkStart w:id="33" w:name="_Toc11166809"/>
      <w:bookmarkStart w:id="34" w:name="_Toc377115356"/>
      <w:bookmarkStart w:id="35" w:name="_Toc377067276"/>
      <w:bookmarkStart w:id="36" w:name="_Toc431287037"/>
      <w:bookmarkStart w:id="37" w:name="_Toc30606"/>
      <w:bookmarkStart w:id="38" w:name="_Toc376114057"/>
      <w:bookmarkStart w:id="39" w:name="_Toc6300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3.比选申请人资格要求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7BD4B9D0">
      <w:pPr>
        <w:keepNext w:val="0"/>
        <w:keepLines w:val="0"/>
        <w:pageBreakBefore w:val="0"/>
        <w:shd w:val="clear"/>
        <w:tabs>
          <w:tab w:val="left" w:pos="3045"/>
          <w:tab w:val="left" w:pos="83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jc w:val="left"/>
        <w:textAlignment w:val="auto"/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</w:rPr>
      </w:pPr>
      <w:bookmarkStart w:id="40" w:name="_Toc18366"/>
      <w:bookmarkStart w:id="41" w:name="_Toc8222"/>
      <w:bookmarkStart w:id="42" w:name="_Toc10714592"/>
      <w:r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</w:rPr>
        <w:t>3.1 本次比选要求比选申请人须具备建设行政主管部门颁发的</w:t>
      </w:r>
      <w:r>
        <w:rPr>
          <w:rFonts w:hint="eastAsia" w:ascii="宋体" w:hAnsi="宋体" w:cs="楷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建筑工程</w:t>
      </w:r>
      <w:r>
        <w:rPr>
          <w:rFonts w:hint="eastAsia" w:ascii="宋体" w:hAnsi="宋体" w:cs="楷体"/>
          <w:b/>
          <w:bCs/>
          <w:snapToGrid w:val="0"/>
          <w:color w:val="auto"/>
          <w:kern w:val="0"/>
          <w:szCs w:val="21"/>
          <w:highlight w:val="none"/>
          <w:u w:val="single"/>
        </w:rPr>
        <w:t>施工总承包叁级及以上资质</w:t>
      </w:r>
      <w:r>
        <w:rPr>
          <w:rFonts w:hint="eastAsia" w:ascii="宋体" w:hAnsi="宋体" w:cs="楷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或防水防腐保温工程专业承包二级及以上资质</w:t>
      </w:r>
      <w:r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</w:rPr>
        <w:t>，并在人员、设备、资金等方面具有相应的施工能力。</w:t>
      </w:r>
    </w:p>
    <w:p w14:paraId="2234A48E">
      <w:pPr>
        <w:keepNext w:val="0"/>
        <w:keepLines w:val="0"/>
        <w:pageBreakBefore w:val="0"/>
        <w:shd w:val="clear"/>
        <w:tabs>
          <w:tab w:val="left" w:pos="3045"/>
          <w:tab w:val="left" w:pos="83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jc w:val="left"/>
        <w:textAlignment w:val="auto"/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</w:rPr>
        <w:t>3.2</w:t>
      </w:r>
      <w:r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</w:rPr>
        <w:t>本次比选要求比选申请人具备的业绩条件：详见比选文件第二章比选申请人须知前附表第1.4.1项内容；</w:t>
      </w:r>
    </w:p>
    <w:p w14:paraId="6CA54C4D">
      <w:pPr>
        <w:keepNext w:val="0"/>
        <w:keepLines w:val="0"/>
        <w:pageBreakBefore w:val="0"/>
        <w:shd w:val="clear"/>
        <w:tabs>
          <w:tab w:val="left" w:pos="3045"/>
          <w:tab w:val="left" w:pos="83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jc w:val="left"/>
        <w:textAlignment w:val="auto"/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</w:rPr>
        <w:t>3.3 本次比选不接受联合体参选。</w:t>
      </w:r>
    </w:p>
    <w:p w14:paraId="4AAABFC1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4.比选文件的获取</w:t>
      </w:r>
      <w:bookmarkEnd w:id="40"/>
      <w:bookmarkEnd w:id="41"/>
    </w:p>
    <w:bookmarkEnd w:id="42"/>
    <w:p w14:paraId="28C625ED">
      <w:pPr>
        <w:keepNext w:val="0"/>
        <w:keepLines w:val="0"/>
        <w:pageBreakBefore w:val="0"/>
        <w:shd w:val="clear"/>
        <w:tabs>
          <w:tab w:val="left" w:pos="3000"/>
          <w:tab w:val="left" w:pos="3280"/>
          <w:tab w:val="left" w:pos="6120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bookmarkStart w:id="43" w:name="_Toc10714593"/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4.1 比选</w:t>
      </w:r>
      <w:r>
        <w:rPr>
          <w:rFonts w:hint="eastAsia" w:ascii="宋体" w:hAnsi="宋体" w:eastAsia="宋体" w:cs="宋体"/>
          <w:snapToGrid w:val="0"/>
          <w:color w:val="auto"/>
          <w:szCs w:val="21"/>
          <w:highlight w:val="none"/>
        </w:rPr>
        <w:t>文件的获取方式：</w:t>
      </w:r>
    </w:p>
    <w:p w14:paraId="7620D736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ind w:left="105" w:leftChars="50" w:firstLine="316" w:firstLineChars="150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线上获取：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凡有意参加本项目的比选申请人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，请于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8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日至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8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14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（法定公休日、法定节假日除外），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每日上午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 xml:space="preserve"> 9:00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时至下午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 xml:space="preserve"> 17: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 xml:space="preserve">0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（北京时间）,将公司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授权委托书（或介绍信）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、营业执照并加盖比选申请单位鲜章后的扫描件传至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>2286392747@qq.com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并电话通知如下联系人获取比选文件费的缴纳方式，待成功购买后，将该项目比选文件等资料传于比选申请人指定邮箱。</w:t>
      </w:r>
    </w:p>
    <w:p w14:paraId="05E9BE4F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 系 人：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罗老师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 xml:space="preserve"> </w:t>
      </w:r>
    </w:p>
    <w:p w14:paraId="202EF6ED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default" w:ascii="宋体" w:hAnsi="宋体" w:eastAsia="宋体" w:cs="宋体"/>
          <w:snapToGrid w:val="0"/>
          <w:color w:val="auto"/>
          <w:kern w:val="0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联系电话：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15523166616</w:t>
      </w:r>
    </w:p>
    <w:p w14:paraId="650A08DC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联系地点：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重庆誉德广工程咨询有限公司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重庆市渝北区洪湖西路22号21楼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）</w:t>
      </w:r>
    </w:p>
    <w:p w14:paraId="24CFF60E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ind w:left="105" w:leftChars="50" w:firstLine="315" w:firstLineChars="150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注：各比选申请人须在比选文件发售期内购买比选文件才具备竞标资格。</w:t>
      </w:r>
    </w:p>
    <w:p w14:paraId="5D30BEF5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ind w:left="105" w:leftChars="50" w:firstLine="315" w:firstLineChars="15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4.2 比选文件每套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300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.00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元，在报名时以缴纳，售后不退。</w:t>
      </w:r>
    </w:p>
    <w:p w14:paraId="433B4A5C">
      <w:pPr>
        <w:keepNext w:val="0"/>
        <w:keepLines w:val="0"/>
        <w:pageBreakBefore w:val="0"/>
        <w:shd w:val="clear"/>
        <w:tabs>
          <w:tab w:val="left" w:pos="3000"/>
          <w:tab w:val="left" w:pos="3280"/>
          <w:tab w:val="left" w:pos="6120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4.3 请比选申请人于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8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15 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10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00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分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 xml:space="preserve">前将本工程质疑书以书面或邮件形式向比选人或比选代理机构提出。比选人于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8 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15 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17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00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分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前对所有比选申请人提出的问题进行回答，并在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fldChar w:fldCharType="begin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instrText xml:space="preserve"> HYPERLINK "http://www.cqdjszfw.com/" </w:instrTex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fldChar w:fldCharType="separate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行采家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(https://www.gec123.com/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fldChar w:fldCharType="end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上</w:t>
      </w:r>
      <w:r>
        <w:rPr>
          <w:rFonts w:hint="eastAsia" w:ascii="宋体" w:hAnsi="宋体" w:eastAsia="宋体" w:cs="宋体"/>
          <w:color w:val="auto"/>
          <w:highlight w:val="none"/>
        </w:rPr>
        <w:t>发布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，比选申请人在开标前因未及时查看相应答疑补遗文件，而产生的一切后果由比选申请人自负。</w:t>
      </w:r>
    </w:p>
    <w:p w14:paraId="3646E86D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lang w:val="en-US" w:eastAsia="zh-CN"/>
        </w:rPr>
      </w:pPr>
      <w:bookmarkStart w:id="44" w:name="_Toc19604"/>
      <w:bookmarkStart w:id="45" w:name="_Toc19867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5.比选申请文件的递交</w:t>
      </w:r>
      <w:bookmarkEnd w:id="43"/>
      <w:bookmarkEnd w:id="44"/>
      <w:bookmarkEnd w:id="45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lang w:val="en-US" w:eastAsia="zh-CN"/>
        </w:rPr>
        <w:tab/>
      </w:r>
    </w:p>
    <w:p w14:paraId="0FE90F0F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ind w:left="105" w:leftChars="50" w:firstLine="315" w:firstLineChars="150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5.1比选申请文件的递交时间为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8 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18 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14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分至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分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（北京时间），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递交比选申请文件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地点为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重庆誉德广工程咨询有限公司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eastAsia="zh-CN"/>
        </w:rPr>
        <w:t>重庆市渝北区洪湖西路22号21楼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val="en-US" w:eastAsia="zh-CN"/>
        </w:rPr>
        <w:t>。</w:t>
      </w:r>
    </w:p>
    <w:p w14:paraId="209FAF21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ind w:left="105" w:leftChars="50" w:firstLine="315" w:firstLineChars="15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5.2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eastAsia="zh-CN"/>
        </w:rPr>
        <w:t>比选申请截止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时间（同开标时间）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8 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18 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14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30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分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（北京时间）。</w:t>
      </w:r>
    </w:p>
    <w:p w14:paraId="4F882023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ind w:left="105" w:leftChars="50" w:firstLine="315" w:firstLineChars="15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5.3 逾期送达的或者未送达指定地点的比选申请文件，比选人不予受理。</w:t>
      </w:r>
    </w:p>
    <w:p w14:paraId="1C6934DC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</w:pPr>
      <w:bookmarkStart w:id="46" w:name="_Toc12359"/>
      <w:bookmarkStart w:id="47" w:name="_Toc2068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6、发布公告的媒介</w:t>
      </w:r>
      <w:bookmarkEnd w:id="46"/>
      <w:bookmarkEnd w:id="47"/>
    </w:p>
    <w:p w14:paraId="559A7C37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本次比选公告在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fldChar w:fldCharType="begin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instrText xml:space="preserve"> HYPERLINK "http://www.cqdjszfw.com/" </w:instrTex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fldChar w:fldCharType="separate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行采家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(https://www.gec123.com/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fldChar w:fldCharType="end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上发布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。</w:t>
      </w:r>
    </w:p>
    <w:p w14:paraId="4B1E8619">
      <w:pPr>
        <w:keepNext w:val="0"/>
        <w:keepLines w:val="0"/>
        <w:pageBreakBefore w:val="0"/>
        <w:shd w:val="clear"/>
        <w:tabs>
          <w:tab w:val="left" w:pos="49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snapToGrid w:val="0"/>
          <w:color w:val="auto"/>
          <w:spacing w:val="1"/>
          <w:w w:val="99"/>
          <w:szCs w:val="21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auto"/>
          <w:spacing w:val="1"/>
          <w:w w:val="99"/>
          <w:szCs w:val="21"/>
          <w:highlight w:val="none"/>
        </w:rPr>
        <w:t>7、联系方式</w:t>
      </w:r>
    </w:p>
    <w:p w14:paraId="3930F8A1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default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比 选 人：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none"/>
          <w:lang w:eastAsia="zh-CN"/>
        </w:rPr>
        <w:t>华侨城物业（集团）有限公司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>重庆分公司</w:t>
      </w:r>
    </w:p>
    <w:p w14:paraId="57EFC870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 xml:space="preserve">地    </w:t>
      </w:r>
      <w:r>
        <w:rPr>
          <w:rFonts w:hint="eastAsia" w:ascii="宋体" w:hAnsi="宋体" w:cs="宋体"/>
          <w:color w:val="auto"/>
          <w:szCs w:val="21"/>
          <w:highlight w:val="none"/>
          <w:u w:val="none"/>
          <w:lang w:val="en-US" w:eastAsia="zh-CN"/>
        </w:rPr>
        <w:t>址：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none"/>
          <w:lang w:eastAsia="zh-CN"/>
        </w:rPr>
        <w:t>重庆市北部新区礼仁街11号27幢30-6</w:t>
      </w:r>
    </w:p>
    <w:p w14:paraId="1CF42FED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default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 系 人：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胡老师</w:t>
      </w:r>
    </w:p>
    <w:p w14:paraId="2353F635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联系电话：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13688148525</w:t>
      </w:r>
    </w:p>
    <w:p w14:paraId="469A61B0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</w:p>
    <w:p w14:paraId="1156BDAC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比选代理机构：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重庆誉德广工程咨询有限公司</w:t>
      </w:r>
    </w:p>
    <w:p w14:paraId="06CBD8C3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地    址：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重庆市渝北区洪湖西路22号21楼</w:t>
      </w:r>
    </w:p>
    <w:p w14:paraId="51AFDFC1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 系 人：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>罗老师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 xml:space="preserve"> </w:t>
      </w:r>
    </w:p>
    <w:p w14:paraId="32B2EB81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联系电话 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15523166616</w:t>
      </w:r>
    </w:p>
    <w:p w14:paraId="64A99790">
      <w:pPr>
        <w:keepNext w:val="0"/>
        <w:keepLines w:val="0"/>
        <w:pageBreakBefore w:val="0"/>
        <w:shd w:val="clear"/>
        <w:tabs>
          <w:tab w:val="left" w:pos="495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righ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202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5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11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 xml:space="preserve">日 </w:t>
      </w:r>
    </w:p>
    <w:bookmarkEnd w:id="0"/>
    <w:p w14:paraId="36F3DA35">
      <w:bookmarkStart w:id="48" w:name="_GoBack"/>
      <w:bookmarkEnd w:id="4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18174"/>
    <w:multiLevelType w:val="singleLevel"/>
    <w:tmpl w:val="F3518174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jc w:val="left"/>
      <w:outlineLvl w:val="1"/>
    </w:pPr>
    <w:rPr>
      <w:rFonts w:ascii="仿宋_GB2312" w:eastAsia="仿宋_GB2312"/>
      <w:b/>
      <w:spacing w:val="1"/>
      <w:w w:val="99"/>
      <w:kern w:val="0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2025-08-11T03:49:16Z</dcterms:created>
  <dc:creator>Lenovo</dc:creator>
  <cp:lastModifiedBy>重庆市鼎运工程咨询有限公司</cp:lastModifiedBy>
  <dcterms:modified xsi:type="dcterms:W3CDTF">2025-08-11T03:49:29Z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eyJoZGlkIjoiZGY5MDNlOGM1MGI1MGIwMzRhOTRiY2I4ZWMxMjg3YjAiLCJ1c2VySWQiOiI0MDQ0NTczNjgifQ==</vt:lpwstr>
  </property>
  <property fmtid="{D5CDD505-2E9C-101B-9397-08002B2CF9AE}" pid="4" name="ICV">
    <vt:lpwstr>A073D50A76754BFCA44C083BF21851ED_12</vt:lpwstr>
  </property>
</Properties>
</file>