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BBF397">
      <w:pPr>
        <w:jc w:val="center"/>
        <w:rPr>
          <w:rFonts w:hint="eastAsia" w:ascii="仿宋" w:hAnsi="仿宋" w:eastAsia="仿宋" w:cs="仿宋"/>
          <w:b/>
          <w:bCs/>
          <w:color w:val="auto"/>
          <w:kern w:val="0"/>
          <w:sz w:val="48"/>
          <w:szCs w:val="48"/>
          <w:highlight w:val="none"/>
          <w:lang w:bidi="ar"/>
        </w:rPr>
      </w:pPr>
    </w:p>
    <w:p w14:paraId="617CC451">
      <w:pPr>
        <w:jc w:val="center"/>
        <w:rPr>
          <w:rFonts w:hint="eastAsia" w:ascii="仿宋" w:hAnsi="仿宋" w:eastAsia="仿宋" w:cs="仿宋"/>
          <w:b/>
          <w:bCs/>
          <w:color w:val="auto"/>
          <w:spacing w:val="20"/>
          <w:kern w:val="10"/>
          <w:sz w:val="36"/>
          <w:szCs w:val="36"/>
          <w:highlight w:val="none"/>
          <w:lang w:eastAsia="zh-CN"/>
        </w:rPr>
      </w:pPr>
      <w:r>
        <w:rPr>
          <w:rFonts w:hint="eastAsia" w:ascii="仿宋" w:hAnsi="仿宋" w:eastAsia="仿宋" w:cs="仿宋"/>
          <w:b w:val="0"/>
          <w:bCs w:val="0"/>
          <w:color w:val="auto"/>
          <w:kern w:val="0"/>
          <w:sz w:val="44"/>
          <w:szCs w:val="44"/>
          <w:highlight w:val="none"/>
          <w:lang w:eastAsia="zh-CN" w:bidi="ar"/>
        </w:rPr>
        <w:t>回兴街道武警11中队绿化环境改造双拥项目</w:t>
      </w:r>
    </w:p>
    <w:p w14:paraId="0A8436D0">
      <w:pPr>
        <w:pStyle w:val="12"/>
        <w:spacing w:before="240"/>
        <w:rPr>
          <w:rFonts w:hint="eastAsia" w:ascii="仿宋" w:hAnsi="仿宋" w:eastAsia="仿宋" w:cs="仿宋"/>
          <w:color w:val="auto"/>
          <w:spacing w:val="20"/>
          <w:kern w:val="10"/>
          <w:sz w:val="24"/>
          <w:highlight w:val="none"/>
        </w:rPr>
      </w:pPr>
    </w:p>
    <w:p w14:paraId="0D3785CF">
      <w:pPr>
        <w:rPr>
          <w:rFonts w:hint="eastAsia" w:ascii="仿宋" w:hAnsi="仿宋" w:eastAsia="仿宋" w:cs="仿宋"/>
          <w:color w:val="auto"/>
          <w:highlight w:val="none"/>
        </w:rPr>
      </w:pPr>
    </w:p>
    <w:p w14:paraId="26150B2D">
      <w:pPr>
        <w:pStyle w:val="6"/>
        <w:spacing w:line="360" w:lineRule="auto"/>
        <w:jc w:val="left"/>
        <w:rPr>
          <w:rFonts w:hint="eastAsia" w:ascii="仿宋" w:hAnsi="仿宋" w:eastAsia="仿宋" w:cs="仿宋"/>
          <w:color w:val="auto"/>
          <w:spacing w:val="20"/>
          <w:kern w:val="10"/>
          <w:sz w:val="24"/>
          <w:highlight w:val="none"/>
        </w:rPr>
      </w:pPr>
    </w:p>
    <w:p w14:paraId="105A80F0">
      <w:pPr>
        <w:pStyle w:val="6"/>
        <w:spacing w:line="360" w:lineRule="auto"/>
        <w:jc w:val="left"/>
        <w:rPr>
          <w:rFonts w:hint="eastAsia" w:ascii="仿宋" w:hAnsi="仿宋" w:eastAsia="仿宋" w:cs="仿宋"/>
          <w:color w:val="auto"/>
          <w:spacing w:val="20"/>
          <w:kern w:val="10"/>
          <w:sz w:val="24"/>
          <w:highlight w:val="none"/>
        </w:rPr>
      </w:pPr>
    </w:p>
    <w:p w14:paraId="7B112484">
      <w:pPr>
        <w:rPr>
          <w:color w:val="auto"/>
          <w:highlight w:val="none"/>
        </w:rPr>
      </w:pPr>
    </w:p>
    <w:p w14:paraId="5BB2D808">
      <w:pPr>
        <w:pStyle w:val="16"/>
        <w:rPr>
          <w:color w:val="auto"/>
          <w:highlight w:val="none"/>
        </w:rPr>
      </w:pPr>
    </w:p>
    <w:p w14:paraId="7716A350">
      <w:pPr>
        <w:rPr>
          <w:color w:val="auto"/>
          <w:highlight w:val="none"/>
        </w:rPr>
      </w:pPr>
    </w:p>
    <w:p w14:paraId="3A84304B">
      <w:pPr>
        <w:pStyle w:val="16"/>
        <w:rPr>
          <w:color w:val="auto"/>
          <w:highlight w:val="none"/>
        </w:rPr>
      </w:pPr>
    </w:p>
    <w:p w14:paraId="7C3D8D60">
      <w:pPr>
        <w:rPr>
          <w:rFonts w:hint="eastAsia" w:ascii="仿宋" w:hAnsi="仿宋" w:eastAsia="仿宋" w:cs="仿宋"/>
          <w:color w:val="auto"/>
          <w:highlight w:val="none"/>
        </w:rPr>
      </w:pPr>
    </w:p>
    <w:p w14:paraId="60659DCD">
      <w:pPr>
        <w:pStyle w:val="16"/>
        <w:rPr>
          <w:color w:val="auto"/>
          <w:highlight w:val="none"/>
        </w:rPr>
      </w:pPr>
    </w:p>
    <w:p w14:paraId="35639A1D">
      <w:pPr>
        <w:autoSpaceDE w:val="0"/>
        <w:autoSpaceDN w:val="0"/>
        <w:adjustRightInd w:val="0"/>
        <w:snapToGrid w:val="0"/>
        <w:spacing w:line="360" w:lineRule="auto"/>
        <w:jc w:val="center"/>
        <w:rPr>
          <w:rFonts w:hint="eastAsia" w:ascii="仿宋" w:hAnsi="仿宋" w:eastAsia="仿宋" w:cs="仿宋"/>
          <w:bCs/>
          <w:color w:val="auto"/>
          <w:kern w:val="0"/>
          <w:sz w:val="96"/>
          <w:szCs w:val="96"/>
          <w:highlight w:val="none"/>
        </w:rPr>
      </w:pPr>
      <w:r>
        <w:rPr>
          <w:rFonts w:hint="eastAsia" w:ascii="仿宋" w:hAnsi="仿宋" w:eastAsia="仿宋" w:cs="仿宋"/>
          <w:bCs/>
          <w:color w:val="auto"/>
          <w:spacing w:val="60"/>
          <w:sz w:val="96"/>
          <w:szCs w:val="96"/>
          <w:highlight w:val="none"/>
        </w:rPr>
        <w:t>招标文件</w:t>
      </w:r>
    </w:p>
    <w:p w14:paraId="491C1FCE">
      <w:pPr>
        <w:autoSpaceDE w:val="0"/>
        <w:autoSpaceDN w:val="0"/>
        <w:adjustRightInd w:val="0"/>
        <w:snapToGrid w:val="0"/>
        <w:spacing w:line="360" w:lineRule="auto"/>
        <w:jc w:val="left"/>
        <w:rPr>
          <w:rFonts w:hint="eastAsia" w:ascii="仿宋" w:hAnsi="仿宋" w:eastAsia="仿宋" w:cs="仿宋"/>
          <w:color w:val="auto"/>
          <w:kern w:val="0"/>
          <w:sz w:val="24"/>
          <w:highlight w:val="none"/>
        </w:rPr>
      </w:pPr>
    </w:p>
    <w:p w14:paraId="56FCF06F">
      <w:pPr>
        <w:pStyle w:val="16"/>
        <w:rPr>
          <w:rFonts w:hint="eastAsia" w:ascii="仿宋" w:hAnsi="仿宋" w:eastAsia="仿宋" w:cs="仿宋"/>
          <w:color w:val="auto"/>
          <w:kern w:val="0"/>
          <w:highlight w:val="none"/>
        </w:rPr>
      </w:pPr>
    </w:p>
    <w:p w14:paraId="40A0C0EB">
      <w:pPr>
        <w:rPr>
          <w:color w:val="auto"/>
          <w:highlight w:val="none"/>
        </w:rPr>
      </w:pPr>
    </w:p>
    <w:p w14:paraId="7215D51B">
      <w:pPr>
        <w:autoSpaceDE w:val="0"/>
        <w:autoSpaceDN w:val="0"/>
        <w:adjustRightInd w:val="0"/>
        <w:snapToGrid w:val="0"/>
        <w:spacing w:line="360" w:lineRule="auto"/>
        <w:jc w:val="left"/>
        <w:rPr>
          <w:rFonts w:hint="eastAsia" w:ascii="仿宋" w:hAnsi="仿宋" w:eastAsia="仿宋" w:cs="仿宋"/>
          <w:color w:val="auto"/>
          <w:kern w:val="0"/>
          <w:sz w:val="24"/>
          <w:highlight w:val="none"/>
        </w:rPr>
      </w:pPr>
    </w:p>
    <w:p w14:paraId="4A9D4F90">
      <w:pPr>
        <w:autoSpaceDE w:val="0"/>
        <w:autoSpaceDN w:val="0"/>
        <w:adjustRightInd w:val="0"/>
        <w:snapToGrid w:val="0"/>
        <w:spacing w:line="360" w:lineRule="auto"/>
        <w:jc w:val="left"/>
        <w:rPr>
          <w:rFonts w:hint="eastAsia" w:ascii="仿宋" w:hAnsi="仿宋" w:eastAsia="仿宋" w:cs="仿宋"/>
          <w:color w:val="auto"/>
          <w:kern w:val="0"/>
          <w:sz w:val="24"/>
          <w:highlight w:val="none"/>
        </w:rPr>
      </w:pPr>
    </w:p>
    <w:p w14:paraId="100230BD">
      <w:pPr>
        <w:autoSpaceDE w:val="0"/>
        <w:autoSpaceDN w:val="0"/>
        <w:adjustRightInd w:val="0"/>
        <w:snapToGrid w:val="0"/>
        <w:spacing w:line="360" w:lineRule="auto"/>
        <w:jc w:val="left"/>
        <w:rPr>
          <w:rFonts w:hint="eastAsia" w:ascii="仿宋" w:hAnsi="仿宋" w:eastAsia="仿宋" w:cs="仿宋"/>
          <w:color w:val="auto"/>
          <w:kern w:val="0"/>
          <w:sz w:val="24"/>
          <w:highlight w:val="none"/>
        </w:rPr>
      </w:pPr>
    </w:p>
    <w:p w14:paraId="3F148BF1">
      <w:pPr>
        <w:autoSpaceDE w:val="0"/>
        <w:autoSpaceDN w:val="0"/>
        <w:adjustRightInd w:val="0"/>
        <w:snapToGrid w:val="0"/>
        <w:spacing w:line="360" w:lineRule="auto"/>
        <w:jc w:val="left"/>
        <w:rPr>
          <w:rFonts w:hint="eastAsia" w:ascii="仿宋" w:hAnsi="仿宋" w:eastAsia="仿宋" w:cs="仿宋"/>
          <w:color w:val="auto"/>
          <w:kern w:val="0"/>
          <w:sz w:val="24"/>
          <w:highlight w:val="none"/>
        </w:rPr>
      </w:pPr>
    </w:p>
    <w:p w14:paraId="124968C2">
      <w:pPr>
        <w:pStyle w:val="16"/>
        <w:rPr>
          <w:color w:val="auto"/>
          <w:highlight w:val="none"/>
        </w:rPr>
      </w:pPr>
    </w:p>
    <w:p w14:paraId="2544838A">
      <w:pPr>
        <w:pStyle w:val="16"/>
        <w:rPr>
          <w:rFonts w:hint="eastAsia" w:ascii="仿宋" w:hAnsi="仿宋" w:eastAsia="仿宋" w:cs="仿宋"/>
          <w:color w:val="auto"/>
          <w:kern w:val="0"/>
          <w:highlight w:val="none"/>
        </w:rPr>
      </w:pPr>
    </w:p>
    <w:p w14:paraId="50770D4A">
      <w:pPr>
        <w:rPr>
          <w:color w:val="auto"/>
          <w:highlight w:val="none"/>
        </w:rPr>
      </w:pPr>
    </w:p>
    <w:p w14:paraId="0245A6A7">
      <w:pPr>
        <w:widowControl/>
        <w:spacing w:line="360" w:lineRule="auto"/>
        <w:ind w:firstLine="960" w:firstLineChars="300"/>
        <w:jc w:val="left"/>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rPr>
        <w:t>招   标   人：</w:t>
      </w:r>
      <w:r>
        <w:rPr>
          <w:rFonts w:hint="eastAsia" w:ascii="仿宋" w:hAnsi="仿宋" w:eastAsia="仿宋" w:cs="仿宋"/>
          <w:color w:val="auto"/>
          <w:sz w:val="32"/>
          <w:szCs w:val="32"/>
          <w:highlight w:val="none"/>
          <w:lang w:eastAsia="zh-CN"/>
        </w:rPr>
        <w:t>重庆市渝北区人民政府回兴街道办事处</w:t>
      </w:r>
    </w:p>
    <w:p w14:paraId="4517152E">
      <w:pPr>
        <w:widowControl/>
        <w:spacing w:line="360" w:lineRule="auto"/>
        <w:ind w:firstLine="960" w:firstLineChars="300"/>
        <w:jc w:val="left"/>
        <w:rPr>
          <w:rFonts w:hint="eastAsia" w:ascii="仿宋" w:hAnsi="仿宋" w:eastAsia="仿宋" w:cs="仿宋"/>
          <w:bCs/>
          <w:color w:val="auto"/>
          <w:szCs w:val="28"/>
          <w:highlight w:val="none"/>
          <w:lang w:eastAsia="zh-CN"/>
        </w:rPr>
      </w:pPr>
      <w:bookmarkStart w:id="0" w:name="_Toc31320"/>
      <w:bookmarkStart w:id="1" w:name="_Toc25696"/>
      <w:bookmarkStart w:id="2" w:name="_Toc28939"/>
      <w:bookmarkStart w:id="3" w:name="_Toc10148"/>
      <w:bookmarkStart w:id="4" w:name="_Toc5323"/>
      <w:bookmarkStart w:id="5" w:name="_Toc10677"/>
      <w:bookmarkStart w:id="6" w:name="_Toc8338"/>
      <w:bookmarkStart w:id="7" w:name="_Toc10915"/>
      <w:bookmarkStart w:id="8" w:name="_Toc21313"/>
      <w:bookmarkStart w:id="9" w:name="_Toc4874"/>
      <w:bookmarkStart w:id="10" w:name="_Toc6015"/>
      <w:bookmarkStart w:id="11" w:name="_Toc61946746"/>
      <w:bookmarkStart w:id="12" w:name="_Toc21374"/>
      <w:bookmarkStart w:id="13" w:name="_Toc27938"/>
      <w:bookmarkStart w:id="14" w:name="_Toc26858"/>
      <w:r>
        <w:rPr>
          <w:rFonts w:hint="eastAsia" w:ascii="仿宋" w:hAnsi="仿宋" w:eastAsia="仿宋" w:cs="仿宋"/>
          <w:color w:val="auto"/>
          <w:sz w:val="32"/>
          <w:szCs w:val="32"/>
          <w:highlight w:val="none"/>
        </w:rPr>
        <w:t>招标代理机构：</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rPr>
          <w:rFonts w:hint="eastAsia" w:ascii="仿宋" w:hAnsi="仿宋" w:eastAsia="仿宋" w:cs="仿宋"/>
          <w:color w:val="auto"/>
          <w:sz w:val="32"/>
          <w:szCs w:val="32"/>
          <w:highlight w:val="none"/>
          <w:lang w:eastAsia="zh-CN"/>
        </w:rPr>
        <w:t>盛世诚达工程咨询有限公司</w:t>
      </w:r>
    </w:p>
    <w:p w14:paraId="21946E9D">
      <w:pPr>
        <w:pStyle w:val="6"/>
        <w:spacing w:line="360" w:lineRule="auto"/>
        <w:jc w:val="center"/>
        <w:rPr>
          <w:rFonts w:hint="eastAsia" w:ascii="仿宋" w:hAnsi="仿宋" w:eastAsia="仿宋" w:cs="仿宋"/>
          <w:color w:val="auto"/>
          <w:kern w:val="0"/>
          <w:position w:val="-2"/>
          <w:sz w:val="32"/>
          <w:szCs w:val="32"/>
          <w:highlight w:val="none"/>
        </w:rPr>
      </w:pPr>
      <w:r>
        <w:rPr>
          <w:rFonts w:hint="eastAsia" w:ascii="仿宋" w:hAnsi="仿宋" w:eastAsia="仿宋" w:cs="仿宋"/>
          <w:bCs/>
          <w:color w:val="auto"/>
          <w:sz w:val="32"/>
          <w:szCs w:val="32"/>
          <w:highlight w:val="none"/>
        </w:rPr>
        <w:t>日期：</w:t>
      </w:r>
      <w:r>
        <w:rPr>
          <w:rFonts w:hint="eastAsia" w:ascii="仿宋" w:hAnsi="仿宋" w:eastAsia="仿宋" w:cs="仿宋"/>
          <w:color w:val="auto"/>
          <w:kern w:val="0"/>
          <w:position w:val="-2"/>
          <w:sz w:val="32"/>
          <w:szCs w:val="32"/>
          <w:highlight w:val="none"/>
        </w:rPr>
        <w:t>二〇二</w:t>
      </w:r>
      <w:r>
        <w:rPr>
          <w:rFonts w:hint="eastAsia" w:ascii="仿宋" w:hAnsi="仿宋" w:eastAsia="仿宋" w:cs="仿宋"/>
          <w:color w:val="auto"/>
          <w:kern w:val="0"/>
          <w:position w:val="-2"/>
          <w:sz w:val="32"/>
          <w:szCs w:val="32"/>
          <w:highlight w:val="none"/>
          <w:lang w:val="en-US" w:eastAsia="zh-CN"/>
        </w:rPr>
        <w:t>六</w:t>
      </w:r>
      <w:r>
        <w:rPr>
          <w:rFonts w:hint="eastAsia" w:ascii="仿宋" w:hAnsi="仿宋" w:eastAsia="仿宋" w:cs="仿宋"/>
          <w:color w:val="auto"/>
          <w:kern w:val="0"/>
          <w:position w:val="-2"/>
          <w:sz w:val="32"/>
          <w:szCs w:val="32"/>
          <w:highlight w:val="none"/>
        </w:rPr>
        <w:t>年</w:t>
      </w:r>
      <w:r>
        <w:rPr>
          <w:rFonts w:hint="eastAsia" w:ascii="仿宋" w:hAnsi="仿宋" w:eastAsia="仿宋" w:cs="仿宋"/>
          <w:color w:val="auto"/>
          <w:kern w:val="0"/>
          <w:position w:val="-2"/>
          <w:sz w:val="32"/>
          <w:szCs w:val="32"/>
          <w:highlight w:val="none"/>
          <w:lang w:val="en-US" w:eastAsia="zh-CN"/>
        </w:rPr>
        <w:t>三</w:t>
      </w:r>
      <w:r>
        <w:rPr>
          <w:rFonts w:hint="eastAsia" w:ascii="仿宋" w:hAnsi="仿宋" w:eastAsia="仿宋" w:cs="仿宋"/>
          <w:color w:val="auto"/>
          <w:kern w:val="0"/>
          <w:position w:val="-2"/>
          <w:sz w:val="32"/>
          <w:szCs w:val="32"/>
          <w:highlight w:val="none"/>
        </w:rPr>
        <w:t>月</w:t>
      </w:r>
    </w:p>
    <w:p w14:paraId="566452E7">
      <w:pPr>
        <w:pStyle w:val="6"/>
        <w:spacing w:line="360" w:lineRule="auto"/>
        <w:jc w:val="center"/>
        <w:rPr>
          <w:rFonts w:hint="eastAsia" w:ascii="仿宋" w:hAnsi="仿宋" w:eastAsia="仿宋" w:cs="仿宋"/>
          <w:b/>
          <w:color w:val="auto"/>
          <w:kern w:val="0"/>
          <w:sz w:val="24"/>
          <w:highlight w:val="none"/>
        </w:rPr>
        <w:sectPr>
          <w:footerReference r:id="rId5" w:type="first"/>
          <w:headerReference r:id="rId3" w:type="default"/>
          <w:footerReference r:id="rId4" w:type="default"/>
          <w:pgSz w:w="11907" w:h="16839"/>
          <w:pgMar w:top="1418" w:right="1418" w:bottom="1418" w:left="1474" w:header="720" w:footer="720" w:gutter="0"/>
          <w:pgNumType w:start="1"/>
          <w:cols w:space="720" w:num="1"/>
          <w:docGrid w:linePitch="286" w:charSpace="0"/>
        </w:sectPr>
      </w:pPr>
    </w:p>
    <w:p w14:paraId="61CD47E6">
      <w:pPr>
        <w:pStyle w:val="6"/>
        <w:spacing w:line="360" w:lineRule="auto"/>
        <w:jc w:val="center"/>
        <w:rPr>
          <w:rFonts w:hint="eastAsia" w:ascii="仿宋" w:hAnsi="仿宋" w:eastAsia="仿宋" w:cs="仿宋"/>
          <w:b/>
          <w:color w:val="auto"/>
          <w:kern w:val="0"/>
          <w:sz w:val="36"/>
          <w:szCs w:val="36"/>
          <w:highlight w:val="none"/>
        </w:rPr>
      </w:pPr>
      <w:r>
        <w:rPr>
          <w:rFonts w:hint="eastAsia" w:ascii="仿宋" w:hAnsi="仿宋" w:eastAsia="仿宋" w:cs="仿宋"/>
          <w:b/>
          <w:color w:val="auto"/>
          <w:kern w:val="0"/>
          <w:sz w:val="36"/>
          <w:szCs w:val="36"/>
          <w:highlight w:val="none"/>
        </w:rPr>
        <w:t>目　　录</w:t>
      </w:r>
    </w:p>
    <w:p w14:paraId="1B4C368C">
      <w:pPr>
        <w:pStyle w:val="12"/>
        <w:tabs>
          <w:tab w:val="right" w:leader="dot" w:pos="9015"/>
          <w:tab w:val="clear" w:pos="9117"/>
        </w:tabs>
        <w:spacing w:before="240"/>
        <w:rPr>
          <w:rFonts w:hint="eastAsia" w:ascii="仿宋" w:hAnsi="仿宋" w:eastAsia="仿宋" w:cs="仿宋"/>
          <w:color w:val="auto"/>
          <w:highlight w:val="none"/>
        </w:rPr>
      </w:pPr>
      <w:r>
        <w:rPr>
          <w:rFonts w:hint="eastAsia" w:ascii="仿宋" w:hAnsi="仿宋" w:eastAsia="仿宋" w:cs="仿宋"/>
          <w:b/>
          <w:bCs/>
          <w:caps w:val="0"/>
          <w:color w:val="auto"/>
          <w:kern w:val="0"/>
          <w:sz w:val="24"/>
          <w:szCs w:val="24"/>
          <w:highlight w:val="none"/>
        </w:rPr>
        <w:fldChar w:fldCharType="begin"/>
      </w:r>
      <w:r>
        <w:rPr>
          <w:rFonts w:hint="eastAsia" w:ascii="仿宋" w:hAnsi="仿宋" w:eastAsia="仿宋" w:cs="仿宋"/>
          <w:b/>
          <w:bCs/>
          <w:caps w:val="0"/>
          <w:color w:val="auto"/>
          <w:kern w:val="0"/>
          <w:sz w:val="24"/>
          <w:szCs w:val="24"/>
          <w:highlight w:val="none"/>
        </w:rPr>
        <w:instrText xml:space="preserve"> TOC \o "1-3" \h \z \u </w:instrText>
      </w:r>
      <w:r>
        <w:rPr>
          <w:rFonts w:hint="eastAsia" w:ascii="仿宋" w:hAnsi="仿宋" w:eastAsia="仿宋" w:cs="仿宋"/>
          <w:b/>
          <w:bCs/>
          <w:caps w:val="0"/>
          <w:color w:val="auto"/>
          <w:kern w:val="0"/>
          <w:sz w:val="24"/>
          <w:szCs w:val="24"/>
          <w:highlight w:val="none"/>
        </w:rPr>
        <w:fldChar w:fldCharType="separate"/>
      </w:r>
      <w:r>
        <w:rPr>
          <w:color w:val="auto"/>
          <w:highlight w:val="none"/>
        </w:rPr>
        <w:fldChar w:fldCharType="begin"/>
      </w:r>
      <w:r>
        <w:rPr>
          <w:color w:val="auto"/>
          <w:highlight w:val="none"/>
        </w:rPr>
        <w:instrText xml:space="preserve"> HYPERLINK \l "_Toc13189" </w:instrText>
      </w:r>
      <w:r>
        <w:rPr>
          <w:color w:val="auto"/>
          <w:highlight w:val="none"/>
        </w:rPr>
        <w:fldChar w:fldCharType="separate"/>
      </w:r>
      <w:r>
        <w:rPr>
          <w:rFonts w:hint="eastAsia" w:ascii="仿宋" w:hAnsi="仿宋" w:eastAsia="仿宋" w:cs="仿宋"/>
          <w:snapToGrid w:val="0"/>
          <w:color w:val="auto"/>
          <w:kern w:val="0"/>
          <w:szCs w:val="32"/>
          <w:highlight w:val="none"/>
        </w:rPr>
        <w:t>第一章 招标</w:t>
      </w:r>
      <w:r>
        <w:rPr>
          <w:rFonts w:hint="eastAsia" w:ascii="仿宋" w:hAnsi="仿宋" w:eastAsia="仿宋" w:cs="仿宋"/>
          <w:color w:val="auto"/>
          <w:kern w:val="0"/>
          <w:szCs w:val="32"/>
          <w:highlight w:val="none"/>
        </w:rPr>
        <w:t>公告</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_Toc13189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1</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55D5533A">
      <w:pPr>
        <w:pStyle w:val="12"/>
        <w:tabs>
          <w:tab w:val="right" w:leader="dot" w:pos="9015"/>
          <w:tab w:val="clear" w:pos="9117"/>
        </w:tabs>
        <w:spacing w:before="240"/>
        <w:rPr>
          <w:rFonts w:hint="eastAsia" w:ascii="仿宋" w:hAnsi="仿宋" w:eastAsia="仿宋" w:cs="仿宋"/>
          <w:color w:val="auto"/>
          <w:highlight w:val="none"/>
        </w:rPr>
      </w:pPr>
      <w:r>
        <w:rPr>
          <w:color w:val="auto"/>
          <w:highlight w:val="none"/>
        </w:rPr>
        <w:fldChar w:fldCharType="begin"/>
      </w:r>
      <w:r>
        <w:rPr>
          <w:color w:val="auto"/>
          <w:highlight w:val="none"/>
        </w:rPr>
        <w:instrText xml:space="preserve"> HYPERLINK \l "_Toc6911" </w:instrText>
      </w:r>
      <w:r>
        <w:rPr>
          <w:color w:val="auto"/>
          <w:highlight w:val="none"/>
        </w:rPr>
        <w:fldChar w:fldCharType="separate"/>
      </w:r>
      <w:r>
        <w:rPr>
          <w:rFonts w:hint="eastAsia" w:ascii="仿宋" w:hAnsi="仿宋" w:eastAsia="仿宋" w:cs="仿宋"/>
          <w:snapToGrid w:val="0"/>
          <w:color w:val="auto"/>
          <w:kern w:val="0"/>
          <w:szCs w:val="32"/>
          <w:highlight w:val="none"/>
        </w:rPr>
        <w:t>第二章 投标人须知</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_Toc6911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4</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73E6C503">
      <w:pPr>
        <w:pStyle w:val="12"/>
        <w:tabs>
          <w:tab w:val="right" w:leader="dot" w:pos="9015"/>
          <w:tab w:val="clear" w:pos="9117"/>
        </w:tabs>
        <w:spacing w:before="240"/>
        <w:rPr>
          <w:rFonts w:hint="eastAsia" w:ascii="仿宋" w:hAnsi="仿宋" w:eastAsia="仿宋" w:cs="仿宋"/>
          <w:color w:val="auto"/>
          <w:highlight w:val="none"/>
        </w:rPr>
      </w:pPr>
      <w:r>
        <w:rPr>
          <w:color w:val="auto"/>
          <w:highlight w:val="none"/>
        </w:rPr>
        <w:fldChar w:fldCharType="begin"/>
      </w:r>
      <w:r>
        <w:rPr>
          <w:color w:val="auto"/>
          <w:highlight w:val="none"/>
        </w:rPr>
        <w:instrText xml:space="preserve"> HYPERLINK \l "_Toc17200" </w:instrText>
      </w:r>
      <w:r>
        <w:rPr>
          <w:color w:val="auto"/>
          <w:highlight w:val="none"/>
        </w:rPr>
        <w:fldChar w:fldCharType="separate"/>
      </w:r>
      <w:r>
        <w:rPr>
          <w:rFonts w:hint="eastAsia" w:ascii="仿宋" w:hAnsi="仿宋" w:eastAsia="仿宋" w:cs="仿宋"/>
          <w:snapToGrid w:val="0"/>
          <w:color w:val="auto"/>
          <w:kern w:val="0"/>
          <w:szCs w:val="32"/>
          <w:highlight w:val="none"/>
        </w:rPr>
        <w:t>第三章 评标办法（综合评估法）</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_Toc17200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24</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77210856">
      <w:pPr>
        <w:pStyle w:val="12"/>
        <w:tabs>
          <w:tab w:val="right" w:leader="dot" w:pos="9015"/>
          <w:tab w:val="clear" w:pos="9117"/>
        </w:tabs>
        <w:spacing w:before="240"/>
        <w:rPr>
          <w:rFonts w:hint="eastAsia" w:ascii="仿宋" w:hAnsi="仿宋" w:eastAsia="仿宋" w:cs="仿宋"/>
          <w:color w:val="auto"/>
          <w:highlight w:val="none"/>
        </w:rPr>
      </w:pPr>
      <w:r>
        <w:rPr>
          <w:color w:val="auto"/>
          <w:highlight w:val="none"/>
        </w:rPr>
        <w:fldChar w:fldCharType="begin"/>
      </w:r>
      <w:r>
        <w:rPr>
          <w:color w:val="auto"/>
          <w:highlight w:val="none"/>
        </w:rPr>
        <w:instrText xml:space="preserve"> HYPERLINK \l "_Toc32627" </w:instrText>
      </w:r>
      <w:r>
        <w:rPr>
          <w:color w:val="auto"/>
          <w:highlight w:val="none"/>
        </w:rPr>
        <w:fldChar w:fldCharType="separate"/>
      </w:r>
      <w:r>
        <w:rPr>
          <w:rFonts w:hint="eastAsia" w:ascii="仿宋" w:hAnsi="仿宋" w:eastAsia="仿宋" w:cs="仿宋"/>
          <w:snapToGrid w:val="0"/>
          <w:color w:val="auto"/>
          <w:kern w:val="0"/>
          <w:szCs w:val="32"/>
          <w:highlight w:val="none"/>
        </w:rPr>
        <w:t>第四章 合同条款及格式</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_Toc32627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31</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4949BC02">
      <w:pPr>
        <w:pStyle w:val="12"/>
        <w:tabs>
          <w:tab w:val="right" w:leader="dot" w:pos="9015"/>
          <w:tab w:val="clear" w:pos="9117"/>
        </w:tabs>
        <w:spacing w:before="240"/>
        <w:rPr>
          <w:rFonts w:hint="eastAsia" w:ascii="仿宋" w:hAnsi="仿宋" w:eastAsia="仿宋" w:cs="仿宋"/>
          <w:color w:val="auto"/>
          <w:highlight w:val="none"/>
        </w:rPr>
      </w:pPr>
      <w:r>
        <w:rPr>
          <w:color w:val="auto"/>
          <w:highlight w:val="none"/>
        </w:rPr>
        <w:fldChar w:fldCharType="begin"/>
      </w:r>
      <w:r>
        <w:rPr>
          <w:color w:val="auto"/>
          <w:highlight w:val="none"/>
        </w:rPr>
        <w:instrText xml:space="preserve"> HYPERLINK \l "_Toc14744" </w:instrText>
      </w:r>
      <w:r>
        <w:rPr>
          <w:color w:val="auto"/>
          <w:highlight w:val="none"/>
        </w:rPr>
        <w:fldChar w:fldCharType="separate"/>
      </w:r>
      <w:r>
        <w:rPr>
          <w:rFonts w:hint="eastAsia" w:ascii="仿宋" w:hAnsi="仿宋" w:eastAsia="仿宋" w:cs="仿宋"/>
          <w:color w:val="auto"/>
          <w:highlight w:val="none"/>
        </w:rPr>
        <w:t>第五章 工程量清单</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_Toc14744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73</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2CBE80CE">
      <w:pPr>
        <w:pStyle w:val="12"/>
        <w:tabs>
          <w:tab w:val="right" w:leader="dot" w:pos="9015"/>
          <w:tab w:val="clear" w:pos="9117"/>
        </w:tabs>
        <w:spacing w:before="240"/>
        <w:rPr>
          <w:rFonts w:hint="eastAsia" w:ascii="仿宋" w:hAnsi="仿宋" w:eastAsia="仿宋" w:cs="仿宋"/>
          <w:color w:val="auto"/>
          <w:highlight w:val="none"/>
        </w:rPr>
      </w:pPr>
      <w:r>
        <w:rPr>
          <w:color w:val="auto"/>
          <w:highlight w:val="none"/>
        </w:rPr>
        <w:fldChar w:fldCharType="begin"/>
      </w:r>
      <w:r>
        <w:rPr>
          <w:color w:val="auto"/>
          <w:highlight w:val="none"/>
        </w:rPr>
        <w:instrText xml:space="preserve"> HYPERLINK \l "_Toc15986" </w:instrText>
      </w:r>
      <w:r>
        <w:rPr>
          <w:color w:val="auto"/>
          <w:highlight w:val="none"/>
        </w:rPr>
        <w:fldChar w:fldCharType="separate"/>
      </w:r>
      <w:r>
        <w:rPr>
          <w:rFonts w:hint="eastAsia" w:ascii="仿宋" w:hAnsi="仿宋" w:eastAsia="仿宋" w:cs="仿宋"/>
          <w:color w:val="auto"/>
          <w:highlight w:val="none"/>
        </w:rPr>
        <w:t>第六章 投标文件格式</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_Toc15986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74</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23601DC7">
      <w:pPr>
        <w:pStyle w:val="7"/>
        <w:tabs>
          <w:tab w:val="right" w:leader="dot" w:pos="9015"/>
        </w:tabs>
        <w:ind w:left="1120"/>
        <w:rPr>
          <w:rFonts w:hint="eastAsia" w:ascii="仿宋" w:hAnsi="仿宋" w:eastAsia="仿宋" w:cs="仿宋"/>
          <w:color w:val="auto"/>
          <w:highlight w:val="none"/>
        </w:rPr>
      </w:pPr>
    </w:p>
    <w:p w14:paraId="396324F3">
      <w:pPr>
        <w:pStyle w:val="12"/>
        <w:tabs>
          <w:tab w:val="right" w:leader="dot" w:pos="9015"/>
          <w:tab w:val="clear" w:pos="9117"/>
        </w:tabs>
        <w:spacing w:before="240"/>
        <w:rPr>
          <w:rFonts w:hint="eastAsia" w:ascii="仿宋" w:hAnsi="仿宋" w:eastAsia="仿宋" w:cs="仿宋"/>
          <w:bCs/>
          <w:caps w:val="0"/>
          <w:color w:val="auto"/>
          <w:kern w:val="0"/>
          <w:szCs w:val="24"/>
          <w:highlight w:val="none"/>
        </w:rPr>
      </w:pPr>
      <w:r>
        <w:rPr>
          <w:rFonts w:hint="eastAsia" w:ascii="仿宋" w:hAnsi="仿宋" w:eastAsia="仿宋" w:cs="仿宋"/>
          <w:bCs/>
          <w:caps w:val="0"/>
          <w:color w:val="auto"/>
          <w:kern w:val="0"/>
          <w:szCs w:val="24"/>
          <w:highlight w:val="none"/>
        </w:rPr>
        <w:fldChar w:fldCharType="end"/>
      </w:r>
    </w:p>
    <w:p w14:paraId="2B8D46F6">
      <w:pPr>
        <w:rPr>
          <w:rFonts w:hint="eastAsia" w:ascii="仿宋" w:hAnsi="仿宋" w:eastAsia="仿宋" w:cs="仿宋"/>
          <w:color w:val="auto"/>
          <w:sz w:val="24"/>
          <w:highlight w:val="none"/>
        </w:rPr>
      </w:pPr>
    </w:p>
    <w:p w14:paraId="65E8062F">
      <w:pPr>
        <w:pStyle w:val="2"/>
        <w:spacing w:before="0" w:after="0" w:line="440" w:lineRule="exact"/>
        <w:ind w:firstLine="643" w:firstLineChars="200"/>
        <w:jc w:val="center"/>
        <w:rPr>
          <w:rFonts w:hint="eastAsia" w:ascii="仿宋" w:hAnsi="仿宋" w:eastAsia="仿宋" w:cs="仿宋"/>
          <w:snapToGrid w:val="0"/>
          <w:color w:val="auto"/>
          <w:kern w:val="0"/>
          <w:sz w:val="32"/>
          <w:szCs w:val="32"/>
          <w:highlight w:val="none"/>
        </w:rPr>
        <w:sectPr>
          <w:footerReference r:id="rId6" w:type="default"/>
          <w:pgSz w:w="11907" w:h="16839"/>
          <w:pgMar w:top="1418" w:right="1418" w:bottom="1418" w:left="1474" w:header="720" w:footer="720" w:gutter="0"/>
          <w:pgNumType w:start="1"/>
          <w:cols w:space="720" w:num="1"/>
          <w:docGrid w:linePitch="286" w:charSpace="0"/>
        </w:sectPr>
      </w:pPr>
    </w:p>
    <w:p w14:paraId="11422978">
      <w:pPr>
        <w:pStyle w:val="2"/>
        <w:spacing w:before="0" w:after="0" w:line="520" w:lineRule="exact"/>
        <w:ind w:firstLine="643" w:firstLineChars="200"/>
        <w:jc w:val="center"/>
        <w:rPr>
          <w:rFonts w:hint="eastAsia" w:ascii="仿宋" w:hAnsi="仿宋" w:eastAsia="仿宋" w:cs="仿宋"/>
          <w:color w:val="auto"/>
          <w:highlight w:val="none"/>
        </w:rPr>
      </w:pPr>
      <w:bookmarkStart w:id="15" w:name="_Toc13189"/>
      <w:r>
        <w:rPr>
          <w:rFonts w:hint="eastAsia" w:ascii="仿宋" w:hAnsi="仿宋" w:eastAsia="仿宋" w:cs="仿宋"/>
          <w:snapToGrid w:val="0"/>
          <w:color w:val="auto"/>
          <w:kern w:val="0"/>
          <w:sz w:val="32"/>
          <w:szCs w:val="32"/>
          <w:highlight w:val="none"/>
        </w:rPr>
        <w:t>第一章 招标</w:t>
      </w:r>
      <w:r>
        <w:rPr>
          <w:rFonts w:hint="eastAsia" w:ascii="仿宋" w:hAnsi="仿宋" w:eastAsia="仿宋" w:cs="仿宋"/>
          <w:color w:val="auto"/>
          <w:kern w:val="0"/>
          <w:sz w:val="32"/>
          <w:szCs w:val="32"/>
          <w:highlight w:val="none"/>
        </w:rPr>
        <w:t>公告</w:t>
      </w:r>
      <w:bookmarkEnd w:id="15"/>
    </w:p>
    <w:p w14:paraId="323DA5C1">
      <w:pPr>
        <w:widowControl/>
        <w:jc w:val="center"/>
        <w:rPr>
          <w:rFonts w:hint="eastAsia" w:ascii="仿宋" w:hAnsi="仿宋" w:eastAsia="仿宋" w:cs="仿宋"/>
          <w:b/>
          <w:snapToGrid w:val="0"/>
          <w:color w:val="auto"/>
          <w:kern w:val="0"/>
          <w:sz w:val="32"/>
          <w:szCs w:val="32"/>
          <w:highlight w:val="none"/>
        </w:rPr>
      </w:pPr>
      <w:bookmarkStart w:id="16" w:name="_Toc224103315"/>
      <w:bookmarkStart w:id="17" w:name="_Toc287607744"/>
      <w:r>
        <w:rPr>
          <w:rFonts w:hint="eastAsia" w:ascii="仿宋" w:hAnsi="仿宋" w:eastAsia="仿宋" w:cs="仿宋"/>
          <w:b/>
          <w:snapToGrid w:val="0"/>
          <w:color w:val="auto"/>
          <w:kern w:val="0"/>
          <w:sz w:val="32"/>
          <w:szCs w:val="32"/>
          <w:highlight w:val="none"/>
          <w:u w:val="single"/>
          <w:lang w:eastAsia="zh-CN"/>
        </w:rPr>
        <w:t>回兴街道武警11中队绿化环境改造双拥项目</w:t>
      </w:r>
      <w:r>
        <w:rPr>
          <w:rFonts w:hint="eastAsia" w:ascii="仿宋" w:hAnsi="仿宋" w:eastAsia="仿宋" w:cs="仿宋"/>
          <w:b/>
          <w:snapToGrid w:val="0"/>
          <w:color w:val="auto"/>
          <w:kern w:val="0"/>
          <w:sz w:val="32"/>
          <w:szCs w:val="32"/>
          <w:highlight w:val="none"/>
        </w:rPr>
        <w:t>招标公告</w:t>
      </w:r>
    </w:p>
    <w:p w14:paraId="020CA9B2">
      <w:pPr>
        <w:pStyle w:val="3"/>
        <w:spacing w:before="120" w:beforeLines="50" w:after="120" w:afterLines="50" w:line="520" w:lineRule="exact"/>
        <w:rPr>
          <w:rFonts w:hint="eastAsia" w:ascii="仿宋" w:hAnsi="仿宋" w:eastAsia="仿宋" w:cs="仿宋"/>
          <w:snapToGrid w:val="0"/>
          <w:color w:val="auto"/>
          <w:sz w:val="24"/>
          <w:szCs w:val="24"/>
          <w:highlight w:val="none"/>
        </w:rPr>
      </w:pPr>
      <w:bookmarkStart w:id="18" w:name="_Toc20288"/>
      <w:bookmarkStart w:id="19" w:name="_Toc287607728"/>
      <w:bookmarkStart w:id="20" w:name="_Toc200359238"/>
      <w:bookmarkStart w:id="21" w:name="_Toc3323"/>
      <w:bookmarkStart w:id="22" w:name="_Toc224103299"/>
      <w:bookmarkStart w:id="23" w:name="_Toc277082536"/>
      <w:bookmarkStart w:id="24" w:name="_Toc13928"/>
      <w:bookmarkStart w:id="25" w:name="_Toc9331"/>
      <w:bookmarkStart w:id="26" w:name="_Toc13127"/>
      <w:bookmarkStart w:id="27" w:name="_Toc5115"/>
      <w:bookmarkStart w:id="28" w:name="_Toc12525"/>
      <w:bookmarkStart w:id="29" w:name="_Toc19494"/>
      <w:bookmarkStart w:id="30" w:name="_Toc3030"/>
      <w:bookmarkStart w:id="31" w:name="_Toc200359427"/>
      <w:bookmarkStart w:id="32" w:name="_Toc12344"/>
      <w:bookmarkStart w:id="33" w:name="_Toc1385"/>
      <w:r>
        <w:rPr>
          <w:rFonts w:hint="eastAsia" w:ascii="仿宋" w:hAnsi="仿宋" w:eastAsia="仿宋" w:cs="仿宋"/>
          <w:snapToGrid w:val="0"/>
          <w:color w:val="auto"/>
          <w:sz w:val="24"/>
          <w:szCs w:val="24"/>
          <w:highlight w:val="none"/>
        </w:rPr>
        <w:t>1.招标条件</w:t>
      </w:r>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p>
    <w:p w14:paraId="3AD6B734">
      <w:pPr>
        <w:tabs>
          <w:tab w:val="left" w:pos="709"/>
        </w:tabs>
        <w:spacing w:line="520" w:lineRule="exact"/>
        <w:ind w:firstLine="440" w:firstLineChars="200"/>
        <w:jc w:val="left"/>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本招标项目</w:t>
      </w:r>
      <w:r>
        <w:rPr>
          <w:rFonts w:hint="eastAsia" w:ascii="仿宋" w:hAnsi="仿宋" w:eastAsia="仿宋" w:cs="仿宋"/>
          <w:color w:val="auto"/>
          <w:sz w:val="22"/>
          <w:szCs w:val="22"/>
          <w:highlight w:val="none"/>
          <w:u w:val="single"/>
          <w:lang w:eastAsia="zh-CN"/>
        </w:rPr>
        <w:t>回兴街道武警11中队绿化环境改造双拥项目</w:t>
      </w:r>
      <w:r>
        <w:rPr>
          <w:rFonts w:hint="eastAsia" w:ascii="仿宋" w:hAnsi="仿宋" w:eastAsia="仿宋" w:cs="仿宋"/>
          <w:color w:val="auto"/>
          <w:sz w:val="22"/>
          <w:szCs w:val="22"/>
          <w:highlight w:val="none"/>
        </w:rPr>
        <w:t>已由相关文件批准建设，项目业主为</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u w:val="single"/>
          <w:lang w:eastAsia="zh-CN"/>
        </w:rPr>
        <w:t>重庆市渝北区人民政府回兴街道办事处</w:t>
      </w:r>
      <w:r>
        <w:rPr>
          <w:rFonts w:hint="eastAsia" w:ascii="仿宋" w:hAnsi="仿宋" w:eastAsia="仿宋" w:cs="仿宋"/>
          <w:color w:val="auto"/>
          <w:sz w:val="22"/>
          <w:szCs w:val="22"/>
          <w:highlight w:val="none"/>
        </w:rPr>
        <w:t>，建设资金来自</w:t>
      </w:r>
      <w:r>
        <w:rPr>
          <w:rFonts w:hint="eastAsia" w:ascii="仿宋" w:hAnsi="仿宋" w:eastAsia="仿宋" w:cs="仿宋"/>
          <w:color w:val="auto"/>
          <w:sz w:val="22"/>
          <w:szCs w:val="22"/>
          <w:highlight w:val="none"/>
          <w:u w:val="single"/>
          <w:lang w:val="en-US" w:eastAsia="zh-CN"/>
        </w:rPr>
        <w:t>业主自筹</w:t>
      </w:r>
      <w:r>
        <w:rPr>
          <w:rFonts w:hint="eastAsia" w:ascii="仿宋" w:hAnsi="仿宋" w:eastAsia="仿宋" w:cs="仿宋"/>
          <w:color w:val="auto"/>
          <w:sz w:val="22"/>
          <w:szCs w:val="22"/>
          <w:highlight w:val="none"/>
        </w:rPr>
        <w:t>，项目出资比例为100%，招标人为</w:t>
      </w:r>
      <w:r>
        <w:rPr>
          <w:rFonts w:hint="eastAsia" w:ascii="仿宋" w:hAnsi="仿宋" w:eastAsia="仿宋" w:cs="仿宋"/>
          <w:color w:val="auto"/>
          <w:sz w:val="22"/>
          <w:szCs w:val="22"/>
          <w:highlight w:val="none"/>
          <w:u w:val="single"/>
          <w:lang w:eastAsia="zh-CN"/>
        </w:rPr>
        <w:t>重庆市渝北区人民政府回兴街道办事处</w:t>
      </w:r>
      <w:r>
        <w:rPr>
          <w:rFonts w:hint="eastAsia" w:ascii="仿宋" w:hAnsi="仿宋" w:eastAsia="仿宋" w:cs="仿宋"/>
          <w:color w:val="auto"/>
          <w:sz w:val="22"/>
          <w:szCs w:val="22"/>
          <w:highlight w:val="none"/>
        </w:rPr>
        <w:t>。项目已具备招标条件，现对该项目的施工进行公开比选。</w:t>
      </w:r>
    </w:p>
    <w:p w14:paraId="5A3F1FCE">
      <w:pPr>
        <w:pStyle w:val="3"/>
        <w:numPr>
          <w:ilvl w:val="0"/>
          <w:numId w:val="1"/>
        </w:numPr>
        <w:spacing w:before="120" w:beforeLines="50" w:after="120" w:afterLines="50" w:line="520" w:lineRule="exact"/>
        <w:rPr>
          <w:rFonts w:hint="eastAsia" w:ascii="仿宋" w:hAnsi="仿宋" w:eastAsia="仿宋" w:cs="仿宋"/>
          <w:snapToGrid w:val="0"/>
          <w:color w:val="auto"/>
          <w:sz w:val="24"/>
          <w:szCs w:val="24"/>
          <w:highlight w:val="none"/>
        </w:rPr>
      </w:pPr>
      <w:bookmarkStart w:id="34" w:name="_Toc200359428"/>
      <w:bookmarkStart w:id="35" w:name="_Toc11394"/>
      <w:bookmarkStart w:id="36" w:name="_Toc31335"/>
      <w:bookmarkStart w:id="37" w:name="_Toc224103300"/>
      <w:bookmarkStart w:id="38" w:name="_Toc200359239"/>
      <w:bookmarkStart w:id="39" w:name="_Toc20036"/>
      <w:bookmarkStart w:id="40" w:name="_Toc3160"/>
      <w:bookmarkStart w:id="41" w:name="_Toc15673"/>
      <w:bookmarkStart w:id="42" w:name="_Toc277082537"/>
      <w:bookmarkStart w:id="43" w:name="_Toc1631"/>
      <w:bookmarkStart w:id="44" w:name="_Toc30223"/>
      <w:bookmarkStart w:id="45" w:name="_Toc26833"/>
      <w:bookmarkStart w:id="46" w:name="_Toc17147"/>
      <w:bookmarkStart w:id="47" w:name="_Toc30259"/>
      <w:bookmarkStart w:id="48" w:name="_Toc287607729"/>
      <w:bookmarkStart w:id="49" w:name="_Toc5451"/>
      <w:r>
        <w:rPr>
          <w:rFonts w:hint="eastAsia" w:ascii="仿宋" w:hAnsi="仿宋" w:eastAsia="仿宋" w:cs="仿宋"/>
          <w:snapToGrid w:val="0"/>
          <w:color w:val="auto"/>
          <w:sz w:val="24"/>
          <w:szCs w:val="24"/>
          <w:highlight w:val="none"/>
        </w:rPr>
        <w:t>项目概况与招标范围</w:t>
      </w:r>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p>
    <w:p w14:paraId="5891176B">
      <w:pPr>
        <w:spacing w:line="520" w:lineRule="exact"/>
        <w:ind w:firstLine="440" w:firstLineChars="200"/>
        <w:jc w:val="left"/>
        <w:rPr>
          <w:rFonts w:hint="eastAsia" w:ascii="仿宋" w:hAnsi="仿宋" w:eastAsia="仿宋" w:cs="仿宋"/>
          <w:snapToGrid w:val="0"/>
          <w:color w:val="auto"/>
          <w:kern w:val="0"/>
          <w:sz w:val="22"/>
          <w:highlight w:val="none"/>
        </w:rPr>
      </w:pPr>
      <w:r>
        <w:rPr>
          <w:rFonts w:hint="eastAsia" w:ascii="仿宋" w:hAnsi="仿宋" w:eastAsia="仿宋" w:cs="仿宋"/>
          <w:snapToGrid w:val="0"/>
          <w:color w:val="auto"/>
          <w:kern w:val="0"/>
          <w:sz w:val="22"/>
          <w:highlight w:val="none"/>
        </w:rPr>
        <w:t>2.1建设地点：回兴街道武警中队。</w:t>
      </w:r>
    </w:p>
    <w:p w14:paraId="444BFE68">
      <w:pPr>
        <w:spacing w:line="520" w:lineRule="exact"/>
        <w:ind w:firstLine="440" w:firstLineChars="200"/>
        <w:jc w:val="left"/>
        <w:rPr>
          <w:rFonts w:hint="eastAsia" w:ascii="仿宋" w:hAnsi="仿宋" w:eastAsia="仿宋" w:cs="仿宋"/>
          <w:snapToGrid w:val="0"/>
          <w:color w:val="auto"/>
          <w:kern w:val="0"/>
          <w:sz w:val="22"/>
          <w:highlight w:val="none"/>
        </w:rPr>
      </w:pPr>
      <w:r>
        <w:rPr>
          <w:rFonts w:hint="eastAsia" w:ascii="仿宋" w:hAnsi="仿宋" w:eastAsia="仿宋" w:cs="仿宋"/>
          <w:snapToGrid w:val="0"/>
          <w:color w:val="auto"/>
          <w:kern w:val="0"/>
          <w:sz w:val="22"/>
          <w:highlight w:val="none"/>
        </w:rPr>
        <w:t>2.2</w:t>
      </w:r>
      <w:bookmarkStart w:id="50" w:name="_Toc200359240"/>
      <w:bookmarkStart w:id="51" w:name="_Toc200359429"/>
      <w:bookmarkStart w:id="52" w:name="_Toc277082538"/>
      <w:bookmarkStart w:id="53" w:name="_Toc287607730"/>
      <w:bookmarkStart w:id="54" w:name="_Toc224103301"/>
      <w:r>
        <w:rPr>
          <w:rFonts w:hint="eastAsia" w:ascii="仿宋" w:hAnsi="仿宋" w:eastAsia="仿宋" w:cs="仿宋"/>
          <w:snapToGrid w:val="0"/>
          <w:color w:val="auto"/>
          <w:kern w:val="0"/>
          <w:sz w:val="22"/>
          <w:highlight w:val="none"/>
        </w:rPr>
        <w:t>本次招标项目合同估算金额：约</w:t>
      </w:r>
      <w:r>
        <w:rPr>
          <w:rFonts w:hint="eastAsia" w:ascii="仿宋" w:hAnsi="仿宋" w:eastAsia="仿宋" w:cs="仿宋"/>
          <w:snapToGrid w:val="0"/>
          <w:color w:val="auto"/>
          <w:kern w:val="0"/>
          <w:sz w:val="22"/>
          <w:highlight w:val="none"/>
          <w:u w:val="single"/>
          <w:lang w:val="en-US" w:eastAsia="zh-CN"/>
        </w:rPr>
        <w:t>15</w:t>
      </w:r>
      <w:r>
        <w:rPr>
          <w:rFonts w:hint="eastAsia" w:ascii="仿宋" w:hAnsi="仿宋" w:eastAsia="仿宋" w:cs="仿宋"/>
          <w:snapToGrid w:val="0"/>
          <w:color w:val="auto"/>
          <w:kern w:val="0"/>
          <w:sz w:val="22"/>
          <w:highlight w:val="none"/>
        </w:rPr>
        <w:t>万元。</w:t>
      </w:r>
    </w:p>
    <w:p w14:paraId="3BD720EE">
      <w:pPr>
        <w:spacing w:line="520" w:lineRule="exact"/>
        <w:ind w:firstLine="440" w:firstLineChars="200"/>
        <w:jc w:val="left"/>
        <w:rPr>
          <w:rFonts w:hint="eastAsia" w:ascii="仿宋" w:hAnsi="仿宋" w:eastAsia="仿宋" w:cs="仿宋"/>
          <w:snapToGrid w:val="0"/>
          <w:color w:val="auto"/>
          <w:kern w:val="0"/>
          <w:sz w:val="22"/>
          <w:highlight w:val="none"/>
          <w:lang w:val="en-US" w:eastAsia="zh-CN"/>
        </w:rPr>
      </w:pPr>
      <w:r>
        <w:rPr>
          <w:rFonts w:hint="eastAsia" w:ascii="仿宋" w:hAnsi="仿宋" w:eastAsia="仿宋" w:cs="仿宋"/>
          <w:snapToGrid w:val="0"/>
          <w:color w:val="auto"/>
          <w:kern w:val="0"/>
          <w:sz w:val="22"/>
          <w:highlight w:val="none"/>
        </w:rPr>
        <w:t>2.3建设内容：</w:t>
      </w:r>
      <w:r>
        <w:rPr>
          <w:rFonts w:hint="eastAsia" w:ascii="仿宋" w:hAnsi="仿宋" w:eastAsia="仿宋" w:cs="仿宋"/>
          <w:snapToGrid w:val="0"/>
          <w:color w:val="auto"/>
          <w:kern w:val="0"/>
          <w:sz w:val="22"/>
          <w:highlight w:val="none"/>
          <w:lang w:val="en-US" w:eastAsia="zh-CN"/>
        </w:rPr>
        <w:t>种植土回填，苗木移栽、栽植，透水砖的拆除、恢复等。</w:t>
      </w:r>
    </w:p>
    <w:p w14:paraId="0BA678FD">
      <w:pPr>
        <w:spacing w:line="520" w:lineRule="exact"/>
        <w:ind w:firstLine="440" w:firstLineChars="200"/>
        <w:jc w:val="left"/>
        <w:rPr>
          <w:rFonts w:hint="eastAsia" w:ascii="仿宋" w:hAnsi="仿宋" w:eastAsia="仿宋" w:cs="仿宋"/>
          <w:snapToGrid w:val="0"/>
          <w:color w:val="auto"/>
          <w:kern w:val="0"/>
          <w:sz w:val="22"/>
          <w:highlight w:val="none"/>
        </w:rPr>
      </w:pPr>
      <w:r>
        <w:rPr>
          <w:rFonts w:hint="eastAsia" w:ascii="仿宋" w:hAnsi="仿宋" w:eastAsia="仿宋" w:cs="仿宋"/>
          <w:snapToGrid w:val="0"/>
          <w:color w:val="auto"/>
          <w:kern w:val="0"/>
          <w:sz w:val="22"/>
          <w:highlight w:val="none"/>
        </w:rPr>
        <w:t>2.4招标范围：具体详见招标人提供的工程量清单、招标文件以及招标文件补遗、答疑、澄清中补充的全部工程内容。</w:t>
      </w:r>
    </w:p>
    <w:p w14:paraId="0C7C3251">
      <w:pPr>
        <w:spacing w:line="520" w:lineRule="exact"/>
        <w:ind w:firstLine="440" w:firstLineChars="200"/>
        <w:jc w:val="left"/>
        <w:rPr>
          <w:rFonts w:hint="eastAsia" w:ascii="仿宋" w:hAnsi="仿宋" w:eastAsia="仿宋" w:cs="仿宋"/>
          <w:snapToGrid w:val="0"/>
          <w:color w:val="auto"/>
          <w:kern w:val="0"/>
          <w:sz w:val="22"/>
          <w:highlight w:val="none"/>
        </w:rPr>
      </w:pPr>
      <w:r>
        <w:rPr>
          <w:rFonts w:hint="eastAsia" w:ascii="仿宋" w:hAnsi="仿宋" w:eastAsia="仿宋" w:cs="仿宋"/>
          <w:snapToGrid w:val="0"/>
          <w:color w:val="auto"/>
          <w:kern w:val="0"/>
          <w:sz w:val="22"/>
          <w:highlight w:val="none"/>
        </w:rPr>
        <w:t>2.</w:t>
      </w:r>
      <w:r>
        <w:rPr>
          <w:rFonts w:hint="eastAsia" w:ascii="仿宋" w:hAnsi="仿宋" w:eastAsia="仿宋" w:cs="仿宋"/>
          <w:snapToGrid w:val="0"/>
          <w:color w:val="auto"/>
          <w:kern w:val="0"/>
          <w:sz w:val="22"/>
          <w:highlight w:val="none"/>
          <w:lang w:val="en-US" w:eastAsia="zh-CN"/>
        </w:rPr>
        <w:t>5</w:t>
      </w:r>
      <w:r>
        <w:rPr>
          <w:rFonts w:hint="eastAsia" w:ascii="仿宋" w:hAnsi="仿宋" w:eastAsia="仿宋" w:cs="仿宋"/>
          <w:snapToGrid w:val="0"/>
          <w:color w:val="auto"/>
          <w:kern w:val="0"/>
          <w:sz w:val="22"/>
          <w:highlight w:val="none"/>
        </w:rPr>
        <w:t>工期：</w:t>
      </w:r>
      <w:r>
        <w:rPr>
          <w:rFonts w:hint="eastAsia" w:ascii="仿宋" w:hAnsi="仿宋" w:eastAsia="仿宋" w:cs="仿宋"/>
          <w:snapToGrid w:val="0"/>
          <w:color w:val="auto"/>
          <w:kern w:val="0"/>
          <w:sz w:val="22"/>
          <w:highlight w:val="none"/>
          <w:lang w:val="en-US" w:eastAsia="zh-CN"/>
        </w:rPr>
        <w:t>30</w:t>
      </w:r>
      <w:r>
        <w:rPr>
          <w:rFonts w:hint="eastAsia" w:ascii="仿宋" w:hAnsi="仿宋" w:eastAsia="仿宋" w:cs="仿宋"/>
          <w:snapToGrid w:val="0"/>
          <w:color w:val="auto"/>
          <w:kern w:val="0"/>
          <w:sz w:val="22"/>
          <w:highlight w:val="none"/>
        </w:rPr>
        <w:t>天。</w:t>
      </w:r>
    </w:p>
    <w:p w14:paraId="13A30DF1">
      <w:pPr>
        <w:pStyle w:val="3"/>
        <w:spacing w:before="120" w:beforeLines="50" w:after="120" w:afterLines="50" w:line="520" w:lineRule="exact"/>
        <w:rPr>
          <w:rFonts w:hint="eastAsia" w:ascii="仿宋" w:hAnsi="仿宋" w:eastAsia="仿宋" w:cs="仿宋"/>
          <w:snapToGrid w:val="0"/>
          <w:color w:val="auto"/>
          <w:sz w:val="24"/>
          <w:szCs w:val="24"/>
          <w:highlight w:val="none"/>
        </w:rPr>
      </w:pPr>
      <w:bookmarkStart w:id="55" w:name="_Toc24112"/>
      <w:bookmarkStart w:id="56" w:name="_Toc29541"/>
      <w:bookmarkStart w:id="57" w:name="_Toc96"/>
      <w:bookmarkStart w:id="58" w:name="_Toc32423"/>
      <w:bookmarkStart w:id="59" w:name="_Toc11414"/>
      <w:bookmarkStart w:id="60" w:name="_Toc20527"/>
      <w:bookmarkStart w:id="61" w:name="_Toc21916"/>
      <w:bookmarkStart w:id="62" w:name="_Toc24454"/>
      <w:bookmarkStart w:id="63" w:name="_Toc16690"/>
      <w:bookmarkStart w:id="64" w:name="_Toc10673"/>
      <w:bookmarkStart w:id="65" w:name="_Toc10349"/>
      <w:r>
        <w:rPr>
          <w:rFonts w:hint="eastAsia" w:ascii="仿宋" w:hAnsi="仿宋" w:eastAsia="仿宋" w:cs="仿宋"/>
          <w:snapToGrid w:val="0"/>
          <w:color w:val="auto"/>
          <w:sz w:val="24"/>
          <w:szCs w:val="24"/>
          <w:highlight w:val="none"/>
        </w:rPr>
        <w:t>3.投标人资格要求</w:t>
      </w:r>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p>
    <w:p w14:paraId="715A9916">
      <w:pPr>
        <w:spacing w:line="520" w:lineRule="exact"/>
        <w:ind w:firstLine="440" w:firstLineChars="200"/>
        <w:jc w:val="left"/>
        <w:rPr>
          <w:rFonts w:hint="eastAsia" w:ascii="仿宋" w:hAnsi="仿宋" w:eastAsia="仿宋" w:cs="仿宋"/>
          <w:snapToGrid w:val="0"/>
          <w:color w:val="auto"/>
          <w:kern w:val="0"/>
          <w:sz w:val="22"/>
          <w:highlight w:val="none"/>
        </w:rPr>
      </w:pPr>
      <w:r>
        <w:rPr>
          <w:rFonts w:hint="eastAsia" w:ascii="仿宋" w:hAnsi="仿宋" w:eastAsia="仿宋" w:cs="仿宋"/>
          <w:snapToGrid w:val="0"/>
          <w:color w:val="auto"/>
          <w:kern w:val="0"/>
          <w:sz w:val="22"/>
          <w:highlight w:val="none"/>
        </w:rPr>
        <w:t>3.1  本次招标要求投标人须具备以下条件：</w:t>
      </w:r>
    </w:p>
    <w:p w14:paraId="3BAFC639">
      <w:pPr>
        <w:spacing w:line="520" w:lineRule="exact"/>
        <w:ind w:firstLine="440" w:firstLineChars="200"/>
        <w:jc w:val="left"/>
        <w:rPr>
          <w:rFonts w:hint="eastAsia" w:ascii="仿宋" w:hAnsi="仿宋" w:eastAsia="仿宋" w:cs="仿宋"/>
          <w:snapToGrid w:val="0"/>
          <w:color w:val="auto"/>
          <w:kern w:val="0"/>
          <w:sz w:val="22"/>
          <w:highlight w:val="none"/>
        </w:rPr>
      </w:pPr>
      <w:r>
        <w:rPr>
          <w:rFonts w:hint="eastAsia" w:ascii="仿宋" w:hAnsi="仿宋" w:eastAsia="仿宋" w:cs="仿宋"/>
          <w:snapToGrid w:val="0"/>
          <w:color w:val="auto"/>
          <w:kern w:val="0"/>
          <w:sz w:val="22"/>
          <w:highlight w:val="none"/>
        </w:rPr>
        <w:t>3.1.1 投标人须具备建设行政主管部门颁发的有效的</w:t>
      </w:r>
      <w:r>
        <w:rPr>
          <w:rFonts w:hint="eastAsia" w:ascii="仿宋" w:hAnsi="仿宋" w:eastAsia="仿宋" w:cs="仿宋"/>
          <w:snapToGrid w:val="0"/>
          <w:color w:val="auto"/>
          <w:kern w:val="0"/>
          <w:sz w:val="22"/>
          <w:highlight w:val="none"/>
          <w:lang w:val="en-US" w:eastAsia="zh-CN"/>
        </w:rPr>
        <w:t>建筑工程工程施工总承包</w:t>
      </w:r>
      <w:r>
        <w:rPr>
          <w:rFonts w:hint="eastAsia" w:ascii="仿宋" w:hAnsi="仿宋" w:eastAsia="仿宋" w:cs="仿宋"/>
          <w:snapToGrid w:val="0"/>
          <w:color w:val="auto"/>
          <w:kern w:val="0"/>
          <w:sz w:val="22"/>
          <w:highlight w:val="none"/>
        </w:rPr>
        <w:t>叁级及以上资质（须提供有效的资质证书复印件并加盖投标人公章）。</w:t>
      </w:r>
    </w:p>
    <w:p w14:paraId="61543B77">
      <w:pPr>
        <w:spacing w:line="520" w:lineRule="exact"/>
        <w:ind w:firstLine="440" w:firstLineChars="200"/>
        <w:jc w:val="left"/>
        <w:rPr>
          <w:rFonts w:hint="eastAsia" w:ascii="仿宋" w:hAnsi="仿宋" w:eastAsia="仿宋" w:cs="仿宋"/>
          <w:snapToGrid w:val="0"/>
          <w:color w:val="auto"/>
          <w:kern w:val="0"/>
          <w:sz w:val="22"/>
          <w:highlight w:val="none"/>
        </w:rPr>
      </w:pPr>
      <w:r>
        <w:rPr>
          <w:rFonts w:hint="eastAsia" w:ascii="仿宋" w:hAnsi="仿宋" w:eastAsia="仿宋" w:cs="仿宋"/>
          <w:snapToGrid w:val="0"/>
          <w:color w:val="auto"/>
          <w:kern w:val="0"/>
          <w:sz w:val="22"/>
          <w:highlight w:val="none"/>
        </w:rPr>
        <w:t>3.1.2投标人还应在人员、设备、资金等方面具有相应的施工能力，详见招标文件第二章投标人须知前附表第1.4.1项内容。</w:t>
      </w:r>
    </w:p>
    <w:p w14:paraId="777A3E5C">
      <w:pPr>
        <w:spacing w:line="520" w:lineRule="exact"/>
        <w:ind w:firstLine="440" w:firstLineChars="200"/>
        <w:jc w:val="left"/>
        <w:rPr>
          <w:rFonts w:hint="eastAsia" w:ascii="仿宋" w:hAnsi="仿宋" w:eastAsia="仿宋" w:cs="仿宋"/>
          <w:snapToGrid w:val="0"/>
          <w:color w:val="auto"/>
          <w:kern w:val="0"/>
          <w:sz w:val="22"/>
          <w:highlight w:val="none"/>
        </w:rPr>
      </w:pPr>
      <w:r>
        <w:rPr>
          <w:rFonts w:hint="eastAsia" w:ascii="仿宋" w:hAnsi="仿宋" w:eastAsia="仿宋" w:cs="仿宋"/>
          <w:snapToGrid w:val="0"/>
          <w:color w:val="auto"/>
          <w:kern w:val="0"/>
          <w:sz w:val="22"/>
          <w:highlight w:val="none"/>
        </w:rPr>
        <w:t>3.2本次招标</w:t>
      </w:r>
      <w:r>
        <w:rPr>
          <w:rFonts w:hint="eastAsia" w:ascii="仿宋" w:hAnsi="仿宋" w:eastAsia="仿宋" w:cs="仿宋"/>
          <w:snapToGrid w:val="0"/>
          <w:color w:val="auto"/>
          <w:kern w:val="0"/>
          <w:sz w:val="22"/>
          <w:highlight w:val="none"/>
          <w:u w:val="single"/>
        </w:rPr>
        <w:t>不接受</w:t>
      </w:r>
      <w:r>
        <w:rPr>
          <w:rFonts w:hint="eastAsia" w:ascii="仿宋" w:hAnsi="仿宋" w:eastAsia="仿宋" w:cs="仿宋"/>
          <w:snapToGrid w:val="0"/>
          <w:color w:val="auto"/>
          <w:kern w:val="0"/>
          <w:sz w:val="22"/>
          <w:highlight w:val="none"/>
        </w:rPr>
        <w:t>联合体投标。</w:t>
      </w:r>
    </w:p>
    <w:p w14:paraId="27B75279">
      <w:pPr>
        <w:pStyle w:val="3"/>
        <w:spacing w:before="120" w:beforeLines="50" w:after="120" w:afterLines="50" w:line="520" w:lineRule="exact"/>
        <w:rPr>
          <w:rFonts w:hint="eastAsia" w:ascii="仿宋" w:hAnsi="仿宋" w:eastAsia="仿宋" w:cs="仿宋"/>
          <w:snapToGrid w:val="0"/>
          <w:color w:val="auto"/>
          <w:sz w:val="24"/>
          <w:szCs w:val="24"/>
          <w:highlight w:val="none"/>
        </w:rPr>
      </w:pPr>
      <w:bookmarkStart w:id="66" w:name="_Toc277082539"/>
      <w:bookmarkStart w:id="67" w:name="_Toc24722"/>
      <w:bookmarkStart w:id="68" w:name="_Toc16023"/>
      <w:bookmarkStart w:id="69" w:name="_Toc15632"/>
      <w:bookmarkStart w:id="70" w:name="_Toc200359241"/>
      <w:bookmarkStart w:id="71" w:name="_Toc549"/>
      <w:bookmarkStart w:id="72" w:name="_Toc200359430"/>
      <w:bookmarkStart w:id="73" w:name="_Toc32422"/>
      <w:bookmarkStart w:id="74" w:name="_Toc28264"/>
      <w:bookmarkStart w:id="75" w:name="_Toc30970"/>
      <w:bookmarkStart w:id="76" w:name="_Toc224103302"/>
      <w:bookmarkStart w:id="77" w:name="_Toc3655"/>
      <w:bookmarkStart w:id="78" w:name="_Toc839"/>
      <w:bookmarkStart w:id="79" w:name="_Toc287607731"/>
      <w:bookmarkStart w:id="80" w:name="_Toc17782"/>
      <w:bookmarkStart w:id="81" w:name="_Toc1830"/>
      <w:r>
        <w:rPr>
          <w:rFonts w:hint="eastAsia" w:ascii="仿宋" w:hAnsi="仿宋" w:eastAsia="仿宋" w:cs="仿宋"/>
          <w:snapToGrid w:val="0"/>
          <w:color w:val="auto"/>
          <w:sz w:val="24"/>
          <w:szCs w:val="24"/>
          <w:highlight w:val="none"/>
        </w:rPr>
        <w:t>4.招标文件的获取</w:t>
      </w:r>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p>
    <w:p w14:paraId="3EE3B9F5">
      <w:pPr>
        <w:spacing w:line="520" w:lineRule="exact"/>
        <w:ind w:firstLine="440" w:firstLineChars="200"/>
        <w:jc w:val="left"/>
        <w:rPr>
          <w:rFonts w:hint="eastAsia" w:ascii="仿宋" w:hAnsi="仿宋" w:eastAsia="仿宋" w:cs="仿宋"/>
          <w:snapToGrid w:val="0"/>
          <w:color w:val="auto"/>
          <w:kern w:val="0"/>
          <w:sz w:val="22"/>
          <w:highlight w:val="none"/>
        </w:rPr>
      </w:pPr>
      <w:bookmarkStart w:id="82" w:name="_Toc287607732"/>
      <w:bookmarkStart w:id="83" w:name="_Toc277082540"/>
      <w:bookmarkStart w:id="84" w:name="_Toc200359431"/>
      <w:bookmarkStart w:id="85" w:name="_Toc224103303"/>
      <w:bookmarkStart w:id="86" w:name="_Toc200359242"/>
      <w:r>
        <w:rPr>
          <w:rFonts w:hint="eastAsia" w:ascii="仿宋" w:hAnsi="仿宋" w:eastAsia="仿宋" w:cs="仿宋"/>
          <w:snapToGrid w:val="0"/>
          <w:color w:val="auto"/>
          <w:kern w:val="0"/>
          <w:sz w:val="22"/>
          <w:highlight w:val="none"/>
        </w:rPr>
        <w:t>4.1投标人需通过重庆市行采家（https://www.gec123.com/）进行注册，登记加入“重庆市政府采购供应商库”</w:t>
      </w:r>
    </w:p>
    <w:p w14:paraId="4161C937">
      <w:pPr>
        <w:spacing w:line="520" w:lineRule="exact"/>
        <w:ind w:firstLine="440" w:firstLineChars="200"/>
        <w:jc w:val="left"/>
        <w:rPr>
          <w:rFonts w:hint="eastAsia" w:ascii="仿宋" w:hAnsi="仿宋" w:eastAsia="仿宋" w:cs="仿宋"/>
          <w:snapToGrid w:val="0"/>
          <w:color w:val="auto"/>
          <w:kern w:val="0"/>
          <w:sz w:val="22"/>
          <w:highlight w:val="none"/>
        </w:rPr>
      </w:pPr>
      <w:r>
        <w:rPr>
          <w:rFonts w:hint="eastAsia" w:ascii="仿宋" w:hAnsi="仿宋" w:eastAsia="仿宋" w:cs="仿宋"/>
          <w:snapToGrid w:val="0"/>
          <w:color w:val="auto"/>
          <w:kern w:val="0"/>
          <w:sz w:val="22"/>
          <w:highlight w:val="none"/>
        </w:rPr>
        <w:t>4.2凡有意参加投标的投标人，请在“行采家”（https://www.gec123.com/）招标公告发布之日起至提交投标文件截止时间之前自行下载本项目招标文件以及补遗等开标前公布的所有项目资料，无论投标人下载与否，均视为已知晓所有实质性要求内容。</w:t>
      </w:r>
    </w:p>
    <w:p w14:paraId="5F711B52">
      <w:pPr>
        <w:spacing w:line="520" w:lineRule="exact"/>
        <w:ind w:firstLine="440" w:firstLineChars="200"/>
        <w:jc w:val="left"/>
        <w:rPr>
          <w:rFonts w:hint="eastAsia" w:ascii="仿宋" w:hAnsi="仿宋" w:eastAsia="仿宋" w:cs="仿宋"/>
          <w:b/>
          <w:bCs/>
          <w:snapToGrid w:val="0"/>
          <w:color w:val="auto"/>
          <w:kern w:val="2"/>
          <w:sz w:val="24"/>
          <w:szCs w:val="24"/>
          <w:highlight w:val="none"/>
          <w:lang w:val="en-US" w:eastAsia="zh-CN" w:bidi="ar-SA"/>
        </w:rPr>
      </w:pPr>
      <w:r>
        <w:rPr>
          <w:rFonts w:hint="eastAsia" w:ascii="仿宋" w:hAnsi="仿宋" w:eastAsia="仿宋" w:cs="仿宋"/>
          <w:snapToGrid w:val="0"/>
          <w:color w:val="auto"/>
          <w:kern w:val="0"/>
          <w:sz w:val="22"/>
          <w:highlight w:val="none"/>
        </w:rPr>
        <w:t>4.3报名及招标文件发售</w:t>
      </w:r>
    </w:p>
    <w:p w14:paraId="1131F88D">
      <w:pPr>
        <w:spacing w:line="520" w:lineRule="exact"/>
        <w:ind w:firstLine="440" w:firstLineChars="200"/>
        <w:jc w:val="left"/>
        <w:rPr>
          <w:rFonts w:hint="eastAsia" w:ascii="仿宋" w:hAnsi="仿宋" w:eastAsia="仿宋" w:cs="仿宋"/>
          <w:snapToGrid w:val="0"/>
          <w:color w:val="auto"/>
          <w:kern w:val="0"/>
          <w:sz w:val="22"/>
          <w:highlight w:val="none"/>
        </w:rPr>
      </w:pPr>
      <w:bookmarkStart w:id="87" w:name="_Toc32516"/>
      <w:r>
        <w:rPr>
          <w:rFonts w:hint="eastAsia" w:ascii="仿宋" w:hAnsi="仿宋" w:eastAsia="仿宋" w:cs="仿宋"/>
          <w:snapToGrid w:val="0"/>
          <w:color w:val="auto"/>
          <w:kern w:val="0"/>
          <w:sz w:val="22"/>
          <w:highlight w:val="none"/>
          <w:lang w:val="en-US" w:eastAsia="zh-CN"/>
        </w:rPr>
        <w:t>4.3.</w:t>
      </w:r>
      <w:r>
        <w:rPr>
          <w:rFonts w:hint="eastAsia" w:ascii="仿宋" w:hAnsi="仿宋" w:eastAsia="仿宋" w:cs="仿宋"/>
          <w:snapToGrid w:val="0"/>
          <w:color w:val="auto"/>
          <w:kern w:val="0"/>
          <w:sz w:val="22"/>
          <w:highlight w:val="none"/>
        </w:rPr>
        <w:t>1.报名和招标文件发售期：</w:t>
      </w:r>
      <w:bookmarkEnd w:id="87"/>
      <w:r>
        <w:rPr>
          <w:rFonts w:hint="eastAsia" w:ascii="仿宋" w:hAnsi="仿宋" w:eastAsia="仿宋" w:cs="仿宋"/>
          <w:snapToGrid w:val="0"/>
          <w:color w:val="auto"/>
          <w:kern w:val="0"/>
          <w:sz w:val="22"/>
          <w:highlight w:val="none"/>
        </w:rPr>
        <w:t>投标人在202</w:t>
      </w:r>
      <w:r>
        <w:rPr>
          <w:rFonts w:hint="eastAsia" w:ascii="仿宋" w:hAnsi="仿宋" w:eastAsia="仿宋" w:cs="仿宋"/>
          <w:snapToGrid w:val="0"/>
          <w:color w:val="auto"/>
          <w:kern w:val="0"/>
          <w:sz w:val="22"/>
          <w:highlight w:val="none"/>
          <w:lang w:val="en-US" w:eastAsia="zh-CN"/>
        </w:rPr>
        <w:t>6</w:t>
      </w:r>
      <w:r>
        <w:rPr>
          <w:rFonts w:hint="eastAsia" w:ascii="仿宋" w:hAnsi="仿宋" w:eastAsia="仿宋" w:cs="仿宋"/>
          <w:snapToGrid w:val="0"/>
          <w:color w:val="auto"/>
          <w:kern w:val="0"/>
          <w:sz w:val="22"/>
          <w:highlight w:val="none"/>
        </w:rPr>
        <w:t>年</w:t>
      </w:r>
      <w:r>
        <w:rPr>
          <w:rFonts w:hint="eastAsia" w:ascii="仿宋" w:hAnsi="仿宋" w:eastAsia="仿宋" w:cs="仿宋"/>
          <w:snapToGrid w:val="0"/>
          <w:color w:val="auto"/>
          <w:kern w:val="0"/>
          <w:sz w:val="22"/>
          <w:highlight w:val="none"/>
          <w:lang w:val="en-US" w:eastAsia="zh-CN"/>
        </w:rPr>
        <w:t>3</w:t>
      </w:r>
      <w:r>
        <w:rPr>
          <w:rFonts w:hint="eastAsia" w:ascii="仿宋" w:hAnsi="仿宋" w:eastAsia="仿宋" w:cs="仿宋"/>
          <w:snapToGrid w:val="0"/>
          <w:color w:val="auto"/>
          <w:kern w:val="0"/>
          <w:sz w:val="22"/>
          <w:highlight w:val="none"/>
        </w:rPr>
        <w:t>月</w:t>
      </w:r>
      <w:r>
        <w:rPr>
          <w:rFonts w:hint="eastAsia" w:ascii="仿宋" w:hAnsi="仿宋" w:eastAsia="仿宋" w:cs="仿宋"/>
          <w:snapToGrid w:val="0"/>
          <w:color w:val="auto"/>
          <w:kern w:val="0"/>
          <w:sz w:val="22"/>
          <w:highlight w:val="none"/>
          <w:lang w:val="en-US" w:eastAsia="zh-CN"/>
        </w:rPr>
        <w:t>30</w:t>
      </w:r>
      <w:r>
        <w:rPr>
          <w:rFonts w:hint="eastAsia" w:ascii="仿宋" w:hAnsi="仿宋" w:eastAsia="仿宋" w:cs="仿宋"/>
          <w:snapToGrid w:val="0"/>
          <w:color w:val="auto"/>
          <w:kern w:val="0"/>
          <w:sz w:val="22"/>
          <w:highlight w:val="none"/>
        </w:rPr>
        <w:t>日17：00前将《招标文件发售登记表》（加盖投标人公章）扫描件发送至</w:t>
      </w:r>
      <w:r>
        <w:rPr>
          <w:rFonts w:hint="eastAsia" w:ascii="仿宋" w:hAnsi="仿宋" w:eastAsia="仿宋" w:cs="仿宋"/>
          <w:snapToGrid w:val="0"/>
          <w:color w:val="auto"/>
          <w:kern w:val="0"/>
          <w:sz w:val="22"/>
          <w:highlight w:val="none"/>
          <w:lang w:val="en-US" w:eastAsia="zh-CN"/>
        </w:rPr>
        <w:t>1413381245</w:t>
      </w:r>
      <w:r>
        <w:rPr>
          <w:rFonts w:hint="eastAsia" w:ascii="仿宋" w:hAnsi="仿宋" w:eastAsia="仿宋" w:cs="仿宋"/>
          <w:snapToGrid w:val="0"/>
          <w:color w:val="auto"/>
          <w:kern w:val="0"/>
          <w:sz w:val="22"/>
          <w:highlight w:val="none"/>
        </w:rPr>
        <w:t>@qq.com（邮箱），其报名才被接收。</w:t>
      </w:r>
    </w:p>
    <w:p w14:paraId="4518F1F2">
      <w:pPr>
        <w:spacing w:line="520" w:lineRule="exact"/>
        <w:ind w:firstLine="440" w:firstLineChars="200"/>
        <w:jc w:val="left"/>
        <w:rPr>
          <w:rFonts w:hint="eastAsia" w:ascii="仿宋" w:hAnsi="仿宋" w:eastAsia="仿宋" w:cs="仿宋"/>
          <w:snapToGrid w:val="0"/>
          <w:color w:val="auto"/>
          <w:kern w:val="0"/>
          <w:sz w:val="22"/>
          <w:highlight w:val="none"/>
        </w:rPr>
      </w:pPr>
      <w:bookmarkStart w:id="88" w:name="_Toc8290"/>
      <w:r>
        <w:rPr>
          <w:rFonts w:hint="eastAsia" w:ascii="仿宋" w:hAnsi="仿宋" w:eastAsia="仿宋" w:cs="仿宋"/>
          <w:snapToGrid w:val="0"/>
          <w:color w:val="auto"/>
          <w:kern w:val="0"/>
          <w:sz w:val="22"/>
          <w:highlight w:val="none"/>
          <w:lang w:val="en-US" w:eastAsia="zh-CN"/>
        </w:rPr>
        <w:t>4.3.</w:t>
      </w:r>
      <w:r>
        <w:rPr>
          <w:rFonts w:hint="eastAsia" w:ascii="仿宋" w:hAnsi="仿宋" w:eastAsia="仿宋" w:cs="仿宋"/>
          <w:snapToGrid w:val="0"/>
          <w:color w:val="auto"/>
          <w:kern w:val="0"/>
          <w:sz w:val="22"/>
          <w:highlight w:val="none"/>
        </w:rPr>
        <w:t>2.招标文件每套售价</w:t>
      </w:r>
      <w:r>
        <w:rPr>
          <w:rFonts w:hint="eastAsia" w:ascii="仿宋" w:hAnsi="仿宋" w:eastAsia="仿宋" w:cs="仿宋"/>
          <w:snapToGrid w:val="0"/>
          <w:color w:val="auto"/>
          <w:kern w:val="0"/>
          <w:sz w:val="22"/>
          <w:highlight w:val="none"/>
          <w:lang w:val="en-US" w:eastAsia="zh-CN"/>
        </w:rPr>
        <w:t>3</w:t>
      </w:r>
      <w:r>
        <w:rPr>
          <w:rFonts w:hint="eastAsia" w:ascii="仿宋" w:hAnsi="仿宋" w:eastAsia="仿宋" w:cs="仿宋"/>
          <w:snapToGrid w:val="0"/>
          <w:color w:val="auto"/>
          <w:kern w:val="0"/>
          <w:sz w:val="22"/>
          <w:highlight w:val="none"/>
        </w:rPr>
        <w:t>00.00元，售后不退，在报名和招标文件发售期内报名的供应商，其投标文件才被接受。招标文件购买费用和投标文件一并递交。</w:t>
      </w:r>
    </w:p>
    <w:p w14:paraId="7B684123">
      <w:pPr>
        <w:snapToGrid w:val="0"/>
        <w:spacing w:line="440" w:lineRule="exact"/>
        <w:rPr>
          <w:rFonts w:hint="eastAsia" w:ascii="仿宋" w:hAnsi="仿宋" w:eastAsia="仿宋" w:cs="仿宋"/>
          <w:b/>
          <w:bCs/>
          <w:snapToGrid w:val="0"/>
          <w:color w:val="auto"/>
          <w:kern w:val="2"/>
          <w:sz w:val="24"/>
          <w:szCs w:val="24"/>
          <w:highlight w:val="none"/>
          <w:lang w:val="en-US" w:eastAsia="zh-CN" w:bidi="ar-SA"/>
        </w:rPr>
      </w:pPr>
      <w:r>
        <w:rPr>
          <w:rFonts w:hint="eastAsia" w:ascii="仿宋" w:hAnsi="仿宋" w:eastAsia="仿宋" w:cs="仿宋"/>
          <w:b/>
          <w:bCs/>
          <w:snapToGrid w:val="0"/>
          <w:color w:val="auto"/>
          <w:kern w:val="2"/>
          <w:sz w:val="24"/>
          <w:szCs w:val="24"/>
          <w:highlight w:val="none"/>
          <w:lang w:val="en-US" w:eastAsia="zh-CN" w:bidi="ar-SA"/>
        </w:rPr>
        <w:t>5.报价说明</w:t>
      </w:r>
      <w:bookmarkEnd w:id="88"/>
      <w:bookmarkStart w:id="89" w:name="_Toc30716"/>
      <w:bookmarkStart w:id="90" w:name="_Toc12443"/>
      <w:bookmarkStart w:id="91" w:name="_Toc31715"/>
      <w:bookmarkStart w:id="92" w:name="_Toc12155"/>
      <w:bookmarkStart w:id="93" w:name="_Toc31936"/>
      <w:bookmarkStart w:id="94" w:name="_Toc5591"/>
      <w:bookmarkStart w:id="95" w:name="_Toc18083"/>
      <w:bookmarkStart w:id="96" w:name="_Toc1415"/>
      <w:bookmarkStart w:id="97" w:name="_Toc29902"/>
      <w:bookmarkStart w:id="98" w:name="_Toc18929"/>
      <w:bookmarkStart w:id="99" w:name="_Toc7493"/>
    </w:p>
    <w:p w14:paraId="22FB74AE">
      <w:pPr>
        <w:spacing w:line="520" w:lineRule="exact"/>
        <w:ind w:firstLine="440" w:firstLineChars="200"/>
        <w:jc w:val="left"/>
        <w:rPr>
          <w:rFonts w:hint="eastAsia" w:ascii="仿宋" w:hAnsi="仿宋" w:eastAsia="仿宋" w:cs="仿宋"/>
          <w:snapToGrid w:val="0"/>
          <w:color w:val="auto"/>
          <w:kern w:val="0"/>
          <w:sz w:val="22"/>
          <w:highlight w:val="none"/>
          <w:lang w:val="en-US" w:eastAsia="zh-CN"/>
        </w:rPr>
      </w:pPr>
      <w:r>
        <w:rPr>
          <w:rFonts w:hint="eastAsia" w:ascii="仿宋" w:hAnsi="仿宋" w:eastAsia="仿宋" w:cs="仿宋"/>
          <w:snapToGrid w:val="0"/>
          <w:color w:val="auto"/>
          <w:kern w:val="0"/>
          <w:sz w:val="22"/>
          <w:highlight w:val="none"/>
          <w:lang w:val="en-US" w:eastAsia="zh-CN"/>
        </w:rPr>
        <w:t>(1)线上报价及上传竞选文件电子文档</w:t>
      </w:r>
    </w:p>
    <w:p w14:paraId="159718DB">
      <w:pPr>
        <w:spacing w:line="520" w:lineRule="exact"/>
        <w:ind w:firstLine="440" w:firstLineChars="200"/>
        <w:jc w:val="left"/>
        <w:rPr>
          <w:rFonts w:hint="eastAsia" w:ascii="仿宋" w:hAnsi="仿宋" w:eastAsia="仿宋" w:cs="仿宋"/>
          <w:snapToGrid w:val="0"/>
          <w:color w:val="auto"/>
          <w:kern w:val="0"/>
          <w:sz w:val="22"/>
          <w:highlight w:val="none"/>
          <w:lang w:val="en-US" w:eastAsia="zh-CN"/>
        </w:rPr>
      </w:pPr>
      <w:r>
        <w:rPr>
          <w:rFonts w:hint="eastAsia" w:ascii="仿宋" w:hAnsi="仿宋" w:eastAsia="仿宋" w:cs="仿宋"/>
          <w:snapToGrid w:val="0"/>
          <w:color w:val="auto"/>
          <w:kern w:val="0"/>
          <w:sz w:val="22"/>
          <w:highlight w:val="none"/>
          <w:lang w:val="en-US" w:eastAsia="zh-CN"/>
        </w:rPr>
        <w:t>线上报价时间：2026年3月31日11时30分至2026年3月31日14时30分。</w:t>
      </w:r>
    </w:p>
    <w:p w14:paraId="35F32EDA">
      <w:pPr>
        <w:spacing w:line="520" w:lineRule="exact"/>
        <w:ind w:firstLine="440" w:firstLineChars="200"/>
        <w:jc w:val="left"/>
        <w:rPr>
          <w:rFonts w:hint="eastAsia" w:ascii="仿宋" w:hAnsi="仿宋" w:eastAsia="仿宋" w:cs="仿宋"/>
          <w:snapToGrid w:val="0"/>
          <w:color w:val="auto"/>
          <w:kern w:val="0"/>
          <w:sz w:val="22"/>
          <w:highlight w:val="none"/>
          <w:lang w:val="en-US" w:eastAsia="zh-CN"/>
        </w:rPr>
      </w:pPr>
      <w:r>
        <w:rPr>
          <w:rFonts w:hint="eastAsia" w:ascii="仿宋" w:hAnsi="仿宋" w:eastAsia="仿宋" w:cs="仿宋"/>
          <w:snapToGrid w:val="0"/>
          <w:color w:val="auto"/>
          <w:kern w:val="0"/>
          <w:sz w:val="22"/>
          <w:highlight w:val="none"/>
          <w:lang w:val="en-US" w:eastAsia="zh-CN"/>
        </w:rPr>
        <w:t>线上报价要求：按本项目规定的线上报价时间内在行采家（https://www.gec123.com/）上进行线上报价，并在规定的时间内上传竞选文件电子文档。未在规定时间内报价和上传竞选文件电子文档的竞选人不具备比选资格。行采家上传的竞选文件电子文档应为签字盖章齐全的纸质竞选文件正本的扫描件（PDF格式），若与纸质竞选文件正本不一致的，以纸质竞选文件正本为准。</w:t>
      </w:r>
    </w:p>
    <w:p w14:paraId="3A8CE83E">
      <w:pPr>
        <w:spacing w:line="520" w:lineRule="exact"/>
        <w:ind w:firstLine="440" w:firstLineChars="200"/>
        <w:jc w:val="left"/>
        <w:rPr>
          <w:rFonts w:hint="eastAsia" w:ascii="仿宋" w:hAnsi="仿宋" w:eastAsia="仿宋" w:cs="仿宋"/>
          <w:snapToGrid w:val="0"/>
          <w:color w:val="auto"/>
          <w:kern w:val="0"/>
          <w:sz w:val="22"/>
          <w:highlight w:val="none"/>
          <w:lang w:val="en-US" w:eastAsia="zh-CN"/>
        </w:rPr>
      </w:pPr>
      <w:r>
        <w:rPr>
          <w:rFonts w:hint="eastAsia" w:ascii="仿宋" w:hAnsi="仿宋" w:eastAsia="仿宋" w:cs="仿宋"/>
          <w:snapToGrid w:val="0"/>
          <w:color w:val="auto"/>
          <w:kern w:val="0"/>
          <w:sz w:val="22"/>
          <w:highlight w:val="none"/>
          <w:lang w:val="en-US" w:eastAsia="zh-CN"/>
        </w:rPr>
        <w:t>注：竞选文件电子文档（PDF格式）原则上扫描压缩为1个文档后上传行采家平台。</w:t>
      </w:r>
    </w:p>
    <w:p w14:paraId="6B7C93F4">
      <w:pPr>
        <w:spacing w:line="520" w:lineRule="exact"/>
        <w:ind w:firstLine="440" w:firstLineChars="200"/>
        <w:jc w:val="left"/>
        <w:rPr>
          <w:rFonts w:hint="eastAsia" w:ascii="仿宋" w:hAnsi="仿宋" w:eastAsia="仿宋" w:cs="仿宋"/>
          <w:snapToGrid w:val="0"/>
          <w:color w:val="auto"/>
          <w:kern w:val="0"/>
          <w:sz w:val="22"/>
          <w:highlight w:val="none"/>
          <w:lang w:val="en-US" w:eastAsia="zh-CN"/>
        </w:rPr>
      </w:pPr>
      <w:r>
        <w:rPr>
          <w:rFonts w:hint="eastAsia" w:ascii="仿宋" w:hAnsi="仿宋" w:eastAsia="仿宋" w:cs="仿宋"/>
          <w:snapToGrid w:val="0"/>
          <w:color w:val="auto"/>
          <w:kern w:val="0"/>
          <w:sz w:val="22"/>
          <w:highlight w:val="none"/>
          <w:lang w:val="en-US" w:eastAsia="zh-CN"/>
        </w:rPr>
        <w:t>(2)线下递交纸质竞选文件</w:t>
      </w:r>
    </w:p>
    <w:p w14:paraId="78151B7C">
      <w:pPr>
        <w:spacing w:line="520" w:lineRule="exact"/>
        <w:ind w:firstLine="440" w:firstLineChars="200"/>
        <w:jc w:val="left"/>
        <w:rPr>
          <w:rFonts w:hint="eastAsia" w:ascii="仿宋" w:hAnsi="仿宋" w:eastAsia="仿宋" w:cs="仿宋"/>
          <w:snapToGrid w:val="0"/>
          <w:color w:val="auto"/>
          <w:kern w:val="0"/>
          <w:sz w:val="22"/>
          <w:highlight w:val="none"/>
          <w:lang w:val="en-US" w:eastAsia="zh-CN"/>
        </w:rPr>
      </w:pPr>
      <w:r>
        <w:rPr>
          <w:rFonts w:hint="eastAsia" w:ascii="仿宋" w:hAnsi="仿宋" w:eastAsia="仿宋" w:cs="仿宋"/>
          <w:snapToGrid w:val="0"/>
          <w:color w:val="auto"/>
          <w:kern w:val="0"/>
          <w:sz w:val="22"/>
          <w:highlight w:val="none"/>
          <w:lang w:val="en-US" w:eastAsia="zh-CN"/>
        </w:rPr>
        <w:t>线下递交纸质竞选文件开始时间：2026年3月31日14时00分。</w:t>
      </w:r>
    </w:p>
    <w:p w14:paraId="0854B392">
      <w:pPr>
        <w:spacing w:line="520" w:lineRule="exact"/>
        <w:ind w:firstLine="440" w:firstLineChars="200"/>
        <w:jc w:val="left"/>
        <w:rPr>
          <w:rFonts w:hint="eastAsia" w:ascii="仿宋" w:hAnsi="仿宋" w:eastAsia="仿宋" w:cs="仿宋"/>
          <w:snapToGrid w:val="0"/>
          <w:color w:val="auto"/>
          <w:kern w:val="0"/>
          <w:sz w:val="22"/>
          <w:highlight w:val="none"/>
          <w:lang w:val="en-US" w:eastAsia="zh-CN"/>
        </w:rPr>
      </w:pPr>
      <w:r>
        <w:rPr>
          <w:rFonts w:hint="eastAsia" w:ascii="仿宋" w:hAnsi="仿宋" w:eastAsia="仿宋" w:cs="仿宋"/>
          <w:snapToGrid w:val="0"/>
          <w:color w:val="auto"/>
          <w:kern w:val="0"/>
          <w:sz w:val="22"/>
          <w:highlight w:val="none"/>
          <w:lang w:val="en-US" w:eastAsia="zh-CN"/>
        </w:rPr>
        <w:t>线下递交纸质竞选文件截止时间：2026年3月31日14时30分。</w:t>
      </w:r>
    </w:p>
    <w:p w14:paraId="29A27180">
      <w:pPr>
        <w:spacing w:line="520" w:lineRule="exact"/>
        <w:ind w:firstLine="440" w:firstLineChars="200"/>
        <w:jc w:val="left"/>
        <w:rPr>
          <w:rFonts w:hint="eastAsia" w:ascii="仿宋" w:hAnsi="仿宋" w:eastAsia="仿宋" w:cs="仿宋"/>
          <w:snapToGrid w:val="0"/>
          <w:color w:val="auto"/>
          <w:kern w:val="0"/>
          <w:sz w:val="22"/>
          <w:highlight w:val="none"/>
          <w:lang w:val="en-US" w:eastAsia="zh-CN"/>
        </w:rPr>
      </w:pPr>
      <w:r>
        <w:rPr>
          <w:rFonts w:hint="eastAsia" w:ascii="仿宋" w:hAnsi="仿宋" w:eastAsia="仿宋" w:cs="仿宋"/>
          <w:snapToGrid w:val="0"/>
          <w:color w:val="auto"/>
          <w:kern w:val="0"/>
          <w:sz w:val="22"/>
          <w:highlight w:val="none"/>
          <w:lang w:val="en-US" w:eastAsia="zh-CN"/>
        </w:rPr>
        <w:t>线下递交纸质竞选文件地点：</w:t>
      </w:r>
      <w:r>
        <w:rPr>
          <w:rFonts w:hint="eastAsia" w:ascii="仿宋" w:hAnsi="仿宋" w:eastAsia="仿宋" w:cs="仿宋"/>
          <w:color w:val="auto"/>
          <w:sz w:val="22"/>
          <w:szCs w:val="22"/>
          <w:highlight w:val="none"/>
          <w:lang w:eastAsia="zh-CN"/>
        </w:rPr>
        <w:t>重庆市渝北区人民政府回兴街道办事处</w:t>
      </w:r>
      <w:r>
        <w:rPr>
          <w:rFonts w:hint="eastAsia" w:ascii="仿宋" w:hAnsi="仿宋" w:eastAsia="仿宋" w:cs="仿宋"/>
          <w:color w:val="auto"/>
          <w:sz w:val="22"/>
          <w:szCs w:val="22"/>
          <w:highlight w:val="none"/>
          <w:lang w:val="en-US" w:eastAsia="zh-CN"/>
        </w:rPr>
        <w:t>会议室</w:t>
      </w:r>
      <w:r>
        <w:rPr>
          <w:rFonts w:hint="eastAsia" w:ascii="仿宋" w:hAnsi="仿宋" w:eastAsia="仿宋" w:cs="仿宋"/>
          <w:snapToGrid w:val="0"/>
          <w:color w:val="auto"/>
          <w:kern w:val="0"/>
          <w:sz w:val="22"/>
          <w:highlight w:val="none"/>
          <w:lang w:val="en-US" w:eastAsia="zh-CN"/>
        </w:rPr>
        <w:t>。逾期送达的或者未送达指定地点的竞选文件，比选人不予受理。</w:t>
      </w:r>
    </w:p>
    <w:p w14:paraId="5D39CA36">
      <w:pPr>
        <w:spacing w:line="520" w:lineRule="exact"/>
        <w:ind w:firstLine="440" w:firstLineChars="200"/>
        <w:jc w:val="left"/>
        <w:rPr>
          <w:rFonts w:hint="eastAsia" w:ascii="仿宋" w:hAnsi="仿宋" w:eastAsia="仿宋" w:cs="仿宋"/>
          <w:snapToGrid w:val="0"/>
          <w:color w:val="auto"/>
          <w:kern w:val="0"/>
          <w:sz w:val="22"/>
          <w:highlight w:val="none"/>
          <w:lang w:val="en-US" w:eastAsia="zh-CN"/>
        </w:rPr>
      </w:pPr>
      <w:r>
        <w:rPr>
          <w:rFonts w:hint="eastAsia" w:ascii="仿宋" w:hAnsi="仿宋" w:eastAsia="仿宋" w:cs="仿宋"/>
          <w:snapToGrid w:val="0"/>
          <w:color w:val="auto"/>
          <w:kern w:val="0"/>
          <w:sz w:val="22"/>
          <w:highlight w:val="none"/>
          <w:lang w:val="en-US" w:eastAsia="zh-CN"/>
        </w:rPr>
        <w:t>(3)开标时间：同线下递交纸质竞选文件截止时间。</w:t>
      </w:r>
    </w:p>
    <w:p w14:paraId="04327A9A">
      <w:pPr>
        <w:spacing w:line="520" w:lineRule="exact"/>
        <w:ind w:firstLine="440" w:firstLineChars="200"/>
        <w:jc w:val="left"/>
        <w:rPr>
          <w:rFonts w:hint="eastAsia" w:ascii="仿宋" w:hAnsi="仿宋" w:eastAsia="仿宋" w:cs="仿宋"/>
          <w:snapToGrid w:val="0"/>
          <w:color w:val="auto"/>
          <w:kern w:val="0"/>
          <w:sz w:val="22"/>
          <w:highlight w:val="none"/>
          <w:lang w:val="en-US" w:eastAsia="zh-CN"/>
        </w:rPr>
      </w:pPr>
      <w:r>
        <w:rPr>
          <w:rFonts w:hint="eastAsia" w:ascii="仿宋" w:hAnsi="仿宋" w:eastAsia="仿宋" w:cs="仿宋"/>
          <w:snapToGrid w:val="0"/>
          <w:color w:val="auto"/>
          <w:kern w:val="0"/>
          <w:sz w:val="22"/>
          <w:highlight w:val="none"/>
          <w:lang w:val="en-US" w:eastAsia="zh-CN"/>
        </w:rPr>
        <w:t>(4)开标地点：同线下递交纸质竞选文件地点。</w:t>
      </w:r>
    </w:p>
    <w:p w14:paraId="2ADE873F">
      <w:pPr>
        <w:spacing w:line="520" w:lineRule="exact"/>
        <w:ind w:firstLine="440" w:firstLineChars="200"/>
        <w:jc w:val="left"/>
        <w:rPr>
          <w:rFonts w:hint="eastAsia" w:ascii="仿宋" w:hAnsi="仿宋" w:eastAsia="仿宋" w:cs="仿宋"/>
          <w:snapToGrid w:val="0"/>
          <w:color w:val="auto"/>
          <w:kern w:val="0"/>
          <w:sz w:val="22"/>
          <w:highlight w:val="none"/>
          <w:lang w:val="en-US" w:eastAsia="zh-CN"/>
        </w:rPr>
      </w:pPr>
      <w:r>
        <w:rPr>
          <w:rFonts w:hint="eastAsia" w:ascii="仿宋" w:hAnsi="仿宋" w:eastAsia="仿宋" w:cs="仿宋"/>
          <w:snapToGrid w:val="0"/>
          <w:color w:val="auto"/>
          <w:kern w:val="0"/>
          <w:sz w:val="22"/>
          <w:highlight w:val="none"/>
          <w:lang w:val="en-US" w:eastAsia="zh-CN"/>
        </w:rPr>
        <w:t>(5)竞选人须满足以下要件，其竞选文件才被接受：</w:t>
      </w:r>
    </w:p>
    <w:p w14:paraId="2F316267">
      <w:pPr>
        <w:spacing w:line="520" w:lineRule="exact"/>
        <w:ind w:firstLine="440" w:firstLineChars="200"/>
        <w:jc w:val="left"/>
        <w:rPr>
          <w:rFonts w:hint="eastAsia" w:ascii="仿宋" w:hAnsi="仿宋" w:eastAsia="仿宋" w:cs="仿宋"/>
          <w:snapToGrid w:val="0"/>
          <w:color w:val="auto"/>
          <w:kern w:val="0"/>
          <w:sz w:val="22"/>
          <w:highlight w:val="none"/>
          <w:lang w:val="en-US" w:eastAsia="zh-CN"/>
        </w:rPr>
      </w:pPr>
      <w:r>
        <w:rPr>
          <w:rFonts w:hint="eastAsia" w:ascii="仿宋" w:hAnsi="仿宋" w:eastAsia="仿宋" w:cs="仿宋"/>
          <w:snapToGrid w:val="0"/>
          <w:color w:val="auto"/>
          <w:kern w:val="0"/>
          <w:sz w:val="22"/>
          <w:highlight w:val="none"/>
          <w:lang w:val="en-US" w:eastAsia="zh-CN"/>
        </w:rPr>
        <w:t>①按时在行采家（https://www.gec123.com/）进行线上报价并上传签字盖章齐全的pdf格式的竞选文件电子文档。</w:t>
      </w:r>
    </w:p>
    <w:p w14:paraId="41929789">
      <w:pPr>
        <w:spacing w:line="520" w:lineRule="exact"/>
        <w:ind w:firstLine="440" w:firstLineChars="200"/>
        <w:jc w:val="left"/>
        <w:rPr>
          <w:rFonts w:hint="eastAsia" w:ascii="仿宋" w:hAnsi="仿宋" w:eastAsia="仿宋" w:cs="仿宋"/>
          <w:snapToGrid w:val="0"/>
          <w:color w:val="auto"/>
          <w:kern w:val="0"/>
          <w:sz w:val="22"/>
          <w:highlight w:val="none"/>
          <w:lang w:val="en-US" w:eastAsia="zh-CN"/>
        </w:rPr>
      </w:pPr>
      <w:r>
        <w:rPr>
          <w:rFonts w:hint="eastAsia" w:ascii="仿宋" w:hAnsi="仿宋" w:eastAsia="仿宋" w:cs="仿宋"/>
          <w:snapToGrid w:val="0"/>
          <w:color w:val="auto"/>
          <w:kern w:val="0"/>
          <w:sz w:val="22"/>
          <w:highlight w:val="none"/>
          <w:lang w:val="en-US" w:eastAsia="zh-CN"/>
        </w:rPr>
        <w:t>②按时线下递交纸质竞选文件。</w:t>
      </w:r>
    </w:p>
    <w:p w14:paraId="1A945ED4">
      <w:pPr>
        <w:spacing w:line="520" w:lineRule="exact"/>
        <w:ind w:firstLine="440" w:firstLineChars="200"/>
        <w:jc w:val="left"/>
        <w:rPr>
          <w:rFonts w:hint="eastAsia" w:ascii="仿宋" w:hAnsi="仿宋" w:eastAsia="仿宋" w:cs="仿宋"/>
          <w:snapToGrid w:val="0"/>
          <w:color w:val="auto"/>
          <w:kern w:val="0"/>
          <w:sz w:val="22"/>
          <w:highlight w:val="none"/>
          <w:lang w:val="en-US" w:eastAsia="zh-CN"/>
        </w:rPr>
      </w:pPr>
      <w:r>
        <w:rPr>
          <w:rFonts w:hint="eastAsia" w:ascii="仿宋" w:hAnsi="仿宋" w:eastAsia="仿宋" w:cs="仿宋"/>
          <w:snapToGrid w:val="0"/>
          <w:color w:val="auto"/>
          <w:kern w:val="0"/>
          <w:sz w:val="22"/>
          <w:highlight w:val="none"/>
          <w:lang w:val="en-US" w:eastAsia="zh-CN"/>
        </w:rPr>
        <w:t>③按时报名签到并按时缴纳</w:t>
      </w:r>
      <w:r>
        <w:rPr>
          <w:rFonts w:hint="eastAsia" w:ascii="仿宋" w:hAnsi="仿宋" w:eastAsia="仿宋" w:cs="仿宋"/>
          <w:snapToGrid w:val="0"/>
          <w:color w:val="auto"/>
          <w:kern w:val="0"/>
          <w:sz w:val="22"/>
          <w:highlight w:val="none"/>
        </w:rPr>
        <w:t>招标文件购买费用</w:t>
      </w:r>
      <w:r>
        <w:rPr>
          <w:rFonts w:hint="eastAsia" w:ascii="仿宋" w:hAnsi="仿宋" w:eastAsia="仿宋" w:cs="仿宋"/>
          <w:snapToGrid w:val="0"/>
          <w:color w:val="auto"/>
          <w:kern w:val="0"/>
          <w:sz w:val="22"/>
          <w:highlight w:val="none"/>
          <w:lang w:val="en-US" w:eastAsia="zh-CN"/>
        </w:rPr>
        <w:t>。</w:t>
      </w:r>
    </w:p>
    <w:p w14:paraId="4D6944AF">
      <w:pPr>
        <w:spacing w:line="520" w:lineRule="exact"/>
        <w:ind w:firstLine="440" w:firstLineChars="200"/>
        <w:jc w:val="left"/>
        <w:rPr>
          <w:rFonts w:hint="eastAsia" w:ascii="仿宋" w:hAnsi="仿宋" w:eastAsia="仿宋" w:cs="仿宋"/>
          <w:snapToGrid w:val="0"/>
          <w:color w:val="auto"/>
          <w:kern w:val="0"/>
          <w:sz w:val="22"/>
          <w:highlight w:val="none"/>
          <w:lang w:val="en-US" w:eastAsia="zh-CN"/>
        </w:rPr>
      </w:pPr>
      <w:r>
        <w:rPr>
          <w:rFonts w:hint="eastAsia" w:ascii="仿宋" w:hAnsi="仿宋" w:eastAsia="仿宋" w:cs="仿宋"/>
          <w:snapToGrid w:val="0"/>
          <w:color w:val="auto"/>
          <w:kern w:val="0"/>
          <w:sz w:val="22"/>
          <w:highlight w:val="none"/>
          <w:lang w:val="en-US" w:eastAsia="zh-CN"/>
        </w:rPr>
        <w:t>五、质疑及澄清时间</w:t>
      </w:r>
    </w:p>
    <w:p w14:paraId="2940946E">
      <w:pPr>
        <w:spacing w:line="520" w:lineRule="exact"/>
        <w:ind w:firstLine="440" w:firstLineChars="200"/>
        <w:jc w:val="left"/>
        <w:rPr>
          <w:rFonts w:hint="eastAsia" w:ascii="仿宋" w:hAnsi="仿宋" w:eastAsia="仿宋" w:cs="仿宋"/>
          <w:snapToGrid w:val="0"/>
          <w:color w:val="auto"/>
          <w:kern w:val="0"/>
          <w:sz w:val="22"/>
          <w:highlight w:val="none"/>
          <w:lang w:val="en-US" w:eastAsia="zh-CN"/>
        </w:rPr>
      </w:pPr>
      <w:r>
        <w:rPr>
          <w:rFonts w:hint="eastAsia" w:ascii="仿宋" w:hAnsi="仿宋" w:eastAsia="仿宋" w:cs="仿宋"/>
          <w:snapToGrid w:val="0"/>
          <w:color w:val="auto"/>
          <w:kern w:val="0"/>
          <w:sz w:val="22"/>
          <w:highlight w:val="none"/>
          <w:lang w:val="en-US" w:eastAsia="zh-CN"/>
        </w:rPr>
        <w:t>5.1竞选质疑截止时间：2026年3月30日10时00分之前，过期不再受理。</w:t>
      </w:r>
    </w:p>
    <w:p w14:paraId="396E89EA">
      <w:pPr>
        <w:spacing w:line="520" w:lineRule="exact"/>
        <w:ind w:firstLine="440" w:firstLineChars="200"/>
        <w:jc w:val="left"/>
        <w:rPr>
          <w:rFonts w:hint="eastAsia" w:ascii="仿宋" w:hAnsi="仿宋" w:eastAsia="仿宋" w:cs="仿宋"/>
          <w:snapToGrid w:val="0"/>
          <w:color w:val="auto"/>
          <w:kern w:val="0"/>
          <w:sz w:val="22"/>
          <w:highlight w:val="none"/>
          <w:lang w:val="en-US" w:eastAsia="zh-CN"/>
        </w:rPr>
      </w:pPr>
      <w:r>
        <w:rPr>
          <w:rFonts w:hint="eastAsia" w:ascii="仿宋" w:hAnsi="仿宋" w:eastAsia="仿宋" w:cs="仿宋"/>
          <w:snapToGrid w:val="0"/>
          <w:color w:val="auto"/>
          <w:kern w:val="0"/>
          <w:sz w:val="22"/>
          <w:highlight w:val="none"/>
          <w:lang w:val="en-US" w:eastAsia="zh-CN"/>
        </w:rPr>
        <w:t>5.2竞选答疑或澄清时间：2026年3月30日18时00分之前，比选代理机构将在行采家网站发布。</w:t>
      </w:r>
    </w:p>
    <w:bookmarkEnd w:id="82"/>
    <w:bookmarkEnd w:id="83"/>
    <w:bookmarkEnd w:id="84"/>
    <w:bookmarkEnd w:id="85"/>
    <w:bookmarkEnd w:id="86"/>
    <w:bookmarkEnd w:id="89"/>
    <w:bookmarkEnd w:id="90"/>
    <w:bookmarkEnd w:id="91"/>
    <w:bookmarkEnd w:id="92"/>
    <w:bookmarkEnd w:id="93"/>
    <w:bookmarkEnd w:id="94"/>
    <w:bookmarkEnd w:id="95"/>
    <w:bookmarkEnd w:id="96"/>
    <w:bookmarkEnd w:id="97"/>
    <w:bookmarkEnd w:id="98"/>
    <w:bookmarkEnd w:id="99"/>
    <w:p w14:paraId="40D01DB5">
      <w:pPr>
        <w:pStyle w:val="3"/>
        <w:spacing w:before="120" w:beforeLines="50" w:after="120" w:afterLines="50" w:line="520" w:lineRule="exact"/>
        <w:rPr>
          <w:rFonts w:hint="eastAsia" w:ascii="仿宋" w:hAnsi="仿宋" w:eastAsia="仿宋" w:cs="仿宋"/>
          <w:snapToGrid w:val="0"/>
          <w:color w:val="auto"/>
          <w:sz w:val="24"/>
          <w:szCs w:val="24"/>
          <w:highlight w:val="none"/>
        </w:rPr>
      </w:pPr>
      <w:bookmarkStart w:id="100" w:name="_Toc200359243"/>
      <w:bookmarkStart w:id="101" w:name="_Toc287607733"/>
      <w:bookmarkStart w:id="102" w:name="_Toc277082541"/>
      <w:bookmarkStart w:id="103" w:name="_Toc224103304"/>
      <w:bookmarkStart w:id="104" w:name="_Toc200359432"/>
      <w:bookmarkStart w:id="105" w:name="_Toc10365"/>
      <w:bookmarkStart w:id="106" w:name="_Toc1439"/>
      <w:bookmarkStart w:id="107" w:name="_Toc9121"/>
      <w:bookmarkStart w:id="108" w:name="_Toc18312"/>
      <w:bookmarkStart w:id="109" w:name="_Toc17785"/>
      <w:bookmarkStart w:id="110" w:name="_Toc4982"/>
      <w:bookmarkStart w:id="111" w:name="_Toc27260"/>
      <w:bookmarkStart w:id="112" w:name="_Toc32121"/>
      <w:bookmarkStart w:id="113" w:name="_Toc30870"/>
      <w:bookmarkStart w:id="114" w:name="_Toc1410"/>
      <w:bookmarkStart w:id="115" w:name="_Toc5733"/>
      <w:r>
        <w:rPr>
          <w:rFonts w:hint="eastAsia" w:ascii="仿宋" w:hAnsi="仿宋" w:eastAsia="仿宋" w:cs="仿宋"/>
          <w:snapToGrid w:val="0"/>
          <w:color w:val="auto"/>
          <w:sz w:val="24"/>
          <w:szCs w:val="24"/>
          <w:highlight w:val="none"/>
          <w:lang w:val="en-US" w:eastAsia="zh-CN"/>
        </w:rPr>
        <w:t>6</w:t>
      </w:r>
      <w:r>
        <w:rPr>
          <w:rFonts w:hint="eastAsia" w:ascii="仿宋" w:hAnsi="仿宋" w:eastAsia="仿宋" w:cs="仿宋"/>
          <w:snapToGrid w:val="0"/>
          <w:color w:val="auto"/>
          <w:sz w:val="24"/>
          <w:szCs w:val="24"/>
          <w:highlight w:val="none"/>
        </w:rPr>
        <w:t>.</w:t>
      </w:r>
      <w:bookmarkEnd w:id="100"/>
      <w:bookmarkEnd w:id="101"/>
      <w:bookmarkEnd w:id="102"/>
      <w:bookmarkEnd w:id="103"/>
      <w:bookmarkEnd w:id="104"/>
      <w:r>
        <w:rPr>
          <w:rFonts w:hint="eastAsia" w:ascii="仿宋" w:hAnsi="仿宋" w:eastAsia="仿宋" w:cs="仿宋"/>
          <w:snapToGrid w:val="0"/>
          <w:color w:val="auto"/>
          <w:sz w:val="24"/>
          <w:szCs w:val="24"/>
          <w:highlight w:val="none"/>
        </w:rPr>
        <w:t>发布公告的媒介</w:t>
      </w:r>
      <w:bookmarkEnd w:id="105"/>
      <w:bookmarkEnd w:id="106"/>
      <w:bookmarkEnd w:id="107"/>
      <w:bookmarkEnd w:id="108"/>
      <w:bookmarkEnd w:id="109"/>
      <w:bookmarkEnd w:id="110"/>
      <w:bookmarkEnd w:id="111"/>
      <w:bookmarkEnd w:id="112"/>
      <w:bookmarkEnd w:id="113"/>
      <w:bookmarkEnd w:id="114"/>
      <w:bookmarkEnd w:id="115"/>
    </w:p>
    <w:p w14:paraId="0B107F00">
      <w:pPr>
        <w:tabs>
          <w:tab w:val="left" w:pos="6330"/>
        </w:tabs>
        <w:autoSpaceDE w:val="0"/>
        <w:autoSpaceDN w:val="0"/>
        <w:adjustRightInd w:val="0"/>
        <w:snapToGrid w:val="0"/>
        <w:spacing w:line="520" w:lineRule="exact"/>
        <w:ind w:firstLine="330" w:firstLineChars="150"/>
        <w:jc w:val="left"/>
        <w:rPr>
          <w:rFonts w:hint="eastAsia" w:ascii="仿宋" w:hAnsi="仿宋" w:eastAsia="仿宋" w:cs="仿宋"/>
          <w:snapToGrid w:val="0"/>
          <w:color w:val="auto"/>
          <w:kern w:val="0"/>
          <w:sz w:val="22"/>
          <w:highlight w:val="none"/>
        </w:rPr>
      </w:pPr>
      <w:bookmarkStart w:id="116" w:name="_Toc277082542"/>
      <w:bookmarkStart w:id="117" w:name="_Toc287607734"/>
      <w:bookmarkStart w:id="118" w:name="_Toc224103305"/>
      <w:r>
        <w:rPr>
          <w:rFonts w:hint="eastAsia" w:ascii="仿宋" w:hAnsi="仿宋" w:eastAsia="仿宋" w:cs="仿宋"/>
          <w:snapToGrid w:val="0"/>
          <w:color w:val="auto"/>
          <w:kern w:val="0"/>
          <w:sz w:val="22"/>
          <w:highlight w:val="none"/>
        </w:rPr>
        <w:t>本次招标公告在“行采家”（ http://www.gec123.com）公开发布。</w:t>
      </w:r>
    </w:p>
    <w:p w14:paraId="12E4D91A">
      <w:pPr>
        <w:pStyle w:val="3"/>
        <w:spacing w:before="120" w:beforeLines="50" w:after="120" w:afterLines="50" w:line="520" w:lineRule="exact"/>
        <w:rPr>
          <w:rFonts w:hint="eastAsia" w:ascii="仿宋" w:hAnsi="仿宋" w:eastAsia="仿宋" w:cs="仿宋"/>
          <w:snapToGrid w:val="0"/>
          <w:color w:val="auto"/>
          <w:sz w:val="24"/>
          <w:szCs w:val="24"/>
          <w:highlight w:val="none"/>
        </w:rPr>
      </w:pPr>
      <w:bookmarkStart w:id="119" w:name="_Toc24816"/>
      <w:bookmarkStart w:id="120" w:name="_Toc15076"/>
      <w:bookmarkStart w:id="121" w:name="_Toc2152"/>
      <w:bookmarkStart w:id="122" w:name="_Toc2666"/>
      <w:bookmarkStart w:id="123" w:name="_Toc1401"/>
      <w:bookmarkStart w:id="124" w:name="_Toc5094"/>
      <w:bookmarkStart w:id="125" w:name="_Toc4449"/>
      <w:bookmarkStart w:id="126" w:name="_Toc4929"/>
      <w:bookmarkStart w:id="127" w:name="_Toc31968"/>
      <w:bookmarkStart w:id="128" w:name="_Toc32646"/>
      <w:bookmarkStart w:id="129" w:name="_Toc9696"/>
      <w:r>
        <w:rPr>
          <w:rFonts w:hint="eastAsia" w:ascii="仿宋" w:hAnsi="仿宋" w:eastAsia="仿宋" w:cs="仿宋"/>
          <w:snapToGrid w:val="0"/>
          <w:color w:val="auto"/>
          <w:sz w:val="24"/>
          <w:szCs w:val="24"/>
          <w:highlight w:val="none"/>
          <w:lang w:val="en-US" w:eastAsia="zh-CN"/>
        </w:rPr>
        <w:t>7</w:t>
      </w:r>
      <w:r>
        <w:rPr>
          <w:rFonts w:hint="eastAsia" w:ascii="仿宋" w:hAnsi="仿宋" w:eastAsia="仿宋" w:cs="仿宋"/>
          <w:snapToGrid w:val="0"/>
          <w:color w:val="auto"/>
          <w:sz w:val="24"/>
          <w:szCs w:val="24"/>
          <w:highlight w:val="none"/>
        </w:rPr>
        <w:t>.联系方式</w:t>
      </w:r>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p>
    <w:p w14:paraId="70697377">
      <w:pPr>
        <w:tabs>
          <w:tab w:val="left" w:pos="5140"/>
          <w:tab w:val="left" w:pos="8420"/>
        </w:tabs>
        <w:autoSpaceDE w:val="0"/>
        <w:autoSpaceDN w:val="0"/>
        <w:adjustRightInd w:val="0"/>
        <w:snapToGrid w:val="0"/>
        <w:spacing w:line="520" w:lineRule="exact"/>
        <w:ind w:left="5500" w:hanging="5500" w:hangingChars="2500"/>
        <w:rPr>
          <w:rFonts w:hint="eastAsia" w:ascii="仿宋" w:hAnsi="仿宋" w:eastAsia="仿宋" w:cs="仿宋"/>
          <w:snapToGrid w:val="0"/>
          <w:color w:val="auto"/>
          <w:kern w:val="0"/>
          <w:sz w:val="22"/>
          <w:szCs w:val="22"/>
          <w:highlight w:val="none"/>
        </w:rPr>
        <w:sectPr>
          <w:footerReference r:id="rId7" w:type="default"/>
          <w:pgSz w:w="11907" w:h="16839"/>
          <w:pgMar w:top="1440" w:right="1080" w:bottom="1440" w:left="1080" w:header="720" w:footer="720" w:gutter="0"/>
          <w:pgNumType w:start="1"/>
          <w:cols w:space="720" w:num="1"/>
          <w:docGrid w:linePitch="286" w:charSpace="0"/>
        </w:sectPr>
      </w:pPr>
    </w:p>
    <w:p w14:paraId="7E84A7E0">
      <w:pPr>
        <w:tabs>
          <w:tab w:val="left" w:pos="5140"/>
          <w:tab w:val="left" w:pos="8420"/>
        </w:tabs>
        <w:autoSpaceDE w:val="0"/>
        <w:autoSpaceDN w:val="0"/>
        <w:adjustRightInd w:val="0"/>
        <w:snapToGrid w:val="0"/>
        <w:spacing w:line="520" w:lineRule="exact"/>
        <w:ind w:right="-350" w:rightChars="-125"/>
        <w:jc w:val="left"/>
        <w:rPr>
          <w:rFonts w:hint="eastAsia" w:ascii="仿宋" w:hAnsi="仿宋" w:eastAsia="仿宋" w:cs="仿宋"/>
          <w:snapToGrid w:val="0"/>
          <w:color w:val="auto"/>
          <w:kern w:val="0"/>
          <w:sz w:val="22"/>
          <w:szCs w:val="22"/>
          <w:highlight w:val="none"/>
        </w:rPr>
      </w:pPr>
      <w:r>
        <w:rPr>
          <w:rFonts w:hint="eastAsia" w:ascii="仿宋" w:hAnsi="仿宋" w:eastAsia="仿宋" w:cs="仿宋"/>
          <w:snapToGrid w:val="0"/>
          <w:color w:val="auto"/>
          <w:kern w:val="0"/>
          <w:sz w:val="22"/>
          <w:szCs w:val="22"/>
          <w:highlight w:val="none"/>
        </w:rPr>
        <w:t>招标人：</w:t>
      </w:r>
      <w:r>
        <w:rPr>
          <w:rFonts w:hint="eastAsia" w:ascii="仿宋" w:hAnsi="仿宋" w:eastAsia="仿宋" w:cs="仿宋"/>
          <w:color w:val="auto"/>
          <w:sz w:val="22"/>
          <w:szCs w:val="22"/>
          <w:highlight w:val="none"/>
          <w:lang w:eastAsia="zh-CN"/>
        </w:rPr>
        <w:t>重庆市渝北区人民政府回兴街道办事处</w:t>
      </w:r>
      <w:r>
        <w:rPr>
          <w:rFonts w:hint="eastAsia" w:ascii="仿宋" w:hAnsi="仿宋" w:eastAsia="仿宋" w:cs="仿宋"/>
          <w:snapToGrid w:val="0"/>
          <w:color w:val="auto"/>
          <w:kern w:val="0"/>
          <w:sz w:val="22"/>
          <w:szCs w:val="22"/>
          <w:highlight w:val="none"/>
          <w:lang w:val="en-US" w:eastAsia="zh-CN"/>
        </w:rPr>
        <w:t xml:space="preserve"> </w:t>
      </w:r>
    </w:p>
    <w:p w14:paraId="6E31B314">
      <w:pPr>
        <w:tabs>
          <w:tab w:val="left" w:pos="5140"/>
          <w:tab w:val="left" w:pos="8420"/>
        </w:tabs>
        <w:autoSpaceDE w:val="0"/>
        <w:autoSpaceDN w:val="0"/>
        <w:adjustRightInd w:val="0"/>
        <w:snapToGrid w:val="0"/>
        <w:spacing w:line="520" w:lineRule="exact"/>
        <w:jc w:val="left"/>
        <w:rPr>
          <w:rFonts w:hint="eastAsia" w:ascii="仿宋" w:hAnsi="仿宋" w:eastAsia="仿宋" w:cs="仿宋"/>
          <w:snapToGrid w:val="0"/>
          <w:color w:val="auto"/>
          <w:kern w:val="0"/>
          <w:sz w:val="22"/>
          <w:szCs w:val="22"/>
          <w:highlight w:val="none"/>
        </w:rPr>
      </w:pPr>
      <w:r>
        <w:rPr>
          <w:rFonts w:hint="eastAsia" w:ascii="仿宋" w:hAnsi="仿宋" w:eastAsia="仿宋" w:cs="仿宋"/>
          <w:snapToGrid w:val="0"/>
          <w:color w:val="auto"/>
          <w:kern w:val="0"/>
          <w:sz w:val="22"/>
          <w:szCs w:val="22"/>
          <w:highlight w:val="none"/>
        </w:rPr>
        <w:t>地址：重庆市渝北区服装城大道93号</w:t>
      </w:r>
    </w:p>
    <w:p w14:paraId="0F9F41D4">
      <w:pPr>
        <w:tabs>
          <w:tab w:val="left" w:pos="5140"/>
          <w:tab w:val="left" w:pos="8420"/>
        </w:tabs>
        <w:autoSpaceDE w:val="0"/>
        <w:autoSpaceDN w:val="0"/>
        <w:adjustRightInd w:val="0"/>
        <w:snapToGrid w:val="0"/>
        <w:spacing w:line="520" w:lineRule="exact"/>
        <w:jc w:val="left"/>
        <w:rPr>
          <w:rFonts w:hint="eastAsia" w:ascii="仿宋" w:hAnsi="仿宋" w:eastAsia="仿宋" w:cs="仿宋"/>
          <w:snapToGrid w:val="0"/>
          <w:color w:val="auto"/>
          <w:kern w:val="0"/>
          <w:sz w:val="22"/>
          <w:szCs w:val="22"/>
          <w:highlight w:val="none"/>
          <w:lang w:val="en-US" w:eastAsia="zh-CN"/>
        </w:rPr>
      </w:pPr>
      <w:r>
        <w:rPr>
          <w:rFonts w:hint="eastAsia" w:ascii="仿宋" w:hAnsi="仿宋" w:eastAsia="仿宋" w:cs="仿宋"/>
          <w:snapToGrid w:val="0"/>
          <w:color w:val="auto"/>
          <w:kern w:val="0"/>
          <w:sz w:val="22"/>
          <w:szCs w:val="22"/>
          <w:highlight w:val="none"/>
        </w:rPr>
        <w:t>联系人：</w:t>
      </w:r>
      <w:r>
        <w:rPr>
          <w:rFonts w:hint="eastAsia" w:ascii="仿宋" w:hAnsi="仿宋" w:eastAsia="仿宋" w:cs="仿宋"/>
          <w:snapToGrid w:val="0"/>
          <w:color w:val="auto"/>
          <w:kern w:val="0"/>
          <w:sz w:val="22"/>
          <w:szCs w:val="22"/>
          <w:highlight w:val="none"/>
          <w:lang w:val="en-US" w:eastAsia="zh-CN"/>
        </w:rPr>
        <w:t>杨老师</w:t>
      </w:r>
    </w:p>
    <w:p w14:paraId="6BAD1F4E">
      <w:pPr>
        <w:tabs>
          <w:tab w:val="left" w:pos="5140"/>
          <w:tab w:val="left" w:pos="8420"/>
        </w:tabs>
        <w:autoSpaceDE w:val="0"/>
        <w:autoSpaceDN w:val="0"/>
        <w:adjustRightInd w:val="0"/>
        <w:snapToGrid w:val="0"/>
        <w:spacing w:line="520" w:lineRule="exact"/>
        <w:jc w:val="left"/>
        <w:rPr>
          <w:rFonts w:hint="default" w:ascii="仿宋" w:hAnsi="仿宋" w:eastAsia="仿宋" w:cs="仿宋"/>
          <w:snapToGrid w:val="0"/>
          <w:color w:val="auto"/>
          <w:kern w:val="0"/>
          <w:sz w:val="22"/>
          <w:szCs w:val="22"/>
          <w:highlight w:val="none"/>
          <w:lang w:val="en-US" w:eastAsia="zh-CN"/>
        </w:rPr>
      </w:pPr>
      <w:r>
        <w:rPr>
          <w:rFonts w:hint="eastAsia" w:ascii="仿宋" w:hAnsi="仿宋" w:eastAsia="仿宋" w:cs="仿宋"/>
          <w:snapToGrid w:val="0"/>
          <w:color w:val="auto"/>
          <w:kern w:val="0"/>
          <w:sz w:val="22"/>
          <w:szCs w:val="22"/>
          <w:highlight w:val="none"/>
        </w:rPr>
        <w:t>电话：</w:t>
      </w:r>
      <w:r>
        <w:rPr>
          <w:rFonts w:hint="eastAsia" w:ascii="仿宋" w:hAnsi="仿宋" w:eastAsia="仿宋" w:cs="仿宋"/>
          <w:snapToGrid w:val="0"/>
          <w:color w:val="auto"/>
          <w:kern w:val="0"/>
          <w:sz w:val="22"/>
          <w:szCs w:val="22"/>
          <w:highlight w:val="none"/>
          <w:lang w:val="en-US" w:eastAsia="zh-CN"/>
        </w:rPr>
        <w:t>67480936</w:t>
      </w:r>
    </w:p>
    <w:p w14:paraId="43AAD08E">
      <w:pPr>
        <w:tabs>
          <w:tab w:val="left" w:pos="5140"/>
          <w:tab w:val="left" w:pos="8420"/>
        </w:tabs>
        <w:autoSpaceDE w:val="0"/>
        <w:autoSpaceDN w:val="0"/>
        <w:adjustRightInd w:val="0"/>
        <w:snapToGrid w:val="0"/>
        <w:spacing w:line="520" w:lineRule="exact"/>
        <w:ind w:left="1540" w:hanging="1540" w:hangingChars="700"/>
        <w:jc w:val="left"/>
        <w:rPr>
          <w:rFonts w:hint="eastAsia" w:ascii="仿宋" w:hAnsi="仿宋" w:eastAsia="仿宋" w:cs="仿宋"/>
          <w:snapToGrid w:val="0"/>
          <w:color w:val="auto"/>
          <w:kern w:val="0"/>
          <w:sz w:val="22"/>
          <w:szCs w:val="22"/>
          <w:highlight w:val="none"/>
        </w:rPr>
      </w:pPr>
    </w:p>
    <w:p w14:paraId="53A51AC0">
      <w:pPr>
        <w:tabs>
          <w:tab w:val="left" w:pos="5140"/>
          <w:tab w:val="left" w:pos="8420"/>
        </w:tabs>
        <w:autoSpaceDE w:val="0"/>
        <w:autoSpaceDN w:val="0"/>
        <w:adjustRightInd w:val="0"/>
        <w:snapToGrid w:val="0"/>
        <w:spacing w:line="520" w:lineRule="exact"/>
        <w:ind w:left="1540" w:hanging="1540" w:hangingChars="700"/>
        <w:jc w:val="left"/>
        <w:rPr>
          <w:rFonts w:hint="eastAsia" w:ascii="仿宋" w:hAnsi="仿宋" w:eastAsia="仿宋" w:cs="仿宋"/>
          <w:snapToGrid w:val="0"/>
          <w:color w:val="auto"/>
          <w:kern w:val="0"/>
          <w:sz w:val="22"/>
          <w:szCs w:val="22"/>
          <w:highlight w:val="none"/>
        </w:rPr>
      </w:pPr>
    </w:p>
    <w:p w14:paraId="3DA00BAA">
      <w:pPr>
        <w:tabs>
          <w:tab w:val="left" w:pos="5140"/>
          <w:tab w:val="left" w:pos="8420"/>
        </w:tabs>
        <w:autoSpaceDE w:val="0"/>
        <w:autoSpaceDN w:val="0"/>
        <w:adjustRightInd w:val="0"/>
        <w:snapToGrid w:val="0"/>
        <w:spacing w:line="520" w:lineRule="exact"/>
        <w:jc w:val="left"/>
        <w:rPr>
          <w:rFonts w:hint="eastAsia" w:ascii="仿宋" w:hAnsi="仿宋" w:eastAsia="仿宋" w:cs="仿宋"/>
          <w:snapToGrid w:val="0"/>
          <w:color w:val="auto"/>
          <w:kern w:val="0"/>
          <w:sz w:val="22"/>
          <w:szCs w:val="22"/>
          <w:highlight w:val="none"/>
        </w:rPr>
      </w:pPr>
    </w:p>
    <w:p w14:paraId="3FEC597E">
      <w:pPr>
        <w:tabs>
          <w:tab w:val="left" w:pos="5140"/>
          <w:tab w:val="left" w:pos="8420"/>
        </w:tabs>
        <w:autoSpaceDE w:val="0"/>
        <w:autoSpaceDN w:val="0"/>
        <w:adjustRightInd w:val="0"/>
        <w:snapToGrid w:val="0"/>
        <w:spacing w:line="520" w:lineRule="exact"/>
        <w:jc w:val="left"/>
        <w:rPr>
          <w:rFonts w:hint="eastAsia" w:ascii="仿宋" w:hAnsi="仿宋" w:eastAsia="仿宋" w:cs="仿宋"/>
          <w:snapToGrid w:val="0"/>
          <w:color w:val="auto"/>
          <w:kern w:val="0"/>
          <w:sz w:val="22"/>
          <w:szCs w:val="22"/>
          <w:highlight w:val="none"/>
        </w:rPr>
        <w:sectPr>
          <w:type w:val="continuous"/>
          <w:pgSz w:w="11907" w:h="16839"/>
          <w:pgMar w:top="1440" w:right="1080" w:bottom="1440" w:left="1080" w:header="720" w:footer="720" w:gutter="0"/>
          <w:cols w:equalWidth="0" w:num="2">
            <w:col w:w="4689" w:space="425"/>
            <w:col w:w="4633"/>
          </w:cols>
          <w:titlePg/>
          <w:docGrid w:linePitch="286" w:charSpace="0"/>
        </w:sectPr>
      </w:pPr>
    </w:p>
    <w:p w14:paraId="53048098">
      <w:pPr>
        <w:pStyle w:val="2"/>
        <w:spacing w:before="0" w:after="0" w:line="440" w:lineRule="exact"/>
        <w:jc w:val="both"/>
        <w:rPr>
          <w:rFonts w:hint="eastAsia" w:ascii="仿宋" w:hAnsi="仿宋" w:eastAsia="仿宋" w:cs="仿宋"/>
          <w:b w:val="0"/>
          <w:bCs w:val="0"/>
          <w:snapToGrid w:val="0"/>
          <w:color w:val="auto"/>
          <w:kern w:val="0"/>
          <w:sz w:val="22"/>
          <w:szCs w:val="22"/>
          <w:highlight w:val="none"/>
          <w:lang w:val="en-US" w:eastAsia="zh-CN" w:bidi="ar-SA"/>
        </w:rPr>
      </w:pPr>
      <w:r>
        <w:rPr>
          <w:rFonts w:hint="eastAsia" w:ascii="仿宋" w:hAnsi="仿宋" w:eastAsia="仿宋" w:cs="仿宋"/>
          <w:b w:val="0"/>
          <w:bCs w:val="0"/>
          <w:snapToGrid w:val="0"/>
          <w:color w:val="auto"/>
          <w:kern w:val="0"/>
          <w:sz w:val="22"/>
          <w:szCs w:val="22"/>
          <w:highlight w:val="none"/>
          <w:lang w:val="en-US" w:eastAsia="zh-CN" w:bidi="ar-SA"/>
        </w:rPr>
        <w:t>招标代理机构：盛世诚达工程咨询有限公司</w:t>
      </w:r>
    </w:p>
    <w:p w14:paraId="311C220C">
      <w:pPr>
        <w:tabs>
          <w:tab w:val="left" w:pos="5140"/>
          <w:tab w:val="left" w:pos="8420"/>
        </w:tabs>
        <w:autoSpaceDE w:val="0"/>
        <w:autoSpaceDN w:val="0"/>
        <w:adjustRightInd w:val="0"/>
        <w:snapToGrid w:val="0"/>
        <w:spacing w:line="520" w:lineRule="exact"/>
        <w:jc w:val="left"/>
        <w:rPr>
          <w:rFonts w:hint="default" w:ascii="仿宋" w:hAnsi="仿宋" w:eastAsia="仿宋" w:cs="仿宋"/>
          <w:snapToGrid w:val="0"/>
          <w:color w:val="auto"/>
          <w:kern w:val="0"/>
          <w:sz w:val="22"/>
          <w:szCs w:val="22"/>
          <w:highlight w:val="none"/>
          <w:lang w:val="en-US" w:eastAsia="zh-CN"/>
        </w:rPr>
      </w:pPr>
      <w:r>
        <w:rPr>
          <w:rFonts w:hint="eastAsia" w:ascii="仿宋" w:hAnsi="仿宋" w:eastAsia="仿宋" w:cs="仿宋"/>
          <w:snapToGrid w:val="0"/>
          <w:color w:val="auto"/>
          <w:kern w:val="0"/>
          <w:sz w:val="22"/>
          <w:szCs w:val="22"/>
          <w:highlight w:val="none"/>
        </w:rPr>
        <w:t>地址：</w:t>
      </w:r>
      <w:r>
        <w:rPr>
          <w:rFonts w:hint="eastAsia" w:ascii="仿宋" w:hAnsi="仿宋" w:eastAsia="仿宋" w:cs="仿宋"/>
          <w:snapToGrid w:val="0"/>
          <w:color w:val="auto"/>
          <w:kern w:val="0"/>
          <w:sz w:val="22"/>
          <w:szCs w:val="22"/>
          <w:highlight w:val="none"/>
          <w:lang w:val="en-US" w:eastAsia="zh-CN"/>
        </w:rPr>
        <w:t>重庆市渝北区华山北路中交总部基地3栋7楼</w:t>
      </w:r>
    </w:p>
    <w:p w14:paraId="34AB8EFD">
      <w:pPr>
        <w:tabs>
          <w:tab w:val="left" w:pos="5140"/>
          <w:tab w:val="left" w:pos="8420"/>
        </w:tabs>
        <w:autoSpaceDE w:val="0"/>
        <w:autoSpaceDN w:val="0"/>
        <w:adjustRightInd w:val="0"/>
        <w:snapToGrid w:val="0"/>
        <w:spacing w:line="520" w:lineRule="exact"/>
        <w:jc w:val="left"/>
        <w:rPr>
          <w:rFonts w:hint="default" w:ascii="仿宋" w:hAnsi="仿宋" w:eastAsia="仿宋" w:cs="仿宋"/>
          <w:snapToGrid w:val="0"/>
          <w:color w:val="auto"/>
          <w:kern w:val="0"/>
          <w:sz w:val="22"/>
          <w:szCs w:val="22"/>
          <w:highlight w:val="none"/>
          <w:lang w:val="en-US" w:eastAsia="zh-CN"/>
        </w:rPr>
      </w:pPr>
      <w:r>
        <w:rPr>
          <w:rFonts w:hint="eastAsia" w:ascii="仿宋" w:hAnsi="仿宋" w:eastAsia="仿宋" w:cs="仿宋"/>
          <w:snapToGrid w:val="0"/>
          <w:color w:val="auto"/>
          <w:kern w:val="0"/>
          <w:sz w:val="22"/>
          <w:szCs w:val="22"/>
          <w:highlight w:val="none"/>
        </w:rPr>
        <w:t>联系人：</w:t>
      </w:r>
      <w:r>
        <w:rPr>
          <w:rFonts w:hint="eastAsia" w:ascii="仿宋" w:hAnsi="仿宋" w:eastAsia="仿宋" w:cs="仿宋"/>
          <w:snapToGrid w:val="0"/>
          <w:color w:val="auto"/>
          <w:kern w:val="0"/>
          <w:sz w:val="22"/>
          <w:szCs w:val="22"/>
          <w:highlight w:val="none"/>
          <w:lang w:val="en-US" w:eastAsia="zh-CN"/>
        </w:rPr>
        <w:t>杨老师</w:t>
      </w:r>
      <w:r>
        <w:rPr>
          <w:rFonts w:hint="eastAsia" w:ascii="仿宋" w:hAnsi="仿宋" w:eastAsia="仿宋" w:cs="仿宋"/>
          <w:snapToGrid w:val="0"/>
          <w:color w:val="auto"/>
          <w:kern w:val="0"/>
          <w:sz w:val="22"/>
          <w:szCs w:val="22"/>
          <w:highlight w:val="none"/>
          <w:lang w:val="en-US" w:eastAsia="zh-CN"/>
        </w:rPr>
        <w:tab/>
      </w:r>
    </w:p>
    <w:p w14:paraId="6931FD5B">
      <w:pPr>
        <w:pStyle w:val="2"/>
        <w:spacing w:before="0" w:after="0" w:line="440" w:lineRule="exact"/>
        <w:jc w:val="both"/>
        <w:rPr>
          <w:rFonts w:hint="eastAsia" w:ascii="仿宋" w:hAnsi="仿宋" w:eastAsia="仿宋" w:cs="仿宋"/>
          <w:snapToGrid w:val="0"/>
          <w:color w:val="auto"/>
          <w:kern w:val="0"/>
          <w:sz w:val="32"/>
          <w:szCs w:val="32"/>
          <w:highlight w:val="none"/>
        </w:rPr>
      </w:pPr>
      <w:r>
        <w:rPr>
          <w:rFonts w:hint="eastAsia" w:ascii="仿宋" w:hAnsi="仿宋" w:eastAsia="仿宋" w:cs="仿宋"/>
          <w:b w:val="0"/>
          <w:bCs w:val="0"/>
          <w:snapToGrid w:val="0"/>
          <w:color w:val="auto"/>
          <w:kern w:val="0"/>
          <w:sz w:val="22"/>
          <w:szCs w:val="22"/>
          <w:highlight w:val="none"/>
          <w:lang w:val="en-US" w:eastAsia="zh-CN" w:bidi="ar-SA"/>
        </w:rPr>
        <w:t>电话：18223095672</w:t>
      </w:r>
      <w:r>
        <w:rPr>
          <w:rFonts w:hint="eastAsia" w:ascii="仿宋" w:hAnsi="仿宋" w:eastAsia="仿宋" w:cs="仿宋"/>
          <w:b w:val="0"/>
          <w:bCs w:val="0"/>
          <w:snapToGrid w:val="0"/>
          <w:color w:val="auto"/>
          <w:kern w:val="0"/>
          <w:sz w:val="22"/>
          <w:szCs w:val="22"/>
          <w:highlight w:val="none"/>
          <w:lang w:val="en-US" w:eastAsia="zh-CN" w:bidi="ar-SA"/>
        </w:rPr>
        <w:br w:type="page"/>
      </w:r>
      <w:bookmarkStart w:id="130" w:name="_Toc6911"/>
      <w:r>
        <w:rPr>
          <w:rFonts w:hint="eastAsia" w:ascii="仿宋" w:hAnsi="仿宋" w:eastAsia="仿宋" w:cs="仿宋"/>
          <w:snapToGrid w:val="0"/>
          <w:color w:val="auto"/>
          <w:kern w:val="0"/>
          <w:sz w:val="32"/>
          <w:szCs w:val="32"/>
          <w:highlight w:val="none"/>
        </w:rPr>
        <w:t>第二章 投标人须知</w:t>
      </w:r>
      <w:bookmarkEnd w:id="16"/>
      <w:bookmarkEnd w:id="17"/>
      <w:bookmarkEnd w:id="130"/>
    </w:p>
    <w:p w14:paraId="3DD169F2">
      <w:pPr>
        <w:pStyle w:val="3"/>
        <w:spacing w:before="120" w:beforeLines="50" w:after="120" w:afterLines="50" w:line="460" w:lineRule="exact"/>
        <w:rPr>
          <w:rFonts w:hint="eastAsia" w:ascii="仿宋" w:hAnsi="仿宋" w:eastAsia="仿宋" w:cs="仿宋"/>
          <w:snapToGrid w:val="0"/>
          <w:color w:val="auto"/>
          <w:sz w:val="24"/>
          <w:szCs w:val="24"/>
          <w:highlight w:val="none"/>
        </w:rPr>
      </w:pPr>
      <w:bookmarkStart w:id="131" w:name="_Toc25415"/>
      <w:bookmarkStart w:id="132" w:name="_Toc287607745"/>
      <w:bookmarkStart w:id="133" w:name="_Toc15922"/>
      <w:bookmarkStart w:id="134" w:name="_Toc11737"/>
      <w:bookmarkStart w:id="135" w:name="_Toc24885"/>
      <w:bookmarkStart w:id="136" w:name="_Toc9989"/>
      <w:bookmarkStart w:id="137" w:name="_Toc22199"/>
      <w:bookmarkStart w:id="138" w:name="_Toc29442"/>
      <w:bookmarkStart w:id="139" w:name="_Toc15950"/>
      <w:bookmarkStart w:id="140" w:name="_Toc4928"/>
      <w:bookmarkStart w:id="141" w:name="_Toc224103316"/>
      <w:bookmarkStart w:id="142" w:name="_Toc277082551"/>
      <w:bookmarkStart w:id="143" w:name="_Toc10906"/>
      <w:bookmarkStart w:id="144" w:name="_Toc29570"/>
      <w:r>
        <w:rPr>
          <w:rFonts w:hint="eastAsia" w:ascii="仿宋" w:hAnsi="仿宋" w:eastAsia="仿宋" w:cs="仿宋"/>
          <w:snapToGrid w:val="0"/>
          <w:color w:val="auto"/>
          <w:sz w:val="24"/>
          <w:szCs w:val="24"/>
          <w:highlight w:val="none"/>
        </w:rPr>
        <w:t>投标人须知前附表</w:t>
      </w:r>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p>
    <w:p w14:paraId="25DA333F">
      <w:pPr>
        <w:spacing w:before="120" w:beforeLines="50" w:after="120" w:afterLines="50" w:line="440" w:lineRule="exact"/>
        <w:rPr>
          <w:rFonts w:hint="eastAsia" w:ascii="仿宋" w:hAnsi="仿宋" w:eastAsia="仿宋" w:cs="仿宋"/>
          <w:snapToGrid w:val="0"/>
          <w:color w:val="auto"/>
          <w:kern w:val="0"/>
          <w:sz w:val="22"/>
          <w:szCs w:val="22"/>
          <w:highlight w:val="none"/>
        </w:rPr>
      </w:pPr>
      <w:r>
        <w:rPr>
          <w:rFonts w:hint="eastAsia" w:ascii="仿宋" w:hAnsi="仿宋" w:eastAsia="仿宋" w:cs="仿宋"/>
          <w:snapToGrid w:val="0"/>
          <w:color w:val="auto"/>
          <w:kern w:val="0"/>
          <w:sz w:val="22"/>
          <w:szCs w:val="22"/>
          <w:highlight w:val="none"/>
        </w:rPr>
        <w:t>若投标人须知前附表与总则不一致的地方，以投标人须知前附表为准。</w:t>
      </w:r>
    </w:p>
    <w:tbl>
      <w:tblPr>
        <w:tblStyle w:val="17"/>
        <w:tblW w:w="1005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5"/>
        <w:gridCol w:w="1573"/>
        <w:gridCol w:w="7474"/>
      </w:tblGrid>
      <w:tr w14:paraId="4CF24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1005" w:type="dxa"/>
            <w:vAlign w:val="center"/>
          </w:tcPr>
          <w:p w14:paraId="3EECB28E">
            <w:pPr>
              <w:keepNext w:val="0"/>
              <w:keepLines w:val="0"/>
              <w:pageBreakBefore w:val="0"/>
              <w:kinsoku/>
              <w:wordWrap/>
              <w:overflowPunct/>
              <w:bidi w:val="0"/>
              <w:snapToGrid w:val="0"/>
              <w:spacing w:line="440" w:lineRule="exact"/>
              <w:jc w:val="center"/>
              <w:textAlignment w:val="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条款号</w:t>
            </w:r>
          </w:p>
        </w:tc>
        <w:tc>
          <w:tcPr>
            <w:tcW w:w="1573" w:type="dxa"/>
            <w:vAlign w:val="center"/>
          </w:tcPr>
          <w:p w14:paraId="198AD40B">
            <w:pPr>
              <w:keepNext w:val="0"/>
              <w:keepLines w:val="0"/>
              <w:pageBreakBefore w:val="0"/>
              <w:kinsoku/>
              <w:wordWrap/>
              <w:overflowPunct/>
              <w:bidi w:val="0"/>
              <w:snapToGrid w:val="0"/>
              <w:spacing w:line="440" w:lineRule="exact"/>
              <w:jc w:val="center"/>
              <w:textAlignment w:val="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条款名称</w:t>
            </w:r>
          </w:p>
        </w:tc>
        <w:tc>
          <w:tcPr>
            <w:tcW w:w="7474" w:type="dxa"/>
            <w:vAlign w:val="center"/>
          </w:tcPr>
          <w:p w14:paraId="7DF57765">
            <w:pPr>
              <w:keepNext w:val="0"/>
              <w:keepLines w:val="0"/>
              <w:pageBreakBefore w:val="0"/>
              <w:kinsoku/>
              <w:wordWrap/>
              <w:overflowPunct/>
              <w:bidi w:val="0"/>
              <w:snapToGrid w:val="0"/>
              <w:spacing w:line="440" w:lineRule="exact"/>
              <w:jc w:val="center"/>
              <w:textAlignment w:val="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编列内容</w:t>
            </w:r>
          </w:p>
        </w:tc>
      </w:tr>
      <w:tr w14:paraId="3FD83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005" w:type="dxa"/>
            <w:vAlign w:val="center"/>
          </w:tcPr>
          <w:p w14:paraId="06EF640D">
            <w:pPr>
              <w:keepNext w:val="0"/>
              <w:keepLines w:val="0"/>
              <w:pageBreakBefore w:val="0"/>
              <w:kinsoku/>
              <w:wordWrap/>
              <w:overflowPunct/>
              <w:bidi w:val="0"/>
              <w:snapToGrid w:val="0"/>
              <w:spacing w:before="120" w:beforeLines="50" w:after="120" w:afterLines="50" w:line="440" w:lineRule="exact"/>
              <w:textAlignment w:val="auto"/>
              <w:rPr>
                <w:rFonts w:hint="eastAsia" w:ascii="仿宋" w:hAnsi="仿宋" w:eastAsia="仿宋" w:cs="仿宋"/>
                <w:color w:val="auto"/>
                <w:sz w:val="22"/>
                <w:highlight w:val="none"/>
              </w:rPr>
            </w:pPr>
            <w:r>
              <w:rPr>
                <w:rFonts w:hint="eastAsia" w:ascii="仿宋" w:hAnsi="仿宋" w:eastAsia="仿宋" w:cs="仿宋"/>
                <w:color w:val="auto"/>
                <w:sz w:val="22"/>
                <w:highlight w:val="none"/>
              </w:rPr>
              <w:t>1.1.2</w:t>
            </w:r>
          </w:p>
        </w:tc>
        <w:tc>
          <w:tcPr>
            <w:tcW w:w="1573" w:type="dxa"/>
            <w:vAlign w:val="center"/>
          </w:tcPr>
          <w:p w14:paraId="28DDFD1F">
            <w:pPr>
              <w:keepNext w:val="0"/>
              <w:keepLines w:val="0"/>
              <w:pageBreakBefore w:val="0"/>
              <w:kinsoku/>
              <w:wordWrap/>
              <w:overflowPunct/>
              <w:bidi w:val="0"/>
              <w:snapToGrid w:val="0"/>
              <w:spacing w:before="120" w:beforeLines="50" w:after="120" w:afterLines="50" w:line="440" w:lineRule="exact"/>
              <w:textAlignment w:val="auto"/>
              <w:rPr>
                <w:rFonts w:hint="eastAsia" w:ascii="仿宋" w:hAnsi="仿宋" w:eastAsia="仿宋" w:cs="仿宋"/>
                <w:color w:val="auto"/>
                <w:sz w:val="22"/>
                <w:highlight w:val="none"/>
              </w:rPr>
            </w:pPr>
            <w:r>
              <w:rPr>
                <w:rFonts w:hint="eastAsia" w:ascii="仿宋" w:hAnsi="仿宋" w:eastAsia="仿宋" w:cs="仿宋"/>
                <w:color w:val="auto"/>
                <w:sz w:val="22"/>
                <w:highlight w:val="none"/>
              </w:rPr>
              <w:t>招标人</w:t>
            </w:r>
          </w:p>
        </w:tc>
        <w:tc>
          <w:tcPr>
            <w:tcW w:w="7474" w:type="dxa"/>
            <w:vAlign w:val="center"/>
          </w:tcPr>
          <w:p w14:paraId="67446327">
            <w:pPr>
              <w:keepNext w:val="0"/>
              <w:keepLines w:val="0"/>
              <w:pageBreakBefore w:val="0"/>
              <w:kinsoku/>
              <w:wordWrap/>
              <w:overflowPunct/>
              <w:bidi w:val="0"/>
              <w:spacing w:line="440" w:lineRule="exact"/>
              <w:ind w:right="260" w:rightChars="93"/>
              <w:jc w:val="left"/>
              <w:textAlignment w:val="auto"/>
              <w:rPr>
                <w:rFonts w:hint="eastAsia" w:ascii="仿宋" w:hAnsi="仿宋" w:eastAsia="仿宋" w:cs="仿宋"/>
                <w:snapToGrid w:val="0"/>
                <w:color w:val="auto"/>
                <w:kern w:val="0"/>
                <w:sz w:val="22"/>
                <w:highlight w:val="none"/>
                <w:lang w:eastAsia="zh-CN"/>
              </w:rPr>
            </w:pPr>
            <w:r>
              <w:rPr>
                <w:rFonts w:hint="eastAsia" w:ascii="仿宋" w:hAnsi="仿宋" w:eastAsia="仿宋" w:cs="仿宋"/>
                <w:snapToGrid w:val="0"/>
                <w:color w:val="auto"/>
                <w:kern w:val="0"/>
                <w:sz w:val="22"/>
                <w:highlight w:val="none"/>
              </w:rPr>
              <w:t>招标人：</w:t>
            </w:r>
            <w:r>
              <w:rPr>
                <w:rFonts w:hint="eastAsia" w:ascii="仿宋" w:hAnsi="仿宋" w:eastAsia="仿宋" w:cs="仿宋"/>
                <w:snapToGrid w:val="0"/>
                <w:color w:val="auto"/>
                <w:kern w:val="0"/>
                <w:sz w:val="22"/>
                <w:highlight w:val="none"/>
                <w:lang w:eastAsia="zh-CN"/>
              </w:rPr>
              <w:t>重庆市渝北区人民政府回兴街道办事处</w:t>
            </w:r>
          </w:p>
          <w:p w14:paraId="16E91CA2">
            <w:pPr>
              <w:tabs>
                <w:tab w:val="left" w:pos="5140"/>
                <w:tab w:val="left" w:pos="8420"/>
              </w:tabs>
              <w:autoSpaceDE w:val="0"/>
              <w:autoSpaceDN w:val="0"/>
              <w:adjustRightInd w:val="0"/>
              <w:snapToGrid w:val="0"/>
              <w:spacing w:line="520" w:lineRule="exact"/>
              <w:jc w:val="left"/>
              <w:rPr>
                <w:rFonts w:hint="eastAsia" w:ascii="仿宋" w:hAnsi="仿宋" w:eastAsia="仿宋" w:cs="仿宋"/>
                <w:snapToGrid w:val="0"/>
                <w:color w:val="auto"/>
                <w:kern w:val="0"/>
                <w:sz w:val="22"/>
                <w:szCs w:val="22"/>
                <w:highlight w:val="none"/>
              </w:rPr>
            </w:pPr>
            <w:r>
              <w:rPr>
                <w:rFonts w:hint="eastAsia" w:ascii="仿宋" w:hAnsi="仿宋" w:eastAsia="仿宋" w:cs="仿宋"/>
                <w:snapToGrid w:val="0"/>
                <w:color w:val="auto"/>
                <w:kern w:val="0"/>
                <w:sz w:val="22"/>
                <w:szCs w:val="22"/>
                <w:highlight w:val="none"/>
              </w:rPr>
              <w:t>地址：重庆市渝北区服装城大道93号</w:t>
            </w:r>
          </w:p>
          <w:p w14:paraId="4CEEB000">
            <w:pPr>
              <w:tabs>
                <w:tab w:val="left" w:pos="5140"/>
                <w:tab w:val="left" w:pos="8420"/>
              </w:tabs>
              <w:autoSpaceDE w:val="0"/>
              <w:autoSpaceDN w:val="0"/>
              <w:adjustRightInd w:val="0"/>
              <w:snapToGrid w:val="0"/>
              <w:spacing w:line="520" w:lineRule="exact"/>
              <w:jc w:val="left"/>
              <w:rPr>
                <w:rFonts w:hint="eastAsia" w:ascii="仿宋" w:hAnsi="仿宋" w:eastAsia="仿宋" w:cs="仿宋"/>
                <w:snapToGrid w:val="0"/>
                <w:color w:val="auto"/>
                <w:kern w:val="0"/>
                <w:sz w:val="22"/>
                <w:szCs w:val="22"/>
                <w:highlight w:val="none"/>
                <w:lang w:val="en-US" w:eastAsia="zh-CN"/>
              </w:rPr>
            </w:pPr>
            <w:r>
              <w:rPr>
                <w:rFonts w:hint="eastAsia" w:ascii="仿宋" w:hAnsi="仿宋" w:eastAsia="仿宋" w:cs="仿宋"/>
                <w:snapToGrid w:val="0"/>
                <w:color w:val="auto"/>
                <w:kern w:val="0"/>
                <w:sz w:val="22"/>
                <w:szCs w:val="22"/>
                <w:highlight w:val="none"/>
              </w:rPr>
              <w:t>联系人：</w:t>
            </w:r>
            <w:r>
              <w:rPr>
                <w:rFonts w:hint="eastAsia" w:ascii="仿宋" w:hAnsi="仿宋" w:eastAsia="仿宋" w:cs="仿宋"/>
                <w:snapToGrid w:val="0"/>
                <w:color w:val="auto"/>
                <w:kern w:val="0"/>
                <w:sz w:val="22"/>
                <w:szCs w:val="22"/>
                <w:highlight w:val="none"/>
                <w:lang w:val="en-US" w:eastAsia="zh-CN"/>
              </w:rPr>
              <w:t>杨老师</w:t>
            </w:r>
          </w:p>
          <w:p w14:paraId="6823E23B">
            <w:pPr>
              <w:tabs>
                <w:tab w:val="left" w:pos="5140"/>
                <w:tab w:val="left" w:pos="8420"/>
              </w:tabs>
              <w:autoSpaceDE w:val="0"/>
              <w:autoSpaceDN w:val="0"/>
              <w:adjustRightInd w:val="0"/>
              <w:snapToGrid w:val="0"/>
              <w:spacing w:line="520" w:lineRule="exact"/>
              <w:jc w:val="left"/>
              <w:rPr>
                <w:rFonts w:hint="eastAsia" w:ascii="仿宋" w:hAnsi="仿宋" w:eastAsia="仿宋" w:cs="仿宋"/>
                <w:snapToGrid w:val="0"/>
                <w:color w:val="auto"/>
                <w:kern w:val="0"/>
                <w:sz w:val="22"/>
                <w:highlight w:val="none"/>
              </w:rPr>
            </w:pPr>
            <w:r>
              <w:rPr>
                <w:rFonts w:hint="eastAsia" w:ascii="仿宋" w:hAnsi="仿宋" w:eastAsia="仿宋" w:cs="仿宋"/>
                <w:snapToGrid w:val="0"/>
                <w:color w:val="auto"/>
                <w:kern w:val="0"/>
                <w:sz w:val="22"/>
                <w:szCs w:val="22"/>
                <w:highlight w:val="none"/>
              </w:rPr>
              <w:t>电话：</w:t>
            </w:r>
            <w:r>
              <w:rPr>
                <w:rFonts w:hint="eastAsia" w:ascii="仿宋" w:hAnsi="仿宋" w:eastAsia="仿宋" w:cs="仿宋"/>
                <w:snapToGrid w:val="0"/>
                <w:color w:val="auto"/>
                <w:kern w:val="0"/>
                <w:sz w:val="22"/>
                <w:szCs w:val="22"/>
                <w:highlight w:val="none"/>
                <w:lang w:val="en-US" w:eastAsia="zh-CN"/>
              </w:rPr>
              <w:t>67480936</w:t>
            </w:r>
          </w:p>
        </w:tc>
      </w:tr>
      <w:tr w14:paraId="019F7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005" w:type="dxa"/>
            <w:vAlign w:val="center"/>
          </w:tcPr>
          <w:p w14:paraId="65722D53">
            <w:pPr>
              <w:keepNext w:val="0"/>
              <w:keepLines w:val="0"/>
              <w:pageBreakBefore w:val="0"/>
              <w:kinsoku/>
              <w:wordWrap/>
              <w:overflowPunct/>
              <w:bidi w:val="0"/>
              <w:snapToGrid w:val="0"/>
              <w:spacing w:before="120" w:beforeLines="50" w:after="120" w:afterLines="50" w:line="440" w:lineRule="exact"/>
              <w:textAlignment w:val="auto"/>
              <w:rPr>
                <w:rFonts w:hint="eastAsia" w:ascii="仿宋" w:hAnsi="仿宋" w:eastAsia="仿宋" w:cs="仿宋"/>
                <w:color w:val="auto"/>
                <w:sz w:val="22"/>
                <w:highlight w:val="none"/>
              </w:rPr>
            </w:pPr>
            <w:r>
              <w:rPr>
                <w:rFonts w:hint="eastAsia" w:ascii="仿宋" w:hAnsi="仿宋" w:eastAsia="仿宋" w:cs="仿宋"/>
                <w:color w:val="auto"/>
                <w:sz w:val="22"/>
                <w:highlight w:val="none"/>
              </w:rPr>
              <w:t>1.1.3</w:t>
            </w:r>
          </w:p>
        </w:tc>
        <w:tc>
          <w:tcPr>
            <w:tcW w:w="1573" w:type="dxa"/>
            <w:vAlign w:val="center"/>
          </w:tcPr>
          <w:p w14:paraId="6841A876">
            <w:pPr>
              <w:keepNext w:val="0"/>
              <w:keepLines w:val="0"/>
              <w:pageBreakBefore w:val="0"/>
              <w:kinsoku/>
              <w:wordWrap/>
              <w:overflowPunct/>
              <w:bidi w:val="0"/>
              <w:snapToGrid w:val="0"/>
              <w:spacing w:before="120" w:beforeLines="50" w:after="120" w:afterLines="50" w:line="440" w:lineRule="exact"/>
              <w:textAlignment w:val="auto"/>
              <w:rPr>
                <w:rFonts w:hint="eastAsia" w:ascii="仿宋" w:hAnsi="仿宋" w:eastAsia="仿宋" w:cs="仿宋"/>
                <w:color w:val="auto"/>
                <w:sz w:val="22"/>
                <w:highlight w:val="none"/>
              </w:rPr>
            </w:pPr>
            <w:r>
              <w:rPr>
                <w:rFonts w:hint="eastAsia" w:ascii="仿宋" w:hAnsi="仿宋" w:eastAsia="仿宋" w:cs="仿宋"/>
                <w:color w:val="auto"/>
                <w:sz w:val="22"/>
                <w:highlight w:val="none"/>
              </w:rPr>
              <w:t>招标代理机构</w:t>
            </w:r>
          </w:p>
        </w:tc>
        <w:tc>
          <w:tcPr>
            <w:tcW w:w="7474" w:type="dxa"/>
            <w:vAlign w:val="center"/>
          </w:tcPr>
          <w:p w14:paraId="39E89281">
            <w:pPr>
              <w:keepNext w:val="0"/>
              <w:keepLines w:val="0"/>
              <w:pageBreakBefore w:val="0"/>
              <w:kinsoku/>
              <w:wordWrap/>
              <w:overflowPunct/>
              <w:bidi w:val="0"/>
              <w:spacing w:line="440" w:lineRule="exact"/>
              <w:ind w:right="260" w:rightChars="93"/>
              <w:jc w:val="left"/>
              <w:textAlignment w:val="auto"/>
              <w:rPr>
                <w:rFonts w:hint="eastAsia" w:ascii="仿宋" w:hAnsi="仿宋" w:eastAsia="仿宋" w:cs="仿宋"/>
                <w:snapToGrid w:val="0"/>
                <w:color w:val="auto"/>
                <w:kern w:val="0"/>
                <w:sz w:val="22"/>
                <w:highlight w:val="none"/>
                <w:lang w:eastAsia="zh-CN"/>
              </w:rPr>
            </w:pPr>
            <w:r>
              <w:rPr>
                <w:rFonts w:hint="eastAsia" w:ascii="仿宋" w:hAnsi="仿宋" w:eastAsia="仿宋" w:cs="仿宋"/>
                <w:snapToGrid w:val="0"/>
                <w:color w:val="auto"/>
                <w:kern w:val="0"/>
                <w:sz w:val="22"/>
                <w:highlight w:val="none"/>
              </w:rPr>
              <w:t>名称：</w:t>
            </w:r>
            <w:r>
              <w:rPr>
                <w:rFonts w:hint="eastAsia" w:ascii="仿宋" w:hAnsi="仿宋" w:eastAsia="仿宋" w:cs="仿宋"/>
                <w:snapToGrid w:val="0"/>
                <w:color w:val="auto"/>
                <w:kern w:val="0"/>
                <w:sz w:val="22"/>
                <w:highlight w:val="none"/>
                <w:lang w:eastAsia="zh-CN"/>
              </w:rPr>
              <w:t>盛世诚达工程咨询有限公司</w:t>
            </w:r>
          </w:p>
          <w:p w14:paraId="48759A14">
            <w:pPr>
              <w:tabs>
                <w:tab w:val="left" w:pos="5140"/>
                <w:tab w:val="left" w:pos="8420"/>
              </w:tabs>
              <w:autoSpaceDE w:val="0"/>
              <w:autoSpaceDN w:val="0"/>
              <w:adjustRightInd w:val="0"/>
              <w:snapToGrid w:val="0"/>
              <w:spacing w:line="520" w:lineRule="exact"/>
              <w:jc w:val="left"/>
              <w:rPr>
                <w:rFonts w:hint="default" w:ascii="仿宋" w:hAnsi="仿宋" w:eastAsia="仿宋" w:cs="仿宋"/>
                <w:snapToGrid w:val="0"/>
                <w:color w:val="auto"/>
                <w:kern w:val="0"/>
                <w:sz w:val="22"/>
                <w:szCs w:val="22"/>
                <w:highlight w:val="none"/>
                <w:lang w:val="en-US" w:eastAsia="zh-CN"/>
              </w:rPr>
            </w:pPr>
            <w:r>
              <w:rPr>
                <w:rFonts w:hint="eastAsia" w:ascii="仿宋" w:hAnsi="仿宋" w:eastAsia="仿宋" w:cs="仿宋"/>
                <w:snapToGrid w:val="0"/>
                <w:color w:val="auto"/>
                <w:kern w:val="0"/>
                <w:sz w:val="22"/>
                <w:szCs w:val="22"/>
                <w:highlight w:val="none"/>
              </w:rPr>
              <w:t>地址：</w:t>
            </w:r>
            <w:r>
              <w:rPr>
                <w:rFonts w:hint="eastAsia" w:ascii="仿宋" w:hAnsi="仿宋" w:eastAsia="仿宋" w:cs="仿宋"/>
                <w:snapToGrid w:val="0"/>
                <w:color w:val="auto"/>
                <w:kern w:val="0"/>
                <w:sz w:val="22"/>
                <w:szCs w:val="22"/>
                <w:highlight w:val="none"/>
                <w:lang w:val="en-US" w:eastAsia="zh-CN"/>
              </w:rPr>
              <w:t>重庆市渝北区华山北路中交总部基地3栋7楼</w:t>
            </w:r>
          </w:p>
          <w:p w14:paraId="57171E4A">
            <w:pPr>
              <w:tabs>
                <w:tab w:val="left" w:pos="5140"/>
                <w:tab w:val="left" w:pos="8420"/>
              </w:tabs>
              <w:autoSpaceDE w:val="0"/>
              <w:autoSpaceDN w:val="0"/>
              <w:adjustRightInd w:val="0"/>
              <w:snapToGrid w:val="0"/>
              <w:spacing w:line="520" w:lineRule="exact"/>
              <w:jc w:val="left"/>
              <w:rPr>
                <w:rFonts w:hint="default" w:ascii="仿宋" w:hAnsi="仿宋" w:eastAsia="仿宋" w:cs="仿宋"/>
                <w:snapToGrid w:val="0"/>
                <w:color w:val="auto"/>
                <w:kern w:val="0"/>
                <w:sz w:val="22"/>
                <w:szCs w:val="22"/>
                <w:highlight w:val="none"/>
                <w:lang w:val="en-US" w:eastAsia="zh-CN"/>
              </w:rPr>
            </w:pPr>
            <w:r>
              <w:rPr>
                <w:rFonts w:hint="eastAsia" w:ascii="仿宋" w:hAnsi="仿宋" w:eastAsia="仿宋" w:cs="仿宋"/>
                <w:snapToGrid w:val="0"/>
                <w:color w:val="auto"/>
                <w:kern w:val="0"/>
                <w:sz w:val="22"/>
                <w:szCs w:val="22"/>
                <w:highlight w:val="none"/>
              </w:rPr>
              <w:t>联系人：</w:t>
            </w:r>
            <w:r>
              <w:rPr>
                <w:rFonts w:hint="eastAsia" w:ascii="仿宋" w:hAnsi="仿宋" w:eastAsia="仿宋" w:cs="仿宋"/>
                <w:snapToGrid w:val="0"/>
                <w:color w:val="auto"/>
                <w:kern w:val="0"/>
                <w:sz w:val="22"/>
                <w:szCs w:val="22"/>
                <w:highlight w:val="none"/>
                <w:lang w:val="en-US" w:eastAsia="zh-CN"/>
              </w:rPr>
              <w:t>杨老师</w:t>
            </w:r>
            <w:r>
              <w:rPr>
                <w:rFonts w:hint="eastAsia" w:ascii="仿宋" w:hAnsi="仿宋" w:eastAsia="仿宋" w:cs="仿宋"/>
                <w:snapToGrid w:val="0"/>
                <w:color w:val="auto"/>
                <w:kern w:val="0"/>
                <w:sz w:val="22"/>
                <w:szCs w:val="22"/>
                <w:highlight w:val="none"/>
                <w:lang w:val="en-US" w:eastAsia="zh-CN"/>
              </w:rPr>
              <w:tab/>
            </w:r>
          </w:p>
          <w:p w14:paraId="32AC9F43">
            <w:pPr>
              <w:keepNext w:val="0"/>
              <w:keepLines w:val="0"/>
              <w:pageBreakBefore w:val="0"/>
              <w:kinsoku/>
              <w:wordWrap/>
              <w:overflowPunct/>
              <w:bidi w:val="0"/>
              <w:spacing w:line="440" w:lineRule="exact"/>
              <w:ind w:right="260" w:rightChars="93"/>
              <w:jc w:val="left"/>
              <w:textAlignment w:val="auto"/>
              <w:rPr>
                <w:rFonts w:hint="eastAsia" w:ascii="仿宋" w:hAnsi="仿宋" w:eastAsia="仿宋" w:cs="仿宋"/>
                <w:snapToGrid w:val="0"/>
                <w:color w:val="auto"/>
                <w:kern w:val="0"/>
                <w:sz w:val="22"/>
                <w:highlight w:val="none"/>
              </w:rPr>
            </w:pPr>
            <w:r>
              <w:rPr>
                <w:rFonts w:hint="eastAsia" w:ascii="仿宋" w:hAnsi="仿宋" w:eastAsia="仿宋" w:cs="仿宋"/>
                <w:b w:val="0"/>
                <w:bCs w:val="0"/>
                <w:snapToGrid w:val="0"/>
                <w:color w:val="auto"/>
                <w:kern w:val="0"/>
                <w:sz w:val="22"/>
                <w:szCs w:val="22"/>
                <w:highlight w:val="none"/>
                <w:lang w:val="en-US" w:eastAsia="zh-CN" w:bidi="ar-SA"/>
              </w:rPr>
              <w:t>电话：18223095672</w:t>
            </w:r>
          </w:p>
        </w:tc>
      </w:tr>
      <w:tr w14:paraId="17C0D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005" w:type="dxa"/>
            <w:vAlign w:val="center"/>
          </w:tcPr>
          <w:p w14:paraId="5D8B1E53">
            <w:pPr>
              <w:keepNext w:val="0"/>
              <w:keepLines w:val="0"/>
              <w:pageBreakBefore w:val="0"/>
              <w:kinsoku/>
              <w:wordWrap/>
              <w:overflowPunct/>
              <w:bidi w:val="0"/>
              <w:snapToGrid w:val="0"/>
              <w:spacing w:before="120" w:beforeLines="50" w:after="120" w:afterLines="50" w:line="440" w:lineRule="exact"/>
              <w:textAlignment w:val="auto"/>
              <w:rPr>
                <w:rFonts w:hint="eastAsia" w:ascii="仿宋" w:hAnsi="仿宋" w:eastAsia="仿宋" w:cs="仿宋"/>
                <w:color w:val="auto"/>
                <w:sz w:val="22"/>
                <w:highlight w:val="none"/>
              </w:rPr>
            </w:pPr>
            <w:r>
              <w:rPr>
                <w:rFonts w:hint="eastAsia" w:ascii="仿宋" w:hAnsi="仿宋" w:eastAsia="仿宋" w:cs="仿宋"/>
                <w:color w:val="auto"/>
                <w:sz w:val="22"/>
                <w:highlight w:val="none"/>
              </w:rPr>
              <w:t>1.1.4</w:t>
            </w:r>
          </w:p>
        </w:tc>
        <w:tc>
          <w:tcPr>
            <w:tcW w:w="1573" w:type="dxa"/>
            <w:vAlign w:val="center"/>
          </w:tcPr>
          <w:p w14:paraId="3D173DA1">
            <w:pPr>
              <w:keepNext w:val="0"/>
              <w:keepLines w:val="0"/>
              <w:pageBreakBefore w:val="0"/>
              <w:kinsoku/>
              <w:wordWrap/>
              <w:overflowPunct/>
              <w:bidi w:val="0"/>
              <w:snapToGrid w:val="0"/>
              <w:spacing w:before="120" w:beforeLines="50" w:after="120" w:afterLines="50" w:line="440" w:lineRule="exact"/>
              <w:textAlignment w:val="auto"/>
              <w:rPr>
                <w:rFonts w:hint="eastAsia" w:ascii="仿宋" w:hAnsi="仿宋" w:eastAsia="仿宋" w:cs="仿宋"/>
                <w:color w:val="auto"/>
                <w:sz w:val="22"/>
                <w:highlight w:val="none"/>
              </w:rPr>
            </w:pPr>
            <w:r>
              <w:rPr>
                <w:rFonts w:hint="eastAsia" w:ascii="仿宋" w:hAnsi="仿宋" w:eastAsia="仿宋" w:cs="仿宋"/>
                <w:color w:val="auto"/>
                <w:sz w:val="22"/>
                <w:highlight w:val="none"/>
              </w:rPr>
              <w:t>项目名称</w:t>
            </w:r>
          </w:p>
        </w:tc>
        <w:tc>
          <w:tcPr>
            <w:tcW w:w="7474" w:type="dxa"/>
            <w:vAlign w:val="center"/>
          </w:tcPr>
          <w:p w14:paraId="3FA428DF">
            <w:pPr>
              <w:keepNext w:val="0"/>
              <w:keepLines w:val="0"/>
              <w:pageBreakBefore w:val="0"/>
              <w:kinsoku/>
              <w:wordWrap/>
              <w:overflowPunct/>
              <w:bidi w:val="0"/>
              <w:snapToGrid w:val="0"/>
              <w:spacing w:before="120" w:beforeLines="50" w:after="120" w:afterLines="50" w:line="440" w:lineRule="exact"/>
              <w:textAlignment w:val="auto"/>
              <w:rPr>
                <w:rFonts w:hint="eastAsia" w:ascii="仿宋" w:hAnsi="仿宋" w:eastAsia="仿宋" w:cs="仿宋"/>
                <w:snapToGrid w:val="0"/>
                <w:color w:val="auto"/>
                <w:kern w:val="0"/>
                <w:sz w:val="22"/>
                <w:highlight w:val="none"/>
                <w:lang w:eastAsia="zh-CN"/>
              </w:rPr>
            </w:pPr>
            <w:r>
              <w:rPr>
                <w:rFonts w:hint="eastAsia" w:ascii="仿宋" w:hAnsi="仿宋" w:eastAsia="仿宋" w:cs="仿宋"/>
                <w:color w:val="auto"/>
                <w:sz w:val="22"/>
                <w:szCs w:val="22"/>
                <w:highlight w:val="none"/>
                <w:lang w:eastAsia="zh-CN"/>
              </w:rPr>
              <w:t>回兴街道武警11中队绿化环境改造双拥项目</w:t>
            </w:r>
          </w:p>
        </w:tc>
      </w:tr>
      <w:tr w14:paraId="16E9B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005" w:type="dxa"/>
            <w:vAlign w:val="center"/>
          </w:tcPr>
          <w:p w14:paraId="5BCFE9BC">
            <w:pPr>
              <w:keepNext w:val="0"/>
              <w:keepLines w:val="0"/>
              <w:pageBreakBefore w:val="0"/>
              <w:kinsoku/>
              <w:wordWrap/>
              <w:overflowPunct/>
              <w:bidi w:val="0"/>
              <w:snapToGrid w:val="0"/>
              <w:spacing w:before="120" w:beforeLines="50" w:after="120" w:afterLines="50" w:line="440" w:lineRule="exact"/>
              <w:textAlignment w:val="auto"/>
              <w:rPr>
                <w:rFonts w:hint="eastAsia" w:ascii="仿宋" w:hAnsi="仿宋" w:eastAsia="仿宋" w:cs="仿宋"/>
                <w:color w:val="auto"/>
                <w:sz w:val="22"/>
                <w:highlight w:val="none"/>
              </w:rPr>
            </w:pPr>
            <w:r>
              <w:rPr>
                <w:rFonts w:hint="eastAsia" w:ascii="仿宋" w:hAnsi="仿宋" w:eastAsia="仿宋" w:cs="仿宋"/>
                <w:color w:val="auto"/>
                <w:sz w:val="22"/>
                <w:highlight w:val="none"/>
              </w:rPr>
              <w:t>1.1.5</w:t>
            </w:r>
          </w:p>
        </w:tc>
        <w:tc>
          <w:tcPr>
            <w:tcW w:w="1573" w:type="dxa"/>
            <w:vAlign w:val="center"/>
          </w:tcPr>
          <w:p w14:paraId="5246BB3F">
            <w:pPr>
              <w:keepNext w:val="0"/>
              <w:keepLines w:val="0"/>
              <w:pageBreakBefore w:val="0"/>
              <w:kinsoku/>
              <w:wordWrap/>
              <w:overflowPunct/>
              <w:bidi w:val="0"/>
              <w:snapToGrid w:val="0"/>
              <w:spacing w:before="120" w:beforeLines="50" w:after="120" w:afterLines="50" w:line="440" w:lineRule="exact"/>
              <w:textAlignment w:val="auto"/>
              <w:rPr>
                <w:rFonts w:hint="eastAsia" w:ascii="仿宋" w:hAnsi="仿宋" w:eastAsia="仿宋" w:cs="仿宋"/>
                <w:color w:val="auto"/>
                <w:sz w:val="22"/>
                <w:highlight w:val="none"/>
              </w:rPr>
            </w:pPr>
            <w:r>
              <w:rPr>
                <w:rFonts w:hint="eastAsia" w:ascii="仿宋" w:hAnsi="仿宋" w:eastAsia="仿宋" w:cs="仿宋"/>
                <w:color w:val="auto"/>
                <w:sz w:val="22"/>
                <w:highlight w:val="none"/>
              </w:rPr>
              <w:t>建设地点</w:t>
            </w:r>
          </w:p>
        </w:tc>
        <w:tc>
          <w:tcPr>
            <w:tcW w:w="7474" w:type="dxa"/>
            <w:vAlign w:val="center"/>
          </w:tcPr>
          <w:p w14:paraId="7E8A3394">
            <w:pPr>
              <w:keepNext w:val="0"/>
              <w:keepLines w:val="0"/>
              <w:pageBreakBefore w:val="0"/>
              <w:kinsoku/>
              <w:wordWrap/>
              <w:overflowPunct/>
              <w:bidi w:val="0"/>
              <w:snapToGrid w:val="0"/>
              <w:spacing w:before="120" w:beforeLines="50" w:after="120" w:afterLines="50" w:line="440" w:lineRule="exact"/>
              <w:textAlignment w:val="auto"/>
              <w:rPr>
                <w:rFonts w:hint="eastAsia" w:ascii="仿宋" w:hAnsi="仿宋" w:eastAsia="仿宋" w:cs="仿宋"/>
                <w:color w:val="auto"/>
                <w:sz w:val="22"/>
                <w:highlight w:val="none"/>
              </w:rPr>
            </w:pPr>
            <w:r>
              <w:rPr>
                <w:rFonts w:hint="eastAsia" w:ascii="仿宋" w:hAnsi="仿宋" w:eastAsia="仿宋" w:cs="仿宋"/>
                <w:snapToGrid w:val="0"/>
                <w:color w:val="auto"/>
                <w:kern w:val="0"/>
                <w:sz w:val="22"/>
                <w:highlight w:val="none"/>
              </w:rPr>
              <w:t>回兴街道武警中队</w:t>
            </w:r>
          </w:p>
        </w:tc>
      </w:tr>
      <w:tr w14:paraId="4B628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005" w:type="dxa"/>
            <w:vAlign w:val="center"/>
          </w:tcPr>
          <w:p w14:paraId="1E3246E2">
            <w:pPr>
              <w:keepNext w:val="0"/>
              <w:keepLines w:val="0"/>
              <w:pageBreakBefore w:val="0"/>
              <w:kinsoku/>
              <w:wordWrap/>
              <w:overflowPunct/>
              <w:bidi w:val="0"/>
              <w:snapToGrid w:val="0"/>
              <w:spacing w:before="120" w:beforeLines="50" w:after="120" w:afterLines="50" w:line="440" w:lineRule="exact"/>
              <w:textAlignment w:val="auto"/>
              <w:rPr>
                <w:rFonts w:hint="eastAsia" w:ascii="仿宋" w:hAnsi="仿宋" w:eastAsia="仿宋" w:cs="仿宋"/>
                <w:color w:val="auto"/>
                <w:sz w:val="22"/>
                <w:highlight w:val="none"/>
              </w:rPr>
            </w:pPr>
            <w:r>
              <w:rPr>
                <w:rFonts w:hint="eastAsia" w:ascii="仿宋" w:hAnsi="仿宋" w:eastAsia="仿宋" w:cs="仿宋"/>
                <w:color w:val="auto"/>
                <w:sz w:val="22"/>
                <w:highlight w:val="none"/>
              </w:rPr>
              <w:t>1.2.1</w:t>
            </w:r>
          </w:p>
        </w:tc>
        <w:tc>
          <w:tcPr>
            <w:tcW w:w="1573" w:type="dxa"/>
            <w:vAlign w:val="center"/>
          </w:tcPr>
          <w:p w14:paraId="09D5FB9C">
            <w:pPr>
              <w:keepNext w:val="0"/>
              <w:keepLines w:val="0"/>
              <w:pageBreakBefore w:val="0"/>
              <w:kinsoku/>
              <w:wordWrap/>
              <w:overflowPunct/>
              <w:bidi w:val="0"/>
              <w:snapToGrid w:val="0"/>
              <w:spacing w:before="120" w:beforeLines="50" w:after="120" w:afterLines="50" w:line="440" w:lineRule="exact"/>
              <w:textAlignment w:val="auto"/>
              <w:rPr>
                <w:rFonts w:hint="eastAsia" w:ascii="仿宋" w:hAnsi="仿宋" w:eastAsia="仿宋" w:cs="仿宋"/>
                <w:color w:val="auto"/>
                <w:sz w:val="22"/>
                <w:highlight w:val="none"/>
              </w:rPr>
            </w:pPr>
            <w:r>
              <w:rPr>
                <w:rFonts w:hint="eastAsia" w:ascii="仿宋" w:hAnsi="仿宋" w:eastAsia="仿宋" w:cs="仿宋"/>
                <w:color w:val="auto"/>
                <w:sz w:val="22"/>
                <w:highlight w:val="none"/>
              </w:rPr>
              <w:t>资金来源</w:t>
            </w:r>
          </w:p>
        </w:tc>
        <w:tc>
          <w:tcPr>
            <w:tcW w:w="7474" w:type="dxa"/>
            <w:vAlign w:val="center"/>
          </w:tcPr>
          <w:p w14:paraId="7122494A">
            <w:pPr>
              <w:keepNext w:val="0"/>
              <w:keepLines w:val="0"/>
              <w:pageBreakBefore w:val="0"/>
              <w:kinsoku/>
              <w:wordWrap/>
              <w:overflowPunct/>
              <w:bidi w:val="0"/>
              <w:snapToGrid w:val="0"/>
              <w:spacing w:before="120" w:beforeLines="50" w:after="120" w:afterLines="50" w:line="440" w:lineRule="exact"/>
              <w:textAlignment w:val="auto"/>
              <w:rPr>
                <w:rFonts w:hint="default" w:ascii="仿宋" w:hAnsi="仿宋" w:eastAsia="仿宋" w:cs="仿宋"/>
                <w:color w:val="auto"/>
                <w:sz w:val="22"/>
                <w:highlight w:val="none"/>
                <w:lang w:val="en-US" w:eastAsia="zh-CN"/>
              </w:rPr>
            </w:pPr>
            <w:r>
              <w:rPr>
                <w:rFonts w:hint="eastAsia" w:ascii="仿宋" w:hAnsi="仿宋" w:eastAsia="仿宋" w:cs="仿宋"/>
                <w:color w:val="auto"/>
                <w:sz w:val="22"/>
                <w:szCs w:val="22"/>
                <w:highlight w:val="none"/>
                <w:u w:val="none"/>
                <w:lang w:val="en-US" w:eastAsia="zh-CN"/>
              </w:rPr>
              <w:t>业主自筹</w:t>
            </w:r>
          </w:p>
        </w:tc>
      </w:tr>
      <w:tr w14:paraId="3DF97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005" w:type="dxa"/>
            <w:vAlign w:val="center"/>
          </w:tcPr>
          <w:p w14:paraId="1F363EBF">
            <w:pPr>
              <w:keepNext w:val="0"/>
              <w:keepLines w:val="0"/>
              <w:pageBreakBefore w:val="0"/>
              <w:kinsoku/>
              <w:wordWrap/>
              <w:overflowPunct/>
              <w:bidi w:val="0"/>
              <w:snapToGrid w:val="0"/>
              <w:spacing w:before="120" w:beforeLines="50" w:after="120" w:afterLines="50" w:line="440" w:lineRule="exact"/>
              <w:textAlignment w:val="auto"/>
              <w:rPr>
                <w:rFonts w:hint="eastAsia" w:ascii="仿宋" w:hAnsi="仿宋" w:eastAsia="仿宋" w:cs="仿宋"/>
                <w:color w:val="auto"/>
                <w:sz w:val="22"/>
                <w:highlight w:val="none"/>
              </w:rPr>
            </w:pPr>
            <w:r>
              <w:rPr>
                <w:rFonts w:hint="eastAsia" w:ascii="仿宋" w:hAnsi="仿宋" w:eastAsia="仿宋" w:cs="仿宋"/>
                <w:color w:val="auto"/>
                <w:sz w:val="22"/>
                <w:highlight w:val="none"/>
              </w:rPr>
              <w:t>1.2.2</w:t>
            </w:r>
          </w:p>
        </w:tc>
        <w:tc>
          <w:tcPr>
            <w:tcW w:w="1573" w:type="dxa"/>
            <w:vAlign w:val="center"/>
          </w:tcPr>
          <w:p w14:paraId="7F11EBF7">
            <w:pPr>
              <w:keepNext w:val="0"/>
              <w:keepLines w:val="0"/>
              <w:pageBreakBefore w:val="0"/>
              <w:kinsoku/>
              <w:wordWrap/>
              <w:overflowPunct/>
              <w:bidi w:val="0"/>
              <w:snapToGrid w:val="0"/>
              <w:spacing w:before="120" w:beforeLines="50" w:after="120" w:afterLines="50" w:line="440" w:lineRule="exact"/>
              <w:textAlignment w:val="auto"/>
              <w:rPr>
                <w:rFonts w:hint="eastAsia" w:ascii="仿宋" w:hAnsi="仿宋" w:eastAsia="仿宋" w:cs="仿宋"/>
                <w:color w:val="auto"/>
                <w:sz w:val="22"/>
                <w:highlight w:val="none"/>
              </w:rPr>
            </w:pPr>
            <w:r>
              <w:rPr>
                <w:rFonts w:hint="eastAsia" w:ascii="仿宋" w:hAnsi="仿宋" w:eastAsia="仿宋" w:cs="仿宋"/>
                <w:color w:val="auto"/>
                <w:sz w:val="22"/>
                <w:highlight w:val="none"/>
              </w:rPr>
              <w:t>出资比例</w:t>
            </w:r>
          </w:p>
        </w:tc>
        <w:tc>
          <w:tcPr>
            <w:tcW w:w="7474" w:type="dxa"/>
            <w:vAlign w:val="center"/>
          </w:tcPr>
          <w:p w14:paraId="6D9666FA">
            <w:pPr>
              <w:keepNext w:val="0"/>
              <w:keepLines w:val="0"/>
              <w:pageBreakBefore w:val="0"/>
              <w:kinsoku/>
              <w:wordWrap/>
              <w:overflowPunct/>
              <w:bidi w:val="0"/>
              <w:snapToGrid w:val="0"/>
              <w:spacing w:before="120" w:beforeLines="50" w:after="120" w:afterLines="50" w:line="440" w:lineRule="exact"/>
              <w:textAlignment w:val="auto"/>
              <w:rPr>
                <w:rFonts w:hint="eastAsia" w:ascii="仿宋" w:hAnsi="仿宋" w:eastAsia="仿宋" w:cs="仿宋"/>
                <w:color w:val="auto"/>
                <w:sz w:val="22"/>
                <w:highlight w:val="none"/>
              </w:rPr>
            </w:pPr>
            <w:r>
              <w:rPr>
                <w:rFonts w:hint="eastAsia" w:ascii="仿宋" w:hAnsi="仿宋" w:eastAsia="仿宋" w:cs="仿宋"/>
                <w:color w:val="auto"/>
                <w:sz w:val="22"/>
                <w:highlight w:val="none"/>
              </w:rPr>
              <w:t>100%</w:t>
            </w:r>
          </w:p>
        </w:tc>
      </w:tr>
      <w:tr w14:paraId="7F2E5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1005" w:type="dxa"/>
            <w:vAlign w:val="center"/>
          </w:tcPr>
          <w:p w14:paraId="2620E392">
            <w:pPr>
              <w:keepNext w:val="0"/>
              <w:keepLines w:val="0"/>
              <w:pageBreakBefore w:val="0"/>
              <w:kinsoku/>
              <w:wordWrap/>
              <w:overflowPunct/>
              <w:bidi w:val="0"/>
              <w:snapToGrid w:val="0"/>
              <w:spacing w:before="120" w:beforeLines="50" w:after="120" w:afterLines="50" w:line="440" w:lineRule="exact"/>
              <w:textAlignment w:val="auto"/>
              <w:rPr>
                <w:rFonts w:hint="eastAsia" w:ascii="仿宋" w:hAnsi="仿宋" w:eastAsia="仿宋" w:cs="仿宋"/>
                <w:color w:val="auto"/>
                <w:sz w:val="22"/>
                <w:highlight w:val="none"/>
              </w:rPr>
            </w:pPr>
            <w:r>
              <w:rPr>
                <w:rFonts w:hint="eastAsia" w:ascii="仿宋" w:hAnsi="仿宋" w:eastAsia="仿宋" w:cs="仿宋"/>
                <w:color w:val="auto"/>
                <w:sz w:val="22"/>
                <w:highlight w:val="none"/>
              </w:rPr>
              <w:t>1.3.1</w:t>
            </w:r>
          </w:p>
        </w:tc>
        <w:tc>
          <w:tcPr>
            <w:tcW w:w="1573" w:type="dxa"/>
            <w:vAlign w:val="center"/>
          </w:tcPr>
          <w:p w14:paraId="56C716FA">
            <w:pPr>
              <w:keepNext w:val="0"/>
              <w:keepLines w:val="0"/>
              <w:pageBreakBefore w:val="0"/>
              <w:kinsoku/>
              <w:wordWrap/>
              <w:overflowPunct/>
              <w:bidi w:val="0"/>
              <w:snapToGrid w:val="0"/>
              <w:spacing w:before="120" w:beforeLines="50" w:after="120" w:afterLines="50" w:line="440" w:lineRule="exact"/>
              <w:textAlignment w:val="auto"/>
              <w:rPr>
                <w:rFonts w:hint="eastAsia" w:ascii="仿宋" w:hAnsi="仿宋" w:eastAsia="仿宋" w:cs="仿宋"/>
                <w:color w:val="auto"/>
                <w:sz w:val="22"/>
                <w:highlight w:val="none"/>
              </w:rPr>
            </w:pPr>
            <w:r>
              <w:rPr>
                <w:rFonts w:hint="eastAsia" w:ascii="仿宋" w:hAnsi="仿宋" w:eastAsia="仿宋" w:cs="仿宋"/>
                <w:color w:val="auto"/>
                <w:sz w:val="22"/>
                <w:highlight w:val="none"/>
              </w:rPr>
              <w:t>比选范围</w:t>
            </w:r>
          </w:p>
        </w:tc>
        <w:tc>
          <w:tcPr>
            <w:tcW w:w="7474" w:type="dxa"/>
            <w:vAlign w:val="center"/>
          </w:tcPr>
          <w:p w14:paraId="2EC964D7">
            <w:pPr>
              <w:keepNext w:val="0"/>
              <w:keepLines w:val="0"/>
              <w:pageBreakBefore w:val="0"/>
              <w:kinsoku/>
              <w:wordWrap/>
              <w:overflowPunct/>
              <w:bidi w:val="0"/>
              <w:snapToGrid w:val="0"/>
              <w:spacing w:before="120" w:beforeLines="50" w:after="120" w:afterLines="50" w:line="440" w:lineRule="exact"/>
              <w:ind w:firstLine="440" w:firstLineChars="200"/>
              <w:textAlignment w:val="auto"/>
              <w:rPr>
                <w:rFonts w:hint="eastAsia" w:ascii="仿宋" w:hAnsi="仿宋" w:eastAsia="仿宋" w:cs="仿宋"/>
                <w:snapToGrid w:val="0"/>
                <w:color w:val="auto"/>
                <w:kern w:val="0"/>
                <w:sz w:val="22"/>
                <w:highlight w:val="none"/>
              </w:rPr>
            </w:pPr>
            <w:r>
              <w:rPr>
                <w:rFonts w:hint="eastAsia" w:ascii="仿宋" w:hAnsi="仿宋" w:eastAsia="仿宋" w:cs="仿宋"/>
                <w:color w:val="auto"/>
                <w:sz w:val="22"/>
                <w:highlight w:val="none"/>
              </w:rPr>
              <w:t>具体详见招标人提供的工程量清单、招标文件以及招标文件补遗、答疑、澄清中补充的全部工程内容。</w:t>
            </w:r>
          </w:p>
        </w:tc>
      </w:tr>
      <w:tr w14:paraId="07DFA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005" w:type="dxa"/>
            <w:vAlign w:val="center"/>
          </w:tcPr>
          <w:p w14:paraId="2F778434">
            <w:pPr>
              <w:keepNext w:val="0"/>
              <w:keepLines w:val="0"/>
              <w:pageBreakBefore w:val="0"/>
              <w:kinsoku/>
              <w:wordWrap/>
              <w:overflowPunct/>
              <w:bidi w:val="0"/>
              <w:snapToGrid w:val="0"/>
              <w:spacing w:before="120" w:beforeLines="50" w:after="120" w:afterLines="50" w:line="440" w:lineRule="exac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1.3.2</w:t>
            </w:r>
          </w:p>
        </w:tc>
        <w:tc>
          <w:tcPr>
            <w:tcW w:w="1573" w:type="dxa"/>
            <w:vAlign w:val="center"/>
          </w:tcPr>
          <w:p w14:paraId="171788FF">
            <w:pPr>
              <w:keepNext w:val="0"/>
              <w:keepLines w:val="0"/>
              <w:pageBreakBefore w:val="0"/>
              <w:kinsoku/>
              <w:wordWrap/>
              <w:overflowPunct/>
              <w:bidi w:val="0"/>
              <w:snapToGrid w:val="0"/>
              <w:spacing w:line="440" w:lineRule="exact"/>
              <w:textAlignment w:val="auto"/>
              <w:rPr>
                <w:rFonts w:hint="eastAsia" w:ascii="仿宋" w:hAnsi="仿宋" w:eastAsia="仿宋" w:cs="仿宋"/>
                <w:snapToGrid w:val="0"/>
                <w:color w:val="auto"/>
                <w:kern w:val="0"/>
                <w:sz w:val="21"/>
                <w:szCs w:val="21"/>
                <w:highlight w:val="none"/>
              </w:rPr>
            </w:pPr>
            <w:r>
              <w:rPr>
                <w:rFonts w:hint="eastAsia" w:ascii="仿宋" w:hAnsi="仿宋" w:eastAsia="仿宋" w:cs="仿宋"/>
                <w:color w:val="auto"/>
                <w:sz w:val="22"/>
                <w:highlight w:val="none"/>
              </w:rPr>
              <w:t>工期</w:t>
            </w:r>
          </w:p>
        </w:tc>
        <w:tc>
          <w:tcPr>
            <w:tcW w:w="7474" w:type="dxa"/>
            <w:vAlign w:val="center"/>
          </w:tcPr>
          <w:p w14:paraId="7CEF6AC3">
            <w:pPr>
              <w:keepNext w:val="0"/>
              <w:keepLines w:val="0"/>
              <w:pageBreakBefore w:val="0"/>
              <w:tabs>
                <w:tab w:val="left" w:pos="4305"/>
                <w:tab w:val="left" w:pos="4640"/>
                <w:tab w:val="left" w:pos="7240"/>
              </w:tabs>
              <w:kinsoku/>
              <w:wordWrap/>
              <w:overflowPunct/>
              <w:autoSpaceDE w:val="0"/>
              <w:autoSpaceDN w:val="0"/>
              <w:bidi w:val="0"/>
              <w:adjustRightInd w:val="0"/>
              <w:snapToGrid w:val="0"/>
              <w:spacing w:line="440" w:lineRule="exact"/>
              <w:ind w:firstLine="210" w:firstLineChars="100"/>
              <w:jc w:val="left"/>
              <w:textAlignment w:val="auto"/>
              <w:rPr>
                <w:rFonts w:hint="eastAsia" w:ascii="仿宋" w:hAnsi="仿宋" w:eastAsia="仿宋" w:cs="仿宋"/>
                <w:snapToGrid w:val="0"/>
                <w:color w:val="auto"/>
                <w:kern w:val="0"/>
                <w:sz w:val="21"/>
                <w:szCs w:val="21"/>
                <w:highlight w:val="none"/>
              </w:rPr>
            </w:pPr>
            <w:r>
              <w:rPr>
                <w:rFonts w:hint="eastAsia" w:ascii="仿宋" w:hAnsi="仿宋" w:eastAsia="仿宋" w:cs="仿宋"/>
                <w:snapToGrid w:val="0"/>
                <w:color w:val="auto"/>
                <w:kern w:val="0"/>
                <w:sz w:val="21"/>
                <w:szCs w:val="21"/>
                <w:highlight w:val="none"/>
                <w:u w:val="single"/>
                <w:lang w:val="en-US" w:eastAsia="zh-CN"/>
              </w:rPr>
              <w:t>30</w:t>
            </w:r>
            <w:r>
              <w:rPr>
                <w:rFonts w:hint="eastAsia" w:ascii="仿宋" w:hAnsi="仿宋" w:eastAsia="仿宋" w:cs="仿宋"/>
                <w:snapToGrid w:val="0"/>
                <w:color w:val="auto"/>
                <w:kern w:val="0"/>
                <w:sz w:val="21"/>
                <w:szCs w:val="21"/>
                <w:highlight w:val="none"/>
              </w:rPr>
              <w:t>天</w:t>
            </w:r>
          </w:p>
        </w:tc>
      </w:tr>
      <w:tr w14:paraId="02A69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05" w:type="dxa"/>
            <w:vAlign w:val="center"/>
          </w:tcPr>
          <w:p w14:paraId="2A7C84C0">
            <w:pPr>
              <w:keepNext w:val="0"/>
              <w:keepLines w:val="0"/>
              <w:pageBreakBefore w:val="0"/>
              <w:kinsoku/>
              <w:wordWrap/>
              <w:overflowPunct/>
              <w:bidi w:val="0"/>
              <w:snapToGrid w:val="0"/>
              <w:spacing w:before="120" w:beforeLines="50" w:after="120" w:afterLines="50" w:line="440" w:lineRule="exact"/>
              <w:textAlignment w:val="auto"/>
              <w:rPr>
                <w:rFonts w:hint="eastAsia" w:ascii="仿宋" w:hAnsi="仿宋" w:eastAsia="仿宋" w:cs="仿宋"/>
                <w:color w:val="auto"/>
                <w:sz w:val="22"/>
                <w:highlight w:val="none"/>
              </w:rPr>
            </w:pPr>
            <w:r>
              <w:rPr>
                <w:rFonts w:hint="eastAsia" w:ascii="仿宋" w:hAnsi="仿宋" w:eastAsia="仿宋" w:cs="仿宋"/>
                <w:color w:val="auto"/>
                <w:sz w:val="22"/>
                <w:highlight w:val="none"/>
              </w:rPr>
              <w:t>1.3.3</w:t>
            </w:r>
          </w:p>
        </w:tc>
        <w:tc>
          <w:tcPr>
            <w:tcW w:w="1573" w:type="dxa"/>
            <w:vAlign w:val="center"/>
          </w:tcPr>
          <w:p w14:paraId="05FD70C0">
            <w:pPr>
              <w:keepNext w:val="0"/>
              <w:keepLines w:val="0"/>
              <w:pageBreakBefore w:val="0"/>
              <w:kinsoku/>
              <w:wordWrap/>
              <w:overflowPunct/>
              <w:bidi w:val="0"/>
              <w:snapToGrid w:val="0"/>
              <w:spacing w:before="120" w:beforeLines="50" w:after="120" w:afterLines="50" w:line="440" w:lineRule="exact"/>
              <w:textAlignment w:val="auto"/>
              <w:rPr>
                <w:rFonts w:hint="eastAsia" w:ascii="仿宋" w:hAnsi="仿宋" w:eastAsia="仿宋" w:cs="仿宋"/>
                <w:color w:val="auto"/>
                <w:sz w:val="22"/>
                <w:highlight w:val="none"/>
              </w:rPr>
            </w:pPr>
            <w:r>
              <w:rPr>
                <w:rFonts w:hint="eastAsia" w:ascii="仿宋" w:hAnsi="仿宋" w:eastAsia="仿宋" w:cs="仿宋"/>
                <w:color w:val="auto"/>
                <w:sz w:val="22"/>
                <w:highlight w:val="none"/>
              </w:rPr>
              <w:t>质量要求</w:t>
            </w:r>
          </w:p>
        </w:tc>
        <w:tc>
          <w:tcPr>
            <w:tcW w:w="7474" w:type="dxa"/>
            <w:vAlign w:val="center"/>
          </w:tcPr>
          <w:p w14:paraId="66DB35A9">
            <w:pPr>
              <w:keepNext w:val="0"/>
              <w:keepLines w:val="0"/>
              <w:pageBreakBefore w:val="0"/>
              <w:kinsoku/>
              <w:wordWrap/>
              <w:overflowPunct/>
              <w:bidi w:val="0"/>
              <w:spacing w:line="440" w:lineRule="exact"/>
              <w:jc w:val="left"/>
              <w:textAlignment w:val="auto"/>
              <w:rPr>
                <w:rFonts w:hint="eastAsia" w:ascii="仿宋" w:hAnsi="仿宋" w:eastAsia="仿宋" w:cs="仿宋"/>
                <w:color w:val="auto"/>
                <w:sz w:val="22"/>
                <w:highlight w:val="none"/>
              </w:rPr>
            </w:pPr>
            <w:r>
              <w:rPr>
                <w:rFonts w:hint="eastAsia" w:ascii="仿宋" w:hAnsi="仿宋" w:eastAsia="仿宋" w:cs="仿宋"/>
                <w:color w:val="auto"/>
                <w:sz w:val="22"/>
                <w:highlight w:val="none"/>
              </w:rPr>
              <w:t>符合强制性质量标准，</w:t>
            </w:r>
            <w:r>
              <w:rPr>
                <w:rFonts w:hint="eastAsia" w:ascii="仿宋" w:hAnsi="仿宋" w:eastAsia="仿宋" w:cs="仿宋"/>
                <w:color w:val="auto"/>
                <w:sz w:val="22"/>
                <w:highlight w:val="none"/>
                <w:u w:val="single"/>
              </w:rPr>
              <w:t>符合国家和重庆市现行有关施工质量验收规范要求，并达到合格标准</w:t>
            </w:r>
            <w:r>
              <w:rPr>
                <w:rFonts w:hint="eastAsia" w:ascii="仿宋" w:hAnsi="仿宋" w:eastAsia="仿宋" w:cs="仿宋"/>
                <w:color w:val="auto"/>
                <w:sz w:val="22"/>
                <w:highlight w:val="none"/>
              </w:rPr>
              <w:t>。</w:t>
            </w:r>
          </w:p>
        </w:tc>
      </w:tr>
      <w:tr w14:paraId="636EB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05" w:type="dxa"/>
            <w:vAlign w:val="center"/>
          </w:tcPr>
          <w:p w14:paraId="4B466743">
            <w:pPr>
              <w:keepNext w:val="0"/>
              <w:keepLines w:val="0"/>
              <w:pageBreakBefore w:val="0"/>
              <w:kinsoku/>
              <w:wordWrap/>
              <w:overflowPunct/>
              <w:bidi w:val="0"/>
              <w:snapToGrid w:val="0"/>
              <w:spacing w:before="120" w:beforeLines="50" w:after="120" w:afterLines="50" w:line="440" w:lineRule="exact"/>
              <w:textAlignment w:val="auto"/>
              <w:rPr>
                <w:rFonts w:hint="eastAsia" w:ascii="仿宋" w:hAnsi="仿宋" w:eastAsia="仿宋" w:cs="仿宋"/>
                <w:color w:val="auto"/>
                <w:sz w:val="22"/>
                <w:highlight w:val="none"/>
              </w:rPr>
            </w:pPr>
            <w:r>
              <w:rPr>
                <w:rFonts w:hint="eastAsia" w:ascii="仿宋" w:hAnsi="仿宋" w:eastAsia="仿宋" w:cs="仿宋"/>
                <w:color w:val="auto"/>
                <w:sz w:val="22"/>
                <w:highlight w:val="none"/>
              </w:rPr>
              <w:t>1.4.1</w:t>
            </w:r>
          </w:p>
        </w:tc>
        <w:tc>
          <w:tcPr>
            <w:tcW w:w="1573" w:type="dxa"/>
            <w:vAlign w:val="center"/>
          </w:tcPr>
          <w:p w14:paraId="66F45B64">
            <w:pPr>
              <w:keepNext w:val="0"/>
              <w:keepLines w:val="0"/>
              <w:pageBreakBefore w:val="0"/>
              <w:kinsoku/>
              <w:wordWrap/>
              <w:overflowPunct/>
              <w:bidi w:val="0"/>
              <w:snapToGrid w:val="0"/>
              <w:spacing w:before="120" w:beforeLines="50" w:after="120" w:afterLines="50" w:line="440" w:lineRule="exact"/>
              <w:textAlignment w:val="auto"/>
              <w:rPr>
                <w:rFonts w:hint="eastAsia" w:ascii="仿宋" w:hAnsi="仿宋" w:eastAsia="仿宋" w:cs="仿宋"/>
                <w:color w:val="auto"/>
                <w:sz w:val="22"/>
                <w:highlight w:val="none"/>
              </w:rPr>
            </w:pPr>
            <w:r>
              <w:rPr>
                <w:rFonts w:hint="eastAsia" w:ascii="仿宋" w:hAnsi="仿宋" w:eastAsia="仿宋" w:cs="仿宋"/>
                <w:color w:val="auto"/>
                <w:sz w:val="22"/>
                <w:highlight w:val="none"/>
              </w:rPr>
              <w:t>投标人资质条件、能力和信誉（业绩）</w:t>
            </w:r>
          </w:p>
        </w:tc>
        <w:tc>
          <w:tcPr>
            <w:tcW w:w="7474" w:type="dxa"/>
            <w:vAlign w:val="center"/>
          </w:tcPr>
          <w:p w14:paraId="47630B4E">
            <w:pPr>
              <w:keepNext w:val="0"/>
              <w:keepLines w:val="0"/>
              <w:pageBreakBefore w:val="0"/>
              <w:kinsoku/>
              <w:wordWrap/>
              <w:overflowPunct/>
              <w:bidi w:val="0"/>
              <w:spacing w:line="440" w:lineRule="exact"/>
              <w:ind w:left="-20" w:leftChars="-7" w:right="260" w:rightChars="93" w:firstLine="455" w:firstLineChars="207"/>
              <w:jc w:val="left"/>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本工程施工招标实行资格后审，投标人应具备以下资格条件：</w:t>
            </w:r>
          </w:p>
          <w:p w14:paraId="3DB59277">
            <w:pPr>
              <w:keepNext w:val="0"/>
              <w:keepLines w:val="0"/>
              <w:pageBreakBefore w:val="0"/>
              <w:kinsoku/>
              <w:wordWrap/>
              <w:overflowPunct/>
              <w:bidi w:val="0"/>
              <w:spacing w:line="440" w:lineRule="exact"/>
              <w:ind w:right="260" w:rightChars="93" w:firstLine="442" w:firstLineChars="200"/>
              <w:jc w:val="left"/>
              <w:textAlignment w:val="auto"/>
              <w:rPr>
                <w:rFonts w:hint="eastAsia" w:ascii="仿宋" w:hAnsi="仿宋" w:eastAsia="仿宋" w:cs="仿宋"/>
                <w:b/>
                <w:bCs/>
                <w:color w:val="auto"/>
                <w:sz w:val="22"/>
                <w:szCs w:val="22"/>
                <w:highlight w:val="none"/>
              </w:rPr>
            </w:pPr>
            <w:r>
              <w:rPr>
                <w:rFonts w:hint="eastAsia" w:ascii="仿宋" w:hAnsi="仿宋" w:eastAsia="仿宋" w:cs="仿宋"/>
                <w:b/>
                <w:bCs/>
                <w:color w:val="auto"/>
                <w:sz w:val="22"/>
                <w:szCs w:val="22"/>
                <w:highlight w:val="none"/>
              </w:rPr>
              <w:t>1.资质条件、营业执照及安全生产条件</w:t>
            </w:r>
          </w:p>
          <w:p w14:paraId="79C0C4FB">
            <w:pPr>
              <w:keepNext w:val="0"/>
              <w:keepLines w:val="0"/>
              <w:pageBreakBefore w:val="0"/>
              <w:kinsoku/>
              <w:wordWrap/>
              <w:overflowPunct/>
              <w:bidi w:val="0"/>
              <w:spacing w:line="440" w:lineRule="exact"/>
              <w:ind w:left="-20" w:leftChars="-7" w:right="260" w:rightChars="93" w:firstLine="455" w:firstLineChars="207"/>
              <w:jc w:val="left"/>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（1）</w:t>
            </w:r>
            <w:r>
              <w:rPr>
                <w:rFonts w:hint="eastAsia" w:ascii="仿宋" w:hAnsi="仿宋" w:eastAsia="仿宋" w:cs="仿宋"/>
                <w:snapToGrid w:val="0"/>
                <w:color w:val="auto"/>
                <w:kern w:val="0"/>
                <w:sz w:val="22"/>
                <w:highlight w:val="none"/>
              </w:rPr>
              <w:t>具备建设行政主管部门颁发的有效的</w:t>
            </w:r>
            <w:r>
              <w:rPr>
                <w:rFonts w:hint="eastAsia" w:ascii="仿宋" w:hAnsi="仿宋" w:eastAsia="仿宋" w:cs="仿宋"/>
                <w:snapToGrid w:val="0"/>
                <w:color w:val="auto"/>
                <w:kern w:val="0"/>
                <w:sz w:val="22"/>
                <w:highlight w:val="none"/>
                <w:lang w:val="en-US" w:eastAsia="zh-CN"/>
              </w:rPr>
              <w:t>建筑工程施工总承包</w:t>
            </w:r>
            <w:r>
              <w:rPr>
                <w:rFonts w:hint="eastAsia" w:ascii="仿宋" w:hAnsi="仿宋" w:eastAsia="仿宋" w:cs="仿宋"/>
                <w:snapToGrid w:val="0"/>
                <w:color w:val="auto"/>
                <w:kern w:val="0"/>
                <w:sz w:val="22"/>
                <w:highlight w:val="none"/>
              </w:rPr>
              <w:t>叁级及以上资质</w:t>
            </w:r>
            <w:r>
              <w:rPr>
                <w:rFonts w:hint="eastAsia" w:ascii="仿宋" w:hAnsi="仿宋" w:eastAsia="仿宋" w:cs="仿宋"/>
                <w:color w:val="auto"/>
                <w:sz w:val="22"/>
                <w:szCs w:val="22"/>
                <w:highlight w:val="none"/>
              </w:rPr>
              <w:t>。</w:t>
            </w:r>
          </w:p>
          <w:p w14:paraId="7351C4A5">
            <w:pPr>
              <w:keepNext w:val="0"/>
              <w:keepLines w:val="0"/>
              <w:pageBreakBefore w:val="0"/>
              <w:kinsoku/>
              <w:wordWrap/>
              <w:overflowPunct/>
              <w:bidi w:val="0"/>
              <w:spacing w:line="440" w:lineRule="exact"/>
              <w:ind w:left="-20" w:leftChars="-7" w:right="260" w:rightChars="93" w:firstLine="455" w:firstLineChars="207"/>
              <w:jc w:val="left"/>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投标人须在投标文件资格审查部分提供有效的资质证书复印件。</w:t>
            </w:r>
          </w:p>
          <w:p w14:paraId="22F1EAB3">
            <w:pPr>
              <w:keepNext w:val="0"/>
              <w:keepLines w:val="0"/>
              <w:pageBreakBefore w:val="0"/>
              <w:kinsoku/>
              <w:wordWrap/>
              <w:overflowPunct/>
              <w:bidi w:val="0"/>
              <w:spacing w:line="440" w:lineRule="exact"/>
              <w:ind w:left="-20" w:leftChars="-7" w:right="260" w:rightChars="93" w:firstLine="455" w:firstLineChars="207"/>
              <w:jc w:val="left"/>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（2）具备有效的营业执照。</w:t>
            </w:r>
          </w:p>
          <w:p w14:paraId="35C59923">
            <w:pPr>
              <w:keepNext w:val="0"/>
              <w:keepLines w:val="0"/>
              <w:pageBreakBefore w:val="0"/>
              <w:kinsoku/>
              <w:wordWrap/>
              <w:overflowPunct/>
              <w:bidi w:val="0"/>
              <w:spacing w:line="440" w:lineRule="exact"/>
              <w:ind w:left="-20" w:leftChars="-7" w:right="260" w:rightChars="93" w:firstLine="455" w:firstLineChars="207"/>
              <w:jc w:val="left"/>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投标人须在投标文件资格审查部分提供有效的营业执照复印件。</w:t>
            </w:r>
          </w:p>
          <w:p w14:paraId="7890B1D2">
            <w:pPr>
              <w:keepNext w:val="0"/>
              <w:keepLines w:val="0"/>
              <w:pageBreakBefore w:val="0"/>
              <w:kinsoku/>
              <w:wordWrap/>
              <w:overflowPunct/>
              <w:bidi w:val="0"/>
              <w:spacing w:line="440" w:lineRule="exact"/>
              <w:ind w:left="-20" w:leftChars="-7" w:right="260" w:rightChars="93" w:firstLine="455" w:firstLineChars="207"/>
              <w:jc w:val="left"/>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（3）具备建设行政主管部门颁发的有效的安全生产许可证。</w:t>
            </w:r>
          </w:p>
          <w:p w14:paraId="6202CAE2">
            <w:pPr>
              <w:keepNext w:val="0"/>
              <w:keepLines w:val="0"/>
              <w:pageBreakBefore w:val="0"/>
              <w:kinsoku/>
              <w:wordWrap/>
              <w:overflowPunct/>
              <w:bidi w:val="0"/>
              <w:spacing w:line="440" w:lineRule="exact"/>
              <w:ind w:left="-20" w:leftChars="-7" w:right="260" w:rightChars="93" w:firstLine="455" w:firstLineChars="207"/>
              <w:jc w:val="left"/>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投标人须在投标文件资格审查部分提供有效的安全生产许可证复印件。</w:t>
            </w:r>
          </w:p>
          <w:p w14:paraId="202E3B36">
            <w:pPr>
              <w:keepNext w:val="0"/>
              <w:keepLines w:val="0"/>
              <w:pageBreakBefore w:val="0"/>
              <w:numPr>
                <w:ilvl w:val="0"/>
                <w:numId w:val="0"/>
              </w:numPr>
              <w:kinsoku/>
              <w:wordWrap/>
              <w:overflowPunct/>
              <w:bidi w:val="0"/>
              <w:spacing w:line="440" w:lineRule="exact"/>
              <w:ind w:left="-20" w:leftChars="-7" w:right="260" w:rightChars="93" w:firstLine="455" w:firstLineChars="207"/>
              <w:jc w:val="left"/>
              <w:textAlignment w:val="auto"/>
              <w:rPr>
                <w:rFonts w:hint="eastAsia" w:ascii="仿宋" w:hAnsi="仿宋" w:eastAsia="仿宋" w:cs="仿宋"/>
                <w:color w:val="auto"/>
                <w:sz w:val="22"/>
                <w:szCs w:val="22"/>
                <w:highlight w:val="none"/>
              </w:rPr>
            </w:pPr>
            <w:r>
              <w:rPr>
                <w:rFonts w:hint="eastAsia" w:ascii="仿宋" w:hAnsi="仿宋" w:eastAsia="仿宋" w:cs="仿宋"/>
                <w:color w:val="auto"/>
                <w:kern w:val="2"/>
                <w:sz w:val="22"/>
                <w:szCs w:val="22"/>
                <w:highlight w:val="none"/>
                <w:lang w:val="en-US" w:eastAsia="zh-CN" w:bidi="ar-SA"/>
              </w:rPr>
              <w:t>（4）</w:t>
            </w:r>
            <w:r>
              <w:rPr>
                <w:rFonts w:hint="eastAsia" w:ascii="仿宋" w:hAnsi="仿宋" w:eastAsia="仿宋" w:cs="仿宋"/>
                <w:color w:val="auto"/>
                <w:sz w:val="22"/>
                <w:szCs w:val="22"/>
                <w:highlight w:val="none"/>
              </w:rPr>
              <w:t>企业主要负责人具备由建设行政主管部门颁发的有效的安全生产考核合格证书。</w:t>
            </w:r>
          </w:p>
          <w:p w14:paraId="28A24ACE">
            <w:pPr>
              <w:keepNext w:val="0"/>
              <w:keepLines w:val="0"/>
              <w:pageBreakBefore w:val="0"/>
              <w:kinsoku/>
              <w:wordWrap/>
              <w:overflowPunct/>
              <w:bidi w:val="0"/>
              <w:spacing w:line="440" w:lineRule="exact"/>
              <w:ind w:right="260" w:rightChars="93" w:firstLine="440" w:firstLineChars="200"/>
              <w:jc w:val="left"/>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投标人须提供有效的安全生产考核合格证书复印件。</w:t>
            </w:r>
          </w:p>
          <w:p w14:paraId="52D42C9B">
            <w:pPr>
              <w:keepNext w:val="0"/>
              <w:keepLines w:val="0"/>
              <w:pageBreakBefore w:val="0"/>
              <w:kinsoku/>
              <w:wordWrap/>
              <w:overflowPunct/>
              <w:bidi w:val="0"/>
              <w:spacing w:line="440" w:lineRule="exact"/>
              <w:ind w:left="-20" w:leftChars="-7" w:right="260" w:rightChars="93" w:firstLine="455" w:firstLineChars="207"/>
              <w:jc w:val="left"/>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lang w:val="en-US" w:eastAsia="zh-CN"/>
              </w:rPr>
              <w:t>（5）拟派</w:t>
            </w:r>
            <w:r>
              <w:rPr>
                <w:rFonts w:hint="eastAsia" w:ascii="仿宋" w:hAnsi="仿宋" w:eastAsia="仿宋" w:cs="仿宋"/>
                <w:color w:val="auto"/>
                <w:sz w:val="22"/>
                <w:szCs w:val="22"/>
                <w:highlight w:val="none"/>
              </w:rPr>
              <w:t>项目经理具备相应的由建设行政主管部门颁发的有效的安全生产考核合格证书。</w:t>
            </w:r>
          </w:p>
          <w:p w14:paraId="76D4DCFE">
            <w:pPr>
              <w:keepNext w:val="0"/>
              <w:keepLines w:val="0"/>
              <w:pageBreakBefore w:val="0"/>
              <w:kinsoku/>
              <w:wordWrap/>
              <w:overflowPunct/>
              <w:bidi w:val="0"/>
              <w:spacing w:line="440" w:lineRule="exact"/>
              <w:ind w:left="-20" w:leftChars="-7" w:right="260" w:rightChars="93" w:firstLine="455" w:firstLineChars="207"/>
              <w:jc w:val="left"/>
              <w:textAlignment w:val="auto"/>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rPr>
              <w:t>投标人须提供有效的安全生产考核合格证书复印件。</w:t>
            </w:r>
          </w:p>
          <w:p w14:paraId="751C7F8C">
            <w:pPr>
              <w:keepNext w:val="0"/>
              <w:keepLines w:val="0"/>
              <w:pageBreakBefore w:val="0"/>
              <w:kinsoku/>
              <w:wordWrap/>
              <w:overflowPunct/>
              <w:bidi w:val="0"/>
              <w:adjustRightInd w:val="0"/>
              <w:snapToGrid w:val="0"/>
              <w:spacing w:line="440" w:lineRule="exact"/>
              <w:ind w:right="40" w:firstLine="442" w:firstLineChars="200"/>
              <w:textAlignment w:val="auto"/>
              <w:rPr>
                <w:rFonts w:hint="eastAsia" w:ascii="仿宋" w:hAnsi="仿宋" w:eastAsia="仿宋" w:cs="仿宋"/>
                <w:b/>
                <w:bCs/>
                <w:color w:val="auto"/>
                <w:sz w:val="22"/>
                <w:szCs w:val="22"/>
                <w:highlight w:val="none"/>
              </w:rPr>
            </w:pPr>
            <w:r>
              <w:rPr>
                <w:rFonts w:hint="eastAsia" w:ascii="仿宋" w:hAnsi="仿宋" w:eastAsia="仿宋" w:cs="仿宋"/>
                <w:b/>
                <w:bCs/>
                <w:color w:val="auto"/>
                <w:sz w:val="22"/>
                <w:szCs w:val="22"/>
                <w:highlight w:val="none"/>
              </w:rPr>
              <w:t>2.投标截止日投标资格情况</w:t>
            </w:r>
          </w:p>
          <w:p w14:paraId="61561F55">
            <w:pPr>
              <w:keepNext w:val="0"/>
              <w:keepLines w:val="0"/>
              <w:pageBreakBefore w:val="0"/>
              <w:kinsoku/>
              <w:wordWrap/>
              <w:overflowPunct/>
              <w:bidi w:val="0"/>
              <w:adjustRightInd w:val="0"/>
              <w:snapToGrid w:val="0"/>
              <w:spacing w:line="440" w:lineRule="exact"/>
              <w:ind w:right="40" w:firstLine="431" w:firstLineChars="196"/>
              <w:textAlignment w:val="auto"/>
              <w:rPr>
                <w:rFonts w:hint="eastAsia" w:ascii="仿宋" w:hAnsi="仿宋" w:eastAsia="仿宋" w:cs="仿宋"/>
                <w:bCs/>
                <w:color w:val="auto"/>
                <w:sz w:val="22"/>
                <w:szCs w:val="22"/>
                <w:highlight w:val="none"/>
              </w:rPr>
            </w:pPr>
            <w:r>
              <w:rPr>
                <w:rFonts w:hint="eastAsia" w:ascii="仿宋" w:hAnsi="仿宋" w:eastAsia="仿宋" w:cs="仿宋"/>
                <w:bCs/>
                <w:color w:val="auto"/>
                <w:sz w:val="22"/>
                <w:szCs w:val="22"/>
                <w:highlight w:val="none"/>
              </w:rPr>
              <w:t>投标人自行承诺（格式见第六章投标文件格式）不得存在下列情形之一：</w:t>
            </w:r>
          </w:p>
          <w:p w14:paraId="3FFCFB49">
            <w:pPr>
              <w:keepNext w:val="0"/>
              <w:keepLines w:val="0"/>
              <w:pageBreakBefore w:val="0"/>
              <w:kinsoku/>
              <w:wordWrap/>
              <w:overflowPunct/>
              <w:bidi w:val="0"/>
              <w:adjustRightInd w:val="0"/>
              <w:snapToGrid w:val="0"/>
              <w:spacing w:line="440" w:lineRule="exact"/>
              <w:ind w:right="40" w:firstLine="431" w:firstLineChars="196"/>
              <w:textAlignment w:val="auto"/>
              <w:rPr>
                <w:rFonts w:hint="eastAsia" w:ascii="仿宋" w:hAnsi="仿宋" w:eastAsia="仿宋" w:cs="仿宋"/>
                <w:bCs/>
                <w:color w:val="auto"/>
                <w:sz w:val="22"/>
                <w:szCs w:val="22"/>
                <w:highlight w:val="none"/>
              </w:rPr>
            </w:pPr>
            <w:r>
              <w:rPr>
                <w:rFonts w:hint="eastAsia" w:ascii="仿宋" w:hAnsi="仿宋" w:eastAsia="仿宋" w:cs="仿宋"/>
                <w:bCs/>
                <w:color w:val="auto"/>
                <w:sz w:val="22"/>
                <w:szCs w:val="22"/>
                <w:highlight w:val="none"/>
              </w:rPr>
              <w:t>（1）被人民法院列入失信被执行人名单且在被执行期内；</w:t>
            </w:r>
          </w:p>
          <w:p w14:paraId="6740FF93">
            <w:pPr>
              <w:keepNext w:val="0"/>
              <w:keepLines w:val="0"/>
              <w:pageBreakBefore w:val="0"/>
              <w:kinsoku/>
              <w:wordWrap/>
              <w:overflowPunct/>
              <w:bidi w:val="0"/>
              <w:adjustRightInd w:val="0"/>
              <w:snapToGrid w:val="0"/>
              <w:spacing w:line="440" w:lineRule="exact"/>
              <w:ind w:right="40" w:firstLine="431" w:firstLineChars="196"/>
              <w:textAlignment w:val="auto"/>
              <w:rPr>
                <w:rFonts w:hint="eastAsia" w:ascii="仿宋" w:hAnsi="仿宋" w:eastAsia="仿宋" w:cs="仿宋"/>
                <w:bCs/>
                <w:color w:val="auto"/>
                <w:sz w:val="22"/>
                <w:szCs w:val="22"/>
                <w:highlight w:val="none"/>
              </w:rPr>
            </w:pPr>
            <w:r>
              <w:rPr>
                <w:rFonts w:hint="eastAsia" w:ascii="仿宋" w:hAnsi="仿宋" w:eastAsia="仿宋" w:cs="仿宋"/>
                <w:bCs/>
                <w:color w:val="auto"/>
                <w:sz w:val="22"/>
                <w:szCs w:val="22"/>
                <w:highlight w:val="none"/>
              </w:rPr>
              <w:t>（2）被列入《重庆市工程建设领域招标投标信用管理暂行办法》规定的重点关注名单且记分达到12分且在记分有效期内；</w:t>
            </w:r>
          </w:p>
          <w:p w14:paraId="4399A55C">
            <w:pPr>
              <w:keepNext w:val="0"/>
              <w:keepLines w:val="0"/>
              <w:pageBreakBefore w:val="0"/>
              <w:kinsoku/>
              <w:wordWrap/>
              <w:overflowPunct/>
              <w:bidi w:val="0"/>
              <w:adjustRightInd w:val="0"/>
              <w:snapToGrid w:val="0"/>
              <w:spacing w:line="440" w:lineRule="exact"/>
              <w:ind w:right="40" w:firstLine="431" w:firstLineChars="196"/>
              <w:textAlignment w:val="auto"/>
              <w:rPr>
                <w:rFonts w:hint="eastAsia" w:ascii="仿宋" w:hAnsi="仿宋" w:eastAsia="仿宋" w:cs="仿宋"/>
                <w:bCs/>
                <w:color w:val="auto"/>
                <w:sz w:val="22"/>
                <w:szCs w:val="22"/>
                <w:highlight w:val="none"/>
              </w:rPr>
            </w:pPr>
            <w:r>
              <w:rPr>
                <w:rFonts w:hint="eastAsia" w:ascii="仿宋" w:hAnsi="仿宋" w:eastAsia="仿宋" w:cs="仿宋"/>
                <w:bCs/>
                <w:color w:val="auto"/>
                <w:sz w:val="22"/>
                <w:szCs w:val="22"/>
                <w:highlight w:val="none"/>
              </w:rPr>
              <w:t>（3）被列入《重庆市工程建设领域招标投标信用管理暂行办法》规定的重庆市工程建设领域招标投标失信惩戒对象名单（以下称黑名单）且在记分有效期内；</w:t>
            </w:r>
          </w:p>
          <w:p w14:paraId="78699708">
            <w:pPr>
              <w:keepNext w:val="0"/>
              <w:keepLines w:val="0"/>
              <w:pageBreakBefore w:val="0"/>
              <w:kinsoku/>
              <w:wordWrap/>
              <w:overflowPunct/>
              <w:bidi w:val="0"/>
              <w:adjustRightInd w:val="0"/>
              <w:snapToGrid w:val="0"/>
              <w:spacing w:line="440" w:lineRule="exact"/>
              <w:ind w:right="40" w:firstLine="431" w:firstLineChars="196"/>
              <w:textAlignment w:val="auto"/>
              <w:rPr>
                <w:rFonts w:hint="eastAsia" w:ascii="仿宋" w:hAnsi="仿宋" w:eastAsia="仿宋" w:cs="仿宋"/>
                <w:bCs/>
                <w:color w:val="auto"/>
                <w:sz w:val="22"/>
                <w:szCs w:val="22"/>
                <w:highlight w:val="none"/>
              </w:rPr>
            </w:pPr>
            <w:r>
              <w:rPr>
                <w:rFonts w:hint="eastAsia" w:ascii="仿宋" w:hAnsi="仿宋" w:eastAsia="仿宋" w:cs="仿宋"/>
                <w:bCs/>
                <w:color w:val="auto"/>
                <w:sz w:val="22"/>
                <w:szCs w:val="22"/>
                <w:highlight w:val="none"/>
              </w:rPr>
              <w:t>（4）被国家、重庆市（含市或任意区县）有关行政部门处以暂停投标资格行政处罚，且在处罚期限内；</w:t>
            </w:r>
          </w:p>
          <w:p w14:paraId="05D3FB3B">
            <w:pPr>
              <w:keepNext w:val="0"/>
              <w:keepLines w:val="0"/>
              <w:pageBreakBefore w:val="0"/>
              <w:kinsoku/>
              <w:wordWrap/>
              <w:overflowPunct/>
              <w:bidi w:val="0"/>
              <w:adjustRightInd w:val="0"/>
              <w:snapToGrid w:val="0"/>
              <w:spacing w:line="440" w:lineRule="exact"/>
              <w:ind w:right="40" w:firstLine="442" w:firstLineChars="200"/>
              <w:textAlignment w:val="auto"/>
              <w:rPr>
                <w:rFonts w:hint="eastAsia" w:ascii="仿宋" w:hAnsi="仿宋" w:eastAsia="仿宋" w:cs="仿宋"/>
                <w:b/>
                <w:bCs/>
                <w:color w:val="auto"/>
                <w:sz w:val="22"/>
                <w:szCs w:val="22"/>
                <w:highlight w:val="none"/>
              </w:rPr>
            </w:pPr>
            <w:r>
              <w:rPr>
                <w:rFonts w:hint="eastAsia" w:ascii="仿宋" w:hAnsi="仿宋" w:eastAsia="仿宋" w:cs="仿宋"/>
                <w:b/>
                <w:bCs/>
                <w:color w:val="auto"/>
                <w:sz w:val="22"/>
                <w:szCs w:val="22"/>
                <w:highlight w:val="none"/>
              </w:rPr>
              <w:t>3.其他要求</w:t>
            </w:r>
          </w:p>
          <w:p w14:paraId="3059BA83">
            <w:pPr>
              <w:keepNext w:val="0"/>
              <w:keepLines w:val="0"/>
              <w:pageBreakBefore w:val="0"/>
              <w:kinsoku/>
              <w:wordWrap/>
              <w:overflowPunct/>
              <w:bidi w:val="0"/>
              <w:adjustRightInd w:val="0"/>
              <w:snapToGrid w:val="0"/>
              <w:spacing w:line="440" w:lineRule="exact"/>
              <w:ind w:right="40" w:firstLine="431" w:firstLineChars="196"/>
              <w:textAlignment w:val="auto"/>
              <w:rPr>
                <w:rFonts w:hint="eastAsia" w:ascii="仿宋" w:hAnsi="仿宋" w:eastAsia="仿宋" w:cs="仿宋"/>
                <w:bCs/>
                <w:color w:val="auto"/>
                <w:sz w:val="22"/>
                <w:szCs w:val="22"/>
                <w:highlight w:val="none"/>
              </w:rPr>
            </w:pPr>
            <w:r>
              <w:rPr>
                <w:rFonts w:hint="eastAsia" w:ascii="仿宋" w:hAnsi="仿宋" w:eastAsia="仿宋" w:cs="仿宋"/>
                <w:bCs/>
                <w:color w:val="auto"/>
                <w:sz w:val="22"/>
                <w:szCs w:val="22"/>
                <w:highlight w:val="none"/>
              </w:rPr>
              <w:t>（1）项目经理</w:t>
            </w:r>
          </w:p>
          <w:p w14:paraId="7D54F047">
            <w:pPr>
              <w:keepNext w:val="0"/>
              <w:keepLines w:val="0"/>
              <w:pageBreakBefore w:val="0"/>
              <w:kinsoku/>
              <w:wordWrap/>
              <w:overflowPunct/>
              <w:bidi w:val="0"/>
              <w:adjustRightInd w:val="0"/>
              <w:snapToGrid w:val="0"/>
              <w:spacing w:line="440" w:lineRule="exact"/>
              <w:ind w:right="40" w:firstLine="431" w:firstLineChars="196"/>
              <w:textAlignment w:val="auto"/>
              <w:rPr>
                <w:rFonts w:hint="eastAsia" w:ascii="仿宋" w:hAnsi="仿宋" w:eastAsia="仿宋" w:cs="仿宋"/>
                <w:bCs/>
                <w:color w:val="auto"/>
                <w:sz w:val="22"/>
                <w:szCs w:val="22"/>
                <w:highlight w:val="none"/>
              </w:rPr>
            </w:pPr>
            <w:r>
              <w:rPr>
                <w:rFonts w:hint="eastAsia" w:ascii="仿宋" w:hAnsi="仿宋" w:eastAsia="仿宋" w:cs="仿宋"/>
                <w:bCs/>
                <w:color w:val="auto"/>
                <w:sz w:val="22"/>
                <w:szCs w:val="22"/>
                <w:highlight w:val="none"/>
              </w:rPr>
              <w:t>投标人拟派的项目经理必须已在供应商本单位注册并应具有</w:t>
            </w:r>
            <w:r>
              <w:rPr>
                <w:rFonts w:hint="eastAsia" w:ascii="仿宋" w:hAnsi="仿宋" w:eastAsia="仿宋" w:cs="仿宋"/>
                <w:bCs/>
                <w:color w:val="auto"/>
                <w:sz w:val="22"/>
                <w:szCs w:val="22"/>
                <w:highlight w:val="none"/>
                <w:u w:val="single"/>
                <w:lang w:val="en-US" w:eastAsia="zh-CN"/>
              </w:rPr>
              <w:t>建筑</w:t>
            </w:r>
            <w:r>
              <w:rPr>
                <w:rFonts w:hint="eastAsia" w:ascii="仿宋" w:hAnsi="仿宋" w:eastAsia="仿宋" w:cs="仿宋"/>
                <w:bCs/>
                <w:color w:val="auto"/>
                <w:sz w:val="22"/>
                <w:szCs w:val="22"/>
                <w:highlight w:val="none"/>
                <w:u w:val="single"/>
              </w:rPr>
              <w:t xml:space="preserve">工程 </w:t>
            </w:r>
            <w:r>
              <w:rPr>
                <w:rFonts w:hint="eastAsia" w:ascii="仿宋" w:hAnsi="仿宋" w:eastAsia="仿宋" w:cs="仿宋"/>
                <w:bCs/>
                <w:color w:val="auto"/>
                <w:sz w:val="22"/>
                <w:szCs w:val="22"/>
                <w:highlight w:val="none"/>
              </w:rPr>
              <w:t>专业</w:t>
            </w:r>
            <w:r>
              <w:rPr>
                <w:rFonts w:hint="eastAsia" w:ascii="仿宋" w:hAnsi="仿宋" w:eastAsia="仿宋" w:cs="仿宋"/>
                <w:bCs/>
                <w:color w:val="auto"/>
                <w:sz w:val="22"/>
                <w:szCs w:val="22"/>
                <w:highlight w:val="none"/>
                <w:u w:val="single"/>
              </w:rPr>
              <w:t xml:space="preserve"> 二 </w:t>
            </w:r>
            <w:r>
              <w:rPr>
                <w:rFonts w:hint="eastAsia" w:ascii="仿宋" w:hAnsi="仿宋" w:eastAsia="仿宋" w:cs="仿宋"/>
                <w:bCs/>
                <w:color w:val="auto"/>
                <w:sz w:val="22"/>
                <w:szCs w:val="22"/>
                <w:highlight w:val="none"/>
              </w:rPr>
              <w:t>级及以上注册建造师执业资格。</w:t>
            </w:r>
          </w:p>
          <w:p w14:paraId="3E92D8F1">
            <w:pPr>
              <w:keepNext w:val="0"/>
              <w:keepLines w:val="0"/>
              <w:pageBreakBefore w:val="0"/>
              <w:kinsoku/>
              <w:wordWrap/>
              <w:overflowPunct/>
              <w:bidi w:val="0"/>
              <w:adjustRightInd w:val="0"/>
              <w:snapToGrid w:val="0"/>
              <w:spacing w:line="440" w:lineRule="exact"/>
              <w:ind w:right="40" w:firstLine="431" w:firstLineChars="196"/>
              <w:textAlignment w:val="auto"/>
              <w:rPr>
                <w:rFonts w:hint="eastAsia" w:ascii="仿宋" w:hAnsi="仿宋" w:eastAsia="仿宋" w:cs="仿宋"/>
                <w:bCs/>
                <w:color w:val="auto"/>
                <w:sz w:val="22"/>
                <w:szCs w:val="22"/>
                <w:highlight w:val="none"/>
              </w:rPr>
            </w:pPr>
            <w:r>
              <w:rPr>
                <w:rFonts w:hint="eastAsia" w:ascii="仿宋" w:hAnsi="仿宋" w:eastAsia="仿宋" w:cs="仿宋"/>
                <w:bCs/>
                <w:color w:val="auto"/>
                <w:sz w:val="22"/>
                <w:szCs w:val="22"/>
                <w:highlight w:val="none"/>
              </w:rPr>
              <w:t>提供拟派项目经理建造师注册证书，供应商本单位为其缴纳的养老保险证明材料复印件。以上证明材料均需加盖投标人公章。</w:t>
            </w:r>
          </w:p>
          <w:p w14:paraId="229966DA">
            <w:pPr>
              <w:keepNext w:val="0"/>
              <w:keepLines w:val="0"/>
              <w:pageBreakBefore w:val="0"/>
              <w:kinsoku/>
              <w:wordWrap/>
              <w:overflowPunct/>
              <w:bidi w:val="0"/>
              <w:adjustRightInd w:val="0"/>
              <w:snapToGrid w:val="0"/>
              <w:spacing w:line="440" w:lineRule="exact"/>
              <w:ind w:right="40"/>
              <w:textAlignment w:val="auto"/>
              <w:rPr>
                <w:rFonts w:hint="eastAsia" w:ascii="仿宋" w:hAnsi="仿宋" w:eastAsia="仿宋" w:cs="仿宋"/>
                <w:bCs/>
                <w:color w:val="auto"/>
                <w:sz w:val="22"/>
                <w:szCs w:val="22"/>
                <w:highlight w:val="none"/>
              </w:rPr>
            </w:pPr>
            <w:r>
              <w:rPr>
                <w:rFonts w:hint="eastAsia" w:ascii="仿宋" w:hAnsi="仿宋" w:eastAsia="仿宋" w:cs="仿宋"/>
                <w:bCs/>
                <w:color w:val="auto"/>
                <w:sz w:val="22"/>
                <w:szCs w:val="22"/>
                <w:highlight w:val="none"/>
              </w:rPr>
              <w:t>注：①提供拟派的项目经理为一级建造师或重庆市二级建造师注册人员的，必须提供建造师电子注册证书。</w:t>
            </w:r>
          </w:p>
          <w:p w14:paraId="720B6FBE">
            <w:pPr>
              <w:keepNext w:val="0"/>
              <w:keepLines w:val="0"/>
              <w:pageBreakBefore w:val="0"/>
              <w:kinsoku/>
              <w:wordWrap/>
              <w:overflowPunct/>
              <w:bidi w:val="0"/>
              <w:adjustRightInd w:val="0"/>
              <w:snapToGrid w:val="0"/>
              <w:spacing w:line="440" w:lineRule="exact"/>
              <w:ind w:right="40" w:firstLine="431" w:firstLineChars="196"/>
              <w:textAlignment w:val="auto"/>
              <w:rPr>
                <w:rFonts w:hint="eastAsia" w:ascii="仿宋" w:hAnsi="仿宋" w:eastAsia="仿宋" w:cs="仿宋"/>
                <w:bCs/>
                <w:color w:val="auto"/>
                <w:sz w:val="22"/>
                <w:szCs w:val="22"/>
                <w:highlight w:val="none"/>
              </w:rPr>
            </w:pPr>
            <w:r>
              <w:rPr>
                <w:rFonts w:hint="eastAsia" w:ascii="仿宋" w:hAnsi="仿宋" w:eastAsia="仿宋" w:cs="仿宋"/>
                <w:bCs/>
                <w:color w:val="auto"/>
                <w:sz w:val="22"/>
                <w:szCs w:val="22"/>
                <w:highlight w:val="none"/>
              </w:rPr>
              <w:t>②重庆市以外的省级住房城乡建设主管部门对二级建造师电子注册证书使用有明确规定的，从其规定。未规定使用电子注册证书的，可提供纸质证书扫描件。</w:t>
            </w:r>
          </w:p>
          <w:p w14:paraId="3BCAAEDB">
            <w:pPr>
              <w:keepNext w:val="0"/>
              <w:keepLines w:val="0"/>
              <w:pageBreakBefore w:val="0"/>
              <w:numPr>
                <w:ilvl w:val="0"/>
                <w:numId w:val="2"/>
              </w:numPr>
              <w:kinsoku/>
              <w:wordWrap/>
              <w:overflowPunct/>
              <w:bidi w:val="0"/>
              <w:adjustRightInd w:val="0"/>
              <w:snapToGrid w:val="0"/>
              <w:spacing w:line="440" w:lineRule="exact"/>
              <w:ind w:right="40" w:firstLine="431" w:firstLineChars="196"/>
              <w:textAlignment w:val="auto"/>
              <w:rPr>
                <w:rFonts w:hint="eastAsia" w:ascii="仿宋" w:hAnsi="仿宋" w:eastAsia="仿宋" w:cs="仿宋"/>
                <w:bCs/>
                <w:color w:val="auto"/>
                <w:sz w:val="22"/>
                <w:szCs w:val="22"/>
                <w:highlight w:val="none"/>
              </w:rPr>
            </w:pPr>
            <w:r>
              <w:rPr>
                <w:rFonts w:hint="eastAsia" w:ascii="仿宋" w:hAnsi="仿宋" w:eastAsia="仿宋" w:cs="仿宋"/>
                <w:bCs/>
                <w:color w:val="auto"/>
                <w:sz w:val="22"/>
                <w:szCs w:val="22"/>
                <w:highlight w:val="none"/>
              </w:rPr>
              <w:t>技术负责人</w:t>
            </w:r>
          </w:p>
          <w:p w14:paraId="69A2D183">
            <w:pPr>
              <w:keepNext w:val="0"/>
              <w:keepLines w:val="0"/>
              <w:pageBreakBefore w:val="0"/>
              <w:kinsoku/>
              <w:wordWrap/>
              <w:overflowPunct/>
              <w:bidi w:val="0"/>
              <w:adjustRightInd w:val="0"/>
              <w:snapToGrid w:val="0"/>
              <w:spacing w:line="440" w:lineRule="exact"/>
              <w:ind w:right="40" w:firstLine="431" w:firstLineChars="196"/>
              <w:textAlignment w:val="auto"/>
              <w:rPr>
                <w:rFonts w:hint="eastAsia" w:ascii="仿宋" w:hAnsi="仿宋" w:eastAsia="仿宋" w:cs="仿宋"/>
                <w:bCs/>
                <w:color w:val="auto"/>
                <w:sz w:val="22"/>
                <w:szCs w:val="22"/>
                <w:highlight w:val="none"/>
              </w:rPr>
            </w:pPr>
            <w:r>
              <w:rPr>
                <w:rFonts w:hint="eastAsia" w:ascii="仿宋" w:hAnsi="仿宋" w:eastAsia="仿宋" w:cs="仿宋"/>
                <w:bCs/>
                <w:color w:val="auto"/>
                <w:sz w:val="22"/>
                <w:szCs w:val="22"/>
                <w:highlight w:val="none"/>
              </w:rPr>
              <w:t>应具有工程类中级及以上职称；</w:t>
            </w:r>
          </w:p>
          <w:p w14:paraId="264C7325">
            <w:pPr>
              <w:keepNext w:val="0"/>
              <w:keepLines w:val="0"/>
              <w:pageBreakBefore w:val="0"/>
              <w:kinsoku/>
              <w:wordWrap/>
              <w:overflowPunct/>
              <w:bidi w:val="0"/>
              <w:adjustRightInd w:val="0"/>
              <w:snapToGrid w:val="0"/>
              <w:spacing w:line="440" w:lineRule="exact"/>
              <w:ind w:right="40" w:firstLine="431" w:firstLineChars="196"/>
              <w:textAlignment w:val="auto"/>
              <w:rPr>
                <w:rFonts w:hint="eastAsia" w:ascii="仿宋" w:hAnsi="仿宋" w:eastAsia="仿宋" w:cs="仿宋"/>
                <w:bCs/>
                <w:color w:val="auto"/>
                <w:sz w:val="22"/>
                <w:szCs w:val="22"/>
                <w:highlight w:val="none"/>
              </w:rPr>
            </w:pPr>
            <w:r>
              <w:rPr>
                <w:rFonts w:hint="eastAsia" w:ascii="仿宋" w:hAnsi="仿宋" w:eastAsia="仿宋" w:cs="仿宋"/>
                <w:bCs/>
                <w:color w:val="auto"/>
                <w:sz w:val="22"/>
                <w:szCs w:val="22"/>
                <w:highlight w:val="none"/>
              </w:rPr>
              <w:t>投标人须在响应文件资格审查部分提供拟派技术负责人职称证及投标人本单位为其缴纳的养老保险证明材料。</w:t>
            </w:r>
          </w:p>
          <w:p w14:paraId="5DEA2323">
            <w:pPr>
              <w:keepNext w:val="0"/>
              <w:keepLines w:val="0"/>
              <w:pageBreakBefore w:val="0"/>
              <w:kinsoku/>
              <w:wordWrap/>
              <w:overflowPunct/>
              <w:bidi w:val="0"/>
              <w:adjustRightInd w:val="0"/>
              <w:snapToGrid w:val="0"/>
              <w:spacing w:line="440" w:lineRule="exact"/>
              <w:ind w:right="40" w:firstLine="431" w:firstLineChars="196"/>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（3）主要管理人员：</w:t>
            </w:r>
          </w:p>
          <w:p w14:paraId="7A52E79A">
            <w:pPr>
              <w:keepNext w:val="0"/>
              <w:keepLines w:val="0"/>
              <w:pageBreakBefore w:val="0"/>
              <w:kinsoku/>
              <w:wordWrap/>
              <w:overflowPunct/>
              <w:bidi w:val="0"/>
              <w:adjustRightInd w:val="0"/>
              <w:snapToGrid w:val="0"/>
              <w:spacing w:line="440" w:lineRule="exact"/>
              <w:ind w:right="40" w:firstLine="431" w:firstLineChars="196"/>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投标人自行承诺成交后在签订合同之前，须按照主管部门的要求组建施工项目部，配置项目管理班子并出具任命文件，项目管理班子成员未经过招标人同意，不得变更。任命文件应当明确施工项目部的职责、岗位设置、人员配备，并书面通知招标人。相关岗位管理人员应持有主管部门要求的岗位证书。成交后不能满足该要求的，招标人可取消其成交资格，给招标人造成损失的，中标人依法承担违约赔偿责任。</w:t>
            </w:r>
          </w:p>
          <w:p w14:paraId="48AFAA55">
            <w:pPr>
              <w:keepNext w:val="0"/>
              <w:keepLines w:val="0"/>
              <w:pageBreakBefore w:val="0"/>
              <w:kinsoku/>
              <w:wordWrap/>
              <w:overflowPunct/>
              <w:bidi w:val="0"/>
              <w:adjustRightInd w:val="0"/>
              <w:snapToGrid w:val="0"/>
              <w:spacing w:line="440" w:lineRule="exact"/>
              <w:ind w:right="40" w:firstLine="431" w:firstLineChars="196"/>
              <w:textAlignment w:val="auto"/>
              <w:rPr>
                <w:rFonts w:hint="eastAsia" w:ascii="仿宋" w:hAnsi="仿宋" w:eastAsia="仿宋" w:cs="仿宋"/>
                <w:bCs/>
                <w:color w:val="auto"/>
                <w:sz w:val="22"/>
                <w:szCs w:val="22"/>
                <w:highlight w:val="none"/>
              </w:rPr>
            </w:pPr>
            <w:r>
              <w:rPr>
                <w:rFonts w:hint="eastAsia" w:ascii="仿宋" w:hAnsi="仿宋" w:eastAsia="仿宋" w:cs="仿宋"/>
                <w:color w:val="auto"/>
                <w:sz w:val="22"/>
                <w:szCs w:val="22"/>
                <w:highlight w:val="none"/>
              </w:rPr>
              <w:t>投标人须在投标文件资格审查部分提供承诺（承诺格式见第六章投标文件格式）。</w:t>
            </w:r>
          </w:p>
          <w:p w14:paraId="16265B1E">
            <w:pPr>
              <w:keepNext w:val="0"/>
              <w:keepLines w:val="0"/>
              <w:pageBreakBefore w:val="0"/>
              <w:kinsoku/>
              <w:wordWrap/>
              <w:overflowPunct/>
              <w:bidi w:val="0"/>
              <w:adjustRightInd w:val="0"/>
              <w:snapToGrid w:val="0"/>
              <w:spacing w:line="440" w:lineRule="exact"/>
              <w:ind w:right="40" w:firstLine="433" w:firstLineChars="196"/>
              <w:textAlignment w:val="auto"/>
              <w:rPr>
                <w:rFonts w:hint="eastAsia" w:ascii="仿宋" w:hAnsi="仿宋" w:eastAsia="仿宋" w:cs="仿宋"/>
                <w:b/>
                <w:bCs/>
                <w:color w:val="auto"/>
                <w:sz w:val="22"/>
                <w:szCs w:val="22"/>
                <w:highlight w:val="none"/>
              </w:rPr>
            </w:pPr>
            <w:r>
              <w:rPr>
                <w:rFonts w:hint="eastAsia" w:ascii="仿宋" w:hAnsi="仿宋" w:eastAsia="仿宋" w:cs="仿宋"/>
                <w:b/>
                <w:bCs/>
                <w:color w:val="auto"/>
                <w:sz w:val="22"/>
                <w:szCs w:val="22"/>
                <w:highlight w:val="none"/>
              </w:rPr>
              <w:t>特别说明：</w:t>
            </w:r>
          </w:p>
          <w:p w14:paraId="58825860">
            <w:pPr>
              <w:keepNext w:val="0"/>
              <w:keepLines w:val="0"/>
              <w:pageBreakBefore w:val="0"/>
              <w:kinsoku/>
              <w:wordWrap/>
              <w:overflowPunct/>
              <w:bidi w:val="0"/>
              <w:adjustRightInd w:val="0"/>
              <w:snapToGrid w:val="0"/>
              <w:spacing w:line="440" w:lineRule="exact"/>
              <w:ind w:right="40" w:firstLine="431" w:firstLineChars="196"/>
              <w:textAlignment w:val="auto"/>
              <w:rPr>
                <w:rFonts w:hint="eastAsia" w:ascii="仿宋" w:hAnsi="仿宋" w:eastAsia="仿宋" w:cs="仿宋"/>
                <w:bCs/>
                <w:color w:val="auto"/>
                <w:sz w:val="22"/>
                <w:szCs w:val="22"/>
                <w:highlight w:val="none"/>
              </w:rPr>
            </w:pPr>
            <w:r>
              <w:rPr>
                <w:rFonts w:hint="eastAsia" w:ascii="仿宋" w:hAnsi="仿宋" w:eastAsia="仿宋" w:cs="仿宋"/>
                <w:bCs/>
                <w:color w:val="auto"/>
                <w:sz w:val="22"/>
                <w:szCs w:val="22"/>
                <w:highlight w:val="none"/>
              </w:rPr>
              <w:t>（1）上述所须提交的相关证明材料复印件均应加盖投标人单位公章并装入投标文件资格审查部分中。上述有一条不满足，则投标文件由评标委员会作否决投标处理。</w:t>
            </w:r>
          </w:p>
          <w:p w14:paraId="1B8549D9">
            <w:pPr>
              <w:keepNext w:val="0"/>
              <w:keepLines w:val="0"/>
              <w:pageBreakBefore w:val="0"/>
              <w:kinsoku/>
              <w:wordWrap/>
              <w:overflowPunct/>
              <w:bidi w:val="0"/>
              <w:adjustRightInd w:val="0"/>
              <w:snapToGrid w:val="0"/>
              <w:spacing w:line="440" w:lineRule="exact"/>
              <w:ind w:right="40" w:firstLine="431" w:firstLineChars="196"/>
              <w:textAlignment w:val="auto"/>
              <w:rPr>
                <w:rFonts w:hint="eastAsia" w:ascii="仿宋" w:hAnsi="仿宋" w:eastAsia="仿宋" w:cs="仿宋"/>
                <w:color w:val="auto"/>
                <w:sz w:val="22"/>
                <w:szCs w:val="22"/>
                <w:highlight w:val="none"/>
              </w:rPr>
            </w:pPr>
            <w:r>
              <w:rPr>
                <w:rFonts w:hint="eastAsia" w:ascii="仿宋" w:hAnsi="仿宋" w:eastAsia="仿宋" w:cs="仿宋"/>
                <w:bCs/>
                <w:color w:val="auto"/>
                <w:sz w:val="22"/>
                <w:szCs w:val="22"/>
                <w:highlight w:val="none"/>
              </w:rPr>
              <w:t>（2）招标人在合同签订前均有权对投标人提供的上述相关证明材料进行核实，若发现资料存在弄虚作假，按照相关法律法规处理，投标人承担因此造成的相关责任并赔偿相应损失。</w:t>
            </w:r>
          </w:p>
        </w:tc>
      </w:tr>
      <w:tr w14:paraId="366BD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005" w:type="dxa"/>
            <w:vAlign w:val="center"/>
          </w:tcPr>
          <w:p w14:paraId="2A6FB0BA">
            <w:pPr>
              <w:keepNext w:val="0"/>
              <w:keepLines w:val="0"/>
              <w:pageBreakBefore w:val="0"/>
              <w:kinsoku/>
              <w:wordWrap/>
              <w:overflowPunct/>
              <w:bidi w:val="0"/>
              <w:snapToGrid w:val="0"/>
              <w:spacing w:line="440" w:lineRule="exact"/>
              <w:textAlignment w:val="auto"/>
              <w:rPr>
                <w:rFonts w:hint="eastAsia" w:ascii="仿宋" w:hAnsi="仿宋" w:eastAsia="仿宋" w:cs="仿宋"/>
                <w:color w:val="auto"/>
                <w:kern w:val="0"/>
                <w:sz w:val="22"/>
                <w:highlight w:val="none"/>
              </w:rPr>
            </w:pPr>
            <w:r>
              <w:rPr>
                <w:rFonts w:hint="eastAsia" w:ascii="仿宋" w:hAnsi="仿宋" w:eastAsia="仿宋" w:cs="仿宋"/>
                <w:color w:val="auto"/>
                <w:kern w:val="0"/>
                <w:sz w:val="22"/>
                <w:highlight w:val="none"/>
              </w:rPr>
              <w:t>1.4.2</w:t>
            </w:r>
          </w:p>
        </w:tc>
        <w:tc>
          <w:tcPr>
            <w:tcW w:w="1573" w:type="dxa"/>
            <w:vAlign w:val="center"/>
          </w:tcPr>
          <w:p w14:paraId="19DB945B">
            <w:pPr>
              <w:keepNext w:val="0"/>
              <w:keepLines w:val="0"/>
              <w:pageBreakBefore w:val="0"/>
              <w:kinsoku/>
              <w:wordWrap/>
              <w:overflowPunct/>
              <w:bidi w:val="0"/>
              <w:snapToGrid w:val="0"/>
              <w:spacing w:before="120" w:beforeLines="50" w:after="120" w:afterLines="50" w:line="440" w:lineRule="exact"/>
              <w:textAlignment w:val="auto"/>
              <w:rPr>
                <w:rFonts w:hint="eastAsia" w:ascii="仿宋" w:hAnsi="仿宋" w:eastAsia="仿宋" w:cs="仿宋"/>
                <w:color w:val="auto"/>
                <w:sz w:val="22"/>
                <w:highlight w:val="none"/>
              </w:rPr>
            </w:pPr>
            <w:r>
              <w:rPr>
                <w:rFonts w:hint="eastAsia" w:ascii="仿宋" w:hAnsi="仿宋" w:eastAsia="仿宋" w:cs="仿宋"/>
                <w:color w:val="auto"/>
                <w:sz w:val="22"/>
                <w:highlight w:val="none"/>
              </w:rPr>
              <w:t>是否接受联合体投标</w:t>
            </w:r>
          </w:p>
        </w:tc>
        <w:tc>
          <w:tcPr>
            <w:tcW w:w="7474" w:type="dxa"/>
            <w:vAlign w:val="center"/>
          </w:tcPr>
          <w:p w14:paraId="17D73729">
            <w:pPr>
              <w:keepNext w:val="0"/>
              <w:keepLines w:val="0"/>
              <w:pageBreakBefore w:val="0"/>
              <w:kinsoku/>
              <w:wordWrap/>
              <w:overflowPunct/>
              <w:bidi w:val="0"/>
              <w:snapToGrid w:val="0"/>
              <w:spacing w:before="120" w:beforeLines="50" w:after="120" w:afterLines="50" w:line="440" w:lineRule="exact"/>
              <w:ind w:firstLine="440" w:firstLineChars="200"/>
              <w:textAlignment w:val="auto"/>
              <w:rPr>
                <w:rFonts w:hint="eastAsia" w:ascii="仿宋" w:hAnsi="仿宋" w:eastAsia="仿宋" w:cs="仿宋"/>
                <w:color w:val="auto"/>
                <w:sz w:val="22"/>
                <w:highlight w:val="none"/>
              </w:rPr>
            </w:pPr>
            <w:r>
              <w:rPr>
                <w:rFonts w:hint="eastAsia" w:ascii="仿宋" w:hAnsi="仿宋" w:eastAsia="仿宋" w:cs="仿宋"/>
                <w:color w:val="auto"/>
                <w:sz w:val="22"/>
                <w:highlight w:val="none"/>
              </w:rPr>
              <w:t>不接受</w:t>
            </w:r>
          </w:p>
        </w:tc>
      </w:tr>
      <w:tr w14:paraId="41B1F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005" w:type="dxa"/>
            <w:vAlign w:val="center"/>
          </w:tcPr>
          <w:p w14:paraId="629889AC">
            <w:pPr>
              <w:keepNext w:val="0"/>
              <w:keepLines w:val="0"/>
              <w:pageBreakBefore w:val="0"/>
              <w:kinsoku/>
              <w:wordWrap/>
              <w:overflowPunct/>
              <w:bidi w:val="0"/>
              <w:snapToGrid w:val="0"/>
              <w:spacing w:line="440" w:lineRule="exact"/>
              <w:jc w:val="center"/>
              <w:textAlignment w:val="auto"/>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1.9.1</w:t>
            </w:r>
          </w:p>
        </w:tc>
        <w:tc>
          <w:tcPr>
            <w:tcW w:w="1573" w:type="dxa"/>
            <w:vAlign w:val="center"/>
          </w:tcPr>
          <w:p w14:paraId="10E675BC">
            <w:pPr>
              <w:keepNext w:val="0"/>
              <w:keepLines w:val="0"/>
              <w:pageBreakBefore w:val="0"/>
              <w:kinsoku/>
              <w:wordWrap/>
              <w:overflowPunct/>
              <w:bidi w:val="0"/>
              <w:snapToGrid w:val="0"/>
              <w:spacing w:before="120" w:beforeLines="50" w:after="120" w:afterLines="50" w:line="440" w:lineRule="exact"/>
              <w:jc w:val="center"/>
              <w:textAlignment w:val="auto"/>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勘察现场</w:t>
            </w:r>
          </w:p>
        </w:tc>
        <w:tc>
          <w:tcPr>
            <w:tcW w:w="7474" w:type="dxa"/>
            <w:vAlign w:val="center"/>
          </w:tcPr>
          <w:p w14:paraId="743F7680">
            <w:pPr>
              <w:keepNext w:val="0"/>
              <w:keepLines w:val="0"/>
              <w:pageBreakBefore w:val="0"/>
              <w:kinsoku/>
              <w:wordWrap/>
              <w:overflowPunct/>
              <w:bidi w:val="0"/>
              <w:snapToGrid w:val="0"/>
              <w:spacing w:before="120" w:beforeLines="50" w:after="120" w:afterLines="50" w:line="440" w:lineRule="exact"/>
              <w:ind w:firstLine="440" w:firstLineChars="200"/>
              <w:textAlignment w:val="auto"/>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不组织，由投标人自行勘察。</w:t>
            </w:r>
          </w:p>
        </w:tc>
      </w:tr>
      <w:tr w14:paraId="1785B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005" w:type="dxa"/>
            <w:vAlign w:val="center"/>
          </w:tcPr>
          <w:p w14:paraId="6387AAA0">
            <w:pPr>
              <w:keepNext w:val="0"/>
              <w:keepLines w:val="0"/>
              <w:pageBreakBefore w:val="0"/>
              <w:kinsoku/>
              <w:wordWrap/>
              <w:overflowPunct/>
              <w:bidi w:val="0"/>
              <w:snapToGrid w:val="0"/>
              <w:spacing w:line="440" w:lineRule="exact"/>
              <w:jc w:val="center"/>
              <w:textAlignment w:val="auto"/>
              <w:rPr>
                <w:rFonts w:hint="eastAsia" w:ascii="仿宋" w:hAnsi="仿宋" w:eastAsia="仿宋" w:cs="仿宋"/>
                <w:color w:val="auto"/>
                <w:sz w:val="22"/>
                <w:szCs w:val="22"/>
                <w:highlight w:val="none"/>
              </w:rPr>
            </w:pPr>
            <w:r>
              <w:rPr>
                <w:rFonts w:hint="eastAsia" w:ascii="仿宋" w:hAnsi="仿宋" w:eastAsia="仿宋" w:cs="仿宋"/>
                <w:color w:val="auto"/>
                <w:kern w:val="0"/>
                <w:sz w:val="22"/>
                <w:szCs w:val="22"/>
                <w:highlight w:val="none"/>
              </w:rPr>
              <w:t>1.11.1</w:t>
            </w:r>
          </w:p>
        </w:tc>
        <w:tc>
          <w:tcPr>
            <w:tcW w:w="1573" w:type="dxa"/>
            <w:vAlign w:val="center"/>
          </w:tcPr>
          <w:p w14:paraId="66A9AA44">
            <w:pPr>
              <w:keepNext w:val="0"/>
              <w:keepLines w:val="0"/>
              <w:pageBreakBefore w:val="0"/>
              <w:kinsoku/>
              <w:wordWrap/>
              <w:overflowPunct/>
              <w:bidi w:val="0"/>
              <w:snapToGrid w:val="0"/>
              <w:spacing w:line="440" w:lineRule="exact"/>
              <w:jc w:val="center"/>
              <w:textAlignment w:val="auto"/>
              <w:rPr>
                <w:rFonts w:hint="eastAsia" w:ascii="仿宋" w:hAnsi="仿宋" w:eastAsia="仿宋" w:cs="仿宋"/>
                <w:color w:val="auto"/>
                <w:sz w:val="22"/>
                <w:szCs w:val="22"/>
                <w:highlight w:val="none"/>
              </w:rPr>
            </w:pPr>
            <w:r>
              <w:rPr>
                <w:rFonts w:hint="eastAsia" w:ascii="仿宋" w:hAnsi="仿宋" w:eastAsia="仿宋" w:cs="仿宋"/>
                <w:color w:val="auto"/>
                <w:kern w:val="0"/>
                <w:sz w:val="22"/>
                <w:szCs w:val="22"/>
                <w:highlight w:val="none"/>
              </w:rPr>
              <w:t>分包</w:t>
            </w:r>
          </w:p>
        </w:tc>
        <w:tc>
          <w:tcPr>
            <w:tcW w:w="7474" w:type="dxa"/>
            <w:vAlign w:val="center"/>
          </w:tcPr>
          <w:p w14:paraId="15F5F35C">
            <w:pPr>
              <w:keepNext w:val="0"/>
              <w:keepLines w:val="0"/>
              <w:pageBreakBefore w:val="0"/>
              <w:kinsoku/>
              <w:wordWrap/>
              <w:overflowPunct/>
              <w:bidi w:val="0"/>
              <w:snapToGrid w:val="0"/>
              <w:spacing w:line="440" w:lineRule="exact"/>
              <w:ind w:firstLine="440" w:firstLineChars="200"/>
              <w:textAlignment w:val="auto"/>
              <w:rPr>
                <w:rFonts w:hint="eastAsia" w:ascii="仿宋" w:hAnsi="仿宋" w:eastAsia="仿宋" w:cs="仿宋"/>
                <w:color w:val="auto"/>
                <w:sz w:val="22"/>
                <w:szCs w:val="22"/>
                <w:highlight w:val="none"/>
              </w:rPr>
            </w:pPr>
            <w:r>
              <w:rPr>
                <w:rFonts w:hint="eastAsia" w:ascii="仿宋" w:hAnsi="仿宋" w:eastAsia="仿宋" w:cs="仿宋"/>
                <w:bCs/>
                <w:color w:val="auto"/>
                <w:sz w:val="22"/>
                <w:szCs w:val="22"/>
                <w:highlight w:val="none"/>
              </w:rPr>
              <w:t>不允许</w:t>
            </w:r>
          </w:p>
        </w:tc>
      </w:tr>
      <w:tr w14:paraId="0485D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005" w:type="dxa"/>
            <w:vAlign w:val="center"/>
          </w:tcPr>
          <w:p w14:paraId="01040861">
            <w:pPr>
              <w:keepNext w:val="0"/>
              <w:keepLines w:val="0"/>
              <w:pageBreakBefore w:val="0"/>
              <w:kinsoku/>
              <w:wordWrap/>
              <w:overflowPunct/>
              <w:bidi w:val="0"/>
              <w:snapToGrid w:val="0"/>
              <w:spacing w:line="440" w:lineRule="exact"/>
              <w:jc w:val="center"/>
              <w:textAlignment w:val="auto"/>
              <w:rPr>
                <w:rFonts w:hint="eastAsia" w:ascii="仿宋" w:hAnsi="仿宋" w:eastAsia="仿宋" w:cs="仿宋"/>
                <w:color w:val="auto"/>
                <w:sz w:val="22"/>
                <w:szCs w:val="22"/>
                <w:highlight w:val="none"/>
              </w:rPr>
            </w:pPr>
            <w:r>
              <w:rPr>
                <w:rFonts w:hint="eastAsia" w:ascii="仿宋" w:hAnsi="仿宋" w:eastAsia="仿宋" w:cs="仿宋"/>
                <w:color w:val="auto"/>
                <w:kern w:val="0"/>
                <w:sz w:val="22"/>
                <w:szCs w:val="22"/>
                <w:highlight w:val="none"/>
              </w:rPr>
              <w:t>2.1</w:t>
            </w:r>
          </w:p>
        </w:tc>
        <w:tc>
          <w:tcPr>
            <w:tcW w:w="1573" w:type="dxa"/>
            <w:vAlign w:val="center"/>
          </w:tcPr>
          <w:p w14:paraId="12C21B5A">
            <w:pPr>
              <w:keepNext w:val="0"/>
              <w:keepLines w:val="0"/>
              <w:pageBreakBefore w:val="0"/>
              <w:kinsoku/>
              <w:wordWrap/>
              <w:overflowPunct/>
              <w:bidi w:val="0"/>
              <w:snapToGrid w:val="0"/>
              <w:spacing w:line="440" w:lineRule="exact"/>
              <w:jc w:val="center"/>
              <w:textAlignment w:val="auto"/>
              <w:rPr>
                <w:rFonts w:hint="eastAsia" w:ascii="仿宋" w:hAnsi="仿宋" w:eastAsia="仿宋" w:cs="仿宋"/>
                <w:color w:val="auto"/>
                <w:sz w:val="22"/>
                <w:szCs w:val="22"/>
                <w:highlight w:val="none"/>
              </w:rPr>
            </w:pPr>
            <w:r>
              <w:rPr>
                <w:rFonts w:hint="eastAsia" w:ascii="仿宋" w:hAnsi="仿宋" w:eastAsia="仿宋" w:cs="仿宋"/>
                <w:color w:val="auto"/>
                <w:kern w:val="0"/>
                <w:sz w:val="22"/>
                <w:szCs w:val="22"/>
                <w:highlight w:val="none"/>
              </w:rPr>
              <w:t>构成招标文件的其他材料</w:t>
            </w:r>
          </w:p>
        </w:tc>
        <w:tc>
          <w:tcPr>
            <w:tcW w:w="7474" w:type="dxa"/>
            <w:vAlign w:val="center"/>
          </w:tcPr>
          <w:p w14:paraId="3BA00252">
            <w:pPr>
              <w:keepNext w:val="0"/>
              <w:keepLines w:val="0"/>
              <w:pageBreakBefore w:val="0"/>
              <w:kinsoku/>
              <w:wordWrap/>
              <w:overflowPunct/>
              <w:bidi w:val="0"/>
              <w:snapToGrid w:val="0"/>
              <w:spacing w:line="440" w:lineRule="exact"/>
              <w:ind w:firstLine="440" w:firstLineChars="200"/>
              <w:textAlignment w:val="auto"/>
              <w:rPr>
                <w:rFonts w:hint="eastAsia" w:ascii="仿宋" w:hAnsi="仿宋" w:eastAsia="仿宋" w:cs="仿宋"/>
                <w:color w:val="auto"/>
                <w:sz w:val="22"/>
                <w:szCs w:val="22"/>
                <w:highlight w:val="none"/>
              </w:rPr>
            </w:pPr>
            <w:r>
              <w:rPr>
                <w:rFonts w:hint="eastAsia" w:ascii="仿宋" w:hAnsi="仿宋" w:eastAsia="仿宋" w:cs="仿宋"/>
                <w:color w:val="auto"/>
                <w:kern w:val="0"/>
                <w:sz w:val="22"/>
                <w:szCs w:val="22"/>
                <w:highlight w:val="none"/>
              </w:rPr>
              <w:t>招标人发出的澄清及修改</w:t>
            </w:r>
          </w:p>
        </w:tc>
      </w:tr>
      <w:tr w14:paraId="44597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005" w:type="dxa"/>
            <w:vAlign w:val="center"/>
          </w:tcPr>
          <w:p w14:paraId="1CF1FDF1">
            <w:pPr>
              <w:keepNext w:val="0"/>
              <w:keepLines w:val="0"/>
              <w:pageBreakBefore w:val="0"/>
              <w:kinsoku/>
              <w:wordWrap/>
              <w:overflowPunct/>
              <w:bidi w:val="0"/>
              <w:snapToGrid w:val="0"/>
              <w:spacing w:line="440" w:lineRule="exact"/>
              <w:jc w:val="center"/>
              <w:textAlignment w:val="auto"/>
              <w:rPr>
                <w:rFonts w:hint="eastAsia" w:ascii="仿宋" w:hAnsi="仿宋" w:eastAsia="仿宋" w:cs="仿宋"/>
                <w:color w:val="auto"/>
                <w:sz w:val="22"/>
                <w:szCs w:val="22"/>
                <w:highlight w:val="none"/>
              </w:rPr>
            </w:pPr>
            <w:r>
              <w:rPr>
                <w:rFonts w:hint="eastAsia" w:ascii="仿宋" w:hAnsi="仿宋" w:eastAsia="仿宋" w:cs="仿宋"/>
                <w:color w:val="auto"/>
                <w:kern w:val="0"/>
                <w:sz w:val="22"/>
                <w:szCs w:val="22"/>
                <w:highlight w:val="none"/>
              </w:rPr>
              <w:t>2.2.1</w:t>
            </w:r>
          </w:p>
        </w:tc>
        <w:tc>
          <w:tcPr>
            <w:tcW w:w="1573" w:type="dxa"/>
            <w:vAlign w:val="center"/>
          </w:tcPr>
          <w:p w14:paraId="0AA7CE43">
            <w:pPr>
              <w:keepNext w:val="0"/>
              <w:keepLines w:val="0"/>
              <w:pageBreakBefore w:val="0"/>
              <w:widowControl/>
              <w:kinsoku/>
              <w:wordWrap/>
              <w:overflowPunct/>
              <w:bidi w:val="0"/>
              <w:spacing w:line="440" w:lineRule="exact"/>
              <w:jc w:val="center"/>
              <w:textAlignment w:val="auto"/>
              <w:rPr>
                <w:rFonts w:hint="eastAsia" w:ascii="仿宋" w:hAnsi="仿宋" w:eastAsia="仿宋" w:cs="仿宋"/>
                <w:color w:val="auto"/>
                <w:sz w:val="22"/>
                <w:szCs w:val="22"/>
                <w:highlight w:val="none"/>
              </w:rPr>
            </w:pPr>
            <w:r>
              <w:rPr>
                <w:rFonts w:hint="eastAsia" w:ascii="仿宋" w:hAnsi="仿宋" w:eastAsia="仿宋" w:cs="仿宋"/>
                <w:color w:val="auto"/>
                <w:kern w:val="0"/>
                <w:sz w:val="22"/>
                <w:szCs w:val="22"/>
                <w:highlight w:val="none"/>
              </w:rPr>
              <w:t>投标人对招标文件提出疑问的截止时间</w:t>
            </w:r>
          </w:p>
        </w:tc>
        <w:tc>
          <w:tcPr>
            <w:tcW w:w="7474" w:type="dxa"/>
            <w:vAlign w:val="center"/>
          </w:tcPr>
          <w:p w14:paraId="62A08D4C">
            <w:pPr>
              <w:keepNext w:val="0"/>
              <w:keepLines w:val="0"/>
              <w:pageBreakBefore w:val="0"/>
              <w:kinsoku/>
              <w:wordWrap/>
              <w:overflowPunct/>
              <w:bidi w:val="0"/>
              <w:spacing w:line="440" w:lineRule="exact"/>
              <w:ind w:firstLine="440" w:firstLineChars="200"/>
              <w:textAlignment w:val="auto"/>
              <w:rPr>
                <w:rFonts w:hint="eastAsia" w:ascii="仿宋" w:hAnsi="仿宋" w:eastAsia="仿宋" w:cs="仿宋"/>
                <w:bCs/>
                <w:color w:val="auto"/>
                <w:sz w:val="22"/>
                <w:highlight w:val="none"/>
              </w:rPr>
            </w:pPr>
            <w:r>
              <w:rPr>
                <w:rFonts w:hint="eastAsia" w:ascii="仿宋" w:hAnsi="仿宋" w:eastAsia="仿宋" w:cs="仿宋"/>
                <w:bCs/>
                <w:color w:val="auto"/>
                <w:sz w:val="22"/>
                <w:highlight w:val="none"/>
              </w:rPr>
              <w:t>投标人在收到招标文件后，应仔细检查招标文件的所有内容，如有残缺或文字表述不清，图纸尺寸标注不明以及存在错、碰、漏、缺、概念模糊和有可能出现歧义或理解上的偏差的内容等应在投标截止时间前1日递交至代理机构。</w:t>
            </w:r>
          </w:p>
        </w:tc>
      </w:tr>
      <w:tr w14:paraId="06DF8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atLeast"/>
        </w:trPr>
        <w:tc>
          <w:tcPr>
            <w:tcW w:w="1005" w:type="dxa"/>
            <w:vAlign w:val="center"/>
          </w:tcPr>
          <w:p w14:paraId="370AEC7C">
            <w:pPr>
              <w:keepNext w:val="0"/>
              <w:keepLines w:val="0"/>
              <w:pageBreakBefore w:val="0"/>
              <w:kinsoku/>
              <w:wordWrap/>
              <w:overflowPunct/>
              <w:bidi w:val="0"/>
              <w:snapToGrid w:val="0"/>
              <w:spacing w:line="440" w:lineRule="exact"/>
              <w:jc w:val="center"/>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2.2.2</w:t>
            </w:r>
          </w:p>
        </w:tc>
        <w:tc>
          <w:tcPr>
            <w:tcW w:w="1573" w:type="dxa"/>
            <w:vAlign w:val="center"/>
          </w:tcPr>
          <w:p w14:paraId="391F250B">
            <w:pPr>
              <w:keepNext w:val="0"/>
              <w:keepLines w:val="0"/>
              <w:pageBreakBefore w:val="0"/>
              <w:widowControl/>
              <w:kinsoku/>
              <w:wordWrap/>
              <w:overflowPunct/>
              <w:bidi w:val="0"/>
              <w:spacing w:line="440" w:lineRule="exact"/>
              <w:jc w:val="center"/>
              <w:textAlignment w:val="auto"/>
              <w:rPr>
                <w:rFonts w:hint="eastAsia" w:ascii="仿宋" w:hAnsi="仿宋" w:eastAsia="仿宋" w:cs="仿宋"/>
                <w:color w:val="auto"/>
                <w:sz w:val="22"/>
                <w:szCs w:val="22"/>
                <w:highlight w:val="none"/>
              </w:rPr>
            </w:pPr>
            <w:r>
              <w:rPr>
                <w:rFonts w:hint="eastAsia" w:ascii="仿宋" w:hAnsi="仿宋" w:eastAsia="仿宋" w:cs="仿宋"/>
                <w:color w:val="auto"/>
                <w:kern w:val="0"/>
                <w:sz w:val="22"/>
                <w:szCs w:val="22"/>
                <w:highlight w:val="none"/>
              </w:rPr>
              <w:t>投标截止时间</w:t>
            </w:r>
          </w:p>
        </w:tc>
        <w:tc>
          <w:tcPr>
            <w:tcW w:w="7474" w:type="dxa"/>
            <w:vAlign w:val="center"/>
          </w:tcPr>
          <w:p w14:paraId="7ADCE239">
            <w:pPr>
              <w:keepNext w:val="0"/>
              <w:keepLines w:val="0"/>
              <w:pageBreakBefore w:val="0"/>
              <w:kinsoku/>
              <w:wordWrap/>
              <w:overflowPunct/>
              <w:bidi w:val="0"/>
              <w:snapToGrid w:val="0"/>
              <w:spacing w:line="440" w:lineRule="exact"/>
              <w:ind w:firstLine="440" w:firstLineChars="200"/>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详见招标公告规定的投标截止时间。</w:t>
            </w:r>
          </w:p>
        </w:tc>
      </w:tr>
      <w:tr w14:paraId="419F6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005" w:type="dxa"/>
            <w:vAlign w:val="center"/>
          </w:tcPr>
          <w:p w14:paraId="4922FA4B">
            <w:pPr>
              <w:keepNext w:val="0"/>
              <w:keepLines w:val="0"/>
              <w:pageBreakBefore w:val="0"/>
              <w:kinsoku/>
              <w:wordWrap/>
              <w:overflowPunct/>
              <w:bidi w:val="0"/>
              <w:snapToGrid w:val="0"/>
              <w:spacing w:line="440" w:lineRule="exact"/>
              <w:jc w:val="center"/>
              <w:textAlignment w:val="auto"/>
              <w:rPr>
                <w:rFonts w:hint="eastAsia" w:ascii="仿宋" w:hAnsi="仿宋" w:eastAsia="仿宋" w:cs="仿宋"/>
                <w:color w:val="auto"/>
                <w:sz w:val="22"/>
                <w:szCs w:val="22"/>
                <w:highlight w:val="none"/>
              </w:rPr>
            </w:pPr>
            <w:r>
              <w:rPr>
                <w:rFonts w:hint="eastAsia" w:ascii="仿宋" w:hAnsi="仿宋" w:eastAsia="仿宋" w:cs="仿宋"/>
                <w:color w:val="auto"/>
                <w:kern w:val="0"/>
                <w:sz w:val="22"/>
                <w:szCs w:val="22"/>
                <w:highlight w:val="none"/>
              </w:rPr>
              <w:t>2.2.3</w:t>
            </w:r>
          </w:p>
        </w:tc>
        <w:tc>
          <w:tcPr>
            <w:tcW w:w="1573" w:type="dxa"/>
            <w:vAlign w:val="center"/>
          </w:tcPr>
          <w:p w14:paraId="5DE8E81C">
            <w:pPr>
              <w:keepNext w:val="0"/>
              <w:keepLines w:val="0"/>
              <w:pageBreakBefore w:val="0"/>
              <w:widowControl/>
              <w:kinsoku/>
              <w:wordWrap/>
              <w:overflowPunct/>
              <w:bidi w:val="0"/>
              <w:spacing w:line="440" w:lineRule="exact"/>
              <w:jc w:val="center"/>
              <w:textAlignment w:val="auto"/>
              <w:rPr>
                <w:rFonts w:hint="eastAsia" w:ascii="仿宋" w:hAnsi="仿宋" w:eastAsia="仿宋" w:cs="仿宋"/>
                <w:color w:val="auto"/>
                <w:sz w:val="22"/>
                <w:szCs w:val="22"/>
                <w:highlight w:val="none"/>
              </w:rPr>
            </w:pPr>
            <w:r>
              <w:rPr>
                <w:rFonts w:hint="eastAsia" w:ascii="仿宋" w:hAnsi="仿宋" w:eastAsia="仿宋" w:cs="仿宋"/>
                <w:color w:val="auto"/>
                <w:kern w:val="0"/>
                <w:sz w:val="22"/>
                <w:szCs w:val="22"/>
                <w:highlight w:val="none"/>
              </w:rPr>
              <w:t>招标人对招标文件进行修改的时间</w:t>
            </w:r>
          </w:p>
        </w:tc>
        <w:tc>
          <w:tcPr>
            <w:tcW w:w="7474" w:type="dxa"/>
            <w:vAlign w:val="center"/>
          </w:tcPr>
          <w:p w14:paraId="4B1D6458">
            <w:pPr>
              <w:keepNext w:val="0"/>
              <w:keepLines w:val="0"/>
              <w:pageBreakBefore w:val="0"/>
              <w:widowControl/>
              <w:kinsoku/>
              <w:wordWrap/>
              <w:overflowPunct/>
              <w:bidi w:val="0"/>
              <w:spacing w:line="440" w:lineRule="exact"/>
              <w:ind w:firstLine="440" w:firstLineChars="200"/>
              <w:jc w:val="left"/>
              <w:textAlignment w:val="auto"/>
              <w:rPr>
                <w:rFonts w:hint="eastAsia" w:ascii="仿宋" w:hAnsi="仿宋" w:eastAsia="仿宋" w:cs="仿宋"/>
                <w:color w:val="auto"/>
                <w:sz w:val="22"/>
                <w:szCs w:val="22"/>
                <w:highlight w:val="none"/>
              </w:rPr>
            </w:pPr>
            <w:r>
              <w:rPr>
                <w:rFonts w:hint="eastAsia" w:ascii="仿宋" w:hAnsi="仿宋" w:eastAsia="仿宋" w:cs="仿宋"/>
                <w:color w:val="auto"/>
                <w:kern w:val="0"/>
                <w:sz w:val="22"/>
                <w:szCs w:val="22"/>
                <w:highlight w:val="none"/>
                <w:lang w:bidi="ar"/>
              </w:rPr>
              <w:t>修改</w:t>
            </w:r>
            <w:r>
              <w:rPr>
                <w:rFonts w:hint="eastAsia" w:ascii="仿宋" w:hAnsi="仿宋" w:eastAsia="仿宋" w:cs="仿宋"/>
                <w:snapToGrid w:val="0"/>
                <w:color w:val="auto"/>
                <w:kern w:val="0"/>
                <w:sz w:val="22"/>
                <w:szCs w:val="22"/>
                <w:highlight w:val="none"/>
              </w:rPr>
              <w:t>内容可能影响投标文件编制的，须在投标截止时间3日前发布，发布时间至投标截止时间不足3日的，须相应延后投标截止时间。</w:t>
            </w:r>
          </w:p>
        </w:tc>
      </w:tr>
      <w:tr w14:paraId="7553E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005" w:type="dxa"/>
            <w:vAlign w:val="center"/>
          </w:tcPr>
          <w:p w14:paraId="1C14E665">
            <w:pPr>
              <w:keepNext w:val="0"/>
              <w:keepLines w:val="0"/>
              <w:pageBreakBefore w:val="0"/>
              <w:kinsoku/>
              <w:wordWrap/>
              <w:overflowPunct/>
              <w:bidi w:val="0"/>
              <w:snapToGrid w:val="0"/>
              <w:spacing w:line="440" w:lineRule="exact"/>
              <w:jc w:val="center"/>
              <w:textAlignment w:val="auto"/>
              <w:rPr>
                <w:rFonts w:hint="eastAsia" w:ascii="仿宋" w:hAnsi="仿宋" w:eastAsia="仿宋" w:cs="仿宋"/>
                <w:color w:val="auto"/>
                <w:sz w:val="22"/>
                <w:szCs w:val="22"/>
                <w:highlight w:val="none"/>
              </w:rPr>
            </w:pPr>
            <w:r>
              <w:rPr>
                <w:rFonts w:hint="eastAsia" w:ascii="仿宋" w:hAnsi="仿宋" w:eastAsia="仿宋" w:cs="仿宋"/>
                <w:color w:val="auto"/>
                <w:kern w:val="0"/>
                <w:sz w:val="22"/>
                <w:szCs w:val="22"/>
                <w:highlight w:val="none"/>
              </w:rPr>
              <w:t>3.1.1</w:t>
            </w:r>
          </w:p>
        </w:tc>
        <w:tc>
          <w:tcPr>
            <w:tcW w:w="1573" w:type="dxa"/>
            <w:vAlign w:val="center"/>
          </w:tcPr>
          <w:p w14:paraId="68D783DC">
            <w:pPr>
              <w:keepNext w:val="0"/>
              <w:keepLines w:val="0"/>
              <w:pageBreakBefore w:val="0"/>
              <w:widowControl/>
              <w:kinsoku/>
              <w:wordWrap/>
              <w:overflowPunct/>
              <w:bidi w:val="0"/>
              <w:spacing w:line="440" w:lineRule="exact"/>
              <w:jc w:val="center"/>
              <w:textAlignment w:val="auto"/>
              <w:rPr>
                <w:rFonts w:hint="eastAsia" w:ascii="仿宋" w:hAnsi="仿宋" w:eastAsia="仿宋" w:cs="仿宋"/>
                <w:color w:val="auto"/>
                <w:sz w:val="22"/>
                <w:szCs w:val="22"/>
                <w:highlight w:val="none"/>
              </w:rPr>
            </w:pPr>
            <w:r>
              <w:rPr>
                <w:rFonts w:hint="eastAsia" w:ascii="仿宋" w:hAnsi="仿宋" w:eastAsia="仿宋" w:cs="仿宋"/>
                <w:color w:val="auto"/>
                <w:spacing w:val="-1"/>
                <w:sz w:val="22"/>
                <w:szCs w:val="22"/>
                <w:highlight w:val="none"/>
              </w:rPr>
              <w:t>构成投标文件的其他资料</w:t>
            </w:r>
          </w:p>
        </w:tc>
        <w:tc>
          <w:tcPr>
            <w:tcW w:w="7474" w:type="dxa"/>
            <w:vAlign w:val="center"/>
          </w:tcPr>
          <w:p w14:paraId="2EEA8097">
            <w:pPr>
              <w:keepNext w:val="0"/>
              <w:keepLines w:val="0"/>
              <w:pageBreakBefore w:val="0"/>
              <w:kinsoku/>
              <w:wordWrap/>
              <w:overflowPunct/>
              <w:bidi w:val="0"/>
              <w:snapToGrid w:val="0"/>
              <w:spacing w:line="440" w:lineRule="exact"/>
              <w:ind w:firstLine="440" w:firstLineChars="200"/>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投标人的书面澄清、说明和补正（但不得改变投标文件的实质性内容）</w:t>
            </w:r>
          </w:p>
        </w:tc>
      </w:tr>
      <w:tr w14:paraId="0625A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1005" w:type="dxa"/>
            <w:vAlign w:val="center"/>
          </w:tcPr>
          <w:p w14:paraId="2F2D4E36">
            <w:pPr>
              <w:keepNext w:val="0"/>
              <w:keepLines w:val="0"/>
              <w:pageBreakBefore w:val="0"/>
              <w:kinsoku/>
              <w:wordWrap/>
              <w:overflowPunct/>
              <w:bidi w:val="0"/>
              <w:snapToGrid w:val="0"/>
              <w:spacing w:line="440" w:lineRule="exact"/>
              <w:jc w:val="center"/>
              <w:textAlignment w:val="auto"/>
              <w:rPr>
                <w:rFonts w:hint="eastAsia" w:ascii="仿宋" w:hAnsi="仿宋" w:eastAsia="仿宋" w:cs="仿宋"/>
                <w:color w:val="auto"/>
                <w:sz w:val="22"/>
                <w:szCs w:val="22"/>
                <w:highlight w:val="none"/>
              </w:rPr>
            </w:pPr>
            <w:r>
              <w:rPr>
                <w:rFonts w:hint="eastAsia" w:ascii="仿宋" w:hAnsi="仿宋" w:eastAsia="仿宋" w:cs="仿宋"/>
                <w:snapToGrid w:val="0"/>
                <w:color w:val="auto"/>
                <w:kern w:val="0"/>
                <w:sz w:val="22"/>
                <w:szCs w:val="22"/>
                <w:highlight w:val="none"/>
              </w:rPr>
              <w:t>3.2.1</w:t>
            </w:r>
          </w:p>
        </w:tc>
        <w:tc>
          <w:tcPr>
            <w:tcW w:w="1573" w:type="dxa"/>
            <w:vAlign w:val="center"/>
          </w:tcPr>
          <w:p w14:paraId="781E3FF6">
            <w:pPr>
              <w:keepNext w:val="0"/>
              <w:keepLines w:val="0"/>
              <w:pageBreakBefore w:val="0"/>
              <w:kinsoku/>
              <w:wordWrap/>
              <w:overflowPunct/>
              <w:bidi w:val="0"/>
              <w:snapToGrid w:val="0"/>
              <w:spacing w:line="440" w:lineRule="exact"/>
              <w:jc w:val="center"/>
              <w:textAlignment w:val="auto"/>
              <w:rPr>
                <w:rFonts w:hint="eastAsia" w:ascii="仿宋" w:hAnsi="仿宋" w:eastAsia="仿宋" w:cs="仿宋"/>
                <w:color w:val="auto"/>
                <w:sz w:val="22"/>
                <w:szCs w:val="22"/>
                <w:highlight w:val="none"/>
              </w:rPr>
            </w:pPr>
            <w:r>
              <w:rPr>
                <w:rFonts w:hint="eastAsia" w:ascii="仿宋" w:hAnsi="仿宋" w:eastAsia="仿宋" w:cs="仿宋"/>
                <w:snapToGrid w:val="0"/>
                <w:color w:val="auto"/>
                <w:kern w:val="0"/>
                <w:sz w:val="22"/>
                <w:szCs w:val="22"/>
                <w:highlight w:val="none"/>
              </w:rPr>
              <w:t>增值税税金的计算方法</w:t>
            </w:r>
          </w:p>
        </w:tc>
        <w:tc>
          <w:tcPr>
            <w:tcW w:w="7474" w:type="dxa"/>
            <w:vAlign w:val="center"/>
          </w:tcPr>
          <w:p w14:paraId="3B88B21C">
            <w:pPr>
              <w:keepNext w:val="0"/>
              <w:keepLines w:val="0"/>
              <w:pageBreakBefore w:val="0"/>
              <w:kinsoku/>
              <w:wordWrap/>
              <w:overflowPunct/>
              <w:bidi w:val="0"/>
              <w:snapToGrid w:val="0"/>
              <w:spacing w:line="440" w:lineRule="exact"/>
              <w:ind w:firstLine="440" w:firstLineChars="200"/>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一般计税法</w:t>
            </w:r>
          </w:p>
        </w:tc>
      </w:tr>
      <w:tr w14:paraId="55C99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1005" w:type="dxa"/>
            <w:vAlign w:val="center"/>
          </w:tcPr>
          <w:p w14:paraId="6E3D7459">
            <w:pPr>
              <w:keepNext w:val="0"/>
              <w:keepLines w:val="0"/>
              <w:pageBreakBefore w:val="0"/>
              <w:kinsoku/>
              <w:wordWrap/>
              <w:overflowPunct/>
              <w:bidi w:val="0"/>
              <w:spacing w:line="440" w:lineRule="exact"/>
              <w:jc w:val="center"/>
              <w:textAlignment w:val="auto"/>
              <w:rPr>
                <w:rFonts w:hint="eastAsia" w:ascii="仿宋" w:hAnsi="仿宋" w:eastAsia="仿宋" w:cs="仿宋"/>
                <w:color w:val="auto"/>
                <w:sz w:val="22"/>
                <w:szCs w:val="22"/>
                <w:highlight w:val="none"/>
              </w:rPr>
            </w:pPr>
            <w:r>
              <w:rPr>
                <w:rFonts w:hint="eastAsia" w:ascii="仿宋" w:hAnsi="仿宋" w:eastAsia="仿宋" w:cs="仿宋"/>
                <w:snapToGrid w:val="0"/>
                <w:color w:val="auto"/>
                <w:kern w:val="0"/>
                <w:sz w:val="22"/>
                <w:szCs w:val="22"/>
                <w:highlight w:val="none"/>
              </w:rPr>
              <w:t>3.2.6</w:t>
            </w:r>
          </w:p>
        </w:tc>
        <w:tc>
          <w:tcPr>
            <w:tcW w:w="1573" w:type="dxa"/>
            <w:vAlign w:val="center"/>
          </w:tcPr>
          <w:p w14:paraId="46A56B19">
            <w:pPr>
              <w:keepNext w:val="0"/>
              <w:keepLines w:val="0"/>
              <w:pageBreakBefore w:val="0"/>
              <w:widowControl/>
              <w:kinsoku/>
              <w:wordWrap/>
              <w:overflowPunct/>
              <w:bidi w:val="0"/>
              <w:spacing w:line="440" w:lineRule="exact"/>
              <w:jc w:val="center"/>
              <w:textAlignment w:val="auto"/>
              <w:rPr>
                <w:rFonts w:hint="eastAsia" w:ascii="仿宋" w:hAnsi="仿宋" w:eastAsia="仿宋" w:cs="仿宋"/>
                <w:color w:val="auto"/>
                <w:sz w:val="22"/>
                <w:szCs w:val="22"/>
                <w:highlight w:val="none"/>
              </w:rPr>
            </w:pPr>
            <w:r>
              <w:rPr>
                <w:rFonts w:hint="eastAsia" w:ascii="仿宋" w:hAnsi="仿宋" w:eastAsia="仿宋" w:cs="仿宋"/>
                <w:color w:val="auto"/>
                <w:kern w:val="0"/>
                <w:sz w:val="22"/>
                <w:szCs w:val="22"/>
                <w:highlight w:val="none"/>
                <w:lang w:bidi="ar"/>
              </w:rPr>
              <w:t>是否接受调价函</w:t>
            </w:r>
          </w:p>
        </w:tc>
        <w:tc>
          <w:tcPr>
            <w:tcW w:w="7474" w:type="dxa"/>
            <w:vAlign w:val="center"/>
          </w:tcPr>
          <w:p w14:paraId="530A8628">
            <w:pPr>
              <w:keepNext w:val="0"/>
              <w:keepLines w:val="0"/>
              <w:pageBreakBefore w:val="0"/>
              <w:widowControl/>
              <w:kinsoku/>
              <w:wordWrap/>
              <w:overflowPunct/>
              <w:bidi w:val="0"/>
              <w:spacing w:line="440" w:lineRule="exact"/>
              <w:ind w:firstLine="440" w:firstLineChars="200"/>
              <w:jc w:val="left"/>
              <w:textAlignment w:val="auto"/>
              <w:rPr>
                <w:rFonts w:hint="eastAsia" w:ascii="仿宋" w:hAnsi="仿宋" w:eastAsia="仿宋" w:cs="仿宋"/>
                <w:color w:val="auto"/>
                <w:sz w:val="22"/>
                <w:szCs w:val="22"/>
                <w:highlight w:val="none"/>
              </w:rPr>
            </w:pPr>
            <w:r>
              <w:rPr>
                <w:rFonts w:hint="eastAsia" w:ascii="仿宋" w:hAnsi="仿宋" w:eastAsia="仿宋" w:cs="仿宋"/>
                <w:color w:val="auto"/>
                <w:kern w:val="0"/>
                <w:sz w:val="22"/>
                <w:szCs w:val="22"/>
                <w:highlight w:val="none"/>
                <w:lang w:bidi="ar"/>
              </w:rPr>
              <w:t>否</w:t>
            </w:r>
          </w:p>
        </w:tc>
      </w:tr>
      <w:tr w14:paraId="48183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1005" w:type="dxa"/>
            <w:vAlign w:val="center"/>
          </w:tcPr>
          <w:p w14:paraId="30EC8866">
            <w:pPr>
              <w:keepNext w:val="0"/>
              <w:keepLines w:val="0"/>
              <w:pageBreakBefore w:val="0"/>
              <w:kinsoku/>
              <w:wordWrap/>
              <w:overflowPunct/>
              <w:bidi w:val="0"/>
              <w:spacing w:line="440" w:lineRule="exact"/>
              <w:jc w:val="center"/>
              <w:textAlignment w:val="auto"/>
              <w:rPr>
                <w:rFonts w:hint="eastAsia" w:ascii="仿宋" w:hAnsi="仿宋" w:eastAsia="仿宋" w:cs="仿宋"/>
                <w:color w:val="auto"/>
                <w:sz w:val="22"/>
                <w:szCs w:val="22"/>
                <w:highlight w:val="none"/>
              </w:rPr>
            </w:pPr>
            <w:r>
              <w:rPr>
                <w:rFonts w:hint="eastAsia" w:ascii="仿宋" w:hAnsi="仿宋" w:eastAsia="仿宋" w:cs="仿宋"/>
                <w:snapToGrid w:val="0"/>
                <w:color w:val="auto"/>
                <w:kern w:val="0"/>
                <w:sz w:val="22"/>
                <w:szCs w:val="22"/>
                <w:highlight w:val="none"/>
              </w:rPr>
              <w:t>3.2.8</w:t>
            </w:r>
          </w:p>
        </w:tc>
        <w:tc>
          <w:tcPr>
            <w:tcW w:w="1573" w:type="dxa"/>
            <w:vAlign w:val="center"/>
          </w:tcPr>
          <w:p w14:paraId="7D3979BB">
            <w:pPr>
              <w:keepNext w:val="0"/>
              <w:keepLines w:val="0"/>
              <w:pageBreakBefore w:val="0"/>
              <w:widowControl/>
              <w:kinsoku/>
              <w:wordWrap/>
              <w:overflowPunct/>
              <w:bidi w:val="0"/>
              <w:spacing w:line="440" w:lineRule="exact"/>
              <w:jc w:val="center"/>
              <w:textAlignment w:val="auto"/>
              <w:rPr>
                <w:rFonts w:hint="eastAsia" w:ascii="仿宋" w:hAnsi="仿宋" w:eastAsia="仿宋" w:cs="仿宋"/>
                <w:color w:val="auto"/>
                <w:sz w:val="22"/>
                <w:szCs w:val="22"/>
                <w:highlight w:val="none"/>
              </w:rPr>
            </w:pPr>
            <w:r>
              <w:rPr>
                <w:rFonts w:hint="eastAsia" w:ascii="仿宋" w:hAnsi="仿宋" w:eastAsia="仿宋" w:cs="仿宋"/>
                <w:color w:val="auto"/>
                <w:kern w:val="0"/>
                <w:sz w:val="22"/>
                <w:szCs w:val="22"/>
                <w:highlight w:val="none"/>
                <w:lang w:bidi="ar"/>
              </w:rPr>
              <w:t>投标报价</w:t>
            </w:r>
          </w:p>
        </w:tc>
        <w:tc>
          <w:tcPr>
            <w:tcW w:w="7474" w:type="dxa"/>
            <w:vAlign w:val="center"/>
          </w:tcPr>
          <w:p w14:paraId="2100027B">
            <w:pPr>
              <w:keepNext w:val="0"/>
              <w:keepLines w:val="0"/>
              <w:pageBreakBefore w:val="0"/>
              <w:kinsoku/>
              <w:wordWrap/>
              <w:overflowPunct/>
              <w:bidi w:val="0"/>
              <w:snapToGrid w:val="0"/>
              <w:spacing w:line="440" w:lineRule="exact"/>
              <w:ind w:firstLine="440" w:firstLineChars="200"/>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1.使用国有资金投资的建设工程发承包，必须采用工程量清单计价。工程量清单应采用综合单价计价。</w:t>
            </w:r>
          </w:p>
          <w:p w14:paraId="186BF2CA">
            <w:pPr>
              <w:keepNext w:val="0"/>
              <w:keepLines w:val="0"/>
              <w:pageBreakBefore w:val="0"/>
              <w:kinsoku/>
              <w:wordWrap/>
              <w:overflowPunct/>
              <w:bidi w:val="0"/>
              <w:snapToGrid w:val="0"/>
              <w:spacing w:line="440" w:lineRule="exact"/>
              <w:ind w:firstLine="440" w:firstLineChars="200"/>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2.投标人应按《建设工程工程量清单计价规范》（GB50500-2013）及重庆市相关工程量清单计价规则的要求填写相应清单表格。投标人应按本须知、《重庆市建设工程费用定额》（CQFYDE-2018）、《重庆市住房和城乡建设委员会关于适用增值税新税率调整建设工程计价依据的通知》（渝建〔2019〕143号）和第五章“工程量清单”的要求填写相应清单表格。投标人的投标报价应是本章投标人须知前附表第1.3.1项中所述的本工程合同段招标范围内的全部工程的投标报价，并以投标人在工程量清单中提出的单价或总价为依据。</w:t>
            </w:r>
          </w:p>
          <w:p w14:paraId="004DFB84">
            <w:pPr>
              <w:keepNext w:val="0"/>
              <w:keepLines w:val="0"/>
              <w:pageBreakBefore w:val="0"/>
              <w:kinsoku/>
              <w:wordWrap/>
              <w:overflowPunct/>
              <w:bidi w:val="0"/>
              <w:snapToGrid w:val="0"/>
              <w:spacing w:line="440" w:lineRule="exact"/>
              <w:ind w:firstLine="440" w:firstLineChars="200"/>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3.投标人应认真填写工程量清单中所列的本合同各工程子目的单价或总价。投标人没有填入单价或总价的工程子目，招标人将认为该子目的价款已包括在工程量清单其他子目的单价和总价中。投标人必须按招标工程量清单填报价格。项目编码、项目名称、项目特征、计量单位、工程量必须与招标工程量清单一致。否则交由评标委员会作否决投标处理。</w:t>
            </w:r>
          </w:p>
          <w:p w14:paraId="4AB6990C">
            <w:pPr>
              <w:keepNext w:val="0"/>
              <w:keepLines w:val="0"/>
              <w:pageBreakBefore w:val="0"/>
              <w:kinsoku/>
              <w:wordWrap/>
              <w:overflowPunct/>
              <w:bidi w:val="0"/>
              <w:snapToGrid w:val="0"/>
              <w:spacing w:line="440" w:lineRule="exact"/>
              <w:ind w:firstLine="440" w:firstLineChars="200"/>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4.投标函中的总报价与已标价工程量清单总报价不一致，或工程量清单总报价与依据单价、工程数量、分部分项工程合价计算出的结果不一致，由</w:t>
            </w:r>
            <w:r>
              <w:rPr>
                <w:rFonts w:hint="eastAsia" w:ascii="仿宋" w:hAnsi="仿宋" w:eastAsia="仿宋" w:cs="仿宋"/>
                <w:color w:val="auto"/>
                <w:sz w:val="22"/>
                <w:szCs w:val="22"/>
                <w:highlight w:val="none"/>
                <w:lang w:val="en-US" w:eastAsia="zh-CN"/>
              </w:rPr>
              <w:t>投标函所列的总报价为准</w:t>
            </w:r>
            <w:r>
              <w:rPr>
                <w:rFonts w:hint="eastAsia" w:ascii="仿宋" w:hAnsi="仿宋" w:eastAsia="仿宋" w:cs="仿宋"/>
                <w:color w:val="auto"/>
                <w:sz w:val="22"/>
                <w:szCs w:val="22"/>
                <w:highlight w:val="none"/>
              </w:rPr>
              <w:t>。</w:t>
            </w:r>
          </w:p>
          <w:p w14:paraId="5A1A2DA3">
            <w:pPr>
              <w:pStyle w:val="6"/>
              <w:keepNext w:val="0"/>
              <w:keepLines w:val="0"/>
              <w:pageBreakBefore w:val="0"/>
              <w:tabs>
                <w:tab w:val="left" w:pos="546"/>
                <w:tab w:val="left" w:pos="711"/>
              </w:tabs>
              <w:kinsoku/>
              <w:wordWrap/>
              <w:overflowPunct/>
              <w:bidi w:val="0"/>
              <w:snapToGrid w:val="0"/>
              <w:spacing w:after="0" w:line="440" w:lineRule="exact"/>
              <w:ind w:left="8" w:leftChars="3" w:firstLine="440" w:firstLineChars="200"/>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5.</w:t>
            </w:r>
            <w:r>
              <w:rPr>
                <w:rFonts w:hint="eastAsia" w:ascii="仿宋" w:hAnsi="仿宋" w:eastAsia="仿宋" w:cs="仿宋"/>
                <w:color w:val="auto"/>
                <w:sz w:val="22"/>
                <w:szCs w:val="22"/>
                <w:highlight w:val="none"/>
                <w:u w:val="single"/>
              </w:rPr>
              <w:t>（1）在合同实施期间，单价和总价按专用合同条款第11条的规定可调整。</w:t>
            </w:r>
          </w:p>
          <w:p w14:paraId="3955AAFE">
            <w:pPr>
              <w:pStyle w:val="6"/>
              <w:keepNext w:val="0"/>
              <w:keepLines w:val="0"/>
              <w:pageBreakBefore w:val="0"/>
              <w:tabs>
                <w:tab w:val="left" w:pos="546"/>
                <w:tab w:val="left" w:pos="711"/>
              </w:tabs>
              <w:kinsoku/>
              <w:wordWrap/>
              <w:overflowPunct/>
              <w:bidi w:val="0"/>
              <w:snapToGrid w:val="0"/>
              <w:spacing w:after="0" w:line="440" w:lineRule="exact"/>
              <w:ind w:left="8" w:leftChars="3" w:firstLine="440" w:firstLineChars="200"/>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（2）增值税计税方法由招标人依据国家税法规定选择：</w:t>
            </w:r>
          </w:p>
          <w:p w14:paraId="268DB7E1">
            <w:pPr>
              <w:pStyle w:val="6"/>
              <w:keepNext w:val="0"/>
              <w:keepLines w:val="0"/>
              <w:pageBreakBefore w:val="0"/>
              <w:tabs>
                <w:tab w:val="left" w:pos="546"/>
                <w:tab w:val="left" w:pos="711"/>
              </w:tabs>
              <w:kinsoku/>
              <w:wordWrap/>
              <w:overflowPunct/>
              <w:bidi w:val="0"/>
              <w:snapToGrid w:val="0"/>
              <w:spacing w:after="0" w:line="440" w:lineRule="exact"/>
              <w:ind w:left="8" w:leftChars="3" w:firstLine="440" w:firstLineChars="200"/>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☑一般计税法</w:t>
            </w:r>
          </w:p>
          <w:p w14:paraId="25D3F1E8">
            <w:pPr>
              <w:pStyle w:val="6"/>
              <w:keepNext w:val="0"/>
              <w:keepLines w:val="0"/>
              <w:pageBreakBefore w:val="0"/>
              <w:tabs>
                <w:tab w:val="left" w:pos="546"/>
                <w:tab w:val="left" w:pos="711"/>
              </w:tabs>
              <w:kinsoku/>
              <w:wordWrap/>
              <w:overflowPunct/>
              <w:bidi w:val="0"/>
              <w:snapToGrid w:val="0"/>
              <w:spacing w:after="0" w:line="440" w:lineRule="exact"/>
              <w:ind w:left="8" w:leftChars="3" w:firstLine="440" w:firstLineChars="200"/>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□简易计税法</w:t>
            </w:r>
          </w:p>
          <w:p w14:paraId="4EF4097A">
            <w:pPr>
              <w:pStyle w:val="6"/>
              <w:keepNext w:val="0"/>
              <w:keepLines w:val="0"/>
              <w:pageBreakBefore w:val="0"/>
              <w:tabs>
                <w:tab w:val="left" w:pos="546"/>
                <w:tab w:val="left" w:pos="711"/>
              </w:tabs>
              <w:kinsoku/>
              <w:wordWrap/>
              <w:overflowPunct/>
              <w:bidi w:val="0"/>
              <w:snapToGrid w:val="0"/>
              <w:spacing w:after="0" w:line="440" w:lineRule="exact"/>
              <w:ind w:left="8" w:leftChars="3" w:firstLine="440" w:firstLineChars="200"/>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6.如发现工程量清单中的数量与图纸中数量不一致，应于本须知第2.2.1项中规定的时间前书面通知招标人核查，除非招标人以修改的形式予以更正，否则，应以工程量清单中列出的数量为准。</w:t>
            </w:r>
          </w:p>
          <w:p w14:paraId="031C7001">
            <w:pPr>
              <w:keepNext w:val="0"/>
              <w:keepLines w:val="0"/>
              <w:pageBreakBefore w:val="0"/>
              <w:tabs>
                <w:tab w:val="left" w:pos="546"/>
                <w:tab w:val="left" w:pos="711"/>
              </w:tabs>
              <w:kinsoku/>
              <w:wordWrap/>
              <w:overflowPunct/>
              <w:bidi w:val="0"/>
              <w:snapToGrid w:val="0"/>
              <w:spacing w:line="440" w:lineRule="exact"/>
              <w:ind w:firstLine="440" w:firstLineChars="200"/>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7.招标人在工程量清单中所列出的暂列金额、暂估价等暂定金额，投标人不得修改，否则由评标委员会作否决投标处理。</w:t>
            </w:r>
          </w:p>
          <w:p w14:paraId="7501924E">
            <w:pPr>
              <w:keepNext w:val="0"/>
              <w:keepLines w:val="0"/>
              <w:pageBreakBefore w:val="0"/>
              <w:tabs>
                <w:tab w:val="left" w:pos="546"/>
                <w:tab w:val="left" w:pos="711"/>
              </w:tabs>
              <w:kinsoku/>
              <w:wordWrap/>
              <w:overflowPunct/>
              <w:bidi w:val="0"/>
              <w:snapToGrid w:val="0"/>
              <w:spacing w:line="440" w:lineRule="exact"/>
              <w:ind w:left="218" w:leftChars="78" w:firstLine="221" w:firstLineChars="100"/>
              <w:textAlignment w:val="auto"/>
              <w:rPr>
                <w:rFonts w:hint="eastAsia" w:ascii="仿宋" w:hAnsi="仿宋" w:eastAsia="仿宋" w:cs="仿宋"/>
                <w:b/>
                <w:bCs/>
                <w:color w:val="auto"/>
                <w:sz w:val="22"/>
                <w:szCs w:val="22"/>
                <w:highlight w:val="none"/>
              </w:rPr>
            </w:pPr>
            <w:r>
              <w:rPr>
                <w:rFonts w:hint="eastAsia" w:ascii="仿宋" w:hAnsi="仿宋" w:eastAsia="仿宋" w:cs="仿宋"/>
                <w:b/>
                <w:bCs/>
                <w:color w:val="auto"/>
                <w:sz w:val="22"/>
                <w:szCs w:val="22"/>
                <w:highlight w:val="none"/>
              </w:rPr>
              <w:t>8.本工程招标将设置投标总报价最高限价，投标总报价最高限价为</w:t>
            </w:r>
            <w:r>
              <w:rPr>
                <w:rFonts w:hint="eastAsia" w:ascii="仿宋" w:hAnsi="仿宋" w:eastAsia="仿宋" w:cs="仿宋"/>
                <w:b/>
                <w:bCs/>
                <w:color w:val="auto"/>
                <w:sz w:val="22"/>
                <w:szCs w:val="22"/>
                <w:highlight w:val="none"/>
                <w:u w:val="single"/>
              </w:rPr>
              <w:t xml:space="preserve"> </w:t>
            </w:r>
            <w:r>
              <w:rPr>
                <w:rFonts w:hint="eastAsia" w:ascii="仿宋" w:hAnsi="仿宋" w:eastAsia="仿宋" w:cs="仿宋"/>
                <w:b/>
                <w:bCs/>
                <w:color w:val="auto"/>
                <w:sz w:val="22"/>
                <w:szCs w:val="22"/>
                <w:highlight w:val="none"/>
                <w:u w:val="single"/>
                <w:lang w:val="en-US" w:eastAsia="zh-CN"/>
              </w:rPr>
              <w:t xml:space="preserve">  </w:t>
            </w:r>
            <w:r>
              <w:rPr>
                <w:rFonts w:hint="eastAsia" w:ascii="仿宋" w:hAnsi="仿宋" w:eastAsia="仿宋" w:cs="仿宋"/>
                <w:b/>
                <w:bCs/>
                <w:color w:val="auto"/>
                <w:sz w:val="22"/>
                <w:szCs w:val="22"/>
                <w:highlight w:val="none"/>
                <w:u w:val="single"/>
              </w:rPr>
              <w:t>151763.1</w:t>
            </w:r>
            <w:r>
              <w:rPr>
                <w:rFonts w:hint="eastAsia" w:ascii="仿宋" w:hAnsi="仿宋" w:eastAsia="仿宋" w:cs="仿宋"/>
                <w:b/>
                <w:bCs/>
                <w:color w:val="auto"/>
                <w:sz w:val="22"/>
                <w:szCs w:val="22"/>
                <w:highlight w:val="none"/>
                <w:u w:val="single"/>
                <w:lang w:val="en-US" w:eastAsia="zh-CN"/>
              </w:rPr>
              <w:t>0</w:t>
            </w:r>
            <w:r>
              <w:rPr>
                <w:rFonts w:hint="eastAsia" w:ascii="仿宋" w:hAnsi="仿宋" w:eastAsia="仿宋" w:cs="仿宋"/>
                <w:b/>
                <w:bCs/>
                <w:color w:val="auto"/>
                <w:sz w:val="22"/>
                <w:szCs w:val="22"/>
                <w:highlight w:val="none"/>
              </w:rPr>
              <w:t>元（大写：</w:t>
            </w:r>
            <w:r>
              <w:rPr>
                <w:rFonts w:hint="eastAsia" w:ascii="仿宋" w:hAnsi="仿宋" w:eastAsia="仿宋" w:cs="仿宋"/>
                <w:b/>
                <w:bCs/>
                <w:color w:val="auto"/>
                <w:sz w:val="22"/>
                <w:szCs w:val="22"/>
                <w:highlight w:val="none"/>
                <w:u w:val="single"/>
              </w:rPr>
              <w:t>壹拾伍万壹仟柒佰陆拾叁元壹角</w:t>
            </w:r>
            <w:r>
              <w:rPr>
                <w:rFonts w:hint="eastAsia" w:ascii="仿宋" w:hAnsi="仿宋" w:eastAsia="仿宋" w:cs="仿宋"/>
                <w:b/>
                <w:bCs/>
                <w:color w:val="auto"/>
                <w:sz w:val="22"/>
                <w:szCs w:val="22"/>
                <w:highlight w:val="none"/>
              </w:rPr>
              <w:t>），安全文明施工费暂定金额</w:t>
            </w:r>
            <w:r>
              <w:rPr>
                <w:rFonts w:hint="eastAsia" w:ascii="仿宋" w:hAnsi="仿宋" w:eastAsia="仿宋" w:cs="仿宋"/>
                <w:b/>
                <w:bCs/>
                <w:color w:val="auto"/>
                <w:sz w:val="22"/>
                <w:szCs w:val="22"/>
                <w:highlight w:val="none"/>
                <w:u w:val="single"/>
              </w:rPr>
              <w:t>5671.59</w:t>
            </w:r>
            <w:r>
              <w:rPr>
                <w:rFonts w:hint="eastAsia" w:ascii="仿宋" w:hAnsi="仿宋" w:eastAsia="仿宋" w:cs="仿宋"/>
                <w:b/>
                <w:bCs/>
                <w:color w:val="auto"/>
                <w:sz w:val="22"/>
                <w:szCs w:val="22"/>
                <w:highlight w:val="none"/>
              </w:rPr>
              <w:t>元，投标人的投标总报价不得超过投标总报价最高限价，否则由评标委员会作否决投标处理。</w:t>
            </w:r>
          </w:p>
          <w:p w14:paraId="5856A02A">
            <w:pPr>
              <w:keepNext w:val="0"/>
              <w:keepLines w:val="0"/>
              <w:pageBreakBefore w:val="0"/>
              <w:tabs>
                <w:tab w:val="left" w:pos="546"/>
                <w:tab w:val="left" w:pos="711"/>
              </w:tabs>
              <w:kinsoku/>
              <w:wordWrap/>
              <w:overflowPunct/>
              <w:bidi w:val="0"/>
              <w:snapToGrid w:val="0"/>
              <w:spacing w:line="440" w:lineRule="exact"/>
              <w:ind w:firstLine="442" w:firstLineChars="200"/>
              <w:textAlignment w:val="auto"/>
              <w:rPr>
                <w:rFonts w:hint="eastAsia" w:ascii="仿宋" w:hAnsi="仿宋" w:eastAsia="仿宋" w:cs="仿宋"/>
                <w:b/>
                <w:bCs/>
                <w:color w:val="auto"/>
                <w:sz w:val="22"/>
                <w:szCs w:val="22"/>
                <w:highlight w:val="none"/>
              </w:rPr>
            </w:pPr>
            <w:r>
              <w:rPr>
                <w:rFonts w:hint="eastAsia" w:ascii="仿宋" w:hAnsi="仿宋" w:eastAsia="仿宋" w:cs="仿宋"/>
                <w:b/>
                <w:bCs/>
                <w:color w:val="auto"/>
                <w:sz w:val="22"/>
                <w:szCs w:val="22"/>
                <w:highlight w:val="none"/>
              </w:rPr>
              <w:t>本工程招标将设置全部清单综合单价最高限价，全部清单综合单价最高限价详见随本招标文件发出的附件，投标人的每项清单综合单价报价不得超过每项清单综合单价最高限价，否则由评标委员会作否决投标处理。</w:t>
            </w:r>
          </w:p>
          <w:p w14:paraId="0E4B5655">
            <w:pPr>
              <w:keepNext w:val="0"/>
              <w:keepLines w:val="0"/>
              <w:pageBreakBefore w:val="0"/>
              <w:tabs>
                <w:tab w:val="left" w:pos="546"/>
                <w:tab w:val="left" w:pos="711"/>
              </w:tabs>
              <w:kinsoku/>
              <w:wordWrap/>
              <w:overflowPunct/>
              <w:bidi w:val="0"/>
              <w:snapToGrid w:val="0"/>
              <w:spacing w:line="440" w:lineRule="exact"/>
              <w:ind w:firstLine="440" w:firstLineChars="200"/>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9.安全文明施工费：</w:t>
            </w:r>
          </w:p>
          <w:p w14:paraId="7B3BC401">
            <w:pPr>
              <w:keepNext w:val="0"/>
              <w:keepLines w:val="0"/>
              <w:pageBreakBefore w:val="0"/>
              <w:tabs>
                <w:tab w:val="left" w:pos="546"/>
                <w:tab w:val="left" w:pos="711"/>
              </w:tabs>
              <w:kinsoku/>
              <w:wordWrap/>
              <w:overflowPunct/>
              <w:bidi w:val="0"/>
              <w:snapToGrid w:val="0"/>
              <w:spacing w:line="440" w:lineRule="exact"/>
              <w:ind w:firstLine="440" w:firstLineChars="200"/>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9.1根据《重庆城乡建设委员会关于印发&lt;重庆市建设工程安全文明施工费计取及使用管理规定&gt;的通知》（渝建发〔2014〕25号）规定，安全文明施工费由安全施工费、文明施工费、环境保护费及临时设施费组成。</w:t>
            </w:r>
          </w:p>
          <w:p w14:paraId="3EDB655B">
            <w:pPr>
              <w:keepNext w:val="0"/>
              <w:keepLines w:val="0"/>
              <w:pageBreakBefore w:val="0"/>
              <w:tabs>
                <w:tab w:val="left" w:pos="546"/>
                <w:tab w:val="left" w:pos="711"/>
              </w:tabs>
              <w:kinsoku/>
              <w:wordWrap/>
              <w:overflowPunct/>
              <w:bidi w:val="0"/>
              <w:snapToGrid w:val="0"/>
              <w:spacing w:line="440" w:lineRule="exact"/>
              <w:ind w:firstLine="440" w:firstLineChars="200"/>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9.2本工程安全文明施工费由招标人根据《建设工程工程量清单计价规范》（GB50500-2013）、《重庆市建设工程工程量清单计价规则》（CQJJGZ-2013）、《重庆市城乡建设委员会关于印发&lt;重庆市建设工程安全文明施工费计取及使用管理规定&gt;的通知》（渝建发〔2014〕25号）、《重庆市住房和城乡建设委员会关于调整建设施工现场形象品质提升安全文明施工费计取的通知》（渝建管〔2020〕97号）、《重庆市建设工程费用定额》（CQFYDE-2018）、《重庆市住房和城乡建设委员会关于适用增值税新税率调整建设工程计价依据的通知》（渝建〔2019〕143号）、《重庆市住房和城乡建设委员会关于修订发布&lt;重庆市建设工程安全文明施工费计取及使用管理规定&gt;的通知》（渝建管〔2024〕38号）的相关规定和费用标准单列计算，安全文明施工费为暂定金额，与最高限价一起公布。《投标函》中的安全文明施工费金额或工程量清单中安全文明施工费的汇总金额未按照招标人给出的暂定金额填报的，视为对招标文件不作实质性响应，其投标文件由评标委员会作否决投标处理。</w:t>
            </w:r>
          </w:p>
          <w:p w14:paraId="01CC2BCE">
            <w:pPr>
              <w:keepNext w:val="0"/>
              <w:keepLines w:val="0"/>
              <w:pageBreakBefore w:val="0"/>
              <w:tabs>
                <w:tab w:val="left" w:pos="546"/>
                <w:tab w:val="left" w:pos="711"/>
              </w:tabs>
              <w:kinsoku/>
              <w:wordWrap/>
              <w:overflowPunct/>
              <w:bidi w:val="0"/>
              <w:snapToGrid w:val="0"/>
              <w:spacing w:line="440" w:lineRule="exact"/>
              <w:ind w:firstLine="440" w:firstLineChars="200"/>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10.本工程所需材料（含设备）价格由投标人参照重庆市建设工程造价管理总站发布的《重庆工程造价信息》或工程造价管理机构发布的工程造价信息（造价信息引用时限为招标公告发布日期前一期），并结合市场行情及自身实力进行自主报价。</w:t>
            </w:r>
          </w:p>
          <w:p w14:paraId="10B925DA">
            <w:pPr>
              <w:keepNext w:val="0"/>
              <w:keepLines w:val="0"/>
              <w:pageBreakBefore w:val="0"/>
              <w:tabs>
                <w:tab w:val="left" w:pos="546"/>
                <w:tab w:val="left" w:pos="711"/>
              </w:tabs>
              <w:kinsoku/>
              <w:wordWrap/>
              <w:overflowPunct/>
              <w:bidi w:val="0"/>
              <w:snapToGrid w:val="0"/>
              <w:spacing w:line="440" w:lineRule="exact"/>
              <w:ind w:firstLine="440" w:firstLineChars="200"/>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11.本项目建筑安装材料价格风险按照《重庆市城乡建设委员会关于进一步加强建筑安装材料价格风险管控的指导意见》（渝建〔2018〕61号）执行。</w:t>
            </w:r>
          </w:p>
          <w:p w14:paraId="29EDCF86">
            <w:pPr>
              <w:keepNext w:val="0"/>
              <w:keepLines w:val="0"/>
              <w:pageBreakBefore w:val="0"/>
              <w:tabs>
                <w:tab w:val="left" w:pos="546"/>
                <w:tab w:val="left" w:pos="711"/>
              </w:tabs>
              <w:kinsoku/>
              <w:wordWrap/>
              <w:overflowPunct/>
              <w:bidi w:val="0"/>
              <w:snapToGrid w:val="0"/>
              <w:spacing w:line="440" w:lineRule="exact"/>
              <w:ind w:firstLine="440" w:firstLineChars="200"/>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12.本项目所采用技术、工艺和产品等必须执行重庆市住房和城乡建设委员会关于发布《重庆市建设领域禁止、限制使用落后技术通告（2019年版）（渝建发〔2019〕25号）的规定。</w:t>
            </w:r>
          </w:p>
          <w:p w14:paraId="233F226C">
            <w:pPr>
              <w:keepNext w:val="0"/>
              <w:keepLines w:val="0"/>
              <w:pageBreakBefore w:val="0"/>
              <w:tabs>
                <w:tab w:val="left" w:pos="546"/>
                <w:tab w:val="left" w:pos="711"/>
              </w:tabs>
              <w:kinsoku/>
              <w:wordWrap/>
              <w:overflowPunct/>
              <w:bidi w:val="0"/>
              <w:snapToGrid w:val="0"/>
              <w:spacing w:line="440" w:lineRule="exact"/>
              <w:ind w:firstLine="440" w:firstLineChars="200"/>
              <w:textAlignment w:val="auto"/>
              <w:rPr>
                <w:rFonts w:hint="eastAsia" w:ascii="仿宋" w:hAnsi="仿宋" w:eastAsia="仿宋" w:cs="仿宋"/>
                <w:color w:val="auto"/>
                <w:highlight w:val="none"/>
              </w:rPr>
            </w:pPr>
            <w:r>
              <w:rPr>
                <w:rFonts w:hint="eastAsia" w:ascii="仿宋" w:hAnsi="仿宋" w:eastAsia="仿宋" w:cs="仿宋"/>
                <w:color w:val="auto"/>
                <w:sz w:val="22"/>
                <w:szCs w:val="22"/>
                <w:highlight w:val="none"/>
              </w:rPr>
              <w:t>13.本工程主体结构若需混凝土，则必须使用商品混凝土，不得自建搅拌站。</w:t>
            </w:r>
          </w:p>
        </w:tc>
      </w:tr>
      <w:tr w14:paraId="4D9CC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005" w:type="dxa"/>
            <w:vAlign w:val="center"/>
          </w:tcPr>
          <w:p w14:paraId="64AD05FC">
            <w:pPr>
              <w:keepNext w:val="0"/>
              <w:keepLines w:val="0"/>
              <w:pageBreakBefore w:val="0"/>
              <w:kinsoku/>
              <w:wordWrap/>
              <w:overflowPunct/>
              <w:bidi w:val="0"/>
              <w:snapToGrid w:val="0"/>
              <w:spacing w:before="120" w:beforeLines="50" w:after="120" w:afterLines="50" w:line="440" w:lineRule="exact"/>
              <w:textAlignment w:val="auto"/>
              <w:rPr>
                <w:rFonts w:hint="eastAsia" w:ascii="仿宋" w:hAnsi="仿宋" w:eastAsia="仿宋" w:cs="仿宋"/>
                <w:color w:val="auto"/>
                <w:sz w:val="22"/>
                <w:highlight w:val="none"/>
              </w:rPr>
            </w:pPr>
            <w:r>
              <w:rPr>
                <w:rFonts w:hint="eastAsia" w:ascii="仿宋" w:hAnsi="仿宋" w:eastAsia="仿宋" w:cs="仿宋"/>
                <w:color w:val="auto"/>
                <w:sz w:val="22"/>
                <w:highlight w:val="none"/>
              </w:rPr>
              <w:t>3.3.1</w:t>
            </w:r>
          </w:p>
        </w:tc>
        <w:tc>
          <w:tcPr>
            <w:tcW w:w="1573" w:type="dxa"/>
            <w:vAlign w:val="center"/>
          </w:tcPr>
          <w:p w14:paraId="5CCB8DA1">
            <w:pPr>
              <w:keepNext w:val="0"/>
              <w:keepLines w:val="0"/>
              <w:pageBreakBefore w:val="0"/>
              <w:kinsoku/>
              <w:wordWrap/>
              <w:overflowPunct/>
              <w:bidi w:val="0"/>
              <w:snapToGrid w:val="0"/>
              <w:spacing w:before="120" w:beforeLines="50" w:after="120" w:afterLines="50" w:line="440" w:lineRule="exact"/>
              <w:textAlignment w:val="auto"/>
              <w:rPr>
                <w:rFonts w:hint="eastAsia" w:ascii="仿宋" w:hAnsi="仿宋" w:eastAsia="仿宋" w:cs="仿宋"/>
                <w:color w:val="auto"/>
                <w:sz w:val="22"/>
                <w:highlight w:val="none"/>
              </w:rPr>
            </w:pPr>
            <w:r>
              <w:rPr>
                <w:rFonts w:hint="eastAsia" w:ascii="仿宋" w:hAnsi="仿宋" w:eastAsia="仿宋" w:cs="仿宋"/>
                <w:color w:val="auto"/>
                <w:sz w:val="22"/>
                <w:highlight w:val="none"/>
              </w:rPr>
              <w:t>投标有效期</w:t>
            </w:r>
          </w:p>
        </w:tc>
        <w:tc>
          <w:tcPr>
            <w:tcW w:w="7474" w:type="dxa"/>
            <w:vAlign w:val="center"/>
          </w:tcPr>
          <w:p w14:paraId="080547B6">
            <w:pPr>
              <w:keepNext w:val="0"/>
              <w:keepLines w:val="0"/>
              <w:pageBreakBefore w:val="0"/>
              <w:kinsoku/>
              <w:wordWrap/>
              <w:overflowPunct/>
              <w:bidi w:val="0"/>
              <w:snapToGrid w:val="0"/>
              <w:spacing w:before="120" w:beforeLines="50" w:after="120" w:afterLines="50" w:line="440" w:lineRule="exact"/>
              <w:ind w:firstLine="440" w:firstLineChars="200"/>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u w:val="single"/>
              </w:rPr>
              <w:t>90</w:t>
            </w:r>
            <w:r>
              <w:rPr>
                <w:rFonts w:hint="eastAsia" w:ascii="仿宋" w:hAnsi="仿宋" w:eastAsia="仿宋" w:cs="仿宋"/>
                <w:color w:val="auto"/>
                <w:sz w:val="22"/>
                <w:szCs w:val="22"/>
                <w:highlight w:val="none"/>
              </w:rPr>
              <w:t>日历天（从提交投标文件截止日起计算）</w:t>
            </w:r>
          </w:p>
        </w:tc>
      </w:tr>
      <w:tr w14:paraId="3F9D4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005" w:type="dxa"/>
            <w:vAlign w:val="center"/>
          </w:tcPr>
          <w:p w14:paraId="134B6017">
            <w:pPr>
              <w:keepNext w:val="0"/>
              <w:keepLines w:val="0"/>
              <w:pageBreakBefore w:val="0"/>
              <w:kinsoku/>
              <w:wordWrap/>
              <w:overflowPunct/>
              <w:bidi w:val="0"/>
              <w:snapToGrid w:val="0"/>
              <w:spacing w:before="120" w:beforeLines="50" w:after="120" w:afterLines="50" w:line="440" w:lineRule="exac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3.4.1</w:t>
            </w:r>
          </w:p>
        </w:tc>
        <w:tc>
          <w:tcPr>
            <w:tcW w:w="1573" w:type="dxa"/>
            <w:vAlign w:val="center"/>
          </w:tcPr>
          <w:p w14:paraId="4DB21365">
            <w:pPr>
              <w:keepNext w:val="0"/>
              <w:keepLines w:val="0"/>
              <w:pageBreakBefore w:val="0"/>
              <w:kinsoku/>
              <w:wordWrap/>
              <w:overflowPunct/>
              <w:bidi w:val="0"/>
              <w:snapToGrid w:val="0"/>
              <w:spacing w:before="120" w:beforeLines="50" w:after="120" w:afterLines="50" w:line="440" w:lineRule="exact"/>
              <w:textAlignment w:val="auto"/>
              <w:rPr>
                <w:rFonts w:hint="eastAsia" w:ascii="仿宋" w:hAnsi="仿宋" w:eastAsia="仿宋" w:cs="仿宋"/>
                <w:color w:val="auto"/>
                <w:sz w:val="24"/>
                <w:highlight w:val="none"/>
              </w:rPr>
            </w:pPr>
            <w:r>
              <w:rPr>
                <w:rFonts w:hint="eastAsia" w:ascii="仿宋" w:hAnsi="仿宋" w:eastAsia="仿宋" w:cs="仿宋"/>
                <w:color w:val="auto"/>
                <w:sz w:val="22"/>
                <w:highlight w:val="none"/>
              </w:rPr>
              <w:t>投标保证金</w:t>
            </w:r>
          </w:p>
        </w:tc>
        <w:tc>
          <w:tcPr>
            <w:tcW w:w="7474" w:type="dxa"/>
            <w:vAlign w:val="center"/>
          </w:tcPr>
          <w:p w14:paraId="439ED6A5">
            <w:pPr>
              <w:keepNext w:val="0"/>
              <w:keepLines w:val="0"/>
              <w:pageBreakBefore w:val="0"/>
              <w:kinsoku/>
              <w:wordWrap/>
              <w:overflowPunct/>
              <w:autoSpaceDE w:val="0"/>
              <w:autoSpaceDN w:val="0"/>
              <w:bidi w:val="0"/>
              <w:adjustRightInd w:val="0"/>
              <w:snapToGrid w:val="0"/>
              <w:spacing w:line="440" w:lineRule="exact"/>
              <w:ind w:firstLine="420"/>
              <w:jc w:val="lef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无</w:t>
            </w:r>
          </w:p>
        </w:tc>
      </w:tr>
      <w:tr w14:paraId="30478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1005" w:type="dxa"/>
            <w:vAlign w:val="center"/>
          </w:tcPr>
          <w:p w14:paraId="0EB97577">
            <w:pPr>
              <w:keepNext w:val="0"/>
              <w:keepLines w:val="0"/>
              <w:pageBreakBefore w:val="0"/>
              <w:kinsoku/>
              <w:wordWrap/>
              <w:overflowPunct/>
              <w:bidi w:val="0"/>
              <w:snapToGrid w:val="0"/>
              <w:spacing w:before="120" w:beforeLines="50" w:after="120" w:afterLines="50" w:line="440" w:lineRule="exact"/>
              <w:textAlignment w:val="auto"/>
              <w:rPr>
                <w:rFonts w:hint="eastAsia" w:ascii="仿宋" w:hAnsi="仿宋" w:eastAsia="仿宋" w:cs="仿宋"/>
                <w:color w:val="auto"/>
                <w:sz w:val="22"/>
                <w:highlight w:val="none"/>
              </w:rPr>
            </w:pPr>
            <w:r>
              <w:rPr>
                <w:rFonts w:hint="eastAsia" w:ascii="仿宋" w:hAnsi="仿宋" w:eastAsia="仿宋" w:cs="仿宋"/>
                <w:color w:val="auto"/>
                <w:sz w:val="22"/>
                <w:highlight w:val="none"/>
              </w:rPr>
              <w:t>3.6</w:t>
            </w:r>
          </w:p>
        </w:tc>
        <w:tc>
          <w:tcPr>
            <w:tcW w:w="1573" w:type="dxa"/>
            <w:vAlign w:val="center"/>
          </w:tcPr>
          <w:p w14:paraId="7BDC0A61">
            <w:pPr>
              <w:keepNext w:val="0"/>
              <w:keepLines w:val="0"/>
              <w:pageBreakBefore w:val="0"/>
              <w:kinsoku/>
              <w:wordWrap/>
              <w:overflowPunct/>
              <w:bidi w:val="0"/>
              <w:snapToGrid w:val="0"/>
              <w:spacing w:before="120" w:beforeLines="50" w:after="120" w:afterLines="50" w:line="440" w:lineRule="exact"/>
              <w:textAlignment w:val="auto"/>
              <w:rPr>
                <w:rFonts w:hint="eastAsia" w:ascii="仿宋" w:hAnsi="仿宋" w:eastAsia="仿宋" w:cs="仿宋"/>
                <w:color w:val="auto"/>
                <w:sz w:val="22"/>
                <w:highlight w:val="none"/>
              </w:rPr>
            </w:pPr>
            <w:r>
              <w:rPr>
                <w:rFonts w:hint="eastAsia" w:ascii="仿宋" w:hAnsi="仿宋" w:eastAsia="仿宋" w:cs="仿宋"/>
                <w:color w:val="auto"/>
                <w:sz w:val="22"/>
                <w:highlight w:val="none"/>
              </w:rPr>
              <w:t>是否允许递交备选投标方案</w:t>
            </w:r>
          </w:p>
        </w:tc>
        <w:tc>
          <w:tcPr>
            <w:tcW w:w="7474" w:type="dxa"/>
            <w:vAlign w:val="center"/>
          </w:tcPr>
          <w:p w14:paraId="43871543">
            <w:pPr>
              <w:keepNext w:val="0"/>
              <w:keepLines w:val="0"/>
              <w:pageBreakBefore w:val="0"/>
              <w:kinsoku/>
              <w:wordWrap/>
              <w:overflowPunct/>
              <w:bidi w:val="0"/>
              <w:snapToGrid w:val="0"/>
              <w:spacing w:before="120" w:beforeLines="50" w:after="120" w:afterLines="50" w:line="440" w:lineRule="exact"/>
              <w:ind w:firstLine="440" w:firstLineChars="200"/>
              <w:textAlignment w:val="auto"/>
              <w:rPr>
                <w:rFonts w:hint="eastAsia" w:ascii="仿宋" w:hAnsi="仿宋" w:eastAsia="仿宋" w:cs="仿宋"/>
                <w:color w:val="auto"/>
                <w:sz w:val="22"/>
                <w:highlight w:val="none"/>
              </w:rPr>
            </w:pPr>
            <w:r>
              <w:rPr>
                <w:rFonts w:hint="eastAsia" w:ascii="仿宋" w:hAnsi="仿宋" w:eastAsia="仿宋" w:cs="仿宋"/>
                <w:color w:val="auto"/>
                <w:sz w:val="22"/>
                <w:highlight w:val="none"/>
              </w:rPr>
              <w:t>不允许</w:t>
            </w:r>
          </w:p>
        </w:tc>
      </w:tr>
      <w:tr w14:paraId="2D97A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1005" w:type="dxa"/>
            <w:vAlign w:val="center"/>
          </w:tcPr>
          <w:p w14:paraId="42EF85D5">
            <w:pPr>
              <w:keepNext w:val="0"/>
              <w:keepLines w:val="0"/>
              <w:pageBreakBefore w:val="0"/>
              <w:kinsoku/>
              <w:wordWrap/>
              <w:overflowPunct/>
              <w:bidi w:val="0"/>
              <w:snapToGrid w:val="0"/>
              <w:spacing w:before="120" w:beforeLines="50" w:after="120" w:afterLines="50" w:line="440" w:lineRule="exact"/>
              <w:textAlignment w:val="auto"/>
              <w:rPr>
                <w:rFonts w:hint="eastAsia" w:ascii="仿宋" w:hAnsi="仿宋" w:eastAsia="仿宋" w:cs="仿宋"/>
                <w:color w:val="auto"/>
                <w:sz w:val="22"/>
                <w:highlight w:val="none"/>
              </w:rPr>
            </w:pPr>
            <w:r>
              <w:rPr>
                <w:rFonts w:hint="eastAsia" w:ascii="仿宋" w:hAnsi="仿宋" w:eastAsia="仿宋" w:cs="仿宋"/>
                <w:color w:val="auto"/>
                <w:sz w:val="22"/>
                <w:highlight w:val="none"/>
              </w:rPr>
              <w:t>3.7.3</w:t>
            </w:r>
          </w:p>
        </w:tc>
        <w:tc>
          <w:tcPr>
            <w:tcW w:w="1573" w:type="dxa"/>
            <w:vAlign w:val="center"/>
          </w:tcPr>
          <w:p w14:paraId="79EE0AAD">
            <w:pPr>
              <w:keepNext w:val="0"/>
              <w:keepLines w:val="0"/>
              <w:pageBreakBefore w:val="0"/>
              <w:kinsoku/>
              <w:wordWrap/>
              <w:overflowPunct/>
              <w:bidi w:val="0"/>
              <w:snapToGrid w:val="0"/>
              <w:spacing w:before="120" w:beforeLines="50" w:after="120" w:afterLines="50" w:line="440" w:lineRule="exact"/>
              <w:ind w:left="51" w:leftChars="13" w:hanging="15" w:hangingChars="7"/>
              <w:textAlignment w:val="auto"/>
              <w:rPr>
                <w:rFonts w:hint="eastAsia" w:ascii="仿宋" w:hAnsi="仿宋" w:eastAsia="仿宋" w:cs="仿宋"/>
                <w:color w:val="auto"/>
                <w:sz w:val="22"/>
                <w:highlight w:val="none"/>
              </w:rPr>
            </w:pPr>
            <w:r>
              <w:rPr>
                <w:rFonts w:hint="eastAsia" w:ascii="仿宋" w:hAnsi="仿宋" w:eastAsia="仿宋" w:cs="仿宋"/>
                <w:color w:val="auto"/>
                <w:sz w:val="22"/>
                <w:highlight w:val="none"/>
              </w:rPr>
              <w:t>签字盖章要求</w:t>
            </w:r>
          </w:p>
        </w:tc>
        <w:tc>
          <w:tcPr>
            <w:tcW w:w="7474" w:type="dxa"/>
            <w:vAlign w:val="center"/>
          </w:tcPr>
          <w:p w14:paraId="3C1C87EF">
            <w:pPr>
              <w:keepNext w:val="0"/>
              <w:keepLines w:val="0"/>
              <w:pageBreakBefore w:val="0"/>
              <w:kinsoku/>
              <w:wordWrap/>
              <w:overflowPunct/>
              <w:bidi w:val="0"/>
              <w:snapToGrid w:val="0"/>
              <w:spacing w:line="440" w:lineRule="exact"/>
              <w:ind w:firstLine="440" w:firstLineChars="200"/>
              <w:textAlignment w:val="auto"/>
              <w:rPr>
                <w:rFonts w:hint="eastAsia" w:ascii="仿宋" w:hAnsi="仿宋" w:eastAsia="仿宋" w:cs="仿宋"/>
                <w:color w:val="auto"/>
                <w:sz w:val="22"/>
                <w:highlight w:val="none"/>
              </w:rPr>
            </w:pPr>
            <w:r>
              <w:rPr>
                <w:rFonts w:hint="eastAsia" w:ascii="仿宋" w:hAnsi="仿宋" w:eastAsia="仿宋" w:cs="仿宋"/>
                <w:snapToGrid w:val="0"/>
                <w:color w:val="auto"/>
                <w:kern w:val="0"/>
                <w:sz w:val="22"/>
                <w:highlight w:val="none"/>
              </w:rPr>
              <w:t>投标文件应由投标人的法定代表人或其委托代理人按招标文件规定和要求签字、盖单位公章。委托代理人签字的，投标文件应附法定代表人签署的授权委托书。投标文件应尽量避免涂改、行间插字或删除。</w:t>
            </w:r>
          </w:p>
        </w:tc>
      </w:tr>
      <w:tr w14:paraId="26BD1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005" w:type="dxa"/>
            <w:vAlign w:val="center"/>
          </w:tcPr>
          <w:p w14:paraId="2D6F2B78">
            <w:pPr>
              <w:keepNext w:val="0"/>
              <w:keepLines w:val="0"/>
              <w:pageBreakBefore w:val="0"/>
              <w:kinsoku/>
              <w:wordWrap/>
              <w:overflowPunct/>
              <w:bidi w:val="0"/>
              <w:snapToGrid w:val="0"/>
              <w:spacing w:before="120" w:beforeLines="50" w:after="120" w:afterLines="50" w:line="440" w:lineRule="exact"/>
              <w:textAlignment w:val="auto"/>
              <w:rPr>
                <w:rFonts w:hint="eastAsia" w:ascii="仿宋" w:hAnsi="仿宋" w:eastAsia="仿宋" w:cs="仿宋"/>
                <w:color w:val="auto"/>
                <w:sz w:val="22"/>
                <w:highlight w:val="none"/>
              </w:rPr>
            </w:pPr>
            <w:r>
              <w:rPr>
                <w:rFonts w:hint="eastAsia" w:ascii="仿宋" w:hAnsi="仿宋" w:eastAsia="仿宋" w:cs="仿宋"/>
                <w:color w:val="auto"/>
                <w:sz w:val="22"/>
                <w:highlight w:val="none"/>
              </w:rPr>
              <w:t>3.7.4</w:t>
            </w:r>
          </w:p>
        </w:tc>
        <w:tc>
          <w:tcPr>
            <w:tcW w:w="1573" w:type="dxa"/>
            <w:vAlign w:val="center"/>
          </w:tcPr>
          <w:p w14:paraId="1CE36B98">
            <w:pPr>
              <w:keepNext w:val="0"/>
              <w:keepLines w:val="0"/>
              <w:pageBreakBefore w:val="0"/>
              <w:kinsoku/>
              <w:wordWrap/>
              <w:overflowPunct/>
              <w:bidi w:val="0"/>
              <w:snapToGrid w:val="0"/>
              <w:spacing w:before="120" w:beforeLines="50" w:after="120" w:afterLines="50" w:line="440" w:lineRule="exact"/>
              <w:textAlignment w:val="auto"/>
              <w:rPr>
                <w:rFonts w:hint="eastAsia" w:ascii="仿宋" w:hAnsi="仿宋" w:eastAsia="仿宋" w:cs="仿宋"/>
                <w:color w:val="auto"/>
                <w:sz w:val="22"/>
                <w:highlight w:val="none"/>
              </w:rPr>
            </w:pPr>
            <w:r>
              <w:rPr>
                <w:rFonts w:hint="eastAsia" w:ascii="仿宋" w:hAnsi="仿宋" w:eastAsia="仿宋" w:cs="仿宋"/>
                <w:color w:val="auto"/>
                <w:sz w:val="22"/>
                <w:highlight w:val="none"/>
              </w:rPr>
              <w:t>投标文件的份数</w:t>
            </w:r>
          </w:p>
        </w:tc>
        <w:tc>
          <w:tcPr>
            <w:tcW w:w="7474" w:type="dxa"/>
            <w:vAlign w:val="center"/>
          </w:tcPr>
          <w:p w14:paraId="5BA36741">
            <w:pPr>
              <w:keepNext w:val="0"/>
              <w:keepLines w:val="0"/>
              <w:pageBreakBefore w:val="0"/>
              <w:kinsoku/>
              <w:wordWrap/>
              <w:overflowPunct/>
              <w:bidi w:val="0"/>
              <w:snapToGrid w:val="0"/>
              <w:spacing w:line="440" w:lineRule="exact"/>
              <w:ind w:firstLine="420" w:firstLineChars="200"/>
              <w:textAlignment w:val="auto"/>
              <w:rPr>
                <w:rFonts w:hint="eastAsia" w:ascii="仿宋" w:hAnsi="仿宋" w:eastAsia="仿宋" w:cs="仿宋"/>
                <w:color w:val="auto"/>
                <w:highlight w:val="none"/>
              </w:rPr>
            </w:pPr>
            <w:r>
              <w:rPr>
                <w:rFonts w:hint="eastAsia" w:ascii="仿宋" w:hAnsi="仿宋" w:eastAsia="仿宋" w:cs="仿宋"/>
                <w:color w:val="auto"/>
                <w:sz w:val="21"/>
                <w:szCs w:val="21"/>
                <w:highlight w:val="none"/>
              </w:rPr>
              <w:t>本工程投标文件正本1份，副本1份</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U盘1份（U盘须包含所有投标文件的</w:t>
            </w:r>
            <w:r>
              <w:rPr>
                <w:rFonts w:hint="eastAsia" w:ascii="仿宋" w:hAnsi="仿宋" w:eastAsia="仿宋" w:cs="仿宋"/>
                <w:color w:val="auto"/>
                <w:sz w:val="21"/>
                <w:szCs w:val="21"/>
                <w:highlight w:val="none"/>
                <w:lang w:val="en-US" w:eastAsia="zh-CN"/>
              </w:rPr>
              <w:t>电子文档</w:t>
            </w:r>
            <w:r>
              <w:rPr>
                <w:rFonts w:hint="eastAsia" w:ascii="仿宋" w:hAnsi="仿宋" w:eastAsia="仿宋" w:cs="仿宋"/>
                <w:color w:val="auto"/>
                <w:sz w:val="21"/>
                <w:szCs w:val="21"/>
                <w:highlight w:val="none"/>
              </w:rPr>
              <w:t>，U盘表面须注明项目名称并加盖投标人单位公章</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w:t>
            </w:r>
          </w:p>
        </w:tc>
      </w:tr>
      <w:tr w14:paraId="05A2D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005" w:type="dxa"/>
            <w:vAlign w:val="center"/>
          </w:tcPr>
          <w:p w14:paraId="3FE541D8">
            <w:pPr>
              <w:keepNext w:val="0"/>
              <w:keepLines w:val="0"/>
              <w:pageBreakBefore w:val="0"/>
              <w:kinsoku/>
              <w:wordWrap/>
              <w:overflowPunct/>
              <w:bidi w:val="0"/>
              <w:snapToGrid w:val="0"/>
              <w:spacing w:before="120" w:beforeLines="50" w:after="120" w:afterLines="50" w:line="440" w:lineRule="exact"/>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3.7.5</w:t>
            </w:r>
          </w:p>
        </w:tc>
        <w:tc>
          <w:tcPr>
            <w:tcW w:w="1573" w:type="dxa"/>
            <w:vAlign w:val="center"/>
          </w:tcPr>
          <w:p w14:paraId="591BC0C7">
            <w:pPr>
              <w:keepNext w:val="0"/>
              <w:keepLines w:val="0"/>
              <w:pageBreakBefore w:val="0"/>
              <w:kinsoku/>
              <w:wordWrap/>
              <w:overflowPunct/>
              <w:bidi w:val="0"/>
              <w:snapToGrid w:val="0"/>
              <w:spacing w:line="440" w:lineRule="exact"/>
              <w:textAlignment w:val="auto"/>
              <w:rPr>
                <w:rFonts w:hint="eastAsia" w:ascii="仿宋" w:hAnsi="仿宋" w:eastAsia="仿宋" w:cs="仿宋"/>
                <w:snapToGrid w:val="0"/>
                <w:color w:val="auto"/>
                <w:kern w:val="0"/>
                <w:sz w:val="22"/>
                <w:highlight w:val="none"/>
              </w:rPr>
            </w:pPr>
            <w:r>
              <w:rPr>
                <w:rFonts w:hint="eastAsia" w:ascii="仿宋" w:hAnsi="仿宋" w:eastAsia="仿宋" w:cs="仿宋"/>
                <w:snapToGrid w:val="0"/>
                <w:color w:val="auto"/>
                <w:kern w:val="0"/>
                <w:sz w:val="22"/>
                <w:highlight w:val="none"/>
              </w:rPr>
              <w:t>装订要求</w:t>
            </w:r>
          </w:p>
        </w:tc>
        <w:tc>
          <w:tcPr>
            <w:tcW w:w="7474" w:type="dxa"/>
            <w:vAlign w:val="center"/>
          </w:tcPr>
          <w:p w14:paraId="18BF6CCF">
            <w:pPr>
              <w:keepNext w:val="0"/>
              <w:keepLines w:val="0"/>
              <w:pageBreakBefore w:val="0"/>
              <w:kinsoku/>
              <w:wordWrap/>
              <w:overflowPunct/>
              <w:bidi w:val="0"/>
              <w:spacing w:line="440" w:lineRule="exact"/>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1、本工程《技术方案》采用明标评审，应将投标函部分、资格审查资料、技术方案各自分别装订成册。</w:t>
            </w:r>
          </w:p>
          <w:p w14:paraId="02BE04DD">
            <w:pPr>
              <w:keepNext w:val="0"/>
              <w:keepLines w:val="0"/>
              <w:pageBreakBefore w:val="0"/>
              <w:kinsoku/>
              <w:wordWrap/>
              <w:overflowPunct/>
              <w:bidi w:val="0"/>
              <w:spacing w:line="440" w:lineRule="exact"/>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2、装订</w:t>
            </w:r>
          </w:p>
          <w:p w14:paraId="4ECD4696">
            <w:pPr>
              <w:keepNext w:val="0"/>
              <w:keepLines w:val="0"/>
              <w:pageBreakBefore w:val="0"/>
              <w:kinsoku/>
              <w:wordWrap/>
              <w:overflowPunct/>
              <w:bidi w:val="0"/>
              <w:spacing w:line="440" w:lineRule="exac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（1）投标函部分</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含商务部分）</w:t>
            </w:r>
            <w:r>
              <w:rPr>
                <w:rFonts w:hint="eastAsia" w:ascii="仿宋" w:hAnsi="仿宋" w:eastAsia="仿宋" w:cs="仿宋"/>
                <w:color w:val="auto"/>
                <w:sz w:val="21"/>
                <w:szCs w:val="21"/>
                <w:highlight w:val="none"/>
              </w:rPr>
              <w:t>的装订要求</w:t>
            </w:r>
          </w:p>
          <w:p w14:paraId="3419BA18">
            <w:pPr>
              <w:keepNext w:val="0"/>
              <w:keepLines w:val="0"/>
              <w:pageBreakBefore w:val="0"/>
              <w:kinsoku/>
              <w:wordWrap/>
              <w:overflowPunct/>
              <w:bidi w:val="0"/>
              <w:spacing w:line="440" w:lineRule="exact"/>
              <w:ind w:firstLine="422" w:firstLineChars="201"/>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应按照第六章规定格式装订成册，并应编制目录。</w:t>
            </w:r>
          </w:p>
          <w:p w14:paraId="5A04EDC7">
            <w:pPr>
              <w:keepNext w:val="0"/>
              <w:keepLines w:val="0"/>
              <w:pageBreakBefore w:val="0"/>
              <w:kinsoku/>
              <w:wordWrap/>
              <w:overflowPunct/>
              <w:bidi w:val="0"/>
              <w:spacing w:line="440" w:lineRule="exac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（2）资格审查资料的装订要求</w:t>
            </w:r>
          </w:p>
          <w:p w14:paraId="0A22DAF1">
            <w:pPr>
              <w:keepNext w:val="0"/>
              <w:keepLines w:val="0"/>
              <w:pageBreakBefore w:val="0"/>
              <w:kinsoku/>
              <w:wordWrap/>
              <w:overflowPunct/>
              <w:bidi w:val="0"/>
              <w:spacing w:line="440" w:lineRule="exact"/>
              <w:ind w:firstLine="422" w:firstLineChars="201"/>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应按照第六章规定格式装订成册，并应编制目录。</w:t>
            </w:r>
          </w:p>
          <w:p w14:paraId="7635F563">
            <w:pPr>
              <w:keepNext w:val="0"/>
              <w:keepLines w:val="0"/>
              <w:pageBreakBefore w:val="0"/>
              <w:kinsoku/>
              <w:wordWrap/>
              <w:overflowPunct/>
              <w:bidi w:val="0"/>
              <w:spacing w:line="440" w:lineRule="exac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（3）技术方案的装订要求</w:t>
            </w:r>
          </w:p>
          <w:p w14:paraId="5DEA3334">
            <w:pPr>
              <w:keepNext w:val="0"/>
              <w:keepLines w:val="0"/>
              <w:pageBreakBefore w:val="0"/>
              <w:kinsoku/>
              <w:wordWrap/>
              <w:overflowPunct/>
              <w:bidi w:val="0"/>
              <w:spacing w:line="440" w:lineRule="exact"/>
              <w:ind w:firstLine="422" w:firstLineChars="201"/>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应按照第六章规定格式装订成册，并应编制目录。</w:t>
            </w:r>
          </w:p>
          <w:p w14:paraId="0F13CCC1">
            <w:pPr>
              <w:keepNext w:val="0"/>
              <w:keepLines w:val="0"/>
              <w:pageBreakBefore w:val="0"/>
              <w:kinsoku/>
              <w:wordWrap/>
              <w:overflowPunct/>
              <w:bidi w:val="0"/>
              <w:spacing w:line="440" w:lineRule="exact"/>
              <w:ind w:firstLine="422" w:firstLineChars="201"/>
              <w:textAlignment w:val="auto"/>
              <w:rPr>
                <w:rFonts w:hint="eastAsia" w:ascii="仿宋" w:hAnsi="仿宋" w:eastAsia="仿宋" w:cs="仿宋"/>
                <w:snapToGrid w:val="0"/>
                <w:color w:val="auto"/>
                <w:kern w:val="0"/>
                <w:sz w:val="22"/>
                <w:highlight w:val="none"/>
              </w:rPr>
            </w:pPr>
            <w:r>
              <w:rPr>
                <w:rFonts w:hint="eastAsia" w:ascii="仿宋" w:hAnsi="仿宋" w:eastAsia="仿宋" w:cs="仿宋"/>
                <w:color w:val="auto"/>
                <w:sz w:val="21"/>
                <w:szCs w:val="21"/>
                <w:highlight w:val="none"/>
              </w:rPr>
              <w:t>技术部分最多不超过200页。</w:t>
            </w:r>
          </w:p>
        </w:tc>
      </w:tr>
      <w:tr w14:paraId="6844F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005" w:type="dxa"/>
            <w:vAlign w:val="center"/>
          </w:tcPr>
          <w:p w14:paraId="521CBDD5">
            <w:pPr>
              <w:keepNext w:val="0"/>
              <w:keepLines w:val="0"/>
              <w:pageBreakBefore w:val="0"/>
              <w:kinsoku/>
              <w:wordWrap/>
              <w:overflowPunct/>
              <w:bidi w:val="0"/>
              <w:snapToGrid w:val="0"/>
              <w:spacing w:before="120" w:beforeLines="50" w:after="120" w:afterLines="50" w:line="440" w:lineRule="exact"/>
              <w:textAlignment w:val="auto"/>
              <w:rPr>
                <w:rFonts w:hint="eastAsia" w:ascii="仿宋" w:hAnsi="仿宋" w:eastAsia="仿宋" w:cs="仿宋"/>
                <w:color w:val="auto"/>
                <w:sz w:val="21"/>
                <w:szCs w:val="22"/>
                <w:highlight w:val="none"/>
              </w:rPr>
            </w:pPr>
            <w:r>
              <w:rPr>
                <w:rFonts w:hint="eastAsia" w:ascii="仿宋" w:hAnsi="仿宋" w:eastAsia="仿宋" w:cs="仿宋"/>
                <w:color w:val="auto"/>
                <w:sz w:val="22"/>
                <w:szCs w:val="22"/>
                <w:highlight w:val="none"/>
              </w:rPr>
              <w:t>4.1.1</w:t>
            </w:r>
          </w:p>
        </w:tc>
        <w:tc>
          <w:tcPr>
            <w:tcW w:w="1573" w:type="dxa"/>
            <w:vAlign w:val="center"/>
          </w:tcPr>
          <w:p w14:paraId="33AB7B42">
            <w:pPr>
              <w:keepNext w:val="0"/>
              <w:keepLines w:val="0"/>
              <w:pageBreakBefore w:val="0"/>
              <w:kinsoku/>
              <w:wordWrap/>
              <w:overflowPunct/>
              <w:bidi w:val="0"/>
              <w:snapToGrid w:val="0"/>
              <w:spacing w:before="120" w:beforeLines="50" w:after="120" w:afterLines="50" w:line="440" w:lineRule="exact"/>
              <w:ind w:firstLine="110" w:firstLineChars="50"/>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投标文件</w:t>
            </w:r>
          </w:p>
          <w:p w14:paraId="54A45583">
            <w:pPr>
              <w:keepNext w:val="0"/>
              <w:keepLines w:val="0"/>
              <w:pageBreakBefore w:val="0"/>
              <w:kinsoku/>
              <w:wordWrap/>
              <w:overflowPunct/>
              <w:bidi w:val="0"/>
              <w:snapToGrid w:val="0"/>
              <w:spacing w:before="120" w:beforeLines="50" w:after="120" w:afterLines="50" w:line="440" w:lineRule="exact"/>
              <w:ind w:firstLine="220" w:firstLineChars="100"/>
              <w:textAlignment w:val="auto"/>
              <w:rPr>
                <w:rFonts w:hint="eastAsia" w:ascii="仿宋" w:hAnsi="仿宋" w:eastAsia="仿宋" w:cs="仿宋"/>
                <w:color w:val="auto"/>
                <w:sz w:val="21"/>
                <w:szCs w:val="22"/>
                <w:highlight w:val="none"/>
              </w:rPr>
            </w:pPr>
            <w:r>
              <w:rPr>
                <w:rFonts w:hint="eastAsia" w:ascii="仿宋" w:hAnsi="仿宋" w:eastAsia="仿宋" w:cs="仿宋"/>
                <w:color w:val="auto"/>
                <w:sz w:val="22"/>
                <w:szCs w:val="22"/>
                <w:highlight w:val="none"/>
              </w:rPr>
              <w:t>的密封</w:t>
            </w:r>
          </w:p>
        </w:tc>
        <w:tc>
          <w:tcPr>
            <w:tcW w:w="7474" w:type="dxa"/>
            <w:vAlign w:val="center"/>
          </w:tcPr>
          <w:p w14:paraId="3F7167D1">
            <w:pPr>
              <w:keepNext w:val="0"/>
              <w:keepLines w:val="0"/>
              <w:pageBreakBefore w:val="0"/>
              <w:kinsoku/>
              <w:wordWrap/>
              <w:overflowPunct/>
              <w:autoSpaceDE w:val="0"/>
              <w:autoSpaceDN w:val="0"/>
              <w:bidi w:val="0"/>
              <w:adjustRightInd w:val="0"/>
              <w:snapToGrid w:val="0"/>
              <w:spacing w:line="440" w:lineRule="exact"/>
              <w:ind w:firstLine="440" w:firstLineChars="200"/>
              <w:jc w:val="left"/>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1.投标文件袋使用“投标函部分”袋、“资格审查部分”袋、“技术部分”袋以及“投标文件”大袋。</w:t>
            </w:r>
          </w:p>
          <w:p w14:paraId="7CA8A5F9">
            <w:pPr>
              <w:keepNext w:val="0"/>
              <w:keepLines w:val="0"/>
              <w:pageBreakBefore w:val="0"/>
              <w:kinsoku/>
              <w:wordWrap/>
              <w:overflowPunct/>
              <w:autoSpaceDE w:val="0"/>
              <w:autoSpaceDN w:val="0"/>
              <w:bidi w:val="0"/>
              <w:adjustRightInd w:val="0"/>
              <w:snapToGrid w:val="0"/>
              <w:spacing w:line="440" w:lineRule="exact"/>
              <w:ind w:firstLine="440" w:firstLineChars="200"/>
              <w:jc w:val="left"/>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2.投标函部分和电子版投标文件（U盘）装入“投标函部分”袋中，密封并在袋上加盖投标人单位公章。</w:t>
            </w:r>
          </w:p>
          <w:p w14:paraId="6CF4349F">
            <w:pPr>
              <w:keepNext w:val="0"/>
              <w:keepLines w:val="0"/>
              <w:pageBreakBefore w:val="0"/>
              <w:kinsoku/>
              <w:wordWrap/>
              <w:overflowPunct/>
              <w:autoSpaceDE w:val="0"/>
              <w:autoSpaceDN w:val="0"/>
              <w:bidi w:val="0"/>
              <w:adjustRightInd w:val="0"/>
              <w:snapToGrid w:val="0"/>
              <w:spacing w:line="440" w:lineRule="exact"/>
              <w:ind w:firstLine="440" w:firstLineChars="200"/>
              <w:jc w:val="left"/>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3.本次招标技术部分采用明标评审，技术部分装入“技术部分”袋中，密封并在袋上加盖投标人单位法人章。</w:t>
            </w:r>
          </w:p>
          <w:p w14:paraId="6F9398A4">
            <w:pPr>
              <w:keepNext w:val="0"/>
              <w:keepLines w:val="0"/>
              <w:pageBreakBefore w:val="0"/>
              <w:kinsoku/>
              <w:wordWrap/>
              <w:overflowPunct/>
              <w:autoSpaceDE w:val="0"/>
              <w:autoSpaceDN w:val="0"/>
              <w:bidi w:val="0"/>
              <w:adjustRightInd w:val="0"/>
              <w:snapToGrid w:val="0"/>
              <w:spacing w:line="440" w:lineRule="exact"/>
              <w:ind w:firstLine="440" w:firstLineChars="200"/>
              <w:jc w:val="left"/>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4.资格审查部分装入“资格审查部分”袋中，密封并在袋上加盖投标人单位法人章。</w:t>
            </w:r>
          </w:p>
          <w:p w14:paraId="0C53C68A">
            <w:pPr>
              <w:keepNext w:val="0"/>
              <w:keepLines w:val="0"/>
              <w:pageBreakBefore w:val="0"/>
              <w:kinsoku/>
              <w:wordWrap/>
              <w:overflowPunct/>
              <w:autoSpaceDE w:val="0"/>
              <w:autoSpaceDN w:val="0"/>
              <w:bidi w:val="0"/>
              <w:adjustRightInd w:val="0"/>
              <w:snapToGrid w:val="0"/>
              <w:spacing w:line="440" w:lineRule="exact"/>
              <w:ind w:firstLine="440" w:firstLineChars="200"/>
              <w:jc w:val="left"/>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5.“投标函部分”、“技术部分”、“资格审查部分”等小袋装入“投标文件”大袋中，密封并在大袋上加盖投标人单位法人章，同时“投标文件”大袋应按本表第4.1.2项的规定写明相应内容。一个大袋装不下的，可使用多个大袋分册封装。大袋未按要求密封的，招标人或代理机构应该拒收。</w:t>
            </w:r>
          </w:p>
          <w:p w14:paraId="04F45276">
            <w:pPr>
              <w:keepNext w:val="0"/>
              <w:keepLines w:val="0"/>
              <w:pageBreakBefore w:val="0"/>
              <w:kinsoku/>
              <w:wordWrap/>
              <w:overflowPunct/>
              <w:autoSpaceDE w:val="0"/>
              <w:autoSpaceDN w:val="0"/>
              <w:bidi w:val="0"/>
              <w:adjustRightInd w:val="0"/>
              <w:snapToGrid w:val="0"/>
              <w:spacing w:line="440" w:lineRule="exact"/>
              <w:ind w:firstLine="440" w:firstLineChars="200"/>
              <w:jc w:val="left"/>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注：“投标函部分”袋、“技术部分”袋、“资格审查部分”袋只为方便投标文件分装，不作为判定密封合格与否的条件。但为了方便开标，请各投标人主动配合，按要求分装。</w:t>
            </w:r>
          </w:p>
          <w:p w14:paraId="2C0C206E">
            <w:pPr>
              <w:keepNext w:val="0"/>
              <w:keepLines w:val="0"/>
              <w:pageBreakBefore w:val="0"/>
              <w:widowControl/>
              <w:kinsoku/>
              <w:wordWrap/>
              <w:overflowPunct/>
              <w:bidi w:val="0"/>
              <w:spacing w:line="440" w:lineRule="exact"/>
              <w:ind w:firstLine="442" w:firstLineChars="200"/>
              <w:jc w:val="left"/>
              <w:textAlignment w:val="auto"/>
              <w:rPr>
                <w:rFonts w:hint="eastAsia" w:ascii="仿宋" w:hAnsi="仿宋" w:eastAsia="仿宋" w:cs="仿宋"/>
                <w:color w:val="auto"/>
                <w:sz w:val="21"/>
                <w:szCs w:val="21"/>
                <w:highlight w:val="none"/>
              </w:rPr>
            </w:pPr>
            <w:r>
              <w:rPr>
                <w:rFonts w:hint="eastAsia" w:ascii="仿宋" w:hAnsi="仿宋" w:eastAsia="仿宋" w:cs="仿宋"/>
                <w:b/>
                <w:color w:val="auto"/>
                <w:sz w:val="22"/>
                <w:szCs w:val="22"/>
                <w:highlight w:val="none"/>
                <w:lang w:bidi="ar"/>
              </w:rPr>
              <w:t>注：如因投标资料较多，无法装入一袋的，可以装成两袋或更多，但必须符合上述各相应资料袋的封装要求。</w:t>
            </w:r>
          </w:p>
        </w:tc>
      </w:tr>
      <w:tr w14:paraId="5DE29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005" w:type="dxa"/>
            <w:vAlign w:val="center"/>
          </w:tcPr>
          <w:p w14:paraId="380C915A">
            <w:pPr>
              <w:keepNext w:val="0"/>
              <w:keepLines w:val="0"/>
              <w:pageBreakBefore w:val="0"/>
              <w:kinsoku/>
              <w:wordWrap/>
              <w:overflowPunct/>
              <w:bidi w:val="0"/>
              <w:snapToGrid w:val="0"/>
              <w:spacing w:before="120" w:beforeLines="50" w:after="120" w:afterLines="50" w:line="440" w:lineRule="exact"/>
              <w:textAlignment w:val="auto"/>
              <w:rPr>
                <w:rFonts w:hint="eastAsia" w:ascii="仿宋" w:hAnsi="仿宋" w:eastAsia="仿宋" w:cs="仿宋"/>
                <w:color w:val="auto"/>
                <w:sz w:val="22"/>
                <w:highlight w:val="none"/>
              </w:rPr>
            </w:pPr>
            <w:r>
              <w:rPr>
                <w:rFonts w:hint="eastAsia" w:ascii="仿宋" w:hAnsi="仿宋" w:eastAsia="仿宋" w:cs="仿宋"/>
                <w:color w:val="auto"/>
                <w:sz w:val="22"/>
                <w:highlight w:val="none"/>
              </w:rPr>
              <w:t>4.1.2</w:t>
            </w:r>
          </w:p>
        </w:tc>
        <w:tc>
          <w:tcPr>
            <w:tcW w:w="1573" w:type="dxa"/>
            <w:vAlign w:val="center"/>
          </w:tcPr>
          <w:p w14:paraId="55310914">
            <w:pPr>
              <w:keepNext w:val="0"/>
              <w:keepLines w:val="0"/>
              <w:pageBreakBefore w:val="0"/>
              <w:kinsoku/>
              <w:wordWrap/>
              <w:overflowPunct/>
              <w:bidi w:val="0"/>
              <w:snapToGrid w:val="0"/>
              <w:spacing w:before="120" w:beforeLines="50" w:after="120" w:afterLines="50" w:line="440" w:lineRule="exact"/>
              <w:textAlignment w:val="auto"/>
              <w:rPr>
                <w:rFonts w:hint="eastAsia" w:ascii="仿宋" w:hAnsi="仿宋" w:eastAsia="仿宋" w:cs="仿宋"/>
                <w:color w:val="auto"/>
                <w:sz w:val="22"/>
                <w:highlight w:val="none"/>
              </w:rPr>
            </w:pPr>
            <w:r>
              <w:rPr>
                <w:rFonts w:hint="eastAsia" w:ascii="仿宋" w:hAnsi="仿宋" w:eastAsia="仿宋" w:cs="仿宋"/>
                <w:color w:val="auto"/>
                <w:sz w:val="22"/>
                <w:highlight w:val="none"/>
              </w:rPr>
              <w:t>封套上写明</w:t>
            </w:r>
          </w:p>
        </w:tc>
        <w:tc>
          <w:tcPr>
            <w:tcW w:w="7474" w:type="dxa"/>
            <w:vAlign w:val="center"/>
          </w:tcPr>
          <w:p w14:paraId="553626DF">
            <w:pPr>
              <w:keepNext w:val="0"/>
              <w:keepLines w:val="0"/>
              <w:pageBreakBefore w:val="0"/>
              <w:kinsoku/>
              <w:wordWrap/>
              <w:overflowPunct/>
              <w:bidi w:val="0"/>
              <w:adjustRightInd w:val="0"/>
              <w:snapToGrid w:val="0"/>
              <w:spacing w:line="440" w:lineRule="exact"/>
              <w:ind w:firstLine="440" w:firstLineChars="200"/>
              <w:textAlignment w:val="auto"/>
              <w:rPr>
                <w:rFonts w:hint="eastAsia" w:ascii="仿宋" w:hAnsi="仿宋" w:eastAsia="仿宋" w:cs="仿宋"/>
                <w:color w:val="auto"/>
                <w:sz w:val="22"/>
                <w:highlight w:val="none"/>
              </w:rPr>
            </w:pPr>
            <w:r>
              <w:rPr>
                <w:rFonts w:hint="eastAsia" w:ascii="仿宋" w:hAnsi="仿宋" w:eastAsia="仿宋" w:cs="仿宋"/>
                <w:color w:val="auto"/>
                <w:sz w:val="22"/>
                <w:highlight w:val="none"/>
              </w:rPr>
              <w:t>应在“投标文件大袋”</w:t>
            </w:r>
            <w:r>
              <w:rPr>
                <w:rFonts w:hint="eastAsia" w:ascii="仿宋" w:hAnsi="仿宋" w:eastAsia="仿宋" w:cs="仿宋"/>
                <w:color w:val="auto"/>
                <w:sz w:val="22"/>
                <w:szCs w:val="22"/>
                <w:highlight w:val="none"/>
              </w:rPr>
              <w:t>袋</w:t>
            </w:r>
            <w:r>
              <w:rPr>
                <w:rFonts w:hint="eastAsia" w:ascii="仿宋" w:hAnsi="仿宋" w:eastAsia="仿宋" w:cs="仿宋"/>
                <w:color w:val="auto"/>
                <w:sz w:val="22"/>
                <w:highlight w:val="none"/>
              </w:rPr>
              <w:t>封套上写明如下内容：</w:t>
            </w:r>
          </w:p>
          <w:p w14:paraId="197E145A">
            <w:pPr>
              <w:keepNext w:val="0"/>
              <w:keepLines w:val="0"/>
              <w:pageBreakBefore w:val="0"/>
              <w:kinsoku/>
              <w:wordWrap/>
              <w:overflowPunct/>
              <w:bidi w:val="0"/>
              <w:adjustRightInd w:val="0"/>
              <w:snapToGrid w:val="0"/>
              <w:spacing w:line="440" w:lineRule="exact"/>
              <w:ind w:firstLine="440" w:firstLineChars="200"/>
              <w:textAlignment w:val="auto"/>
              <w:rPr>
                <w:rFonts w:hint="eastAsia" w:ascii="仿宋" w:hAnsi="仿宋" w:eastAsia="仿宋" w:cs="仿宋"/>
                <w:color w:val="auto"/>
                <w:sz w:val="22"/>
                <w:highlight w:val="none"/>
                <w:u w:val="single"/>
              </w:rPr>
            </w:pPr>
            <w:r>
              <w:rPr>
                <w:rFonts w:hint="eastAsia" w:ascii="仿宋" w:hAnsi="仿宋" w:eastAsia="仿宋" w:cs="仿宋"/>
                <w:color w:val="auto"/>
                <w:sz w:val="22"/>
                <w:highlight w:val="none"/>
              </w:rPr>
              <w:t xml:space="preserve">项目名称： </w:t>
            </w:r>
            <w:r>
              <w:rPr>
                <w:rFonts w:hint="eastAsia" w:ascii="仿宋" w:hAnsi="仿宋" w:eastAsia="仿宋" w:cs="仿宋"/>
                <w:color w:val="auto"/>
                <w:sz w:val="22"/>
                <w:highlight w:val="none"/>
                <w:u w:val="single"/>
              </w:rPr>
              <w:t xml:space="preserve">                                </w:t>
            </w:r>
          </w:p>
          <w:p w14:paraId="14DF8449">
            <w:pPr>
              <w:keepNext w:val="0"/>
              <w:keepLines w:val="0"/>
              <w:pageBreakBefore w:val="0"/>
              <w:kinsoku/>
              <w:wordWrap/>
              <w:overflowPunct/>
              <w:bidi w:val="0"/>
              <w:snapToGrid w:val="0"/>
              <w:spacing w:before="120" w:beforeLines="50" w:after="120" w:afterLines="50" w:line="440" w:lineRule="exact"/>
              <w:ind w:firstLine="440" w:firstLineChars="200"/>
              <w:textAlignment w:val="auto"/>
              <w:rPr>
                <w:rFonts w:hint="eastAsia" w:ascii="仿宋" w:hAnsi="仿宋" w:eastAsia="仿宋" w:cs="仿宋"/>
                <w:color w:val="auto"/>
                <w:sz w:val="22"/>
                <w:highlight w:val="none"/>
              </w:rPr>
            </w:pPr>
            <w:r>
              <w:rPr>
                <w:rFonts w:hint="eastAsia" w:ascii="仿宋" w:hAnsi="仿宋" w:eastAsia="仿宋" w:cs="仿宋"/>
                <w:color w:val="auto"/>
                <w:sz w:val="22"/>
                <w:highlight w:val="none"/>
              </w:rPr>
              <w:t>投标文件在</w:t>
            </w:r>
            <w:r>
              <w:rPr>
                <w:rFonts w:hint="eastAsia" w:ascii="仿宋" w:hAnsi="仿宋" w:eastAsia="仿宋" w:cs="仿宋"/>
                <w:color w:val="auto"/>
                <w:sz w:val="22"/>
                <w:highlight w:val="none"/>
                <w:u w:val="single"/>
              </w:rPr>
              <w:t xml:space="preserve">   </w:t>
            </w:r>
            <w:r>
              <w:rPr>
                <w:rFonts w:hint="eastAsia" w:ascii="仿宋" w:hAnsi="仿宋" w:eastAsia="仿宋" w:cs="仿宋"/>
                <w:color w:val="auto"/>
                <w:sz w:val="22"/>
                <w:highlight w:val="none"/>
              </w:rPr>
              <w:t>年</w:t>
            </w:r>
            <w:r>
              <w:rPr>
                <w:rFonts w:hint="eastAsia" w:ascii="仿宋" w:hAnsi="仿宋" w:eastAsia="仿宋" w:cs="仿宋"/>
                <w:color w:val="auto"/>
                <w:sz w:val="22"/>
                <w:highlight w:val="none"/>
                <w:u w:val="single"/>
              </w:rPr>
              <w:t xml:space="preserve">   </w:t>
            </w:r>
            <w:r>
              <w:rPr>
                <w:rFonts w:hint="eastAsia" w:ascii="仿宋" w:hAnsi="仿宋" w:eastAsia="仿宋" w:cs="仿宋"/>
                <w:color w:val="auto"/>
                <w:sz w:val="22"/>
                <w:highlight w:val="none"/>
              </w:rPr>
              <w:t>月</w:t>
            </w:r>
            <w:r>
              <w:rPr>
                <w:rFonts w:hint="eastAsia" w:ascii="仿宋" w:hAnsi="仿宋" w:eastAsia="仿宋" w:cs="仿宋"/>
                <w:color w:val="auto"/>
                <w:sz w:val="22"/>
                <w:highlight w:val="none"/>
                <w:u w:val="single"/>
              </w:rPr>
              <w:t xml:space="preserve">   </w:t>
            </w:r>
            <w:r>
              <w:rPr>
                <w:rFonts w:hint="eastAsia" w:ascii="仿宋" w:hAnsi="仿宋" w:eastAsia="仿宋" w:cs="仿宋"/>
                <w:color w:val="auto"/>
                <w:sz w:val="22"/>
                <w:highlight w:val="none"/>
              </w:rPr>
              <w:t>日</w:t>
            </w:r>
            <w:r>
              <w:rPr>
                <w:rFonts w:hint="eastAsia" w:ascii="仿宋" w:hAnsi="仿宋" w:eastAsia="仿宋" w:cs="仿宋"/>
                <w:color w:val="auto"/>
                <w:sz w:val="22"/>
                <w:highlight w:val="none"/>
                <w:u w:val="single"/>
              </w:rPr>
              <w:t xml:space="preserve">   </w:t>
            </w:r>
            <w:r>
              <w:rPr>
                <w:rFonts w:hint="eastAsia" w:ascii="仿宋" w:hAnsi="仿宋" w:eastAsia="仿宋" w:cs="仿宋"/>
                <w:color w:val="auto"/>
                <w:sz w:val="22"/>
                <w:highlight w:val="none"/>
              </w:rPr>
              <w:t>时</w:t>
            </w:r>
            <w:r>
              <w:rPr>
                <w:rFonts w:hint="eastAsia" w:ascii="仿宋" w:hAnsi="仿宋" w:eastAsia="仿宋" w:cs="仿宋"/>
                <w:color w:val="auto"/>
                <w:sz w:val="22"/>
                <w:highlight w:val="none"/>
                <w:u w:val="single"/>
              </w:rPr>
              <w:t xml:space="preserve">  </w:t>
            </w:r>
            <w:r>
              <w:rPr>
                <w:rFonts w:hint="eastAsia" w:ascii="仿宋" w:hAnsi="仿宋" w:eastAsia="仿宋" w:cs="仿宋"/>
                <w:color w:val="auto"/>
                <w:sz w:val="22"/>
                <w:highlight w:val="none"/>
              </w:rPr>
              <w:t>分（规定的开标时间）前不得开启</w:t>
            </w:r>
          </w:p>
        </w:tc>
      </w:tr>
      <w:tr w14:paraId="39550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005" w:type="dxa"/>
            <w:vAlign w:val="center"/>
          </w:tcPr>
          <w:p w14:paraId="58022DEA">
            <w:pPr>
              <w:keepNext w:val="0"/>
              <w:keepLines w:val="0"/>
              <w:pageBreakBefore w:val="0"/>
              <w:kinsoku/>
              <w:wordWrap/>
              <w:overflowPunct/>
              <w:bidi w:val="0"/>
              <w:snapToGrid w:val="0"/>
              <w:spacing w:before="120" w:beforeLines="50" w:after="120" w:afterLines="50" w:line="440" w:lineRule="exact"/>
              <w:textAlignment w:val="auto"/>
              <w:rPr>
                <w:rFonts w:hint="eastAsia" w:ascii="仿宋" w:hAnsi="仿宋" w:eastAsia="仿宋" w:cs="仿宋"/>
                <w:color w:val="auto"/>
                <w:sz w:val="22"/>
                <w:highlight w:val="none"/>
              </w:rPr>
            </w:pPr>
            <w:r>
              <w:rPr>
                <w:rFonts w:hint="eastAsia" w:ascii="仿宋" w:hAnsi="仿宋" w:eastAsia="仿宋" w:cs="仿宋"/>
                <w:color w:val="auto"/>
                <w:sz w:val="22"/>
                <w:highlight w:val="none"/>
              </w:rPr>
              <w:t>4.2.2</w:t>
            </w:r>
          </w:p>
        </w:tc>
        <w:tc>
          <w:tcPr>
            <w:tcW w:w="1573" w:type="dxa"/>
            <w:vAlign w:val="center"/>
          </w:tcPr>
          <w:p w14:paraId="66A83C0D">
            <w:pPr>
              <w:keepNext w:val="0"/>
              <w:keepLines w:val="0"/>
              <w:pageBreakBefore w:val="0"/>
              <w:kinsoku/>
              <w:wordWrap/>
              <w:overflowPunct/>
              <w:bidi w:val="0"/>
              <w:snapToGrid w:val="0"/>
              <w:spacing w:before="120" w:beforeLines="50" w:after="120" w:afterLines="50" w:line="440" w:lineRule="exact"/>
              <w:jc w:val="center"/>
              <w:textAlignment w:val="auto"/>
              <w:rPr>
                <w:rFonts w:hint="eastAsia" w:ascii="仿宋" w:hAnsi="仿宋" w:eastAsia="仿宋" w:cs="仿宋"/>
                <w:color w:val="auto"/>
                <w:sz w:val="22"/>
                <w:highlight w:val="none"/>
              </w:rPr>
            </w:pPr>
            <w:r>
              <w:rPr>
                <w:rFonts w:hint="eastAsia" w:ascii="仿宋" w:hAnsi="仿宋" w:eastAsia="仿宋" w:cs="仿宋"/>
                <w:color w:val="auto"/>
                <w:sz w:val="22"/>
                <w:highlight w:val="none"/>
              </w:rPr>
              <w:t>递交投标文件地点</w:t>
            </w:r>
          </w:p>
        </w:tc>
        <w:tc>
          <w:tcPr>
            <w:tcW w:w="7474" w:type="dxa"/>
            <w:vAlign w:val="center"/>
          </w:tcPr>
          <w:p w14:paraId="5F14BAF4">
            <w:pPr>
              <w:keepNext w:val="0"/>
              <w:keepLines w:val="0"/>
              <w:pageBreakBefore w:val="0"/>
              <w:kinsoku/>
              <w:wordWrap/>
              <w:overflowPunct/>
              <w:topLinePunct/>
              <w:bidi w:val="0"/>
              <w:spacing w:line="440" w:lineRule="exact"/>
              <w:ind w:firstLine="440" w:firstLineChars="200"/>
              <w:textAlignment w:val="auto"/>
              <w:rPr>
                <w:rFonts w:hint="default" w:ascii="仿宋" w:hAnsi="仿宋" w:eastAsia="仿宋" w:cs="仿宋"/>
                <w:color w:val="auto"/>
                <w:sz w:val="22"/>
                <w:highlight w:val="none"/>
                <w:lang w:val="en-US"/>
              </w:rPr>
            </w:pPr>
            <w:r>
              <w:rPr>
                <w:rFonts w:hint="eastAsia" w:ascii="仿宋" w:hAnsi="仿宋" w:eastAsia="仿宋" w:cs="仿宋"/>
                <w:color w:val="auto"/>
                <w:sz w:val="22"/>
                <w:szCs w:val="22"/>
                <w:highlight w:val="none"/>
                <w:lang w:eastAsia="zh-CN"/>
              </w:rPr>
              <w:t>重庆市渝北区人民政府回兴街道办事处</w:t>
            </w:r>
            <w:r>
              <w:rPr>
                <w:rFonts w:hint="eastAsia" w:ascii="仿宋" w:hAnsi="仿宋" w:eastAsia="仿宋" w:cs="仿宋"/>
                <w:color w:val="auto"/>
                <w:sz w:val="22"/>
                <w:highlight w:val="none"/>
                <w:lang w:val="en-US" w:eastAsia="zh-CN"/>
              </w:rPr>
              <w:t>会议室</w:t>
            </w:r>
          </w:p>
        </w:tc>
      </w:tr>
      <w:tr w14:paraId="14B0E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005" w:type="dxa"/>
            <w:vAlign w:val="center"/>
          </w:tcPr>
          <w:p w14:paraId="0D5281C1">
            <w:pPr>
              <w:keepNext w:val="0"/>
              <w:keepLines w:val="0"/>
              <w:pageBreakBefore w:val="0"/>
              <w:kinsoku/>
              <w:wordWrap/>
              <w:overflowPunct/>
              <w:bidi w:val="0"/>
              <w:snapToGrid w:val="0"/>
              <w:spacing w:before="120" w:beforeLines="50" w:after="120" w:afterLines="50" w:line="440" w:lineRule="exact"/>
              <w:textAlignment w:val="auto"/>
              <w:rPr>
                <w:rFonts w:hint="eastAsia" w:ascii="仿宋" w:hAnsi="仿宋" w:eastAsia="仿宋" w:cs="仿宋"/>
                <w:color w:val="auto"/>
                <w:sz w:val="22"/>
                <w:highlight w:val="none"/>
              </w:rPr>
            </w:pPr>
            <w:r>
              <w:rPr>
                <w:rFonts w:hint="eastAsia" w:ascii="仿宋" w:hAnsi="仿宋" w:eastAsia="仿宋" w:cs="仿宋"/>
                <w:color w:val="auto"/>
                <w:sz w:val="22"/>
                <w:highlight w:val="none"/>
              </w:rPr>
              <w:t>4.2.3</w:t>
            </w:r>
          </w:p>
        </w:tc>
        <w:tc>
          <w:tcPr>
            <w:tcW w:w="1573" w:type="dxa"/>
            <w:vAlign w:val="center"/>
          </w:tcPr>
          <w:p w14:paraId="3148837C">
            <w:pPr>
              <w:keepNext w:val="0"/>
              <w:keepLines w:val="0"/>
              <w:pageBreakBefore w:val="0"/>
              <w:kinsoku/>
              <w:wordWrap/>
              <w:overflowPunct/>
              <w:bidi w:val="0"/>
              <w:snapToGrid w:val="0"/>
              <w:spacing w:before="120" w:beforeLines="50" w:after="120" w:afterLines="50" w:line="440" w:lineRule="exact"/>
              <w:textAlignment w:val="auto"/>
              <w:rPr>
                <w:rFonts w:hint="eastAsia" w:ascii="仿宋" w:hAnsi="仿宋" w:eastAsia="仿宋" w:cs="仿宋"/>
                <w:color w:val="auto"/>
                <w:sz w:val="22"/>
                <w:highlight w:val="none"/>
              </w:rPr>
            </w:pPr>
            <w:r>
              <w:rPr>
                <w:rFonts w:hint="eastAsia" w:ascii="仿宋" w:hAnsi="仿宋" w:eastAsia="仿宋" w:cs="仿宋"/>
                <w:color w:val="auto"/>
                <w:sz w:val="22"/>
                <w:highlight w:val="none"/>
              </w:rPr>
              <w:t>是否退还投标文件</w:t>
            </w:r>
          </w:p>
        </w:tc>
        <w:tc>
          <w:tcPr>
            <w:tcW w:w="7474" w:type="dxa"/>
            <w:vAlign w:val="center"/>
          </w:tcPr>
          <w:p w14:paraId="45E8F2A1">
            <w:pPr>
              <w:keepNext w:val="0"/>
              <w:keepLines w:val="0"/>
              <w:pageBreakBefore w:val="0"/>
              <w:kinsoku/>
              <w:wordWrap/>
              <w:overflowPunct/>
              <w:bidi w:val="0"/>
              <w:snapToGrid w:val="0"/>
              <w:spacing w:before="120" w:beforeLines="50" w:after="120" w:afterLines="50" w:line="440" w:lineRule="exact"/>
              <w:ind w:firstLine="440" w:firstLineChars="200"/>
              <w:textAlignment w:val="auto"/>
              <w:rPr>
                <w:rFonts w:hint="eastAsia" w:ascii="仿宋" w:hAnsi="仿宋" w:eastAsia="仿宋" w:cs="仿宋"/>
                <w:color w:val="auto"/>
                <w:sz w:val="22"/>
                <w:highlight w:val="none"/>
              </w:rPr>
            </w:pPr>
            <w:r>
              <w:rPr>
                <w:rFonts w:hint="eastAsia" w:ascii="仿宋" w:hAnsi="仿宋" w:eastAsia="仿宋" w:cs="仿宋"/>
                <w:color w:val="auto"/>
                <w:sz w:val="22"/>
                <w:highlight w:val="none"/>
              </w:rPr>
              <w:t>否</w:t>
            </w:r>
          </w:p>
        </w:tc>
      </w:tr>
      <w:tr w14:paraId="377CE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1005" w:type="dxa"/>
            <w:vAlign w:val="center"/>
          </w:tcPr>
          <w:p w14:paraId="61CF7534">
            <w:pPr>
              <w:keepNext w:val="0"/>
              <w:keepLines w:val="0"/>
              <w:pageBreakBefore w:val="0"/>
              <w:kinsoku/>
              <w:wordWrap/>
              <w:overflowPunct/>
              <w:bidi w:val="0"/>
              <w:snapToGrid w:val="0"/>
              <w:spacing w:before="120" w:beforeLines="50" w:after="120" w:afterLines="50" w:line="440" w:lineRule="exact"/>
              <w:textAlignment w:val="auto"/>
              <w:rPr>
                <w:rFonts w:hint="eastAsia" w:ascii="仿宋" w:hAnsi="仿宋" w:eastAsia="仿宋" w:cs="仿宋"/>
                <w:color w:val="auto"/>
                <w:sz w:val="22"/>
                <w:highlight w:val="none"/>
              </w:rPr>
            </w:pPr>
            <w:r>
              <w:rPr>
                <w:rFonts w:hint="eastAsia" w:ascii="仿宋" w:hAnsi="仿宋" w:eastAsia="仿宋" w:cs="仿宋"/>
                <w:color w:val="auto"/>
                <w:sz w:val="22"/>
                <w:highlight w:val="none"/>
              </w:rPr>
              <w:t>5.1</w:t>
            </w:r>
          </w:p>
        </w:tc>
        <w:tc>
          <w:tcPr>
            <w:tcW w:w="1573" w:type="dxa"/>
            <w:vAlign w:val="center"/>
          </w:tcPr>
          <w:p w14:paraId="6230A973">
            <w:pPr>
              <w:keepNext w:val="0"/>
              <w:keepLines w:val="0"/>
              <w:pageBreakBefore w:val="0"/>
              <w:kinsoku/>
              <w:wordWrap/>
              <w:overflowPunct/>
              <w:bidi w:val="0"/>
              <w:snapToGrid w:val="0"/>
              <w:spacing w:before="120" w:beforeLines="50" w:after="120" w:afterLines="50" w:line="440" w:lineRule="exact"/>
              <w:ind w:left="330" w:hanging="330" w:hangingChars="150"/>
              <w:textAlignment w:val="auto"/>
              <w:rPr>
                <w:rFonts w:hint="eastAsia" w:ascii="仿宋" w:hAnsi="仿宋" w:eastAsia="仿宋" w:cs="仿宋"/>
                <w:color w:val="auto"/>
                <w:sz w:val="22"/>
                <w:highlight w:val="none"/>
              </w:rPr>
            </w:pPr>
            <w:r>
              <w:rPr>
                <w:rFonts w:hint="eastAsia" w:ascii="仿宋" w:hAnsi="仿宋" w:eastAsia="仿宋" w:cs="仿宋"/>
                <w:color w:val="auto"/>
                <w:sz w:val="22"/>
                <w:highlight w:val="none"/>
              </w:rPr>
              <w:t>开标时间和</w:t>
            </w:r>
          </w:p>
          <w:p w14:paraId="6ED02CEC">
            <w:pPr>
              <w:keepNext w:val="0"/>
              <w:keepLines w:val="0"/>
              <w:pageBreakBefore w:val="0"/>
              <w:kinsoku/>
              <w:wordWrap/>
              <w:overflowPunct/>
              <w:bidi w:val="0"/>
              <w:snapToGrid w:val="0"/>
              <w:spacing w:before="120" w:beforeLines="50" w:after="120" w:afterLines="50" w:line="440" w:lineRule="exact"/>
              <w:ind w:left="330" w:hanging="330" w:hangingChars="150"/>
              <w:textAlignment w:val="auto"/>
              <w:rPr>
                <w:rFonts w:hint="eastAsia" w:ascii="仿宋" w:hAnsi="仿宋" w:eastAsia="仿宋" w:cs="仿宋"/>
                <w:color w:val="auto"/>
                <w:sz w:val="22"/>
                <w:highlight w:val="none"/>
              </w:rPr>
            </w:pPr>
            <w:r>
              <w:rPr>
                <w:rFonts w:hint="eastAsia" w:ascii="仿宋" w:hAnsi="仿宋" w:eastAsia="仿宋" w:cs="仿宋"/>
                <w:color w:val="auto"/>
                <w:sz w:val="22"/>
                <w:highlight w:val="none"/>
              </w:rPr>
              <w:t>地点</w:t>
            </w:r>
          </w:p>
        </w:tc>
        <w:tc>
          <w:tcPr>
            <w:tcW w:w="7474" w:type="dxa"/>
            <w:vAlign w:val="center"/>
          </w:tcPr>
          <w:p w14:paraId="43583C31">
            <w:pPr>
              <w:keepNext w:val="0"/>
              <w:keepLines w:val="0"/>
              <w:pageBreakBefore w:val="0"/>
              <w:kinsoku/>
              <w:wordWrap/>
              <w:overflowPunct/>
              <w:bidi w:val="0"/>
              <w:snapToGrid w:val="0"/>
              <w:spacing w:before="120" w:beforeLines="50" w:after="120" w:afterLines="50" w:line="440" w:lineRule="exact"/>
              <w:textAlignment w:val="auto"/>
              <w:rPr>
                <w:rFonts w:hint="eastAsia" w:ascii="仿宋" w:hAnsi="仿宋" w:eastAsia="仿宋" w:cs="仿宋"/>
                <w:color w:val="auto"/>
                <w:sz w:val="22"/>
                <w:highlight w:val="none"/>
              </w:rPr>
            </w:pPr>
            <w:r>
              <w:rPr>
                <w:rFonts w:hint="eastAsia" w:ascii="仿宋" w:hAnsi="仿宋" w:eastAsia="仿宋" w:cs="仿宋"/>
                <w:color w:val="auto"/>
                <w:sz w:val="22"/>
                <w:highlight w:val="none"/>
              </w:rPr>
              <w:t>开标时间：详见招标公告</w:t>
            </w:r>
          </w:p>
          <w:p w14:paraId="2B09F15A">
            <w:pPr>
              <w:keepNext w:val="0"/>
              <w:keepLines w:val="0"/>
              <w:pageBreakBefore w:val="0"/>
              <w:kinsoku/>
              <w:wordWrap/>
              <w:overflowPunct/>
              <w:bidi w:val="0"/>
              <w:snapToGrid w:val="0"/>
              <w:spacing w:before="120" w:beforeLines="50" w:after="120" w:afterLines="50" w:line="440" w:lineRule="exact"/>
              <w:textAlignment w:val="auto"/>
              <w:rPr>
                <w:rFonts w:hint="eastAsia" w:ascii="仿宋" w:hAnsi="仿宋" w:eastAsia="仿宋" w:cs="仿宋"/>
                <w:color w:val="auto"/>
                <w:sz w:val="22"/>
                <w:highlight w:val="none"/>
              </w:rPr>
            </w:pPr>
            <w:r>
              <w:rPr>
                <w:rFonts w:hint="eastAsia" w:ascii="仿宋" w:hAnsi="仿宋" w:eastAsia="仿宋" w:cs="仿宋"/>
                <w:color w:val="auto"/>
                <w:sz w:val="22"/>
                <w:highlight w:val="none"/>
              </w:rPr>
              <w:t>开标地点：</w:t>
            </w:r>
            <w:r>
              <w:rPr>
                <w:rFonts w:hint="eastAsia" w:ascii="仿宋" w:hAnsi="仿宋" w:eastAsia="仿宋" w:cs="仿宋"/>
                <w:color w:val="auto"/>
                <w:sz w:val="22"/>
                <w:szCs w:val="22"/>
                <w:highlight w:val="none"/>
                <w:lang w:eastAsia="zh-CN"/>
              </w:rPr>
              <w:t>重庆市渝北区人民政府回兴街道办事处</w:t>
            </w:r>
            <w:bookmarkStart w:id="2055" w:name="_GoBack"/>
            <w:bookmarkEnd w:id="2055"/>
            <w:r>
              <w:rPr>
                <w:rFonts w:hint="eastAsia" w:ascii="仿宋" w:hAnsi="仿宋" w:eastAsia="仿宋" w:cs="仿宋"/>
                <w:color w:val="auto"/>
                <w:sz w:val="22"/>
                <w:highlight w:val="none"/>
                <w:lang w:val="en-US" w:eastAsia="zh-CN"/>
              </w:rPr>
              <w:t>会议室</w:t>
            </w:r>
          </w:p>
        </w:tc>
      </w:tr>
      <w:tr w14:paraId="4F434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005" w:type="dxa"/>
            <w:vAlign w:val="center"/>
          </w:tcPr>
          <w:p w14:paraId="4D2EF092">
            <w:pPr>
              <w:keepNext w:val="0"/>
              <w:keepLines w:val="0"/>
              <w:pageBreakBefore w:val="0"/>
              <w:kinsoku/>
              <w:wordWrap/>
              <w:overflowPunct/>
              <w:bidi w:val="0"/>
              <w:snapToGrid w:val="0"/>
              <w:spacing w:before="120" w:beforeLines="50" w:after="120" w:afterLines="50" w:line="440" w:lineRule="exac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5.2</w:t>
            </w:r>
          </w:p>
        </w:tc>
        <w:tc>
          <w:tcPr>
            <w:tcW w:w="1573" w:type="dxa"/>
            <w:vAlign w:val="center"/>
          </w:tcPr>
          <w:p w14:paraId="1CCFEE8D">
            <w:pPr>
              <w:keepNext w:val="0"/>
              <w:keepLines w:val="0"/>
              <w:pageBreakBefore w:val="0"/>
              <w:kinsoku/>
              <w:wordWrap/>
              <w:overflowPunct/>
              <w:bidi w:val="0"/>
              <w:snapToGrid w:val="0"/>
              <w:spacing w:before="120" w:beforeLines="50" w:after="120" w:afterLines="50" w:line="440" w:lineRule="exact"/>
              <w:textAlignment w:val="auto"/>
              <w:rPr>
                <w:rFonts w:hint="eastAsia" w:ascii="仿宋" w:hAnsi="仿宋" w:eastAsia="仿宋" w:cs="仿宋"/>
                <w:color w:val="auto"/>
                <w:sz w:val="24"/>
                <w:highlight w:val="none"/>
              </w:rPr>
            </w:pPr>
            <w:r>
              <w:rPr>
                <w:rFonts w:hint="eastAsia" w:ascii="仿宋" w:hAnsi="仿宋" w:eastAsia="仿宋" w:cs="仿宋"/>
                <w:snapToGrid w:val="0"/>
                <w:color w:val="auto"/>
                <w:kern w:val="0"/>
                <w:sz w:val="22"/>
                <w:highlight w:val="none"/>
              </w:rPr>
              <w:t>开标会程序</w:t>
            </w:r>
          </w:p>
        </w:tc>
        <w:tc>
          <w:tcPr>
            <w:tcW w:w="7474" w:type="dxa"/>
            <w:vAlign w:val="center"/>
          </w:tcPr>
          <w:p w14:paraId="6FFF6512">
            <w:pPr>
              <w:keepNext w:val="0"/>
              <w:keepLines w:val="0"/>
              <w:pageBreakBefore w:val="0"/>
              <w:tabs>
                <w:tab w:val="left" w:pos="546"/>
                <w:tab w:val="left" w:pos="711"/>
              </w:tabs>
              <w:kinsoku/>
              <w:wordWrap/>
              <w:overflowPunct/>
              <w:bidi w:val="0"/>
              <w:snapToGrid w:val="0"/>
              <w:spacing w:line="440" w:lineRule="exact"/>
              <w:ind w:firstLine="440" w:firstLineChars="200"/>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主持人按下列程序进行开标：</w:t>
            </w:r>
          </w:p>
          <w:p w14:paraId="33D5592D">
            <w:pPr>
              <w:keepNext w:val="0"/>
              <w:keepLines w:val="0"/>
              <w:pageBreakBefore w:val="0"/>
              <w:tabs>
                <w:tab w:val="left" w:pos="546"/>
                <w:tab w:val="left" w:pos="711"/>
              </w:tabs>
              <w:kinsoku/>
              <w:wordWrap/>
              <w:overflowPunct/>
              <w:bidi w:val="0"/>
              <w:snapToGrid w:val="0"/>
              <w:spacing w:line="440" w:lineRule="exact"/>
              <w:ind w:firstLine="440" w:firstLineChars="200"/>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1. 核验参加开标会议的投标人的法定代表人或委托代理人本人身份证（原件），核验委托代理人的授权委托书，以确认其身份合法有效；若经核实委托代理人提供资料与实际不符的，不得参加开标会。核验合格的法定代表人或委托代理人可自行选择是否参加开标会，不参加开标会的视为默认开标结果。</w:t>
            </w:r>
          </w:p>
          <w:p w14:paraId="1ACAF415">
            <w:pPr>
              <w:keepNext w:val="0"/>
              <w:keepLines w:val="0"/>
              <w:pageBreakBefore w:val="0"/>
              <w:tabs>
                <w:tab w:val="left" w:pos="546"/>
                <w:tab w:val="left" w:pos="711"/>
              </w:tabs>
              <w:kinsoku/>
              <w:wordWrap/>
              <w:overflowPunct/>
              <w:bidi w:val="0"/>
              <w:snapToGrid w:val="0"/>
              <w:spacing w:line="440" w:lineRule="exact"/>
              <w:ind w:firstLine="440" w:firstLineChars="200"/>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2. 宣布开标纪律。</w:t>
            </w:r>
          </w:p>
          <w:p w14:paraId="77029035">
            <w:pPr>
              <w:keepNext w:val="0"/>
              <w:keepLines w:val="0"/>
              <w:pageBreakBefore w:val="0"/>
              <w:tabs>
                <w:tab w:val="left" w:pos="546"/>
                <w:tab w:val="left" w:pos="711"/>
              </w:tabs>
              <w:kinsoku/>
              <w:wordWrap/>
              <w:overflowPunct/>
              <w:bidi w:val="0"/>
              <w:snapToGrid w:val="0"/>
              <w:spacing w:line="440" w:lineRule="exact"/>
              <w:ind w:firstLine="440" w:firstLineChars="200"/>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3. 宣布招标人、唱标人、记录人、监标人等有关人员姓名。</w:t>
            </w:r>
          </w:p>
          <w:p w14:paraId="38634581">
            <w:pPr>
              <w:keepNext w:val="0"/>
              <w:keepLines w:val="0"/>
              <w:pageBreakBefore w:val="0"/>
              <w:tabs>
                <w:tab w:val="left" w:pos="546"/>
                <w:tab w:val="left" w:pos="711"/>
              </w:tabs>
              <w:kinsoku/>
              <w:wordWrap/>
              <w:overflowPunct/>
              <w:bidi w:val="0"/>
              <w:snapToGrid w:val="0"/>
              <w:spacing w:line="440" w:lineRule="exact"/>
              <w:ind w:firstLine="440" w:firstLineChars="200"/>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4. 公布在投标截止时间前递交投标文件的投标人名称。</w:t>
            </w:r>
          </w:p>
          <w:p w14:paraId="536E3044">
            <w:pPr>
              <w:keepNext w:val="0"/>
              <w:keepLines w:val="0"/>
              <w:pageBreakBefore w:val="0"/>
              <w:tabs>
                <w:tab w:val="left" w:pos="546"/>
                <w:tab w:val="left" w:pos="711"/>
              </w:tabs>
              <w:kinsoku/>
              <w:wordWrap/>
              <w:overflowPunct/>
              <w:bidi w:val="0"/>
              <w:snapToGrid w:val="0"/>
              <w:spacing w:line="440" w:lineRule="exact"/>
              <w:ind w:firstLine="440" w:firstLineChars="200"/>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5. 投标文件的密封检查：按照投标人须知前附表规定检查投标文件大袋的密封情况并记录在案。</w:t>
            </w:r>
          </w:p>
          <w:p w14:paraId="453E88B4">
            <w:pPr>
              <w:keepNext w:val="0"/>
              <w:keepLines w:val="0"/>
              <w:pageBreakBefore w:val="0"/>
              <w:tabs>
                <w:tab w:val="left" w:pos="546"/>
                <w:tab w:val="left" w:pos="711"/>
              </w:tabs>
              <w:kinsoku/>
              <w:wordWrap/>
              <w:overflowPunct/>
              <w:bidi w:val="0"/>
              <w:snapToGrid w:val="0"/>
              <w:spacing w:line="440" w:lineRule="exact"/>
              <w:ind w:firstLine="440" w:firstLineChars="200"/>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6. 设有最高限价的，公布最高限价。</w:t>
            </w:r>
          </w:p>
          <w:p w14:paraId="0B0F3FBB">
            <w:pPr>
              <w:keepNext w:val="0"/>
              <w:keepLines w:val="0"/>
              <w:pageBreakBefore w:val="0"/>
              <w:tabs>
                <w:tab w:val="left" w:pos="546"/>
                <w:tab w:val="left" w:pos="711"/>
              </w:tabs>
              <w:kinsoku/>
              <w:wordWrap/>
              <w:overflowPunct/>
              <w:bidi w:val="0"/>
              <w:snapToGrid w:val="0"/>
              <w:spacing w:line="440" w:lineRule="exact"/>
              <w:ind w:firstLine="440" w:firstLineChars="200"/>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7. 随机开启投标文件，开启投标文件大袋、技术部分袋、投标函部分袋、资格审查部分袋；公布投标人名称、投标报价、质量要求、工期及其他内容并记录在案。</w:t>
            </w:r>
          </w:p>
          <w:p w14:paraId="630C9058">
            <w:pPr>
              <w:keepNext w:val="0"/>
              <w:keepLines w:val="0"/>
              <w:pageBreakBefore w:val="0"/>
              <w:tabs>
                <w:tab w:val="left" w:pos="546"/>
                <w:tab w:val="left" w:pos="711"/>
              </w:tabs>
              <w:kinsoku/>
              <w:wordWrap/>
              <w:overflowPunct/>
              <w:bidi w:val="0"/>
              <w:snapToGrid w:val="0"/>
              <w:spacing w:line="440" w:lineRule="exact"/>
              <w:ind w:firstLine="440" w:firstLineChars="200"/>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8. 投标人代表、招标人代表、监标人、记录人等有关人员在开标记录上签字确认。因其他原因未能签字的，视为默认开标结果。</w:t>
            </w:r>
          </w:p>
          <w:p w14:paraId="740A6EA3">
            <w:pPr>
              <w:keepNext w:val="0"/>
              <w:keepLines w:val="0"/>
              <w:pageBreakBefore w:val="0"/>
              <w:tabs>
                <w:tab w:val="left" w:pos="546"/>
                <w:tab w:val="left" w:pos="711"/>
              </w:tabs>
              <w:kinsoku/>
              <w:wordWrap/>
              <w:overflowPunct/>
              <w:bidi w:val="0"/>
              <w:snapToGrid w:val="0"/>
              <w:spacing w:line="440" w:lineRule="exact"/>
              <w:ind w:firstLine="44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2"/>
                <w:szCs w:val="22"/>
                <w:highlight w:val="none"/>
              </w:rPr>
              <w:t>9. 比选会结束。</w:t>
            </w:r>
          </w:p>
        </w:tc>
      </w:tr>
      <w:tr w14:paraId="2EE48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005" w:type="dxa"/>
            <w:vAlign w:val="center"/>
          </w:tcPr>
          <w:p w14:paraId="632AE101">
            <w:pPr>
              <w:keepNext w:val="0"/>
              <w:keepLines w:val="0"/>
              <w:pageBreakBefore w:val="0"/>
              <w:kinsoku/>
              <w:wordWrap/>
              <w:overflowPunct/>
              <w:bidi w:val="0"/>
              <w:snapToGrid w:val="0"/>
              <w:spacing w:before="120" w:beforeLines="50" w:after="120" w:afterLines="50" w:line="440" w:lineRule="exact"/>
              <w:textAlignment w:val="auto"/>
              <w:rPr>
                <w:rFonts w:hint="eastAsia" w:ascii="仿宋" w:hAnsi="仿宋" w:eastAsia="仿宋" w:cs="仿宋"/>
                <w:color w:val="auto"/>
                <w:sz w:val="22"/>
                <w:highlight w:val="none"/>
              </w:rPr>
            </w:pPr>
            <w:r>
              <w:rPr>
                <w:rFonts w:hint="eastAsia" w:ascii="仿宋" w:hAnsi="仿宋" w:eastAsia="仿宋" w:cs="仿宋"/>
                <w:color w:val="auto"/>
                <w:sz w:val="22"/>
                <w:highlight w:val="none"/>
              </w:rPr>
              <w:t>6.1.1</w:t>
            </w:r>
          </w:p>
        </w:tc>
        <w:tc>
          <w:tcPr>
            <w:tcW w:w="1573" w:type="dxa"/>
            <w:vAlign w:val="center"/>
          </w:tcPr>
          <w:p w14:paraId="7F06CD02">
            <w:pPr>
              <w:keepNext w:val="0"/>
              <w:keepLines w:val="0"/>
              <w:pageBreakBefore w:val="0"/>
              <w:kinsoku/>
              <w:wordWrap/>
              <w:overflowPunct/>
              <w:bidi w:val="0"/>
              <w:snapToGrid w:val="0"/>
              <w:spacing w:before="120" w:beforeLines="50" w:after="120" w:afterLines="50" w:line="440" w:lineRule="exact"/>
              <w:textAlignment w:val="auto"/>
              <w:rPr>
                <w:rFonts w:hint="eastAsia" w:ascii="仿宋" w:hAnsi="仿宋" w:eastAsia="仿宋" w:cs="仿宋"/>
                <w:color w:val="auto"/>
                <w:sz w:val="22"/>
                <w:highlight w:val="none"/>
              </w:rPr>
            </w:pPr>
            <w:r>
              <w:rPr>
                <w:rFonts w:hint="eastAsia" w:ascii="仿宋" w:hAnsi="仿宋" w:eastAsia="仿宋" w:cs="仿宋"/>
                <w:color w:val="auto"/>
                <w:sz w:val="22"/>
                <w:highlight w:val="none"/>
              </w:rPr>
              <w:t>评标委员会的组建</w:t>
            </w:r>
          </w:p>
        </w:tc>
        <w:tc>
          <w:tcPr>
            <w:tcW w:w="7474" w:type="dxa"/>
            <w:vAlign w:val="center"/>
          </w:tcPr>
          <w:p w14:paraId="42F3CA46">
            <w:pPr>
              <w:keepNext w:val="0"/>
              <w:keepLines w:val="0"/>
              <w:pageBreakBefore w:val="0"/>
              <w:tabs>
                <w:tab w:val="left" w:pos="546"/>
                <w:tab w:val="left" w:pos="711"/>
              </w:tabs>
              <w:kinsoku/>
              <w:wordWrap/>
              <w:overflowPunct/>
              <w:bidi w:val="0"/>
              <w:snapToGrid w:val="0"/>
              <w:spacing w:line="440" w:lineRule="exact"/>
              <w:ind w:firstLine="440" w:firstLineChars="200"/>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1．评标委员会构成：3人。</w:t>
            </w:r>
          </w:p>
          <w:p w14:paraId="1DA3C5B6">
            <w:pPr>
              <w:keepNext w:val="0"/>
              <w:keepLines w:val="0"/>
              <w:pageBreakBefore w:val="0"/>
              <w:tabs>
                <w:tab w:val="left" w:pos="546"/>
                <w:tab w:val="left" w:pos="711"/>
              </w:tabs>
              <w:kinsoku/>
              <w:wordWrap/>
              <w:overflowPunct/>
              <w:bidi w:val="0"/>
              <w:snapToGrid w:val="0"/>
              <w:spacing w:line="440" w:lineRule="exact"/>
              <w:ind w:firstLine="440" w:firstLineChars="200"/>
              <w:textAlignment w:val="auto"/>
              <w:rPr>
                <w:rFonts w:hint="eastAsia" w:ascii="仿宋" w:hAnsi="仿宋" w:eastAsia="仿宋" w:cs="仿宋"/>
                <w:color w:val="auto"/>
                <w:sz w:val="22"/>
                <w:highlight w:val="none"/>
              </w:rPr>
            </w:pPr>
            <w:r>
              <w:rPr>
                <w:rFonts w:hint="eastAsia" w:ascii="仿宋" w:hAnsi="仿宋" w:eastAsia="仿宋" w:cs="仿宋"/>
                <w:color w:val="auto"/>
                <w:sz w:val="22"/>
                <w:szCs w:val="22"/>
                <w:highlight w:val="none"/>
              </w:rPr>
              <w:t>2．评标专家确定方式：由招标人按法律法规及相关规定依法组建评标委员会。</w:t>
            </w:r>
          </w:p>
        </w:tc>
      </w:tr>
      <w:tr w14:paraId="6E328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005" w:type="dxa"/>
            <w:vAlign w:val="center"/>
          </w:tcPr>
          <w:p w14:paraId="104C9EE7">
            <w:pPr>
              <w:keepNext w:val="0"/>
              <w:keepLines w:val="0"/>
              <w:pageBreakBefore w:val="0"/>
              <w:kinsoku/>
              <w:wordWrap/>
              <w:overflowPunct/>
              <w:bidi w:val="0"/>
              <w:snapToGrid w:val="0"/>
              <w:spacing w:before="120" w:beforeLines="50" w:after="120" w:afterLines="50" w:line="440" w:lineRule="exact"/>
              <w:textAlignment w:val="auto"/>
              <w:rPr>
                <w:rFonts w:hint="eastAsia" w:ascii="仿宋" w:hAnsi="仿宋" w:eastAsia="仿宋" w:cs="仿宋"/>
                <w:color w:val="auto"/>
                <w:sz w:val="22"/>
                <w:highlight w:val="none"/>
              </w:rPr>
            </w:pPr>
            <w:r>
              <w:rPr>
                <w:rFonts w:hint="eastAsia" w:ascii="仿宋" w:hAnsi="仿宋" w:eastAsia="仿宋" w:cs="仿宋"/>
                <w:color w:val="auto"/>
                <w:sz w:val="22"/>
                <w:highlight w:val="none"/>
              </w:rPr>
              <w:t>7.2</w:t>
            </w:r>
          </w:p>
        </w:tc>
        <w:tc>
          <w:tcPr>
            <w:tcW w:w="1573" w:type="dxa"/>
            <w:vAlign w:val="center"/>
          </w:tcPr>
          <w:p w14:paraId="6678C39B">
            <w:pPr>
              <w:keepNext w:val="0"/>
              <w:keepLines w:val="0"/>
              <w:pageBreakBefore w:val="0"/>
              <w:kinsoku/>
              <w:wordWrap/>
              <w:overflowPunct/>
              <w:bidi w:val="0"/>
              <w:snapToGrid w:val="0"/>
              <w:spacing w:before="120" w:beforeLines="50" w:after="120" w:afterLines="50" w:line="440" w:lineRule="exact"/>
              <w:textAlignment w:val="auto"/>
              <w:rPr>
                <w:rFonts w:hint="eastAsia" w:ascii="仿宋" w:hAnsi="仿宋" w:eastAsia="仿宋" w:cs="仿宋"/>
                <w:color w:val="auto"/>
                <w:sz w:val="22"/>
                <w:highlight w:val="none"/>
              </w:rPr>
            </w:pPr>
            <w:r>
              <w:rPr>
                <w:rFonts w:hint="eastAsia" w:ascii="仿宋" w:hAnsi="仿宋" w:eastAsia="仿宋" w:cs="仿宋"/>
                <w:color w:val="auto"/>
                <w:sz w:val="22"/>
                <w:highlight w:val="none"/>
              </w:rPr>
              <w:t>是否授权评标委员会确定中选人</w:t>
            </w:r>
          </w:p>
        </w:tc>
        <w:tc>
          <w:tcPr>
            <w:tcW w:w="7474" w:type="dxa"/>
            <w:vAlign w:val="center"/>
          </w:tcPr>
          <w:p w14:paraId="41F4FA49">
            <w:pPr>
              <w:keepNext w:val="0"/>
              <w:keepLines w:val="0"/>
              <w:pageBreakBefore w:val="0"/>
              <w:tabs>
                <w:tab w:val="left" w:pos="546"/>
                <w:tab w:val="left" w:pos="711"/>
              </w:tabs>
              <w:kinsoku/>
              <w:wordWrap/>
              <w:overflowPunct/>
              <w:bidi w:val="0"/>
              <w:snapToGrid w:val="0"/>
              <w:spacing w:line="440" w:lineRule="exact"/>
              <w:ind w:firstLine="440" w:firstLineChars="200"/>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否，推荐经评审合格的投标人得分由高到低排名前三名为中标候选人。</w:t>
            </w:r>
          </w:p>
        </w:tc>
      </w:tr>
      <w:tr w14:paraId="2A34C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10052" w:type="dxa"/>
            <w:gridSpan w:val="3"/>
            <w:vAlign w:val="center"/>
          </w:tcPr>
          <w:p w14:paraId="23A5C9A0">
            <w:pPr>
              <w:keepNext w:val="0"/>
              <w:keepLines w:val="0"/>
              <w:pageBreakBefore w:val="0"/>
              <w:kinsoku/>
              <w:wordWrap/>
              <w:overflowPunct/>
              <w:bidi w:val="0"/>
              <w:snapToGrid w:val="0"/>
              <w:spacing w:before="120" w:beforeLines="50" w:after="120" w:afterLines="50" w:line="440" w:lineRule="exact"/>
              <w:jc w:val="center"/>
              <w:textAlignment w:val="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 xml:space="preserve">      需要补充的其他内容</w:t>
            </w:r>
          </w:p>
        </w:tc>
      </w:tr>
      <w:tr w14:paraId="6B644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9" w:hRule="atLeast"/>
        </w:trPr>
        <w:tc>
          <w:tcPr>
            <w:tcW w:w="1005" w:type="dxa"/>
            <w:vAlign w:val="center"/>
          </w:tcPr>
          <w:p w14:paraId="46916321">
            <w:pPr>
              <w:keepNext w:val="0"/>
              <w:keepLines w:val="0"/>
              <w:pageBreakBefore w:val="0"/>
              <w:kinsoku/>
              <w:wordWrap/>
              <w:overflowPunct/>
              <w:bidi w:val="0"/>
              <w:snapToGrid w:val="0"/>
              <w:spacing w:before="120" w:beforeLines="50" w:after="120" w:afterLines="50" w:line="440" w:lineRule="exact"/>
              <w:textAlignment w:val="auto"/>
              <w:rPr>
                <w:rFonts w:hint="eastAsia" w:ascii="仿宋" w:hAnsi="仿宋" w:eastAsia="仿宋" w:cs="仿宋"/>
                <w:color w:val="auto"/>
                <w:sz w:val="22"/>
                <w:highlight w:val="none"/>
              </w:rPr>
            </w:pPr>
            <w:r>
              <w:rPr>
                <w:rFonts w:hint="eastAsia" w:ascii="仿宋" w:hAnsi="仿宋" w:eastAsia="仿宋" w:cs="仿宋"/>
                <w:color w:val="auto"/>
                <w:sz w:val="22"/>
                <w:highlight w:val="none"/>
              </w:rPr>
              <w:t>10.1</w:t>
            </w:r>
          </w:p>
        </w:tc>
        <w:tc>
          <w:tcPr>
            <w:tcW w:w="1573" w:type="dxa"/>
            <w:vAlign w:val="center"/>
          </w:tcPr>
          <w:p w14:paraId="5294C42D">
            <w:pPr>
              <w:keepNext w:val="0"/>
              <w:keepLines w:val="0"/>
              <w:pageBreakBefore w:val="0"/>
              <w:kinsoku/>
              <w:wordWrap/>
              <w:overflowPunct/>
              <w:bidi w:val="0"/>
              <w:snapToGrid w:val="0"/>
              <w:spacing w:before="120" w:beforeLines="50" w:after="120" w:afterLines="50" w:line="440" w:lineRule="exact"/>
              <w:textAlignment w:val="auto"/>
              <w:rPr>
                <w:rFonts w:hint="eastAsia" w:ascii="仿宋" w:hAnsi="仿宋" w:eastAsia="仿宋" w:cs="仿宋"/>
                <w:color w:val="auto"/>
                <w:sz w:val="22"/>
                <w:highlight w:val="none"/>
              </w:rPr>
            </w:pPr>
            <w:r>
              <w:rPr>
                <w:rFonts w:hint="eastAsia" w:ascii="仿宋" w:hAnsi="仿宋" w:eastAsia="仿宋" w:cs="仿宋"/>
                <w:color w:val="auto"/>
                <w:sz w:val="22"/>
                <w:highlight w:val="none"/>
              </w:rPr>
              <w:t>招标代理</w:t>
            </w:r>
          </w:p>
          <w:p w14:paraId="3036CE5C">
            <w:pPr>
              <w:keepNext w:val="0"/>
              <w:keepLines w:val="0"/>
              <w:pageBreakBefore w:val="0"/>
              <w:kinsoku/>
              <w:wordWrap/>
              <w:overflowPunct/>
              <w:bidi w:val="0"/>
              <w:snapToGrid w:val="0"/>
              <w:spacing w:before="120" w:beforeLines="50" w:after="120" w:afterLines="50" w:line="440" w:lineRule="exact"/>
              <w:textAlignment w:val="auto"/>
              <w:rPr>
                <w:rFonts w:hint="eastAsia" w:ascii="仿宋" w:hAnsi="仿宋" w:eastAsia="仿宋" w:cs="仿宋"/>
                <w:color w:val="auto"/>
                <w:sz w:val="22"/>
                <w:highlight w:val="none"/>
              </w:rPr>
            </w:pPr>
            <w:r>
              <w:rPr>
                <w:rFonts w:hint="eastAsia" w:ascii="仿宋" w:hAnsi="仿宋" w:eastAsia="仿宋" w:cs="仿宋"/>
                <w:color w:val="auto"/>
                <w:sz w:val="22"/>
                <w:highlight w:val="none"/>
              </w:rPr>
              <w:t>服务费</w:t>
            </w:r>
          </w:p>
        </w:tc>
        <w:tc>
          <w:tcPr>
            <w:tcW w:w="7474" w:type="dxa"/>
            <w:vAlign w:val="center"/>
          </w:tcPr>
          <w:p w14:paraId="41977B5C">
            <w:pPr>
              <w:keepNext w:val="0"/>
              <w:keepLines w:val="0"/>
              <w:pageBreakBefore w:val="0"/>
              <w:kinsoku/>
              <w:wordWrap/>
              <w:overflowPunct/>
              <w:bidi w:val="0"/>
              <w:snapToGrid w:val="0"/>
              <w:spacing w:before="120" w:beforeLines="50" w:after="120" w:afterLines="50" w:line="440" w:lineRule="exact"/>
              <w:ind w:firstLine="440" w:firstLineChars="200"/>
              <w:textAlignment w:val="auto"/>
              <w:rPr>
                <w:rFonts w:hint="eastAsia" w:ascii="仿宋" w:hAnsi="仿宋" w:eastAsia="仿宋" w:cs="仿宋"/>
                <w:color w:val="auto"/>
                <w:highlight w:val="none"/>
              </w:rPr>
            </w:pPr>
            <w:r>
              <w:rPr>
                <w:rFonts w:hint="eastAsia" w:ascii="仿宋" w:hAnsi="仿宋" w:eastAsia="仿宋" w:cs="仿宋"/>
                <w:snapToGrid w:val="0"/>
                <w:color w:val="auto"/>
                <w:kern w:val="0"/>
                <w:sz w:val="22"/>
                <w:highlight w:val="none"/>
              </w:rPr>
              <w:t>招标代理服务费</w:t>
            </w:r>
            <w:r>
              <w:rPr>
                <w:rFonts w:hint="eastAsia" w:ascii="仿宋" w:hAnsi="仿宋" w:eastAsia="仿宋" w:cs="仿宋"/>
                <w:snapToGrid w:val="0"/>
                <w:color w:val="auto"/>
                <w:kern w:val="0"/>
                <w:sz w:val="22"/>
                <w:highlight w:val="none"/>
                <w:lang w:val="en-US" w:eastAsia="zh-CN"/>
              </w:rPr>
              <w:t>为3000.00元（大写：叁仟元整），由招标人支付</w:t>
            </w:r>
            <w:r>
              <w:rPr>
                <w:rFonts w:hint="eastAsia" w:ascii="仿宋" w:hAnsi="仿宋" w:eastAsia="仿宋" w:cs="仿宋"/>
                <w:snapToGrid w:val="0"/>
                <w:color w:val="auto"/>
                <w:kern w:val="0"/>
                <w:sz w:val="22"/>
                <w:highlight w:val="none"/>
              </w:rPr>
              <w:t>。</w:t>
            </w:r>
          </w:p>
        </w:tc>
      </w:tr>
      <w:tr w14:paraId="51118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1005" w:type="dxa"/>
            <w:vAlign w:val="center"/>
          </w:tcPr>
          <w:p w14:paraId="01F9CE6C">
            <w:pPr>
              <w:keepNext w:val="0"/>
              <w:keepLines w:val="0"/>
              <w:pageBreakBefore w:val="0"/>
              <w:kinsoku/>
              <w:wordWrap/>
              <w:overflowPunct/>
              <w:bidi w:val="0"/>
              <w:snapToGrid w:val="0"/>
              <w:spacing w:before="120" w:beforeLines="50" w:after="120" w:afterLines="50" w:line="440" w:lineRule="exact"/>
              <w:textAlignment w:val="auto"/>
              <w:rPr>
                <w:rFonts w:hint="eastAsia" w:ascii="仿宋" w:hAnsi="仿宋" w:eastAsia="仿宋" w:cs="仿宋"/>
                <w:color w:val="auto"/>
                <w:sz w:val="22"/>
                <w:highlight w:val="none"/>
                <w:lang w:val="en-US" w:eastAsia="zh-CN"/>
              </w:rPr>
            </w:pPr>
            <w:r>
              <w:rPr>
                <w:rFonts w:hint="eastAsia" w:ascii="仿宋" w:hAnsi="仿宋" w:eastAsia="仿宋" w:cs="仿宋"/>
                <w:color w:val="auto"/>
                <w:sz w:val="22"/>
                <w:highlight w:val="none"/>
              </w:rPr>
              <w:t>10.</w:t>
            </w:r>
            <w:r>
              <w:rPr>
                <w:rFonts w:hint="eastAsia" w:ascii="仿宋" w:hAnsi="仿宋" w:eastAsia="仿宋" w:cs="仿宋"/>
                <w:color w:val="auto"/>
                <w:sz w:val="22"/>
                <w:highlight w:val="none"/>
                <w:lang w:val="en-US" w:eastAsia="zh-CN"/>
              </w:rPr>
              <w:t>2</w:t>
            </w:r>
          </w:p>
        </w:tc>
        <w:tc>
          <w:tcPr>
            <w:tcW w:w="1573" w:type="dxa"/>
            <w:vAlign w:val="center"/>
          </w:tcPr>
          <w:p w14:paraId="6770B7A9">
            <w:pPr>
              <w:keepNext w:val="0"/>
              <w:keepLines w:val="0"/>
              <w:pageBreakBefore w:val="0"/>
              <w:kinsoku/>
              <w:wordWrap/>
              <w:overflowPunct/>
              <w:bidi w:val="0"/>
              <w:snapToGrid w:val="0"/>
              <w:spacing w:before="120" w:beforeLines="50" w:after="120" w:afterLines="50" w:line="440" w:lineRule="exact"/>
              <w:textAlignment w:val="auto"/>
              <w:rPr>
                <w:rFonts w:hint="eastAsia" w:ascii="仿宋" w:hAnsi="仿宋" w:eastAsia="仿宋" w:cs="仿宋"/>
                <w:color w:val="auto"/>
                <w:sz w:val="22"/>
                <w:highlight w:val="none"/>
              </w:rPr>
            </w:pPr>
            <w:r>
              <w:rPr>
                <w:rFonts w:hint="eastAsia" w:ascii="仿宋" w:hAnsi="仿宋" w:eastAsia="仿宋" w:cs="仿宋"/>
                <w:color w:val="auto"/>
                <w:sz w:val="22"/>
                <w:highlight w:val="none"/>
              </w:rPr>
              <w:t>付款方式</w:t>
            </w:r>
          </w:p>
        </w:tc>
        <w:tc>
          <w:tcPr>
            <w:tcW w:w="7474" w:type="dxa"/>
            <w:vAlign w:val="center"/>
          </w:tcPr>
          <w:p w14:paraId="1BA43E4F">
            <w:pPr>
              <w:keepNext w:val="0"/>
              <w:keepLines w:val="0"/>
              <w:pageBreakBefore w:val="0"/>
              <w:kinsoku/>
              <w:wordWrap/>
              <w:overflowPunct/>
              <w:bidi w:val="0"/>
              <w:snapToGrid w:val="0"/>
              <w:spacing w:before="120" w:beforeLines="50" w:after="120" w:afterLines="50" w:line="440" w:lineRule="exact"/>
              <w:ind w:firstLine="440" w:firstLineChars="200"/>
              <w:textAlignment w:val="auto"/>
              <w:rPr>
                <w:rFonts w:hint="eastAsia" w:ascii="仿宋" w:hAnsi="仿宋" w:eastAsia="仿宋" w:cs="仿宋"/>
                <w:snapToGrid w:val="0"/>
                <w:color w:val="auto"/>
                <w:kern w:val="0"/>
                <w:sz w:val="22"/>
                <w:highlight w:val="none"/>
              </w:rPr>
            </w:pPr>
            <w:r>
              <w:rPr>
                <w:rFonts w:hint="eastAsia" w:ascii="仿宋" w:hAnsi="仿宋" w:eastAsia="仿宋" w:cs="仿宋"/>
                <w:snapToGrid w:val="0"/>
                <w:color w:val="auto"/>
                <w:kern w:val="0"/>
                <w:sz w:val="22"/>
                <w:highlight w:val="none"/>
                <w:lang w:val="en-US" w:eastAsia="zh-CN"/>
              </w:rPr>
              <w:t>1</w:t>
            </w:r>
            <w:r>
              <w:rPr>
                <w:rFonts w:hint="eastAsia" w:ascii="仿宋" w:hAnsi="仿宋" w:eastAsia="仿宋" w:cs="仿宋"/>
                <w:snapToGrid w:val="0"/>
                <w:color w:val="auto"/>
                <w:kern w:val="0"/>
                <w:sz w:val="22"/>
                <w:highlight w:val="none"/>
              </w:rPr>
              <w:t>.</w:t>
            </w:r>
            <w:r>
              <w:rPr>
                <w:rFonts w:hint="eastAsia" w:ascii="仿宋" w:hAnsi="仿宋" w:eastAsia="仿宋" w:cs="仿宋"/>
                <w:snapToGrid w:val="0"/>
                <w:color w:val="auto"/>
                <w:kern w:val="0"/>
                <w:sz w:val="22"/>
                <w:highlight w:val="none"/>
                <w:lang w:val="en-US" w:eastAsia="zh-CN"/>
              </w:rPr>
              <w:t>本项目无预付款，竣</w:t>
            </w:r>
            <w:r>
              <w:rPr>
                <w:rFonts w:hint="eastAsia" w:ascii="仿宋" w:hAnsi="仿宋" w:eastAsia="仿宋" w:cs="仿宋"/>
                <w:snapToGrid w:val="0"/>
                <w:color w:val="auto"/>
                <w:kern w:val="0"/>
                <w:sz w:val="22"/>
                <w:highlight w:val="none"/>
              </w:rPr>
              <w:t>工验收合格后，由中标人向招标人提出支付申请，招标人支付至合同金额的80%。</w:t>
            </w:r>
          </w:p>
          <w:p w14:paraId="06F71C9E">
            <w:pPr>
              <w:keepNext w:val="0"/>
              <w:keepLines w:val="0"/>
              <w:pageBreakBefore w:val="0"/>
              <w:kinsoku/>
              <w:wordWrap/>
              <w:overflowPunct/>
              <w:bidi w:val="0"/>
              <w:snapToGrid w:val="0"/>
              <w:spacing w:before="120" w:beforeLines="50" w:after="120" w:afterLines="50" w:line="440" w:lineRule="exact"/>
              <w:ind w:firstLine="440" w:firstLineChars="200"/>
              <w:textAlignment w:val="auto"/>
              <w:rPr>
                <w:rFonts w:hint="eastAsia" w:ascii="仿宋" w:hAnsi="仿宋" w:eastAsia="仿宋" w:cs="仿宋"/>
                <w:color w:val="auto"/>
                <w:sz w:val="22"/>
                <w:highlight w:val="none"/>
              </w:rPr>
            </w:pPr>
            <w:r>
              <w:rPr>
                <w:rFonts w:hint="eastAsia" w:ascii="仿宋" w:hAnsi="仿宋" w:eastAsia="仿宋" w:cs="仿宋"/>
                <w:snapToGrid w:val="0"/>
                <w:color w:val="auto"/>
                <w:kern w:val="0"/>
                <w:sz w:val="22"/>
                <w:highlight w:val="none"/>
                <w:lang w:val="en-US" w:eastAsia="zh-CN"/>
              </w:rPr>
              <w:t>2</w:t>
            </w:r>
            <w:r>
              <w:rPr>
                <w:rFonts w:hint="eastAsia" w:ascii="仿宋" w:hAnsi="仿宋" w:eastAsia="仿宋" w:cs="仿宋"/>
                <w:snapToGrid w:val="0"/>
                <w:color w:val="auto"/>
                <w:kern w:val="0"/>
                <w:sz w:val="22"/>
                <w:highlight w:val="none"/>
              </w:rPr>
              <w:t>.根据中标综合单价和实际完成的经验收合格的工程量计算出最终结算金额，经相关审计部门完成结算审核后，支付至审定金额的</w:t>
            </w:r>
            <w:r>
              <w:rPr>
                <w:rFonts w:hint="eastAsia" w:ascii="仿宋" w:hAnsi="仿宋" w:eastAsia="仿宋" w:cs="仿宋"/>
                <w:snapToGrid w:val="0"/>
                <w:color w:val="auto"/>
                <w:kern w:val="0"/>
                <w:sz w:val="22"/>
                <w:highlight w:val="none"/>
                <w:lang w:val="en-US" w:eastAsia="zh-CN"/>
              </w:rPr>
              <w:t>100</w:t>
            </w:r>
            <w:r>
              <w:rPr>
                <w:rFonts w:hint="eastAsia" w:ascii="仿宋" w:hAnsi="仿宋" w:eastAsia="仿宋" w:cs="仿宋"/>
                <w:snapToGrid w:val="0"/>
                <w:color w:val="auto"/>
                <w:kern w:val="0"/>
                <w:sz w:val="22"/>
                <w:highlight w:val="none"/>
              </w:rPr>
              <w:t>%。</w:t>
            </w:r>
          </w:p>
        </w:tc>
      </w:tr>
      <w:tr w14:paraId="1DDC5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005" w:type="dxa"/>
            <w:vAlign w:val="center"/>
          </w:tcPr>
          <w:p w14:paraId="28FD230F">
            <w:pPr>
              <w:keepNext w:val="0"/>
              <w:keepLines w:val="0"/>
              <w:pageBreakBefore w:val="0"/>
              <w:kinsoku/>
              <w:wordWrap/>
              <w:overflowPunct/>
              <w:bidi w:val="0"/>
              <w:snapToGrid w:val="0"/>
              <w:spacing w:before="120" w:beforeLines="50" w:after="120" w:afterLines="50" w:line="440" w:lineRule="exact"/>
              <w:textAlignment w:val="auto"/>
              <w:rPr>
                <w:rFonts w:hint="eastAsia" w:ascii="仿宋" w:hAnsi="仿宋" w:eastAsia="仿宋" w:cs="仿宋"/>
                <w:color w:val="auto"/>
                <w:sz w:val="22"/>
                <w:highlight w:val="none"/>
                <w:lang w:val="en-US" w:eastAsia="zh-CN"/>
              </w:rPr>
            </w:pPr>
            <w:r>
              <w:rPr>
                <w:rFonts w:hint="eastAsia" w:ascii="仿宋" w:hAnsi="仿宋" w:eastAsia="仿宋" w:cs="仿宋"/>
                <w:color w:val="auto"/>
                <w:sz w:val="22"/>
                <w:highlight w:val="none"/>
              </w:rPr>
              <w:t>10.</w:t>
            </w:r>
            <w:r>
              <w:rPr>
                <w:rFonts w:hint="eastAsia" w:ascii="仿宋" w:hAnsi="仿宋" w:eastAsia="仿宋" w:cs="仿宋"/>
                <w:color w:val="auto"/>
                <w:sz w:val="22"/>
                <w:highlight w:val="none"/>
                <w:lang w:val="en-US" w:eastAsia="zh-CN"/>
              </w:rPr>
              <w:t>3</w:t>
            </w:r>
          </w:p>
        </w:tc>
        <w:tc>
          <w:tcPr>
            <w:tcW w:w="1573" w:type="dxa"/>
            <w:vAlign w:val="center"/>
          </w:tcPr>
          <w:p w14:paraId="1236B624">
            <w:pPr>
              <w:keepNext w:val="0"/>
              <w:keepLines w:val="0"/>
              <w:pageBreakBefore w:val="0"/>
              <w:kinsoku/>
              <w:wordWrap/>
              <w:overflowPunct/>
              <w:bidi w:val="0"/>
              <w:snapToGrid w:val="0"/>
              <w:spacing w:before="120" w:beforeLines="50" w:after="120" w:afterLines="50" w:line="440" w:lineRule="exact"/>
              <w:textAlignment w:val="auto"/>
              <w:rPr>
                <w:rFonts w:hint="eastAsia" w:ascii="仿宋" w:hAnsi="仿宋" w:eastAsia="仿宋" w:cs="仿宋"/>
                <w:color w:val="auto"/>
                <w:sz w:val="22"/>
                <w:highlight w:val="none"/>
              </w:rPr>
            </w:pPr>
            <w:r>
              <w:rPr>
                <w:rFonts w:hint="eastAsia" w:ascii="仿宋" w:hAnsi="仿宋" w:eastAsia="仿宋" w:cs="仿宋"/>
                <w:color w:val="auto"/>
                <w:sz w:val="22"/>
                <w:highlight w:val="none"/>
              </w:rPr>
              <w:t>真实性要求</w:t>
            </w:r>
          </w:p>
        </w:tc>
        <w:tc>
          <w:tcPr>
            <w:tcW w:w="7474" w:type="dxa"/>
            <w:vAlign w:val="center"/>
          </w:tcPr>
          <w:p w14:paraId="57F645B0">
            <w:pPr>
              <w:keepNext w:val="0"/>
              <w:keepLines w:val="0"/>
              <w:pageBreakBefore w:val="0"/>
              <w:kinsoku/>
              <w:wordWrap/>
              <w:overflowPunct/>
              <w:bidi w:val="0"/>
              <w:snapToGrid w:val="0"/>
              <w:spacing w:before="120" w:beforeLines="50" w:after="120" w:afterLines="50" w:line="440" w:lineRule="exact"/>
              <w:ind w:firstLine="440" w:firstLineChars="200"/>
              <w:textAlignment w:val="auto"/>
              <w:rPr>
                <w:rFonts w:hint="eastAsia" w:ascii="仿宋" w:hAnsi="仿宋" w:eastAsia="仿宋" w:cs="仿宋"/>
                <w:color w:val="auto"/>
                <w:sz w:val="22"/>
                <w:highlight w:val="none"/>
              </w:rPr>
            </w:pPr>
            <w:r>
              <w:rPr>
                <w:rFonts w:hint="eastAsia" w:ascii="仿宋" w:hAnsi="仿宋" w:eastAsia="仿宋" w:cs="仿宋"/>
                <w:color w:val="auto"/>
                <w:sz w:val="22"/>
                <w:highlight w:val="none"/>
              </w:rPr>
              <w:t>投标人须按招标文件要求提交与资格审查有关的资料，且提交的资格审查资料应真实、可靠。招标人可通过多种方式予以核查，在招标过程中，发现提供虚假资料的，投标无效；已经确定中标候选人的，中标无效，招标人应重新评标；给招标人造成经济损失的，依法承担赔偿责任，并对该投标单位依法作出相应惩处。</w:t>
            </w:r>
          </w:p>
        </w:tc>
      </w:tr>
      <w:tr w14:paraId="7DCA5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005" w:type="dxa"/>
            <w:vAlign w:val="center"/>
          </w:tcPr>
          <w:p w14:paraId="29EDC648">
            <w:pPr>
              <w:keepNext w:val="0"/>
              <w:keepLines w:val="0"/>
              <w:pageBreakBefore w:val="0"/>
              <w:kinsoku/>
              <w:wordWrap/>
              <w:overflowPunct/>
              <w:bidi w:val="0"/>
              <w:snapToGrid w:val="0"/>
              <w:spacing w:before="120" w:beforeLines="50" w:after="120" w:afterLines="50" w:line="440" w:lineRule="exact"/>
              <w:textAlignment w:val="auto"/>
              <w:rPr>
                <w:rFonts w:hint="eastAsia" w:ascii="仿宋" w:hAnsi="仿宋" w:eastAsia="仿宋" w:cs="仿宋"/>
                <w:color w:val="auto"/>
                <w:sz w:val="22"/>
                <w:highlight w:val="none"/>
                <w:lang w:val="en-US" w:eastAsia="zh-CN"/>
              </w:rPr>
            </w:pPr>
            <w:r>
              <w:rPr>
                <w:rFonts w:hint="eastAsia" w:ascii="仿宋" w:hAnsi="仿宋" w:eastAsia="仿宋" w:cs="仿宋"/>
                <w:color w:val="auto"/>
                <w:sz w:val="22"/>
                <w:highlight w:val="none"/>
              </w:rPr>
              <w:t>10.</w:t>
            </w:r>
            <w:r>
              <w:rPr>
                <w:rFonts w:hint="eastAsia" w:ascii="仿宋" w:hAnsi="仿宋" w:eastAsia="仿宋" w:cs="仿宋"/>
                <w:color w:val="auto"/>
                <w:sz w:val="22"/>
                <w:highlight w:val="none"/>
                <w:lang w:val="en-US" w:eastAsia="zh-CN"/>
              </w:rPr>
              <w:t>4</w:t>
            </w:r>
          </w:p>
        </w:tc>
        <w:tc>
          <w:tcPr>
            <w:tcW w:w="1573" w:type="dxa"/>
            <w:vAlign w:val="center"/>
          </w:tcPr>
          <w:p w14:paraId="21DC8556">
            <w:pPr>
              <w:keepNext w:val="0"/>
              <w:keepLines w:val="0"/>
              <w:pageBreakBefore w:val="0"/>
              <w:kinsoku/>
              <w:wordWrap/>
              <w:overflowPunct/>
              <w:bidi w:val="0"/>
              <w:snapToGrid w:val="0"/>
              <w:spacing w:before="120" w:beforeLines="50" w:after="120" w:afterLines="50" w:line="440" w:lineRule="exact"/>
              <w:textAlignment w:val="auto"/>
              <w:rPr>
                <w:rFonts w:hint="eastAsia" w:ascii="仿宋" w:hAnsi="仿宋" w:eastAsia="仿宋" w:cs="仿宋"/>
                <w:color w:val="auto"/>
                <w:sz w:val="22"/>
                <w:highlight w:val="none"/>
              </w:rPr>
            </w:pPr>
            <w:r>
              <w:rPr>
                <w:rFonts w:hint="eastAsia" w:ascii="仿宋" w:hAnsi="仿宋" w:eastAsia="仿宋" w:cs="仿宋"/>
                <w:color w:val="auto"/>
                <w:sz w:val="22"/>
                <w:highlight w:val="none"/>
              </w:rPr>
              <w:t>重新招标</w:t>
            </w:r>
          </w:p>
        </w:tc>
        <w:tc>
          <w:tcPr>
            <w:tcW w:w="7474" w:type="dxa"/>
            <w:vAlign w:val="center"/>
          </w:tcPr>
          <w:p w14:paraId="23F3EB2B">
            <w:pPr>
              <w:keepNext w:val="0"/>
              <w:keepLines w:val="0"/>
              <w:pageBreakBefore w:val="0"/>
              <w:kinsoku/>
              <w:wordWrap/>
              <w:overflowPunct/>
              <w:bidi w:val="0"/>
              <w:snapToGrid w:val="0"/>
              <w:spacing w:before="120" w:beforeLines="50" w:after="120" w:afterLines="50" w:line="440" w:lineRule="exact"/>
              <w:ind w:firstLine="440" w:firstLineChars="200"/>
              <w:textAlignment w:val="auto"/>
              <w:rPr>
                <w:rFonts w:hint="eastAsia" w:ascii="仿宋" w:hAnsi="仿宋" w:eastAsia="仿宋" w:cs="仿宋"/>
                <w:color w:val="auto"/>
                <w:sz w:val="22"/>
                <w:highlight w:val="none"/>
                <w:lang w:val="zh-CN"/>
              </w:rPr>
            </w:pPr>
            <w:r>
              <w:rPr>
                <w:rFonts w:hint="eastAsia" w:ascii="仿宋" w:hAnsi="仿宋" w:eastAsia="仿宋" w:cs="仿宋"/>
                <w:color w:val="auto"/>
                <w:sz w:val="22"/>
                <w:highlight w:val="none"/>
                <w:lang w:val="zh-CN"/>
              </w:rPr>
              <w:t>1．</w:t>
            </w:r>
            <w:r>
              <w:rPr>
                <w:rFonts w:hint="eastAsia" w:ascii="仿宋" w:hAnsi="仿宋" w:eastAsia="仿宋" w:cs="仿宋"/>
                <w:color w:val="auto"/>
                <w:sz w:val="22"/>
                <w:highlight w:val="none"/>
              </w:rPr>
              <w:t>投标</w:t>
            </w:r>
            <w:r>
              <w:rPr>
                <w:rFonts w:hint="eastAsia" w:ascii="仿宋" w:hAnsi="仿宋" w:eastAsia="仿宋" w:cs="仿宋"/>
                <w:color w:val="auto"/>
                <w:sz w:val="22"/>
                <w:highlight w:val="none"/>
                <w:lang w:val="zh-CN"/>
              </w:rPr>
              <w:t>截止时间止，投标人少于3个的。</w:t>
            </w:r>
          </w:p>
          <w:p w14:paraId="5F918991">
            <w:pPr>
              <w:keepNext w:val="0"/>
              <w:keepLines w:val="0"/>
              <w:pageBreakBefore w:val="0"/>
              <w:kinsoku/>
              <w:wordWrap/>
              <w:overflowPunct/>
              <w:bidi w:val="0"/>
              <w:snapToGrid w:val="0"/>
              <w:spacing w:before="120" w:beforeLines="50" w:after="120" w:afterLines="50" w:line="440" w:lineRule="exact"/>
              <w:ind w:firstLine="440" w:firstLineChars="200"/>
              <w:textAlignment w:val="auto"/>
              <w:rPr>
                <w:rFonts w:hint="eastAsia" w:ascii="仿宋" w:hAnsi="仿宋" w:eastAsia="仿宋" w:cs="仿宋"/>
                <w:color w:val="auto"/>
                <w:sz w:val="22"/>
                <w:highlight w:val="none"/>
                <w:lang w:val="zh-CN"/>
              </w:rPr>
            </w:pPr>
            <w:r>
              <w:rPr>
                <w:rFonts w:hint="eastAsia" w:ascii="仿宋" w:hAnsi="仿宋" w:eastAsia="仿宋" w:cs="仿宋"/>
                <w:color w:val="auto"/>
                <w:sz w:val="22"/>
                <w:highlight w:val="none"/>
                <w:lang w:val="zh-CN"/>
              </w:rPr>
              <w:t>2. 经评标委员会评审后否决所有投标的。</w:t>
            </w:r>
          </w:p>
          <w:p w14:paraId="6D575B50">
            <w:pPr>
              <w:keepNext w:val="0"/>
              <w:keepLines w:val="0"/>
              <w:pageBreakBefore w:val="0"/>
              <w:kinsoku/>
              <w:wordWrap/>
              <w:overflowPunct/>
              <w:bidi w:val="0"/>
              <w:snapToGrid w:val="0"/>
              <w:spacing w:before="120" w:beforeLines="50" w:after="120" w:afterLines="50" w:line="440" w:lineRule="exact"/>
              <w:ind w:firstLine="440" w:firstLineChars="200"/>
              <w:textAlignment w:val="auto"/>
              <w:rPr>
                <w:rFonts w:hint="eastAsia" w:ascii="仿宋" w:hAnsi="仿宋" w:eastAsia="仿宋" w:cs="仿宋"/>
                <w:color w:val="auto"/>
                <w:sz w:val="22"/>
                <w:highlight w:val="none"/>
                <w:lang w:val="zh-CN"/>
              </w:rPr>
            </w:pPr>
            <w:r>
              <w:rPr>
                <w:rFonts w:hint="eastAsia" w:ascii="仿宋" w:hAnsi="仿宋" w:eastAsia="仿宋" w:cs="仿宋"/>
                <w:color w:val="auto"/>
                <w:sz w:val="22"/>
                <w:highlight w:val="none"/>
                <w:lang w:val="zh-CN"/>
              </w:rPr>
              <w:t>3. 经评标委员会评审后部分投标被否决，导致有效投标人不足三个的，评标委员会应当否决所有投标。但是有效投标人的经济、技术等指标仍然具有市场竞争力，能够满足招标文件要求的，评标委员会可以继续评标并确定中选候选人。</w:t>
            </w:r>
          </w:p>
          <w:p w14:paraId="4B56EB85">
            <w:pPr>
              <w:keepNext w:val="0"/>
              <w:keepLines w:val="0"/>
              <w:pageBreakBefore w:val="0"/>
              <w:kinsoku/>
              <w:wordWrap/>
              <w:overflowPunct/>
              <w:bidi w:val="0"/>
              <w:snapToGrid w:val="0"/>
              <w:spacing w:before="120" w:beforeLines="50" w:after="120" w:afterLines="50" w:line="440" w:lineRule="exact"/>
              <w:ind w:firstLine="440" w:firstLineChars="200"/>
              <w:textAlignment w:val="auto"/>
              <w:rPr>
                <w:rFonts w:hint="eastAsia" w:ascii="仿宋" w:hAnsi="仿宋" w:eastAsia="仿宋" w:cs="仿宋"/>
                <w:color w:val="auto"/>
                <w:sz w:val="22"/>
                <w:highlight w:val="none"/>
              </w:rPr>
            </w:pPr>
            <w:r>
              <w:rPr>
                <w:rFonts w:hint="eastAsia" w:ascii="仿宋" w:hAnsi="仿宋" w:eastAsia="仿宋" w:cs="仿宋"/>
                <w:color w:val="auto"/>
                <w:sz w:val="22"/>
                <w:highlight w:val="none"/>
              </w:rPr>
              <w:t>4.法律法规规定的其他情形。</w:t>
            </w:r>
          </w:p>
          <w:p w14:paraId="6096370A">
            <w:pPr>
              <w:keepNext w:val="0"/>
              <w:keepLines w:val="0"/>
              <w:pageBreakBefore w:val="0"/>
              <w:kinsoku/>
              <w:wordWrap/>
              <w:overflowPunct/>
              <w:bidi w:val="0"/>
              <w:snapToGrid w:val="0"/>
              <w:spacing w:before="120" w:beforeLines="50" w:after="120" w:afterLines="50" w:line="440" w:lineRule="exact"/>
              <w:ind w:firstLine="440" w:firstLineChars="200"/>
              <w:textAlignment w:val="auto"/>
              <w:rPr>
                <w:rFonts w:hint="eastAsia" w:ascii="仿宋" w:hAnsi="仿宋" w:eastAsia="仿宋" w:cs="仿宋"/>
                <w:color w:val="auto"/>
                <w:highlight w:val="none"/>
              </w:rPr>
            </w:pPr>
            <w:r>
              <w:rPr>
                <w:rFonts w:hint="eastAsia" w:ascii="仿宋" w:hAnsi="仿宋" w:eastAsia="仿宋" w:cs="仿宋"/>
                <w:color w:val="auto"/>
                <w:sz w:val="22"/>
                <w:highlight w:val="none"/>
                <w:lang w:val="zh-CN"/>
              </w:rPr>
              <w:t>重新比选后投标人仍少于3个，按法定程序开标和评标，确定中选人。经评审无合格投标人，属于必须审批或核准的工程建设项目，经原审批或核准部门批准后不再进行比选。</w:t>
            </w:r>
          </w:p>
        </w:tc>
      </w:tr>
      <w:tr w14:paraId="35456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005" w:type="dxa"/>
            <w:vAlign w:val="center"/>
          </w:tcPr>
          <w:p w14:paraId="57C98419">
            <w:pPr>
              <w:keepNext w:val="0"/>
              <w:keepLines w:val="0"/>
              <w:pageBreakBefore w:val="0"/>
              <w:kinsoku/>
              <w:wordWrap/>
              <w:overflowPunct/>
              <w:bidi w:val="0"/>
              <w:snapToGrid w:val="0"/>
              <w:spacing w:before="120" w:beforeLines="50" w:after="120" w:afterLines="50" w:line="440" w:lineRule="exact"/>
              <w:textAlignment w:val="auto"/>
              <w:rPr>
                <w:rFonts w:hint="eastAsia" w:ascii="仿宋" w:hAnsi="仿宋" w:eastAsia="仿宋" w:cs="仿宋"/>
                <w:color w:val="auto"/>
                <w:sz w:val="22"/>
                <w:highlight w:val="none"/>
                <w:lang w:val="en-US" w:eastAsia="zh-CN"/>
              </w:rPr>
            </w:pPr>
            <w:r>
              <w:rPr>
                <w:rFonts w:hint="eastAsia" w:ascii="仿宋" w:hAnsi="仿宋" w:eastAsia="仿宋" w:cs="仿宋"/>
                <w:color w:val="auto"/>
                <w:sz w:val="22"/>
                <w:highlight w:val="none"/>
              </w:rPr>
              <w:t>10.</w:t>
            </w:r>
            <w:r>
              <w:rPr>
                <w:rFonts w:hint="eastAsia" w:ascii="仿宋" w:hAnsi="仿宋" w:eastAsia="仿宋" w:cs="仿宋"/>
                <w:color w:val="auto"/>
                <w:sz w:val="22"/>
                <w:highlight w:val="none"/>
                <w:lang w:val="en-US" w:eastAsia="zh-CN"/>
              </w:rPr>
              <w:t>5</w:t>
            </w:r>
          </w:p>
        </w:tc>
        <w:tc>
          <w:tcPr>
            <w:tcW w:w="1573" w:type="dxa"/>
            <w:vAlign w:val="center"/>
          </w:tcPr>
          <w:p w14:paraId="68DDAA71">
            <w:pPr>
              <w:keepNext w:val="0"/>
              <w:keepLines w:val="0"/>
              <w:pageBreakBefore w:val="0"/>
              <w:kinsoku/>
              <w:wordWrap/>
              <w:overflowPunct/>
              <w:bidi w:val="0"/>
              <w:snapToGrid w:val="0"/>
              <w:spacing w:line="440" w:lineRule="exact"/>
              <w:textAlignment w:val="auto"/>
              <w:rPr>
                <w:rFonts w:hint="eastAsia" w:ascii="仿宋" w:hAnsi="仿宋" w:eastAsia="仿宋" w:cs="仿宋"/>
                <w:b/>
                <w:bCs/>
                <w:color w:val="auto"/>
                <w:sz w:val="22"/>
                <w:highlight w:val="none"/>
              </w:rPr>
            </w:pPr>
            <w:r>
              <w:rPr>
                <w:rFonts w:hint="eastAsia" w:ascii="仿宋" w:hAnsi="仿宋" w:eastAsia="仿宋" w:cs="仿宋"/>
                <w:color w:val="auto"/>
                <w:sz w:val="21"/>
                <w:highlight w:val="none"/>
              </w:rPr>
              <w:t>工程量清单编制说明</w:t>
            </w:r>
          </w:p>
        </w:tc>
        <w:tc>
          <w:tcPr>
            <w:tcW w:w="7474" w:type="dxa"/>
            <w:vAlign w:val="center"/>
          </w:tcPr>
          <w:p w14:paraId="1AE09874">
            <w:pPr>
              <w:keepNext w:val="0"/>
              <w:keepLines w:val="0"/>
              <w:pageBreakBefore w:val="0"/>
              <w:kinsoku/>
              <w:wordWrap/>
              <w:overflowPunct/>
              <w:bidi w:val="0"/>
              <w:snapToGrid w:val="0"/>
              <w:spacing w:before="120" w:beforeLines="50" w:after="120" w:afterLines="50" w:line="440" w:lineRule="exact"/>
              <w:ind w:firstLine="420" w:firstLineChars="200"/>
              <w:textAlignment w:val="auto"/>
              <w:rPr>
                <w:rFonts w:hint="eastAsia" w:ascii="仿宋" w:hAnsi="仿宋" w:eastAsia="仿宋" w:cs="仿宋"/>
                <w:color w:val="auto"/>
                <w:sz w:val="22"/>
                <w:highlight w:val="none"/>
              </w:rPr>
            </w:pPr>
            <w:r>
              <w:rPr>
                <w:rFonts w:hint="eastAsia" w:ascii="仿宋" w:hAnsi="仿宋" w:eastAsia="仿宋" w:cs="仿宋"/>
                <w:color w:val="auto"/>
                <w:kern w:val="0"/>
                <w:sz w:val="21"/>
                <w:szCs w:val="21"/>
                <w:highlight w:val="none"/>
              </w:rPr>
              <w:t>/</w:t>
            </w:r>
          </w:p>
        </w:tc>
      </w:tr>
      <w:tr w14:paraId="52C84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005" w:type="dxa"/>
            <w:vAlign w:val="center"/>
          </w:tcPr>
          <w:p w14:paraId="4290CC1A">
            <w:pPr>
              <w:keepNext w:val="0"/>
              <w:keepLines w:val="0"/>
              <w:pageBreakBefore w:val="0"/>
              <w:kinsoku/>
              <w:wordWrap/>
              <w:overflowPunct/>
              <w:bidi w:val="0"/>
              <w:snapToGrid w:val="0"/>
              <w:spacing w:before="120" w:beforeLines="50" w:after="120" w:afterLines="50" w:line="440" w:lineRule="exact"/>
              <w:textAlignment w:val="auto"/>
              <w:rPr>
                <w:rFonts w:hint="eastAsia" w:ascii="仿宋" w:hAnsi="仿宋" w:eastAsia="仿宋" w:cs="仿宋"/>
                <w:color w:val="auto"/>
                <w:sz w:val="22"/>
                <w:highlight w:val="none"/>
                <w:lang w:val="en-US" w:eastAsia="zh-CN"/>
              </w:rPr>
            </w:pPr>
            <w:r>
              <w:rPr>
                <w:rFonts w:hint="eastAsia" w:ascii="仿宋" w:hAnsi="仿宋" w:eastAsia="仿宋" w:cs="仿宋"/>
                <w:color w:val="auto"/>
                <w:sz w:val="22"/>
                <w:highlight w:val="none"/>
              </w:rPr>
              <w:t>10.</w:t>
            </w:r>
            <w:r>
              <w:rPr>
                <w:rFonts w:hint="eastAsia" w:ascii="仿宋" w:hAnsi="仿宋" w:eastAsia="仿宋" w:cs="仿宋"/>
                <w:color w:val="auto"/>
                <w:sz w:val="22"/>
                <w:highlight w:val="none"/>
                <w:lang w:val="en-US" w:eastAsia="zh-CN"/>
              </w:rPr>
              <w:t>6</w:t>
            </w:r>
          </w:p>
        </w:tc>
        <w:tc>
          <w:tcPr>
            <w:tcW w:w="1573" w:type="dxa"/>
            <w:vAlign w:val="center"/>
          </w:tcPr>
          <w:p w14:paraId="47F2C6C1">
            <w:pPr>
              <w:keepNext w:val="0"/>
              <w:keepLines w:val="0"/>
              <w:pageBreakBefore w:val="0"/>
              <w:kinsoku/>
              <w:wordWrap/>
              <w:overflowPunct/>
              <w:bidi w:val="0"/>
              <w:snapToGrid w:val="0"/>
              <w:spacing w:line="440" w:lineRule="exact"/>
              <w:textAlignment w:val="auto"/>
              <w:rPr>
                <w:rFonts w:hint="eastAsia" w:ascii="仿宋" w:hAnsi="仿宋" w:eastAsia="仿宋" w:cs="仿宋"/>
                <w:color w:val="auto"/>
                <w:sz w:val="21"/>
                <w:highlight w:val="none"/>
              </w:rPr>
            </w:pPr>
            <w:r>
              <w:rPr>
                <w:rFonts w:hint="eastAsia" w:ascii="仿宋" w:hAnsi="仿宋" w:eastAsia="仿宋" w:cs="仿宋"/>
                <w:color w:val="auto"/>
                <w:sz w:val="21"/>
                <w:highlight w:val="none"/>
              </w:rPr>
              <w:t>履约担保</w:t>
            </w:r>
          </w:p>
        </w:tc>
        <w:tc>
          <w:tcPr>
            <w:tcW w:w="7474" w:type="dxa"/>
            <w:vAlign w:val="center"/>
          </w:tcPr>
          <w:p w14:paraId="4488E50F">
            <w:pPr>
              <w:keepNext w:val="0"/>
              <w:keepLines w:val="0"/>
              <w:pageBreakBefore w:val="0"/>
              <w:kinsoku/>
              <w:wordWrap/>
              <w:overflowPunct/>
              <w:bidi w:val="0"/>
              <w:snapToGrid w:val="0"/>
              <w:spacing w:line="440" w:lineRule="exact"/>
              <w:ind w:firstLine="420" w:firstLineChars="200"/>
              <w:textAlignment w:val="auto"/>
              <w:rPr>
                <w:rFonts w:hint="eastAsia" w:ascii="仿宋" w:hAnsi="仿宋" w:eastAsia="仿宋" w:cs="仿宋"/>
                <w:color w:val="auto"/>
                <w:kern w:val="0"/>
                <w:sz w:val="21"/>
                <w:szCs w:val="21"/>
                <w:highlight w:val="none"/>
                <w:lang w:val="en-US" w:eastAsia="zh-CN"/>
              </w:rPr>
            </w:pPr>
            <w:r>
              <w:rPr>
                <w:rFonts w:hint="eastAsia" w:ascii="仿宋" w:hAnsi="仿宋" w:eastAsia="仿宋" w:cs="仿宋"/>
                <w:color w:val="auto"/>
                <w:kern w:val="0"/>
                <w:sz w:val="21"/>
                <w:szCs w:val="21"/>
                <w:highlight w:val="none"/>
                <w:lang w:val="en-US" w:eastAsia="zh-CN"/>
              </w:rPr>
              <w:t>无</w:t>
            </w:r>
          </w:p>
        </w:tc>
      </w:tr>
      <w:tr w14:paraId="66685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005" w:type="dxa"/>
            <w:vAlign w:val="center"/>
          </w:tcPr>
          <w:p w14:paraId="67C2D6F8">
            <w:pPr>
              <w:keepNext w:val="0"/>
              <w:keepLines w:val="0"/>
              <w:pageBreakBefore w:val="0"/>
              <w:kinsoku/>
              <w:wordWrap/>
              <w:overflowPunct/>
              <w:bidi w:val="0"/>
              <w:snapToGrid w:val="0"/>
              <w:spacing w:before="120" w:beforeLines="50" w:after="120" w:afterLines="50" w:line="440" w:lineRule="exact"/>
              <w:textAlignment w:val="auto"/>
              <w:rPr>
                <w:rFonts w:hint="eastAsia" w:ascii="仿宋" w:hAnsi="仿宋" w:eastAsia="仿宋" w:cs="仿宋"/>
                <w:color w:val="auto"/>
                <w:sz w:val="22"/>
                <w:highlight w:val="none"/>
                <w:lang w:val="en-US" w:eastAsia="zh-CN"/>
              </w:rPr>
            </w:pPr>
            <w:r>
              <w:rPr>
                <w:rFonts w:hint="eastAsia" w:ascii="仿宋" w:hAnsi="仿宋" w:eastAsia="仿宋" w:cs="仿宋"/>
                <w:color w:val="auto"/>
                <w:sz w:val="22"/>
                <w:highlight w:val="none"/>
              </w:rPr>
              <w:t>10.</w:t>
            </w:r>
            <w:r>
              <w:rPr>
                <w:rFonts w:hint="eastAsia" w:ascii="仿宋" w:hAnsi="仿宋" w:eastAsia="仿宋" w:cs="仿宋"/>
                <w:color w:val="auto"/>
                <w:sz w:val="22"/>
                <w:highlight w:val="none"/>
                <w:lang w:val="en-US" w:eastAsia="zh-CN"/>
              </w:rPr>
              <w:t>7</w:t>
            </w:r>
          </w:p>
        </w:tc>
        <w:tc>
          <w:tcPr>
            <w:tcW w:w="1573" w:type="dxa"/>
            <w:vAlign w:val="center"/>
          </w:tcPr>
          <w:p w14:paraId="38BDCD79">
            <w:pPr>
              <w:keepNext w:val="0"/>
              <w:keepLines w:val="0"/>
              <w:pageBreakBefore w:val="0"/>
              <w:kinsoku/>
              <w:wordWrap/>
              <w:overflowPunct/>
              <w:bidi w:val="0"/>
              <w:snapToGrid w:val="0"/>
              <w:spacing w:line="440" w:lineRule="exact"/>
              <w:textAlignment w:val="auto"/>
              <w:rPr>
                <w:rFonts w:hint="eastAsia" w:ascii="仿宋" w:hAnsi="仿宋" w:eastAsia="仿宋" w:cs="仿宋"/>
                <w:color w:val="auto"/>
                <w:sz w:val="21"/>
                <w:highlight w:val="none"/>
              </w:rPr>
            </w:pPr>
            <w:r>
              <w:rPr>
                <w:rFonts w:hint="eastAsia" w:ascii="仿宋" w:hAnsi="仿宋" w:eastAsia="仿宋" w:cs="仿宋"/>
                <w:color w:val="auto"/>
                <w:sz w:val="21"/>
                <w:highlight w:val="none"/>
              </w:rPr>
              <w:t>质量保证及售后服务</w:t>
            </w:r>
          </w:p>
        </w:tc>
        <w:tc>
          <w:tcPr>
            <w:tcW w:w="7474" w:type="dxa"/>
            <w:vAlign w:val="center"/>
          </w:tcPr>
          <w:p w14:paraId="64806B94">
            <w:pPr>
              <w:keepNext w:val="0"/>
              <w:keepLines w:val="0"/>
              <w:pageBreakBefore w:val="0"/>
              <w:kinsoku/>
              <w:wordWrap/>
              <w:overflowPunct/>
              <w:bidi w:val="0"/>
              <w:snapToGrid w:val="0"/>
              <w:spacing w:line="440" w:lineRule="exact"/>
              <w:ind w:firstLine="440" w:firstLineChars="200"/>
              <w:textAlignment w:val="auto"/>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1.质量要求：符合强制性质量标准，符合国家和重庆市现行有关施工质量验收规范要求，并达到合格标准。</w:t>
            </w:r>
          </w:p>
          <w:p w14:paraId="2DABF7B1">
            <w:pPr>
              <w:keepNext w:val="0"/>
              <w:keepLines w:val="0"/>
              <w:pageBreakBefore w:val="0"/>
              <w:kinsoku/>
              <w:wordWrap/>
              <w:overflowPunct/>
              <w:bidi w:val="0"/>
              <w:snapToGrid w:val="0"/>
              <w:spacing w:line="440" w:lineRule="exact"/>
              <w:ind w:firstLine="440" w:firstLineChars="200"/>
              <w:textAlignment w:val="auto"/>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2.工程质保期需满足重庆市建设工程质量监督总站监制《重庆市建设工程质量保修书》相关要求，缺陷责任期为12个月。</w:t>
            </w:r>
          </w:p>
          <w:p w14:paraId="3949FC7F">
            <w:pPr>
              <w:keepNext w:val="0"/>
              <w:keepLines w:val="0"/>
              <w:pageBreakBefore w:val="0"/>
              <w:kinsoku/>
              <w:wordWrap/>
              <w:overflowPunct/>
              <w:bidi w:val="0"/>
              <w:snapToGrid w:val="0"/>
              <w:spacing w:line="440" w:lineRule="exact"/>
              <w:ind w:firstLine="440" w:firstLineChars="200"/>
              <w:textAlignment w:val="auto"/>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3.在缺陷责任期内，所有施工质量缺陷维修均为现场服务，由此产生的费用由投标人承担，包含在投标报价内，不再另外计费。</w:t>
            </w:r>
          </w:p>
        </w:tc>
      </w:tr>
      <w:tr w14:paraId="7B8D9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005" w:type="dxa"/>
            <w:vAlign w:val="center"/>
          </w:tcPr>
          <w:p w14:paraId="329A25E1">
            <w:pPr>
              <w:keepNext w:val="0"/>
              <w:keepLines w:val="0"/>
              <w:pageBreakBefore w:val="0"/>
              <w:kinsoku/>
              <w:wordWrap/>
              <w:overflowPunct/>
              <w:bidi w:val="0"/>
              <w:snapToGrid w:val="0"/>
              <w:spacing w:before="120" w:beforeLines="50" w:after="120" w:afterLines="50" w:line="440" w:lineRule="exact"/>
              <w:textAlignment w:val="auto"/>
              <w:rPr>
                <w:rFonts w:hint="default" w:ascii="仿宋" w:hAnsi="仿宋" w:eastAsia="仿宋" w:cs="仿宋"/>
                <w:color w:val="auto"/>
                <w:sz w:val="22"/>
                <w:highlight w:val="none"/>
                <w:lang w:val="en-US" w:eastAsia="zh-CN"/>
              </w:rPr>
            </w:pPr>
            <w:r>
              <w:rPr>
                <w:rFonts w:hint="eastAsia" w:ascii="仿宋" w:hAnsi="仿宋" w:eastAsia="仿宋" w:cs="仿宋"/>
                <w:color w:val="auto"/>
                <w:sz w:val="22"/>
                <w:highlight w:val="none"/>
                <w:lang w:val="en-US" w:eastAsia="zh-CN"/>
              </w:rPr>
              <w:t>10.8</w:t>
            </w:r>
          </w:p>
        </w:tc>
        <w:tc>
          <w:tcPr>
            <w:tcW w:w="1573" w:type="dxa"/>
            <w:vAlign w:val="center"/>
          </w:tcPr>
          <w:p w14:paraId="270C66A0">
            <w:pPr>
              <w:keepNext w:val="0"/>
              <w:keepLines w:val="0"/>
              <w:pageBreakBefore w:val="0"/>
              <w:kinsoku/>
              <w:wordWrap/>
              <w:overflowPunct/>
              <w:bidi w:val="0"/>
              <w:snapToGrid w:val="0"/>
              <w:spacing w:line="440" w:lineRule="exact"/>
              <w:textAlignment w:val="auto"/>
              <w:rPr>
                <w:rFonts w:hint="eastAsia" w:ascii="仿宋" w:hAnsi="仿宋" w:eastAsia="仿宋" w:cs="仿宋"/>
                <w:color w:val="auto"/>
                <w:sz w:val="21"/>
                <w:highlight w:val="none"/>
                <w:lang w:val="en-US" w:eastAsia="zh-CN"/>
              </w:rPr>
            </w:pPr>
            <w:r>
              <w:rPr>
                <w:rFonts w:hint="eastAsia" w:ascii="仿宋" w:hAnsi="仿宋" w:eastAsia="仿宋" w:cs="仿宋"/>
                <w:color w:val="auto"/>
                <w:sz w:val="21"/>
                <w:highlight w:val="none"/>
                <w:lang w:val="en-US" w:eastAsia="zh-CN"/>
              </w:rPr>
              <w:t>其他</w:t>
            </w:r>
          </w:p>
        </w:tc>
        <w:tc>
          <w:tcPr>
            <w:tcW w:w="7474" w:type="dxa"/>
            <w:vAlign w:val="center"/>
          </w:tcPr>
          <w:p w14:paraId="5903AF60">
            <w:pPr>
              <w:keepNext w:val="0"/>
              <w:keepLines w:val="0"/>
              <w:pageBreakBefore w:val="0"/>
              <w:kinsoku/>
              <w:wordWrap/>
              <w:overflowPunct/>
              <w:bidi w:val="0"/>
              <w:snapToGrid w:val="0"/>
              <w:spacing w:line="440" w:lineRule="exact"/>
              <w:ind w:firstLine="440" w:firstLineChars="200"/>
              <w:textAlignment w:val="auto"/>
              <w:rPr>
                <w:rFonts w:hint="eastAsia" w:ascii="仿宋" w:hAnsi="仿宋" w:eastAsia="仿宋" w:cs="仿宋"/>
                <w:color w:val="auto"/>
                <w:kern w:val="0"/>
                <w:sz w:val="22"/>
                <w:szCs w:val="22"/>
                <w:highlight w:val="none"/>
                <w:lang w:val="en-US" w:eastAsia="zh-CN"/>
              </w:rPr>
            </w:pPr>
            <w:r>
              <w:rPr>
                <w:rFonts w:hint="eastAsia" w:ascii="仿宋" w:hAnsi="仿宋" w:eastAsia="仿宋" w:cs="仿宋"/>
                <w:color w:val="auto"/>
                <w:kern w:val="0"/>
                <w:sz w:val="22"/>
                <w:szCs w:val="22"/>
                <w:highlight w:val="none"/>
                <w:lang w:eastAsia="zh-CN"/>
              </w:rPr>
              <w:t xml:space="preserve">投标人需全面配合并协助招标人，妥善处理本工程施工范围内涉及的土地权属、相邻关系以及土地侵权等相关纠纷，承担提供必要协助、协调与配合工作的责任，以保障工程建设得以顺利推进。因上述事宜产生的协调配合义务，应纳入投标人的合同责任范畴。 </w:t>
            </w:r>
          </w:p>
        </w:tc>
      </w:tr>
    </w:tbl>
    <w:p w14:paraId="5FB05462">
      <w:pPr>
        <w:snapToGrid w:val="0"/>
        <w:spacing w:before="120" w:beforeLines="50" w:after="120" w:afterLines="50" w:line="420" w:lineRule="exact"/>
        <w:ind w:firstLine="480" w:firstLineChars="200"/>
        <w:rPr>
          <w:rFonts w:hint="eastAsia" w:ascii="仿宋" w:hAnsi="仿宋" w:eastAsia="仿宋" w:cs="仿宋"/>
          <w:color w:val="auto"/>
          <w:sz w:val="24"/>
          <w:highlight w:val="none"/>
        </w:rPr>
        <w:sectPr>
          <w:type w:val="continuous"/>
          <w:pgSz w:w="11907" w:h="16839"/>
          <w:pgMar w:top="1440" w:right="1080" w:bottom="1440" w:left="1080" w:header="720" w:footer="720" w:gutter="0"/>
          <w:cols w:space="720" w:num="1"/>
          <w:titlePg/>
          <w:docGrid w:linePitch="286" w:charSpace="0"/>
        </w:sectPr>
      </w:pPr>
    </w:p>
    <w:p w14:paraId="2393C060">
      <w:pPr>
        <w:pStyle w:val="3"/>
        <w:pageBreakBefore w:val="0"/>
        <w:widowControl w:val="0"/>
        <w:kinsoku/>
        <w:wordWrap/>
        <w:overflowPunct/>
        <w:topLinePunct w:val="0"/>
        <w:bidi w:val="0"/>
        <w:spacing w:before="120" w:beforeLines="50" w:after="120" w:afterLines="50" w:line="440" w:lineRule="exact"/>
        <w:textAlignment w:val="auto"/>
        <w:rPr>
          <w:rFonts w:hint="eastAsia" w:ascii="仿宋" w:hAnsi="仿宋" w:eastAsia="仿宋" w:cs="仿宋"/>
          <w:snapToGrid w:val="0"/>
          <w:color w:val="auto"/>
          <w:sz w:val="24"/>
          <w:szCs w:val="24"/>
          <w:highlight w:val="none"/>
        </w:rPr>
      </w:pPr>
      <w:bookmarkStart w:id="145" w:name="_Toc10655"/>
      <w:bookmarkStart w:id="146" w:name="_Toc22000"/>
      <w:bookmarkStart w:id="147" w:name="_Toc22310"/>
      <w:bookmarkStart w:id="148" w:name="_Toc30599"/>
      <w:bookmarkStart w:id="149" w:name="_Toc23909"/>
      <w:bookmarkStart w:id="150" w:name="_Toc277082552"/>
      <w:bookmarkStart w:id="151" w:name="_Toc15838"/>
      <w:bookmarkStart w:id="152" w:name="_Toc32315"/>
      <w:bookmarkStart w:id="153" w:name="_Toc200513126"/>
      <w:bookmarkStart w:id="154" w:name="_Toc23077"/>
      <w:bookmarkStart w:id="155" w:name="_Toc287607746"/>
      <w:bookmarkStart w:id="156" w:name="_Toc19595"/>
      <w:bookmarkStart w:id="157" w:name="_Toc7952"/>
      <w:bookmarkStart w:id="158" w:name="_Toc224103317"/>
      <w:bookmarkStart w:id="159" w:name="_Toc21101"/>
      <w:r>
        <w:rPr>
          <w:rFonts w:hint="eastAsia" w:ascii="仿宋" w:hAnsi="仿宋" w:eastAsia="仿宋" w:cs="仿宋"/>
          <w:snapToGrid w:val="0"/>
          <w:color w:val="auto"/>
          <w:sz w:val="24"/>
          <w:szCs w:val="24"/>
          <w:highlight w:val="none"/>
        </w:rPr>
        <w:t>1.总则</w:t>
      </w:r>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p>
    <w:p w14:paraId="7647DD2B">
      <w:pPr>
        <w:pStyle w:val="3"/>
        <w:pageBreakBefore w:val="0"/>
        <w:widowControl w:val="0"/>
        <w:kinsoku/>
        <w:wordWrap/>
        <w:overflowPunct/>
        <w:topLinePunct w:val="0"/>
        <w:bidi w:val="0"/>
        <w:spacing w:before="120" w:beforeLines="50" w:after="120" w:afterLines="50" w:line="440" w:lineRule="exact"/>
        <w:textAlignment w:val="auto"/>
        <w:rPr>
          <w:rFonts w:hint="eastAsia" w:ascii="仿宋" w:hAnsi="仿宋" w:eastAsia="仿宋" w:cs="仿宋"/>
          <w:snapToGrid w:val="0"/>
          <w:color w:val="auto"/>
          <w:sz w:val="24"/>
          <w:szCs w:val="24"/>
          <w:highlight w:val="none"/>
        </w:rPr>
      </w:pPr>
      <w:bookmarkStart w:id="160" w:name="_Toc287607747"/>
      <w:bookmarkStart w:id="161" w:name="_Toc277082553"/>
      <w:bookmarkStart w:id="162" w:name="_Toc419299967"/>
      <w:bookmarkStart w:id="163" w:name="_Toc1182"/>
      <w:bookmarkStart w:id="164" w:name="_Toc32713"/>
      <w:bookmarkStart w:id="165" w:name="_Toc13223"/>
      <w:bookmarkStart w:id="166" w:name="_Toc420419668"/>
      <w:bookmarkStart w:id="167" w:name="_Toc420081832"/>
      <w:bookmarkStart w:id="168" w:name="_Toc1869"/>
      <w:bookmarkStart w:id="169" w:name="_Toc19878"/>
      <w:bookmarkStart w:id="170" w:name="_Toc224103318"/>
      <w:bookmarkStart w:id="171" w:name="_Toc18873"/>
      <w:bookmarkStart w:id="172" w:name="_Toc20571"/>
      <w:bookmarkStart w:id="173" w:name="_Toc200513127"/>
      <w:bookmarkStart w:id="174" w:name="_Toc20188"/>
      <w:bookmarkStart w:id="175" w:name="_Toc28076"/>
      <w:bookmarkStart w:id="176" w:name="_Toc6295"/>
      <w:bookmarkStart w:id="177" w:name="_Toc452136770"/>
      <w:bookmarkStart w:id="178" w:name="_Toc23952"/>
      <w:bookmarkStart w:id="179" w:name="_Toc436052138"/>
      <w:r>
        <w:rPr>
          <w:rFonts w:hint="eastAsia" w:ascii="仿宋" w:hAnsi="仿宋" w:eastAsia="仿宋" w:cs="仿宋"/>
          <w:snapToGrid w:val="0"/>
          <w:color w:val="auto"/>
          <w:sz w:val="24"/>
          <w:szCs w:val="24"/>
          <w:highlight w:val="none"/>
        </w:rPr>
        <w:t>1.1项目概况</w:t>
      </w:r>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p>
    <w:p w14:paraId="3DFCA099">
      <w:pPr>
        <w:pageBreakBefore w:val="0"/>
        <w:widowControl w:val="0"/>
        <w:kinsoku/>
        <w:wordWrap/>
        <w:overflowPunct/>
        <w:topLinePunct w:val="0"/>
        <w:autoSpaceDE w:val="0"/>
        <w:autoSpaceDN w:val="0"/>
        <w:bidi w:val="0"/>
        <w:adjustRightInd w:val="0"/>
        <w:snapToGrid w:val="0"/>
        <w:spacing w:line="440" w:lineRule="exact"/>
        <w:ind w:firstLine="440" w:firstLineChars="200"/>
        <w:jc w:val="left"/>
        <w:textAlignment w:val="auto"/>
        <w:rPr>
          <w:rFonts w:hint="eastAsia" w:ascii="仿宋" w:hAnsi="仿宋" w:eastAsia="仿宋" w:cs="仿宋"/>
          <w:snapToGrid w:val="0"/>
          <w:color w:val="auto"/>
          <w:kern w:val="0"/>
          <w:sz w:val="22"/>
          <w:highlight w:val="none"/>
        </w:rPr>
      </w:pPr>
      <w:r>
        <w:rPr>
          <w:rFonts w:hint="eastAsia" w:ascii="仿宋" w:hAnsi="仿宋" w:eastAsia="仿宋" w:cs="仿宋"/>
          <w:snapToGrid w:val="0"/>
          <w:color w:val="auto"/>
          <w:kern w:val="0"/>
          <w:sz w:val="22"/>
          <w:highlight w:val="none"/>
        </w:rPr>
        <w:t>1.1.1根据《中华人民共和国招标投标法》等有关法律、法规和规章的规定，本比选项目已具备比选条件，现对项目施工进行公开比选。</w:t>
      </w:r>
    </w:p>
    <w:p w14:paraId="1FA9EFAA">
      <w:pPr>
        <w:pageBreakBefore w:val="0"/>
        <w:widowControl w:val="0"/>
        <w:kinsoku/>
        <w:wordWrap/>
        <w:overflowPunct/>
        <w:topLinePunct w:val="0"/>
        <w:autoSpaceDE w:val="0"/>
        <w:autoSpaceDN w:val="0"/>
        <w:bidi w:val="0"/>
        <w:adjustRightInd w:val="0"/>
        <w:snapToGrid w:val="0"/>
        <w:spacing w:line="440" w:lineRule="exact"/>
        <w:ind w:firstLine="440" w:firstLineChars="200"/>
        <w:jc w:val="left"/>
        <w:textAlignment w:val="auto"/>
        <w:rPr>
          <w:rFonts w:hint="eastAsia" w:ascii="仿宋" w:hAnsi="仿宋" w:eastAsia="仿宋" w:cs="仿宋"/>
          <w:snapToGrid w:val="0"/>
          <w:color w:val="auto"/>
          <w:kern w:val="0"/>
          <w:sz w:val="22"/>
          <w:highlight w:val="none"/>
        </w:rPr>
      </w:pPr>
      <w:r>
        <w:rPr>
          <w:rFonts w:hint="eastAsia" w:ascii="仿宋" w:hAnsi="仿宋" w:eastAsia="仿宋" w:cs="仿宋"/>
          <w:snapToGrid w:val="0"/>
          <w:color w:val="auto"/>
          <w:kern w:val="0"/>
          <w:sz w:val="22"/>
          <w:highlight w:val="none"/>
        </w:rPr>
        <w:t>1.1.2本比选项目招标人：见投标人须知前附表。</w:t>
      </w:r>
    </w:p>
    <w:p w14:paraId="555C1DAE">
      <w:pPr>
        <w:pageBreakBefore w:val="0"/>
        <w:widowControl w:val="0"/>
        <w:kinsoku/>
        <w:wordWrap/>
        <w:overflowPunct/>
        <w:topLinePunct w:val="0"/>
        <w:autoSpaceDE w:val="0"/>
        <w:autoSpaceDN w:val="0"/>
        <w:bidi w:val="0"/>
        <w:adjustRightInd w:val="0"/>
        <w:snapToGrid w:val="0"/>
        <w:spacing w:line="440" w:lineRule="exact"/>
        <w:ind w:firstLine="440" w:firstLineChars="200"/>
        <w:jc w:val="left"/>
        <w:textAlignment w:val="auto"/>
        <w:rPr>
          <w:rFonts w:hint="eastAsia" w:ascii="仿宋" w:hAnsi="仿宋" w:eastAsia="仿宋" w:cs="仿宋"/>
          <w:snapToGrid w:val="0"/>
          <w:color w:val="auto"/>
          <w:kern w:val="0"/>
          <w:sz w:val="22"/>
          <w:highlight w:val="none"/>
        </w:rPr>
      </w:pPr>
      <w:r>
        <w:rPr>
          <w:rFonts w:hint="eastAsia" w:ascii="仿宋" w:hAnsi="仿宋" w:eastAsia="仿宋" w:cs="仿宋"/>
          <w:snapToGrid w:val="0"/>
          <w:color w:val="auto"/>
          <w:kern w:val="0"/>
          <w:sz w:val="22"/>
          <w:highlight w:val="none"/>
        </w:rPr>
        <w:t>1.1.3本标段比选代理机构：见投标人须知前附表。</w:t>
      </w:r>
    </w:p>
    <w:p w14:paraId="49EB7CA5">
      <w:pPr>
        <w:pageBreakBefore w:val="0"/>
        <w:widowControl w:val="0"/>
        <w:kinsoku/>
        <w:wordWrap/>
        <w:overflowPunct/>
        <w:topLinePunct w:val="0"/>
        <w:autoSpaceDE w:val="0"/>
        <w:autoSpaceDN w:val="0"/>
        <w:bidi w:val="0"/>
        <w:adjustRightInd w:val="0"/>
        <w:snapToGrid w:val="0"/>
        <w:spacing w:line="440" w:lineRule="exact"/>
        <w:ind w:firstLine="440" w:firstLineChars="200"/>
        <w:jc w:val="left"/>
        <w:textAlignment w:val="auto"/>
        <w:rPr>
          <w:rFonts w:hint="eastAsia" w:ascii="仿宋" w:hAnsi="仿宋" w:eastAsia="仿宋" w:cs="仿宋"/>
          <w:snapToGrid w:val="0"/>
          <w:color w:val="auto"/>
          <w:kern w:val="0"/>
          <w:sz w:val="22"/>
          <w:highlight w:val="none"/>
        </w:rPr>
      </w:pPr>
      <w:r>
        <w:rPr>
          <w:rFonts w:hint="eastAsia" w:ascii="仿宋" w:hAnsi="仿宋" w:eastAsia="仿宋" w:cs="仿宋"/>
          <w:snapToGrid w:val="0"/>
          <w:color w:val="auto"/>
          <w:kern w:val="0"/>
          <w:sz w:val="22"/>
          <w:highlight w:val="none"/>
        </w:rPr>
        <w:t>1.1.4本比选项目名称：见投标人须知前附表。</w:t>
      </w:r>
    </w:p>
    <w:p w14:paraId="6A199703">
      <w:pPr>
        <w:pageBreakBefore w:val="0"/>
        <w:widowControl w:val="0"/>
        <w:kinsoku/>
        <w:wordWrap/>
        <w:overflowPunct/>
        <w:topLinePunct w:val="0"/>
        <w:autoSpaceDE w:val="0"/>
        <w:autoSpaceDN w:val="0"/>
        <w:bidi w:val="0"/>
        <w:adjustRightInd w:val="0"/>
        <w:snapToGrid w:val="0"/>
        <w:spacing w:line="440" w:lineRule="exact"/>
        <w:ind w:firstLine="440" w:firstLineChars="200"/>
        <w:jc w:val="left"/>
        <w:textAlignment w:val="auto"/>
        <w:rPr>
          <w:rFonts w:hint="eastAsia" w:ascii="仿宋" w:hAnsi="仿宋" w:eastAsia="仿宋" w:cs="仿宋"/>
          <w:snapToGrid w:val="0"/>
          <w:color w:val="auto"/>
          <w:kern w:val="0"/>
          <w:sz w:val="22"/>
          <w:highlight w:val="none"/>
        </w:rPr>
      </w:pPr>
      <w:r>
        <w:rPr>
          <w:rFonts w:hint="eastAsia" w:ascii="仿宋" w:hAnsi="仿宋" w:eastAsia="仿宋" w:cs="仿宋"/>
          <w:snapToGrid w:val="0"/>
          <w:color w:val="auto"/>
          <w:kern w:val="0"/>
          <w:sz w:val="22"/>
          <w:highlight w:val="none"/>
        </w:rPr>
        <w:t>1.1.5本标段建设地点：见投标人须知前附表。</w:t>
      </w:r>
    </w:p>
    <w:p w14:paraId="72C33C75">
      <w:pPr>
        <w:pStyle w:val="3"/>
        <w:pageBreakBefore w:val="0"/>
        <w:widowControl w:val="0"/>
        <w:kinsoku/>
        <w:wordWrap/>
        <w:overflowPunct/>
        <w:topLinePunct w:val="0"/>
        <w:bidi w:val="0"/>
        <w:spacing w:before="120" w:beforeLines="50" w:after="120" w:afterLines="50" w:line="440" w:lineRule="exact"/>
        <w:textAlignment w:val="auto"/>
        <w:rPr>
          <w:rFonts w:hint="eastAsia" w:ascii="仿宋" w:hAnsi="仿宋" w:eastAsia="仿宋" w:cs="仿宋"/>
          <w:snapToGrid w:val="0"/>
          <w:color w:val="auto"/>
          <w:sz w:val="24"/>
          <w:szCs w:val="24"/>
          <w:highlight w:val="none"/>
        </w:rPr>
      </w:pPr>
      <w:bookmarkStart w:id="180" w:name="_Toc200513128"/>
      <w:bookmarkStart w:id="181" w:name="_Toc277082554"/>
      <w:bookmarkStart w:id="182" w:name="_Toc17573"/>
      <w:bookmarkStart w:id="183" w:name="_Toc419299968"/>
      <w:bookmarkStart w:id="184" w:name="_Toc14332"/>
      <w:bookmarkStart w:id="185" w:name="_Toc420419669"/>
      <w:bookmarkStart w:id="186" w:name="_Toc14872"/>
      <w:bookmarkStart w:id="187" w:name="_Toc19937"/>
      <w:bookmarkStart w:id="188" w:name="_Toc224103319"/>
      <w:bookmarkStart w:id="189" w:name="_Toc287607748"/>
      <w:bookmarkStart w:id="190" w:name="_Toc9194"/>
      <w:bookmarkStart w:id="191" w:name="_Toc14629"/>
      <w:bookmarkStart w:id="192" w:name="_Toc436052139"/>
      <w:bookmarkStart w:id="193" w:name="_Toc1723"/>
      <w:bookmarkStart w:id="194" w:name="_Toc6818"/>
      <w:bookmarkStart w:id="195" w:name="_Toc452136771"/>
      <w:bookmarkStart w:id="196" w:name="_Toc420081833"/>
      <w:bookmarkStart w:id="197" w:name="_Toc19049"/>
      <w:bookmarkStart w:id="198" w:name="_Toc2257"/>
      <w:bookmarkStart w:id="199" w:name="_Toc10013"/>
      <w:r>
        <w:rPr>
          <w:rFonts w:hint="eastAsia" w:ascii="仿宋" w:hAnsi="仿宋" w:eastAsia="仿宋" w:cs="仿宋"/>
          <w:snapToGrid w:val="0"/>
          <w:color w:val="auto"/>
          <w:sz w:val="24"/>
          <w:szCs w:val="24"/>
          <w:highlight w:val="none"/>
        </w:rPr>
        <w:t>1.2资金来源和落实情况</w:t>
      </w:r>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p>
    <w:p w14:paraId="46F343B3">
      <w:pPr>
        <w:pageBreakBefore w:val="0"/>
        <w:widowControl w:val="0"/>
        <w:kinsoku/>
        <w:wordWrap/>
        <w:overflowPunct/>
        <w:topLinePunct w:val="0"/>
        <w:autoSpaceDE w:val="0"/>
        <w:autoSpaceDN w:val="0"/>
        <w:bidi w:val="0"/>
        <w:adjustRightInd w:val="0"/>
        <w:snapToGrid w:val="0"/>
        <w:spacing w:line="440" w:lineRule="exact"/>
        <w:ind w:firstLine="440" w:firstLineChars="200"/>
        <w:jc w:val="left"/>
        <w:textAlignment w:val="auto"/>
        <w:rPr>
          <w:rFonts w:hint="eastAsia" w:ascii="仿宋" w:hAnsi="仿宋" w:eastAsia="仿宋" w:cs="仿宋"/>
          <w:snapToGrid w:val="0"/>
          <w:color w:val="auto"/>
          <w:kern w:val="0"/>
          <w:sz w:val="22"/>
          <w:highlight w:val="none"/>
        </w:rPr>
      </w:pPr>
      <w:r>
        <w:rPr>
          <w:rFonts w:hint="eastAsia" w:ascii="仿宋" w:hAnsi="仿宋" w:eastAsia="仿宋" w:cs="仿宋"/>
          <w:snapToGrid w:val="0"/>
          <w:color w:val="auto"/>
          <w:kern w:val="0"/>
          <w:sz w:val="22"/>
          <w:highlight w:val="none"/>
        </w:rPr>
        <w:t>1.2.1本比选项目的资金来源：见投标人须知前附表。</w:t>
      </w:r>
    </w:p>
    <w:p w14:paraId="7D78F2C7">
      <w:pPr>
        <w:pageBreakBefore w:val="0"/>
        <w:widowControl w:val="0"/>
        <w:kinsoku/>
        <w:wordWrap/>
        <w:overflowPunct/>
        <w:topLinePunct w:val="0"/>
        <w:autoSpaceDE w:val="0"/>
        <w:autoSpaceDN w:val="0"/>
        <w:bidi w:val="0"/>
        <w:adjustRightInd w:val="0"/>
        <w:snapToGrid w:val="0"/>
        <w:spacing w:line="440" w:lineRule="exact"/>
        <w:ind w:firstLine="440" w:firstLineChars="200"/>
        <w:jc w:val="left"/>
        <w:textAlignment w:val="auto"/>
        <w:rPr>
          <w:rFonts w:hint="eastAsia" w:ascii="仿宋" w:hAnsi="仿宋" w:eastAsia="仿宋" w:cs="仿宋"/>
          <w:snapToGrid w:val="0"/>
          <w:color w:val="auto"/>
          <w:kern w:val="0"/>
          <w:sz w:val="22"/>
          <w:highlight w:val="none"/>
        </w:rPr>
      </w:pPr>
      <w:r>
        <w:rPr>
          <w:rFonts w:hint="eastAsia" w:ascii="仿宋" w:hAnsi="仿宋" w:eastAsia="仿宋" w:cs="仿宋"/>
          <w:snapToGrid w:val="0"/>
          <w:color w:val="auto"/>
          <w:kern w:val="0"/>
          <w:sz w:val="22"/>
          <w:highlight w:val="none"/>
        </w:rPr>
        <w:t>1.2.2本比选项目的出资比例：见投标人须知前附表。</w:t>
      </w:r>
    </w:p>
    <w:p w14:paraId="2406CACF">
      <w:pPr>
        <w:pageBreakBefore w:val="0"/>
        <w:widowControl w:val="0"/>
        <w:kinsoku/>
        <w:wordWrap/>
        <w:overflowPunct/>
        <w:topLinePunct w:val="0"/>
        <w:autoSpaceDE w:val="0"/>
        <w:autoSpaceDN w:val="0"/>
        <w:bidi w:val="0"/>
        <w:adjustRightInd w:val="0"/>
        <w:snapToGrid w:val="0"/>
        <w:spacing w:line="440" w:lineRule="exact"/>
        <w:ind w:firstLine="440" w:firstLineChars="200"/>
        <w:jc w:val="left"/>
        <w:textAlignment w:val="auto"/>
        <w:rPr>
          <w:rFonts w:hint="eastAsia" w:ascii="仿宋" w:hAnsi="仿宋" w:eastAsia="仿宋" w:cs="仿宋"/>
          <w:snapToGrid w:val="0"/>
          <w:color w:val="auto"/>
          <w:kern w:val="0"/>
          <w:sz w:val="22"/>
          <w:highlight w:val="none"/>
        </w:rPr>
      </w:pPr>
      <w:r>
        <w:rPr>
          <w:rFonts w:hint="eastAsia" w:ascii="仿宋" w:hAnsi="仿宋" w:eastAsia="仿宋" w:cs="仿宋"/>
          <w:snapToGrid w:val="0"/>
          <w:color w:val="auto"/>
          <w:kern w:val="0"/>
          <w:sz w:val="22"/>
          <w:highlight w:val="none"/>
        </w:rPr>
        <w:t>1.2.3本比选项目的资金落实情况：见投标人须知前附表。</w:t>
      </w:r>
    </w:p>
    <w:p w14:paraId="339F2D42">
      <w:pPr>
        <w:pStyle w:val="3"/>
        <w:pageBreakBefore w:val="0"/>
        <w:widowControl w:val="0"/>
        <w:kinsoku/>
        <w:wordWrap/>
        <w:overflowPunct/>
        <w:topLinePunct w:val="0"/>
        <w:bidi w:val="0"/>
        <w:spacing w:before="120" w:beforeLines="50" w:after="120" w:afterLines="50" w:line="440" w:lineRule="exact"/>
        <w:textAlignment w:val="auto"/>
        <w:rPr>
          <w:rFonts w:hint="eastAsia" w:ascii="仿宋" w:hAnsi="仿宋" w:eastAsia="仿宋" w:cs="仿宋"/>
          <w:snapToGrid w:val="0"/>
          <w:color w:val="auto"/>
          <w:sz w:val="24"/>
          <w:szCs w:val="24"/>
          <w:highlight w:val="none"/>
        </w:rPr>
      </w:pPr>
      <w:bookmarkStart w:id="200" w:name="_Toc420081834"/>
      <w:bookmarkStart w:id="201" w:name="_Toc200513129"/>
      <w:bookmarkStart w:id="202" w:name="_Toc419299969"/>
      <w:bookmarkStart w:id="203" w:name="_Toc287607749"/>
      <w:bookmarkStart w:id="204" w:name="_Toc420419670"/>
      <w:bookmarkStart w:id="205" w:name="_Toc436052140"/>
      <w:bookmarkStart w:id="206" w:name="_Toc224103320"/>
      <w:bookmarkStart w:id="207" w:name="_Toc277082555"/>
      <w:bookmarkStart w:id="208" w:name="_Toc31506"/>
      <w:bookmarkStart w:id="209" w:name="_Toc452136772"/>
      <w:bookmarkStart w:id="210" w:name="_Toc27121"/>
      <w:bookmarkStart w:id="211" w:name="_Toc8216"/>
      <w:bookmarkStart w:id="212" w:name="_Toc18758"/>
      <w:bookmarkStart w:id="213" w:name="_Toc23700"/>
      <w:bookmarkStart w:id="214" w:name="_Toc14652"/>
      <w:bookmarkStart w:id="215" w:name="_Toc8638"/>
      <w:bookmarkStart w:id="216" w:name="_Toc13801"/>
      <w:bookmarkStart w:id="217" w:name="_Toc4601"/>
      <w:bookmarkStart w:id="218" w:name="_Toc30322"/>
      <w:bookmarkStart w:id="219" w:name="_Toc17363"/>
      <w:r>
        <w:rPr>
          <w:rFonts w:hint="eastAsia" w:ascii="仿宋" w:hAnsi="仿宋" w:eastAsia="仿宋" w:cs="仿宋"/>
          <w:snapToGrid w:val="0"/>
          <w:color w:val="auto"/>
          <w:sz w:val="24"/>
          <w:szCs w:val="24"/>
          <w:highlight w:val="none"/>
        </w:rPr>
        <w:t>1.3</w:t>
      </w:r>
      <w:bookmarkEnd w:id="200"/>
      <w:bookmarkEnd w:id="201"/>
      <w:bookmarkEnd w:id="202"/>
      <w:bookmarkEnd w:id="203"/>
      <w:bookmarkEnd w:id="204"/>
      <w:bookmarkEnd w:id="205"/>
      <w:bookmarkEnd w:id="206"/>
      <w:bookmarkEnd w:id="207"/>
      <w:r>
        <w:rPr>
          <w:rFonts w:hint="eastAsia" w:ascii="仿宋" w:hAnsi="仿宋" w:eastAsia="仿宋" w:cs="仿宋"/>
          <w:snapToGrid w:val="0"/>
          <w:color w:val="auto"/>
          <w:sz w:val="24"/>
          <w:szCs w:val="24"/>
          <w:highlight w:val="none"/>
        </w:rPr>
        <w:t>比选范围、</w:t>
      </w:r>
      <w:bookmarkEnd w:id="208"/>
      <w:bookmarkEnd w:id="209"/>
      <w:bookmarkEnd w:id="210"/>
      <w:bookmarkEnd w:id="211"/>
      <w:bookmarkEnd w:id="212"/>
      <w:bookmarkEnd w:id="213"/>
      <w:bookmarkEnd w:id="214"/>
      <w:bookmarkEnd w:id="215"/>
      <w:bookmarkEnd w:id="216"/>
      <w:bookmarkEnd w:id="217"/>
      <w:bookmarkEnd w:id="218"/>
      <w:bookmarkEnd w:id="219"/>
      <w:r>
        <w:rPr>
          <w:rFonts w:hint="eastAsia" w:ascii="仿宋" w:hAnsi="仿宋" w:eastAsia="仿宋" w:cs="仿宋"/>
          <w:snapToGrid w:val="0"/>
          <w:color w:val="auto"/>
          <w:sz w:val="24"/>
          <w:szCs w:val="24"/>
          <w:highlight w:val="none"/>
        </w:rPr>
        <w:t xml:space="preserve"> </w:t>
      </w:r>
    </w:p>
    <w:p w14:paraId="7C981071">
      <w:pPr>
        <w:pageBreakBefore w:val="0"/>
        <w:widowControl w:val="0"/>
        <w:kinsoku/>
        <w:wordWrap/>
        <w:overflowPunct/>
        <w:topLinePunct w:val="0"/>
        <w:autoSpaceDE w:val="0"/>
        <w:autoSpaceDN w:val="0"/>
        <w:bidi w:val="0"/>
        <w:adjustRightInd w:val="0"/>
        <w:snapToGrid w:val="0"/>
        <w:spacing w:line="440" w:lineRule="exact"/>
        <w:ind w:firstLine="440" w:firstLineChars="200"/>
        <w:jc w:val="left"/>
        <w:textAlignment w:val="auto"/>
        <w:rPr>
          <w:rFonts w:hint="eastAsia" w:ascii="仿宋" w:hAnsi="仿宋" w:eastAsia="仿宋" w:cs="仿宋"/>
          <w:snapToGrid w:val="0"/>
          <w:color w:val="auto"/>
          <w:kern w:val="0"/>
          <w:sz w:val="22"/>
          <w:highlight w:val="none"/>
        </w:rPr>
      </w:pPr>
      <w:r>
        <w:rPr>
          <w:rFonts w:hint="eastAsia" w:ascii="仿宋" w:hAnsi="仿宋" w:eastAsia="仿宋" w:cs="仿宋"/>
          <w:snapToGrid w:val="0"/>
          <w:color w:val="auto"/>
          <w:kern w:val="0"/>
          <w:sz w:val="22"/>
          <w:highlight w:val="none"/>
        </w:rPr>
        <w:t>1.3.1本次比选范围：见投标人须知前附表。</w:t>
      </w:r>
    </w:p>
    <w:p w14:paraId="70BBCC96">
      <w:pPr>
        <w:pageBreakBefore w:val="0"/>
        <w:widowControl w:val="0"/>
        <w:kinsoku/>
        <w:wordWrap/>
        <w:overflowPunct/>
        <w:topLinePunct w:val="0"/>
        <w:autoSpaceDE w:val="0"/>
        <w:autoSpaceDN w:val="0"/>
        <w:bidi w:val="0"/>
        <w:adjustRightInd w:val="0"/>
        <w:snapToGrid w:val="0"/>
        <w:spacing w:line="440" w:lineRule="exact"/>
        <w:ind w:firstLine="440" w:firstLineChars="200"/>
        <w:jc w:val="left"/>
        <w:textAlignment w:val="auto"/>
        <w:rPr>
          <w:rFonts w:hint="eastAsia" w:ascii="仿宋" w:hAnsi="仿宋" w:eastAsia="仿宋" w:cs="仿宋"/>
          <w:snapToGrid w:val="0"/>
          <w:color w:val="auto"/>
          <w:kern w:val="0"/>
          <w:sz w:val="22"/>
          <w:highlight w:val="none"/>
        </w:rPr>
      </w:pPr>
      <w:r>
        <w:rPr>
          <w:rFonts w:hint="eastAsia" w:ascii="仿宋" w:hAnsi="仿宋" w:eastAsia="仿宋" w:cs="仿宋"/>
          <w:snapToGrid w:val="0"/>
          <w:color w:val="auto"/>
          <w:kern w:val="0"/>
          <w:sz w:val="22"/>
          <w:highlight w:val="none"/>
        </w:rPr>
        <w:t>1.3.2本比选项目</w:t>
      </w:r>
      <w:r>
        <w:rPr>
          <w:rFonts w:hint="eastAsia" w:ascii="仿宋" w:hAnsi="仿宋" w:eastAsia="仿宋" w:cs="仿宋"/>
          <w:snapToGrid w:val="0"/>
          <w:color w:val="auto"/>
          <w:sz w:val="22"/>
          <w:highlight w:val="none"/>
        </w:rPr>
        <w:t>工期</w:t>
      </w:r>
      <w:r>
        <w:rPr>
          <w:rFonts w:hint="eastAsia" w:ascii="仿宋" w:hAnsi="仿宋" w:eastAsia="仿宋" w:cs="仿宋"/>
          <w:snapToGrid w:val="0"/>
          <w:color w:val="auto"/>
          <w:kern w:val="0"/>
          <w:sz w:val="22"/>
          <w:highlight w:val="none"/>
        </w:rPr>
        <w:t>：见投标人须知前附表。</w:t>
      </w:r>
    </w:p>
    <w:p w14:paraId="6FA49B56">
      <w:pPr>
        <w:pageBreakBefore w:val="0"/>
        <w:widowControl w:val="0"/>
        <w:kinsoku/>
        <w:wordWrap/>
        <w:overflowPunct/>
        <w:topLinePunct w:val="0"/>
        <w:autoSpaceDE w:val="0"/>
        <w:autoSpaceDN w:val="0"/>
        <w:bidi w:val="0"/>
        <w:adjustRightInd w:val="0"/>
        <w:snapToGrid w:val="0"/>
        <w:spacing w:line="440" w:lineRule="exact"/>
        <w:ind w:firstLine="440" w:firstLineChars="200"/>
        <w:jc w:val="left"/>
        <w:textAlignment w:val="auto"/>
        <w:rPr>
          <w:rFonts w:hint="eastAsia" w:ascii="仿宋" w:hAnsi="仿宋" w:eastAsia="仿宋" w:cs="仿宋"/>
          <w:snapToGrid w:val="0"/>
          <w:color w:val="auto"/>
          <w:kern w:val="0"/>
          <w:sz w:val="22"/>
          <w:highlight w:val="none"/>
        </w:rPr>
      </w:pPr>
      <w:r>
        <w:rPr>
          <w:rFonts w:hint="eastAsia" w:ascii="仿宋" w:hAnsi="仿宋" w:eastAsia="仿宋" w:cs="仿宋"/>
          <w:snapToGrid w:val="0"/>
          <w:color w:val="auto"/>
          <w:kern w:val="0"/>
          <w:sz w:val="22"/>
          <w:highlight w:val="none"/>
        </w:rPr>
        <w:t>1.3.3本标段的质量要求：见投标人须知前附表。</w:t>
      </w:r>
    </w:p>
    <w:p w14:paraId="18E83465">
      <w:pPr>
        <w:pStyle w:val="3"/>
        <w:pageBreakBefore w:val="0"/>
        <w:widowControl w:val="0"/>
        <w:kinsoku/>
        <w:wordWrap/>
        <w:overflowPunct/>
        <w:topLinePunct w:val="0"/>
        <w:bidi w:val="0"/>
        <w:spacing w:before="120" w:beforeLines="50" w:after="120" w:afterLines="50" w:line="440" w:lineRule="exact"/>
        <w:textAlignment w:val="auto"/>
        <w:rPr>
          <w:rFonts w:hint="eastAsia" w:ascii="仿宋" w:hAnsi="仿宋" w:eastAsia="仿宋" w:cs="仿宋"/>
          <w:snapToGrid w:val="0"/>
          <w:color w:val="auto"/>
          <w:sz w:val="24"/>
          <w:szCs w:val="24"/>
          <w:highlight w:val="none"/>
        </w:rPr>
      </w:pPr>
      <w:bookmarkStart w:id="220" w:name="_Toc3478"/>
      <w:bookmarkStart w:id="221" w:name="_Toc420081835"/>
      <w:bookmarkStart w:id="222" w:name="_Toc277082557"/>
      <w:bookmarkStart w:id="223" w:name="_Toc18714"/>
      <w:bookmarkStart w:id="224" w:name="_Toc400"/>
      <w:bookmarkStart w:id="225" w:name="_Toc287607751"/>
      <w:bookmarkStart w:id="226" w:name="_Toc19233"/>
      <w:bookmarkStart w:id="227" w:name="_Toc224103322"/>
      <w:bookmarkStart w:id="228" w:name="_Toc420419671"/>
      <w:bookmarkStart w:id="229" w:name="_Toc419299970"/>
      <w:bookmarkStart w:id="230" w:name="_Toc20034"/>
      <w:bookmarkStart w:id="231" w:name="_Toc30834"/>
      <w:bookmarkStart w:id="232" w:name="_Toc452136773"/>
      <w:bookmarkStart w:id="233" w:name="_Toc436052141"/>
      <w:bookmarkStart w:id="234" w:name="_Toc29751"/>
      <w:bookmarkStart w:id="235" w:name="_Toc1179"/>
      <w:bookmarkStart w:id="236" w:name="_Toc200513131"/>
      <w:bookmarkStart w:id="237" w:name="_Toc31696"/>
      <w:bookmarkStart w:id="238" w:name="_Toc24693"/>
      <w:bookmarkStart w:id="239" w:name="_Toc27906"/>
      <w:r>
        <w:rPr>
          <w:rFonts w:hint="eastAsia" w:ascii="仿宋" w:hAnsi="仿宋" w:eastAsia="仿宋" w:cs="仿宋"/>
          <w:snapToGrid w:val="0"/>
          <w:color w:val="auto"/>
          <w:sz w:val="24"/>
          <w:szCs w:val="24"/>
          <w:highlight w:val="none"/>
        </w:rPr>
        <w:t>1.4投标人资格要求</w:t>
      </w:r>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r>
        <w:rPr>
          <w:rFonts w:hint="eastAsia" w:ascii="仿宋" w:hAnsi="仿宋" w:eastAsia="仿宋" w:cs="仿宋"/>
          <w:snapToGrid w:val="0"/>
          <w:color w:val="auto"/>
          <w:sz w:val="24"/>
          <w:szCs w:val="24"/>
          <w:highlight w:val="none"/>
        </w:rPr>
        <w:tab/>
      </w:r>
    </w:p>
    <w:p w14:paraId="1F2ECDCD">
      <w:pPr>
        <w:pageBreakBefore w:val="0"/>
        <w:widowControl w:val="0"/>
        <w:kinsoku/>
        <w:wordWrap/>
        <w:overflowPunct/>
        <w:topLinePunct w:val="0"/>
        <w:autoSpaceDE w:val="0"/>
        <w:autoSpaceDN w:val="0"/>
        <w:bidi w:val="0"/>
        <w:adjustRightInd w:val="0"/>
        <w:snapToGrid w:val="0"/>
        <w:spacing w:line="440" w:lineRule="exact"/>
        <w:ind w:firstLine="440" w:firstLineChars="200"/>
        <w:jc w:val="left"/>
        <w:textAlignment w:val="auto"/>
        <w:rPr>
          <w:rFonts w:hint="eastAsia" w:ascii="仿宋" w:hAnsi="仿宋" w:eastAsia="仿宋" w:cs="仿宋"/>
          <w:snapToGrid w:val="0"/>
          <w:color w:val="auto"/>
          <w:kern w:val="0"/>
          <w:sz w:val="22"/>
          <w:highlight w:val="none"/>
        </w:rPr>
      </w:pPr>
      <w:r>
        <w:rPr>
          <w:rFonts w:hint="eastAsia" w:ascii="仿宋" w:hAnsi="仿宋" w:eastAsia="仿宋" w:cs="仿宋"/>
          <w:snapToGrid w:val="0"/>
          <w:color w:val="auto"/>
          <w:kern w:val="0"/>
          <w:sz w:val="22"/>
          <w:highlight w:val="none"/>
        </w:rPr>
        <w:t>1.4.1 投标人应具备承担本工程的资质条件、能力和信誉。</w:t>
      </w:r>
    </w:p>
    <w:p w14:paraId="6199F368">
      <w:pPr>
        <w:pageBreakBefore w:val="0"/>
        <w:widowControl w:val="0"/>
        <w:kinsoku/>
        <w:wordWrap/>
        <w:overflowPunct/>
        <w:topLinePunct w:val="0"/>
        <w:autoSpaceDE w:val="0"/>
        <w:autoSpaceDN w:val="0"/>
        <w:bidi w:val="0"/>
        <w:adjustRightInd w:val="0"/>
        <w:snapToGrid w:val="0"/>
        <w:spacing w:line="440" w:lineRule="exact"/>
        <w:ind w:firstLine="880" w:firstLineChars="400"/>
        <w:jc w:val="left"/>
        <w:textAlignment w:val="auto"/>
        <w:rPr>
          <w:rFonts w:hint="eastAsia" w:ascii="仿宋" w:hAnsi="仿宋" w:eastAsia="仿宋" w:cs="仿宋"/>
          <w:snapToGrid w:val="0"/>
          <w:color w:val="auto"/>
          <w:kern w:val="0"/>
          <w:sz w:val="22"/>
          <w:highlight w:val="none"/>
        </w:rPr>
      </w:pPr>
      <w:r>
        <w:rPr>
          <w:rFonts w:hint="eastAsia" w:ascii="仿宋" w:hAnsi="仿宋" w:eastAsia="仿宋" w:cs="仿宋"/>
          <w:snapToGrid w:val="0"/>
          <w:color w:val="auto"/>
          <w:kern w:val="0"/>
          <w:sz w:val="22"/>
          <w:highlight w:val="none"/>
        </w:rPr>
        <w:t>见投标人须知前附表。</w:t>
      </w:r>
    </w:p>
    <w:p w14:paraId="6A1BD6FD">
      <w:pPr>
        <w:pageBreakBefore w:val="0"/>
        <w:widowControl w:val="0"/>
        <w:kinsoku/>
        <w:wordWrap/>
        <w:overflowPunct/>
        <w:topLinePunct w:val="0"/>
        <w:autoSpaceDE w:val="0"/>
        <w:autoSpaceDN w:val="0"/>
        <w:bidi w:val="0"/>
        <w:adjustRightInd w:val="0"/>
        <w:snapToGrid w:val="0"/>
        <w:spacing w:line="440" w:lineRule="exact"/>
        <w:ind w:firstLine="440" w:firstLineChars="200"/>
        <w:jc w:val="left"/>
        <w:textAlignment w:val="auto"/>
        <w:rPr>
          <w:rFonts w:hint="eastAsia" w:ascii="仿宋" w:hAnsi="仿宋" w:eastAsia="仿宋" w:cs="仿宋"/>
          <w:snapToGrid w:val="0"/>
          <w:color w:val="auto"/>
          <w:kern w:val="0"/>
          <w:sz w:val="22"/>
          <w:highlight w:val="none"/>
        </w:rPr>
      </w:pPr>
      <w:r>
        <w:rPr>
          <w:rFonts w:hint="eastAsia" w:ascii="仿宋" w:hAnsi="仿宋" w:eastAsia="仿宋" w:cs="仿宋"/>
          <w:snapToGrid w:val="0"/>
          <w:color w:val="auto"/>
          <w:kern w:val="0"/>
          <w:sz w:val="22"/>
          <w:highlight w:val="none"/>
        </w:rPr>
        <w:t>1.4.2 投标人须知前附表规定不接受联合体投标；</w:t>
      </w:r>
    </w:p>
    <w:p w14:paraId="49138B91">
      <w:pPr>
        <w:pageBreakBefore w:val="0"/>
        <w:widowControl w:val="0"/>
        <w:kinsoku/>
        <w:wordWrap/>
        <w:overflowPunct/>
        <w:topLinePunct w:val="0"/>
        <w:autoSpaceDE w:val="0"/>
        <w:autoSpaceDN w:val="0"/>
        <w:bidi w:val="0"/>
        <w:adjustRightInd w:val="0"/>
        <w:snapToGrid w:val="0"/>
        <w:spacing w:line="440" w:lineRule="exact"/>
        <w:ind w:firstLine="440" w:firstLineChars="200"/>
        <w:jc w:val="left"/>
        <w:textAlignment w:val="auto"/>
        <w:rPr>
          <w:rFonts w:hint="eastAsia" w:ascii="仿宋" w:hAnsi="仿宋" w:eastAsia="仿宋" w:cs="仿宋"/>
          <w:snapToGrid w:val="0"/>
          <w:color w:val="auto"/>
          <w:kern w:val="0"/>
          <w:sz w:val="22"/>
          <w:highlight w:val="none"/>
        </w:rPr>
      </w:pPr>
      <w:r>
        <w:rPr>
          <w:rFonts w:hint="eastAsia" w:ascii="仿宋" w:hAnsi="仿宋" w:eastAsia="仿宋" w:cs="仿宋"/>
          <w:snapToGrid w:val="0"/>
          <w:color w:val="auto"/>
          <w:kern w:val="0"/>
          <w:sz w:val="22"/>
          <w:highlight w:val="none"/>
        </w:rPr>
        <w:t>1.4.3 投标人不得存在下列情形之一：</w:t>
      </w:r>
    </w:p>
    <w:p w14:paraId="0DDE037C">
      <w:pPr>
        <w:pageBreakBefore w:val="0"/>
        <w:widowControl w:val="0"/>
        <w:kinsoku/>
        <w:wordWrap/>
        <w:overflowPunct/>
        <w:topLinePunct w:val="0"/>
        <w:autoSpaceDE w:val="0"/>
        <w:autoSpaceDN w:val="0"/>
        <w:bidi w:val="0"/>
        <w:adjustRightInd w:val="0"/>
        <w:snapToGrid w:val="0"/>
        <w:spacing w:line="440" w:lineRule="exact"/>
        <w:ind w:firstLine="440" w:firstLineChars="200"/>
        <w:jc w:val="left"/>
        <w:textAlignment w:val="auto"/>
        <w:rPr>
          <w:rFonts w:hint="eastAsia" w:ascii="仿宋" w:hAnsi="仿宋" w:eastAsia="仿宋" w:cs="仿宋"/>
          <w:snapToGrid w:val="0"/>
          <w:color w:val="auto"/>
          <w:kern w:val="0"/>
          <w:sz w:val="22"/>
          <w:highlight w:val="none"/>
        </w:rPr>
      </w:pPr>
      <w:r>
        <w:rPr>
          <w:rFonts w:hint="eastAsia" w:ascii="仿宋" w:hAnsi="仿宋" w:eastAsia="仿宋" w:cs="仿宋"/>
          <w:snapToGrid w:val="0"/>
          <w:color w:val="auto"/>
          <w:kern w:val="0"/>
          <w:sz w:val="22"/>
          <w:highlight w:val="none"/>
        </w:rPr>
        <w:t>（1）与招标人存在利害关系可能影响比选公正性的法人、其他组织或者个人；</w:t>
      </w:r>
    </w:p>
    <w:p w14:paraId="2239CEEA">
      <w:pPr>
        <w:pageBreakBefore w:val="0"/>
        <w:widowControl w:val="0"/>
        <w:kinsoku/>
        <w:wordWrap/>
        <w:overflowPunct/>
        <w:topLinePunct w:val="0"/>
        <w:autoSpaceDE w:val="0"/>
        <w:autoSpaceDN w:val="0"/>
        <w:bidi w:val="0"/>
        <w:adjustRightInd w:val="0"/>
        <w:snapToGrid w:val="0"/>
        <w:spacing w:line="440" w:lineRule="exact"/>
        <w:ind w:firstLine="440" w:firstLineChars="200"/>
        <w:jc w:val="left"/>
        <w:textAlignment w:val="auto"/>
        <w:rPr>
          <w:rFonts w:hint="eastAsia" w:ascii="仿宋" w:hAnsi="仿宋" w:eastAsia="仿宋" w:cs="仿宋"/>
          <w:snapToGrid w:val="0"/>
          <w:color w:val="auto"/>
          <w:kern w:val="0"/>
          <w:sz w:val="22"/>
          <w:highlight w:val="none"/>
        </w:rPr>
      </w:pPr>
      <w:r>
        <w:rPr>
          <w:rFonts w:hint="eastAsia" w:ascii="仿宋" w:hAnsi="仿宋" w:eastAsia="仿宋" w:cs="仿宋"/>
          <w:snapToGrid w:val="0"/>
          <w:color w:val="auto"/>
          <w:kern w:val="0"/>
          <w:sz w:val="22"/>
          <w:highlight w:val="none"/>
        </w:rPr>
        <w:t>（</w:t>
      </w:r>
      <w:r>
        <w:rPr>
          <w:rFonts w:hint="eastAsia" w:ascii="仿宋" w:hAnsi="仿宋" w:eastAsia="仿宋" w:cs="仿宋"/>
          <w:snapToGrid w:val="0"/>
          <w:color w:val="auto"/>
          <w:kern w:val="0"/>
          <w:sz w:val="22"/>
          <w:highlight w:val="none"/>
          <w:lang w:val="en-US" w:eastAsia="zh-CN"/>
        </w:rPr>
        <w:t>2</w:t>
      </w:r>
      <w:r>
        <w:rPr>
          <w:rFonts w:hint="eastAsia" w:ascii="仿宋" w:hAnsi="仿宋" w:eastAsia="仿宋" w:cs="仿宋"/>
          <w:snapToGrid w:val="0"/>
          <w:color w:val="auto"/>
          <w:kern w:val="0"/>
          <w:sz w:val="22"/>
          <w:highlight w:val="none"/>
        </w:rPr>
        <w:t>）为本</w:t>
      </w:r>
      <w:r>
        <w:rPr>
          <w:rFonts w:hint="eastAsia" w:ascii="仿宋" w:hAnsi="仿宋" w:eastAsia="仿宋" w:cs="仿宋"/>
          <w:snapToGrid w:val="0"/>
          <w:color w:val="auto"/>
          <w:kern w:val="0"/>
          <w:sz w:val="22"/>
          <w:highlight w:val="none"/>
          <w:lang w:val="en-US" w:eastAsia="zh-CN"/>
        </w:rPr>
        <w:t>项目</w:t>
      </w:r>
      <w:r>
        <w:rPr>
          <w:rFonts w:hint="eastAsia" w:ascii="仿宋" w:hAnsi="仿宋" w:eastAsia="仿宋" w:cs="仿宋"/>
          <w:snapToGrid w:val="0"/>
          <w:color w:val="auto"/>
          <w:kern w:val="0"/>
          <w:sz w:val="22"/>
          <w:highlight w:val="none"/>
        </w:rPr>
        <w:t>提供比选代理服务的；</w:t>
      </w:r>
    </w:p>
    <w:p w14:paraId="1EC3B1CA">
      <w:pPr>
        <w:pageBreakBefore w:val="0"/>
        <w:widowControl w:val="0"/>
        <w:kinsoku/>
        <w:wordWrap/>
        <w:overflowPunct/>
        <w:topLinePunct w:val="0"/>
        <w:autoSpaceDE w:val="0"/>
        <w:autoSpaceDN w:val="0"/>
        <w:bidi w:val="0"/>
        <w:adjustRightInd w:val="0"/>
        <w:snapToGrid w:val="0"/>
        <w:spacing w:line="440" w:lineRule="exact"/>
        <w:ind w:firstLine="440" w:firstLineChars="200"/>
        <w:jc w:val="left"/>
        <w:textAlignment w:val="auto"/>
        <w:rPr>
          <w:rFonts w:hint="eastAsia" w:ascii="仿宋" w:hAnsi="仿宋" w:eastAsia="仿宋" w:cs="仿宋"/>
          <w:snapToGrid w:val="0"/>
          <w:color w:val="auto"/>
          <w:kern w:val="0"/>
          <w:sz w:val="22"/>
          <w:highlight w:val="none"/>
        </w:rPr>
      </w:pPr>
      <w:r>
        <w:rPr>
          <w:rFonts w:hint="eastAsia" w:ascii="仿宋" w:hAnsi="仿宋" w:eastAsia="仿宋" w:cs="仿宋"/>
          <w:snapToGrid w:val="0"/>
          <w:color w:val="auto"/>
          <w:kern w:val="0"/>
          <w:sz w:val="22"/>
          <w:highlight w:val="none"/>
        </w:rPr>
        <w:t>（</w:t>
      </w:r>
      <w:r>
        <w:rPr>
          <w:rFonts w:hint="eastAsia" w:ascii="仿宋" w:hAnsi="仿宋" w:eastAsia="仿宋" w:cs="仿宋"/>
          <w:snapToGrid w:val="0"/>
          <w:color w:val="auto"/>
          <w:kern w:val="0"/>
          <w:sz w:val="22"/>
          <w:highlight w:val="none"/>
          <w:lang w:val="en-US" w:eastAsia="zh-CN"/>
        </w:rPr>
        <w:t>3</w:t>
      </w:r>
      <w:r>
        <w:rPr>
          <w:rFonts w:hint="eastAsia" w:ascii="仿宋" w:hAnsi="仿宋" w:eastAsia="仿宋" w:cs="仿宋"/>
          <w:snapToGrid w:val="0"/>
          <w:color w:val="auto"/>
          <w:kern w:val="0"/>
          <w:sz w:val="22"/>
          <w:highlight w:val="none"/>
        </w:rPr>
        <w:t>）与本</w:t>
      </w:r>
      <w:r>
        <w:rPr>
          <w:rFonts w:hint="eastAsia" w:ascii="仿宋" w:hAnsi="仿宋" w:eastAsia="仿宋" w:cs="仿宋"/>
          <w:snapToGrid w:val="0"/>
          <w:color w:val="auto"/>
          <w:kern w:val="0"/>
          <w:sz w:val="22"/>
          <w:highlight w:val="none"/>
          <w:lang w:val="en-US" w:eastAsia="zh-CN"/>
        </w:rPr>
        <w:t>项目</w:t>
      </w:r>
      <w:r>
        <w:rPr>
          <w:rFonts w:hint="eastAsia" w:ascii="仿宋" w:hAnsi="仿宋" w:eastAsia="仿宋" w:cs="仿宋"/>
          <w:snapToGrid w:val="0"/>
          <w:color w:val="auto"/>
          <w:kern w:val="0"/>
          <w:sz w:val="22"/>
          <w:highlight w:val="none"/>
        </w:rPr>
        <w:t>比选代理机构同为一个法定代表人的；</w:t>
      </w:r>
    </w:p>
    <w:p w14:paraId="5488507F">
      <w:pPr>
        <w:pageBreakBefore w:val="0"/>
        <w:widowControl w:val="0"/>
        <w:kinsoku/>
        <w:wordWrap/>
        <w:overflowPunct/>
        <w:topLinePunct w:val="0"/>
        <w:autoSpaceDE w:val="0"/>
        <w:autoSpaceDN w:val="0"/>
        <w:bidi w:val="0"/>
        <w:adjustRightInd w:val="0"/>
        <w:snapToGrid w:val="0"/>
        <w:spacing w:line="440" w:lineRule="exact"/>
        <w:ind w:firstLine="440" w:firstLineChars="200"/>
        <w:jc w:val="left"/>
        <w:textAlignment w:val="auto"/>
        <w:rPr>
          <w:rFonts w:hint="eastAsia" w:ascii="仿宋" w:hAnsi="仿宋" w:eastAsia="仿宋" w:cs="仿宋"/>
          <w:snapToGrid w:val="0"/>
          <w:color w:val="auto"/>
          <w:kern w:val="0"/>
          <w:sz w:val="22"/>
          <w:highlight w:val="none"/>
        </w:rPr>
      </w:pPr>
      <w:r>
        <w:rPr>
          <w:rFonts w:hint="eastAsia" w:ascii="仿宋" w:hAnsi="仿宋" w:eastAsia="仿宋" w:cs="仿宋"/>
          <w:snapToGrid w:val="0"/>
          <w:color w:val="auto"/>
          <w:kern w:val="0"/>
          <w:sz w:val="22"/>
          <w:highlight w:val="none"/>
        </w:rPr>
        <w:t>（</w:t>
      </w:r>
      <w:r>
        <w:rPr>
          <w:rFonts w:hint="eastAsia" w:ascii="仿宋" w:hAnsi="仿宋" w:eastAsia="仿宋" w:cs="仿宋"/>
          <w:snapToGrid w:val="0"/>
          <w:color w:val="auto"/>
          <w:kern w:val="0"/>
          <w:sz w:val="22"/>
          <w:highlight w:val="none"/>
          <w:lang w:val="en-US" w:eastAsia="zh-CN"/>
        </w:rPr>
        <w:t>4</w:t>
      </w:r>
      <w:r>
        <w:rPr>
          <w:rFonts w:hint="eastAsia" w:ascii="仿宋" w:hAnsi="仿宋" w:eastAsia="仿宋" w:cs="仿宋"/>
          <w:snapToGrid w:val="0"/>
          <w:color w:val="auto"/>
          <w:kern w:val="0"/>
          <w:sz w:val="22"/>
          <w:highlight w:val="none"/>
        </w:rPr>
        <w:t>）与本</w:t>
      </w:r>
      <w:r>
        <w:rPr>
          <w:rFonts w:hint="eastAsia" w:ascii="仿宋" w:hAnsi="仿宋" w:eastAsia="仿宋" w:cs="仿宋"/>
          <w:snapToGrid w:val="0"/>
          <w:color w:val="auto"/>
          <w:kern w:val="0"/>
          <w:sz w:val="22"/>
          <w:highlight w:val="none"/>
          <w:lang w:val="en-US" w:eastAsia="zh-CN"/>
        </w:rPr>
        <w:t>项目</w:t>
      </w:r>
      <w:r>
        <w:rPr>
          <w:rFonts w:hint="eastAsia" w:ascii="仿宋" w:hAnsi="仿宋" w:eastAsia="仿宋" w:cs="仿宋"/>
          <w:snapToGrid w:val="0"/>
          <w:color w:val="auto"/>
          <w:kern w:val="0"/>
          <w:sz w:val="22"/>
          <w:highlight w:val="none"/>
        </w:rPr>
        <w:t>的</w:t>
      </w:r>
      <w:r>
        <w:rPr>
          <w:rFonts w:hint="eastAsia" w:ascii="仿宋" w:hAnsi="仿宋" w:eastAsia="仿宋" w:cs="仿宋"/>
          <w:snapToGrid w:val="0"/>
          <w:color w:val="auto"/>
          <w:kern w:val="0"/>
          <w:sz w:val="22"/>
          <w:highlight w:val="none"/>
          <w:lang w:val="en-US" w:eastAsia="zh-CN"/>
        </w:rPr>
        <w:t>招标人</w:t>
      </w:r>
      <w:r>
        <w:rPr>
          <w:rFonts w:hint="eastAsia" w:ascii="仿宋" w:hAnsi="仿宋" w:eastAsia="仿宋" w:cs="仿宋"/>
          <w:snapToGrid w:val="0"/>
          <w:color w:val="auto"/>
          <w:kern w:val="0"/>
          <w:sz w:val="22"/>
          <w:highlight w:val="none"/>
        </w:rPr>
        <w:t>或比选代理机构相互控股或参股的；</w:t>
      </w:r>
    </w:p>
    <w:p w14:paraId="0C85083C">
      <w:pPr>
        <w:pageBreakBefore w:val="0"/>
        <w:widowControl w:val="0"/>
        <w:kinsoku/>
        <w:wordWrap/>
        <w:overflowPunct/>
        <w:topLinePunct w:val="0"/>
        <w:autoSpaceDE w:val="0"/>
        <w:autoSpaceDN w:val="0"/>
        <w:bidi w:val="0"/>
        <w:adjustRightInd w:val="0"/>
        <w:snapToGrid w:val="0"/>
        <w:spacing w:line="440" w:lineRule="exact"/>
        <w:ind w:firstLine="440" w:firstLineChars="200"/>
        <w:jc w:val="left"/>
        <w:textAlignment w:val="auto"/>
        <w:rPr>
          <w:rFonts w:hint="eastAsia" w:ascii="仿宋" w:hAnsi="仿宋" w:eastAsia="仿宋" w:cs="仿宋"/>
          <w:snapToGrid w:val="0"/>
          <w:color w:val="auto"/>
          <w:kern w:val="0"/>
          <w:sz w:val="22"/>
          <w:highlight w:val="none"/>
        </w:rPr>
      </w:pPr>
      <w:r>
        <w:rPr>
          <w:rFonts w:hint="eastAsia" w:ascii="仿宋" w:hAnsi="仿宋" w:eastAsia="仿宋" w:cs="仿宋"/>
          <w:snapToGrid w:val="0"/>
          <w:color w:val="auto"/>
          <w:kern w:val="0"/>
          <w:sz w:val="22"/>
          <w:highlight w:val="none"/>
        </w:rPr>
        <w:t>（</w:t>
      </w:r>
      <w:r>
        <w:rPr>
          <w:rFonts w:hint="eastAsia" w:ascii="仿宋" w:hAnsi="仿宋" w:eastAsia="仿宋" w:cs="仿宋"/>
          <w:snapToGrid w:val="0"/>
          <w:color w:val="auto"/>
          <w:kern w:val="0"/>
          <w:sz w:val="22"/>
          <w:highlight w:val="none"/>
          <w:lang w:val="en-US" w:eastAsia="zh-CN"/>
        </w:rPr>
        <w:t>5</w:t>
      </w:r>
      <w:r>
        <w:rPr>
          <w:rFonts w:hint="eastAsia" w:ascii="仿宋" w:hAnsi="仿宋" w:eastAsia="仿宋" w:cs="仿宋"/>
          <w:snapToGrid w:val="0"/>
          <w:color w:val="auto"/>
          <w:kern w:val="0"/>
          <w:sz w:val="22"/>
          <w:highlight w:val="none"/>
        </w:rPr>
        <w:t>）与本</w:t>
      </w:r>
      <w:r>
        <w:rPr>
          <w:rFonts w:hint="eastAsia" w:ascii="仿宋" w:hAnsi="仿宋" w:eastAsia="仿宋" w:cs="仿宋"/>
          <w:snapToGrid w:val="0"/>
          <w:color w:val="auto"/>
          <w:kern w:val="0"/>
          <w:sz w:val="22"/>
          <w:highlight w:val="none"/>
          <w:lang w:val="en-US" w:eastAsia="zh-CN"/>
        </w:rPr>
        <w:t>项目</w:t>
      </w:r>
      <w:r>
        <w:rPr>
          <w:rFonts w:hint="eastAsia" w:ascii="仿宋" w:hAnsi="仿宋" w:eastAsia="仿宋" w:cs="仿宋"/>
          <w:snapToGrid w:val="0"/>
          <w:color w:val="auto"/>
          <w:kern w:val="0"/>
          <w:sz w:val="22"/>
          <w:highlight w:val="none"/>
        </w:rPr>
        <w:t>的</w:t>
      </w:r>
      <w:r>
        <w:rPr>
          <w:rFonts w:hint="eastAsia" w:ascii="仿宋" w:hAnsi="仿宋" w:eastAsia="仿宋" w:cs="仿宋"/>
          <w:snapToGrid w:val="0"/>
          <w:color w:val="auto"/>
          <w:kern w:val="0"/>
          <w:sz w:val="22"/>
          <w:highlight w:val="none"/>
          <w:lang w:val="en-US" w:eastAsia="zh-CN"/>
        </w:rPr>
        <w:t>招标人</w:t>
      </w:r>
      <w:r>
        <w:rPr>
          <w:rFonts w:hint="eastAsia" w:ascii="仿宋" w:hAnsi="仿宋" w:eastAsia="仿宋" w:cs="仿宋"/>
          <w:snapToGrid w:val="0"/>
          <w:color w:val="auto"/>
          <w:kern w:val="0"/>
          <w:sz w:val="22"/>
          <w:highlight w:val="none"/>
        </w:rPr>
        <w:t>或比选代理机构相互任职或工作的；</w:t>
      </w:r>
    </w:p>
    <w:p w14:paraId="66998F15">
      <w:pPr>
        <w:pageBreakBefore w:val="0"/>
        <w:widowControl w:val="0"/>
        <w:kinsoku/>
        <w:wordWrap/>
        <w:overflowPunct/>
        <w:topLinePunct w:val="0"/>
        <w:autoSpaceDE w:val="0"/>
        <w:autoSpaceDN w:val="0"/>
        <w:bidi w:val="0"/>
        <w:adjustRightInd w:val="0"/>
        <w:snapToGrid w:val="0"/>
        <w:spacing w:line="440" w:lineRule="exact"/>
        <w:ind w:firstLine="440" w:firstLineChars="200"/>
        <w:jc w:val="left"/>
        <w:textAlignment w:val="auto"/>
        <w:rPr>
          <w:rFonts w:hint="eastAsia" w:ascii="仿宋" w:hAnsi="仿宋" w:eastAsia="仿宋" w:cs="仿宋"/>
          <w:snapToGrid w:val="0"/>
          <w:color w:val="auto"/>
          <w:kern w:val="0"/>
          <w:sz w:val="22"/>
          <w:highlight w:val="none"/>
        </w:rPr>
      </w:pPr>
      <w:r>
        <w:rPr>
          <w:rFonts w:hint="eastAsia" w:ascii="仿宋" w:hAnsi="仿宋" w:eastAsia="仿宋" w:cs="仿宋"/>
          <w:snapToGrid w:val="0"/>
          <w:color w:val="auto"/>
          <w:kern w:val="0"/>
          <w:sz w:val="22"/>
          <w:highlight w:val="none"/>
        </w:rPr>
        <w:t>（</w:t>
      </w:r>
      <w:r>
        <w:rPr>
          <w:rFonts w:hint="eastAsia" w:ascii="仿宋" w:hAnsi="仿宋" w:eastAsia="仿宋" w:cs="仿宋"/>
          <w:snapToGrid w:val="0"/>
          <w:color w:val="auto"/>
          <w:kern w:val="0"/>
          <w:sz w:val="22"/>
          <w:highlight w:val="none"/>
          <w:lang w:val="en-US" w:eastAsia="zh-CN"/>
        </w:rPr>
        <w:t>6</w:t>
      </w:r>
      <w:r>
        <w:rPr>
          <w:rFonts w:hint="eastAsia" w:ascii="仿宋" w:hAnsi="仿宋" w:eastAsia="仿宋" w:cs="仿宋"/>
          <w:snapToGrid w:val="0"/>
          <w:color w:val="auto"/>
          <w:kern w:val="0"/>
          <w:sz w:val="22"/>
          <w:highlight w:val="none"/>
        </w:rPr>
        <w:t>）被责令停业的；</w:t>
      </w:r>
    </w:p>
    <w:p w14:paraId="2C12F5B1">
      <w:pPr>
        <w:pageBreakBefore w:val="0"/>
        <w:widowControl w:val="0"/>
        <w:kinsoku/>
        <w:wordWrap/>
        <w:overflowPunct/>
        <w:topLinePunct w:val="0"/>
        <w:autoSpaceDE w:val="0"/>
        <w:autoSpaceDN w:val="0"/>
        <w:bidi w:val="0"/>
        <w:adjustRightInd w:val="0"/>
        <w:snapToGrid w:val="0"/>
        <w:spacing w:line="440" w:lineRule="exact"/>
        <w:ind w:firstLine="440" w:firstLineChars="200"/>
        <w:jc w:val="left"/>
        <w:textAlignment w:val="auto"/>
        <w:rPr>
          <w:rFonts w:hint="eastAsia" w:ascii="仿宋" w:hAnsi="仿宋" w:eastAsia="仿宋" w:cs="仿宋"/>
          <w:snapToGrid w:val="0"/>
          <w:color w:val="auto"/>
          <w:kern w:val="0"/>
          <w:sz w:val="22"/>
          <w:highlight w:val="none"/>
        </w:rPr>
      </w:pPr>
      <w:r>
        <w:rPr>
          <w:rFonts w:hint="eastAsia" w:ascii="仿宋" w:hAnsi="仿宋" w:eastAsia="仿宋" w:cs="仿宋"/>
          <w:snapToGrid w:val="0"/>
          <w:color w:val="auto"/>
          <w:kern w:val="0"/>
          <w:sz w:val="22"/>
          <w:highlight w:val="none"/>
        </w:rPr>
        <w:t>（</w:t>
      </w:r>
      <w:r>
        <w:rPr>
          <w:rFonts w:hint="eastAsia" w:ascii="仿宋" w:hAnsi="仿宋" w:eastAsia="仿宋" w:cs="仿宋"/>
          <w:snapToGrid w:val="0"/>
          <w:color w:val="auto"/>
          <w:kern w:val="0"/>
          <w:sz w:val="22"/>
          <w:highlight w:val="none"/>
          <w:lang w:val="en-US" w:eastAsia="zh-CN"/>
        </w:rPr>
        <w:t>7</w:t>
      </w:r>
      <w:r>
        <w:rPr>
          <w:rFonts w:hint="eastAsia" w:ascii="仿宋" w:hAnsi="仿宋" w:eastAsia="仿宋" w:cs="仿宋"/>
          <w:snapToGrid w:val="0"/>
          <w:color w:val="auto"/>
          <w:kern w:val="0"/>
          <w:sz w:val="22"/>
          <w:highlight w:val="none"/>
        </w:rPr>
        <w:t>）被暂停或取消投标资格的；</w:t>
      </w:r>
    </w:p>
    <w:p w14:paraId="6E6851B4">
      <w:pPr>
        <w:pageBreakBefore w:val="0"/>
        <w:widowControl w:val="0"/>
        <w:kinsoku/>
        <w:wordWrap/>
        <w:overflowPunct/>
        <w:topLinePunct w:val="0"/>
        <w:autoSpaceDE w:val="0"/>
        <w:autoSpaceDN w:val="0"/>
        <w:bidi w:val="0"/>
        <w:adjustRightInd w:val="0"/>
        <w:snapToGrid w:val="0"/>
        <w:spacing w:line="440" w:lineRule="exact"/>
        <w:ind w:firstLine="440" w:firstLineChars="200"/>
        <w:jc w:val="left"/>
        <w:textAlignment w:val="auto"/>
        <w:rPr>
          <w:rFonts w:hint="eastAsia" w:ascii="仿宋" w:hAnsi="仿宋" w:eastAsia="仿宋" w:cs="仿宋"/>
          <w:snapToGrid w:val="0"/>
          <w:color w:val="auto"/>
          <w:kern w:val="0"/>
          <w:sz w:val="22"/>
          <w:highlight w:val="none"/>
        </w:rPr>
      </w:pPr>
      <w:r>
        <w:rPr>
          <w:rFonts w:hint="eastAsia" w:ascii="仿宋" w:hAnsi="仿宋" w:eastAsia="仿宋" w:cs="仿宋"/>
          <w:snapToGrid w:val="0"/>
          <w:color w:val="auto"/>
          <w:kern w:val="0"/>
          <w:sz w:val="22"/>
          <w:highlight w:val="none"/>
        </w:rPr>
        <w:t>（</w:t>
      </w:r>
      <w:r>
        <w:rPr>
          <w:rFonts w:hint="eastAsia" w:ascii="仿宋" w:hAnsi="仿宋" w:eastAsia="仿宋" w:cs="仿宋"/>
          <w:snapToGrid w:val="0"/>
          <w:color w:val="auto"/>
          <w:kern w:val="0"/>
          <w:sz w:val="22"/>
          <w:highlight w:val="none"/>
          <w:lang w:val="en-US" w:eastAsia="zh-CN"/>
        </w:rPr>
        <w:t>8</w:t>
      </w:r>
      <w:r>
        <w:rPr>
          <w:rFonts w:hint="eastAsia" w:ascii="仿宋" w:hAnsi="仿宋" w:eastAsia="仿宋" w:cs="仿宋"/>
          <w:snapToGrid w:val="0"/>
          <w:color w:val="auto"/>
          <w:kern w:val="0"/>
          <w:sz w:val="22"/>
          <w:highlight w:val="none"/>
        </w:rPr>
        <w:t>）财产被接管或冻结的；</w:t>
      </w:r>
    </w:p>
    <w:p w14:paraId="33134E64">
      <w:pPr>
        <w:pageBreakBefore w:val="0"/>
        <w:widowControl w:val="0"/>
        <w:kinsoku/>
        <w:wordWrap/>
        <w:overflowPunct/>
        <w:topLinePunct w:val="0"/>
        <w:autoSpaceDE w:val="0"/>
        <w:autoSpaceDN w:val="0"/>
        <w:bidi w:val="0"/>
        <w:adjustRightInd w:val="0"/>
        <w:snapToGrid w:val="0"/>
        <w:spacing w:line="440" w:lineRule="exact"/>
        <w:ind w:firstLine="440" w:firstLineChars="200"/>
        <w:jc w:val="left"/>
        <w:textAlignment w:val="auto"/>
        <w:rPr>
          <w:rFonts w:hint="eastAsia" w:ascii="仿宋" w:hAnsi="仿宋" w:eastAsia="仿宋" w:cs="仿宋"/>
          <w:snapToGrid w:val="0"/>
          <w:color w:val="auto"/>
          <w:kern w:val="0"/>
          <w:sz w:val="22"/>
          <w:highlight w:val="none"/>
        </w:rPr>
      </w:pPr>
      <w:r>
        <w:rPr>
          <w:rFonts w:hint="eastAsia" w:ascii="仿宋" w:hAnsi="仿宋" w:eastAsia="仿宋" w:cs="仿宋"/>
          <w:snapToGrid w:val="0"/>
          <w:color w:val="auto"/>
          <w:kern w:val="0"/>
          <w:sz w:val="22"/>
          <w:highlight w:val="none"/>
        </w:rPr>
        <w:t>（10）单位负责人为同一人或者存在控股、管理关系的不同单位，不得在同一标段中同时投标。</w:t>
      </w:r>
    </w:p>
    <w:p w14:paraId="06B330AB">
      <w:pPr>
        <w:pStyle w:val="3"/>
        <w:pageBreakBefore w:val="0"/>
        <w:widowControl w:val="0"/>
        <w:kinsoku/>
        <w:wordWrap/>
        <w:overflowPunct/>
        <w:topLinePunct w:val="0"/>
        <w:bidi w:val="0"/>
        <w:spacing w:before="120" w:beforeLines="50" w:after="120" w:afterLines="50" w:line="440" w:lineRule="exact"/>
        <w:textAlignment w:val="auto"/>
        <w:rPr>
          <w:rFonts w:hint="eastAsia" w:ascii="仿宋" w:hAnsi="仿宋" w:eastAsia="仿宋" w:cs="仿宋"/>
          <w:snapToGrid w:val="0"/>
          <w:color w:val="auto"/>
          <w:sz w:val="24"/>
          <w:szCs w:val="24"/>
          <w:highlight w:val="none"/>
        </w:rPr>
      </w:pPr>
      <w:bookmarkStart w:id="240" w:name="_Toc287607752"/>
      <w:bookmarkStart w:id="241" w:name="_Toc5640"/>
      <w:bookmarkStart w:id="242" w:name="_Toc200513132"/>
      <w:bookmarkStart w:id="243" w:name="_Toc436052142"/>
      <w:bookmarkStart w:id="244" w:name="_Toc224103323"/>
      <w:bookmarkStart w:id="245" w:name="_Toc2407"/>
      <w:bookmarkStart w:id="246" w:name="_Toc31553"/>
      <w:bookmarkStart w:id="247" w:name="_Toc4644"/>
      <w:bookmarkStart w:id="248" w:name="_Toc277082558"/>
      <w:bookmarkStart w:id="249" w:name="_Toc419299971"/>
      <w:bookmarkStart w:id="250" w:name="_Toc6545"/>
      <w:bookmarkStart w:id="251" w:name="_Toc420081836"/>
      <w:bookmarkStart w:id="252" w:name="_Toc452136774"/>
      <w:bookmarkStart w:id="253" w:name="_Toc10119"/>
      <w:bookmarkStart w:id="254" w:name="_Toc1657"/>
      <w:bookmarkStart w:id="255" w:name="_Toc16488"/>
      <w:bookmarkStart w:id="256" w:name="_Toc10269"/>
      <w:bookmarkStart w:id="257" w:name="_Toc30152"/>
      <w:bookmarkStart w:id="258" w:name="_Toc29160"/>
      <w:bookmarkStart w:id="259" w:name="_Toc420419672"/>
      <w:r>
        <w:rPr>
          <w:rFonts w:hint="eastAsia" w:ascii="仿宋" w:hAnsi="仿宋" w:eastAsia="仿宋" w:cs="仿宋"/>
          <w:snapToGrid w:val="0"/>
          <w:color w:val="auto"/>
          <w:sz w:val="24"/>
          <w:szCs w:val="24"/>
          <w:highlight w:val="none"/>
        </w:rPr>
        <w:t>1.5费用承担</w:t>
      </w:r>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p>
    <w:p w14:paraId="235EB789">
      <w:pPr>
        <w:pageBreakBefore w:val="0"/>
        <w:widowControl w:val="0"/>
        <w:kinsoku/>
        <w:wordWrap/>
        <w:overflowPunct/>
        <w:topLinePunct w:val="0"/>
        <w:autoSpaceDE w:val="0"/>
        <w:autoSpaceDN w:val="0"/>
        <w:bidi w:val="0"/>
        <w:adjustRightInd w:val="0"/>
        <w:snapToGrid w:val="0"/>
        <w:spacing w:line="440" w:lineRule="exact"/>
        <w:ind w:firstLine="440" w:firstLineChars="200"/>
        <w:jc w:val="left"/>
        <w:textAlignment w:val="auto"/>
        <w:rPr>
          <w:rFonts w:hint="eastAsia" w:ascii="仿宋" w:hAnsi="仿宋" w:eastAsia="仿宋" w:cs="仿宋"/>
          <w:snapToGrid w:val="0"/>
          <w:color w:val="auto"/>
          <w:kern w:val="0"/>
          <w:sz w:val="22"/>
          <w:highlight w:val="none"/>
        </w:rPr>
      </w:pPr>
      <w:r>
        <w:rPr>
          <w:rFonts w:hint="eastAsia" w:ascii="仿宋" w:hAnsi="仿宋" w:eastAsia="仿宋" w:cs="仿宋"/>
          <w:snapToGrid w:val="0"/>
          <w:color w:val="auto"/>
          <w:kern w:val="0"/>
          <w:sz w:val="22"/>
          <w:highlight w:val="none"/>
        </w:rPr>
        <w:t>投标人准备和参加投标活动发生的费用自理。</w:t>
      </w:r>
    </w:p>
    <w:p w14:paraId="03B3CB14">
      <w:pPr>
        <w:pStyle w:val="3"/>
        <w:pageBreakBefore w:val="0"/>
        <w:widowControl w:val="0"/>
        <w:kinsoku/>
        <w:wordWrap/>
        <w:overflowPunct/>
        <w:topLinePunct w:val="0"/>
        <w:bidi w:val="0"/>
        <w:spacing w:before="120" w:beforeLines="50" w:after="120" w:afterLines="50" w:line="440" w:lineRule="exact"/>
        <w:textAlignment w:val="auto"/>
        <w:rPr>
          <w:rFonts w:hint="eastAsia" w:ascii="仿宋" w:hAnsi="仿宋" w:eastAsia="仿宋" w:cs="仿宋"/>
          <w:snapToGrid w:val="0"/>
          <w:color w:val="auto"/>
          <w:sz w:val="24"/>
          <w:szCs w:val="24"/>
          <w:highlight w:val="none"/>
        </w:rPr>
      </w:pPr>
      <w:bookmarkStart w:id="260" w:name="_Toc12444"/>
      <w:bookmarkStart w:id="261" w:name="_Toc15784"/>
      <w:bookmarkStart w:id="262" w:name="_Toc420419673"/>
      <w:bookmarkStart w:id="263" w:name="_Toc420081837"/>
      <w:bookmarkStart w:id="264" w:name="_Toc7913"/>
      <w:bookmarkStart w:id="265" w:name="_Toc9449"/>
      <w:bookmarkStart w:id="266" w:name="_Toc452136775"/>
      <w:bookmarkStart w:id="267" w:name="_Toc287607753"/>
      <w:bookmarkStart w:id="268" w:name="_Toc7251"/>
      <w:bookmarkStart w:id="269" w:name="_Toc436052143"/>
      <w:bookmarkStart w:id="270" w:name="_Toc2082"/>
      <w:bookmarkStart w:id="271" w:name="_Toc200513133"/>
      <w:bookmarkStart w:id="272" w:name="_Toc9822"/>
      <w:bookmarkStart w:id="273" w:name="_Toc6804"/>
      <w:bookmarkStart w:id="274" w:name="_Toc28508"/>
      <w:bookmarkStart w:id="275" w:name="_Toc9122"/>
      <w:bookmarkStart w:id="276" w:name="_Toc224103324"/>
      <w:bookmarkStart w:id="277" w:name="_Toc3585"/>
      <w:bookmarkStart w:id="278" w:name="_Toc419299972"/>
      <w:bookmarkStart w:id="279" w:name="_Toc277082559"/>
      <w:r>
        <w:rPr>
          <w:rFonts w:hint="eastAsia" w:ascii="仿宋" w:hAnsi="仿宋" w:eastAsia="仿宋" w:cs="仿宋"/>
          <w:snapToGrid w:val="0"/>
          <w:color w:val="auto"/>
          <w:sz w:val="24"/>
          <w:szCs w:val="24"/>
          <w:highlight w:val="none"/>
        </w:rPr>
        <w:t>1.6保密</w:t>
      </w:r>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p>
    <w:p w14:paraId="23827C9C">
      <w:pPr>
        <w:pageBreakBefore w:val="0"/>
        <w:widowControl w:val="0"/>
        <w:kinsoku/>
        <w:wordWrap/>
        <w:overflowPunct/>
        <w:topLinePunct w:val="0"/>
        <w:autoSpaceDE w:val="0"/>
        <w:autoSpaceDN w:val="0"/>
        <w:bidi w:val="0"/>
        <w:adjustRightInd w:val="0"/>
        <w:snapToGrid w:val="0"/>
        <w:spacing w:line="440" w:lineRule="exact"/>
        <w:ind w:firstLine="440" w:firstLineChars="200"/>
        <w:jc w:val="left"/>
        <w:textAlignment w:val="auto"/>
        <w:rPr>
          <w:rFonts w:hint="eastAsia" w:ascii="仿宋" w:hAnsi="仿宋" w:eastAsia="仿宋" w:cs="仿宋"/>
          <w:snapToGrid w:val="0"/>
          <w:color w:val="auto"/>
          <w:kern w:val="0"/>
          <w:sz w:val="22"/>
          <w:highlight w:val="none"/>
        </w:rPr>
      </w:pPr>
      <w:r>
        <w:rPr>
          <w:rFonts w:hint="eastAsia" w:ascii="仿宋" w:hAnsi="仿宋" w:eastAsia="仿宋" w:cs="仿宋"/>
          <w:snapToGrid w:val="0"/>
          <w:color w:val="auto"/>
          <w:kern w:val="0"/>
          <w:sz w:val="22"/>
          <w:highlight w:val="none"/>
        </w:rPr>
        <w:t>参与投标活动的各方应对招标文件和投标文件中的商业和技术等秘密保密，违者应对由此造成的后果承担法律责任。</w:t>
      </w:r>
    </w:p>
    <w:p w14:paraId="5FF324F1">
      <w:pPr>
        <w:pStyle w:val="3"/>
        <w:pageBreakBefore w:val="0"/>
        <w:widowControl w:val="0"/>
        <w:kinsoku/>
        <w:wordWrap/>
        <w:overflowPunct/>
        <w:topLinePunct w:val="0"/>
        <w:bidi w:val="0"/>
        <w:spacing w:before="120" w:beforeLines="50" w:after="120" w:afterLines="50" w:line="440" w:lineRule="exact"/>
        <w:textAlignment w:val="auto"/>
        <w:rPr>
          <w:rFonts w:hint="eastAsia" w:ascii="仿宋" w:hAnsi="仿宋" w:eastAsia="仿宋" w:cs="仿宋"/>
          <w:snapToGrid w:val="0"/>
          <w:color w:val="auto"/>
          <w:sz w:val="24"/>
          <w:szCs w:val="24"/>
          <w:highlight w:val="none"/>
        </w:rPr>
      </w:pPr>
      <w:bookmarkStart w:id="280" w:name="_Toc419299973"/>
      <w:bookmarkStart w:id="281" w:name="_Toc224103325"/>
      <w:bookmarkStart w:id="282" w:name="_Toc420081838"/>
      <w:bookmarkStart w:id="283" w:name="_Toc287607754"/>
      <w:bookmarkStart w:id="284" w:name="_Toc277082560"/>
      <w:bookmarkStart w:id="285" w:name="_Toc10554"/>
      <w:bookmarkStart w:id="286" w:name="_Toc12743"/>
      <w:bookmarkStart w:id="287" w:name="_Toc29449"/>
      <w:bookmarkStart w:id="288" w:name="_Toc3767"/>
      <w:bookmarkStart w:id="289" w:name="_Toc28793"/>
      <w:bookmarkStart w:id="290" w:name="_Toc420419674"/>
      <w:bookmarkStart w:id="291" w:name="_Toc6561"/>
      <w:bookmarkStart w:id="292" w:name="_Toc452136776"/>
      <w:bookmarkStart w:id="293" w:name="_Toc13415"/>
      <w:bookmarkStart w:id="294" w:name="_Toc8807"/>
      <w:bookmarkStart w:id="295" w:name="_Toc436052144"/>
      <w:bookmarkStart w:id="296" w:name="_Toc19481"/>
      <w:bookmarkStart w:id="297" w:name="_Toc200513134"/>
      <w:bookmarkStart w:id="298" w:name="_Toc20806"/>
      <w:bookmarkStart w:id="299" w:name="_Toc10370"/>
      <w:r>
        <w:rPr>
          <w:rFonts w:hint="eastAsia" w:ascii="仿宋" w:hAnsi="仿宋" w:eastAsia="仿宋" w:cs="仿宋"/>
          <w:snapToGrid w:val="0"/>
          <w:color w:val="auto"/>
          <w:sz w:val="24"/>
          <w:szCs w:val="24"/>
          <w:highlight w:val="none"/>
        </w:rPr>
        <w:t>1.7语言文字</w:t>
      </w:r>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p>
    <w:p w14:paraId="0DDD1B34">
      <w:pPr>
        <w:pageBreakBefore w:val="0"/>
        <w:widowControl w:val="0"/>
        <w:kinsoku/>
        <w:wordWrap/>
        <w:overflowPunct/>
        <w:topLinePunct w:val="0"/>
        <w:autoSpaceDE w:val="0"/>
        <w:autoSpaceDN w:val="0"/>
        <w:bidi w:val="0"/>
        <w:adjustRightInd w:val="0"/>
        <w:snapToGrid w:val="0"/>
        <w:spacing w:line="440" w:lineRule="exact"/>
        <w:ind w:firstLine="440" w:firstLineChars="200"/>
        <w:jc w:val="left"/>
        <w:textAlignment w:val="auto"/>
        <w:rPr>
          <w:rFonts w:hint="eastAsia" w:ascii="仿宋" w:hAnsi="仿宋" w:eastAsia="仿宋" w:cs="仿宋"/>
          <w:snapToGrid w:val="0"/>
          <w:color w:val="auto"/>
          <w:kern w:val="0"/>
          <w:sz w:val="22"/>
          <w:highlight w:val="none"/>
        </w:rPr>
      </w:pPr>
      <w:r>
        <w:rPr>
          <w:rFonts w:hint="eastAsia" w:ascii="仿宋" w:hAnsi="仿宋" w:eastAsia="仿宋" w:cs="仿宋"/>
          <w:snapToGrid w:val="0"/>
          <w:color w:val="auto"/>
          <w:kern w:val="0"/>
          <w:sz w:val="22"/>
          <w:highlight w:val="none"/>
        </w:rPr>
        <w:t>除专用术语外，与比选投标有关的语言均使用中文。必要时专用术语应附有中文注释。</w:t>
      </w:r>
    </w:p>
    <w:p w14:paraId="766951B6">
      <w:pPr>
        <w:pStyle w:val="3"/>
        <w:pageBreakBefore w:val="0"/>
        <w:widowControl w:val="0"/>
        <w:kinsoku/>
        <w:wordWrap/>
        <w:overflowPunct/>
        <w:topLinePunct w:val="0"/>
        <w:bidi w:val="0"/>
        <w:spacing w:before="120" w:beforeLines="50" w:after="120" w:afterLines="50" w:line="440" w:lineRule="exact"/>
        <w:textAlignment w:val="auto"/>
        <w:rPr>
          <w:rFonts w:hint="eastAsia" w:ascii="仿宋" w:hAnsi="仿宋" w:eastAsia="仿宋" w:cs="仿宋"/>
          <w:snapToGrid w:val="0"/>
          <w:color w:val="auto"/>
          <w:sz w:val="24"/>
          <w:szCs w:val="24"/>
          <w:highlight w:val="none"/>
        </w:rPr>
      </w:pPr>
      <w:bookmarkStart w:id="300" w:name="_Toc13263"/>
      <w:bookmarkStart w:id="301" w:name="_Toc9660"/>
      <w:bookmarkStart w:id="302" w:name="_Toc5022"/>
      <w:bookmarkStart w:id="303" w:name="_Toc420081839"/>
      <w:bookmarkStart w:id="304" w:name="_Toc224103326"/>
      <w:bookmarkStart w:id="305" w:name="_Toc19378"/>
      <w:bookmarkStart w:id="306" w:name="_Toc25412"/>
      <w:bookmarkStart w:id="307" w:name="_Toc25690"/>
      <w:bookmarkStart w:id="308" w:name="_Toc436052145"/>
      <w:bookmarkStart w:id="309" w:name="_Toc19438"/>
      <w:bookmarkStart w:id="310" w:name="_Toc452136777"/>
      <w:bookmarkStart w:id="311" w:name="_Toc12939"/>
      <w:bookmarkStart w:id="312" w:name="_Toc200513135"/>
      <w:bookmarkStart w:id="313" w:name="_Toc21686"/>
      <w:bookmarkStart w:id="314" w:name="_Toc30536"/>
      <w:bookmarkStart w:id="315" w:name="_Toc419299974"/>
      <w:bookmarkStart w:id="316" w:name="_Toc287607755"/>
      <w:bookmarkStart w:id="317" w:name="_Toc7857"/>
      <w:bookmarkStart w:id="318" w:name="_Toc420419675"/>
      <w:bookmarkStart w:id="319" w:name="_Toc277082561"/>
      <w:r>
        <w:rPr>
          <w:rFonts w:hint="eastAsia" w:ascii="仿宋" w:hAnsi="仿宋" w:eastAsia="仿宋" w:cs="仿宋"/>
          <w:snapToGrid w:val="0"/>
          <w:color w:val="auto"/>
          <w:sz w:val="24"/>
          <w:szCs w:val="24"/>
          <w:highlight w:val="none"/>
        </w:rPr>
        <w:t>1.8计量单位</w:t>
      </w:r>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p>
    <w:p w14:paraId="41709952">
      <w:pPr>
        <w:pageBreakBefore w:val="0"/>
        <w:widowControl w:val="0"/>
        <w:kinsoku/>
        <w:wordWrap/>
        <w:overflowPunct/>
        <w:topLinePunct w:val="0"/>
        <w:autoSpaceDE w:val="0"/>
        <w:autoSpaceDN w:val="0"/>
        <w:bidi w:val="0"/>
        <w:adjustRightInd w:val="0"/>
        <w:snapToGrid w:val="0"/>
        <w:spacing w:line="440" w:lineRule="exact"/>
        <w:ind w:firstLine="440" w:firstLineChars="200"/>
        <w:jc w:val="left"/>
        <w:textAlignment w:val="auto"/>
        <w:rPr>
          <w:rFonts w:hint="eastAsia" w:ascii="仿宋" w:hAnsi="仿宋" w:eastAsia="仿宋" w:cs="仿宋"/>
          <w:snapToGrid w:val="0"/>
          <w:color w:val="auto"/>
          <w:kern w:val="0"/>
          <w:sz w:val="22"/>
          <w:highlight w:val="none"/>
        </w:rPr>
      </w:pPr>
      <w:r>
        <w:rPr>
          <w:rFonts w:hint="eastAsia" w:ascii="仿宋" w:hAnsi="仿宋" w:eastAsia="仿宋" w:cs="仿宋"/>
          <w:snapToGrid w:val="0"/>
          <w:color w:val="auto"/>
          <w:kern w:val="0"/>
          <w:sz w:val="22"/>
          <w:highlight w:val="none"/>
        </w:rPr>
        <w:t>所有计量均采用中华人民共和国法定计量单位。</w:t>
      </w:r>
    </w:p>
    <w:p w14:paraId="17B6AF57">
      <w:pPr>
        <w:pStyle w:val="3"/>
        <w:pageBreakBefore w:val="0"/>
        <w:widowControl w:val="0"/>
        <w:kinsoku/>
        <w:wordWrap/>
        <w:overflowPunct/>
        <w:topLinePunct w:val="0"/>
        <w:bidi w:val="0"/>
        <w:spacing w:before="120" w:beforeLines="50" w:after="120" w:afterLines="50" w:line="440" w:lineRule="exact"/>
        <w:textAlignment w:val="auto"/>
        <w:rPr>
          <w:rFonts w:hint="eastAsia" w:ascii="仿宋" w:hAnsi="仿宋" w:eastAsia="仿宋" w:cs="仿宋"/>
          <w:snapToGrid w:val="0"/>
          <w:color w:val="auto"/>
          <w:sz w:val="24"/>
          <w:szCs w:val="24"/>
          <w:highlight w:val="none"/>
        </w:rPr>
      </w:pPr>
      <w:bookmarkStart w:id="320" w:name="_Toc287607756"/>
      <w:bookmarkStart w:id="321" w:name="_Toc31387"/>
      <w:bookmarkStart w:id="322" w:name="_Toc200513136"/>
      <w:bookmarkStart w:id="323" w:name="_Toc20484"/>
      <w:bookmarkStart w:id="324" w:name="_Toc12151"/>
      <w:bookmarkStart w:id="325" w:name="_Toc27466"/>
      <w:bookmarkStart w:id="326" w:name="_Toc6884"/>
      <w:bookmarkStart w:id="327" w:name="_Toc30748"/>
      <w:bookmarkStart w:id="328" w:name="_Toc12976"/>
      <w:bookmarkStart w:id="329" w:name="_Toc436052146"/>
      <w:bookmarkStart w:id="330" w:name="_Toc10570"/>
      <w:bookmarkStart w:id="331" w:name="_Toc27381"/>
      <w:bookmarkStart w:id="332" w:name="_Toc15208"/>
      <w:bookmarkStart w:id="333" w:name="_Toc419299975"/>
      <w:bookmarkStart w:id="334" w:name="_Toc277082562"/>
      <w:bookmarkStart w:id="335" w:name="_Toc224103327"/>
      <w:bookmarkStart w:id="336" w:name="_Toc420419676"/>
      <w:bookmarkStart w:id="337" w:name="_Toc420081840"/>
      <w:bookmarkStart w:id="338" w:name="_Toc13975"/>
      <w:bookmarkStart w:id="339" w:name="_Toc452136778"/>
      <w:r>
        <w:rPr>
          <w:rFonts w:hint="eastAsia" w:ascii="仿宋" w:hAnsi="仿宋" w:eastAsia="仿宋" w:cs="仿宋"/>
          <w:snapToGrid w:val="0"/>
          <w:color w:val="auto"/>
          <w:sz w:val="24"/>
          <w:szCs w:val="24"/>
          <w:highlight w:val="none"/>
        </w:rPr>
        <w:t>1.9踏勘现场</w:t>
      </w:r>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p>
    <w:p w14:paraId="56715A32">
      <w:pPr>
        <w:pageBreakBefore w:val="0"/>
        <w:widowControl w:val="0"/>
        <w:kinsoku/>
        <w:wordWrap/>
        <w:overflowPunct/>
        <w:topLinePunct w:val="0"/>
        <w:autoSpaceDE w:val="0"/>
        <w:autoSpaceDN w:val="0"/>
        <w:bidi w:val="0"/>
        <w:adjustRightInd w:val="0"/>
        <w:snapToGrid w:val="0"/>
        <w:spacing w:line="440" w:lineRule="exact"/>
        <w:ind w:firstLine="440" w:firstLineChars="200"/>
        <w:jc w:val="left"/>
        <w:textAlignment w:val="auto"/>
        <w:rPr>
          <w:rFonts w:hint="eastAsia" w:ascii="仿宋" w:hAnsi="仿宋" w:eastAsia="仿宋" w:cs="仿宋"/>
          <w:snapToGrid w:val="0"/>
          <w:color w:val="auto"/>
          <w:kern w:val="0"/>
          <w:sz w:val="22"/>
          <w:highlight w:val="none"/>
        </w:rPr>
      </w:pPr>
      <w:r>
        <w:rPr>
          <w:rFonts w:hint="eastAsia" w:ascii="仿宋" w:hAnsi="仿宋" w:eastAsia="仿宋" w:cs="仿宋"/>
          <w:snapToGrid w:val="0"/>
          <w:color w:val="auto"/>
          <w:kern w:val="0"/>
          <w:sz w:val="22"/>
          <w:highlight w:val="none"/>
        </w:rPr>
        <w:t>1.9.1投标人自行踏勘现场。</w:t>
      </w:r>
    </w:p>
    <w:p w14:paraId="559E15D7">
      <w:pPr>
        <w:pageBreakBefore w:val="0"/>
        <w:widowControl w:val="0"/>
        <w:kinsoku/>
        <w:wordWrap/>
        <w:overflowPunct/>
        <w:topLinePunct w:val="0"/>
        <w:autoSpaceDE w:val="0"/>
        <w:autoSpaceDN w:val="0"/>
        <w:bidi w:val="0"/>
        <w:adjustRightInd w:val="0"/>
        <w:snapToGrid w:val="0"/>
        <w:spacing w:line="440" w:lineRule="exact"/>
        <w:ind w:firstLine="440" w:firstLineChars="200"/>
        <w:jc w:val="left"/>
        <w:textAlignment w:val="auto"/>
        <w:rPr>
          <w:rFonts w:hint="eastAsia" w:ascii="仿宋" w:hAnsi="仿宋" w:eastAsia="仿宋" w:cs="仿宋"/>
          <w:snapToGrid w:val="0"/>
          <w:color w:val="auto"/>
          <w:kern w:val="0"/>
          <w:sz w:val="22"/>
          <w:highlight w:val="none"/>
        </w:rPr>
      </w:pPr>
      <w:r>
        <w:rPr>
          <w:rFonts w:hint="eastAsia" w:ascii="仿宋" w:hAnsi="仿宋" w:eastAsia="仿宋" w:cs="仿宋"/>
          <w:snapToGrid w:val="0"/>
          <w:color w:val="auto"/>
          <w:kern w:val="0"/>
          <w:sz w:val="22"/>
          <w:highlight w:val="none"/>
        </w:rPr>
        <w:t>1.9.2投标人踏勘现场发生的费用自理。</w:t>
      </w:r>
    </w:p>
    <w:p w14:paraId="2CB8C59A">
      <w:pPr>
        <w:pageBreakBefore w:val="0"/>
        <w:widowControl w:val="0"/>
        <w:kinsoku/>
        <w:wordWrap/>
        <w:overflowPunct/>
        <w:topLinePunct w:val="0"/>
        <w:autoSpaceDE w:val="0"/>
        <w:autoSpaceDN w:val="0"/>
        <w:bidi w:val="0"/>
        <w:adjustRightInd w:val="0"/>
        <w:snapToGrid w:val="0"/>
        <w:spacing w:line="440" w:lineRule="exact"/>
        <w:ind w:firstLine="440" w:firstLineChars="200"/>
        <w:jc w:val="left"/>
        <w:textAlignment w:val="auto"/>
        <w:rPr>
          <w:rFonts w:hint="eastAsia" w:ascii="仿宋" w:hAnsi="仿宋" w:eastAsia="仿宋" w:cs="仿宋"/>
          <w:snapToGrid w:val="0"/>
          <w:color w:val="auto"/>
          <w:kern w:val="0"/>
          <w:sz w:val="22"/>
          <w:highlight w:val="none"/>
        </w:rPr>
      </w:pPr>
      <w:r>
        <w:rPr>
          <w:rFonts w:hint="eastAsia" w:ascii="仿宋" w:hAnsi="仿宋" w:eastAsia="仿宋" w:cs="仿宋"/>
          <w:snapToGrid w:val="0"/>
          <w:color w:val="auto"/>
          <w:kern w:val="0"/>
          <w:sz w:val="22"/>
          <w:highlight w:val="none"/>
        </w:rPr>
        <w:t>1.9.3除招标人的原因外，投标人自行负责在踏勘现场中所发生的人员伤亡和财产损失。</w:t>
      </w:r>
    </w:p>
    <w:p w14:paraId="47817F62">
      <w:pPr>
        <w:pageBreakBefore w:val="0"/>
        <w:widowControl w:val="0"/>
        <w:kinsoku/>
        <w:wordWrap/>
        <w:overflowPunct/>
        <w:topLinePunct w:val="0"/>
        <w:autoSpaceDE w:val="0"/>
        <w:autoSpaceDN w:val="0"/>
        <w:bidi w:val="0"/>
        <w:adjustRightInd w:val="0"/>
        <w:snapToGrid w:val="0"/>
        <w:spacing w:line="440" w:lineRule="exact"/>
        <w:ind w:firstLine="440" w:firstLineChars="200"/>
        <w:jc w:val="left"/>
        <w:textAlignment w:val="auto"/>
        <w:rPr>
          <w:rFonts w:hint="eastAsia" w:ascii="仿宋" w:hAnsi="仿宋" w:eastAsia="仿宋" w:cs="仿宋"/>
          <w:snapToGrid w:val="0"/>
          <w:color w:val="auto"/>
          <w:kern w:val="0"/>
          <w:sz w:val="22"/>
          <w:highlight w:val="none"/>
        </w:rPr>
      </w:pPr>
      <w:r>
        <w:rPr>
          <w:rFonts w:hint="eastAsia" w:ascii="仿宋" w:hAnsi="仿宋" w:eastAsia="仿宋" w:cs="仿宋"/>
          <w:snapToGrid w:val="0"/>
          <w:color w:val="auto"/>
          <w:kern w:val="0"/>
          <w:sz w:val="22"/>
          <w:highlight w:val="none"/>
        </w:rPr>
        <w:t>1.9.4招标人在踏勘现场中介绍的工程场地和相关的周边环境情况，供投标人在编制投标文件时参考，招标人不对投标人据此做出的判断和决策负责。</w:t>
      </w:r>
    </w:p>
    <w:p w14:paraId="4E00B5A8">
      <w:pPr>
        <w:pStyle w:val="3"/>
        <w:pageBreakBefore w:val="0"/>
        <w:widowControl w:val="0"/>
        <w:kinsoku/>
        <w:wordWrap/>
        <w:overflowPunct/>
        <w:topLinePunct w:val="0"/>
        <w:bidi w:val="0"/>
        <w:spacing w:before="120" w:beforeLines="50" w:after="120" w:afterLines="50" w:line="440" w:lineRule="exact"/>
        <w:textAlignment w:val="auto"/>
        <w:rPr>
          <w:rFonts w:hint="eastAsia" w:ascii="仿宋" w:hAnsi="仿宋" w:eastAsia="仿宋" w:cs="仿宋"/>
          <w:snapToGrid w:val="0"/>
          <w:color w:val="auto"/>
          <w:sz w:val="24"/>
          <w:szCs w:val="24"/>
          <w:highlight w:val="none"/>
        </w:rPr>
      </w:pPr>
      <w:bookmarkStart w:id="340" w:name="_Toc420081841"/>
      <w:bookmarkStart w:id="341" w:name="_Toc19734"/>
      <w:bookmarkStart w:id="342" w:name="_Toc8165"/>
      <w:bookmarkStart w:id="343" w:name="_Toc14625"/>
      <w:bookmarkStart w:id="344" w:name="_Toc15975"/>
      <w:bookmarkStart w:id="345" w:name="_Toc452136779"/>
      <w:bookmarkStart w:id="346" w:name="_Toc24159"/>
      <w:bookmarkStart w:id="347" w:name="_Toc287607757"/>
      <w:bookmarkStart w:id="348" w:name="_Toc436052147"/>
      <w:bookmarkStart w:id="349" w:name="_Toc420419677"/>
      <w:bookmarkStart w:id="350" w:name="_Toc419299976"/>
      <w:bookmarkStart w:id="351" w:name="_Toc224103328"/>
      <w:bookmarkStart w:id="352" w:name="_Toc5705"/>
      <w:bookmarkStart w:id="353" w:name="_Toc11852"/>
      <w:bookmarkStart w:id="354" w:name="_Toc28062"/>
      <w:bookmarkStart w:id="355" w:name="_Toc28383"/>
      <w:bookmarkStart w:id="356" w:name="_Toc200513137"/>
      <w:bookmarkStart w:id="357" w:name="_Toc277082563"/>
      <w:bookmarkStart w:id="358" w:name="_Toc654"/>
      <w:bookmarkStart w:id="359" w:name="_Toc10762"/>
      <w:r>
        <w:rPr>
          <w:rFonts w:hint="eastAsia" w:ascii="仿宋" w:hAnsi="仿宋" w:eastAsia="仿宋" w:cs="仿宋"/>
          <w:snapToGrid w:val="0"/>
          <w:color w:val="auto"/>
          <w:sz w:val="24"/>
          <w:szCs w:val="24"/>
          <w:highlight w:val="none"/>
        </w:rPr>
        <w:t>1.10投标预备会</w:t>
      </w:r>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p>
    <w:p w14:paraId="0C45CCD2">
      <w:pPr>
        <w:pageBreakBefore w:val="0"/>
        <w:widowControl w:val="0"/>
        <w:kinsoku/>
        <w:wordWrap/>
        <w:overflowPunct/>
        <w:topLinePunct w:val="0"/>
        <w:autoSpaceDE w:val="0"/>
        <w:autoSpaceDN w:val="0"/>
        <w:bidi w:val="0"/>
        <w:adjustRightInd w:val="0"/>
        <w:snapToGrid w:val="0"/>
        <w:spacing w:line="440" w:lineRule="exact"/>
        <w:ind w:firstLine="440" w:firstLineChars="200"/>
        <w:jc w:val="left"/>
        <w:textAlignment w:val="auto"/>
        <w:rPr>
          <w:rFonts w:hint="eastAsia" w:ascii="仿宋" w:hAnsi="仿宋" w:eastAsia="仿宋" w:cs="仿宋"/>
          <w:color w:val="auto"/>
          <w:sz w:val="24"/>
          <w:highlight w:val="none"/>
        </w:rPr>
      </w:pPr>
      <w:r>
        <w:rPr>
          <w:rFonts w:hint="eastAsia" w:ascii="仿宋" w:hAnsi="仿宋" w:eastAsia="仿宋" w:cs="仿宋"/>
          <w:snapToGrid w:val="0"/>
          <w:color w:val="auto"/>
          <w:kern w:val="0"/>
          <w:sz w:val="22"/>
          <w:highlight w:val="none"/>
        </w:rPr>
        <w:t>不召开</w:t>
      </w:r>
    </w:p>
    <w:p w14:paraId="6CCF3F25">
      <w:pPr>
        <w:pStyle w:val="3"/>
        <w:pageBreakBefore w:val="0"/>
        <w:widowControl w:val="0"/>
        <w:kinsoku/>
        <w:wordWrap/>
        <w:overflowPunct/>
        <w:topLinePunct w:val="0"/>
        <w:bidi w:val="0"/>
        <w:spacing w:before="120" w:beforeLines="50" w:after="120" w:afterLines="50" w:line="440" w:lineRule="exact"/>
        <w:textAlignment w:val="auto"/>
        <w:rPr>
          <w:rFonts w:hint="eastAsia" w:ascii="仿宋" w:hAnsi="仿宋" w:eastAsia="仿宋" w:cs="仿宋"/>
          <w:snapToGrid w:val="0"/>
          <w:color w:val="auto"/>
          <w:sz w:val="24"/>
          <w:szCs w:val="24"/>
          <w:highlight w:val="none"/>
        </w:rPr>
      </w:pPr>
      <w:bookmarkStart w:id="360" w:name="_Toc420419678"/>
      <w:bookmarkStart w:id="361" w:name="_Toc277082565"/>
      <w:bookmarkStart w:id="362" w:name="_Toc13854"/>
      <w:bookmarkStart w:id="363" w:name="_Toc436052148"/>
      <w:bookmarkStart w:id="364" w:name="_Toc16337"/>
      <w:bookmarkStart w:id="365" w:name="_Toc17170"/>
      <w:bookmarkStart w:id="366" w:name="_Toc31227"/>
      <w:bookmarkStart w:id="367" w:name="_Toc420081842"/>
      <w:bookmarkStart w:id="368" w:name="_Toc15489"/>
      <w:bookmarkStart w:id="369" w:name="_Toc22071"/>
      <w:bookmarkStart w:id="370" w:name="_Toc200513139"/>
      <w:bookmarkStart w:id="371" w:name="_Toc10472"/>
      <w:bookmarkStart w:id="372" w:name="_Toc29261"/>
      <w:bookmarkStart w:id="373" w:name="_Toc224103330"/>
      <w:bookmarkStart w:id="374" w:name="_Toc419299977"/>
      <w:bookmarkStart w:id="375" w:name="_Toc28949"/>
      <w:bookmarkStart w:id="376" w:name="_Toc4772"/>
      <w:bookmarkStart w:id="377" w:name="_Toc452136780"/>
      <w:bookmarkStart w:id="378" w:name="_Toc21666"/>
      <w:bookmarkStart w:id="379" w:name="_Toc287607759"/>
      <w:r>
        <w:rPr>
          <w:rFonts w:hint="eastAsia" w:ascii="仿宋" w:hAnsi="仿宋" w:eastAsia="仿宋" w:cs="仿宋"/>
          <w:snapToGrid w:val="0"/>
          <w:color w:val="auto"/>
          <w:sz w:val="24"/>
          <w:szCs w:val="24"/>
          <w:highlight w:val="none"/>
        </w:rPr>
        <w:t>1.11偏离</w:t>
      </w:r>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p>
    <w:p w14:paraId="65B66ABF">
      <w:pPr>
        <w:pageBreakBefore w:val="0"/>
        <w:widowControl w:val="0"/>
        <w:kinsoku/>
        <w:wordWrap/>
        <w:overflowPunct/>
        <w:topLinePunct w:val="0"/>
        <w:autoSpaceDE w:val="0"/>
        <w:autoSpaceDN w:val="0"/>
        <w:bidi w:val="0"/>
        <w:adjustRightInd w:val="0"/>
        <w:snapToGrid w:val="0"/>
        <w:spacing w:line="440" w:lineRule="exact"/>
        <w:ind w:firstLine="440" w:firstLineChars="200"/>
        <w:jc w:val="left"/>
        <w:textAlignment w:val="auto"/>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2"/>
          <w:highlight w:val="none"/>
        </w:rPr>
        <w:t>投标人须知前附表允许投标文件偏离招标文件某些要求的，偏离应当符合招标文件</w:t>
      </w:r>
      <w:r>
        <w:rPr>
          <w:rFonts w:hint="eastAsia" w:ascii="仿宋" w:hAnsi="仿宋" w:eastAsia="仿宋" w:cs="仿宋"/>
          <w:snapToGrid w:val="0"/>
          <w:color w:val="auto"/>
          <w:kern w:val="0"/>
          <w:sz w:val="24"/>
          <w:highlight w:val="none"/>
        </w:rPr>
        <w:t>规定的偏离范围和幅度。</w:t>
      </w:r>
    </w:p>
    <w:p w14:paraId="222A086A">
      <w:pPr>
        <w:pStyle w:val="3"/>
        <w:pageBreakBefore w:val="0"/>
        <w:widowControl w:val="0"/>
        <w:kinsoku/>
        <w:wordWrap/>
        <w:overflowPunct/>
        <w:topLinePunct w:val="0"/>
        <w:bidi w:val="0"/>
        <w:spacing w:before="120" w:beforeLines="50" w:after="120" w:afterLines="50" w:line="440" w:lineRule="exact"/>
        <w:textAlignment w:val="auto"/>
        <w:rPr>
          <w:rFonts w:hint="eastAsia" w:ascii="仿宋" w:hAnsi="仿宋" w:eastAsia="仿宋" w:cs="仿宋"/>
          <w:snapToGrid w:val="0"/>
          <w:color w:val="auto"/>
          <w:sz w:val="24"/>
          <w:szCs w:val="24"/>
          <w:highlight w:val="none"/>
        </w:rPr>
      </w:pPr>
      <w:bookmarkStart w:id="380" w:name="_Toc6247"/>
      <w:bookmarkStart w:id="381" w:name="_Toc23064"/>
      <w:bookmarkStart w:id="382" w:name="_Toc200513140"/>
      <w:bookmarkStart w:id="383" w:name="_Toc26745"/>
      <w:bookmarkStart w:id="384" w:name="_Toc26214"/>
      <w:bookmarkStart w:id="385" w:name="_Toc21772"/>
      <w:bookmarkStart w:id="386" w:name="_Toc3726"/>
      <w:bookmarkStart w:id="387" w:name="_Toc3527"/>
      <w:bookmarkStart w:id="388" w:name="_Toc24023"/>
      <w:bookmarkStart w:id="389" w:name="_Toc15331"/>
      <w:bookmarkStart w:id="390" w:name="_Toc287607760"/>
      <w:bookmarkStart w:id="391" w:name="_Toc224103331"/>
      <w:bookmarkStart w:id="392" w:name="_Toc1023"/>
      <w:bookmarkStart w:id="393" w:name="_Toc277082566"/>
      <w:bookmarkStart w:id="394" w:name="_Toc5529"/>
      <w:r>
        <w:rPr>
          <w:rFonts w:hint="eastAsia" w:ascii="仿宋" w:hAnsi="仿宋" w:eastAsia="仿宋" w:cs="仿宋"/>
          <w:snapToGrid w:val="0"/>
          <w:color w:val="auto"/>
          <w:sz w:val="24"/>
          <w:szCs w:val="24"/>
          <w:highlight w:val="none"/>
        </w:rPr>
        <w:t>2.</w:t>
      </w:r>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r>
        <w:rPr>
          <w:rFonts w:hint="eastAsia" w:ascii="仿宋" w:hAnsi="仿宋" w:eastAsia="仿宋" w:cs="仿宋"/>
          <w:snapToGrid w:val="0"/>
          <w:color w:val="auto"/>
          <w:sz w:val="24"/>
          <w:szCs w:val="24"/>
          <w:highlight w:val="none"/>
        </w:rPr>
        <w:t>招标文件</w:t>
      </w:r>
      <w:bookmarkEnd w:id="394"/>
    </w:p>
    <w:p w14:paraId="41919AFB">
      <w:pPr>
        <w:pStyle w:val="3"/>
        <w:pageBreakBefore w:val="0"/>
        <w:widowControl w:val="0"/>
        <w:kinsoku/>
        <w:wordWrap/>
        <w:overflowPunct/>
        <w:topLinePunct w:val="0"/>
        <w:bidi w:val="0"/>
        <w:spacing w:before="120" w:beforeLines="50" w:after="120" w:afterLines="50" w:line="440" w:lineRule="exact"/>
        <w:textAlignment w:val="auto"/>
        <w:rPr>
          <w:rFonts w:hint="eastAsia" w:ascii="仿宋" w:hAnsi="仿宋" w:eastAsia="仿宋" w:cs="仿宋"/>
          <w:snapToGrid w:val="0"/>
          <w:color w:val="auto"/>
          <w:sz w:val="24"/>
          <w:szCs w:val="24"/>
          <w:highlight w:val="none"/>
        </w:rPr>
      </w:pPr>
      <w:bookmarkStart w:id="395" w:name="_Toc27675"/>
      <w:bookmarkStart w:id="396" w:name="_Toc436052150"/>
      <w:bookmarkStart w:id="397" w:name="_Toc3771"/>
      <w:bookmarkStart w:id="398" w:name="_Toc1767"/>
      <w:bookmarkStart w:id="399" w:name="_Toc452136782"/>
      <w:bookmarkStart w:id="400" w:name="_Toc15335"/>
      <w:bookmarkStart w:id="401" w:name="_Toc224103332"/>
      <w:bookmarkStart w:id="402" w:name="_Toc4231"/>
      <w:bookmarkStart w:id="403" w:name="_Toc420419680"/>
      <w:bookmarkStart w:id="404" w:name="_Toc419299979"/>
      <w:bookmarkStart w:id="405" w:name="_Toc277082567"/>
      <w:bookmarkStart w:id="406" w:name="_Toc16613"/>
      <w:bookmarkStart w:id="407" w:name="_Toc28693"/>
      <w:bookmarkStart w:id="408" w:name="_Toc9981"/>
      <w:bookmarkStart w:id="409" w:name="_Toc24541"/>
      <w:bookmarkStart w:id="410" w:name="_Toc420081844"/>
      <w:bookmarkStart w:id="411" w:name="_Toc287607761"/>
      <w:bookmarkStart w:id="412" w:name="_Toc200513141"/>
      <w:bookmarkStart w:id="413" w:name="_Toc7692"/>
      <w:bookmarkStart w:id="414" w:name="_Toc9294"/>
      <w:r>
        <w:rPr>
          <w:rFonts w:hint="eastAsia" w:ascii="仿宋" w:hAnsi="仿宋" w:eastAsia="仿宋" w:cs="仿宋"/>
          <w:snapToGrid w:val="0"/>
          <w:color w:val="auto"/>
          <w:sz w:val="24"/>
          <w:szCs w:val="24"/>
          <w:highlight w:val="none"/>
        </w:rPr>
        <w:t>2.1招标文件的组成</w:t>
      </w:r>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p>
    <w:p w14:paraId="09F36C2C">
      <w:pPr>
        <w:pageBreakBefore w:val="0"/>
        <w:widowControl w:val="0"/>
        <w:kinsoku/>
        <w:wordWrap/>
        <w:overflowPunct/>
        <w:topLinePunct w:val="0"/>
        <w:autoSpaceDE w:val="0"/>
        <w:autoSpaceDN w:val="0"/>
        <w:bidi w:val="0"/>
        <w:adjustRightInd w:val="0"/>
        <w:snapToGrid w:val="0"/>
        <w:spacing w:line="440" w:lineRule="exact"/>
        <w:ind w:firstLine="440" w:firstLineChars="200"/>
        <w:jc w:val="left"/>
        <w:textAlignment w:val="auto"/>
        <w:rPr>
          <w:rFonts w:hint="eastAsia" w:ascii="仿宋" w:hAnsi="仿宋" w:eastAsia="仿宋" w:cs="仿宋"/>
          <w:snapToGrid w:val="0"/>
          <w:color w:val="auto"/>
          <w:kern w:val="0"/>
          <w:sz w:val="22"/>
          <w:highlight w:val="none"/>
        </w:rPr>
      </w:pPr>
      <w:r>
        <w:rPr>
          <w:rFonts w:hint="eastAsia" w:ascii="仿宋" w:hAnsi="仿宋" w:eastAsia="仿宋" w:cs="仿宋"/>
          <w:snapToGrid w:val="0"/>
          <w:color w:val="auto"/>
          <w:kern w:val="0"/>
          <w:sz w:val="22"/>
          <w:highlight w:val="none"/>
        </w:rPr>
        <w:t>本招标文件包括：</w:t>
      </w:r>
    </w:p>
    <w:p w14:paraId="5A89976B">
      <w:pPr>
        <w:pageBreakBefore w:val="0"/>
        <w:widowControl w:val="0"/>
        <w:kinsoku/>
        <w:wordWrap/>
        <w:overflowPunct/>
        <w:topLinePunct w:val="0"/>
        <w:autoSpaceDE w:val="0"/>
        <w:autoSpaceDN w:val="0"/>
        <w:bidi w:val="0"/>
        <w:adjustRightInd w:val="0"/>
        <w:snapToGrid w:val="0"/>
        <w:spacing w:line="440" w:lineRule="exact"/>
        <w:ind w:firstLine="560" w:firstLineChars="200"/>
        <w:jc w:val="left"/>
        <w:textAlignment w:val="auto"/>
        <w:rPr>
          <w:rFonts w:hint="eastAsia" w:ascii="仿宋" w:hAnsi="仿宋" w:eastAsia="仿宋" w:cs="仿宋"/>
          <w:snapToGrid w:val="0"/>
          <w:color w:val="auto"/>
          <w:kern w:val="0"/>
          <w:sz w:val="22"/>
          <w:highlight w:val="none"/>
        </w:rPr>
      </w:pPr>
      <w:r>
        <w:rPr>
          <w:color w:val="auto"/>
          <w:highlight w:val="none"/>
        </w:rPr>
        <w:fldChar w:fldCharType="begin"/>
      </w:r>
      <w:r>
        <w:rPr>
          <w:color w:val="auto"/>
          <w:highlight w:val="none"/>
        </w:rPr>
        <w:instrText xml:space="preserve"> HYPERLINK \l "_Toc18199" </w:instrText>
      </w:r>
      <w:r>
        <w:rPr>
          <w:color w:val="auto"/>
          <w:highlight w:val="none"/>
        </w:rPr>
        <w:fldChar w:fldCharType="separate"/>
      </w:r>
      <w:r>
        <w:rPr>
          <w:rFonts w:hint="eastAsia" w:ascii="仿宋" w:hAnsi="仿宋" w:eastAsia="仿宋" w:cs="仿宋"/>
          <w:snapToGrid w:val="0"/>
          <w:color w:val="auto"/>
          <w:kern w:val="0"/>
          <w:sz w:val="22"/>
          <w:highlight w:val="none"/>
        </w:rPr>
        <w:t>（1）招标公告</w:t>
      </w:r>
      <w:r>
        <w:rPr>
          <w:rFonts w:hint="eastAsia" w:ascii="仿宋" w:hAnsi="仿宋" w:eastAsia="仿宋" w:cs="仿宋"/>
          <w:snapToGrid w:val="0"/>
          <w:color w:val="auto"/>
          <w:kern w:val="0"/>
          <w:sz w:val="22"/>
          <w:highlight w:val="none"/>
        </w:rPr>
        <w:fldChar w:fldCharType="end"/>
      </w:r>
    </w:p>
    <w:p w14:paraId="6B82CFFE">
      <w:pPr>
        <w:pageBreakBefore w:val="0"/>
        <w:widowControl w:val="0"/>
        <w:kinsoku/>
        <w:wordWrap/>
        <w:overflowPunct/>
        <w:topLinePunct w:val="0"/>
        <w:autoSpaceDE w:val="0"/>
        <w:autoSpaceDN w:val="0"/>
        <w:bidi w:val="0"/>
        <w:adjustRightInd w:val="0"/>
        <w:snapToGrid w:val="0"/>
        <w:spacing w:line="440" w:lineRule="exact"/>
        <w:ind w:firstLine="560" w:firstLineChars="200"/>
        <w:jc w:val="left"/>
        <w:textAlignment w:val="auto"/>
        <w:rPr>
          <w:rFonts w:hint="eastAsia" w:ascii="仿宋" w:hAnsi="仿宋" w:eastAsia="仿宋" w:cs="仿宋"/>
          <w:snapToGrid w:val="0"/>
          <w:color w:val="auto"/>
          <w:kern w:val="0"/>
          <w:sz w:val="22"/>
          <w:highlight w:val="none"/>
        </w:rPr>
      </w:pPr>
      <w:r>
        <w:rPr>
          <w:color w:val="auto"/>
          <w:highlight w:val="none"/>
        </w:rPr>
        <w:fldChar w:fldCharType="begin"/>
      </w:r>
      <w:r>
        <w:rPr>
          <w:color w:val="auto"/>
          <w:highlight w:val="none"/>
        </w:rPr>
        <w:instrText xml:space="preserve"> HYPERLINK \l "_Toc11088" </w:instrText>
      </w:r>
      <w:r>
        <w:rPr>
          <w:color w:val="auto"/>
          <w:highlight w:val="none"/>
        </w:rPr>
        <w:fldChar w:fldCharType="separate"/>
      </w:r>
      <w:r>
        <w:rPr>
          <w:rFonts w:hint="eastAsia" w:ascii="仿宋" w:hAnsi="仿宋" w:eastAsia="仿宋" w:cs="仿宋"/>
          <w:snapToGrid w:val="0"/>
          <w:color w:val="auto"/>
          <w:kern w:val="0"/>
          <w:sz w:val="22"/>
          <w:highlight w:val="none"/>
        </w:rPr>
        <w:t>（2）投标人须知</w:t>
      </w:r>
      <w:r>
        <w:rPr>
          <w:rFonts w:hint="eastAsia" w:ascii="仿宋" w:hAnsi="仿宋" w:eastAsia="仿宋" w:cs="仿宋"/>
          <w:snapToGrid w:val="0"/>
          <w:color w:val="auto"/>
          <w:kern w:val="0"/>
          <w:sz w:val="22"/>
          <w:highlight w:val="none"/>
        </w:rPr>
        <w:fldChar w:fldCharType="end"/>
      </w:r>
    </w:p>
    <w:p w14:paraId="1472213D">
      <w:pPr>
        <w:pageBreakBefore w:val="0"/>
        <w:widowControl w:val="0"/>
        <w:kinsoku/>
        <w:wordWrap/>
        <w:overflowPunct/>
        <w:topLinePunct w:val="0"/>
        <w:autoSpaceDE w:val="0"/>
        <w:autoSpaceDN w:val="0"/>
        <w:bidi w:val="0"/>
        <w:adjustRightInd w:val="0"/>
        <w:snapToGrid w:val="0"/>
        <w:spacing w:line="440" w:lineRule="exact"/>
        <w:ind w:firstLine="440" w:firstLineChars="200"/>
        <w:jc w:val="left"/>
        <w:textAlignment w:val="auto"/>
        <w:rPr>
          <w:rFonts w:hint="eastAsia" w:ascii="仿宋" w:hAnsi="仿宋" w:eastAsia="仿宋" w:cs="仿宋"/>
          <w:snapToGrid w:val="0"/>
          <w:color w:val="auto"/>
          <w:kern w:val="0"/>
          <w:sz w:val="22"/>
          <w:highlight w:val="none"/>
        </w:rPr>
      </w:pPr>
      <w:r>
        <w:rPr>
          <w:rFonts w:hint="eastAsia" w:ascii="仿宋" w:hAnsi="仿宋" w:eastAsia="仿宋" w:cs="仿宋"/>
          <w:snapToGrid w:val="0"/>
          <w:color w:val="auto"/>
          <w:kern w:val="0"/>
          <w:sz w:val="22"/>
          <w:highlight w:val="none"/>
        </w:rPr>
        <w:t>（3）评标办法（综合评标法）</w:t>
      </w:r>
    </w:p>
    <w:p w14:paraId="7971CC3E">
      <w:pPr>
        <w:pageBreakBefore w:val="0"/>
        <w:widowControl w:val="0"/>
        <w:kinsoku/>
        <w:wordWrap/>
        <w:overflowPunct/>
        <w:topLinePunct w:val="0"/>
        <w:autoSpaceDE w:val="0"/>
        <w:autoSpaceDN w:val="0"/>
        <w:bidi w:val="0"/>
        <w:adjustRightInd w:val="0"/>
        <w:snapToGrid w:val="0"/>
        <w:spacing w:line="440" w:lineRule="exact"/>
        <w:ind w:firstLine="560" w:firstLineChars="200"/>
        <w:jc w:val="left"/>
        <w:textAlignment w:val="auto"/>
        <w:rPr>
          <w:rFonts w:hint="eastAsia" w:ascii="仿宋" w:hAnsi="仿宋" w:eastAsia="仿宋" w:cs="仿宋"/>
          <w:snapToGrid w:val="0"/>
          <w:color w:val="auto"/>
          <w:kern w:val="0"/>
          <w:sz w:val="22"/>
          <w:highlight w:val="none"/>
        </w:rPr>
      </w:pPr>
      <w:r>
        <w:rPr>
          <w:color w:val="auto"/>
          <w:highlight w:val="none"/>
        </w:rPr>
        <w:fldChar w:fldCharType="begin"/>
      </w:r>
      <w:r>
        <w:rPr>
          <w:color w:val="auto"/>
          <w:highlight w:val="none"/>
        </w:rPr>
        <w:instrText xml:space="preserve"> HYPERLINK \l "_Toc32251" </w:instrText>
      </w:r>
      <w:r>
        <w:rPr>
          <w:color w:val="auto"/>
          <w:highlight w:val="none"/>
        </w:rPr>
        <w:fldChar w:fldCharType="separate"/>
      </w:r>
      <w:r>
        <w:rPr>
          <w:rFonts w:hint="eastAsia" w:ascii="仿宋" w:hAnsi="仿宋" w:eastAsia="仿宋" w:cs="仿宋"/>
          <w:snapToGrid w:val="0"/>
          <w:color w:val="auto"/>
          <w:kern w:val="0"/>
          <w:sz w:val="22"/>
          <w:highlight w:val="none"/>
        </w:rPr>
        <w:t>（4）合同条款及格式</w:t>
      </w:r>
      <w:r>
        <w:rPr>
          <w:rFonts w:hint="eastAsia" w:ascii="仿宋" w:hAnsi="仿宋" w:eastAsia="仿宋" w:cs="仿宋"/>
          <w:snapToGrid w:val="0"/>
          <w:color w:val="auto"/>
          <w:kern w:val="0"/>
          <w:sz w:val="22"/>
          <w:highlight w:val="none"/>
        </w:rPr>
        <w:fldChar w:fldCharType="end"/>
      </w:r>
    </w:p>
    <w:p w14:paraId="1DB55160">
      <w:pPr>
        <w:pageBreakBefore w:val="0"/>
        <w:widowControl w:val="0"/>
        <w:kinsoku/>
        <w:wordWrap/>
        <w:overflowPunct/>
        <w:topLinePunct w:val="0"/>
        <w:autoSpaceDE w:val="0"/>
        <w:autoSpaceDN w:val="0"/>
        <w:bidi w:val="0"/>
        <w:adjustRightInd w:val="0"/>
        <w:snapToGrid w:val="0"/>
        <w:spacing w:line="440" w:lineRule="exact"/>
        <w:ind w:firstLine="560" w:firstLineChars="200"/>
        <w:jc w:val="left"/>
        <w:textAlignment w:val="auto"/>
        <w:rPr>
          <w:rFonts w:hint="eastAsia" w:ascii="仿宋" w:hAnsi="仿宋" w:eastAsia="仿宋" w:cs="仿宋"/>
          <w:snapToGrid w:val="0"/>
          <w:color w:val="auto"/>
          <w:kern w:val="0"/>
          <w:sz w:val="22"/>
          <w:highlight w:val="none"/>
        </w:rPr>
      </w:pPr>
      <w:r>
        <w:rPr>
          <w:color w:val="auto"/>
          <w:highlight w:val="none"/>
        </w:rPr>
        <w:fldChar w:fldCharType="begin"/>
      </w:r>
      <w:r>
        <w:rPr>
          <w:color w:val="auto"/>
          <w:highlight w:val="none"/>
        </w:rPr>
        <w:instrText xml:space="preserve"> HYPERLINK \l "_Toc13461" </w:instrText>
      </w:r>
      <w:r>
        <w:rPr>
          <w:color w:val="auto"/>
          <w:highlight w:val="none"/>
        </w:rPr>
        <w:fldChar w:fldCharType="separate"/>
      </w:r>
      <w:r>
        <w:rPr>
          <w:rFonts w:hint="eastAsia" w:ascii="仿宋" w:hAnsi="仿宋" w:eastAsia="仿宋" w:cs="仿宋"/>
          <w:snapToGrid w:val="0"/>
          <w:color w:val="auto"/>
          <w:kern w:val="0"/>
          <w:sz w:val="22"/>
          <w:highlight w:val="none"/>
        </w:rPr>
        <w:t>（5）投标文件格式</w:t>
      </w:r>
      <w:r>
        <w:rPr>
          <w:rFonts w:hint="eastAsia" w:ascii="仿宋" w:hAnsi="仿宋" w:eastAsia="仿宋" w:cs="仿宋"/>
          <w:snapToGrid w:val="0"/>
          <w:color w:val="auto"/>
          <w:kern w:val="0"/>
          <w:sz w:val="22"/>
          <w:highlight w:val="none"/>
        </w:rPr>
        <w:fldChar w:fldCharType="end"/>
      </w:r>
    </w:p>
    <w:p w14:paraId="4FFF8440">
      <w:pPr>
        <w:pageBreakBefore w:val="0"/>
        <w:widowControl w:val="0"/>
        <w:kinsoku/>
        <w:wordWrap/>
        <w:overflowPunct/>
        <w:topLinePunct w:val="0"/>
        <w:autoSpaceDE w:val="0"/>
        <w:autoSpaceDN w:val="0"/>
        <w:bidi w:val="0"/>
        <w:adjustRightInd w:val="0"/>
        <w:snapToGrid w:val="0"/>
        <w:spacing w:line="440" w:lineRule="exact"/>
        <w:ind w:firstLine="440" w:firstLineChars="200"/>
        <w:jc w:val="left"/>
        <w:textAlignment w:val="auto"/>
        <w:rPr>
          <w:rFonts w:hint="eastAsia" w:ascii="仿宋" w:hAnsi="仿宋" w:eastAsia="仿宋" w:cs="仿宋"/>
          <w:snapToGrid w:val="0"/>
          <w:color w:val="auto"/>
          <w:kern w:val="0"/>
          <w:sz w:val="22"/>
          <w:highlight w:val="none"/>
        </w:rPr>
      </w:pPr>
      <w:r>
        <w:rPr>
          <w:rFonts w:hint="eastAsia" w:ascii="仿宋" w:hAnsi="仿宋" w:eastAsia="仿宋" w:cs="仿宋"/>
          <w:snapToGrid w:val="0"/>
          <w:color w:val="auto"/>
          <w:kern w:val="0"/>
          <w:sz w:val="22"/>
          <w:highlight w:val="none"/>
        </w:rPr>
        <w:t>根据本章第1.7款、第2.2款和第2.3款对招标文件所作的澄清、修改，构成招标文件的组成部分。</w:t>
      </w:r>
    </w:p>
    <w:p w14:paraId="188163D1">
      <w:pPr>
        <w:pStyle w:val="3"/>
        <w:pageBreakBefore w:val="0"/>
        <w:widowControl w:val="0"/>
        <w:kinsoku/>
        <w:wordWrap/>
        <w:overflowPunct/>
        <w:topLinePunct w:val="0"/>
        <w:bidi w:val="0"/>
        <w:spacing w:before="120" w:beforeLines="50" w:after="120" w:afterLines="50" w:line="440" w:lineRule="exact"/>
        <w:textAlignment w:val="auto"/>
        <w:rPr>
          <w:rFonts w:hint="eastAsia" w:ascii="仿宋" w:hAnsi="仿宋" w:eastAsia="仿宋" w:cs="仿宋"/>
          <w:snapToGrid w:val="0"/>
          <w:color w:val="auto"/>
          <w:sz w:val="24"/>
          <w:szCs w:val="24"/>
          <w:highlight w:val="none"/>
        </w:rPr>
      </w:pPr>
      <w:bookmarkStart w:id="415" w:name="_Toc24660"/>
      <w:bookmarkStart w:id="416" w:name="_Toc224103333"/>
      <w:bookmarkStart w:id="417" w:name="_Toc420419681"/>
      <w:bookmarkStart w:id="418" w:name="_Toc18207"/>
      <w:bookmarkStart w:id="419" w:name="_Toc200513142"/>
      <w:bookmarkStart w:id="420" w:name="_Toc15513"/>
      <w:bookmarkStart w:id="421" w:name="_Toc5430"/>
      <w:bookmarkStart w:id="422" w:name="_Toc29215"/>
      <w:bookmarkStart w:id="423" w:name="_Toc419299980"/>
      <w:bookmarkStart w:id="424" w:name="_Toc436052151"/>
      <w:bookmarkStart w:id="425" w:name="_Toc420081845"/>
      <w:bookmarkStart w:id="426" w:name="_Toc452136783"/>
      <w:bookmarkStart w:id="427" w:name="_Toc29687"/>
      <w:bookmarkStart w:id="428" w:name="_Toc277082568"/>
      <w:bookmarkStart w:id="429" w:name="_Toc31656"/>
      <w:bookmarkStart w:id="430" w:name="_Toc9802"/>
      <w:bookmarkStart w:id="431" w:name="_Toc31156"/>
      <w:bookmarkStart w:id="432" w:name="_Toc3721"/>
      <w:bookmarkStart w:id="433" w:name="_Toc26108"/>
      <w:bookmarkStart w:id="434" w:name="_Toc287607762"/>
      <w:r>
        <w:rPr>
          <w:rFonts w:hint="eastAsia" w:ascii="仿宋" w:hAnsi="仿宋" w:eastAsia="仿宋" w:cs="仿宋"/>
          <w:snapToGrid w:val="0"/>
          <w:color w:val="auto"/>
          <w:sz w:val="24"/>
          <w:szCs w:val="24"/>
          <w:highlight w:val="none"/>
        </w:rPr>
        <w:t>2.2招标文件的澄清</w:t>
      </w:r>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p>
    <w:p w14:paraId="36DF173A">
      <w:pPr>
        <w:pageBreakBefore w:val="0"/>
        <w:widowControl w:val="0"/>
        <w:kinsoku/>
        <w:wordWrap/>
        <w:overflowPunct/>
        <w:topLinePunct w:val="0"/>
        <w:autoSpaceDE w:val="0"/>
        <w:autoSpaceDN w:val="0"/>
        <w:bidi w:val="0"/>
        <w:adjustRightInd w:val="0"/>
        <w:snapToGrid w:val="0"/>
        <w:spacing w:line="440" w:lineRule="exact"/>
        <w:ind w:firstLine="440" w:firstLineChars="200"/>
        <w:jc w:val="left"/>
        <w:textAlignment w:val="auto"/>
        <w:rPr>
          <w:rFonts w:hint="eastAsia" w:ascii="仿宋" w:hAnsi="仿宋" w:eastAsia="仿宋" w:cs="仿宋"/>
          <w:snapToGrid w:val="0"/>
          <w:color w:val="auto"/>
          <w:kern w:val="0"/>
          <w:sz w:val="22"/>
          <w:highlight w:val="none"/>
        </w:rPr>
      </w:pPr>
      <w:bookmarkStart w:id="435" w:name="_Toc224103334"/>
      <w:bookmarkStart w:id="436" w:name="_Toc200513143"/>
      <w:bookmarkStart w:id="437" w:name="_Toc277082569"/>
      <w:bookmarkStart w:id="438" w:name="_Toc287607763"/>
      <w:r>
        <w:rPr>
          <w:rFonts w:hint="eastAsia" w:ascii="仿宋" w:hAnsi="仿宋" w:eastAsia="仿宋" w:cs="仿宋"/>
          <w:snapToGrid w:val="0"/>
          <w:color w:val="auto"/>
          <w:kern w:val="0"/>
          <w:sz w:val="22"/>
          <w:highlight w:val="none"/>
        </w:rPr>
        <w:t>2.2.1  投标人应仔细阅读和检查招标文件的全部内容。如发现缺页或附件不全，应及时向招标人提出，以便补齐。如有疑问，应在投标人须知前附表规定的时间前按照投标人须知规定的方式，要求招标人对招标文件予以澄清。</w:t>
      </w:r>
    </w:p>
    <w:p w14:paraId="278ADECB">
      <w:pPr>
        <w:pageBreakBefore w:val="0"/>
        <w:widowControl w:val="0"/>
        <w:kinsoku/>
        <w:wordWrap/>
        <w:overflowPunct/>
        <w:topLinePunct w:val="0"/>
        <w:autoSpaceDE w:val="0"/>
        <w:autoSpaceDN w:val="0"/>
        <w:bidi w:val="0"/>
        <w:adjustRightInd w:val="0"/>
        <w:snapToGrid w:val="0"/>
        <w:spacing w:line="440" w:lineRule="exact"/>
        <w:ind w:firstLine="440" w:firstLineChars="200"/>
        <w:jc w:val="left"/>
        <w:textAlignment w:val="auto"/>
        <w:rPr>
          <w:rFonts w:hint="eastAsia" w:ascii="仿宋" w:hAnsi="仿宋" w:eastAsia="仿宋" w:cs="仿宋"/>
          <w:snapToGrid w:val="0"/>
          <w:color w:val="auto"/>
          <w:kern w:val="0"/>
          <w:sz w:val="22"/>
          <w:highlight w:val="none"/>
        </w:rPr>
      </w:pPr>
      <w:r>
        <w:rPr>
          <w:rFonts w:hint="eastAsia" w:ascii="仿宋" w:hAnsi="仿宋" w:eastAsia="仿宋" w:cs="仿宋"/>
          <w:snapToGrid w:val="0"/>
          <w:color w:val="auto"/>
          <w:kern w:val="0"/>
          <w:sz w:val="22"/>
          <w:highlight w:val="none"/>
        </w:rPr>
        <w:t>2.2.2  招标文件的澄清将在投标人须知前附表规定的投标截止时间3天前发布，但不指明澄清问题的来源。如果澄清发出的时间距投标截止时间不足3天，相应延长投标截止时间。</w:t>
      </w:r>
    </w:p>
    <w:p w14:paraId="1591D99B">
      <w:pPr>
        <w:pStyle w:val="3"/>
        <w:pageBreakBefore w:val="0"/>
        <w:widowControl w:val="0"/>
        <w:kinsoku/>
        <w:wordWrap/>
        <w:overflowPunct/>
        <w:topLinePunct w:val="0"/>
        <w:bidi w:val="0"/>
        <w:spacing w:before="120" w:beforeLines="50" w:after="120" w:afterLines="50" w:line="440" w:lineRule="exact"/>
        <w:textAlignment w:val="auto"/>
        <w:rPr>
          <w:rFonts w:hint="eastAsia" w:ascii="仿宋" w:hAnsi="仿宋" w:eastAsia="仿宋" w:cs="仿宋"/>
          <w:snapToGrid w:val="0"/>
          <w:color w:val="auto"/>
          <w:sz w:val="24"/>
          <w:szCs w:val="24"/>
          <w:highlight w:val="none"/>
        </w:rPr>
      </w:pPr>
      <w:bookmarkStart w:id="439" w:name="_Toc31248"/>
      <w:bookmarkStart w:id="440" w:name="_Toc211"/>
      <w:bookmarkStart w:id="441" w:name="_Toc29558"/>
      <w:bookmarkStart w:id="442" w:name="_Toc13923"/>
      <w:bookmarkStart w:id="443" w:name="_Toc420419682"/>
      <w:bookmarkStart w:id="444" w:name="_Toc452136784"/>
      <w:bookmarkStart w:id="445" w:name="_Toc436052152"/>
      <w:bookmarkStart w:id="446" w:name="_Toc12316"/>
      <w:bookmarkStart w:id="447" w:name="_Toc15681"/>
      <w:bookmarkStart w:id="448" w:name="_Toc420081846"/>
      <w:bookmarkStart w:id="449" w:name="_Toc419299981"/>
      <w:bookmarkStart w:id="450" w:name="_Toc15721"/>
      <w:bookmarkStart w:id="451" w:name="_Toc9488"/>
      <w:bookmarkStart w:id="452" w:name="_Toc16537"/>
      <w:bookmarkStart w:id="453" w:name="_Toc20211"/>
      <w:bookmarkStart w:id="454" w:name="_Toc13080"/>
      <w:r>
        <w:rPr>
          <w:rFonts w:hint="eastAsia" w:ascii="仿宋" w:hAnsi="仿宋" w:eastAsia="仿宋" w:cs="仿宋"/>
          <w:snapToGrid w:val="0"/>
          <w:color w:val="auto"/>
          <w:sz w:val="24"/>
          <w:szCs w:val="24"/>
          <w:highlight w:val="none"/>
        </w:rPr>
        <w:t>2.3招标文件的修改</w:t>
      </w:r>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p>
    <w:p w14:paraId="1755CA34">
      <w:pPr>
        <w:pageBreakBefore w:val="0"/>
        <w:widowControl w:val="0"/>
        <w:kinsoku/>
        <w:wordWrap/>
        <w:overflowPunct/>
        <w:topLinePunct w:val="0"/>
        <w:autoSpaceDE w:val="0"/>
        <w:autoSpaceDN w:val="0"/>
        <w:bidi w:val="0"/>
        <w:adjustRightInd w:val="0"/>
        <w:snapToGrid w:val="0"/>
        <w:spacing w:line="440" w:lineRule="exact"/>
        <w:ind w:firstLine="440" w:firstLineChars="200"/>
        <w:jc w:val="left"/>
        <w:textAlignment w:val="auto"/>
        <w:rPr>
          <w:rFonts w:hint="eastAsia" w:ascii="仿宋" w:hAnsi="仿宋" w:eastAsia="仿宋" w:cs="仿宋"/>
          <w:snapToGrid w:val="0"/>
          <w:color w:val="auto"/>
          <w:kern w:val="0"/>
          <w:sz w:val="22"/>
          <w:highlight w:val="none"/>
        </w:rPr>
      </w:pPr>
      <w:bookmarkStart w:id="455" w:name="_Toc200513144"/>
      <w:bookmarkStart w:id="456" w:name="_Toc287607764"/>
      <w:bookmarkStart w:id="457" w:name="_Toc224103335"/>
      <w:bookmarkStart w:id="458" w:name="_Toc277082570"/>
      <w:r>
        <w:rPr>
          <w:rFonts w:hint="eastAsia" w:ascii="仿宋" w:hAnsi="仿宋" w:eastAsia="仿宋" w:cs="仿宋"/>
          <w:snapToGrid w:val="0"/>
          <w:color w:val="auto"/>
          <w:kern w:val="0"/>
          <w:sz w:val="22"/>
          <w:highlight w:val="none"/>
        </w:rPr>
        <w:t>2.3.1在投标截止时间3天前，招标人可以书面形式修改招标文件，并发布告知各潜在投标人，各投标人自行查阅。如果修改招标文件的时间距投标截止时间不足3天，相应延长投标截止时间。</w:t>
      </w:r>
    </w:p>
    <w:p w14:paraId="513AFDE3">
      <w:pPr>
        <w:pageBreakBefore w:val="0"/>
        <w:widowControl w:val="0"/>
        <w:kinsoku/>
        <w:wordWrap/>
        <w:overflowPunct/>
        <w:topLinePunct w:val="0"/>
        <w:autoSpaceDE w:val="0"/>
        <w:autoSpaceDN w:val="0"/>
        <w:bidi w:val="0"/>
        <w:adjustRightInd w:val="0"/>
        <w:snapToGrid w:val="0"/>
        <w:spacing w:line="440" w:lineRule="exact"/>
        <w:ind w:firstLine="440" w:firstLineChars="200"/>
        <w:jc w:val="left"/>
        <w:textAlignment w:val="auto"/>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2"/>
          <w:highlight w:val="none"/>
        </w:rPr>
        <w:t>2.3.2 凡有意参加投标者，从本项目比选公告发布之日起，请随时关注公告发布网站，本比选项目的比选修改内容等开标前资料，不论投标人下载与否，招标人和比选代理机构都视为投标人收到该比选修改内容。</w:t>
      </w:r>
    </w:p>
    <w:p w14:paraId="5F2AD4DD">
      <w:pPr>
        <w:pStyle w:val="3"/>
        <w:pageBreakBefore w:val="0"/>
        <w:widowControl w:val="0"/>
        <w:kinsoku/>
        <w:wordWrap/>
        <w:overflowPunct/>
        <w:topLinePunct w:val="0"/>
        <w:bidi w:val="0"/>
        <w:spacing w:before="120" w:beforeLines="50" w:after="120" w:afterLines="50" w:line="440" w:lineRule="exact"/>
        <w:textAlignment w:val="auto"/>
        <w:rPr>
          <w:rFonts w:hint="eastAsia" w:ascii="仿宋" w:hAnsi="仿宋" w:eastAsia="仿宋" w:cs="仿宋"/>
          <w:snapToGrid w:val="0"/>
          <w:color w:val="auto"/>
          <w:sz w:val="24"/>
          <w:szCs w:val="24"/>
          <w:highlight w:val="none"/>
        </w:rPr>
      </w:pPr>
      <w:bookmarkStart w:id="459" w:name="_Toc30430"/>
      <w:bookmarkStart w:id="460" w:name="_Toc9261"/>
      <w:bookmarkStart w:id="461" w:name="_Toc30003"/>
      <w:bookmarkStart w:id="462" w:name="_Toc6021"/>
      <w:bookmarkStart w:id="463" w:name="_Toc11666"/>
      <w:bookmarkStart w:id="464" w:name="_Toc17421"/>
      <w:bookmarkStart w:id="465" w:name="_Toc24519"/>
      <w:bookmarkStart w:id="466" w:name="_Toc7962"/>
      <w:bookmarkStart w:id="467" w:name="_Toc25864"/>
      <w:bookmarkStart w:id="468" w:name="_Toc17403"/>
      <w:bookmarkStart w:id="469" w:name="_Toc25564"/>
      <w:r>
        <w:rPr>
          <w:rFonts w:hint="eastAsia" w:ascii="仿宋" w:hAnsi="仿宋" w:eastAsia="仿宋" w:cs="仿宋"/>
          <w:snapToGrid w:val="0"/>
          <w:color w:val="auto"/>
          <w:sz w:val="24"/>
          <w:szCs w:val="24"/>
          <w:highlight w:val="none"/>
        </w:rPr>
        <w:t>3.</w:t>
      </w:r>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r>
        <w:rPr>
          <w:rFonts w:hint="eastAsia" w:ascii="仿宋" w:hAnsi="仿宋" w:eastAsia="仿宋" w:cs="仿宋"/>
          <w:snapToGrid w:val="0"/>
          <w:color w:val="auto"/>
          <w:sz w:val="24"/>
          <w:szCs w:val="24"/>
          <w:highlight w:val="none"/>
        </w:rPr>
        <w:t>投标文件</w:t>
      </w:r>
      <w:bookmarkEnd w:id="469"/>
    </w:p>
    <w:p w14:paraId="0935159A">
      <w:pPr>
        <w:pStyle w:val="3"/>
        <w:pageBreakBefore w:val="0"/>
        <w:widowControl w:val="0"/>
        <w:kinsoku/>
        <w:wordWrap/>
        <w:overflowPunct/>
        <w:topLinePunct w:val="0"/>
        <w:bidi w:val="0"/>
        <w:spacing w:before="120" w:beforeLines="50" w:after="120" w:afterLines="50" w:line="440" w:lineRule="exact"/>
        <w:textAlignment w:val="auto"/>
        <w:rPr>
          <w:rFonts w:hint="eastAsia" w:ascii="仿宋" w:hAnsi="仿宋" w:eastAsia="仿宋" w:cs="仿宋"/>
          <w:snapToGrid w:val="0"/>
          <w:color w:val="auto"/>
          <w:sz w:val="24"/>
          <w:szCs w:val="24"/>
          <w:highlight w:val="none"/>
        </w:rPr>
      </w:pPr>
      <w:bookmarkStart w:id="470" w:name="_Toc224103336"/>
      <w:bookmarkStart w:id="471" w:name="_Toc3923"/>
      <w:bookmarkStart w:id="472" w:name="_Toc24324"/>
      <w:bookmarkStart w:id="473" w:name="_Toc29421"/>
      <w:bookmarkStart w:id="474" w:name="_Toc419299983"/>
      <w:bookmarkStart w:id="475" w:name="_Toc12826"/>
      <w:bookmarkStart w:id="476" w:name="_Toc420081848"/>
      <w:bookmarkStart w:id="477" w:name="_Toc287607765"/>
      <w:bookmarkStart w:id="478" w:name="_Toc420419684"/>
      <w:bookmarkStart w:id="479" w:name="_Toc200513145"/>
      <w:bookmarkStart w:id="480" w:name="_Toc20831"/>
      <w:bookmarkStart w:id="481" w:name="_Toc11957"/>
      <w:bookmarkStart w:id="482" w:name="_Toc5753"/>
      <w:bookmarkStart w:id="483" w:name="_Toc20823"/>
      <w:bookmarkStart w:id="484" w:name="_Toc16653"/>
      <w:bookmarkStart w:id="485" w:name="_Toc452136786"/>
      <w:bookmarkStart w:id="486" w:name="_Toc20152"/>
      <w:bookmarkStart w:id="487" w:name="_Toc20068"/>
      <w:bookmarkStart w:id="488" w:name="_Toc436052154"/>
      <w:bookmarkStart w:id="489" w:name="_Toc277082571"/>
      <w:r>
        <w:rPr>
          <w:rFonts w:hint="eastAsia" w:ascii="仿宋" w:hAnsi="仿宋" w:eastAsia="仿宋" w:cs="仿宋"/>
          <w:snapToGrid w:val="0"/>
          <w:color w:val="auto"/>
          <w:sz w:val="24"/>
          <w:szCs w:val="24"/>
          <w:highlight w:val="none"/>
        </w:rPr>
        <w:t>3.1投标文件的组成</w:t>
      </w:r>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p>
    <w:p w14:paraId="548A7D53">
      <w:pPr>
        <w:pageBreakBefore w:val="0"/>
        <w:widowControl w:val="0"/>
        <w:kinsoku/>
        <w:wordWrap/>
        <w:overflowPunct/>
        <w:topLinePunct w:val="0"/>
        <w:autoSpaceDE w:val="0"/>
        <w:autoSpaceDN w:val="0"/>
        <w:bidi w:val="0"/>
        <w:adjustRightInd w:val="0"/>
        <w:snapToGrid w:val="0"/>
        <w:spacing w:line="440" w:lineRule="exact"/>
        <w:ind w:firstLine="440" w:firstLineChars="200"/>
        <w:jc w:val="left"/>
        <w:textAlignment w:val="auto"/>
        <w:rPr>
          <w:rFonts w:hint="eastAsia" w:ascii="仿宋" w:hAnsi="仿宋" w:eastAsia="仿宋" w:cs="仿宋"/>
          <w:snapToGrid w:val="0"/>
          <w:color w:val="auto"/>
          <w:kern w:val="0"/>
          <w:sz w:val="22"/>
          <w:szCs w:val="22"/>
          <w:highlight w:val="none"/>
        </w:rPr>
      </w:pPr>
      <w:r>
        <w:rPr>
          <w:rFonts w:hint="eastAsia" w:ascii="仿宋" w:hAnsi="仿宋" w:eastAsia="仿宋" w:cs="仿宋"/>
          <w:snapToGrid w:val="0"/>
          <w:color w:val="auto"/>
          <w:kern w:val="0"/>
          <w:sz w:val="22"/>
          <w:szCs w:val="22"/>
          <w:highlight w:val="none"/>
        </w:rPr>
        <w:t>3.1.1 投标文件由投标函部分、资格审查部分、技术部分组成。</w:t>
      </w:r>
    </w:p>
    <w:p w14:paraId="5FF6C4D3">
      <w:pPr>
        <w:pageBreakBefore w:val="0"/>
        <w:widowControl w:val="0"/>
        <w:kinsoku/>
        <w:wordWrap/>
        <w:overflowPunct/>
        <w:topLinePunct w:val="0"/>
        <w:autoSpaceDE w:val="0"/>
        <w:autoSpaceDN w:val="0"/>
        <w:bidi w:val="0"/>
        <w:adjustRightInd w:val="0"/>
        <w:snapToGrid w:val="0"/>
        <w:spacing w:line="440" w:lineRule="exact"/>
        <w:ind w:firstLine="442" w:firstLineChars="200"/>
        <w:jc w:val="left"/>
        <w:textAlignment w:val="auto"/>
        <w:rPr>
          <w:rFonts w:hint="eastAsia" w:ascii="仿宋" w:hAnsi="仿宋" w:eastAsia="仿宋" w:cs="仿宋"/>
          <w:b/>
          <w:bCs/>
          <w:snapToGrid w:val="0"/>
          <w:color w:val="auto"/>
          <w:kern w:val="0"/>
          <w:sz w:val="22"/>
          <w:szCs w:val="22"/>
          <w:highlight w:val="none"/>
        </w:rPr>
      </w:pPr>
      <w:r>
        <w:rPr>
          <w:rFonts w:hint="eastAsia" w:ascii="仿宋" w:hAnsi="仿宋" w:eastAsia="仿宋" w:cs="仿宋"/>
          <w:b/>
          <w:bCs/>
          <w:snapToGrid w:val="0"/>
          <w:color w:val="auto"/>
          <w:kern w:val="0"/>
          <w:sz w:val="22"/>
          <w:szCs w:val="22"/>
          <w:highlight w:val="none"/>
        </w:rPr>
        <w:t>3.1.2 投标函部分</w:t>
      </w:r>
    </w:p>
    <w:p w14:paraId="18E9AD2B">
      <w:pPr>
        <w:pageBreakBefore w:val="0"/>
        <w:widowControl w:val="0"/>
        <w:kinsoku/>
        <w:wordWrap/>
        <w:overflowPunct/>
        <w:topLinePunct w:val="0"/>
        <w:autoSpaceDE w:val="0"/>
        <w:autoSpaceDN w:val="0"/>
        <w:bidi w:val="0"/>
        <w:adjustRightInd w:val="0"/>
        <w:snapToGrid w:val="0"/>
        <w:spacing w:line="440" w:lineRule="exact"/>
        <w:ind w:firstLine="442" w:firstLineChars="200"/>
        <w:jc w:val="left"/>
        <w:textAlignment w:val="auto"/>
        <w:rPr>
          <w:rFonts w:hint="eastAsia" w:ascii="仿宋" w:hAnsi="仿宋" w:eastAsia="仿宋" w:cs="仿宋"/>
          <w:b/>
          <w:bCs/>
          <w:snapToGrid w:val="0"/>
          <w:color w:val="auto"/>
          <w:kern w:val="0"/>
          <w:sz w:val="22"/>
          <w:szCs w:val="22"/>
          <w:highlight w:val="none"/>
        </w:rPr>
      </w:pPr>
      <w:r>
        <w:rPr>
          <w:rFonts w:hint="eastAsia" w:ascii="仿宋" w:hAnsi="仿宋" w:eastAsia="仿宋" w:cs="仿宋"/>
          <w:b/>
          <w:bCs/>
          <w:snapToGrid w:val="0"/>
          <w:color w:val="auto"/>
          <w:kern w:val="0"/>
          <w:sz w:val="22"/>
          <w:szCs w:val="22"/>
          <w:highlight w:val="none"/>
        </w:rPr>
        <w:t>3.1.3 资格审查资料</w:t>
      </w:r>
    </w:p>
    <w:p w14:paraId="57A50E48">
      <w:pPr>
        <w:pageBreakBefore w:val="0"/>
        <w:widowControl w:val="0"/>
        <w:kinsoku/>
        <w:wordWrap/>
        <w:overflowPunct/>
        <w:topLinePunct w:val="0"/>
        <w:autoSpaceDE w:val="0"/>
        <w:autoSpaceDN w:val="0"/>
        <w:bidi w:val="0"/>
        <w:adjustRightInd w:val="0"/>
        <w:snapToGrid w:val="0"/>
        <w:spacing w:line="440" w:lineRule="exact"/>
        <w:ind w:firstLine="442" w:firstLineChars="200"/>
        <w:jc w:val="left"/>
        <w:textAlignment w:val="auto"/>
        <w:rPr>
          <w:rFonts w:hint="eastAsia" w:ascii="仿宋" w:hAnsi="仿宋" w:eastAsia="仿宋" w:cs="仿宋"/>
          <w:b/>
          <w:bCs/>
          <w:color w:val="auto"/>
          <w:highlight w:val="none"/>
        </w:rPr>
      </w:pPr>
      <w:r>
        <w:rPr>
          <w:rFonts w:hint="eastAsia" w:ascii="仿宋" w:hAnsi="仿宋" w:eastAsia="仿宋" w:cs="仿宋"/>
          <w:b/>
          <w:bCs/>
          <w:snapToGrid w:val="0"/>
          <w:color w:val="auto"/>
          <w:kern w:val="0"/>
          <w:sz w:val="22"/>
          <w:szCs w:val="22"/>
          <w:highlight w:val="none"/>
        </w:rPr>
        <w:t>3.1.4 技术部分</w:t>
      </w:r>
    </w:p>
    <w:p w14:paraId="7221BAD1">
      <w:pPr>
        <w:pStyle w:val="3"/>
        <w:pageBreakBefore w:val="0"/>
        <w:widowControl w:val="0"/>
        <w:kinsoku/>
        <w:wordWrap/>
        <w:overflowPunct/>
        <w:topLinePunct w:val="0"/>
        <w:bidi w:val="0"/>
        <w:spacing w:before="120" w:beforeLines="50" w:after="120" w:afterLines="50" w:line="440" w:lineRule="exact"/>
        <w:textAlignment w:val="auto"/>
        <w:rPr>
          <w:rFonts w:hint="eastAsia" w:ascii="仿宋" w:hAnsi="仿宋" w:eastAsia="仿宋" w:cs="仿宋"/>
          <w:snapToGrid w:val="0"/>
          <w:color w:val="auto"/>
          <w:sz w:val="24"/>
          <w:szCs w:val="24"/>
          <w:highlight w:val="none"/>
        </w:rPr>
      </w:pPr>
      <w:bookmarkStart w:id="490" w:name="_Toc28662"/>
      <w:bookmarkStart w:id="491" w:name="_Toc452136787"/>
      <w:bookmarkStart w:id="492" w:name="_Toc318"/>
      <w:bookmarkStart w:id="493" w:name="_Toc26587"/>
      <w:bookmarkStart w:id="494" w:name="_Toc18542"/>
      <w:bookmarkStart w:id="495" w:name="_Toc200513146"/>
      <w:bookmarkStart w:id="496" w:name="_Toc287607766"/>
      <w:bookmarkStart w:id="497" w:name="_Toc436052155"/>
      <w:bookmarkStart w:id="498" w:name="_Toc420081849"/>
      <w:bookmarkStart w:id="499" w:name="_Toc420419685"/>
      <w:bookmarkStart w:id="500" w:name="_Toc419299984"/>
      <w:bookmarkStart w:id="501" w:name="_Toc224103337"/>
      <w:bookmarkStart w:id="502" w:name="_Toc277082572"/>
      <w:bookmarkStart w:id="503" w:name="_Toc11759"/>
      <w:bookmarkStart w:id="504" w:name="_Toc1624"/>
      <w:bookmarkStart w:id="505" w:name="_Toc11450"/>
      <w:bookmarkStart w:id="506" w:name="_Toc14640"/>
      <w:bookmarkStart w:id="507" w:name="_Toc32405"/>
      <w:bookmarkStart w:id="508" w:name="_Toc17770"/>
      <w:bookmarkStart w:id="509" w:name="_Toc2287"/>
      <w:r>
        <w:rPr>
          <w:rFonts w:hint="eastAsia" w:ascii="仿宋" w:hAnsi="仿宋" w:eastAsia="仿宋" w:cs="仿宋"/>
          <w:snapToGrid w:val="0"/>
          <w:color w:val="auto"/>
          <w:sz w:val="24"/>
          <w:szCs w:val="24"/>
          <w:highlight w:val="none"/>
        </w:rPr>
        <w:t>3.2</w:t>
      </w:r>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r>
        <w:rPr>
          <w:rFonts w:hint="eastAsia" w:ascii="仿宋" w:hAnsi="仿宋" w:eastAsia="仿宋" w:cs="仿宋"/>
          <w:snapToGrid w:val="0"/>
          <w:color w:val="auto"/>
          <w:sz w:val="24"/>
          <w:szCs w:val="24"/>
          <w:highlight w:val="none"/>
        </w:rPr>
        <w:t>投标报价</w:t>
      </w:r>
      <w:bookmarkEnd w:id="509"/>
    </w:p>
    <w:p w14:paraId="1308DBE4">
      <w:pPr>
        <w:pageBreakBefore w:val="0"/>
        <w:widowControl w:val="0"/>
        <w:kinsoku/>
        <w:wordWrap/>
        <w:overflowPunct/>
        <w:topLinePunct w:val="0"/>
        <w:autoSpaceDE w:val="0"/>
        <w:autoSpaceDN w:val="0"/>
        <w:bidi w:val="0"/>
        <w:adjustRightInd w:val="0"/>
        <w:snapToGrid w:val="0"/>
        <w:spacing w:line="440" w:lineRule="exact"/>
        <w:ind w:firstLine="440" w:firstLineChars="200"/>
        <w:jc w:val="left"/>
        <w:textAlignment w:val="auto"/>
        <w:rPr>
          <w:rFonts w:hint="eastAsia" w:ascii="仿宋" w:hAnsi="仿宋" w:eastAsia="仿宋" w:cs="仿宋"/>
          <w:snapToGrid w:val="0"/>
          <w:color w:val="auto"/>
          <w:kern w:val="0"/>
          <w:sz w:val="22"/>
          <w:highlight w:val="none"/>
        </w:rPr>
      </w:pPr>
      <w:r>
        <w:rPr>
          <w:rFonts w:hint="eastAsia" w:ascii="仿宋" w:hAnsi="仿宋" w:eastAsia="仿宋" w:cs="仿宋"/>
          <w:snapToGrid w:val="0"/>
          <w:color w:val="auto"/>
          <w:kern w:val="0"/>
          <w:sz w:val="22"/>
          <w:highlight w:val="none"/>
        </w:rPr>
        <w:t>3.2.1投标人在投标截止时间前修改投标函中的投标报价。此修改须符合本章第4.3款的有关要求。</w:t>
      </w:r>
    </w:p>
    <w:p w14:paraId="55E865F6">
      <w:pPr>
        <w:pStyle w:val="3"/>
        <w:pageBreakBefore w:val="0"/>
        <w:widowControl w:val="0"/>
        <w:kinsoku/>
        <w:wordWrap/>
        <w:overflowPunct/>
        <w:topLinePunct w:val="0"/>
        <w:bidi w:val="0"/>
        <w:spacing w:before="120" w:beforeLines="50" w:after="120" w:afterLines="50" w:line="440" w:lineRule="exact"/>
        <w:textAlignment w:val="auto"/>
        <w:rPr>
          <w:rFonts w:hint="eastAsia" w:ascii="仿宋" w:hAnsi="仿宋" w:eastAsia="仿宋" w:cs="仿宋"/>
          <w:snapToGrid w:val="0"/>
          <w:color w:val="auto"/>
          <w:sz w:val="24"/>
          <w:szCs w:val="24"/>
          <w:highlight w:val="none"/>
        </w:rPr>
      </w:pPr>
      <w:bookmarkStart w:id="510" w:name="_Toc19284"/>
      <w:bookmarkStart w:id="511" w:name="_Toc420081850"/>
      <w:bookmarkStart w:id="512" w:name="_Toc30253"/>
      <w:bookmarkStart w:id="513" w:name="_Toc13409"/>
      <w:bookmarkStart w:id="514" w:name="_Toc224103338"/>
      <w:bookmarkStart w:id="515" w:name="_Toc7099"/>
      <w:bookmarkStart w:id="516" w:name="_Toc200513147"/>
      <w:bookmarkStart w:id="517" w:name="_Toc287607767"/>
      <w:bookmarkStart w:id="518" w:name="_Toc5083"/>
      <w:bookmarkStart w:id="519" w:name="_Toc7295"/>
      <w:bookmarkStart w:id="520" w:name="_Toc419299985"/>
      <w:bookmarkStart w:id="521" w:name="_Toc277082573"/>
      <w:bookmarkStart w:id="522" w:name="_Toc436052156"/>
      <w:bookmarkStart w:id="523" w:name="_Toc22826"/>
      <w:bookmarkStart w:id="524" w:name="_Toc22653"/>
      <w:bookmarkStart w:id="525" w:name="_Toc14037"/>
      <w:bookmarkStart w:id="526" w:name="_Toc452136788"/>
      <w:bookmarkStart w:id="527" w:name="_Toc19306"/>
      <w:bookmarkStart w:id="528" w:name="_Toc420419686"/>
      <w:bookmarkStart w:id="529" w:name="_Toc18713"/>
      <w:r>
        <w:rPr>
          <w:rFonts w:hint="eastAsia" w:ascii="仿宋" w:hAnsi="仿宋" w:eastAsia="仿宋" w:cs="仿宋"/>
          <w:snapToGrid w:val="0"/>
          <w:color w:val="auto"/>
          <w:sz w:val="24"/>
          <w:szCs w:val="24"/>
          <w:highlight w:val="none"/>
        </w:rPr>
        <w:t>3.3投标有效期</w:t>
      </w:r>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p>
    <w:p w14:paraId="4F9C67AE">
      <w:pPr>
        <w:pageBreakBefore w:val="0"/>
        <w:widowControl w:val="0"/>
        <w:kinsoku/>
        <w:wordWrap/>
        <w:overflowPunct/>
        <w:topLinePunct w:val="0"/>
        <w:autoSpaceDE w:val="0"/>
        <w:autoSpaceDN w:val="0"/>
        <w:bidi w:val="0"/>
        <w:adjustRightInd w:val="0"/>
        <w:snapToGrid w:val="0"/>
        <w:spacing w:line="440" w:lineRule="exact"/>
        <w:ind w:firstLine="440" w:firstLineChars="200"/>
        <w:jc w:val="left"/>
        <w:textAlignment w:val="auto"/>
        <w:rPr>
          <w:rFonts w:hint="eastAsia" w:ascii="仿宋" w:hAnsi="仿宋" w:eastAsia="仿宋" w:cs="仿宋"/>
          <w:snapToGrid w:val="0"/>
          <w:color w:val="auto"/>
          <w:kern w:val="0"/>
          <w:sz w:val="22"/>
          <w:highlight w:val="none"/>
        </w:rPr>
      </w:pPr>
      <w:r>
        <w:rPr>
          <w:rFonts w:hint="eastAsia" w:ascii="仿宋" w:hAnsi="仿宋" w:eastAsia="仿宋" w:cs="仿宋"/>
          <w:snapToGrid w:val="0"/>
          <w:color w:val="auto"/>
          <w:kern w:val="0"/>
          <w:sz w:val="22"/>
          <w:highlight w:val="none"/>
        </w:rPr>
        <w:t>3.3.1在投标人须知前附表规定的投标有效期内，投标人不得要求撤销或修改其投标文件。</w:t>
      </w:r>
    </w:p>
    <w:p w14:paraId="3E426BD5">
      <w:pPr>
        <w:pageBreakBefore w:val="0"/>
        <w:widowControl w:val="0"/>
        <w:kinsoku/>
        <w:wordWrap/>
        <w:overflowPunct/>
        <w:topLinePunct w:val="0"/>
        <w:autoSpaceDE w:val="0"/>
        <w:autoSpaceDN w:val="0"/>
        <w:bidi w:val="0"/>
        <w:adjustRightInd w:val="0"/>
        <w:snapToGrid w:val="0"/>
        <w:spacing w:line="440" w:lineRule="exact"/>
        <w:ind w:firstLine="440" w:firstLineChars="200"/>
        <w:textAlignment w:val="auto"/>
        <w:rPr>
          <w:rFonts w:hint="eastAsia" w:ascii="仿宋" w:hAnsi="仿宋" w:eastAsia="仿宋" w:cs="仿宋"/>
          <w:snapToGrid w:val="0"/>
          <w:color w:val="auto"/>
          <w:kern w:val="0"/>
          <w:sz w:val="22"/>
          <w:highlight w:val="none"/>
        </w:rPr>
      </w:pPr>
      <w:r>
        <w:rPr>
          <w:rFonts w:hint="eastAsia" w:ascii="仿宋" w:hAnsi="仿宋" w:eastAsia="仿宋" w:cs="仿宋"/>
          <w:snapToGrid w:val="0"/>
          <w:color w:val="auto"/>
          <w:kern w:val="0"/>
          <w:sz w:val="22"/>
          <w:highlight w:val="none"/>
        </w:rPr>
        <w:t>3.3.2出现特殊情况需要延长投标有效期的，招标人以书面形式通知所有投标人延长投标有效期。投标人同意延长的，应相应延长其投标保证金的有效期，但不得要求或被允许修改或撤销其投标文件；投标人拒绝延长的，其投标失效。</w:t>
      </w:r>
    </w:p>
    <w:p w14:paraId="152F9A41">
      <w:pPr>
        <w:pStyle w:val="3"/>
        <w:pageBreakBefore w:val="0"/>
        <w:widowControl w:val="0"/>
        <w:kinsoku/>
        <w:wordWrap/>
        <w:overflowPunct/>
        <w:topLinePunct w:val="0"/>
        <w:bidi w:val="0"/>
        <w:spacing w:before="120" w:beforeLines="50" w:after="120" w:afterLines="50" w:line="440" w:lineRule="exact"/>
        <w:textAlignment w:val="auto"/>
        <w:rPr>
          <w:rFonts w:hint="eastAsia" w:ascii="仿宋" w:hAnsi="仿宋" w:eastAsia="仿宋" w:cs="仿宋"/>
          <w:snapToGrid w:val="0"/>
          <w:color w:val="auto"/>
          <w:sz w:val="24"/>
          <w:szCs w:val="24"/>
          <w:highlight w:val="none"/>
        </w:rPr>
      </w:pPr>
      <w:bookmarkStart w:id="530" w:name="_Toc200513148"/>
      <w:bookmarkStart w:id="531" w:name="_Toc5388"/>
      <w:bookmarkStart w:id="532" w:name="_Toc20457"/>
      <w:bookmarkStart w:id="533" w:name="_Toc12595"/>
      <w:bookmarkStart w:id="534" w:name="_Toc436052157"/>
      <w:bookmarkStart w:id="535" w:name="_Toc7181"/>
      <w:bookmarkStart w:id="536" w:name="_Toc419299986"/>
      <w:bookmarkStart w:id="537" w:name="_Toc8390"/>
      <w:bookmarkStart w:id="538" w:name="_Toc17082"/>
      <w:bookmarkStart w:id="539" w:name="_Toc15185"/>
      <w:bookmarkStart w:id="540" w:name="_Toc287607768"/>
      <w:bookmarkStart w:id="541" w:name="_Toc224103339"/>
      <w:bookmarkStart w:id="542" w:name="_Toc420419687"/>
      <w:bookmarkStart w:id="543" w:name="_Toc9246"/>
      <w:bookmarkStart w:id="544" w:name="_Toc277082574"/>
      <w:bookmarkStart w:id="545" w:name="_Toc30138"/>
      <w:bookmarkStart w:id="546" w:name="_Toc452136789"/>
      <w:bookmarkStart w:id="547" w:name="_Toc20064"/>
      <w:bookmarkStart w:id="548" w:name="_Toc24235"/>
      <w:bookmarkStart w:id="549" w:name="_Toc420081851"/>
      <w:r>
        <w:rPr>
          <w:rFonts w:hint="eastAsia" w:ascii="仿宋" w:hAnsi="仿宋" w:eastAsia="仿宋" w:cs="仿宋"/>
          <w:snapToGrid w:val="0"/>
          <w:color w:val="auto"/>
          <w:sz w:val="24"/>
          <w:szCs w:val="24"/>
          <w:highlight w:val="none"/>
        </w:rPr>
        <w:t>3.4投标保证金</w:t>
      </w:r>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p>
    <w:p w14:paraId="5E3D7B37">
      <w:pPr>
        <w:pageBreakBefore w:val="0"/>
        <w:widowControl w:val="0"/>
        <w:kinsoku/>
        <w:wordWrap/>
        <w:overflowPunct/>
        <w:topLinePunct w:val="0"/>
        <w:autoSpaceDE w:val="0"/>
        <w:autoSpaceDN w:val="0"/>
        <w:bidi w:val="0"/>
        <w:adjustRightInd w:val="0"/>
        <w:snapToGrid w:val="0"/>
        <w:spacing w:line="440" w:lineRule="exact"/>
        <w:ind w:firstLine="440" w:firstLineChars="200"/>
        <w:textAlignment w:val="auto"/>
        <w:rPr>
          <w:rFonts w:hint="eastAsia" w:ascii="仿宋" w:hAnsi="仿宋" w:eastAsia="仿宋" w:cs="仿宋"/>
          <w:snapToGrid w:val="0"/>
          <w:color w:val="auto"/>
          <w:kern w:val="0"/>
          <w:sz w:val="22"/>
          <w:highlight w:val="none"/>
        </w:rPr>
      </w:pPr>
      <w:r>
        <w:rPr>
          <w:rFonts w:hint="eastAsia" w:ascii="仿宋" w:hAnsi="仿宋" w:eastAsia="仿宋" w:cs="仿宋"/>
          <w:snapToGrid w:val="0"/>
          <w:color w:val="auto"/>
          <w:kern w:val="0"/>
          <w:sz w:val="22"/>
          <w:highlight w:val="none"/>
        </w:rPr>
        <w:t>3.4.1投标人在递交投标文件的同时，应按投标人须知前附表规定的金额、担保形式和第六章“投标文件格式”规定的投标保证金格式递交投标保证金，并作为其投标文件的组成部分。</w:t>
      </w:r>
    </w:p>
    <w:p w14:paraId="77ACD162">
      <w:pPr>
        <w:pageBreakBefore w:val="0"/>
        <w:widowControl w:val="0"/>
        <w:kinsoku/>
        <w:wordWrap/>
        <w:overflowPunct/>
        <w:topLinePunct w:val="0"/>
        <w:autoSpaceDE w:val="0"/>
        <w:autoSpaceDN w:val="0"/>
        <w:bidi w:val="0"/>
        <w:adjustRightInd w:val="0"/>
        <w:snapToGrid w:val="0"/>
        <w:spacing w:line="440" w:lineRule="exact"/>
        <w:ind w:left="17" w:leftChars="6" w:firstLine="440" w:firstLineChars="200"/>
        <w:jc w:val="left"/>
        <w:textAlignment w:val="auto"/>
        <w:rPr>
          <w:rFonts w:hint="eastAsia" w:ascii="仿宋" w:hAnsi="仿宋" w:eastAsia="仿宋" w:cs="仿宋"/>
          <w:snapToGrid w:val="0"/>
          <w:color w:val="auto"/>
          <w:kern w:val="0"/>
          <w:sz w:val="22"/>
          <w:highlight w:val="none"/>
        </w:rPr>
      </w:pPr>
      <w:r>
        <w:rPr>
          <w:rFonts w:hint="eastAsia" w:ascii="仿宋" w:hAnsi="仿宋" w:eastAsia="仿宋" w:cs="仿宋"/>
          <w:snapToGrid w:val="0"/>
          <w:color w:val="auto"/>
          <w:kern w:val="0"/>
          <w:sz w:val="22"/>
          <w:highlight w:val="none"/>
        </w:rPr>
        <w:t>3.4.2投标人不按本章第3.4.1项要求提交投标保证金的，其投标文件作废标处理。</w:t>
      </w:r>
    </w:p>
    <w:p w14:paraId="3BE985BA">
      <w:pPr>
        <w:pageBreakBefore w:val="0"/>
        <w:widowControl w:val="0"/>
        <w:kinsoku/>
        <w:wordWrap/>
        <w:overflowPunct/>
        <w:topLinePunct w:val="0"/>
        <w:autoSpaceDE w:val="0"/>
        <w:autoSpaceDN w:val="0"/>
        <w:bidi w:val="0"/>
        <w:adjustRightInd w:val="0"/>
        <w:snapToGrid w:val="0"/>
        <w:spacing w:line="440" w:lineRule="exact"/>
        <w:ind w:left="17" w:leftChars="6" w:firstLine="440" w:firstLineChars="200"/>
        <w:jc w:val="left"/>
        <w:textAlignment w:val="auto"/>
        <w:rPr>
          <w:rFonts w:hint="eastAsia" w:ascii="仿宋" w:hAnsi="仿宋" w:eastAsia="仿宋" w:cs="仿宋"/>
          <w:snapToGrid w:val="0"/>
          <w:color w:val="auto"/>
          <w:kern w:val="0"/>
          <w:sz w:val="22"/>
          <w:highlight w:val="none"/>
        </w:rPr>
      </w:pPr>
      <w:r>
        <w:rPr>
          <w:rFonts w:hint="eastAsia" w:ascii="仿宋" w:hAnsi="仿宋" w:eastAsia="仿宋" w:cs="仿宋"/>
          <w:snapToGrid w:val="0"/>
          <w:color w:val="auto"/>
          <w:kern w:val="0"/>
          <w:sz w:val="22"/>
          <w:highlight w:val="none"/>
        </w:rPr>
        <w:t>3.4.3投标保证金退还：见投标人须知前附表。</w:t>
      </w:r>
    </w:p>
    <w:p w14:paraId="08BC046B">
      <w:pPr>
        <w:pageBreakBefore w:val="0"/>
        <w:widowControl w:val="0"/>
        <w:kinsoku/>
        <w:wordWrap/>
        <w:overflowPunct/>
        <w:topLinePunct w:val="0"/>
        <w:autoSpaceDE w:val="0"/>
        <w:autoSpaceDN w:val="0"/>
        <w:bidi w:val="0"/>
        <w:adjustRightInd w:val="0"/>
        <w:snapToGrid w:val="0"/>
        <w:spacing w:line="440" w:lineRule="exact"/>
        <w:ind w:firstLine="440" w:firstLineChars="200"/>
        <w:jc w:val="left"/>
        <w:textAlignment w:val="auto"/>
        <w:rPr>
          <w:rFonts w:hint="eastAsia" w:ascii="仿宋" w:hAnsi="仿宋" w:eastAsia="仿宋" w:cs="仿宋"/>
          <w:snapToGrid w:val="0"/>
          <w:color w:val="auto"/>
          <w:kern w:val="0"/>
          <w:sz w:val="22"/>
          <w:highlight w:val="none"/>
        </w:rPr>
      </w:pPr>
      <w:r>
        <w:rPr>
          <w:rFonts w:hint="eastAsia" w:ascii="仿宋" w:hAnsi="仿宋" w:eastAsia="仿宋" w:cs="仿宋"/>
          <w:snapToGrid w:val="0"/>
          <w:color w:val="auto"/>
          <w:kern w:val="0"/>
          <w:sz w:val="22"/>
          <w:highlight w:val="none"/>
        </w:rPr>
        <w:t>3.4.4有下列情形之一的，投标保证金将不予退还：</w:t>
      </w:r>
    </w:p>
    <w:p w14:paraId="30023A2A">
      <w:pPr>
        <w:pageBreakBefore w:val="0"/>
        <w:widowControl w:val="0"/>
        <w:kinsoku/>
        <w:wordWrap/>
        <w:overflowPunct/>
        <w:topLinePunct w:val="0"/>
        <w:autoSpaceDE w:val="0"/>
        <w:autoSpaceDN w:val="0"/>
        <w:bidi w:val="0"/>
        <w:adjustRightInd w:val="0"/>
        <w:snapToGrid w:val="0"/>
        <w:spacing w:line="440" w:lineRule="exact"/>
        <w:ind w:firstLine="440" w:firstLineChars="200"/>
        <w:jc w:val="left"/>
        <w:textAlignment w:val="auto"/>
        <w:rPr>
          <w:rFonts w:hint="eastAsia" w:ascii="仿宋" w:hAnsi="仿宋" w:eastAsia="仿宋" w:cs="仿宋"/>
          <w:snapToGrid w:val="0"/>
          <w:color w:val="auto"/>
          <w:kern w:val="0"/>
          <w:sz w:val="22"/>
          <w:highlight w:val="none"/>
        </w:rPr>
      </w:pPr>
      <w:r>
        <w:rPr>
          <w:rFonts w:hint="eastAsia" w:ascii="仿宋" w:hAnsi="仿宋" w:eastAsia="仿宋" w:cs="仿宋"/>
          <w:snapToGrid w:val="0"/>
          <w:color w:val="auto"/>
          <w:kern w:val="0"/>
          <w:sz w:val="22"/>
          <w:highlight w:val="none"/>
        </w:rPr>
        <w:t>（1）投标人在规定的投标有效期内撤销或修改其投标文件；</w:t>
      </w:r>
    </w:p>
    <w:p w14:paraId="607E270F">
      <w:pPr>
        <w:pageBreakBefore w:val="0"/>
        <w:widowControl w:val="0"/>
        <w:kinsoku/>
        <w:wordWrap/>
        <w:overflowPunct/>
        <w:topLinePunct w:val="0"/>
        <w:autoSpaceDE w:val="0"/>
        <w:autoSpaceDN w:val="0"/>
        <w:bidi w:val="0"/>
        <w:adjustRightInd w:val="0"/>
        <w:snapToGrid w:val="0"/>
        <w:spacing w:line="440" w:lineRule="exact"/>
        <w:ind w:firstLine="440" w:firstLineChars="200"/>
        <w:jc w:val="left"/>
        <w:textAlignment w:val="auto"/>
        <w:rPr>
          <w:rFonts w:hint="eastAsia" w:ascii="仿宋" w:hAnsi="仿宋" w:eastAsia="仿宋" w:cs="仿宋"/>
          <w:snapToGrid w:val="0"/>
          <w:color w:val="auto"/>
          <w:kern w:val="0"/>
          <w:sz w:val="22"/>
          <w:highlight w:val="none"/>
        </w:rPr>
      </w:pPr>
      <w:r>
        <w:rPr>
          <w:rFonts w:hint="eastAsia" w:ascii="仿宋" w:hAnsi="仿宋" w:eastAsia="仿宋" w:cs="仿宋"/>
          <w:snapToGrid w:val="0"/>
          <w:color w:val="auto"/>
          <w:kern w:val="0"/>
          <w:sz w:val="22"/>
          <w:highlight w:val="none"/>
        </w:rPr>
        <w:t>（2）中选人在收到中选通知书后，无正当理由拒签合同协议书或未按招标文件规定提交履约担保（如有）；</w:t>
      </w:r>
    </w:p>
    <w:p w14:paraId="62AD676E">
      <w:pPr>
        <w:pageBreakBefore w:val="0"/>
        <w:widowControl w:val="0"/>
        <w:kinsoku/>
        <w:wordWrap/>
        <w:overflowPunct/>
        <w:topLinePunct w:val="0"/>
        <w:autoSpaceDE w:val="0"/>
        <w:autoSpaceDN w:val="0"/>
        <w:bidi w:val="0"/>
        <w:adjustRightInd w:val="0"/>
        <w:snapToGrid w:val="0"/>
        <w:spacing w:line="440" w:lineRule="exact"/>
        <w:ind w:firstLine="440" w:firstLineChars="200"/>
        <w:jc w:val="left"/>
        <w:textAlignment w:val="auto"/>
        <w:rPr>
          <w:rFonts w:hint="eastAsia" w:ascii="仿宋" w:hAnsi="仿宋" w:eastAsia="仿宋" w:cs="仿宋"/>
          <w:snapToGrid w:val="0"/>
          <w:color w:val="auto"/>
          <w:kern w:val="0"/>
          <w:sz w:val="22"/>
          <w:highlight w:val="none"/>
        </w:rPr>
      </w:pPr>
      <w:r>
        <w:rPr>
          <w:rFonts w:hint="eastAsia" w:ascii="仿宋" w:hAnsi="仿宋" w:eastAsia="仿宋" w:cs="仿宋"/>
          <w:snapToGrid w:val="0"/>
          <w:color w:val="auto"/>
          <w:kern w:val="0"/>
          <w:sz w:val="22"/>
          <w:highlight w:val="none"/>
        </w:rPr>
        <w:t>（3）存在围标串标行为的；</w:t>
      </w:r>
    </w:p>
    <w:p w14:paraId="3165BFE7">
      <w:pPr>
        <w:pageBreakBefore w:val="0"/>
        <w:widowControl w:val="0"/>
        <w:kinsoku/>
        <w:wordWrap/>
        <w:overflowPunct/>
        <w:topLinePunct w:val="0"/>
        <w:autoSpaceDE w:val="0"/>
        <w:autoSpaceDN w:val="0"/>
        <w:bidi w:val="0"/>
        <w:adjustRightInd w:val="0"/>
        <w:snapToGrid w:val="0"/>
        <w:spacing w:line="440" w:lineRule="exact"/>
        <w:ind w:firstLine="440" w:firstLineChars="200"/>
        <w:jc w:val="left"/>
        <w:textAlignment w:val="auto"/>
        <w:rPr>
          <w:rFonts w:hint="eastAsia" w:ascii="仿宋" w:hAnsi="仿宋" w:eastAsia="仿宋" w:cs="仿宋"/>
          <w:snapToGrid w:val="0"/>
          <w:color w:val="auto"/>
          <w:kern w:val="0"/>
          <w:sz w:val="22"/>
          <w:highlight w:val="none"/>
        </w:rPr>
      </w:pPr>
      <w:r>
        <w:rPr>
          <w:rFonts w:hint="eastAsia" w:ascii="仿宋" w:hAnsi="仿宋" w:eastAsia="仿宋" w:cs="仿宋"/>
          <w:snapToGrid w:val="0"/>
          <w:color w:val="auto"/>
          <w:kern w:val="0"/>
          <w:sz w:val="22"/>
          <w:highlight w:val="none"/>
        </w:rPr>
        <w:t>（4）提供虚假资料的。</w:t>
      </w:r>
    </w:p>
    <w:p w14:paraId="277FCBB3">
      <w:pPr>
        <w:pageBreakBefore w:val="0"/>
        <w:widowControl w:val="0"/>
        <w:kinsoku/>
        <w:wordWrap/>
        <w:overflowPunct/>
        <w:topLinePunct w:val="0"/>
        <w:autoSpaceDE w:val="0"/>
        <w:autoSpaceDN w:val="0"/>
        <w:bidi w:val="0"/>
        <w:adjustRightInd w:val="0"/>
        <w:snapToGrid w:val="0"/>
        <w:spacing w:line="440" w:lineRule="exact"/>
        <w:ind w:firstLine="440" w:firstLineChars="200"/>
        <w:jc w:val="left"/>
        <w:textAlignment w:val="auto"/>
        <w:rPr>
          <w:rFonts w:hint="eastAsia" w:ascii="仿宋" w:hAnsi="仿宋" w:eastAsia="仿宋" w:cs="仿宋"/>
          <w:snapToGrid w:val="0"/>
          <w:color w:val="auto"/>
          <w:kern w:val="0"/>
          <w:sz w:val="22"/>
          <w:highlight w:val="none"/>
        </w:rPr>
      </w:pPr>
      <w:r>
        <w:rPr>
          <w:rFonts w:hint="eastAsia" w:ascii="仿宋" w:hAnsi="仿宋" w:eastAsia="仿宋" w:cs="仿宋"/>
          <w:snapToGrid w:val="0"/>
          <w:color w:val="auto"/>
          <w:kern w:val="0"/>
          <w:sz w:val="22"/>
          <w:highlight w:val="none"/>
        </w:rPr>
        <w:t>（5）法律法规和本招标文件规定的其他情形。</w:t>
      </w:r>
    </w:p>
    <w:p w14:paraId="6CB65024">
      <w:pPr>
        <w:pStyle w:val="3"/>
        <w:pageBreakBefore w:val="0"/>
        <w:widowControl w:val="0"/>
        <w:kinsoku/>
        <w:wordWrap/>
        <w:overflowPunct/>
        <w:topLinePunct w:val="0"/>
        <w:bidi w:val="0"/>
        <w:spacing w:before="120" w:beforeLines="50" w:after="120" w:afterLines="50" w:line="440" w:lineRule="exact"/>
        <w:textAlignment w:val="auto"/>
        <w:rPr>
          <w:rFonts w:hint="eastAsia" w:ascii="仿宋" w:hAnsi="仿宋" w:eastAsia="仿宋" w:cs="仿宋"/>
          <w:snapToGrid w:val="0"/>
          <w:color w:val="auto"/>
          <w:sz w:val="24"/>
          <w:szCs w:val="24"/>
          <w:highlight w:val="none"/>
        </w:rPr>
      </w:pPr>
      <w:bookmarkStart w:id="550" w:name="_Toc1039"/>
      <w:bookmarkStart w:id="551" w:name="_Toc287607770"/>
      <w:bookmarkStart w:id="552" w:name="_Toc420081852"/>
      <w:bookmarkStart w:id="553" w:name="_Toc200513150"/>
      <w:bookmarkStart w:id="554" w:name="_Toc14284"/>
      <w:bookmarkStart w:id="555" w:name="_Toc452136790"/>
      <w:bookmarkStart w:id="556" w:name="_Toc15641"/>
      <w:bookmarkStart w:id="557" w:name="_Toc987"/>
      <w:bookmarkStart w:id="558" w:name="_Toc9606"/>
      <w:bookmarkStart w:id="559" w:name="_Toc27508"/>
      <w:bookmarkStart w:id="560" w:name="_Toc436052158"/>
      <w:bookmarkStart w:id="561" w:name="_Toc2291"/>
      <w:bookmarkStart w:id="562" w:name="_Toc26346"/>
      <w:bookmarkStart w:id="563" w:name="_Toc224103341"/>
      <w:bookmarkStart w:id="564" w:name="_Toc277082576"/>
      <w:bookmarkStart w:id="565" w:name="_Toc32662"/>
      <w:bookmarkStart w:id="566" w:name="_Toc420419688"/>
      <w:bookmarkStart w:id="567" w:name="_Toc1694"/>
      <w:bookmarkStart w:id="568" w:name="_Toc32200"/>
      <w:bookmarkStart w:id="569" w:name="_Toc419299987"/>
      <w:r>
        <w:rPr>
          <w:rFonts w:hint="eastAsia" w:ascii="仿宋" w:hAnsi="仿宋" w:eastAsia="仿宋" w:cs="仿宋"/>
          <w:snapToGrid w:val="0"/>
          <w:color w:val="auto"/>
          <w:sz w:val="24"/>
          <w:szCs w:val="24"/>
          <w:highlight w:val="none"/>
        </w:rPr>
        <w:t>3.5资格审查资料</w:t>
      </w:r>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p>
    <w:p w14:paraId="292D652C">
      <w:pPr>
        <w:pageBreakBefore w:val="0"/>
        <w:widowControl w:val="0"/>
        <w:kinsoku/>
        <w:wordWrap/>
        <w:overflowPunct/>
        <w:topLinePunct w:val="0"/>
        <w:autoSpaceDE w:val="0"/>
        <w:autoSpaceDN w:val="0"/>
        <w:bidi w:val="0"/>
        <w:adjustRightInd w:val="0"/>
        <w:snapToGrid w:val="0"/>
        <w:spacing w:line="440" w:lineRule="exact"/>
        <w:ind w:firstLine="440" w:firstLineChars="200"/>
        <w:jc w:val="left"/>
        <w:textAlignment w:val="auto"/>
        <w:rPr>
          <w:rFonts w:hint="eastAsia" w:ascii="仿宋" w:hAnsi="仿宋" w:eastAsia="仿宋" w:cs="仿宋"/>
          <w:snapToGrid w:val="0"/>
          <w:color w:val="auto"/>
          <w:kern w:val="0"/>
          <w:sz w:val="22"/>
          <w:highlight w:val="none"/>
        </w:rPr>
      </w:pPr>
      <w:bookmarkStart w:id="570" w:name="_Toc287607771"/>
      <w:bookmarkStart w:id="571" w:name="_Toc277082577"/>
      <w:bookmarkStart w:id="572" w:name="_Toc200513151"/>
      <w:bookmarkStart w:id="573" w:name="_Toc224103342"/>
      <w:r>
        <w:rPr>
          <w:rFonts w:hint="eastAsia" w:ascii="仿宋" w:hAnsi="仿宋" w:eastAsia="仿宋" w:cs="仿宋"/>
          <w:snapToGrid w:val="0"/>
          <w:color w:val="auto"/>
          <w:kern w:val="0"/>
          <w:sz w:val="22"/>
          <w:highlight w:val="none"/>
        </w:rPr>
        <w:t>详见投标人须知前附表</w:t>
      </w:r>
    </w:p>
    <w:p w14:paraId="4D8F18A2">
      <w:pPr>
        <w:pStyle w:val="3"/>
        <w:pageBreakBefore w:val="0"/>
        <w:widowControl w:val="0"/>
        <w:kinsoku/>
        <w:wordWrap/>
        <w:overflowPunct/>
        <w:topLinePunct w:val="0"/>
        <w:bidi w:val="0"/>
        <w:spacing w:before="120" w:beforeLines="50" w:after="120" w:afterLines="50" w:line="440" w:lineRule="exact"/>
        <w:textAlignment w:val="auto"/>
        <w:rPr>
          <w:rFonts w:hint="eastAsia" w:ascii="仿宋" w:hAnsi="仿宋" w:eastAsia="仿宋" w:cs="仿宋"/>
          <w:snapToGrid w:val="0"/>
          <w:color w:val="auto"/>
          <w:sz w:val="24"/>
          <w:szCs w:val="24"/>
          <w:highlight w:val="none"/>
        </w:rPr>
      </w:pPr>
      <w:bookmarkStart w:id="574" w:name="_Toc30207"/>
      <w:bookmarkStart w:id="575" w:name="_Toc7536"/>
      <w:bookmarkStart w:id="576" w:name="_Toc7311"/>
      <w:bookmarkStart w:id="577" w:name="_Toc31066"/>
      <w:bookmarkStart w:id="578" w:name="_Toc11658"/>
      <w:bookmarkStart w:id="579" w:name="_Toc14169"/>
      <w:bookmarkStart w:id="580" w:name="_Toc18937"/>
      <w:bookmarkStart w:id="581" w:name="_Toc5282"/>
      <w:bookmarkStart w:id="582" w:name="_Toc452136791"/>
      <w:bookmarkStart w:id="583" w:name="_Toc436052159"/>
      <w:bookmarkStart w:id="584" w:name="_Toc25330"/>
      <w:bookmarkStart w:id="585" w:name="_Toc420081853"/>
      <w:bookmarkStart w:id="586" w:name="_Toc419299988"/>
      <w:bookmarkStart w:id="587" w:name="_Toc420419689"/>
      <w:bookmarkStart w:id="588" w:name="_Toc22238"/>
      <w:bookmarkStart w:id="589" w:name="_Toc18038"/>
      <w:r>
        <w:rPr>
          <w:rFonts w:hint="eastAsia" w:ascii="仿宋" w:hAnsi="仿宋" w:eastAsia="仿宋" w:cs="仿宋"/>
          <w:snapToGrid w:val="0"/>
          <w:color w:val="auto"/>
          <w:sz w:val="24"/>
          <w:szCs w:val="24"/>
          <w:highlight w:val="none"/>
        </w:rPr>
        <w:t>3.6备选投标方案</w:t>
      </w:r>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p>
    <w:p w14:paraId="05B0DBEB">
      <w:pPr>
        <w:pageBreakBefore w:val="0"/>
        <w:widowControl w:val="0"/>
        <w:kinsoku/>
        <w:wordWrap/>
        <w:overflowPunct/>
        <w:topLinePunct w:val="0"/>
        <w:autoSpaceDE w:val="0"/>
        <w:autoSpaceDN w:val="0"/>
        <w:bidi w:val="0"/>
        <w:adjustRightInd w:val="0"/>
        <w:snapToGrid w:val="0"/>
        <w:spacing w:line="440" w:lineRule="exact"/>
        <w:ind w:firstLine="440" w:firstLineChars="200"/>
        <w:textAlignment w:val="auto"/>
        <w:rPr>
          <w:rFonts w:hint="eastAsia" w:ascii="仿宋" w:hAnsi="仿宋" w:eastAsia="仿宋" w:cs="仿宋"/>
          <w:snapToGrid w:val="0"/>
          <w:color w:val="auto"/>
          <w:kern w:val="0"/>
          <w:sz w:val="22"/>
          <w:highlight w:val="none"/>
        </w:rPr>
      </w:pPr>
      <w:r>
        <w:rPr>
          <w:rFonts w:hint="eastAsia" w:ascii="仿宋" w:hAnsi="仿宋" w:eastAsia="仿宋" w:cs="仿宋"/>
          <w:snapToGrid w:val="0"/>
          <w:color w:val="auto"/>
          <w:kern w:val="0"/>
          <w:sz w:val="22"/>
          <w:highlight w:val="none"/>
        </w:rPr>
        <w:t>不接受备选方案</w:t>
      </w:r>
      <w:bookmarkStart w:id="590" w:name="_Toc224103343"/>
      <w:bookmarkStart w:id="591" w:name="_Toc287607772"/>
      <w:bookmarkStart w:id="592" w:name="_Toc200513152"/>
      <w:bookmarkStart w:id="593" w:name="_Toc277082578"/>
    </w:p>
    <w:p w14:paraId="6CF16A69">
      <w:pPr>
        <w:pStyle w:val="3"/>
        <w:pageBreakBefore w:val="0"/>
        <w:widowControl w:val="0"/>
        <w:kinsoku/>
        <w:wordWrap/>
        <w:overflowPunct/>
        <w:topLinePunct w:val="0"/>
        <w:bidi w:val="0"/>
        <w:spacing w:before="120" w:beforeLines="50" w:after="120" w:afterLines="50" w:line="440" w:lineRule="exact"/>
        <w:textAlignment w:val="auto"/>
        <w:rPr>
          <w:rFonts w:hint="eastAsia" w:ascii="仿宋" w:hAnsi="仿宋" w:eastAsia="仿宋" w:cs="仿宋"/>
          <w:snapToGrid w:val="0"/>
          <w:color w:val="auto"/>
          <w:sz w:val="24"/>
          <w:szCs w:val="24"/>
          <w:highlight w:val="none"/>
        </w:rPr>
      </w:pPr>
      <w:bookmarkStart w:id="594" w:name="_Toc22996"/>
      <w:bookmarkStart w:id="595" w:name="_Toc436052160"/>
      <w:bookmarkStart w:id="596" w:name="_Toc31508"/>
      <w:bookmarkStart w:id="597" w:name="_Toc24919"/>
      <w:bookmarkStart w:id="598" w:name="_Toc420419690"/>
      <w:bookmarkStart w:id="599" w:name="_Toc15653"/>
      <w:bookmarkStart w:id="600" w:name="_Toc419299989"/>
      <w:bookmarkStart w:id="601" w:name="_Toc31526"/>
      <w:bookmarkStart w:id="602" w:name="_Toc19083"/>
      <w:bookmarkStart w:id="603" w:name="_Toc3064"/>
      <w:bookmarkStart w:id="604" w:name="_Toc452136792"/>
      <w:bookmarkStart w:id="605" w:name="_Toc20579"/>
      <w:bookmarkStart w:id="606" w:name="_Toc24742"/>
      <w:bookmarkStart w:id="607" w:name="_Toc15244"/>
      <w:bookmarkStart w:id="608" w:name="_Toc420081854"/>
      <w:bookmarkStart w:id="609" w:name="_Toc11304"/>
      <w:r>
        <w:rPr>
          <w:rFonts w:hint="eastAsia" w:ascii="仿宋" w:hAnsi="仿宋" w:eastAsia="仿宋" w:cs="仿宋"/>
          <w:snapToGrid w:val="0"/>
          <w:color w:val="auto"/>
          <w:sz w:val="24"/>
          <w:szCs w:val="24"/>
          <w:highlight w:val="none"/>
        </w:rPr>
        <w:t>3.7投标文件的编制</w:t>
      </w:r>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p>
    <w:p w14:paraId="048C2626">
      <w:pPr>
        <w:pageBreakBefore w:val="0"/>
        <w:widowControl w:val="0"/>
        <w:kinsoku/>
        <w:wordWrap/>
        <w:overflowPunct/>
        <w:topLinePunct w:val="0"/>
        <w:autoSpaceDE w:val="0"/>
        <w:autoSpaceDN w:val="0"/>
        <w:bidi w:val="0"/>
        <w:adjustRightInd w:val="0"/>
        <w:snapToGrid w:val="0"/>
        <w:spacing w:line="440" w:lineRule="exact"/>
        <w:ind w:firstLine="440" w:firstLineChars="200"/>
        <w:jc w:val="left"/>
        <w:textAlignment w:val="auto"/>
        <w:rPr>
          <w:rFonts w:hint="eastAsia" w:ascii="仿宋" w:hAnsi="仿宋" w:eastAsia="仿宋" w:cs="仿宋"/>
          <w:snapToGrid w:val="0"/>
          <w:color w:val="auto"/>
          <w:kern w:val="0"/>
          <w:sz w:val="22"/>
          <w:highlight w:val="none"/>
        </w:rPr>
      </w:pPr>
      <w:bookmarkStart w:id="610" w:name="_Toc277082579"/>
      <w:bookmarkStart w:id="611" w:name="_Toc287607773"/>
      <w:bookmarkStart w:id="612" w:name="_Toc200513153"/>
      <w:bookmarkStart w:id="613" w:name="_Toc224103344"/>
      <w:r>
        <w:rPr>
          <w:rFonts w:hint="eastAsia" w:ascii="仿宋" w:hAnsi="仿宋" w:eastAsia="仿宋" w:cs="仿宋"/>
          <w:snapToGrid w:val="0"/>
          <w:color w:val="auto"/>
          <w:kern w:val="0"/>
          <w:sz w:val="22"/>
          <w:highlight w:val="none"/>
        </w:rPr>
        <w:t>3.7.1投标文件应按第六章“投标文件格式”进行编写，如有必要，可以增加附页，作为投标文件的组成部分。投标人应提供真实的、有效的、清晰的相应证明资料。经评标委员会认定，凡投标人未按“投标文件格式”进行全面地、完整地编写；提供虚假资料或提供的资料相互矛盾；提供的资料模糊不清的；其投标文件将被视为不合格。其中，投标函在满足招标文件实质性要求的基础上，可以提出比招标文件要求更有利于招标人的承诺。</w:t>
      </w:r>
    </w:p>
    <w:p w14:paraId="0FA037C8">
      <w:pPr>
        <w:pageBreakBefore w:val="0"/>
        <w:widowControl w:val="0"/>
        <w:kinsoku/>
        <w:wordWrap/>
        <w:overflowPunct/>
        <w:topLinePunct w:val="0"/>
        <w:autoSpaceDE w:val="0"/>
        <w:autoSpaceDN w:val="0"/>
        <w:bidi w:val="0"/>
        <w:adjustRightInd w:val="0"/>
        <w:snapToGrid w:val="0"/>
        <w:spacing w:line="440" w:lineRule="exact"/>
        <w:ind w:firstLine="440" w:firstLineChars="200"/>
        <w:jc w:val="left"/>
        <w:textAlignment w:val="auto"/>
        <w:rPr>
          <w:rFonts w:hint="eastAsia" w:ascii="仿宋" w:hAnsi="仿宋" w:eastAsia="仿宋" w:cs="仿宋"/>
          <w:snapToGrid w:val="0"/>
          <w:color w:val="auto"/>
          <w:kern w:val="0"/>
          <w:sz w:val="22"/>
          <w:highlight w:val="none"/>
        </w:rPr>
      </w:pPr>
      <w:r>
        <w:rPr>
          <w:rFonts w:hint="eastAsia" w:ascii="仿宋" w:hAnsi="仿宋" w:eastAsia="仿宋" w:cs="仿宋"/>
          <w:snapToGrid w:val="0"/>
          <w:color w:val="auto"/>
          <w:kern w:val="0"/>
          <w:sz w:val="22"/>
          <w:highlight w:val="none"/>
        </w:rPr>
        <w:t>3.7.2投标文件应当对招标文件有关工期、投标有效期、质量要求、技术标准和要求、比选范围等实质性内容做出响应。</w:t>
      </w:r>
    </w:p>
    <w:p w14:paraId="10889B12">
      <w:pPr>
        <w:pageBreakBefore w:val="0"/>
        <w:widowControl w:val="0"/>
        <w:kinsoku/>
        <w:wordWrap/>
        <w:overflowPunct/>
        <w:topLinePunct w:val="0"/>
        <w:autoSpaceDE w:val="0"/>
        <w:autoSpaceDN w:val="0"/>
        <w:bidi w:val="0"/>
        <w:adjustRightInd w:val="0"/>
        <w:snapToGrid w:val="0"/>
        <w:spacing w:line="440" w:lineRule="exact"/>
        <w:ind w:firstLine="440" w:firstLineChars="200"/>
        <w:jc w:val="left"/>
        <w:textAlignment w:val="auto"/>
        <w:rPr>
          <w:rFonts w:hint="eastAsia" w:ascii="仿宋" w:hAnsi="仿宋" w:eastAsia="仿宋" w:cs="仿宋"/>
          <w:snapToGrid w:val="0"/>
          <w:color w:val="auto"/>
          <w:kern w:val="0"/>
          <w:sz w:val="22"/>
          <w:highlight w:val="none"/>
        </w:rPr>
      </w:pPr>
      <w:r>
        <w:rPr>
          <w:rFonts w:hint="eastAsia" w:ascii="仿宋" w:hAnsi="仿宋" w:eastAsia="仿宋" w:cs="仿宋"/>
          <w:snapToGrid w:val="0"/>
          <w:color w:val="auto"/>
          <w:kern w:val="0"/>
          <w:sz w:val="22"/>
          <w:highlight w:val="none"/>
        </w:rPr>
        <w:t>3.7.3投标文件应由投标人的法定代表人或其委托代理人按招标文件规定和要求签字、盖单位章。委托代理人签字的，投标文件应附法定代表人签署的授权委托书。投标文件应尽量避免涂改、行间插字或删除。如果出现上述情况，改动之处应加盖单位公章或由投标人的法定代表人或其授权的代理人签字确认。</w:t>
      </w:r>
    </w:p>
    <w:p w14:paraId="63B1C9D8">
      <w:pPr>
        <w:pageBreakBefore w:val="0"/>
        <w:widowControl w:val="0"/>
        <w:kinsoku/>
        <w:wordWrap/>
        <w:overflowPunct/>
        <w:topLinePunct w:val="0"/>
        <w:autoSpaceDE w:val="0"/>
        <w:autoSpaceDN w:val="0"/>
        <w:bidi w:val="0"/>
        <w:adjustRightInd w:val="0"/>
        <w:snapToGrid w:val="0"/>
        <w:spacing w:line="440" w:lineRule="exact"/>
        <w:ind w:firstLine="440" w:firstLineChars="200"/>
        <w:jc w:val="left"/>
        <w:textAlignment w:val="auto"/>
        <w:rPr>
          <w:rFonts w:hint="eastAsia" w:ascii="仿宋" w:hAnsi="仿宋" w:eastAsia="仿宋" w:cs="仿宋"/>
          <w:snapToGrid w:val="0"/>
          <w:color w:val="auto"/>
          <w:kern w:val="0"/>
          <w:sz w:val="22"/>
          <w:highlight w:val="none"/>
        </w:rPr>
      </w:pPr>
      <w:r>
        <w:rPr>
          <w:rFonts w:hint="eastAsia" w:ascii="仿宋" w:hAnsi="仿宋" w:eastAsia="仿宋" w:cs="仿宋"/>
          <w:snapToGrid w:val="0"/>
          <w:color w:val="auto"/>
          <w:kern w:val="0"/>
          <w:sz w:val="22"/>
          <w:highlight w:val="none"/>
        </w:rPr>
        <w:t>3.7.4投标文件正本一份，副本份数见投标人须知前附表。正本和副本的封面上应清楚地标记“正本”或“副本”的字样，当副本和正本不一致时，以正本为准。</w:t>
      </w:r>
    </w:p>
    <w:p w14:paraId="3699482C">
      <w:pPr>
        <w:pageBreakBefore w:val="0"/>
        <w:widowControl w:val="0"/>
        <w:kinsoku/>
        <w:wordWrap/>
        <w:overflowPunct/>
        <w:topLinePunct w:val="0"/>
        <w:autoSpaceDE w:val="0"/>
        <w:autoSpaceDN w:val="0"/>
        <w:bidi w:val="0"/>
        <w:adjustRightInd w:val="0"/>
        <w:snapToGrid w:val="0"/>
        <w:spacing w:line="440" w:lineRule="exact"/>
        <w:ind w:firstLine="440" w:firstLineChars="200"/>
        <w:jc w:val="left"/>
        <w:textAlignment w:val="auto"/>
        <w:rPr>
          <w:rFonts w:hint="eastAsia" w:ascii="仿宋" w:hAnsi="仿宋" w:eastAsia="仿宋" w:cs="仿宋"/>
          <w:snapToGrid w:val="0"/>
          <w:color w:val="auto"/>
          <w:kern w:val="0"/>
          <w:sz w:val="22"/>
          <w:highlight w:val="none"/>
        </w:rPr>
      </w:pPr>
      <w:r>
        <w:rPr>
          <w:rFonts w:hint="eastAsia" w:ascii="仿宋" w:hAnsi="仿宋" w:eastAsia="仿宋" w:cs="仿宋"/>
          <w:snapToGrid w:val="0"/>
          <w:color w:val="auto"/>
          <w:kern w:val="0"/>
          <w:sz w:val="22"/>
          <w:highlight w:val="none"/>
        </w:rPr>
        <w:t>3.7.5投标文件的正本与副本应分别装订成册，并编制目录，具体装订要求见投标人须知前附表规定。</w:t>
      </w:r>
    </w:p>
    <w:p w14:paraId="31729E9F">
      <w:pPr>
        <w:pStyle w:val="3"/>
        <w:pageBreakBefore w:val="0"/>
        <w:widowControl w:val="0"/>
        <w:kinsoku/>
        <w:wordWrap/>
        <w:overflowPunct/>
        <w:topLinePunct w:val="0"/>
        <w:bidi w:val="0"/>
        <w:spacing w:before="120" w:beforeLines="50" w:after="120" w:afterLines="50" w:line="440" w:lineRule="exact"/>
        <w:textAlignment w:val="auto"/>
        <w:rPr>
          <w:rFonts w:hint="eastAsia" w:ascii="仿宋" w:hAnsi="仿宋" w:eastAsia="仿宋" w:cs="仿宋"/>
          <w:snapToGrid w:val="0"/>
          <w:color w:val="auto"/>
          <w:sz w:val="24"/>
          <w:szCs w:val="24"/>
          <w:highlight w:val="none"/>
        </w:rPr>
      </w:pPr>
      <w:bookmarkStart w:id="614" w:name="_Toc23205"/>
      <w:bookmarkStart w:id="615" w:name="_Toc20532"/>
      <w:bookmarkStart w:id="616" w:name="_Toc2841"/>
      <w:bookmarkStart w:id="617" w:name="_Toc24423"/>
      <w:bookmarkStart w:id="618" w:name="_Toc25460"/>
      <w:bookmarkStart w:id="619" w:name="_Toc30756"/>
      <w:bookmarkStart w:id="620" w:name="_Toc22916"/>
      <w:bookmarkStart w:id="621" w:name="_Toc349"/>
      <w:bookmarkStart w:id="622" w:name="_Toc19559"/>
      <w:bookmarkStart w:id="623" w:name="_Toc25568"/>
      <w:bookmarkStart w:id="624" w:name="_Toc12080"/>
      <w:r>
        <w:rPr>
          <w:rFonts w:hint="eastAsia" w:ascii="仿宋" w:hAnsi="仿宋" w:eastAsia="仿宋" w:cs="仿宋"/>
          <w:snapToGrid w:val="0"/>
          <w:color w:val="auto"/>
          <w:sz w:val="24"/>
          <w:szCs w:val="24"/>
          <w:highlight w:val="none"/>
        </w:rPr>
        <w:t>4.</w:t>
      </w:r>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r>
        <w:rPr>
          <w:rFonts w:hint="eastAsia" w:ascii="仿宋" w:hAnsi="仿宋" w:eastAsia="仿宋" w:cs="仿宋"/>
          <w:snapToGrid w:val="0"/>
          <w:color w:val="auto"/>
          <w:sz w:val="24"/>
          <w:szCs w:val="24"/>
          <w:highlight w:val="none"/>
        </w:rPr>
        <w:t>投标</w:t>
      </w:r>
      <w:bookmarkEnd w:id="624"/>
    </w:p>
    <w:p w14:paraId="153BFD0D">
      <w:pPr>
        <w:pStyle w:val="3"/>
        <w:pageBreakBefore w:val="0"/>
        <w:widowControl w:val="0"/>
        <w:kinsoku/>
        <w:wordWrap/>
        <w:overflowPunct/>
        <w:topLinePunct w:val="0"/>
        <w:bidi w:val="0"/>
        <w:spacing w:before="120" w:beforeLines="50" w:after="120" w:afterLines="50" w:line="440" w:lineRule="exact"/>
        <w:textAlignment w:val="auto"/>
        <w:rPr>
          <w:rFonts w:hint="eastAsia" w:ascii="仿宋" w:hAnsi="仿宋" w:eastAsia="仿宋" w:cs="仿宋"/>
          <w:snapToGrid w:val="0"/>
          <w:color w:val="auto"/>
          <w:sz w:val="24"/>
          <w:szCs w:val="24"/>
          <w:highlight w:val="none"/>
        </w:rPr>
      </w:pPr>
      <w:bookmarkStart w:id="625" w:name="_Toc420081856"/>
      <w:bookmarkStart w:id="626" w:name="_Toc287607774"/>
      <w:bookmarkStart w:id="627" w:name="_Toc21737"/>
      <w:bookmarkStart w:id="628" w:name="_Toc420419692"/>
      <w:bookmarkStart w:id="629" w:name="_Toc419299991"/>
      <w:bookmarkStart w:id="630" w:name="_Toc8374"/>
      <w:bookmarkStart w:id="631" w:name="_Toc224103345"/>
      <w:bookmarkStart w:id="632" w:name="_Toc277082580"/>
      <w:bookmarkStart w:id="633" w:name="_Toc21571"/>
      <w:bookmarkStart w:id="634" w:name="_Toc55"/>
      <w:bookmarkStart w:id="635" w:name="_Toc6906"/>
      <w:bookmarkStart w:id="636" w:name="_Toc29479"/>
      <w:bookmarkStart w:id="637" w:name="_Toc452136794"/>
      <w:bookmarkStart w:id="638" w:name="_Toc26875"/>
      <w:bookmarkStart w:id="639" w:name="_Toc29111"/>
      <w:bookmarkStart w:id="640" w:name="_Toc436052162"/>
      <w:bookmarkStart w:id="641" w:name="_Toc200513154"/>
      <w:bookmarkStart w:id="642" w:name="_Toc14404"/>
      <w:bookmarkStart w:id="643" w:name="_Toc20245"/>
      <w:bookmarkStart w:id="644" w:name="_Toc16250"/>
      <w:r>
        <w:rPr>
          <w:rFonts w:hint="eastAsia" w:ascii="仿宋" w:hAnsi="仿宋" w:eastAsia="仿宋" w:cs="仿宋"/>
          <w:snapToGrid w:val="0"/>
          <w:color w:val="auto"/>
          <w:sz w:val="24"/>
          <w:szCs w:val="24"/>
          <w:highlight w:val="none"/>
        </w:rPr>
        <w:t>4.1投标文件的密封和标记</w:t>
      </w:r>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p>
    <w:p w14:paraId="3967938C">
      <w:pPr>
        <w:pageBreakBefore w:val="0"/>
        <w:widowControl w:val="0"/>
        <w:kinsoku/>
        <w:wordWrap/>
        <w:overflowPunct/>
        <w:topLinePunct w:val="0"/>
        <w:autoSpaceDE w:val="0"/>
        <w:autoSpaceDN w:val="0"/>
        <w:bidi w:val="0"/>
        <w:adjustRightInd w:val="0"/>
        <w:snapToGrid w:val="0"/>
        <w:spacing w:line="440" w:lineRule="exact"/>
        <w:ind w:left="17" w:leftChars="6" w:firstLine="440" w:firstLineChars="200"/>
        <w:jc w:val="left"/>
        <w:textAlignment w:val="auto"/>
        <w:rPr>
          <w:rFonts w:hint="eastAsia" w:ascii="仿宋" w:hAnsi="仿宋" w:eastAsia="仿宋" w:cs="仿宋"/>
          <w:snapToGrid w:val="0"/>
          <w:color w:val="auto"/>
          <w:kern w:val="0"/>
          <w:sz w:val="22"/>
          <w:highlight w:val="none"/>
        </w:rPr>
      </w:pPr>
      <w:bookmarkStart w:id="645" w:name="_Toc200513155"/>
      <w:r>
        <w:rPr>
          <w:rFonts w:hint="eastAsia" w:ascii="仿宋" w:hAnsi="仿宋" w:eastAsia="仿宋" w:cs="仿宋"/>
          <w:snapToGrid w:val="0"/>
          <w:color w:val="auto"/>
          <w:kern w:val="0"/>
          <w:sz w:val="22"/>
          <w:highlight w:val="none"/>
        </w:rPr>
        <w:t>4.1.1投标文件的正本与副本密封见投标人须知前附表。</w:t>
      </w:r>
    </w:p>
    <w:p w14:paraId="559421B3">
      <w:pPr>
        <w:pageBreakBefore w:val="0"/>
        <w:widowControl w:val="0"/>
        <w:kinsoku/>
        <w:wordWrap/>
        <w:overflowPunct/>
        <w:topLinePunct w:val="0"/>
        <w:autoSpaceDE w:val="0"/>
        <w:autoSpaceDN w:val="0"/>
        <w:bidi w:val="0"/>
        <w:adjustRightInd w:val="0"/>
        <w:snapToGrid w:val="0"/>
        <w:spacing w:line="440" w:lineRule="exact"/>
        <w:ind w:left="17" w:leftChars="6" w:firstLine="440" w:firstLineChars="200"/>
        <w:jc w:val="left"/>
        <w:textAlignment w:val="auto"/>
        <w:rPr>
          <w:rFonts w:hint="eastAsia" w:ascii="仿宋" w:hAnsi="仿宋" w:eastAsia="仿宋" w:cs="仿宋"/>
          <w:snapToGrid w:val="0"/>
          <w:color w:val="auto"/>
          <w:kern w:val="0"/>
          <w:sz w:val="22"/>
          <w:highlight w:val="none"/>
        </w:rPr>
      </w:pPr>
      <w:r>
        <w:rPr>
          <w:rFonts w:hint="eastAsia" w:ascii="仿宋" w:hAnsi="仿宋" w:eastAsia="仿宋" w:cs="仿宋"/>
          <w:snapToGrid w:val="0"/>
          <w:color w:val="auto"/>
          <w:kern w:val="0"/>
          <w:sz w:val="22"/>
          <w:highlight w:val="none"/>
        </w:rPr>
        <w:t>4.1.2投标文件的封套上应写明的内容见投标人须知前附表。</w:t>
      </w:r>
    </w:p>
    <w:p w14:paraId="2EDDA094">
      <w:pPr>
        <w:pageBreakBefore w:val="0"/>
        <w:widowControl w:val="0"/>
        <w:kinsoku/>
        <w:wordWrap/>
        <w:overflowPunct/>
        <w:topLinePunct w:val="0"/>
        <w:autoSpaceDE w:val="0"/>
        <w:autoSpaceDN w:val="0"/>
        <w:bidi w:val="0"/>
        <w:adjustRightInd w:val="0"/>
        <w:snapToGrid w:val="0"/>
        <w:spacing w:line="440" w:lineRule="exact"/>
        <w:ind w:left="17" w:leftChars="6" w:firstLine="440" w:firstLineChars="200"/>
        <w:jc w:val="left"/>
        <w:textAlignment w:val="auto"/>
        <w:rPr>
          <w:rFonts w:hint="eastAsia" w:ascii="仿宋" w:hAnsi="仿宋" w:eastAsia="仿宋" w:cs="仿宋"/>
          <w:snapToGrid w:val="0"/>
          <w:color w:val="auto"/>
          <w:kern w:val="0"/>
          <w:sz w:val="22"/>
          <w:highlight w:val="none"/>
        </w:rPr>
      </w:pPr>
      <w:r>
        <w:rPr>
          <w:rFonts w:hint="eastAsia" w:ascii="仿宋" w:hAnsi="仿宋" w:eastAsia="仿宋" w:cs="仿宋"/>
          <w:snapToGrid w:val="0"/>
          <w:color w:val="auto"/>
          <w:kern w:val="0"/>
          <w:sz w:val="22"/>
          <w:highlight w:val="none"/>
        </w:rPr>
        <w:t>4.1.3未按本章第4.1.1项或第4.1.2项要求密封和加写标记的投标文件，招标人不予受理。</w:t>
      </w:r>
    </w:p>
    <w:p w14:paraId="07660B5C">
      <w:pPr>
        <w:pStyle w:val="3"/>
        <w:pageBreakBefore w:val="0"/>
        <w:widowControl w:val="0"/>
        <w:kinsoku/>
        <w:wordWrap/>
        <w:overflowPunct/>
        <w:topLinePunct w:val="0"/>
        <w:bidi w:val="0"/>
        <w:spacing w:before="120" w:beforeLines="50" w:after="120" w:afterLines="50" w:line="440" w:lineRule="exact"/>
        <w:textAlignment w:val="auto"/>
        <w:rPr>
          <w:rFonts w:hint="eastAsia" w:ascii="仿宋" w:hAnsi="仿宋" w:eastAsia="仿宋" w:cs="仿宋"/>
          <w:snapToGrid w:val="0"/>
          <w:color w:val="auto"/>
          <w:sz w:val="24"/>
          <w:szCs w:val="24"/>
          <w:highlight w:val="none"/>
        </w:rPr>
      </w:pPr>
      <w:bookmarkStart w:id="646" w:name="_Toc27249"/>
      <w:bookmarkStart w:id="647" w:name="_Toc287607775"/>
      <w:bookmarkStart w:id="648" w:name="_Toc355"/>
      <w:bookmarkStart w:id="649" w:name="_Toc519"/>
      <w:bookmarkStart w:id="650" w:name="_Toc420419693"/>
      <w:bookmarkStart w:id="651" w:name="_Toc420081857"/>
      <w:bookmarkStart w:id="652" w:name="_Toc19837"/>
      <w:bookmarkStart w:id="653" w:name="_Toc8547"/>
      <w:bookmarkStart w:id="654" w:name="_Toc419299992"/>
      <w:bookmarkStart w:id="655" w:name="_Toc452136795"/>
      <w:bookmarkStart w:id="656" w:name="_Toc1251"/>
      <w:bookmarkStart w:id="657" w:name="_Toc8942"/>
      <w:bookmarkStart w:id="658" w:name="_Toc436052163"/>
      <w:bookmarkStart w:id="659" w:name="_Toc25233"/>
      <w:bookmarkStart w:id="660" w:name="_Toc224103346"/>
      <w:bookmarkStart w:id="661" w:name="_Toc11833"/>
      <w:bookmarkStart w:id="662" w:name="_Toc277082581"/>
      <w:bookmarkStart w:id="663" w:name="_Toc26410"/>
      <w:bookmarkStart w:id="664" w:name="_Toc27716"/>
      <w:r>
        <w:rPr>
          <w:rFonts w:hint="eastAsia" w:ascii="仿宋" w:hAnsi="仿宋" w:eastAsia="仿宋" w:cs="仿宋"/>
          <w:snapToGrid w:val="0"/>
          <w:color w:val="auto"/>
          <w:sz w:val="24"/>
          <w:szCs w:val="24"/>
          <w:highlight w:val="none"/>
        </w:rPr>
        <w:t>4.2投标文件的递交</w:t>
      </w:r>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p>
    <w:p w14:paraId="70CE87BC">
      <w:pPr>
        <w:pageBreakBefore w:val="0"/>
        <w:widowControl w:val="0"/>
        <w:kinsoku/>
        <w:wordWrap/>
        <w:overflowPunct/>
        <w:topLinePunct w:val="0"/>
        <w:autoSpaceDE w:val="0"/>
        <w:autoSpaceDN w:val="0"/>
        <w:bidi w:val="0"/>
        <w:adjustRightInd w:val="0"/>
        <w:snapToGrid w:val="0"/>
        <w:spacing w:line="440" w:lineRule="exact"/>
        <w:ind w:left="17" w:leftChars="6" w:firstLine="440" w:firstLineChars="200"/>
        <w:jc w:val="left"/>
        <w:textAlignment w:val="auto"/>
        <w:rPr>
          <w:rFonts w:hint="eastAsia" w:ascii="仿宋" w:hAnsi="仿宋" w:eastAsia="仿宋" w:cs="仿宋"/>
          <w:snapToGrid w:val="0"/>
          <w:color w:val="auto"/>
          <w:kern w:val="0"/>
          <w:sz w:val="22"/>
          <w:highlight w:val="none"/>
        </w:rPr>
      </w:pPr>
      <w:r>
        <w:rPr>
          <w:rFonts w:hint="eastAsia" w:ascii="仿宋" w:hAnsi="仿宋" w:eastAsia="仿宋" w:cs="仿宋"/>
          <w:snapToGrid w:val="0"/>
          <w:color w:val="auto"/>
          <w:kern w:val="0"/>
          <w:sz w:val="22"/>
          <w:highlight w:val="none"/>
        </w:rPr>
        <w:t>4.2.1投标人应在本章第2.2.2项规定的投标截止时间前递交投标文件。</w:t>
      </w:r>
    </w:p>
    <w:p w14:paraId="3E3A23CB">
      <w:pPr>
        <w:pageBreakBefore w:val="0"/>
        <w:widowControl w:val="0"/>
        <w:kinsoku/>
        <w:wordWrap/>
        <w:overflowPunct/>
        <w:topLinePunct w:val="0"/>
        <w:autoSpaceDE w:val="0"/>
        <w:autoSpaceDN w:val="0"/>
        <w:bidi w:val="0"/>
        <w:adjustRightInd w:val="0"/>
        <w:snapToGrid w:val="0"/>
        <w:spacing w:line="440" w:lineRule="exact"/>
        <w:ind w:firstLine="440" w:firstLineChars="200"/>
        <w:jc w:val="left"/>
        <w:textAlignment w:val="auto"/>
        <w:rPr>
          <w:rFonts w:hint="eastAsia" w:ascii="仿宋" w:hAnsi="仿宋" w:eastAsia="仿宋" w:cs="仿宋"/>
          <w:snapToGrid w:val="0"/>
          <w:color w:val="auto"/>
          <w:kern w:val="0"/>
          <w:sz w:val="22"/>
          <w:highlight w:val="none"/>
        </w:rPr>
      </w:pPr>
      <w:r>
        <w:rPr>
          <w:rFonts w:hint="eastAsia" w:ascii="仿宋" w:hAnsi="仿宋" w:eastAsia="仿宋" w:cs="仿宋"/>
          <w:snapToGrid w:val="0"/>
          <w:color w:val="auto"/>
          <w:kern w:val="0"/>
          <w:sz w:val="22"/>
          <w:highlight w:val="none"/>
        </w:rPr>
        <w:t>4.2.2投标人递交投标文件的地点：见投标人须知前附表。</w:t>
      </w:r>
    </w:p>
    <w:p w14:paraId="577BFD2F">
      <w:pPr>
        <w:pageBreakBefore w:val="0"/>
        <w:widowControl w:val="0"/>
        <w:kinsoku/>
        <w:wordWrap/>
        <w:overflowPunct/>
        <w:topLinePunct w:val="0"/>
        <w:autoSpaceDE w:val="0"/>
        <w:autoSpaceDN w:val="0"/>
        <w:bidi w:val="0"/>
        <w:adjustRightInd w:val="0"/>
        <w:snapToGrid w:val="0"/>
        <w:spacing w:line="440" w:lineRule="exact"/>
        <w:ind w:firstLine="440" w:firstLineChars="200"/>
        <w:jc w:val="left"/>
        <w:textAlignment w:val="auto"/>
        <w:rPr>
          <w:rFonts w:hint="eastAsia" w:ascii="仿宋" w:hAnsi="仿宋" w:eastAsia="仿宋" w:cs="仿宋"/>
          <w:snapToGrid w:val="0"/>
          <w:color w:val="auto"/>
          <w:kern w:val="0"/>
          <w:sz w:val="22"/>
          <w:highlight w:val="none"/>
        </w:rPr>
      </w:pPr>
      <w:r>
        <w:rPr>
          <w:rFonts w:hint="eastAsia" w:ascii="仿宋" w:hAnsi="仿宋" w:eastAsia="仿宋" w:cs="仿宋"/>
          <w:snapToGrid w:val="0"/>
          <w:color w:val="auto"/>
          <w:kern w:val="0"/>
          <w:sz w:val="22"/>
          <w:highlight w:val="none"/>
        </w:rPr>
        <w:t>4.2.3除投标人须知前附表另有规定外，投标人所递交的投标文件不予退还。</w:t>
      </w:r>
    </w:p>
    <w:p w14:paraId="4AACD721">
      <w:pPr>
        <w:pageBreakBefore w:val="0"/>
        <w:widowControl w:val="0"/>
        <w:kinsoku/>
        <w:wordWrap/>
        <w:overflowPunct/>
        <w:topLinePunct w:val="0"/>
        <w:autoSpaceDE w:val="0"/>
        <w:autoSpaceDN w:val="0"/>
        <w:bidi w:val="0"/>
        <w:adjustRightInd w:val="0"/>
        <w:snapToGrid w:val="0"/>
        <w:spacing w:line="440" w:lineRule="exact"/>
        <w:ind w:firstLine="440" w:firstLineChars="200"/>
        <w:jc w:val="left"/>
        <w:textAlignment w:val="auto"/>
        <w:rPr>
          <w:rFonts w:hint="eastAsia" w:ascii="仿宋" w:hAnsi="仿宋" w:eastAsia="仿宋" w:cs="仿宋"/>
          <w:snapToGrid w:val="0"/>
          <w:color w:val="auto"/>
          <w:kern w:val="0"/>
          <w:sz w:val="22"/>
          <w:highlight w:val="none"/>
        </w:rPr>
      </w:pPr>
      <w:r>
        <w:rPr>
          <w:rFonts w:hint="eastAsia" w:ascii="仿宋" w:hAnsi="仿宋" w:eastAsia="仿宋" w:cs="仿宋"/>
          <w:snapToGrid w:val="0"/>
          <w:color w:val="auto"/>
          <w:kern w:val="0"/>
          <w:sz w:val="22"/>
          <w:highlight w:val="none"/>
        </w:rPr>
        <w:t>4.2.4逾期送达的或者未送达指定地点的投标文件，招标人不予受理。</w:t>
      </w:r>
    </w:p>
    <w:p w14:paraId="63C5EBC5">
      <w:pPr>
        <w:pStyle w:val="3"/>
        <w:pageBreakBefore w:val="0"/>
        <w:widowControl w:val="0"/>
        <w:kinsoku/>
        <w:wordWrap/>
        <w:overflowPunct/>
        <w:topLinePunct w:val="0"/>
        <w:bidi w:val="0"/>
        <w:spacing w:before="120" w:beforeLines="50" w:after="120" w:afterLines="50" w:line="440" w:lineRule="exact"/>
        <w:textAlignment w:val="auto"/>
        <w:rPr>
          <w:rFonts w:hint="eastAsia" w:ascii="仿宋" w:hAnsi="仿宋" w:eastAsia="仿宋" w:cs="仿宋"/>
          <w:snapToGrid w:val="0"/>
          <w:color w:val="auto"/>
          <w:sz w:val="24"/>
          <w:szCs w:val="24"/>
          <w:highlight w:val="none"/>
        </w:rPr>
      </w:pPr>
      <w:bookmarkStart w:id="665" w:name="_Toc8227"/>
      <w:bookmarkStart w:id="666" w:name="_Toc32036"/>
      <w:bookmarkStart w:id="667" w:name="_Toc287607776"/>
      <w:bookmarkStart w:id="668" w:name="_Toc277082582"/>
      <w:bookmarkStart w:id="669" w:name="_Toc15167"/>
      <w:bookmarkStart w:id="670" w:name="_Toc452136796"/>
      <w:bookmarkStart w:id="671" w:name="_Toc30094"/>
      <w:bookmarkStart w:id="672" w:name="_Toc26863"/>
      <w:bookmarkStart w:id="673" w:name="_Toc419299993"/>
      <w:bookmarkStart w:id="674" w:name="_Toc21608"/>
      <w:bookmarkStart w:id="675" w:name="_Toc4157"/>
      <w:bookmarkStart w:id="676" w:name="_Toc19082"/>
      <w:bookmarkStart w:id="677" w:name="_Toc3266"/>
      <w:bookmarkStart w:id="678" w:name="_Toc420419694"/>
      <w:bookmarkStart w:id="679" w:name="_Toc224103347"/>
      <w:bookmarkStart w:id="680" w:name="_Toc24113"/>
      <w:bookmarkStart w:id="681" w:name="_Toc32104"/>
      <w:bookmarkStart w:id="682" w:name="_Toc436052164"/>
      <w:bookmarkStart w:id="683" w:name="_Toc420081858"/>
      <w:bookmarkStart w:id="684" w:name="_Toc200513156"/>
      <w:r>
        <w:rPr>
          <w:rFonts w:hint="eastAsia" w:ascii="仿宋" w:hAnsi="仿宋" w:eastAsia="仿宋" w:cs="仿宋"/>
          <w:snapToGrid w:val="0"/>
          <w:color w:val="auto"/>
          <w:sz w:val="24"/>
          <w:szCs w:val="24"/>
          <w:highlight w:val="none"/>
        </w:rPr>
        <w:t>4.3投标文件的修改与撤回</w:t>
      </w:r>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p>
    <w:p w14:paraId="3AF2DC27">
      <w:pPr>
        <w:pageBreakBefore w:val="0"/>
        <w:widowControl w:val="0"/>
        <w:kinsoku/>
        <w:wordWrap/>
        <w:overflowPunct/>
        <w:topLinePunct w:val="0"/>
        <w:autoSpaceDE w:val="0"/>
        <w:autoSpaceDN w:val="0"/>
        <w:bidi w:val="0"/>
        <w:adjustRightInd w:val="0"/>
        <w:snapToGrid w:val="0"/>
        <w:spacing w:line="440" w:lineRule="exact"/>
        <w:ind w:firstLine="440" w:firstLineChars="200"/>
        <w:jc w:val="left"/>
        <w:textAlignment w:val="auto"/>
        <w:rPr>
          <w:rFonts w:hint="eastAsia" w:ascii="仿宋" w:hAnsi="仿宋" w:eastAsia="仿宋" w:cs="仿宋"/>
          <w:snapToGrid w:val="0"/>
          <w:color w:val="auto"/>
          <w:kern w:val="0"/>
          <w:sz w:val="22"/>
          <w:highlight w:val="none"/>
        </w:rPr>
      </w:pPr>
      <w:r>
        <w:rPr>
          <w:rFonts w:hint="eastAsia" w:ascii="仿宋" w:hAnsi="仿宋" w:eastAsia="仿宋" w:cs="仿宋"/>
          <w:snapToGrid w:val="0"/>
          <w:color w:val="auto"/>
          <w:kern w:val="0"/>
          <w:sz w:val="22"/>
          <w:highlight w:val="none"/>
        </w:rPr>
        <w:t>4.3.1在本章第2.2.2项规定的投标截止时间前，投标人可以修改或撤回已递交的投标文件，但应以书面形式通知招标人。</w:t>
      </w:r>
    </w:p>
    <w:p w14:paraId="11F49A1D">
      <w:pPr>
        <w:pageBreakBefore w:val="0"/>
        <w:widowControl w:val="0"/>
        <w:kinsoku/>
        <w:wordWrap/>
        <w:overflowPunct/>
        <w:topLinePunct w:val="0"/>
        <w:autoSpaceDE w:val="0"/>
        <w:autoSpaceDN w:val="0"/>
        <w:bidi w:val="0"/>
        <w:adjustRightInd w:val="0"/>
        <w:snapToGrid w:val="0"/>
        <w:spacing w:line="440" w:lineRule="exact"/>
        <w:ind w:firstLine="440" w:firstLineChars="200"/>
        <w:jc w:val="left"/>
        <w:textAlignment w:val="auto"/>
        <w:rPr>
          <w:rFonts w:hint="eastAsia" w:ascii="仿宋" w:hAnsi="仿宋" w:eastAsia="仿宋" w:cs="仿宋"/>
          <w:snapToGrid w:val="0"/>
          <w:color w:val="auto"/>
          <w:kern w:val="0"/>
          <w:sz w:val="22"/>
          <w:highlight w:val="none"/>
        </w:rPr>
      </w:pPr>
      <w:r>
        <w:rPr>
          <w:rFonts w:hint="eastAsia" w:ascii="仿宋" w:hAnsi="仿宋" w:eastAsia="仿宋" w:cs="仿宋"/>
          <w:snapToGrid w:val="0"/>
          <w:color w:val="auto"/>
          <w:kern w:val="0"/>
          <w:sz w:val="22"/>
          <w:highlight w:val="none"/>
        </w:rPr>
        <w:t>4.3.2投标人修改或撤回已递交投标文件的书面通知应按照本章第3.7.3项的要求签字或盖章。招标人收到书面通知后，向投标人出具签收凭证。</w:t>
      </w:r>
    </w:p>
    <w:p w14:paraId="6FC90B1F">
      <w:pPr>
        <w:pageBreakBefore w:val="0"/>
        <w:widowControl w:val="0"/>
        <w:kinsoku/>
        <w:wordWrap/>
        <w:overflowPunct/>
        <w:topLinePunct w:val="0"/>
        <w:autoSpaceDE w:val="0"/>
        <w:autoSpaceDN w:val="0"/>
        <w:bidi w:val="0"/>
        <w:adjustRightInd w:val="0"/>
        <w:snapToGrid w:val="0"/>
        <w:spacing w:line="440" w:lineRule="exact"/>
        <w:ind w:firstLine="440" w:firstLineChars="200"/>
        <w:jc w:val="left"/>
        <w:textAlignment w:val="auto"/>
        <w:rPr>
          <w:rFonts w:hint="eastAsia" w:ascii="仿宋" w:hAnsi="仿宋" w:eastAsia="仿宋" w:cs="仿宋"/>
          <w:snapToGrid w:val="0"/>
          <w:color w:val="auto"/>
          <w:kern w:val="0"/>
          <w:sz w:val="22"/>
          <w:highlight w:val="none"/>
        </w:rPr>
      </w:pPr>
      <w:r>
        <w:rPr>
          <w:rFonts w:hint="eastAsia" w:ascii="仿宋" w:hAnsi="仿宋" w:eastAsia="仿宋" w:cs="仿宋"/>
          <w:snapToGrid w:val="0"/>
          <w:color w:val="auto"/>
          <w:kern w:val="0"/>
          <w:sz w:val="22"/>
          <w:highlight w:val="none"/>
        </w:rPr>
        <w:t>4.3.3修改的内容为投标文件的组成部分。修改的投标文件应按照本章第3条、第4条规定进行编制、密封、标记和递交，并标明“修改”字样。</w:t>
      </w:r>
    </w:p>
    <w:p w14:paraId="0EBC9422">
      <w:pPr>
        <w:pStyle w:val="3"/>
        <w:pageBreakBefore w:val="0"/>
        <w:widowControl w:val="0"/>
        <w:kinsoku/>
        <w:wordWrap/>
        <w:overflowPunct/>
        <w:topLinePunct w:val="0"/>
        <w:bidi w:val="0"/>
        <w:spacing w:before="120" w:beforeLines="50" w:after="120" w:afterLines="50" w:line="440" w:lineRule="exact"/>
        <w:textAlignment w:val="auto"/>
        <w:rPr>
          <w:rFonts w:hint="eastAsia" w:ascii="仿宋" w:hAnsi="仿宋" w:eastAsia="仿宋" w:cs="仿宋"/>
          <w:snapToGrid w:val="0"/>
          <w:color w:val="auto"/>
          <w:sz w:val="24"/>
          <w:szCs w:val="24"/>
          <w:highlight w:val="none"/>
        </w:rPr>
      </w:pPr>
      <w:bookmarkStart w:id="685" w:name="_Toc12997"/>
      <w:bookmarkStart w:id="686" w:name="_Toc27545"/>
      <w:bookmarkStart w:id="687" w:name="_Toc24381"/>
      <w:bookmarkStart w:id="688" w:name="_Toc13293"/>
      <w:bookmarkStart w:id="689" w:name="_Toc224103348"/>
      <w:bookmarkStart w:id="690" w:name="_Toc31663"/>
      <w:bookmarkStart w:id="691" w:name="_Toc287607777"/>
      <w:bookmarkStart w:id="692" w:name="_Toc277082583"/>
      <w:bookmarkStart w:id="693" w:name="_Toc7280"/>
      <w:bookmarkStart w:id="694" w:name="_Toc12636"/>
      <w:bookmarkStart w:id="695" w:name="_Toc200513157"/>
      <w:bookmarkStart w:id="696" w:name="_Toc1923"/>
      <w:bookmarkStart w:id="697" w:name="_Toc21787"/>
      <w:bookmarkStart w:id="698" w:name="_Toc22803"/>
      <w:bookmarkStart w:id="699" w:name="_Toc8244"/>
      <w:r>
        <w:rPr>
          <w:rFonts w:hint="eastAsia" w:ascii="仿宋" w:hAnsi="仿宋" w:eastAsia="仿宋" w:cs="仿宋"/>
          <w:snapToGrid w:val="0"/>
          <w:color w:val="auto"/>
          <w:sz w:val="24"/>
          <w:szCs w:val="24"/>
          <w:highlight w:val="none"/>
        </w:rPr>
        <w:t>5.开标</w:t>
      </w:r>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p>
    <w:p w14:paraId="738B972B">
      <w:pPr>
        <w:pStyle w:val="3"/>
        <w:pageBreakBefore w:val="0"/>
        <w:widowControl w:val="0"/>
        <w:kinsoku/>
        <w:wordWrap/>
        <w:overflowPunct/>
        <w:topLinePunct w:val="0"/>
        <w:bidi w:val="0"/>
        <w:spacing w:before="120" w:beforeLines="50" w:after="120" w:afterLines="50" w:line="440" w:lineRule="exact"/>
        <w:textAlignment w:val="auto"/>
        <w:rPr>
          <w:rFonts w:hint="eastAsia" w:ascii="仿宋" w:hAnsi="仿宋" w:eastAsia="仿宋" w:cs="仿宋"/>
          <w:snapToGrid w:val="0"/>
          <w:color w:val="auto"/>
          <w:sz w:val="24"/>
          <w:szCs w:val="24"/>
          <w:highlight w:val="none"/>
        </w:rPr>
      </w:pPr>
      <w:bookmarkStart w:id="700" w:name="_Toc13663"/>
      <w:bookmarkStart w:id="701" w:name="_Toc420081860"/>
      <w:bookmarkStart w:id="702" w:name="_Toc277082584"/>
      <w:bookmarkStart w:id="703" w:name="_Toc419299995"/>
      <w:bookmarkStart w:id="704" w:name="_Toc27281"/>
      <w:bookmarkStart w:id="705" w:name="_Toc420419696"/>
      <w:bookmarkStart w:id="706" w:name="_Toc2241"/>
      <w:bookmarkStart w:id="707" w:name="_Toc1430"/>
      <w:bookmarkStart w:id="708" w:name="_Toc11246"/>
      <w:bookmarkStart w:id="709" w:name="_Toc11448"/>
      <w:bookmarkStart w:id="710" w:name="_Toc8510"/>
      <w:bookmarkStart w:id="711" w:name="_Toc1670"/>
      <w:bookmarkStart w:id="712" w:name="_Toc12645"/>
      <w:bookmarkStart w:id="713" w:name="_Toc200513158"/>
      <w:bookmarkStart w:id="714" w:name="_Toc436052166"/>
      <w:bookmarkStart w:id="715" w:name="_Toc22268"/>
      <w:bookmarkStart w:id="716" w:name="_Toc30634"/>
      <w:bookmarkStart w:id="717" w:name="_Toc452136798"/>
      <w:bookmarkStart w:id="718" w:name="_Toc287607778"/>
      <w:bookmarkStart w:id="719" w:name="_Toc224103349"/>
      <w:r>
        <w:rPr>
          <w:rFonts w:hint="eastAsia" w:ascii="仿宋" w:hAnsi="仿宋" w:eastAsia="仿宋" w:cs="仿宋"/>
          <w:snapToGrid w:val="0"/>
          <w:color w:val="auto"/>
          <w:sz w:val="24"/>
          <w:szCs w:val="24"/>
          <w:highlight w:val="none"/>
        </w:rPr>
        <w:t>5.1开标时间和地点</w:t>
      </w:r>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p>
    <w:p w14:paraId="4D333D03">
      <w:pPr>
        <w:pageBreakBefore w:val="0"/>
        <w:widowControl w:val="0"/>
        <w:kinsoku/>
        <w:wordWrap/>
        <w:overflowPunct/>
        <w:topLinePunct w:val="0"/>
        <w:autoSpaceDE w:val="0"/>
        <w:autoSpaceDN w:val="0"/>
        <w:bidi w:val="0"/>
        <w:adjustRightInd w:val="0"/>
        <w:snapToGrid w:val="0"/>
        <w:spacing w:line="440" w:lineRule="exact"/>
        <w:ind w:firstLine="440" w:firstLineChars="200"/>
        <w:jc w:val="left"/>
        <w:textAlignment w:val="auto"/>
        <w:rPr>
          <w:rFonts w:hint="eastAsia" w:ascii="仿宋" w:hAnsi="仿宋" w:eastAsia="仿宋" w:cs="仿宋"/>
          <w:snapToGrid w:val="0"/>
          <w:color w:val="auto"/>
          <w:kern w:val="0"/>
          <w:sz w:val="22"/>
          <w:highlight w:val="none"/>
        </w:rPr>
      </w:pPr>
      <w:r>
        <w:rPr>
          <w:rFonts w:hint="eastAsia" w:ascii="仿宋" w:hAnsi="仿宋" w:eastAsia="仿宋" w:cs="仿宋"/>
          <w:snapToGrid w:val="0"/>
          <w:color w:val="auto"/>
          <w:kern w:val="0"/>
          <w:sz w:val="22"/>
          <w:highlight w:val="none"/>
        </w:rPr>
        <w:t>招标人在本章第2.2.2项规定的投标截止时间（开标时间）和投标人须知前附表规定的地点公开开标，并邀请所有投标人的法定代表人或其委托代理人准时参加。</w:t>
      </w:r>
    </w:p>
    <w:p w14:paraId="41B8879D">
      <w:pPr>
        <w:pStyle w:val="3"/>
        <w:pageBreakBefore w:val="0"/>
        <w:widowControl w:val="0"/>
        <w:kinsoku/>
        <w:wordWrap/>
        <w:overflowPunct/>
        <w:topLinePunct w:val="0"/>
        <w:bidi w:val="0"/>
        <w:spacing w:before="120" w:beforeLines="50" w:after="120" w:afterLines="50" w:line="440" w:lineRule="exact"/>
        <w:textAlignment w:val="auto"/>
        <w:rPr>
          <w:rFonts w:hint="eastAsia" w:ascii="仿宋" w:hAnsi="仿宋" w:eastAsia="仿宋" w:cs="仿宋"/>
          <w:snapToGrid w:val="0"/>
          <w:color w:val="auto"/>
          <w:sz w:val="24"/>
          <w:szCs w:val="24"/>
          <w:highlight w:val="none"/>
        </w:rPr>
      </w:pPr>
      <w:bookmarkStart w:id="720" w:name="_Toc3476"/>
      <w:bookmarkStart w:id="721" w:name="_Toc3619"/>
      <w:bookmarkStart w:id="722" w:name="_Toc4127"/>
      <w:bookmarkStart w:id="723" w:name="_Toc15735"/>
      <w:bookmarkStart w:id="724" w:name="_Toc10634"/>
      <w:bookmarkStart w:id="725" w:name="_Toc287607779"/>
      <w:bookmarkStart w:id="726" w:name="_Toc10313"/>
      <w:bookmarkStart w:id="727" w:name="_Toc420081861"/>
      <w:bookmarkStart w:id="728" w:name="_Toc22367"/>
      <w:bookmarkStart w:id="729" w:name="_Toc452136799"/>
      <w:bookmarkStart w:id="730" w:name="_Toc15270"/>
      <w:bookmarkStart w:id="731" w:name="_Toc3564"/>
      <w:bookmarkStart w:id="732" w:name="_Toc419299996"/>
      <w:bookmarkStart w:id="733" w:name="_Toc26577"/>
      <w:bookmarkStart w:id="734" w:name="_Toc23877"/>
      <w:bookmarkStart w:id="735" w:name="_Toc200513159"/>
      <w:bookmarkStart w:id="736" w:name="_Toc436052167"/>
      <w:bookmarkStart w:id="737" w:name="_Toc420419697"/>
      <w:bookmarkStart w:id="738" w:name="_Toc277082585"/>
      <w:bookmarkStart w:id="739" w:name="_Toc224103350"/>
      <w:r>
        <w:rPr>
          <w:rFonts w:hint="eastAsia" w:ascii="仿宋" w:hAnsi="仿宋" w:eastAsia="仿宋" w:cs="仿宋"/>
          <w:snapToGrid w:val="0"/>
          <w:color w:val="auto"/>
          <w:sz w:val="24"/>
          <w:szCs w:val="24"/>
          <w:highlight w:val="none"/>
        </w:rPr>
        <w:t>5.2开标程序</w:t>
      </w:r>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p>
    <w:p w14:paraId="5F375E9C">
      <w:pPr>
        <w:pageBreakBefore w:val="0"/>
        <w:widowControl w:val="0"/>
        <w:kinsoku/>
        <w:wordWrap/>
        <w:overflowPunct/>
        <w:topLinePunct w:val="0"/>
        <w:autoSpaceDE w:val="0"/>
        <w:autoSpaceDN w:val="0"/>
        <w:bidi w:val="0"/>
        <w:adjustRightInd w:val="0"/>
        <w:snapToGrid w:val="0"/>
        <w:spacing w:line="440" w:lineRule="exact"/>
        <w:ind w:firstLine="440" w:firstLineChars="200"/>
        <w:jc w:val="left"/>
        <w:textAlignment w:val="auto"/>
        <w:rPr>
          <w:rFonts w:hint="eastAsia" w:ascii="仿宋" w:hAnsi="仿宋" w:eastAsia="仿宋" w:cs="仿宋"/>
          <w:snapToGrid w:val="0"/>
          <w:color w:val="auto"/>
          <w:kern w:val="0"/>
          <w:sz w:val="22"/>
          <w:highlight w:val="none"/>
        </w:rPr>
      </w:pPr>
      <w:bookmarkStart w:id="740" w:name="_Toc254961572"/>
      <w:bookmarkStart w:id="741" w:name="_Toc287607780"/>
      <w:bookmarkStart w:id="742" w:name="_Toc200513160"/>
      <w:bookmarkStart w:id="743" w:name="_Toc224103351"/>
      <w:bookmarkStart w:id="744" w:name="_Toc277082586"/>
      <w:r>
        <w:rPr>
          <w:rFonts w:hint="eastAsia" w:ascii="仿宋" w:hAnsi="仿宋" w:eastAsia="仿宋" w:cs="仿宋"/>
          <w:snapToGrid w:val="0"/>
          <w:color w:val="auto"/>
          <w:kern w:val="0"/>
          <w:sz w:val="22"/>
          <w:highlight w:val="none"/>
        </w:rPr>
        <w:t>详见投标人须知前附表</w:t>
      </w:r>
      <w:bookmarkEnd w:id="740"/>
    </w:p>
    <w:p w14:paraId="6A3578EF">
      <w:pPr>
        <w:pStyle w:val="3"/>
        <w:pageBreakBefore w:val="0"/>
        <w:widowControl w:val="0"/>
        <w:kinsoku/>
        <w:wordWrap/>
        <w:overflowPunct/>
        <w:topLinePunct w:val="0"/>
        <w:bidi w:val="0"/>
        <w:spacing w:before="120" w:beforeLines="50" w:after="120" w:afterLines="50" w:line="440" w:lineRule="exact"/>
        <w:textAlignment w:val="auto"/>
        <w:rPr>
          <w:rFonts w:hint="eastAsia" w:ascii="仿宋" w:hAnsi="仿宋" w:eastAsia="仿宋" w:cs="仿宋"/>
          <w:snapToGrid w:val="0"/>
          <w:color w:val="auto"/>
          <w:sz w:val="24"/>
          <w:szCs w:val="24"/>
          <w:highlight w:val="none"/>
        </w:rPr>
      </w:pPr>
      <w:bookmarkStart w:id="745" w:name="_Toc23234"/>
      <w:bookmarkStart w:id="746" w:name="_Toc9457"/>
      <w:bookmarkStart w:id="747" w:name="_Toc1211"/>
      <w:bookmarkStart w:id="748" w:name="_Toc15591"/>
      <w:bookmarkStart w:id="749" w:name="_Toc9301"/>
      <w:bookmarkStart w:id="750" w:name="_Toc8377"/>
      <w:bookmarkStart w:id="751" w:name="_Toc16090"/>
      <w:bookmarkStart w:id="752" w:name="_Toc29166"/>
      <w:bookmarkStart w:id="753" w:name="_Toc13045"/>
      <w:bookmarkStart w:id="754" w:name="_Toc19499"/>
      <w:bookmarkStart w:id="755" w:name="_Toc20033"/>
      <w:r>
        <w:rPr>
          <w:rFonts w:hint="eastAsia" w:ascii="仿宋" w:hAnsi="仿宋" w:eastAsia="仿宋" w:cs="仿宋"/>
          <w:snapToGrid w:val="0"/>
          <w:color w:val="auto"/>
          <w:sz w:val="24"/>
          <w:szCs w:val="24"/>
          <w:highlight w:val="none"/>
        </w:rPr>
        <w:t>6.评标</w:t>
      </w:r>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p>
    <w:p w14:paraId="206D691B">
      <w:pPr>
        <w:pStyle w:val="3"/>
        <w:pageBreakBefore w:val="0"/>
        <w:widowControl w:val="0"/>
        <w:kinsoku/>
        <w:wordWrap/>
        <w:overflowPunct/>
        <w:topLinePunct w:val="0"/>
        <w:bidi w:val="0"/>
        <w:spacing w:before="120" w:beforeLines="50" w:after="120" w:afterLines="50" w:line="440" w:lineRule="exact"/>
        <w:textAlignment w:val="auto"/>
        <w:rPr>
          <w:rFonts w:hint="eastAsia" w:ascii="仿宋" w:hAnsi="仿宋" w:eastAsia="仿宋" w:cs="仿宋"/>
          <w:snapToGrid w:val="0"/>
          <w:color w:val="auto"/>
          <w:sz w:val="24"/>
          <w:szCs w:val="24"/>
          <w:highlight w:val="none"/>
        </w:rPr>
      </w:pPr>
      <w:bookmarkStart w:id="756" w:name="_Toc2055"/>
      <w:bookmarkStart w:id="757" w:name="_Toc187"/>
      <w:bookmarkStart w:id="758" w:name="_Toc17623"/>
      <w:bookmarkStart w:id="759" w:name="_Toc11475"/>
      <w:bookmarkStart w:id="760" w:name="_Toc419299998"/>
      <w:bookmarkStart w:id="761" w:name="_Toc24336"/>
      <w:bookmarkStart w:id="762" w:name="_Toc277082587"/>
      <w:bookmarkStart w:id="763" w:name="_Toc452136801"/>
      <w:bookmarkStart w:id="764" w:name="_Toc32457"/>
      <w:bookmarkStart w:id="765" w:name="_Toc4496"/>
      <w:bookmarkStart w:id="766" w:name="_Toc420081863"/>
      <w:bookmarkStart w:id="767" w:name="_Toc224103352"/>
      <w:bookmarkStart w:id="768" w:name="_Toc436052169"/>
      <w:bookmarkStart w:id="769" w:name="_Toc200513161"/>
      <w:bookmarkStart w:id="770" w:name="_Toc617"/>
      <w:bookmarkStart w:id="771" w:name="_Toc287607781"/>
      <w:bookmarkStart w:id="772" w:name="_Toc25535"/>
      <w:bookmarkStart w:id="773" w:name="_Toc27803"/>
      <w:bookmarkStart w:id="774" w:name="_Toc4833"/>
      <w:bookmarkStart w:id="775" w:name="_Toc420419699"/>
      <w:r>
        <w:rPr>
          <w:rFonts w:hint="eastAsia" w:ascii="仿宋" w:hAnsi="仿宋" w:eastAsia="仿宋" w:cs="仿宋"/>
          <w:snapToGrid w:val="0"/>
          <w:color w:val="auto"/>
          <w:sz w:val="24"/>
          <w:szCs w:val="24"/>
          <w:highlight w:val="none"/>
        </w:rPr>
        <w:t>6.1评标委员会</w:t>
      </w:r>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p>
    <w:p w14:paraId="2065E316">
      <w:pPr>
        <w:pageBreakBefore w:val="0"/>
        <w:widowControl w:val="0"/>
        <w:kinsoku/>
        <w:wordWrap/>
        <w:overflowPunct/>
        <w:topLinePunct w:val="0"/>
        <w:autoSpaceDE w:val="0"/>
        <w:autoSpaceDN w:val="0"/>
        <w:bidi w:val="0"/>
        <w:adjustRightInd w:val="0"/>
        <w:snapToGrid w:val="0"/>
        <w:spacing w:line="440" w:lineRule="exact"/>
        <w:ind w:firstLine="440" w:firstLineChars="200"/>
        <w:textAlignment w:val="auto"/>
        <w:rPr>
          <w:rFonts w:hint="eastAsia" w:ascii="仿宋" w:hAnsi="仿宋" w:eastAsia="仿宋" w:cs="仿宋"/>
          <w:snapToGrid w:val="0"/>
          <w:color w:val="auto"/>
          <w:kern w:val="0"/>
          <w:sz w:val="22"/>
          <w:highlight w:val="none"/>
        </w:rPr>
      </w:pPr>
      <w:r>
        <w:rPr>
          <w:rFonts w:hint="eastAsia" w:ascii="仿宋" w:hAnsi="仿宋" w:eastAsia="仿宋" w:cs="仿宋"/>
          <w:snapToGrid w:val="0"/>
          <w:color w:val="auto"/>
          <w:kern w:val="0"/>
          <w:sz w:val="22"/>
          <w:highlight w:val="none"/>
        </w:rPr>
        <w:t>6.1.1评标由招标人依法组建的评标委员会负责。评标委员会由招标人熟悉相关业务的代表，以及有关技术、经济等方面的专家组成。评标委员会成员人数以及技术、经济等方面专家的确定方式见投标人须知前附表。</w:t>
      </w:r>
    </w:p>
    <w:p w14:paraId="7FC59842">
      <w:pPr>
        <w:pageBreakBefore w:val="0"/>
        <w:widowControl w:val="0"/>
        <w:kinsoku/>
        <w:wordWrap/>
        <w:overflowPunct/>
        <w:topLinePunct w:val="0"/>
        <w:autoSpaceDE w:val="0"/>
        <w:autoSpaceDN w:val="0"/>
        <w:bidi w:val="0"/>
        <w:adjustRightInd w:val="0"/>
        <w:snapToGrid w:val="0"/>
        <w:spacing w:line="440" w:lineRule="exact"/>
        <w:ind w:firstLine="440" w:firstLineChars="200"/>
        <w:jc w:val="left"/>
        <w:textAlignment w:val="auto"/>
        <w:rPr>
          <w:rFonts w:hint="eastAsia" w:ascii="仿宋" w:hAnsi="仿宋" w:eastAsia="仿宋" w:cs="仿宋"/>
          <w:snapToGrid w:val="0"/>
          <w:color w:val="auto"/>
          <w:kern w:val="0"/>
          <w:sz w:val="22"/>
          <w:highlight w:val="none"/>
        </w:rPr>
      </w:pPr>
      <w:r>
        <w:rPr>
          <w:rFonts w:hint="eastAsia" w:ascii="仿宋" w:hAnsi="仿宋" w:eastAsia="仿宋" w:cs="仿宋"/>
          <w:snapToGrid w:val="0"/>
          <w:color w:val="auto"/>
          <w:kern w:val="0"/>
          <w:sz w:val="22"/>
          <w:highlight w:val="none"/>
        </w:rPr>
        <w:t>6.1.2评标委员会成员有下列情形之一的，应当回避：</w:t>
      </w:r>
    </w:p>
    <w:p w14:paraId="5A6F10F0">
      <w:pPr>
        <w:pageBreakBefore w:val="0"/>
        <w:widowControl w:val="0"/>
        <w:kinsoku/>
        <w:wordWrap/>
        <w:overflowPunct/>
        <w:topLinePunct w:val="0"/>
        <w:autoSpaceDE w:val="0"/>
        <w:autoSpaceDN w:val="0"/>
        <w:bidi w:val="0"/>
        <w:adjustRightInd w:val="0"/>
        <w:snapToGrid w:val="0"/>
        <w:spacing w:line="440" w:lineRule="exact"/>
        <w:ind w:firstLine="440" w:firstLineChars="200"/>
        <w:jc w:val="left"/>
        <w:textAlignment w:val="auto"/>
        <w:rPr>
          <w:rFonts w:hint="eastAsia" w:ascii="仿宋" w:hAnsi="仿宋" w:eastAsia="仿宋" w:cs="仿宋"/>
          <w:snapToGrid w:val="0"/>
          <w:color w:val="auto"/>
          <w:kern w:val="0"/>
          <w:sz w:val="22"/>
          <w:highlight w:val="none"/>
        </w:rPr>
      </w:pPr>
      <w:r>
        <w:rPr>
          <w:rFonts w:hint="eastAsia" w:ascii="仿宋" w:hAnsi="仿宋" w:eastAsia="仿宋" w:cs="仿宋"/>
          <w:snapToGrid w:val="0"/>
          <w:color w:val="auto"/>
          <w:kern w:val="0"/>
          <w:sz w:val="22"/>
          <w:highlight w:val="none"/>
        </w:rPr>
        <w:t>（1）招标人或投标人的主要负责人的近亲属；</w:t>
      </w:r>
    </w:p>
    <w:p w14:paraId="71E9B5DB">
      <w:pPr>
        <w:pageBreakBefore w:val="0"/>
        <w:widowControl w:val="0"/>
        <w:kinsoku/>
        <w:wordWrap/>
        <w:overflowPunct/>
        <w:topLinePunct w:val="0"/>
        <w:autoSpaceDE w:val="0"/>
        <w:autoSpaceDN w:val="0"/>
        <w:bidi w:val="0"/>
        <w:adjustRightInd w:val="0"/>
        <w:snapToGrid w:val="0"/>
        <w:spacing w:line="440" w:lineRule="exact"/>
        <w:ind w:firstLine="440" w:firstLineChars="200"/>
        <w:jc w:val="left"/>
        <w:textAlignment w:val="auto"/>
        <w:rPr>
          <w:rFonts w:hint="eastAsia" w:ascii="仿宋" w:hAnsi="仿宋" w:eastAsia="仿宋" w:cs="仿宋"/>
          <w:snapToGrid w:val="0"/>
          <w:color w:val="auto"/>
          <w:kern w:val="0"/>
          <w:sz w:val="22"/>
          <w:highlight w:val="none"/>
        </w:rPr>
      </w:pPr>
      <w:r>
        <w:rPr>
          <w:rFonts w:hint="eastAsia" w:ascii="仿宋" w:hAnsi="仿宋" w:eastAsia="仿宋" w:cs="仿宋"/>
          <w:snapToGrid w:val="0"/>
          <w:color w:val="auto"/>
          <w:kern w:val="0"/>
          <w:sz w:val="22"/>
          <w:highlight w:val="none"/>
        </w:rPr>
        <w:t>（2）项目主管部门或者行政监督部门的人员；</w:t>
      </w:r>
    </w:p>
    <w:p w14:paraId="2DF27743">
      <w:pPr>
        <w:pageBreakBefore w:val="0"/>
        <w:widowControl w:val="0"/>
        <w:kinsoku/>
        <w:wordWrap/>
        <w:overflowPunct/>
        <w:topLinePunct w:val="0"/>
        <w:autoSpaceDE w:val="0"/>
        <w:autoSpaceDN w:val="0"/>
        <w:bidi w:val="0"/>
        <w:adjustRightInd w:val="0"/>
        <w:snapToGrid w:val="0"/>
        <w:spacing w:line="440" w:lineRule="exact"/>
        <w:ind w:firstLine="440" w:firstLineChars="200"/>
        <w:jc w:val="left"/>
        <w:textAlignment w:val="auto"/>
        <w:rPr>
          <w:rFonts w:hint="eastAsia" w:ascii="仿宋" w:hAnsi="仿宋" w:eastAsia="仿宋" w:cs="仿宋"/>
          <w:snapToGrid w:val="0"/>
          <w:color w:val="auto"/>
          <w:kern w:val="0"/>
          <w:sz w:val="22"/>
          <w:highlight w:val="none"/>
        </w:rPr>
      </w:pPr>
      <w:r>
        <w:rPr>
          <w:rFonts w:hint="eastAsia" w:ascii="仿宋" w:hAnsi="仿宋" w:eastAsia="仿宋" w:cs="仿宋"/>
          <w:snapToGrid w:val="0"/>
          <w:color w:val="auto"/>
          <w:kern w:val="0"/>
          <w:sz w:val="22"/>
          <w:highlight w:val="none"/>
        </w:rPr>
        <w:t>（3）与投标人有利害关系，可能影响对投标公正评审的；</w:t>
      </w:r>
    </w:p>
    <w:p w14:paraId="49D623F9">
      <w:pPr>
        <w:pageBreakBefore w:val="0"/>
        <w:widowControl w:val="0"/>
        <w:kinsoku/>
        <w:wordWrap/>
        <w:overflowPunct/>
        <w:topLinePunct w:val="0"/>
        <w:autoSpaceDE w:val="0"/>
        <w:autoSpaceDN w:val="0"/>
        <w:bidi w:val="0"/>
        <w:adjustRightInd w:val="0"/>
        <w:snapToGrid w:val="0"/>
        <w:spacing w:line="440" w:lineRule="exact"/>
        <w:ind w:firstLine="440" w:firstLineChars="200"/>
        <w:jc w:val="left"/>
        <w:textAlignment w:val="auto"/>
        <w:rPr>
          <w:rFonts w:hint="eastAsia" w:ascii="仿宋" w:hAnsi="仿宋" w:eastAsia="仿宋" w:cs="仿宋"/>
          <w:snapToGrid w:val="0"/>
          <w:color w:val="auto"/>
          <w:kern w:val="0"/>
          <w:sz w:val="22"/>
          <w:highlight w:val="none"/>
        </w:rPr>
      </w:pPr>
      <w:r>
        <w:rPr>
          <w:rFonts w:hint="eastAsia" w:ascii="仿宋" w:hAnsi="仿宋" w:eastAsia="仿宋" w:cs="仿宋"/>
          <w:snapToGrid w:val="0"/>
          <w:color w:val="auto"/>
          <w:kern w:val="0"/>
          <w:sz w:val="22"/>
          <w:highlight w:val="none"/>
        </w:rPr>
        <w:t>（4）曾因在比选、评标以及其他与投标有关活动中从事违法行为而受过行政处罚或刑事处罚的。</w:t>
      </w:r>
    </w:p>
    <w:p w14:paraId="372EF11B">
      <w:pPr>
        <w:pStyle w:val="3"/>
        <w:pageBreakBefore w:val="0"/>
        <w:widowControl w:val="0"/>
        <w:kinsoku/>
        <w:wordWrap/>
        <w:overflowPunct/>
        <w:topLinePunct w:val="0"/>
        <w:bidi w:val="0"/>
        <w:spacing w:before="120" w:beforeLines="50" w:after="120" w:afterLines="50" w:line="440" w:lineRule="exact"/>
        <w:textAlignment w:val="auto"/>
        <w:rPr>
          <w:rFonts w:hint="eastAsia" w:ascii="仿宋" w:hAnsi="仿宋" w:eastAsia="仿宋" w:cs="仿宋"/>
          <w:snapToGrid w:val="0"/>
          <w:color w:val="auto"/>
          <w:sz w:val="24"/>
          <w:szCs w:val="24"/>
          <w:highlight w:val="none"/>
        </w:rPr>
      </w:pPr>
      <w:bookmarkStart w:id="776" w:name="_Toc32740"/>
      <w:bookmarkStart w:id="777" w:name="_Toc6176"/>
      <w:bookmarkStart w:id="778" w:name="_Toc420081864"/>
      <w:bookmarkStart w:id="779" w:name="_Toc10799"/>
      <w:bookmarkStart w:id="780" w:name="_Toc13593"/>
      <w:bookmarkStart w:id="781" w:name="_Toc277082588"/>
      <w:bookmarkStart w:id="782" w:name="_Toc7042"/>
      <w:bookmarkStart w:id="783" w:name="_Toc200513162"/>
      <w:bookmarkStart w:id="784" w:name="_Toc31367"/>
      <w:bookmarkStart w:id="785" w:name="_Toc420419700"/>
      <w:bookmarkStart w:id="786" w:name="_Toc287607782"/>
      <w:bookmarkStart w:id="787" w:name="_Toc224103353"/>
      <w:bookmarkStart w:id="788" w:name="_Toc22712"/>
      <w:bookmarkStart w:id="789" w:name="_Toc419299999"/>
      <w:bookmarkStart w:id="790" w:name="_Toc18970"/>
      <w:bookmarkStart w:id="791" w:name="_Toc7459"/>
      <w:bookmarkStart w:id="792" w:name="_Toc452136802"/>
      <w:bookmarkStart w:id="793" w:name="_Toc8785"/>
      <w:bookmarkStart w:id="794" w:name="_Toc436052170"/>
      <w:bookmarkStart w:id="795" w:name="_Toc28813"/>
      <w:r>
        <w:rPr>
          <w:rFonts w:hint="eastAsia" w:ascii="仿宋" w:hAnsi="仿宋" w:eastAsia="仿宋" w:cs="仿宋"/>
          <w:snapToGrid w:val="0"/>
          <w:color w:val="auto"/>
          <w:sz w:val="24"/>
          <w:szCs w:val="24"/>
          <w:highlight w:val="none"/>
        </w:rPr>
        <w:t>6.2评标原则</w:t>
      </w:r>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p>
    <w:p w14:paraId="1EE476FF">
      <w:pPr>
        <w:pageBreakBefore w:val="0"/>
        <w:widowControl w:val="0"/>
        <w:kinsoku/>
        <w:wordWrap/>
        <w:overflowPunct/>
        <w:topLinePunct w:val="0"/>
        <w:autoSpaceDE w:val="0"/>
        <w:autoSpaceDN w:val="0"/>
        <w:bidi w:val="0"/>
        <w:adjustRightInd w:val="0"/>
        <w:snapToGrid w:val="0"/>
        <w:spacing w:line="440" w:lineRule="exact"/>
        <w:ind w:firstLine="440" w:firstLineChars="200"/>
        <w:jc w:val="left"/>
        <w:textAlignment w:val="auto"/>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2"/>
          <w:highlight w:val="none"/>
        </w:rPr>
        <w:t>评标活动遵循公平、公正、科学和择优的原则</w:t>
      </w:r>
      <w:r>
        <w:rPr>
          <w:rFonts w:hint="eastAsia" w:ascii="仿宋" w:hAnsi="仿宋" w:eastAsia="仿宋" w:cs="仿宋"/>
          <w:snapToGrid w:val="0"/>
          <w:color w:val="auto"/>
          <w:kern w:val="0"/>
          <w:sz w:val="24"/>
          <w:highlight w:val="none"/>
        </w:rPr>
        <w:t>。</w:t>
      </w:r>
    </w:p>
    <w:p w14:paraId="3DB5D47A">
      <w:pPr>
        <w:pStyle w:val="3"/>
        <w:pageBreakBefore w:val="0"/>
        <w:widowControl w:val="0"/>
        <w:kinsoku/>
        <w:wordWrap/>
        <w:overflowPunct/>
        <w:topLinePunct w:val="0"/>
        <w:bidi w:val="0"/>
        <w:spacing w:before="120" w:beforeLines="50" w:after="120" w:afterLines="50" w:line="440" w:lineRule="exact"/>
        <w:textAlignment w:val="auto"/>
        <w:rPr>
          <w:rFonts w:hint="eastAsia" w:ascii="仿宋" w:hAnsi="仿宋" w:eastAsia="仿宋" w:cs="仿宋"/>
          <w:snapToGrid w:val="0"/>
          <w:color w:val="auto"/>
          <w:sz w:val="24"/>
          <w:szCs w:val="24"/>
          <w:highlight w:val="none"/>
        </w:rPr>
      </w:pPr>
      <w:bookmarkStart w:id="796" w:name="_Toc436052171"/>
      <w:bookmarkStart w:id="797" w:name="_Toc7959"/>
      <w:bookmarkStart w:id="798" w:name="_Toc1508"/>
      <w:bookmarkStart w:id="799" w:name="_Toc277082589"/>
      <w:bookmarkStart w:id="800" w:name="_Toc4864"/>
      <w:bookmarkStart w:id="801" w:name="_Toc224103354"/>
      <w:bookmarkStart w:id="802" w:name="_Toc7678"/>
      <w:bookmarkStart w:id="803" w:name="_Toc420081865"/>
      <w:bookmarkStart w:id="804" w:name="_Toc8969"/>
      <w:bookmarkStart w:id="805" w:name="_Toc452136803"/>
      <w:bookmarkStart w:id="806" w:name="_Toc23391"/>
      <w:bookmarkStart w:id="807" w:name="_Toc20930"/>
      <w:bookmarkStart w:id="808" w:name="_Toc25729"/>
      <w:bookmarkStart w:id="809" w:name="_Toc287607783"/>
      <w:bookmarkStart w:id="810" w:name="_Toc200513163"/>
      <w:bookmarkStart w:id="811" w:name="_Toc3686"/>
      <w:bookmarkStart w:id="812" w:name="_Toc6595"/>
      <w:bookmarkStart w:id="813" w:name="_Toc420419701"/>
      <w:bookmarkStart w:id="814" w:name="_Toc419300000"/>
      <w:bookmarkStart w:id="815" w:name="_Toc29821"/>
      <w:r>
        <w:rPr>
          <w:rFonts w:hint="eastAsia" w:ascii="仿宋" w:hAnsi="仿宋" w:eastAsia="仿宋" w:cs="仿宋"/>
          <w:snapToGrid w:val="0"/>
          <w:color w:val="auto"/>
          <w:sz w:val="24"/>
          <w:szCs w:val="24"/>
          <w:highlight w:val="none"/>
        </w:rPr>
        <w:t>6.3评标</w:t>
      </w:r>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p>
    <w:p w14:paraId="03A51CDF">
      <w:pPr>
        <w:pageBreakBefore w:val="0"/>
        <w:widowControl w:val="0"/>
        <w:kinsoku/>
        <w:wordWrap/>
        <w:overflowPunct/>
        <w:topLinePunct w:val="0"/>
        <w:autoSpaceDE w:val="0"/>
        <w:autoSpaceDN w:val="0"/>
        <w:bidi w:val="0"/>
        <w:adjustRightInd w:val="0"/>
        <w:snapToGrid w:val="0"/>
        <w:spacing w:line="440" w:lineRule="exact"/>
        <w:ind w:firstLine="440" w:firstLineChars="200"/>
        <w:jc w:val="left"/>
        <w:textAlignment w:val="auto"/>
        <w:rPr>
          <w:rFonts w:hint="eastAsia" w:ascii="仿宋" w:hAnsi="仿宋" w:eastAsia="仿宋" w:cs="仿宋"/>
          <w:snapToGrid w:val="0"/>
          <w:color w:val="auto"/>
          <w:kern w:val="0"/>
          <w:sz w:val="22"/>
          <w:highlight w:val="none"/>
        </w:rPr>
      </w:pPr>
      <w:r>
        <w:rPr>
          <w:rFonts w:hint="eastAsia" w:ascii="仿宋" w:hAnsi="仿宋" w:eastAsia="仿宋" w:cs="仿宋"/>
          <w:snapToGrid w:val="0"/>
          <w:color w:val="auto"/>
          <w:kern w:val="0"/>
          <w:sz w:val="22"/>
          <w:highlight w:val="none"/>
        </w:rPr>
        <w:t>评标委员会按照第三章“评标办法”规定的方法、评审因素、标准和程序对投标文件进行评审。第三章“评标办法”没有规定的方法、评审因素和标准，不得作为评标依据。</w:t>
      </w:r>
    </w:p>
    <w:p w14:paraId="7051549A">
      <w:pPr>
        <w:pStyle w:val="3"/>
        <w:pageBreakBefore w:val="0"/>
        <w:widowControl w:val="0"/>
        <w:kinsoku/>
        <w:wordWrap/>
        <w:overflowPunct/>
        <w:topLinePunct w:val="0"/>
        <w:bidi w:val="0"/>
        <w:spacing w:before="120" w:beforeLines="50" w:after="120" w:afterLines="50" w:line="440" w:lineRule="exact"/>
        <w:textAlignment w:val="auto"/>
        <w:rPr>
          <w:rFonts w:hint="eastAsia" w:ascii="仿宋" w:hAnsi="仿宋" w:eastAsia="仿宋" w:cs="仿宋"/>
          <w:snapToGrid w:val="0"/>
          <w:color w:val="auto"/>
          <w:sz w:val="24"/>
          <w:szCs w:val="24"/>
          <w:highlight w:val="none"/>
        </w:rPr>
      </w:pPr>
      <w:bookmarkStart w:id="816" w:name="_Toc1453"/>
      <w:bookmarkStart w:id="817" w:name="_Toc11743"/>
      <w:bookmarkStart w:id="818" w:name="_Toc8332"/>
      <w:bookmarkStart w:id="819" w:name="_Toc287607784"/>
      <w:bookmarkStart w:id="820" w:name="_Toc5316"/>
      <w:bookmarkStart w:id="821" w:name="_Toc224103355"/>
      <w:bookmarkStart w:id="822" w:name="_Toc28918"/>
      <w:bookmarkStart w:id="823" w:name="_Toc26145"/>
      <w:bookmarkStart w:id="824" w:name="_Toc25040"/>
      <w:bookmarkStart w:id="825" w:name="_Toc15875"/>
      <w:bookmarkStart w:id="826" w:name="_Toc6767"/>
      <w:bookmarkStart w:id="827" w:name="_Toc7442"/>
      <w:bookmarkStart w:id="828" w:name="_Toc9833"/>
      <w:bookmarkStart w:id="829" w:name="_Toc200513164"/>
      <w:bookmarkStart w:id="830" w:name="_Toc277082590"/>
      <w:r>
        <w:rPr>
          <w:rFonts w:hint="eastAsia" w:ascii="仿宋" w:hAnsi="仿宋" w:eastAsia="仿宋" w:cs="仿宋"/>
          <w:snapToGrid w:val="0"/>
          <w:color w:val="auto"/>
          <w:sz w:val="24"/>
          <w:szCs w:val="24"/>
          <w:highlight w:val="none"/>
        </w:rPr>
        <w:t>7.合同授予</w:t>
      </w:r>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p>
    <w:p w14:paraId="7B277D9F">
      <w:pPr>
        <w:pStyle w:val="3"/>
        <w:pageBreakBefore w:val="0"/>
        <w:widowControl w:val="0"/>
        <w:kinsoku/>
        <w:wordWrap/>
        <w:overflowPunct/>
        <w:topLinePunct w:val="0"/>
        <w:bidi w:val="0"/>
        <w:spacing w:before="120" w:beforeLines="50" w:after="120" w:afterLines="50" w:line="440" w:lineRule="exact"/>
        <w:textAlignment w:val="auto"/>
        <w:rPr>
          <w:rFonts w:hint="eastAsia" w:ascii="仿宋" w:hAnsi="仿宋" w:eastAsia="仿宋" w:cs="仿宋"/>
          <w:snapToGrid w:val="0"/>
          <w:color w:val="auto"/>
          <w:sz w:val="24"/>
          <w:szCs w:val="24"/>
          <w:highlight w:val="none"/>
        </w:rPr>
      </w:pPr>
      <w:bookmarkStart w:id="831" w:name="_Toc200513165"/>
      <w:bookmarkStart w:id="832" w:name="_Toc436052173"/>
      <w:bookmarkStart w:id="833" w:name="_Toc17026"/>
      <w:bookmarkStart w:id="834" w:name="_Toc4493"/>
      <w:bookmarkStart w:id="835" w:name="_Toc32562"/>
      <w:bookmarkStart w:id="836" w:name="_Toc13798"/>
      <w:bookmarkStart w:id="837" w:name="_Toc420081867"/>
      <w:bookmarkStart w:id="838" w:name="_Toc224103356"/>
      <w:bookmarkStart w:id="839" w:name="_Toc287607785"/>
      <w:bookmarkStart w:id="840" w:name="_Toc28909"/>
      <w:bookmarkStart w:id="841" w:name="_Toc28791"/>
      <w:bookmarkStart w:id="842" w:name="_Toc420419703"/>
      <w:bookmarkStart w:id="843" w:name="_Toc452136805"/>
      <w:bookmarkStart w:id="844" w:name="_Toc5586"/>
      <w:bookmarkStart w:id="845" w:name="_Toc277082591"/>
      <w:bookmarkStart w:id="846" w:name="_Toc8692"/>
      <w:bookmarkStart w:id="847" w:name="_Toc3925"/>
      <w:bookmarkStart w:id="848" w:name="_Toc14506"/>
      <w:bookmarkStart w:id="849" w:name="_Toc1765"/>
      <w:bookmarkStart w:id="850" w:name="_Toc419300002"/>
      <w:r>
        <w:rPr>
          <w:rFonts w:hint="eastAsia" w:ascii="仿宋" w:hAnsi="仿宋" w:eastAsia="仿宋" w:cs="仿宋"/>
          <w:snapToGrid w:val="0"/>
          <w:color w:val="auto"/>
          <w:sz w:val="24"/>
          <w:szCs w:val="24"/>
          <w:highlight w:val="none"/>
        </w:rPr>
        <w:t>7.1定标方式</w:t>
      </w:r>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p>
    <w:p w14:paraId="350B2955">
      <w:pPr>
        <w:pageBreakBefore w:val="0"/>
        <w:widowControl w:val="0"/>
        <w:kinsoku/>
        <w:wordWrap/>
        <w:overflowPunct/>
        <w:topLinePunct w:val="0"/>
        <w:autoSpaceDE w:val="0"/>
        <w:autoSpaceDN w:val="0"/>
        <w:bidi w:val="0"/>
        <w:adjustRightInd w:val="0"/>
        <w:snapToGrid w:val="0"/>
        <w:spacing w:line="440" w:lineRule="exact"/>
        <w:ind w:firstLine="440" w:firstLineChars="200"/>
        <w:jc w:val="left"/>
        <w:textAlignment w:val="auto"/>
        <w:rPr>
          <w:rFonts w:hint="eastAsia" w:ascii="仿宋" w:hAnsi="仿宋" w:eastAsia="仿宋" w:cs="仿宋"/>
          <w:snapToGrid w:val="0"/>
          <w:color w:val="auto"/>
          <w:kern w:val="0"/>
          <w:sz w:val="22"/>
          <w:highlight w:val="none"/>
        </w:rPr>
      </w:pPr>
      <w:r>
        <w:rPr>
          <w:rFonts w:hint="eastAsia" w:ascii="仿宋" w:hAnsi="仿宋" w:eastAsia="仿宋" w:cs="仿宋"/>
          <w:snapToGrid w:val="0"/>
          <w:color w:val="auto"/>
          <w:kern w:val="0"/>
          <w:sz w:val="22"/>
          <w:highlight w:val="none"/>
        </w:rPr>
        <w:t>除投标人须知前附表规定评标委员会直接确定中选人外，招标人依据评标委员会推荐的中选候选人确定中选人，评标委员会推荐中选候选人的人数见投标人须知前附表。</w:t>
      </w:r>
    </w:p>
    <w:p w14:paraId="083D835D">
      <w:pPr>
        <w:pStyle w:val="3"/>
        <w:pageBreakBefore w:val="0"/>
        <w:widowControl w:val="0"/>
        <w:kinsoku/>
        <w:wordWrap/>
        <w:overflowPunct/>
        <w:topLinePunct w:val="0"/>
        <w:bidi w:val="0"/>
        <w:spacing w:before="120" w:beforeLines="50" w:after="120" w:afterLines="50" w:line="440" w:lineRule="exact"/>
        <w:textAlignment w:val="auto"/>
        <w:rPr>
          <w:rFonts w:hint="eastAsia" w:ascii="仿宋" w:hAnsi="仿宋" w:eastAsia="仿宋" w:cs="仿宋"/>
          <w:snapToGrid w:val="0"/>
          <w:color w:val="auto"/>
          <w:sz w:val="24"/>
          <w:szCs w:val="24"/>
          <w:highlight w:val="none"/>
        </w:rPr>
      </w:pPr>
      <w:bookmarkStart w:id="851" w:name="_Toc419300003"/>
      <w:bookmarkStart w:id="852" w:name="_Toc9601"/>
      <w:bookmarkStart w:id="853" w:name="_Toc436052174"/>
      <w:bookmarkStart w:id="854" w:name="_Toc287607786"/>
      <w:bookmarkStart w:id="855" w:name="_Toc443"/>
      <w:bookmarkStart w:id="856" w:name="_Toc420419704"/>
      <w:bookmarkStart w:id="857" w:name="_Toc20593"/>
      <w:bookmarkStart w:id="858" w:name="_Toc452136806"/>
      <w:bookmarkStart w:id="859" w:name="_Toc200513166"/>
      <w:bookmarkStart w:id="860" w:name="_Toc13176"/>
      <w:bookmarkStart w:id="861" w:name="_Toc224103357"/>
      <w:bookmarkStart w:id="862" w:name="_Toc7750"/>
      <w:bookmarkStart w:id="863" w:name="_Toc21297"/>
      <w:bookmarkStart w:id="864" w:name="_Toc23169"/>
      <w:bookmarkStart w:id="865" w:name="_Toc17413"/>
      <w:bookmarkStart w:id="866" w:name="_Toc28090"/>
      <w:bookmarkStart w:id="867" w:name="_Toc277082592"/>
      <w:bookmarkStart w:id="868" w:name="_Toc420081868"/>
      <w:bookmarkStart w:id="869" w:name="_Toc25197"/>
      <w:bookmarkStart w:id="870" w:name="_Toc30971"/>
      <w:r>
        <w:rPr>
          <w:rFonts w:hint="eastAsia" w:ascii="仿宋" w:hAnsi="仿宋" w:eastAsia="仿宋" w:cs="仿宋"/>
          <w:snapToGrid w:val="0"/>
          <w:color w:val="auto"/>
          <w:sz w:val="24"/>
          <w:szCs w:val="24"/>
          <w:highlight w:val="none"/>
        </w:rPr>
        <w:t>7.2中选通知</w:t>
      </w:r>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p>
    <w:p w14:paraId="3AE54653">
      <w:pPr>
        <w:pageBreakBefore w:val="0"/>
        <w:widowControl w:val="0"/>
        <w:kinsoku/>
        <w:wordWrap/>
        <w:overflowPunct/>
        <w:topLinePunct w:val="0"/>
        <w:autoSpaceDE w:val="0"/>
        <w:autoSpaceDN w:val="0"/>
        <w:bidi w:val="0"/>
        <w:adjustRightInd w:val="0"/>
        <w:snapToGrid w:val="0"/>
        <w:spacing w:line="440" w:lineRule="exact"/>
        <w:ind w:firstLine="440" w:firstLineChars="200"/>
        <w:jc w:val="left"/>
        <w:textAlignment w:val="auto"/>
        <w:rPr>
          <w:rFonts w:hint="eastAsia" w:ascii="仿宋" w:hAnsi="仿宋" w:eastAsia="仿宋" w:cs="仿宋"/>
          <w:snapToGrid w:val="0"/>
          <w:color w:val="auto"/>
          <w:kern w:val="0"/>
          <w:sz w:val="22"/>
          <w:highlight w:val="none"/>
        </w:rPr>
      </w:pPr>
      <w:r>
        <w:rPr>
          <w:rFonts w:hint="eastAsia" w:ascii="仿宋" w:hAnsi="仿宋" w:eastAsia="仿宋" w:cs="仿宋"/>
          <w:snapToGrid w:val="0"/>
          <w:color w:val="auto"/>
          <w:kern w:val="0"/>
          <w:sz w:val="22"/>
          <w:highlight w:val="none"/>
        </w:rPr>
        <w:t>在本章第3.3款规定的投标有效期内，招标人以书面形式向中选人发出中选通知书人。</w:t>
      </w:r>
    </w:p>
    <w:p w14:paraId="08C7B932">
      <w:pPr>
        <w:pStyle w:val="3"/>
        <w:pageBreakBefore w:val="0"/>
        <w:widowControl w:val="0"/>
        <w:kinsoku/>
        <w:wordWrap/>
        <w:overflowPunct/>
        <w:topLinePunct w:val="0"/>
        <w:bidi w:val="0"/>
        <w:spacing w:before="120" w:beforeLines="50" w:after="120" w:afterLines="50" w:line="440" w:lineRule="exact"/>
        <w:textAlignment w:val="auto"/>
        <w:rPr>
          <w:rFonts w:hint="eastAsia" w:ascii="仿宋" w:hAnsi="仿宋" w:eastAsia="仿宋" w:cs="仿宋"/>
          <w:snapToGrid w:val="0"/>
          <w:color w:val="auto"/>
          <w:sz w:val="24"/>
          <w:szCs w:val="24"/>
          <w:highlight w:val="none"/>
        </w:rPr>
      </w:pPr>
      <w:bookmarkStart w:id="871" w:name="_Toc9667"/>
      <w:bookmarkStart w:id="872" w:name="_Toc200513167"/>
      <w:bookmarkStart w:id="873" w:name="_Toc420081869"/>
      <w:bookmarkStart w:id="874" w:name="_Toc436052175"/>
      <w:bookmarkStart w:id="875" w:name="_Toc277082593"/>
      <w:bookmarkStart w:id="876" w:name="_Toc24184"/>
      <w:bookmarkStart w:id="877" w:name="_Toc420419705"/>
      <w:bookmarkStart w:id="878" w:name="_Toc8801"/>
      <w:bookmarkStart w:id="879" w:name="_Toc15212"/>
      <w:bookmarkStart w:id="880" w:name="_Toc452136807"/>
      <w:bookmarkStart w:id="881" w:name="_Toc287607787"/>
      <w:bookmarkStart w:id="882" w:name="_Toc18936"/>
      <w:bookmarkStart w:id="883" w:name="_Toc224103358"/>
      <w:bookmarkStart w:id="884" w:name="_Toc30880"/>
      <w:bookmarkStart w:id="885" w:name="_Toc419300004"/>
      <w:bookmarkStart w:id="886" w:name="_Toc13819"/>
      <w:bookmarkStart w:id="887" w:name="_Toc17139"/>
      <w:bookmarkStart w:id="888" w:name="_Toc18880"/>
      <w:bookmarkStart w:id="889" w:name="_Toc31789"/>
      <w:bookmarkStart w:id="890" w:name="_Toc26947"/>
      <w:r>
        <w:rPr>
          <w:rFonts w:hint="eastAsia" w:ascii="仿宋" w:hAnsi="仿宋" w:eastAsia="仿宋" w:cs="仿宋"/>
          <w:snapToGrid w:val="0"/>
          <w:color w:val="auto"/>
          <w:sz w:val="24"/>
          <w:szCs w:val="24"/>
          <w:highlight w:val="none"/>
        </w:rPr>
        <w:t>7.3履约担保</w:t>
      </w:r>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p>
    <w:p w14:paraId="378C16DA">
      <w:pPr>
        <w:rPr>
          <w:rFonts w:hint="eastAsia" w:eastAsia="仿宋"/>
          <w:lang w:val="en-US" w:eastAsia="zh-CN"/>
        </w:rPr>
      </w:pPr>
      <w:r>
        <w:rPr>
          <w:rFonts w:hint="eastAsia" w:ascii="仿宋" w:hAnsi="仿宋" w:eastAsia="仿宋" w:cs="仿宋"/>
          <w:snapToGrid w:val="0"/>
          <w:color w:val="auto"/>
          <w:sz w:val="24"/>
          <w:szCs w:val="24"/>
          <w:highlight w:val="none"/>
          <w:lang w:val="en-US" w:eastAsia="zh-CN"/>
        </w:rPr>
        <w:t>无</w:t>
      </w:r>
    </w:p>
    <w:p w14:paraId="1B704843">
      <w:pPr>
        <w:pStyle w:val="3"/>
        <w:pageBreakBefore w:val="0"/>
        <w:widowControl w:val="0"/>
        <w:kinsoku/>
        <w:wordWrap/>
        <w:overflowPunct/>
        <w:topLinePunct w:val="0"/>
        <w:bidi w:val="0"/>
        <w:spacing w:before="120" w:beforeLines="50" w:after="120" w:afterLines="50" w:line="440" w:lineRule="exact"/>
        <w:textAlignment w:val="auto"/>
        <w:rPr>
          <w:rFonts w:hint="eastAsia" w:ascii="仿宋" w:hAnsi="仿宋" w:eastAsia="仿宋" w:cs="仿宋"/>
          <w:snapToGrid w:val="0"/>
          <w:color w:val="auto"/>
          <w:sz w:val="24"/>
          <w:szCs w:val="24"/>
          <w:highlight w:val="none"/>
        </w:rPr>
      </w:pPr>
      <w:bookmarkStart w:id="891" w:name="_Toc287607788"/>
      <w:bookmarkStart w:id="892" w:name="_Toc420419706"/>
      <w:bookmarkStart w:id="893" w:name="_Toc20470"/>
      <w:bookmarkStart w:id="894" w:name="_Toc28238"/>
      <w:bookmarkStart w:id="895" w:name="_Toc7689"/>
      <w:bookmarkStart w:id="896" w:name="_Toc420081870"/>
      <w:bookmarkStart w:id="897" w:name="_Toc21951"/>
      <w:bookmarkStart w:id="898" w:name="_Toc452136808"/>
      <w:bookmarkStart w:id="899" w:name="_Toc5286"/>
      <w:bookmarkStart w:id="900" w:name="_Toc23146"/>
      <w:bookmarkStart w:id="901" w:name="_Toc224103359"/>
      <w:bookmarkStart w:id="902" w:name="_Toc26525"/>
      <w:bookmarkStart w:id="903" w:name="_Toc200513168"/>
      <w:bookmarkStart w:id="904" w:name="_Toc19353"/>
      <w:bookmarkStart w:id="905" w:name="_Toc9787"/>
      <w:bookmarkStart w:id="906" w:name="_Toc436052176"/>
      <w:bookmarkStart w:id="907" w:name="_Toc419300005"/>
      <w:bookmarkStart w:id="908" w:name="_Toc23357"/>
      <w:bookmarkStart w:id="909" w:name="_Toc277082594"/>
      <w:bookmarkStart w:id="910" w:name="_Toc14548"/>
      <w:r>
        <w:rPr>
          <w:rFonts w:hint="eastAsia" w:ascii="仿宋" w:hAnsi="仿宋" w:eastAsia="仿宋" w:cs="仿宋"/>
          <w:snapToGrid w:val="0"/>
          <w:color w:val="auto"/>
          <w:sz w:val="24"/>
          <w:szCs w:val="24"/>
          <w:highlight w:val="none"/>
        </w:rPr>
        <w:t>7.4签订合同</w:t>
      </w:r>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p>
    <w:p w14:paraId="3D90E870">
      <w:pPr>
        <w:pageBreakBefore w:val="0"/>
        <w:widowControl w:val="0"/>
        <w:kinsoku/>
        <w:wordWrap/>
        <w:overflowPunct/>
        <w:topLinePunct w:val="0"/>
        <w:autoSpaceDE w:val="0"/>
        <w:autoSpaceDN w:val="0"/>
        <w:bidi w:val="0"/>
        <w:adjustRightInd w:val="0"/>
        <w:snapToGrid w:val="0"/>
        <w:spacing w:line="440" w:lineRule="exact"/>
        <w:ind w:firstLine="440" w:firstLineChars="200"/>
        <w:textAlignment w:val="auto"/>
        <w:rPr>
          <w:rFonts w:hint="eastAsia" w:ascii="仿宋" w:hAnsi="仿宋" w:eastAsia="仿宋" w:cs="仿宋"/>
          <w:snapToGrid w:val="0"/>
          <w:color w:val="auto"/>
          <w:kern w:val="0"/>
          <w:sz w:val="22"/>
          <w:highlight w:val="none"/>
        </w:rPr>
      </w:pPr>
      <w:r>
        <w:rPr>
          <w:rFonts w:hint="eastAsia" w:ascii="仿宋" w:hAnsi="仿宋" w:eastAsia="仿宋" w:cs="仿宋"/>
          <w:snapToGrid w:val="0"/>
          <w:color w:val="auto"/>
          <w:kern w:val="0"/>
          <w:sz w:val="22"/>
          <w:highlight w:val="none"/>
        </w:rPr>
        <w:t>7.4.1公示结束后3天内，无异议或异议不成立，招标人和中选人按招标文件的要求及时签订书面合同。中选人无正当理由拒签合同的，招标人取消其中选资格，给招标人造成的损失超过投标保证金数额的，中选人还应当对超过部分予以赔偿。</w:t>
      </w:r>
    </w:p>
    <w:p w14:paraId="7B31F011">
      <w:pPr>
        <w:pStyle w:val="3"/>
        <w:pageBreakBefore w:val="0"/>
        <w:widowControl w:val="0"/>
        <w:kinsoku/>
        <w:wordWrap/>
        <w:overflowPunct/>
        <w:topLinePunct w:val="0"/>
        <w:bidi w:val="0"/>
        <w:spacing w:before="120" w:beforeLines="50" w:after="120" w:afterLines="50" w:line="440" w:lineRule="exact"/>
        <w:textAlignment w:val="auto"/>
        <w:rPr>
          <w:rFonts w:hint="eastAsia" w:ascii="仿宋" w:hAnsi="仿宋" w:eastAsia="仿宋" w:cs="仿宋"/>
          <w:snapToGrid w:val="0"/>
          <w:color w:val="auto"/>
          <w:sz w:val="24"/>
          <w:szCs w:val="24"/>
          <w:highlight w:val="none"/>
        </w:rPr>
      </w:pPr>
      <w:bookmarkStart w:id="911" w:name="_Toc9158"/>
      <w:bookmarkStart w:id="912" w:name="_Toc9342"/>
      <w:bookmarkStart w:id="913" w:name="_Toc7288"/>
      <w:bookmarkStart w:id="914" w:name="_Toc30955"/>
      <w:bookmarkStart w:id="915" w:name="_Toc5668"/>
      <w:bookmarkStart w:id="916" w:name="_Toc224103360"/>
      <w:bookmarkStart w:id="917" w:name="_Toc20204"/>
      <w:bookmarkStart w:id="918" w:name="_Toc5472"/>
      <w:bookmarkStart w:id="919" w:name="_Toc277082595"/>
      <w:bookmarkStart w:id="920" w:name="_Toc10149"/>
      <w:bookmarkStart w:id="921" w:name="_Toc287607789"/>
      <w:bookmarkStart w:id="922" w:name="_Toc24301"/>
      <w:bookmarkStart w:id="923" w:name="_Toc31783"/>
      <w:bookmarkStart w:id="924" w:name="_Toc31580"/>
      <w:bookmarkStart w:id="925" w:name="_Toc200513169"/>
      <w:r>
        <w:rPr>
          <w:rFonts w:hint="eastAsia" w:ascii="仿宋" w:hAnsi="仿宋" w:eastAsia="仿宋" w:cs="仿宋"/>
          <w:snapToGrid w:val="0"/>
          <w:color w:val="auto"/>
          <w:sz w:val="24"/>
          <w:szCs w:val="24"/>
          <w:highlight w:val="none"/>
        </w:rPr>
        <w:t>8.重新比选和不再比选</w:t>
      </w:r>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p>
    <w:p w14:paraId="45D3C525">
      <w:pPr>
        <w:pStyle w:val="3"/>
        <w:pageBreakBefore w:val="0"/>
        <w:widowControl w:val="0"/>
        <w:kinsoku/>
        <w:wordWrap/>
        <w:overflowPunct/>
        <w:topLinePunct w:val="0"/>
        <w:bidi w:val="0"/>
        <w:spacing w:before="120" w:beforeLines="50" w:after="120" w:afterLines="50" w:line="440" w:lineRule="exact"/>
        <w:textAlignment w:val="auto"/>
        <w:rPr>
          <w:rFonts w:hint="eastAsia" w:ascii="仿宋" w:hAnsi="仿宋" w:eastAsia="仿宋" w:cs="仿宋"/>
          <w:snapToGrid w:val="0"/>
          <w:color w:val="auto"/>
          <w:sz w:val="24"/>
          <w:szCs w:val="24"/>
          <w:highlight w:val="none"/>
        </w:rPr>
      </w:pPr>
      <w:bookmarkStart w:id="926" w:name="_Toc200513170"/>
      <w:bookmarkStart w:id="927" w:name="_Toc21776"/>
      <w:bookmarkStart w:id="928" w:name="_Toc28905"/>
      <w:bookmarkStart w:id="929" w:name="_Toc420081872"/>
      <w:bookmarkStart w:id="930" w:name="_Toc7893"/>
      <w:bookmarkStart w:id="931" w:name="_Toc452136810"/>
      <w:bookmarkStart w:id="932" w:name="_Toc29750"/>
      <w:bookmarkStart w:id="933" w:name="_Toc28554"/>
      <w:bookmarkStart w:id="934" w:name="_Toc16486"/>
      <w:bookmarkStart w:id="935" w:name="_Toc22299"/>
      <w:bookmarkStart w:id="936" w:name="_Toc26124"/>
      <w:bookmarkStart w:id="937" w:name="_Toc26335"/>
      <w:bookmarkStart w:id="938" w:name="_Toc287607790"/>
      <w:bookmarkStart w:id="939" w:name="_Toc24155"/>
      <w:bookmarkStart w:id="940" w:name="_Toc419300007"/>
      <w:bookmarkStart w:id="941" w:name="_Toc436052178"/>
      <w:bookmarkStart w:id="942" w:name="_Toc224103361"/>
      <w:bookmarkStart w:id="943" w:name="_Toc277082596"/>
      <w:bookmarkStart w:id="944" w:name="_Toc28545"/>
      <w:bookmarkStart w:id="945" w:name="_Toc420419708"/>
      <w:r>
        <w:rPr>
          <w:rFonts w:hint="eastAsia" w:ascii="仿宋" w:hAnsi="仿宋" w:eastAsia="仿宋" w:cs="仿宋"/>
          <w:snapToGrid w:val="0"/>
          <w:color w:val="auto"/>
          <w:sz w:val="24"/>
          <w:szCs w:val="24"/>
          <w:highlight w:val="none"/>
        </w:rPr>
        <w:t>8.1重新比选</w:t>
      </w:r>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p>
    <w:p w14:paraId="683EF7C7">
      <w:pPr>
        <w:pageBreakBefore w:val="0"/>
        <w:widowControl w:val="0"/>
        <w:kinsoku/>
        <w:wordWrap/>
        <w:overflowPunct/>
        <w:topLinePunct w:val="0"/>
        <w:autoSpaceDE w:val="0"/>
        <w:autoSpaceDN w:val="0"/>
        <w:bidi w:val="0"/>
        <w:adjustRightInd w:val="0"/>
        <w:snapToGrid w:val="0"/>
        <w:spacing w:line="440" w:lineRule="exact"/>
        <w:ind w:firstLine="440" w:firstLineChars="200"/>
        <w:jc w:val="left"/>
        <w:textAlignment w:val="auto"/>
        <w:rPr>
          <w:rFonts w:hint="eastAsia" w:ascii="仿宋" w:hAnsi="仿宋" w:eastAsia="仿宋" w:cs="仿宋"/>
          <w:snapToGrid w:val="0"/>
          <w:color w:val="auto"/>
          <w:kern w:val="0"/>
          <w:sz w:val="22"/>
          <w:highlight w:val="none"/>
        </w:rPr>
      </w:pPr>
      <w:r>
        <w:rPr>
          <w:rFonts w:hint="eastAsia" w:ascii="仿宋" w:hAnsi="仿宋" w:eastAsia="仿宋" w:cs="仿宋"/>
          <w:snapToGrid w:val="0"/>
          <w:color w:val="auto"/>
          <w:kern w:val="0"/>
          <w:sz w:val="22"/>
          <w:highlight w:val="none"/>
        </w:rPr>
        <w:t>有下列情形之一的，招标人将重新比选：</w:t>
      </w:r>
    </w:p>
    <w:p w14:paraId="52B4773E">
      <w:pPr>
        <w:pageBreakBefore w:val="0"/>
        <w:widowControl w:val="0"/>
        <w:kinsoku/>
        <w:wordWrap/>
        <w:overflowPunct/>
        <w:topLinePunct w:val="0"/>
        <w:autoSpaceDE w:val="0"/>
        <w:autoSpaceDN w:val="0"/>
        <w:bidi w:val="0"/>
        <w:adjustRightInd w:val="0"/>
        <w:snapToGrid w:val="0"/>
        <w:spacing w:line="440" w:lineRule="exact"/>
        <w:ind w:firstLine="440" w:firstLineChars="200"/>
        <w:jc w:val="left"/>
        <w:textAlignment w:val="auto"/>
        <w:rPr>
          <w:rFonts w:hint="eastAsia" w:ascii="仿宋" w:hAnsi="仿宋" w:eastAsia="仿宋" w:cs="仿宋"/>
          <w:snapToGrid w:val="0"/>
          <w:color w:val="auto"/>
          <w:kern w:val="0"/>
          <w:sz w:val="22"/>
          <w:highlight w:val="none"/>
        </w:rPr>
      </w:pPr>
      <w:r>
        <w:rPr>
          <w:rFonts w:hint="eastAsia" w:ascii="仿宋" w:hAnsi="仿宋" w:eastAsia="仿宋" w:cs="仿宋"/>
          <w:snapToGrid w:val="0"/>
          <w:color w:val="auto"/>
          <w:kern w:val="0"/>
          <w:sz w:val="22"/>
          <w:highlight w:val="none"/>
        </w:rPr>
        <w:t>（1）投标截止时间止，投标人少于3个的；</w:t>
      </w:r>
    </w:p>
    <w:p w14:paraId="704F5937">
      <w:pPr>
        <w:pageBreakBefore w:val="0"/>
        <w:widowControl w:val="0"/>
        <w:kinsoku/>
        <w:wordWrap/>
        <w:overflowPunct/>
        <w:topLinePunct w:val="0"/>
        <w:autoSpaceDE w:val="0"/>
        <w:autoSpaceDN w:val="0"/>
        <w:bidi w:val="0"/>
        <w:adjustRightInd w:val="0"/>
        <w:snapToGrid w:val="0"/>
        <w:spacing w:line="440" w:lineRule="exact"/>
        <w:ind w:firstLine="440" w:firstLineChars="200"/>
        <w:jc w:val="left"/>
        <w:textAlignment w:val="auto"/>
        <w:rPr>
          <w:rFonts w:hint="eastAsia" w:ascii="仿宋" w:hAnsi="仿宋" w:eastAsia="仿宋" w:cs="仿宋"/>
          <w:snapToGrid w:val="0"/>
          <w:color w:val="auto"/>
          <w:kern w:val="0"/>
          <w:sz w:val="22"/>
          <w:highlight w:val="none"/>
        </w:rPr>
      </w:pPr>
      <w:r>
        <w:rPr>
          <w:rFonts w:hint="eastAsia" w:ascii="仿宋" w:hAnsi="仿宋" w:eastAsia="仿宋" w:cs="仿宋"/>
          <w:snapToGrid w:val="0"/>
          <w:color w:val="auto"/>
          <w:kern w:val="0"/>
          <w:sz w:val="22"/>
          <w:highlight w:val="none"/>
        </w:rPr>
        <w:t>（2）经评标委员会评审后否决所有投标的。</w:t>
      </w:r>
    </w:p>
    <w:p w14:paraId="2F1E8F10">
      <w:pPr>
        <w:pStyle w:val="3"/>
        <w:pageBreakBefore w:val="0"/>
        <w:widowControl w:val="0"/>
        <w:kinsoku/>
        <w:wordWrap/>
        <w:overflowPunct/>
        <w:topLinePunct w:val="0"/>
        <w:bidi w:val="0"/>
        <w:spacing w:before="120" w:beforeLines="50" w:after="120" w:afterLines="50" w:line="440" w:lineRule="exact"/>
        <w:textAlignment w:val="auto"/>
        <w:rPr>
          <w:rFonts w:hint="eastAsia" w:ascii="仿宋" w:hAnsi="仿宋" w:eastAsia="仿宋" w:cs="仿宋"/>
          <w:snapToGrid w:val="0"/>
          <w:color w:val="auto"/>
          <w:sz w:val="24"/>
          <w:szCs w:val="24"/>
          <w:highlight w:val="none"/>
        </w:rPr>
      </w:pPr>
      <w:bookmarkStart w:id="946" w:name="_Toc419300008"/>
      <w:bookmarkStart w:id="947" w:name="_Toc26287"/>
      <w:bookmarkStart w:id="948" w:name="_Toc25167"/>
      <w:bookmarkStart w:id="949" w:name="_Toc436052179"/>
      <w:bookmarkStart w:id="950" w:name="_Toc18368"/>
      <w:bookmarkStart w:id="951" w:name="_Toc18632"/>
      <w:bookmarkStart w:id="952" w:name="_Toc200513171"/>
      <w:bookmarkStart w:id="953" w:name="_Toc287607791"/>
      <w:bookmarkStart w:id="954" w:name="_Toc224103362"/>
      <w:bookmarkStart w:id="955" w:name="_Toc277082597"/>
      <w:bookmarkStart w:id="956" w:name="_Toc452136811"/>
      <w:bookmarkStart w:id="957" w:name="_Toc15303"/>
      <w:bookmarkStart w:id="958" w:name="_Toc972"/>
      <w:bookmarkStart w:id="959" w:name="_Toc1417"/>
      <w:bookmarkStart w:id="960" w:name="_Toc29158"/>
      <w:bookmarkStart w:id="961" w:name="_Toc420419709"/>
      <w:bookmarkStart w:id="962" w:name="_Toc11288"/>
      <w:bookmarkStart w:id="963" w:name="_Toc3241"/>
      <w:bookmarkStart w:id="964" w:name="_Toc10540"/>
      <w:bookmarkStart w:id="965" w:name="_Toc420081873"/>
      <w:r>
        <w:rPr>
          <w:rFonts w:hint="eastAsia" w:ascii="仿宋" w:hAnsi="仿宋" w:eastAsia="仿宋" w:cs="仿宋"/>
          <w:snapToGrid w:val="0"/>
          <w:color w:val="auto"/>
          <w:sz w:val="24"/>
          <w:szCs w:val="24"/>
          <w:highlight w:val="none"/>
        </w:rPr>
        <w:t>8.2二次比选和不再比选</w:t>
      </w:r>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p>
    <w:p w14:paraId="42632ADC">
      <w:pPr>
        <w:pageBreakBefore w:val="0"/>
        <w:widowControl w:val="0"/>
        <w:kinsoku/>
        <w:wordWrap/>
        <w:overflowPunct/>
        <w:topLinePunct w:val="0"/>
        <w:autoSpaceDE w:val="0"/>
        <w:autoSpaceDN w:val="0"/>
        <w:bidi w:val="0"/>
        <w:adjustRightInd w:val="0"/>
        <w:snapToGrid w:val="0"/>
        <w:spacing w:line="440" w:lineRule="exact"/>
        <w:ind w:firstLine="440" w:firstLineChars="200"/>
        <w:jc w:val="left"/>
        <w:textAlignment w:val="auto"/>
        <w:rPr>
          <w:rFonts w:hint="eastAsia" w:ascii="仿宋" w:hAnsi="仿宋" w:eastAsia="仿宋" w:cs="仿宋"/>
          <w:snapToGrid w:val="0"/>
          <w:color w:val="auto"/>
          <w:kern w:val="0"/>
          <w:sz w:val="22"/>
          <w:highlight w:val="none"/>
        </w:rPr>
      </w:pPr>
      <w:r>
        <w:rPr>
          <w:rFonts w:hint="eastAsia" w:ascii="仿宋" w:hAnsi="仿宋" w:eastAsia="仿宋" w:cs="仿宋"/>
          <w:snapToGrid w:val="0"/>
          <w:color w:val="auto"/>
          <w:kern w:val="0"/>
          <w:sz w:val="22"/>
          <w:highlight w:val="none"/>
        </w:rPr>
        <w:t>重新比选后投标人仍少于3个，按法定程序开标和评标，确定中选人。经评审无合格投标人，属于必须审批或核准的工程建设项目，经原审批或核准部门批准后不再进行比选。</w:t>
      </w:r>
    </w:p>
    <w:p w14:paraId="71700FC9">
      <w:pPr>
        <w:pStyle w:val="3"/>
        <w:pageBreakBefore w:val="0"/>
        <w:widowControl w:val="0"/>
        <w:kinsoku/>
        <w:wordWrap/>
        <w:overflowPunct/>
        <w:topLinePunct w:val="0"/>
        <w:bidi w:val="0"/>
        <w:spacing w:before="120" w:beforeLines="50" w:after="120" w:afterLines="50" w:line="440" w:lineRule="exact"/>
        <w:textAlignment w:val="auto"/>
        <w:rPr>
          <w:rFonts w:hint="eastAsia" w:ascii="仿宋" w:hAnsi="仿宋" w:eastAsia="仿宋" w:cs="仿宋"/>
          <w:snapToGrid w:val="0"/>
          <w:color w:val="auto"/>
          <w:sz w:val="24"/>
          <w:szCs w:val="24"/>
          <w:highlight w:val="none"/>
        </w:rPr>
      </w:pPr>
      <w:bookmarkStart w:id="966" w:name="_Toc287607792"/>
      <w:bookmarkStart w:id="967" w:name="_Toc4510"/>
      <w:bookmarkStart w:id="968" w:name="_Toc28672"/>
      <w:bookmarkStart w:id="969" w:name="_Toc7185"/>
      <w:bookmarkStart w:id="970" w:name="_Toc21944"/>
      <w:bookmarkStart w:id="971" w:name="_Toc29012"/>
      <w:bookmarkStart w:id="972" w:name="_Toc12088"/>
      <w:bookmarkStart w:id="973" w:name="_Toc11800"/>
      <w:bookmarkStart w:id="974" w:name="_Toc6163"/>
      <w:bookmarkStart w:id="975" w:name="_Toc224103363"/>
      <w:bookmarkStart w:id="976" w:name="_Toc24661"/>
      <w:bookmarkStart w:id="977" w:name="_Toc4319"/>
      <w:bookmarkStart w:id="978" w:name="_Toc200513172"/>
      <w:bookmarkStart w:id="979" w:name="_Toc277082598"/>
      <w:bookmarkStart w:id="980" w:name="_Toc18620"/>
      <w:r>
        <w:rPr>
          <w:rFonts w:hint="eastAsia" w:ascii="仿宋" w:hAnsi="仿宋" w:eastAsia="仿宋" w:cs="仿宋"/>
          <w:snapToGrid w:val="0"/>
          <w:color w:val="auto"/>
          <w:sz w:val="24"/>
          <w:szCs w:val="24"/>
          <w:highlight w:val="none"/>
        </w:rPr>
        <w:t>9.纪律和监督</w:t>
      </w:r>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p>
    <w:p w14:paraId="731A985D">
      <w:pPr>
        <w:pStyle w:val="3"/>
        <w:pageBreakBefore w:val="0"/>
        <w:widowControl w:val="0"/>
        <w:kinsoku/>
        <w:wordWrap/>
        <w:overflowPunct/>
        <w:topLinePunct w:val="0"/>
        <w:bidi w:val="0"/>
        <w:spacing w:before="120" w:beforeLines="50" w:after="120" w:afterLines="50" w:line="440" w:lineRule="exact"/>
        <w:textAlignment w:val="auto"/>
        <w:rPr>
          <w:rFonts w:hint="eastAsia" w:ascii="仿宋" w:hAnsi="仿宋" w:eastAsia="仿宋" w:cs="仿宋"/>
          <w:snapToGrid w:val="0"/>
          <w:color w:val="auto"/>
          <w:sz w:val="24"/>
          <w:szCs w:val="24"/>
          <w:highlight w:val="none"/>
        </w:rPr>
      </w:pPr>
      <w:bookmarkStart w:id="981" w:name="_Toc12905"/>
      <w:bookmarkStart w:id="982" w:name="_Toc277082599"/>
      <w:bookmarkStart w:id="983" w:name="_Toc6154"/>
      <w:bookmarkStart w:id="984" w:name="_Toc436052181"/>
      <w:bookmarkStart w:id="985" w:name="_Toc7554"/>
      <w:bookmarkStart w:id="986" w:name="_Toc420081875"/>
      <w:bookmarkStart w:id="987" w:name="_Toc21013"/>
      <w:bookmarkStart w:id="988" w:name="_Toc14450"/>
      <w:bookmarkStart w:id="989" w:name="_Toc224103364"/>
      <w:bookmarkStart w:id="990" w:name="_Toc200513173"/>
      <w:bookmarkStart w:id="991" w:name="_Toc22509"/>
      <w:bookmarkStart w:id="992" w:name="_Toc420419711"/>
      <w:bookmarkStart w:id="993" w:name="_Toc12597"/>
      <w:bookmarkStart w:id="994" w:name="_Toc13984"/>
      <w:bookmarkStart w:id="995" w:name="_Toc287607793"/>
      <w:bookmarkStart w:id="996" w:name="_Toc32672"/>
      <w:bookmarkStart w:id="997" w:name="_Toc419300010"/>
      <w:bookmarkStart w:id="998" w:name="_Toc23891"/>
      <w:bookmarkStart w:id="999" w:name="_Toc452136813"/>
      <w:bookmarkStart w:id="1000" w:name="_Toc6846"/>
      <w:r>
        <w:rPr>
          <w:rFonts w:hint="eastAsia" w:ascii="仿宋" w:hAnsi="仿宋" w:eastAsia="仿宋" w:cs="仿宋"/>
          <w:snapToGrid w:val="0"/>
          <w:color w:val="auto"/>
          <w:sz w:val="24"/>
          <w:szCs w:val="24"/>
          <w:highlight w:val="none"/>
        </w:rPr>
        <w:t>9.1对招标人的纪律要求</w:t>
      </w:r>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p>
    <w:p w14:paraId="5E541BD9">
      <w:pPr>
        <w:pageBreakBefore w:val="0"/>
        <w:widowControl w:val="0"/>
        <w:kinsoku/>
        <w:wordWrap/>
        <w:overflowPunct/>
        <w:topLinePunct w:val="0"/>
        <w:autoSpaceDE w:val="0"/>
        <w:autoSpaceDN w:val="0"/>
        <w:bidi w:val="0"/>
        <w:adjustRightInd w:val="0"/>
        <w:snapToGrid w:val="0"/>
        <w:spacing w:line="440" w:lineRule="exact"/>
        <w:ind w:firstLine="440" w:firstLineChars="200"/>
        <w:jc w:val="left"/>
        <w:textAlignment w:val="auto"/>
        <w:rPr>
          <w:rFonts w:hint="eastAsia" w:ascii="仿宋" w:hAnsi="仿宋" w:eastAsia="仿宋" w:cs="仿宋"/>
          <w:snapToGrid w:val="0"/>
          <w:color w:val="auto"/>
          <w:kern w:val="0"/>
          <w:sz w:val="22"/>
          <w:highlight w:val="none"/>
        </w:rPr>
      </w:pPr>
      <w:r>
        <w:rPr>
          <w:rFonts w:hint="eastAsia" w:ascii="仿宋" w:hAnsi="仿宋" w:eastAsia="仿宋" w:cs="仿宋"/>
          <w:snapToGrid w:val="0"/>
          <w:color w:val="auto"/>
          <w:kern w:val="0"/>
          <w:sz w:val="22"/>
          <w:highlight w:val="none"/>
        </w:rPr>
        <w:t>招标人不得泄漏招标活动中应当保密的情况和资料，不得与投标人串通损害国家利益、社会公共利益或者他人合法权益，禁止招标人与投标人串通投标。</w:t>
      </w:r>
    </w:p>
    <w:p w14:paraId="5BBD3B9B">
      <w:pPr>
        <w:pageBreakBefore w:val="0"/>
        <w:widowControl w:val="0"/>
        <w:kinsoku/>
        <w:wordWrap/>
        <w:overflowPunct/>
        <w:topLinePunct w:val="0"/>
        <w:autoSpaceDE w:val="0"/>
        <w:autoSpaceDN w:val="0"/>
        <w:bidi w:val="0"/>
        <w:adjustRightInd w:val="0"/>
        <w:snapToGrid w:val="0"/>
        <w:spacing w:line="440" w:lineRule="exact"/>
        <w:ind w:firstLine="440" w:firstLineChars="200"/>
        <w:jc w:val="left"/>
        <w:textAlignment w:val="auto"/>
        <w:rPr>
          <w:rFonts w:hint="eastAsia" w:ascii="仿宋" w:hAnsi="仿宋" w:eastAsia="仿宋" w:cs="仿宋"/>
          <w:snapToGrid w:val="0"/>
          <w:color w:val="auto"/>
          <w:kern w:val="0"/>
          <w:sz w:val="22"/>
          <w:highlight w:val="none"/>
        </w:rPr>
      </w:pPr>
      <w:r>
        <w:rPr>
          <w:rFonts w:hint="eastAsia" w:ascii="仿宋" w:hAnsi="仿宋" w:eastAsia="仿宋" w:cs="仿宋"/>
          <w:snapToGrid w:val="0"/>
          <w:color w:val="auto"/>
          <w:kern w:val="0"/>
          <w:sz w:val="22"/>
          <w:highlight w:val="none"/>
        </w:rPr>
        <w:t xml:space="preserve">    有下列情形之一的，属于招标人与投标人串通投标：</w:t>
      </w:r>
    </w:p>
    <w:p w14:paraId="05A4991B">
      <w:pPr>
        <w:pageBreakBefore w:val="0"/>
        <w:widowControl w:val="0"/>
        <w:kinsoku/>
        <w:wordWrap/>
        <w:overflowPunct/>
        <w:topLinePunct w:val="0"/>
        <w:autoSpaceDE w:val="0"/>
        <w:autoSpaceDN w:val="0"/>
        <w:bidi w:val="0"/>
        <w:adjustRightInd w:val="0"/>
        <w:snapToGrid w:val="0"/>
        <w:spacing w:line="440" w:lineRule="exact"/>
        <w:ind w:firstLine="440" w:firstLineChars="200"/>
        <w:jc w:val="left"/>
        <w:textAlignment w:val="auto"/>
        <w:rPr>
          <w:rFonts w:hint="eastAsia" w:ascii="仿宋" w:hAnsi="仿宋" w:eastAsia="仿宋" w:cs="仿宋"/>
          <w:snapToGrid w:val="0"/>
          <w:color w:val="auto"/>
          <w:kern w:val="0"/>
          <w:sz w:val="22"/>
          <w:highlight w:val="none"/>
        </w:rPr>
      </w:pPr>
      <w:r>
        <w:rPr>
          <w:rFonts w:hint="eastAsia" w:ascii="仿宋" w:hAnsi="仿宋" w:eastAsia="仿宋" w:cs="仿宋"/>
          <w:snapToGrid w:val="0"/>
          <w:color w:val="auto"/>
          <w:kern w:val="0"/>
          <w:sz w:val="22"/>
          <w:highlight w:val="none"/>
        </w:rPr>
        <w:t xml:space="preserve">    （1）招标人在开标前开启投标文件并将有关信息泄露给其他投标人;</w:t>
      </w:r>
    </w:p>
    <w:p w14:paraId="16925496">
      <w:pPr>
        <w:pageBreakBefore w:val="0"/>
        <w:widowControl w:val="0"/>
        <w:kinsoku/>
        <w:wordWrap/>
        <w:overflowPunct/>
        <w:topLinePunct w:val="0"/>
        <w:autoSpaceDE w:val="0"/>
        <w:autoSpaceDN w:val="0"/>
        <w:bidi w:val="0"/>
        <w:adjustRightInd w:val="0"/>
        <w:snapToGrid w:val="0"/>
        <w:spacing w:line="440" w:lineRule="exact"/>
        <w:ind w:firstLine="440" w:firstLineChars="200"/>
        <w:jc w:val="left"/>
        <w:textAlignment w:val="auto"/>
        <w:rPr>
          <w:rFonts w:hint="eastAsia" w:ascii="仿宋" w:hAnsi="仿宋" w:eastAsia="仿宋" w:cs="仿宋"/>
          <w:snapToGrid w:val="0"/>
          <w:color w:val="auto"/>
          <w:kern w:val="0"/>
          <w:sz w:val="22"/>
          <w:highlight w:val="none"/>
        </w:rPr>
      </w:pPr>
      <w:r>
        <w:rPr>
          <w:rFonts w:hint="eastAsia" w:ascii="仿宋" w:hAnsi="仿宋" w:eastAsia="仿宋" w:cs="仿宋"/>
          <w:snapToGrid w:val="0"/>
          <w:color w:val="auto"/>
          <w:kern w:val="0"/>
          <w:sz w:val="22"/>
          <w:highlight w:val="none"/>
        </w:rPr>
        <w:t xml:space="preserve">    （2）招标人直接或者间接向投标人泄露标底、评标委员会成员等信息；</w:t>
      </w:r>
    </w:p>
    <w:p w14:paraId="06C3C5AE">
      <w:pPr>
        <w:pageBreakBefore w:val="0"/>
        <w:widowControl w:val="0"/>
        <w:kinsoku/>
        <w:wordWrap/>
        <w:overflowPunct/>
        <w:topLinePunct w:val="0"/>
        <w:autoSpaceDE w:val="0"/>
        <w:autoSpaceDN w:val="0"/>
        <w:bidi w:val="0"/>
        <w:adjustRightInd w:val="0"/>
        <w:snapToGrid w:val="0"/>
        <w:spacing w:line="440" w:lineRule="exact"/>
        <w:ind w:firstLine="440" w:firstLineChars="200"/>
        <w:jc w:val="left"/>
        <w:textAlignment w:val="auto"/>
        <w:rPr>
          <w:rFonts w:hint="eastAsia" w:ascii="仿宋" w:hAnsi="仿宋" w:eastAsia="仿宋" w:cs="仿宋"/>
          <w:snapToGrid w:val="0"/>
          <w:color w:val="auto"/>
          <w:kern w:val="0"/>
          <w:sz w:val="22"/>
          <w:highlight w:val="none"/>
        </w:rPr>
      </w:pPr>
      <w:r>
        <w:rPr>
          <w:rFonts w:hint="eastAsia" w:ascii="仿宋" w:hAnsi="仿宋" w:eastAsia="仿宋" w:cs="仿宋"/>
          <w:snapToGrid w:val="0"/>
          <w:color w:val="auto"/>
          <w:kern w:val="0"/>
          <w:sz w:val="22"/>
          <w:highlight w:val="none"/>
        </w:rPr>
        <w:t xml:space="preserve">    （3）招标人明示或者暗示投标人压低或者抬高投标报价；</w:t>
      </w:r>
    </w:p>
    <w:p w14:paraId="1F8346C1">
      <w:pPr>
        <w:pageBreakBefore w:val="0"/>
        <w:widowControl w:val="0"/>
        <w:kinsoku/>
        <w:wordWrap/>
        <w:overflowPunct/>
        <w:topLinePunct w:val="0"/>
        <w:autoSpaceDE w:val="0"/>
        <w:autoSpaceDN w:val="0"/>
        <w:bidi w:val="0"/>
        <w:adjustRightInd w:val="0"/>
        <w:snapToGrid w:val="0"/>
        <w:spacing w:line="440" w:lineRule="exact"/>
        <w:ind w:firstLine="440" w:firstLineChars="200"/>
        <w:jc w:val="left"/>
        <w:textAlignment w:val="auto"/>
        <w:rPr>
          <w:rFonts w:hint="eastAsia" w:ascii="仿宋" w:hAnsi="仿宋" w:eastAsia="仿宋" w:cs="仿宋"/>
          <w:snapToGrid w:val="0"/>
          <w:color w:val="auto"/>
          <w:kern w:val="0"/>
          <w:sz w:val="22"/>
          <w:highlight w:val="none"/>
        </w:rPr>
      </w:pPr>
      <w:r>
        <w:rPr>
          <w:rFonts w:hint="eastAsia" w:ascii="仿宋" w:hAnsi="仿宋" w:eastAsia="仿宋" w:cs="仿宋"/>
          <w:snapToGrid w:val="0"/>
          <w:color w:val="auto"/>
          <w:kern w:val="0"/>
          <w:sz w:val="22"/>
          <w:highlight w:val="none"/>
        </w:rPr>
        <w:t xml:space="preserve">    （4）招标人授意投标人撤换、修改投标文件；</w:t>
      </w:r>
    </w:p>
    <w:p w14:paraId="0A3E29D7">
      <w:pPr>
        <w:pageBreakBefore w:val="0"/>
        <w:widowControl w:val="0"/>
        <w:kinsoku/>
        <w:wordWrap/>
        <w:overflowPunct/>
        <w:topLinePunct w:val="0"/>
        <w:autoSpaceDE w:val="0"/>
        <w:autoSpaceDN w:val="0"/>
        <w:bidi w:val="0"/>
        <w:adjustRightInd w:val="0"/>
        <w:snapToGrid w:val="0"/>
        <w:spacing w:line="440" w:lineRule="exact"/>
        <w:ind w:firstLine="440" w:firstLineChars="200"/>
        <w:jc w:val="left"/>
        <w:textAlignment w:val="auto"/>
        <w:rPr>
          <w:rFonts w:hint="eastAsia" w:ascii="仿宋" w:hAnsi="仿宋" w:eastAsia="仿宋" w:cs="仿宋"/>
          <w:snapToGrid w:val="0"/>
          <w:color w:val="auto"/>
          <w:kern w:val="0"/>
          <w:sz w:val="22"/>
          <w:highlight w:val="none"/>
        </w:rPr>
      </w:pPr>
      <w:r>
        <w:rPr>
          <w:rFonts w:hint="eastAsia" w:ascii="仿宋" w:hAnsi="仿宋" w:eastAsia="仿宋" w:cs="仿宋"/>
          <w:snapToGrid w:val="0"/>
          <w:color w:val="auto"/>
          <w:kern w:val="0"/>
          <w:sz w:val="22"/>
          <w:highlight w:val="none"/>
        </w:rPr>
        <w:t xml:space="preserve">    （5）招标人明示或者暗示投标人为特定投标人中选提供方便；</w:t>
      </w:r>
    </w:p>
    <w:p w14:paraId="0DD7DAC6">
      <w:pPr>
        <w:pageBreakBefore w:val="0"/>
        <w:widowControl w:val="0"/>
        <w:kinsoku/>
        <w:wordWrap/>
        <w:overflowPunct/>
        <w:topLinePunct w:val="0"/>
        <w:autoSpaceDE w:val="0"/>
        <w:autoSpaceDN w:val="0"/>
        <w:bidi w:val="0"/>
        <w:adjustRightInd w:val="0"/>
        <w:snapToGrid w:val="0"/>
        <w:spacing w:line="440" w:lineRule="exact"/>
        <w:ind w:firstLine="440" w:firstLineChars="200"/>
        <w:jc w:val="left"/>
        <w:textAlignment w:val="auto"/>
        <w:rPr>
          <w:rFonts w:hint="eastAsia" w:ascii="仿宋" w:hAnsi="仿宋" w:eastAsia="仿宋" w:cs="仿宋"/>
          <w:snapToGrid w:val="0"/>
          <w:color w:val="auto"/>
          <w:kern w:val="0"/>
          <w:sz w:val="22"/>
          <w:highlight w:val="none"/>
        </w:rPr>
      </w:pPr>
      <w:r>
        <w:rPr>
          <w:rFonts w:hint="eastAsia" w:ascii="仿宋" w:hAnsi="仿宋" w:eastAsia="仿宋" w:cs="仿宋"/>
          <w:snapToGrid w:val="0"/>
          <w:color w:val="auto"/>
          <w:kern w:val="0"/>
          <w:sz w:val="22"/>
          <w:highlight w:val="none"/>
        </w:rPr>
        <w:t xml:space="preserve">    （6）招标人与投标人为谋求特定投标人中选而采取的其他串通行为。</w:t>
      </w:r>
    </w:p>
    <w:p w14:paraId="2CF0A437">
      <w:pPr>
        <w:pStyle w:val="3"/>
        <w:pageBreakBefore w:val="0"/>
        <w:widowControl w:val="0"/>
        <w:kinsoku/>
        <w:wordWrap/>
        <w:overflowPunct/>
        <w:topLinePunct w:val="0"/>
        <w:bidi w:val="0"/>
        <w:spacing w:before="120" w:beforeLines="50" w:after="120" w:afterLines="50" w:line="440" w:lineRule="exact"/>
        <w:textAlignment w:val="auto"/>
        <w:rPr>
          <w:rFonts w:hint="eastAsia" w:ascii="仿宋" w:hAnsi="仿宋" w:eastAsia="仿宋" w:cs="仿宋"/>
          <w:snapToGrid w:val="0"/>
          <w:color w:val="auto"/>
          <w:sz w:val="24"/>
          <w:szCs w:val="24"/>
          <w:highlight w:val="none"/>
        </w:rPr>
      </w:pPr>
      <w:bookmarkStart w:id="1001" w:name="_Toc14705"/>
      <w:bookmarkStart w:id="1002" w:name="_Toc13338"/>
      <w:bookmarkStart w:id="1003" w:name="_Toc17716"/>
      <w:bookmarkStart w:id="1004" w:name="_Toc420419712"/>
      <w:bookmarkStart w:id="1005" w:name="_Toc224103365"/>
      <w:bookmarkStart w:id="1006" w:name="_Toc452136814"/>
      <w:bookmarkStart w:id="1007" w:name="_Toc22512"/>
      <w:bookmarkStart w:id="1008" w:name="_Toc22202"/>
      <w:bookmarkStart w:id="1009" w:name="_Toc14604"/>
      <w:bookmarkStart w:id="1010" w:name="_Toc16115"/>
      <w:bookmarkStart w:id="1011" w:name="_Toc9365"/>
      <w:bookmarkStart w:id="1012" w:name="_Toc1322"/>
      <w:bookmarkStart w:id="1013" w:name="_Toc200513174"/>
      <w:bookmarkStart w:id="1014" w:name="_Toc277082600"/>
      <w:bookmarkStart w:id="1015" w:name="_Toc287607794"/>
      <w:bookmarkStart w:id="1016" w:name="_Toc420081876"/>
      <w:bookmarkStart w:id="1017" w:name="_Toc16816"/>
      <w:bookmarkStart w:id="1018" w:name="_Toc436052182"/>
      <w:bookmarkStart w:id="1019" w:name="_Toc419300011"/>
      <w:bookmarkStart w:id="1020" w:name="_Toc14140"/>
      <w:r>
        <w:rPr>
          <w:rFonts w:hint="eastAsia" w:ascii="仿宋" w:hAnsi="仿宋" w:eastAsia="仿宋" w:cs="仿宋"/>
          <w:snapToGrid w:val="0"/>
          <w:color w:val="auto"/>
          <w:sz w:val="24"/>
          <w:szCs w:val="24"/>
          <w:highlight w:val="none"/>
        </w:rPr>
        <w:t>9.2对投标人的纪律要求</w:t>
      </w:r>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p>
    <w:p w14:paraId="26D893FF">
      <w:pPr>
        <w:pageBreakBefore w:val="0"/>
        <w:widowControl w:val="0"/>
        <w:kinsoku/>
        <w:wordWrap/>
        <w:overflowPunct/>
        <w:topLinePunct w:val="0"/>
        <w:autoSpaceDE w:val="0"/>
        <w:autoSpaceDN w:val="0"/>
        <w:bidi w:val="0"/>
        <w:adjustRightInd w:val="0"/>
        <w:snapToGrid w:val="0"/>
        <w:spacing w:line="440" w:lineRule="exact"/>
        <w:ind w:firstLine="440" w:firstLineChars="200"/>
        <w:textAlignment w:val="auto"/>
        <w:rPr>
          <w:rFonts w:hint="eastAsia" w:ascii="仿宋" w:hAnsi="仿宋" w:eastAsia="仿宋" w:cs="仿宋"/>
          <w:snapToGrid w:val="0"/>
          <w:color w:val="auto"/>
          <w:kern w:val="0"/>
          <w:sz w:val="22"/>
          <w:highlight w:val="none"/>
        </w:rPr>
      </w:pPr>
      <w:r>
        <w:rPr>
          <w:rFonts w:hint="eastAsia" w:ascii="仿宋" w:hAnsi="仿宋" w:eastAsia="仿宋" w:cs="仿宋"/>
          <w:snapToGrid w:val="0"/>
          <w:color w:val="auto"/>
          <w:kern w:val="0"/>
          <w:sz w:val="22"/>
          <w:highlight w:val="none"/>
        </w:rPr>
        <w:t>投标人不得相互串通投标或者与招标人串通投标，不得向招标人或者评标委员会成员行贿谋取中选，不得以他人名义投标或者以其他方式弄虚作假骗取中选；投标人不得以任何方式干扰、影响评标工作。</w:t>
      </w:r>
    </w:p>
    <w:p w14:paraId="5DB25216">
      <w:pPr>
        <w:pageBreakBefore w:val="0"/>
        <w:widowControl w:val="0"/>
        <w:kinsoku/>
        <w:wordWrap/>
        <w:overflowPunct/>
        <w:topLinePunct w:val="0"/>
        <w:autoSpaceDE w:val="0"/>
        <w:autoSpaceDN w:val="0"/>
        <w:bidi w:val="0"/>
        <w:adjustRightInd w:val="0"/>
        <w:snapToGrid w:val="0"/>
        <w:spacing w:line="440" w:lineRule="exact"/>
        <w:ind w:firstLine="440" w:firstLineChars="200"/>
        <w:textAlignment w:val="auto"/>
        <w:rPr>
          <w:rFonts w:hint="eastAsia" w:ascii="仿宋" w:hAnsi="仿宋" w:eastAsia="仿宋" w:cs="仿宋"/>
          <w:color w:val="auto"/>
          <w:sz w:val="22"/>
          <w:highlight w:val="none"/>
        </w:rPr>
      </w:pPr>
      <w:r>
        <w:rPr>
          <w:rFonts w:hint="eastAsia" w:ascii="仿宋" w:hAnsi="仿宋" w:eastAsia="仿宋" w:cs="仿宋"/>
          <w:color w:val="auto"/>
          <w:sz w:val="22"/>
          <w:highlight w:val="none"/>
        </w:rPr>
        <w:t xml:space="preserve">    有下列情形之一的，属于投标人相互串通投标：</w:t>
      </w:r>
    </w:p>
    <w:p w14:paraId="1D03F587">
      <w:pPr>
        <w:pageBreakBefore w:val="0"/>
        <w:widowControl w:val="0"/>
        <w:kinsoku/>
        <w:wordWrap/>
        <w:overflowPunct/>
        <w:topLinePunct w:val="0"/>
        <w:autoSpaceDE w:val="0"/>
        <w:autoSpaceDN w:val="0"/>
        <w:bidi w:val="0"/>
        <w:adjustRightInd w:val="0"/>
        <w:snapToGrid w:val="0"/>
        <w:spacing w:line="440" w:lineRule="exact"/>
        <w:ind w:firstLine="440" w:firstLineChars="200"/>
        <w:textAlignment w:val="auto"/>
        <w:rPr>
          <w:rFonts w:hint="eastAsia" w:ascii="仿宋" w:hAnsi="仿宋" w:eastAsia="仿宋" w:cs="仿宋"/>
          <w:color w:val="auto"/>
          <w:sz w:val="22"/>
          <w:highlight w:val="none"/>
        </w:rPr>
      </w:pPr>
      <w:r>
        <w:rPr>
          <w:rFonts w:hint="eastAsia" w:ascii="仿宋" w:hAnsi="仿宋" w:eastAsia="仿宋" w:cs="仿宋"/>
          <w:color w:val="auto"/>
          <w:sz w:val="22"/>
          <w:highlight w:val="none"/>
        </w:rPr>
        <w:t xml:space="preserve">    （1）投标人之间协商投标报价等投标文件的实质性内容；</w:t>
      </w:r>
    </w:p>
    <w:p w14:paraId="3BEF0639">
      <w:pPr>
        <w:pageBreakBefore w:val="0"/>
        <w:widowControl w:val="0"/>
        <w:kinsoku/>
        <w:wordWrap/>
        <w:overflowPunct/>
        <w:topLinePunct w:val="0"/>
        <w:autoSpaceDE w:val="0"/>
        <w:autoSpaceDN w:val="0"/>
        <w:bidi w:val="0"/>
        <w:adjustRightInd w:val="0"/>
        <w:snapToGrid w:val="0"/>
        <w:spacing w:line="440" w:lineRule="exact"/>
        <w:ind w:firstLine="440" w:firstLineChars="200"/>
        <w:textAlignment w:val="auto"/>
        <w:rPr>
          <w:rFonts w:hint="eastAsia" w:ascii="仿宋" w:hAnsi="仿宋" w:eastAsia="仿宋" w:cs="仿宋"/>
          <w:color w:val="auto"/>
          <w:sz w:val="22"/>
          <w:highlight w:val="none"/>
        </w:rPr>
      </w:pPr>
      <w:r>
        <w:rPr>
          <w:rFonts w:hint="eastAsia" w:ascii="仿宋" w:hAnsi="仿宋" w:eastAsia="仿宋" w:cs="仿宋"/>
          <w:color w:val="auto"/>
          <w:sz w:val="22"/>
          <w:highlight w:val="none"/>
        </w:rPr>
        <w:t xml:space="preserve">    （2）投标人之间约定中选人；</w:t>
      </w:r>
    </w:p>
    <w:p w14:paraId="5BCE8BCD">
      <w:pPr>
        <w:pageBreakBefore w:val="0"/>
        <w:widowControl w:val="0"/>
        <w:kinsoku/>
        <w:wordWrap/>
        <w:overflowPunct/>
        <w:topLinePunct w:val="0"/>
        <w:autoSpaceDE w:val="0"/>
        <w:autoSpaceDN w:val="0"/>
        <w:bidi w:val="0"/>
        <w:adjustRightInd w:val="0"/>
        <w:snapToGrid w:val="0"/>
        <w:spacing w:line="440" w:lineRule="exact"/>
        <w:ind w:firstLine="440" w:firstLineChars="200"/>
        <w:textAlignment w:val="auto"/>
        <w:rPr>
          <w:rFonts w:hint="eastAsia" w:ascii="仿宋" w:hAnsi="仿宋" w:eastAsia="仿宋" w:cs="仿宋"/>
          <w:color w:val="auto"/>
          <w:sz w:val="22"/>
          <w:highlight w:val="none"/>
        </w:rPr>
      </w:pPr>
      <w:r>
        <w:rPr>
          <w:rFonts w:hint="eastAsia" w:ascii="仿宋" w:hAnsi="仿宋" w:eastAsia="仿宋" w:cs="仿宋"/>
          <w:color w:val="auto"/>
          <w:sz w:val="22"/>
          <w:highlight w:val="none"/>
        </w:rPr>
        <w:t xml:space="preserve">    （3）投标人之间约定部分投标人放弃投标或者中选；</w:t>
      </w:r>
    </w:p>
    <w:p w14:paraId="1DD6222C">
      <w:pPr>
        <w:pageBreakBefore w:val="0"/>
        <w:widowControl w:val="0"/>
        <w:kinsoku/>
        <w:wordWrap/>
        <w:overflowPunct/>
        <w:topLinePunct w:val="0"/>
        <w:autoSpaceDE w:val="0"/>
        <w:autoSpaceDN w:val="0"/>
        <w:bidi w:val="0"/>
        <w:adjustRightInd w:val="0"/>
        <w:snapToGrid w:val="0"/>
        <w:spacing w:line="440" w:lineRule="exact"/>
        <w:ind w:firstLine="440" w:firstLineChars="200"/>
        <w:textAlignment w:val="auto"/>
        <w:rPr>
          <w:rFonts w:hint="eastAsia" w:ascii="仿宋" w:hAnsi="仿宋" w:eastAsia="仿宋" w:cs="仿宋"/>
          <w:color w:val="auto"/>
          <w:sz w:val="22"/>
          <w:highlight w:val="none"/>
        </w:rPr>
      </w:pPr>
      <w:r>
        <w:rPr>
          <w:rFonts w:hint="eastAsia" w:ascii="仿宋" w:hAnsi="仿宋" w:eastAsia="仿宋" w:cs="仿宋"/>
          <w:color w:val="auto"/>
          <w:sz w:val="22"/>
          <w:highlight w:val="none"/>
        </w:rPr>
        <w:t xml:space="preserve">    （4）属于同一集团、协会、商会等组织成员的投标人按照该组织要求协同投标；</w:t>
      </w:r>
    </w:p>
    <w:p w14:paraId="3AE9BEA3">
      <w:pPr>
        <w:pageBreakBefore w:val="0"/>
        <w:widowControl w:val="0"/>
        <w:kinsoku/>
        <w:wordWrap/>
        <w:overflowPunct/>
        <w:topLinePunct w:val="0"/>
        <w:autoSpaceDE w:val="0"/>
        <w:autoSpaceDN w:val="0"/>
        <w:bidi w:val="0"/>
        <w:adjustRightInd w:val="0"/>
        <w:snapToGrid w:val="0"/>
        <w:spacing w:line="440" w:lineRule="exact"/>
        <w:ind w:firstLine="440" w:firstLineChars="200"/>
        <w:textAlignment w:val="auto"/>
        <w:rPr>
          <w:rFonts w:hint="eastAsia" w:ascii="仿宋" w:hAnsi="仿宋" w:eastAsia="仿宋" w:cs="仿宋"/>
          <w:color w:val="auto"/>
          <w:sz w:val="22"/>
          <w:highlight w:val="none"/>
        </w:rPr>
      </w:pPr>
      <w:r>
        <w:rPr>
          <w:rFonts w:hint="eastAsia" w:ascii="仿宋" w:hAnsi="仿宋" w:eastAsia="仿宋" w:cs="仿宋"/>
          <w:color w:val="auto"/>
          <w:sz w:val="22"/>
          <w:highlight w:val="none"/>
        </w:rPr>
        <w:t xml:space="preserve">    （5）投标人之间为谋取中选或者排斥特定投标人而采取的其他联合行动。</w:t>
      </w:r>
    </w:p>
    <w:p w14:paraId="34434616">
      <w:pPr>
        <w:pageBreakBefore w:val="0"/>
        <w:widowControl w:val="0"/>
        <w:kinsoku/>
        <w:wordWrap/>
        <w:overflowPunct/>
        <w:topLinePunct w:val="0"/>
        <w:autoSpaceDE w:val="0"/>
        <w:autoSpaceDN w:val="0"/>
        <w:bidi w:val="0"/>
        <w:adjustRightInd w:val="0"/>
        <w:snapToGrid w:val="0"/>
        <w:spacing w:line="440" w:lineRule="exact"/>
        <w:ind w:firstLine="440" w:firstLineChars="200"/>
        <w:textAlignment w:val="auto"/>
        <w:rPr>
          <w:rFonts w:hint="eastAsia" w:ascii="仿宋" w:hAnsi="仿宋" w:eastAsia="仿宋" w:cs="仿宋"/>
          <w:color w:val="auto"/>
          <w:sz w:val="22"/>
          <w:highlight w:val="none"/>
        </w:rPr>
      </w:pPr>
      <w:r>
        <w:rPr>
          <w:rFonts w:hint="eastAsia" w:ascii="仿宋" w:hAnsi="仿宋" w:eastAsia="仿宋" w:cs="仿宋"/>
          <w:color w:val="auto"/>
          <w:sz w:val="22"/>
          <w:highlight w:val="none"/>
        </w:rPr>
        <w:t xml:space="preserve">    有下列情形之一的，视为投标人相互串通投标：</w:t>
      </w:r>
    </w:p>
    <w:p w14:paraId="13E48FCA">
      <w:pPr>
        <w:pageBreakBefore w:val="0"/>
        <w:widowControl w:val="0"/>
        <w:kinsoku/>
        <w:wordWrap/>
        <w:overflowPunct/>
        <w:topLinePunct w:val="0"/>
        <w:autoSpaceDE w:val="0"/>
        <w:autoSpaceDN w:val="0"/>
        <w:bidi w:val="0"/>
        <w:adjustRightInd w:val="0"/>
        <w:snapToGrid w:val="0"/>
        <w:spacing w:line="440" w:lineRule="exact"/>
        <w:ind w:firstLine="440" w:firstLineChars="200"/>
        <w:textAlignment w:val="auto"/>
        <w:rPr>
          <w:rFonts w:hint="eastAsia" w:ascii="仿宋" w:hAnsi="仿宋" w:eastAsia="仿宋" w:cs="仿宋"/>
          <w:color w:val="auto"/>
          <w:sz w:val="22"/>
          <w:highlight w:val="none"/>
        </w:rPr>
      </w:pPr>
      <w:r>
        <w:rPr>
          <w:rFonts w:hint="eastAsia" w:ascii="仿宋" w:hAnsi="仿宋" w:eastAsia="仿宋" w:cs="仿宋"/>
          <w:color w:val="auto"/>
          <w:sz w:val="22"/>
          <w:highlight w:val="none"/>
        </w:rPr>
        <w:t xml:space="preserve">    （1）不同投标人的投标文件由同一单位或者个人编制；</w:t>
      </w:r>
    </w:p>
    <w:p w14:paraId="426CEB09">
      <w:pPr>
        <w:pageBreakBefore w:val="0"/>
        <w:widowControl w:val="0"/>
        <w:kinsoku/>
        <w:wordWrap/>
        <w:overflowPunct/>
        <w:topLinePunct w:val="0"/>
        <w:autoSpaceDE w:val="0"/>
        <w:autoSpaceDN w:val="0"/>
        <w:bidi w:val="0"/>
        <w:adjustRightInd w:val="0"/>
        <w:snapToGrid w:val="0"/>
        <w:spacing w:line="440" w:lineRule="exact"/>
        <w:ind w:firstLine="440" w:firstLineChars="200"/>
        <w:textAlignment w:val="auto"/>
        <w:rPr>
          <w:rFonts w:hint="eastAsia" w:ascii="仿宋" w:hAnsi="仿宋" w:eastAsia="仿宋" w:cs="仿宋"/>
          <w:color w:val="auto"/>
          <w:sz w:val="22"/>
          <w:highlight w:val="none"/>
        </w:rPr>
      </w:pPr>
      <w:r>
        <w:rPr>
          <w:rFonts w:hint="eastAsia" w:ascii="仿宋" w:hAnsi="仿宋" w:eastAsia="仿宋" w:cs="仿宋"/>
          <w:color w:val="auto"/>
          <w:sz w:val="22"/>
          <w:highlight w:val="none"/>
        </w:rPr>
        <w:t xml:space="preserve">    （2）不同投标人委托同一单位或者个人办理投标事宜；</w:t>
      </w:r>
    </w:p>
    <w:p w14:paraId="67818A04">
      <w:pPr>
        <w:pageBreakBefore w:val="0"/>
        <w:widowControl w:val="0"/>
        <w:kinsoku/>
        <w:wordWrap/>
        <w:overflowPunct/>
        <w:topLinePunct w:val="0"/>
        <w:autoSpaceDE w:val="0"/>
        <w:autoSpaceDN w:val="0"/>
        <w:bidi w:val="0"/>
        <w:adjustRightInd w:val="0"/>
        <w:snapToGrid w:val="0"/>
        <w:spacing w:line="440" w:lineRule="exact"/>
        <w:ind w:firstLine="440" w:firstLineChars="200"/>
        <w:textAlignment w:val="auto"/>
        <w:rPr>
          <w:rFonts w:hint="eastAsia" w:ascii="仿宋" w:hAnsi="仿宋" w:eastAsia="仿宋" w:cs="仿宋"/>
          <w:color w:val="auto"/>
          <w:sz w:val="22"/>
          <w:highlight w:val="none"/>
        </w:rPr>
      </w:pPr>
      <w:r>
        <w:rPr>
          <w:rFonts w:hint="eastAsia" w:ascii="仿宋" w:hAnsi="仿宋" w:eastAsia="仿宋" w:cs="仿宋"/>
          <w:color w:val="auto"/>
          <w:sz w:val="22"/>
          <w:highlight w:val="none"/>
        </w:rPr>
        <w:t xml:space="preserve">    （3）不同投标人的投标文件载明的项目管理成员为同一人；</w:t>
      </w:r>
    </w:p>
    <w:p w14:paraId="6F989BCF">
      <w:pPr>
        <w:pageBreakBefore w:val="0"/>
        <w:widowControl w:val="0"/>
        <w:kinsoku/>
        <w:wordWrap/>
        <w:overflowPunct/>
        <w:topLinePunct w:val="0"/>
        <w:autoSpaceDE w:val="0"/>
        <w:autoSpaceDN w:val="0"/>
        <w:bidi w:val="0"/>
        <w:adjustRightInd w:val="0"/>
        <w:snapToGrid w:val="0"/>
        <w:spacing w:line="440" w:lineRule="exact"/>
        <w:ind w:firstLine="440" w:firstLineChars="200"/>
        <w:textAlignment w:val="auto"/>
        <w:rPr>
          <w:rFonts w:hint="eastAsia" w:ascii="仿宋" w:hAnsi="仿宋" w:eastAsia="仿宋" w:cs="仿宋"/>
          <w:color w:val="auto"/>
          <w:sz w:val="22"/>
          <w:highlight w:val="none"/>
        </w:rPr>
      </w:pPr>
      <w:r>
        <w:rPr>
          <w:rFonts w:hint="eastAsia" w:ascii="仿宋" w:hAnsi="仿宋" w:eastAsia="仿宋" w:cs="仿宋"/>
          <w:color w:val="auto"/>
          <w:sz w:val="22"/>
          <w:highlight w:val="none"/>
        </w:rPr>
        <w:t xml:space="preserve">    （4）不同投标人的投标文件异常一致或者投标报价呈规律性差异；</w:t>
      </w:r>
    </w:p>
    <w:p w14:paraId="4C9E44AB">
      <w:pPr>
        <w:pageBreakBefore w:val="0"/>
        <w:widowControl w:val="0"/>
        <w:kinsoku/>
        <w:wordWrap/>
        <w:overflowPunct/>
        <w:topLinePunct w:val="0"/>
        <w:autoSpaceDE w:val="0"/>
        <w:autoSpaceDN w:val="0"/>
        <w:bidi w:val="0"/>
        <w:adjustRightInd w:val="0"/>
        <w:snapToGrid w:val="0"/>
        <w:spacing w:line="440" w:lineRule="exact"/>
        <w:ind w:firstLine="440" w:firstLineChars="200"/>
        <w:textAlignment w:val="auto"/>
        <w:rPr>
          <w:rFonts w:hint="eastAsia" w:ascii="仿宋" w:hAnsi="仿宋" w:eastAsia="仿宋" w:cs="仿宋"/>
          <w:color w:val="auto"/>
          <w:sz w:val="22"/>
          <w:highlight w:val="none"/>
        </w:rPr>
      </w:pPr>
      <w:r>
        <w:rPr>
          <w:rFonts w:hint="eastAsia" w:ascii="仿宋" w:hAnsi="仿宋" w:eastAsia="仿宋" w:cs="仿宋"/>
          <w:color w:val="auto"/>
          <w:sz w:val="22"/>
          <w:highlight w:val="none"/>
        </w:rPr>
        <w:t xml:space="preserve">    （5）不同投标人的投标文件相互混装；</w:t>
      </w:r>
    </w:p>
    <w:p w14:paraId="6EBD2052">
      <w:pPr>
        <w:pageBreakBefore w:val="0"/>
        <w:widowControl w:val="0"/>
        <w:kinsoku/>
        <w:wordWrap/>
        <w:overflowPunct/>
        <w:topLinePunct w:val="0"/>
        <w:autoSpaceDE w:val="0"/>
        <w:autoSpaceDN w:val="0"/>
        <w:bidi w:val="0"/>
        <w:adjustRightInd w:val="0"/>
        <w:snapToGrid w:val="0"/>
        <w:spacing w:line="440" w:lineRule="exact"/>
        <w:ind w:firstLine="440" w:firstLineChars="200"/>
        <w:textAlignment w:val="auto"/>
        <w:rPr>
          <w:rFonts w:hint="eastAsia" w:ascii="仿宋" w:hAnsi="仿宋" w:eastAsia="仿宋" w:cs="仿宋"/>
          <w:color w:val="auto"/>
          <w:sz w:val="22"/>
          <w:highlight w:val="none"/>
        </w:rPr>
      </w:pPr>
      <w:r>
        <w:rPr>
          <w:rFonts w:hint="eastAsia" w:ascii="仿宋" w:hAnsi="仿宋" w:eastAsia="仿宋" w:cs="仿宋"/>
          <w:color w:val="auto"/>
          <w:sz w:val="22"/>
          <w:highlight w:val="none"/>
        </w:rPr>
        <w:t xml:space="preserve">    （6）不同投标人的投标保证金从同一单位或者个人的账户转出。</w:t>
      </w:r>
    </w:p>
    <w:p w14:paraId="688DDF93">
      <w:pPr>
        <w:pageBreakBefore w:val="0"/>
        <w:widowControl w:val="0"/>
        <w:kinsoku/>
        <w:wordWrap/>
        <w:overflowPunct/>
        <w:topLinePunct w:val="0"/>
        <w:autoSpaceDE w:val="0"/>
        <w:autoSpaceDN w:val="0"/>
        <w:bidi w:val="0"/>
        <w:adjustRightInd w:val="0"/>
        <w:snapToGrid w:val="0"/>
        <w:spacing w:line="440" w:lineRule="exact"/>
        <w:ind w:left="560" w:leftChars="200"/>
        <w:textAlignment w:val="auto"/>
        <w:rPr>
          <w:rFonts w:hint="eastAsia" w:ascii="仿宋" w:hAnsi="仿宋" w:eastAsia="仿宋" w:cs="仿宋"/>
          <w:color w:val="auto"/>
          <w:sz w:val="22"/>
          <w:highlight w:val="none"/>
        </w:rPr>
      </w:pPr>
      <w:r>
        <w:rPr>
          <w:rFonts w:hint="eastAsia" w:ascii="仿宋" w:hAnsi="仿宋" w:eastAsia="仿宋" w:cs="仿宋"/>
          <w:color w:val="auto"/>
          <w:sz w:val="22"/>
          <w:highlight w:val="none"/>
        </w:rPr>
        <w:t>使用通过受让或者租借等方式获取的资格、资质证书投标的，属于以他人名义投标。</w:t>
      </w:r>
    </w:p>
    <w:p w14:paraId="25C6F8EC">
      <w:pPr>
        <w:pageBreakBefore w:val="0"/>
        <w:widowControl w:val="0"/>
        <w:kinsoku/>
        <w:wordWrap/>
        <w:overflowPunct/>
        <w:topLinePunct w:val="0"/>
        <w:autoSpaceDE w:val="0"/>
        <w:autoSpaceDN w:val="0"/>
        <w:bidi w:val="0"/>
        <w:adjustRightInd w:val="0"/>
        <w:snapToGrid w:val="0"/>
        <w:spacing w:line="440" w:lineRule="exact"/>
        <w:ind w:left="560" w:leftChars="200"/>
        <w:textAlignment w:val="auto"/>
        <w:rPr>
          <w:rFonts w:hint="eastAsia" w:ascii="仿宋" w:hAnsi="仿宋" w:eastAsia="仿宋" w:cs="仿宋"/>
          <w:color w:val="auto"/>
          <w:sz w:val="22"/>
          <w:highlight w:val="none"/>
        </w:rPr>
      </w:pPr>
      <w:r>
        <w:rPr>
          <w:rFonts w:hint="eastAsia" w:ascii="仿宋" w:hAnsi="仿宋" w:eastAsia="仿宋" w:cs="仿宋"/>
          <w:color w:val="auto"/>
          <w:sz w:val="22"/>
          <w:highlight w:val="none"/>
        </w:rPr>
        <w:t>投标人有下列情形之一的，属于以其他方式弄虚作假的行为：</w:t>
      </w:r>
    </w:p>
    <w:p w14:paraId="5D484C80">
      <w:pPr>
        <w:pageBreakBefore w:val="0"/>
        <w:widowControl w:val="0"/>
        <w:kinsoku/>
        <w:wordWrap/>
        <w:overflowPunct/>
        <w:topLinePunct w:val="0"/>
        <w:autoSpaceDE w:val="0"/>
        <w:autoSpaceDN w:val="0"/>
        <w:bidi w:val="0"/>
        <w:adjustRightInd w:val="0"/>
        <w:snapToGrid w:val="0"/>
        <w:spacing w:line="440" w:lineRule="exact"/>
        <w:ind w:left="560" w:leftChars="200"/>
        <w:textAlignment w:val="auto"/>
        <w:rPr>
          <w:rFonts w:hint="eastAsia" w:ascii="仿宋" w:hAnsi="仿宋" w:eastAsia="仿宋" w:cs="仿宋"/>
          <w:color w:val="auto"/>
          <w:sz w:val="22"/>
          <w:highlight w:val="none"/>
        </w:rPr>
      </w:pPr>
      <w:r>
        <w:rPr>
          <w:rFonts w:hint="eastAsia" w:ascii="仿宋" w:hAnsi="仿宋" w:eastAsia="仿宋" w:cs="仿宋"/>
          <w:color w:val="auto"/>
          <w:sz w:val="22"/>
          <w:highlight w:val="none"/>
        </w:rPr>
        <w:t>（一）使用伪造、变造的许可证件；</w:t>
      </w:r>
    </w:p>
    <w:p w14:paraId="39ABB161">
      <w:pPr>
        <w:pageBreakBefore w:val="0"/>
        <w:widowControl w:val="0"/>
        <w:kinsoku/>
        <w:wordWrap/>
        <w:overflowPunct/>
        <w:topLinePunct w:val="0"/>
        <w:autoSpaceDE w:val="0"/>
        <w:autoSpaceDN w:val="0"/>
        <w:bidi w:val="0"/>
        <w:adjustRightInd w:val="0"/>
        <w:snapToGrid w:val="0"/>
        <w:spacing w:line="440" w:lineRule="exact"/>
        <w:ind w:left="560" w:leftChars="200"/>
        <w:textAlignment w:val="auto"/>
        <w:rPr>
          <w:rFonts w:hint="eastAsia" w:ascii="仿宋" w:hAnsi="仿宋" w:eastAsia="仿宋" w:cs="仿宋"/>
          <w:color w:val="auto"/>
          <w:sz w:val="22"/>
          <w:highlight w:val="none"/>
        </w:rPr>
      </w:pPr>
      <w:r>
        <w:rPr>
          <w:rFonts w:hint="eastAsia" w:ascii="仿宋" w:hAnsi="仿宋" w:eastAsia="仿宋" w:cs="仿宋"/>
          <w:color w:val="auto"/>
          <w:sz w:val="22"/>
          <w:highlight w:val="none"/>
        </w:rPr>
        <w:t>（二）提供虚假的项目经理或者主要技术人员简历、劳动关系证明；</w:t>
      </w:r>
    </w:p>
    <w:p w14:paraId="0AC098C7">
      <w:pPr>
        <w:pageBreakBefore w:val="0"/>
        <w:widowControl w:val="0"/>
        <w:kinsoku/>
        <w:wordWrap/>
        <w:overflowPunct/>
        <w:topLinePunct w:val="0"/>
        <w:autoSpaceDE w:val="0"/>
        <w:autoSpaceDN w:val="0"/>
        <w:bidi w:val="0"/>
        <w:adjustRightInd w:val="0"/>
        <w:snapToGrid w:val="0"/>
        <w:spacing w:line="440" w:lineRule="exact"/>
        <w:ind w:left="560" w:leftChars="200"/>
        <w:textAlignment w:val="auto"/>
        <w:rPr>
          <w:rFonts w:hint="eastAsia" w:ascii="仿宋" w:hAnsi="仿宋" w:eastAsia="仿宋" w:cs="仿宋"/>
          <w:snapToGrid w:val="0"/>
          <w:color w:val="auto"/>
          <w:kern w:val="0"/>
          <w:sz w:val="22"/>
          <w:highlight w:val="none"/>
        </w:rPr>
      </w:pPr>
      <w:r>
        <w:rPr>
          <w:rFonts w:hint="eastAsia" w:ascii="仿宋" w:hAnsi="仿宋" w:eastAsia="仿宋" w:cs="仿宋"/>
          <w:color w:val="auto"/>
          <w:sz w:val="22"/>
          <w:highlight w:val="none"/>
        </w:rPr>
        <w:t>（三）其他弄虚作假的行为。</w:t>
      </w:r>
    </w:p>
    <w:p w14:paraId="19B1C929">
      <w:pPr>
        <w:pStyle w:val="3"/>
        <w:pageBreakBefore w:val="0"/>
        <w:widowControl w:val="0"/>
        <w:kinsoku/>
        <w:wordWrap/>
        <w:overflowPunct/>
        <w:topLinePunct w:val="0"/>
        <w:bidi w:val="0"/>
        <w:spacing w:before="120" w:beforeLines="50" w:after="120" w:afterLines="50" w:line="440" w:lineRule="exact"/>
        <w:textAlignment w:val="auto"/>
        <w:rPr>
          <w:rFonts w:hint="eastAsia" w:ascii="仿宋" w:hAnsi="仿宋" w:eastAsia="仿宋" w:cs="仿宋"/>
          <w:snapToGrid w:val="0"/>
          <w:color w:val="auto"/>
          <w:sz w:val="24"/>
          <w:szCs w:val="24"/>
          <w:highlight w:val="none"/>
        </w:rPr>
      </w:pPr>
      <w:bookmarkStart w:id="1021" w:name="_Toc287607795"/>
      <w:bookmarkStart w:id="1022" w:name="_Toc5285"/>
      <w:bookmarkStart w:id="1023" w:name="_Toc24182"/>
      <w:bookmarkStart w:id="1024" w:name="_Toc25831"/>
      <w:bookmarkStart w:id="1025" w:name="_Toc44"/>
      <w:bookmarkStart w:id="1026" w:name="_Toc4882"/>
      <w:bookmarkStart w:id="1027" w:name="_Toc277082601"/>
      <w:bookmarkStart w:id="1028" w:name="_Toc200513175"/>
      <w:bookmarkStart w:id="1029" w:name="_Toc2173"/>
      <w:bookmarkStart w:id="1030" w:name="_Toc452136815"/>
      <w:bookmarkStart w:id="1031" w:name="_Toc420081877"/>
      <w:bookmarkStart w:id="1032" w:name="_Toc436052183"/>
      <w:bookmarkStart w:id="1033" w:name="_Toc22444"/>
      <w:bookmarkStart w:id="1034" w:name="_Toc5073"/>
      <w:bookmarkStart w:id="1035" w:name="_Toc224103366"/>
      <w:bookmarkStart w:id="1036" w:name="_Toc32084"/>
      <w:bookmarkStart w:id="1037" w:name="_Toc419300012"/>
      <w:bookmarkStart w:id="1038" w:name="_Toc13145"/>
      <w:bookmarkStart w:id="1039" w:name="_Toc28418"/>
      <w:bookmarkStart w:id="1040" w:name="_Toc420419713"/>
      <w:r>
        <w:rPr>
          <w:rFonts w:hint="eastAsia" w:ascii="仿宋" w:hAnsi="仿宋" w:eastAsia="仿宋" w:cs="仿宋"/>
          <w:snapToGrid w:val="0"/>
          <w:color w:val="auto"/>
          <w:sz w:val="24"/>
          <w:szCs w:val="24"/>
          <w:highlight w:val="none"/>
        </w:rPr>
        <w:t>9.3对评标委员会成员的纪律要求</w:t>
      </w:r>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p>
    <w:p w14:paraId="547EEC94">
      <w:pPr>
        <w:pageBreakBefore w:val="0"/>
        <w:widowControl w:val="0"/>
        <w:kinsoku/>
        <w:wordWrap/>
        <w:overflowPunct/>
        <w:topLinePunct w:val="0"/>
        <w:autoSpaceDE w:val="0"/>
        <w:autoSpaceDN w:val="0"/>
        <w:bidi w:val="0"/>
        <w:adjustRightInd w:val="0"/>
        <w:snapToGrid w:val="0"/>
        <w:spacing w:line="440" w:lineRule="exact"/>
        <w:ind w:firstLine="440" w:firstLineChars="200"/>
        <w:textAlignment w:val="auto"/>
        <w:rPr>
          <w:rFonts w:hint="eastAsia" w:ascii="仿宋" w:hAnsi="仿宋" w:eastAsia="仿宋" w:cs="仿宋"/>
          <w:snapToGrid w:val="0"/>
          <w:color w:val="auto"/>
          <w:kern w:val="0"/>
          <w:sz w:val="22"/>
          <w:highlight w:val="none"/>
        </w:rPr>
      </w:pPr>
      <w:r>
        <w:rPr>
          <w:rFonts w:hint="eastAsia" w:ascii="仿宋" w:hAnsi="仿宋" w:eastAsia="仿宋" w:cs="仿宋"/>
          <w:snapToGrid w:val="0"/>
          <w:color w:val="auto"/>
          <w:kern w:val="0"/>
          <w:sz w:val="22"/>
          <w:highlight w:val="none"/>
        </w:rPr>
        <w:t>评标委员会成员不得收受他人的财物或者其他好处，不得向他人透漏对投标文件的评审和比较、中选候选人的推荐情况以及评标有关的其他情况。在评标活动中，评标委员会成员不得擅离职守，影响评标程序正常进行，不得使用第三章“评标办法”没有规定的评审因素和标准进行评标。</w:t>
      </w:r>
    </w:p>
    <w:p w14:paraId="2446DCEF">
      <w:pPr>
        <w:pStyle w:val="3"/>
        <w:pageBreakBefore w:val="0"/>
        <w:widowControl w:val="0"/>
        <w:kinsoku/>
        <w:wordWrap/>
        <w:overflowPunct/>
        <w:topLinePunct w:val="0"/>
        <w:bidi w:val="0"/>
        <w:spacing w:before="120" w:beforeLines="50" w:after="120" w:afterLines="50" w:line="440" w:lineRule="exact"/>
        <w:textAlignment w:val="auto"/>
        <w:rPr>
          <w:rFonts w:hint="eastAsia" w:ascii="仿宋" w:hAnsi="仿宋" w:eastAsia="仿宋" w:cs="仿宋"/>
          <w:snapToGrid w:val="0"/>
          <w:color w:val="auto"/>
          <w:sz w:val="24"/>
          <w:szCs w:val="24"/>
          <w:highlight w:val="none"/>
        </w:rPr>
      </w:pPr>
      <w:bookmarkStart w:id="1041" w:name="_Toc17626"/>
      <w:bookmarkStart w:id="1042" w:name="_Toc9138"/>
      <w:bookmarkStart w:id="1043" w:name="_Toc277082602"/>
      <w:bookmarkStart w:id="1044" w:name="_Toc24347"/>
      <w:bookmarkStart w:id="1045" w:name="_Toc419300013"/>
      <w:bookmarkStart w:id="1046" w:name="_Toc420081878"/>
      <w:bookmarkStart w:id="1047" w:name="_Toc420419714"/>
      <w:bookmarkStart w:id="1048" w:name="_Toc436052184"/>
      <w:bookmarkStart w:id="1049" w:name="_Toc452136816"/>
      <w:bookmarkStart w:id="1050" w:name="_Toc13814"/>
      <w:bookmarkStart w:id="1051" w:name="_Toc287607796"/>
      <w:bookmarkStart w:id="1052" w:name="_Toc23634"/>
      <w:bookmarkStart w:id="1053" w:name="_Toc1682"/>
      <w:bookmarkStart w:id="1054" w:name="_Toc27095"/>
      <w:bookmarkStart w:id="1055" w:name="_Toc9781"/>
      <w:bookmarkStart w:id="1056" w:name="_Toc18121"/>
      <w:bookmarkStart w:id="1057" w:name="_Toc224103367"/>
      <w:bookmarkStart w:id="1058" w:name="_Toc15812"/>
      <w:bookmarkStart w:id="1059" w:name="_Toc200513176"/>
      <w:bookmarkStart w:id="1060" w:name="_Toc14289"/>
      <w:r>
        <w:rPr>
          <w:rFonts w:hint="eastAsia" w:ascii="仿宋" w:hAnsi="仿宋" w:eastAsia="仿宋" w:cs="仿宋"/>
          <w:snapToGrid w:val="0"/>
          <w:color w:val="auto"/>
          <w:sz w:val="24"/>
          <w:szCs w:val="24"/>
          <w:highlight w:val="none"/>
        </w:rPr>
        <w:t>9.4对与评标活动有关的工作人员的纪律要求</w:t>
      </w:r>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p>
    <w:p w14:paraId="4D967745">
      <w:pPr>
        <w:pageBreakBefore w:val="0"/>
        <w:widowControl w:val="0"/>
        <w:kinsoku/>
        <w:wordWrap/>
        <w:overflowPunct/>
        <w:topLinePunct w:val="0"/>
        <w:autoSpaceDE w:val="0"/>
        <w:autoSpaceDN w:val="0"/>
        <w:bidi w:val="0"/>
        <w:adjustRightInd w:val="0"/>
        <w:snapToGrid w:val="0"/>
        <w:spacing w:line="440" w:lineRule="exact"/>
        <w:ind w:firstLine="440" w:firstLineChars="200"/>
        <w:textAlignment w:val="auto"/>
        <w:rPr>
          <w:rFonts w:hint="eastAsia" w:ascii="仿宋" w:hAnsi="仿宋" w:eastAsia="仿宋" w:cs="仿宋"/>
          <w:snapToGrid w:val="0"/>
          <w:color w:val="auto"/>
          <w:kern w:val="0"/>
          <w:sz w:val="22"/>
          <w:highlight w:val="none"/>
        </w:rPr>
      </w:pPr>
      <w:r>
        <w:rPr>
          <w:rFonts w:hint="eastAsia" w:ascii="仿宋" w:hAnsi="仿宋" w:eastAsia="仿宋" w:cs="仿宋"/>
          <w:snapToGrid w:val="0"/>
          <w:color w:val="auto"/>
          <w:kern w:val="0"/>
          <w:sz w:val="22"/>
          <w:highlight w:val="none"/>
        </w:rPr>
        <w:t>与评标活动有关的工作人员不得收受他人的财物或者其他好处，不得向他人透漏对投标文件的评审和比较、中选候选人的推荐情况以及与评标有关的其他情况。在评标活动中，与评标活动有关的工作人员不得擅离职守，影响评标程序正常进行。</w:t>
      </w:r>
    </w:p>
    <w:p w14:paraId="206A5F9F">
      <w:pPr>
        <w:pStyle w:val="3"/>
        <w:pageBreakBefore w:val="0"/>
        <w:widowControl w:val="0"/>
        <w:kinsoku/>
        <w:wordWrap/>
        <w:overflowPunct/>
        <w:topLinePunct w:val="0"/>
        <w:bidi w:val="0"/>
        <w:spacing w:before="120" w:beforeLines="50" w:after="120" w:afterLines="50" w:line="440" w:lineRule="exact"/>
        <w:textAlignment w:val="auto"/>
        <w:rPr>
          <w:rFonts w:hint="eastAsia" w:ascii="仿宋" w:hAnsi="仿宋" w:eastAsia="仿宋" w:cs="仿宋"/>
          <w:snapToGrid w:val="0"/>
          <w:color w:val="auto"/>
          <w:sz w:val="24"/>
          <w:szCs w:val="24"/>
          <w:highlight w:val="none"/>
        </w:rPr>
      </w:pPr>
      <w:bookmarkStart w:id="1061" w:name="_Toc420081879"/>
      <w:bookmarkStart w:id="1062" w:name="_Toc3021"/>
      <w:bookmarkStart w:id="1063" w:name="_Toc16648"/>
      <w:bookmarkStart w:id="1064" w:name="_Toc30464"/>
      <w:bookmarkStart w:id="1065" w:name="_Toc200513177"/>
      <w:bookmarkStart w:id="1066" w:name="_Toc277082603"/>
      <w:bookmarkStart w:id="1067" w:name="_Toc25862"/>
      <w:bookmarkStart w:id="1068" w:name="_Toc20416"/>
      <w:bookmarkStart w:id="1069" w:name="_Toc420419715"/>
      <w:bookmarkStart w:id="1070" w:name="_Toc16150"/>
      <w:bookmarkStart w:id="1071" w:name="_Toc10345"/>
      <w:bookmarkStart w:id="1072" w:name="_Toc436052185"/>
      <w:bookmarkStart w:id="1073" w:name="_Toc29991"/>
      <w:bookmarkStart w:id="1074" w:name="_Toc16430"/>
      <w:bookmarkStart w:id="1075" w:name="_Toc452136817"/>
      <w:bookmarkStart w:id="1076" w:name="_Toc419300014"/>
      <w:bookmarkStart w:id="1077" w:name="_Toc224103368"/>
      <w:bookmarkStart w:id="1078" w:name="_Toc24314"/>
      <w:bookmarkStart w:id="1079" w:name="_Toc25604"/>
      <w:bookmarkStart w:id="1080" w:name="_Toc287607797"/>
      <w:r>
        <w:rPr>
          <w:rFonts w:hint="eastAsia" w:ascii="仿宋" w:hAnsi="仿宋" w:eastAsia="仿宋" w:cs="仿宋"/>
          <w:snapToGrid w:val="0"/>
          <w:color w:val="auto"/>
          <w:sz w:val="24"/>
          <w:szCs w:val="24"/>
          <w:highlight w:val="none"/>
        </w:rPr>
        <w:t>9.5投诉</w:t>
      </w:r>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p>
    <w:p w14:paraId="2BE30A2A">
      <w:pPr>
        <w:pageBreakBefore w:val="0"/>
        <w:widowControl w:val="0"/>
        <w:kinsoku/>
        <w:wordWrap/>
        <w:overflowPunct/>
        <w:topLinePunct w:val="0"/>
        <w:autoSpaceDE w:val="0"/>
        <w:autoSpaceDN w:val="0"/>
        <w:bidi w:val="0"/>
        <w:adjustRightInd w:val="0"/>
        <w:snapToGrid w:val="0"/>
        <w:spacing w:line="440" w:lineRule="exact"/>
        <w:ind w:firstLine="440" w:firstLineChars="200"/>
        <w:jc w:val="left"/>
        <w:textAlignment w:val="auto"/>
        <w:rPr>
          <w:rFonts w:hint="eastAsia" w:ascii="仿宋" w:hAnsi="仿宋" w:eastAsia="仿宋" w:cs="仿宋"/>
          <w:snapToGrid w:val="0"/>
          <w:color w:val="auto"/>
          <w:kern w:val="0"/>
          <w:sz w:val="22"/>
          <w:highlight w:val="none"/>
        </w:rPr>
      </w:pPr>
      <w:r>
        <w:rPr>
          <w:rFonts w:hint="eastAsia" w:ascii="仿宋" w:hAnsi="仿宋" w:eastAsia="仿宋" w:cs="仿宋"/>
          <w:snapToGrid w:val="0"/>
          <w:color w:val="auto"/>
          <w:kern w:val="0"/>
          <w:sz w:val="22"/>
          <w:highlight w:val="none"/>
        </w:rPr>
        <w:t>投标人和其他利害关系人认为本次比选活动违反法律、法规和规章规定的，有权向有关行政监督部门投诉。</w:t>
      </w:r>
    </w:p>
    <w:p w14:paraId="4009B7F6">
      <w:pPr>
        <w:pStyle w:val="3"/>
        <w:pageBreakBefore w:val="0"/>
        <w:widowControl w:val="0"/>
        <w:kinsoku/>
        <w:wordWrap/>
        <w:overflowPunct/>
        <w:topLinePunct w:val="0"/>
        <w:bidi w:val="0"/>
        <w:spacing w:before="120" w:beforeLines="50" w:after="120" w:afterLines="50" w:line="440" w:lineRule="exact"/>
        <w:textAlignment w:val="auto"/>
        <w:rPr>
          <w:rFonts w:hint="eastAsia" w:ascii="仿宋" w:hAnsi="仿宋" w:eastAsia="仿宋" w:cs="仿宋"/>
          <w:snapToGrid w:val="0"/>
          <w:color w:val="auto"/>
          <w:sz w:val="24"/>
          <w:szCs w:val="24"/>
          <w:highlight w:val="none"/>
        </w:rPr>
      </w:pPr>
      <w:bookmarkStart w:id="1081" w:name="_Toc13893"/>
      <w:bookmarkStart w:id="1082" w:name="_Toc287620737"/>
      <w:bookmarkStart w:id="1083" w:name="_Toc224103369"/>
      <w:bookmarkStart w:id="1084" w:name="_Toc8915"/>
      <w:bookmarkStart w:id="1085" w:name="_Toc6729"/>
      <w:bookmarkStart w:id="1086" w:name="_Toc3338"/>
      <w:bookmarkStart w:id="1087" w:name="_Toc23466"/>
      <w:bookmarkStart w:id="1088" w:name="_Toc32062"/>
      <w:bookmarkStart w:id="1089" w:name="_Toc32546"/>
      <w:bookmarkStart w:id="1090" w:name="_Toc9842"/>
      <w:bookmarkStart w:id="1091" w:name="_Toc12019"/>
      <w:bookmarkStart w:id="1092" w:name="_Toc277082604"/>
      <w:bookmarkStart w:id="1093" w:name="_Toc287607798"/>
      <w:bookmarkStart w:id="1094" w:name="_Toc17198"/>
      <w:bookmarkStart w:id="1095" w:name="_Toc30993"/>
      <w:bookmarkStart w:id="1096" w:name="_Toc200513178"/>
      <w:r>
        <w:rPr>
          <w:rFonts w:hint="eastAsia" w:ascii="仿宋" w:hAnsi="仿宋" w:eastAsia="仿宋" w:cs="仿宋"/>
          <w:snapToGrid w:val="0"/>
          <w:color w:val="auto"/>
          <w:sz w:val="24"/>
          <w:szCs w:val="24"/>
          <w:highlight w:val="none"/>
        </w:rPr>
        <w:t>10.需要补充的其他内容</w:t>
      </w:r>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p>
    <w:p w14:paraId="4FE335E1">
      <w:pPr>
        <w:pageBreakBefore w:val="0"/>
        <w:widowControl w:val="0"/>
        <w:kinsoku/>
        <w:wordWrap/>
        <w:overflowPunct/>
        <w:topLinePunct w:val="0"/>
        <w:autoSpaceDE w:val="0"/>
        <w:autoSpaceDN w:val="0"/>
        <w:bidi w:val="0"/>
        <w:adjustRightInd w:val="0"/>
        <w:snapToGrid w:val="0"/>
        <w:spacing w:line="440" w:lineRule="exact"/>
        <w:ind w:firstLine="440" w:firstLineChars="200"/>
        <w:jc w:val="left"/>
        <w:textAlignment w:val="auto"/>
        <w:rPr>
          <w:rFonts w:hint="eastAsia" w:ascii="仿宋" w:hAnsi="仿宋" w:eastAsia="仿宋" w:cs="仿宋"/>
          <w:snapToGrid w:val="0"/>
          <w:color w:val="auto"/>
          <w:kern w:val="0"/>
          <w:sz w:val="22"/>
          <w:highlight w:val="none"/>
        </w:rPr>
      </w:pPr>
      <w:r>
        <w:rPr>
          <w:rFonts w:hint="eastAsia" w:ascii="仿宋" w:hAnsi="仿宋" w:eastAsia="仿宋" w:cs="仿宋"/>
          <w:snapToGrid w:val="0"/>
          <w:color w:val="auto"/>
          <w:kern w:val="0"/>
          <w:sz w:val="22"/>
          <w:highlight w:val="none"/>
        </w:rPr>
        <w:t>需要补充的其他内容：见投标人须知前附表。</w:t>
      </w:r>
    </w:p>
    <w:p w14:paraId="5A96C696">
      <w:pPr>
        <w:autoSpaceDE w:val="0"/>
        <w:autoSpaceDN w:val="0"/>
        <w:adjustRightInd w:val="0"/>
        <w:snapToGrid w:val="0"/>
        <w:spacing w:line="360" w:lineRule="auto"/>
        <w:ind w:firstLine="482" w:firstLineChars="200"/>
        <w:jc w:val="left"/>
        <w:rPr>
          <w:rFonts w:hint="eastAsia" w:ascii="仿宋" w:hAnsi="仿宋" w:eastAsia="仿宋" w:cs="仿宋"/>
          <w:b/>
          <w:snapToGrid w:val="0"/>
          <w:color w:val="auto"/>
          <w:kern w:val="0"/>
          <w:sz w:val="24"/>
          <w:highlight w:val="none"/>
        </w:rPr>
      </w:pPr>
    </w:p>
    <w:p w14:paraId="654D5E21">
      <w:pPr>
        <w:autoSpaceDE w:val="0"/>
        <w:autoSpaceDN w:val="0"/>
        <w:adjustRightInd w:val="0"/>
        <w:snapToGrid w:val="0"/>
        <w:spacing w:line="360" w:lineRule="auto"/>
        <w:ind w:firstLine="482" w:firstLineChars="200"/>
        <w:jc w:val="left"/>
        <w:rPr>
          <w:rFonts w:hint="eastAsia" w:ascii="仿宋" w:hAnsi="仿宋" w:eastAsia="仿宋" w:cs="仿宋"/>
          <w:b/>
          <w:snapToGrid w:val="0"/>
          <w:color w:val="auto"/>
          <w:kern w:val="0"/>
          <w:sz w:val="24"/>
          <w:highlight w:val="none"/>
        </w:rPr>
      </w:pPr>
    </w:p>
    <w:p w14:paraId="6420F892">
      <w:pPr>
        <w:pStyle w:val="4"/>
        <w:rPr>
          <w:rFonts w:hint="eastAsia" w:ascii="仿宋" w:hAnsi="仿宋" w:eastAsia="仿宋" w:cs="仿宋"/>
          <w:b w:val="0"/>
          <w:snapToGrid w:val="0"/>
          <w:color w:val="auto"/>
          <w:kern w:val="0"/>
          <w:sz w:val="24"/>
          <w:szCs w:val="24"/>
          <w:highlight w:val="none"/>
        </w:rPr>
      </w:pPr>
    </w:p>
    <w:p w14:paraId="5FECD80C">
      <w:pPr>
        <w:rPr>
          <w:rFonts w:hint="eastAsia" w:ascii="仿宋" w:hAnsi="仿宋" w:eastAsia="仿宋" w:cs="仿宋"/>
          <w:b/>
          <w:snapToGrid w:val="0"/>
          <w:color w:val="auto"/>
          <w:kern w:val="0"/>
          <w:sz w:val="24"/>
          <w:highlight w:val="none"/>
        </w:rPr>
      </w:pPr>
    </w:p>
    <w:p w14:paraId="1C292A7D">
      <w:pPr>
        <w:pStyle w:val="3"/>
        <w:spacing w:before="120" w:beforeLines="50" w:after="120" w:afterLines="50" w:line="460" w:lineRule="exact"/>
        <w:rPr>
          <w:rFonts w:hint="eastAsia" w:ascii="仿宋" w:hAnsi="仿宋" w:eastAsia="仿宋" w:cs="仿宋"/>
          <w:snapToGrid w:val="0"/>
          <w:color w:val="auto"/>
          <w:sz w:val="24"/>
          <w:szCs w:val="24"/>
          <w:highlight w:val="none"/>
        </w:rPr>
      </w:pPr>
      <w:bookmarkStart w:id="1097" w:name="_Toc3385"/>
      <w:bookmarkStart w:id="1098" w:name="_Toc12140"/>
      <w:bookmarkStart w:id="1099" w:name="_Toc27987"/>
      <w:bookmarkStart w:id="1100" w:name="_Toc9735"/>
      <w:bookmarkStart w:id="1101" w:name="_Toc31448"/>
      <w:bookmarkStart w:id="1102" w:name="_Toc17225"/>
      <w:bookmarkStart w:id="1103" w:name="_Toc15143"/>
      <w:bookmarkStart w:id="1104" w:name="_Toc28435"/>
      <w:bookmarkStart w:id="1105" w:name="_Toc21378"/>
      <w:bookmarkStart w:id="1106" w:name="_Toc18090"/>
      <w:bookmarkStart w:id="1107" w:name="_Toc8176"/>
      <w:r>
        <w:rPr>
          <w:rFonts w:hint="eastAsia" w:ascii="仿宋" w:hAnsi="仿宋" w:eastAsia="仿宋" w:cs="仿宋"/>
          <w:snapToGrid w:val="0"/>
          <w:color w:val="auto"/>
          <w:sz w:val="24"/>
          <w:szCs w:val="24"/>
          <w:highlight w:val="none"/>
        </w:rPr>
        <w:br w:type="page"/>
      </w:r>
      <w:bookmarkStart w:id="1108" w:name="_Toc8791"/>
      <w:r>
        <w:rPr>
          <w:rFonts w:hint="eastAsia" w:ascii="仿宋" w:hAnsi="仿宋" w:eastAsia="仿宋" w:cs="仿宋"/>
          <w:snapToGrid w:val="0"/>
          <w:color w:val="auto"/>
          <w:sz w:val="24"/>
          <w:szCs w:val="24"/>
          <w:highlight w:val="none"/>
        </w:rPr>
        <w:t>附表一：开标记录表</w:t>
      </w:r>
      <w:bookmarkEnd w:id="1097"/>
      <w:bookmarkEnd w:id="1098"/>
      <w:bookmarkEnd w:id="1099"/>
      <w:bookmarkEnd w:id="1100"/>
      <w:bookmarkEnd w:id="1101"/>
      <w:bookmarkEnd w:id="1102"/>
      <w:bookmarkEnd w:id="1103"/>
      <w:bookmarkEnd w:id="1104"/>
      <w:bookmarkEnd w:id="1105"/>
      <w:bookmarkEnd w:id="1106"/>
      <w:bookmarkEnd w:id="1107"/>
      <w:bookmarkEnd w:id="1108"/>
    </w:p>
    <w:p w14:paraId="724FC6FD">
      <w:pPr>
        <w:pStyle w:val="11"/>
        <w:pBdr>
          <w:bottom w:val="none" w:color="auto" w:sz="0" w:space="0"/>
        </w:pBdr>
        <w:rPr>
          <w:rFonts w:hint="eastAsia" w:ascii="仿宋" w:hAnsi="仿宋" w:eastAsia="仿宋" w:cs="仿宋"/>
          <w:b/>
          <w:snapToGrid w:val="0"/>
          <w:color w:val="auto"/>
          <w:kern w:val="0"/>
          <w:sz w:val="24"/>
          <w:szCs w:val="24"/>
          <w:highlight w:val="none"/>
        </w:rPr>
      </w:pPr>
      <w:r>
        <w:rPr>
          <w:rFonts w:hint="eastAsia" w:ascii="仿宋" w:hAnsi="仿宋" w:eastAsia="仿宋" w:cs="仿宋"/>
          <w:b/>
          <w:snapToGrid w:val="0"/>
          <w:color w:val="auto"/>
          <w:kern w:val="0"/>
          <w:sz w:val="24"/>
          <w:szCs w:val="24"/>
          <w:highlight w:val="none"/>
          <w:u w:val="single"/>
        </w:rPr>
        <w:t xml:space="preserve">          </w:t>
      </w:r>
      <w:r>
        <w:rPr>
          <w:rFonts w:hint="eastAsia" w:ascii="仿宋" w:hAnsi="仿宋" w:eastAsia="仿宋" w:cs="仿宋"/>
          <w:b/>
          <w:snapToGrid w:val="0"/>
          <w:color w:val="auto"/>
          <w:kern w:val="0"/>
          <w:sz w:val="24"/>
          <w:szCs w:val="24"/>
          <w:highlight w:val="none"/>
        </w:rPr>
        <w:t>开标记录表</w:t>
      </w:r>
    </w:p>
    <w:p w14:paraId="7991BFFB">
      <w:pPr>
        <w:tabs>
          <w:tab w:val="left" w:pos="2260"/>
          <w:tab w:val="left" w:pos="5060"/>
        </w:tabs>
        <w:autoSpaceDE w:val="0"/>
        <w:autoSpaceDN w:val="0"/>
        <w:adjustRightInd w:val="0"/>
        <w:snapToGrid w:val="0"/>
        <w:spacing w:line="360" w:lineRule="auto"/>
        <w:ind w:right="420" w:firstLine="1080" w:firstLineChars="450"/>
        <w:jc w:val="right"/>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开标时间：</w:t>
      </w:r>
      <w:r>
        <w:rPr>
          <w:rFonts w:hint="eastAsia" w:ascii="仿宋" w:hAnsi="仿宋" w:eastAsia="仿宋" w:cs="仿宋"/>
          <w:snapToGrid w:val="0"/>
          <w:color w:val="auto"/>
          <w:kern w:val="0"/>
          <w:sz w:val="24"/>
          <w:highlight w:val="none"/>
          <w:u w:val="single"/>
        </w:rPr>
        <w:tab/>
      </w:r>
      <w:r>
        <w:rPr>
          <w:rFonts w:hint="eastAsia" w:ascii="仿宋" w:hAnsi="仿宋" w:eastAsia="仿宋" w:cs="仿宋"/>
          <w:snapToGrid w:val="0"/>
          <w:color w:val="auto"/>
          <w:kern w:val="0"/>
          <w:sz w:val="24"/>
          <w:highlight w:val="none"/>
        </w:rPr>
        <w:t>年</w:t>
      </w:r>
      <w:r>
        <w:rPr>
          <w:rFonts w:hint="eastAsia" w:ascii="仿宋" w:hAnsi="仿宋" w:eastAsia="仿宋" w:cs="仿宋"/>
          <w:snapToGrid w:val="0"/>
          <w:color w:val="auto"/>
          <w:kern w:val="0"/>
          <w:sz w:val="24"/>
          <w:highlight w:val="none"/>
          <w:u w:val="single"/>
        </w:rPr>
        <w:t xml:space="preserve">  </w:t>
      </w:r>
      <w:r>
        <w:rPr>
          <w:rFonts w:hint="eastAsia" w:ascii="仿宋" w:hAnsi="仿宋" w:eastAsia="仿宋" w:cs="仿宋"/>
          <w:snapToGrid w:val="0"/>
          <w:color w:val="auto"/>
          <w:kern w:val="0"/>
          <w:sz w:val="24"/>
          <w:highlight w:val="none"/>
        </w:rPr>
        <w:t>月</w:t>
      </w:r>
      <w:r>
        <w:rPr>
          <w:rFonts w:hint="eastAsia" w:ascii="仿宋" w:hAnsi="仿宋" w:eastAsia="仿宋" w:cs="仿宋"/>
          <w:snapToGrid w:val="0"/>
          <w:color w:val="auto"/>
          <w:kern w:val="0"/>
          <w:sz w:val="24"/>
          <w:highlight w:val="none"/>
          <w:u w:val="single"/>
        </w:rPr>
        <w:t xml:space="preserve">  </w:t>
      </w:r>
      <w:r>
        <w:rPr>
          <w:rFonts w:hint="eastAsia" w:ascii="仿宋" w:hAnsi="仿宋" w:eastAsia="仿宋" w:cs="仿宋"/>
          <w:snapToGrid w:val="0"/>
          <w:color w:val="auto"/>
          <w:kern w:val="0"/>
          <w:sz w:val="24"/>
          <w:highlight w:val="none"/>
        </w:rPr>
        <w:t>日</w:t>
      </w:r>
      <w:r>
        <w:rPr>
          <w:rFonts w:hint="eastAsia" w:ascii="仿宋" w:hAnsi="仿宋" w:eastAsia="仿宋" w:cs="仿宋"/>
          <w:snapToGrid w:val="0"/>
          <w:color w:val="auto"/>
          <w:kern w:val="0"/>
          <w:sz w:val="24"/>
          <w:highlight w:val="none"/>
          <w:u w:val="single"/>
        </w:rPr>
        <w:t xml:space="preserve">  </w:t>
      </w:r>
      <w:r>
        <w:rPr>
          <w:rFonts w:hint="eastAsia" w:ascii="仿宋" w:hAnsi="仿宋" w:eastAsia="仿宋" w:cs="仿宋"/>
          <w:snapToGrid w:val="0"/>
          <w:color w:val="auto"/>
          <w:kern w:val="0"/>
          <w:sz w:val="24"/>
          <w:highlight w:val="none"/>
        </w:rPr>
        <w:t>时</w:t>
      </w:r>
      <w:r>
        <w:rPr>
          <w:rFonts w:hint="eastAsia" w:ascii="仿宋" w:hAnsi="仿宋" w:eastAsia="仿宋" w:cs="仿宋"/>
          <w:snapToGrid w:val="0"/>
          <w:color w:val="auto"/>
          <w:kern w:val="0"/>
          <w:sz w:val="24"/>
          <w:highlight w:val="none"/>
          <w:u w:val="single"/>
        </w:rPr>
        <w:t xml:space="preserve">  </w:t>
      </w:r>
      <w:r>
        <w:rPr>
          <w:rFonts w:hint="eastAsia" w:ascii="仿宋" w:hAnsi="仿宋" w:eastAsia="仿宋" w:cs="仿宋"/>
          <w:snapToGrid w:val="0"/>
          <w:color w:val="auto"/>
          <w:kern w:val="0"/>
          <w:sz w:val="24"/>
          <w:highlight w:val="none"/>
        </w:rPr>
        <w:t>分</w:t>
      </w:r>
    </w:p>
    <w:tbl>
      <w:tblPr>
        <w:tblStyle w:val="17"/>
        <w:tblW w:w="8598" w:type="dxa"/>
        <w:tblInd w:w="107" w:type="dxa"/>
        <w:tblLayout w:type="fixed"/>
        <w:tblCellMar>
          <w:top w:w="0" w:type="dxa"/>
          <w:left w:w="0" w:type="dxa"/>
          <w:bottom w:w="0" w:type="dxa"/>
          <w:right w:w="0" w:type="dxa"/>
        </w:tblCellMar>
      </w:tblPr>
      <w:tblGrid>
        <w:gridCol w:w="602"/>
        <w:gridCol w:w="2441"/>
        <w:gridCol w:w="735"/>
        <w:gridCol w:w="1100"/>
        <w:gridCol w:w="810"/>
        <w:gridCol w:w="840"/>
        <w:gridCol w:w="915"/>
        <w:gridCol w:w="1155"/>
      </w:tblGrid>
      <w:tr w14:paraId="5FB36754">
        <w:tblPrEx>
          <w:tblCellMar>
            <w:top w:w="0" w:type="dxa"/>
            <w:left w:w="0" w:type="dxa"/>
            <w:bottom w:w="0" w:type="dxa"/>
            <w:right w:w="0" w:type="dxa"/>
          </w:tblCellMar>
        </w:tblPrEx>
        <w:trPr>
          <w:trHeight w:val="984" w:hRule="exact"/>
        </w:trPr>
        <w:tc>
          <w:tcPr>
            <w:tcW w:w="602" w:type="dxa"/>
            <w:tcBorders>
              <w:top w:val="single" w:color="000000" w:sz="4" w:space="0"/>
              <w:left w:val="single" w:color="000000" w:sz="4" w:space="0"/>
              <w:bottom w:val="single" w:color="000000" w:sz="4" w:space="0"/>
              <w:right w:val="single" w:color="000000" w:sz="4" w:space="0"/>
            </w:tcBorders>
            <w:vAlign w:val="center"/>
          </w:tcPr>
          <w:p w14:paraId="677F0BEC">
            <w:pPr>
              <w:autoSpaceDE w:val="0"/>
              <w:autoSpaceDN w:val="0"/>
              <w:adjustRightInd w:val="0"/>
              <w:snapToGrid w:val="0"/>
              <w:spacing w:line="360" w:lineRule="auto"/>
              <w:jc w:val="center"/>
              <w:rPr>
                <w:rFonts w:hint="eastAsia" w:ascii="仿宋" w:hAnsi="仿宋" w:eastAsia="仿宋" w:cs="仿宋"/>
                <w:b/>
                <w:snapToGrid w:val="0"/>
                <w:color w:val="auto"/>
                <w:kern w:val="0"/>
                <w:sz w:val="24"/>
                <w:highlight w:val="none"/>
              </w:rPr>
            </w:pPr>
            <w:r>
              <w:rPr>
                <w:rFonts w:hint="eastAsia" w:ascii="仿宋" w:hAnsi="仿宋" w:eastAsia="仿宋" w:cs="仿宋"/>
                <w:b/>
                <w:snapToGrid w:val="0"/>
                <w:color w:val="auto"/>
                <w:kern w:val="0"/>
                <w:sz w:val="24"/>
                <w:highlight w:val="none"/>
              </w:rPr>
              <w:t>序号</w:t>
            </w:r>
          </w:p>
        </w:tc>
        <w:tc>
          <w:tcPr>
            <w:tcW w:w="2441" w:type="dxa"/>
            <w:tcBorders>
              <w:top w:val="single" w:color="000000" w:sz="4" w:space="0"/>
              <w:left w:val="single" w:color="000000" w:sz="4" w:space="0"/>
              <w:bottom w:val="single" w:color="000000" w:sz="4" w:space="0"/>
              <w:right w:val="single" w:color="000000" w:sz="4" w:space="0"/>
            </w:tcBorders>
            <w:vAlign w:val="center"/>
          </w:tcPr>
          <w:p w14:paraId="0FF953CC">
            <w:pPr>
              <w:autoSpaceDE w:val="0"/>
              <w:autoSpaceDN w:val="0"/>
              <w:adjustRightInd w:val="0"/>
              <w:snapToGrid w:val="0"/>
              <w:spacing w:line="360" w:lineRule="auto"/>
              <w:jc w:val="center"/>
              <w:rPr>
                <w:rFonts w:hint="eastAsia" w:ascii="仿宋" w:hAnsi="仿宋" w:eastAsia="仿宋" w:cs="仿宋"/>
                <w:b/>
                <w:snapToGrid w:val="0"/>
                <w:color w:val="auto"/>
                <w:kern w:val="0"/>
                <w:sz w:val="24"/>
                <w:highlight w:val="none"/>
              </w:rPr>
            </w:pPr>
            <w:r>
              <w:rPr>
                <w:rFonts w:hint="eastAsia" w:ascii="仿宋" w:hAnsi="仿宋" w:eastAsia="仿宋" w:cs="仿宋"/>
                <w:b/>
                <w:snapToGrid w:val="0"/>
                <w:color w:val="auto"/>
                <w:kern w:val="0"/>
                <w:sz w:val="24"/>
                <w:highlight w:val="none"/>
              </w:rPr>
              <w:t>投标人名称</w:t>
            </w:r>
          </w:p>
        </w:tc>
        <w:tc>
          <w:tcPr>
            <w:tcW w:w="735" w:type="dxa"/>
            <w:tcBorders>
              <w:top w:val="single" w:color="000000" w:sz="4" w:space="0"/>
              <w:left w:val="single" w:color="000000" w:sz="4" w:space="0"/>
              <w:bottom w:val="single" w:color="000000" w:sz="4" w:space="0"/>
              <w:right w:val="single" w:color="000000" w:sz="4" w:space="0"/>
            </w:tcBorders>
            <w:vAlign w:val="center"/>
          </w:tcPr>
          <w:p w14:paraId="6B1084A3">
            <w:pPr>
              <w:autoSpaceDE w:val="0"/>
              <w:autoSpaceDN w:val="0"/>
              <w:adjustRightInd w:val="0"/>
              <w:snapToGrid w:val="0"/>
              <w:spacing w:line="360" w:lineRule="auto"/>
              <w:jc w:val="center"/>
              <w:rPr>
                <w:rFonts w:hint="eastAsia" w:ascii="仿宋" w:hAnsi="仿宋" w:eastAsia="仿宋" w:cs="仿宋"/>
                <w:b/>
                <w:snapToGrid w:val="0"/>
                <w:color w:val="auto"/>
                <w:kern w:val="0"/>
                <w:sz w:val="24"/>
                <w:highlight w:val="none"/>
              </w:rPr>
            </w:pPr>
            <w:r>
              <w:rPr>
                <w:rFonts w:hint="eastAsia" w:ascii="仿宋" w:hAnsi="仿宋" w:eastAsia="仿宋" w:cs="仿宋"/>
                <w:b/>
                <w:snapToGrid w:val="0"/>
                <w:color w:val="auto"/>
                <w:kern w:val="0"/>
                <w:sz w:val="24"/>
                <w:highlight w:val="none"/>
              </w:rPr>
              <w:t>密封</w:t>
            </w:r>
          </w:p>
          <w:p w14:paraId="73BD3EA6">
            <w:pPr>
              <w:autoSpaceDE w:val="0"/>
              <w:autoSpaceDN w:val="0"/>
              <w:adjustRightInd w:val="0"/>
              <w:snapToGrid w:val="0"/>
              <w:spacing w:line="360" w:lineRule="auto"/>
              <w:jc w:val="center"/>
              <w:rPr>
                <w:rFonts w:hint="eastAsia" w:ascii="仿宋" w:hAnsi="仿宋" w:eastAsia="仿宋" w:cs="仿宋"/>
                <w:b/>
                <w:snapToGrid w:val="0"/>
                <w:color w:val="auto"/>
                <w:kern w:val="0"/>
                <w:sz w:val="24"/>
                <w:highlight w:val="none"/>
              </w:rPr>
            </w:pPr>
            <w:r>
              <w:rPr>
                <w:rFonts w:hint="eastAsia" w:ascii="仿宋" w:hAnsi="仿宋" w:eastAsia="仿宋" w:cs="仿宋"/>
                <w:b/>
                <w:snapToGrid w:val="0"/>
                <w:color w:val="auto"/>
                <w:kern w:val="0"/>
                <w:sz w:val="24"/>
                <w:highlight w:val="none"/>
              </w:rPr>
              <w:t>情况</w:t>
            </w:r>
          </w:p>
        </w:tc>
        <w:tc>
          <w:tcPr>
            <w:tcW w:w="1100" w:type="dxa"/>
            <w:tcBorders>
              <w:top w:val="single" w:color="000000" w:sz="4" w:space="0"/>
              <w:left w:val="single" w:color="000000" w:sz="4" w:space="0"/>
              <w:bottom w:val="single" w:color="000000" w:sz="4" w:space="0"/>
              <w:right w:val="single" w:color="000000" w:sz="4" w:space="0"/>
            </w:tcBorders>
            <w:vAlign w:val="center"/>
          </w:tcPr>
          <w:p w14:paraId="3E1953A0">
            <w:pPr>
              <w:autoSpaceDE w:val="0"/>
              <w:autoSpaceDN w:val="0"/>
              <w:adjustRightInd w:val="0"/>
              <w:snapToGrid w:val="0"/>
              <w:spacing w:line="360" w:lineRule="auto"/>
              <w:jc w:val="center"/>
              <w:rPr>
                <w:rFonts w:hint="eastAsia" w:ascii="仿宋" w:hAnsi="仿宋" w:eastAsia="仿宋" w:cs="仿宋"/>
                <w:b/>
                <w:snapToGrid w:val="0"/>
                <w:color w:val="auto"/>
                <w:kern w:val="0"/>
                <w:sz w:val="24"/>
                <w:highlight w:val="none"/>
              </w:rPr>
            </w:pPr>
            <w:r>
              <w:rPr>
                <w:rFonts w:hint="eastAsia" w:ascii="仿宋" w:hAnsi="仿宋" w:eastAsia="仿宋" w:cs="仿宋"/>
                <w:b/>
                <w:snapToGrid w:val="0"/>
                <w:color w:val="auto"/>
                <w:kern w:val="0"/>
                <w:sz w:val="24"/>
                <w:highlight w:val="none"/>
              </w:rPr>
              <w:t>投标报价（元）</w:t>
            </w:r>
          </w:p>
        </w:tc>
        <w:tc>
          <w:tcPr>
            <w:tcW w:w="810" w:type="dxa"/>
            <w:tcBorders>
              <w:top w:val="single" w:color="000000" w:sz="4" w:space="0"/>
              <w:left w:val="single" w:color="000000" w:sz="4" w:space="0"/>
              <w:bottom w:val="single" w:color="000000" w:sz="4" w:space="0"/>
              <w:right w:val="single" w:color="000000" w:sz="4" w:space="0"/>
            </w:tcBorders>
            <w:vAlign w:val="center"/>
          </w:tcPr>
          <w:p w14:paraId="6CA9FB90">
            <w:pPr>
              <w:autoSpaceDE w:val="0"/>
              <w:autoSpaceDN w:val="0"/>
              <w:adjustRightInd w:val="0"/>
              <w:snapToGrid w:val="0"/>
              <w:spacing w:line="360" w:lineRule="auto"/>
              <w:jc w:val="center"/>
              <w:rPr>
                <w:rFonts w:hint="eastAsia" w:ascii="仿宋" w:hAnsi="仿宋" w:eastAsia="仿宋" w:cs="仿宋"/>
                <w:b/>
                <w:snapToGrid w:val="0"/>
                <w:color w:val="auto"/>
                <w:kern w:val="0"/>
                <w:sz w:val="24"/>
                <w:highlight w:val="none"/>
              </w:rPr>
            </w:pPr>
            <w:r>
              <w:rPr>
                <w:rFonts w:hint="eastAsia" w:ascii="仿宋" w:hAnsi="仿宋" w:eastAsia="仿宋" w:cs="仿宋"/>
                <w:b/>
                <w:snapToGrid w:val="0"/>
                <w:color w:val="auto"/>
                <w:kern w:val="0"/>
                <w:sz w:val="24"/>
                <w:highlight w:val="none"/>
              </w:rPr>
              <w:t>质量</w:t>
            </w:r>
          </w:p>
          <w:p w14:paraId="5024A65E">
            <w:pPr>
              <w:autoSpaceDE w:val="0"/>
              <w:autoSpaceDN w:val="0"/>
              <w:adjustRightInd w:val="0"/>
              <w:snapToGrid w:val="0"/>
              <w:spacing w:line="360" w:lineRule="auto"/>
              <w:jc w:val="center"/>
              <w:rPr>
                <w:rFonts w:hint="eastAsia" w:ascii="仿宋" w:hAnsi="仿宋" w:eastAsia="仿宋" w:cs="仿宋"/>
                <w:b/>
                <w:snapToGrid w:val="0"/>
                <w:color w:val="auto"/>
                <w:kern w:val="0"/>
                <w:sz w:val="24"/>
                <w:highlight w:val="none"/>
              </w:rPr>
            </w:pPr>
            <w:r>
              <w:rPr>
                <w:rFonts w:hint="eastAsia" w:ascii="仿宋" w:hAnsi="仿宋" w:eastAsia="仿宋" w:cs="仿宋"/>
                <w:b/>
                <w:snapToGrid w:val="0"/>
                <w:color w:val="auto"/>
                <w:kern w:val="0"/>
                <w:sz w:val="24"/>
                <w:highlight w:val="none"/>
              </w:rPr>
              <w:t>目标</w:t>
            </w:r>
          </w:p>
        </w:tc>
        <w:tc>
          <w:tcPr>
            <w:tcW w:w="840" w:type="dxa"/>
            <w:tcBorders>
              <w:top w:val="single" w:color="000000" w:sz="4" w:space="0"/>
              <w:left w:val="single" w:color="000000" w:sz="4" w:space="0"/>
              <w:bottom w:val="single" w:color="000000" w:sz="4" w:space="0"/>
              <w:right w:val="single" w:color="000000" w:sz="4" w:space="0"/>
            </w:tcBorders>
            <w:vAlign w:val="center"/>
          </w:tcPr>
          <w:p w14:paraId="290F4316">
            <w:pPr>
              <w:autoSpaceDE w:val="0"/>
              <w:autoSpaceDN w:val="0"/>
              <w:adjustRightInd w:val="0"/>
              <w:snapToGrid w:val="0"/>
              <w:spacing w:line="360" w:lineRule="auto"/>
              <w:jc w:val="center"/>
              <w:rPr>
                <w:rFonts w:hint="eastAsia" w:ascii="仿宋" w:hAnsi="仿宋" w:eastAsia="仿宋" w:cs="仿宋"/>
                <w:b/>
                <w:snapToGrid w:val="0"/>
                <w:color w:val="auto"/>
                <w:kern w:val="0"/>
                <w:sz w:val="24"/>
                <w:highlight w:val="none"/>
              </w:rPr>
            </w:pPr>
            <w:r>
              <w:rPr>
                <w:rFonts w:hint="eastAsia" w:ascii="仿宋" w:hAnsi="仿宋" w:eastAsia="仿宋" w:cs="仿宋"/>
                <w:b/>
                <w:snapToGrid w:val="0"/>
                <w:color w:val="auto"/>
                <w:kern w:val="0"/>
                <w:sz w:val="24"/>
                <w:highlight w:val="none"/>
              </w:rPr>
              <w:t>工期</w:t>
            </w:r>
          </w:p>
        </w:tc>
        <w:tc>
          <w:tcPr>
            <w:tcW w:w="915" w:type="dxa"/>
            <w:tcBorders>
              <w:top w:val="single" w:color="000000" w:sz="4" w:space="0"/>
              <w:left w:val="single" w:color="auto" w:sz="4" w:space="0"/>
              <w:bottom w:val="single" w:color="000000" w:sz="4" w:space="0"/>
              <w:right w:val="single" w:color="000000" w:sz="4" w:space="0"/>
            </w:tcBorders>
            <w:vAlign w:val="center"/>
          </w:tcPr>
          <w:p w14:paraId="498D5BCA">
            <w:pPr>
              <w:autoSpaceDE w:val="0"/>
              <w:autoSpaceDN w:val="0"/>
              <w:adjustRightInd w:val="0"/>
              <w:snapToGrid w:val="0"/>
              <w:spacing w:line="360" w:lineRule="auto"/>
              <w:jc w:val="center"/>
              <w:rPr>
                <w:rFonts w:hint="eastAsia" w:ascii="仿宋" w:hAnsi="仿宋" w:eastAsia="仿宋" w:cs="仿宋"/>
                <w:b/>
                <w:snapToGrid w:val="0"/>
                <w:color w:val="auto"/>
                <w:kern w:val="0"/>
                <w:sz w:val="24"/>
                <w:highlight w:val="none"/>
              </w:rPr>
            </w:pPr>
            <w:r>
              <w:rPr>
                <w:rFonts w:hint="eastAsia" w:ascii="仿宋" w:hAnsi="仿宋" w:eastAsia="仿宋" w:cs="仿宋"/>
                <w:b/>
                <w:snapToGrid w:val="0"/>
                <w:color w:val="auto"/>
                <w:kern w:val="0"/>
                <w:sz w:val="24"/>
                <w:highlight w:val="none"/>
              </w:rPr>
              <w:t>备注</w:t>
            </w:r>
          </w:p>
        </w:tc>
        <w:tc>
          <w:tcPr>
            <w:tcW w:w="1155" w:type="dxa"/>
            <w:tcBorders>
              <w:top w:val="single" w:color="000000" w:sz="4" w:space="0"/>
              <w:left w:val="single" w:color="000000" w:sz="4" w:space="0"/>
              <w:bottom w:val="single" w:color="000000" w:sz="4" w:space="0"/>
              <w:right w:val="single" w:color="000000" w:sz="4" w:space="0"/>
            </w:tcBorders>
            <w:vAlign w:val="center"/>
          </w:tcPr>
          <w:p w14:paraId="4F072215">
            <w:pPr>
              <w:autoSpaceDE w:val="0"/>
              <w:autoSpaceDN w:val="0"/>
              <w:adjustRightInd w:val="0"/>
              <w:snapToGrid w:val="0"/>
              <w:spacing w:line="360" w:lineRule="auto"/>
              <w:jc w:val="center"/>
              <w:rPr>
                <w:rFonts w:hint="eastAsia" w:ascii="仿宋" w:hAnsi="仿宋" w:eastAsia="仿宋" w:cs="仿宋"/>
                <w:b/>
                <w:snapToGrid w:val="0"/>
                <w:color w:val="auto"/>
                <w:kern w:val="0"/>
                <w:sz w:val="24"/>
                <w:highlight w:val="none"/>
              </w:rPr>
            </w:pPr>
            <w:r>
              <w:rPr>
                <w:rFonts w:hint="eastAsia" w:ascii="仿宋" w:hAnsi="仿宋" w:eastAsia="仿宋" w:cs="仿宋"/>
                <w:b/>
                <w:snapToGrid w:val="0"/>
                <w:color w:val="auto"/>
                <w:kern w:val="0"/>
                <w:sz w:val="24"/>
                <w:highlight w:val="none"/>
              </w:rPr>
              <w:t>投标人代表签名</w:t>
            </w:r>
          </w:p>
        </w:tc>
      </w:tr>
      <w:tr w14:paraId="24C64E9D">
        <w:tblPrEx>
          <w:tblCellMar>
            <w:top w:w="0" w:type="dxa"/>
            <w:left w:w="0" w:type="dxa"/>
            <w:bottom w:w="0" w:type="dxa"/>
            <w:right w:w="0" w:type="dxa"/>
          </w:tblCellMar>
        </w:tblPrEx>
        <w:trPr>
          <w:trHeight w:val="510" w:hRule="exact"/>
        </w:trPr>
        <w:tc>
          <w:tcPr>
            <w:tcW w:w="602" w:type="dxa"/>
            <w:tcBorders>
              <w:top w:val="single" w:color="000000" w:sz="4" w:space="0"/>
              <w:left w:val="single" w:color="000000" w:sz="4" w:space="0"/>
              <w:bottom w:val="single" w:color="000000" w:sz="4" w:space="0"/>
              <w:right w:val="single" w:color="000000" w:sz="4" w:space="0"/>
            </w:tcBorders>
          </w:tcPr>
          <w:p w14:paraId="008FEA58">
            <w:pPr>
              <w:autoSpaceDE w:val="0"/>
              <w:autoSpaceDN w:val="0"/>
              <w:adjustRightInd w:val="0"/>
              <w:snapToGrid w:val="0"/>
              <w:spacing w:line="360" w:lineRule="auto"/>
              <w:ind w:firstLine="480" w:firstLineChars="200"/>
              <w:jc w:val="left"/>
              <w:rPr>
                <w:rFonts w:hint="eastAsia" w:ascii="仿宋" w:hAnsi="仿宋" w:eastAsia="仿宋" w:cs="仿宋"/>
                <w:snapToGrid w:val="0"/>
                <w:color w:val="auto"/>
                <w:kern w:val="0"/>
                <w:sz w:val="24"/>
                <w:highlight w:val="none"/>
              </w:rPr>
            </w:pPr>
          </w:p>
        </w:tc>
        <w:tc>
          <w:tcPr>
            <w:tcW w:w="2441" w:type="dxa"/>
            <w:tcBorders>
              <w:top w:val="single" w:color="000000" w:sz="4" w:space="0"/>
              <w:left w:val="single" w:color="000000" w:sz="4" w:space="0"/>
              <w:bottom w:val="single" w:color="000000" w:sz="4" w:space="0"/>
              <w:right w:val="single" w:color="000000" w:sz="4" w:space="0"/>
            </w:tcBorders>
          </w:tcPr>
          <w:p w14:paraId="2C1DE9DE">
            <w:pPr>
              <w:autoSpaceDE w:val="0"/>
              <w:autoSpaceDN w:val="0"/>
              <w:adjustRightInd w:val="0"/>
              <w:snapToGrid w:val="0"/>
              <w:spacing w:line="360" w:lineRule="auto"/>
              <w:ind w:firstLine="480" w:firstLineChars="200"/>
              <w:jc w:val="left"/>
              <w:rPr>
                <w:rFonts w:hint="eastAsia" w:ascii="仿宋" w:hAnsi="仿宋" w:eastAsia="仿宋" w:cs="仿宋"/>
                <w:snapToGrid w:val="0"/>
                <w:color w:val="auto"/>
                <w:kern w:val="0"/>
                <w:sz w:val="24"/>
                <w:highlight w:val="none"/>
              </w:rPr>
            </w:pPr>
          </w:p>
        </w:tc>
        <w:tc>
          <w:tcPr>
            <w:tcW w:w="735" w:type="dxa"/>
            <w:tcBorders>
              <w:top w:val="single" w:color="000000" w:sz="4" w:space="0"/>
              <w:left w:val="single" w:color="000000" w:sz="4" w:space="0"/>
              <w:bottom w:val="single" w:color="000000" w:sz="4" w:space="0"/>
              <w:right w:val="single" w:color="000000" w:sz="4" w:space="0"/>
            </w:tcBorders>
          </w:tcPr>
          <w:p w14:paraId="12A1B076">
            <w:pPr>
              <w:autoSpaceDE w:val="0"/>
              <w:autoSpaceDN w:val="0"/>
              <w:adjustRightInd w:val="0"/>
              <w:snapToGrid w:val="0"/>
              <w:spacing w:line="360" w:lineRule="auto"/>
              <w:ind w:firstLine="480" w:firstLineChars="200"/>
              <w:jc w:val="left"/>
              <w:rPr>
                <w:rFonts w:hint="eastAsia" w:ascii="仿宋" w:hAnsi="仿宋" w:eastAsia="仿宋" w:cs="仿宋"/>
                <w:snapToGrid w:val="0"/>
                <w:color w:val="auto"/>
                <w:kern w:val="0"/>
                <w:sz w:val="24"/>
                <w:highlight w:val="none"/>
              </w:rPr>
            </w:pPr>
          </w:p>
        </w:tc>
        <w:tc>
          <w:tcPr>
            <w:tcW w:w="1100" w:type="dxa"/>
            <w:tcBorders>
              <w:top w:val="single" w:color="000000" w:sz="4" w:space="0"/>
              <w:left w:val="single" w:color="000000" w:sz="4" w:space="0"/>
              <w:bottom w:val="single" w:color="000000" w:sz="4" w:space="0"/>
              <w:right w:val="single" w:color="000000" w:sz="4" w:space="0"/>
            </w:tcBorders>
          </w:tcPr>
          <w:p w14:paraId="5FFB506E">
            <w:pPr>
              <w:autoSpaceDE w:val="0"/>
              <w:autoSpaceDN w:val="0"/>
              <w:adjustRightInd w:val="0"/>
              <w:snapToGrid w:val="0"/>
              <w:spacing w:line="360" w:lineRule="auto"/>
              <w:ind w:firstLine="480" w:firstLineChars="200"/>
              <w:jc w:val="left"/>
              <w:rPr>
                <w:rFonts w:hint="eastAsia" w:ascii="仿宋" w:hAnsi="仿宋" w:eastAsia="仿宋" w:cs="仿宋"/>
                <w:snapToGrid w:val="0"/>
                <w:color w:val="auto"/>
                <w:kern w:val="0"/>
                <w:sz w:val="24"/>
                <w:highlight w:val="none"/>
              </w:rPr>
            </w:pPr>
          </w:p>
        </w:tc>
        <w:tc>
          <w:tcPr>
            <w:tcW w:w="810" w:type="dxa"/>
            <w:tcBorders>
              <w:top w:val="single" w:color="000000" w:sz="4" w:space="0"/>
              <w:left w:val="single" w:color="000000" w:sz="4" w:space="0"/>
              <w:bottom w:val="single" w:color="000000" w:sz="4" w:space="0"/>
              <w:right w:val="single" w:color="000000" w:sz="4" w:space="0"/>
            </w:tcBorders>
          </w:tcPr>
          <w:p w14:paraId="47497EF0">
            <w:pPr>
              <w:autoSpaceDE w:val="0"/>
              <w:autoSpaceDN w:val="0"/>
              <w:adjustRightInd w:val="0"/>
              <w:snapToGrid w:val="0"/>
              <w:spacing w:line="360" w:lineRule="auto"/>
              <w:ind w:firstLine="480" w:firstLineChars="200"/>
              <w:jc w:val="left"/>
              <w:rPr>
                <w:rFonts w:hint="eastAsia" w:ascii="仿宋" w:hAnsi="仿宋" w:eastAsia="仿宋" w:cs="仿宋"/>
                <w:snapToGrid w:val="0"/>
                <w:color w:val="auto"/>
                <w:kern w:val="0"/>
                <w:sz w:val="24"/>
                <w:highlight w:val="none"/>
              </w:rPr>
            </w:pPr>
          </w:p>
        </w:tc>
        <w:tc>
          <w:tcPr>
            <w:tcW w:w="840" w:type="dxa"/>
            <w:tcBorders>
              <w:top w:val="single" w:color="000000" w:sz="4" w:space="0"/>
              <w:left w:val="single" w:color="000000" w:sz="4" w:space="0"/>
              <w:bottom w:val="single" w:color="000000" w:sz="4" w:space="0"/>
              <w:right w:val="single" w:color="000000" w:sz="4" w:space="0"/>
            </w:tcBorders>
          </w:tcPr>
          <w:p w14:paraId="69979FCA">
            <w:pPr>
              <w:autoSpaceDE w:val="0"/>
              <w:autoSpaceDN w:val="0"/>
              <w:adjustRightInd w:val="0"/>
              <w:snapToGrid w:val="0"/>
              <w:spacing w:line="360" w:lineRule="auto"/>
              <w:ind w:firstLine="480" w:firstLineChars="200"/>
              <w:jc w:val="left"/>
              <w:rPr>
                <w:rFonts w:hint="eastAsia" w:ascii="仿宋" w:hAnsi="仿宋" w:eastAsia="仿宋" w:cs="仿宋"/>
                <w:snapToGrid w:val="0"/>
                <w:color w:val="auto"/>
                <w:kern w:val="0"/>
                <w:sz w:val="24"/>
                <w:highlight w:val="none"/>
              </w:rPr>
            </w:pPr>
          </w:p>
        </w:tc>
        <w:tc>
          <w:tcPr>
            <w:tcW w:w="915" w:type="dxa"/>
            <w:tcBorders>
              <w:top w:val="single" w:color="000000" w:sz="4" w:space="0"/>
              <w:left w:val="single" w:color="auto" w:sz="4" w:space="0"/>
              <w:bottom w:val="single" w:color="000000" w:sz="4" w:space="0"/>
              <w:right w:val="single" w:color="000000" w:sz="4" w:space="0"/>
            </w:tcBorders>
          </w:tcPr>
          <w:p w14:paraId="78DA0A15">
            <w:pPr>
              <w:autoSpaceDE w:val="0"/>
              <w:autoSpaceDN w:val="0"/>
              <w:adjustRightInd w:val="0"/>
              <w:snapToGrid w:val="0"/>
              <w:spacing w:line="360" w:lineRule="auto"/>
              <w:ind w:firstLine="480" w:firstLineChars="200"/>
              <w:jc w:val="left"/>
              <w:rPr>
                <w:rFonts w:hint="eastAsia" w:ascii="仿宋" w:hAnsi="仿宋" w:eastAsia="仿宋" w:cs="仿宋"/>
                <w:snapToGrid w:val="0"/>
                <w:color w:val="auto"/>
                <w:kern w:val="0"/>
                <w:sz w:val="24"/>
                <w:highlight w:val="none"/>
              </w:rPr>
            </w:pPr>
          </w:p>
        </w:tc>
        <w:tc>
          <w:tcPr>
            <w:tcW w:w="1155" w:type="dxa"/>
            <w:tcBorders>
              <w:top w:val="single" w:color="000000" w:sz="4" w:space="0"/>
              <w:left w:val="single" w:color="000000" w:sz="4" w:space="0"/>
              <w:bottom w:val="single" w:color="000000" w:sz="4" w:space="0"/>
              <w:right w:val="single" w:color="000000" w:sz="4" w:space="0"/>
            </w:tcBorders>
          </w:tcPr>
          <w:p w14:paraId="5FC1B193">
            <w:pPr>
              <w:autoSpaceDE w:val="0"/>
              <w:autoSpaceDN w:val="0"/>
              <w:adjustRightInd w:val="0"/>
              <w:snapToGrid w:val="0"/>
              <w:spacing w:line="360" w:lineRule="auto"/>
              <w:ind w:firstLine="480" w:firstLineChars="200"/>
              <w:jc w:val="left"/>
              <w:rPr>
                <w:rFonts w:hint="eastAsia" w:ascii="仿宋" w:hAnsi="仿宋" w:eastAsia="仿宋" w:cs="仿宋"/>
                <w:snapToGrid w:val="0"/>
                <w:color w:val="auto"/>
                <w:kern w:val="0"/>
                <w:sz w:val="24"/>
                <w:highlight w:val="none"/>
              </w:rPr>
            </w:pPr>
          </w:p>
        </w:tc>
      </w:tr>
      <w:tr w14:paraId="510B9DB2">
        <w:tblPrEx>
          <w:tblCellMar>
            <w:top w:w="0" w:type="dxa"/>
            <w:left w:w="0" w:type="dxa"/>
            <w:bottom w:w="0" w:type="dxa"/>
            <w:right w:w="0" w:type="dxa"/>
          </w:tblCellMar>
        </w:tblPrEx>
        <w:trPr>
          <w:trHeight w:val="510" w:hRule="exact"/>
        </w:trPr>
        <w:tc>
          <w:tcPr>
            <w:tcW w:w="602" w:type="dxa"/>
            <w:tcBorders>
              <w:top w:val="single" w:color="000000" w:sz="4" w:space="0"/>
              <w:left w:val="single" w:color="000000" w:sz="4" w:space="0"/>
              <w:bottom w:val="single" w:color="000000" w:sz="4" w:space="0"/>
              <w:right w:val="single" w:color="000000" w:sz="4" w:space="0"/>
            </w:tcBorders>
          </w:tcPr>
          <w:p w14:paraId="66C29A53">
            <w:pPr>
              <w:autoSpaceDE w:val="0"/>
              <w:autoSpaceDN w:val="0"/>
              <w:adjustRightInd w:val="0"/>
              <w:snapToGrid w:val="0"/>
              <w:spacing w:line="360" w:lineRule="auto"/>
              <w:ind w:firstLine="480" w:firstLineChars="200"/>
              <w:jc w:val="left"/>
              <w:rPr>
                <w:rFonts w:hint="eastAsia" w:ascii="仿宋" w:hAnsi="仿宋" w:eastAsia="仿宋" w:cs="仿宋"/>
                <w:snapToGrid w:val="0"/>
                <w:color w:val="auto"/>
                <w:kern w:val="0"/>
                <w:sz w:val="24"/>
                <w:highlight w:val="none"/>
              </w:rPr>
            </w:pPr>
          </w:p>
        </w:tc>
        <w:tc>
          <w:tcPr>
            <w:tcW w:w="2441" w:type="dxa"/>
            <w:tcBorders>
              <w:top w:val="single" w:color="000000" w:sz="4" w:space="0"/>
              <w:left w:val="single" w:color="000000" w:sz="4" w:space="0"/>
              <w:bottom w:val="single" w:color="000000" w:sz="4" w:space="0"/>
              <w:right w:val="single" w:color="000000" w:sz="4" w:space="0"/>
            </w:tcBorders>
          </w:tcPr>
          <w:p w14:paraId="52A75252">
            <w:pPr>
              <w:autoSpaceDE w:val="0"/>
              <w:autoSpaceDN w:val="0"/>
              <w:adjustRightInd w:val="0"/>
              <w:snapToGrid w:val="0"/>
              <w:spacing w:line="360" w:lineRule="auto"/>
              <w:ind w:firstLine="480" w:firstLineChars="200"/>
              <w:jc w:val="left"/>
              <w:rPr>
                <w:rFonts w:hint="eastAsia" w:ascii="仿宋" w:hAnsi="仿宋" w:eastAsia="仿宋" w:cs="仿宋"/>
                <w:snapToGrid w:val="0"/>
                <w:color w:val="auto"/>
                <w:kern w:val="0"/>
                <w:sz w:val="24"/>
                <w:highlight w:val="none"/>
              </w:rPr>
            </w:pPr>
          </w:p>
        </w:tc>
        <w:tc>
          <w:tcPr>
            <w:tcW w:w="735" w:type="dxa"/>
            <w:tcBorders>
              <w:top w:val="single" w:color="000000" w:sz="4" w:space="0"/>
              <w:left w:val="single" w:color="000000" w:sz="4" w:space="0"/>
              <w:bottom w:val="single" w:color="000000" w:sz="4" w:space="0"/>
              <w:right w:val="single" w:color="000000" w:sz="4" w:space="0"/>
            </w:tcBorders>
          </w:tcPr>
          <w:p w14:paraId="780DEA67">
            <w:pPr>
              <w:autoSpaceDE w:val="0"/>
              <w:autoSpaceDN w:val="0"/>
              <w:adjustRightInd w:val="0"/>
              <w:snapToGrid w:val="0"/>
              <w:spacing w:line="360" w:lineRule="auto"/>
              <w:ind w:firstLine="480" w:firstLineChars="200"/>
              <w:jc w:val="left"/>
              <w:rPr>
                <w:rFonts w:hint="eastAsia" w:ascii="仿宋" w:hAnsi="仿宋" w:eastAsia="仿宋" w:cs="仿宋"/>
                <w:snapToGrid w:val="0"/>
                <w:color w:val="auto"/>
                <w:kern w:val="0"/>
                <w:sz w:val="24"/>
                <w:highlight w:val="none"/>
              </w:rPr>
            </w:pPr>
          </w:p>
        </w:tc>
        <w:tc>
          <w:tcPr>
            <w:tcW w:w="1100" w:type="dxa"/>
            <w:tcBorders>
              <w:top w:val="single" w:color="000000" w:sz="4" w:space="0"/>
              <w:left w:val="single" w:color="000000" w:sz="4" w:space="0"/>
              <w:bottom w:val="single" w:color="000000" w:sz="4" w:space="0"/>
              <w:right w:val="single" w:color="000000" w:sz="4" w:space="0"/>
            </w:tcBorders>
          </w:tcPr>
          <w:p w14:paraId="48E670B9">
            <w:pPr>
              <w:autoSpaceDE w:val="0"/>
              <w:autoSpaceDN w:val="0"/>
              <w:adjustRightInd w:val="0"/>
              <w:snapToGrid w:val="0"/>
              <w:spacing w:line="360" w:lineRule="auto"/>
              <w:ind w:firstLine="480" w:firstLineChars="200"/>
              <w:jc w:val="left"/>
              <w:rPr>
                <w:rFonts w:hint="eastAsia" w:ascii="仿宋" w:hAnsi="仿宋" w:eastAsia="仿宋" w:cs="仿宋"/>
                <w:snapToGrid w:val="0"/>
                <w:color w:val="auto"/>
                <w:kern w:val="0"/>
                <w:sz w:val="24"/>
                <w:highlight w:val="none"/>
              </w:rPr>
            </w:pPr>
          </w:p>
        </w:tc>
        <w:tc>
          <w:tcPr>
            <w:tcW w:w="810" w:type="dxa"/>
            <w:tcBorders>
              <w:top w:val="single" w:color="000000" w:sz="4" w:space="0"/>
              <w:left w:val="single" w:color="000000" w:sz="4" w:space="0"/>
              <w:bottom w:val="single" w:color="000000" w:sz="4" w:space="0"/>
              <w:right w:val="single" w:color="000000" w:sz="4" w:space="0"/>
            </w:tcBorders>
          </w:tcPr>
          <w:p w14:paraId="4B7F340F">
            <w:pPr>
              <w:autoSpaceDE w:val="0"/>
              <w:autoSpaceDN w:val="0"/>
              <w:adjustRightInd w:val="0"/>
              <w:snapToGrid w:val="0"/>
              <w:spacing w:line="360" w:lineRule="auto"/>
              <w:ind w:firstLine="480" w:firstLineChars="200"/>
              <w:jc w:val="left"/>
              <w:rPr>
                <w:rFonts w:hint="eastAsia" w:ascii="仿宋" w:hAnsi="仿宋" w:eastAsia="仿宋" w:cs="仿宋"/>
                <w:snapToGrid w:val="0"/>
                <w:color w:val="auto"/>
                <w:kern w:val="0"/>
                <w:sz w:val="24"/>
                <w:highlight w:val="none"/>
              </w:rPr>
            </w:pPr>
          </w:p>
        </w:tc>
        <w:tc>
          <w:tcPr>
            <w:tcW w:w="840" w:type="dxa"/>
            <w:tcBorders>
              <w:top w:val="single" w:color="000000" w:sz="4" w:space="0"/>
              <w:left w:val="single" w:color="000000" w:sz="4" w:space="0"/>
              <w:bottom w:val="single" w:color="000000" w:sz="4" w:space="0"/>
              <w:right w:val="single" w:color="000000" w:sz="4" w:space="0"/>
            </w:tcBorders>
          </w:tcPr>
          <w:p w14:paraId="69FD0EE5">
            <w:pPr>
              <w:autoSpaceDE w:val="0"/>
              <w:autoSpaceDN w:val="0"/>
              <w:adjustRightInd w:val="0"/>
              <w:snapToGrid w:val="0"/>
              <w:spacing w:line="360" w:lineRule="auto"/>
              <w:ind w:firstLine="480" w:firstLineChars="200"/>
              <w:jc w:val="left"/>
              <w:rPr>
                <w:rFonts w:hint="eastAsia" w:ascii="仿宋" w:hAnsi="仿宋" w:eastAsia="仿宋" w:cs="仿宋"/>
                <w:snapToGrid w:val="0"/>
                <w:color w:val="auto"/>
                <w:kern w:val="0"/>
                <w:sz w:val="24"/>
                <w:highlight w:val="none"/>
              </w:rPr>
            </w:pPr>
          </w:p>
        </w:tc>
        <w:tc>
          <w:tcPr>
            <w:tcW w:w="915" w:type="dxa"/>
            <w:tcBorders>
              <w:top w:val="single" w:color="000000" w:sz="4" w:space="0"/>
              <w:left w:val="single" w:color="auto" w:sz="4" w:space="0"/>
              <w:bottom w:val="single" w:color="000000" w:sz="4" w:space="0"/>
              <w:right w:val="single" w:color="000000" w:sz="4" w:space="0"/>
            </w:tcBorders>
          </w:tcPr>
          <w:p w14:paraId="2C31532A">
            <w:pPr>
              <w:autoSpaceDE w:val="0"/>
              <w:autoSpaceDN w:val="0"/>
              <w:adjustRightInd w:val="0"/>
              <w:snapToGrid w:val="0"/>
              <w:spacing w:line="360" w:lineRule="auto"/>
              <w:ind w:firstLine="480" w:firstLineChars="200"/>
              <w:jc w:val="left"/>
              <w:rPr>
                <w:rFonts w:hint="eastAsia" w:ascii="仿宋" w:hAnsi="仿宋" w:eastAsia="仿宋" w:cs="仿宋"/>
                <w:snapToGrid w:val="0"/>
                <w:color w:val="auto"/>
                <w:kern w:val="0"/>
                <w:sz w:val="24"/>
                <w:highlight w:val="none"/>
              </w:rPr>
            </w:pPr>
          </w:p>
        </w:tc>
        <w:tc>
          <w:tcPr>
            <w:tcW w:w="1155" w:type="dxa"/>
            <w:tcBorders>
              <w:top w:val="single" w:color="000000" w:sz="4" w:space="0"/>
              <w:left w:val="single" w:color="000000" w:sz="4" w:space="0"/>
              <w:bottom w:val="single" w:color="000000" w:sz="4" w:space="0"/>
              <w:right w:val="single" w:color="000000" w:sz="4" w:space="0"/>
            </w:tcBorders>
          </w:tcPr>
          <w:p w14:paraId="7B504247">
            <w:pPr>
              <w:autoSpaceDE w:val="0"/>
              <w:autoSpaceDN w:val="0"/>
              <w:adjustRightInd w:val="0"/>
              <w:snapToGrid w:val="0"/>
              <w:spacing w:line="360" w:lineRule="auto"/>
              <w:ind w:firstLine="480" w:firstLineChars="200"/>
              <w:jc w:val="left"/>
              <w:rPr>
                <w:rFonts w:hint="eastAsia" w:ascii="仿宋" w:hAnsi="仿宋" w:eastAsia="仿宋" w:cs="仿宋"/>
                <w:snapToGrid w:val="0"/>
                <w:color w:val="auto"/>
                <w:kern w:val="0"/>
                <w:sz w:val="24"/>
                <w:highlight w:val="none"/>
              </w:rPr>
            </w:pPr>
          </w:p>
        </w:tc>
      </w:tr>
      <w:tr w14:paraId="1C4969DE">
        <w:tblPrEx>
          <w:tblCellMar>
            <w:top w:w="0" w:type="dxa"/>
            <w:left w:w="0" w:type="dxa"/>
            <w:bottom w:w="0" w:type="dxa"/>
            <w:right w:w="0" w:type="dxa"/>
          </w:tblCellMar>
        </w:tblPrEx>
        <w:trPr>
          <w:trHeight w:val="510" w:hRule="exact"/>
        </w:trPr>
        <w:tc>
          <w:tcPr>
            <w:tcW w:w="602" w:type="dxa"/>
            <w:tcBorders>
              <w:top w:val="single" w:color="000000" w:sz="4" w:space="0"/>
              <w:left w:val="single" w:color="000000" w:sz="4" w:space="0"/>
              <w:bottom w:val="single" w:color="000000" w:sz="4" w:space="0"/>
              <w:right w:val="single" w:color="000000" w:sz="4" w:space="0"/>
            </w:tcBorders>
          </w:tcPr>
          <w:p w14:paraId="45AD91E7">
            <w:pPr>
              <w:autoSpaceDE w:val="0"/>
              <w:autoSpaceDN w:val="0"/>
              <w:adjustRightInd w:val="0"/>
              <w:snapToGrid w:val="0"/>
              <w:spacing w:line="360" w:lineRule="auto"/>
              <w:ind w:firstLine="480" w:firstLineChars="200"/>
              <w:jc w:val="left"/>
              <w:rPr>
                <w:rFonts w:hint="eastAsia" w:ascii="仿宋" w:hAnsi="仿宋" w:eastAsia="仿宋" w:cs="仿宋"/>
                <w:snapToGrid w:val="0"/>
                <w:color w:val="auto"/>
                <w:kern w:val="0"/>
                <w:sz w:val="24"/>
                <w:highlight w:val="none"/>
              </w:rPr>
            </w:pPr>
          </w:p>
        </w:tc>
        <w:tc>
          <w:tcPr>
            <w:tcW w:w="2441" w:type="dxa"/>
            <w:tcBorders>
              <w:top w:val="single" w:color="000000" w:sz="4" w:space="0"/>
              <w:left w:val="single" w:color="000000" w:sz="4" w:space="0"/>
              <w:bottom w:val="single" w:color="000000" w:sz="4" w:space="0"/>
              <w:right w:val="single" w:color="000000" w:sz="4" w:space="0"/>
            </w:tcBorders>
          </w:tcPr>
          <w:p w14:paraId="2EC31566">
            <w:pPr>
              <w:autoSpaceDE w:val="0"/>
              <w:autoSpaceDN w:val="0"/>
              <w:adjustRightInd w:val="0"/>
              <w:snapToGrid w:val="0"/>
              <w:spacing w:line="360" w:lineRule="auto"/>
              <w:ind w:firstLine="480" w:firstLineChars="200"/>
              <w:jc w:val="left"/>
              <w:rPr>
                <w:rFonts w:hint="eastAsia" w:ascii="仿宋" w:hAnsi="仿宋" w:eastAsia="仿宋" w:cs="仿宋"/>
                <w:snapToGrid w:val="0"/>
                <w:color w:val="auto"/>
                <w:kern w:val="0"/>
                <w:sz w:val="24"/>
                <w:highlight w:val="none"/>
              </w:rPr>
            </w:pPr>
          </w:p>
        </w:tc>
        <w:tc>
          <w:tcPr>
            <w:tcW w:w="735" w:type="dxa"/>
            <w:tcBorders>
              <w:top w:val="single" w:color="000000" w:sz="4" w:space="0"/>
              <w:left w:val="single" w:color="000000" w:sz="4" w:space="0"/>
              <w:bottom w:val="single" w:color="000000" w:sz="4" w:space="0"/>
              <w:right w:val="single" w:color="000000" w:sz="4" w:space="0"/>
            </w:tcBorders>
          </w:tcPr>
          <w:p w14:paraId="0D18B2AA">
            <w:pPr>
              <w:autoSpaceDE w:val="0"/>
              <w:autoSpaceDN w:val="0"/>
              <w:adjustRightInd w:val="0"/>
              <w:snapToGrid w:val="0"/>
              <w:spacing w:line="360" w:lineRule="auto"/>
              <w:ind w:firstLine="480" w:firstLineChars="200"/>
              <w:jc w:val="left"/>
              <w:rPr>
                <w:rFonts w:hint="eastAsia" w:ascii="仿宋" w:hAnsi="仿宋" w:eastAsia="仿宋" w:cs="仿宋"/>
                <w:snapToGrid w:val="0"/>
                <w:color w:val="auto"/>
                <w:kern w:val="0"/>
                <w:sz w:val="24"/>
                <w:highlight w:val="none"/>
              </w:rPr>
            </w:pPr>
          </w:p>
        </w:tc>
        <w:tc>
          <w:tcPr>
            <w:tcW w:w="1100" w:type="dxa"/>
            <w:tcBorders>
              <w:top w:val="single" w:color="000000" w:sz="4" w:space="0"/>
              <w:left w:val="single" w:color="000000" w:sz="4" w:space="0"/>
              <w:bottom w:val="single" w:color="000000" w:sz="4" w:space="0"/>
              <w:right w:val="single" w:color="000000" w:sz="4" w:space="0"/>
            </w:tcBorders>
          </w:tcPr>
          <w:p w14:paraId="078AD79D">
            <w:pPr>
              <w:autoSpaceDE w:val="0"/>
              <w:autoSpaceDN w:val="0"/>
              <w:adjustRightInd w:val="0"/>
              <w:snapToGrid w:val="0"/>
              <w:spacing w:line="360" w:lineRule="auto"/>
              <w:ind w:firstLine="480" w:firstLineChars="200"/>
              <w:jc w:val="left"/>
              <w:rPr>
                <w:rFonts w:hint="eastAsia" w:ascii="仿宋" w:hAnsi="仿宋" w:eastAsia="仿宋" w:cs="仿宋"/>
                <w:snapToGrid w:val="0"/>
                <w:color w:val="auto"/>
                <w:kern w:val="0"/>
                <w:sz w:val="24"/>
                <w:highlight w:val="none"/>
              </w:rPr>
            </w:pPr>
          </w:p>
        </w:tc>
        <w:tc>
          <w:tcPr>
            <w:tcW w:w="810" w:type="dxa"/>
            <w:tcBorders>
              <w:top w:val="single" w:color="000000" w:sz="4" w:space="0"/>
              <w:left w:val="single" w:color="000000" w:sz="4" w:space="0"/>
              <w:bottom w:val="single" w:color="000000" w:sz="4" w:space="0"/>
              <w:right w:val="single" w:color="000000" w:sz="4" w:space="0"/>
            </w:tcBorders>
          </w:tcPr>
          <w:p w14:paraId="747E49D2">
            <w:pPr>
              <w:autoSpaceDE w:val="0"/>
              <w:autoSpaceDN w:val="0"/>
              <w:adjustRightInd w:val="0"/>
              <w:snapToGrid w:val="0"/>
              <w:spacing w:line="360" w:lineRule="auto"/>
              <w:ind w:firstLine="480" w:firstLineChars="200"/>
              <w:jc w:val="left"/>
              <w:rPr>
                <w:rFonts w:hint="eastAsia" w:ascii="仿宋" w:hAnsi="仿宋" w:eastAsia="仿宋" w:cs="仿宋"/>
                <w:snapToGrid w:val="0"/>
                <w:color w:val="auto"/>
                <w:kern w:val="0"/>
                <w:sz w:val="24"/>
                <w:highlight w:val="none"/>
              </w:rPr>
            </w:pPr>
          </w:p>
        </w:tc>
        <w:tc>
          <w:tcPr>
            <w:tcW w:w="840" w:type="dxa"/>
            <w:tcBorders>
              <w:top w:val="single" w:color="000000" w:sz="4" w:space="0"/>
              <w:left w:val="single" w:color="000000" w:sz="4" w:space="0"/>
              <w:bottom w:val="single" w:color="000000" w:sz="4" w:space="0"/>
              <w:right w:val="single" w:color="000000" w:sz="4" w:space="0"/>
            </w:tcBorders>
          </w:tcPr>
          <w:p w14:paraId="2BE2E870">
            <w:pPr>
              <w:autoSpaceDE w:val="0"/>
              <w:autoSpaceDN w:val="0"/>
              <w:adjustRightInd w:val="0"/>
              <w:snapToGrid w:val="0"/>
              <w:spacing w:line="360" w:lineRule="auto"/>
              <w:ind w:firstLine="480" w:firstLineChars="200"/>
              <w:jc w:val="left"/>
              <w:rPr>
                <w:rFonts w:hint="eastAsia" w:ascii="仿宋" w:hAnsi="仿宋" w:eastAsia="仿宋" w:cs="仿宋"/>
                <w:snapToGrid w:val="0"/>
                <w:color w:val="auto"/>
                <w:kern w:val="0"/>
                <w:sz w:val="24"/>
                <w:highlight w:val="none"/>
              </w:rPr>
            </w:pPr>
          </w:p>
        </w:tc>
        <w:tc>
          <w:tcPr>
            <w:tcW w:w="915" w:type="dxa"/>
            <w:tcBorders>
              <w:top w:val="single" w:color="000000" w:sz="4" w:space="0"/>
              <w:left w:val="single" w:color="auto" w:sz="4" w:space="0"/>
              <w:bottom w:val="single" w:color="000000" w:sz="4" w:space="0"/>
              <w:right w:val="single" w:color="000000" w:sz="4" w:space="0"/>
            </w:tcBorders>
          </w:tcPr>
          <w:p w14:paraId="3AFBE0F0">
            <w:pPr>
              <w:autoSpaceDE w:val="0"/>
              <w:autoSpaceDN w:val="0"/>
              <w:adjustRightInd w:val="0"/>
              <w:snapToGrid w:val="0"/>
              <w:spacing w:line="360" w:lineRule="auto"/>
              <w:ind w:firstLine="480" w:firstLineChars="200"/>
              <w:jc w:val="left"/>
              <w:rPr>
                <w:rFonts w:hint="eastAsia" w:ascii="仿宋" w:hAnsi="仿宋" w:eastAsia="仿宋" w:cs="仿宋"/>
                <w:snapToGrid w:val="0"/>
                <w:color w:val="auto"/>
                <w:kern w:val="0"/>
                <w:sz w:val="24"/>
                <w:highlight w:val="none"/>
              </w:rPr>
            </w:pPr>
          </w:p>
        </w:tc>
        <w:tc>
          <w:tcPr>
            <w:tcW w:w="1155" w:type="dxa"/>
            <w:tcBorders>
              <w:top w:val="single" w:color="000000" w:sz="4" w:space="0"/>
              <w:left w:val="single" w:color="000000" w:sz="4" w:space="0"/>
              <w:bottom w:val="single" w:color="000000" w:sz="4" w:space="0"/>
              <w:right w:val="single" w:color="000000" w:sz="4" w:space="0"/>
            </w:tcBorders>
          </w:tcPr>
          <w:p w14:paraId="6BF11F44">
            <w:pPr>
              <w:autoSpaceDE w:val="0"/>
              <w:autoSpaceDN w:val="0"/>
              <w:adjustRightInd w:val="0"/>
              <w:snapToGrid w:val="0"/>
              <w:spacing w:line="360" w:lineRule="auto"/>
              <w:ind w:firstLine="480" w:firstLineChars="200"/>
              <w:jc w:val="left"/>
              <w:rPr>
                <w:rFonts w:hint="eastAsia" w:ascii="仿宋" w:hAnsi="仿宋" w:eastAsia="仿宋" w:cs="仿宋"/>
                <w:snapToGrid w:val="0"/>
                <w:color w:val="auto"/>
                <w:kern w:val="0"/>
                <w:sz w:val="24"/>
                <w:highlight w:val="none"/>
              </w:rPr>
            </w:pPr>
          </w:p>
        </w:tc>
      </w:tr>
      <w:tr w14:paraId="3D86877C">
        <w:tblPrEx>
          <w:tblCellMar>
            <w:top w:w="0" w:type="dxa"/>
            <w:left w:w="0" w:type="dxa"/>
            <w:bottom w:w="0" w:type="dxa"/>
            <w:right w:w="0" w:type="dxa"/>
          </w:tblCellMar>
        </w:tblPrEx>
        <w:trPr>
          <w:trHeight w:val="476" w:hRule="exact"/>
        </w:trPr>
        <w:tc>
          <w:tcPr>
            <w:tcW w:w="602" w:type="dxa"/>
            <w:tcBorders>
              <w:top w:val="single" w:color="000000" w:sz="4" w:space="0"/>
              <w:left w:val="single" w:color="000000" w:sz="4" w:space="0"/>
              <w:bottom w:val="single" w:color="000000" w:sz="4" w:space="0"/>
              <w:right w:val="single" w:color="000000" w:sz="4" w:space="0"/>
            </w:tcBorders>
          </w:tcPr>
          <w:p w14:paraId="476F2E5C">
            <w:pPr>
              <w:autoSpaceDE w:val="0"/>
              <w:autoSpaceDN w:val="0"/>
              <w:adjustRightInd w:val="0"/>
              <w:snapToGrid w:val="0"/>
              <w:spacing w:line="360" w:lineRule="auto"/>
              <w:ind w:firstLine="480" w:firstLineChars="200"/>
              <w:jc w:val="left"/>
              <w:rPr>
                <w:rFonts w:hint="eastAsia" w:ascii="仿宋" w:hAnsi="仿宋" w:eastAsia="仿宋" w:cs="仿宋"/>
                <w:snapToGrid w:val="0"/>
                <w:color w:val="auto"/>
                <w:kern w:val="0"/>
                <w:sz w:val="24"/>
                <w:highlight w:val="none"/>
              </w:rPr>
            </w:pPr>
          </w:p>
        </w:tc>
        <w:tc>
          <w:tcPr>
            <w:tcW w:w="2441" w:type="dxa"/>
            <w:tcBorders>
              <w:top w:val="single" w:color="000000" w:sz="4" w:space="0"/>
              <w:left w:val="single" w:color="000000" w:sz="4" w:space="0"/>
              <w:bottom w:val="single" w:color="000000" w:sz="4" w:space="0"/>
              <w:right w:val="single" w:color="000000" w:sz="4" w:space="0"/>
            </w:tcBorders>
          </w:tcPr>
          <w:p w14:paraId="0F52488E">
            <w:pPr>
              <w:autoSpaceDE w:val="0"/>
              <w:autoSpaceDN w:val="0"/>
              <w:adjustRightInd w:val="0"/>
              <w:snapToGrid w:val="0"/>
              <w:spacing w:line="360" w:lineRule="auto"/>
              <w:ind w:firstLine="480" w:firstLineChars="200"/>
              <w:jc w:val="left"/>
              <w:rPr>
                <w:rFonts w:hint="eastAsia" w:ascii="仿宋" w:hAnsi="仿宋" w:eastAsia="仿宋" w:cs="仿宋"/>
                <w:snapToGrid w:val="0"/>
                <w:color w:val="auto"/>
                <w:kern w:val="0"/>
                <w:sz w:val="24"/>
                <w:highlight w:val="none"/>
              </w:rPr>
            </w:pPr>
          </w:p>
        </w:tc>
        <w:tc>
          <w:tcPr>
            <w:tcW w:w="735" w:type="dxa"/>
            <w:tcBorders>
              <w:top w:val="single" w:color="000000" w:sz="4" w:space="0"/>
              <w:left w:val="single" w:color="000000" w:sz="4" w:space="0"/>
              <w:bottom w:val="single" w:color="000000" w:sz="4" w:space="0"/>
              <w:right w:val="single" w:color="000000" w:sz="4" w:space="0"/>
            </w:tcBorders>
          </w:tcPr>
          <w:p w14:paraId="62B62DD9">
            <w:pPr>
              <w:autoSpaceDE w:val="0"/>
              <w:autoSpaceDN w:val="0"/>
              <w:adjustRightInd w:val="0"/>
              <w:snapToGrid w:val="0"/>
              <w:spacing w:line="360" w:lineRule="auto"/>
              <w:ind w:firstLine="480" w:firstLineChars="200"/>
              <w:jc w:val="left"/>
              <w:rPr>
                <w:rFonts w:hint="eastAsia" w:ascii="仿宋" w:hAnsi="仿宋" w:eastAsia="仿宋" w:cs="仿宋"/>
                <w:snapToGrid w:val="0"/>
                <w:color w:val="auto"/>
                <w:kern w:val="0"/>
                <w:sz w:val="24"/>
                <w:highlight w:val="none"/>
              </w:rPr>
            </w:pPr>
          </w:p>
        </w:tc>
        <w:tc>
          <w:tcPr>
            <w:tcW w:w="1100" w:type="dxa"/>
            <w:tcBorders>
              <w:top w:val="single" w:color="000000" w:sz="4" w:space="0"/>
              <w:left w:val="single" w:color="000000" w:sz="4" w:space="0"/>
              <w:bottom w:val="single" w:color="000000" w:sz="4" w:space="0"/>
              <w:right w:val="single" w:color="000000" w:sz="4" w:space="0"/>
            </w:tcBorders>
          </w:tcPr>
          <w:p w14:paraId="0209DBDE">
            <w:pPr>
              <w:autoSpaceDE w:val="0"/>
              <w:autoSpaceDN w:val="0"/>
              <w:adjustRightInd w:val="0"/>
              <w:snapToGrid w:val="0"/>
              <w:spacing w:line="360" w:lineRule="auto"/>
              <w:ind w:firstLine="480" w:firstLineChars="200"/>
              <w:jc w:val="left"/>
              <w:rPr>
                <w:rFonts w:hint="eastAsia" w:ascii="仿宋" w:hAnsi="仿宋" w:eastAsia="仿宋" w:cs="仿宋"/>
                <w:snapToGrid w:val="0"/>
                <w:color w:val="auto"/>
                <w:kern w:val="0"/>
                <w:sz w:val="24"/>
                <w:highlight w:val="none"/>
              </w:rPr>
            </w:pPr>
          </w:p>
        </w:tc>
        <w:tc>
          <w:tcPr>
            <w:tcW w:w="810" w:type="dxa"/>
            <w:tcBorders>
              <w:top w:val="single" w:color="000000" w:sz="4" w:space="0"/>
              <w:left w:val="single" w:color="000000" w:sz="4" w:space="0"/>
              <w:bottom w:val="single" w:color="000000" w:sz="4" w:space="0"/>
              <w:right w:val="single" w:color="000000" w:sz="4" w:space="0"/>
            </w:tcBorders>
          </w:tcPr>
          <w:p w14:paraId="4F4474B1">
            <w:pPr>
              <w:autoSpaceDE w:val="0"/>
              <w:autoSpaceDN w:val="0"/>
              <w:adjustRightInd w:val="0"/>
              <w:snapToGrid w:val="0"/>
              <w:spacing w:line="360" w:lineRule="auto"/>
              <w:ind w:firstLine="480" w:firstLineChars="200"/>
              <w:jc w:val="left"/>
              <w:rPr>
                <w:rFonts w:hint="eastAsia" w:ascii="仿宋" w:hAnsi="仿宋" w:eastAsia="仿宋" w:cs="仿宋"/>
                <w:snapToGrid w:val="0"/>
                <w:color w:val="auto"/>
                <w:kern w:val="0"/>
                <w:sz w:val="24"/>
                <w:highlight w:val="none"/>
              </w:rPr>
            </w:pPr>
          </w:p>
        </w:tc>
        <w:tc>
          <w:tcPr>
            <w:tcW w:w="840" w:type="dxa"/>
            <w:tcBorders>
              <w:top w:val="single" w:color="000000" w:sz="4" w:space="0"/>
              <w:left w:val="single" w:color="000000" w:sz="4" w:space="0"/>
              <w:bottom w:val="single" w:color="000000" w:sz="4" w:space="0"/>
              <w:right w:val="single" w:color="000000" w:sz="4" w:space="0"/>
            </w:tcBorders>
          </w:tcPr>
          <w:p w14:paraId="103D881E">
            <w:pPr>
              <w:autoSpaceDE w:val="0"/>
              <w:autoSpaceDN w:val="0"/>
              <w:adjustRightInd w:val="0"/>
              <w:snapToGrid w:val="0"/>
              <w:spacing w:line="360" w:lineRule="auto"/>
              <w:ind w:firstLine="480" w:firstLineChars="200"/>
              <w:jc w:val="left"/>
              <w:rPr>
                <w:rFonts w:hint="eastAsia" w:ascii="仿宋" w:hAnsi="仿宋" w:eastAsia="仿宋" w:cs="仿宋"/>
                <w:snapToGrid w:val="0"/>
                <w:color w:val="auto"/>
                <w:kern w:val="0"/>
                <w:sz w:val="24"/>
                <w:highlight w:val="none"/>
              </w:rPr>
            </w:pPr>
          </w:p>
        </w:tc>
        <w:tc>
          <w:tcPr>
            <w:tcW w:w="915" w:type="dxa"/>
            <w:tcBorders>
              <w:top w:val="single" w:color="000000" w:sz="4" w:space="0"/>
              <w:left w:val="single" w:color="auto" w:sz="4" w:space="0"/>
              <w:bottom w:val="single" w:color="000000" w:sz="4" w:space="0"/>
              <w:right w:val="single" w:color="000000" w:sz="4" w:space="0"/>
            </w:tcBorders>
          </w:tcPr>
          <w:p w14:paraId="239B9AE7">
            <w:pPr>
              <w:autoSpaceDE w:val="0"/>
              <w:autoSpaceDN w:val="0"/>
              <w:adjustRightInd w:val="0"/>
              <w:snapToGrid w:val="0"/>
              <w:spacing w:line="360" w:lineRule="auto"/>
              <w:ind w:firstLine="480" w:firstLineChars="200"/>
              <w:jc w:val="left"/>
              <w:rPr>
                <w:rFonts w:hint="eastAsia" w:ascii="仿宋" w:hAnsi="仿宋" w:eastAsia="仿宋" w:cs="仿宋"/>
                <w:snapToGrid w:val="0"/>
                <w:color w:val="auto"/>
                <w:kern w:val="0"/>
                <w:sz w:val="24"/>
                <w:highlight w:val="none"/>
              </w:rPr>
            </w:pPr>
          </w:p>
        </w:tc>
        <w:tc>
          <w:tcPr>
            <w:tcW w:w="1155" w:type="dxa"/>
            <w:tcBorders>
              <w:top w:val="single" w:color="000000" w:sz="4" w:space="0"/>
              <w:left w:val="single" w:color="000000" w:sz="4" w:space="0"/>
              <w:bottom w:val="single" w:color="000000" w:sz="4" w:space="0"/>
              <w:right w:val="single" w:color="000000" w:sz="4" w:space="0"/>
            </w:tcBorders>
          </w:tcPr>
          <w:p w14:paraId="239245A5">
            <w:pPr>
              <w:autoSpaceDE w:val="0"/>
              <w:autoSpaceDN w:val="0"/>
              <w:adjustRightInd w:val="0"/>
              <w:snapToGrid w:val="0"/>
              <w:spacing w:line="360" w:lineRule="auto"/>
              <w:ind w:firstLine="480" w:firstLineChars="200"/>
              <w:jc w:val="left"/>
              <w:rPr>
                <w:rFonts w:hint="eastAsia" w:ascii="仿宋" w:hAnsi="仿宋" w:eastAsia="仿宋" w:cs="仿宋"/>
                <w:snapToGrid w:val="0"/>
                <w:color w:val="auto"/>
                <w:kern w:val="0"/>
                <w:sz w:val="24"/>
                <w:highlight w:val="none"/>
              </w:rPr>
            </w:pPr>
          </w:p>
        </w:tc>
      </w:tr>
      <w:tr w14:paraId="5725FFA9">
        <w:tblPrEx>
          <w:tblCellMar>
            <w:top w:w="0" w:type="dxa"/>
            <w:left w:w="0" w:type="dxa"/>
            <w:bottom w:w="0" w:type="dxa"/>
            <w:right w:w="0" w:type="dxa"/>
          </w:tblCellMar>
        </w:tblPrEx>
        <w:trPr>
          <w:trHeight w:val="510" w:hRule="exact"/>
        </w:trPr>
        <w:tc>
          <w:tcPr>
            <w:tcW w:w="602" w:type="dxa"/>
            <w:tcBorders>
              <w:top w:val="single" w:color="000000" w:sz="4" w:space="0"/>
              <w:left w:val="single" w:color="000000" w:sz="4" w:space="0"/>
              <w:bottom w:val="single" w:color="000000" w:sz="4" w:space="0"/>
              <w:right w:val="single" w:color="000000" w:sz="4" w:space="0"/>
            </w:tcBorders>
          </w:tcPr>
          <w:p w14:paraId="6D0870E4">
            <w:pPr>
              <w:autoSpaceDE w:val="0"/>
              <w:autoSpaceDN w:val="0"/>
              <w:adjustRightInd w:val="0"/>
              <w:snapToGrid w:val="0"/>
              <w:spacing w:line="360" w:lineRule="auto"/>
              <w:ind w:firstLine="480" w:firstLineChars="200"/>
              <w:jc w:val="left"/>
              <w:rPr>
                <w:rFonts w:hint="eastAsia" w:ascii="仿宋" w:hAnsi="仿宋" w:eastAsia="仿宋" w:cs="仿宋"/>
                <w:snapToGrid w:val="0"/>
                <w:color w:val="auto"/>
                <w:kern w:val="0"/>
                <w:sz w:val="24"/>
                <w:highlight w:val="none"/>
              </w:rPr>
            </w:pPr>
          </w:p>
        </w:tc>
        <w:tc>
          <w:tcPr>
            <w:tcW w:w="2441" w:type="dxa"/>
            <w:tcBorders>
              <w:top w:val="single" w:color="000000" w:sz="4" w:space="0"/>
              <w:left w:val="single" w:color="000000" w:sz="4" w:space="0"/>
              <w:bottom w:val="single" w:color="000000" w:sz="4" w:space="0"/>
              <w:right w:val="single" w:color="000000" w:sz="4" w:space="0"/>
            </w:tcBorders>
          </w:tcPr>
          <w:p w14:paraId="77DFDAA7">
            <w:pPr>
              <w:autoSpaceDE w:val="0"/>
              <w:autoSpaceDN w:val="0"/>
              <w:adjustRightInd w:val="0"/>
              <w:snapToGrid w:val="0"/>
              <w:spacing w:line="360" w:lineRule="auto"/>
              <w:ind w:firstLine="480" w:firstLineChars="200"/>
              <w:jc w:val="left"/>
              <w:rPr>
                <w:rFonts w:hint="eastAsia" w:ascii="仿宋" w:hAnsi="仿宋" w:eastAsia="仿宋" w:cs="仿宋"/>
                <w:snapToGrid w:val="0"/>
                <w:color w:val="auto"/>
                <w:kern w:val="0"/>
                <w:sz w:val="24"/>
                <w:highlight w:val="none"/>
              </w:rPr>
            </w:pPr>
          </w:p>
        </w:tc>
        <w:tc>
          <w:tcPr>
            <w:tcW w:w="735" w:type="dxa"/>
            <w:tcBorders>
              <w:top w:val="single" w:color="000000" w:sz="4" w:space="0"/>
              <w:left w:val="single" w:color="000000" w:sz="4" w:space="0"/>
              <w:bottom w:val="single" w:color="000000" w:sz="4" w:space="0"/>
              <w:right w:val="single" w:color="000000" w:sz="4" w:space="0"/>
            </w:tcBorders>
          </w:tcPr>
          <w:p w14:paraId="61D4345F">
            <w:pPr>
              <w:autoSpaceDE w:val="0"/>
              <w:autoSpaceDN w:val="0"/>
              <w:adjustRightInd w:val="0"/>
              <w:snapToGrid w:val="0"/>
              <w:spacing w:line="360" w:lineRule="auto"/>
              <w:ind w:firstLine="480" w:firstLineChars="200"/>
              <w:jc w:val="left"/>
              <w:rPr>
                <w:rFonts w:hint="eastAsia" w:ascii="仿宋" w:hAnsi="仿宋" w:eastAsia="仿宋" w:cs="仿宋"/>
                <w:snapToGrid w:val="0"/>
                <w:color w:val="auto"/>
                <w:kern w:val="0"/>
                <w:sz w:val="24"/>
                <w:highlight w:val="none"/>
              </w:rPr>
            </w:pPr>
          </w:p>
        </w:tc>
        <w:tc>
          <w:tcPr>
            <w:tcW w:w="1100" w:type="dxa"/>
            <w:tcBorders>
              <w:top w:val="single" w:color="000000" w:sz="4" w:space="0"/>
              <w:left w:val="single" w:color="000000" w:sz="4" w:space="0"/>
              <w:bottom w:val="single" w:color="000000" w:sz="4" w:space="0"/>
              <w:right w:val="single" w:color="000000" w:sz="4" w:space="0"/>
            </w:tcBorders>
          </w:tcPr>
          <w:p w14:paraId="24EA1C85">
            <w:pPr>
              <w:autoSpaceDE w:val="0"/>
              <w:autoSpaceDN w:val="0"/>
              <w:adjustRightInd w:val="0"/>
              <w:snapToGrid w:val="0"/>
              <w:spacing w:line="360" w:lineRule="auto"/>
              <w:ind w:firstLine="480" w:firstLineChars="200"/>
              <w:jc w:val="left"/>
              <w:rPr>
                <w:rFonts w:hint="eastAsia" w:ascii="仿宋" w:hAnsi="仿宋" w:eastAsia="仿宋" w:cs="仿宋"/>
                <w:snapToGrid w:val="0"/>
                <w:color w:val="auto"/>
                <w:kern w:val="0"/>
                <w:sz w:val="24"/>
                <w:highlight w:val="none"/>
              </w:rPr>
            </w:pPr>
          </w:p>
        </w:tc>
        <w:tc>
          <w:tcPr>
            <w:tcW w:w="810" w:type="dxa"/>
            <w:tcBorders>
              <w:top w:val="single" w:color="000000" w:sz="4" w:space="0"/>
              <w:left w:val="single" w:color="000000" w:sz="4" w:space="0"/>
              <w:bottom w:val="single" w:color="000000" w:sz="4" w:space="0"/>
              <w:right w:val="single" w:color="000000" w:sz="4" w:space="0"/>
            </w:tcBorders>
          </w:tcPr>
          <w:p w14:paraId="4454E565">
            <w:pPr>
              <w:autoSpaceDE w:val="0"/>
              <w:autoSpaceDN w:val="0"/>
              <w:adjustRightInd w:val="0"/>
              <w:snapToGrid w:val="0"/>
              <w:spacing w:line="360" w:lineRule="auto"/>
              <w:ind w:firstLine="480" w:firstLineChars="200"/>
              <w:jc w:val="left"/>
              <w:rPr>
                <w:rFonts w:hint="eastAsia" w:ascii="仿宋" w:hAnsi="仿宋" w:eastAsia="仿宋" w:cs="仿宋"/>
                <w:snapToGrid w:val="0"/>
                <w:color w:val="auto"/>
                <w:kern w:val="0"/>
                <w:sz w:val="24"/>
                <w:highlight w:val="none"/>
              </w:rPr>
            </w:pPr>
          </w:p>
        </w:tc>
        <w:tc>
          <w:tcPr>
            <w:tcW w:w="840" w:type="dxa"/>
            <w:tcBorders>
              <w:top w:val="single" w:color="000000" w:sz="4" w:space="0"/>
              <w:left w:val="single" w:color="000000" w:sz="4" w:space="0"/>
              <w:bottom w:val="single" w:color="000000" w:sz="4" w:space="0"/>
              <w:right w:val="single" w:color="000000" w:sz="4" w:space="0"/>
            </w:tcBorders>
          </w:tcPr>
          <w:p w14:paraId="07F12DAF">
            <w:pPr>
              <w:autoSpaceDE w:val="0"/>
              <w:autoSpaceDN w:val="0"/>
              <w:adjustRightInd w:val="0"/>
              <w:snapToGrid w:val="0"/>
              <w:spacing w:line="360" w:lineRule="auto"/>
              <w:ind w:firstLine="480" w:firstLineChars="200"/>
              <w:jc w:val="left"/>
              <w:rPr>
                <w:rFonts w:hint="eastAsia" w:ascii="仿宋" w:hAnsi="仿宋" w:eastAsia="仿宋" w:cs="仿宋"/>
                <w:snapToGrid w:val="0"/>
                <w:color w:val="auto"/>
                <w:kern w:val="0"/>
                <w:sz w:val="24"/>
                <w:highlight w:val="none"/>
              </w:rPr>
            </w:pPr>
          </w:p>
        </w:tc>
        <w:tc>
          <w:tcPr>
            <w:tcW w:w="915" w:type="dxa"/>
            <w:tcBorders>
              <w:top w:val="single" w:color="000000" w:sz="4" w:space="0"/>
              <w:left w:val="single" w:color="auto" w:sz="4" w:space="0"/>
              <w:bottom w:val="single" w:color="000000" w:sz="4" w:space="0"/>
              <w:right w:val="single" w:color="000000" w:sz="4" w:space="0"/>
            </w:tcBorders>
          </w:tcPr>
          <w:p w14:paraId="4A724BD2">
            <w:pPr>
              <w:autoSpaceDE w:val="0"/>
              <w:autoSpaceDN w:val="0"/>
              <w:adjustRightInd w:val="0"/>
              <w:snapToGrid w:val="0"/>
              <w:spacing w:line="360" w:lineRule="auto"/>
              <w:ind w:firstLine="480" w:firstLineChars="200"/>
              <w:jc w:val="left"/>
              <w:rPr>
                <w:rFonts w:hint="eastAsia" w:ascii="仿宋" w:hAnsi="仿宋" w:eastAsia="仿宋" w:cs="仿宋"/>
                <w:snapToGrid w:val="0"/>
                <w:color w:val="auto"/>
                <w:kern w:val="0"/>
                <w:sz w:val="24"/>
                <w:highlight w:val="none"/>
              </w:rPr>
            </w:pPr>
          </w:p>
        </w:tc>
        <w:tc>
          <w:tcPr>
            <w:tcW w:w="1155" w:type="dxa"/>
            <w:tcBorders>
              <w:top w:val="single" w:color="000000" w:sz="4" w:space="0"/>
              <w:left w:val="single" w:color="000000" w:sz="4" w:space="0"/>
              <w:bottom w:val="single" w:color="000000" w:sz="4" w:space="0"/>
              <w:right w:val="single" w:color="000000" w:sz="4" w:space="0"/>
            </w:tcBorders>
          </w:tcPr>
          <w:p w14:paraId="1DD38870">
            <w:pPr>
              <w:autoSpaceDE w:val="0"/>
              <w:autoSpaceDN w:val="0"/>
              <w:adjustRightInd w:val="0"/>
              <w:snapToGrid w:val="0"/>
              <w:spacing w:line="360" w:lineRule="auto"/>
              <w:ind w:firstLine="480" w:firstLineChars="200"/>
              <w:jc w:val="left"/>
              <w:rPr>
                <w:rFonts w:hint="eastAsia" w:ascii="仿宋" w:hAnsi="仿宋" w:eastAsia="仿宋" w:cs="仿宋"/>
                <w:snapToGrid w:val="0"/>
                <w:color w:val="auto"/>
                <w:kern w:val="0"/>
                <w:sz w:val="24"/>
                <w:highlight w:val="none"/>
              </w:rPr>
            </w:pPr>
          </w:p>
        </w:tc>
      </w:tr>
      <w:tr w14:paraId="6A82AF87">
        <w:tblPrEx>
          <w:tblCellMar>
            <w:top w:w="0" w:type="dxa"/>
            <w:left w:w="0" w:type="dxa"/>
            <w:bottom w:w="0" w:type="dxa"/>
            <w:right w:w="0" w:type="dxa"/>
          </w:tblCellMar>
        </w:tblPrEx>
        <w:trPr>
          <w:trHeight w:val="510" w:hRule="exact"/>
        </w:trPr>
        <w:tc>
          <w:tcPr>
            <w:tcW w:w="602" w:type="dxa"/>
            <w:tcBorders>
              <w:top w:val="single" w:color="000000" w:sz="4" w:space="0"/>
              <w:left w:val="single" w:color="000000" w:sz="4" w:space="0"/>
              <w:bottom w:val="single" w:color="000000" w:sz="4" w:space="0"/>
              <w:right w:val="single" w:color="000000" w:sz="4" w:space="0"/>
            </w:tcBorders>
          </w:tcPr>
          <w:p w14:paraId="67CDE177">
            <w:pPr>
              <w:autoSpaceDE w:val="0"/>
              <w:autoSpaceDN w:val="0"/>
              <w:adjustRightInd w:val="0"/>
              <w:snapToGrid w:val="0"/>
              <w:spacing w:line="360" w:lineRule="auto"/>
              <w:ind w:firstLine="480" w:firstLineChars="200"/>
              <w:jc w:val="left"/>
              <w:rPr>
                <w:rFonts w:hint="eastAsia" w:ascii="仿宋" w:hAnsi="仿宋" w:eastAsia="仿宋" w:cs="仿宋"/>
                <w:snapToGrid w:val="0"/>
                <w:color w:val="auto"/>
                <w:kern w:val="0"/>
                <w:sz w:val="24"/>
                <w:highlight w:val="none"/>
              </w:rPr>
            </w:pPr>
          </w:p>
        </w:tc>
        <w:tc>
          <w:tcPr>
            <w:tcW w:w="2441" w:type="dxa"/>
            <w:tcBorders>
              <w:top w:val="single" w:color="000000" w:sz="4" w:space="0"/>
              <w:left w:val="single" w:color="000000" w:sz="4" w:space="0"/>
              <w:bottom w:val="single" w:color="000000" w:sz="4" w:space="0"/>
              <w:right w:val="single" w:color="000000" w:sz="4" w:space="0"/>
            </w:tcBorders>
          </w:tcPr>
          <w:p w14:paraId="604F81B9">
            <w:pPr>
              <w:autoSpaceDE w:val="0"/>
              <w:autoSpaceDN w:val="0"/>
              <w:adjustRightInd w:val="0"/>
              <w:snapToGrid w:val="0"/>
              <w:spacing w:line="360" w:lineRule="auto"/>
              <w:ind w:firstLine="480" w:firstLineChars="200"/>
              <w:jc w:val="left"/>
              <w:rPr>
                <w:rFonts w:hint="eastAsia" w:ascii="仿宋" w:hAnsi="仿宋" w:eastAsia="仿宋" w:cs="仿宋"/>
                <w:snapToGrid w:val="0"/>
                <w:color w:val="auto"/>
                <w:kern w:val="0"/>
                <w:sz w:val="24"/>
                <w:highlight w:val="none"/>
              </w:rPr>
            </w:pPr>
          </w:p>
        </w:tc>
        <w:tc>
          <w:tcPr>
            <w:tcW w:w="735" w:type="dxa"/>
            <w:tcBorders>
              <w:top w:val="single" w:color="000000" w:sz="4" w:space="0"/>
              <w:left w:val="single" w:color="000000" w:sz="4" w:space="0"/>
              <w:bottom w:val="single" w:color="000000" w:sz="4" w:space="0"/>
              <w:right w:val="single" w:color="000000" w:sz="4" w:space="0"/>
            </w:tcBorders>
          </w:tcPr>
          <w:p w14:paraId="65307AD5">
            <w:pPr>
              <w:autoSpaceDE w:val="0"/>
              <w:autoSpaceDN w:val="0"/>
              <w:adjustRightInd w:val="0"/>
              <w:snapToGrid w:val="0"/>
              <w:spacing w:line="360" w:lineRule="auto"/>
              <w:ind w:firstLine="480" w:firstLineChars="200"/>
              <w:jc w:val="left"/>
              <w:rPr>
                <w:rFonts w:hint="eastAsia" w:ascii="仿宋" w:hAnsi="仿宋" w:eastAsia="仿宋" w:cs="仿宋"/>
                <w:snapToGrid w:val="0"/>
                <w:color w:val="auto"/>
                <w:kern w:val="0"/>
                <w:sz w:val="24"/>
                <w:highlight w:val="none"/>
              </w:rPr>
            </w:pPr>
          </w:p>
        </w:tc>
        <w:tc>
          <w:tcPr>
            <w:tcW w:w="1100" w:type="dxa"/>
            <w:tcBorders>
              <w:top w:val="single" w:color="000000" w:sz="4" w:space="0"/>
              <w:left w:val="single" w:color="000000" w:sz="4" w:space="0"/>
              <w:bottom w:val="single" w:color="000000" w:sz="4" w:space="0"/>
              <w:right w:val="single" w:color="000000" w:sz="4" w:space="0"/>
            </w:tcBorders>
          </w:tcPr>
          <w:p w14:paraId="0FE53B69">
            <w:pPr>
              <w:autoSpaceDE w:val="0"/>
              <w:autoSpaceDN w:val="0"/>
              <w:adjustRightInd w:val="0"/>
              <w:snapToGrid w:val="0"/>
              <w:spacing w:line="360" w:lineRule="auto"/>
              <w:ind w:firstLine="480" w:firstLineChars="200"/>
              <w:jc w:val="left"/>
              <w:rPr>
                <w:rFonts w:hint="eastAsia" w:ascii="仿宋" w:hAnsi="仿宋" w:eastAsia="仿宋" w:cs="仿宋"/>
                <w:snapToGrid w:val="0"/>
                <w:color w:val="auto"/>
                <w:kern w:val="0"/>
                <w:sz w:val="24"/>
                <w:highlight w:val="none"/>
              </w:rPr>
            </w:pPr>
          </w:p>
        </w:tc>
        <w:tc>
          <w:tcPr>
            <w:tcW w:w="810" w:type="dxa"/>
            <w:tcBorders>
              <w:top w:val="single" w:color="000000" w:sz="4" w:space="0"/>
              <w:left w:val="single" w:color="000000" w:sz="4" w:space="0"/>
              <w:bottom w:val="single" w:color="000000" w:sz="4" w:space="0"/>
              <w:right w:val="single" w:color="000000" w:sz="4" w:space="0"/>
            </w:tcBorders>
          </w:tcPr>
          <w:p w14:paraId="6824F28D">
            <w:pPr>
              <w:autoSpaceDE w:val="0"/>
              <w:autoSpaceDN w:val="0"/>
              <w:adjustRightInd w:val="0"/>
              <w:snapToGrid w:val="0"/>
              <w:spacing w:line="360" w:lineRule="auto"/>
              <w:ind w:firstLine="480" w:firstLineChars="200"/>
              <w:jc w:val="left"/>
              <w:rPr>
                <w:rFonts w:hint="eastAsia" w:ascii="仿宋" w:hAnsi="仿宋" w:eastAsia="仿宋" w:cs="仿宋"/>
                <w:snapToGrid w:val="0"/>
                <w:color w:val="auto"/>
                <w:kern w:val="0"/>
                <w:sz w:val="24"/>
                <w:highlight w:val="none"/>
              </w:rPr>
            </w:pPr>
          </w:p>
        </w:tc>
        <w:tc>
          <w:tcPr>
            <w:tcW w:w="840" w:type="dxa"/>
            <w:tcBorders>
              <w:top w:val="single" w:color="000000" w:sz="4" w:space="0"/>
              <w:left w:val="single" w:color="000000" w:sz="4" w:space="0"/>
              <w:bottom w:val="single" w:color="000000" w:sz="4" w:space="0"/>
              <w:right w:val="single" w:color="000000" w:sz="4" w:space="0"/>
            </w:tcBorders>
          </w:tcPr>
          <w:p w14:paraId="6C79E908">
            <w:pPr>
              <w:autoSpaceDE w:val="0"/>
              <w:autoSpaceDN w:val="0"/>
              <w:adjustRightInd w:val="0"/>
              <w:snapToGrid w:val="0"/>
              <w:spacing w:line="360" w:lineRule="auto"/>
              <w:ind w:firstLine="480" w:firstLineChars="200"/>
              <w:jc w:val="left"/>
              <w:rPr>
                <w:rFonts w:hint="eastAsia" w:ascii="仿宋" w:hAnsi="仿宋" w:eastAsia="仿宋" w:cs="仿宋"/>
                <w:snapToGrid w:val="0"/>
                <w:color w:val="auto"/>
                <w:kern w:val="0"/>
                <w:sz w:val="24"/>
                <w:highlight w:val="none"/>
              </w:rPr>
            </w:pPr>
          </w:p>
        </w:tc>
        <w:tc>
          <w:tcPr>
            <w:tcW w:w="915" w:type="dxa"/>
            <w:tcBorders>
              <w:top w:val="single" w:color="000000" w:sz="4" w:space="0"/>
              <w:left w:val="single" w:color="auto" w:sz="4" w:space="0"/>
              <w:bottom w:val="single" w:color="000000" w:sz="4" w:space="0"/>
              <w:right w:val="single" w:color="000000" w:sz="4" w:space="0"/>
            </w:tcBorders>
          </w:tcPr>
          <w:p w14:paraId="1BEDC1A2">
            <w:pPr>
              <w:autoSpaceDE w:val="0"/>
              <w:autoSpaceDN w:val="0"/>
              <w:adjustRightInd w:val="0"/>
              <w:snapToGrid w:val="0"/>
              <w:spacing w:line="360" w:lineRule="auto"/>
              <w:ind w:firstLine="480" w:firstLineChars="200"/>
              <w:jc w:val="left"/>
              <w:rPr>
                <w:rFonts w:hint="eastAsia" w:ascii="仿宋" w:hAnsi="仿宋" w:eastAsia="仿宋" w:cs="仿宋"/>
                <w:snapToGrid w:val="0"/>
                <w:color w:val="auto"/>
                <w:kern w:val="0"/>
                <w:sz w:val="24"/>
                <w:highlight w:val="none"/>
              </w:rPr>
            </w:pPr>
          </w:p>
        </w:tc>
        <w:tc>
          <w:tcPr>
            <w:tcW w:w="1155" w:type="dxa"/>
            <w:tcBorders>
              <w:top w:val="single" w:color="000000" w:sz="4" w:space="0"/>
              <w:left w:val="single" w:color="000000" w:sz="4" w:space="0"/>
              <w:bottom w:val="single" w:color="000000" w:sz="4" w:space="0"/>
              <w:right w:val="single" w:color="000000" w:sz="4" w:space="0"/>
            </w:tcBorders>
          </w:tcPr>
          <w:p w14:paraId="0B2A22B8">
            <w:pPr>
              <w:autoSpaceDE w:val="0"/>
              <w:autoSpaceDN w:val="0"/>
              <w:adjustRightInd w:val="0"/>
              <w:snapToGrid w:val="0"/>
              <w:spacing w:line="360" w:lineRule="auto"/>
              <w:ind w:firstLine="480" w:firstLineChars="200"/>
              <w:jc w:val="left"/>
              <w:rPr>
                <w:rFonts w:hint="eastAsia" w:ascii="仿宋" w:hAnsi="仿宋" w:eastAsia="仿宋" w:cs="仿宋"/>
                <w:snapToGrid w:val="0"/>
                <w:color w:val="auto"/>
                <w:kern w:val="0"/>
                <w:sz w:val="24"/>
                <w:highlight w:val="none"/>
              </w:rPr>
            </w:pPr>
          </w:p>
        </w:tc>
      </w:tr>
      <w:tr w14:paraId="116B5119">
        <w:tblPrEx>
          <w:tblCellMar>
            <w:top w:w="0" w:type="dxa"/>
            <w:left w:w="0" w:type="dxa"/>
            <w:bottom w:w="0" w:type="dxa"/>
            <w:right w:w="0" w:type="dxa"/>
          </w:tblCellMar>
        </w:tblPrEx>
        <w:trPr>
          <w:trHeight w:val="510" w:hRule="exact"/>
        </w:trPr>
        <w:tc>
          <w:tcPr>
            <w:tcW w:w="602" w:type="dxa"/>
            <w:tcBorders>
              <w:top w:val="single" w:color="000000" w:sz="4" w:space="0"/>
              <w:left w:val="single" w:color="000000" w:sz="4" w:space="0"/>
              <w:bottom w:val="single" w:color="000000" w:sz="4" w:space="0"/>
              <w:right w:val="single" w:color="000000" w:sz="4" w:space="0"/>
            </w:tcBorders>
          </w:tcPr>
          <w:p w14:paraId="3294C135">
            <w:pPr>
              <w:autoSpaceDE w:val="0"/>
              <w:autoSpaceDN w:val="0"/>
              <w:adjustRightInd w:val="0"/>
              <w:snapToGrid w:val="0"/>
              <w:spacing w:line="360" w:lineRule="auto"/>
              <w:ind w:firstLine="480" w:firstLineChars="200"/>
              <w:jc w:val="left"/>
              <w:rPr>
                <w:rFonts w:hint="eastAsia" w:ascii="仿宋" w:hAnsi="仿宋" w:eastAsia="仿宋" w:cs="仿宋"/>
                <w:snapToGrid w:val="0"/>
                <w:color w:val="auto"/>
                <w:kern w:val="0"/>
                <w:sz w:val="24"/>
                <w:highlight w:val="none"/>
              </w:rPr>
            </w:pPr>
          </w:p>
        </w:tc>
        <w:tc>
          <w:tcPr>
            <w:tcW w:w="2441" w:type="dxa"/>
            <w:tcBorders>
              <w:top w:val="single" w:color="000000" w:sz="4" w:space="0"/>
              <w:left w:val="single" w:color="000000" w:sz="4" w:space="0"/>
              <w:bottom w:val="single" w:color="000000" w:sz="4" w:space="0"/>
              <w:right w:val="single" w:color="000000" w:sz="4" w:space="0"/>
            </w:tcBorders>
          </w:tcPr>
          <w:p w14:paraId="0FC4EF11">
            <w:pPr>
              <w:autoSpaceDE w:val="0"/>
              <w:autoSpaceDN w:val="0"/>
              <w:adjustRightInd w:val="0"/>
              <w:snapToGrid w:val="0"/>
              <w:spacing w:line="360" w:lineRule="auto"/>
              <w:ind w:firstLine="480" w:firstLineChars="200"/>
              <w:jc w:val="left"/>
              <w:rPr>
                <w:rFonts w:hint="eastAsia" w:ascii="仿宋" w:hAnsi="仿宋" w:eastAsia="仿宋" w:cs="仿宋"/>
                <w:snapToGrid w:val="0"/>
                <w:color w:val="auto"/>
                <w:kern w:val="0"/>
                <w:sz w:val="24"/>
                <w:highlight w:val="none"/>
              </w:rPr>
            </w:pPr>
          </w:p>
        </w:tc>
        <w:tc>
          <w:tcPr>
            <w:tcW w:w="735" w:type="dxa"/>
            <w:tcBorders>
              <w:top w:val="single" w:color="000000" w:sz="4" w:space="0"/>
              <w:left w:val="single" w:color="000000" w:sz="4" w:space="0"/>
              <w:bottom w:val="single" w:color="000000" w:sz="4" w:space="0"/>
              <w:right w:val="single" w:color="000000" w:sz="4" w:space="0"/>
            </w:tcBorders>
          </w:tcPr>
          <w:p w14:paraId="1114065E">
            <w:pPr>
              <w:autoSpaceDE w:val="0"/>
              <w:autoSpaceDN w:val="0"/>
              <w:adjustRightInd w:val="0"/>
              <w:snapToGrid w:val="0"/>
              <w:spacing w:line="360" w:lineRule="auto"/>
              <w:ind w:firstLine="480" w:firstLineChars="200"/>
              <w:jc w:val="left"/>
              <w:rPr>
                <w:rFonts w:hint="eastAsia" w:ascii="仿宋" w:hAnsi="仿宋" w:eastAsia="仿宋" w:cs="仿宋"/>
                <w:snapToGrid w:val="0"/>
                <w:color w:val="auto"/>
                <w:kern w:val="0"/>
                <w:sz w:val="24"/>
                <w:highlight w:val="none"/>
              </w:rPr>
            </w:pPr>
          </w:p>
        </w:tc>
        <w:tc>
          <w:tcPr>
            <w:tcW w:w="1100" w:type="dxa"/>
            <w:tcBorders>
              <w:top w:val="single" w:color="000000" w:sz="4" w:space="0"/>
              <w:left w:val="single" w:color="000000" w:sz="4" w:space="0"/>
              <w:bottom w:val="single" w:color="000000" w:sz="4" w:space="0"/>
              <w:right w:val="single" w:color="000000" w:sz="4" w:space="0"/>
            </w:tcBorders>
          </w:tcPr>
          <w:p w14:paraId="4844F78D">
            <w:pPr>
              <w:autoSpaceDE w:val="0"/>
              <w:autoSpaceDN w:val="0"/>
              <w:adjustRightInd w:val="0"/>
              <w:snapToGrid w:val="0"/>
              <w:spacing w:line="360" w:lineRule="auto"/>
              <w:ind w:firstLine="480" w:firstLineChars="200"/>
              <w:jc w:val="left"/>
              <w:rPr>
                <w:rFonts w:hint="eastAsia" w:ascii="仿宋" w:hAnsi="仿宋" w:eastAsia="仿宋" w:cs="仿宋"/>
                <w:snapToGrid w:val="0"/>
                <w:color w:val="auto"/>
                <w:kern w:val="0"/>
                <w:sz w:val="24"/>
                <w:highlight w:val="none"/>
              </w:rPr>
            </w:pPr>
          </w:p>
        </w:tc>
        <w:tc>
          <w:tcPr>
            <w:tcW w:w="810" w:type="dxa"/>
            <w:tcBorders>
              <w:top w:val="single" w:color="000000" w:sz="4" w:space="0"/>
              <w:left w:val="single" w:color="000000" w:sz="4" w:space="0"/>
              <w:bottom w:val="single" w:color="000000" w:sz="4" w:space="0"/>
              <w:right w:val="single" w:color="000000" w:sz="4" w:space="0"/>
            </w:tcBorders>
          </w:tcPr>
          <w:p w14:paraId="18D9A6EE">
            <w:pPr>
              <w:autoSpaceDE w:val="0"/>
              <w:autoSpaceDN w:val="0"/>
              <w:adjustRightInd w:val="0"/>
              <w:snapToGrid w:val="0"/>
              <w:spacing w:line="360" w:lineRule="auto"/>
              <w:ind w:firstLine="480" w:firstLineChars="200"/>
              <w:jc w:val="left"/>
              <w:rPr>
                <w:rFonts w:hint="eastAsia" w:ascii="仿宋" w:hAnsi="仿宋" w:eastAsia="仿宋" w:cs="仿宋"/>
                <w:snapToGrid w:val="0"/>
                <w:color w:val="auto"/>
                <w:kern w:val="0"/>
                <w:sz w:val="24"/>
                <w:highlight w:val="none"/>
              </w:rPr>
            </w:pPr>
          </w:p>
        </w:tc>
        <w:tc>
          <w:tcPr>
            <w:tcW w:w="840" w:type="dxa"/>
            <w:tcBorders>
              <w:top w:val="single" w:color="000000" w:sz="4" w:space="0"/>
              <w:left w:val="single" w:color="000000" w:sz="4" w:space="0"/>
              <w:bottom w:val="single" w:color="000000" w:sz="4" w:space="0"/>
              <w:right w:val="single" w:color="000000" w:sz="4" w:space="0"/>
            </w:tcBorders>
          </w:tcPr>
          <w:p w14:paraId="70E5AF9B">
            <w:pPr>
              <w:autoSpaceDE w:val="0"/>
              <w:autoSpaceDN w:val="0"/>
              <w:adjustRightInd w:val="0"/>
              <w:snapToGrid w:val="0"/>
              <w:spacing w:line="360" w:lineRule="auto"/>
              <w:ind w:firstLine="480" w:firstLineChars="200"/>
              <w:jc w:val="left"/>
              <w:rPr>
                <w:rFonts w:hint="eastAsia" w:ascii="仿宋" w:hAnsi="仿宋" w:eastAsia="仿宋" w:cs="仿宋"/>
                <w:snapToGrid w:val="0"/>
                <w:color w:val="auto"/>
                <w:kern w:val="0"/>
                <w:sz w:val="24"/>
                <w:highlight w:val="none"/>
              </w:rPr>
            </w:pPr>
          </w:p>
        </w:tc>
        <w:tc>
          <w:tcPr>
            <w:tcW w:w="915" w:type="dxa"/>
            <w:tcBorders>
              <w:top w:val="single" w:color="000000" w:sz="4" w:space="0"/>
              <w:left w:val="single" w:color="auto" w:sz="4" w:space="0"/>
              <w:bottom w:val="single" w:color="000000" w:sz="4" w:space="0"/>
              <w:right w:val="single" w:color="000000" w:sz="4" w:space="0"/>
            </w:tcBorders>
          </w:tcPr>
          <w:p w14:paraId="368EC186">
            <w:pPr>
              <w:autoSpaceDE w:val="0"/>
              <w:autoSpaceDN w:val="0"/>
              <w:adjustRightInd w:val="0"/>
              <w:snapToGrid w:val="0"/>
              <w:spacing w:line="360" w:lineRule="auto"/>
              <w:ind w:firstLine="480" w:firstLineChars="200"/>
              <w:jc w:val="left"/>
              <w:rPr>
                <w:rFonts w:hint="eastAsia" w:ascii="仿宋" w:hAnsi="仿宋" w:eastAsia="仿宋" w:cs="仿宋"/>
                <w:snapToGrid w:val="0"/>
                <w:color w:val="auto"/>
                <w:kern w:val="0"/>
                <w:sz w:val="24"/>
                <w:highlight w:val="none"/>
              </w:rPr>
            </w:pPr>
          </w:p>
        </w:tc>
        <w:tc>
          <w:tcPr>
            <w:tcW w:w="1155" w:type="dxa"/>
            <w:tcBorders>
              <w:top w:val="single" w:color="000000" w:sz="4" w:space="0"/>
              <w:left w:val="single" w:color="000000" w:sz="4" w:space="0"/>
              <w:bottom w:val="single" w:color="000000" w:sz="4" w:space="0"/>
              <w:right w:val="single" w:color="000000" w:sz="4" w:space="0"/>
            </w:tcBorders>
          </w:tcPr>
          <w:p w14:paraId="1DA30108">
            <w:pPr>
              <w:autoSpaceDE w:val="0"/>
              <w:autoSpaceDN w:val="0"/>
              <w:adjustRightInd w:val="0"/>
              <w:snapToGrid w:val="0"/>
              <w:spacing w:line="360" w:lineRule="auto"/>
              <w:ind w:firstLine="480" w:firstLineChars="200"/>
              <w:jc w:val="left"/>
              <w:rPr>
                <w:rFonts w:hint="eastAsia" w:ascii="仿宋" w:hAnsi="仿宋" w:eastAsia="仿宋" w:cs="仿宋"/>
                <w:snapToGrid w:val="0"/>
                <w:color w:val="auto"/>
                <w:kern w:val="0"/>
                <w:sz w:val="24"/>
                <w:highlight w:val="none"/>
              </w:rPr>
            </w:pPr>
          </w:p>
        </w:tc>
      </w:tr>
      <w:tr w14:paraId="4F974544">
        <w:tblPrEx>
          <w:tblCellMar>
            <w:top w:w="0" w:type="dxa"/>
            <w:left w:w="0" w:type="dxa"/>
            <w:bottom w:w="0" w:type="dxa"/>
            <w:right w:w="0" w:type="dxa"/>
          </w:tblCellMar>
        </w:tblPrEx>
        <w:trPr>
          <w:trHeight w:val="510" w:hRule="exact"/>
        </w:trPr>
        <w:tc>
          <w:tcPr>
            <w:tcW w:w="602" w:type="dxa"/>
            <w:tcBorders>
              <w:top w:val="single" w:color="000000" w:sz="4" w:space="0"/>
              <w:left w:val="single" w:color="000000" w:sz="4" w:space="0"/>
              <w:bottom w:val="single" w:color="000000" w:sz="4" w:space="0"/>
              <w:right w:val="single" w:color="000000" w:sz="4" w:space="0"/>
            </w:tcBorders>
          </w:tcPr>
          <w:p w14:paraId="5D12E09B">
            <w:pPr>
              <w:autoSpaceDE w:val="0"/>
              <w:autoSpaceDN w:val="0"/>
              <w:adjustRightInd w:val="0"/>
              <w:snapToGrid w:val="0"/>
              <w:spacing w:line="360" w:lineRule="auto"/>
              <w:ind w:firstLine="480" w:firstLineChars="200"/>
              <w:jc w:val="left"/>
              <w:rPr>
                <w:rFonts w:hint="eastAsia" w:ascii="仿宋" w:hAnsi="仿宋" w:eastAsia="仿宋" w:cs="仿宋"/>
                <w:snapToGrid w:val="0"/>
                <w:color w:val="auto"/>
                <w:kern w:val="0"/>
                <w:sz w:val="24"/>
                <w:highlight w:val="none"/>
              </w:rPr>
            </w:pPr>
          </w:p>
        </w:tc>
        <w:tc>
          <w:tcPr>
            <w:tcW w:w="2441" w:type="dxa"/>
            <w:tcBorders>
              <w:top w:val="single" w:color="000000" w:sz="4" w:space="0"/>
              <w:left w:val="single" w:color="000000" w:sz="4" w:space="0"/>
              <w:bottom w:val="single" w:color="000000" w:sz="4" w:space="0"/>
              <w:right w:val="single" w:color="000000" w:sz="4" w:space="0"/>
            </w:tcBorders>
          </w:tcPr>
          <w:p w14:paraId="383F80D0">
            <w:pPr>
              <w:autoSpaceDE w:val="0"/>
              <w:autoSpaceDN w:val="0"/>
              <w:adjustRightInd w:val="0"/>
              <w:snapToGrid w:val="0"/>
              <w:spacing w:line="360" w:lineRule="auto"/>
              <w:ind w:firstLine="480" w:firstLineChars="200"/>
              <w:jc w:val="left"/>
              <w:rPr>
                <w:rFonts w:hint="eastAsia" w:ascii="仿宋" w:hAnsi="仿宋" w:eastAsia="仿宋" w:cs="仿宋"/>
                <w:snapToGrid w:val="0"/>
                <w:color w:val="auto"/>
                <w:kern w:val="0"/>
                <w:sz w:val="24"/>
                <w:highlight w:val="none"/>
              </w:rPr>
            </w:pPr>
          </w:p>
        </w:tc>
        <w:tc>
          <w:tcPr>
            <w:tcW w:w="735" w:type="dxa"/>
            <w:tcBorders>
              <w:top w:val="single" w:color="000000" w:sz="4" w:space="0"/>
              <w:left w:val="single" w:color="000000" w:sz="4" w:space="0"/>
              <w:bottom w:val="single" w:color="000000" w:sz="4" w:space="0"/>
              <w:right w:val="single" w:color="000000" w:sz="4" w:space="0"/>
            </w:tcBorders>
          </w:tcPr>
          <w:p w14:paraId="773D719E">
            <w:pPr>
              <w:autoSpaceDE w:val="0"/>
              <w:autoSpaceDN w:val="0"/>
              <w:adjustRightInd w:val="0"/>
              <w:snapToGrid w:val="0"/>
              <w:spacing w:line="360" w:lineRule="auto"/>
              <w:ind w:firstLine="480" w:firstLineChars="200"/>
              <w:jc w:val="left"/>
              <w:rPr>
                <w:rFonts w:hint="eastAsia" w:ascii="仿宋" w:hAnsi="仿宋" w:eastAsia="仿宋" w:cs="仿宋"/>
                <w:snapToGrid w:val="0"/>
                <w:color w:val="auto"/>
                <w:kern w:val="0"/>
                <w:sz w:val="24"/>
                <w:highlight w:val="none"/>
              </w:rPr>
            </w:pPr>
          </w:p>
        </w:tc>
        <w:tc>
          <w:tcPr>
            <w:tcW w:w="1100" w:type="dxa"/>
            <w:tcBorders>
              <w:top w:val="single" w:color="000000" w:sz="4" w:space="0"/>
              <w:left w:val="single" w:color="000000" w:sz="4" w:space="0"/>
              <w:bottom w:val="single" w:color="000000" w:sz="4" w:space="0"/>
              <w:right w:val="single" w:color="000000" w:sz="4" w:space="0"/>
            </w:tcBorders>
          </w:tcPr>
          <w:p w14:paraId="0B3CB43C">
            <w:pPr>
              <w:autoSpaceDE w:val="0"/>
              <w:autoSpaceDN w:val="0"/>
              <w:adjustRightInd w:val="0"/>
              <w:snapToGrid w:val="0"/>
              <w:spacing w:line="360" w:lineRule="auto"/>
              <w:ind w:firstLine="480" w:firstLineChars="200"/>
              <w:jc w:val="left"/>
              <w:rPr>
                <w:rFonts w:hint="eastAsia" w:ascii="仿宋" w:hAnsi="仿宋" w:eastAsia="仿宋" w:cs="仿宋"/>
                <w:snapToGrid w:val="0"/>
                <w:color w:val="auto"/>
                <w:kern w:val="0"/>
                <w:sz w:val="24"/>
                <w:highlight w:val="none"/>
              </w:rPr>
            </w:pPr>
          </w:p>
        </w:tc>
        <w:tc>
          <w:tcPr>
            <w:tcW w:w="810" w:type="dxa"/>
            <w:tcBorders>
              <w:top w:val="single" w:color="000000" w:sz="4" w:space="0"/>
              <w:left w:val="single" w:color="000000" w:sz="4" w:space="0"/>
              <w:bottom w:val="single" w:color="000000" w:sz="4" w:space="0"/>
              <w:right w:val="single" w:color="000000" w:sz="4" w:space="0"/>
            </w:tcBorders>
          </w:tcPr>
          <w:p w14:paraId="32DB22C3">
            <w:pPr>
              <w:autoSpaceDE w:val="0"/>
              <w:autoSpaceDN w:val="0"/>
              <w:adjustRightInd w:val="0"/>
              <w:snapToGrid w:val="0"/>
              <w:spacing w:line="360" w:lineRule="auto"/>
              <w:ind w:firstLine="480" w:firstLineChars="200"/>
              <w:jc w:val="left"/>
              <w:rPr>
                <w:rFonts w:hint="eastAsia" w:ascii="仿宋" w:hAnsi="仿宋" w:eastAsia="仿宋" w:cs="仿宋"/>
                <w:snapToGrid w:val="0"/>
                <w:color w:val="auto"/>
                <w:kern w:val="0"/>
                <w:sz w:val="24"/>
                <w:highlight w:val="none"/>
              </w:rPr>
            </w:pPr>
          </w:p>
        </w:tc>
        <w:tc>
          <w:tcPr>
            <w:tcW w:w="840" w:type="dxa"/>
            <w:tcBorders>
              <w:top w:val="single" w:color="000000" w:sz="4" w:space="0"/>
              <w:left w:val="single" w:color="000000" w:sz="4" w:space="0"/>
              <w:bottom w:val="single" w:color="000000" w:sz="4" w:space="0"/>
              <w:right w:val="single" w:color="000000" w:sz="4" w:space="0"/>
            </w:tcBorders>
          </w:tcPr>
          <w:p w14:paraId="1BD158D3">
            <w:pPr>
              <w:autoSpaceDE w:val="0"/>
              <w:autoSpaceDN w:val="0"/>
              <w:adjustRightInd w:val="0"/>
              <w:snapToGrid w:val="0"/>
              <w:spacing w:line="360" w:lineRule="auto"/>
              <w:ind w:firstLine="480" w:firstLineChars="200"/>
              <w:jc w:val="left"/>
              <w:rPr>
                <w:rFonts w:hint="eastAsia" w:ascii="仿宋" w:hAnsi="仿宋" w:eastAsia="仿宋" w:cs="仿宋"/>
                <w:snapToGrid w:val="0"/>
                <w:color w:val="auto"/>
                <w:kern w:val="0"/>
                <w:sz w:val="24"/>
                <w:highlight w:val="none"/>
              </w:rPr>
            </w:pPr>
          </w:p>
        </w:tc>
        <w:tc>
          <w:tcPr>
            <w:tcW w:w="915" w:type="dxa"/>
            <w:tcBorders>
              <w:top w:val="single" w:color="000000" w:sz="4" w:space="0"/>
              <w:left w:val="single" w:color="auto" w:sz="4" w:space="0"/>
              <w:bottom w:val="single" w:color="000000" w:sz="4" w:space="0"/>
              <w:right w:val="single" w:color="000000" w:sz="4" w:space="0"/>
            </w:tcBorders>
          </w:tcPr>
          <w:p w14:paraId="49496327">
            <w:pPr>
              <w:autoSpaceDE w:val="0"/>
              <w:autoSpaceDN w:val="0"/>
              <w:adjustRightInd w:val="0"/>
              <w:snapToGrid w:val="0"/>
              <w:spacing w:line="360" w:lineRule="auto"/>
              <w:ind w:firstLine="480" w:firstLineChars="200"/>
              <w:jc w:val="left"/>
              <w:rPr>
                <w:rFonts w:hint="eastAsia" w:ascii="仿宋" w:hAnsi="仿宋" w:eastAsia="仿宋" w:cs="仿宋"/>
                <w:snapToGrid w:val="0"/>
                <w:color w:val="auto"/>
                <w:kern w:val="0"/>
                <w:sz w:val="24"/>
                <w:highlight w:val="none"/>
              </w:rPr>
            </w:pPr>
          </w:p>
        </w:tc>
        <w:tc>
          <w:tcPr>
            <w:tcW w:w="1155" w:type="dxa"/>
            <w:tcBorders>
              <w:top w:val="single" w:color="000000" w:sz="4" w:space="0"/>
              <w:left w:val="single" w:color="000000" w:sz="4" w:space="0"/>
              <w:bottom w:val="single" w:color="000000" w:sz="4" w:space="0"/>
              <w:right w:val="single" w:color="000000" w:sz="4" w:space="0"/>
            </w:tcBorders>
          </w:tcPr>
          <w:p w14:paraId="1F6DBA78">
            <w:pPr>
              <w:autoSpaceDE w:val="0"/>
              <w:autoSpaceDN w:val="0"/>
              <w:adjustRightInd w:val="0"/>
              <w:snapToGrid w:val="0"/>
              <w:spacing w:line="360" w:lineRule="auto"/>
              <w:ind w:firstLine="480" w:firstLineChars="200"/>
              <w:jc w:val="left"/>
              <w:rPr>
                <w:rFonts w:hint="eastAsia" w:ascii="仿宋" w:hAnsi="仿宋" w:eastAsia="仿宋" w:cs="仿宋"/>
                <w:snapToGrid w:val="0"/>
                <w:color w:val="auto"/>
                <w:kern w:val="0"/>
                <w:sz w:val="24"/>
                <w:highlight w:val="none"/>
              </w:rPr>
            </w:pPr>
          </w:p>
        </w:tc>
      </w:tr>
      <w:tr w14:paraId="480E2530">
        <w:tblPrEx>
          <w:tblCellMar>
            <w:top w:w="0" w:type="dxa"/>
            <w:left w:w="0" w:type="dxa"/>
            <w:bottom w:w="0" w:type="dxa"/>
            <w:right w:w="0" w:type="dxa"/>
          </w:tblCellMar>
        </w:tblPrEx>
        <w:trPr>
          <w:trHeight w:val="510" w:hRule="exact"/>
        </w:trPr>
        <w:tc>
          <w:tcPr>
            <w:tcW w:w="602" w:type="dxa"/>
            <w:tcBorders>
              <w:top w:val="single" w:color="000000" w:sz="4" w:space="0"/>
              <w:left w:val="single" w:color="000000" w:sz="4" w:space="0"/>
              <w:bottom w:val="single" w:color="000000" w:sz="4" w:space="0"/>
              <w:right w:val="single" w:color="000000" w:sz="4" w:space="0"/>
            </w:tcBorders>
          </w:tcPr>
          <w:p w14:paraId="794919F7">
            <w:pPr>
              <w:autoSpaceDE w:val="0"/>
              <w:autoSpaceDN w:val="0"/>
              <w:adjustRightInd w:val="0"/>
              <w:snapToGrid w:val="0"/>
              <w:spacing w:line="360" w:lineRule="auto"/>
              <w:ind w:firstLine="480" w:firstLineChars="200"/>
              <w:jc w:val="left"/>
              <w:rPr>
                <w:rFonts w:hint="eastAsia" w:ascii="仿宋" w:hAnsi="仿宋" w:eastAsia="仿宋" w:cs="仿宋"/>
                <w:snapToGrid w:val="0"/>
                <w:color w:val="auto"/>
                <w:kern w:val="0"/>
                <w:sz w:val="24"/>
                <w:highlight w:val="none"/>
              </w:rPr>
            </w:pPr>
          </w:p>
        </w:tc>
        <w:tc>
          <w:tcPr>
            <w:tcW w:w="2441" w:type="dxa"/>
            <w:tcBorders>
              <w:top w:val="single" w:color="000000" w:sz="4" w:space="0"/>
              <w:left w:val="single" w:color="000000" w:sz="4" w:space="0"/>
              <w:bottom w:val="single" w:color="000000" w:sz="4" w:space="0"/>
              <w:right w:val="single" w:color="000000" w:sz="4" w:space="0"/>
            </w:tcBorders>
          </w:tcPr>
          <w:p w14:paraId="047617E3">
            <w:pPr>
              <w:autoSpaceDE w:val="0"/>
              <w:autoSpaceDN w:val="0"/>
              <w:adjustRightInd w:val="0"/>
              <w:snapToGrid w:val="0"/>
              <w:spacing w:line="360" w:lineRule="auto"/>
              <w:ind w:firstLine="480" w:firstLineChars="200"/>
              <w:jc w:val="left"/>
              <w:rPr>
                <w:rFonts w:hint="eastAsia" w:ascii="仿宋" w:hAnsi="仿宋" w:eastAsia="仿宋" w:cs="仿宋"/>
                <w:snapToGrid w:val="0"/>
                <w:color w:val="auto"/>
                <w:kern w:val="0"/>
                <w:sz w:val="24"/>
                <w:highlight w:val="none"/>
              </w:rPr>
            </w:pPr>
          </w:p>
        </w:tc>
        <w:tc>
          <w:tcPr>
            <w:tcW w:w="735" w:type="dxa"/>
            <w:tcBorders>
              <w:top w:val="single" w:color="000000" w:sz="4" w:space="0"/>
              <w:left w:val="single" w:color="000000" w:sz="4" w:space="0"/>
              <w:bottom w:val="single" w:color="000000" w:sz="4" w:space="0"/>
              <w:right w:val="single" w:color="000000" w:sz="4" w:space="0"/>
            </w:tcBorders>
          </w:tcPr>
          <w:p w14:paraId="417F1C62">
            <w:pPr>
              <w:autoSpaceDE w:val="0"/>
              <w:autoSpaceDN w:val="0"/>
              <w:adjustRightInd w:val="0"/>
              <w:snapToGrid w:val="0"/>
              <w:spacing w:line="360" w:lineRule="auto"/>
              <w:ind w:firstLine="480" w:firstLineChars="200"/>
              <w:jc w:val="left"/>
              <w:rPr>
                <w:rFonts w:hint="eastAsia" w:ascii="仿宋" w:hAnsi="仿宋" w:eastAsia="仿宋" w:cs="仿宋"/>
                <w:snapToGrid w:val="0"/>
                <w:color w:val="auto"/>
                <w:kern w:val="0"/>
                <w:sz w:val="24"/>
                <w:highlight w:val="none"/>
              </w:rPr>
            </w:pPr>
          </w:p>
        </w:tc>
        <w:tc>
          <w:tcPr>
            <w:tcW w:w="1100" w:type="dxa"/>
            <w:tcBorders>
              <w:top w:val="single" w:color="000000" w:sz="4" w:space="0"/>
              <w:left w:val="single" w:color="000000" w:sz="4" w:space="0"/>
              <w:bottom w:val="single" w:color="000000" w:sz="4" w:space="0"/>
              <w:right w:val="single" w:color="000000" w:sz="4" w:space="0"/>
            </w:tcBorders>
          </w:tcPr>
          <w:p w14:paraId="4470A8ED">
            <w:pPr>
              <w:autoSpaceDE w:val="0"/>
              <w:autoSpaceDN w:val="0"/>
              <w:adjustRightInd w:val="0"/>
              <w:snapToGrid w:val="0"/>
              <w:spacing w:line="360" w:lineRule="auto"/>
              <w:ind w:firstLine="480" w:firstLineChars="200"/>
              <w:jc w:val="left"/>
              <w:rPr>
                <w:rFonts w:hint="eastAsia" w:ascii="仿宋" w:hAnsi="仿宋" w:eastAsia="仿宋" w:cs="仿宋"/>
                <w:snapToGrid w:val="0"/>
                <w:color w:val="auto"/>
                <w:kern w:val="0"/>
                <w:sz w:val="24"/>
                <w:highlight w:val="none"/>
              </w:rPr>
            </w:pPr>
          </w:p>
        </w:tc>
        <w:tc>
          <w:tcPr>
            <w:tcW w:w="810" w:type="dxa"/>
            <w:tcBorders>
              <w:top w:val="single" w:color="000000" w:sz="4" w:space="0"/>
              <w:left w:val="single" w:color="000000" w:sz="4" w:space="0"/>
              <w:bottom w:val="single" w:color="000000" w:sz="4" w:space="0"/>
              <w:right w:val="single" w:color="000000" w:sz="4" w:space="0"/>
            </w:tcBorders>
          </w:tcPr>
          <w:p w14:paraId="310D7752">
            <w:pPr>
              <w:autoSpaceDE w:val="0"/>
              <w:autoSpaceDN w:val="0"/>
              <w:adjustRightInd w:val="0"/>
              <w:snapToGrid w:val="0"/>
              <w:spacing w:line="360" w:lineRule="auto"/>
              <w:ind w:firstLine="480" w:firstLineChars="200"/>
              <w:jc w:val="left"/>
              <w:rPr>
                <w:rFonts w:hint="eastAsia" w:ascii="仿宋" w:hAnsi="仿宋" w:eastAsia="仿宋" w:cs="仿宋"/>
                <w:snapToGrid w:val="0"/>
                <w:color w:val="auto"/>
                <w:kern w:val="0"/>
                <w:sz w:val="24"/>
                <w:highlight w:val="none"/>
              </w:rPr>
            </w:pPr>
          </w:p>
        </w:tc>
        <w:tc>
          <w:tcPr>
            <w:tcW w:w="840" w:type="dxa"/>
            <w:tcBorders>
              <w:top w:val="single" w:color="000000" w:sz="4" w:space="0"/>
              <w:left w:val="single" w:color="000000" w:sz="4" w:space="0"/>
              <w:bottom w:val="single" w:color="000000" w:sz="4" w:space="0"/>
              <w:right w:val="single" w:color="000000" w:sz="4" w:space="0"/>
            </w:tcBorders>
          </w:tcPr>
          <w:p w14:paraId="6CA75BDA">
            <w:pPr>
              <w:autoSpaceDE w:val="0"/>
              <w:autoSpaceDN w:val="0"/>
              <w:adjustRightInd w:val="0"/>
              <w:snapToGrid w:val="0"/>
              <w:spacing w:line="360" w:lineRule="auto"/>
              <w:ind w:firstLine="480" w:firstLineChars="200"/>
              <w:jc w:val="left"/>
              <w:rPr>
                <w:rFonts w:hint="eastAsia" w:ascii="仿宋" w:hAnsi="仿宋" w:eastAsia="仿宋" w:cs="仿宋"/>
                <w:snapToGrid w:val="0"/>
                <w:color w:val="auto"/>
                <w:kern w:val="0"/>
                <w:sz w:val="24"/>
                <w:highlight w:val="none"/>
              </w:rPr>
            </w:pPr>
          </w:p>
        </w:tc>
        <w:tc>
          <w:tcPr>
            <w:tcW w:w="915" w:type="dxa"/>
            <w:tcBorders>
              <w:top w:val="single" w:color="000000" w:sz="4" w:space="0"/>
              <w:left w:val="single" w:color="auto" w:sz="4" w:space="0"/>
              <w:bottom w:val="single" w:color="000000" w:sz="4" w:space="0"/>
              <w:right w:val="single" w:color="000000" w:sz="4" w:space="0"/>
            </w:tcBorders>
          </w:tcPr>
          <w:p w14:paraId="6B7BBCF1">
            <w:pPr>
              <w:autoSpaceDE w:val="0"/>
              <w:autoSpaceDN w:val="0"/>
              <w:adjustRightInd w:val="0"/>
              <w:snapToGrid w:val="0"/>
              <w:spacing w:line="360" w:lineRule="auto"/>
              <w:ind w:firstLine="480" w:firstLineChars="200"/>
              <w:jc w:val="left"/>
              <w:rPr>
                <w:rFonts w:hint="eastAsia" w:ascii="仿宋" w:hAnsi="仿宋" w:eastAsia="仿宋" w:cs="仿宋"/>
                <w:snapToGrid w:val="0"/>
                <w:color w:val="auto"/>
                <w:kern w:val="0"/>
                <w:sz w:val="24"/>
                <w:highlight w:val="none"/>
              </w:rPr>
            </w:pPr>
          </w:p>
        </w:tc>
        <w:tc>
          <w:tcPr>
            <w:tcW w:w="1155" w:type="dxa"/>
            <w:tcBorders>
              <w:top w:val="single" w:color="000000" w:sz="4" w:space="0"/>
              <w:left w:val="single" w:color="000000" w:sz="4" w:space="0"/>
              <w:bottom w:val="single" w:color="000000" w:sz="4" w:space="0"/>
              <w:right w:val="single" w:color="000000" w:sz="4" w:space="0"/>
            </w:tcBorders>
          </w:tcPr>
          <w:p w14:paraId="050C6869">
            <w:pPr>
              <w:autoSpaceDE w:val="0"/>
              <w:autoSpaceDN w:val="0"/>
              <w:adjustRightInd w:val="0"/>
              <w:snapToGrid w:val="0"/>
              <w:spacing w:line="360" w:lineRule="auto"/>
              <w:ind w:firstLine="480" w:firstLineChars="200"/>
              <w:jc w:val="left"/>
              <w:rPr>
                <w:rFonts w:hint="eastAsia" w:ascii="仿宋" w:hAnsi="仿宋" w:eastAsia="仿宋" w:cs="仿宋"/>
                <w:snapToGrid w:val="0"/>
                <w:color w:val="auto"/>
                <w:kern w:val="0"/>
                <w:sz w:val="24"/>
                <w:highlight w:val="none"/>
              </w:rPr>
            </w:pPr>
          </w:p>
        </w:tc>
      </w:tr>
      <w:tr w14:paraId="64E18FEE">
        <w:tblPrEx>
          <w:tblCellMar>
            <w:top w:w="0" w:type="dxa"/>
            <w:left w:w="0" w:type="dxa"/>
            <w:bottom w:w="0" w:type="dxa"/>
            <w:right w:w="0" w:type="dxa"/>
          </w:tblCellMar>
        </w:tblPrEx>
        <w:trPr>
          <w:trHeight w:val="510" w:hRule="exact"/>
        </w:trPr>
        <w:tc>
          <w:tcPr>
            <w:tcW w:w="602" w:type="dxa"/>
            <w:tcBorders>
              <w:top w:val="single" w:color="000000" w:sz="4" w:space="0"/>
              <w:left w:val="single" w:color="000000" w:sz="4" w:space="0"/>
              <w:bottom w:val="single" w:color="000000" w:sz="4" w:space="0"/>
              <w:right w:val="single" w:color="000000" w:sz="4" w:space="0"/>
            </w:tcBorders>
          </w:tcPr>
          <w:p w14:paraId="61B5803F">
            <w:pPr>
              <w:autoSpaceDE w:val="0"/>
              <w:autoSpaceDN w:val="0"/>
              <w:adjustRightInd w:val="0"/>
              <w:snapToGrid w:val="0"/>
              <w:spacing w:line="360" w:lineRule="auto"/>
              <w:ind w:firstLine="480" w:firstLineChars="200"/>
              <w:jc w:val="left"/>
              <w:rPr>
                <w:rFonts w:hint="eastAsia" w:ascii="仿宋" w:hAnsi="仿宋" w:eastAsia="仿宋" w:cs="仿宋"/>
                <w:snapToGrid w:val="0"/>
                <w:color w:val="auto"/>
                <w:kern w:val="0"/>
                <w:sz w:val="24"/>
                <w:highlight w:val="none"/>
              </w:rPr>
            </w:pPr>
          </w:p>
        </w:tc>
        <w:tc>
          <w:tcPr>
            <w:tcW w:w="2441" w:type="dxa"/>
            <w:tcBorders>
              <w:top w:val="single" w:color="000000" w:sz="4" w:space="0"/>
              <w:left w:val="single" w:color="000000" w:sz="4" w:space="0"/>
              <w:bottom w:val="single" w:color="000000" w:sz="4" w:space="0"/>
              <w:right w:val="single" w:color="000000" w:sz="4" w:space="0"/>
            </w:tcBorders>
          </w:tcPr>
          <w:p w14:paraId="0B05DA9D">
            <w:pPr>
              <w:autoSpaceDE w:val="0"/>
              <w:autoSpaceDN w:val="0"/>
              <w:adjustRightInd w:val="0"/>
              <w:snapToGrid w:val="0"/>
              <w:spacing w:line="360" w:lineRule="auto"/>
              <w:ind w:firstLine="480" w:firstLineChars="200"/>
              <w:jc w:val="left"/>
              <w:rPr>
                <w:rFonts w:hint="eastAsia" w:ascii="仿宋" w:hAnsi="仿宋" w:eastAsia="仿宋" w:cs="仿宋"/>
                <w:snapToGrid w:val="0"/>
                <w:color w:val="auto"/>
                <w:kern w:val="0"/>
                <w:sz w:val="24"/>
                <w:highlight w:val="none"/>
              </w:rPr>
            </w:pPr>
          </w:p>
        </w:tc>
        <w:tc>
          <w:tcPr>
            <w:tcW w:w="735" w:type="dxa"/>
            <w:tcBorders>
              <w:top w:val="single" w:color="000000" w:sz="4" w:space="0"/>
              <w:left w:val="single" w:color="000000" w:sz="4" w:space="0"/>
              <w:bottom w:val="single" w:color="000000" w:sz="4" w:space="0"/>
              <w:right w:val="single" w:color="000000" w:sz="4" w:space="0"/>
            </w:tcBorders>
          </w:tcPr>
          <w:p w14:paraId="7AA077D2">
            <w:pPr>
              <w:autoSpaceDE w:val="0"/>
              <w:autoSpaceDN w:val="0"/>
              <w:adjustRightInd w:val="0"/>
              <w:snapToGrid w:val="0"/>
              <w:spacing w:line="360" w:lineRule="auto"/>
              <w:ind w:firstLine="480" w:firstLineChars="200"/>
              <w:jc w:val="left"/>
              <w:rPr>
                <w:rFonts w:hint="eastAsia" w:ascii="仿宋" w:hAnsi="仿宋" w:eastAsia="仿宋" w:cs="仿宋"/>
                <w:snapToGrid w:val="0"/>
                <w:color w:val="auto"/>
                <w:kern w:val="0"/>
                <w:sz w:val="24"/>
                <w:highlight w:val="none"/>
              </w:rPr>
            </w:pPr>
          </w:p>
        </w:tc>
        <w:tc>
          <w:tcPr>
            <w:tcW w:w="1100" w:type="dxa"/>
            <w:tcBorders>
              <w:top w:val="single" w:color="000000" w:sz="4" w:space="0"/>
              <w:left w:val="single" w:color="000000" w:sz="4" w:space="0"/>
              <w:bottom w:val="single" w:color="000000" w:sz="4" w:space="0"/>
              <w:right w:val="single" w:color="000000" w:sz="4" w:space="0"/>
            </w:tcBorders>
          </w:tcPr>
          <w:p w14:paraId="7921BBBB">
            <w:pPr>
              <w:autoSpaceDE w:val="0"/>
              <w:autoSpaceDN w:val="0"/>
              <w:adjustRightInd w:val="0"/>
              <w:snapToGrid w:val="0"/>
              <w:spacing w:line="360" w:lineRule="auto"/>
              <w:ind w:firstLine="480" w:firstLineChars="200"/>
              <w:jc w:val="left"/>
              <w:rPr>
                <w:rFonts w:hint="eastAsia" w:ascii="仿宋" w:hAnsi="仿宋" w:eastAsia="仿宋" w:cs="仿宋"/>
                <w:snapToGrid w:val="0"/>
                <w:color w:val="auto"/>
                <w:kern w:val="0"/>
                <w:sz w:val="24"/>
                <w:highlight w:val="none"/>
              </w:rPr>
            </w:pPr>
          </w:p>
        </w:tc>
        <w:tc>
          <w:tcPr>
            <w:tcW w:w="810" w:type="dxa"/>
            <w:tcBorders>
              <w:top w:val="single" w:color="000000" w:sz="4" w:space="0"/>
              <w:left w:val="single" w:color="000000" w:sz="4" w:space="0"/>
              <w:bottom w:val="single" w:color="000000" w:sz="4" w:space="0"/>
              <w:right w:val="single" w:color="000000" w:sz="4" w:space="0"/>
            </w:tcBorders>
          </w:tcPr>
          <w:p w14:paraId="1E2BEC4C">
            <w:pPr>
              <w:autoSpaceDE w:val="0"/>
              <w:autoSpaceDN w:val="0"/>
              <w:adjustRightInd w:val="0"/>
              <w:snapToGrid w:val="0"/>
              <w:spacing w:line="360" w:lineRule="auto"/>
              <w:ind w:firstLine="480" w:firstLineChars="200"/>
              <w:jc w:val="left"/>
              <w:rPr>
                <w:rFonts w:hint="eastAsia" w:ascii="仿宋" w:hAnsi="仿宋" w:eastAsia="仿宋" w:cs="仿宋"/>
                <w:snapToGrid w:val="0"/>
                <w:color w:val="auto"/>
                <w:kern w:val="0"/>
                <w:sz w:val="24"/>
                <w:highlight w:val="none"/>
              </w:rPr>
            </w:pPr>
          </w:p>
        </w:tc>
        <w:tc>
          <w:tcPr>
            <w:tcW w:w="840" w:type="dxa"/>
            <w:tcBorders>
              <w:top w:val="single" w:color="000000" w:sz="4" w:space="0"/>
              <w:left w:val="single" w:color="000000" w:sz="4" w:space="0"/>
              <w:bottom w:val="single" w:color="000000" w:sz="4" w:space="0"/>
              <w:right w:val="single" w:color="000000" w:sz="4" w:space="0"/>
            </w:tcBorders>
          </w:tcPr>
          <w:p w14:paraId="1614E0BA">
            <w:pPr>
              <w:autoSpaceDE w:val="0"/>
              <w:autoSpaceDN w:val="0"/>
              <w:adjustRightInd w:val="0"/>
              <w:snapToGrid w:val="0"/>
              <w:spacing w:line="360" w:lineRule="auto"/>
              <w:ind w:firstLine="480" w:firstLineChars="200"/>
              <w:jc w:val="left"/>
              <w:rPr>
                <w:rFonts w:hint="eastAsia" w:ascii="仿宋" w:hAnsi="仿宋" w:eastAsia="仿宋" w:cs="仿宋"/>
                <w:snapToGrid w:val="0"/>
                <w:color w:val="auto"/>
                <w:kern w:val="0"/>
                <w:sz w:val="24"/>
                <w:highlight w:val="none"/>
              </w:rPr>
            </w:pPr>
          </w:p>
        </w:tc>
        <w:tc>
          <w:tcPr>
            <w:tcW w:w="915" w:type="dxa"/>
            <w:tcBorders>
              <w:top w:val="single" w:color="000000" w:sz="4" w:space="0"/>
              <w:left w:val="single" w:color="auto" w:sz="4" w:space="0"/>
              <w:bottom w:val="single" w:color="000000" w:sz="4" w:space="0"/>
              <w:right w:val="single" w:color="000000" w:sz="4" w:space="0"/>
            </w:tcBorders>
          </w:tcPr>
          <w:p w14:paraId="39FDED21">
            <w:pPr>
              <w:autoSpaceDE w:val="0"/>
              <w:autoSpaceDN w:val="0"/>
              <w:adjustRightInd w:val="0"/>
              <w:snapToGrid w:val="0"/>
              <w:spacing w:line="360" w:lineRule="auto"/>
              <w:ind w:firstLine="480" w:firstLineChars="200"/>
              <w:jc w:val="left"/>
              <w:rPr>
                <w:rFonts w:hint="eastAsia" w:ascii="仿宋" w:hAnsi="仿宋" w:eastAsia="仿宋" w:cs="仿宋"/>
                <w:snapToGrid w:val="0"/>
                <w:color w:val="auto"/>
                <w:kern w:val="0"/>
                <w:sz w:val="24"/>
                <w:highlight w:val="none"/>
              </w:rPr>
            </w:pPr>
          </w:p>
        </w:tc>
        <w:tc>
          <w:tcPr>
            <w:tcW w:w="1155" w:type="dxa"/>
            <w:tcBorders>
              <w:top w:val="single" w:color="000000" w:sz="4" w:space="0"/>
              <w:left w:val="single" w:color="000000" w:sz="4" w:space="0"/>
              <w:bottom w:val="single" w:color="000000" w:sz="4" w:space="0"/>
              <w:right w:val="single" w:color="000000" w:sz="4" w:space="0"/>
            </w:tcBorders>
          </w:tcPr>
          <w:p w14:paraId="5D7ECF3F">
            <w:pPr>
              <w:autoSpaceDE w:val="0"/>
              <w:autoSpaceDN w:val="0"/>
              <w:adjustRightInd w:val="0"/>
              <w:snapToGrid w:val="0"/>
              <w:spacing w:line="360" w:lineRule="auto"/>
              <w:ind w:firstLine="480" w:firstLineChars="200"/>
              <w:jc w:val="left"/>
              <w:rPr>
                <w:rFonts w:hint="eastAsia" w:ascii="仿宋" w:hAnsi="仿宋" w:eastAsia="仿宋" w:cs="仿宋"/>
                <w:snapToGrid w:val="0"/>
                <w:color w:val="auto"/>
                <w:kern w:val="0"/>
                <w:sz w:val="24"/>
                <w:highlight w:val="none"/>
              </w:rPr>
            </w:pPr>
          </w:p>
        </w:tc>
      </w:tr>
      <w:tr w14:paraId="0641EEC3">
        <w:tblPrEx>
          <w:tblCellMar>
            <w:top w:w="0" w:type="dxa"/>
            <w:left w:w="0" w:type="dxa"/>
            <w:bottom w:w="0" w:type="dxa"/>
            <w:right w:w="0" w:type="dxa"/>
          </w:tblCellMar>
        </w:tblPrEx>
        <w:trPr>
          <w:trHeight w:val="510" w:hRule="exact"/>
        </w:trPr>
        <w:tc>
          <w:tcPr>
            <w:tcW w:w="602" w:type="dxa"/>
            <w:tcBorders>
              <w:top w:val="single" w:color="000000" w:sz="4" w:space="0"/>
              <w:left w:val="single" w:color="000000" w:sz="4" w:space="0"/>
              <w:bottom w:val="single" w:color="000000" w:sz="4" w:space="0"/>
              <w:right w:val="single" w:color="000000" w:sz="4" w:space="0"/>
            </w:tcBorders>
          </w:tcPr>
          <w:p w14:paraId="3C5B9AD1">
            <w:pPr>
              <w:autoSpaceDE w:val="0"/>
              <w:autoSpaceDN w:val="0"/>
              <w:adjustRightInd w:val="0"/>
              <w:snapToGrid w:val="0"/>
              <w:spacing w:line="360" w:lineRule="auto"/>
              <w:ind w:firstLine="480" w:firstLineChars="200"/>
              <w:jc w:val="left"/>
              <w:rPr>
                <w:rFonts w:hint="eastAsia" w:ascii="仿宋" w:hAnsi="仿宋" w:eastAsia="仿宋" w:cs="仿宋"/>
                <w:snapToGrid w:val="0"/>
                <w:color w:val="auto"/>
                <w:kern w:val="0"/>
                <w:sz w:val="24"/>
                <w:highlight w:val="none"/>
              </w:rPr>
            </w:pPr>
          </w:p>
        </w:tc>
        <w:tc>
          <w:tcPr>
            <w:tcW w:w="2441" w:type="dxa"/>
            <w:tcBorders>
              <w:top w:val="single" w:color="000000" w:sz="4" w:space="0"/>
              <w:left w:val="single" w:color="000000" w:sz="4" w:space="0"/>
              <w:bottom w:val="single" w:color="000000" w:sz="4" w:space="0"/>
              <w:right w:val="single" w:color="000000" w:sz="4" w:space="0"/>
            </w:tcBorders>
          </w:tcPr>
          <w:p w14:paraId="214F1959">
            <w:pPr>
              <w:autoSpaceDE w:val="0"/>
              <w:autoSpaceDN w:val="0"/>
              <w:adjustRightInd w:val="0"/>
              <w:snapToGrid w:val="0"/>
              <w:spacing w:line="360" w:lineRule="auto"/>
              <w:ind w:firstLine="480" w:firstLineChars="200"/>
              <w:jc w:val="left"/>
              <w:rPr>
                <w:rFonts w:hint="eastAsia" w:ascii="仿宋" w:hAnsi="仿宋" w:eastAsia="仿宋" w:cs="仿宋"/>
                <w:snapToGrid w:val="0"/>
                <w:color w:val="auto"/>
                <w:kern w:val="0"/>
                <w:sz w:val="24"/>
                <w:highlight w:val="none"/>
              </w:rPr>
            </w:pPr>
          </w:p>
        </w:tc>
        <w:tc>
          <w:tcPr>
            <w:tcW w:w="735" w:type="dxa"/>
            <w:tcBorders>
              <w:top w:val="single" w:color="000000" w:sz="4" w:space="0"/>
              <w:left w:val="single" w:color="000000" w:sz="4" w:space="0"/>
              <w:bottom w:val="single" w:color="000000" w:sz="4" w:space="0"/>
              <w:right w:val="single" w:color="000000" w:sz="4" w:space="0"/>
            </w:tcBorders>
          </w:tcPr>
          <w:p w14:paraId="728C2181">
            <w:pPr>
              <w:autoSpaceDE w:val="0"/>
              <w:autoSpaceDN w:val="0"/>
              <w:adjustRightInd w:val="0"/>
              <w:snapToGrid w:val="0"/>
              <w:spacing w:line="360" w:lineRule="auto"/>
              <w:ind w:firstLine="480" w:firstLineChars="200"/>
              <w:jc w:val="left"/>
              <w:rPr>
                <w:rFonts w:hint="eastAsia" w:ascii="仿宋" w:hAnsi="仿宋" w:eastAsia="仿宋" w:cs="仿宋"/>
                <w:snapToGrid w:val="0"/>
                <w:color w:val="auto"/>
                <w:kern w:val="0"/>
                <w:sz w:val="24"/>
                <w:highlight w:val="none"/>
              </w:rPr>
            </w:pPr>
          </w:p>
        </w:tc>
        <w:tc>
          <w:tcPr>
            <w:tcW w:w="1100" w:type="dxa"/>
            <w:tcBorders>
              <w:top w:val="single" w:color="000000" w:sz="4" w:space="0"/>
              <w:left w:val="single" w:color="000000" w:sz="4" w:space="0"/>
              <w:bottom w:val="single" w:color="000000" w:sz="4" w:space="0"/>
              <w:right w:val="single" w:color="000000" w:sz="4" w:space="0"/>
            </w:tcBorders>
          </w:tcPr>
          <w:p w14:paraId="04EE3838">
            <w:pPr>
              <w:autoSpaceDE w:val="0"/>
              <w:autoSpaceDN w:val="0"/>
              <w:adjustRightInd w:val="0"/>
              <w:snapToGrid w:val="0"/>
              <w:spacing w:line="360" w:lineRule="auto"/>
              <w:ind w:firstLine="480" w:firstLineChars="200"/>
              <w:jc w:val="left"/>
              <w:rPr>
                <w:rFonts w:hint="eastAsia" w:ascii="仿宋" w:hAnsi="仿宋" w:eastAsia="仿宋" w:cs="仿宋"/>
                <w:snapToGrid w:val="0"/>
                <w:color w:val="auto"/>
                <w:kern w:val="0"/>
                <w:sz w:val="24"/>
                <w:highlight w:val="none"/>
              </w:rPr>
            </w:pPr>
          </w:p>
        </w:tc>
        <w:tc>
          <w:tcPr>
            <w:tcW w:w="810" w:type="dxa"/>
            <w:tcBorders>
              <w:top w:val="single" w:color="000000" w:sz="4" w:space="0"/>
              <w:left w:val="single" w:color="000000" w:sz="4" w:space="0"/>
              <w:bottom w:val="single" w:color="000000" w:sz="4" w:space="0"/>
              <w:right w:val="single" w:color="000000" w:sz="4" w:space="0"/>
            </w:tcBorders>
          </w:tcPr>
          <w:p w14:paraId="41EF749D">
            <w:pPr>
              <w:autoSpaceDE w:val="0"/>
              <w:autoSpaceDN w:val="0"/>
              <w:adjustRightInd w:val="0"/>
              <w:snapToGrid w:val="0"/>
              <w:spacing w:line="360" w:lineRule="auto"/>
              <w:ind w:firstLine="480" w:firstLineChars="200"/>
              <w:jc w:val="left"/>
              <w:rPr>
                <w:rFonts w:hint="eastAsia" w:ascii="仿宋" w:hAnsi="仿宋" w:eastAsia="仿宋" w:cs="仿宋"/>
                <w:snapToGrid w:val="0"/>
                <w:color w:val="auto"/>
                <w:kern w:val="0"/>
                <w:sz w:val="24"/>
                <w:highlight w:val="none"/>
              </w:rPr>
            </w:pPr>
          </w:p>
        </w:tc>
        <w:tc>
          <w:tcPr>
            <w:tcW w:w="840" w:type="dxa"/>
            <w:tcBorders>
              <w:top w:val="single" w:color="000000" w:sz="4" w:space="0"/>
              <w:left w:val="single" w:color="000000" w:sz="4" w:space="0"/>
              <w:bottom w:val="single" w:color="000000" w:sz="4" w:space="0"/>
              <w:right w:val="single" w:color="000000" w:sz="4" w:space="0"/>
            </w:tcBorders>
          </w:tcPr>
          <w:p w14:paraId="1A5994B0">
            <w:pPr>
              <w:autoSpaceDE w:val="0"/>
              <w:autoSpaceDN w:val="0"/>
              <w:adjustRightInd w:val="0"/>
              <w:snapToGrid w:val="0"/>
              <w:spacing w:line="360" w:lineRule="auto"/>
              <w:ind w:firstLine="480" w:firstLineChars="200"/>
              <w:jc w:val="left"/>
              <w:rPr>
                <w:rFonts w:hint="eastAsia" w:ascii="仿宋" w:hAnsi="仿宋" w:eastAsia="仿宋" w:cs="仿宋"/>
                <w:snapToGrid w:val="0"/>
                <w:color w:val="auto"/>
                <w:kern w:val="0"/>
                <w:sz w:val="24"/>
                <w:highlight w:val="none"/>
              </w:rPr>
            </w:pPr>
          </w:p>
        </w:tc>
        <w:tc>
          <w:tcPr>
            <w:tcW w:w="915" w:type="dxa"/>
            <w:tcBorders>
              <w:top w:val="single" w:color="000000" w:sz="4" w:space="0"/>
              <w:left w:val="single" w:color="auto" w:sz="4" w:space="0"/>
              <w:bottom w:val="single" w:color="000000" w:sz="4" w:space="0"/>
              <w:right w:val="single" w:color="000000" w:sz="4" w:space="0"/>
            </w:tcBorders>
          </w:tcPr>
          <w:p w14:paraId="79A9DBC2">
            <w:pPr>
              <w:autoSpaceDE w:val="0"/>
              <w:autoSpaceDN w:val="0"/>
              <w:adjustRightInd w:val="0"/>
              <w:snapToGrid w:val="0"/>
              <w:spacing w:line="360" w:lineRule="auto"/>
              <w:ind w:firstLine="480" w:firstLineChars="200"/>
              <w:jc w:val="left"/>
              <w:rPr>
                <w:rFonts w:hint="eastAsia" w:ascii="仿宋" w:hAnsi="仿宋" w:eastAsia="仿宋" w:cs="仿宋"/>
                <w:snapToGrid w:val="0"/>
                <w:color w:val="auto"/>
                <w:kern w:val="0"/>
                <w:sz w:val="24"/>
                <w:highlight w:val="none"/>
              </w:rPr>
            </w:pPr>
          </w:p>
        </w:tc>
        <w:tc>
          <w:tcPr>
            <w:tcW w:w="1155" w:type="dxa"/>
            <w:tcBorders>
              <w:top w:val="single" w:color="000000" w:sz="4" w:space="0"/>
              <w:left w:val="single" w:color="000000" w:sz="4" w:space="0"/>
              <w:bottom w:val="single" w:color="000000" w:sz="4" w:space="0"/>
              <w:right w:val="single" w:color="000000" w:sz="4" w:space="0"/>
            </w:tcBorders>
          </w:tcPr>
          <w:p w14:paraId="046087AF">
            <w:pPr>
              <w:autoSpaceDE w:val="0"/>
              <w:autoSpaceDN w:val="0"/>
              <w:adjustRightInd w:val="0"/>
              <w:snapToGrid w:val="0"/>
              <w:spacing w:line="360" w:lineRule="auto"/>
              <w:ind w:firstLine="480" w:firstLineChars="200"/>
              <w:jc w:val="left"/>
              <w:rPr>
                <w:rFonts w:hint="eastAsia" w:ascii="仿宋" w:hAnsi="仿宋" w:eastAsia="仿宋" w:cs="仿宋"/>
                <w:snapToGrid w:val="0"/>
                <w:color w:val="auto"/>
                <w:kern w:val="0"/>
                <w:sz w:val="24"/>
                <w:highlight w:val="none"/>
              </w:rPr>
            </w:pPr>
          </w:p>
        </w:tc>
      </w:tr>
      <w:tr w14:paraId="03A4AB19">
        <w:tblPrEx>
          <w:tblCellMar>
            <w:top w:w="0" w:type="dxa"/>
            <w:left w:w="0" w:type="dxa"/>
            <w:bottom w:w="0" w:type="dxa"/>
            <w:right w:w="0" w:type="dxa"/>
          </w:tblCellMar>
        </w:tblPrEx>
        <w:trPr>
          <w:trHeight w:val="510" w:hRule="exact"/>
        </w:trPr>
        <w:tc>
          <w:tcPr>
            <w:tcW w:w="602" w:type="dxa"/>
            <w:tcBorders>
              <w:top w:val="single" w:color="000000" w:sz="4" w:space="0"/>
              <w:left w:val="single" w:color="000000" w:sz="4" w:space="0"/>
              <w:bottom w:val="single" w:color="000000" w:sz="4" w:space="0"/>
              <w:right w:val="single" w:color="000000" w:sz="4" w:space="0"/>
            </w:tcBorders>
          </w:tcPr>
          <w:p w14:paraId="2A716C6F">
            <w:pPr>
              <w:autoSpaceDE w:val="0"/>
              <w:autoSpaceDN w:val="0"/>
              <w:adjustRightInd w:val="0"/>
              <w:snapToGrid w:val="0"/>
              <w:spacing w:line="360" w:lineRule="auto"/>
              <w:ind w:firstLine="480" w:firstLineChars="200"/>
              <w:jc w:val="left"/>
              <w:rPr>
                <w:rFonts w:hint="eastAsia" w:ascii="仿宋" w:hAnsi="仿宋" w:eastAsia="仿宋" w:cs="仿宋"/>
                <w:snapToGrid w:val="0"/>
                <w:color w:val="auto"/>
                <w:kern w:val="0"/>
                <w:sz w:val="24"/>
                <w:highlight w:val="none"/>
              </w:rPr>
            </w:pPr>
          </w:p>
        </w:tc>
        <w:tc>
          <w:tcPr>
            <w:tcW w:w="2441" w:type="dxa"/>
            <w:tcBorders>
              <w:top w:val="single" w:color="000000" w:sz="4" w:space="0"/>
              <w:left w:val="single" w:color="000000" w:sz="4" w:space="0"/>
              <w:bottom w:val="single" w:color="000000" w:sz="4" w:space="0"/>
              <w:right w:val="single" w:color="000000" w:sz="4" w:space="0"/>
            </w:tcBorders>
          </w:tcPr>
          <w:p w14:paraId="5C599DA3">
            <w:pPr>
              <w:autoSpaceDE w:val="0"/>
              <w:autoSpaceDN w:val="0"/>
              <w:adjustRightInd w:val="0"/>
              <w:snapToGrid w:val="0"/>
              <w:spacing w:line="360" w:lineRule="auto"/>
              <w:ind w:firstLine="480" w:firstLineChars="200"/>
              <w:jc w:val="left"/>
              <w:rPr>
                <w:rFonts w:hint="eastAsia" w:ascii="仿宋" w:hAnsi="仿宋" w:eastAsia="仿宋" w:cs="仿宋"/>
                <w:snapToGrid w:val="0"/>
                <w:color w:val="auto"/>
                <w:kern w:val="0"/>
                <w:sz w:val="24"/>
                <w:highlight w:val="none"/>
              </w:rPr>
            </w:pPr>
          </w:p>
        </w:tc>
        <w:tc>
          <w:tcPr>
            <w:tcW w:w="735" w:type="dxa"/>
            <w:tcBorders>
              <w:top w:val="single" w:color="000000" w:sz="4" w:space="0"/>
              <w:left w:val="single" w:color="000000" w:sz="4" w:space="0"/>
              <w:bottom w:val="single" w:color="000000" w:sz="4" w:space="0"/>
              <w:right w:val="single" w:color="000000" w:sz="4" w:space="0"/>
            </w:tcBorders>
          </w:tcPr>
          <w:p w14:paraId="750162B5">
            <w:pPr>
              <w:autoSpaceDE w:val="0"/>
              <w:autoSpaceDN w:val="0"/>
              <w:adjustRightInd w:val="0"/>
              <w:snapToGrid w:val="0"/>
              <w:spacing w:line="360" w:lineRule="auto"/>
              <w:ind w:firstLine="480" w:firstLineChars="200"/>
              <w:jc w:val="left"/>
              <w:rPr>
                <w:rFonts w:hint="eastAsia" w:ascii="仿宋" w:hAnsi="仿宋" w:eastAsia="仿宋" w:cs="仿宋"/>
                <w:snapToGrid w:val="0"/>
                <w:color w:val="auto"/>
                <w:kern w:val="0"/>
                <w:sz w:val="24"/>
                <w:highlight w:val="none"/>
              </w:rPr>
            </w:pPr>
          </w:p>
        </w:tc>
        <w:tc>
          <w:tcPr>
            <w:tcW w:w="1100" w:type="dxa"/>
            <w:tcBorders>
              <w:top w:val="single" w:color="000000" w:sz="4" w:space="0"/>
              <w:left w:val="single" w:color="000000" w:sz="4" w:space="0"/>
              <w:bottom w:val="single" w:color="000000" w:sz="4" w:space="0"/>
              <w:right w:val="single" w:color="000000" w:sz="4" w:space="0"/>
            </w:tcBorders>
          </w:tcPr>
          <w:p w14:paraId="5134BA8E">
            <w:pPr>
              <w:autoSpaceDE w:val="0"/>
              <w:autoSpaceDN w:val="0"/>
              <w:adjustRightInd w:val="0"/>
              <w:snapToGrid w:val="0"/>
              <w:spacing w:line="360" w:lineRule="auto"/>
              <w:ind w:firstLine="480" w:firstLineChars="200"/>
              <w:jc w:val="left"/>
              <w:rPr>
                <w:rFonts w:hint="eastAsia" w:ascii="仿宋" w:hAnsi="仿宋" w:eastAsia="仿宋" w:cs="仿宋"/>
                <w:snapToGrid w:val="0"/>
                <w:color w:val="auto"/>
                <w:kern w:val="0"/>
                <w:sz w:val="24"/>
                <w:highlight w:val="none"/>
              </w:rPr>
            </w:pPr>
          </w:p>
        </w:tc>
        <w:tc>
          <w:tcPr>
            <w:tcW w:w="810" w:type="dxa"/>
            <w:tcBorders>
              <w:top w:val="single" w:color="000000" w:sz="4" w:space="0"/>
              <w:left w:val="single" w:color="000000" w:sz="4" w:space="0"/>
              <w:bottom w:val="single" w:color="000000" w:sz="4" w:space="0"/>
              <w:right w:val="single" w:color="000000" w:sz="4" w:space="0"/>
            </w:tcBorders>
          </w:tcPr>
          <w:p w14:paraId="6EE5BCB7">
            <w:pPr>
              <w:autoSpaceDE w:val="0"/>
              <w:autoSpaceDN w:val="0"/>
              <w:adjustRightInd w:val="0"/>
              <w:snapToGrid w:val="0"/>
              <w:spacing w:line="360" w:lineRule="auto"/>
              <w:ind w:firstLine="480" w:firstLineChars="200"/>
              <w:jc w:val="left"/>
              <w:rPr>
                <w:rFonts w:hint="eastAsia" w:ascii="仿宋" w:hAnsi="仿宋" w:eastAsia="仿宋" w:cs="仿宋"/>
                <w:snapToGrid w:val="0"/>
                <w:color w:val="auto"/>
                <w:kern w:val="0"/>
                <w:sz w:val="24"/>
                <w:highlight w:val="none"/>
              </w:rPr>
            </w:pPr>
          </w:p>
        </w:tc>
        <w:tc>
          <w:tcPr>
            <w:tcW w:w="840" w:type="dxa"/>
            <w:tcBorders>
              <w:top w:val="single" w:color="000000" w:sz="4" w:space="0"/>
              <w:left w:val="single" w:color="000000" w:sz="4" w:space="0"/>
              <w:bottom w:val="single" w:color="000000" w:sz="4" w:space="0"/>
              <w:right w:val="single" w:color="000000" w:sz="4" w:space="0"/>
            </w:tcBorders>
          </w:tcPr>
          <w:p w14:paraId="7E859E3B">
            <w:pPr>
              <w:autoSpaceDE w:val="0"/>
              <w:autoSpaceDN w:val="0"/>
              <w:adjustRightInd w:val="0"/>
              <w:snapToGrid w:val="0"/>
              <w:spacing w:line="360" w:lineRule="auto"/>
              <w:ind w:firstLine="480" w:firstLineChars="200"/>
              <w:jc w:val="left"/>
              <w:rPr>
                <w:rFonts w:hint="eastAsia" w:ascii="仿宋" w:hAnsi="仿宋" w:eastAsia="仿宋" w:cs="仿宋"/>
                <w:snapToGrid w:val="0"/>
                <w:color w:val="auto"/>
                <w:kern w:val="0"/>
                <w:sz w:val="24"/>
                <w:highlight w:val="none"/>
              </w:rPr>
            </w:pPr>
          </w:p>
        </w:tc>
        <w:tc>
          <w:tcPr>
            <w:tcW w:w="915" w:type="dxa"/>
            <w:tcBorders>
              <w:top w:val="single" w:color="000000" w:sz="4" w:space="0"/>
              <w:left w:val="single" w:color="auto" w:sz="4" w:space="0"/>
              <w:bottom w:val="single" w:color="000000" w:sz="4" w:space="0"/>
              <w:right w:val="single" w:color="000000" w:sz="4" w:space="0"/>
            </w:tcBorders>
          </w:tcPr>
          <w:p w14:paraId="6714310C">
            <w:pPr>
              <w:autoSpaceDE w:val="0"/>
              <w:autoSpaceDN w:val="0"/>
              <w:adjustRightInd w:val="0"/>
              <w:snapToGrid w:val="0"/>
              <w:spacing w:line="360" w:lineRule="auto"/>
              <w:ind w:firstLine="480" w:firstLineChars="200"/>
              <w:jc w:val="left"/>
              <w:rPr>
                <w:rFonts w:hint="eastAsia" w:ascii="仿宋" w:hAnsi="仿宋" w:eastAsia="仿宋" w:cs="仿宋"/>
                <w:snapToGrid w:val="0"/>
                <w:color w:val="auto"/>
                <w:kern w:val="0"/>
                <w:sz w:val="24"/>
                <w:highlight w:val="none"/>
              </w:rPr>
            </w:pPr>
          </w:p>
        </w:tc>
        <w:tc>
          <w:tcPr>
            <w:tcW w:w="1155" w:type="dxa"/>
            <w:tcBorders>
              <w:top w:val="single" w:color="000000" w:sz="4" w:space="0"/>
              <w:left w:val="single" w:color="000000" w:sz="4" w:space="0"/>
              <w:bottom w:val="single" w:color="000000" w:sz="4" w:space="0"/>
              <w:right w:val="single" w:color="000000" w:sz="4" w:space="0"/>
            </w:tcBorders>
          </w:tcPr>
          <w:p w14:paraId="0CAA7DB1">
            <w:pPr>
              <w:autoSpaceDE w:val="0"/>
              <w:autoSpaceDN w:val="0"/>
              <w:adjustRightInd w:val="0"/>
              <w:snapToGrid w:val="0"/>
              <w:spacing w:line="360" w:lineRule="auto"/>
              <w:ind w:firstLine="480" w:firstLineChars="200"/>
              <w:jc w:val="left"/>
              <w:rPr>
                <w:rFonts w:hint="eastAsia" w:ascii="仿宋" w:hAnsi="仿宋" w:eastAsia="仿宋" w:cs="仿宋"/>
                <w:snapToGrid w:val="0"/>
                <w:color w:val="auto"/>
                <w:kern w:val="0"/>
                <w:sz w:val="24"/>
                <w:highlight w:val="none"/>
              </w:rPr>
            </w:pPr>
          </w:p>
        </w:tc>
      </w:tr>
      <w:tr w14:paraId="32844F5A">
        <w:tblPrEx>
          <w:tblCellMar>
            <w:top w:w="0" w:type="dxa"/>
            <w:left w:w="0" w:type="dxa"/>
            <w:bottom w:w="0" w:type="dxa"/>
            <w:right w:w="0" w:type="dxa"/>
          </w:tblCellMar>
        </w:tblPrEx>
        <w:trPr>
          <w:trHeight w:val="510" w:hRule="exact"/>
        </w:trPr>
        <w:tc>
          <w:tcPr>
            <w:tcW w:w="602" w:type="dxa"/>
            <w:tcBorders>
              <w:top w:val="single" w:color="000000" w:sz="4" w:space="0"/>
              <w:left w:val="single" w:color="000000" w:sz="4" w:space="0"/>
              <w:bottom w:val="single" w:color="000000" w:sz="4" w:space="0"/>
              <w:right w:val="single" w:color="000000" w:sz="4" w:space="0"/>
            </w:tcBorders>
          </w:tcPr>
          <w:p w14:paraId="5F448F9C">
            <w:pPr>
              <w:autoSpaceDE w:val="0"/>
              <w:autoSpaceDN w:val="0"/>
              <w:adjustRightInd w:val="0"/>
              <w:snapToGrid w:val="0"/>
              <w:spacing w:line="360" w:lineRule="auto"/>
              <w:ind w:firstLine="480" w:firstLineChars="200"/>
              <w:jc w:val="left"/>
              <w:rPr>
                <w:rFonts w:hint="eastAsia" w:ascii="仿宋" w:hAnsi="仿宋" w:eastAsia="仿宋" w:cs="仿宋"/>
                <w:snapToGrid w:val="0"/>
                <w:color w:val="auto"/>
                <w:kern w:val="0"/>
                <w:sz w:val="24"/>
                <w:highlight w:val="none"/>
              </w:rPr>
            </w:pPr>
          </w:p>
        </w:tc>
        <w:tc>
          <w:tcPr>
            <w:tcW w:w="2441" w:type="dxa"/>
            <w:tcBorders>
              <w:top w:val="single" w:color="000000" w:sz="4" w:space="0"/>
              <w:left w:val="single" w:color="000000" w:sz="4" w:space="0"/>
              <w:bottom w:val="single" w:color="000000" w:sz="4" w:space="0"/>
              <w:right w:val="single" w:color="000000" w:sz="4" w:space="0"/>
            </w:tcBorders>
          </w:tcPr>
          <w:p w14:paraId="64462FFB">
            <w:pPr>
              <w:autoSpaceDE w:val="0"/>
              <w:autoSpaceDN w:val="0"/>
              <w:adjustRightInd w:val="0"/>
              <w:snapToGrid w:val="0"/>
              <w:spacing w:line="360" w:lineRule="auto"/>
              <w:ind w:firstLine="480" w:firstLineChars="200"/>
              <w:jc w:val="left"/>
              <w:rPr>
                <w:rFonts w:hint="eastAsia" w:ascii="仿宋" w:hAnsi="仿宋" w:eastAsia="仿宋" w:cs="仿宋"/>
                <w:snapToGrid w:val="0"/>
                <w:color w:val="auto"/>
                <w:kern w:val="0"/>
                <w:sz w:val="24"/>
                <w:highlight w:val="none"/>
              </w:rPr>
            </w:pPr>
          </w:p>
        </w:tc>
        <w:tc>
          <w:tcPr>
            <w:tcW w:w="735" w:type="dxa"/>
            <w:tcBorders>
              <w:top w:val="single" w:color="000000" w:sz="4" w:space="0"/>
              <w:left w:val="single" w:color="000000" w:sz="4" w:space="0"/>
              <w:bottom w:val="single" w:color="000000" w:sz="4" w:space="0"/>
              <w:right w:val="single" w:color="000000" w:sz="4" w:space="0"/>
            </w:tcBorders>
          </w:tcPr>
          <w:p w14:paraId="73ABA7FE">
            <w:pPr>
              <w:autoSpaceDE w:val="0"/>
              <w:autoSpaceDN w:val="0"/>
              <w:adjustRightInd w:val="0"/>
              <w:snapToGrid w:val="0"/>
              <w:spacing w:line="360" w:lineRule="auto"/>
              <w:ind w:firstLine="480" w:firstLineChars="200"/>
              <w:jc w:val="left"/>
              <w:rPr>
                <w:rFonts w:hint="eastAsia" w:ascii="仿宋" w:hAnsi="仿宋" w:eastAsia="仿宋" w:cs="仿宋"/>
                <w:snapToGrid w:val="0"/>
                <w:color w:val="auto"/>
                <w:kern w:val="0"/>
                <w:sz w:val="24"/>
                <w:highlight w:val="none"/>
              </w:rPr>
            </w:pPr>
          </w:p>
        </w:tc>
        <w:tc>
          <w:tcPr>
            <w:tcW w:w="1100" w:type="dxa"/>
            <w:tcBorders>
              <w:top w:val="single" w:color="000000" w:sz="4" w:space="0"/>
              <w:left w:val="single" w:color="000000" w:sz="4" w:space="0"/>
              <w:bottom w:val="single" w:color="000000" w:sz="4" w:space="0"/>
              <w:right w:val="single" w:color="000000" w:sz="4" w:space="0"/>
            </w:tcBorders>
          </w:tcPr>
          <w:p w14:paraId="1B58A620">
            <w:pPr>
              <w:autoSpaceDE w:val="0"/>
              <w:autoSpaceDN w:val="0"/>
              <w:adjustRightInd w:val="0"/>
              <w:snapToGrid w:val="0"/>
              <w:spacing w:line="360" w:lineRule="auto"/>
              <w:ind w:firstLine="480" w:firstLineChars="200"/>
              <w:jc w:val="left"/>
              <w:rPr>
                <w:rFonts w:hint="eastAsia" w:ascii="仿宋" w:hAnsi="仿宋" w:eastAsia="仿宋" w:cs="仿宋"/>
                <w:snapToGrid w:val="0"/>
                <w:color w:val="auto"/>
                <w:kern w:val="0"/>
                <w:sz w:val="24"/>
                <w:highlight w:val="none"/>
              </w:rPr>
            </w:pPr>
          </w:p>
        </w:tc>
        <w:tc>
          <w:tcPr>
            <w:tcW w:w="810" w:type="dxa"/>
            <w:tcBorders>
              <w:top w:val="single" w:color="000000" w:sz="4" w:space="0"/>
              <w:left w:val="single" w:color="000000" w:sz="4" w:space="0"/>
              <w:bottom w:val="single" w:color="000000" w:sz="4" w:space="0"/>
              <w:right w:val="single" w:color="000000" w:sz="4" w:space="0"/>
            </w:tcBorders>
          </w:tcPr>
          <w:p w14:paraId="32E9CE00">
            <w:pPr>
              <w:autoSpaceDE w:val="0"/>
              <w:autoSpaceDN w:val="0"/>
              <w:adjustRightInd w:val="0"/>
              <w:snapToGrid w:val="0"/>
              <w:spacing w:line="360" w:lineRule="auto"/>
              <w:ind w:firstLine="480" w:firstLineChars="200"/>
              <w:jc w:val="left"/>
              <w:rPr>
                <w:rFonts w:hint="eastAsia" w:ascii="仿宋" w:hAnsi="仿宋" w:eastAsia="仿宋" w:cs="仿宋"/>
                <w:snapToGrid w:val="0"/>
                <w:color w:val="auto"/>
                <w:kern w:val="0"/>
                <w:sz w:val="24"/>
                <w:highlight w:val="none"/>
              </w:rPr>
            </w:pPr>
          </w:p>
        </w:tc>
        <w:tc>
          <w:tcPr>
            <w:tcW w:w="840" w:type="dxa"/>
            <w:tcBorders>
              <w:top w:val="single" w:color="000000" w:sz="4" w:space="0"/>
              <w:left w:val="single" w:color="000000" w:sz="4" w:space="0"/>
              <w:bottom w:val="single" w:color="000000" w:sz="4" w:space="0"/>
              <w:right w:val="single" w:color="000000" w:sz="4" w:space="0"/>
            </w:tcBorders>
          </w:tcPr>
          <w:p w14:paraId="4E90AE91">
            <w:pPr>
              <w:autoSpaceDE w:val="0"/>
              <w:autoSpaceDN w:val="0"/>
              <w:adjustRightInd w:val="0"/>
              <w:snapToGrid w:val="0"/>
              <w:spacing w:line="360" w:lineRule="auto"/>
              <w:ind w:firstLine="480" w:firstLineChars="200"/>
              <w:jc w:val="left"/>
              <w:rPr>
                <w:rFonts w:hint="eastAsia" w:ascii="仿宋" w:hAnsi="仿宋" w:eastAsia="仿宋" w:cs="仿宋"/>
                <w:snapToGrid w:val="0"/>
                <w:color w:val="auto"/>
                <w:kern w:val="0"/>
                <w:sz w:val="24"/>
                <w:highlight w:val="none"/>
              </w:rPr>
            </w:pPr>
          </w:p>
        </w:tc>
        <w:tc>
          <w:tcPr>
            <w:tcW w:w="915" w:type="dxa"/>
            <w:tcBorders>
              <w:top w:val="single" w:color="000000" w:sz="4" w:space="0"/>
              <w:left w:val="single" w:color="auto" w:sz="4" w:space="0"/>
              <w:bottom w:val="single" w:color="000000" w:sz="4" w:space="0"/>
              <w:right w:val="single" w:color="000000" w:sz="4" w:space="0"/>
            </w:tcBorders>
          </w:tcPr>
          <w:p w14:paraId="1F85BEFA">
            <w:pPr>
              <w:autoSpaceDE w:val="0"/>
              <w:autoSpaceDN w:val="0"/>
              <w:adjustRightInd w:val="0"/>
              <w:snapToGrid w:val="0"/>
              <w:spacing w:line="360" w:lineRule="auto"/>
              <w:ind w:firstLine="480" w:firstLineChars="200"/>
              <w:jc w:val="left"/>
              <w:rPr>
                <w:rFonts w:hint="eastAsia" w:ascii="仿宋" w:hAnsi="仿宋" w:eastAsia="仿宋" w:cs="仿宋"/>
                <w:snapToGrid w:val="0"/>
                <w:color w:val="auto"/>
                <w:kern w:val="0"/>
                <w:sz w:val="24"/>
                <w:highlight w:val="none"/>
              </w:rPr>
            </w:pPr>
          </w:p>
        </w:tc>
        <w:tc>
          <w:tcPr>
            <w:tcW w:w="1155" w:type="dxa"/>
            <w:tcBorders>
              <w:top w:val="single" w:color="000000" w:sz="4" w:space="0"/>
              <w:left w:val="single" w:color="000000" w:sz="4" w:space="0"/>
              <w:bottom w:val="single" w:color="000000" w:sz="4" w:space="0"/>
              <w:right w:val="single" w:color="000000" w:sz="4" w:space="0"/>
            </w:tcBorders>
          </w:tcPr>
          <w:p w14:paraId="68FC4F8A">
            <w:pPr>
              <w:autoSpaceDE w:val="0"/>
              <w:autoSpaceDN w:val="0"/>
              <w:adjustRightInd w:val="0"/>
              <w:snapToGrid w:val="0"/>
              <w:spacing w:line="360" w:lineRule="auto"/>
              <w:ind w:firstLine="480" w:firstLineChars="200"/>
              <w:jc w:val="left"/>
              <w:rPr>
                <w:rFonts w:hint="eastAsia" w:ascii="仿宋" w:hAnsi="仿宋" w:eastAsia="仿宋" w:cs="仿宋"/>
                <w:snapToGrid w:val="0"/>
                <w:color w:val="auto"/>
                <w:kern w:val="0"/>
                <w:sz w:val="24"/>
                <w:highlight w:val="none"/>
              </w:rPr>
            </w:pPr>
          </w:p>
        </w:tc>
      </w:tr>
      <w:tr w14:paraId="17F5A377">
        <w:tblPrEx>
          <w:tblCellMar>
            <w:top w:w="0" w:type="dxa"/>
            <w:left w:w="0" w:type="dxa"/>
            <w:bottom w:w="0" w:type="dxa"/>
            <w:right w:w="0" w:type="dxa"/>
          </w:tblCellMar>
        </w:tblPrEx>
        <w:trPr>
          <w:trHeight w:val="510" w:hRule="exact"/>
        </w:trPr>
        <w:tc>
          <w:tcPr>
            <w:tcW w:w="602" w:type="dxa"/>
            <w:tcBorders>
              <w:top w:val="single" w:color="000000" w:sz="4" w:space="0"/>
              <w:left w:val="single" w:color="000000" w:sz="4" w:space="0"/>
              <w:bottom w:val="single" w:color="000000" w:sz="4" w:space="0"/>
              <w:right w:val="single" w:color="000000" w:sz="4" w:space="0"/>
            </w:tcBorders>
          </w:tcPr>
          <w:p w14:paraId="18E510F4">
            <w:pPr>
              <w:autoSpaceDE w:val="0"/>
              <w:autoSpaceDN w:val="0"/>
              <w:adjustRightInd w:val="0"/>
              <w:snapToGrid w:val="0"/>
              <w:spacing w:line="360" w:lineRule="auto"/>
              <w:ind w:firstLine="480" w:firstLineChars="200"/>
              <w:jc w:val="left"/>
              <w:rPr>
                <w:rFonts w:hint="eastAsia" w:ascii="仿宋" w:hAnsi="仿宋" w:eastAsia="仿宋" w:cs="仿宋"/>
                <w:snapToGrid w:val="0"/>
                <w:color w:val="auto"/>
                <w:kern w:val="0"/>
                <w:sz w:val="24"/>
                <w:highlight w:val="none"/>
              </w:rPr>
            </w:pPr>
          </w:p>
        </w:tc>
        <w:tc>
          <w:tcPr>
            <w:tcW w:w="2441" w:type="dxa"/>
            <w:tcBorders>
              <w:top w:val="single" w:color="000000" w:sz="4" w:space="0"/>
              <w:left w:val="single" w:color="000000" w:sz="4" w:space="0"/>
              <w:bottom w:val="single" w:color="000000" w:sz="4" w:space="0"/>
              <w:right w:val="single" w:color="000000" w:sz="4" w:space="0"/>
            </w:tcBorders>
          </w:tcPr>
          <w:p w14:paraId="26C831A4">
            <w:pPr>
              <w:autoSpaceDE w:val="0"/>
              <w:autoSpaceDN w:val="0"/>
              <w:adjustRightInd w:val="0"/>
              <w:snapToGrid w:val="0"/>
              <w:spacing w:line="360" w:lineRule="auto"/>
              <w:ind w:firstLine="480" w:firstLineChars="200"/>
              <w:jc w:val="left"/>
              <w:rPr>
                <w:rFonts w:hint="eastAsia" w:ascii="仿宋" w:hAnsi="仿宋" w:eastAsia="仿宋" w:cs="仿宋"/>
                <w:snapToGrid w:val="0"/>
                <w:color w:val="auto"/>
                <w:kern w:val="0"/>
                <w:sz w:val="24"/>
                <w:highlight w:val="none"/>
              </w:rPr>
            </w:pPr>
          </w:p>
        </w:tc>
        <w:tc>
          <w:tcPr>
            <w:tcW w:w="735" w:type="dxa"/>
            <w:tcBorders>
              <w:top w:val="single" w:color="000000" w:sz="4" w:space="0"/>
              <w:left w:val="single" w:color="000000" w:sz="4" w:space="0"/>
              <w:bottom w:val="single" w:color="000000" w:sz="4" w:space="0"/>
              <w:right w:val="single" w:color="000000" w:sz="4" w:space="0"/>
            </w:tcBorders>
          </w:tcPr>
          <w:p w14:paraId="6925219D">
            <w:pPr>
              <w:autoSpaceDE w:val="0"/>
              <w:autoSpaceDN w:val="0"/>
              <w:adjustRightInd w:val="0"/>
              <w:snapToGrid w:val="0"/>
              <w:spacing w:line="360" w:lineRule="auto"/>
              <w:ind w:firstLine="480" w:firstLineChars="200"/>
              <w:jc w:val="left"/>
              <w:rPr>
                <w:rFonts w:hint="eastAsia" w:ascii="仿宋" w:hAnsi="仿宋" w:eastAsia="仿宋" w:cs="仿宋"/>
                <w:snapToGrid w:val="0"/>
                <w:color w:val="auto"/>
                <w:kern w:val="0"/>
                <w:sz w:val="24"/>
                <w:highlight w:val="none"/>
              </w:rPr>
            </w:pPr>
          </w:p>
        </w:tc>
        <w:tc>
          <w:tcPr>
            <w:tcW w:w="1100" w:type="dxa"/>
            <w:tcBorders>
              <w:top w:val="single" w:color="000000" w:sz="4" w:space="0"/>
              <w:left w:val="single" w:color="000000" w:sz="4" w:space="0"/>
              <w:bottom w:val="single" w:color="000000" w:sz="4" w:space="0"/>
              <w:right w:val="single" w:color="000000" w:sz="4" w:space="0"/>
            </w:tcBorders>
          </w:tcPr>
          <w:p w14:paraId="50877759">
            <w:pPr>
              <w:autoSpaceDE w:val="0"/>
              <w:autoSpaceDN w:val="0"/>
              <w:adjustRightInd w:val="0"/>
              <w:snapToGrid w:val="0"/>
              <w:spacing w:line="360" w:lineRule="auto"/>
              <w:ind w:firstLine="480" w:firstLineChars="200"/>
              <w:jc w:val="left"/>
              <w:rPr>
                <w:rFonts w:hint="eastAsia" w:ascii="仿宋" w:hAnsi="仿宋" w:eastAsia="仿宋" w:cs="仿宋"/>
                <w:snapToGrid w:val="0"/>
                <w:color w:val="auto"/>
                <w:kern w:val="0"/>
                <w:sz w:val="24"/>
                <w:highlight w:val="none"/>
              </w:rPr>
            </w:pPr>
          </w:p>
        </w:tc>
        <w:tc>
          <w:tcPr>
            <w:tcW w:w="810" w:type="dxa"/>
            <w:tcBorders>
              <w:top w:val="single" w:color="000000" w:sz="4" w:space="0"/>
              <w:left w:val="single" w:color="000000" w:sz="4" w:space="0"/>
              <w:bottom w:val="single" w:color="000000" w:sz="4" w:space="0"/>
              <w:right w:val="single" w:color="000000" w:sz="4" w:space="0"/>
            </w:tcBorders>
          </w:tcPr>
          <w:p w14:paraId="77FA8013">
            <w:pPr>
              <w:autoSpaceDE w:val="0"/>
              <w:autoSpaceDN w:val="0"/>
              <w:adjustRightInd w:val="0"/>
              <w:snapToGrid w:val="0"/>
              <w:spacing w:line="360" w:lineRule="auto"/>
              <w:ind w:firstLine="480" w:firstLineChars="200"/>
              <w:jc w:val="left"/>
              <w:rPr>
                <w:rFonts w:hint="eastAsia" w:ascii="仿宋" w:hAnsi="仿宋" w:eastAsia="仿宋" w:cs="仿宋"/>
                <w:snapToGrid w:val="0"/>
                <w:color w:val="auto"/>
                <w:kern w:val="0"/>
                <w:sz w:val="24"/>
                <w:highlight w:val="none"/>
              </w:rPr>
            </w:pPr>
          </w:p>
        </w:tc>
        <w:tc>
          <w:tcPr>
            <w:tcW w:w="840" w:type="dxa"/>
            <w:tcBorders>
              <w:top w:val="single" w:color="000000" w:sz="4" w:space="0"/>
              <w:left w:val="single" w:color="000000" w:sz="4" w:space="0"/>
              <w:bottom w:val="single" w:color="000000" w:sz="4" w:space="0"/>
              <w:right w:val="single" w:color="000000" w:sz="4" w:space="0"/>
            </w:tcBorders>
          </w:tcPr>
          <w:p w14:paraId="60104493">
            <w:pPr>
              <w:autoSpaceDE w:val="0"/>
              <w:autoSpaceDN w:val="0"/>
              <w:adjustRightInd w:val="0"/>
              <w:snapToGrid w:val="0"/>
              <w:spacing w:line="360" w:lineRule="auto"/>
              <w:ind w:firstLine="480" w:firstLineChars="200"/>
              <w:jc w:val="left"/>
              <w:rPr>
                <w:rFonts w:hint="eastAsia" w:ascii="仿宋" w:hAnsi="仿宋" w:eastAsia="仿宋" w:cs="仿宋"/>
                <w:snapToGrid w:val="0"/>
                <w:color w:val="auto"/>
                <w:kern w:val="0"/>
                <w:sz w:val="24"/>
                <w:highlight w:val="none"/>
              </w:rPr>
            </w:pPr>
          </w:p>
        </w:tc>
        <w:tc>
          <w:tcPr>
            <w:tcW w:w="915" w:type="dxa"/>
            <w:tcBorders>
              <w:top w:val="single" w:color="000000" w:sz="4" w:space="0"/>
              <w:left w:val="single" w:color="auto" w:sz="4" w:space="0"/>
              <w:bottom w:val="single" w:color="000000" w:sz="4" w:space="0"/>
              <w:right w:val="single" w:color="000000" w:sz="4" w:space="0"/>
            </w:tcBorders>
          </w:tcPr>
          <w:p w14:paraId="6B2395FD">
            <w:pPr>
              <w:autoSpaceDE w:val="0"/>
              <w:autoSpaceDN w:val="0"/>
              <w:adjustRightInd w:val="0"/>
              <w:snapToGrid w:val="0"/>
              <w:spacing w:line="360" w:lineRule="auto"/>
              <w:ind w:firstLine="480" w:firstLineChars="200"/>
              <w:jc w:val="left"/>
              <w:rPr>
                <w:rFonts w:hint="eastAsia" w:ascii="仿宋" w:hAnsi="仿宋" w:eastAsia="仿宋" w:cs="仿宋"/>
                <w:snapToGrid w:val="0"/>
                <w:color w:val="auto"/>
                <w:kern w:val="0"/>
                <w:sz w:val="24"/>
                <w:highlight w:val="none"/>
              </w:rPr>
            </w:pPr>
          </w:p>
        </w:tc>
        <w:tc>
          <w:tcPr>
            <w:tcW w:w="1155" w:type="dxa"/>
            <w:tcBorders>
              <w:top w:val="single" w:color="000000" w:sz="4" w:space="0"/>
              <w:left w:val="single" w:color="000000" w:sz="4" w:space="0"/>
              <w:bottom w:val="single" w:color="000000" w:sz="4" w:space="0"/>
              <w:right w:val="single" w:color="000000" w:sz="4" w:space="0"/>
            </w:tcBorders>
          </w:tcPr>
          <w:p w14:paraId="4F3DFBE7">
            <w:pPr>
              <w:autoSpaceDE w:val="0"/>
              <w:autoSpaceDN w:val="0"/>
              <w:adjustRightInd w:val="0"/>
              <w:snapToGrid w:val="0"/>
              <w:spacing w:line="360" w:lineRule="auto"/>
              <w:ind w:firstLine="480" w:firstLineChars="200"/>
              <w:jc w:val="left"/>
              <w:rPr>
                <w:rFonts w:hint="eastAsia" w:ascii="仿宋" w:hAnsi="仿宋" w:eastAsia="仿宋" w:cs="仿宋"/>
                <w:snapToGrid w:val="0"/>
                <w:color w:val="auto"/>
                <w:kern w:val="0"/>
                <w:sz w:val="24"/>
                <w:highlight w:val="none"/>
              </w:rPr>
            </w:pPr>
          </w:p>
        </w:tc>
      </w:tr>
      <w:tr w14:paraId="0022CC7D">
        <w:tblPrEx>
          <w:tblCellMar>
            <w:top w:w="0" w:type="dxa"/>
            <w:left w:w="0" w:type="dxa"/>
            <w:bottom w:w="0" w:type="dxa"/>
            <w:right w:w="0" w:type="dxa"/>
          </w:tblCellMar>
        </w:tblPrEx>
        <w:trPr>
          <w:trHeight w:val="510" w:hRule="exact"/>
        </w:trPr>
        <w:tc>
          <w:tcPr>
            <w:tcW w:w="602" w:type="dxa"/>
            <w:tcBorders>
              <w:top w:val="single" w:color="000000" w:sz="4" w:space="0"/>
              <w:left w:val="single" w:color="000000" w:sz="4" w:space="0"/>
              <w:bottom w:val="single" w:color="000000" w:sz="4" w:space="0"/>
              <w:right w:val="single" w:color="000000" w:sz="4" w:space="0"/>
            </w:tcBorders>
          </w:tcPr>
          <w:p w14:paraId="458CB7D7">
            <w:pPr>
              <w:autoSpaceDE w:val="0"/>
              <w:autoSpaceDN w:val="0"/>
              <w:adjustRightInd w:val="0"/>
              <w:snapToGrid w:val="0"/>
              <w:spacing w:line="360" w:lineRule="auto"/>
              <w:ind w:firstLine="480" w:firstLineChars="200"/>
              <w:jc w:val="left"/>
              <w:rPr>
                <w:rFonts w:hint="eastAsia" w:ascii="仿宋" w:hAnsi="仿宋" w:eastAsia="仿宋" w:cs="仿宋"/>
                <w:snapToGrid w:val="0"/>
                <w:color w:val="auto"/>
                <w:kern w:val="0"/>
                <w:sz w:val="24"/>
                <w:highlight w:val="none"/>
              </w:rPr>
            </w:pPr>
          </w:p>
        </w:tc>
        <w:tc>
          <w:tcPr>
            <w:tcW w:w="2441" w:type="dxa"/>
            <w:tcBorders>
              <w:top w:val="single" w:color="000000" w:sz="4" w:space="0"/>
              <w:left w:val="single" w:color="000000" w:sz="4" w:space="0"/>
              <w:bottom w:val="single" w:color="000000" w:sz="4" w:space="0"/>
              <w:right w:val="single" w:color="000000" w:sz="4" w:space="0"/>
            </w:tcBorders>
          </w:tcPr>
          <w:p w14:paraId="42758201">
            <w:pPr>
              <w:autoSpaceDE w:val="0"/>
              <w:autoSpaceDN w:val="0"/>
              <w:adjustRightInd w:val="0"/>
              <w:snapToGrid w:val="0"/>
              <w:spacing w:line="360" w:lineRule="auto"/>
              <w:ind w:firstLine="480" w:firstLineChars="200"/>
              <w:jc w:val="left"/>
              <w:rPr>
                <w:rFonts w:hint="eastAsia" w:ascii="仿宋" w:hAnsi="仿宋" w:eastAsia="仿宋" w:cs="仿宋"/>
                <w:snapToGrid w:val="0"/>
                <w:color w:val="auto"/>
                <w:kern w:val="0"/>
                <w:sz w:val="24"/>
                <w:highlight w:val="none"/>
              </w:rPr>
            </w:pPr>
          </w:p>
        </w:tc>
        <w:tc>
          <w:tcPr>
            <w:tcW w:w="735" w:type="dxa"/>
            <w:tcBorders>
              <w:top w:val="single" w:color="000000" w:sz="4" w:space="0"/>
              <w:left w:val="single" w:color="000000" w:sz="4" w:space="0"/>
              <w:bottom w:val="single" w:color="000000" w:sz="4" w:space="0"/>
              <w:right w:val="single" w:color="000000" w:sz="4" w:space="0"/>
            </w:tcBorders>
          </w:tcPr>
          <w:p w14:paraId="31094478">
            <w:pPr>
              <w:autoSpaceDE w:val="0"/>
              <w:autoSpaceDN w:val="0"/>
              <w:adjustRightInd w:val="0"/>
              <w:snapToGrid w:val="0"/>
              <w:spacing w:line="360" w:lineRule="auto"/>
              <w:ind w:firstLine="480" w:firstLineChars="200"/>
              <w:jc w:val="left"/>
              <w:rPr>
                <w:rFonts w:hint="eastAsia" w:ascii="仿宋" w:hAnsi="仿宋" w:eastAsia="仿宋" w:cs="仿宋"/>
                <w:snapToGrid w:val="0"/>
                <w:color w:val="auto"/>
                <w:kern w:val="0"/>
                <w:sz w:val="24"/>
                <w:highlight w:val="none"/>
              </w:rPr>
            </w:pPr>
          </w:p>
        </w:tc>
        <w:tc>
          <w:tcPr>
            <w:tcW w:w="1100" w:type="dxa"/>
            <w:tcBorders>
              <w:top w:val="single" w:color="000000" w:sz="4" w:space="0"/>
              <w:left w:val="single" w:color="000000" w:sz="4" w:space="0"/>
              <w:bottom w:val="single" w:color="000000" w:sz="4" w:space="0"/>
              <w:right w:val="single" w:color="000000" w:sz="4" w:space="0"/>
            </w:tcBorders>
          </w:tcPr>
          <w:p w14:paraId="4B947CD8">
            <w:pPr>
              <w:autoSpaceDE w:val="0"/>
              <w:autoSpaceDN w:val="0"/>
              <w:adjustRightInd w:val="0"/>
              <w:snapToGrid w:val="0"/>
              <w:spacing w:line="360" w:lineRule="auto"/>
              <w:ind w:firstLine="480" w:firstLineChars="200"/>
              <w:jc w:val="left"/>
              <w:rPr>
                <w:rFonts w:hint="eastAsia" w:ascii="仿宋" w:hAnsi="仿宋" w:eastAsia="仿宋" w:cs="仿宋"/>
                <w:snapToGrid w:val="0"/>
                <w:color w:val="auto"/>
                <w:kern w:val="0"/>
                <w:sz w:val="24"/>
                <w:highlight w:val="none"/>
              </w:rPr>
            </w:pPr>
          </w:p>
        </w:tc>
        <w:tc>
          <w:tcPr>
            <w:tcW w:w="810" w:type="dxa"/>
            <w:tcBorders>
              <w:top w:val="single" w:color="000000" w:sz="4" w:space="0"/>
              <w:left w:val="single" w:color="000000" w:sz="4" w:space="0"/>
              <w:bottom w:val="single" w:color="000000" w:sz="4" w:space="0"/>
              <w:right w:val="single" w:color="000000" w:sz="4" w:space="0"/>
            </w:tcBorders>
          </w:tcPr>
          <w:p w14:paraId="1A864EBA">
            <w:pPr>
              <w:autoSpaceDE w:val="0"/>
              <w:autoSpaceDN w:val="0"/>
              <w:adjustRightInd w:val="0"/>
              <w:snapToGrid w:val="0"/>
              <w:spacing w:line="360" w:lineRule="auto"/>
              <w:ind w:firstLine="480" w:firstLineChars="200"/>
              <w:jc w:val="left"/>
              <w:rPr>
                <w:rFonts w:hint="eastAsia" w:ascii="仿宋" w:hAnsi="仿宋" w:eastAsia="仿宋" w:cs="仿宋"/>
                <w:snapToGrid w:val="0"/>
                <w:color w:val="auto"/>
                <w:kern w:val="0"/>
                <w:sz w:val="24"/>
                <w:highlight w:val="none"/>
              </w:rPr>
            </w:pPr>
          </w:p>
        </w:tc>
        <w:tc>
          <w:tcPr>
            <w:tcW w:w="840" w:type="dxa"/>
            <w:tcBorders>
              <w:top w:val="single" w:color="000000" w:sz="4" w:space="0"/>
              <w:left w:val="single" w:color="000000" w:sz="4" w:space="0"/>
              <w:bottom w:val="single" w:color="000000" w:sz="4" w:space="0"/>
              <w:right w:val="single" w:color="000000" w:sz="4" w:space="0"/>
            </w:tcBorders>
          </w:tcPr>
          <w:p w14:paraId="2D86EA65">
            <w:pPr>
              <w:autoSpaceDE w:val="0"/>
              <w:autoSpaceDN w:val="0"/>
              <w:adjustRightInd w:val="0"/>
              <w:snapToGrid w:val="0"/>
              <w:spacing w:line="360" w:lineRule="auto"/>
              <w:ind w:firstLine="480" w:firstLineChars="200"/>
              <w:jc w:val="left"/>
              <w:rPr>
                <w:rFonts w:hint="eastAsia" w:ascii="仿宋" w:hAnsi="仿宋" w:eastAsia="仿宋" w:cs="仿宋"/>
                <w:snapToGrid w:val="0"/>
                <w:color w:val="auto"/>
                <w:kern w:val="0"/>
                <w:sz w:val="24"/>
                <w:highlight w:val="none"/>
              </w:rPr>
            </w:pPr>
          </w:p>
        </w:tc>
        <w:tc>
          <w:tcPr>
            <w:tcW w:w="915" w:type="dxa"/>
            <w:tcBorders>
              <w:top w:val="single" w:color="000000" w:sz="4" w:space="0"/>
              <w:left w:val="single" w:color="auto" w:sz="4" w:space="0"/>
              <w:bottom w:val="single" w:color="000000" w:sz="4" w:space="0"/>
              <w:right w:val="single" w:color="000000" w:sz="4" w:space="0"/>
            </w:tcBorders>
          </w:tcPr>
          <w:p w14:paraId="2BDB00B4">
            <w:pPr>
              <w:autoSpaceDE w:val="0"/>
              <w:autoSpaceDN w:val="0"/>
              <w:adjustRightInd w:val="0"/>
              <w:snapToGrid w:val="0"/>
              <w:spacing w:line="360" w:lineRule="auto"/>
              <w:ind w:firstLine="480" w:firstLineChars="200"/>
              <w:jc w:val="left"/>
              <w:rPr>
                <w:rFonts w:hint="eastAsia" w:ascii="仿宋" w:hAnsi="仿宋" w:eastAsia="仿宋" w:cs="仿宋"/>
                <w:snapToGrid w:val="0"/>
                <w:color w:val="auto"/>
                <w:kern w:val="0"/>
                <w:sz w:val="24"/>
                <w:highlight w:val="none"/>
              </w:rPr>
            </w:pPr>
          </w:p>
        </w:tc>
        <w:tc>
          <w:tcPr>
            <w:tcW w:w="1155" w:type="dxa"/>
            <w:tcBorders>
              <w:top w:val="single" w:color="000000" w:sz="4" w:space="0"/>
              <w:left w:val="single" w:color="000000" w:sz="4" w:space="0"/>
              <w:bottom w:val="single" w:color="000000" w:sz="4" w:space="0"/>
              <w:right w:val="single" w:color="000000" w:sz="4" w:space="0"/>
            </w:tcBorders>
          </w:tcPr>
          <w:p w14:paraId="0BB6D555">
            <w:pPr>
              <w:autoSpaceDE w:val="0"/>
              <w:autoSpaceDN w:val="0"/>
              <w:adjustRightInd w:val="0"/>
              <w:snapToGrid w:val="0"/>
              <w:spacing w:line="360" w:lineRule="auto"/>
              <w:ind w:firstLine="480" w:firstLineChars="200"/>
              <w:jc w:val="left"/>
              <w:rPr>
                <w:rFonts w:hint="eastAsia" w:ascii="仿宋" w:hAnsi="仿宋" w:eastAsia="仿宋" w:cs="仿宋"/>
                <w:snapToGrid w:val="0"/>
                <w:color w:val="auto"/>
                <w:kern w:val="0"/>
                <w:sz w:val="24"/>
                <w:highlight w:val="none"/>
              </w:rPr>
            </w:pPr>
          </w:p>
        </w:tc>
      </w:tr>
      <w:tr w14:paraId="060B1B96">
        <w:tblPrEx>
          <w:tblCellMar>
            <w:top w:w="0" w:type="dxa"/>
            <w:left w:w="0" w:type="dxa"/>
            <w:bottom w:w="0" w:type="dxa"/>
            <w:right w:w="0" w:type="dxa"/>
          </w:tblCellMar>
        </w:tblPrEx>
        <w:trPr>
          <w:trHeight w:val="510" w:hRule="exact"/>
        </w:trPr>
        <w:tc>
          <w:tcPr>
            <w:tcW w:w="3778" w:type="dxa"/>
            <w:gridSpan w:val="3"/>
            <w:tcBorders>
              <w:top w:val="single" w:color="000000" w:sz="4" w:space="0"/>
              <w:left w:val="single" w:color="000000" w:sz="4" w:space="0"/>
              <w:bottom w:val="single" w:color="000000" w:sz="4" w:space="0"/>
              <w:right w:val="single" w:color="000000" w:sz="4" w:space="0"/>
            </w:tcBorders>
          </w:tcPr>
          <w:p w14:paraId="520B8A23">
            <w:pPr>
              <w:autoSpaceDE w:val="0"/>
              <w:autoSpaceDN w:val="0"/>
              <w:adjustRightInd w:val="0"/>
              <w:snapToGrid w:val="0"/>
              <w:spacing w:line="360" w:lineRule="auto"/>
              <w:ind w:firstLine="480" w:firstLineChars="200"/>
              <w:jc w:val="left"/>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最高限价（元）</w:t>
            </w:r>
          </w:p>
        </w:tc>
        <w:tc>
          <w:tcPr>
            <w:tcW w:w="4820" w:type="dxa"/>
            <w:gridSpan w:val="5"/>
            <w:tcBorders>
              <w:top w:val="single" w:color="000000" w:sz="4" w:space="0"/>
              <w:left w:val="single" w:color="000000" w:sz="4" w:space="0"/>
              <w:bottom w:val="single" w:color="000000" w:sz="4" w:space="0"/>
              <w:right w:val="single" w:color="000000" w:sz="4" w:space="0"/>
            </w:tcBorders>
          </w:tcPr>
          <w:p w14:paraId="1FBF396F">
            <w:pPr>
              <w:autoSpaceDE w:val="0"/>
              <w:autoSpaceDN w:val="0"/>
              <w:adjustRightInd w:val="0"/>
              <w:snapToGrid w:val="0"/>
              <w:spacing w:line="360" w:lineRule="auto"/>
              <w:ind w:firstLine="480" w:firstLineChars="200"/>
              <w:jc w:val="left"/>
              <w:rPr>
                <w:rFonts w:hint="eastAsia" w:ascii="仿宋" w:hAnsi="仿宋" w:eastAsia="仿宋" w:cs="仿宋"/>
                <w:snapToGrid w:val="0"/>
                <w:color w:val="auto"/>
                <w:kern w:val="0"/>
                <w:sz w:val="24"/>
                <w:highlight w:val="none"/>
              </w:rPr>
            </w:pPr>
          </w:p>
        </w:tc>
      </w:tr>
    </w:tbl>
    <w:p w14:paraId="732E0F2C">
      <w:pPr>
        <w:tabs>
          <w:tab w:val="left" w:pos="2740"/>
          <w:tab w:val="left" w:pos="4940"/>
          <w:tab w:val="left" w:pos="7140"/>
        </w:tabs>
        <w:autoSpaceDE w:val="0"/>
        <w:autoSpaceDN w:val="0"/>
        <w:adjustRightInd w:val="0"/>
        <w:snapToGrid w:val="0"/>
        <w:spacing w:line="360" w:lineRule="auto"/>
        <w:ind w:firstLine="480" w:firstLineChars="200"/>
        <w:jc w:val="left"/>
        <w:rPr>
          <w:rFonts w:hint="eastAsia" w:ascii="仿宋" w:hAnsi="仿宋" w:eastAsia="仿宋" w:cs="仿宋"/>
          <w:snapToGrid w:val="0"/>
          <w:color w:val="auto"/>
          <w:kern w:val="0"/>
          <w:sz w:val="24"/>
          <w:highlight w:val="none"/>
        </w:rPr>
      </w:pPr>
    </w:p>
    <w:p w14:paraId="49090857">
      <w:pPr>
        <w:tabs>
          <w:tab w:val="left" w:pos="2740"/>
          <w:tab w:val="left" w:pos="5355"/>
          <w:tab w:val="left" w:pos="8085"/>
        </w:tabs>
        <w:autoSpaceDE w:val="0"/>
        <w:autoSpaceDN w:val="0"/>
        <w:adjustRightInd w:val="0"/>
        <w:snapToGrid w:val="0"/>
        <w:spacing w:line="360" w:lineRule="auto"/>
        <w:ind w:firstLine="480" w:firstLineChars="200"/>
        <w:rPr>
          <w:rFonts w:hint="eastAsia" w:ascii="仿宋" w:hAnsi="仿宋" w:eastAsia="仿宋" w:cs="仿宋"/>
          <w:snapToGrid w:val="0"/>
          <w:color w:val="auto"/>
          <w:kern w:val="0"/>
          <w:sz w:val="24"/>
          <w:highlight w:val="none"/>
          <w:u w:val="single"/>
        </w:rPr>
      </w:pPr>
      <w:r>
        <w:rPr>
          <w:rFonts w:hint="eastAsia" w:ascii="仿宋" w:hAnsi="仿宋" w:eastAsia="仿宋" w:cs="仿宋"/>
          <w:snapToGrid w:val="0"/>
          <w:color w:val="auto"/>
          <w:kern w:val="0"/>
          <w:sz w:val="24"/>
          <w:highlight w:val="none"/>
        </w:rPr>
        <w:t>招标人代表：</w:t>
      </w:r>
      <w:r>
        <w:rPr>
          <w:rFonts w:hint="eastAsia" w:ascii="仿宋" w:hAnsi="仿宋" w:eastAsia="仿宋" w:cs="仿宋"/>
          <w:snapToGrid w:val="0"/>
          <w:color w:val="auto"/>
          <w:kern w:val="0"/>
          <w:sz w:val="24"/>
          <w:highlight w:val="none"/>
          <w:u w:val="single"/>
        </w:rPr>
        <w:tab/>
      </w:r>
      <w:r>
        <w:rPr>
          <w:rFonts w:hint="eastAsia" w:ascii="仿宋" w:hAnsi="仿宋" w:eastAsia="仿宋" w:cs="仿宋"/>
          <w:snapToGrid w:val="0"/>
          <w:color w:val="auto"/>
          <w:kern w:val="0"/>
          <w:sz w:val="24"/>
          <w:highlight w:val="none"/>
        </w:rPr>
        <w:t>记录人：</w:t>
      </w:r>
      <w:r>
        <w:rPr>
          <w:rFonts w:hint="eastAsia" w:ascii="仿宋" w:hAnsi="仿宋" w:eastAsia="仿宋" w:cs="仿宋"/>
          <w:snapToGrid w:val="0"/>
          <w:color w:val="auto"/>
          <w:kern w:val="0"/>
          <w:sz w:val="24"/>
          <w:highlight w:val="none"/>
          <w:u w:val="single"/>
        </w:rPr>
        <w:tab/>
      </w:r>
      <w:r>
        <w:rPr>
          <w:rFonts w:hint="eastAsia" w:ascii="仿宋" w:hAnsi="仿宋" w:eastAsia="仿宋" w:cs="仿宋"/>
          <w:snapToGrid w:val="0"/>
          <w:color w:val="auto"/>
          <w:kern w:val="0"/>
          <w:sz w:val="24"/>
          <w:highlight w:val="none"/>
        </w:rPr>
        <w:t>监标人：</w:t>
      </w:r>
      <w:r>
        <w:rPr>
          <w:rFonts w:hint="eastAsia" w:ascii="仿宋" w:hAnsi="仿宋" w:eastAsia="仿宋" w:cs="仿宋"/>
          <w:snapToGrid w:val="0"/>
          <w:color w:val="auto"/>
          <w:kern w:val="0"/>
          <w:sz w:val="24"/>
          <w:highlight w:val="none"/>
          <w:u w:val="single"/>
        </w:rPr>
        <w:tab/>
      </w:r>
    </w:p>
    <w:p w14:paraId="7A91C718">
      <w:pPr>
        <w:tabs>
          <w:tab w:val="left" w:pos="2740"/>
          <w:tab w:val="left" w:pos="4940"/>
          <w:tab w:val="left" w:pos="6930"/>
        </w:tabs>
        <w:autoSpaceDE w:val="0"/>
        <w:autoSpaceDN w:val="0"/>
        <w:adjustRightInd w:val="0"/>
        <w:snapToGrid w:val="0"/>
        <w:spacing w:line="360" w:lineRule="auto"/>
        <w:ind w:firstLine="480" w:firstLineChars="200"/>
        <w:jc w:val="left"/>
        <w:rPr>
          <w:rFonts w:hint="eastAsia" w:ascii="仿宋" w:hAnsi="仿宋" w:eastAsia="仿宋" w:cs="仿宋"/>
          <w:snapToGrid w:val="0"/>
          <w:color w:val="auto"/>
          <w:kern w:val="0"/>
          <w:sz w:val="24"/>
          <w:highlight w:val="none"/>
        </w:rPr>
      </w:pPr>
    </w:p>
    <w:p w14:paraId="458FED96">
      <w:pPr>
        <w:wordWrap w:val="0"/>
        <w:autoSpaceDE w:val="0"/>
        <w:autoSpaceDN w:val="0"/>
        <w:adjustRightInd w:val="0"/>
        <w:snapToGrid w:val="0"/>
        <w:spacing w:line="360" w:lineRule="auto"/>
        <w:ind w:right="480" w:firstLine="6960" w:firstLineChars="290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年    月    日</w:t>
      </w:r>
    </w:p>
    <w:p w14:paraId="3D9A75B9">
      <w:pPr>
        <w:autoSpaceDE w:val="0"/>
        <w:autoSpaceDN w:val="0"/>
        <w:adjustRightInd w:val="0"/>
        <w:snapToGrid w:val="0"/>
        <w:spacing w:line="360" w:lineRule="auto"/>
        <w:jc w:val="left"/>
        <w:rPr>
          <w:rFonts w:hint="eastAsia" w:ascii="仿宋" w:hAnsi="仿宋" w:eastAsia="仿宋" w:cs="仿宋"/>
          <w:b/>
          <w:snapToGrid w:val="0"/>
          <w:color w:val="auto"/>
          <w:kern w:val="0"/>
          <w:sz w:val="24"/>
          <w:highlight w:val="none"/>
        </w:rPr>
        <w:sectPr>
          <w:headerReference r:id="rId8" w:type="default"/>
          <w:footerReference r:id="rId9" w:type="default"/>
          <w:footerReference r:id="rId10" w:type="even"/>
          <w:pgSz w:w="11906" w:h="16838"/>
          <w:pgMar w:top="1418" w:right="1361" w:bottom="1418" w:left="1418" w:header="851" w:footer="992" w:gutter="0"/>
          <w:cols w:space="720" w:num="1"/>
          <w:docGrid w:linePitch="312" w:charSpace="0"/>
        </w:sectPr>
      </w:pPr>
      <w:bookmarkStart w:id="1109" w:name="招标文件03章02评标办法综合评估法"/>
      <w:bookmarkEnd w:id="1109"/>
      <w:bookmarkStart w:id="1110" w:name="招标文件03章02评标办法综合评估法00"/>
      <w:bookmarkEnd w:id="1110"/>
      <w:bookmarkStart w:id="1111" w:name="_Toc287607810"/>
    </w:p>
    <w:bookmarkEnd w:id="1111"/>
    <w:p w14:paraId="69A31910">
      <w:pPr>
        <w:pStyle w:val="2"/>
        <w:spacing w:before="0" w:after="0" w:line="440" w:lineRule="exact"/>
        <w:jc w:val="center"/>
        <w:rPr>
          <w:rFonts w:hint="eastAsia" w:ascii="仿宋" w:hAnsi="仿宋" w:eastAsia="仿宋" w:cs="仿宋"/>
          <w:snapToGrid w:val="0"/>
          <w:color w:val="auto"/>
          <w:kern w:val="0"/>
          <w:sz w:val="32"/>
          <w:szCs w:val="32"/>
          <w:highlight w:val="none"/>
        </w:rPr>
      </w:pPr>
      <w:bookmarkStart w:id="1112" w:name="_Toc12709"/>
      <w:r>
        <w:rPr>
          <w:rFonts w:hint="eastAsia" w:ascii="仿宋" w:hAnsi="仿宋" w:eastAsia="仿宋" w:cs="仿宋"/>
          <w:snapToGrid w:val="0"/>
          <w:color w:val="auto"/>
          <w:kern w:val="0"/>
          <w:sz w:val="32"/>
          <w:szCs w:val="32"/>
          <w:highlight w:val="none"/>
        </w:rPr>
        <w:t xml:space="preserve"> </w:t>
      </w:r>
      <w:bookmarkStart w:id="1113" w:name="_Toc17200"/>
      <w:r>
        <w:rPr>
          <w:rFonts w:hint="eastAsia" w:ascii="仿宋" w:hAnsi="仿宋" w:eastAsia="仿宋" w:cs="仿宋"/>
          <w:snapToGrid w:val="0"/>
          <w:color w:val="auto"/>
          <w:kern w:val="0"/>
          <w:sz w:val="32"/>
          <w:szCs w:val="32"/>
          <w:highlight w:val="none"/>
        </w:rPr>
        <w:t>第三章 评标办法（综合评估法）</w:t>
      </w:r>
      <w:bookmarkEnd w:id="1113"/>
    </w:p>
    <w:p w14:paraId="3105795E">
      <w:pPr>
        <w:pStyle w:val="6"/>
        <w:rPr>
          <w:rFonts w:hint="eastAsia" w:ascii="仿宋" w:hAnsi="仿宋" w:eastAsia="仿宋" w:cs="仿宋"/>
          <w:color w:val="auto"/>
          <w:highlight w:val="none"/>
        </w:rPr>
      </w:pPr>
    </w:p>
    <w:p w14:paraId="3A0DDCF9">
      <w:pPr>
        <w:autoSpaceDE w:val="0"/>
        <w:autoSpaceDN w:val="0"/>
        <w:spacing w:line="400" w:lineRule="exact"/>
        <w:rPr>
          <w:rFonts w:hint="eastAsia" w:ascii="仿宋" w:hAnsi="仿宋" w:eastAsia="仿宋" w:cs="仿宋"/>
          <w:b/>
          <w:bCs/>
          <w:color w:val="auto"/>
          <w:sz w:val="22"/>
          <w:szCs w:val="21"/>
          <w:highlight w:val="none"/>
        </w:rPr>
      </w:pPr>
      <w:bookmarkStart w:id="1114" w:name="_Toc200513198"/>
      <w:bookmarkStart w:id="1115" w:name="_Toc224103384"/>
      <w:bookmarkStart w:id="1116" w:name="_Toc277082618"/>
      <w:bookmarkStart w:id="1117" w:name="_Toc287620751"/>
      <w:bookmarkStart w:id="1118" w:name="_Toc287607812"/>
      <w:r>
        <w:rPr>
          <w:rFonts w:hint="eastAsia" w:ascii="仿宋" w:hAnsi="仿宋" w:eastAsia="仿宋" w:cs="仿宋"/>
          <w:b/>
          <w:bCs/>
          <w:color w:val="auto"/>
          <w:sz w:val="22"/>
          <w:szCs w:val="21"/>
          <w:highlight w:val="none"/>
        </w:rPr>
        <w:t>评标办法前附表(前附表与正文不一致的以前附表为准)</w:t>
      </w:r>
    </w:p>
    <w:tbl>
      <w:tblPr>
        <w:tblStyle w:val="17"/>
        <w:tblW w:w="96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9"/>
        <w:gridCol w:w="1245"/>
        <w:gridCol w:w="2496"/>
        <w:gridCol w:w="4869"/>
      </w:tblGrid>
      <w:tr w14:paraId="2DB40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tblHeader/>
          <w:jc w:val="center"/>
        </w:trPr>
        <w:tc>
          <w:tcPr>
            <w:tcW w:w="2304" w:type="dxa"/>
            <w:gridSpan w:val="2"/>
            <w:vAlign w:val="center"/>
          </w:tcPr>
          <w:p w14:paraId="40E2FD6C">
            <w:pPr>
              <w:autoSpaceDE w:val="0"/>
              <w:autoSpaceDN w:val="0"/>
              <w:spacing w:line="400" w:lineRule="exact"/>
              <w:jc w:val="center"/>
              <w:rPr>
                <w:rFonts w:hint="eastAsia" w:ascii="仿宋" w:hAnsi="仿宋" w:eastAsia="仿宋" w:cs="仿宋"/>
                <w:b/>
                <w:bCs/>
                <w:color w:val="auto"/>
                <w:sz w:val="22"/>
                <w:szCs w:val="21"/>
                <w:highlight w:val="none"/>
              </w:rPr>
            </w:pPr>
            <w:r>
              <w:rPr>
                <w:rFonts w:hint="eastAsia" w:ascii="仿宋" w:hAnsi="仿宋" w:eastAsia="仿宋" w:cs="仿宋"/>
                <w:b/>
                <w:bCs/>
                <w:color w:val="auto"/>
                <w:sz w:val="22"/>
                <w:szCs w:val="21"/>
                <w:highlight w:val="none"/>
              </w:rPr>
              <w:t>条款号</w:t>
            </w:r>
          </w:p>
        </w:tc>
        <w:tc>
          <w:tcPr>
            <w:tcW w:w="2496" w:type="dxa"/>
            <w:vAlign w:val="center"/>
          </w:tcPr>
          <w:p w14:paraId="5F20DE37">
            <w:pPr>
              <w:autoSpaceDE w:val="0"/>
              <w:autoSpaceDN w:val="0"/>
              <w:spacing w:line="400" w:lineRule="exact"/>
              <w:jc w:val="center"/>
              <w:rPr>
                <w:rFonts w:hint="eastAsia" w:ascii="仿宋" w:hAnsi="仿宋" w:eastAsia="仿宋" w:cs="仿宋"/>
                <w:b/>
                <w:bCs/>
                <w:color w:val="auto"/>
                <w:sz w:val="22"/>
                <w:szCs w:val="21"/>
                <w:highlight w:val="none"/>
              </w:rPr>
            </w:pPr>
            <w:r>
              <w:rPr>
                <w:rFonts w:hint="eastAsia" w:ascii="仿宋" w:hAnsi="仿宋" w:eastAsia="仿宋" w:cs="仿宋"/>
                <w:b/>
                <w:bCs/>
                <w:color w:val="auto"/>
                <w:sz w:val="22"/>
                <w:szCs w:val="21"/>
                <w:highlight w:val="none"/>
              </w:rPr>
              <w:t>评审因素</w:t>
            </w:r>
          </w:p>
        </w:tc>
        <w:tc>
          <w:tcPr>
            <w:tcW w:w="4869" w:type="dxa"/>
            <w:vAlign w:val="center"/>
          </w:tcPr>
          <w:p w14:paraId="0AF9D6D9">
            <w:pPr>
              <w:autoSpaceDE w:val="0"/>
              <w:autoSpaceDN w:val="0"/>
              <w:spacing w:line="400" w:lineRule="exact"/>
              <w:jc w:val="center"/>
              <w:rPr>
                <w:rFonts w:hint="eastAsia" w:ascii="仿宋" w:hAnsi="仿宋" w:eastAsia="仿宋" w:cs="仿宋"/>
                <w:b/>
                <w:bCs/>
                <w:color w:val="auto"/>
                <w:sz w:val="22"/>
                <w:szCs w:val="21"/>
                <w:highlight w:val="none"/>
              </w:rPr>
            </w:pPr>
            <w:r>
              <w:rPr>
                <w:rFonts w:hint="eastAsia" w:ascii="仿宋" w:hAnsi="仿宋" w:eastAsia="仿宋" w:cs="仿宋"/>
                <w:b/>
                <w:bCs/>
                <w:color w:val="auto"/>
                <w:sz w:val="22"/>
                <w:szCs w:val="21"/>
                <w:highlight w:val="none"/>
              </w:rPr>
              <w:t>评审标准</w:t>
            </w:r>
          </w:p>
        </w:tc>
      </w:tr>
      <w:tr w14:paraId="102AB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1059" w:type="dxa"/>
            <w:vMerge w:val="restart"/>
            <w:vAlign w:val="center"/>
          </w:tcPr>
          <w:p w14:paraId="6E9AC83C">
            <w:pPr>
              <w:autoSpaceDE w:val="0"/>
              <w:autoSpaceDN w:val="0"/>
              <w:spacing w:line="400" w:lineRule="exact"/>
              <w:rPr>
                <w:rFonts w:hint="eastAsia" w:ascii="仿宋" w:hAnsi="仿宋" w:eastAsia="仿宋" w:cs="仿宋"/>
                <w:color w:val="auto"/>
                <w:sz w:val="22"/>
                <w:szCs w:val="21"/>
                <w:highlight w:val="none"/>
              </w:rPr>
            </w:pPr>
            <w:r>
              <w:rPr>
                <w:rFonts w:hint="eastAsia" w:ascii="仿宋" w:hAnsi="仿宋" w:eastAsia="仿宋" w:cs="仿宋"/>
                <w:color w:val="auto"/>
                <w:sz w:val="22"/>
                <w:szCs w:val="21"/>
                <w:highlight w:val="none"/>
              </w:rPr>
              <w:t>2.1.1</w:t>
            </w:r>
          </w:p>
        </w:tc>
        <w:tc>
          <w:tcPr>
            <w:tcW w:w="1245" w:type="dxa"/>
            <w:vMerge w:val="restart"/>
            <w:vAlign w:val="center"/>
          </w:tcPr>
          <w:p w14:paraId="4300A46D">
            <w:pPr>
              <w:autoSpaceDE w:val="0"/>
              <w:autoSpaceDN w:val="0"/>
              <w:spacing w:line="400" w:lineRule="exact"/>
              <w:rPr>
                <w:rFonts w:hint="eastAsia" w:ascii="仿宋" w:hAnsi="仿宋" w:eastAsia="仿宋" w:cs="仿宋"/>
                <w:color w:val="auto"/>
                <w:sz w:val="22"/>
                <w:szCs w:val="21"/>
                <w:highlight w:val="none"/>
              </w:rPr>
            </w:pPr>
            <w:r>
              <w:rPr>
                <w:rFonts w:hint="eastAsia" w:ascii="仿宋" w:hAnsi="仿宋" w:eastAsia="仿宋" w:cs="仿宋"/>
                <w:color w:val="auto"/>
                <w:sz w:val="22"/>
                <w:szCs w:val="21"/>
                <w:highlight w:val="none"/>
              </w:rPr>
              <w:t>形式评审标准</w:t>
            </w:r>
          </w:p>
        </w:tc>
        <w:tc>
          <w:tcPr>
            <w:tcW w:w="2496" w:type="dxa"/>
            <w:vAlign w:val="center"/>
          </w:tcPr>
          <w:p w14:paraId="0AB0C28B">
            <w:pPr>
              <w:autoSpaceDE w:val="0"/>
              <w:autoSpaceDN w:val="0"/>
              <w:spacing w:line="400" w:lineRule="exact"/>
              <w:rPr>
                <w:rFonts w:hint="eastAsia" w:ascii="仿宋" w:hAnsi="仿宋" w:eastAsia="仿宋" w:cs="仿宋"/>
                <w:color w:val="auto"/>
                <w:sz w:val="22"/>
                <w:szCs w:val="21"/>
                <w:highlight w:val="none"/>
              </w:rPr>
            </w:pPr>
            <w:r>
              <w:rPr>
                <w:rFonts w:hint="eastAsia" w:ascii="仿宋" w:hAnsi="仿宋" w:eastAsia="仿宋" w:cs="仿宋"/>
                <w:color w:val="auto"/>
                <w:sz w:val="22"/>
                <w:szCs w:val="21"/>
                <w:highlight w:val="none"/>
              </w:rPr>
              <w:t>投标人名称</w:t>
            </w:r>
          </w:p>
        </w:tc>
        <w:tc>
          <w:tcPr>
            <w:tcW w:w="4869" w:type="dxa"/>
            <w:vAlign w:val="center"/>
          </w:tcPr>
          <w:p w14:paraId="3A23F2E9">
            <w:pPr>
              <w:autoSpaceDE w:val="0"/>
              <w:autoSpaceDN w:val="0"/>
              <w:spacing w:line="400" w:lineRule="exact"/>
              <w:rPr>
                <w:rFonts w:hint="eastAsia" w:ascii="仿宋" w:hAnsi="仿宋" w:eastAsia="仿宋" w:cs="仿宋"/>
                <w:color w:val="auto"/>
                <w:sz w:val="22"/>
                <w:szCs w:val="21"/>
                <w:highlight w:val="none"/>
              </w:rPr>
            </w:pPr>
            <w:r>
              <w:rPr>
                <w:rFonts w:hint="eastAsia" w:ascii="仿宋" w:hAnsi="仿宋" w:eastAsia="仿宋" w:cs="仿宋"/>
                <w:color w:val="auto"/>
                <w:sz w:val="22"/>
                <w:szCs w:val="21"/>
                <w:highlight w:val="none"/>
              </w:rPr>
              <w:t>与营业执照一致</w:t>
            </w:r>
          </w:p>
        </w:tc>
      </w:tr>
      <w:tr w14:paraId="6A03A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5" w:hRule="atLeast"/>
          <w:jc w:val="center"/>
        </w:trPr>
        <w:tc>
          <w:tcPr>
            <w:tcW w:w="1059" w:type="dxa"/>
            <w:vMerge w:val="continue"/>
            <w:vAlign w:val="center"/>
          </w:tcPr>
          <w:p w14:paraId="520CCA5B">
            <w:pPr>
              <w:autoSpaceDE w:val="0"/>
              <w:autoSpaceDN w:val="0"/>
              <w:spacing w:line="400" w:lineRule="exact"/>
              <w:rPr>
                <w:rFonts w:hint="eastAsia" w:ascii="仿宋" w:hAnsi="仿宋" w:eastAsia="仿宋" w:cs="仿宋"/>
                <w:color w:val="auto"/>
                <w:sz w:val="22"/>
                <w:szCs w:val="21"/>
                <w:highlight w:val="none"/>
              </w:rPr>
            </w:pPr>
          </w:p>
        </w:tc>
        <w:tc>
          <w:tcPr>
            <w:tcW w:w="1245" w:type="dxa"/>
            <w:vMerge w:val="continue"/>
            <w:vAlign w:val="center"/>
          </w:tcPr>
          <w:p w14:paraId="4FBBD4B5">
            <w:pPr>
              <w:autoSpaceDE w:val="0"/>
              <w:autoSpaceDN w:val="0"/>
              <w:spacing w:line="400" w:lineRule="exact"/>
              <w:rPr>
                <w:rFonts w:hint="eastAsia" w:ascii="仿宋" w:hAnsi="仿宋" w:eastAsia="仿宋" w:cs="仿宋"/>
                <w:color w:val="auto"/>
                <w:sz w:val="22"/>
                <w:szCs w:val="21"/>
                <w:highlight w:val="none"/>
              </w:rPr>
            </w:pPr>
          </w:p>
        </w:tc>
        <w:tc>
          <w:tcPr>
            <w:tcW w:w="2496" w:type="dxa"/>
            <w:vAlign w:val="center"/>
          </w:tcPr>
          <w:p w14:paraId="73DC00D0">
            <w:pPr>
              <w:autoSpaceDE w:val="0"/>
              <w:autoSpaceDN w:val="0"/>
              <w:spacing w:line="400" w:lineRule="exact"/>
              <w:rPr>
                <w:rFonts w:hint="eastAsia" w:ascii="仿宋" w:hAnsi="仿宋" w:eastAsia="仿宋" w:cs="仿宋"/>
                <w:color w:val="auto"/>
                <w:sz w:val="22"/>
                <w:szCs w:val="21"/>
                <w:highlight w:val="none"/>
              </w:rPr>
            </w:pPr>
            <w:r>
              <w:rPr>
                <w:rFonts w:hint="eastAsia" w:ascii="仿宋" w:hAnsi="仿宋" w:eastAsia="仿宋" w:cs="仿宋"/>
                <w:color w:val="auto"/>
                <w:sz w:val="22"/>
                <w:szCs w:val="21"/>
                <w:highlight w:val="none"/>
              </w:rPr>
              <w:t>投标函签字盖章</w:t>
            </w:r>
          </w:p>
        </w:tc>
        <w:tc>
          <w:tcPr>
            <w:tcW w:w="4869" w:type="dxa"/>
            <w:vAlign w:val="center"/>
          </w:tcPr>
          <w:p w14:paraId="5A181C54">
            <w:pPr>
              <w:autoSpaceDE w:val="0"/>
              <w:autoSpaceDN w:val="0"/>
              <w:spacing w:line="400" w:lineRule="exact"/>
              <w:rPr>
                <w:rFonts w:hint="eastAsia" w:ascii="仿宋" w:hAnsi="仿宋" w:eastAsia="仿宋" w:cs="仿宋"/>
                <w:color w:val="auto"/>
                <w:sz w:val="22"/>
                <w:szCs w:val="21"/>
                <w:highlight w:val="none"/>
              </w:rPr>
            </w:pPr>
            <w:r>
              <w:rPr>
                <w:rFonts w:hint="eastAsia" w:ascii="仿宋" w:hAnsi="仿宋" w:eastAsia="仿宋" w:cs="仿宋"/>
                <w:color w:val="auto"/>
                <w:sz w:val="22"/>
                <w:szCs w:val="21"/>
                <w:highlight w:val="none"/>
              </w:rPr>
              <w:t>有法定代表人或其委托代理人签字、加盖法人章</w:t>
            </w:r>
          </w:p>
        </w:tc>
      </w:tr>
      <w:tr w14:paraId="1BD26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62" w:hRule="atLeast"/>
          <w:jc w:val="center"/>
        </w:trPr>
        <w:tc>
          <w:tcPr>
            <w:tcW w:w="1059" w:type="dxa"/>
            <w:vMerge w:val="continue"/>
            <w:vAlign w:val="center"/>
          </w:tcPr>
          <w:p w14:paraId="29B44829">
            <w:pPr>
              <w:autoSpaceDE w:val="0"/>
              <w:autoSpaceDN w:val="0"/>
              <w:spacing w:line="400" w:lineRule="exact"/>
              <w:rPr>
                <w:rFonts w:hint="eastAsia" w:ascii="仿宋" w:hAnsi="仿宋" w:eastAsia="仿宋" w:cs="仿宋"/>
                <w:color w:val="auto"/>
                <w:sz w:val="22"/>
                <w:szCs w:val="21"/>
                <w:highlight w:val="none"/>
              </w:rPr>
            </w:pPr>
          </w:p>
        </w:tc>
        <w:tc>
          <w:tcPr>
            <w:tcW w:w="1245" w:type="dxa"/>
            <w:vMerge w:val="continue"/>
            <w:vAlign w:val="center"/>
          </w:tcPr>
          <w:p w14:paraId="0441168E">
            <w:pPr>
              <w:autoSpaceDE w:val="0"/>
              <w:autoSpaceDN w:val="0"/>
              <w:spacing w:line="400" w:lineRule="exact"/>
              <w:rPr>
                <w:rFonts w:hint="eastAsia" w:ascii="仿宋" w:hAnsi="仿宋" w:eastAsia="仿宋" w:cs="仿宋"/>
                <w:color w:val="auto"/>
                <w:sz w:val="22"/>
                <w:szCs w:val="21"/>
                <w:highlight w:val="none"/>
              </w:rPr>
            </w:pPr>
          </w:p>
        </w:tc>
        <w:tc>
          <w:tcPr>
            <w:tcW w:w="2496" w:type="dxa"/>
            <w:vAlign w:val="center"/>
          </w:tcPr>
          <w:p w14:paraId="500AE7E7">
            <w:pPr>
              <w:autoSpaceDE w:val="0"/>
              <w:autoSpaceDN w:val="0"/>
              <w:spacing w:line="400" w:lineRule="exact"/>
              <w:rPr>
                <w:rFonts w:hint="eastAsia" w:ascii="仿宋" w:hAnsi="仿宋" w:eastAsia="仿宋" w:cs="仿宋"/>
                <w:color w:val="auto"/>
                <w:sz w:val="22"/>
                <w:szCs w:val="21"/>
                <w:highlight w:val="none"/>
              </w:rPr>
            </w:pPr>
            <w:r>
              <w:rPr>
                <w:rFonts w:hint="eastAsia" w:ascii="仿宋" w:hAnsi="仿宋" w:eastAsia="仿宋" w:cs="仿宋"/>
                <w:color w:val="auto"/>
                <w:sz w:val="22"/>
                <w:szCs w:val="21"/>
                <w:highlight w:val="none"/>
              </w:rPr>
              <w:t>投标文件格式</w:t>
            </w:r>
          </w:p>
        </w:tc>
        <w:tc>
          <w:tcPr>
            <w:tcW w:w="4869" w:type="dxa"/>
            <w:vAlign w:val="center"/>
          </w:tcPr>
          <w:p w14:paraId="4D6F6A19">
            <w:pPr>
              <w:autoSpaceDE w:val="0"/>
              <w:autoSpaceDN w:val="0"/>
              <w:spacing w:line="400" w:lineRule="exact"/>
              <w:rPr>
                <w:rFonts w:hint="eastAsia" w:ascii="仿宋" w:hAnsi="仿宋" w:eastAsia="仿宋" w:cs="仿宋"/>
                <w:color w:val="auto"/>
                <w:sz w:val="22"/>
                <w:szCs w:val="21"/>
                <w:highlight w:val="none"/>
              </w:rPr>
            </w:pPr>
            <w:r>
              <w:rPr>
                <w:rFonts w:hint="eastAsia" w:ascii="仿宋" w:hAnsi="仿宋" w:eastAsia="仿宋" w:cs="仿宋"/>
                <w:color w:val="auto"/>
                <w:sz w:val="22"/>
                <w:szCs w:val="21"/>
                <w:highlight w:val="none"/>
              </w:rPr>
              <w:t>符合第六章“投标文件格式”的要求，字迹清晰可辨。</w:t>
            </w:r>
          </w:p>
          <w:p w14:paraId="46463179">
            <w:pPr>
              <w:autoSpaceDE w:val="0"/>
              <w:autoSpaceDN w:val="0"/>
              <w:spacing w:line="400" w:lineRule="exact"/>
              <w:rPr>
                <w:rFonts w:hint="eastAsia" w:ascii="仿宋" w:hAnsi="仿宋" w:eastAsia="仿宋" w:cs="仿宋"/>
                <w:color w:val="auto"/>
                <w:sz w:val="22"/>
                <w:szCs w:val="21"/>
                <w:highlight w:val="none"/>
              </w:rPr>
            </w:pPr>
            <w:r>
              <w:rPr>
                <w:rFonts w:hint="eastAsia" w:ascii="仿宋" w:hAnsi="仿宋" w:eastAsia="仿宋" w:cs="仿宋"/>
                <w:color w:val="auto"/>
                <w:sz w:val="22"/>
                <w:szCs w:val="21"/>
                <w:highlight w:val="none"/>
              </w:rPr>
              <w:t>1.投标函附录的所有数据均符合招标文件的规定；</w:t>
            </w:r>
          </w:p>
          <w:p w14:paraId="0DE4DA7C">
            <w:pPr>
              <w:autoSpaceDE w:val="0"/>
              <w:autoSpaceDN w:val="0"/>
              <w:spacing w:line="400" w:lineRule="exact"/>
              <w:rPr>
                <w:rFonts w:hint="eastAsia" w:ascii="仿宋" w:hAnsi="仿宋" w:eastAsia="仿宋" w:cs="仿宋"/>
                <w:color w:val="auto"/>
                <w:sz w:val="22"/>
                <w:szCs w:val="21"/>
                <w:highlight w:val="none"/>
              </w:rPr>
            </w:pPr>
            <w:r>
              <w:rPr>
                <w:rFonts w:hint="eastAsia" w:ascii="仿宋" w:hAnsi="仿宋" w:eastAsia="仿宋" w:cs="仿宋"/>
                <w:color w:val="auto"/>
                <w:sz w:val="22"/>
                <w:szCs w:val="21"/>
                <w:highlight w:val="none"/>
              </w:rPr>
              <w:t>2.投标文件附表齐全完整，内容均按规定填写；</w:t>
            </w:r>
          </w:p>
          <w:p w14:paraId="1F9E6D43">
            <w:pPr>
              <w:autoSpaceDE w:val="0"/>
              <w:autoSpaceDN w:val="0"/>
              <w:spacing w:line="400" w:lineRule="exact"/>
              <w:rPr>
                <w:rFonts w:hint="eastAsia" w:ascii="仿宋" w:hAnsi="仿宋" w:eastAsia="仿宋" w:cs="仿宋"/>
                <w:color w:val="auto"/>
                <w:sz w:val="22"/>
                <w:szCs w:val="21"/>
                <w:highlight w:val="none"/>
              </w:rPr>
            </w:pPr>
            <w:r>
              <w:rPr>
                <w:rFonts w:hint="eastAsia" w:ascii="仿宋" w:hAnsi="仿宋" w:eastAsia="仿宋" w:cs="仿宋"/>
                <w:color w:val="auto"/>
                <w:sz w:val="22"/>
                <w:szCs w:val="21"/>
                <w:highlight w:val="none"/>
              </w:rPr>
              <w:t>3.投标文件的编制符合第二章3.7款的规定。</w:t>
            </w:r>
          </w:p>
        </w:tc>
      </w:tr>
      <w:tr w14:paraId="4A656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0" w:hRule="atLeast"/>
          <w:jc w:val="center"/>
        </w:trPr>
        <w:tc>
          <w:tcPr>
            <w:tcW w:w="1059" w:type="dxa"/>
            <w:vMerge w:val="continue"/>
            <w:vAlign w:val="center"/>
          </w:tcPr>
          <w:p w14:paraId="7302776F">
            <w:pPr>
              <w:autoSpaceDE w:val="0"/>
              <w:autoSpaceDN w:val="0"/>
              <w:spacing w:line="400" w:lineRule="exact"/>
              <w:rPr>
                <w:rFonts w:hint="eastAsia" w:ascii="仿宋" w:hAnsi="仿宋" w:eastAsia="仿宋" w:cs="仿宋"/>
                <w:color w:val="auto"/>
                <w:sz w:val="22"/>
                <w:szCs w:val="21"/>
                <w:highlight w:val="none"/>
              </w:rPr>
            </w:pPr>
          </w:p>
        </w:tc>
        <w:tc>
          <w:tcPr>
            <w:tcW w:w="1245" w:type="dxa"/>
            <w:vMerge w:val="continue"/>
            <w:vAlign w:val="center"/>
          </w:tcPr>
          <w:p w14:paraId="40ACDC54">
            <w:pPr>
              <w:autoSpaceDE w:val="0"/>
              <w:autoSpaceDN w:val="0"/>
              <w:spacing w:line="400" w:lineRule="exact"/>
              <w:rPr>
                <w:rFonts w:hint="eastAsia" w:ascii="仿宋" w:hAnsi="仿宋" w:eastAsia="仿宋" w:cs="仿宋"/>
                <w:color w:val="auto"/>
                <w:sz w:val="22"/>
                <w:szCs w:val="21"/>
                <w:highlight w:val="none"/>
              </w:rPr>
            </w:pPr>
          </w:p>
        </w:tc>
        <w:tc>
          <w:tcPr>
            <w:tcW w:w="2496" w:type="dxa"/>
            <w:vAlign w:val="center"/>
          </w:tcPr>
          <w:p w14:paraId="428D57DC">
            <w:pPr>
              <w:autoSpaceDE w:val="0"/>
              <w:autoSpaceDN w:val="0"/>
              <w:spacing w:line="400" w:lineRule="exact"/>
              <w:rPr>
                <w:rFonts w:hint="eastAsia" w:ascii="仿宋" w:hAnsi="仿宋" w:eastAsia="仿宋" w:cs="仿宋"/>
                <w:color w:val="auto"/>
                <w:sz w:val="22"/>
                <w:szCs w:val="21"/>
                <w:highlight w:val="none"/>
              </w:rPr>
            </w:pPr>
            <w:r>
              <w:rPr>
                <w:rFonts w:hint="eastAsia" w:ascii="仿宋" w:hAnsi="仿宋" w:eastAsia="仿宋" w:cs="仿宋"/>
                <w:color w:val="auto"/>
                <w:sz w:val="22"/>
                <w:szCs w:val="21"/>
                <w:highlight w:val="none"/>
              </w:rPr>
              <w:t>报价唯一</w:t>
            </w:r>
          </w:p>
        </w:tc>
        <w:tc>
          <w:tcPr>
            <w:tcW w:w="4869" w:type="dxa"/>
            <w:vAlign w:val="center"/>
          </w:tcPr>
          <w:p w14:paraId="4370687D">
            <w:pPr>
              <w:autoSpaceDE w:val="0"/>
              <w:autoSpaceDN w:val="0"/>
              <w:spacing w:line="400" w:lineRule="exact"/>
              <w:rPr>
                <w:rFonts w:hint="eastAsia" w:ascii="仿宋" w:hAnsi="仿宋" w:eastAsia="仿宋" w:cs="仿宋"/>
                <w:color w:val="auto"/>
                <w:sz w:val="22"/>
                <w:szCs w:val="21"/>
                <w:highlight w:val="none"/>
              </w:rPr>
            </w:pPr>
            <w:r>
              <w:rPr>
                <w:rFonts w:hint="eastAsia" w:ascii="仿宋" w:hAnsi="仿宋" w:eastAsia="仿宋" w:cs="仿宋"/>
                <w:color w:val="auto"/>
                <w:sz w:val="22"/>
                <w:szCs w:val="21"/>
                <w:highlight w:val="none"/>
              </w:rPr>
              <w:t>只能有一个有效报价，在招标文件没有规定的情况下，不得提交选择性报价。</w:t>
            </w:r>
          </w:p>
        </w:tc>
      </w:tr>
      <w:tr w14:paraId="17DC4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jc w:val="center"/>
        </w:trPr>
        <w:tc>
          <w:tcPr>
            <w:tcW w:w="1059" w:type="dxa"/>
            <w:vMerge w:val="continue"/>
            <w:vAlign w:val="center"/>
          </w:tcPr>
          <w:p w14:paraId="30355536">
            <w:pPr>
              <w:autoSpaceDE w:val="0"/>
              <w:autoSpaceDN w:val="0"/>
              <w:spacing w:line="400" w:lineRule="exact"/>
              <w:rPr>
                <w:rFonts w:hint="eastAsia" w:ascii="仿宋" w:hAnsi="仿宋" w:eastAsia="仿宋" w:cs="仿宋"/>
                <w:color w:val="auto"/>
                <w:sz w:val="22"/>
                <w:szCs w:val="21"/>
                <w:highlight w:val="none"/>
              </w:rPr>
            </w:pPr>
          </w:p>
        </w:tc>
        <w:tc>
          <w:tcPr>
            <w:tcW w:w="1245" w:type="dxa"/>
            <w:vMerge w:val="continue"/>
            <w:vAlign w:val="center"/>
          </w:tcPr>
          <w:p w14:paraId="0912D7DB">
            <w:pPr>
              <w:autoSpaceDE w:val="0"/>
              <w:autoSpaceDN w:val="0"/>
              <w:spacing w:line="400" w:lineRule="exact"/>
              <w:rPr>
                <w:rFonts w:hint="eastAsia" w:ascii="仿宋" w:hAnsi="仿宋" w:eastAsia="仿宋" w:cs="仿宋"/>
                <w:color w:val="auto"/>
                <w:sz w:val="22"/>
                <w:szCs w:val="21"/>
                <w:highlight w:val="none"/>
              </w:rPr>
            </w:pPr>
          </w:p>
        </w:tc>
        <w:tc>
          <w:tcPr>
            <w:tcW w:w="2496" w:type="dxa"/>
            <w:vAlign w:val="center"/>
          </w:tcPr>
          <w:p w14:paraId="32EF9ADE">
            <w:pPr>
              <w:autoSpaceDE w:val="0"/>
              <w:autoSpaceDN w:val="0"/>
              <w:spacing w:line="400" w:lineRule="exact"/>
              <w:rPr>
                <w:rFonts w:hint="eastAsia" w:ascii="仿宋" w:hAnsi="仿宋" w:eastAsia="仿宋" w:cs="仿宋"/>
                <w:color w:val="auto"/>
                <w:sz w:val="22"/>
                <w:szCs w:val="21"/>
                <w:highlight w:val="none"/>
              </w:rPr>
            </w:pPr>
            <w:r>
              <w:rPr>
                <w:rFonts w:hint="eastAsia" w:ascii="仿宋" w:hAnsi="仿宋" w:eastAsia="仿宋" w:cs="仿宋"/>
                <w:color w:val="auto"/>
                <w:sz w:val="22"/>
                <w:szCs w:val="21"/>
                <w:highlight w:val="none"/>
              </w:rPr>
              <w:t>投标文件的签署</w:t>
            </w:r>
          </w:p>
        </w:tc>
        <w:tc>
          <w:tcPr>
            <w:tcW w:w="4869" w:type="dxa"/>
            <w:vAlign w:val="center"/>
          </w:tcPr>
          <w:p w14:paraId="2D14F3DE">
            <w:pPr>
              <w:autoSpaceDE w:val="0"/>
              <w:autoSpaceDN w:val="0"/>
              <w:spacing w:line="400" w:lineRule="exact"/>
              <w:rPr>
                <w:rFonts w:hint="eastAsia" w:ascii="仿宋" w:hAnsi="仿宋" w:eastAsia="仿宋" w:cs="仿宋"/>
                <w:color w:val="auto"/>
                <w:sz w:val="22"/>
                <w:szCs w:val="21"/>
                <w:highlight w:val="none"/>
              </w:rPr>
            </w:pPr>
            <w:r>
              <w:rPr>
                <w:rFonts w:hint="eastAsia" w:ascii="仿宋" w:hAnsi="仿宋" w:eastAsia="仿宋" w:cs="仿宋"/>
                <w:color w:val="auto"/>
                <w:sz w:val="22"/>
                <w:szCs w:val="21"/>
                <w:highlight w:val="none"/>
              </w:rPr>
              <w:t>投标文件上法定代表人或其授权代理人的签字齐全。</w:t>
            </w:r>
          </w:p>
        </w:tc>
      </w:tr>
      <w:tr w14:paraId="10CE4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0" w:hRule="atLeast"/>
          <w:jc w:val="center"/>
        </w:trPr>
        <w:tc>
          <w:tcPr>
            <w:tcW w:w="1059" w:type="dxa"/>
            <w:vMerge w:val="continue"/>
            <w:vAlign w:val="center"/>
          </w:tcPr>
          <w:p w14:paraId="79BBC5C8">
            <w:pPr>
              <w:autoSpaceDE w:val="0"/>
              <w:autoSpaceDN w:val="0"/>
              <w:spacing w:line="400" w:lineRule="exact"/>
              <w:rPr>
                <w:rFonts w:hint="eastAsia" w:ascii="仿宋" w:hAnsi="仿宋" w:eastAsia="仿宋" w:cs="仿宋"/>
                <w:color w:val="auto"/>
                <w:sz w:val="22"/>
                <w:szCs w:val="21"/>
                <w:highlight w:val="none"/>
              </w:rPr>
            </w:pPr>
          </w:p>
        </w:tc>
        <w:tc>
          <w:tcPr>
            <w:tcW w:w="1245" w:type="dxa"/>
            <w:vMerge w:val="continue"/>
            <w:vAlign w:val="center"/>
          </w:tcPr>
          <w:p w14:paraId="339F8896">
            <w:pPr>
              <w:autoSpaceDE w:val="0"/>
              <w:autoSpaceDN w:val="0"/>
              <w:spacing w:line="400" w:lineRule="exact"/>
              <w:rPr>
                <w:rFonts w:hint="eastAsia" w:ascii="仿宋" w:hAnsi="仿宋" w:eastAsia="仿宋" w:cs="仿宋"/>
                <w:color w:val="auto"/>
                <w:sz w:val="22"/>
                <w:szCs w:val="21"/>
                <w:highlight w:val="none"/>
              </w:rPr>
            </w:pPr>
          </w:p>
        </w:tc>
        <w:tc>
          <w:tcPr>
            <w:tcW w:w="2496" w:type="dxa"/>
            <w:vAlign w:val="center"/>
          </w:tcPr>
          <w:p w14:paraId="0A47B0F2">
            <w:pPr>
              <w:autoSpaceDE w:val="0"/>
              <w:autoSpaceDN w:val="0"/>
              <w:spacing w:line="400" w:lineRule="exact"/>
              <w:rPr>
                <w:rFonts w:hint="eastAsia" w:ascii="仿宋" w:hAnsi="仿宋" w:eastAsia="仿宋" w:cs="仿宋"/>
                <w:color w:val="auto"/>
                <w:sz w:val="22"/>
                <w:szCs w:val="21"/>
                <w:highlight w:val="none"/>
              </w:rPr>
            </w:pPr>
            <w:r>
              <w:rPr>
                <w:rFonts w:hint="eastAsia" w:ascii="仿宋" w:hAnsi="仿宋" w:eastAsia="仿宋" w:cs="仿宋"/>
                <w:color w:val="auto"/>
                <w:sz w:val="22"/>
                <w:szCs w:val="21"/>
                <w:highlight w:val="none"/>
              </w:rPr>
              <w:t>委托代理人</w:t>
            </w:r>
          </w:p>
        </w:tc>
        <w:tc>
          <w:tcPr>
            <w:tcW w:w="4869" w:type="dxa"/>
            <w:vAlign w:val="center"/>
          </w:tcPr>
          <w:p w14:paraId="7B5BEE34">
            <w:pPr>
              <w:autoSpaceDE w:val="0"/>
              <w:autoSpaceDN w:val="0"/>
              <w:spacing w:line="400" w:lineRule="exact"/>
              <w:rPr>
                <w:rFonts w:hint="eastAsia" w:ascii="仿宋" w:hAnsi="仿宋" w:eastAsia="仿宋" w:cs="仿宋"/>
                <w:color w:val="auto"/>
                <w:sz w:val="22"/>
                <w:szCs w:val="21"/>
                <w:highlight w:val="none"/>
              </w:rPr>
            </w:pPr>
            <w:r>
              <w:rPr>
                <w:rFonts w:hint="eastAsia" w:ascii="仿宋" w:hAnsi="仿宋" w:eastAsia="仿宋" w:cs="仿宋"/>
                <w:color w:val="auto"/>
                <w:sz w:val="22"/>
                <w:szCs w:val="21"/>
                <w:highlight w:val="none"/>
              </w:rPr>
              <w:t>投标人法定代表人的委托代理人有法定代表人签署的授权委托书，且其授权委托书符合招标文件规定的格式。</w:t>
            </w:r>
          </w:p>
        </w:tc>
      </w:tr>
      <w:tr w14:paraId="11C30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059" w:type="dxa"/>
            <w:vMerge w:val="restart"/>
            <w:vAlign w:val="center"/>
          </w:tcPr>
          <w:p w14:paraId="5575B284">
            <w:pPr>
              <w:autoSpaceDE w:val="0"/>
              <w:autoSpaceDN w:val="0"/>
              <w:spacing w:line="400" w:lineRule="exact"/>
              <w:rPr>
                <w:rFonts w:hint="eastAsia" w:ascii="仿宋" w:hAnsi="仿宋" w:eastAsia="仿宋" w:cs="仿宋"/>
                <w:color w:val="auto"/>
                <w:sz w:val="22"/>
                <w:szCs w:val="21"/>
                <w:highlight w:val="none"/>
              </w:rPr>
            </w:pPr>
            <w:r>
              <w:rPr>
                <w:rFonts w:hint="eastAsia" w:ascii="仿宋" w:hAnsi="仿宋" w:eastAsia="仿宋" w:cs="仿宋"/>
                <w:color w:val="auto"/>
                <w:sz w:val="22"/>
                <w:szCs w:val="21"/>
                <w:highlight w:val="none"/>
              </w:rPr>
              <w:t>2.1.2</w:t>
            </w:r>
          </w:p>
        </w:tc>
        <w:tc>
          <w:tcPr>
            <w:tcW w:w="1245" w:type="dxa"/>
            <w:vMerge w:val="restart"/>
            <w:vAlign w:val="center"/>
          </w:tcPr>
          <w:p w14:paraId="1F4E42E1">
            <w:pPr>
              <w:autoSpaceDE w:val="0"/>
              <w:autoSpaceDN w:val="0"/>
              <w:spacing w:line="400" w:lineRule="exact"/>
              <w:rPr>
                <w:rFonts w:hint="eastAsia" w:ascii="仿宋" w:hAnsi="仿宋" w:eastAsia="仿宋" w:cs="仿宋"/>
                <w:color w:val="auto"/>
                <w:sz w:val="22"/>
                <w:szCs w:val="21"/>
                <w:highlight w:val="none"/>
              </w:rPr>
            </w:pPr>
            <w:r>
              <w:rPr>
                <w:rFonts w:hint="eastAsia" w:ascii="仿宋" w:hAnsi="仿宋" w:eastAsia="仿宋" w:cs="仿宋"/>
                <w:color w:val="auto"/>
                <w:sz w:val="22"/>
                <w:szCs w:val="21"/>
                <w:highlight w:val="none"/>
              </w:rPr>
              <w:t>资格评审标准</w:t>
            </w:r>
          </w:p>
        </w:tc>
        <w:tc>
          <w:tcPr>
            <w:tcW w:w="2496" w:type="dxa"/>
            <w:vAlign w:val="center"/>
          </w:tcPr>
          <w:p w14:paraId="18686BCF">
            <w:pPr>
              <w:autoSpaceDE w:val="0"/>
              <w:autoSpaceDN w:val="0"/>
              <w:spacing w:line="400" w:lineRule="exact"/>
              <w:rPr>
                <w:rFonts w:hint="eastAsia" w:ascii="仿宋" w:hAnsi="仿宋" w:eastAsia="仿宋" w:cs="仿宋"/>
                <w:color w:val="auto"/>
                <w:sz w:val="22"/>
                <w:szCs w:val="21"/>
                <w:highlight w:val="none"/>
              </w:rPr>
            </w:pPr>
            <w:r>
              <w:rPr>
                <w:rFonts w:hint="eastAsia" w:ascii="仿宋" w:hAnsi="仿宋" w:eastAsia="仿宋" w:cs="仿宋"/>
                <w:color w:val="auto"/>
                <w:sz w:val="22"/>
                <w:szCs w:val="21"/>
                <w:highlight w:val="none"/>
              </w:rPr>
              <w:t>营业执照</w:t>
            </w:r>
          </w:p>
        </w:tc>
        <w:tc>
          <w:tcPr>
            <w:tcW w:w="4869" w:type="dxa"/>
            <w:vAlign w:val="center"/>
          </w:tcPr>
          <w:p w14:paraId="78FCB545">
            <w:pPr>
              <w:autoSpaceDE w:val="0"/>
              <w:autoSpaceDN w:val="0"/>
              <w:spacing w:line="400" w:lineRule="exact"/>
              <w:rPr>
                <w:rFonts w:hint="eastAsia" w:ascii="仿宋" w:hAnsi="仿宋" w:eastAsia="仿宋" w:cs="仿宋"/>
                <w:color w:val="auto"/>
                <w:sz w:val="22"/>
                <w:szCs w:val="21"/>
                <w:highlight w:val="none"/>
              </w:rPr>
            </w:pPr>
            <w:r>
              <w:rPr>
                <w:rFonts w:hint="eastAsia" w:ascii="仿宋" w:hAnsi="仿宋" w:eastAsia="仿宋" w:cs="仿宋"/>
                <w:color w:val="auto"/>
                <w:sz w:val="22"/>
                <w:szCs w:val="21"/>
                <w:highlight w:val="none"/>
              </w:rPr>
              <w:t>具备有效的营业执照</w:t>
            </w:r>
          </w:p>
        </w:tc>
      </w:tr>
      <w:tr w14:paraId="53B33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059" w:type="dxa"/>
            <w:vMerge w:val="continue"/>
            <w:vAlign w:val="center"/>
          </w:tcPr>
          <w:p w14:paraId="01DABF99">
            <w:pPr>
              <w:autoSpaceDE w:val="0"/>
              <w:autoSpaceDN w:val="0"/>
              <w:spacing w:line="400" w:lineRule="exact"/>
              <w:rPr>
                <w:rFonts w:hint="eastAsia" w:ascii="仿宋" w:hAnsi="仿宋" w:eastAsia="仿宋" w:cs="仿宋"/>
                <w:color w:val="auto"/>
                <w:sz w:val="22"/>
                <w:szCs w:val="21"/>
                <w:highlight w:val="none"/>
              </w:rPr>
            </w:pPr>
          </w:p>
        </w:tc>
        <w:tc>
          <w:tcPr>
            <w:tcW w:w="1245" w:type="dxa"/>
            <w:vMerge w:val="continue"/>
            <w:textDirection w:val="tbRlV"/>
            <w:vAlign w:val="center"/>
          </w:tcPr>
          <w:p w14:paraId="3FF4F9F1">
            <w:pPr>
              <w:autoSpaceDE w:val="0"/>
              <w:autoSpaceDN w:val="0"/>
              <w:spacing w:line="400" w:lineRule="exact"/>
              <w:rPr>
                <w:rFonts w:hint="eastAsia" w:ascii="仿宋" w:hAnsi="仿宋" w:eastAsia="仿宋" w:cs="仿宋"/>
                <w:color w:val="auto"/>
                <w:sz w:val="22"/>
                <w:szCs w:val="21"/>
                <w:highlight w:val="none"/>
              </w:rPr>
            </w:pPr>
          </w:p>
        </w:tc>
        <w:tc>
          <w:tcPr>
            <w:tcW w:w="2496" w:type="dxa"/>
            <w:vAlign w:val="center"/>
          </w:tcPr>
          <w:p w14:paraId="34257695">
            <w:pPr>
              <w:autoSpaceDE w:val="0"/>
              <w:autoSpaceDN w:val="0"/>
              <w:spacing w:line="400" w:lineRule="exact"/>
              <w:rPr>
                <w:rFonts w:hint="eastAsia" w:ascii="仿宋" w:hAnsi="仿宋" w:eastAsia="仿宋" w:cs="仿宋"/>
                <w:color w:val="auto"/>
                <w:sz w:val="22"/>
                <w:szCs w:val="21"/>
                <w:highlight w:val="none"/>
              </w:rPr>
            </w:pPr>
            <w:r>
              <w:rPr>
                <w:rFonts w:hint="eastAsia" w:ascii="仿宋" w:hAnsi="仿宋" w:eastAsia="仿宋" w:cs="仿宋"/>
                <w:color w:val="auto"/>
                <w:sz w:val="22"/>
                <w:szCs w:val="21"/>
                <w:highlight w:val="none"/>
              </w:rPr>
              <w:t>资质证书</w:t>
            </w:r>
          </w:p>
        </w:tc>
        <w:tc>
          <w:tcPr>
            <w:tcW w:w="4869" w:type="dxa"/>
            <w:vAlign w:val="center"/>
          </w:tcPr>
          <w:p w14:paraId="1C430F6B">
            <w:pPr>
              <w:autoSpaceDE w:val="0"/>
              <w:autoSpaceDN w:val="0"/>
              <w:spacing w:line="400" w:lineRule="exact"/>
              <w:rPr>
                <w:rFonts w:hint="eastAsia" w:ascii="仿宋" w:hAnsi="仿宋" w:eastAsia="仿宋" w:cs="仿宋"/>
                <w:color w:val="auto"/>
                <w:sz w:val="22"/>
                <w:szCs w:val="21"/>
                <w:highlight w:val="none"/>
              </w:rPr>
            </w:pPr>
            <w:r>
              <w:rPr>
                <w:rFonts w:hint="eastAsia" w:ascii="仿宋" w:hAnsi="仿宋" w:eastAsia="仿宋" w:cs="仿宋"/>
                <w:color w:val="auto"/>
                <w:sz w:val="22"/>
                <w:szCs w:val="21"/>
                <w:highlight w:val="none"/>
              </w:rPr>
              <w:t>符合第二章“投标人须知”第1.4.1项规定</w:t>
            </w:r>
          </w:p>
        </w:tc>
      </w:tr>
      <w:tr w14:paraId="5DAB3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059" w:type="dxa"/>
            <w:vMerge w:val="continue"/>
            <w:vAlign w:val="center"/>
          </w:tcPr>
          <w:p w14:paraId="1CFE1191">
            <w:pPr>
              <w:autoSpaceDE w:val="0"/>
              <w:autoSpaceDN w:val="0"/>
              <w:spacing w:line="400" w:lineRule="exact"/>
              <w:rPr>
                <w:rFonts w:hint="eastAsia" w:ascii="仿宋" w:hAnsi="仿宋" w:eastAsia="仿宋" w:cs="仿宋"/>
                <w:color w:val="auto"/>
                <w:sz w:val="22"/>
                <w:szCs w:val="21"/>
                <w:highlight w:val="none"/>
              </w:rPr>
            </w:pPr>
          </w:p>
        </w:tc>
        <w:tc>
          <w:tcPr>
            <w:tcW w:w="1245" w:type="dxa"/>
            <w:vMerge w:val="continue"/>
            <w:textDirection w:val="tbRlV"/>
            <w:vAlign w:val="center"/>
          </w:tcPr>
          <w:p w14:paraId="59F4A0C5">
            <w:pPr>
              <w:autoSpaceDE w:val="0"/>
              <w:autoSpaceDN w:val="0"/>
              <w:spacing w:line="400" w:lineRule="exact"/>
              <w:rPr>
                <w:rFonts w:hint="eastAsia" w:ascii="仿宋" w:hAnsi="仿宋" w:eastAsia="仿宋" w:cs="仿宋"/>
                <w:color w:val="auto"/>
                <w:sz w:val="22"/>
                <w:szCs w:val="21"/>
                <w:highlight w:val="none"/>
              </w:rPr>
            </w:pPr>
          </w:p>
        </w:tc>
        <w:tc>
          <w:tcPr>
            <w:tcW w:w="2496" w:type="dxa"/>
            <w:vAlign w:val="center"/>
          </w:tcPr>
          <w:p w14:paraId="18C88F25">
            <w:pPr>
              <w:autoSpaceDE w:val="0"/>
              <w:autoSpaceDN w:val="0"/>
              <w:spacing w:line="400" w:lineRule="exact"/>
              <w:rPr>
                <w:rFonts w:hint="eastAsia" w:ascii="仿宋" w:hAnsi="仿宋" w:eastAsia="仿宋" w:cs="仿宋"/>
                <w:color w:val="auto"/>
                <w:sz w:val="22"/>
                <w:szCs w:val="21"/>
                <w:highlight w:val="none"/>
              </w:rPr>
            </w:pPr>
            <w:r>
              <w:rPr>
                <w:rFonts w:hint="eastAsia" w:ascii="仿宋" w:hAnsi="仿宋" w:eastAsia="仿宋" w:cs="仿宋"/>
                <w:color w:val="auto"/>
                <w:sz w:val="22"/>
                <w:szCs w:val="21"/>
                <w:highlight w:val="none"/>
              </w:rPr>
              <w:t>安全生产条件</w:t>
            </w:r>
          </w:p>
        </w:tc>
        <w:tc>
          <w:tcPr>
            <w:tcW w:w="4869" w:type="dxa"/>
            <w:vAlign w:val="center"/>
          </w:tcPr>
          <w:p w14:paraId="61282F4B">
            <w:pPr>
              <w:autoSpaceDE w:val="0"/>
              <w:autoSpaceDN w:val="0"/>
              <w:spacing w:line="400" w:lineRule="exact"/>
              <w:rPr>
                <w:rFonts w:hint="eastAsia" w:ascii="仿宋" w:hAnsi="仿宋" w:eastAsia="仿宋" w:cs="仿宋"/>
                <w:color w:val="auto"/>
                <w:sz w:val="22"/>
                <w:szCs w:val="21"/>
                <w:highlight w:val="none"/>
              </w:rPr>
            </w:pPr>
            <w:r>
              <w:rPr>
                <w:rFonts w:hint="eastAsia" w:ascii="仿宋" w:hAnsi="仿宋" w:eastAsia="仿宋" w:cs="仿宋"/>
                <w:color w:val="auto"/>
                <w:sz w:val="22"/>
                <w:szCs w:val="21"/>
                <w:highlight w:val="none"/>
              </w:rPr>
              <w:t>符合第二章“投标人须知”第1.4.1项规定</w:t>
            </w:r>
          </w:p>
        </w:tc>
      </w:tr>
      <w:tr w14:paraId="308F9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6" w:hRule="atLeast"/>
          <w:jc w:val="center"/>
        </w:trPr>
        <w:tc>
          <w:tcPr>
            <w:tcW w:w="1059" w:type="dxa"/>
            <w:vMerge w:val="continue"/>
            <w:vAlign w:val="center"/>
          </w:tcPr>
          <w:p w14:paraId="0CF2C337">
            <w:pPr>
              <w:autoSpaceDE w:val="0"/>
              <w:autoSpaceDN w:val="0"/>
              <w:spacing w:line="400" w:lineRule="exact"/>
              <w:rPr>
                <w:rFonts w:hint="eastAsia" w:ascii="仿宋" w:hAnsi="仿宋" w:eastAsia="仿宋" w:cs="仿宋"/>
                <w:color w:val="auto"/>
                <w:sz w:val="22"/>
                <w:szCs w:val="21"/>
                <w:highlight w:val="none"/>
              </w:rPr>
            </w:pPr>
          </w:p>
        </w:tc>
        <w:tc>
          <w:tcPr>
            <w:tcW w:w="1245" w:type="dxa"/>
            <w:vMerge w:val="continue"/>
            <w:vAlign w:val="center"/>
          </w:tcPr>
          <w:p w14:paraId="5837D618">
            <w:pPr>
              <w:autoSpaceDE w:val="0"/>
              <w:autoSpaceDN w:val="0"/>
              <w:spacing w:line="400" w:lineRule="exact"/>
              <w:rPr>
                <w:rFonts w:hint="eastAsia" w:ascii="仿宋" w:hAnsi="仿宋" w:eastAsia="仿宋" w:cs="仿宋"/>
                <w:color w:val="auto"/>
                <w:sz w:val="22"/>
                <w:szCs w:val="21"/>
                <w:highlight w:val="none"/>
              </w:rPr>
            </w:pPr>
          </w:p>
        </w:tc>
        <w:tc>
          <w:tcPr>
            <w:tcW w:w="2496" w:type="dxa"/>
            <w:vAlign w:val="center"/>
          </w:tcPr>
          <w:p w14:paraId="711D2AA3">
            <w:pPr>
              <w:autoSpaceDE w:val="0"/>
              <w:autoSpaceDN w:val="0"/>
              <w:spacing w:line="400" w:lineRule="exact"/>
              <w:rPr>
                <w:rFonts w:hint="eastAsia" w:ascii="仿宋" w:hAnsi="仿宋" w:eastAsia="仿宋" w:cs="仿宋"/>
                <w:color w:val="auto"/>
                <w:sz w:val="22"/>
                <w:szCs w:val="21"/>
                <w:highlight w:val="none"/>
              </w:rPr>
            </w:pPr>
            <w:r>
              <w:rPr>
                <w:rFonts w:hint="eastAsia" w:ascii="仿宋" w:hAnsi="仿宋" w:eastAsia="仿宋" w:cs="仿宋"/>
                <w:color w:val="auto"/>
                <w:sz w:val="22"/>
                <w:szCs w:val="21"/>
                <w:highlight w:val="none"/>
              </w:rPr>
              <w:t>投标截止日投标资格情况</w:t>
            </w:r>
          </w:p>
        </w:tc>
        <w:tc>
          <w:tcPr>
            <w:tcW w:w="4869" w:type="dxa"/>
            <w:vAlign w:val="center"/>
          </w:tcPr>
          <w:p w14:paraId="06F999D7">
            <w:pPr>
              <w:autoSpaceDE w:val="0"/>
              <w:autoSpaceDN w:val="0"/>
              <w:spacing w:line="400" w:lineRule="exact"/>
              <w:rPr>
                <w:rFonts w:hint="eastAsia" w:ascii="仿宋" w:hAnsi="仿宋" w:eastAsia="仿宋" w:cs="仿宋"/>
                <w:color w:val="auto"/>
                <w:sz w:val="22"/>
                <w:szCs w:val="21"/>
                <w:highlight w:val="none"/>
              </w:rPr>
            </w:pPr>
            <w:r>
              <w:rPr>
                <w:rFonts w:hint="eastAsia" w:ascii="仿宋" w:hAnsi="仿宋" w:eastAsia="仿宋" w:cs="仿宋"/>
                <w:color w:val="auto"/>
                <w:sz w:val="22"/>
                <w:szCs w:val="21"/>
                <w:highlight w:val="none"/>
              </w:rPr>
              <w:t>符合第二章“投标人须知”第1.4.1项规定</w:t>
            </w:r>
          </w:p>
        </w:tc>
      </w:tr>
      <w:tr w14:paraId="70613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1059" w:type="dxa"/>
            <w:vMerge w:val="continue"/>
            <w:vAlign w:val="center"/>
          </w:tcPr>
          <w:p w14:paraId="0F020640">
            <w:pPr>
              <w:autoSpaceDE w:val="0"/>
              <w:autoSpaceDN w:val="0"/>
              <w:spacing w:line="400" w:lineRule="exact"/>
              <w:rPr>
                <w:rFonts w:hint="eastAsia" w:ascii="仿宋" w:hAnsi="仿宋" w:eastAsia="仿宋" w:cs="仿宋"/>
                <w:color w:val="auto"/>
                <w:sz w:val="22"/>
                <w:szCs w:val="21"/>
                <w:highlight w:val="none"/>
              </w:rPr>
            </w:pPr>
          </w:p>
        </w:tc>
        <w:tc>
          <w:tcPr>
            <w:tcW w:w="1245" w:type="dxa"/>
            <w:vMerge w:val="continue"/>
            <w:vAlign w:val="center"/>
          </w:tcPr>
          <w:p w14:paraId="5BB6702F">
            <w:pPr>
              <w:autoSpaceDE w:val="0"/>
              <w:autoSpaceDN w:val="0"/>
              <w:spacing w:line="400" w:lineRule="exact"/>
              <w:rPr>
                <w:rFonts w:hint="eastAsia" w:ascii="仿宋" w:hAnsi="仿宋" w:eastAsia="仿宋" w:cs="仿宋"/>
                <w:color w:val="auto"/>
                <w:sz w:val="22"/>
                <w:szCs w:val="21"/>
                <w:highlight w:val="none"/>
              </w:rPr>
            </w:pPr>
          </w:p>
        </w:tc>
        <w:tc>
          <w:tcPr>
            <w:tcW w:w="2496" w:type="dxa"/>
            <w:vAlign w:val="center"/>
          </w:tcPr>
          <w:p w14:paraId="00FA97FD">
            <w:pPr>
              <w:autoSpaceDE w:val="0"/>
              <w:autoSpaceDN w:val="0"/>
              <w:spacing w:line="400" w:lineRule="exact"/>
              <w:rPr>
                <w:rFonts w:hint="eastAsia" w:ascii="仿宋" w:hAnsi="仿宋" w:eastAsia="仿宋" w:cs="仿宋"/>
                <w:color w:val="auto"/>
                <w:sz w:val="22"/>
                <w:szCs w:val="21"/>
                <w:highlight w:val="none"/>
              </w:rPr>
            </w:pPr>
            <w:r>
              <w:rPr>
                <w:rFonts w:hint="eastAsia" w:ascii="仿宋" w:hAnsi="仿宋" w:eastAsia="仿宋" w:cs="仿宋"/>
                <w:color w:val="auto"/>
                <w:sz w:val="22"/>
                <w:szCs w:val="21"/>
                <w:highlight w:val="none"/>
              </w:rPr>
              <w:t>其它要求</w:t>
            </w:r>
          </w:p>
        </w:tc>
        <w:tc>
          <w:tcPr>
            <w:tcW w:w="4869" w:type="dxa"/>
            <w:vAlign w:val="center"/>
          </w:tcPr>
          <w:p w14:paraId="28A58161">
            <w:pPr>
              <w:autoSpaceDE w:val="0"/>
              <w:autoSpaceDN w:val="0"/>
              <w:spacing w:line="400" w:lineRule="exact"/>
              <w:rPr>
                <w:rFonts w:hint="eastAsia" w:ascii="仿宋" w:hAnsi="仿宋" w:eastAsia="仿宋" w:cs="仿宋"/>
                <w:color w:val="auto"/>
                <w:sz w:val="22"/>
                <w:szCs w:val="21"/>
                <w:highlight w:val="none"/>
              </w:rPr>
            </w:pPr>
            <w:r>
              <w:rPr>
                <w:rFonts w:hint="eastAsia" w:ascii="仿宋" w:hAnsi="仿宋" w:eastAsia="仿宋" w:cs="仿宋"/>
                <w:color w:val="auto"/>
                <w:sz w:val="22"/>
                <w:szCs w:val="21"/>
                <w:highlight w:val="none"/>
              </w:rPr>
              <w:t>符合第二章“投标人须知”第1.4.1项规定</w:t>
            </w:r>
          </w:p>
        </w:tc>
      </w:tr>
      <w:tr w14:paraId="7558E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2" w:hRule="atLeast"/>
          <w:jc w:val="center"/>
        </w:trPr>
        <w:tc>
          <w:tcPr>
            <w:tcW w:w="1059" w:type="dxa"/>
            <w:vMerge w:val="restart"/>
            <w:vAlign w:val="center"/>
          </w:tcPr>
          <w:p w14:paraId="5B7FD7FC">
            <w:pPr>
              <w:autoSpaceDE w:val="0"/>
              <w:autoSpaceDN w:val="0"/>
              <w:spacing w:line="400" w:lineRule="exact"/>
              <w:rPr>
                <w:rFonts w:hint="eastAsia" w:ascii="仿宋" w:hAnsi="仿宋" w:eastAsia="仿宋" w:cs="仿宋"/>
                <w:color w:val="auto"/>
                <w:sz w:val="22"/>
                <w:szCs w:val="21"/>
                <w:highlight w:val="none"/>
              </w:rPr>
            </w:pPr>
            <w:r>
              <w:rPr>
                <w:rFonts w:hint="eastAsia" w:ascii="仿宋" w:hAnsi="仿宋" w:eastAsia="仿宋" w:cs="仿宋"/>
                <w:color w:val="auto"/>
                <w:sz w:val="22"/>
                <w:szCs w:val="21"/>
                <w:highlight w:val="none"/>
              </w:rPr>
              <w:t>2.1.3</w:t>
            </w:r>
          </w:p>
        </w:tc>
        <w:tc>
          <w:tcPr>
            <w:tcW w:w="1245" w:type="dxa"/>
            <w:vMerge w:val="restart"/>
            <w:vAlign w:val="center"/>
          </w:tcPr>
          <w:p w14:paraId="528DC220">
            <w:pPr>
              <w:autoSpaceDE w:val="0"/>
              <w:autoSpaceDN w:val="0"/>
              <w:spacing w:line="400" w:lineRule="exact"/>
              <w:rPr>
                <w:rFonts w:hint="eastAsia" w:ascii="仿宋" w:hAnsi="仿宋" w:eastAsia="仿宋" w:cs="仿宋"/>
                <w:color w:val="auto"/>
                <w:sz w:val="22"/>
                <w:szCs w:val="21"/>
                <w:highlight w:val="none"/>
              </w:rPr>
            </w:pPr>
            <w:r>
              <w:rPr>
                <w:rFonts w:hint="eastAsia" w:ascii="仿宋" w:hAnsi="仿宋" w:eastAsia="仿宋" w:cs="仿宋"/>
                <w:color w:val="auto"/>
                <w:sz w:val="22"/>
                <w:szCs w:val="21"/>
                <w:highlight w:val="none"/>
              </w:rPr>
              <w:t>响应性评审标准</w:t>
            </w:r>
          </w:p>
        </w:tc>
        <w:tc>
          <w:tcPr>
            <w:tcW w:w="2496" w:type="dxa"/>
          </w:tcPr>
          <w:p w14:paraId="235D2ED4">
            <w:pPr>
              <w:autoSpaceDE w:val="0"/>
              <w:autoSpaceDN w:val="0"/>
              <w:spacing w:line="400" w:lineRule="exact"/>
              <w:rPr>
                <w:rFonts w:hint="eastAsia" w:ascii="仿宋" w:hAnsi="仿宋" w:eastAsia="仿宋" w:cs="仿宋"/>
                <w:color w:val="auto"/>
                <w:sz w:val="22"/>
                <w:szCs w:val="21"/>
                <w:highlight w:val="none"/>
              </w:rPr>
            </w:pPr>
            <w:r>
              <w:rPr>
                <w:rFonts w:hint="eastAsia" w:ascii="仿宋" w:hAnsi="仿宋" w:eastAsia="仿宋" w:cs="仿宋"/>
                <w:color w:val="auto"/>
                <w:sz w:val="22"/>
                <w:szCs w:val="21"/>
                <w:highlight w:val="none"/>
              </w:rPr>
              <w:t>投标报价</w:t>
            </w:r>
          </w:p>
        </w:tc>
        <w:tc>
          <w:tcPr>
            <w:tcW w:w="4869" w:type="dxa"/>
          </w:tcPr>
          <w:p w14:paraId="48DA2F64">
            <w:pPr>
              <w:autoSpaceDE w:val="0"/>
              <w:autoSpaceDN w:val="0"/>
              <w:spacing w:line="400" w:lineRule="exact"/>
              <w:rPr>
                <w:rFonts w:hint="eastAsia" w:ascii="仿宋" w:hAnsi="仿宋" w:eastAsia="仿宋" w:cs="仿宋"/>
                <w:color w:val="auto"/>
                <w:sz w:val="22"/>
                <w:szCs w:val="21"/>
                <w:highlight w:val="none"/>
              </w:rPr>
            </w:pPr>
            <w:r>
              <w:rPr>
                <w:rFonts w:hint="eastAsia" w:ascii="仿宋" w:hAnsi="仿宋" w:eastAsia="仿宋" w:cs="仿宋"/>
                <w:color w:val="auto"/>
                <w:sz w:val="22"/>
                <w:szCs w:val="21"/>
                <w:highlight w:val="none"/>
              </w:rPr>
              <w:t>符合第二章“投标人须知”第3.2款规定</w:t>
            </w:r>
          </w:p>
        </w:tc>
      </w:tr>
      <w:tr w14:paraId="54E9A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2" w:hRule="atLeast"/>
          <w:jc w:val="center"/>
        </w:trPr>
        <w:tc>
          <w:tcPr>
            <w:tcW w:w="1059" w:type="dxa"/>
            <w:vMerge w:val="continue"/>
            <w:vAlign w:val="center"/>
          </w:tcPr>
          <w:p w14:paraId="6EC50A7D">
            <w:pPr>
              <w:autoSpaceDE w:val="0"/>
              <w:autoSpaceDN w:val="0"/>
              <w:spacing w:line="400" w:lineRule="exact"/>
              <w:rPr>
                <w:rFonts w:hint="eastAsia" w:ascii="仿宋" w:hAnsi="仿宋" w:eastAsia="仿宋" w:cs="仿宋"/>
                <w:color w:val="auto"/>
                <w:sz w:val="22"/>
                <w:szCs w:val="21"/>
                <w:highlight w:val="none"/>
              </w:rPr>
            </w:pPr>
          </w:p>
        </w:tc>
        <w:tc>
          <w:tcPr>
            <w:tcW w:w="1245" w:type="dxa"/>
            <w:vMerge w:val="continue"/>
            <w:vAlign w:val="center"/>
          </w:tcPr>
          <w:p w14:paraId="18305692">
            <w:pPr>
              <w:autoSpaceDE w:val="0"/>
              <w:autoSpaceDN w:val="0"/>
              <w:spacing w:line="400" w:lineRule="exact"/>
              <w:rPr>
                <w:rFonts w:hint="eastAsia" w:ascii="仿宋" w:hAnsi="仿宋" w:eastAsia="仿宋" w:cs="仿宋"/>
                <w:color w:val="auto"/>
                <w:sz w:val="22"/>
                <w:szCs w:val="21"/>
                <w:highlight w:val="none"/>
              </w:rPr>
            </w:pPr>
          </w:p>
        </w:tc>
        <w:tc>
          <w:tcPr>
            <w:tcW w:w="2496" w:type="dxa"/>
            <w:vAlign w:val="center"/>
          </w:tcPr>
          <w:p w14:paraId="1175EDF1">
            <w:pPr>
              <w:autoSpaceDE w:val="0"/>
              <w:autoSpaceDN w:val="0"/>
              <w:spacing w:line="400" w:lineRule="exact"/>
              <w:rPr>
                <w:rFonts w:hint="eastAsia" w:ascii="仿宋" w:hAnsi="仿宋" w:eastAsia="仿宋" w:cs="仿宋"/>
                <w:color w:val="auto"/>
                <w:sz w:val="22"/>
                <w:szCs w:val="21"/>
                <w:highlight w:val="none"/>
              </w:rPr>
            </w:pPr>
            <w:r>
              <w:rPr>
                <w:rFonts w:hint="eastAsia" w:ascii="仿宋" w:hAnsi="仿宋" w:eastAsia="仿宋" w:cs="仿宋"/>
                <w:color w:val="auto"/>
                <w:sz w:val="22"/>
                <w:szCs w:val="21"/>
                <w:highlight w:val="none"/>
              </w:rPr>
              <w:t>投标内容</w:t>
            </w:r>
          </w:p>
        </w:tc>
        <w:tc>
          <w:tcPr>
            <w:tcW w:w="4869" w:type="dxa"/>
            <w:vAlign w:val="center"/>
          </w:tcPr>
          <w:p w14:paraId="7435F44A">
            <w:pPr>
              <w:autoSpaceDE w:val="0"/>
              <w:autoSpaceDN w:val="0"/>
              <w:spacing w:line="400" w:lineRule="exact"/>
              <w:rPr>
                <w:rFonts w:hint="eastAsia" w:ascii="仿宋" w:hAnsi="仿宋" w:eastAsia="仿宋" w:cs="仿宋"/>
                <w:color w:val="auto"/>
                <w:sz w:val="22"/>
                <w:szCs w:val="21"/>
                <w:highlight w:val="none"/>
              </w:rPr>
            </w:pPr>
            <w:r>
              <w:rPr>
                <w:rFonts w:hint="eastAsia" w:ascii="仿宋" w:hAnsi="仿宋" w:eastAsia="仿宋" w:cs="仿宋"/>
                <w:color w:val="auto"/>
                <w:sz w:val="22"/>
                <w:szCs w:val="21"/>
                <w:highlight w:val="none"/>
              </w:rPr>
              <w:t>符合第二章“投标人须知”第1.3.1项规定</w:t>
            </w:r>
          </w:p>
        </w:tc>
      </w:tr>
      <w:tr w14:paraId="619B3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2" w:hRule="atLeast"/>
          <w:jc w:val="center"/>
        </w:trPr>
        <w:tc>
          <w:tcPr>
            <w:tcW w:w="1059" w:type="dxa"/>
            <w:vMerge w:val="continue"/>
            <w:vAlign w:val="center"/>
          </w:tcPr>
          <w:p w14:paraId="23D82278">
            <w:pPr>
              <w:autoSpaceDE w:val="0"/>
              <w:autoSpaceDN w:val="0"/>
              <w:spacing w:line="400" w:lineRule="exact"/>
              <w:rPr>
                <w:rFonts w:hint="eastAsia" w:ascii="仿宋" w:hAnsi="仿宋" w:eastAsia="仿宋" w:cs="仿宋"/>
                <w:color w:val="auto"/>
                <w:sz w:val="22"/>
                <w:szCs w:val="21"/>
                <w:highlight w:val="none"/>
              </w:rPr>
            </w:pPr>
          </w:p>
        </w:tc>
        <w:tc>
          <w:tcPr>
            <w:tcW w:w="1245" w:type="dxa"/>
            <w:vMerge w:val="continue"/>
            <w:vAlign w:val="center"/>
          </w:tcPr>
          <w:p w14:paraId="35AF1163">
            <w:pPr>
              <w:autoSpaceDE w:val="0"/>
              <w:autoSpaceDN w:val="0"/>
              <w:spacing w:line="400" w:lineRule="exact"/>
              <w:rPr>
                <w:rFonts w:hint="eastAsia" w:ascii="仿宋" w:hAnsi="仿宋" w:eastAsia="仿宋" w:cs="仿宋"/>
                <w:color w:val="auto"/>
                <w:sz w:val="22"/>
                <w:szCs w:val="21"/>
                <w:highlight w:val="none"/>
              </w:rPr>
            </w:pPr>
          </w:p>
        </w:tc>
        <w:tc>
          <w:tcPr>
            <w:tcW w:w="2496" w:type="dxa"/>
            <w:vAlign w:val="center"/>
          </w:tcPr>
          <w:p w14:paraId="183ADADC">
            <w:pPr>
              <w:autoSpaceDE w:val="0"/>
              <w:autoSpaceDN w:val="0"/>
              <w:spacing w:line="400" w:lineRule="exact"/>
              <w:rPr>
                <w:rFonts w:hint="eastAsia" w:ascii="仿宋" w:hAnsi="仿宋" w:eastAsia="仿宋" w:cs="仿宋"/>
                <w:color w:val="auto"/>
                <w:sz w:val="22"/>
                <w:szCs w:val="21"/>
                <w:highlight w:val="none"/>
              </w:rPr>
            </w:pPr>
            <w:r>
              <w:rPr>
                <w:rFonts w:hint="eastAsia" w:ascii="仿宋" w:hAnsi="仿宋" w:eastAsia="仿宋" w:cs="仿宋"/>
                <w:color w:val="auto"/>
                <w:sz w:val="22"/>
                <w:szCs w:val="21"/>
                <w:highlight w:val="none"/>
              </w:rPr>
              <w:t>工期</w:t>
            </w:r>
          </w:p>
        </w:tc>
        <w:tc>
          <w:tcPr>
            <w:tcW w:w="4869" w:type="dxa"/>
            <w:vAlign w:val="center"/>
          </w:tcPr>
          <w:p w14:paraId="24EADFDF">
            <w:pPr>
              <w:autoSpaceDE w:val="0"/>
              <w:autoSpaceDN w:val="0"/>
              <w:spacing w:line="400" w:lineRule="exact"/>
              <w:rPr>
                <w:rFonts w:hint="eastAsia" w:ascii="仿宋" w:hAnsi="仿宋" w:eastAsia="仿宋" w:cs="仿宋"/>
                <w:color w:val="auto"/>
                <w:sz w:val="22"/>
                <w:szCs w:val="21"/>
                <w:highlight w:val="none"/>
              </w:rPr>
            </w:pPr>
            <w:r>
              <w:rPr>
                <w:rFonts w:hint="eastAsia" w:ascii="仿宋" w:hAnsi="仿宋" w:eastAsia="仿宋" w:cs="仿宋"/>
                <w:color w:val="auto"/>
                <w:sz w:val="22"/>
                <w:szCs w:val="21"/>
                <w:highlight w:val="none"/>
              </w:rPr>
              <w:t>符合第二章“投标人须知”第1.3.2项规定</w:t>
            </w:r>
          </w:p>
        </w:tc>
      </w:tr>
      <w:tr w14:paraId="46504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jc w:val="center"/>
        </w:trPr>
        <w:tc>
          <w:tcPr>
            <w:tcW w:w="1059" w:type="dxa"/>
            <w:vMerge w:val="continue"/>
            <w:vAlign w:val="center"/>
          </w:tcPr>
          <w:p w14:paraId="1BDE565B">
            <w:pPr>
              <w:autoSpaceDE w:val="0"/>
              <w:autoSpaceDN w:val="0"/>
              <w:spacing w:line="400" w:lineRule="exact"/>
              <w:rPr>
                <w:rFonts w:hint="eastAsia" w:ascii="仿宋" w:hAnsi="仿宋" w:eastAsia="仿宋" w:cs="仿宋"/>
                <w:color w:val="auto"/>
                <w:sz w:val="22"/>
                <w:szCs w:val="21"/>
                <w:highlight w:val="none"/>
              </w:rPr>
            </w:pPr>
          </w:p>
        </w:tc>
        <w:tc>
          <w:tcPr>
            <w:tcW w:w="1245" w:type="dxa"/>
            <w:vMerge w:val="continue"/>
            <w:vAlign w:val="center"/>
          </w:tcPr>
          <w:p w14:paraId="3BA39549">
            <w:pPr>
              <w:autoSpaceDE w:val="0"/>
              <w:autoSpaceDN w:val="0"/>
              <w:spacing w:line="400" w:lineRule="exact"/>
              <w:rPr>
                <w:rFonts w:hint="eastAsia" w:ascii="仿宋" w:hAnsi="仿宋" w:eastAsia="仿宋" w:cs="仿宋"/>
                <w:color w:val="auto"/>
                <w:sz w:val="22"/>
                <w:szCs w:val="21"/>
                <w:highlight w:val="none"/>
              </w:rPr>
            </w:pPr>
          </w:p>
        </w:tc>
        <w:tc>
          <w:tcPr>
            <w:tcW w:w="2496" w:type="dxa"/>
            <w:vAlign w:val="center"/>
          </w:tcPr>
          <w:p w14:paraId="0DA2DC27">
            <w:pPr>
              <w:autoSpaceDE w:val="0"/>
              <w:autoSpaceDN w:val="0"/>
              <w:spacing w:line="400" w:lineRule="exact"/>
              <w:rPr>
                <w:rFonts w:hint="eastAsia" w:ascii="仿宋" w:hAnsi="仿宋" w:eastAsia="仿宋" w:cs="仿宋"/>
                <w:color w:val="auto"/>
                <w:sz w:val="22"/>
                <w:szCs w:val="21"/>
                <w:highlight w:val="none"/>
              </w:rPr>
            </w:pPr>
            <w:r>
              <w:rPr>
                <w:rFonts w:hint="eastAsia" w:ascii="仿宋" w:hAnsi="仿宋" w:eastAsia="仿宋" w:cs="仿宋"/>
                <w:color w:val="auto"/>
                <w:sz w:val="22"/>
                <w:szCs w:val="21"/>
                <w:highlight w:val="none"/>
              </w:rPr>
              <w:t>工程质量</w:t>
            </w:r>
          </w:p>
        </w:tc>
        <w:tc>
          <w:tcPr>
            <w:tcW w:w="4869" w:type="dxa"/>
            <w:vAlign w:val="center"/>
          </w:tcPr>
          <w:p w14:paraId="3BE47459">
            <w:pPr>
              <w:autoSpaceDE w:val="0"/>
              <w:autoSpaceDN w:val="0"/>
              <w:spacing w:line="400" w:lineRule="exact"/>
              <w:rPr>
                <w:rFonts w:hint="eastAsia" w:ascii="仿宋" w:hAnsi="仿宋" w:eastAsia="仿宋" w:cs="仿宋"/>
                <w:color w:val="auto"/>
                <w:sz w:val="22"/>
                <w:szCs w:val="21"/>
                <w:highlight w:val="none"/>
              </w:rPr>
            </w:pPr>
            <w:r>
              <w:rPr>
                <w:rFonts w:hint="eastAsia" w:ascii="仿宋" w:hAnsi="仿宋" w:eastAsia="仿宋" w:cs="仿宋"/>
                <w:color w:val="auto"/>
                <w:sz w:val="22"/>
                <w:szCs w:val="21"/>
                <w:highlight w:val="none"/>
              </w:rPr>
              <w:t>符合第二章“投标人须知”第1.3.3项规定</w:t>
            </w:r>
          </w:p>
        </w:tc>
      </w:tr>
      <w:tr w14:paraId="2380C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jc w:val="center"/>
        </w:trPr>
        <w:tc>
          <w:tcPr>
            <w:tcW w:w="1059" w:type="dxa"/>
            <w:vMerge w:val="continue"/>
            <w:vAlign w:val="center"/>
          </w:tcPr>
          <w:p w14:paraId="118C1B3D">
            <w:pPr>
              <w:autoSpaceDE w:val="0"/>
              <w:autoSpaceDN w:val="0"/>
              <w:spacing w:line="400" w:lineRule="exact"/>
              <w:rPr>
                <w:rFonts w:hint="eastAsia" w:ascii="仿宋" w:hAnsi="仿宋" w:eastAsia="仿宋" w:cs="仿宋"/>
                <w:color w:val="auto"/>
                <w:sz w:val="22"/>
                <w:szCs w:val="21"/>
                <w:highlight w:val="none"/>
              </w:rPr>
            </w:pPr>
          </w:p>
        </w:tc>
        <w:tc>
          <w:tcPr>
            <w:tcW w:w="1245" w:type="dxa"/>
            <w:vMerge w:val="continue"/>
            <w:vAlign w:val="center"/>
          </w:tcPr>
          <w:p w14:paraId="46FDB0E7">
            <w:pPr>
              <w:autoSpaceDE w:val="0"/>
              <w:autoSpaceDN w:val="0"/>
              <w:spacing w:line="400" w:lineRule="exact"/>
              <w:rPr>
                <w:rFonts w:hint="eastAsia" w:ascii="仿宋" w:hAnsi="仿宋" w:eastAsia="仿宋" w:cs="仿宋"/>
                <w:color w:val="auto"/>
                <w:sz w:val="22"/>
                <w:szCs w:val="21"/>
                <w:highlight w:val="none"/>
              </w:rPr>
            </w:pPr>
          </w:p>
        </w:tc>
        <w:tc>
          <w:tcPr>
            <w:tcW w:w="2496" w:type="dxa"/>
            <w:vAlign w:val="center"/>
          </w:tcPr>
          <w:p w14:paraId="0D785B2C">
            <w:pPr>
              <w:autoSpaceDE w:val="0"/>
              <w:autoSpaceDN w:val="0"/>
              <w:spacing w:line="400" w:lineRule="exact"/>
              <w:rPr>
                <w:rFonts w:hint="eastAsia" w:ascii="仿宋" w:hAnsi="仿宋" w:eastAsia="仿宋" w:cs="仿宋"/>
                <w:color w:val="auto"/>
                <w:sz w:val="22"/>
                <w:szCs w:val="21"/>
                <w:highlight w:val="none"/>
              </w:rPr>
            </w:pPr>
            <w:r>
              <w:rPr>
                <w:rFonts w:hint="eastAsia" w:ascii="仿宋" w:hAnsi="仿宋" w:eastAsia="仿宋" w:cs="仿宋"/>
                <w:color w:val="auto"/>
                <w:sz w:val="22"/>
                <w:szCs w:val="21"/>
                <w:highlight w:val="none"/>
              </w:rPr>
              <w:t>投标有效期</w:t>
            </w:r>
          </w:p>
        </w:tc>
        <w:tc>
          <w:tcPr>
            <w:tcW w:w="4869" w:type="dxa"/>
            <w:vAlign w:val="center"/>
          </w:tcPr>
          <w:p w14:paraId="5D4E64E0">
            <w:pPr>
              <w:autoSpaceDE w:val="0"/>
              <w:autoSpaceDN w:val="0"/>
              <w:spacing w:line="400" w:lineRule="exact"/>
              <w:rPr>
                <w:rFonts w:hint="eastAsia" w:ascii="仿宋" w:hAnsi="仿宋" w:eastAsia="仿宋" w:cs="仿宋"/>
                <w:color w:val="auto"/>
                <w:sz w:val="22"/>
                <w:szCs w:val="21"/>
                <w:highlight w:val="none"/>
              </w:rPr>
            </w:pPr>
            <w:r>
              <w:rPr>
                <w:rFonts w:hint="eastAsia" w:ascii="仿宋" w:hAnsi="仿宋" w:eastAsia="仿宋" w:cs="仿宋"/>
                <w:color w:val="auto"/>
                <w:sz w:val="22"/>
                <w:szCs w:val="21"/>
                <w:highlight w:val="none"/>
              </w:rPr>
              <w:t>符合第二章“投标人须知”第3.3.1项规定</w:t>
            </w:r>
          </w:p>
        </w:tc>
      </w:tr>
      <w:tr w14:paraId="4D8C1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1059" w:type="dxa"/>
            <w:vMerge w:val="continue"/>
            <w:vAlign w:val="center"/>
          </w:tcPr>
          <w:p w14:paraId="1D683054">
            <w:pPr>
              <w:autoSpaceDE w:val="0"/>
              <w:autoSpaceDN w:val="0"/>
              <w:spacing w:line="400" w:lineRule="exact"/>
              <w:rPr>
                <w:rFonts w:hint="eastAsia" w:ascii="仿宋" w:hAnsi="仿宋" w:eastAsia="仿宋" w:cs="仿宋"/>
                <w:color w:val="auto"/>
                <w:sz w:val="22"/>
                <w:szCs w:val="21"/>
                <w:highlight w:val="none"/>
              </w:rPr>
            </w:pPr>
          </w:p>
        </w:tc>
        <w:tc>
          <w:tcPr>
            <w:tcW w:w="1245" w:type="dxa"/>
            <w:vMerge w:val="continue"/>
            <w:vAlign w:val="center"/>
          </w:tcPr>
          <w:p w14:paraId="4112BC17">
            <w:pPr>
              <w:autoSpaceDE w:val="0"/>
              <w:autoSpaceDN w:val="0"/>
              <w:spacing w:line="400" w:lineRule="exact"/>
              <w:rPr>
                <w:rFonts w:hint="eastAsia" w:ascii="仿宋" w:hAnsi="仿宋" w:eastAsia="仿宋" w:cs="仿宋"/>
                <w:color w:val="auto"/>
                <w:sz w:val="22"/>
                <w:szCs w:val="21"/>
                <w:highlight w:val="none"/>
              </w:rPr>
            </w:pPr>
          </w:p>
        </w:tc>
        <w:tc>
          <w:tcPr>
            <w:tcW w:w="2496" w:type="dxa"/>
            <w:vAlign w:val="center"/>
          </w:tcPr>
          <w:p w14:paraId="06C69354">
            <w:pPr>
              <w:autoSpaceDE w:val="0"/>
              <w:autoSpaceDN w:val="0"/>
              <w:spacing w:line="400" w:lineRule="exact"/>
              <w:rPr>
                <w:rFonts w:hint="eastAsia" w:ascii="仿宋" w:hAnsi="仿宋" w:eastAsia="仿宋" w:cs="仿宋"/>
                <w:color w:val="auto"/>
                <w:sz w:val="22"/>
                <w:szCs w:val="21"/>
                <w:highlight w:val="none"/>
              </w:rPr>
            </w:pPr>
            <w:r>
              <w:rPr>
                <w:rFonts w:hint="eastAsia" w:ascii="仿宋" w:hAnsi="仿宋" w:eastAsia="仿宋" w:cs="仿宋"/>
                <w:color w:val="auto"/>
                <w:sz w:val="22"/>
                <w:szCs w:val="21"/>
                <w:highlight w:val="none"/>
              </w:rPr>
              <w:t>权利义务</w:t>
            </w:r>
          </w:p>
        </w:tc>
        <w:tc>
          <w:tcPr>
            <w:tcW w:w="4869" w:type="dxa"/>
            <w:vAlign w:val="center"/>
          </w:tcPr>
          <w:p w14:paraId="0B0EB03F">
            <w:pPr>
              <w:autoSpaceDE w:val="0"/>
              <w:autoSpaceDN w:val="0"/>
              <w:spacing w:line="400" w:lineRule="exact"/>
              <w:rPr>
                <w:rFonts w:hint="eastAsia" w:ascii="仿宋" w:hAnsi="仿宋" w:eastAsia="仿宋" w:cs="仿宋"/>
                <w:color w:val="auto"/>
                <w:sz w:val="22"/>
                <w:szCs w:val="21"/>
                <w:highlight w:val="none"/>
              </w:rPr>
            </w:pPr>
            <w:r>
              <w:rPr>
                <w:rFonts w:hint="eastAsia" w:ascii="仿宋" w:hAnsi="仿宋" w:eastAsia="仿宋" w:cs="仿宋"/>
                <w:color w:val="auto"/>
                <w:sz w:val="22"/>
                <w:szCs w:val="21"/>
                <w:highlight w:val="none"/>
              </w:rPr>
              <w:t>符合第四章“合同条款及格式”规定，投标文件不应附有招标人不能接受的条件。</w:t>
            </w:r>
          </w:p>
        </w:tc>
      </w:tr>
      <w:tr w14:paraId="3D372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1" w:hRule="atLeast"/>
          <w:jc w:val="center"/>
        </w:trPr>
        <w:tc>
          <w:tcPr>
            <w:tcW w:w="1059" w:type="dxa"/>
            <w:vMerge w:val="continue"/>
            <w:vAlign w:val="center"/>
          </w:tcPr>
          <w:p w14:paraId="11CAE766">
            <w:pPr>
              <w:autoSpaceDE w:val="0"/>
              <w:autoSpaceDN w:val="0"/>
              <w:spacing w:line="400" w:lineRule="exact"/>
              <w:rPr>
                <w:rFonts w:hint="eastAsia" w:ascii="仿宋" w:hAnsi="仿宋" w:eastAsia="仿宋" w:cs="仿宋"/>
                <w:color w:val="auto"/>
                <w:sz w:val="22"/>
                <w:szCs w:val="21"/>
                <w:highlight w:val="none"/>
              </w:rPr>
            </w:pPr>
          </w:p>
        </w:tc>
        <w:tc>
          <w:tcPr>
            <w:tcW w:w="1245" w:type="dxa"/>
            <w:vMerge w:val="continue"/>
            <w:vAlign w:val="center"/>
          </w:tcPr>
          <w:p w14:paraId="301BFE89">
            <w:pPr>
              <w:autoSpaceDE w:val="0"/>
              <w:autoSpaceDN w:val="0"/>
              <w:spacing w:line="400" w:lineRule="exact"/>
              <w:rPr>
                <w:rFonts w:hint="eastAsia" w:ascii="仿宋" w:hAnsi="仿宋" w:eastAsia="仿宋" w:cs="仿宋"/>
                <w:color w:val="auto"/>
                <w:sz w:val="22"/>
                <w:szCs w:val="21"/>
                <w:highlight w:val="none"/>
              </w:rPr>
            </w:pPr>
          </w:p>
        </w:tc>
        <w:tc>
          <w:tcPr>
            <w:tcW w:w="2496" w:type="dxa"/>
            <w:vAlign w:val="center"/>
          </w:tcPr>
          <w:p w14:paraId="3D009660">
            <w:pPr>
              <w:autoSpaceDE w:val="0"/>
              <w:autoSpaceDN w:val="0"/>
              <w:spacing w:line="400" w:lineRule="exact"/>
              <w:rPr>
                <w:rFonts w:hint="eastAsia" w:ascii="仿宋" w:hAnsi="仿宋" w:eastAsia="仿宋" w:cs="仿宋"/>
                <w:color w:val="auto"/>
                <w:sz w:val="22"/>
                <w:szCs w:val="21"/>
                <w:highlight w:val="none"/>
              </w:rPr>
            </w:pPr>
            <w:r>
              <w:rPr>
                <w:rFonts w:hint="eastAsia" w:ascii="仿宋" w:hAnsi="仿宋" w:eastAsia="仿宋" w:cs="仿宋"/>
                <w:color w:val="auto"/>
                <w:sz w:val="22"/>
                <w:szCs w:val="21"/>
                <w:highlight w:val="none"/>
              </w:rPr>
              <w:t>实质性要求</w:t>
            </w:r>
          </w:p>
        </w:tc>
        <w:tc>
          <w:tcPr>
            <w:tcW w:w="4869" w:type="dxa"/>
            <w:vAlign w:val="center"/>
          </w:tcPr>
          <w:p w14:paraId="5A95BB16">
            <w:pPr>
              <w:autoSpaceDE w:val="0"/>
              <w:autoSpaceDN w:val="0"/>
              <w:spacing w:line="400" w:lineRule="exact"/>
              <w:rPr>
                <w:rFonts w:hint="eastAsia" w:ascii="仿宋" w:hAnsi="仿宋" w:eastAsia="仿宋" w:cs="仿宋"/>
                <w:color w:val="auto"/>
                <w:sz w:val="22"/>
                <w:szCs w:val="21"/>
                <w:highlight w:val="none"/>
              </w:rPr>
            </w:pPr>
            <w:r>
              <w:rPr>
                <w:rFonts w:hint="eastAsia" w:ascii="仿宋" w:hAnsi="仿宋" w:eastAsia="仿宋" w:cs="仿宋"/>
                <w:color w:val="auto"/>
                <w:sz w:val="22"/>
                <w:szCs w:val="21"/>
                <w:highlight w:val="none"/>
              </w:rPr>
              <w:t>符合招标文件中规定的其他实质性要求。</w:t>
            </w:r>
          </w:p>
        </w:tc>
      </w:tr>
      <w:tr w14:paraId="4834D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59" w:type="dxa"/>
            <w:vAlign w:val="center"/>
          </w:tcPr>
          <w:p w14:paraId="09265304">
            <w:pPr>
              <w:autoSpaceDE w:val="0"/>
              <w:autoSpaceDN w:val="0"/>
              <w:spacing w:line="400" w:lineRule="exact"/>
              <w:rPr>
                <w:rFonts w:hint="eastAsia" w:ascii="仿宋" w:hAnsi="仿宋" w:eastAsia="仿宋" w:cs="仿宋"/>
                <w:color w:val="auto"/>
                <w:sz w:val="22"/>
                <w:szCs w:val="21"/>
                <w:highlight w:val="none"/>
              </w:rPr>
            </w:pPr>
            <w:r>
              <w:rPr>
                <w:rFonts w:hint="eastAsia" w:ascii="仿宋" w:hAnsi="仿宋" w:eastAsia="仿宋" w:cs="仿宋"/>
                <w:color w:val="auto"/>
                <w:sz w:val="22"/>
                <w:szCs w:val="21"/>
                <w:highlight w:val="none"/>
              </w:rPr>
              <w:t>2.2.1</w:t>
            </w:r>
          </w:p>
        </w:tc>
        <w:tc>
          <w:tcPr>
            <w:tcW w:w="1245" w:type="dxa"/>
            <w:vAlign w:val="center"/>
          </w:tcPr>
          <w:p w14:paraId="1E4B6A31">
            <w:pPr>
              <w:autoSpaceDE w:val="0"/>
              <w:autoSpaceDN w:val="0"/>
              <w:spacing w:line="400" w:lineRule="exact"/>
              <w:rPr>
                <w:rFonts w:hint="eastAsia" w:ascii="仿宋" w:hAnsi="仿宋" w:eastAsia="仿宋" w:cs="仿宋"/>
                <w:color w:val="auto"/>
                <w:sz w:val="22"/>
                <w:szCs w:val="21"/>
                <w:highlight w:val="none"/>
              </w:rPr>
            </w:pPr>
            <w:r>
              <w:rPr>
                <w:rFonts w:hint="eastAsia" w:ascii="仿宋" w:hAnsi="仿宋" w:eastAsia="仿宋" w:cs="仿宋"/>
                <w:color w:val="auto"/>
                <w:sz w:val="22"/>
                <w:szCs w:val="21"/>
                <w:highlight w:val="none"/>
              </w:rPr>
              <w:t>评分</w:t>
            </w:r>
          </w:p>
        </w:tc>
        <w:tc>
          <w:tcPr>
            <w:tcW w:w="2496" w:type="dxa"/>
            <w:vAlign w:val="center"/>
          </w:tcPr>
          <w:p w14:paraId="4E3593F2">
            <w:pPr>
              <w:autoSpaceDE w:val="0"/>
              <w:autoSpaceDN w:val="0"/>
              <w:spacing w:line="400" w:lineRule="exact"/>
              <w:rPr>
                <w:rFonts w:hint="eastAsia" w:ascii="仿宋" w:hAnsi="仿宋" w:eastAsia="仿宋" w:cs="仿宋"/>
                <w:color w:val="auto"/>
                <w:sz w:val="22"/>
                <w:szCs w:val="21"/>
                <w:highlight w:val="none"/>
              </w:rPr>
            </w:pPr>
            <w:r>
              <w:rPr>
                <w:rFonts w:hint="eastAsia" w:ascii="仿宋" w:hAnsi="仿宋" w:eastAsia="仿宋" w:cs="仿宋"/>
                <w:color w:val="auto"/>
                <w:sz w:val="22"/>
                <w:szCs w:val="21"/>
                <w:highlight w:val="none"/>
              </w:rPr>
              <w:t>分值构成</w:t>
            </w:r>
          </w:p>
          <w:p w14:paraId="787982F4">
            <w:pPr>
              <w:autoSpaceDE w:val="0"/>
              <w:autoSpaceDN w:val="0"/>
              <w:spacing w:line="400" w:lineRule="exact"/>
              <w:rPr>
                <w:rFonts w:hint="eastAsia" w:ascii="仿宋" w:hAnsi="仿宋" w:eastAsia="仿宋" w:cs="仿宋"/>
                <w:color w:val="auto"/>
                <w:sz w:val="22"/>
                <w:szCs w:val="21"/>
                <w:highlight w:val="none"/>
              </w:rPr>
            </w:pPr>
            <w:r>
              <w:rPr>
                <w:rFonts w:hint="eastAsia" w:ascii="仿宋" w:hAnsi="仿宋" w:eastAsia="仿宋" w:cs="仿宋"/>
                <w:color w:val="auto"/>
                <w:sz w:val="22"/>
                <w:szCs w:val="21"/>
                <w:highlight w:val="none"/>
              </w:rPr>
              <w:t>(总分1OO分)</w:t>
            </w:r>
          </w:p>
        </w:tc>
        <w:tc>
          <w:tcPr>
            <w:tcW w:w="4869" w:type="dxa"/>
          </w:tcPr>
          <w:p w14:paraId="68A1B4E3">
            <w:pPr>
              <w:autoSpaceDE w:val="0"/>
              <w:autoSpaceDN w:val="0"/>
              <w:spacing w:line="400" w:lineRule="exact"/>
              <w:rPr>
                <w:rFonts w:hint="eastAsia" w:ascii="仿宋" w:hAnsi="仿宋" w:eastAsia="仿宋" w:cs="仿宋"/>
                <w:color w:val="auto"/>
                <w:sz w:val="22"/>
                <w:szCs w:val="21"/>
                <w:highlight w:val="none"/>
              </w:rPr>
            </w:pPr>
            <w:r>
              <w:rPr>
                <w:rFonts w:hint="eastAsia" w:ascii="仿宋" w:hAnsi="仿宋" w:eastAsia="仿宋" w:cs="仿宋"/>
                <w:color w:val="auto"/>
                <w:sz w:val="22"/>
                <w:szCs w:val="21"/>
                <w:highlight w:val="none"/>
              </w:rPr>
              <w:t>1.投标总报价</w:t>
            </w:r>
            <w:r>
              <w:rPr>
                <w:rFonts w:hint="eastAsia" w:ascii="仿宋" w:hAnsi="仿宋" w:eastAsia="仿宋" w:cs="仿宋"/>
                <w:color w:val="auto"/>
                <w:sz w:val="22"/>
                <w:szCs w:val="21"/>
                <w:highlight w:val="none"/>
                <w:lang w:val="en-US" w:eastAsia="zh-CN"/>
              </w:rPr>
              <w:t>6</w:t>
            </w:r>
            <w:r>
              <w:rPr>
                <w:rFonts w:hint="eastAsia" w:ascii="仿宋" w:hAnsi="仿宋" w:eastAsia="仿宋" w:cs="仿宋"/>
                <w:color w:val="auto"/>
                <w:sz w:val="22"/>
                <w:szCs w:val="21"/>
                <w:highlight w:val="none"/>
              </w:rPr>
              <w:t>0分；</w:t>
            </w:r>
          </w:p>
          <w:p w14:paraId="4181755E">
            <w:pPr>
              <w:autoSpaceDE w:val="0"/>
              <w:autoSpaceDN w:val="0"/>
              <w:spacing w:line="400" w:lineRule="exact"/>
              <w:rPr>
                <w:rFonts w:hint="default" w:eastAsia="仿宋"/>
                <w:highlight w:val="none"/>
                <w:lang w:val="en-US" w:eastAsia="zh-CN"/>
              </w:rPr>
            </w:pPr>
            <w:r>
              <w:rPr>
                <w:rFonts w:hint="eastAsia" w:ascii="仿宋" w:hAnsi="仿宋" w:eastAsia="仿宋" w:cs="仿宋"/>
                <w:color w:val="auto"/>
                <w:sz w:val="22"/>
                <w:szCs w:val="21"/>
                <w:highlight w:val="none"/>
              </w:rPr>
              <w:t>2.技术方案</w:t>
            </w:r>
            <w:r>
              <w:rPr>
                <w:rFonts w:hint="eastAsia" w:ascii="仿宋" w:hAnsi="仿宋" w:eastAsia="仿宋" w:cs="仿宋"/>
                <w:color w:val="auto"/>
                <w:sz w:val="22"/>
                <w:szCs w:val="21"/>
                <w:highlight w:val="none"/>
                <w:lang w:val="en-US" w:eastAsia="zh-CN"/>
              </w:rPr>
              <w:t>4</w:t>
            </w:r>
            <w:r>
              <w:rPr>
                <w:rFonts w:hint="eastAsia" w:ascii="仿宋" w:hAnsi="仿宋" w:eastAsia="仿宋" w:cs="仿宋"/>
                <w:color w:val="auto"/>
                <w:sz w:val="22"/>
                <w:szCs w:val="21"/>
                <w:highlight w:val="none"/>
              </w:rPr>
              <w:t>0分。</w:t>
            </w:r>
          </w:p>
        </w:tc>
      </w:tr>
      <w:tr w14:paraId="1FDBA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59" w:type="dxa"/>
            <w:vAlign w:val="center"/>
          </w:tcPr>
          <w:p w14:paraId="2E0BFA31">
            <w:pPr>
              <w:autoSpaceDE w:val="0"/>
              <w:autoSpaceDN w:val="0"/>
              <w:spacing w:line="400" w:lineRule="exact"/>
              <w:rPr>
                <w:rFonts w:hint="eastAsia" w:ascii="仿宋" w:hAnsi="仿宋" w:eastAsia="仿宋" w:cs="仿宋"/>
                <w:color w:val="auto"/>
                <w:sz w:val="22"/>
                <w:szCs w:val="21"/>
                <w:highlight w:val="none"/>
              </w:rPr>
            </w:pPr>
            <w:r>
              <w:rPr>
                <w:rFonts w:hint="eastAsia" w:ascii="仿宋" w:hAnsi="仿宋" w:eastAsia="仿宋" w:cs="仿宋"/>
                <w:color w:val="auto"/>
                <w:sz w:val="22"/>
                <w:szCs w:val="21"/>
                <w:highlight w:val="none"/>
              </w:rPr>
              <w:t>2.2.2</w:t>
            </w:r>
          </w:p>
        </w:tc>
        <w:tc>
          <w:tcPr>
            <w:tcW w:w="1245" w:type="dxa"/>
            <w:vAlign w:val="center"/>
          </w:tcPr>
          <w:p w14:paraId="1C89F255">
            <w:pPr>
              <w:autoSpaceDE w:val="0"/>
              <w:autoSpaceDN w:val="0"/>
              <w:spacing w:line="400" w:lineRule="exact"/>
              <w:rPr>
                <w:rFonts w:hint="eastAsia" w:ascii="仿宋" w:hAnsi="仿宋" w:eastAsia="仿宋" w:cs="仿宋"/>
                <w:color w:val="auto"/>
                <w:sz w:val="22"/>
                <w:szCs w:val="21"/>
                <w:highlight w:val="none"/>
              </w:rPr>
            </w:pPr>
            <w:r>
              <w:rPr>
                <w:rFonts w:hint="eastAsia" w:ascii="仿宋" w:hAnsi="仿宋" w:eastAsia="仿宋" w:cs="仿宋"/>
                <w:color w:val="auto"/>
                <w:sz w:val="22"/>
                <w:szCs w:val="21"/>
                <w:highlight w:val="none"/>
              </w:rPr>
              <w:t>评标基准价计算方法</w:t>
            </w:r>
          </w:p>
        </w:tc>
        <w:tc>
          <w:tcPr>
            <w:tcW w:w="2496" w:type="dxa"/>
            <w:vAlign w:val="center"/>
          </w:tcPr>
          <w:p w14:paraId="73227A1F">
            <w:pPr>
              <w:autoSpaceDE w:val="0"/>
              <w:autoSpaceDN w:val="0"/>
              <w:spacing w:line="400" w:lineRule="exact"/>
              <w:rPr>
                <w:rFonts w:hint="eastAsia" w:ascii="仿宋" w:hAnsi="仿宋" w:eastAsia="仿宋" w:cs="仿宋"/>
                <w:color w:val="auto"/>
                <w:sz w:val="22"/>
                <w:szCs w:val="21"/>
                <w:highlight w:val="none"/>
              </w:rPr>
            </w:pPr>
            <w:r>
              <w:rPr>
                <w:rFonts w:hint="eastAsia" w:ascii="仿宋" w:hAnsi="仿宋" w:eastAsia="仿宋" w:cs="仿宋"/>
                <w:color w:val="auto"/>
                <w:sz w:val="22"/>
                <w:szCs w:val="21"/>
                <w:highlight w:val="none"/>
              </w:rPr>
              <w:t>投标总报价</w:t>
            </w:r>
          </w:p>
        </w:tc>
        <w:tc>
          <w:tcPr>
            <w:tcW w:w="4869" w:type="dxa"/>
          </w:tcPr>
          <w:p w14:paraId="0CB3EFE6">
            <w:pPr>
              <w:autoSpaceDE w:val="0"/>
              <w:autoSpaceDN w:val="0"/>
              <w:spacing w:line="400" w:lineRule="exact"/>
              <w:rPr>
                <w:rFonts w:hint="eastAsia" w:ascii="仿宋" w:hAnsi="仿宋" w:eastAsia="仿宋" w:cs="仿宋"/>
                <w:color w:val="auto"/>
                <w:sz w:val="22"/>
                <w:szCs w:val="21"/>
                <w:highlight w:val="none"/>
              </w:rPr>
            </w:pPr>
            <w:r>
              <w:rPr>
                <w:rFonts w:hint="eastAsia" w:ascii="仿宋" w:hAnsi="仿宋" w:eastAsia="仿宋" w:cs="仿宋"/>
                <w:color w:val="auto"/>
                <w:sz w:val="22"/>
                <w:szCs w:val="21"/>
                <w:highlight w:val="none"/>
              </w:rPr>
              <w:t>所有通过初步评审合格的投标人（招标人设有最高限价的，则投标总报价高于最高限价的除外）的投标总报价中去掉六分之一（不能整除的按小数点前整数取整，不足六家报价则不去掉）的最低价和相同家数的最高价后的算术平均值即为评标基准价。</w:t>
            </w:r>
          </w:p>
          <w:p w14:paraId="5C665280">
            <w:pPr>
              <w:autoSpaceDE w:val="0"/>
              <w:autoSpaceDN w:val="0"/>
              <w:spacing w:line="400" w:lineRule="exact"/>
              <w:rPr>
                <w:rFonts w:hint="eastAsia" w:ascii="仿宋" w:hAnsi="仿宋" w:eastAsia="仿宋" w:cs="仿宋"/>
                <w:color w:val="auto"/>
                <w:sz w:val="22"/>
                <w:szCs w:val="21"/>
                <w:highlight w:val="none"/>
              </w:rPr>
            </w:pPr>
            <w:r>
              <w:rPr>
                <w:rFonts w:hint="eastAsia" w:ascii="仿宋" w:hAnsi="仿宋" w:eastAsia="仿宋" w:cs="仿宋"/>
                <w:color w:val="auto"/>
                <w:sz w:val="22"/>
                <w:szCs w:val="21"/>
                <w:highlight w:val="none"/>
              </w:rPr>
              <w:t>在此基础上，投标报价与评标准基价相比，每增加1%扣0.5分，每减少1%扣0.2</w:t>
            </w:r>
            <w:r>
              <w:rPr>
                <w:rFonts w:hint="eastAsia" w:ascii="仿宋" w:hAnsi="仿宋" w:eastAsia="仿宋" w:cs="仿宋"/>
                <w:color w:val="auto"/>
                <w:sz w:val="22"/>
                <w:szCs w:val="21"/>
                <w:highlight w:val="none"/>
                <w:lang w:val="en-US" w:eastAsia="zh-CN"/>
              </w:rPr>
              <w:t>5</w:t>
            </w:r>
            <w:r>
              <w:rPr>
                <w:rFonts w:hint="eastAsia" w:ascii="仿宋" w:hAnsi="仿宋" w:eastAsia="仿宋" w:cs="仿宋"/>
                <w:color w:val="auto"/>
                <w:sz w:val="22"/>
                <w:szCs w:val="21"/>
                <w:highlight w:val="none"/>
              </w:rPr>
              <w:t>分，扣完为止。</w:t>
            </w:r>
          </w:p>
          <w:p w14:paraId="24E633BA">
            <w:pPr>
              <w:autoSpaceDE w:val="0"/>
              <w:autoSpaceDN w:val="0"/>
              <w:spacing w:line="400" w:lineRule="exact"/>
              <w:rPr>
                <w:rFonts w:hint="eastAsia" w:ascii="仿宋" w:hAnsi="仿宋" w:eastAsia="仿宋" w:cs="仿宋"/>
                <w:color w:val="auto"/>
                <w:sz w:val="22"/>
                <w:szCs w:val="21"/>
                <w:highlight w:val="none"/>
              </w:rPr>
            </w:pPr>
            <w:r>
              <w:rPr>
                <w:rFonts w:hint="eastAsia" w:ascii="仿宋" w:hAnsi="仿宋" w:eastAsia="仿宋" w:cs="仿宋"/>
                <w:color w:val="auto"/>
                <w:sz w:val="22"/>
                <w:szCs w:val="21"/>
                <w:highlight w:val="none"/>
              </w:rPr>
              <w:t>按插入法计算得分。</w:t>
            </w:r>
          </w:p>
          <w:p w14:paraId="6E070F1D">
            <w:pPr>
              <w:autoSpaceDE w:val="0"/>
              <w:autoSpaceDN w:val="0"/>
              <w:spacing w:line="400" w:lineRule="exact"/>
              <w:rPr>
                <w:rFonts w:hint="eastAsia" w:ascii="仿宋" w:hAnsi="仿宋" w:eastAsia="仿宋" w:cs="仿宋"/>
                <w:color w:val="auto"/>
                <w:sz w:val="22"/>
                <w:szCs w:val="21"/>
                <w:highlight w:val="none"/>
              </w:rPr>
            </w:pPr>
            <w:r>
              <w:rPr>
                <w:rFonts w:hint="eastAsia" w:ascii="仿宋" w:hAnsi="仿宋" w:eastAsia="仿宋" w:cs="仿宋"/>
                <w:color w:val="auto"/>
                <w:sz w:val="22"/>
                <w:szCs w:val="21"/>
                <w:highlight w:val="none"/>
              </w:rPr>
              <w:t>以上计算取小数点后两位，第三位四舍五入。</w:t>
            </w:r>
          </w:p>
        </w:tc>
      </w:tr>
      <w:tr w14:paraId="1ECD2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059" w:type="dxa"/>
            <w:vAlign w:val="center"/>
          </w:tcPr>
          <w:p w14:paraId="498C3860">
            <w:pPr>
              <w:autoSpaceDE w:val="0"/>
              <w:autoSpaceDN w:val="0"/>
              <w:spacing w:line="400" w:lineRule="exact"/>
              <w:rPr>
                <w:rFonts w:hint="eastAsia" w:ascii="仿宋" w:hAnsi="仿宋" w:eastAsia="仿宋" w:cs="仿宋"/>
                <w:color w:val="auto"/>
                <w:sz w:val="22"/>
                <w:szCs w:val="21"/>
                <w:highlight w:val="none"/>
              </w:rPr>
            </w:pPr>
            <w:r>
              <w:rPr>
                <w:rFonts w:hint="eastAsia" w:ascii="仿宋" w:hAnsi="仿宋" w:eastAsia="仿宋" w:cs="仿宋"/>
                <w:color w:val="auto"/>
                <w:sz w:val="22"/>
                <w:szCs w:val="21"/>
                <w:highlight w:val="none"/>
              </w:rPr>
              <w:t>2.2.3</w:t>
            </w:r>
          </w:p>
        </w:tc>
        <w:tc>
          <w:tcPr>
            <w:tcW w:w="3741" w:type="dxa"/>
            <w:gridSpan w:val="2"/>
            <w:vAlign w:val="center"/>
          </w:tcPr>
          <w:p w14:paraId="235B9FBB">
            <w:pPr>
              <w:autoSpaceDE w:val="0"/>
              <w:autoSpaceDN w:val="0"/>
              <w:spacing w:line="400" w:lineRule="exact"/>
              <w:rPr>
                <w:rFonts w:hint="eastAsia" w:ascii="仿宋" w:hAnsi="仿宋" w:eastAsia="仿宋" w:cs="仿宋"/>
                <w:color w:val="auto"/>
                <w:sz w:val="22"/>
                <w:szCs w:val="21"/>
                <w:highlight w:val="none"/>
              </w:rPr>
            </w:pPr>
            <w:r>
              <w:rPr>
                <w:rFonts w:hint="eastAsia" w:ascii="仿宋" w:hAnsi="仿宋" w:eastAsia="仿宋" w:cs="仿宋"/>
                <w:color w:val="auto"/>
                <w:sz w:val="22"/>
                <w:szCs w:val="21"/>
                <w:highlight w:val="none"/>
              </w:rPr>
              <w:t>偏差率计算公式</w:t>
            </w:r>
          </w:p>
        </w:tc>
        <w:tc>
          <w:tcPr>
            <w:tcW w:w="4869" w:type="dxa"/>
          </w:tcPr>
          <w:p w14:paraId="0F7F397D">
            <w:pPr>
              <w:autoSpaceDE w:val="0"/>
              <w:autoSpaceDN w:val="0"/>
              <w:spacing w:line="400" w:lineRule="exact"/>
              <w:rPr>
                <w:rFonts w:hint="eastAsia" w:ascii="仿宋" w:hAnsi="仿宋" w:eastAsia="仿宋" w:cs="仿宋"/>
                <w:color w:val="auto"/>
                <w:sz w:val="22"/>
                <w:szCs w:val="21"/>
                <w:highlight w:val="none"/>
              </w:rPr>
            </w:pPr>
            <w:r>
              <w:rPr>
                <w:rFonts w:hint="eastAsia" w:ascii="仿宋" w:hAnsi="仿宋" w:eastAsia="仿宋" w:cs="仿宋"/>
                <w:color w:val="auto"/>
                <w:sz w:val="22"/>
                <w:szCs w:val="21"/>
                <w:highlight w:val="none"/>
              </w:rPr>
              <w:t>不设偏差范围</w:t>
            </w:r>
          </w:p>
        </w:tc>
      </w:tr>
      <w:tr w14:paraId="15760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59" w:type="dxa"/>
            <w:vAlign w:val="center"/>
          </w:tcPr>
          <w:p w14:paraId="3FAA0458">
            <w:pPr>
              <w:autoSpaceDE w:val="0"/>
              <w:autoSpaceDN w:val="0"/>
              <w:spacing w:line="400" w:lineRule="exact"/>
              <w:rPr>
                <w:rFonts w:hint="eastAsia" w:ascii="仿宋" w:hAnsi="仿宋" w:eastAsia="仿宋" w:cs="仿宋"/>
                <w:color w:val="auto"/>
                <w:sz w:val="22"/>
                <w:szCs w:val="21"/>
                <w:highlight w:val="none"/>
              </w:rPr>
            </w:pPr>
            <w:r>
              <w:rPr>
                <w:rFonts w:hint="eastAsia" w:ascii="仿宋" w:hAnsi="仿宋" w:eastAsia="仿宋" w:cs="仿宋"/>
                <w:color w:val="auto"/>
                <w:sz w:val="22"/>
                <w:szCs w:val="21"/>
                <w:highlight w:val="none"/>
              </w:rPr>
              <w:t>2.2.4</w:t>
            </w:r>
          </w:p>
          <w:p w14:paraId="787571AB">
            <w:pPr>
              <w:autoSpaceDE w:val="0"/>
              <w:autoSpaceDN w:val="0"/>
              <w:spacing w:line="400" w:lineRule="exact"/>
              <w:rPr>
                <w:rFonts w:hint="eastAsia" w:ascii="仿宋" w:hAnsi="仿宋" w:eastAsia="仿宋" w:cs="仿宋"/>
                <w:color w:val="auto"/>
                <w:sz w:val="22"/>
                <w:szCs w:val="21"/>
                <w:highlight w:val="none"/>
              </w:rPr>
            </w:pPr>
            <w:r>
              <w:rPr>
                <w:rFonts w:hint="eastAsia" w:ascii="仿宋" w:hAnsi="仿宋" w:eastAsia="仿宋" w:cs="仿宋"/>
                <w:color w:val="auto"/>
                <w:sz w:val="22"/>
                <w:szCs w:val="21"/>
                <w:highlight w:val="none"/>
              </w:rPr>
              <w:t>（1）</w:t>
            </w:r>
          </w:p>
        </w:tc>
        <w:tc>
          <w:tcPr>
            <w:tcW w:w="1245" w:type="dxa"/>
            <w:vAlign w:val="center"/>
          </w:tcPr>
          <w:p w14:paraId="4C9694D2">
            <w:pPr>
              <w:autoSpaceDE w:val="0"/>
              <w:autoSpaceDN w:val="0"/>
              <w:spacing w:line="400" w:lineRule="exact"/>
              <w:rPr>
                <w:rFonts w:hint="eastAsia" w:ascii="仿宋" w:hAnsi="仿宋" w:eastAsia="仿宋" w:cs="仿宋"/>
                <w:color w:val="auto"/>
                <w:sz w:val="22"/>
                <w:szCs w:val="21"/>
                <w:highlight w:val="none"/>
              </w:rPr>
            </w:pPr>
            <w:r>
              <w:rPr>
                <w:rFonts w:hint="eastAsia" w:ascii="仿宋" w:hAnsi="仿宋" w:eastAsia="仿宋" w:cs="仿宋"/>
                <w:color w:val="auto"/>
                <w:sz w:val="22"/>
                <w:szCs w:val="21"/>
                <w:highlight w:val="none"/>
              </w:rPr>
              <w:t>投标报价评分标准</w:t>
            </w:r>
          </w:p>
        </w:tc>
        <w:tc>
          <w:tcPr>
            <w:tcW w:w="2496" w:type="dxa"/>
            <w:vAlign w:val="center"/>
          </w:tcPr>
          <w:p w14:paraId="47D8251D">
            <w:pPr>
              <w:autoSpaceDE w:val="0"/>
              <w:autoSpaceDN w:val="0"/>
              <w:spacing w:line="400" w:lineRule="exact"/>
              <w:rPr>
                <w:rFonts w:hint="eastAsia" w:ascii="仿宋" w:hAnsi="仿宋" w:eastAsia="仿宋" w:cs="仿宋"/>
                <w:color w:val="auto"/>
                <w:sz w:val="22"/>
                <w:szCs w:val="21"/>
                <w:highlight w:val="none"/>
              </w:rPr>
            </w:pPr>
            <w:r>
              <w:rPr>
                <w:rFonts w:hint="eastAsia" w:ascii="仿宋" w:hAnsi="仿宋" w:eastAsia="仿宋" w:cs="仿宋"/>
                <w:color w:val="auto"/>
                <w:sz w:val="22"/>
                <w:szCs w:val="21"/>
                <w:highlight w:val="none"/>
              </w:rPr>
              <w:t>投标总报价</w:t>
            </w:r>
          </w:p>
        </w:tc>
        <w:tc>
          <w:tcPr>
            <w:tcW w:w="4869" w:type="dxa"/>
            <w:vAlign w:val="center"/>
          </w:tcPr>
          <w:p w14:paraId="4A14A7CB">
            <w:pPr>
              <w:autoSpaceDE w:val="0"/>
              <w:autoSpaceDN w:val="0"/>
              <w:spacing w:line="400" w:lineRule="exact"/>
              <w:rPr>
                <w:rFonts w:hint="eastAsia" w:ascii="仿宋" w:hAnsi="仿宋" w:eastAsia="仿宋" w:cs="仿宋"/>
                <w:color w:val="auto"/>
                <w:sz w:val="22"/>
                <w:szCs w:val="21"/>
                <w:highlight w:val="none"/>
              </w:rPr>
            </w:pPr>
            <w:r>
              <w:rPr>
                <w:rFonts w:hint="eastAsia" w:ascii="仿宋" w:hAnsi="仿宋" w:eastAsia="仿宋" w:cs="仿宋"/>
                <w:color w:val="auto"/>
                <w:sz w:val="22"/>
                <w:szCs w:val="21"/>
                <w:highlight w:val="none"/>
                <w:lang w:val="en-US" w:eastAsia="zh-CN"/>
              </w:rPr>
              <w:t>60</w:t>
            </w:r>
            <w:r>
              <w:rPr>
                <w:rFonts w:hint="eastAsia" w:ascii="仿宋" w:hAnsi="仿宋" w:eastAsia="仿宋" w:cs="仿宋"/>
                <w:color w:val="auto"/>
                <w:sz w:val="22"/>
                <w:szCs w:val="21"/>
                <w:highlight w:val="none"/>
              </w:rPr>
              <w:t>分</w:t>
            </w:r>
          </w:p>
        </w:tc>
      </w:tr>
      <w:tr w14:paraId="2BF55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59" w:type="dxa"/>
            <w:vMerge w:val="restart"/>
            <w:vAlign w:val="center"/>
          </w:tcPr>
          <w:p w14:paraId="6B811ACC">
            <w:pPr>
              <w:autoSpaceDE w:val="0"/>
              <w:autoSpaceDN w:val="0"/>
              <w:spacing w:line="400" w:lineRule="exact"/>
              <w:rPr>
                <w:rFonts w:hint="eastAsia" w:ascii="仿宋" w:hAnsi="仿宋" w:eastAsia="仿宋" w:cs="仿宋"/>
                <w:color w:val="auto"/>
                <w:sz w:val="22"/>
                <w:szCs w:val="21"/>
                <w:highlight w:val="none"/>
              </w:rPr>
            </w:pPr>
          </w:p>
          <w:p w14:paraId="52EDE870">
            <w:pPr>
              <w:autoSpaceDE w:val="0"/>
              <w:autoSpaceDN w:val="0"/>
              <w:spacing w:line="400" w:lineRule="exact"/>
              <w:rPr>
                <w:rFonts w:hint="eastAsia" w:ascii="仿宋" w:hAnsi="仿宋" w:eastAsia="仿宋" w:cs="仿宋"/>
                <w:color w:val="auto"/>
                <w:sz w:val="22"/>
                <w:szCs w:val="21"/>
                <w:highlight w:val="none"/>
              </w:rPr>
            </w:pPr>
            <w:r>
              <w:rPr>
                <w:rFonts w:hint="eastAsia" w:ascii="仿宋" w:hAnsi="仿宋" w:eastAsia="仿宋" w:cs="仿宋"/>
                <w:color w:val="auto"/>
                <w:sz w:val="22"/>
                <w:szCs w:val="21"/>
                <w:highlight w:val="none"/>
              </w:rPr>
              <w:t>2.2.4 (2）</w:t>
            </w:r>
          </w:p>
        </w:tc>
        <w:tc>
          <w:tcPr>
            <w:tcW w:w="1245" w:type="dxa"/>
            <w:vMerge w:val="restart"/>
            <w:vAlign w:val="center"/>
          </w:tcPr>
          <w:p w14:paraId="0BFAF2EC">
            <w:pPr>
              <w:autoSpaceDE w:val="0"/>
              <w:autoSpaceDN w:val="0"/>
              <w:spacing w:line="400" w:lineRule="exact"/>
              <w:rPr>
                <w:rFonts w:hint="eastAsia" w:ascii="仿宋" w:hAnsi="仿宋" w:eastAsia="仿宋" w:cs="仿宋"/>
                <w:color w:val="auto"/>
                <w:sz w:val="22"/>
                <w:szCs w:val="21"/>
                <w:highlight w:val="none"/>
              </w:rPr>
            </w:pPr>
            <w:r>
              <w:rPr>
                <w:rFonts w:hint="eastAsia" w:ascii="仿宋" w:hAnsi="仿宋" w:eastAsia="仿宋" w:cs="仿宋"/>
                <w:color w:val="auto"/>
                <w:sz w:val="22"/>
                <w:szCs w:val="21"/>
                <w:highlight w:val="none"/>
              </w:rPr>
              <w:t>技术方案评分标准（</w:t>
            </w:r>
            <w:r>
              <w:rPr>
                <w:rFonts w:hint="eastAsia" w:ascii="仿宋" w:hAnsi="仿宋" w:eastAsia="仿宋" w:cs="仿宋"/>
                <w:color w:val="auto"/>
                <w:sz w:val="22"/>
                <w:szCs w:val="21"/>
                <w:highlight w:val="none"/>
                <w:lang w:val="en-US" w:eastAsia="zh-CN"/>
              </w:rPr>
              <w:t>4</w:t>
            </w:r>
            <w:r>
              <w:rPr>
                <w:rFonts w:hint="eastAsia" w:ascii="仿宋" w:hAnsi="仿宋" w:eastAsia="仿宋" w:cs="仿宋"/>
                <w:color w:val="auto"/>
                <w:sz w:val="22"/>
                <w:szCs w:val="21"/>
                <w:highlight w:val="none"/>
              </w:rPr>
              <w:t>0分）</w:t>
            </w:r>
          </w:p>
        </w:tc>
        <w:tc>
          <w:tcPr>
            <w:tcW w:w="2496" w:type="dxa"/>
            <w:vAlign w:val="center"/>
          </w:tcPr>
          <w:p w14:paraId="3546003B">
            <w:pPr>
              <w:autoSpaceDE w:val="0"/>
              <w:autoSpaceDN w:val="0"/>
              <w:spacing w:line="400" w:lineRule="exact"/>
              <w:rPr>
                <w:rFonts w:hint="eastAsia" w:ascii="仿宋" w:hAnsi="仿宋" w:eastAsia="仿宋" w:cs="仿宋"/>
                <w:color w:val="auto"/>
                <w:sz w:val="22"/>
                <w:szCs w:val="21"/>
                <w:highlight w:val="none"/>
              </w:rPr>
            </w:pPr>
            <w:r>
              <w:rPr>
                <w:rFonts w:hint="eastAsia" w:ascii="仿宋" w:hAnsi="仿宋" w:eastAsia="仿宋" w:cs="仿宋"/>
                <w:color w:val="auto"/>
                <w:sz w:val="22"/>
                <w:szCs w:val="21"/>
                <w:highlight w:val="none"/>
              </w:rPr>
              <w:t>内容完整性和编制水平</w:t>
            </w:r>
          </w:p>
        </w:tc>
        <w:tc>
          <w:tcPr>
            <w:tcW w:w="4869" w:type="dxa"/>
          </w:tcPr>
          <w:p w14:paraId="175E7AED">
            <w:pPr>
              <w:autoSpaceDE w:val="0"/>
              <w:autoSpaceDN w:val="0"/>
              <w:spacing w:line="400" w:lineRule="exact"/>
              <w:rPr>
                <w:rFonts w:hint="eastAsia" w:ascii="仿宋" w:hAnsi="仿宋" w:eastAsia="仿宋" w:cs="仿宋"/>
                <w:color w:val="auto"/>
                <w:sz w:val="22"/>
                <w:szCs w:val="21"/>
                <w:highlight w:val="none"/>
              </w:rPr>
            </w:pPr>
            <w:r>
              <w:rPr>
                <w:rFonts w:hint="eastAsia" w:ascii="仿宋" w:hAnsi="仿宋" w:eastAsia="仿宋" w:cs="仿宋"/>
                <w:color w:val="auto"/>
                <w:sz w:val="22"/>
                <w:szCs w:val="21"/>
                <w:highlight w:val="none"/>
              </w:rPr>
              <w:t xml:space="preserve"> </w:t>
            </w:r>
            <w:r>
              <w:rPr>
                <w:rFonts w:hint="eastAsia" w:ascii="仿宋" w:hAnsi="仿宋" w:eastAsia="仿宋" w:cs="仿宋"/>
                <w:color w:val="auto"/>
                <w:sz w:val="22"/>
                <w:szCs w:val="21"/>
                <w:highlight w:val="none"/>
                <w:lang w:val="en-US" w:eastAsia="zh-CN"/>
              </w:rPr>
              <w:t>6</w:t>
            </w:r>
            <w:r>
              <w:rPr>
                <w:rFonts w:hint="eastAsia" w:ascii="仿宋" w:hAnsi="仿宋" w:eastAsia="仿宋" w:cs="仿宋"/>
                <w:color w:val="auto"/>
                <w:sz w:val="22"/>
                <w:szCs w:val="21"/>
                <w:highlight w:val="none"/>
              </w:rPr>
              <w:t>分   编制要点：应当包含施工方法、施工设备、劳动力计划、组织措施、施工总进度计划、施工平面图，确保工程质量、工期、安全和文明施工；</w:t>
            </w:r>
          </w:p>
          <w:p w14:paraId="159A6ECC">
            <w:pPr>
              <w:autoSpaceDE w:val="0"/>
              <w:autoSpaceDN w:val="0"/>
              <w:spacing w:line="400" w:lineRule="exact"/>
              <w:rPr>
                <w:rFonts w:hint="eastAsia" w:ascii="仿宋" w:hAnsi="仿宋" w:eastAsia="仿宋" w:cs="仿宋"/>
                <w:color w:val="auto"/>
                <w:sz w:val="22"/>
                <w:szCs w:val="21"/>
                <w:highlight w:val="none"/>
              </w:rPr>
            </w:pPr>
            <w:r>
              <w:rPr>
                <w:rFonts w:hint="eastAsia" w:ascii="仿宋" w:hAnsi="仿宋" w:eastAsia="仿宋" w:cs="仿宋"/>
                <w:color w:val="auto"/>
                <w:sz w:val="22"/>
                <w:szCs w:val="21"/>
                <w:highlight w:val="none"/>
              </w:rPr>
              <w:t>优得</w:t>
            </w:r>
            <w:r>
              <w:rPr>
                <w:rFonts w:hint="eastAsia" w:ascii="仿宋" w:hAnsi="仿宋" w:eastAsia="仿宋" w:cs="仿宋"/>
                <w:color w:val="auto"/>
                <w:sz w:val="22"/>
                <w:szCs w:val="21"/>
                <w:highlight w:val="none"/>
                <w:lang w:val="en-US" w:eastAsia="zh-CN"/>
              </w:rPr>
              <w:t>5.4</w:t>
            </w:r>
            <w:r>
              <w:rPr>
                <w:rFonts w:hint="eastAsia" w:ascii="仿宋" w:hAnsi="仿宋" w:eastAsia="仿宋" w:cs="仿宋"/>
                <w:color w:val="auto"/>
                <w:sz w:val="22"/>
                <w:szCs w:val="21"/>
                <w:highlight w:val="none"/>
              </w:rPr>
              <w:t xml:space="preserve">分- </w:t>
            </w:r>
            <w:r>
              <w:rPr>
                <w:rFonts w:hint="eastAsia" w:ascii="仿宋" w:hAnsi="仿宋" w:eastAsia="仿宋" w:cs="仿宋"/>
                <w:color w:val="auto"/>
                <w:sz w:val="22"/>
                <w:szCs w:val="21"/>
                <w:highlight w:val="none"/>
                <w:lang w:val="en-US" w:eastAsia="zh-CN"/>
              </w:rPr>
              <w:t>6</w:t>
            </w:r>
            <w:r>
              <w:rPr>
                <w:rFonts w:hint="eastAsia" w:ascii="仿宋" w:hAnsi="仿宋" w:eastAsia="仿宋" w:cs="仿宋"/>
                <w:color w:val="auto"/>
                <w:sz w:val="22"/>
                <w:szCs w:val="21"/>
                <w:highlight w:val="none"/>
              </w:rPr>
              <w:t xml:space="preserve">分，良得 </w:t>
            </w:r>
            <w:r>
              <w:rPr>
                <w:rFonts w:hint="eastAsia" w:ascii="仿宋" w:hAnsi="仿宋" w:eastAsia="仿宋" w:cs="仿宋"/>
                <w:color w:val="auto"/>
                <w:sz w:val="22"/>
                <w:szCs w:val="21"/>
                <w:highlight w:val="none"/>
                <w:lang w:val="en-US" w:eastAsia="zh-CN"/>
              </w:rPr>
              <w:t>4.8</w:t>
            </w:r>
            <w:r>
              <w:rPr>
                <w:rFonts w:hint="eastAsia" w:ascii="仿宋" w:hAnsi="仿宋" w:eastAsia="仿宋" w:cs="仿宋"/>
                <w:color w:val="auto"/>
                <w:sz w:val="22"/>
                <w:szCs w:val="21"/>
                <w:highlight w:val="none"/>
              </w:rPr>
              <w:t xml:space="preserve"> 分-</w:t>
            </w:r>
            <w:r>
              <w:rPr>
                <w:rFonts w:hint="eastAsia" w:ascii="仿宋" w:hAnsi="仿宋" w:eastAsia="仿宋" w:cs="仿宋"/>
                <w:color w:val="auto"/>
                <w:sz w:val="22"/>
                <w:szCs w:val="21"/>
                <w:highlight w:val="none"/>
                <w:lang w:val="en-US" w:eastAsia="zh-CN"/>
              </w:rPr>
              <w:t>5.4</w:t>
            </w:r>
            <w:r>
              <w:rPr>
                <w:rFonts w:hint="eastAsia" w:ascii="仿宋" w:hAnsi="仿宋" w:eastAsia="仿宋" w:cs="仿宋"/>
                <w:color w:val="auto"/>
                <w:sz w:val="22"/>
                <w:szCs w:val="21"/>
                <w:highlight w:val="none"/>
              </w:rPr>
              <w:t>分</w:t>
            </w:r>
            <w:r>
              <w:rPr>
                <w:rFonts w:hint="eastAsia" w:ascii="仿宋" w:hAnsi="仿宋" w:eastAsia="仿宋" w:cs="仿宋"/>
                <w:color w:val="auto"/>
                <w:sz w:val="22"/>
                <w:szCs w:val="21"/>
                <w:highlight w:val="none"/>
                <w:lang w:eastAsia="zh-CN"/>
              </w:rPr>
              <w:t>（</w:t>
            </w:r>
            <w:r>
              <w:rPr>
                <w:rFonts w:hint="eastAsia" w:ascii="仿宋" w:hAnsi="仿宋" w:eastAsia="仿宋" w:cs="仿宋"/>
                <w:color w:val="auto"/>
                <w:sz w:val="22"/>
                <w:szCs w:val="21"/>
                <w:highlight w:val="none"/>
                <w:lang w:val="en-US" w:eastAsia="zh-CN"/>
              </w:rPr>
              <w:t>不含</w:t>
            </w:r>
            <w:r>
              <w:rPr>
                <w:rFonts w:hint="eastAsia" w:ascii="仿宋" w:hAnsi="仿宋" w:eastAsia="仿宋" w:cs="仿宋"/>
                <w:color w:val="auto"/>
                <w:sz w:val="22"/>
                <w:szCs w:val="21"/>
                <w:highlight w:val="none"/>
                <w:lang w:eastAsia="zh-CN"/>
              </w:rPr>
              <w:t>）</w:t>
            </w:r>
            <w:r>
              <w:rPr>
                <w:rFonts w:hint="eastAsia" w:ascii="仿宋" w:hAnsi="仿宋" w:eastAsia="仿宋" w:cs="仿宋"/>
                <w:color w:val="auto"/>
                <w:sz w:val="22"/>
                <w:szCs w:val="21"/>
                <w:highlight w:val="none"/>
              </w:rPr>
              <w:t xml:space="preserve">，一般得 </w:t>
            </w:r>
            <w:r>
              <w:rPr>
                <w:rFonts w:hint="eastAsia" w:ascii="仿宋" w:hAnsi="仿宋" w:eastAsia="仿宋" w:cs="仿宋"/>
                <w:color w:val="auto"/>
                <w:sz w:val="22"/>
                <w:szCs w:val="21"/>
                <w:highlight w:val="none"/>
                <w:lang w:val="en-US" w:eastAsia="zh-CN"/>
              </w:rPr>
              <w:t>3.6</w:t>
            </w:r>
            <w:r>
              <w:rPr>
                <w:rFonts w:hint="eastAsia" w:ascii="仿宋" w:hAnsi="仿宋" w:eastAsia="仿宋" w:cs="仿宋"/>
                <w:color w:val="auto"/>
                <w:sz w:val="22"/>
                <w:szCs w:val="21"/>
                <w:highlight w:val="none"/>
              </w:rPr>
              <w:t xml:space="preserve">分- </w:t>
            </w:r>
            <w:r>
              <w:rPr>
                <w:rFonts w:hint="eastAsia" w:ascii="仿宋" w:hAnsi="仿宋" w:eastAsia="仿宋" w:cs="仿宋"/>
                <w:color w:val="auto"/>
                <w:sz w:val="22"/>
                <w:szCs w:val="21"/>
                <w:highlight w:val="none"/>
                <w:lang w:val="en-US" w:eastAsia="zh-CN"/>
              </w:rPr>
              <w:t>4.8</w:t>
            </w:r>
            <w:r>
              <w:rPr>
                <w:rFonts w:hint="eastAsia" w:ascii="仿宋" w:hAnsi="仿宋" w:eastAsia="仿宋" w:cs="仿宋"/>
                <w:color w:val="auto"/>
                <w:sz w:val="22"/>
                <w:szCs w:val="21"/>
                <w:highlight w:val="none"/>
              </w:rPr>
              <w:t>分</w:t>
            </w:r>
            <w:r>
              <w:rPr>
                <w:rFonts w:hint="eastAsia" w:ascii="仿宋" w:hAnsi="仿宋" w:eastAsia="仿宋" w:cs="仿宋"/>
                <w:color w:val="auto"/>
                <w:sz w:val="22"/>
                <w:szCs w:val="21"/>
                <w:highlight w:val="none"/>
                <w:lang w:eastAsia="zh-CN"/>
              </w:rPr>
              <w:t>（</w:t>
            </w:r>
            <w:r>
              <w:rPr>
                <w:rFonts w:hint="eastAsia" w:ascii="仿宋" w:hAnsi="仿宋" w:eastAsia="仿宋" w:cs="仿宋"/>
                <w:color w:val="auto"/>
                <w:sz w:val="22"/>
                <w:szCs w:val="21"/>
                <w:highlight w:val="none"/>
                <w:lang w:val="en-US" w:eastAsia="zh-CN"/>
              </w:rPr>
              <w:t>不含</w:t>
            </w:r>
            <w:r>
              <w:rPr>
                <w:rFonts w:hint="eastAsia" w:ascii="仿宋" w:hAnsi="仿宋" w:eastAsia="仿宋" w:cs="仿宋"/>
                <w:color w:val="auto"/>
                <w:sz w:val="22"/>
                <w:szCs w:val="21"/>
                <w:highlight w:val="none"/>
                <w:lang w:eastAsia="zh-CN"/>
              </w:rPr>
              <w:t>）</w:t>
            </w:r>
            <w:r>
              <w:rPr>
                <w:rFonts w:hint="eastAsia" w:ascii="仿宋" w:hAnsi="仿宋" w:eastAsia="仿宋" w:cs="仿宋"/>
                <w:color w:val="auto"/>
                <w:sz w:val="22"/>
                <w:szCs w:val="21"/>
                <w:highlight w:val="none"/>
              </w:rPr>
              <w:t xml:space="preserve">，差得 </w:t>
            </w:r>
            <w:r>
              <w:rPr>
                <w:rFonts w:hint="eastAsia" w:ascii="仿宋" w:hAnsi="仿宋" w:eastAsia="仿宋" w:cs="仿宋"/>
                <w:color w:val="auto"/>
                <w:sz w:val="22"/>
                <w:szCs w:val="21"/>
                <w:highlight w:val="none"/>
                <w:lang w:val="en-US" w:eastAsia="zh-CN"/>
              </w:rPr>
              <w:t>0</w:t>
            </w:r>
            <w:r>
              <w:rPr>
                <w:rFonts w:hint="eastAsia" w:ascii="仿宋" w:hAnsi="仿宋" w:eastAsia="仿宋" w:cs="仿宋"/>
                <w:color w:val="auto"/>
                <w:sz w:val="22"/>
                <w:szCs w:val="21"/>
                <w:highlight w:val="none"/>
              </w:rPr>
              <w:t xml:space="preserve">分- </w:t>
            </w:r>
            <w:r>
              <w:rPr>
                <w:rFonts w:hint="eastAsia" w:ascii="仿宋" w:hAnsi="仿宋" w:eastAsia="仿宋" w:cs="仿宋"/>
                <w:color w:val="auto"/>
                <w:sz w:val="22"/>
                <w:szCs w:val="21"/>
                <w:highlight w:val="none"/>
                <w:lang w:val="en-US" w:eastAsia="zh-CN"/>
              </w:rPr>
              <w:t>3.6</w:t>
            </w:r>
            <w:r>
              <w:rPr>
                <w:rFonts w:hint="eastAsia" w:ascii="仿宋" w:hAnsi="仿宋" w:eastAsia="仿宋" w:cs="仿宋"/>
                <w:color w:val="auto"/>
                <w:sz w:val="22"/>
                <w:szCs w:val="21"/>
                <w:highlight w:val="none"/>
              </w:rPr>
              <w:t>分</w:t>
            </w:r>
            <w:r>
              <w:rPr>
                <w:rFonts w:hint="eastAsia" w:ascii="仿宋" w:hAnsi="仿宋" w:eastAsia="仿宋" w:cs="仿宋"/>
                <w:color w:val="auto"/>
                <w:sz w:val="22"/>
                <w:szCs w:val="21"/>
                <w:highlight w:val="none"/>
                <w:lang w:eastAsia="zh-CN"/>
              </w:rPr>
              <w:t>（</w:t>
            </w:r>
            <w:r>
              <w:rPr>
                <w:rFonts w:hint="eastAsia" w:ascii="仿宋" w:hAnsi="仿宋" w:eastAsia="仿宋" w:cs="仿宋"/>
                <w:color w:val="auto"/>
                <w:sz w:val="22"/>
                <w:szCs w:val="21"/>
                <w:highlight w:val="none"/>
                <w:lang w:val="en-US" w:eastAsia="zh-CN"/>
              </w:rPr>
              <w:t>不含</w:t>
            </w:r>
            <w:r>
              <w:rPr>
                <w:rFonts w:hint="eastAsia" w:ascii="仿宋" w:hAnsi="仿宋" w:eastAsia="仿宋" w:cs="仿宋"/>
                <w:color w:val="auto"/>
                <w:sz w:val="22"/>
                <w:szCs w:val="21"/>
                <w:highlight w:val="none"/>
                <w:lang w:eastAsia="zh-CN"/>
              </w:rPr>
              <w:t>）</w:t>
            </w:r>
            <w:r>
              <w:rPr>
                <w:rFonts w:hint="eastAsia" w:ascii="仿宋" w:hAnsi="仿宋" w:eastAsia="仿宋" w:cs="仿宋"/>
                <w:color w:val="auto"/>
                <w:sz w:val="22"/>
                <w:szCs w:val="21"/>
                <w:highlight w:val="none"/>
              </w:rPr>
              <w:t>。</w:t>
            </w:r>
          </w:p>
        </w:tc>
      </w:tr>
      <w:tr w14:paraId="13DA8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059" w:type="dxa"/>
            <w:vMerge w:val="continue"/>
            <w:vAlign w:val="center"/>
          </w:tcPr>
          <w:p w14:paraId="7F48513D">
            <w:pPr>
              <w:autoSpaceDE w:val="0"/>
              <w:autoSpaceDN w:val="0"/>
              <w:spacing w:line="400" w:lineRule="exact"/>
              <w:rPr>
                <w:rFonts w:hint="eastAsia" w:ascii="仿宋" w:hAnsi="仿宋" w:eastAsia="仿宋" w:cs="仿宋"/>
                <w:color w:val="auto"/>
                <w:sz w:val="22"/>
                <w:szCs w:val="21"/>
                <w:highlight w:val="none"/>
              </w:rPr>
            </w:pPr>
          </w:p>
        </w:tc>
        <w:tc>
          <w:tcPr>
            <w:tcW w:w="1245" w:type="dxa"/>
            <w:vMerge w:val="continue"/>
            <w:textDirection w:val="tbRlV"/>
            <w:vAlign w:val="center"/>
          </w:tcPr>
          <w:p w14:paraId="14617D82">
            <w:pPr>
              <w:autoSpaceDE w:val="0"/>
              <w:autoSpaceDN w:val="0"/>
              <w:spacing w:line="400" w:lineRule="exact"/>
              <w:rPr>
                <w:rFonts w:hint="eastAsia" w:ascii="仿宋" w:hAnsi="仿宋" w:eastAsia="仿宋" w:cs="仿宋"/>
                <w:color w:val="auto"/>
                <w:sz w:val="22"/>
                <w:szCs w:val="21"/>
                <w:highlight w:val="none"/>
              </w:rPr>
            </w:pPr>
          </w:p>
        </w:tc>
        <w:tc>
          <w:tcPr>
            <w:tcW w:w="2496" w:type="dxa"/>
            <w:vAlign w:val="center"/>
          </w:tcPr>
          <w:p w14:paraId="7B18B0E0">
            <w:pPr>
              <w:autoSpaceDE w:val="0"/>
              <w:autoSpaceDN w:val="0"/>
              <w:spacing w:line="400" w:lineRule="exact"/>
              <w:rPr>
                <w:rFonts w:hint="eastAsia" w:ascii="仿宋" w:hAnsi="仿宋" w:eastAsia="仿宋" w:cs="仿宋"/>
                <w:color w:val="auto"/>
                <w:sz w:val="22"/>
                <w:szCs w:val="21"/>
                <w:highlight w:val="none"/>
              </w:rPr>
            </w:pPr>
            <w:r>
              <w:rPr>
                <w:rFonts w:hint="eastAsia" w:ascii="仿宋" w:hAnsi="仿宋" w:eastAsia="仿宋" w:cs="仿宋"/>
                <w:color w:val="auto"/>
                <w:sz w:val="22"/>
                <w:szCs w:val="21"/>
                <w:highlight w:val="none"/>
              </w:rPr>
              <w:t>施工方案与技术措施</w:t>
            </w:r>
          </w:p>
        </w:tc>
        <w:tc>
          <w:tcPr>
            <w:tcW w:w="4869" w:type="dxa"/>
          </w:tcPr>
          <w:p w14:paraId="1FDFEC26">
            <w:pPr>
              <w:autoSpaceDE w:val="0"/>
              <w:autoSpaceDN w:val="0"/>
              <w:spacing w:line="400" w:lineRule="exact"/>
              <w:rPr>
                <w:rFonts w:hint="eastAsia" w:ascii="仿宋" w:hAnsi="仿宋" w:eastAsia="仿宋" w:cs="仿宋"/>
                <w:color w:val="auto"/>
                <w:sz w:val="22"/>
                <w:szCs w:val="21"/>
                <w:highlight w:val="none"/>
              </w:rPr>
            </w:pPr>
            <w:r>
              <w:rPr>
                <w:rFonts w:hint="eastAsia" w:ascii="仿宋" w:hAnsi="仿宋" w:eastAsia="仿宋" w:cs="仿宋"/>
                <w:color w:val="auto"/>
                <w:sz w:val="22"/>
                <w:szCs w:val="21"/>
                <w:highlight w:val="none"/>
              </w:rPr>
              <w:t xml:space="preserve">  </w:t>
            </w:r>
            <w:r>
              <w:rPr>
                <w:rFonts w:hint="eastAsia" w:ascii="仿宋" w:hAnsi="仿宋" w:eastAsia="仿宋" w:cs="仿宋"/>
                <w:color w:val="auto"/>
                <w:sz w:val="22"/>
                <w:szCs w:val="21"/>
                <w:highlight w:val="none"/>
                <w:lang w:val="en-US" w:eastAsia="zh-CN"/>
              </w:rPr>
              <w:t>6</w:t>
            </w:r>
            <w:r>
              <w:rPr>
                <w:rFonts w:hint="eastAsia" w:ascii="仿宋" w:hAnsi="仿宋" w:eastAsia="仿宋" w:cs="仿宋"/>
                <w:color w:val="auto"/>
                <w:sz w:val="22"/>
                <w:szCs w:val="21"/>
                <w:highlight w:val="none"/>
              </w:rPr>
              <w:t>分   编制要点：应当包含</w:t>
            </w:r>
            <w:r>
              <w:rPr>
                <w:rFonts w:hint="eastAsia" w:ascii="仿宋" w:hAnsi="仿宋" w:eastAsia="仿宋" w:cs="仿宋"/>
                <w:color w:val="auto"/>
                <w:sz w:val="22"/>
                <w:szCs w:val="21"/>
                <w:highlight w:val="none"/>
                <w:lang w:val="en-US" w:eastAsia="zh-CN"/>
              </w:rPr>
              <w:t>施工程序、施工段划分、施工技术、工艺和机械选择、主要材料、设备供应及技术措施</w:t>
            </w:r>
            <w:r>
              <w:rPr>
                <w:rFonts w:hint="eastAsia" w:ascii="仿宋" w:hAnsi="仿宋" w:eastAsia="仿宋" w:cs="仿宋"/>
                <w:color w:val="auto"/>
                <w:sz w:val="22"/>
                <w:szCs w:val="21"/>
                <w:highlight w:val="none"/>
              </w:rPr>
              <w:t xml:space="preserve"> ；</w:t>
            </w:r>
          </w:p>
          <w:p w14:paraId="671D24D2">
            <w:pPr>
              <w:autoSpaceDE w:val="0"/>
              <w:autoSpaceDN w:val="0"/>
              <w:spacing w:line="400" w:lineRule="exact"/>
              <w:rPr>
                <w:rFonts w:hint="eastAsia" w:ascii="仿宋" w:hAnsi="仿宋" w:eastAsia="仿宋" w:cs="仿宋"/>
                <w:color w:val="auto"/>
                <w:sz w:val="22"/>
                <w:szCs w:val="21"/>
                <w:highlight w:val="none"/>
              </w:rPr>
            </w:pPr>
            <w:r>
              <w:rPr>
                <w:rFonts w:hint="eastAsia" w:ascii="仿宋" w:hAnsi="仿宋" w:eastAsia="仿宋" w:cs="仿宋"/>
                <w:color w:val="auto"/>
                <w:sz w:val="22"/>
                <w:szCs w:val="21"/>
                <w:highlight w:val="none"/>
              </w:rPr>
              <w:t>优得</w:t>
            </w:r>
            <w:r>
              <w:rPr>
                <w:rFonts w:hint="eastAsia" w:ascii="仿宋" w:hAnsi="仿宋" w:eastAsia="仿宋" w:cs="仿宋"/>
                <w:color w:val="auto"/>
                <w:sz w:val="22"/>
                <w:szCs w:val="21"/>
                <w:highlight w:val="none"/>
                <w:lang w:val="en-US" w:eastAsia="zh-CN"/>
              </w:rPr>
              <w:t>5.4</w:t>
            </w:r>
            <w:r>
              <w:rPr>
                <w:rFonts w:hint="eastAsia" w:ascii="仿宋" w:hAnsi="仿宋" w:eastAsia="仿宋" w:cs="仿宋"/>
                <w:color w:val="auto"/>
                <w:sz w:val="22"/>
                <w:szCs w:val="21"/>
                <w:highlight w:val="none"/>
              </w:rPr>
              <w:t xml:space="preserve">分- </w:t>
            </w:r>
            <w:r>
              <w:rPr>
                <w:rFonts w:hint="eastAsia" w:ascii="仿宋" w:hAnsi="仿宋" w:eastAsia="仿宋" w:cs="仿宋"/>
                <w:color w:val="auto"/>
                <w:sz w:val="22"/>
                <w:szCs w:val="21"/>
                <w:highlight w:val="none"/>
                <w:lang w:val="en-US" w:eastAsia="zh-CN"/>
              </w:rPr>
              <w:t>6</w:t>
            </w:r>
            <w:r>
              <w:rPr>
                <w:rFonts w:hint="eastAsia" w:ascii="仿宋" w:hAnsi="仿宋" w:eastAsia="仿宋" w:cs="仿宋"/>
                <w:color w:val="auto"/>
                <w:sz w:val="22"/>
                <w:szCs w:val="21"/>
                <w:highlight w:val="none"/>
              </w:rPr>
              <w:t xml:space="preserve">分，良得 </w:t>
            </w:r>
            <w:r>
              <w:rPr>
                <w:rFonts w:hint="eastAsia" w:ascii="仿宋" w:hAnsi="仿宋" w:eastAsia="仿宋" w:cs="仿宋"/>
                <w:color w:val="auto"/>
                <w:sz w:val="22"/>
                <w:szCs w:val="21"/>
                <w:highlight w:val="none"/>
                <w:lang w:val="en-US" w:eastAsia="zh-CN"/>
              </w:rPr>
              <w:t>4.8</w:t>
            </w:r>
            <w:r>
              <w:rPr>
                <w:rFonts w:hint="eastAsia" w:ascii="仿宋" w:hAnsi="仿宋" w:eastAsia="仿宋" w:cs="仿宋"/>
                <w:color w:val="auto"/>
                <w:sz w:val="22"/>
                <w:szCs w:val="21"/>
                <w:highlight w:val="none"/>
              </w:rPr>
              <w:t xml:space="preserve"> 分-</w:t>
            </w:r>
            <w:r>
              <w:rPr>
                <w:rFonts w:hint="eastAsia" w:ascii="仿宋" w:hAnsi="仿宋" w:eastAsia="仿宋" w:cs="仿宋"/>
                <w:color w:val="auto"/>
                <w:sz w:val="22"/>
                <w:szCs w:val="21"/>
                <w:highlight w:val="none"/>
                <w:lang w:val="en-US" w:eastAsia="zh-CN"/>
              </w:rPr>
              <w:t>5.4</w:t>
            </w:r>
            <w:r>
              <w:rPr>
                <w:rFonts w:hint="eastAsia" w:ascii="仿宋" w:hAnsi="仿宋" w:eastAsia="仿宋" w:cs="仿宋"/>
                <w:color w:val="auto"/>
                <w:sz w:val="22"/>
                <w:szCs w:val="21"/>
                <w:highlight w:val="none"/>
              </w:rPr>
              <w:t>分</w:t>
            </w:r>
            <w:r>
              <w:rPr>
                <w:rFonts w:hint="eastAsia" w:ascii="仿宋" w:hAnsi="仿宋" w:eastAsia="仿宋" w:cs="仿宋"/>
                <w:color w:val="auto"/>
                <w:sz w:val="22"/>
                <w:szCs w:val="21"/>
                <w:highlight w:val="none"/>
                <w:lang w:eastAsia="zh-CN"/>
              </w:rPr>
              <w:t>（</w:t>
            </w:r>
            <w:r>
              <w:rPr>
                <w:rFonts w:hint="eastAsia" w:ascii="仿宋" w:hAnsi="仿宋" w:eastAsia="仿宋" w:cs="仿宋"/>
                <w:color w:val="auto"/>
                <w:sz w:val="22"/>
                <w:szCs w:val="21"/>
                <w:highlight w:val="none"/>
                <w:lang w:val="en-US" w:eastAsia="zh-CN"/>
              </w:rPr>
              <w:t>不含</w:t>
            </w:r>
            <w:r>
              <w:rPr>
                <w:rFonts w:hint="eastAsia" w:ascii="仿宋" w:hAnsi="仿宋" w:eastAsia="仿宋" w:cs="仿宋"/>
                <w:color w:val="auto"/>
                <w:sz w:val="22"/>
                <w:szCs w:val="21"/>
                <w:highlight w:val="none"/>
                <w:lang w:eastAsia="zh-CN"/>
              </w:rPr>
              <w:t>）</w:t>
            </w:r>
            <w:r>
              <w:rPr>
                <w:rFonts w:hint="eastAsia" w:ascii="仿宋" w:hAnsi="仿宋" w:eastAsia="仿宋" w:cs="仿宋"/>
                <w:color w:val="auto"/>
                <w:sz w:val="22"/>
                <w:szCs w:val="21"/>
                <w:highlight w:val="none"/>
              </w:rPr>
              <w:t xml:space="preserve">，一般得 </w:t>
            </w:r>
            <w:r>
              <w:rPr>
                <w:rFonts w:hint="eastAsia" w:ascii="仿宋" w:hAnsi="仿宋" w:eastAsia="仿宋" w:cs="仿宋"/>
                <w:color w:val="auto"/>
                <w:sz w:val="22"/>
                <w:szCs w:val="21"/>
                <w:highlight w:val="none"/>
                <w:lang w:val="en-US" w:eastAsia="zh-CN"/>
              </w:rPr>
              <w:t>3.6</w:t>
            </w:r>
            <w:r>
              <w:rPr>
                <w:rFonts w:hint="eastAsia" w:ascii="仿宋" w:hAnsi="仿宋" w:eastAsia="仿宋" w:cs="仿宋"/>
                <w:color w:val="auto"/>
                <w:sz w:val="22"/>
                <w:szCs w:val="21"/>
                <w:highlight w:val="none"/>
              </w:rPr>
              <w:t xml:space="preserve">分- </w:t>
            </w:r>
            <w:r>
              <w:rPr>
                <w:rFonts w:hint="eastAsia" w:ascii="仿宋" w:hAnsi="仿宋" w:eastAsia="仿宋" w:cs="仿宋"/>
                <w:color w:val="auto"/>
                <w:sz w:val="22"/>
                <w:szCs w:val="21"/>
                <w:highlight w:val="none"/>
                <w:lang w:val="en-US" w:eastAsia="zh-CN"/>
              </w:rPr>
              <w:t>4.8</w:t>
            </w:r>
            <w:r>
              <w:rPr>
                <w:rFonts w:hint="eastAsia" w:ascii="仿宋" w:hAnsi="仿宋" w:eastAsia="仿宋" w:cs="仿宋"/>
                <w:color w:val="auto"/>
                <w:sz w:val="22"/>
                <w:szCs w:val="21"/>
                <w:highlight w:val="none"/>
              </w:rPr>
              <w:t>分</w:t>
            </w:r>
            <w:r>
              <w:rPr>
                <w:rFonts w:hint="eastAsia" w:ascii="仿宋" w:hAnsi="仿宋" w:eastAsia="仿宋" w:cs="仿宋"/>
                <w:color w:val="auto"/>
                <w:sz w:val="22"/>
                <w:szCs w:val="21"/>
                <w:highlight w:val="none"/>
                <w:lang w:eastAsia="zh-CN"/>
              </w:rPr>
              <w:t>（</w:t>
            </w:r>
            <w:r>
              <w:rPr>
                <w:rFonts w:hint="eastAsia" w:ascii="仿宋" w:hAnsi="仿宋" w:eastAsia="仿宋" w:cs="仿宋"/>
                <w:color w:val="auto"/>
                <w:sz w:val="22"/>
                <w:szCs w:val="21"/>
                <w:highlight w:val="none"/>
                <w:lang w:val="en-US" w:eastAsia="zh-CN"/>
              </w:rPr>
              <w:t>不含</w:t>
            </w:r>
            <w:r>
              <w:rPr>
                <w:rFonts w:hint="eastAsia" w:ascii="仿宋" w:hAnsi="仿宋" w:eastAsia="仿宋" w:cs="仿宋"/>
                <w:color w:val="auto"/>
                <w:sz w:val="22"/>
                <w:szCs w:val="21"/>
                <w:highlight w:val="none"/>
                <w:lang w:eastAsia="zh-CN"/>
              </w:rPr>
              <w:t>）</w:t>
            </w:r>
            <w:r>
              <w:rPr>
                <w:rFonts w:hint="eastAsia" w:ascii="仿宋" w:hAnsi="仿宋" w:eastAsia="仿宋" w:cs="仿宋"/>
                <w:color w:val="auto"/>
                <w:sz w:val="22"/>
                <w:szCs w:val="21"/>
                <w:highlight w:val="none"/>
              </w:rPr>
              <w:t xml:space="preserve">，差得 </w:t>
            </w:r>
            <w:r>
              <w:rPr>
                <w:rFonts w:hint="eastAsia" w:ascii="仿宋" w:hAnsi="仿宋" w:eastAsia="仿宋" w:cs="仿宋"/>
                <w:color w:val="auto"/>
                <w:sz w:val="22"/>
                <w:szCs w:val="21"/>
                <w:highlight w:val="none"/>
                <w:lang w:val="en-US" w:eastAsia="zh-CN"/>
              </w:rPr>
              <w:t>0</w:t>
            </w:r>
            <w:r>
              <w:rPr>
                <w:rFonts w:hint="eastAsia" w:ascii="仿宋" w:hAnsi="仿宋" w:eastAsia="仿宋" w:cs="仿宋"/>
                <w:color w:val="auto"/>
                <w:sz w:val="22"/>
                <w:szCs w:val="21"/>
                <w:highlight w:val="none"/>
              </w:rPr>
              <w:t xml:space="preserve">分- </w:t>
            </w:r>
            <w:r>
              <w:rPr>
                <w:rFonts w:hint="eastAsia" w:ascii="仿宋" w:hAnsi="仿宋" w:eastAsia="仿宋" w:cs="仿宋"/>
                <w:color w:val="auto"/>
                <w:sz w:val="22"/>
                <w:szCs w:val="21"/>
                <w:highlight w:val="none"/>
                <w:lang w:val="en-US" w:eastAsia="zh-CN"/>
              </w:rPr>
              <w:t>3.6</w:t>
            </w:r>
            <w:r>
              <w:rPr>
                <w:rFonts w:hint="eastAsia" w:ascii="仿宋" w:hAnsi="仿宋" w:eastAsia="仿宋" w:cs="仿宋"/>
                <w:color w:val="auto"/>
                <w:sz w:val="22"/>
                <w:szCs w:val="21"/>
                <w:highlight w:val="none"/>
              </w:rPr>
              <w:t>分</w:t>
            </w:r>
            <w:r>
              <w:rPr>
                <w:rFonts w:hint="eastAsia" w:ascii="仿宋" w:hAnsi="仿宋" w:eastAsia="仿宋" w:cs="仿宋"/>
                <w:color w:val="auto"/>
                <w:sz w:val="22"/>
                <w:szCs w:val="21"/>
                <w:highlight w:val="none"/>
                <w:lang w:eastAsia="zh-CN"/>
              </w:rPr>
              <w:t>（</w:t>
            </w:r>
            <w:r>
              <w:rPr>
                <w:rFonts w:hint="eastAsia" w:ascii="仿宋" w:hAnsi="仿宋" w:eastAsia="仿宋" w:cs="仿宋"/>
                <w:color w:val="auto"/>
                <w:sz w:val="22"/>
                <w:szCs w:val="21"/>
                <w:highlight w:val="none"/>
                <w:lang w:val="en-US" w:eastAsia="zh-CN"/>
              </w:rPr>
              <w:t>不含</w:t>
            </w:r>
            <w:r>
              <w:rPr>
                <w:rFonts w:hint="eastAsia" w:ascii="仿宋" w:hAnsi="仿宋" w:eastAsia="仿宋" w:cs="仿宋"/>
                <w:color w:val="auto"/>
                <w:sz w:val="22"/>
                <w:szCs w:val="21"/>
                <w:highlight w:val="none"/>
                <w:lang w:eastAsia="zh-CN"/>
              </w:rPr>
              <w:t>）</w:t>
            </w:r>
            <w:r>
              <w:rPr>
                <w:rFonts w:hint="eastAsia" w:ascii="仿宋" w:hAnsi="仿宋" w:eastAsia="仿宋" w:cs="仿宋"/>
                <w:color w:val="auto"/>
                <w:sz w:val="22"/>
                <w:szCs w:val="21"/>
                <w:highlight w:val="none"/>
              </w:rPr>
              <w:t>。</w:t>
            </w:r>
          </w:p>
        </w:tc>
      </w:tr>
      <w:tr w14:paraId="53C57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59" w:type="dxa"/>
            <w:vMerge w:val="continue"/>
            <w:vAlign w:val="center"/>
          </w:tcPr>
          <w:p w14:paraId="41B7D610">
            <w:pPr>
              <w:autoSpaceDE w:val="0"/>
              <w:autoSpaceDN w:val="0"/>
              <w:spacing w:line="400" w:lineRule="exact"/>
              <w:rPr>
                <w:rFonts w:hint="eastAsia" w:ascii="仿宋" w:hAnsi="仿宋" w:eastAsia="仿宋" w:cs="仿宋"/>
                <w:color w:val="auto"/>
                <w:sz w:val="22"/>
                <w:szCs w:val="21"/>
                <w:highlight w:val="none"/>
              </w:rPr>
            </w:pPr>
          </w:p>
        </w:tc>
        <w:tc>
          <w:tcPr>
            <w:tcW w:w="1245" w:type="dxa"/>
            <w:vMerge w:val="continue"/>
            <w:vAlign w:val="center"/>
          </w:tcPr>
          <w:p w14:paraId="449BF449">
            <w:pPr>
              <w:autoSpaceDE w:val="0"/>
              <w:autoSpaceDN w:val="0"/>
              <w:spacing w:line="400" w:lineRule="exact"/>
              <w:rPr>
                <w:rFonts w:hint="eastAsia" w:ascii="仿宋" w:hAnsi="仿宋" w:eastAsia="仿宋" w:cs="仿宋"/>
                <w:color w:val="auto"/>
                <w:sz w:val="22"/>
                <w:szCs w:val="21"/>
                <w:highlight w:val="none"/>
              </w:rPr>
            </w:pPr>
          </w:p>
        </w:tc>
        <w:tc>
          <w:tcPr>
            <w:tcW w:w="2496" w:type="dxa"/>
            <w:vAlign w:val="center"/>
          </w:tcPr>
          <w:p w14:paraId="2DF77182">
            <w:pPr>
              <w:autoSpaceDE w:val="0"/>
              <w:autoSpaceDN w:val="0"/>
              <w:spacing w:line="400" w:lineRule="exact"/>
              <w:rPr>
                <w:rFonts w:hint="eastAsia" w:ascii="仿宋" w:hAnsi="仿宋" w:eastAsia="仿宋" w:cs="仿宋"/>
                <w:color w:val="auto"/>
                <w:sz w:val="22"/>
                <w:szCs w:val="21"/>
                <w:highlight w:val="none"/>
              </w:rPr>
            </w:pPr>
            <w:r>
              <w:rPr>
                <w:rFonts w:hint="eastAsia" w:ascii="仿宋" w:hAnsi="仿宋" w:eastAsia="仿宋" w:cs="仿宋"/>
                <w:color w:val="auto"/>
                <w:sz w:val="22"/>
                <w:szCs w:val="21"/>
                <w:highlight w:val="none"/>
              </w:rPr>
              <w:t>质量管理体系与措施</w:t>
            </w:r>
          </w:p>
        </w:tc>
        <w:tc>
          <w:tcPr>
            <w:tcW w:w="4869" w:type="dxa"/>
          </w:tcPr>
          <w:p w14:paraId="75313F3E">
            <w:pPr>
              <w:autoSpaceDE w:val="0"/>
              <w:autoSpaceDN w:val="0"/>
              <w:spacing w:line="400" w:lineRule="exact"/>
              <w:rPr>
                <w:rFonts w:hint="eastAsia" w:ascii="仿宋" w:hAnsi="仿宋" w:eastAsia="仿宋" w:cs="仿宋"/>
                <w:color w:val="auto"/>
                <w:sz w:val="22"/>
                <w:szCs w:val="21"/>
                <w:highlight w:val="none"/>
              </w:rPr>
            </w:pPr>
            <w:r>
              <w:rPr>
                <w:rFonts w:hint="eastAsia" w:ascii="仿宋" w:hAnsi="仿宋" w:eastAsia="仿宋" w:cs="仿宋"/>
                <w:color w:val="auto"/>
                <w:sz w:val="22"/>
                <w:szCs w:val="21"/>
                <w:highlight w:val="none"/>
              </w:rPr>
              <w:t xml:space="preserve">  </w:t>
            </w:r>
            <w:r>
              <w:rPr>
                <w:rFonts w:hint="eastAsia" w:ascii="仿宋" w:hAnsi="仿宋" w:eastAsia="仿宋" w:cs="仿宋"/>
                <w:color w:val="auto"/>
                <w:sz w:val="22"/>
                <w:szCs w:val="21"/>
                <w:highlight w:val="none"/>
                <w:lang w:val="en-US" w:eastAsia="zh-CN"/>
              </w:rPr>
              <w:t>6</w:t>
            </w:r>
            <w:r>
              <w:rPr>
                <w:rFonts w:hint="eastAsia" w:ascii="仿宋" w:hAnsi="仿宋" w:eastAsia="仿宋" w:cs="仿宋"/>
                <w:color w:val="auto"/>
                <w:sz w:val="22"/>
                <w:szCs w:val="21"/>
                <w:highlight w:val="none"/>
              </w:rPr>
              <w:t>分   编制要点：应当包含</w:t>
            </w:r>
            <w:r>
              <w:rPr>
                <w:rFonts w:hint="eastAsia" w:ascii="仿宋" w:hAnsi="仿宋" w:eastAsia="仿宋" w:cs="仿宋"/>
                <w:color w:val="auto"/>
                <w:sz w:val="22"/>
                <w:szCs w:val="21"/>
                <w:highlight w:val="none"/>
                <w:lang w:val="en-US" w:eastAsia="zh-CN"/>
              </w:rPr>
              <w:t>质量管理体系、质量目标、质量管理监督工作程序及质量监督控制措施</w:t>
            </w:r>
            <w:r>
              <w:rPr>
                <w:rFonts w:hint="eastAsia" w:ascii="仿宋" w:hAnsi="仿宋" w:eastAsia="仿宋" w:cs="仿宋"/>
                <w:color w:val="auto"/>
                <w:sz w:val="22"/>
                <w:szCs w:val="21"/>
                <w:highlight w:val="none"/>
              </w:rPr>
              <w:t>；</w:t>
            </w:r>
          </w:p>
          <w:p w14:paraId="53014186">
            <w:pPr>
              <w:autoSpaceDE w:val="0"/>
              <w:autoSpaceDN w:val="0"/>
              <w:spacing w:line="400" w:lineRule="exact"/>
              <w:rPr>
                <w:rFonts w:hint="eastAsia" w:ascii="仿宋" w:hAnsi="仿宋" w:eastAsia="仿宋" w:cs="仿宋"/>
                <w:color w:val="auto"/>
                <w:sz w:val="22"/>
                <w:szCs w:val="21"/>
                <w:highlight w:val="none"/>
              </w:rPr>
            </w:pPr>
            <w:r>
              <w:rPr>
                <w:rFonts w:hint="eastAsia" w:ascii="仿宋" w:hAnsi="仿宋" w:eastAsia="仿宋" w:cs="仿宋"/>
                <w:color w:val="auto"/>
                <w:sz w:val="22"/>
                <w:szCs w:val="21"/>
                <w:highlight w:val="none"/>
              </w:rPr>
              <w:t>优得</w:t>
            </w:r>
            <w:r>
              <w:rPr>
                <w:rFonts w:hint="eastAsia" w:ascii="仿宋" w:hAnsi="仿宋" w:eastAsia="仿宋" w:cs="仿宋"/>
                <w:color w:val="auto"/>
                <w:sz w:val="22"/>
                <w:szCs w:val="21"/>
                <w:highlight w:val="none"/>
                <w:lang w:val="en-US" w:eastAsia="zh-CN"/>
              </w:rPr>
              <w:t>5.4</w:t>
            </w:r>
            <w:r>
              <w:rPr>
                <w:rFonts w:hint="eastAsia" w:ascii="仿宋" w:hAnsi="仿宋" w:eastAsia="仿宋" w:cs="仿宋"/>
                <w:color w:val="auto"/>
                <w:sz w:val="22"/>
                <w:szCs w:val="21"/>
                <w:highlight w:val="none"/>
              </w:rPr>
              <w:t xml:space="preserve">分- </w:t>
            </w:r>
            <w:r>
              <w:rPr>
                <w:rFonts w:hint="eastAsia" w:ascii="仿宋" w:hAnsi="仿宋" w:eastAsia="仿宋" w:cs="仿宋"/>
                <w:color w:val="auto"/>
                <w:sz w:val="22"/>
                <w:szCs w:val="21"/>
                <w:highlight w:val="none"/>
                <w:lang w:val="en-US" w:eastAsia="zh-CN"/>
              </w:rPr>
              <w:t>6</w:t>
            </w:r>
            <w:r>
              <w:rPr>
                <w:rFonts w:hint="eastAsia" w:ascii="仿宋" w:hAnsi="仿宋" w:eastAsia="仿宋" w:cs="仿宋"/>
                <w:color w:val="auto"/>
                <w:sz w:val="22"/>
                <w:szCs w:val="21"/>
                <w:highlight w:val="none"/>
              </w:rPr>
              <w:t xml:space="preserve">分，良得 </w:t>
            </w:r>
            <w:r>
              <w:rPr>
                <w:rFonts w:hint="eastAsia" w:ascii="仿宋" w:hAnsi="仿宋" w:eastAsia="仿宋" w:cs="仿宋"/>
                <w:color w:val="auto"/>
                <w:sz w:val="22"/>
                <w:szCs w:val="21"/>
                <w:highlight w:val="none"/>
                <w:lang w:val="en-US" w:eastAsia="zh-CN"/>
              </w:rPr>
              <w:t>4.8</w:t>
            </w:r>
            <w:r>
              <w:rPr>
                <w:rFonts w:hint="eastAsia" w:ascii="仿宋" w:hAnsi="仿宋" w:eastAsia="仿宋" w:cs="仿宋"/>
                <w:color w:val="auto"/>
                <w:sz w:val="22"/>
                <w:szCs w:val="21"/>
                <w:highlight w:val="none"/>
              </w:rPr>
              <w:t xml:space="preserve"> 分-</w:t>
            </w:r>
            <w:r>
              <w:rPr>
                <w:rFonts w:hint="eastAsia" w:ascii="仿宋" w:hAnsi="仿宋" w:eastAsia="仿宋" w:cs="仿宋"/>
                <w:color w:val="auto"/>
                <w:sz w:val="22"/>
                <w:szCs w:val="21"/>
                <w:highlight w:val="none"/>
                <w:lang w:val="en-US" w:eastAsia="zh-CN"/>
              </w:rPr>
              <w:t>5.4</w:t>
            </w:r>
            <w:r>
              <w:rPr>
                <w:rFonts w:hint="eastAsia" w:ascii="仿宋" w:hAnsi="仿宋" w:eastAsia="仿宋" w:cs="仿宋"/>
                <w:color w:val="auto"/>
                <w:sz w:val="22"/>
                <w:szCs w:val="21"/>
                <w:highlight w:val="none"/>
              </w:rPr>
              <w:t>分</w:t>
            </w:r>
            <w:r>
              <w:rPr>
                <w:rFonts w:hint="eastAsia" w:ascii="仿宋" w:hAnsi="仿宋" w:eastAsia="仿宋" w:cs="仿宋"/>
                <w:color w:val="auto"/>
                <w:sz w:val="22"/>
                <w:szCs w:val="21"/>
                <w:highlight w:val="none"/>
                <w:lang w:eastAsia="zh-CN"/>
              </w:rPr>
              <w:t>（</w:t>
            </w:r>
            <w:r>
              <w:rPr>
                <w:rFonts w:hint="eastAsia" w:ascii="仿宋" w:hAnsi="仿宋" w:eastAsia="仿宋" w:cs="仿宋"/>
                <w:color w:val="auto"/>
                <w:sz w:val="22"/>
                <w:szCs w:val="21"/>
                <w:highlight w:val="none"/>
                <w:lang w:val="en-US" w:eastAsia="zh-CN"/>
              </w:rPr>
              <w:t>不含</w:t>
            </w:r>
            <w:r>
              <w:rPr>
                <w:rFonts w:hint="eastAsia" w:ascii="仿宋" w:hAnsi="仿宋" w:eastAsia="仿宋" w:cs="仿宋"/>
                <w:color w:val="auto"/>
                <w:sz w:val="22"/>
                <w:szCs w:val="21"/>
                <w:highlight w:val="none"/>
                <w:lang w:eastAsia="zh-CN"/>
              </w:rPr>
              <w:t>）</w:t>
            </w:r>
            <w:r>
              <w:rPr>
                <w:rFonts w:hint="eastAsia" w:ascii="仿宋" w:hAnsi="仿宋" w:eastAsia="仿宋" w:cs="仿宋"/>
                <w:color w:val="auto"/>
                <w:sz w:val="22"/>
                <w:szCs w:val="21"/>
                <w:highlight w:val="none"/>
              </w:rPr>
              <w:t xml:space="preserve">，一般得 </w:t>
            </w:r>
            <w:r>
              <w:rPr>
                <w:rFonts w:hint="eastAsia" w:ascii="仿宋" w:hAnsi="仿宋" w:eastAsia="仿宋" w:cs="仿宋"/>
                <w:color w:val="auto"/>
                <w:sz w:val="22"/>
                <w:szCs w:val="21"/>
                <w:highlight w:val="none"/>
                <w:lang w:val="en-US" w:eastAsia="zh-CN"/>
              </w:rPr>
              <w:t>3.6</w:t>
            </w:r>
            <w:r>
              <w:rPr>
                <w:rFonts w:hint="eastAsia" w:ascii="仿宋" w:hAnsi="仿宋" w:eastAsia="仿宋" w:cs="仿宋"/>
                <w:color w:val="auto"/>
                <w:sz w:val="22"/>
                <w:szCs w:val="21"/>
                <w:highlight w:val="none"/>
              </w:rPr>
              <w:t xml:space="preserve">分- </w:t>
            </w:r>
            <w:r>
              <w:rPr>
                <w:rFonts w:hint="eastAsia" w:ascii="仿宋" w:hAnsi="仿宋" w:eastAsia="仿宋" w:cs="仿宋"/>
                <w:color w:val="auto"/>
                <w:sz w:val="22"/>
                <w:szCs w:val="21"/>
                <w:highlight w:val="none"/>
                <w:lang w:val="en-US" w:eastAsia="zh-CN"/>
              </w:rPr>
              <w:t>4.8</w:t>
            </w:r>
            <w:r>
              <w:rPr>
                <w:rFonts w:hint="eastAsia" w:ascii="仿宋" w:hAnsi="仿宋" w:eastAsia="仿宋" w:cs="仿宋"/>
                <w:color w:val="auto"/>
                <w:sz w:val="22"/>
                <w:szCs w:val="21"/>
                <w:highlight w:val="none"/>
              </w:rPr>
              <w:t>分</w:t>
            </w:r>
            <w:r>
              <w:rPr>
                <w:rFonts w:hint="eastAsia" w:ascii="仿宋" w:hAnsi="仿宋" w:eastAsia="仿宋" w:cs="仿宋"/>
                <w:color w:val="auto"/>
                <w:sz w:val="22"/>
                <w:szCs w:val="21"/>
                <w:highlight w:val="none"/>
                <w:lang w:eastAsia="zh-CN"/>
              </w:rPr>
              <w:t>（</w:t>
            </w:r>
            <w:r>
              <w:rPr>
                <w:rFonts w:hint="eastAsia" w:ascii="仿宋" w:hAnsi="仿宋" w:eastAsia="仿宋" w:cs="仿宋"/>
                <w:color w:val="auto"/>
                <w:sz w:val="22"/>
                <w:szCs w:val="21"/>
                <w:highlight w:val="none"/>
                <w:lang w:val="en-US" w:eastAsia="zh-CN"/>
              </w:rPr>
              <w:t>不含</w:t>
            </w:r>
            <w:r>
              <w:rPr>
                <w:rFonts w:hint="eastAsia" w:ascii="仿宋" w:hAnsi="仿宋" w:eastAsia="仿宋" w:cs="仿宋"/>
                <w:color w:val="auto"/>
                <w:sz w:val="22"/>
                <w:szCs w:val="21"/>
                <w:highlight w:val="none"/>
                <w:lang w:eastAsia="zh-CN"/>
              </w:rPr>
              <w:t>）</w:t>
            </w:r>
            <w:r>
              <w:rPr>
                <w:rFonts w:hint="eastAsia" w:ascii="仿宋" w:hAnsi="仿宋" w:eastAsia="仿宋" w:cs="仿宋"/>
                <w:color w:val="auto"/>
                <w:sz w:val="22"/>
                <w:szCs w:val="21"/>
                <w:highlight w:val="none"/>
              </w:rPr>
              <w:t xml:space="preserve">，差得 </w:t>
            </w:r>
            <w:r>
              <w:rPr>
                <w:rFonts w:hint="eastAsia" w:ascii="仿宋" w:hAnsi="仿宋" w:eastAsia="仿宋" w:cs="仿宋"/>
                <w:color w:val="auto"/>
                <w:sz w:val="22"/>
                <w:szCs w:val="21"/>
                <w:highlight w:val="none"/>
                <w:lang w:val="en-US" w:eastAsia="zh-CN"/>
              </w:rPr>
              <w:t>0</w:t>
            </w:r>
            <w:r>
              <w:rPr>
                <w:rFonts w:hint="eastAsia" w:ascii="仿宋" w:hAnsi="仿宋" w:eastAsia="仿宋" w:cs="仿宋"/>
                <w:color w:val="auto"/>
                <w:sz w:val="22"/>
                <w:szCs w:val="21"/>
                <w:highlight w:val="none"/>
              </w:rPr>
              <w:t xml:space="preserve">分- </w:t>
            </w:r>
            <w:r>
              <w:rPr>
                <w:rFonts w:hint="eastAsia" w:ascii="仿宋" w:hAnsi="仿宋" w:eastAsia="仿宋" w:cs="仿宋"/>
                <w:color w:val="auto"/>
                <w:sz w:val="22"/>
                <w:szCs w:val="21"/>
                <w:highlight w:val="none"/>
                <w:lang w:val="en-US" w:eastAsia="zh-CN"/>
              </w:rPr>
              <w:t>3.6</w:t>
            </w:r>
            <w:r>
              <w:rPr>
                <w:rFonts w:hint="eastAsia" w:ascii="仿宋" w:hAnsi="仿宋" w:eastAsia="仿宋" w:cs="仿宋"/>
                <w:color w:val="auto"/>
                <w:sz w:val="22"/>
                <w:szCs w:val="21"/>
                <w:highlight w:val="none"/>
              </w:rPr>
              <w:t>分</w:t>
            </w:r>
            <w:r>
              <w:rPr>
                <w:rFonts w:hint="eastAsia" w:ascii="仿宋" w:hAnsi="仿宋" w:eastAsia="仿宋" w:cs="仿宋"/>
                <w:color w:val="auto"/>
                <w:sz w:val="22"/>
                <w:szCs w:val="21"/>
                <w:highlight w:val="none"/>
                <w:lang w:eastAsia="zh-CN"/>
              </w:rPr>
              <w:t>（</w:t>
            </w:r>
            <w:r>
              <w:rPr>
                <w:rFonts w:hint="eastAsia" w:ascii="仿宋" w:hAnsi="仿宋" w:eastAsia="仿宋" w:cs="仿宋"/>
                <w:color w:val="auto"/>
                <w:sz w:val="22"/>
                <w:szCs w:val="21"/>
                <w:highlight w:val="none"/>
                <w:lang w:val="en-US" w:eastAsia="zh-CN"/>
              </w:rPr>
              <w:t>不含</w:t>
            </w:r>
            <w:r>
              <w:rPr>
                <w:rFonts w:hint="eastAsia" w:ascii="仿宋" w:hAnsi="仿宋" w:eastAsia="仿宋" w:cs="仿宋"/>
                <w:color w:val="auto"/>
                <w:sz w:val="22"/>
                <w:szCs w:val="21"/>
                <w:highlight w:val="none"/>
                <w:lang w:eastAsia="zh-CN"/>
              </w:rPr>
              <w:t>）</w:t>
            </w:r>
            <w:r>
              <w:rPr>
                <w:rFonts w:hint="eastAsia" w:ascii="仿宋" w:hAnsi="仿宋" w:eastAsia="仿宋" w:cs="仿宋"/>
                <w:color w:val="auto"/>
                <w:sz w:val="22"/>
                <w:szCs w:val="21"/>
                <w:highlight w:val="none"/>
              </w:rPr>
              <w:t>。</w:t>
            </w:r>
          </w:p>
        </w:tc>
      </w:tr>
      <w:tr w14:paraId="34DCF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59" w:type="dxa"/>
            <w:vMerge w:val="continue"/>
            <w:vAlign w:val="center"/>
          </w:tcPr>
          <w:p w14:paraId="5A936BE9">
            <w:pPr>
              <w:autoSpaceDE w:val="0"/>
              <w:autoSpaceDN w:val="0"/>
              <w:spacing w:line="400" w:lineRule="exact"/>
              <w:rPr>
                <w:rFonts w:hint="eastAsia" w:ascii="仿宋" w:hAnsi="仿宋" w:eastAsia="仿宋" w:cs="仿宋"/>
                <w:color w:val="auto"/>
                <w:sz w:val="22"/>
                <w:szCs w:val="21"/>
                <w:highlight w:val="none"/>
              </w:rPr>
            </w:pPr>
          </w:p>
        </w:tc>
        <w:tc>
          <w:tcPr>
            <w:tcW w:w="1245" w:type="dxa"/>
            <w:vMerge w:val="continue"/>
            <w:vAlign w:val="center"/>
          </w:tcPr>
          <w:p w14:paraId="649FC14E">
            <w:pPr>
              <w:autoSpaceDE w:val="0"/>
              <w:autoSpaceDN w:val="0"/>
              <w:spacing w:line="400" w:lineRule="exact"/>
              <w:rPr>
                <w:rFonts w:hint="eastAsia" w:ascii="仿宋" w:hAnsi="仿宋" w:eastAsia="仿宋" w:cs="仿宋"/>
                <w:color w:val="auto"/>
                <w:sz w:val="22"/>
                <w:szCs w:val="21"/>
                <w:highlight w:val="none"/>
              </w:rPr>
            </w:pPr>
          </w:p>
        </w:tc>
        <w:tc>
          <w:tcPr>
            <w:tcW w:w="2496" w:type="dxa"/>
            <w:vAlign w:val="center"/>
          </w:tcPr>
          <w:p w14:paraId="5FC7AA3F">
            <w:pPr>
              <w:autoSpaceDE w:val="0"/>
              <w:autoSpaceDN w:val="0"/>
              <w:spacing w:line="400" w:lineRule="exact"/>
              <w:rPr>
                <w:rFonts w:hint="eastAsia" w:ascii="仿宋" w:hAnsi="仿宋" w:eastAsia="仿宋" w:cs="仿宋"/>
                <w:color w:val="auto"/>
                <w:sz w:val="22"/>
                <w:szCs w:val="21"/>
                <w:highlight w:val="none"/>
              </w:rPr>
            </w:pPr>
            <w:r>
              <w:rPr>
                <w:rFonts w:hint="eastAsia" w:ascii="仿宋" w:hAnsi="仿宋" w:eastAsia="仿宋" w:cs="仿宋"/>
                <w:color w:val="auto"/>
                <w:sz w:val="22"/>
                <w:szCs w:val="21"/>
                <w:highlight w:val="none"/>
              </w:rPr>
              <w:t>安全管理体系与措施</w:t>
            </w:r>
          </w:p>
        </w:tc>
        <w:tc>
          <w:tcPr>
            <w:tcW w:w="4869" w:type="dxa"/>
          </w:tcPr>
          <w:p w14:paraId="3FC4A3D8">
            <w:pPr>
              <w:autoSpaceDE w:val="0"/>
              <w:autoSpaceDN w:val="0"/>
              <w:spacing w:line="400" w:lineRule="exact"/>
              <w:rPr>
                <w:rFonts w:hint="eastAsia" w:ascii="仿宋" w:hAnsi="仿宋" w:eastAsia="仿宋" w:cs="仿宋"/>
                <w:color w:val="auto"/>
                <w:sz w:val="22"/>
                <w:szCs w:val="21"/>
                <w:highlight w:val="none"/>
              </w:rPr>
            </w:pPr>
            <w:r>
              <w:rPr>
                <w:rFonts w:hint="eastAsia" w:ascii="仿宋" w:hAnsi="仿宋" w:eastAsia="仿宋" w:cs="仿宋"/>
                <w:color w:val="auto"/>
                <w:sz w:val="22"/>
                <w:szCs w:val="21"/>
                <w:highlight w:val="none"/>
              </w:rPr>
              <w:t xml:space="preserve">  </w:t>
            </w:r>
            <w:r>
              <w:rPr>
                <w:rFonts w:hint="eastAsia" w:ascii="仿宋" w:hAnsi="仿宋" w:eastAsia="仿宋" w:cs="仿宋"/>
                <w:color w:val="auto"/>
                <w:sz w:val="22"/>
                <w:szCs w:val="21"/>
                <w:highlight w:val="none"/>
                <w:lang w:val="en-US" w:eastAsia="zh-CN"/>
              </w:rPr>
              <w:t xml:space="preserve">6 </w:t>
            </w:r>
            <w:r>
              <w:rPr>
                <w:rFonts w:hint="eastAsia" w:ascii="仿宋" w:hAnsi="仿宋" w:eastAsia="仿宋" w:cs="仿宋"/>
                <w:color w:val="auto"/>
                <w:sz w:val="22"/>
                <w:szCs w:val="21"/>
                <w:highlight w:val="none"/>
              </w:rPr>
              <w:t>分   编制要点： 应当包含</w:t>
            </w:r>
            <w:r>
              <w:rPr>
                <w:rFonts w:hint="eastAsia" w:ascii="仿宋" w:hAnsi="仿宋" w:eastAsia="仿宋" w:cs="仿宋"/>
                <w:color w:val="auto"/>
                <w:sz w:val="22"/>
                <w:szCs w:val="21"/>
                <w:highlight w:val="none"/>
                <w:lang w:val="en-US" w:eastAsia="zh-CN"/>
              </w:rPr>
              <w:t>安全文明施工保证体系，施工现场管理人员安全生产职责、安全生产管理制度、重大危险源的辨识和控制措施，针对工程特点有明确的安全管理措施、文明施工措施、安全应急救援预案；</w:t>
            </w:r>
          </w:p>
          <w:p w14:paraId="7F67BECC">
            <w:pPr>
              <w:autoSpaceDE w:val="0"/>
              <w:autoSpaceDN w:val="0"/>
              <w:spacing w:line="400" w:lineRule="exact"/>
              <w:rPr>
                <w:rFonts w:hint="eastAsia" w:ascii="仿宋" w:hAnsi="仿宋" w:eastAsia="仿宋" w:cs="仿宋"/>
                <w:color w:val="auto"/>
                <w:sz w:val="22"/>
                <w:szCs w:val="21"/>
                <w:highlight w:val="none"/>
              </w:rPr>
            </w:pPr>
            <w:r>
              <w:rPr>
                <w:rFonts w:hint="eastAsia" w:ascii="仿宋" w:hAnsi="仿宋" w:eastAsia="仿宋" w:cs="仿宋"/>
                <w:color w:val="auto"/>
                <w:sz w:val="22"/>
                <w:szCs w:val="21"/>
                <w:highlight w:val="none"/>
              </w:rPr>
              <w:t>优得</w:t>
            </w:r>
            <w:r>
              <w:rPr>
                <w:rFonts w:hint="eastAsia" w:ascii="仿宋" w:hAnsi="仿宋" w:eastAsia="仿宋" w:cs="仿宋"/>
                <w:color w:val="auto"/>
                <w:sz w:val="22"/>
                <w:szCs w:val="21"/>
                <w:highlight w:val="none"/>
                <w:lang w:val="en-US" w:eastAsia="zh-CN"/>
              </w:rPr>
              <w:t>5.4</w:t>
            </w:r>
            <w:r>
              <w:rPr>
                <w:rFonts w:hint="eastAsia" w:ascii="仿宋" w:hAnsi="仿宋" w:eastAsia="仿宋" w:cs="仿宋"/>
                <w:color w:val="auto"/>
                <w:sz w:val="22"/>
                <w:szCs w:val="21"/>
                <w:highlight w:val="none"/>
              </w:rPr>
              <w:t xml:space="preserve">分- </w:t>
            </w:r>
            <w:r>
              <w:rPr>
                <w:rFonts w:hint="eastAsia" w:ascii="仿宋" w:hAnsi="仿宋" w:eastAsia="仿宋" w:cs="仿宋"/>
                <w:color w:val="auto"/>
                <w:sz w:val="22"/>
                <w:szCs w:val="21"/>
                <w:highlight w:val="none"/>
                <w:lang w:val="en-US" w:eastAsia="zh-CN"/>
              </w:rPr>
              <w:t>6</w:t>
            </w:r>
            <w:r>
              <w:rPr>
                <w:rFonts w:hint="eastAsia" w:ascii="仿宋" w:hAnsi="仿宋" w:eastAsia="仿宋" w:cs="仿宋"/>
                <w:color w:val="auto"/>
                <w:sz w:val="22"/>
                <w:szCs w:val="21"/>
                <w:highlight w:val="none"/>
              </w:rPr>
              <w:t xml:space="preserve">分，良得 </w:t>
            </w:r>
            <w:r>
              <w:rPr>
                <w:rFonts w:hint="eastAsia" w:ascii="仿宋" w:hAnsi="仿宋" w:eastAsia="仿宋" w:cs="仿宋"/>
                <w:color w:val="auto"/>
                <w:sz w:val="22"/>
                <w:szCs w:val="21"/>
                <w:highlight w:val="none"/>
                <w:lang w:val="en-US" w:eastAsia="zh-CN"/>
              </w:rPr>
              <w:t>4.8</w:t>
            </w:r>
            <w:r>
              <w:rPr>
                <w:rFonts w:hint="eastAsia" w:ascii="仿宋" w:hAnsi="仿宋" w:eastAsia="仿宋" w:cs="仿宋"/>
                <w:color w:val="auto"/>
                <w:sz w:val="22"/>
                <w:szCs w:val="21"/>
                <w:highlight w:val="none"/>
              </w:rPr>
              <w:t xml:space="preserve"> 分-</w:t>
            </w:r>
            <w:r>
              <w:rPr>
                <w:rFonts w:hint="eastAsia" w:ascii="仿宋" w:hAnsi="仿宋" w:eastAsia="仿宋" w:cs="仿宋"/>
                <w:color w:val="auto"/>
                <w:sz w:val="22"/>
                <w:szCs w:val="21"/>
                <w:highlight w:val="none"/>
                <w:lang w:val="en-US" w:eastAsia="zh-CN"/>
              </w:rPr>
              <w:t>5.4</w:t>
            </w:r>
            <w:r>
              <w:rPr>
                <w:rFonts w:hint="eastAsia" w:ascii="仿宋" w:hAnsi="仿宋" w:eastAsia="仿宋" w:cs="仿宋"/>
                <w:color w:val="auto"/>
                <w:sz w:val="22"/>
                <w:szCs w:val="21"/>
                <w:highlight w:val="none"/>
              </w:rPr>
              <w:t>分</w:t>
            </w:r>
            <w:r>
              <w:rPr>
                <w:rFonts w:hint="eastAsia" w:ascii="仿宋" w:hAnsi="仿宋" w:eastAsia="仿宋" w:cs="仿宋"/>
                <w:color w:val="auto"/>
                <w:sz w:val="22"/>
                <w:szCs w:val="21"/>
                <w:highlight w:val="none"/>
                <w:lang w:eastAsia="zh-CN"/>
              </w:rPr>
              <w:t>（</w:t>
            </w:r>
            <w:r>
              <w:rPr>
                <w:rFonts w:hint="eastAsia" w:ascii="仿宋" w:hAnsi="仿宋" w:eastAsia="仿宋" w:cs="仿宋"/>
                <w:color w:val="auto"/>
                <w:sz w:val="22"/>
                <w:szCs w:val="21"/>
                <w:highlight w:val="none"/>
                <w:lang w:val="en-US" w:eastAsia="zh-CN"/>
              </w:rPr>
              <w:t>不含</w:t>
            </w:r>
            <w:r>
              <w:rPr>
                <w:rFonts w:hint="eastAsia" w:ascii="仿宋" w:hAnsi="仿宋" w:eastAsia="仿宋" w:cs="仿宋"/>
                <w:color w:val="auto"/>
                <w:sz w:val="22"/>
                <w:szCs w:val="21"/>
                <w:highlight w:val="none"/>
                <w:lang w:eastAsia="zh-CN"/>
              </w:rPr>
              <w:t>）</w:t>
            </w:r>
            <w:r>
              <w:rPr>
                <w:rFonts w:hint="eastAsia" w:ascii="仿宋" w:hAnsi="仿宋" w:eastAsia="仿宋" w:cs="仿宋"/>
                <w:color w:val="auto"/>
                <w:sz w:val="22"/>
                <w:szCs w:val="21"/>
                <w:highlight w:val="none"/>
              </w:rPr>
              <w:t xml:space="preserve">，一般得 </w:t>
            </w:r>
            <w:r>
              <w:rPr>
                <w:rFonts w:hint="eastAsia" w:ascii="仿宋" w:hAnsi="仿宋" w:eastAsia="仿宋" w:cs="仿宋"/>
                <w:color w:val="auto"/>
                <w:sz w:val="22"/>
                <w:szCs w:val="21"/>
                <w:highlight w:val="none"/>
                <w:lang w:val="en-US" w:eastAsia="zh-CN"/>
              </w:rPr>
              <w:t>3.6</w:t>
            </w:r>
            <w:r>
              <w:rPr>
                <w:rFonts w:hint="eastAsia" w:ascii="仿宋" w:hAnsi="仿宋" w:eastAsia="仿宋" w:cs="仿宋"/>
                <w:color w:val="auto"/>
                <w:sz w:val="22"/>
                <w:szCs w:val="21"/>
                <w:highlight w:val="none"/>
              </w:rPr>
              <w:t xml:space="preserve">分- </w:t>
            </w:r>
            <w:r>
              <w:rPr>
                <w:rFonts w:hint="eastAsia" w:ascii="仿宋" w:hAnsi="仿宋" w:eastAsia="仿宋" w:cs="仿宋"/>
                <w:color w:val="auto"/>
                <w:sz w:val="22"/>
                <w:szCs w:val="21"/>
                <w:highlight w:val="none"/>
                <w:lang w:val="en-US" w:eastAsia="zh-CN"/>
              </w:rPr>
              <w:t>4.8</w:t>
            </w:r>
            <w:r>
              <w:rPr>
                <w:rFonts w:hint="eastAsia" w:ascii="仿宋" w:hAnsi="仿宋" w:eastAsia="仿宋" w:cs="仿宋"/>
                <w:color w:val="auto"/>
                <w:sz w:val="22"/>
                <w:szCs w:val="21"/>
                <w:highlight w:val="none"/>
              </w:rPr>
              <w:t>分</w:t>
            </w:r>
            <w:r>
              <w:rPr>
                <w:rFonts w:hint="eastAsia" w:ascii="仿宋" w:hAnsi="仿宋" w:eastAsia="仿宋" w:cs="仿宋"/>
                <w:color w:val="auto"/>
                <w:sz w:val="22"/>
                <w:szCs w:val="21"/>
                <w:highlight w:val="none"/>
                <w:lang w:eastAsia="zh-CN"/>
              </w:rPr>
              <w:t>（</w:t>
            </w:r>
            <w:r>
              <w:rPr>
                <w:rFonts w:hint="eastAsia" w:ascii="仿宋" w:hAnsi="仿宋" w:eastAsia="仿宋" w:cs="仿宋"/>
                <w:color w:val="auto"/>
                <w:sz w:val="22"/>
                <w:szCs w:val="21"/>
                <w:highlight w:val="none"/>
                <w:lang w:val="en-US" w:eastAsia="zh-CN"/>
              </w:rPr>
              <w:t>不含</w:t>
            </w:r>
            <w:r>
              <w:rPr>
                <w:rFonts w:hint="eastAsia" w:ascii="仿宋" w:hAnsi="仿宋" w:eastAsia="仿宋" w:cs="仿宋"/>
                <w:color w:val="auto"/>
                <w:sz w:val="22"/>
                <w:szCs w:val="21"/>
                <w:highlight w:val="none"/>
                <w:lang w:eastAsia="zh-CN"/>
              </w:rPr>
              <w:t>）</w:t>
            </w:r>
            <w:r>
              <w:rPr>
                <w:rFonts w:hint="eastAsia" w:ascii="仿宋" w:hAnsi="仿宋" w:eastAsia="仿宋" w:cs="仿宋"/>
                <w:color w:val="auto"/>
                <w:sz w:val="22"/>
                <w:szCs w:val="21"/>
                <w:highlight w:val="none"/>
              </w:rPr>
              <w:t xml:space="preserve">，差得 </w:t>
            </w:r>
            <w:r>
              <w:rPr>
                <w:rFonts w:hint="eastAsia" w:ascii="仿宋" w:hAnsi="仿宋" w:eastAsia="仿宋" w:cs="仿宋"/>
                <w:color w:val="auto"/>
                <w:sz w:val="22"/>
                <w:szCs w:val="21"/>
                <w:highlight w:val="none"/>
                <w:lang w:val="en-US" w:eastAsia="zh-CN"/>
              </w:rPr>
              <w:t>0</w:t>
            </w:r>
            <w:r>
              <w:rPr>
                <w:rFonts w:hint="eastAsia" w:ascii="仿宋" w:hAnsi="仿宋" w:eastAsia="仿宋" w:cs="仿宋"/>
                <w:color w:val="auto"/>
                <w:sz w:val="22"/>
                <w:szCs w:val="21"/>
                <w:highlight w:val="none"/>
              </w:rPr>
              <w:t xml:space="preserve">分- </w:t>
            </w:r>
            <w:r>
              <w:rPr>
                <w:rFonts w:hint="eastAsia" w:ascii="仿宋" w:hAnsi="仿宋" w:eastAsia="仿宋" w:cs="仿宋"/>
                <w:color w:val="auto"/>
                <w:sz w:val="22"/>
                <w:szCs w:val="21"/>
                <w:highlight w:val="none"/>
                <w:lang w:val="en-US" w:eastAsia="zh-CN"/>
              </w:rPr>
              <w:t>3.6</w:t>
            </w:r>
            <w:r>
              <w:rPr>
                <w:rFonts w:hint="eastAsia" w:ascii="仿宋" w:hAnsi="仿宋" w:eastAsia="仿宋" w:cs="仿宋"/>
                <w:color w:val="auto"/>
                <w:sz w:val="22"/>
                <w:szCs w:val="21"/>
                <w:highlight w:val="none"/>
              </w:rPr>
              <w:t>分</w:t>
            </w:r>
            <w:r>
              <w:rPr>
                <w:rFonts w:hint="eastAsia" w:ascii="仿宋" w:hAnsi="仿宋" w:eastAsia="仿宋" w:cs="仿宋"/>
                <w:color w:val="auto"/>
                <w:sz w:val="22"/>
                <w:szCs w:val="21"/>
                <w:highlight w:val="none"/>
                <w:lang w:eastAsia="zh-CN"/>
              </w:rPr>
              <w:t>（</w:t>
            </w:r>
            <w:r>
              <w:rPr>
                <w:rFonts w:hint="eastAsia" w:ascii="仿宋" w:hAnsi="仿宋" w:eastAsia="仿宋" w:cs="仿宋"/>
                <w:color w:val="auto"/>
                <w:sz w:val="22"/>
                <w:szCs w:val="21"/>
                <w:highlight w:val="none"/>
                <w:lang w:val="en-US" w:eastAsia="zh-CN"/>
              </w:rPr>
              <w:t>不含</w:t>
            </w:r>
            <w:r>
              <w:rPr>
                <w:rFonts w:hint="eastAsia" w:ascii="仿宋" w:hAnsi="仿宋" w:eastAsia="仿宋" w:cs="仿宋"/>
                <w:color w:val="auto"/>
                <w:sz w:val="22"/>
                <w:szCs w:val="21"/>
                <w:highlight w:val="none"/>
                <w:lang w:eastAsia="zh-CN"/>
              </w:rPr>
              <w:t>）</w:t>
            </w:r>
            <w:r>
              <w:rPr>
                <w:rFonts w:hint="eastAsia" w:ascii="仿宋" w:hAnsi="仿宋" w:eastAsia="仿宋" w:cs="仿宋"/>
                <w:color w:val="auto"/>
                <w:sz w:val="22"/>
                <w:szCs w:val="21"/>
                <w:highlight w:val="none"/>
              </w:rPr>
              <w:t>。</w:t>
            </w:r>
          </w:p>
        </w:tc>
      </w:tr>
      <w:tr w14:paraId="22EA7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59" w:type="dxa"/>
            <w:vMerge w:val="continue"/>
            <w:vAlign w:val="center"/>
          </w:tcPr>
          <w:p w14:paraId="1CFE7FCC">
            <w:pPr>
              <w:autoSpaceDE w:val="0"/>
              <w:autoSpaceDN w:val="0"/>
              <w:spacing w:line="400" w:lineRule="exact"/>
              <w:rPr>
                <w:rFonts w:hint="eastAsia" w:ascii="仿宋" w:hAnsi="仿宋" w:eastAsia="仿宋" w:cs="仿宋"/>
                <w:color w:val="auto"/>
                <w:sz w:val="22"/>
                <w:szCs w:val="21"/>
                <w:highlight w:val="none"/>
              </w:rPr>
            </w:pPr>
          </w:p>
        </w:tc>
        <w:tc>
          <w:tcPr>
            <w:tcW w:w="1245" w:type="dxa"/>
            <w:vMerge w:val="continue"/>
            <w:vAlign w:val="center"/>
          </w:tcPr>
          <w:p w14:paraId="6A796390">
            <w:pPr>
              <w:autoSpaceDE w:val="0"/>
              <w:autoSpaceDN w:val="0"/>
              <w:spacing w:line="400" w:lineRule="exact"/>
              <w:rPr>
                <w:rFonts w:hint="eastAsia" w:ascii="仿宋" w:hAnsi="仿宋" w:eastAsia="仿宋" w:cs="仿宋"/>
                <w:color w:val="auto"/>
                <w:sz w:val="22"/>
                <w:szCs w:val="21"/>
                <w:highlight w:val="none"/>
              </w:rPr>
            </w:pPr>
          </w:p>
        </w:tc>
        <w:tc>
          <w:tcPr>
            <w:tcW w:w="2496" w:type="dxa"/>
            <w:vAlign w:val="center"/>
          </w:tcPr>
          <w:p w14:paraId="4DED7CD4">
            <w:pPr>
              <w:autoSpaceDE w:val="0"/>
              <w:autoSpaceDN w:val="0"/>
              <w:spacing w:line="400" w:lineRule="exact"/>
              <w:rPr>
                <w:rFonts w:hint="eastAsia" w:ascii="仿宋" w:hAnsi="仿宋" w:eastAsia="仿宋" w:cs="仿宋"/>
                <w:color w:val="auto"/>
                <w:sz w:val="22"/>
                <w:szCs w:val="21"/>
                <w:highlight w:val="none"/>
              </w:rPr>
            </w:pPr>
            <w:r>
              <w:rPr>
                <w:rFonts w:hint="eastAsia" w:ascii="仿宋" w:hAnsi="仿宋" w:eastAsia="仿宋" w:cs="仿宋"/>
                <w:color w:val="auto"/>
                <w:sz w:val="22"/>
                <w:szCs w:val="21"/>
                <w:highlight w:val="none"/>
              </w:rPr>
              <w:t>环境保护管理体系措施</w:t>
            </w:r>
          </w:p>
        </w:tc>
        <w:tc>
          <w:tcPr>
            <w:tcW w:w="4869" w:type="dxa"/>
          </w:tcPr>
          <w:p w14:paraId="2E80D494">
            <w:pPr>
              <w:autoSpaceDE w:val="0"/>
              <w:autoSpaceDN w:val="0"/>
              <w:spacing w:line="400" w:lineRule="exact"/>
              <w:rPr>
                <w:rFonts w:hint="eastAsia" w:ascii="仿宋" w:hAnsi="仿宋" w:eastAsia="仿宋" w:cs="仿宋"/>
                <w:color w:val="auto"/>
                <w:sz w:val="22"/>
                <w:szCs w:val="21"/>
                <w:highlight w:val="none"/>
              </w:rPr>
            </w:pPr>
            <w:r>
              <w:rPr>
                <w:rFonts w:hint="eastAsia" w:ascii="仿宋" w:hAnsi="仿宋" w:eastAsia="仿宋" w:cs="仿宋"/>
                <w:color w:val="auto"/>
                <w:sz w:val="22"/>
                <w:szCs w:val="21"/>
                <w:highlight w:val="none"/>
              </w:rPr>
              <w:t xml:space="preserve">  </w:t>
            </w:r>
            <w:r>
              <w:rPr>
                <w:rFonts w:hint="eastAsia" w:ascii="仿宋" w:hAnsi="仿宋" w:eastAsia="仿宋" w:cs="仿宋"/>
                <w:color w:val="auto"/>
                <w:sz w:val="22"/>
                <w:szCs w:val="21"/>
                <w:highlight w:val="none"/>
                <w:lang w:val="en-US" w:eastAsia="zh-CN"/>
              </w:rPr>
              <w:t>6</w:t>
            </w:r>
            <w:r>
              <w:rPr>
                <w:rFonts w:hint="eastAsia" w:ascii="仿宋" w:hAnsi="仿宋" w:eastAsia="仿宋" w:cs="仿宋"/>
                <w:color w:val="auto"/>
                <w:sz w:val="22"/>
                <w:szCs w:val="21"/>
                <w:highlight w:val="none"/>
              </w:rPr>
              <w:t>分   编制要点：环境管理体系健全有效，环境管理保证措施得当具有针对性，</w:t>
            </w:r>
            <w:r>
              <w:rPr>
                <w:rFonts w:hint="eastAsia" w:ascii="仿宋" w:hAnsi="仿宋" w:eastAsia="仿宋" w:cs="仿宋"/>
                <w:color w:val="auto"/>
                <w:sz w:val="22"/>
                <w:szCs w:val="21"/>
                <w:highlight w:val="none"/>
                <w:lang w:val="en-US" w:eastAsia="zh-CN"/>
              </w:rPr>
              <w:t>对</w:t>
            </w:r>
            <w:r>
              <w:rPr>
                <w:rFonts w:hint="eastAsia" w:ascii="仿宋" w:hAnsi="仿宋" w:eastAsia="仿宋" w:cs="仿宋"/>
                <w:color w:val="auto"/>
                <w:sz w:val="22"/>
                <w:szCs w:val="21"/>
                <w:highlight w:val="none"/>
              </w:rPr>
              <w:t>本项目施工现场周边环境情况了解详尽；</w:t>
            </w:r>
          </w:p>
          <w:p w14:paraId="28E9FDB6">
            <w:pPr>
              <w:autoSpaceDE w:val="0"/>
              <w:autoSpaceDN w:val="0"/>
              <w:spacing w:line="400" w:lineRule="exact"/>
              <w:rPr>
                <w:rFonts w:hint="eastAsia" w:ascii="仿宋" w:hAnsi="仿宋" w:eastAsia="仿宋" w:cs="仿宋"/>
                <w:color w:val="auto"/>
                <w:sz w:val="22"/>
                <w:szCs w:val="21"/>
                <w:highlight w:val="none"/>
              </w:rPr>
            </w:pPr>
            <w:r>
              <w:rPr>
                <w:rFonts w:hint="eastAsia" w:ascii="仿宋" w:hAnsi="仿宋" w:eastAsia="仿宋" w:cs="仿宋"/>
                <w:color w:val="auto"/>
                <w:sz w:val="22"/>
                <w:szCs w:val="21"/>
                <w:highlight w:val="none"/>
              </w:rPr>
              <w:t>优得</w:t>
            </w:r>
            <w:r>
              <w:rPr>
                <w:rFonts w:hint="eastAsia" w:ascii="仿宋" w:hAnsi="仿宋" w:eastAsia="仿宋" w:cs="仿宋"/>
                <w:color w:val="auto"/>
                <w:sz w:val="22"/>
                <w:szCs w:val="21"/>
                <w:highlight w:val="none"/>
                <w:lang w:val="en-US" w:eastAsia="zh-CN"/>
              </w:rPr>
              <w:t>5.4</w:t>
            </w:r>
            <w:r>
              <w:rPr>
                <w:rFonts w:hint="eastAsia" w:ascii="仿宋" w:hAnsi="仿宋" w:eastAsia="仿宋" w:cs="仿宋"/>
                <w:color w:val="auto"/>
                <w:sz w:val="22"/>
                <w:szCs w:val="21"/>
                <w:highlight w:val="none"/>
              </w:rPr>
              <w:t xml:space="preserve">分- </w:t>
            </w:r>
            <w:r>
              <w:rPr>
                <w:rFonts w:hint="eastAsia" w:ascii="仿宋" w:hAnsi="仿宋" w:eastAsia="仿宋" w:cs="仿宋"/>
                <w:color w:val="auto"/>
                <w:sz w:val="22"/>
                <w:szCs w:val="21"/>
                <w:highlight w:val="none"/>
                <w:lang w:val="en-US" w:eastAsia="zh-CN"/>
              </w:rPr>
              <w:t>6</w:t>
            </w:r>
            <w:r>
              <w:rPr>
                <w:rFonts w:hint="eastAsia" w:ascii="仿宋" w:hAnsi="仿宋" w:eastAsia="仿宋" w:cs="仿宋"/>
                <w:color w:val="auto"/>
                <w:sz w:val="22"/>
                <w:szCs w:val="21"/>
                <w:highlight w:val="none"/>
              </w:rPr>
              <w:t xml:space="preserve">分，良得 </w:t>
            </w:r>
            <w:r>
              <w:rPr>
                <w:rFonts w:hint="eastAsia" w:ascii="仿宋" w:hAnsi="仿宋" w:eastAsia="仿宋" w:cs="仿宋"/>
                <w:color w:val="auto"/>
                <w:sz w:val="22"/>
                <w:szCs w:val="21"/>
                <w:highlight w:val="none"/>
                <w:lang w:val="en-US" w:eastAsia="zh-CN"/>
              </w:rPr>
              <w:t>4.8</w:t>
            </w:r>
            <w:r>
              <w:rPr>
                <w:rFonts w:hint="eastAsia" w:ascii="仿宋" w:hAnsi="仿宋" w:eastAsia="仿宋" w:cs="仿宋"/>
                <w:color w:val="auto"/>
                <w:sz w:val="22"/>
                <w:szCs w:val="21"/>
                <w:highlight w:val="none"/>
              </w:rPr>
              <w:t xml:space="preserve"> 分-</w:t>
            </w:r>
            <w:r>
              <w:rPr>
                <w:rFonts w:hint="eastAsia" w:ascii="仿宋" w:hAnsi="仿宋" w:eastAsia="仿宋" w:cs="仿宋"/>
                <w:color w:val="auto"/>
                <w:sz w:val="22"/>
                <w:szCs w:val="21"/>
                <w:highlight w:val="none"/>
                <w:lang w:val="en-US" w:eastAsia="zh-CN"/>
              </w:rPr>
              <w:t>5.4</w:t>
            </w:r>
            <w:r>
              <w:rPr>
                <w:rFonts w:hint="eastAsia" w:ascii="仿宋" w:hAnsi="仿宋" w:eastAsia="仿宋" w:cs="仿宋"/>
                <w:color w:val="auto"/>
                <w:sz w:val="22"/>
                <w:szCs w:val="21"/>
                <w:highlight w:val="none"/>
              </w:rPr>
              <w:t>分</w:t>
            </w:r>
            <w:r>
              <w:rPr>
                <w:rFonts w:hint="eastAsia" w:ascii="仿宋" w:hAnsi="仿宋" w:eastAsia="仿宋" w:cs="仿宋"/>
                <w:color w:val="auto"/>
                <w:sz w:val="22"/>
                <w:szCs w:val="21"/>
                <w:highlight w:val="none"/>
                <w:lang w:eastAsia="zh-CN"/>
              </w:rPr>
              <w:t>（</w:t>
            </w:r>
            <w:r>
              <w:rPr>
                <w:rFonts w:hint="eastAsia" w:ascii="仿宋" w:hAnsi="仿宋" w:eastAsia="仿宋" w:cs="仿宋"/>
                <w:color w:val="auto"/>
                <w:sz w:val="22"/>
                <w:szCs w:val="21"/>
                <w:highlight w:val="none"/>
                <w:lang w:val="en-US" w:eastAsia="zh-CN"/>
              </w:rPr>
              <w:t>不含</w:t>
            </w:r>
            <w:r>
              <w:rPr>
                <w:rFonts w:hint="eastAsia" w:ascii="仿宋" w:hAnsi="仿宋" w:eastAsia="仿宋" w:cs="仿宋"/>
                <w:color w:val="auto"/>
                <w:sz w:val="22"/>
                <w:szCs w:val="21"/>
                <w:highlight w:val="none"/>
                <w:lang w:eastAsia="zh-CN"/>
              </w:rPr>
              <w:t>）</w:t>
            </w:r>
            <w:r>
              <w:rPr>
                <w:rFonts w:hint="eastAsia" w:ascii="仿宋" w:hAnsi="仿宋" w:eastAsia="仿宋" w:cs="仿宋"/>
                <w:color w:val="auto"/>
                <w:sz w:val="22"/>
                <w:szCs w:val="21"/>
                <w:highlight w:val="none"/>
              </w:rPr>
              <w:t xml:space="preserve">，一般得 </w:t>
            </w:r>
            <w:r>
              <w:rPr>
                <w:rFonts w:hint="eastAsia" w:ascii="仿宋" w:hAnsi="仿宋" w:eastAsia="仿宋" w:cs="仿宋"/>
                <w:color w:val="auto"/>
                <w:sz w:val="22"/>
                <w:szCs w:val="21"/>
                <w:highlight w:val="none"/>
                <w:lang w:val="en-US" w:eastAsia="zh-CN"/>
              </w:rPr>
              <w:t>3.6</w:t>
            </w:r>
            <w:r>
              <w:rPr>
                <w:rFonts w:hint="eastAsia" w:ascii="仿宋" w:hAnsi="仿宋" w:eastAsia="仿宋" w:cs="仿宋"/>
                <w:color w:val="auto"/>
                <w:sz w:val="22"/>
                <w:szCs w:val="21"/>
                <w:highlight w:val="none"/>
              </w:rPr>
              <w:t xml:space="preserve">分- </w:t>
            </w:r>
            <w:r>
              <w:rPr>
                <w:rFonts w:hint="eastAsia" w:ascii="仿宋" w:hAnsi="仿宋" w:eastAsia="仿宋" w:cs="仿宋"/>
                <w:color w:val="auto"/>
                <w:sz w:val="22"/>
                <w:szCs w:val="21"/>
                <w:highlight w:val="none"/>
                <w:lang w:val="en-US" w:eastAsia="zh-CN"/>
              </w:rPr>
              <w:t>4.8</w:t>
            </w:r>
            <w:r>
              <w:rPr>
                <w:rFonts w:hint="eastAsia" w:ascii="仿宋" w:hAnsi="仿宋" w:eastAsia="仿宋" w:cs="仿宋"/>
                <w:color w:val="auto"/>
                <w:sz w:val="22"/>
                <w:szCs w:val="21"/>
                <w:highlight w:val="none"/>
              </w:rPr>
              <w:t>分</w:t>
            </w:r>
            <w:r>
              <w:rPr>
                <w:rFonts w:hint="eastAsia" w:ascii="仿宋" w:hAnsi="仿宋" w:eastAsia="仿宋" w:cs="仿宋"/>
                <w:color w:val="auto"/>
                <w:sz w:val="22"/>
                <w:szCs w:val="21"/>
                <w:highlight w:val="none"/>
                <w:lang w:eastAsia="zh-CN"/>
              </w:rPr>
              <w:t>（</w:t>
            </w:r>
            <w:r>
              <w:rPr>
                <w:rFonts w:hint="eastAsia" w:ascii="仿宋" w:hAnsi="仿宋" w:eastAsia="仿宋" w:cs="仿宋"/>
                <w:color w:val="auto"/>
                <w:sz w:val="22"/>
                <w:szCs w:val="21"/>
                <w:highlight w:val="none"/>
                <w:lang w:val="en-US" w:eastAsia="zh-CN"/>
              </w:rPr>
              <w:t>不含</w:t>
            </w:r>
            <w:r>
              <w:rPr>
                <w:rFonts w:hint="eastAsia" w:ascii="仿宋" w:hAnsi="仿宋" w:eastAsia="仿宋" w:cs="仿宋"/>
                <w:color w:val="auto"/>
                <w:sz w:val="22"/>
                <w:szCs w:val="21"/>
                <w:highlight w:val="none"/>
                <w:lang w:eastAsia="zh-CN"/>
              </w:rPr>
              <w:t>）</w:t>
            </w:r>
            <w:r>
              <w:rPr>
                <w:rFonts w:hint="eastAsia" w:ascii="仿宋" w:hAnsi="仿宋" w:eastAsia="仿宋" w:cs="仿宋"/>
                <w:color w:val="auto"/>
                <w:sz w:val="22"/>
                <w:szCs w:val="21"/>
                <w:highlight w:val="none"/>
              </w:rPr>
              <w:t xml:space="preserve">，差得 </w:t>
            </w:r>
            <w:r>
              <w:rPr>
                <w:rFonts w:hint="eastAsia" w:ascii="仿宋" w:hAnsi="仿宋" w:eastAsia="仿宋" w:cs="仿宋"/>
                <w:color w:val="auto"/>
                <w:sz w:val="22"/>
                <w:szCs w:val="21"/>
                <w:highlight w:val="none"/>
                <w:lang w:val="en-US" w:eastAsia="zh-CN"/>
              </w:rPr>
              <w:t>0</w:t>
            </w:r>
            <w:r>
              <w:rPr>
                <w:rFonts w:hint="eastAsia" w:ascii="仿宋" w:hAnsi="仿宋" w:eastAsia="仿宋" w:cs="仿宋"/>
                <w:color w:val="auto"/>
                <w:sz w:val="22"/>
                <w:szCs w:val="21"/>
                <w:highlight w:val="none"/>
              </w:rPr>
              <w:t xml:space="preserve">分- </w:t>
            </w:r>
            <w:r>
              <w:rPr>
                <w:rFonts w:hint="eastAsia" w:ascii="仿宋" w:hAnsi="仿宋" w:eastAsia="仿宋" w:cs="仿宋"/>
                <w:color w:val="auto"/>
                <w:sz w:val="22"/>
                <w:szCs w:val="21"/>
                <w:highlight w:val="none"/>
                <w:lang w:val="en-US" w:eastAsia="zh-CN"/>
              </w:rPr>
              <w:t>3.6</w:t>
            </w:r>
            <w:r>
              <w:rPr>
                <w:rFonts w:hint="eastAsia" w:ascii="仿宋" w:hAnsi="仿宋" w:eastAsia="仿宋" w:cs="仿宋"/>
                <w:color w:val="auto"/>
                <w:sz w:val="22"/>
                <w:szCs w:val="21"/>
                <w:highlight w:val="none"/>
              </w:rPr>
              <w:t>分</w:t>
            </w:r>
            <w:r>
              <w:rPr>
                <w:rFonts w:hint="eastAsia" w:ascii="仿宋" w:hAnsi="仿宋" w:eastAsia="仿宋" w:cs="仿宋"/>
                <w:color w:val="auto"/>
                <w:sz w:val="22"/>
                <w:szCs w:val="21"/>
                <w:highlight w:val="none"/>
                <w:lang w:eastAsia="zh-CN"/>
              </w:rPr>
              <w:t>（</w:t>
            </w:r>
            <w:r>
              <w:rPr>
                <w:rFonts w:hint="eastAsia" w:ascii="仿宋" w:hAnsi="仿宋" w:eastAsia="仿宋" w:cs="仿宋"/>
                <w:color w:val="auto"/>
                <w:sz w:val="22"/>
                <w:szCs w:val="21"/>
                <w:highlight w:val="none"/>
                <w:lang w:val="en-US" w:eastAsia="zh-CN"/>
              </w:rPr>
              <w:t>不含</w:t>
            </w:r>
            <w:r>
              <w:rPr>
                <w:rFonts w:hint="eastAsia" w:ascii="仿宋" w:hAnsi="仿宋" w:eastAsia="仿宋" w:cs="仿宋"/>
                <w:color w:val="auto"/>
                <w:sz w:val="22"/>
                <w:szCs w:val="21"/>
                <w:highlight w:val="none"/>
                <w:lang w:eastAsia="zh-CN"/>
              </w:rPr>
              <w:t>）</w:t>
            </w:r>
            <w:r>
              <w:rPr>
                <w:rFonts w:hint="eastAsia" w:ascii="仿宋" w:hAnsi="仿宋" w:eastAsia="仿宋" w:cs="仿宋"/>
                <w:color w:val="auto"/>
                <w:sz w:val="22"/>
                <w:szCs w:val="21"/>
                <w:highlight w:val="none"/>
              </w:rPr>
              <w:t>。</w:t>
            </w:r>
          </w:p>
        </w:tc>
      </w:tr>
      <w:tr w14:paraId="7A79F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59" w:type="dxa"/>
            <w:vMerge w:val="continue"/>
            <w:vAlign w:val="center"/>
          </w:tcPr>
          <w:p w14:paraId="182EAD70">
            <w:pPr>
              <w:autoSpaceDE w:val="0"/>
              <w:autoSpaceDN w:val="0"/>
              <w:spacing w:line="400" w:lineRule="exact"/>
              <w:rPr>
                <w:rFonts w:hint="eastAsia" w:ascii="仿宋" w:hAnsi="仿宋" w:eastAsia="仿宋" w:cs="仿宋"/>
                <w:color w:val="auto"/>
                <w:sz w:val="22"/>
                <w:szCs w:val="21"/>
                <w:highlight w:val="none"/>
              </w:rPr>
            </w:pPr>
          </w:p>
        </w:tc>
        <w:tc>
          <w:tcPr>
            <w:tcW w:w="1245" w:type="dxa"/>
            <w:vMerge w:val="continue"/>
            <w:vAlign w:val="center"/>
          </w:tcPr>
          <w:p w14:paraId="51C06D24">
            <w:pPr>
              <w:autoSpaceDE w:val="0"/>
              <w:autoSpaceDN w:val="0"/>
              <w:spacing w:line="400" w:lineRule="exact"/>
              <w:rPr>
                <w:rFonts w:hint="eastAsia" w:ascii="仿宋" w:hAnsi="仿宋" w:eastAsia="仿宋" w:cs="仿宋"/>
                <w:color w:val="auto"/>
                <w:sz w:val="22"/>
                <w:szCs w:val="21"/>
                <w:highlight w:val="none"/>
              </w:rPr>
            </w:pPr>
          </w:p>
        </w:tc>
        <w:tc>
          <w:tcPr>
            <w:tcW w:w="2496" w:type="dxa"/>
            <w:vAlign w:val="center"/>
          </w:tcPr>
          <w:p w14:paraId="5E27D48B">
            <w:pPr>
              <w:autoSpaceDE w:val="0"/>
              <w:autoSpaceDN w:val="0"/>
              <w:spacing w:line="400" w:lineRule="exact"/>
              <w:rPr>
                <w:rFonts w:hint="eastAsia" w:ascii="仿宋" w:hAnsi="仿宋" w:eastAsia="仿宋" w:cs="仿宋"/>
                <w:color w:val="auto"/>
                <w:sz w:val="22"/>
                <w:szCs w:val="21"/>
                <w:highlight w:val="none"/>
              </w:rPr>
            </w:pPr>
            <w:r>
              <w:rPr>
                <w:rFonts w:hint="eastAsia" w:ascii="仿宋" w:hAnsi="仿宋" w:eastAsia="仿宋" w:cs="仿宋"/>
                <w:color w:val="auto"/>
                <w:sz w:val="22"/>
                <w:szCs w:val="21"/>
                <w:highlight w:val="none"/>
              </w:rPr>
              <w:t>工程进度计划与措施</w:t>
            </w:r>
          </w:p>
        </w:tc>
        <w:tc>
          <w:tcPr>
            <w:tcW w:w="4869" w:type="dxa"/>
          </w:tcPr>
          <w:p w14:paraId="62E3575F">
            <w:pPr>
              <w:autoSpaceDE w:val="0"/>
              <w:autoSpaceDN w:val="0"/>
              <w:spacing w:line="400" w:lineRule="exact"/>
              <w:rPr>
                <w:rFonts w:hint="eastAsia" w:ascii="仿宋" w:hAnsi="仿宋" w:eastAsia="仿宋" w:cs="仿宋"/>
                <w:color w:val="auto"/>
                <w:sz w:val="22"/>
                <w:szCs w:val="21"/>
                <w:highlight w:val="none"/>
              </w:rPr>
            </w:pPr>
            <w:r>
              <w:rPr>
                <w:rFonts w:hint="eastAsia" w:ascii="仿宋" w:hAnsi="仿宋" w:eastAsia="仿宋" w:cs="仿宋"/>
                <w:color w:val="auto"/>
                <w:sz w:val="22"/>
                <w:szCs w:val="21"/>
                <w:highlight w:val="none"/>
              </w:rPr>
              <w:t xml:space="preserve">  </w:t>
            </w:r>
            <w:r>
              <w:rPr>
                <w:rFonts w:hint="eastAsia" w:ascii="仿宋" w:hAnsi="仿宋" w:eastAsia="仿宋" w:cs="仿宋"/>
                <w:color w:val="auto"/>
                <w:sz w:val="22"/>
                <w:szCs w:val="21"/>
                <w:highlight w:val="none"/>
                <w:lang w:val="en-US" w:eastAsia="zh-CN"/>
              </w:rPr>
              <w:t>6</w:t>
            </w:r>
            <w:r>
              <w:rPr>
                <w:rFonts w:hint="eastAsia" w:ascii="仿宋" w:hAnsi="仿宋" w:eastAsia="仿宋" w:cs="仿宋"/>
                <w:color w:val="auto"/>
                <w:sz w:val="22"/>
                <w:szCs w:val="21"/>
                <w:highlight w:val="none"/>
              </w:rPr>
              <w:t>分   编制要点：</w:t>
            </w:r>
            <w:r>
              <w:rPr>
                <w:rFonts w:hint="eastAsia" w:ascii="仿宋" w:hAnsi="仿宋" w:eastAsia="仿宋" w:cs="仿宋"/>
                <w:color w:val="auto"/>
                <w:sz w:val="22"/>
                <w:szCs w:val="21"/>
                <w:highlight w:val="none"/>
                <w:lang w:val="en-US" w:eastAsia="zh-CN"/>
              </w:rPr>
              <w:t>具备有效的进度控制计划、进度保证体系、进度保证措施，对进度影响因素进行分析，制定有效的赶工方案</w:t>
            </w:r>
            <w:r>
              <w:rPr>
                <w:rFonts w:hint="eastAsia" w:ascii="仿宋" w:hAnsi="仿宋" w:eastAsia="仿宋" w:cs="仿宋"/>
                <w:color w:val="auto"/>
                <w:sz w:val="22"/>
                <w:szCs w:val="21"/>
                <w:highlight w:val="none"/>
              </w:rPr>
              <w:t xml:space="preserve"> ；</w:t>
            </w:r>
          </w:p>
          <w:p w14:paraId="730F1DD8">
            <w:pPr>
              <w:autoSpaceDE w:val="0"/>
              <w:autoSpaceDN w:val="0"/>
              <w:spacing w:line="400" w:lineRule="exact"/>
              <w:rPr>
                <w:rFonts w:hint="eastAsia" w:ascii="仿宋" w:hAnsi="仿宋" w:eastAsia="仿宋" w:cs="仿宋"/>
                <w:color w:val="auto"/>
                <w:sz w:val="22"/>
                <w:szCs w:val="21"/>
                <w:highlight w:val="none"/>
              </w:rPr>
            </w:pPr>
            <w:r>
              <w:rPr>
                <w:rFonts w:hint="eastAsia" w:ascii="仿宋" w:hAnsi="仿宋" w:eastAsia="仿宋" w:cs="仿宋"/>
                <w:color w:val="auto"/>
                <w:sz w:val="22"/>
                <w:szCs w:val="21"/>
                <w:highlight w:val="none"/>
              </w:rPr>
              <w:t>优得</w:t>
            </w:r>
            <w:r>
              <w:rPr>
                <w:rFonts w:hint="eastAsia" w:ascii="仿宋" w:hAnsi="仿宋" w:eastAsia="仿宋" w:cs="仿宋"/>
                <w:color w:val="auto"/>
                <w:sz w:val="22"/>
                <w:szCs w:val="21"/>
                <w:highlight w:val="none"/>
                <w:lang w:val="en-US" w:eastAsia="zh-CN"/>
              </w:rPr>
              <w:t>5.4</w:t>
            </w:r>
            <w:r>
              <w:rPr>
                <w:rFonts w:hint="eastAsia" w:ascii="仿宋" w:hAnsi="仿宋" w:eastAsia="仿宋" w:cs="仿宋"/>
                <w:color w:val="auto"/>
                <w:sz w:val="22"/>
                <w:szCs w:val="21"/>
                <w:highlight w:val="none"/>
              </w:rPr>
              <w:t xml:space="preserve">分- </w:t>
            </w:r>
            <w:r>
              <w:rPr>
                <w:rFonts w:hint="eastAsia" w:ascii="仿宋" w:hAnsi="仿宋" w:eastAsia="仿宋" w:cs="仿宋"/>
                <w:color w:val="auto"/>
                <w:sz w:val="22"/>
                <w:szCs w:val="21"/>
                <w:highlight w:val="none"/>
                <w:lang w:val="en-US" w:eastAsia="zh-CN"/>
              </w:rPr>
              <w:t>6</w:t>
            </w:r>
            <w:r>
              <w:rPr>
                <w:rFonts w:hint="eastAsia" w:ascii="仿宋" w:hAnsi="仿宋" w:eastAsia="仿宋" w:cs="仿宋"/>
                <w:color w:val="auto"/>
                <w:sz w:val="22"/>
                <w:szCs w:val="21"/>
                <w:highlight w:val="none"/>
              </w:rPr>
              <w:t xml:space="preserve">分，良得 </w:t>
            </w:r>
            <w:r>
              <w:rPr>
                <w:rFonts w:hint="eastAsia" w:ascii="仿宋" w:hAnsi="仿宋" w:eastAsia="仿宋" w:cs="仿宋"/>
                <w:color w:val="auto"/>
                <w:sz w:val="22"/>
                <w:szCs w:val="21"/>
                <w:highlight w:val="none"/>
                <w:lang w:val="en-US" w:eastAsia="zh-CN"/>
              </w:rPr>
              <w:t>4.8</w:t>
            </w:r>
            <w:r>
              <w:rPr>
                <w:rFonts w:hint="eastAsia" w:ascii="仿宋" w:hAnsi="仿宋" w:eastAsia="仿宋" w:cs="仿宋"/>
                <w:color w:val="auto"/>
                <w:sz w:val="22"/>
                <w:szCs w:val="21"/>
                <w:highlight w:val="none"/>
              </w:rPr>
              <w:t xml:space="preserve"> 分-</w:t>
            </w:r>
            <w:r>
              <w:rPr>
                <w:rFonts w:hint="eastAsia" w:ascii="仿宋" w:hAnsi="仿宋" w:eastAsia="仿宋" w:cs="仿宋"/>
                <w:color w:val="auto"/>
                <w:sz w:val="22"/>
                <w:szCs w:val="21"/>
                <w:highlight w:val="none"/>
                <w:lang w:val="en-US" w:eastAsia="zh-CN"/>
              </w:rPr>
              <w:t>5.4</w:t>
            </w:r>
            <w:r>
              <w:rPr>
                <w:rFonts w:hint="eastAsia" w:ascii="仿宋" w:hAnsi="仿宋" w:eastAsia="仿宋" w:cs="仿宋"/>
                <w:color w:val="auto"/>
                <w:sz w:val="22"/>
                <w:szCs w:val="21"/>
                <w:highlight w:val="none"/>
              </w:rPr>
              <w:t>分</w:t>
            </w:r>
            <w:r>
              <w:rPr>
                <w:rFonts w:hint="eastAsia" w:ascii="仿宋" w:hAnsi="仿宋" w:eastAsia="仿宋" w:cs="仿宋"/>
                <w:color w:val="auto"/>
                <w:sz w:val="22"/>
                <w:szCs w:val="21"/>
                <w:highlight w:val="none"/>
                <w:lang w:eastAsia="zh-CN"/>
              </w:rPr>
              <w:t>（</w:t>
            </w:r>
            <w:r>
              <w:rPr>
                <w:rFonts w:hint="eastAsia" w:ascii="仿宋" w:hAnsi="仿宋" w:eastAsia="仿宋" w:cs="仿宋"/>
                <w:color w:val="auto"/>
                <w:sz w:val="22"/>
                <w:szCs w:val="21"/>
                <w:highlight w:val="none"/>
                <w:lang w:val="en-US" w:eastAsia="zh-CN"/>
              </w:rPr>
              <w:t>不含</w:t>
            </w:r>
            <w:r>
              <w:rPr>
                <w:rFonts w:hint="eastAsia" w:ascii="仿宋" w:hAnsi="仿宋" w:eastAsia="仿宋" w:cs="仿宋"/>
                <w:color w:val="auto"/>
                <w:sz w:val="22"/>
                <w:szCs w:val="21"/>
                <w:highlight w:val="none"/>
                <w:lang w:eastAsia="zh-CN"/>
              </w:rPr>
              <w:t>）</w:t>
            </w:r>
            <w:r>
              <w:rPr>
                <w:rFonts w:hint="eastAsia" w:ascii="仿宋" w:hAnsi="仿宋" w:eastAsia="仿宋" w:cs="仿宋"/>
                <w:color w:val="auto"/>
                <w:sz w:val="22"/>
                <w:szCs w:val="21"/>
                <w:highlight w:val="none"/>
              </w:rPr>
              <w:t xml:space="preserve">，一般得 </w:t>
            </w:r>
            <w:r>
              <w:rPr>
                <w:rFonts w:hint="eastAsia" w:ascii="仿宋" w:hAnsi="仿宋" w:eastAsia="仿宋" w:cs="仿宋"/>
                <w:color w:val="auto"/>
                <w:sz w:val="22"/>
                <w:szCs w:val="21"/>
                <w:highlight w:val="none"/>
                <w:lang w:val="en-US" w:eastAsia="zh-CN"/>
              </w:rPr>
              <w:t>3.6</w:t>
            </w:r>
            <w:r>
              <w:rPr>
                <w:rFonts w:hint="eastAsia" w:ascii="仿宋" w:hAnsi="仿宋" w:eastAsia="仿宋" w:cs="仿宋"/>
                <w:color w:val="auto"/>
                <w:sz w:val="22"/>
                <w:szCs w:val="21"/>
                <w:highlight w:val="none"/>
              </w:rPr>
              <w:t xml:space="preserve">分- </w:t>
            </w:r>
            <w:r>
              <w:rPr>
                <w:rFonts w:hint="eastAsia" w:ascii="仿宋" w:hAnsi="仿宋" w:eastAsia="仿宋" w:cs="仿宋"/>
                <w:color w:val="auto"/>
                <w:sz w:val="22"/>
                <w:szCs w:val="21"/>
                <w:highlight w:val="none"/>
                <w:lang w:val="en-US" w:eastAsia="zh-CN"/>
              </w:rPr>
              <w:t>4.8</w:t>
            </w:r>
            <w:r>
              <w:rPr>
                <w:rFonts w:hint="eastAsia" w:ascii="仿宋" w:hAnsi="仿宋" w:eastAsia="仿宋" w:cs="仿宋"/>
                <w:color w:val="auto"/>
                <w:sz w:val="22"/>
                <w:szCs w:val="21"/>
                <w:highlight w:val="none"/>
              </w:rPr>
              <w:t>分</w:t>
            </w:r>
            <w:r>
              <w:rPr>
                <w:rFonts w:hint="eastAsia" w:ascii="仿宋" w:hAnsi="仿宋" w:eastAsia="仿宋" w:cs="仿宋"/>
                <w:color w:val="auto"/>
                <w:sz w:val="22"/>
                <w:szCs w:val="21"/>
                <w:highlight w:val="none"/>
                <w:lang w:eastAsia="zh-CN"/>
              </w:rPr>
              <w:t>（</w:t>
            </w:r>
            <w:r>
              <w:rPr>
                <w:rFonts w:hint="eastAsia" w:ascii="仿宋" w:hAnsi="仿宋" w:eastAsia="仿宋" w:cs="仿宋"/>
                <w:color w:val="auto"/>
                <w:sz w:val="22"/>
                <w:szCs w:val="21"/>
                <w:highlight w:val="none"/>
                <w:lang w:val="en-US" w:eastAsia="zh-CN"/>
              </w:rPr>
              <w:t>不含</w:t>
            </w:r>
            <w:r>
              <w:rPr>
                <w:rFonts w:hint="eastAsia" w:ascii="仿宋" w:hAnsi="仿宋" w:eastAsia="仿宋" w:cs="仿宋"/>
                <w:color w:val="auto"/>
                <w:sz w:val="22"/>
                <w:szCs w:val="21"/>
                <w:highlight w:val="none"/>
                <w:lang w:eastAsia="zh-CN"/>
              </w:rPr>
              <w:t>）</w:t>
            </w:r>
            <w:r>
              <w:rPr>
                <w:rFonts w:hint="eastAsia" w:ascii="仿宋" w:hAnsi="仿宋" w:eastAsia="仿宋" w:cs="仿宋"/>
                <w:color w:val="auto"/>
                <w:sz w:val="22"/>
                <w:szCs w:val="21"/>
                <w:highlight w:val="none"/>
              </w:rPr>
              <w:t xml:space="preserve">，差得 </w:t>
            </w:r>
            <w:r>
              <w:rPr>
                <w:rFonts w:hint="eastAsia" w:ascii="仿宋" w:hAnsi="仿宋" w:eastAsia="仿宋" w:cs="仿宋"/>
                <w:color w:val="auto"/>
                <w:sz w:val="22"/>
                <w:szCs w:val="21"/>
                <w:highlight w:val="none"/>
                <w:lang w:val="en-US" w:eastAsia="zh-CN"/>
              </w:rPr>
              <w:t>0</w:t>
            </w:r>
            <w:r>
              <w:rPr>
                <w:rFonts w:hint="eastAsia" w:ascii="仿宋" w:hAnsi="仿宋" w:eastAsia="仿宋" w:cs="仿宋"/>
                <w:color w:val="auto"/>
                <w:sz w:val="22"/>
                <w:szCs w:val="21"/>
                <w:highlight w:val="none"/>
              </w:rPr>
              <w:t xml:space="preserve">分- </w:t>
            </w:r>
            <w:r>
              <w:rPr>
                <w:rFonts w:hint="eastAsia" w:ascii="仿宋" w:hAnsi="仿宋" w:eastAsia="仿宋" w:cs="仿宋"/>
                <w:color w:val="auto"/>
                <w:sz w:val="22"/>
                <w:szCs w:val="21"/>
                <w:highlight w:val="none"/>
                <w:lang w:val="en-US" w:eastAsia="zh-CN"/>
              </w:rPr>
              <w:t>3.6</w:t>
            </w:r>
            <w:r>
              <w:rPr>
                <w:rFonts w:hint="eastAsia" w:ascii="仿宋" w:hAnsi="仿宋" w:eastAsia="仿宋" w:cs="仿宋"/>
                <w:color w:val="auto"/>
                <w:sz w:val="22"/>
                <w:szCs w:val="21"/>
                <w:highlight w:val="none"/>
              </w:rPr>
              <w:t>分</w:t>
            </w:r>
            <w:r>
              <w:rPr>
                <w:rFonts w:hint="eastAsia" w:ascii="仿宋" w:hAnsi="仿宋" w:eastAsia="仿宋" w:cs="仿宋"/>
                <w:color w:val="auto"/>
                <w:sz w:val="22"/>
                <w:szCs w:val="21"/>
                <w:highlight w:val="none"/>
                <w:lang w:eastAsia="zh-CN"/>
              </w:rPr>
              <w:t>（</w:t>
            </w:r>
            <w:r>
              <w:rPr>
                <w:rFonts w:hint="eastAsia" w:ascii="仿宋" w:hAnsi="仿宋" w:eastAsia="仿宋" w:cs="仿宋"/>
                <w:color w:val="auto"/>
                <w:sz w:val="22"/>
                <w:szCs w:val="21"/>
                <w:highlight w:val="none"/>
                <w:lang w:val="en-US" w:eastAsia="zh-CN"/>
              </w:rPr>
              <w:t>不含</w:t>
            </w:r>
            <w:r>
              <w:rPr>
                <w:rFonts w:hint="eastAsia" w:ascii="仿宋" w:hAnsi="仿宋" w:eastAsia="仿宋" w:cs="仿宋"/>
                <w:color w:val="auto"/>
                <w:sz w:val="22"/>
                <w:szCs w:val="21"/>
                <w:highlight w:val="none"/>
                <w:lang w:eastAsia="zh-CN"/>
              </w:rPr>
              <w:t>）</w:t>
            </w:r>
            <w:r>
              <w:rPr>
                <w:rFonts w:hint="eastAsia" w:ascii="仿宋" w:hAnsi="仿宋" w:eastAsia="仿宋" w:cs="仿宋"/>
                <w:color w:val="auto"/>
                <w:sz w:val="22"/>
                <w:szCs w:val="21"/>
                <w:highlight w:val="none"/>
              </w:rPr>
              <w:t>。</w:t>
            </w:r>
          </w:p>
        </w:tc>
      </w:tr>
      <w:tr w14:paraId="3DC74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59" w:type="dxa"/>
            <w:vMerge w:val="continue"/>
            <w:vAlign w:val="center"/>
          </w:tcPr>
          <w:p w14:paraId="5B47F624">
            <w:pPr>
              <w:autoSpaceDE w:val="0"/>
              <w:autoSpaceDN w:val="0"/>
              <w:spacing w:line="400" w:lineRule="exact"/>
              <w:rPr>
                <w:rFonts w:hint="eastAsia" w:ascii="仿宋" w:hAnsi="仿宋" w:eastAsia="仿宋" w:cs="仿宋"/>
                <w:color w:val="auto"/>
                <w:sz w:val="22"/>
                <w:szCs w:val="21"/>
                <w:highlight w:val="none"/>
              </w:rPr>
            </w:pPr>
          </w:p>
        </w:tc>
        <w:tc>
          <w:tcPr>
            <w:tcW w:w="1245" w:type="dxa"/>
            <w:vMerge w:val="continue"/>
            <w:vAlign w:val="center"/>
          </w:tcPr>
          <w:p w14:paraId="35650CEA">
            <w:pPr>
              <w:autoSpaceDE w:val="0"/>
              <w:autoSpaceDN w:val="0"/>
              <w:spacing w:line="400" w:lineRule="exact"/>
              <w:rPr>
                <w:rFonts w:hint="eastAsia" w:ascii="仿宋" w:hAnsi="仿宋" w:eastAsia="仿宋" w:cs="仿宋"/>
                <w:color w:val="auto"/>
                <w:sz w:val="22"/>
                <w:szCs w:val="21"/>
                <w:highlight w:val="none"/>
              </w:rPr>
            </w:pPr>
          </w:p>
        </w:tc>
        <w:tc>
          <w:tcPr>
            <w:tcW w:w="2496" w:type="dxa"/>
            <w:vAlign w:val="center"/>
          </w:tcPr>
          <w:p w14:paraId="49B73CAA">
            <w:pPr>
              <w:autoSpaceDE w:val="0"/>
              <w:autoSpaceDN w:val="0"/>
              <w:spacing w:line="400" w:lineRule="exact"/>
              <w:rPr>
                <w:rFonts w:hint="eastAsia" w:ascii="仿宋" w:hAnsi="仿宋" w:eastAsia="仿宋" w:cs="仿宋"/>
                <w:color w:val="auto"/>
                <w:sz w:val="22"/>
                <w:szCs w:val="21"/>
                <w:highlight w:val="none"/>
              </w:rPr>
            </w:pPr>
            <w:r>
              <w:rPr>
                <w:rFonts w:hint="eastAsia" w:ascii="仿宋" w:hAnsi="仿宋" w:eastAsia="仿宋" w:cs="仿宋"/>
                <w:color w:val="auto"/>
                <w:sz w:val="22"/>
                <w:szCs w:val="21"/>
                <w:highlight w:val="none"/>
              </w:rPr>
              <w:t>资源配备计划与先进性</w:t>
            </w:r>
          </w:p>
        </w:tc>
        <w:tc>
          <w:tcPr>
            <w:tcW w:w="4869" w:type="dxa"/>
            <w:vAlign w:val="center"/>
          </w:tcPr>
          <w:p w14:paraId="465EAA39">
            <w:pPr>
              <w:autoSpaceDE w:val="0"/>
              <w:autoSpaceDN w:val="0"/>
              <w:spacing w:line="400" w:lineRule="exact"/>
              <w:rPr>
                <w:rFonts w:hint="eastAsia" w:ascii="仿宋" w:hAnsi="仿宋" w:eastAsia="仿宋" w:cs="仿宋"/>
                <w:color w:val="auto"/>
                <w:sz w:val="22"/>
                <w:szCs w:val="21"/>
                <w:highlight w:val="none"/>
              </w:rPr>
            </w:pPr>
            <w:r>
              <w:rPr>
                <w:rFonts w:hint="eastAsia" w:ascii="仿宋" w:hAnsi="仿宋" w:eastAsia="仿宋" w:cs="仿宋"/>
                <w:color w:val="auto"/>
                <w:sz w:val="22"/>
                <w:szCs w:val="21"/>
                <w:highlight w:val="none"/>
              </w:rPr>
              <w:t xml:space="preserve">  </w:t>
            </w:r>
            <w:r>
              <w:rPr>
                <w:rFonts w:hint="eastAsia" w:ascii="仿宋" w:hAnsi="仿宋" w:eastAsia="仿宋" w:cs="仿宋"/>
                <w:color w:val="auto"/>
                <w:sz w:val="22"/>
                <w:szCs w:val="21"/>
                <w:highlight w:val="none"/>
                <w:lang w:val="en-US" w:eastAsia="zh-CN"/>
              </w:rPr>
              <w:t>4</w:t>
            </w:r>
            <w:r>
              <w:rPr>
                <w:rFonts w:hint="eastAsia" w:ascii="仿宋" w:hAnsi="仿宋" w:eastAsia="仿宋" w:cs="仿宋"/>
                <w:color w:val="auto"/>
                <w:sz w:val="22"/>
                <w:szCs w:val="21"/>
                <w:highlight w:val="none"/>
              </w:rPr>
              <w:t>分   编制要点：</w:t>
            </w:r>
            <w:r>
              <w:rPr>
                <w:rFonts w:hint="eastAsia" w:ascii="仿宋" w:hAnsi="仿宋" w:eastAsia="仿宋" w:cs="仿宋"/>
                <w:color w:val="auto"/>
                <w:sz w:val="22"/>
                <w:szCs w:val="21"/>
                <w:highlight w:val="none"/>
                <w:lang w:val="en-US" w:eastAsia="zh-CN"/>
              </w:rPr>
              <w:t>包含机械设备配备计划、劳动力投入计划、材料投入计划</w:t>
            </w:r>
            <w:r>
              <w:rPr>
                <w:rFonts w:hint="eastAsia" w:ascii="仿宋" w:hAnsi="仿宋" w:eastAsia="仿宋" w:cs="仿宋"/>
                <w:color w:val="auto"/>
                <w:sz w:val="22"/>
                <w:szCs w:val="21"/>
                <w:highlight w:val="none"/>
              </w:rPr>
              <w:t xml:space="preserve"> ；</w:t>
            </w:r>
          </w:p>
          <w:p w14:paraId="3687273C">
            <w:pPr>
              <w:autoSpaceDE w:val="0"/>
              <w:autoSpaceDN w:val="0"/>
              <w:spacing w:line="400" w:lineRule="exact"/>
              <w:rPr>
                <w:rFonts w:hint="eastAsia" w:ascii="仿宋" w:hAnsi="仿宋" w:eastAsia="仿宋" w:cs="仿宋"/>
                <w:color w:val="auto"/>
                <w:sz w:val="22"/>
                <w:szCs w:val="21"/>
                <w:highlight w:val="none"/>
              </w:rPr>
            </w:pPr>
            <w:r>
              <w:rPr>
                <w:rFonts w:hint="eastAsia" w:ascii="仿宋" w:hAnsi="仿宋" w:eastAsia="仿宋" w:cs="仿宋"/>
                <w:color w:val="auto"/>
                <w:sz w:val="22"/>
                <w:szCs w:val="21"/>
                <w:highlight w:val="none"/>
              </w:rPr>
              <w:t xml:space="preserve">优得 </w:t>
            </w:r>
            <w:r>
              <w:rPr>
                <w:rFonts w:hint="eastAsia" w:ascii="仿宋" w:hAnsi="仿宋" w:eastAsia="仿宋" w:cs="仿宋"/>
                <w:color w:val="auto"/>
                <w:sz w:val="22"/>
                <w:szCs w:val="21"/>
                <w:highlight w:val="none"/>
                <w:lang w:val="en-US" w:eastAsia="zh-CN"/>
              </w:rPr>
              <w:t>3.6</w:t>
            </w:r>
            <w:r>
              <w:rPr>
                <w:rFonts w:hint="eastAsia" w:ascii="仿宋" w:hAnsi="仿宋" w:eastAsia="仿宋" w:cs="仿宋"/>
                <w:color w:val="auto"/>
                <w:sz w:val="22"/>
                <w:szCs w:val="21"/>
                <w:highlight w:val="none"/>
              </w:rPr>
              <w:t xml:space="preserve">分- </w:t>
            </w:r>
            <w:r>
              <w:rPr>
                <w:rFonts w:hint="eastAsia" w:ascii="仿宋" w:hAnsi="仿宋" w:eastAsia="仿宋" w:cs="仿宋"/>
                <w:color w:val="auto"/>
                <w:sz w:val="22"/>
                <w:szCs w:val="21"/>
                <w:highlight w:val="none"/>
                <w:lang w:val="en-US" w:eastAsia="zh-CN"/>
              </w:rPr>
              <w:t>4</w:t>
            </w:r>
            <w:r>
              <w:rPr>
                <w:rFonts w:hint="eastAsia" w:ascii="仿宋" w:hAnsi="仿宋" w:eastAsia="仿宋" w:cs="仿宋"/>
                <w:color w:val="auto"/>
                <w:sz w:val="22"/>
                <w:szCs w:val="21"/>
                <w:highlight w:val="none"/>
              </w:rPr>
              <w:t xml:space="preserve">分，良得 </w:t>
            </w:r>
            <w:r>
              <w:rPr>
                <w:rFonts w:hint="eastAsia" w:ascii="仿宋" w:hAnsi="仿宋" w:eastAsia="仿宋" w:cs="仿宋"/>
                <w:color w:val="auto"/>
                <w:sz w:val="22"/>
                <w:szCs w:val="21"/>
                <w:highlight w:val="none"/>
                <w:lang w:val="en-US" w:eastAsia="zh-CN"/>
              </w:rPr>
              <w:t>3.2</w:t>
            </w:r>
            <w:r>
              <w:rPr>
                <w:rFonts w:hint="eastAsia" w:ascii="仿宋" w:hAnsi="仿宋" w:eastAsia="仿宋" w:cs="仿宋"/>
                <w:color w:val="auto"/>
                <w:sz w:val="22"/>
                <w:szCs w:val="21"/>
                <w:highlight w:val="none"/>
              </w:rPr>
              <w:t xml:space="preserve">分- </w:t>
            </w:r>
            <w:r>
              <w:rPr>
                <w:rFonts w:hint="eastAsia" w:ascii="仿宋" w:hAnsi="仿宋" w:eastAsia="仿宋" w:cs="仿宋"/>
                <w:color w:val="auto"/>
                <w:sz w:val="22"/>
                <w:szCs w:val="21"/>
                <w:highlight w:val="none"/>
                <w:lang w:val="en-US" w:eastAsia="zh-CN"/>
              </w:rPr>
              <w:t>3.6</w:t>
            </w:r>
            <w:r>
              <w:rPr>
                <w:rFonts w:hint="eastAsia" w:ascii="仿宋" w:hAnsi="仿宋" w:eastAsia="仿宋" w:cs="仿宋"/>
                <w:color w:val="auto"/>
                <w:sz w:val="22"/>
                <w:szCs w:val="21"/>
                <w:highlight w:val="none"/>
              </w:rPr>
              <w:t>分</w:t>
            </w:r>
            <w:r>
              <w:rPr>
                <w:rFonts w:hint="eastAsia" w:ascii="仿宋" w:hAnsi="仿宋" w:eastAsia="仿宋" w:cs="仿宋"/>
                <w:color w:val="auto"/>
                <w:sz w:val="22"/>
                <w:szCs w:val="21"/>
                <w:highlight w:val="none"/>
                <w:lang w:eastAsia="zh-CN"/>
              </w:rPr>
              <w:t>（</w:t>
            </w:r>
            <w:r>
              <w:rPr>
                <w:rFonts w:hint="eastAsia" w:ascii="仿宋" w:hAnsi="仿宋" w:eastAsia="仿宋" w:cs="仿宋"/>
                <w:color w:val="auto"/>
                <w:sz w:val="22"/>
                <w:szCs w:val="21"/>
                <w:highlight w:val="none"/>
                <w:lang w:val="en-US" w:eastAsia="zh-CN"/>
              </w:rPr>
              <w:t>不含</w:t>
            </w:r>
            <w:r>
              <w:rPr>
                <w:rFonts w:hint="eastAsia" w:ascii="仿宋" w:hAnsi="仿宋" w:eastAsia="仿宋" w:cs="仿宋"/>
                <w:color w:val="auto"/>
                <w:sz w:val="22"/>
                <w:szCs w:val="21"/>
                <w:highlight w:val="none"/>
                <w:lang w:eastAsia="zh-CN"/>
              </w:rPr>
              <w:t>）</w:t>
            </w:r>
            <w:r>
              <w:rPr>
                <w:rFonts w:hint="eastAsia" w:ascii="仿宋" w:hAnsi="仿宋" w:eastAsia="仿宋" w:cs="仿宋"/>
                <w:color w:val="auto"/>
                <w:sz w:val="22"/>
                <w:szCs w:val="21"/>
                <w:highlight w:val="none"/>
              </w:rPr>
              <w:t>，一般得</w:t>
            </w:r>
            <w:r>
              <w:rPr>
                <w:rFonts w:hint="eastAsia" w:ascii="仿宋" w:hAnsi="仿宋" w:eastAsia="仿宋" w:cs="仿宋"/>
                <w:color w:val="auto"/>
                <w:sz w:val="22"/>
                <w:szCs w:val="21"/>
                <w:highlight w:val="none"/>
                <w:lang w:val="en-US" w:eastAsia="zh-CN"/>
              </w:rPr>
              <w:t>2.4</w:t>
            </w:r>
            <w:r>
              <w:rPr>
                <w:rFonts w:hint="eastAsia" w:ascii="仿宋" w:hAnsi="仿宋" w:eastAsia="仿宋" w:cs="仿宋"/>
                <w:color w:val="auto"/>
                <w:sz w:val="22"/>
                <w:szCs w:val="21"/>
                <w:highlight w:val="none"/>
              </w:rPr>
              <w:t xml:space="preserve">分- </w:t>
            </w:r>
            <w:r>
              <w:rPr>
                <w:rFonts w:hint="eastAsia" w:ascii="仿宋" w:hAnsi="仿宋" w:eastAsia="仿宋" w:cs="仿宋"/>
                <w:color w:val="auto"/>
                <w:sz w:val="22"/>
                <w:szCs w:val="21"/>
                <w:highlight w:val="none"/>
                <w:lang w:val="en-US" w:eastAsia="zh-CN"/>
              </w:rPr>
              <w:t>3.2</w:t>
            </w:r>
            <w:r>
              <w:rPr>
                <w:rFonts w:hint="eastAsia" w:ascii="仿宋" w:hAnsi="仿宋" w:eastAsia="仿宋" w:cs="仿宋"/>
                <w:color w:val="auto"/>
                <w:sz w:val="22"/>
                <w:szCs w:val="21"/>
                <w:highlight w:val="none"/>
              </w:rPr>
              <w:t>分</w:t>
            </w:r>
            <w:r>
              <w:rPr>
                <w:rFonts w:hint="eastAsia" w:ascii="仿宋" w:hAnsi="仿宋" w:eastAsia="仿宋" w:cs="仿宋"/>
                <w:color w:val="auto"/>
                <w:sz w:val="22"/>
                <w:szCs w:val="21"/>
                <w:highlight w:val="none"/>
                <w:lang w:eastAsia="zh-CN"/>
              </w:rPr>
              <w:t>（</w:t>
            </w:r>
            <w:r>
              <w:rPr>
                <w:rFonts w:hint="eastAsia" w:ascii="仿宋" w:hAnsi="仿宋" w:eastAsia="仿宋" w:cs="仿宋"/>
                <w:color w:val="auto"/>
                <w:sz w:val="22"/>
                <w:szCs w:val="21"/>
                <w:highlight w:val="none"/>
                <w:lang w:val="en-US" w:eastAsia="zh-CN"/>
              </w:rPr>
              <w:t>不含</w:t>
            </w:r>
            <w:r>
              <w:rPr>
                <w:rFonts w:hint="eastAsia" w:ascii="仿宋" w:hAnsi="仿宋" w:eastAsia="仿宋" w:cs="仿宋"/>
                <w:color w:val="auto"/>
                <w:sz w:val="22"/>
                <w:szCs w:val="21"/>
                <w:highlight w:val="none"/>
                <w:lang w:eastAsia="zh-CN"/>
              </w:rPr>
              <w:t>）</w:t>
            </w:r>
            <w:r>
              <w:rPr>
                <w:rFonts w:hint="eastAsia" w:ascii="仿宋" w:hAnsi="仿宋" w:eastAsia="仿宋" w:cs="仿宋"/>
                <w:color w:val="auto"/>
                <w:sz w:val="22"/>
                <w:szCs w:val="21"/>
                <w:highlight w:val="none"/>
              </w:rPr>
              <w:t xml:space="preserve">，差得 </w:t>
            </w:r>
            <w:r>
              <w:rPr>
                <w:rFonts w:hint="eastAsia" w:ascii="仿宋" w:hAnsi="仿宋" w:eastAsia="仿宋" w:cs="仿宋"/>
                <w:color w:val="auto"/>
                <w:sz w:val="22"/>
                <w:szCs w:val="21"/>
                <w:highlight w:val="none"/>
                <w:lang w:val="en-US" w:eastAsia="zh-CN"/>
              </w:rPr>
              <w:t>0</w:t>
            </w:r>
            <w:r>
              <w:rPr>
                <w:rFonts w:hint="eastAsia" w:ascii="仿宋" w:hAnsi="仿宋" w:eastAsia="仿宋" w:cs="仿宋"/>
                <w:color w:val="auto"/>
                <w:sz w:val="22"/>
                <w:szCs w:val="21"/>
                <w:highlight w:val="none"/>
              </w:rPr>
              <w:t xml:space="preserve">分- </w:t>
            </w:r>
            <w:r>
              <w:rPr>
                <w:rFonts w:hint="eastAsia" w:ascii="仿宋" w:hAnsi="仿宋" w:eastAsia="仿宋" w:cs="仿宋"/>
                <w:color w:val="auto"/>
                <w:sz w:val="22"/>
                <w:szCs w:val="21"/>
                <w:highlight w:val="none"/>
                <w:lang w:val="en-US" w:eastAsia="zh-CN"/>
              </w:rPr>
              <w:t>2.4</w:t>
            </w:r>
            <w:r>
              <w:rPr>
                <w:rFonts w:hint="eastAsia" w:ascii="仿宋" w:hAnsi="仿宋" w:eastAsia="仿宋" w:cs="仿宋"/>
                <w:color w:val="auto"/>
                <w:sz w:val="22"/>
                <w:szCs w:val="21"/>
                <w:highlight w:val="none"/>
              </w:rPr>
              <w:t>分</w:t>
            </w:r>
            <w:r>
              <w:rPr>
                <w:rFonts w:hint="eastAsia" w:ascii="仿宋" w:hAnsi="仿宋" w:eastAsia="仿宋" w:cs="仿宋"/>
                <w:color w:val="auto"/>
                <w:sz w:val="22"/>
                <w:szCs w:val="21"/>
                <w:highlight w:val="none"/>
                <w:lang w:eastAsia="zh-CN"/>
              </w:rPr>
              <w:t>（</w:t>
            </w:r>
            <w:r>
              <w:rPr>
                <w:rFonts w:hint="eastAsia" w:ascii="仿宋" w:hAnsi="仿宋" w:eastAsia="仿宋" w:cs="仿宋"/>
                <w:color w:val="auto"/>
                <w:sz w:val="22"/>
                <w:szCs w:val="21"/>
                <w:highlight w:val="none"/>
                <w:lang w:val="en-US" w:eastAsia="zh-CN"/>
              </w:rPr>
              <w:t>不含</w:t>
            </w:r>
            <w:r>
              <w:rPr>
                <w:rFonts w:hint="eastAsia" w:ascii="仿宋" w:hAnsi="仿宋" w:eastAsia="仿宋" w:cs="仿宋"/>
                <w:color w:val="auto"/>
                <w:sz w:val="22"/>
                <w:szCs w:val="21"/>
                <w:highlight w:val="none"/>
                <w:lang w:eastAsia="zh-CN"/>
              </w:rPr>
              <w:t>）</w:t>
            </w:r>
            <w:r>
              <w:rPr>
                <w:rFonts w:hint="eastAsia" w:ascii="仿宋" w:hAnsi="仿宋" w:eastAsia="仿宋" w:cs="仿宋"/>
                <w:color w:val="auto"/>
                <w:sz w:val="22"/>
                <w:szCs w:val="21"/>
                <w:highlight w:val="none"/>
              </w:rPr>
              <w:t>。</w:t>
            </w:r>
          </w:p>
        </w:tc>
      </w:tr>
      <w:tr w14:paraId="0617C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59" w:type="dxa"/>
            <w:vAlign w:val="center"/>
          </w:tcPr>
          <w:p w14:paraId="33EAF211">
            <w:pPr>
              <w:autoSpaceDE w:val="0"/>
              <w:autoSpaceDN w:val="0"/>
              <w:spacing w:line="400" w:lineRule="exact"/>
              <w:rPr>
                <w:rFonts w:hint="eastAsia" w:ascii="仿宋" w:hAnsi="仿宋" w:eastAsia="仿宋" w:cs="仿宋"/>
                <w:color w:val="auto"/>
                <w:sz w:val="22"/>
                <w:szCs w:val="21"/>
                <w:highlight w:val="none"/>
              </w:rPr>
            </w:pPr>
            <w:r>
              <w:rPr>
                <w:rFonts w:hint="eastAsia" w:ascii="仿宋" w:hAnsi="仿宋" w:eastAsia="仿宋" w:cs="仿宋"/>
                <w:color w:val="auto"/>
                <w:sz w:val="22"/>
                <w:szCs w:val="21"/>
                <w:highlight w:val="none"/>
              </w:rPr>
              <w:t>3</w:t>
            </w:r>
          </w:p>
        </w:tc>
        <w:tc>
          <w:tcPr>
            <w:tcW w:w="1245" w:type="dxa"/>
          </w:tcPr>
          <w:p w14:paraId="57554706">
            <w:pPr>
              <w:autoSpaceDE w:val="0"/>
              <w:autoSpaceDN w:val="0"/>
              <w:spacing w:line="400" w:lineRule="exact"/>
              <w:rPr>
                <w:rFonts w:hint="eastAsia" w:ascii="仿宋" w:hAnsi="仿宋" w:eastAsia="仿宋" w:cs="仿宋"/>
                <w:color w:val="auto"/>
                <w:sz w:val="22"/>
                <w:szCs w:val="21"/>
                <w:highlight w:val="none"/>
              </w:rPr>
            </w:pPr>
          </w:p>
          <w:p w14:paraId="7D928AA4">
            <w:pPr>
              <w:autoSpaceDE w:val="0"/>
              <w:autoSpaceDN w:val="0"/>
              <w:spacing w:line="400" w:lineRule="exact"/>
              <w:rPr>
                <w:rFonts w:hint="eastAsia" w:ascii="仿宋" w:hAnsi="仿宋" w:eastAsia="仿宋" w:cs="仿宋"/>
                <w:color w:val="auto"/>
                <w:sz w:val="22"/>
                <w:szCs w:val="21"/>
                <w:highlight w:val="none"/>
              </w:rPr>
            </w:pPr>
            <w:r>
              <w:rPr>
                <w:rFonts w:hint="eastAsia" w:ascii="仿宋" w:hAnsi="仿宋" w:eastAsia="仿宋" w:cs="仿宋"/>
                <w:color w:val="auto"/>
                <w:sz w:val="22"/>
                <w:szCs w:val="21"/>
                <w:highlight w:val="none"/>
              </w:rPr>
              <w:t>评标程序</w:t>
            </w:r>
          </w:p>
        </w:tc>
        <w:tc>
          <w:tcPr>
            <w:tcW w:w="7365" w:type="dxa"/>
            <w:gridSpan w:val="2"/>
          </w:tcPr>
          <w:p w14:paraId="79DDB122">
            <w:pPr>
              <w:autoSpaceDE w:val="0"/>
              <w:autoSpaceDN w:val="0"/>
              <w:spacing w:line="400" w:lineRule="exact"/>
              <w:rPr>
                <w:rFonts w:hint="eastAsia" w:ascii="仿宋" w:hAnsi="仿宋" w:eastAsia="仿宋" w:cs="仿宋"/>
                <w:color w:val="auto"/>
                <w:sz w:val="22"/>
                <w:szCs w:val="21"/>
                <w:highlight w:val="none"/>
              </w:rPr>
            </w:pPr>
            <w:r>
              <w:rPr>
                <w:rFonts w:hint="eastAsia" w:ascii="仿宋" w:hAnsi="仿宋" w:eastAsia="仿宋" w:cs="仿宋"/>
                <w:color w:val="auto"/>
                <w:sz w:val="22"/>
                <w:szCs w:val="21"/>
                <w:highlight w:val="none"/>
              </w:rPr>
              <w:t>1. 按本章评标办法第3.1款进行初步评审，并按照本章2.2.2项计算方法计算评标基准价。（技术方案产生否决投标不重新计算评标基准价）</w:t>
            </w:r>
          </w:p>
          <w:p w14:paraId="48E1536C">
            <w:pPr>
              <w:autoSpaceDE w:val="0"/>
              <w:autoSpaceDN w:val="0"/>
              <w:spacing w:line="400" w:lineRule="exact"/>
              <w:rPr>
                <w:rFonts w:hint="eastAsia" w:ascii="仿宋" w:hAnsi="仿宋" w:eastAsia="仿宋" w:cs="仿宋"/>
                <w:color w:val="auto"/>
                <w:sz w:val="22"/>
                <w:szCs w:val="21"/>
                <w:highlight w:val="none"/>
              </w:rPr>
            </w:pPr>
            <w:r>
              <w:rPr>
                <w:rFonts w:hint="eastAsia" w:ascii="仿宋" w:hAnsi="仿宋" w:eastAsia="仿宋" w:cs="仿宋"/>
                <w:color w:val="auto"/>
                <w:sz w:val="22"/>
                <w:szCs w:val="21"/>
                <w:highlight w:val="none"/>
              </w:rPr>
              <w:t>2.对通过初步评审合格的投标人按本附表3.2.1（1）、（2）规定的评分方法对投标报价、技术方案进行评分。</w:t>
            </w:r>
          </w:p>
          <w:p w14:paraId="074A29A2">
            <w:pPr>
              <w:autoSpaceDE w:val="0"/>
              <w:autoSpaceDN w:val="0"/>
              <w:spacing w:line="400" w:lineRule="exact"/>
              <w:rPr>
                <w:rFonts w:hint="eastAsia" w:ascii="仿宋" w:hAnsi="仿宋" w:eastAsia="仿宋" w:cs="仿宋"/>
                <w:color w:val="auto"/>
                <w:sz w:val="22"/>
                <w:szCs w:val="21"/>
                <w:highlight w:val="none"/>
              </w:rPr>
            </w:pPr>
            <w:r>
              <w:rPr>
                <w:rFonts w:hint="eastAsia" w:ascii="仿宋" w:hAnsi="仿宋" w:eastAsia="仿宋" w:cs="仿宋"/>
                <w:color w:val="auto"/>
                <w:sz w:val="22"/>
                <w:szCs w:val="21"/>
                <w:highlight w:val="none"/>
              </w:rPr>
              <w:t>3.按本章评标办法第3.2款至3.4款规定的程序进行评审，并按本章第2.2.4款规定的评分标准，确定得分最高的前三名投标人（按得分高低排序）为中选候选人。</w:t>
            </w:r>
          </w:p>
          <w:p w14:paraId="432BE5B2">
            <w:pPr>
              <w:autoSpaceDE w:val="0"/>
              <w:autoSpaceDN w:val="0"/>
              <w:spacing w:line="400" w:lineRule="exact"/>
              <w:rPr>
                <w:rFonts w:hint="eastAsia" w:ascii="仿宋" w:hAnsi="仿宋" w:eastAsia="仿宋" w:cs="仿宋"/>
                <w:color w:val="auto"/>
                <w:sz w:val="22"/>
                <w:szCs w:val="21"/>
                <w:highlight w:val="none"/>
              </w:rPr>
            </w:pPr>
            <w:r>
              <w:rPr>
                <w:rFonts w:hint="eastAsia" w:ascii="仿宋" w:hAnsi="仿宋" w:eastAsia="仿宋" w:cs="仿宋"/>
                <w:color w:val="auto"/>
                <w:sz w:val="22"/>
                <w:szCs w:val="21"/>
                <w:highlight w:val="none"/>
              </w:rPr>
              <w:t>4.如经过对所有投标人的投标文件进行评审，有效投标不足三个且使得投标明显缺乏竞争的，评标委员会可以否决全部投标。</w:t>
            </w:r>
          </w:p>
        </w:tc>
      </w:tr>
      <w:tr w14:paraId="18232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59" w:type="dxa"/>
            <w:vAlign w:val="center"/>
          </w:tcPr>
          <w:p w14:paraId="58351288">
            <w:pPr>
              <w:autoSpaceDE w:val="0"/>
              <w:autoSpaceDN w:val="0"/>
              <w:spacing w:line="400" w:lineRule="exact"/>
              <w:rPr>
                <w:rFonts w:hint="eastAsia" w:ascii="仿宋" w:hAnsi="仿宋" w:eastAsia="仿宋" w:cs="仿宋"/>
                <w:color w:val="auto"/>
                <w:sz w:val="22"/>
                <w:szCs w:val="21"/>
                <w:highlight w:val="none"/>
              </w:rPr>
            </w:pPr>
            <w:r>
              <w:rPr>
                <w:rFonts w:hint="eastAsia" w:ascii="仿宋" w:hAnsi="仿宋" w:eastAsia="仿宋" w:cs="仿宋"/>
                <w:color w:val="auto"/>
                <w:sz w:val="22"/>
                <w:szCs w:val="21"/>
                <w:highlight w:val="none"/>
              </w:rPr>
              <w:t>3.2.1（1）</w:t>
            </w:r>
          </w:p>
        </w:tc>
        <w:tc>
          <w:tcPr>
            <w:tcW w:w="1245" w:type="dxa"/>
            <w:vAlign w:val="center"/>
          </w:tcPr>
          <w:p w14:paraId="0714D97B">
            <w:pPr>
              <w:autoSpaceDE w:val="0"/>
              <w:autoSpaceDN w:val="0"/>
              <w:spacing w:line="400" w:lineRule="exact"/>
              <w:rPr>
                <w:rFonts w:hint="eastAsia" w:ascii="仿宋" w:hAnsi="仿宋" w:eastAsia="仿宋" w:cs="仿宋"/>
                <w:color w:val="auto"/>
                <w:sz w:val="22"/>
                <w:szCs w:val="21"/>
                <w:highlight w:val="none"/>
              </w:rPr>
            </w:pPr>
            <w:r>
              <w:rPr>
                <w:rFonts w:hint="eastAsia" w:ascii="仿宋" w:hAnsi="仿宋" w:eastAsia="仿宋" w:cs="仿宋"/>
                <w:color w:val="auto"/>
                <w:sz w:val="22"/>
                <w:szCs w:val="21"/>
                <w:highlight w:val="none"/>
              </w:rPr>
              <w:t>投标报价得分（A）</w:t>
            </w:r>
          </w:p>
        </w:tc>
        <w:tc>
          <w:tcPr>
            <w:tcW w:w="2496" w:type="dxa"/>
            <w:vAlign w:val="center"/>
          </w:tcPr>
          <w:p w14:paraId="45E7F0A4">
            <w:pPr>
              <w:autoSpaceDE w:val="0"/>
              <w:autoSpaceDN w:val="0"/>
              <w:spacing w:line="400" w:lineRule="exact"/>
              <w:rPr>
                <w:rFonts w:hint="eastAsia" w:ascii="仿宋" w:hAnsi="仿宋" w:eastAsia="仿宋" w:cs="仿宋"/>
                <w:color w:val="auto"/>
                <w:sz w:val="22"/>
                <w:szCs w:val="21"/>
                <w:highlight w:val="none"/>
              </w:rPr>
            </w:pPr>
            <w:r>
              <w:rPr>
                <w:rFonts w:hint="eastAsia" w:ascii="仿宋" w:hAnsi="仿宋" w:eastAsia="仿宋" w:cs="仿宋"/>
                <w:color w:val="auto"/>
                <w:sz w:val="22"/>
                <w:szCs w:val="21"/>
                <w:highlight w:val="none"/>
              </w:rPr>
              <w:t>投标总报价</w:t>
            </w:r>
          </w:p>
        </w:tc>
        <w:tc>
          <w:tcPr>
            <w:tcW w:w="4869" w:type="dxa"/>
          </w:tcPr>
          <w:p w14:paraId="70A79AFF">
            <w:pPr>
              <w:autoSpaceDE w:val="0"/>
              <w:autoSpaceDN w:val="0"/>
              <w:spacing w:line="400" w:lineRule="exact"/>
              <w:rPr>
                <w:rFonts w:hint="eastAsia" w:ascii="仿宋" w:hAnsi="仿宋" w:eastAsia="仿宋" w:cs="仿宋"/>
                <w:color w:val="auto"/>
                <w:sz w:val="22"/>
                <w:szCs w:val="21"/>
                <w:highlight w:val="none"/>
              </w:rPr>
            </w:pPr>
            <w:r>
              <w:rPr>
                <w:rFonts w:hint="eastAsia" w:ascii="仿宋" w:hAnsi="仿宋" w:eastAsia="仿宋" w:cs="仿宋"/>
                <w:color w:val="auto"/>
                <w:sz w:val="22"/>
                <w:szCs w:val="21"/>
                <w:highlight w:val="none"/>
                <w:lang w:eastAsia="zh-CN"/>
              </w:rPr>
              <w:t>进入报价评审的</w:t>
            </w:r>
            <w:r>
              <w:rPr>
                <w:rFonts w:hint="eastAsia" w:ascii="仿宋" w:hAnsi="仿宋" w:eastAsia="仿宋" w:cs="仿宋"/>
                <w:color w:val="auto"/>
                <w:sz w:val="22"/>
                <w:szCs w:val="21"/>
                <w:highlight w:val="none"/>
              </w:rPr>
              <w:t>投标人的投标总报价中去掉六分之一（不能整除的按小数点前整数取整，不足六家报价则不去掉）的最低价和相同家数的最高价后的算术平均值，即为本项目的投标总报价的评标基准价。</w:t>
            </w:r>
          </w:p>
          <w:p w14:paraId="5D0A648A">
            <w:pPr>
              <w:autoSpaceDE w:val="0"/>
              <w:autoSpaceDN w:val="0"/>
              <w:spacing w:line="400" w:lineRule="exact"/>
              <w:rPr>
                <w:rFonts w:hint="eastAsia" w:ascii="仿宋" w:hAnsi="仿宋" w:eastAsia="仿宋" w:cs="仿宋"/>
                <w:color w:val="auto"/>
                <w:sz w:val="22"/>
                <w:szCs w:val="21"/>
                <w:highlight w:val="none"/>
              </w:rPr>
            </w:pPr>
            <w:r>
              <w:rPr>
                <w:rFonts w:hint="eastAsia" w:ascii="仿宋" w:hAnsi="仿宋" w:eastAsia="仿宋" w:cs="仿宋"/>
                <w:color w:val="auto"/>
                <w:sz w:val="22"/>
                <w:szCs w:val="21"/>
                <w:highlight w:val="none"/>
              </w:rPr>
              <w:t>在此基础上，投标报价与评标准基价相比，每增加1%扣0.5分，每减少1%扣0.2</w:t>
            </w:r>
            <w:r>
              <w:rPr>
                <w:rFonts w:hint="eastAsia" w:ascii="仿宋" w:hAnsi="仿宋" w:eastAsia="仿宋" w:cs="仿宋"/>
                <w:color w:val="auto"/>
                <w:sz w:val="22"/>
                <w:szCs w:val="21"/>
                <w:highlight w:val="none"/>
                <w:lang w:val="en-US" w:eastAsia="zh-CN"/>
              </w:rPr>
              <w:t>5</w:t>
            </w:r>
            <w:r>
              <w:rPr>
                <w:rFonts w:hint="eastAsia" w:ascii="仿宋" w:hAnsi="仿宋" w:eastAsia="仿宋" w:cs="仿宋"/>
                <w:color w:val="auto"/>
                <w:sz w:val="22"/>
                <w:szCs w:val="21"/>
                <w:highlight w:val="none"/>
              </w:rPr>
              <w:t>分，扣完为止。</w:t>
            </w:r>
          </w:p>
          <w:p w14:paraId="24E70686">
            <w:pPr>
              <w:autoSpaceDE w:val="0"/>
              <w:autoSpaceDN w:val="0"/>
              <w:spacing w:line="400" w:lineRule="exact"/>
              <w:rPr>
                <w:rFonts w:hint="eastAsia" w:ascii="仿宋" w:hAnsi="仿宋" w:eastAsia="仿宋" w:cs="仿宋"/>
                <w:color w:val="auto"/>
                <w:sz w:val="22"/>
                <w:szCs w:val="21"/>
                <w:highlight w:val="none"/>
              </w:rPr>
            </w:pPr>
            <w:r>
              <w:rPr>
                <w:rFonts w:hint="eastAsia" w:ascii="仿宋" w:hAnsi="仿宋" w:eastAsia="仿宋" w:cs="仿宋"/>
                <w:color w:val="auto"/>
                <w:sz w:val="22"/>
                <w:szCs w:val="21"/>
                <w:highlight w:val="none"/>
              </w:rPr>
              <w:t>按插入法计算得分。</w:t>
            </w:r>
          </w:p>
          <w:p w14:paraId="263474CD">
            <w:pPr>
              <w:autoSpaceDE w:val="0"/>
              <w:autoSpaceDN w:val="0"/>
              <w:spacing w:line="400" w:lineRule="exact"/>
              <w:rPr>
                <w:rFonts w:hint="eastAsia" w:ascii="仿宋" w:hAnsi="仿宋" w:eastAsia="仿宋" w:cs="仿宋"/>
                <w:color w:val="auto"/>
                <w:sz w:val="22"/>
                <w:szCs w:val="21"/>
                <w:highlight w:val="none"/>
              </w:rPr>
            </w:pPr>
            <w:r>
              <w:rPr>
                <w:rFonts w:hint="eastAsia" w:ascii="仿宋" w:hAnsi="仿宋" w:eastAsia="仿宋" w:cs="仿宋"/>
                <w:color w:val="auto"/>
                <w:sz w:val="22"/>
                <w:szCs w:val="21"/>
                <w:highlight w:val="none"/>
              </w:rPr>
              <w:t>评标基准价计算的最终结果取小数点后两位，</w:t>
            </w:r>
            <w:r>
              <w:rPr>
                <w:rFonts w:hint="eastAsia" w:ascii="仿宋" w:hAnsi="仿宋" w:eastAsia="仿宋" w:cs="仿宋"/>
                <w:color w:val="auto"/>
                <w:sz w:val="22"/>
                <w:szCs w:val="21"/>
                <w:highlight w:val="none"/>
                <w:lang w:val="en-US" w:eastAsia="zh-CN"/>
              </w:rPr>
              <w:t>小数点后</w:t>
            </w:r>
            <w:r>
              <w:rPr>
                <w:rFonts w:hint="eastAsia" w:ascii="仿宋" w:hAnsi="仿宋" w:eastAsia="仿宋" w:cs="仿宋"/>
                <w:color w:val="auto"/>
                <w:sz w:val="22"/>
                <w:szCs w:val="21"/>
                <w:highlight w:val="none"/>
              </w:rPr>
              <w:t>第三位四舍五入。</w:t>
            </w:r>
          </w:p>
        </w:tc>
      </w:tr>
      <w:tr w14:paraId="1C343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59" w:type="dxa"/>
            <w:vMerge w:val="restart"/>
            <w:vAlign w:val="center"/>
          </w:tcPr>
          <w:p w14:paraId="1747F909">
            <w:pPr>
              <w:autoSpaceDE w:val="0"/>
              <w:autoSpaceDN w:val="0"/>
              <w:spacing w:line="400" w:lineRule="exact"/>
              <w:rPr>
                <w:rFonts w:hint="eastAsia" w:ascii="仿宋" w:hAnsi="仿宋" w:eastAsia="仿宋" w:cs="仿宋"/>
                <w:color w:val="auto"/>
                <w:sz w:val="22"/>
                <w:szCs w:val="21"/>
                <w:highlight w:val="none"/>
              </w:rPr>
            </w:pPr>
            <w:r>
              <w:rPr>
                <w:rFonts w:hint="eastAsia" w:ascii="仿宋" w:hAnsi="仿宋" w:eastAsia="仿宋" w:cs="仿宋"/>
                <w:color w:val="auto"/>
                <w:sz w:val="22"/>
                <w:szCs w:val="21"/>
                <w:highlight w:val="none"/>
              </w:rPr>
              <w:t>3.2.1</w:t>
            </w:r>
          </w:p>
          <w:p w14:paraId="3F298DF5">
            <w:pPr>
              <w:autoSpaceDE w:val="0"/>
              <w:autoSpaceDN w:val="0"/>
              <w:spacing w:line="400" w:lineRule="exact"/>
              <w:rPr>
                <w:rFonts w:hint="eastAsia" w:ascii="仿宋" w:hAnsi="仿宋" w:eastAsia="仿宋" w:cs="仿宋"/>
                <w:color w:val="auto"/>
                <w:sz w:val="22"/>
                <w:szCs w:val="21"/>
                <w:highlight w:val="none"/>
              </w:rPr>
            </w:pPr>
            <w:r>
              <w:rPr>
                <w:rFonts w:hint="eastAsia" w:ascii="仿宋" w:hAnsi="仿宋" w:eastAsia="仿宋" w:cs="仿宋"/>
                <w:color w:val="auto"/>
                <w:sz w:val="22"/>
                <w:szCs w:val="21"/>
                <w:highlight w:val="none"/>
              </w:rPr>
              <w:t>(2)</w:t>
            </w:r>
          </w:p>
        </w:tc>
        <w:tc>
          <w:tcPr>
            <w:tcW w:w="1245" w:type="dxa"/>
            <w:vMerge w:val="restart"/>
            <w:vAlign w:val="center"/>
          </w:tcPr>
          <w:p w14:paraId="3837D8FB">
            <w:pPr>
              <w:autoSpaceDE w:val="0"/>
              <w:autoSpaceDN w:val="0"/>
              <w:spacing w:line="400" w:lineRule="exact"/>
              <w:rPr>
                <w:rFonts w:hint="eastAsia" w:ascii="仿宋" w:hAnsi="仿宋" w:eastAsia="仿宋" w:cs="仿宋"/>
                <w:color w:val="auto"/>
                <w:sz w:val="22"/>
                <w:szCs w:val="21"/>
                <w:highlight w:val="none"/>
              </w:rPr>
            </w:pPr>
            <w:r>
              <w:rPr>
                <w:rFonts w:hint="eastAsia" w:ascii="仿宋" w:hAnsi="仿宋" w:eastAsia="仿宋" w:cs="仿宋"/>
                <w:color w:val="auto"/>
                <w:sz w:val="22"/>
                <w:szCs w:val="21"/>
                <w:highlight w:val="none"/>
              </w:rPr>
              <w:t>技术方案得分（B）</w:t>
            </w:r>
            <w:r>
              <w:rPr>
                <w:rFonts w:hint="eastAsia" w:ascii="仿宋" w:hAnsi="仿宋" w:eastAsia="仿宋" w:cs="仿宋"/>
                <w:color w:val="auto"/>
                <w:sz w:val="22"/>
                <w:szCs w:val="21"/>
                <w:highlight w:val="none"/>
              </w:rPr>
              <w:br w:type="textWrapping"/>
            </w:r>
          </w:p>
        </w:tc>
        <w:tc>
          <w:tcPr>
            <w:tcW w:w="2496" w:type="dxa"/>
            <w:vAlign w:val="center"/>
          </w:tcPr>
          <w:p w14:paraId="518BDB04">
            <w:pPr>
              <w:autoSpaceDE w:val="0"/>
              <w:autoSpaceDN w:val="0"/>
              <w:spacing w:line="400" w:lineRule="exact"/>
              <w:rPr>
                <w:rFonts w:hint="eastAsia" w:ascii="仿宋" w:hAnsi="仿宋" w:eastAsia="仿宋" w:cs="仿宋"/>
                <w:color w:val="auto"/>
                <w:sz w:val="22"/>
                <w:szCs w:val="21"/>
                <w:highlight w:val="none"/>
              </w:rPr>
            </w:pPr>
            <w:r>
              <w:rPr>
                <w:rFonts w:hint="eastAsia" w:ascii="仿宋" w:hAnsi="仿宋" w:eastAsia="仿宋" w:cs="仿宋"/>
                <w:color w:val="auto"/>
                <w:sz w:val="22"/>
                <w:szCs w:val="21"/>
                <w:highlight w:val="none"/>
              </w:rPr>
              <w:t>内容完整性和编制水平</w:t>
            </w:r>
          </w:p>
        </w:tc>
        <w:tc>
          <w:tcPr>
            <w:tcW w:w="4869" w:type="dxa"/>
            <w:vMerge w:val="restart"/>
            <w:vAlign w:val="center"/>
          </w:tcPr>
          <w:p w14:paraId="7D5E0D61">
            <w:pPr>
              <w:autoSpaceDE w:val="0"/>
              <w:autoSpaceDN w:val="0"/>
              <w:spacing w:line="400" w:lineRule="exact"/>
              <w:rPr>
                <w:rFonts w:hint="eastAsia" w:ascii="仿宋" w:hAnsi="仿宋" w:eastAsia="仿宋" w:cs="仿宋"/>
                <w:color w:val="auto"/>
                <w:sz w:val="22"/>
                <w:szCs w:val="21"/>
                <w:highlight w:val="none"/>
              </w:rPr>
            </w:pPr>
            <w:r>
              <w:rPr>
                <w:rFonts w:hint="eastAsia" w:ascii="仿宋" w:hAnsi="仿宋" w:eastAsia="仿宋" w:cs="仿宋"/>
                <w:color w:val="auto"/>
                <w:sz w:val="22"/>
                <w:szCs w:val="21"/>
                <w:highlight w:val="none"/>
              </w:rPr>
              <w:t>按2.2.4(2)项各评审因素设定的分值评分。以上计算取小数点后两位，第三位四舍五入。所有评委评分汇总后取平均值为该投标人技术方案得分。</w:t>
            </w:r>
          </w:p>
        </w:tc>
      </w:tr>
      <w:tr w14:paraId="7615F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59" w:type="dxa"/>
            <w:vMerge w:val="continue"/>
            <w:vAlign w:val="center"/>
          </w:tcPr>
          <w:p w14:paraId="19FFF0BB">
            <w:pPr>
              <w:autoSpaceDE w:val="0"/>
              <w:autoSpaceDN w:val="0"/>
              <w:spacing w:line="400" w:lineRule="exact"/>
              <w:rPr>
                <w:rFonts w:hint="eastAsia" w:ascii="仿宋" w:hAnsi="仿宋" w:eastAsia="仿宋" w:cs="仿宋"/>
                <w:color w:val="auto"/>
                <w:sz w:val="22"/>
                <w:szCs w:val="21"/>
                <w:highlight w:val="none"/>
              </w:rPr>
            </w:pPr>
          </w:p>
        </w:tc>
        <w:tc>
          <w:tcPr>
            <w:tcW w:w="1245" w:type="dxa"/>
            <w:vMerge w:val="continue"/>
            <w:vAlign w:val="center"/>
          </w:tcPr>
          <w:p w14:paraId="0AC2FCD2">
            <w:pPr>
              <w:autoSpaceDE w:val="0"/>
              <w:autoSpaceDN w:val="0"/>
              <w:spacing w:line="400" w:lineRule="exact"/>
              <w:rPr>
                <w:rFonts w:hint="eastAsia" w:ascii="仿宋" w:hAnsi="仿宋" w:eastAsia="仿宋" w:cs="仿宋"/>
                <w:color w:val="auto"/>
                <w:sz w:val="22"/>
                <w:szCs w:val="21"/>
                <w:highlight w:val="none"/>
              </w:rPr>
            </w:pPr>
          </w:p>
        </w:tc>
        <w:tc>
          <w:tcPr>
            <w:tcW w:w="2496" w:type="dxa"/>
            <w:vAlign w:val="center"/>
          </w:tcPr>
          <w:p w14:paraId="7569B151">
            <w:pPr>
              <w:autoSpaceDE w:val="0"/>
              <w:autoSpaceDN w:val="0"/>
              <w:spacing w:line="400" w:lineRule="exact"/>
              <w:rPr>
                <w:rFonts w:hint="eastAsia" w:ascii="仿宋" w:hAnsi="仿宋" w:eastAsia="仿宋" w:cs="仿宋"/>
                <w:color w:val="auto"/>
                <w:sz w:val="22"/>
                <w:szCs w:val="21"/>
                <w:highlight w:val="none"/>
              </w:rPr>
            </w:pPr>
            <w:r>
              <w:rPr>
                <w:rFonts w:hint="eastAsia" w:ascii="仿宋" w:hAnsi="仿宋" w:eastAsia="仿宋" w:cs="仿宋"/>
                <w:color w:val="auto"/>
                <w:sz w:val="22"/>
                <w:szCs w:val="21"/>
                <w:highlight w:val="none"/>
              </w:rPr>
              <w:t>施工方案与技术措施</w:t>
            </w:r>
          </w:p>
        </w:tc>
        <w:tc>
          <w:tcPr>
            <w:tcW w:w="4869" w:type="dxa"/>
            <w:vMerge w:val="continue"/>
            <w:vAlign w:val="center"/>
          </w:tcPr>
          <w:p w14:paraId="72C476FF">
            <w:pPr>
              <w:autoSpaceDE w:val="0"/>
              <w:autoSpaceDN w:val="0"/>
              <w:spacing w:line="400" w:lineRule="exact"/>
              <w:rPr>
                <w:rFonts w:hint="eastAsia" w:ascii="仿宋" w:hAnsi="仿宋" w:eastAsia="仿宋" w:cs="仿宋"/>
                <w:color w:val="auto"/>
                <w:sz w:val="22"/>
                <w:szCs w:val="21"/>
                <w:highlight w:val="none"/>
              </w:rPr>
            </w:pPr>
          </w:p>
        </w:tc>
      </w:tr>
      <w:tr w14:paraId="33FAC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59" w:type="dxa"/>
            <w:vMerge w:val="continue"/>
            <w:vAlign w:val="center"/>
          </w:tcPr>
          <w:p w14:paraId="43B80111">
            <w:pPr>
              <w:autoSpaceDE w:val="0"/>
              <w:autoSpaceDN w:val="0"/>
              <w:spacing w:line="400" w:lineRule="exact"/>
              <w:rPr>
                <w:rFonts w:hint="eastAsia" w:ascii="仿宋" w:hAnsi="仿宋" w:eastAsia="仿宋" w:cs="仿宋"/>
                <w:color w:val="auto"/>
                <w:sz w:val="22"/>
                <w:szCs w:val="21"/>
                <w:highlight w:val="none"/>
              </w:rPr>
            </w:pPr>
          </w:p>
        </w:tc>
        <w:tc>
          <w:tcPr>
            <w:tcW w:w="1245" w:type="dxa"/>
            <w:vMerge w:val="continue"/>
            <w:vAlign w:val="center"/>
          </w:tcPr>
          <w:p w14:paraId="050DB7EE">
            <w:pPr>
              <w:autoSpaceDE w:val="0"/>
              <w:autoSpaceDN w:val="0"/>
              <w:spacing w:line="400" w:lineRule="exact"/>
              <w:rPr>
                <w:rFonts w:hint="eastAsia" w:ascii="仿宋" w:hAnsi="仿宋" w:eastAsia="仿宋" w:cs="仿宋"/>
                <w:color w:val="auto"/>
                <w:sz w:val="22"/>
                <w:szCs w:val="21"/>
                <w:highlight w:val="none"/>
              </w:rPr>
            </w:pPr>
          </w:p>
        </w:tc>
        <w:tc>
          <w:tcPr>
            <w:tcW w:w="2496" w:type="dxa"/>
            <w:vAlign w:val="center"/>
          </w:tcPr>
          <w:p w14:paraId="7A55D543">
            <w:pPr>
              <w:autoSpaceDE w:val="0"/>
              <w:autoSpaceDN w:val="0"/>
              <w:spacing w:line="400" w:lineRule="exact"/>
              <w:rPr>
                <w:rFonts w:hint="eastAsia" w:ascii="仿宋" w:hAnsi="仿宋" w:eastAsia="仿宋" w:cs="仿宋"/>
                <w:color w:val="auto"/>
                <w:sz w:val="22"/>
                <w:szCs w:val="21"/>
                <w:highlight w:val="none"/>
              </w:rPr>
            </w:pPr>
            <w:r>
              <w:rPr>
                <w:rFonts w:hint="eastAsia" w:ascii="仿宋" w:hAnsi="仿宋" w:eastAsia="仿宋" w:cs="仿宋"/>
                <w:color w:val="auto"/>
                <w:sz w:val="22"/>
                <w:szCs w:val="21"/>
                <w:highlight w:val="none"/>
              </w:rPr>
              <w:t>质量管理体系与措施</w:t>
            </w:r>
          </w:p>
        </w:tc>
        <w:tc>
          <w:tcPr>
            <w:tcW w:w="4869" w:type="dxa"/>
            <w:vMerge w:val="continue"/>
            <w:vAlign w:val="center"/>
          </w:tcPr>
          <w:p w14:paraId="49E36732">
            <w:pPr>
              <w:autoSpaceDE w:val="0"/>
              <w:autoSpaceDN w:val="0"/>
              <w:spacing w:line="400" w:lineRule="exact"/>
              <w:rPr>
                <w:rFonts w:hint="eastAsia" w:ascii="仿宋" w:hAnsi="仿宋" w:eastAsia="仿宋" w:cs="仿宋"/>
                <w:color w:val="auto"/>
                <w:sz w:val="22"/>
                <w:szCs w:val="21"/>
                <w:highlight w:val="none"/>
              </w:rPr>
            </w:pPr>
          </w:p>
        </w:tc>
      </w:tr>
      <w:tr w14:paraId="33533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59" w:type="dxa"/>
            <w:vMerge w:val="continue"/>
            <w:vAlign w:val="center"/>
          </w:tcPr>
          <w:p w14:paraId="378D7E39">
            <w:pPr>
              <w:autoSpaceDE w:val="0"/>
              <w:autoSpaceDN w:val="0"/>
              <w:spacing w:line="400" w:lineRule="exact"/>
              <w:rPr>
                <w:rFonts w:hint="eastAsia" w:ascii="仿宋" w:hAnsi="仿宋" w:eastAsia="仿宋" w:cs="仿宋"/>
                <w:color w:val="auto"/>
                <w:sz w:val="22"/>
                <w:szCs w:val="21"/>
                <w:highlight w:val="none"/>
              </w:rPr>
            </w:pPr>
          </w:p>
        </w:tc>
        <w:tc>
          <w:tcPr>
            <w:tcW w:w="1245" w:type="dxa"/>
            <w:vMerge w:val="continue"/>
            <w:vAlign w:val="center"/>
          </w:tcPr>
          <w:p w14:paraId="4A302B72">
            <w:pPr>
              <w:autoSpaceDE w:val="0"/>
              <w:autoSpaceDN w:val="0"/>
              <w:spacing w:line="400" w:lineRule="exact"/>
              <w:rPr>
                <w:rFonts w:hint="eastAsia" w:ascii="仿宋" w:hAnsi="仿宋" w:eastAsia="仿宋" w:cs="仿宋"/>
                <w:color w:val="auto"/>
                <w:sz w:val="22"/>
                <w:szCs w:val="21"/>
                <w:highlight w:val="none"/>
              </w:rPr>
            </w:pPr>
          </w:p>
        </w:tc>
        <w:tc>
          <w:tcPr>
            <w:tcW w:w="2496" w:type="dxa"/>
            <w:vAlign w:val="center"/>
          </w:tcPr>
          <w:p w14:paraId="34FF8CFB">
            <w:pPr>
              <w:autoSpaceDE w:val="0"/>
              <w:autoSpaceDN w:val="0"/>
              <w:spacing w:line="400" w:lineRule="exact"/>
              <w:rPr>
                <w:rFonts w:hint="eastAsia" w:ascii="仿宋" w:hAnsi="仿宋" w:eastAsia="仿宋" w:cs="仿宋"/>
                <w:color w:val="auto"/>
                <w:sz w:val="22"/>
                <w:szCs w:val="21"/>
                <w:highlight w:val="none"/>
              </w:rPr>
            </w:pPr>
            <w:r>
              <w:rPr>
                <w:rFonts w:hint="eastAsia" w:ascii="仿宋" w:hAnsi="仿宋" w:eastAsia="仿宋" w:cs="仿宋"/>
                <w:color w:val="auto"/>
                <w:sz w:val="22"/>
                <w:szCs w:val="21"/>
                <w:highlight w:val="none"/>
              </w:rPr>
              <w:t>安全管理体系与措施</w:t>
            </w:r>
          </w:p>
        </w:tc>
        <w:tc>
          <w:tcPr>
            <w:tcW w:w="4869" w:type="dxa"/>
            <w:vMerge w:val="continue"/>
            <w:vAlign w:val="center"/>
          </w:tcPr>
          <w:p w14:paraId="4AD0477C">
            <w:pPr>
              <w:autoSpaceDE w:val="0"/>
              <w:autoSpaceDN w:val="0"/>
              <w:spacing w:line="400" w:lineRule="exact"/>
              <w:rPr>
                <w:rFonts w:hint="eastAsia" w:ascii="仿宋" w:hAnsi="仿宋" w:eastAsia="仿宋" w:cs="仿宋"/>
                <w:color w:val="auto"/>
                <w:sz w:val="22"/>
                <w:szCs w:val="21"/>
                <w:highlight w:val="none"/>
              </w:rPr>
            </w:pPr>
          </w:p>
        </w:tc>
      </w:tr>
      <w:tr w14:paraId="1D426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59" w:type="dxa"/>
            <w:vMerge w:val="continue"/>
            <w:vAlign w:val="center"/>
          </w:tcPr>
          <w:p w14:paraId="19CF776D">
            <w:pPr>
              <w:autoSpaceDE w:val="0"/>
              <w:autoSpaceDN w:val="0"/>
              <w:spacing w:line="400" w:lineRule="exact"/>
              <w:rPr>
                <w:rFonts w:hint="eastAsia" w:ascii="仿宋" w:hAnsi="仿宋" w:eastAsia="仿宋" w:cs="仿宋"/>
                <w:color w:val="auto"/>
                <w:sz w:val="22"/>
                <w:szCs w:val="21"/>
                <w:highlight w:val="none"/>
              </w:rPr>
            </w:pPr>
          </w:p>
        </w:tc>
        <w:tc>
          <w:tcPr>
            <w:tcW w:w="1245" w:type="dxa"/>
            <w:vMerge w:val="continue"/>
            <w:vAlign w:val="center"/>
          </w:tcPr>
          <w:p w14:paraId="47254B7E">
            <w:pPr>
              <w:autoSpaceDE w:val="0"/>
              <w:autoSpaceDN w:val="0"/>
              <w:spacing w:line="400" w:lineRule="exact"/>
              <w:rPr>
                <w:rFonts w:hint="eastAsia" w:ascii="仿宋" w:hAnsi="仿宋" w:eastAsia="仿宋" w:cs="仿宋"/>
                <w:color w:val="auto"/>
                <w:sz w:val="22"/>
                <w:szCs w:val="21"/>
                <w:highlight w:val="none"/>
              </w:rPr>
            </w:pPr>
          </w:p>
        </w:tc>
        <w:tc>
          <w:tcPr>
            <w:tcW w:w="2496" w:type="dxa"/>
            <w:vAlign w:val="center"/>
          </w:tcPr>
          <w:p w14:paraId="7CCDF1C4">
            <w:pPr>
              <w:autoSpaceDE w:val="0"/>
              <w:autoSpaceDN w:val="0"/>
              <w:spacing w:line="400" w:lineRule="exact"/>
              <w:rPr>
                <w:rFonts w:hint="eastAsia" w:ascii="仿宋" w:hAnsi="仿宋" w:eastAsia="仿宋" w:cs="仿宋"/>
                <w:color w:val="auto"/>
                <w:sz w:val="22"/>
                <w:szCs w:val="21"/>
                <w:highlight w:val="none"/>
              </w:rPr>
            </w:pPr>
            <w:r>
              <w:rPr>
                <w:rFonts w:hint="eastAsia" w:ascii="仿宋" w:hAnsi="仿宋" w:eastAsia="仿宋" w:cs="仿宋"/>
                <w:color w:val="auto"/>
                <w:sz w:val="22"/>
                <w:szCs w:val="21"/>
                <w:highlight w:val="none"/>
              </w:rPr>
              <w:t>环境保护管理体系措施</w:t>
            </w:r>
          </w:p>
        </w:tc>
        <w:tc>
          <w:tcPr>
            <w:tcW w:w="4869" w:type="dxa"/>
            <w:vMerge w:val="continue"/>
            <w:vAlign w:val="center"/>
          </w:tcPr>
          <w:p w14:paraId="03C0F9F9">
            <w:pPr>
              <w:autoSpaceDE w:val="0"/>
              <w:autoSpaceDN w:val="0"/>
              <w:spacing w:line="400" w:lineRule="exact"/>
              <w:rPr>
                <w:rFonts w:hint="eastAsia" w:ascii="仿宋" w:hAnsi="仿宋" w:eastAsia="仿宋" w:cs="仿宋"/>
                <w:color w:val="auto"/>
                <w:sz w:val="22"/>
                <w:szCs w:val="21"/>
                <w:highlight w:val="none"/>
              </w:rPr>
            </w:pPr>
          </w:p>
        </w:tc>
      </w:tr>
      <w:tr w14:paraId="01727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59" w:type="dxa"/>
            <w:vMerge w:val="continue"/>
            <w:vAlign w:val="center"/>
          </w:tcPr>
          <w:p w14:paraId="1837D0BE">
            <w:pPr>
              <w:autoSpaceDE w:val="0"/>
              <w:autoSpaceDN w:val="0"/>
              <w:spacing w:line="400" w:lineRule="exact"/>
              <w:rPr>
                <w:rFonts w:hint="eastAsia" w:ascii="仿宋" w:hAnsi="仿宋" w:eastAsia="仿宋" w:cs="仿宋"/>
                <w:color w:val="auto"/>
                <w:sz w:val="22"/>
                <w:szCs w:val="21"/>
                <w:highlight w:val="none"/>
              </w:rPr>
            </w:pPr>
          </w:p>
        </w:tc>
        <w:tc>
          <w:tcPr>
            <w:tcW w:w="1245" w:type="dxa"/>
            <w:vMerge w:val="continue"/>
            <w:vAlign w:val="center"/>
          </w:tcPr>
          <w:p w14:paraId="304FCE55">
            <w:pPr>
              <w:autoSpaceDE w:val="0"/>
              <w:autoSpaceDN w:val="0"/>
              <w:spacing w:line="400" w:lineRule="exact"/>
              <w:rPr>
                <w:rFonts w:hint="eastAsia" w:ascii="仿宋" w:hAnsi="仿宋" w:eastAsia="仿宋" w:cs="仿宋"/>
                <w:color w:val="auto"/>
                <w:sz w:val="22"/>
                <w:szCs w:val="21"/>
                <w:highlight w:val="none"/>
              </w:rPr>
            </w:pPr>
          </w:p>
        </w:tc>
        <w:tc>
          <w:tcPr>
            <w:tcW w:w="2496" w:type="dxa"/>
            <w:vAlign w:val="center"/>
          </w:tcPr>
          <w:p w14:paraId="00AB6D65">
            <w:pPr>
              <w:autoSpaceDE w:val="0"/>
              <w:autoSpaceDN w:val="0"/>
              <w:spacing w:line="400" w:lineRule="exact"/>
              <w:rPr>
                <w:rFonts w:hint="eastAsia" w:ascii="仿宋" w:hAnsi="仿宋" w:eastAsia="仿宋" w:cs="仿宋"/>
                <w:color w:val="auto"/>
                <w:sz w:val="22"/>
                <w:szCs w:val="21"/>
                <w:highlight w:val="none"/>
              </w:rPr>
            </w:pPr>
            <w:r>
              <w:rPr>
                <w:rFonts w:hint="eastAsia" w:ascii="仿宋" w:hAnsi="仿宋" w:eastAsia="仿宋" w:cs="仿宋"/>
                <w:color w:val="auto"/>
                <w:sz w:val="22"/>
                <w:szCs w:val="21"/>
                <w:highlight w:val="none"/>
              </w:rPr>
              <w:t>工程进度计划与措施</w:t>
            </w:r>
          </w:p>
        </w:tc>
        <w:tc>
          <w:tcPr>
            <w:tcW w:w="4869" w:type="dxa"/>
            <w:vMerge w:val="continue"/>
            <w:vAlign w:val="center"/>
          </w:tcPr>
          <w:p w14:paraId="4B907F5A">
            <w:pPr>
              <w:autoSpaceDE w:val="0"/>
              <w:autoSpaceDN w:val="0"/>
              <w:spacing w:line="400" w:lineRule="exact"/>
              <w:rPr>
                <w:rFonts w:hint="eastAsia" w:ascii="仿宋" w:hAnsi="仿宋" w:eastAsia="仿宋" w:cs="仿宋"/>
                <w:color w:val="auto"/>
                <w:sz w:val="22"/>
                <w:szCs w:val="21"/>
                <w:highlight w:val="none"/>
              </w:rPr>
            </w:pPr>
          </w:p>
        </w:tc>
      </w:tr>
      <w:tr w14:paraId="77EC7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59" w:type="dxa"/>
            <w:vMerge w:val="continue"/>
            <w:vAlign w:val="center"/>
          </w:tcPr>
          <w:p w14:paraId="5E8E5AF9">
            <w:pPr>
              <w:autoSpaceDE w:val="0"/>
              <w:autoSpaceDN w:val="0"/>
              <w:spacing w:line="400" w:lineRule="exact"/>
              <w:rPr>
                <w:rFonts w:hint="eastAsia" w:ascii="仿宋" w:hAnsi="仿宋" w:eastAsia="仿宋" w:cs="仿宋"/>
                <w:color w:val="auto"/>
                <w:sz w:val="22"/>
                <w:szCs w:val="21"/>
                <w:highlight w:val="none"/>
              </w:rPr>
            </w:pPr>
          </w:p>
        </w:tc>
        <w:tc>
          <w:tcPr>
            <w:tcW w:w="1245" w:type="dxa"/>
            <w:vMerge w:val="continue"/>
            <w:vAlign w:val="center"/>
          </w:tcPr>
          <w:p w14:paraId="009F3A09">
            <w:pPr>
              <w:autoSpaceDE w:val="0"/>
              <w:autoSpaceDN w:val="0"/>
              <w:spacing w:line="400" w:lineRule="exact"/>
              <w:rPr>
                <w:rFonts w:hint="eastAsia" w:ascii="仿宋" w:hAnsi="仿宋" w:eastAsia="仿宋" w:cs="仿宋"/>
                <w:color w:val="auto"/>
                <w:sz w:val="22"/>
                <w:szCs w:val="21"/>
                <w:highlight w:val="none"/>
              </w:rPr>
            </w:pPr>
          </w:p>
        </w:tc>
        <w:tc>
          <w:tcPr>
            <w:tcW w:w="2496" w:type="dxa"/>
            <w:vAlign w:val="center"/>
          </w:tcPr>
          <w:p w14:paraId="40A9D5CC">
            <w:pPr>
              <w:autoSpaceDE w:val="0"/>
              <w:autoSpaceDN w:val="0"/>
              <w:spacing w:line="400" w:lineRule="exact"/>
              <w:rPr>
                <w:rFonts w:hint="eastAsia" w:ascii="仿宋" w:hAnsi="仿宋" w:eastAsia="仿宋" w:cs="仿宋"/>
                <w:color w:val="auto"/>
                <w:sz w:val="22"/>
                <w:szCs w:val="21"/>
                <w:highlight w:val="none"/>
              </w:rPr>
            </w:pPr>
            <w:r>
              <w:rPr>
                <w:rFonts w:hint="eastAsia" w:ascii="仿宋" w:hAnsi="仿宋" w:eastAsia="仿宋" w:cs="仿宋"/>
                <w:color w:val="auto"/>
                <w:sz w:val="22"/>
                <w:szCs w:val="21"/>
                <w:highlight w:val="none"/>
              </w:rPr>
              <w:t>资源配备计划与先进性</w:t>
            </w:r>
          </w:p>
        </w:tc>
        <w:tc>
          <w:tcPr>
            <w:tcW w:w="4869" w:type="dxa"/>
            <w:vMerge w:val="continue"/>
            <w:vAlign w:val="center"/>
          </w:tcPr>
          <w:p w14:paraId="2F8A0C6A">
            <w:pPr>
              <w:autoSpaceDE w:val="0"/>
              <w:autoSpaceDN w:val="0"/>
              <w:spacing w:line="400" w:lineRule="exact"/>
              <w:rPr>
                <w:rFonts w:hint="eastAsia" w:ascii="仿宋" w:hAnsi="仿宋" w:eastAsia="仿宋" w:cs="仿宋"/>
                <w:color w:val="auto"/>
                <w:sz w:val="22"/>
                <w:szCs w:val="21"/>
                <w:highlight w:val="none"/>
              </w:rPr>
            </w:pPr>
          </w:p>
        </w:tc>
      </w:tr>
      <w:tr w14:paraId="6E8E1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304" w:type="dxa"/>
            <w:gridSpan w:val="2"/>
            <w:vAlign w:val="center"/>
          </w:tcPr>
          <w:p w14:paraId="1FCCF87C">
            <w:pPr>
              <w:autoSpaceDE w:val="0"/>
              <w:autoSpaceDN w:val="0"/>
              <w:spacing w:line="400" w:lineRule="exact"/>
              <w:rPr>
                <w:rFonts w:hint="eastAsia" w:ascii="仿宋" w:hAnsi="仿宋" w:eastAsia="仿宋" w:cs="仿宋"/>
                <w:color w:val="auto"/>
                <w:sz w:val="22"/>
                <w:szCs w:val="21"/>
                <w:highlight w:val="none"/>
              </w:rPr>
            </w:pPr>
            <w:r>
              <w:rPr>
                <w:rFonts w:hint="eastAsia" w:ascii="仿宋" w:hAnsi="仿宋" w:eastAsia="仿宋" w:cs="仿宋"/>
                <w:color w:val="auto"/>
                <w:sz w:val="22"/>
                <w:szCs w:val="21"/>
                <w:highlight w:val="none"/>
              </w:rPr>
              <w:t>3.2.3</w:t>
            </w:r>
          </w:p>
        </w:tc>
        <w:tc>
          <w:tcPr>
            <w:tcW w:w="2496" w:type="dxa"/>
            <w:vAlign w:val="center"/>
          </w:tcPr>
          <w:p w14:paraId="15657774">
            <w:pPr>
              <w:autoSpaceDE w:val="0"/>
              <w:autoSpaceDN w:val="0"/>
              <w:spacing w:line="400" w:lineRule="exact"/>
              <w:rPr>
                <w:rFonts w:hint="eastAsia" w:ascii="仿宋" w:hAnsi="仿宋" w:eastAsia="仿宋" w:cs="仿宋"/>
                <w:color w:val="auto"/>
                <w:sz w:val="22"/>
                <w:szCs w:val="21"/>
                <w:highlight w:val="none"/>
              </w:rPr>
            </w:pPr>
            <w:r>
              <w:rPr>
                <w:rFonts w:hint="eastAsia" w:ascii="仿宋" w:hAnsi="仿宋" w:eastAsia="仿宋" w:cs="仿宋"/>
                <w:color w:val="auto"/>
                <w:sz w:val="22"/>
                <w:szCs w:val="21"/>
                <w:highlight w:val="none"/>
              </w:rPr>
              <w:t>投标人得分</w:t>
            </w:r>
          </w:p>
        </w:tc>
        <w:tc>
          <w:tcPr>
            <w:tcW w:w="4869" w:type="dxa"/>
          </w:tcPr>
          <w:p w14:paraId="70A46A47">
            <w:pPr>
              <w:autoSpaceDE w:val="0"/>
              <w:autoSpaceDN w:val="0"/>
              <w:spacing w:line="400" w:lineRule="exact"/>
              <w:rPr>
                <w:rFonts w:hint="default" w:ascii="仿宋" w:hAnsi="仿宋" w:eastAsia="仿宋" w:cs="仿宋"/>
                <w:color w:val="auto"/>
                <w:sz w:val="22"/>
                <w:szCs w:val="21"/>
                <w:highlight w:val="none"/>
                <w:lang w:val="en-US" w:eastAsia="zh-CN"/>
              </w:rPr>
            </w:pPr>
            <w:r>
              <w:rPr>
                <w:rFonts w:hint="eastAsia" w:ascii="仿宋" w:hAnsi="仿宋" w:eastAsia="仿宋" w:cs="仿宋"/>
                <w:color w:val="auto"/>
                <w:sz w:val="22"/>
                <w:szCs w:val="21"/>
                <w:highlight w:val="none"/>
              </w:rPr>
              <w:t>投标人得分=A+B</w:t>
            </w:r>
          </w:p>
        </w:tc>
      </w:tr>
    </w:tbl>
    <w:p w14:paraId="5B732A97">
      <w:pPr>
        <w:autoSpaceDE w:val="0"/>
        <w:autoSpaceDN w:val="0"/>
        <w:spacing w:line="480" w:lineRule="exact"/>
        <w:rPr>
          <w:rFonts w:hint="eastAsia" w:ascii="仿宋" w:hAnsi="仿宋" w:eastAsia="仿宋" w:cs="仿宋"/>
          <w:color w:val="auto"/>
          <w:w w:val="99"/>
          <w:sz w:val="22"/>
          <w:szCs w:val="22"/>
          <w:highlight w:val="none"/>
        </w:rPr>
      </w:pPr>
      <w:r>
        <w:rPr>
          <w:rFonts w:hint="eastAsia" w:ascii="仿宋" w:hAnsi="仿宋" w:eastAsia="仿宋" w:cs="仿宋"/>
          <w:color w:val="auto"/>
          <w:highlight w:val="none"/>
        </w:rPr>
        <w:br w:type="page"/>
      </w:r>
      <w:r>
        <w:rPr>
          <w:rFonts w:hint="eastAsia" w:ascii="仿宋" w:hAnsi="仿宋" w:eastAsia="仿宋" w:cs="仿宋"/>
          <w:b/>
          <w:color w:val="auto"/>
          <w:sz w:val="22"/>
          <w:szCs w:val="22"/>
          <w:highlight w:val="none"/>
        </w:rPr>
        <w:t>1.  评标方法</w:t>
      </w:r>
      <w:bookmarkEnd w:id="1114"/>
      <w:bookmarkEnd w:id="1115"/>
      <w:bookmarkEnd w:id="1116"/>
      <w:bookmarkEnd w:id="1117"/>
      <w:bookmarkEnd w:id="1118"/>
    </w:p>
    <w:p w14:paraId="6C35DC03">
      <w:pPr>
        <w:spacing w:line="480" w:lineRule="exact"/>
        <w:ind w:firstLine="440" w:firstLineChars="20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本次评标采用综合评估法。评标委员会按照本章第2.2款规定的评分标准进行打分，按得分由高到低顺序推荐中选候选人，或根据招标人授权直接确定中选人，但投标报价低于其成本的除外。综合评分相等时，以投标报价低的优先；投标报价也相等的，由招标人自行确定。</w:t>
      </w:r>
    </w:p>
    <w:p w14:paraId="69465447">
      <w:pPr>
        <w:autoSpaceDE w:val="0"/>
        <w:autoSpaceDN w:val="0"/>
        <w:spacing w:line="480" w:lineRule="exact"/>
        <w:rPr>
          <w:rFonts w:hint="eastAsia" w:ascii="仿宋" w:hAnsi="仿宋" w:eastAsia="仿宋" w:cs="仿宋"/>
          <w:b/>
          <w:color w:val="auto"/>
          <w:sz w:val="22"/>
          <w:szCs w:val="22"/>
          <w:highlight w:val="none"/>
        </w:rPr>
      </w:pPr>
      <w:bookmarkStart w:id="1119" w:name="_Toc287620752"/>
      <w:bookmarkStart w:id="1120" w:name="_Toc287607813"/>
      <w:bookmarkStart w:id="1121" w:name="_Toc277082619"/>
      <w:r>
        <w:rPr>
          <w:rFonts w:hint="eastAsia" w:ascii="仿宋" w:hAnsi="仿宋" w:eastAsia="仿宋" w:cs="仿宋"/>
          <w:b/>
          <w:color w:val="auto"/>
          <w:sz w:val="22"/>
          <w:szCs w:val="22"/>
          <w:highlight w:val="none"/>
        </w:rPr>
        <w:t>2.  评审标准</w:t>
      </w:r>
      <w:bookmarkEnd w:id="1119"/>
      <w:bookmarkEnd w:id="1120"/>
      <w:bookmarkEnd w:id="1121"/>
    </w:p>
    <w:p w14:paraId="4A1C04EE">
      <w:pPr>
        <w:autoSpaceDE w:val="0"/>
        <w:autoSpaceDN w:val="0"/>
        <w:spacing w:line="480" w:lineRule="exact"/>
        <w:rPr>
          <w:rFonts w:hint="eastAsia" w:ascii="仿宋" w:hAnsi="仿宋" w:eastAsia="仿宋" w:cs="仿宋"/>
          <w:b/>
          <w:color w:val="auto"/>
          <w:sz w:val="22"/>
          <w:szCs w:val="22"/>
          <w:highlight w:val="none"/>
        </w:rPr>
      </w:pPr>
      <w:bookmarkStart w:id="1122" w:name="_Toc287607814"/>
      <w:bookmarkStart w:id="1123" w:name="_Toc277082620"/>
      <w:bookmarkStart w:id="1124" w:name="_Toc287620753"/>
      <w:r>
        <w:rPr>
          <w:rFonts w:hint="eastAsia" w:ascii="仿宋" w:hAnsi="仿宋" w:eastAsia="仿宋" w:cs="仿宋"/>
          <w:b/>
          <w:color w:val="auto"/>
          <w:sz w:val="22"/>
          <w:szCs w:val="22"/>
          <w:highlight w:val="none"/>
        </w:rPr>
        <w:t>2.1  初步评审标准</w:t>
      </w:r>
      <w:bookmarkEnd w:id="1122"/>
      <w:bookmarkEnd w:id="1123"/>
      <w:bookmarkEnd w:id="1124"/>
    </w:p>
    <w:p w14:paraId="2FF5EFD6">
      <w:pPr>
        <w:spacing w:line="480" w:lineRule="exact"/>
        <w:ind w:firstLine="440" w:firstLineChars="20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2.1.1  形式评审标准：见评标办法前附表。</w:t>
      </w:r>
    </w:p>
    <w:p w14:paraId="08FEA243">
      <w:pPr>
        <w:spacing w:line="480" w:lineRule="exact"/>
        <w:ind w:firstLine="440" w:firstLineChars="20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2.1.2  资格评审标准：见评标办法前附表。</w:t>
      </w:r>
    </w:p>
    <w:p w14:paraId="2BA39CB0">
      <w:pPr>
        <w:spacing w:line="480" w:lineRule="exact"/>
        <w:ind w:firstLine="440" w:firstLineChars="20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2.1.3  响应性评审标准：见评标办法前附表。</w:t>
      </w:r>
    </w:p>
    <w:p w14:paraId="3EBED631">
      <w:pPr>
        <w:autoSpaceDE w:val="0"/>
        <w:autoSpaceDN w:val="0"/>
        <w:spacing w:line="480" w:lineRule="exact"/>
        <w:rPr>
          <w:rFonts w:hint="eastAsia" w:ascii="仿宋" w:hAnsi="仿宋" w:eastAsia="仿宋" w:cs="仿宋"/>
          <w:b/>
          <w:color w:val="auto"/>
          <w:sz w:val="22"/>
          <w:szCs w:val="22"/>
          <w:highlight w:val="none"/>
        </w:rPr>
      </w:pPr>
      <w:bookmarkStart w:id="1125" w:name="_Toc287620754"/>
      <w:bookmarkStart w:id="1126" w:name="_Toc287607815"/>
      <w:bookmarkStart w:id="1127" w:name="_Toc277082621"/>
      <w:r>
        <w:rPr>
          <w:rFonts w:hint="eastAsia" w:ascii="仿宋" w:hAnsi="仿宋" w:eastAsia="仿宋" w:cs="仿宋"/>
          <w:b/>
          <w:color w:val="auto"/>
          <w:sz w:val="22"/>
          <w:szCs w:val="22"/>
          <w:highlight w:val="none"/>
        </w:rPr>
        <w:t>2.2  分值构成与评分标准</w:t>
      </w:r>
      <w:bookmarkEnd w:id="1125"/>
      <w:bookmarkEnd w:id="1126"/>
      <w:bookmarkEnd w:id="1127"/>
    </w:p>
    <w:p w14:paraId="3A2BEFDE">
      <w:pPr>
        <w:spacing w:line="480" w:lineRule="exact"/>
        <w:ind w:firstLine="440" w:firstLineChars="20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2.2.1  分值构成</w:t>
      </w:r>
    </w:p>
    <w:p w14:paraId="429DD7DD">
      <w:pPr>
        <w:spacing w:line="480" w:lineRule="exact"/>
        <w:ind w:firstLine="440" w:firstLineChars="20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（1）投标报价：见评标办法前附表；</w:t>
      </w:r>
    </w:p>
    <w:p w14:paraId="3C6F0650">
      <w:pPr>
        <w:spacing w:line="480" w:lineRule="exact"/>
        <w:ind w:firstLine="440" w:firstLineChars="20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（2）技术方案：见评标办法前附表；</w:t>
      </w:r>
    </w:p>
    <w:p w14:paraId="0A51FA6A">
      <w:pPr>
        <w:spacing w:line="480" w:lineRule="exact"/>
        <w:ind w:firstLine="440" w:firstLineChars="20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2.2.2  评标基准价计算</w:t>
      </w:r>
    </w:p>
    <w:p w14:paraId="060075B3">
      <w:pPr>
        <w:spacing w:line="480" w:lineRule="exact"/>
        <w:ind w:firstLine="440" w:firstLineChars="20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评标基准价计算方法：见评标办法前附表。</w:t>
      </w:r>
    </w:p>
    <w:p w14:paraId="5AB0088D">
      <w:pPr>
        <w:spacing w:line="480" w:lineRule="exact"/>
        <w:ind w:firstLine="440" w:firstLineChars="20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2.2.3  投标报价的偏差率计算</w:t>
      </w:r>
    </w:p>
    <w:p w14:paraId="2E44EFBA">
      <w:pPr>
        <w:spacing w:line="480" w:lineRule="exact"/>
        <w:ind w:firstLine="440" w:firstLineChars="20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投标报价的偏差率计算公式：见评标办法前附表。</w:t>
      </w:r>
    </w:p>
    <w:p w14:paraId="25AD78A1">
      <w:pPr>
        <w:spacing w:line="480" w:lineRule="exact"/>
        <w:ind w:firstLine="440" w:firstLineChars="20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2.2.4  评分标准</w:t>
      </w:r>
    </w:p>
    <w:p w14:paraId="0AF98BF6">
      <w:pPr>
        <w:spacing w:line="480" w:lineRule="exact"/>
        <w:ind w:firstLine="440" w:firstLineChars="20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（1）投标报价评分标准：见评标办法前附表；</w:t>
      </w:r>
    </w:p>
    <w:p w14:paraId="227B1D2F">
      <w:pPr>
        <w:spacing w:line="480" w:lineRule="exact"/>
        <w:ind w:firstLine="440" w:firstLineChars="20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w:t>
      </w:r>
      <w:r>
        <w:rPr>
          <w:rFonts w:hint="eastAsia" w:ascii="仿宋" w:hAnsi="仿宋" w:eastAsia="仿宋" w:cs="仿宋"/>
          <w:color w:val="auto"/>
          <w:spacing w:val="1"/>
          <w:sz w:val="22"/>
          <w:szCs w:val="22"/>
          <w:highlight w:val="none"/>
        </w:rPr>
        <w:t>2</w:t>
      </w:r>
      <w:r>
        <w:rPr>
          <w:rFonts w:hint="eastAsia" w:ascii="仿宋" w:hAnsi="仿宋" w:eastAsia="仿宋" w:cs="仿宋"/>
          <w:color w:val="auto"/>
          <w:sz w:val="22"/>
          <w:szCs w:val="22"/>
          <w:highlight w:val="none"/>
        </w:rPr>
        <w:t>）技术方案评分标准：见评标办法前附表；</w:t>
      </w:r>
    </w:p>
    <w:p w14:paraId="681B4C1E">
      <w:pPr>
        <w:autoSpaceDE w:val="0"/>
        <w:autoSpaceDN w:val="0"/>
        <w:spacing w:line="480" w:lineRule="exact"/>
        <w:rPr>
          <w:rFonts w:hint="eastAsia" w:ascii="仿宋" w:hAnsi="仿宋" w:eastAsia="仿宋" w:cs="仿宋"/>
          <w:b/>
          <w:color w:val="auto"/>
          <w:sz w:val="22"/>
          <w:szCs w:val="22"/>
          <w:highlight w:val="none"/>
        </w:rPr>
      </w:pPr>
      <w:bookmarkStart w:id="1128" w:name="_Toc287607816"/>
      <w:bookmarkStart w:id="1129" w:name="_Toc277082622"/>
      <w:bookmarkStart w:id="1130" w:name="_Toc287620755"/>
      <w:r>
        <w:rPr>
          <w:rFonts w:hint="eastAsia" w:ascii="仿宋" w:hAnsi="仿宋" w:eastAsia="仿宋" w:cs="仿宋"/>
          <w:b/>
          <w:color w:val="auto"/>
          <w:sz w:val="22"/>
          <w:szCs w:val="22"/>
          <w:highlight w:val="none"/>
        </w:rPr>
        <w:t>3.  评标程序</w:t>
      </w:r>
      <w:bookmarkEnd w:id="1128"/>
      <w:bookmarkEnd w:id="1129"/>
      <w:bookmarkEnd w:id="1130"/>
    </w:p>
    <w:p w14:paraId="7A441601">
      <w:pPr>
        <w:autoSpaceDE w:val="0"/>
        <w:autoSpaceDN w:val="0"/>
        <w:spacing w:line="480" w:lineRule="exact"/>
        <w:rPr>
          <w:rFonts w:hint="eastAsia" w:ascii="仿宋" w:hAnsi="仿宋" w:eastAsia="仿宋" w:cs="仿宋"/>
          <w:b/>
          <w:color w:val="auto"/>
          <w:sz w:val="22"/>
          <w:szCs w:val="22"/>
          <w:highlight w:val="none"/>
        </w:rPr>
      </w:pPr>
      <w:bookmarkStart w:id="1131" w:name="_Toc287607817"/>
      <w:bookmarkStart w:id="1132" w:name="_Toc277082623"/>
      <w:bookmarkStart w:id="1133" w:name="_Toc287620756"/>
      <w:r>
        <w:rPr>
          <w:rFonts w:hint="eastAsia" w:ascii="仿宋" w:hAnsi="仿宋" w:eastAsia="仿宋" w:cs="仿宋"/>
          <w:b/>
          <w:color w:val="auto"/>
          <w:sz w:val="22"/>
          <w:szCs w:val="22"/>
          <w:highlight w:val="none"/>
        </w:rPr>
        <w:t>3.1  初步评审</w:t>
      </w:r>
      <w:bookmarkEnd w:id="1131"/>
      <w:bookmarkEnd w:id="1132"/>
      <w:bookmarkEnd w:id="1133"/>
    </w:p>
    <w:p w14:paraId="210D0EEA">
      <w:pPr>
        <w:spacing w:line="480" w:lineRule="exact"/>
        <w:ind w:firstLine="440" w:firstLineChars="20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3.1.1  评标委员会要求投标人必须提交第二章“投标人须知”第1.4.1项和第 3.5.1 项至第 3.5.3 项规定的有关证明和证件资料。评标委员会依据本章第 2.1 款规定的标准对投标文件进行初步评审。有一项不符合评审标准的，作废标处理。</w:t>
      </w:r>
    </w:p>
    <w:p w14:paraId="0D01E5E0">
      <w:pPr>
        <w:spacing w:line="480" w:lineRule="exact"/>
        <w:ind w:firstLine="440" w:firstLineChars="20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3.1.2  投标人有以下情形之一的，其比选作废标处理：</w:t>
      </w:r>
    </w:p>
    <w:p w14:paraId="1CDC8510">
      <w:pPr>
        <w:spacing w:line="480" w:lineRule="exact"/>
        <w:ind w:firstLine="440" w:firstLineChars="20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（1）第二章“投标人须知”第 1.4.3 项规定的任何一种情形的；</w:t>
      </w:r>
    </w:p>
    <w:p w14:paraId="52E9839D">
      <w:pPr>
        <w:spacing w:line="480" w:lineRule="exact"/>
        <w:ind w:firstLine="440" w:firstLineChars="20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（2）串通比选或弄虚作假或有其他违法行为的；</w:t>
      </w:r>
    </w:p>
    <w:p w14:paraId="636AFED7">
      <w:pPr>
        <w:spacing w:line="480" w:lineRule="exact"/>
        <w:ind w:firstLine="440" w:firstLineChars="20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（3）不按评标委员会要求澄清、说明或补正的；</w:t>
      </w:r>
    </w:p>
    <w:p w14:paraId="1ABF7206">
      <w:pPr>
        <w:spacing w:line="480" w:lineRule="exact"/>
        <w:ind w:firstLine="440" w:firstLineChars="20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（4）招标文件约定的其它情形。</w:t>
      </w:r>
    </w:p>
    <w:p w14:paraId="3D860395">
      <w:pPr>
        <w:spacing w:line="480" w:lineRule="exact"/>
        <w:ind w:firstLine="440" w:firstLineChars="20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3.1.3  投标报价有算术错误的，评标委员会按以下原则对投标报价进行修正，修正的价格经投标人书面确认后具有约束力。投标人不接受修正价格的，其比选作废标处理。</w:t>
      </w:r>
    </w:p>
    <w:p w14:paraId="594435D5">
      <w:pPr>
        <w:spacing w:line="480" w:lineRule="exact"/>
        <w:ind w:firstLine="440" w:firstLineChars="20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（1）投标文件中的大写金额与小写金额不一致的，以大写金额为准；</w:t>
      </w:r>
    </w:p>
    <w:p w14:paraId="28D209E4">
      <w:pPr>
        <w:spacing w:line="480" w:lineRule="exact"/>
        <w:ind w:firstLine="440" w:firstLineChars="20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（2）总价金额与依据单价计算出的结果不一致的，以单价金额为准修正总价，但单价金额小数点有明显错误的除外。</w:t>
      </w:r>
    </w:p>
    <w:p w14:paraId="1CD23DAE">
      <w:pPr>
        <w:autoSpaceDE w:val="0"/>
        <w:autoSpaceDN w:val="0"/>
        <w:spacing w:line="480" w:lineRule="exact"/>
        <w:rPr>
          <w:rFonts w:hint="eastAsia" w:ascii="仿宋" w:hAnsi="仿宋" w:eastAsia="仿宋" w:cs="仿宋"/>
          <w:b/>
          <w:color w:val="auto"/>
          <w:sz w:val="22"/>
          <w:szCs w:val="22"/>
          <w:highlight w:val="none"/>
        </w:rPr>
      </w:pPr>
      <w:bookmarkStart w:id="1134" w:name="_Toc287620757"/>
      <w:bookmarkStart w:id="1135" w:name="_Toc287607818"/>
      <w:bookmarkStart w:id="1136" w:name="_Toc277082624"/>
      <w:r>
        <w:rPr>
          <w:rFonts w:hint="eastAsia" w:ascii="仿宋" w:hAnsi="仿宋" w:eastAsia="仿宋" w:cs="仿宋"/>
          <w:b/>
          <w:color w:val="auto"/>
          <w:sz w:val="22"/>
          <w:szCs w:val="22"/>
          <w:highlight w:val="none"/>
        </w:rPr>
        <w:t>3.2  详细评审</w:t>
      </w:r>
      <w:bookmarkEnd w:id="1134"/>
      <w:bookmarkEnd w:id="1135"/>
      <w:bookmarkEnd w:id="1136"/>
    </w:p>
    <w:p w14:paraId="48950B7C">
      <w:pPr>
        <w:spacing w:line="480" w:lineRule="exact"/>
        <w:ind w:firstLine="440" w:firstLineChars="20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3.2.1  评标委员会按本章第2.2款规定的量化因素和分值进行打分，并计算出综合评估得分。</w:t>
      </w:r>
    </w:p>
    <w:p w14:paraId="18E674A2">
      <w:pPr>
        <w:spacing w:line="480" w:lineRule="exact"/>
        <w:ind w:firstLine="440" w:firstLineChars="20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（1）按本章第 2.2.4（1）目规定的评审因素和分值对投标报价计算出得分A；</w:t>
      </w:r>
    </w:p>
    <w:p w14:paraId="5C15237F">
      <w:pPr>
        <w:autoSpaceDE w:val="0"/>
        <w:autoSpaceDN w:val="0"/>
        <w:spacing w:line="480" w:lineRule="exact"/>
        <w:ind w:firstLine="532"/>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（2）按本章第 2.2.4（2）目规定的评审因素和分值对技术方案计算出得分 B。</w:t>
      </w:r>
    </w:p>
    <w:p w14:paraId="31FFA544">
      <w:pPr>
        <w:autoSpaceDE w:val="0"/>
        <w:autoSpaceDN w:val="0"/>
        <w:spacing w:line="480" w:lineRule="exact"/>
        <w:ind w:left="1" w:firstLine="561" w:firstLineChars="255"/>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3.2.2  评分分值计算保留小数点后两位，小数点后第三位“四舍五入”。</w:t>
      </w:r>
    </w:p>
    <w:p w14:paraId="3773EB49">
      <w:pPr>
        <w:autoSpaceDE w:val="0"/>
        <w:autoSpaceDN w:val="0"/>
        <w:spacing w:line="480" w:lineRule="exact"/>
        <w:ind w:left="1" w:firstLine="561" w:firstLineChars="255"/>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3.2.3  投标人得分=A+B。</w:t>
      </w:r>
    </w:p>
    <w:p w14:paraId="7516113B">
      <w:pPr>
        <w:spacing w:line="480" w:lineRule="exact"/>
        <w:ind w:firstLine="440" w:firstLineChars="20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3.2.4 评标委员会发现投标人的报价明显低于其他投标报价，或者在设有标底时明显低于标底，使得其投标报价可能低于其个别成本的，应当要求该投标人做出书面说明并提供相应的证明材料。投标人不能合理说明或者不能提供相应证明材料的，由评标委员会认定该投标人以低于成本报价比选，其比选作废标处理。</w:t>
      </w:r>
    </w:p>
    <w:p w14:paraId="6A9FE9BC">
      <w:pPr>
        <w:autoSpaceDE w:val="0"/>
        <w:autoSpaceDN w:val="0"/>
        <w:spacing w:line="480" w:lineRule="exact"/>
        <w:rPr>
          <w:rFonts w:hint="eastAsia" w:ascii="仿宋" w:hAnsi="仿宋" w:eastAsia="仿宋" w:cs="仿宋"/>
          <w:b/>
          <w:color w:val="auto"/>
          <w:sz w:val="22"/>
          <w:szCs w:val="22"/>
          <w:highlight w:val="none"/>
        </w:rPr>
      </w:pPr>
      <w:bookmarkStart w:id="1137" w:name="_Toc277082625"/>
      <w:bookmarkStart w:id="1138" w:name="_Toc287607819"/>
      <w:bookmarkStart w:id="1139" w:name="_Toc287620758"/>
      <w:r>
        <w:rPr>
          <w:rFonts w:hint="eastAsia" w:ascii="仿宋" w:hAnsi="仿宋" w:eastAsia="仿宋" w:cs="仿宋"/>
          <w:b/>
          <w:color w:val="auto"/>
          <w:sz w:val="22"/>
          <w:szCs w:val="22"/>
          <w:highlight w:val="none"/>
        </w:rPr>
        <w:t>3.3  投标文件的澄清和补正</w:t>
      </w:r>
      <w:bookmarkEnd w:id="1137"/>
      <w:bookmarkEnd w:id="1138"/>
      <w:bookmarkEnd w:id="1139"/>
    </w:p>
    <w:p w14:paraId="13D6C151">
      <w:pPr>
        <w:spacing w:line="480" w:lineRule="exact"/>
        <w:ind w:firstLine="440" w:firstLineChars="20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3.3.1  在评标过程中，评标委员会可以书面形式要求投标人对所提交投标文件中不明确的内容进行书面澄清或说明，或者对细微偏差进行补正。评标委员会不接受投标人主动提出的澄清、说明或补正。</w:t>
      </w:r>
    </w:p>
    <w:p w14:paraId="30C3091C">
      <w:pPr>
        <w:spacing w:line="480" w:lineRule="exact"/>
        <w:ind w:firstLine="440" w:firstLineChars="20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3.3.2  澄清、说明和补正不得改变投标文件的实质性内容（算术性错误修正的除外）。投标人的书面澄清、说明和补正属于投标文件的组成部分。</w:t>
      </w:r>
    </w:p>
    <w:p w14:paraId="454131FE">
      <w:pPr>
        <w:spacing w:line="480" w:lineRule="exact"/>
        <w:ind w:firstLine="440" w:firstLineChars="20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3.3.3  评标委员会对投标人提交的澄清、说明或补正有疑问的，可以要求投标人进一步澄清、说明或补正，直至满足评标委员会的要求。</w:t>
      </w:r>
    </w:p>
    <w:p w14:paraId="7127A74D">
      <w:pPr>
        <w:autoSpaceDE w:val="0"/>
        <w:autoSpaceDN w:val="0"/>
        <w:spacing w:line="480" w:lineRule="exact"/>
        <w:rPr>
          <w:rFonts w:hint="eastAsia" w:ascii="仿宋" w:hAnsi="仿宋" w:eastAsia="仿宋" w:cs="仿宋"/>
          <w:b/>
          <w:color w:val="auto"/>
          <w:sz w:val="22"/>
          <w:szCs w:val="22"/>
          <w:highlight w:val="none"/>
        </w:rPr>
      </w:pPr>
      <w:bookmarkStart w:id="1140" w:name="_Toc287607820"/>
      <w:bookmarkStart w:id="1141" w:name="_Toc277082626"/>
      <w:bookmarkStart w:id="1142" w:name="_Toc287620759"/>
      <w:r>
        <w:rPr>
          <w:rFonts w:hint="eastAsia" w:ascii="仿宋" w:hAnsi="仿宋" w:eastAsia="仿宋" w:cs="仿宋"/>
          <w:b/>
          <w:color w:val="auto"/>
          <w:sz w:val="22"/>
          <w:szCs w:val="22"/>
          <w:highlight w:val="none"/>
        </w:rPr>
        <w:t>3.4  评标结果</w:t>
      </w:r>
      <w:bookmarkEnd w:id="1140"/>
      <w:bookmarkEnd w:id="1141"/>
      <w:bookmarkEnd w:id="1142"/>
    </w:p>
    <w:p w14:paraId="194A207F">
      <w:pPr>
        <w:spacing w:line="480" w:lineRule="exact"/>
        <w:ind w:firstLine="440" w:firstLineChars="20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3.4.1  除第二章“投标人须知”前附表授权直接确定中选人外，评标委员会按照得分由高到低的顺序推荐中选候选人。</w:t>
      </w:r>
    </w:p>
    <w:p w14:paraId="4BCD74CA">
      <w:pPr>
        <w:spacing w:line="480" w:lineRule="exact"/>
        <w:ind w:firstLine="440" w:firstLineChars="20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3.4.2  评标委员会完成评标后，应当向招标人提交书面评标报告。</w:t>
      </w:r>
    </w:p>
    <w:p w14:paraId="24063C41">
      <w:pPr>
        <w:pStyle w:val="2"/>
        <w:spacing w:before="0" w:after="0" w:line="440" w:lineRule="exact"/>
        <w:jc w:val="center"/>
        <w:rPr>
          <w:rFonts w:hint="eastAsia" w:ascii="仿宋" w:hAnsi="仿宋" w:eastAsia="仿宋" w:cs="仿宋"/>
          <w:color w:val="auto"/>
          <w:kern w:val="0"/>
          <w:szCs w:val="28"/>
          <w:highlight w:val="none"/>
        </w:rPr>
      </w:pPr>
      <w:r>
        <w:rPr>
          <w:rFonts w:hint="eastAsia" w:ascii="仿宋" w:hAnsi="仿宋" w:eastAsia="仿宋" w:cs="仿宋"/>
          <w:color w:val="auto"/>
          <w:kern w:val="0"/>
          <w:szCs w:val="28"/>
          <w:highlight w:val="none"/>
        </w:rPr>
        <w:br w:type="page"/>
      </w:r>
    </w:p>
    <w:p w14:paraId="1E425F69">
      <w:pPr>
        <w:pStyle w:val="13"/>
        <w:snapToGrid w:val="0"/>
        <w:spacing w:line="360" w:lineRule="auto"/>
        <w:jc w:val="both"/>
        <w:rPr>
          <w:rFonts w:hint="eastAsia" w:ascii="仿宋" w:hAnsi="仿宋" w:eastAsia="仿宋" w:cs="仿宋"/>
          <w:b/>
          <w:color w:val="auto"/>
          <w:sz w:val="24"/>
          <w:highlight w:val="none"/>
          <w:lang w:eastAsia="zh-CN"/>
        </w:rPr>
      </w:pPr>
      <w:bookmarkStart w:id="1143" w:name="_Toc230410480"/>
      <w:r>
        <w:rPr>
          <w:rFonts w:hint="eastAsia" w:ascii="仿宋" w:hAnsi="仿宋" w:eastAsia="仿宋" w:cs="仿宋"/>
          <w:b/>
          <w:color w:val="auto"/>
          <w:sz w:val="24"/>
          <w:highlight w:val="none"/>
          <w:lang w:eastAsia="zh-CN"/>
        </w:rPr>
        <w:t>附件A：综合评估法否决投标情况一览表</w:t>
      </w:r>
      <w:bookmarkEnd w:id="1143"/>
      <w:r>
        <w:rPr>
          <w:rFonts w:hint="eastAsia" w:ascii="仿宋" w:hAnsi="仿宋" w:eastAsia="仿宋" w:cs="仿宋"/>
          <w:b/>
          <w:color w:val="auto"/>
          <w:sz w:val="24"/>
          <w:highlight w:val="none"/>
          <w:lang w:eastAsia="zh-CN"/>
        </w:rPr>
        <w:t>一览表否决投标条件之外的评标委员会不得判为重大偏差。</w:t>
      </w:r>
    </w:p>
    <w:tbl>
      <w:tblPr>
        <w:tblStyle w:val="17"/>
        <w:tblW w:w="903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85"/>
        <w:gridCol w:w="1189"/>
        <w:gridCol w:w="6363"/>
      </w:tblGrid>
      <w:tr w14:paraId="2D209E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atLeast"/>
        </w:trPr>
        <w:tc>
          <w:tcPr>
            <w:tcW w:w="1485" w:type="dxa"/>
          </w:tcPr>
          <w:p w14:paraId="7352F1CB">
            <w:pPr>
              <w:snapToGrid w:val="0"/>
              <w:spacing w:line="360" w:lineRule="exact"/>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招标文件章节号</w:t>
            </w:r>
          </w:p>
        </w:tc>
        <w:tc>
          <w:tcPr>
            <w:tcW w:w="1189" w:type="dxa"/>
          </w:tcPr>
          <w:p w14:paraId="5012F0DB">
            <w:pPr>
              <w:snapToGrid w:val="0"/>
              <w:spacing w:line="360" w:lineRule="exact"/>
              <w:jc w:val="center"/>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条款名称</w:t>
            </w:r>
          </w:p>
        </w:tc>
        <w:tc>
          <w:tcPr>
            <w:tcW w:w="6363" w:type="dxa"/>
            <w:vAlign w:val="center"/>
          </w:tcPr>
          <w:p w14:paraId="01AEE1FF">
            <w:pPr>
              <w:snapToGrid w:val="0"/>
              <w:spacing w:line="360" w:lineRule="exact"/>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否决投标条件</w:t>
            </w:r>
          </w:p>
        </w:tc>
      </w:tr>
      <w:tr w14:paraId="7C47F6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85" w:type="dxa"/>
            <w:vMerge w:val="restart"/>
            <w:vAlign w:val="center"/>
          </w:tcPr>
          <w:p w14:paraId="57678457">
            <w:pPr>
              <w:snapToGrid w:val="0"/>
              <w:spacing w:line="360" w:lineRule="exact"/>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第二章3.2</w:t>
            </w:r>
          </w:p>
        </w:tc>
        <w:tc>
          <w:tcPr>
            <w:tcW w:w="1189" w:type="dxa"/>
            <w:vMerge w:val="restart"/>
            <w:vAlign w:val="center"/>
          </w:tcPr>
          <w:p w14:paraId="394CDD71">
            <w:pPr>
              <w:snapToGrid w:val="0"/>
              <w:spacing w:line="360" w:lineRule="exact"/>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投标报价</w:t>
            </w:r>
          </w:p>
        </w:tc>
        <w:tc>
          <w:tcPr>
            <w:tcW w:w="6363" w:type="dxa"/>
            <w:vAlign w:val="center"/>
          </w:tcPr>
          <w:p w14:paraId="54D7F7BD">
            <w:pPr>
              <w:snapToGrid w:val="0"/>
              <w:spacing w:line="360" w:lineRule="exact"/>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如设置了最高限价，投标人的投标总报价不得超过最高限价。</w:t>
            </w:r>
          </w:p>
        </w:tc>
      </w:tr>
      <w:tr w14:paraId="70199E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85" w:type="dxa"/>
            <w:vMerge w:val="continue"/>
          </w:tcPr>
          <w:p w14:paraId="6FCD910C">
            <w:pPr>
              <w:snapToGrid w:val="0"/>
              <w:spacing w:line="360" w:lineRule="exact"/>
              <w:rPr>
                <w:rFonts w:hint="eastAsia" w:ascii="仿宋" w:hAnsi="仿宋" w:eastAsia="仿宋" w:cs="仿宋"/>
                <w:b/>
                <w:color w:val="auto"/>
                <w:sz w:val="21"/>
                <w:szCs w:val="21"/>
                <w:highlight w:val="none"/>
              </w:rPr>
            </w:pPr>
          </w:p>
        </w:tc>
        <w:tc>
          <w:tcPr>
            <w:tcW w:w="1189" w:type="dxa"/>
            <w:vMerge w:val="continue"/>
          </w:tcPr>
          <w:p w14:paraId="3C425E4A">
            <w:pPr>
              <w:snapToGrid w:val="0"/>
              <w:spacing w:line="360" w:lineRule="exact"/>
              <w:rPr>
                <w:rFonts w:hint="eastAsia" w:ascii="仿宋" w:hAnsi="仿宋" w:eastAsia="仿宋" w:cs="仿宋"/>
                <w:b/>
                <w:color w:val="auto"/>
                <w:sz w:val="21"/>
                <w:szCs w:val="21"/>
                <w:highlight w:val="none"/>
              </w:rPr>
            </w:pPr>
          </w:p>
        </w:tc>
        <w:tc>
          <w:tcPr>
            <w:tcW w:w="6363" w:type="dxa"/>
            <w:vAlign w:val="center"/>
          </w:tcPr>
          <w:p w14:paraId="59280A22">
            <w:pPr>
              <w:snapToGrid w:val="0"/>
              <w:spacing w:line="360" w:lineRule="exact"/>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评标委员会发现投标人的报价明显低于其他投标报价，或者在设有标底时明显低于标底，使得其投标报价可能低于其个别成本的，应当要求该投标人做出书面说明并提供相应的证明材料。投标人不能合理说明或者不能提供相应证明材料的，由评标委员会认定该投标人以低于成本报价投标，其投标作否决投标处理。</w:t>
            </w:r>
          </w:p>
        </w:tc>
      </w:tr>
      <w:tr w14:paraId="2E115B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2" w:hRule="atLeast"/>
        </w:trPr>
        <w:tc>
          <w:tcPr>
            <w:tcW w:w="1485" w:type="dxa"/>
            <w:vAlign w:val="center"/>
          </w:tcPr>
          <w:p w14:paraId="21E67B80">
            <w:pPr>
              <w:snapToGrid w:val="0"/>
              <w:spacing w:line="360" w:lineRule="exact"/>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第二章3.7.5</w:t>
            </w:r>
          </w:p>
        </w:tc>
        <w:tc>
          <w:tcPr>
            <w:tcW w:w="1189" w:type="dxa"/>
            <w:vAlign w:val="center"/>
          </w:tcPr>
          <w:p w14:paraId="221C933A">
            <w:pPr>
              <w:snapToGrid w:val="0"/>
              <w:spacing w:line="360" w:lineRule="exact"/>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装订要求</w:t>
            </w:r>
          </w:p>
        </w:tc>
        <w:tc>
          <w:tcPr>
            <w:tcW w:w="6363" w:type="dxa"/>
            <w:vAlign w:val="center"/>
          </w:tcPr>
          <w:p w14:paraId="3D48D49D">
            <w:pPr>
              <w:snapToGrid w:val="0"/>
              <w:spacing w:line="360" w:lineRule="exact"/>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应符合投标人须知第3.7条要求，否则作否决投标处理。</w:t>
            </w:r>
          </w:p>
        </w:tc>
      </w:tr>
      <w:tr w14:paraId="2CBBB5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85" w:type="dxa"/>
            <w:vMerge w:val="restart"/>
            <w:vAlign w:val="center"/>
          </w:tcPr>
          <w:p w14:paraId="6AFEC690">
            <w:pPr>
              <w:snapToGrid w:val="0"/>
              <w:spacing w:line="360" w:lineRule="exact"/>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第三章3.1</w:t>
            </w:r>
          </w:p>
        </w:tc>
        <w:tc>
          <w:tcPr>
            <w:tcW w:w="1189" w:type="dxa"/>
            <w:vMerge w:val="restart"/>
            <w:vAlign w:val="center"/>
          </w:tcPr>
          <w:p w14:paraId="4B147DDE">
            <w:pPr>
              <w:snapToGrid w:val="0"/>
              <w:spacing w:line="360" w:lineRule="exact"/>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初步评审</w:t>
            </w:r>
          </w:p>
        </w:tc>
        <w:tc>
          <w:tcPr>
            <w:tcW w:w="6363" w:type="dxa"/>
            <w:vAlign w:val="center"/>
          </w:tcPr>
          <w:p w14:paraId="6C2D9BB7">
            <w:pPr>
              <w:snapToGrid w:val="0"/>
              <w:spacing w:line="360" w:lineRule="exact"/>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评标委员会依据本章第</w:t>
            </w:r>
            <w:r>
              <w:rPr>
                <w:rFonts w:hint="eastAsia" w:ascii="仿宋" w:hAnsi="仿宋" w:eastAsia="仿宋" w:cs="仿宋"/>
                <w:color w:val="auto"/>
                <w:spacing w:val="1"/>
                <w:kern w:val="0"/>
                <w:sz w:val="21"/>
                <w:szCs w:val="21"/>
                <w:highlight w:val="none"/>
              </w:rPr>
              <w:t>2</w:t>
            </w:r>
            <w:r>
              <w:rPr>
                <w:rFonts w:hint="eastAsia" w:ascii="仿宋" w:hAnsi="仿宋" w:eastAsia="仿宋" w:cs="仿宋"/>
                <w:color w:val="auto"/>
                <w:spacing w:val="-1"/>
                <w:kern w:val="0"/>
                <w:sz w:val="21"/>
                <w:szCs w:val="21"/>
                <w:highlight w:val="none"/>
              </w:rPr>
              <w:t>.</w:t>
            </w:r>
            <w:r>
              <w:rPr>
                <w:rFonts w:hint="eastAsia" w:ascii="仿宋" w:hAnsi="仿宋" w:eastAsia="仿宋" w:cs="仿宋"/>
                <w:color w:val="auto"/>
                <w:kern w:val="0"/>
                <w:sz w:val="21"/>
                <w:szCs w:val="21"/>
                <w:highlight w:val="none"/>
              </w:rPr>
              <w:t>1</w:t>
            </w:r>
            <w:r>
              <w:rPr>
                <w:rFonts w:hint="eastAsia" w:ascii="仿宋" w:hAnsi="仿宋" w:eastAsia="仿宋" w:cs="仿宋"/>
                <w:color w:val="auto"/>
                <w:spacing w:val="-1"/>
                <w:kern w:val="0"/>
                <w:sz w:val="21"/>
                <w:szCs w:val="21"/>
                <w:highlight w:val="none"/>
              </w:rPr>
              <w:t>款</w:t>
            </w:r>
            <w:r>
              <w:rPr>
                <w:rFonts w:hint="eastAsia" w:ascii="仿宋" w:hAnsi="仿宋" w:eastAsia="仿宋" w:cs="仿宋"/>
                <w:color w:val="auto"/>
                <w:kern w:val="0"/>
                <w:sz w:val="21"/>
                <w:szCs w:val="21"/>
                <w:highlight w:val="none"/>
              </w:rPr>
              <w:t>规定的标准对投标文件进行初步评审。有一项不符合评审标准的，作否决投标处理。</w:t>
            </w:r>
          </w:p>
        </w:tc>
      </w:tr>
      <w:tr w14:paraId="22D2C0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85" w:type="dxa"/>
            <w:vMerge w:val="continue"/>
          </w:tcPr>
          <w:p w14:paraId="3821E580">
            <w:pPr>
              <w:snapToGrid w:val="0"/>
              <w:spacing w:line="360" w:lineRule="exact"/>
              <w:rPr>
                <w:rFonts w:hint="eastAsia" w:ascii="仿宋" w:hAnsi="仿宋" w:eastAsia="仿宋" w:cs="仿宋"/>
                <w:b/>
                <w:color w:val="auto"/>
                <w:sz w:val="21"/>
                <w:szCs w:val="21"/>
                <w:highlight w:val="none"/>
              </w:rPr>
            </w:pPr>
          </w:p>
        </w:tc>
        <w:tc>
          <w:tcPr>
            <w:tcW w:w="1189" w:type="dxa"/>
            <w:vMerge w:val="continue"/>
          </w:tcPr>
          <w:p w14:paraId="076E1FCB">
            <w:pPr>
              <w:snapToGrid w:val="0"/>
              <w:spacing w:line="360" w:lineRule="exact"/>
              <w:rPr>
                <w:rFonts w:hint="eastAsia" w:ascii="仿宋" w:hAnsi="仿宋" w:eastAsia="仿宋" w:cs="仿宋"/>
                <w:b/>
                <w:color w:val="auto"/>
                <w:sz w:val="21"/>
                <w:szCs w:val="21"/>
                <w:highlight w:val="none"/>
              </w:rPr>
            </w:pPr>
          </w:p>
        </w:tc>
        <w:tc>
          <w:tcPr>
            <w:tcW w:w="6363" w:type="dxa"/>
            <w:vAlign w:val="center"/>
          </w:tcPr>
          <w:p w14:paraId="26C65C61">
            <w:pPr>
              <w:snapToGrid w:val="0"/>
              <w:spacing w:line="360" w:lineRule="exact"/>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评标委员会依据本章第 2.1款规定的评审标准对投标文件进行初步评审。有一项不符合评审标准的，作否决投标处理。</w:t>
            </w:r>
          </w:p>
        </w:tc>
      </w:tr>
      <w:tr w14:paraId="54319E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85" w:type="dxa"/>
            <w:vMerge w:val="continue"/>
          </w:tcPr>
          <w:p w14:paraId="0A2E7D29">
            <w:pPr>
              <w:snapToGrid w:val="0"/>
              <w:spacing w:line="360" w:lineRule="exact"/>
              <w:rPr>
                <w:rFonts w:hint="eastAsia" w:ascii="仿宋" w:hAnsi="仿宋" w:eastAsia="仿宋" w:cs="仿宋"/>
                <w:b/>
                <w:color w:val="auto"/>
                <w:sz w:val="21"/>
                <w:szCs w:val="21"/>
                <w:highlight w:val="none"/>
              </w:rPr>
            </w:pPr>
          </w:p>
        </w:tc>
        <w:tc>
          <w:tcPr>
            <w:tcW w:w="1189" w:type="dxa"/>
            <w:vMerge w:val="continue"/>
          </w:tcPr>
          <w:p w14:paraId="34843EE6">
            <w:pPr>
              <w:snapToGrid w:val="0"/>
              <w:spacing w:line="360" w:lineRule="exact"/>
              <w:rPr>
                <w:rFonts w:hint="eastAsia" w:ascii="仿宋" w:hAnsi="仿宋" w:eastAsia="仿宋" w:cs="仿宋"/>
                <w:b/>
                <w:color w:val="auto"/>
                <w:sz w:val="21"/>
                <w:szCs w:val="21"/>
                <w:highlight w:val="none"/>
              </w:rPr>
            </w:pPr>
          </w:p>
        </w:tc>
        <w:tc>
          <w:tcPr>
            <w:tcW w:w="6363" w:type="dxa"/>
            <w:vAlign w:val="center"/>
          </w:tcPr>
          <w:p w14:paraId="506DCF73">
            <w:pPr>
              <w:autoSpaceDE w:val="0"/>
              <w:autoSpaceDN w:val="0"/>
              <w:adjustRightInd w:val="0"/>
              <w:snapToGrid w:val="0"/>
              <w:spacing w:line="360" w:lineRule="exact"/>
              <w:ind w:firstLine="420" w:firstLineChars="200"/>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投标人有以下情形之一的，其投标作否决投标处理：</w:t>
            </w:r>
          </w:p>
          <w:p w14:paraId="1FBC5D13">
            <w:pPr>
              <w:autoSpaceDE w:val="0"/>
              <w:autoSpaceDN w:val="0"/>
              <w:adjustRightInd w:val="0"/>
              <w:snapToGrid w:val="0"/>
              <w:spacing w:line="360" w:lineRule="exac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w:t>
            </w:r>
            <w:r>
              <w:rPr>
                <w:rFonts w:hint="eastAsia" w:ascii="仿宋" w:hAnsi="仿宋" w:eastAsia="仿宋" w:cs="仿宋"/>
                <w:color w:val="auto"/>
                <w:spacing w:val="1"/>
                <w:kern w:val="0"/>
                <w:sz w:val="21"/>
                <w:szCs w:val="21"/>
                <w:highlight w:val="none"/>
              </w:rPr>
              <w:t>1</w:t>
            </w:r>
            <w:r>
              <w:rPr>
                <w:rFonts w:hint="eastAsia" w:ascii="仿宋" w:hAnsi="仿宋" w:eastAsia="仿宋" w:cs="仿宋"/>
                <w:color w:val="auto"/>
                <w:kern w:val="0"/>
                <w:sz w:val="21"/>
                <w:szCs w:val="21"/>
                <w:highlight w:val="none"/>
              </w:rPr>
              <w:t>）第二</w:t>
            </w:r>
            <w:r>
              <w:rPr>
                <w:rFonts w:hint="eastAsia" w:ascii="仿宋" w:hAnsi="仿宋" w:eastAsia="仿宋" w:cs="仿宋"/>
                <w:color w:val="auto"/>
                <w:spacing w:val="-1"/>
                <w:kern w:val="0"/>
                <w:sz w:val="21"/>
                <w:szCs w:val="21"/>
                <w:highlight w:val="none"/>
              </w:rPr>
              <w:t>章</w:t>
            </w:r>
            <w:r>
              <w:rPr>
                <w:rFonts w:hint="eastAsia" w:ascii="仿宋" w:hAnsi="仿宋" w:eastAsia="仿宋" w:cs="仿宋"/>
                <w:color w:val="auto"/>
                <w:kern w:val="0"/>
                <w:sz w:val="21"/>
                <w:szCs w:val="21"/>
                <w:highlight w:val="none"/>
              </w:rPr>
              <w:t>“投标人须知”第</w:t>
            </w:r>
            <w:r>
              <w:rPr>
                <w:rFonts w:hint="eastAsia" w:ascii="仿宋" w:hAnsi="仿宋" w:eastAsia="仿宋" w:cs="仿宋"/>
                <w:color w:val="auto"/>
                <w:spacing w:val="1"/>
                <w:kern w:val="0"/>
                <w:sz w:val="21"/>
                <w:szCs w:val="21"/>
                <w:highlight w:val="none"/>
              </w:rPr>
              <w:t>1</w:t>
            </w:r>
            <w:r>
              <w:rPr>
                <w:rFonts w:hint="eastAsia" w:ascii="仿宋" w:hAnsi="仿宋" w:eastAsia="仿宋" w:cs="仿宋"/>
                <w:color w:val="auto"/>
                <w:spacing w:val="-1"/>
                <w:kern w:val="0"/>
                <w:sz w:val="21"/>
                <w:szCs w:val="21"/>
                <w:highlight w:val="none"/>
              </w:rPr>
              <w:t>.</w:t>
            </w:r>
            <w:r>
              <w:rPr>
                <w:rFonts w:hint="eastAsia" w:ascii="仿宋" w:hAnsi="仿宋" w:eastAsia="仿宋" w:cs="仿宋"/>
                <w:color w:val="auto"/>
                <w:spacing w:val="1"/>
                <w:kern w:val="0"/>
                <w:sz w:val="21"/>
                <w:szCs w:val="21"/>
                <w:highlight w:val="none"/>
              </w:rPr>
              <w:t>4</w:t>
            </w:r>
            <w:r>
              <w:rPr>
                <w:rFonts w:hint="eastAsia" w:ascii="仿宋" w:hAnsi="仿宋" w:eastAsia="仿宋" w:cs="仿宋"/>
                <w:color w:val="auto"/>
                <w:spacing w:val="-1"/>
                <w:kern w:val="0"/>
                <w:sz w:val="21"/>
                <w:szCs w:val="21"/>
                <w:highlight w:val="none"/>
              </w:rPr>
              <w:t>.</w:t>
            </w:r>
            <w:r>
              <w:rPr>
                <w:rFonts w:hint="eastAsia" w:ascii="仿宋" w:hAnsi="仿宋" w:eastAsia="仿宋" w:cs="仿宋"/>
                <w:color w:val="auto"/>
                <w:kern w:val="0"/>
                <w:sz w:val="21"/>
                <w:szCs w:val="21"/>
                <w:highlight w:val="none"/>
              </w:rPr>
              <w:t>3 项规定的任何一种情形的；</w:t>
            </w:r>
          </w:p>
          <w:p w14:paraId="184B63C4">
            <w:pPr>
              <w:autoSpaceDE w:val="0"/>
              <w:autoSpaceDN w:val="0"/>
              <w:adjustRightInd w:val="0"/>
              <w:snapToGrid w:val="0"/>
              <w:spacing w:line="360" w:lineRule="exac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w:t>
            </w:r>
            <w:r>
              <w:rPr>
                <w:rFonts w:hint="eastAsia" w:ascii="仿宋" w:hAnsi="仿宋" w:eastAsia="仿宋" w:cs="仿宋"/>
                <w:color w:val="auto"/>
                <w:spacing w:val="1"/>
                <w:kern w:val="0"/>
                <w:sz w:val="21"/>
                <w:szCs w:val="21"/>
                <w:highlight w:val="none"/>
              </w:rPr>
              <w:t>2</w:t>
            </w:r>
            <w:r>
              <w:rPr>
                <w:rFonts w:hint="eastAsia" w:ascii="仿宋" w:hAnsi="仿宋" w:eastAsia="仿宋" w:cs="仿宋"/>
                <w:color w:val="auto"/>
                <w:kern w:val="0"/>
                <w:sz w:val="21"/>
                <w:szCs w:val="21"/>
                <w:highlight w:val="none"/>
              </w:rPr>
              <w:t>）串通</w:t>
            </w:r>
            <w:r>
              <w:rPr>
                <w:rFonts w:hint="eastAsia" w:ascii="仿宋" w:hAnsi="仿宋" w:eastAsia="仿宋" w:cs="仿宋"/>
                <w:color w:val="auto"/>
                <w:spacing w:val="-1"/>
                <w:kern w:val="0"/>
                <w:sz w:val="21"/>
                <w:szCs w:val="21"/>
                <w:highlight w:val="none"/>
              </w:rPr>
              <w:t>投标</w:t>
            </w:r>
            <w:r>
              <w:rPr>
                <w:rFonts w:hint="eastAsia" w:ascii="仿宋" w:hAnsi="仿宋" w:eastAsia="仿宋" w:cs="仿宋"/>
                <w:color w:val="auto"/>
                <w:kern w:val="0"/>
                <w:sz w:val="21"/>
                <w:szCs w:val="21"/>
                <w:highlight w:val="none"/>
              </w:rPr>
              <w:t>或弄虚作假或有其他违法行为的；</w:t>
            </w:r>
          </w:p>
          <w:p w14:paraId="1F3F2315">
            <w:pPr>
              <w:snapToGrid w:val="0"/>
              <w:spacing w:line="360" w:lineRule="exac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w:t>
            </w:r>
            <w:r>
              <w:rPr>
                <w:rFonts w:hint="eastAsia" w:ascii="仿宋" w:hAnsi="仿宋" w:eastAsia="仿宋" w:cs="仿宋"/>
                <w:color w:val="auto"/>
                <w:spacing w:val="1"/>
                <w:kern w:val="0"/>
                <w:sz w:val="21"/>
                <w:szCs w:val="21"/>
                <w:highlight w:val="none"/>
              </w:rPr>
              <w:t>3</w:t>
            </w:r>
            <w:r>
              <w:rPr>
                <w:rFonts w:hint="eastAsia" w:ascii="仿宋" w:hAnsi="仿宋" w:eastAsia="仿宋" w:cs="仿宋"/>
                <w:color w:val="auto"/>
                <w:kern w:val="0"/>
                <w:sz w:val="21"/>
                <w:szCs w:val="21"/>
                <w:highlight w:val="none"/>
              </w:rPr>
              <w:t>）不按</w:t>
            </w:r>
            <w:r>
              <w:rPr>
                <w:rFonts w:hint="eastAsia" w:ascii="仿宋" w:hAnsi="仿宋" w:eastAsia="仿宋" w:cs="仿宋"/>
                <w:color w:val="auto"/>
                <w:spacing w:val="-1"/>
                <w:kern w:val="0"/>
                <w:sz w:val="21"/>
                <w:szCs w:val="21"/>
                <w:highlight w:val="none"/>
              </w:rPr>
              <w:t>评</w:t>
            </w:r>
            <w:r>
              <w:rPr>
                <w:rFonts w:hint="eastAsia" w:ascii="仿宋" w:hAnsi="仿宋" w:eastAsia="仿宋" w:cs="仿宋"/>
                <w:color w:val="auto"/>
                <w:kern w:val="0"/>
                <w:sz w:val="21"/>
                <w:szCs w:val="21"/>
                <w:highlight w:val="none"/>
              </w:rPr>
              <w:t>标委员会要求澄清、说明或补正的。</w:t>
            </w:r>
          </w:p>
        </w:tc>
      </w:tr>
      <w:tr w14:paraId="37824C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85" w:type="dxa"/>
            <w:vMerge w:val="continue"/>
          </w:tcPr>
          <w:p w14:paraId="0E88D56E">
            <w:pPr>
              <w:snapToGrid w:val="0"/>
              <w:spacing w:line="360" w:lineRule="exact"/>
              <w:rPr>
                <w:rFonts w:hint="eastAsia" w:ascii="仿宋" w:hAnsi="仿宋" w:eastAsia="仿宋" w:cs="仿宋"/>
                <w:b/>
                <w:color w:val="auto"/>
                <w:sz w:val="21"/>
                <w:szCs w:val="21"/>
                <w:highlight w:val="none"/>
              </w:rPr>
            </w:pPr>
          </w:p>
        </w:tc>
        <w:tc>
          <w:tcPr>
            <w:tcW w:w="1189" w:type="dxa"/>
            <w:vMerge w:val="continue"/>
          </w:tcPr>
          <w:p w14:paraId="327090BD">
            <w:pPr>
              <w:snapToGrid w:val="0"/>
              <w:spacing w:line="360" w:lineRule="exact"/>
              <w:rPr>
                <w:rFonts w:hint="eastAsia" w:ascii="仿宋" w:hAnsi="仿宋" w:eastAsia="仿宋" w:cs="仿宋"/>
                <w:b/>
                <w:color w:val="auto"/>
                <w:sz w:val="21"/>
                <w:szCs w:val="21"/>
                <w:highlight w:val="none"/>
              </w:rPr>
            </w:pPr>
          </w:p>
        </w:tc>
        <w:tc>
          <w:tcPr>
            <w:tcW w:w="6363" w:type="dxa"/>
            <w:vAlign w:val="center"/>
          </w:tcPr>
          <w:p w14:paraId="236D69D8">
            <w:pPr>
              <w:snapToGrid w:val="0"/>
              <w:spacing w:line="360" w:lineRule="exact"/>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投标报价有算术</w:t>
            </w:r>
            <w:r>
              <w:rPr>
                <w:rFonts w:hint="eastAsia" w:ascii="仿宋" w:hAnsi="仿宋" w:eastAsia="仿宋" w:cs="仿宋"/>
                <w:color w:val="auto"/>
                <w:spacing w:val="1"/>
                <w:kern w:val="0"/>
                <w:sz w:val="21"/>
                <w:szCs w:val="21"/>
                <w:highlight w:val="none"/>
              </w:rPr>
              <w:t>错</w:t>
            </w:r>
            <w:r>
              <w:rPr>
                <w:rFonts w:hint="eastAsia" w:ascii="仿宋" w:hAnsi="仿宋" w:eastAsia="仿宋" w:cs="仿宋"/>
                <w:color w:val="auto"/>
                <w:kern w:val="0"/>
                <w:sz w:val="21"/>
                <w:szCs w:val="21"/>
                <w:highlight w:val="none"/>
              </w:rPr>
              <w:t>误的，评</w:t>
            </w:r>
            <w:r>
              <w:rPr>
                <w:rFonts w:hint="eastAsia" w:ascii="仿宋" w:hAnsi="仿宋" w:eastAsia="仿宋" w:cs="仿宋"/>
                <w:color w:val="auto"/>
                <w:spacing w:val="1"/>
                <w:kern w:val="0"/>
                <w:sz w:val="21"/>
                <w:szCs w:val="21"/>
                <w:highlight w:val="none"/>
              </w:rPr>
              <w:t>标</w:t>
            </w:r>
            <w:r>
              <w:rPr>
                <w:rFonts w:hint="eastAsia" w:ascii="仿宋" w:hAnsi="仿宋" w:eastAsia="仿宋" w:cs="仿宋"/>
                <w:color w:val="auto"/>
                <w:kern w:val="0"/>
                <w:sz w:val="21"/>
                <w:szCs w:val="21"/>
                <w:highlight w:val="none"/>
              </w:rPr>
              <w:t>委员会按招标文件规定的原则对</w:t>
            </w:r>
            <w:r>
              <w:rPr>
                <w:rFonts w:hint="eastAsia" w:ascii="仿宋" w:hAnsi="仿宋" w:eastAsia="仿宋" w:cs="仿宋"/>
                <w:color w:val="auto"/>
                <w:spacing w:val="1"/>
                <w:kern w:val="0"/>
                <w:sz w:val="21"/>
                <w:szCs w:val="21"/>
                <w:highlight w:val="none"/>
              </w:rPr>
              <w:t>投标报价</w:t>
            </w:r>
            <w:r>
              <w:rPr>
                <w:rFonts w:hint="eastAsia" w:ascii="仿宋" w:hAnsi="仿宋" w:eastAsia="仿宋" w:cs="仿宋"/>
                <w:color w:val="auto"/>
                <w:kern w:val="0"/>
                <w:sz w:val="21"/>
                <w:szCs w:val="21"/>
                <w:highlight w:val="none"/>
              </w:rPr>
              <w:t>进</w:t>
            </w:r>
            <w:r>
              <w:rPr>
                <w:rFonts w:hint="eastAsia" w:ascii="仿宋" w:hAnsi="仿宋" w:eastAsia="仿宋" w:cs="仿宋"/>
                <w:color w:val="auto"/>
                <w:spacing w:val="1"/>
                <w:kern w:val="0"/>
                <w:sz w:val="21"/>
                <w:szCs w:val="21"/>
                <w:highlight w:val="none"/>
              </w:rPr>
              <w:t>行</w:t>
            </w:r>
            <w:r>
              <w:rPr>
                <w:rFonts w:hint="eastAsia" w:ascii="仿宋" w:hAnsi="仿宋" w:eastAsia="仿宋" w:cs="仿宋"/>
                <w:color w:val="auto"/>
                <w:kern w:val="0"/>
                <w:sz w:val="21"/>
                <w:szCs w:val="21"/>
                <w:highlight w:val="none"/>
              </w:rPr>
              <w:t>修正，修</w:t>
            </w:r>
            <w:r>
              <w:rPr>
                <w:rFonts w:hint="eastAsia" w:ascii="仿宋" w:hAnsi="仿宋" w:eastAsia="仿宋" w:cs="仿宋"/>
                <w:color w:val="auto"/>
                <w:spacing w:val="1"/>
                <w:kern w:val="0"/>
                <w:sz w:val="21"/>
                <w:szCs w:val="21"/>
                <w:highlight w:val="none"/>
              </w:rPr>
              <w:t>正的</w:t>
            </w:r>
            <w:r>
              <w:rPr>
                <w:rFonts w:hint="eastAsia" w:ascii="仿宋" w:hAnsi="仿宋" w:eastAsia="仿宋" w:cs="仿宋"/>
                <w:color w:val="auto"/>
                <w:kern w:val="0"/>
                <w:sz w:val="21"/>
                <w:szCs w:val="21"/>
                <w:highlight w:val="none"/>
              </w:rPr>
              <w:t>价格经投标人书面确认后具有约束力。投标人不接受修正价格的，其投标作否决投标处理。</w:t>
            </w:r>
          </w:p>
        </w:tc>
      </w:tr>
      <w:tr w14:paraId="44AF23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2" w:hRule="atLeast"/>
        </w:trPr>
        <w:tc>
          <w:tcPr>
            <w:tcW w:w="1485" w:type="dxa"/>
            <w:vAlign w:val="center"/>
          </w:tcPr>
          <w:p w14:paraId="1CB8CE9A">
            <w:pPr>
              <w:snapToGrid w:val="0"/>
              <w:spacing w:line="360" w:lineRule="exact"/>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其他</w:t>
            </w:r>
          </w:p>
        </w:tc>
        <w:tc>
          <w:tcPr>
            <w:tcW w:w="1189" w:type="dxa"/>
            <w:vAlign w:val="center"/>
          </w:tcPr>
          <w:p w14:paraId="78DAA79C">
            <w:pPr>
              <w:snapToGrid w:val="0"/>
              <w:spacing w:line="360" w:lineRule="exact"/>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[招标人必须明确]</w:t>
            </w:r>
          </w:p>
        </w:tc>
        <w:tc>
          <w:tcPr>
            <w:tcW w:w="6363" w:type="dxa"/>
            <w:vAlign w:val="center"/>
          </w:tcPr>
          <w:p w14:paraId="775CF851">
            <w:pPr>
              <w:snapToGrid w:val="0"/>
              <w:spacing w:line="360" w:lineRule="exact"/>
              <w:ind w:firstLine="420" w:firstLineChars="200"/>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w:t>
            </w:r>
          </w:p>
        </w:tc>
      </w:tr>
    </w:tbl>
    <w:p w14:paraId="0E030A1B">
      <w:pPr>
        <w:pStyle w:val="2"/>
        <w:spacing w:before="0" w:after="0" w:line="360" w:lineRule="auto"/>
        <w:jc w:val="center"/>
        <w:rPr>
          <w:rFonts w:hint="eastAsia" w:ascii="仿宋" w:hAnsi="仿宋" w:eastAsia="仿宋" w:cs="仿宋"/>
          <w:snapToGrid w:val="0"/>
          <w:color w:val="auto"/>
          <w:kern w:val="0"/>
          <w:sz w:val="32"/>
          <w:szCs w:val="32"/>
          <w:highlight w:val="none"/>
        </w:rPr>
      </w:pPr>
      <w:r>
        <w:rPr>
          <w:rFonts w:hint="eastAsia" w:ascii="仿宋" w:hAnsi="仿宋" w:eastAsia="仿宋" w:cs="仿宋"/>
          <w:color w:val="auto"/>
          <w:kern w:val="0"/>
          <w:szCs w:val="28"/>
          <w:highlight w:val="none"/>
        </w:rPr>
        <w:br w:type="page"/>
      </w:r>
      <w:bookmarkStart w:id="1144" w:name="_Toc32627"/>
      <w:r>
        <w:rPr>
          <w:rFonts w:hint="eastAsia" w:ascii="仿宋" w:hAnsi="仿宋" w:eastAsia="仿宋" w:cs="仿宋"/>
          <w:snapToGrid w:val="0"/>
          <w:color w:val="auto"/>
          <w:kern w:val="0"/>
          <w:sz w:val="32"/>
          <w:szCs w:val="32"/>
          <w:highlight w:val="none"/>
        </w:rPr>
        <w:t>第四章 合同条款及格式</w:t>
      </w:r>
      <w:bookmarkEnd w:id="1112"/>
      <w:bookmarkEnd w:id="1144"/>
    </w:p>
    <w:p w14:paraId="25A765B5">
      <w:pPr>
        <w:spacing w:line="440" w:lineRule="exact"/>
        <w:jc w:val="center"/>
        <w:rPr>
          <w:rFonts w:hint="eastAsia" w:ascii="仿宋" w:hAnsi="仿宋" w:eastAsia="仿宋" w:cs="仿宋"/>
          <w:color w:val="auto"/>
          <w:sz w:val="44"/>
          <w:szCs w:val="44"/>
          <w:highlight w:val="none"/>
        </w:rPr>
      </w:pPr>
      <w:bookmarkStart w:id="1145" w:name="_Hlt468886213"/>
      <w:bookmarkEnd w:id="1145"/>
      <w:bookmarkStart w:id="1146" w:name="_Toc17768"/>
      <w:bookmarkStart w:id="1147" w:name="_Toc17694"/>
      <w:bookmarkStart w:id="1148" w:name="_Toc57905909"/>
      <w:bookmarkStart w:id="1149" w:name="_Toc532375607"/>
      <w:bookmarkStart w:id="1150" w:name="_Toc532377320"/>
      <w:bookmarkStart w:id="1151" w:name="_Toc529388290"/>
      <w:bookmarkStart w:id="1152" w:name="_Toc57795939"/>
      <w:bookmarkStart w:id="1153" w:name="_Toc61946820"/>
      <w:r>
        <w:rPr>
          <w:rFonts w:hint="eastAsia" w:ascii="仿宋" w:hAnsi="仿宋" w:eastAsia="仿宋" w:cs="仿宋"/>
          <w:color w:val="auto"/>
          <w:kern w:val="0"/>
          <w:sz w:val="24"/>
          <w:highlight w:val="none"/>
        </w:rPr>
        <w:t>（以下合同格式为通用版本，合同格式的最终版以签订合同时招标人提供的版本为准）</w:t>
      </w:r>
      <w:r>
        <w:rPr>
          <w:rStyle w:val="22"/>
          <w:rFonts w:hint="eastAsia" w:ascii="仿宋" w:hAnsi="仿宋" w:eastAsia="仿宋" w:cs="仿宋"/>
          <w:color w:val="auto"/>
          <w:highlight w:val="none"/>
        </w:rPr>
        <w:br w:type="page"/>
      </w:r>
      <w:bookmarkEnd w:id="1146"/>
      <w:bookmarkEnd w:id="1147"/>
      <w:bookmarkEnd w:id="1148"/>
      <w:bookmarkEnd w:id="1149"/>
      <w:bookmarkEnd w:id="1150"/>
      <w:bookmarkEnd w:id="1151"/>
      <w:bookmarkEnd w:id="1152"/>
      <w:bookmarkStart w:id="1154" w:name="_Toc534185765"/>
      <w:bookmarkStart w:id="1155" w:name="_Toc32387"/>
      <w:bookmarkStart w:id="1156" w:name="_Toc509218786"/>
      <w:bookmarkStart w:id="1157" w:name="_Toc57820637"/>
      <w:bookmarkStart w:id="1158" w:name="_Toc351203494"/>
      <w:bookmarkStart w:id="1159" w:name="_Toc152045768"/>
      <w:bookmarkStart w:id="1160" w:name="_Toc467164258"/>
      <w:bookmarkStart w:id="1161" w:name="_Toc424558728"/>
      <w:bookmarkStart w:id="1162" w:name="_Toc424558369"/>
      <w:bookmarkStart w:id="1163" w:name="_Toc509390696"/>
      <w:bookmarkStart w:id="1164" w:name="_Toc240180916"/>
      <w:bookmarkStart w:id="1165" w:name="_Toc144974827"/>
      <w:bookmarkStart w:id="1166" w:name="_Toc152042547"/>
      <w:bookmarkStart w:id="1167" w:name="_Toc335223532"/>
      <w:bookmarkStart w:id="1168" w:name="_Toc335223531"/>
      <w:bookmarkStart w:id="1169" w:name="_Toc240180917"/>
      <w:bookmarkStart w:id="1170" w:name="_Toc424558729"/>
      <w:bookmarkStart w:id="1171" w:name="_Toc509390697"/>
      <w:bookmarkStart w:id="1172" w:name="_Toc424558368"/>
      <w:bookmarkStart w:id="1173" w:name="_Toc467164257"/>
      <w:r>
        <w:rPr>
          <w:rFonts w:hint="eastAsia" w:ascii="仿宋" w:hAnsi="仿宋" w:eastAsia="仿宋" w:cs="仿宋"/>
          <w:color w:val="auto"/>
          <w:sz w:val="44"/>
          <w:szCs w:val="44"/>
          <w:highlight w:val="none"/>
        </w:rPr>
        <w:t>第一部分 合同协议书</w:t>
      </w:r>
      <w:bookmarkEnd w:id="1154"/>
      <w:bookmarkEnd w:id="1155"/>
      <w:bookmarkEnd w:id="1156"/>
      <w:bookmarkEnd w:id="1157"/>
    </w:p>
    <w:bookmarkEnd w:id="1158"/>
    <w:p w14:paraId="21F59790">
      <w:pPr>
        <w:snapToGrid w:val="0"/>
        <w:spacing w:line="440" w:lineRule="exact"/>
        <w:ind w:firstLine="480" w:firstLineChars="200"/>
        <w:rPr>
          <w:rFonts w:hint="eastAsia" w:ascii="仿宋" w:hAnsi="仿宋" w:eastAsia="仿宋" w:cs="仿宋"/>
          <w:color w:val="auto"/>
          <w:sz w:val="24"/>
          <w:highlight w:val="none"/>
        </w:rPr>
      </w:pPr>
    </w:p>
    <w:p w14:paraId="65C43BBD">
      <w:pPr>
        <w:snapToGrid w:val="0"/>
        <w:spacing w:line="440" w:lineRule="exact"/>
        <w:ind w:firstLine="422" w:firstLineChars="200"/>
        <w:rPr>
          <w:rFonts w:hint="eastAsia" w:ascii="仿宋" w:hAnsi="仿宋" w:eastAsia="仿宋" w:cs="仿宋"/>
          <w:b/>
          <w:color w:val="auto"/>
          <w:sz w:val="21"/>
          <w:szCs w:val="21"/>
          <w:highlight w:val="none"/>
          <w:u w:val="single"/>
        </w:rPr>
      </w:pPr>
      <w:r>
        <w:rPr>
          <w:rFonts w:hint="eastAsia" w:ascii="仿宋" w:hAnsi="仿宋" w:eastAsia="仿宋" w:cs="仿宋"/>
          <w:b/>
          <w:color w:val="auto"/>
          <w:sz w:val="21"/>
          <w:szCs w:val="21"/>
          <w:highlight w:val="none"/>
        </w:rPr>
        <w:t>发包人（全称）：</w:t>
      </w:r>
      <w:r>
        <w:rPr>
          <w:rFonts w:hint="eastAsia" w:ascii="仿宋" w:hAnsi="仿宋" w:eastAsia="仿宋" w:cs="仿宋"/>
          <w:color w:val="auto"/>
          <w:sz w:val="21"/>
          <w:szCs w:val="21"/>
          <w:highlight w:val="none"/>
          <w:u w:val="single"/>
        </w:rPr>
        <w:t xml:space="preserve">                             </w:t>
      </w:r>
    </w:p>
    <w:p w14:paraId="3434A5FD">
      <w:pPr>
        <w:snapToGrid w:val="0"/>
        <w:spacing w:line="440" w:lineRule="exact"/>
        <w:ind w:firstLine="422" w:firstLineChars="200"/>
        <w:rPr>
          <w:rFonts w:hint="eastAsia" w:ascii="仿宋" w:hAnsi="仿宋" w:eastAsia="仿宋" w:cs="仿宋"/>
          <w:b/>
          <w:color w:val="auto"/>
          <w:sz w:val="21"/>
          <w:szCs w:val="21"/>
          <w:highlight w:val="none"/>
          <w:u w:val="single"/>
        </w:rPr>
      </w:pPr>
      <w:r>
        <w:rPr>
          <w:rFonts w:hint="eastAsia" w:ascii="仿宋" w:hAnsi="仿宋" w:eastAsia="仿宋" w:cs="仿宋"/>
          <w:b/>
          <w:color w:val="auto"/>
          <w:sz w:val="21"/>
          <w:szCs w:val="21"/>
          <w:highlight w:val="none"/>
        </w:rPr>
        <w:t>承包人（全称）：</w:t>
      </w:r>
      <w:r>
        <w:rPr>
          <w:rFonts w:hint="eastAsia" w:ascii="仿宋" w:hAnsi="仿宋" w:eastAsia="仿宋" w:cs="仿宋"/>
          <w:color w:val="auto"/>
          <w:sz w:val="21"/>
          <w:szCs w:val="21"/>
          <w:highlight w:val="none"/>
          <w:u w:val="single"/>
        </w:rPr>
        <w:t xml:space="preserve">                                 </w:t>
      </w:r>
    </w:p>
    <w:p w14:paraId="62D0BD10">
      <w:pPr>
        <w:spacing w:line="440" w:lineRule="exact"/>
        <w:ind w:firstLine="420" w:firstLineChars="200"/>
        <w:rPr>
          <w:rFonts w:hint="eastAsia" w:ascii="仿宋" w:hAnsi="仿宋" w:eastAsia="仿宋" w:cs="仿宋"/>
          <w:b/>
          <w:color w:val="auto"/>
          <w:sz w:val="21"/>
          <w:szCs w:val="21"/>
          <w:highlight w:val="none"/>
          <w:u w:val="single"/>
        </w:rPr>
      </w:pPr>
      <w:r>
        <w:rPr>
          <w:rFonts w:hint="eastAsia" w:ascii="仿宋" w:hAnsi="仿宋" w:eastAsia="仿宋" w:cs="仿宋"/>
          <w:color w:val="auto"/>
          <w:sz w:val="21"/>
          <w:szCs w:val="21"/>
          <w:highlight w:val="none"/>
        </w:rPr>
        <w:t>根据《中华人民共和国民法典》、《中华人民共和国建筑法》及有关法律、法规规定，遵循平等、自愿、公平和诚实信用的原则，双方就</w:t>
      </w:r>
      <w:r>
        <w:rPr>
          <w:rFonts w:hint="eastAsia" w:ascii="仿宋" w:hAnsi="仿宋" w:eastAsia="仿宋" w:cs="仿宋"/>
          <w:color w:val="auto"/>
          <w:sz w:val="21"/>
          <w:szCs w:val="21"/>
          <w:highlight w:val="none"/>
          <w:u w:val="single"/>
        </w:rPr>
        <w:t xml:space="preserve">                           </w:t>
      </w:r>
      <w:r>
        <w:rPr>
          <w:rFonts w:hint="eastAsia" w:ascii="仿宋" w:hAnsi="仿宋" w:eastAsia="仿宋" w:cs="仿宋"/>
          <w:color w:val="auto"/>
          <w:sz w:val="21"/>
          <w:szCs w:val="21"/>
          <w:highlight w:val="none"/>
        </w:rPr>
        <w:t>工程施工及有关事项协商一致，共同达成如下协议：</w:t>
      </w:r>
    </w:p>
    <w:p w14:paraId="7CF20D10">
      <w:pPr>
        <w:pStyle w:val="5"/>
        <w:spacing w:before="120" w:after="120" w:line="440" w:lineRule="exact"/>
        <w:ind w:firstLine="420" w:firstLineChars="200"/>
        <w:jc w:val="both"/>
        <w:rPr>
          <w:rFonts w:hint="eastAsia" w:ascii="仿宋" w:hAnsi="仿宋" w:eastAsia="仿宋" w:cs="仿宋"/>
          <w:color w:val="auto"/>
          <w:kern w:val="2"/>
          <w:sz w:val="21"/>
          <w:szCs w:val="21"/>
          <w:highlight w:val="none"/>
        </w:rPr>
      </w:pPr>
      <w:bookmarkStart w:id="1174" w:name="_Toc532375573"/>
      <w:bookmarkStart w:id="1175" w:name="_Toc351203481"/>
      <w:bookmarkStart w:id="1176" w:name="_Toc532377166"/>
      <w:r>
        <w:rPr>
          <w:rFonts w:hint="eastAsia" w:ascii="仿宋" w:hAnsi="仿宋" w:eastAsia="仿宋" w:cs="仿宋"/>
          <w:color w:val="auto"/>
          <w:kern w:val="2"/>
          <w:sz w:val="21"/>
          <w:szCs w:val="21"/>
          <w:highlight w:val="none"/>
        </w:rPr>
        <w:t>一、工程概况</w:t>
      </w:r>
      <w:bookmarkEnd w:id="1174"/>
      <w:bookmarkEnd w:id="1175"/>
      <w:bookmarkEnd w:id="1176"/>
    </w:p>
    <w:p w14:paraId="6CEC217C">
      <w:pPr>
        <w:snapToGrid w:val="0"/>
        <w:spacing w:line="440" w:lineRule="exact"/>
        <w:ind w:firstLine="420" w:firstLineChars="200"/>
        <w:rPr>
          <w:rFonts w:hint="eastAsia" w:ascii="仿宋" w:hAnsi="仿宋" w:eastAsia="仿宋" w:cs="仿宋"/>
          <w:color w:val="auto"/>
          <w:sz w:val="21"/>
          <w:szCs w:val="21"/>
          <w:highlight w:val="none"/>
          <w:u w:val="single"/>
        </w:rPr>
      </w:pPr>
      <w:r>
        <w:rPr>
          <w:rFonts w:hint="eastAsia" w:ascii="仿宋" w:hAnsi="仿宋" w:eastAsia="仿宋" w:cs="仿宋"/>
          <w:bCs/>
          <w:color w:val="auto"/>
          <w:sz w:val="21"/>
          <w:szCs w:val="21"/>
          <w:highlight w:val="none"/>
        </w:rPr>
        <w:t>1.工程名称</w:t>
      </w: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u w:val="single"/>
        </w:rPr>
        <w:t xml:space="preserve">                                 </w:t>
      </w:r>
      <w:r>
        <w:rPr>
          <w:rFonts w:hint="eastAsia" w:ascii="仿宋" w:hAnsi="仿宋" w:eastAsia="仿宋" w:cs="仿宋"/>
          <w:color w:val="auto"/>
          <w:sz w:val="21"/>
          <w:szCs w:val="21"/>
          <w:highlight w:val="none"/>
        </w:rPr>
        <w:t>。</w:t>
      </w:r>
    </w:p>
    <w:p w14:paraId="39CD89DC">
      <w:pPr>
        <w:snapToGrid w:val="0"/>
        <w:spacing w:line="440" w:lineRule="exact"/>
        <w:ind w:firstLine="420" w:firstLineChars="200"/>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2.工程地点：</w:t>
      </w:r>
      <w:r>
        <w:rPr>
          <w:rFonts w:hint="eastAsia" w:ascii="仿宋" w:hAnsi="仿宋" w:eastAsia="仿宋" w:cs="仿宋"/>
          <w:color w:val="auto"/>
          <w:sz w:val="21"/>
          <w:szCs w:val="21"/>
          <w:highlight w:val="none"/>
          <w:u w:val="single"/>
        </w:rPr>
        <w:t xml:space="preserve">                                 </w:t>
      </w:r>
      <w:r>
        <w:rPr>
          <w:rFonts w:hint="eastAsia" w:ascii="仿宋" w:hAnsi="仿宋" w:eastAsia="仿宋" w:cs="仿宋"/>
          <w:color w:val="auto"/>
          <w:sz w:val="21"/>
          <w:szCs w:val="21"/>
          <w:highlight w:val="none"/>
        </w:rPr>
        <w:t>。</w:t>
      </w:r>
    </w:p>
    <w:p w14:paraId="1D2E817C">
      <w:pPr>
        <w:snapToGrid w:val="0"/>
        <w:spacing w:line="440" w:lineRule="exact"/>
        <w:ind w:firstLine="420" w:firstLineChars="200"/>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3.工程立项批准文号：</w:t>
      </w:r>
      <w:r>
        <w:rPr>
          <w:rFonts w:hint="eastAsia" w:ascii="仿宋" w:hAnsi="仿宋" w:eastAsia="仿宋" w:cs="仿宋"/>
          <w:color w:val="auto"/>
          <w:sz w:val="21"/>
          <w:szCs w:val="21"/>
          <w:highlight w:val="none"/>
          <w:u w:val="single"/>
        </w:rPr>
        <w:t xml:space="preserve">                        </w:t>
      </w:r>
      <w:r>
        <w:rPr>
          <w:rFonts w:hint="eastAsia" w:ascii="仿宋" w:hAnsi="仿宋" w:eastAsia="仿宋" w:cs="仿宋"/>
          <w:bCs/>
          <w:color w:val="auto"/>
          <w:sz w:val="21"/>
          <w:szCs w:val="21"/>
          <w:highlight w:val="none"/>
        </w:rPr>
        <w:t>。</w:t>
      </w:r>
    </w:p>
    <w:p w14:paraId="1C2A2D3E">
      <w:pPr>
        <w:snapToGrid w:val="0"/>
        <w:spacing w:line="440" w:lineRule="exact"/>
        <w:ind w:firstLine="420" w:firstLineChars="200"/>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4.资金来源：</w:t>
      </w:r>
      <w:r>
        <w:rPr>
          <w:rFonts w:hint="eastAsia" w:ascii="仿宋" w:hAnsi="仿宋" w:eastAsia="仿宋" w:cs="仿宋"/>
          <w:color w:val="auto"/>
          <w:sz w:val="21"/>
          <w:szCs w:val="21"/>
          <w:highlight w:val="none"/>
          <w:u w:val="single"/>
        </w:rPr>
        <w:t xml:space="preserve">                                 </w:t>
      </w:r>
      <w:r>
        <w:rPr>
          <w:rFonts w:hint="eastAsia" w:ascii="仿宋" w:hAnsi="仿宋" w:eastAsia="仿宋" w:cs="仿宋"/>
          <w:color w:val="auto"/>
          <w:sz w:val="21"/>
          <w:szCs w:val="21"/>
          <w:highlight w:val="none"/>
        </w:rPr>
        <w:t>。</w:t>
      </w:r>
    </w:p>
    <w:p w14:paraId="19166A09">
      <w:pPr>
        <w:snapToGrid w:val="0"/>
        <w:spacing w:line="440" w:lineRule="exact"/>
        <w:ind w:firstLine="420" w:firstLineChars="200"/>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5.工程内容：</w:t>
      </w:r>
      <w:r>
        <w:rPr>
          <w:rFonts w:hint="eastAsia" w:ascii="仿宋" w:hAnsi="仿宋" w:eastAsia="仿宋" w:cs="仿宋"/>
          <w:color w:val="auto"/>
          <w:sz w:val="21"/>
          <w:szCs w:val="21"/>
          <w:highlight w:val="none"/>
          <w:u w:val="single"/>
        </w:rPr>
        <w:t xml:space="preserve">                                 </w:t>
      </w:r>
      <w:r>
        <w:rPr>
          <w:rFonts w:hint="eastAsia" w:ascii="仿宋" w:hAnsi="仿宋" w:eastAsia="仿宋" w:cs="仿宋"/>
          <w:color w:val="auto"/>
          <w:sz w:val="21"/>
          <w:szCs w:val="21"/>
          <w:highlight w:val="none"/>
        </w:rPr>
        <w:t>。</w:t>
      </w:r>
    </w:p>
    <w:p w14:paraId="0BEE8BD4">
      <w:pPr>
        <w:snapToGrid w:val="0"/>
        <w:spacing w:line="440" w:lineRule="exact"/>
        <w:ind w:firstLine="420" w:firstLineChars="200"/>
        <w:jc w:val="left"/>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6.工程承包范围：</w:t>
      </w:r>
      <w:r>
        <w:rPr>
          <w:rFonts w:hint="eastAsia" w:ascii="仿宋" w:hAnsi="仿宋" w:eastAsia="仿宋" w:cs="仿宋"/>
          <w:color w:val="auto"/>
          <w:sz w:val="21"/>
          <w:szCs w:val="21"/>
          <w:highlight w:val="none"/>
          <w:u w:val="single"/>
        </w:rPr>
        <w:t xml:space="preserve">                     </w:t>
      </w:r>
      <w:r>
        <w:rPr>
          <w:rFonts w:hint="eastAsia" w:ascii="仿宋" w:hAnsi="仿宋" w:eastAsia="仿宋" w:cs="仿宋"/>
          <w:color w:val="auto"/>
          <w:sz w:val="21"/>
          <w:szCs w:val="21"/>
          <w:highlight w:val="none"/>
        </w:rPr>
        <w:t>。</w:t>
      </w:r>
    </w:p>
    <w:p w14:paraId="5976EC1A">
      <w:pPr>
        <w:pStyle w:val="5"/>
        <w:spacing w:before="120" w:after="120" w:line="440" w:lineRule="exact"/>
        <w:ind w:firstLine="420" w:firstLineChars="200"/>
        <w:jc w:val="both"/>
        <w:rPr>
          <w:rFonts w:hint="eastAsia" w:ascii="仿宋" w:hAnsi="仿宋" w:eastAsia="仿宋" w:cs="仿宋"/>
          <w:color w:val="auto"/>
          <w:kern w:val="2"/>
          <w:sz w:val="21"/>
          <w:szCs w:val="21"/>
          <w:highlight w:val="none"/>
        </w:rPr>
      </w:pPr>
      <w:bookmarkStart w:id="1177" w:name="_Toc532375574"/>
      <w:bookmarkStart w:id="1178" w:name="_Toc351203482"/>
      <w:bookmarkStart w:id="1179" w:name="_Toc532377167"/>
      <w:r>
        <w:rPr>
          <w:rFonts w:hint="eastAsia" w:ascii="仿宋" w:hAnsi="仿宋" w:eastAsia="仿宋" w:cs="仿宋"/>
          <w:color w:val="auto"/>
          <w:kern w:val="2"/>
          <w:sz w:val="21"/>
          <w:szCs w:val="21"/>
          <w:highlight w:val="none"/>
        </w:rPr>
        <w:t>二、合同工期</w:t>
      </w:r>
      <w:bookmarkEnd w:id="1177"/>
      <w:bookmarkEnd w:id="1178"/>
      <w:bookmarkEnd w:id="1179"/>
    </w:p>
    <w:p w14:paraId="424C821A">
      <w:pPr>
        <w:spacing w:line="440" w:lineRule="exact"/>
        <w:ind w:firstLine="420" w:firstLineChars="200"/>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承包人投标函中承诺的工期：</w:t>
      </w:r>
      <w:r>
        <w:rPr>
          <w:rFonts w:hint="eastAsia" w:ascii="仿宋" w:hAnsi="仿宋" w:eastAsia="仿宋" w:cs="仿宋"/>
          <w:bCs/>
          <w:color w:val="auto"/>
          <w:sz w:val="21"/>
          <w:szCs w:val="21"/>
          <w:highlight w:val="none"/>
          <w:u w:val="single"/>
        </w:rPr>
        <w:t>日历天</w:t>
      </w:r>
      <w:r>
        <w:rPr>
          <w:rFonts w:hint="eastAsia" w:ascii="仿宋" w:hAnsi="仿宋" w:eastAsia="仿宋" w:cs="仿宋"/>
          <w:bCs/>
          <w:color w:val="auto"/>
          <w:sz w:val="21"/>
          <w:szCs w:val="21"/>
          <w:highlight w:val="none"/>
        </w:rPr>
        <w:t>。</w:t>
      </w:r>
    </w:p>
    <w:p w14:paraId="0C28056D">
      <w:pPr>
        <w:spacing w:line="440" w:lineRule="exact"/>
        <w:ind w:firstLine="420" w:firstLineChars="200"/>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计划开工日期：</w:t>
      </w:r>
      <w:r>
        <w:rPr>
          <w:rFonts w:hint="eastAsia" w:ascii="仿宋" w:hAnsi="仿宋" w:eastAsia="仿宋" w:cs="仿宋"/>
          <w:bCs/>
          <w:color w:val="auto"/>
          <w:sz w:val="21"/>
          <w:szCs w:val="21"/>
          <w:highlight w:val="none"/>
          <w:u w:val="single"/>
        </w:rPr>
        <w:t></w:t>
      </w:r>
      <w:r>
        <w:rPr>
          <w:rFonts w:hint="eastAsia" w:ascii="仿宋" w:hAnsi="仿宋" w:eastAsia="仿宋" w:cs="仿宋"/>
          <w:bCs/>
          <w:color w:val="auto"/>
          <w:sz w:val="21"/>
          <w:szCs w:val="21"/>
          <w:highlight w:val="none"/>
        </w:rPr>
        <w:t>年</w:t>
      </w:r>
      <w:r>
        <w:rPr>
          <w:rFonts w:hint="eastAsia" w:ascii="仿宋" w:hAnsi="仿宋" w:eastAsia="仿宋" w:cs="仿宋"/>
          <w:bCs/>
          <w:color w:val="auto"/>
          <w:sz w:val="21"/>
          <w:szCs w:val="21"/>
          <w:highlight w:val="none"/>
          <w:u w:val="single"/>
        </w:rPr>
        <w:t></w:t>
      </w:r>
      <w:r>
        <w:rPr>
          <w:rFonts w:hint="eastAsia" w:ascii="仿宋" w:hAnsi="仿宋" w:eastAsia="仿宋" w:cs="仿宋"/>
          <w:bCs/>
          <w:color w:val="auto"/>
          <w:sz w:val="21"/>
          <w:szCs w:val="21"/>
          <w:highlight w:val="none"/>
        </w:rPr>
        <w:t>月</w:t>
      </w:r>
      <w:r>
        <w:rPr>
          <w:rFonts w:hint="eastAsia" w:ascii="仿宋" w:hAnsi="仿宋" w:eastAsia="仿宋" w:cs="仿宋"/>
          <w:bCs/>
          <w:color w:val="auto"/>
          <w:sz w:val="21"/>
          <w:szCs w:val="21"/>
          <w:highlight w:val="none"/>
          <w:u w:val="single"/>
        </w:rPr>
        <w:t></w:t>
      </w:r>
      <w:r>
        <w:rPr>
          <w:rFonts w:hint="eastAsia" w:ascii="仿宋" w:hAnsi="仿宋" w:eastAsia="仿宋" w:cs="仿宋"/>
          <w:bCs/>
          <w:color w:val="auto"/>
          <w:sz w:val="21"/>
          <w:szCs w:val="21"/>
          <w:highlight w:val="none"/>
        </w:rPr>
        <w:t>日，实际开工日期以监理工程师签发的工程开工通知明确的开工日期为准。</w:t>
      </w:r>
    </w:p>
    <w:p w14:paraId="7664E23D">
      <w:pPr>
        <w:spacing w:line="440" w:lineRule="exact"/>
        <w:ind w:firstLine="420" w:firstLineChars="200"/>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计划竣工日期：</w:t>
      </w:r>
      <w:r>
        <w:rPr>
          <w:rFonts w:hint="eastAsia" w:ascii="仿宋" w:hAnsi="仿宋" w:eastAsia="仿宋" w:cs="仿宋"/>
          <w:bCs/>
          <w:color w:val="auto"/>
          <w:sz w:val="21"/>
          <w:szCs w:val="21"/>
          <w:highlight w:val="none"/>
          <w:u w:val="single"/>
        </w:rPr>
        <w:t></w:t>
      </w:r>
      <w:r>
        <w:rPr>
          <w:rFonts w:hint="eastAsia" w:ascii="仿宋" w:hAnsi="仿宋" w:eastAsia="仿宋" w:cs="仿宋"/>
          <w:bCs/>
          <w:color w:val="auto"/>
          <w:sz w:val="21"/>
          <w:szCs w:val="21"/>
          <w:highlight w:val="none"/>
        </w:rPr>
        <w:t>年</w:t>
      </w:r>
      <w:r>
        <w:rPr>
          <w:rFonts w:hint="eastAsia" w:ascii="仿宋" w:hAnsi="仿宋" w:eastAsia="仿宋" w:cs="仿宋"/>
          <w:bCs/>
          <w:color w:val="auto"/>
          <w:sz w:val="21"/>
          <w:szCs w:val="21"/>
          <w:highlight w:val="none"/>
          <w:u w:val="single"/>
        </w:rPr>
        <w:t></w:t>
      </w:r>
      <w:r>
        <w:rPr>
          <w:rFonts w:hint="eastAsia" w:ascii="仿宋" w:hAnsi="仿宋" w:eastAsia="仿宋" w:cs="仿宋"/>
          <w:bCs/>
          <w:color w:val="auto"/>
          <w:sz w:val="21"/>
          <w:szCs w:val="21"/>
          <w:highlight w:val="none"/>
        </w:rPr>
        <w:t>月</w:t>
      </w:r>
      <w:r>
        <w:rPr>
          <w:rFonts w:hint="eastAsia" w:ascii="仿宋" w:hAnsi="仿宋" w:eastAsia="仿宋" w:cs="仿宋"/>
          <w:bCs/>
          <w:color w:val="auto"/>
          <w:sz w:val="21"/>
          <w:szCs w:val="21"/>
          <w:highlight w:val="none"/>
          <w:u w:val="single"/>
        </w:rPr>
        <w:t></w:t>
      </w:r>
      <w:r>
        <w:rPr>
          <w:rFonts w:hint="eastAsia" w:ascii="仿宋" w:hAnsi="仿宋" w:eastAsia="仿宋" w:cs="仿宋"/>
          <w:bCs/>
          <w:color w:val="auto"/>
          <w:sz w:val="21"/>
          <w:szCs w:val="21"/>
          <w:highlight w:val="none"/>
        </w:rPr>
        <w:t>日，实际竣工日期以工程竣工验收合格之日为准。</w:t>
      </w:r>
    </w:p>
    <w:p w14:paraId="17482E7B">
      <w:pPr>
        <w:spacing w:line="440" w:lineRule="exact"/>
        <w:ind w:firstLine="420" w:firstLineChars="200"/>
        <w:rPr>
          <w:rFonts w:hint="eastAsia" w:ascii="仿宋" w:hAnsi="仿宋" w:eastAsia="仿宋" w:cs="仿宋"/>
          <w:color w:val="auto"/>
          <w:sz w:val="21"/>
          <w:szCs w:val="21"/>
          <w:highlight w:val="none"/>
        </w:rPr>
      </w:pPr>
      <w:r>
        <w:rPr>
          <w:rFonts w:hint="eastAsia" w:ascii="仿宋" w:hAnsi="仿宋" w:eastAsia="仿宋" w:cs="仿宋"/>
          <w:bCs/>
          <w:color w:val="auto"/>
          <w:sz w:val="21"/>
          <w:szCs w:val="21"/>
          <w:highlight w:val="none"/>
        </w:rPr>
        <w:t>工期总日历天数</w:t>
      </w:r>
      <w:r>
        <w:rPr>
          <w:rFonts w:hint="eastAsia" w:ascii="仿宋" w:hAnsi="仿宋" w:eastAsia="仿宋" w:cs="仿宋"/>
          <w:bCs/>
          <w:color w:val="auto"/>
          <w:sz w:val="21"/>
          <w:szCs w:val="21"/>
          <w:highlight w:val="none"/>
          <w:u w:val="single"/>
        </w:rPr>
        <w:t></w:t>
      </w:r>
      <w:r>
        <w:rPr>
          <w:rFonts w:hint="eastAsia" w:ascii="仿宋" w:hAnsi="仿宋" w:eastAsia="仿宋" w:cs="仿宋"/>
          <w:bCs/>
          <w:color w:val="auto"/>
          <w:sz w:val="21"/>
          <w:szCs w:val="21"/>
          <w:highlight w:val="none"/>
        </w:rPr>
        <w:t>天。工期总日历天数与根据前述计划开竣工日期计算的工期天数不一</w:t>
      </w:r>
      <w:r>
        <w:rPr>
          <w:rFonts w:hint="eastAsia" w:ascii="仿宋" w:hAnsi="仿宋" w:eastAsia="仿宋" w:cs="仿宋"/>
          <w:color w:val="auto"/>
          <w:sz w:val="21"/>
          <w:szCs w:val="21"/>
          <w:highlight w:val="none"/>
        </w:rPr>
        <w:t>致的，以工期总日历天数为准。</w:t>
      </w:r>
    </w:p>
    <w:p w14:paraId="472BE2F3">
      <w:pPr>
        <w:pStyle w:val="5"/>
        <w:spacing w:before="120" w:after="120" w:line="440" w:lineRule="exact"/>
        <w:ind w:firstLine="420" w:firstLineChars="200"/>
        <w:jc w:val="both"/>
        <w:rPr>
          <w:rFonts w:hint="eastAsia" w:ascii="仿宋" w:hAnsi="仿宋" w:eastAsia="仿宋" w:cs="仿宋"/>
          <w:color w:val="auto"/>
          <w:kern w:val="2"/>
          <w:sz w:val="21"/>
          <w:szCs w:val="21"/>
          <w:highlight w:val="none"/>
        </w:rPr>
      </w:pPr>
      <w:bookmarkStart w:id="1180" w:name="_Toc532375575"/>
      <w:bookmarkStart w:id="1181" w:name="_Toc532377168"/>
      <w:bookmarkStart w:id="1182" w:name="_Toc351203483"/>
      <w:r>
        <w:rPr>
          <w:rFonts w:hint="eastAsia" w:ascii="仿宋" w:hAnsi="仿宋" w:eastAsia="仿宋" w:cs="仿宋"/>
          <w:color w:val="auto"/>
          <w:kern w:val="2"/>
          <w:sz w:val="21"/>
          <w:szCs w:val="21"/>
          <w:highlight w:val="none"/>
        </w:rPr>
        <w:t>三、质量标准</w:t>
      </w:r>
      <w:bookmarkEnd w:id="1180"/>
      <w:bookmarkEnd w:id="1181"/>
      <w:bookmarkEnd w:id="1182"/>
    </w:p>
    <w:p w14:paraId="79AE5BF1">
      <w:pPr>
        <w:snapToGrid w:val="0"/>
        <w:spacing w:line="440" w:lineRule="exact"/>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工程质量符合强制性质量标准，</w:t>
      </w:r>
      <w:r>
        <w:rPr>
          <w:rFonts w:hint="eastAsia" w:ascii="仿宋" w:hAnsi="仿宋" w:eastAsia="仿宋" w:cs="仿宋"/>
          <w:color w:val="auto"/>
          <w:sz w:val="21"/>
          <w:szCs w:val="21"/>
          <w:highlight w:val="none"/>
          <w:u w:val="single"/>
        </w:rPr>
        <w:t>符合国家和重庆市现行有关施工质量验收规范要求，并达到合格</w:t>
      </w:r>
      <w:r>
        <w:rPr>
          <w:rFonts w:hint="eastAsia" w:ascii="仿宋" w:hAnsi="仿宋" w:eastAsia="仿宋" w:cs="仿宋"/>
          <w:color w:val="auto"/>
          <w:sz w:val="21"/>
          <w:szCs w:val="21"/>
          <w:highlight w:val="none"/>
        </w:rPr>
        <w:t>标准。</w:t>
      </w:r>
    </w:p>
    <w:p w14:paraId="310A1A52">
      <w:pPr>
        <w:pStyle w:val="5"/>
        <w:spacing w:before="120" w:after="120" w:line="440" w:lineRule="exact"/>
        <w:ind w:firstLine="420" w:firstLineChars="200"/>
        <w:jc w:val="both"/>
        <w:rPr>
          <w:rFonts w:hint="eastAsia" w:ascii="仿宋" w:hAnsi="仿宋" w:eastAsia="仿宋" w:cs="仿宋"/>
          <w:color w:val="auto"/>
          <w:kern w:val="2"/>
          <w:sz w:val="21"/>
          <w:szCs w:val="21"/>
          <w:highlight w:val="none"/>
        </w:rPr>
      </w:pPr>
      <w:bookmarkStart w:id="1183" w:name="_Toc351203484"/>
      <w:bookmarkStart w:id="1184" w:name="_Toc532377169"/>
      <w:bookmarkStart w:id="1185" w:name="_Toc532375576"/>
      <w:r>
        <w:rPr>
          <w:rFonts w:hint="eastAsia" w:ascii="仿宋" w:hAnsi="仿宋" w:eastAsia="仿宋" w:cs="仿宋"/>
          <w:color w:val="auto"/>
          <w:kern w:val="2"/>
          <w:sz w:val="21"/>
          <w:szCs w:val="21"/>
          <w:highlight w:val="none"/>
        </w:rPr>
        <w:t>四、签约合同价与合同价格形式</w:t>
      </w:r>
      <w:bookmarkEnd w:id="1183"/>
      <w:bookmarkEnd w:id="1184"/>
      <w:bookmarkEnd w:id="1185"/>
      <w:r>
        <w:rPr>
          <w:rFonts w:hint="eastAsia" w:ascii="仿宋" w:hAnsi="仿宋" w:eastAsia="仿宋" w:cs="仿宋"/>
          <w:color w:val="auto"/>
          <w:kern w:val="2"/>
          <w:sz w:val="21"/>
          <w:szCs w:val="21"/>
          <w:highlight w:val="none"/>
        </w:rPr>
        <w:tab/>
      </w:r>
    </w:p>
    <w:p w14:paraId="6BA099AC">
      <w:pPr>
        <w:spacing w:line="440" w:lineRule="exact"/>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1.承包人投标函中承诺的中选价为：</w:t>
      </w:r>
    </w:p>
    <w:p w14:paraId="0B344C2E">
      <w:pPr>
        <w:spacing w:line="440" w:lineRule="exact"/>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人民币（大写）</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元）；</w:t>
      </w:r>
    </w:p>
    <w:p w14:paraId="705B3B61">
      <w:pPr>
        <w:spacing w:line="440" w:lineRule="exact"/>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2.签约合同价为：</w:t>
      </w:r>
    </w:p>
    <w:p w14:paraId="7701DAB1">
      <w:pPr>
        <w:snapToGrid w:val="0"/>
        <w:spacing w:line="440" w:lineRule="exact"/>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人民币（大写）</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元）；</w:t>
      </w:r>
    </w:p>
    <w:p w14:paraId="1D2FAC38">
      <w:pPr>
        <w:spacing w:line="440" w:lineRule="exact"/>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3.合同价格形式：</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w:t>
      </w:r>
    </w:p>
    <w:p w14:paraId="48EE93D2">
      <w:pPr>
        <w:pStyle w:val="5"/>
        <w:keepNext/>
        <w:keepLines/>
        <w:spacing w:before="120" w:after="120" w:line="440" w:lineRule="exact"/>
        <w:ind w:firstLine="420" w:firstLineChars="200"/>
        <w:jc w:val="both"/>
        <w:rPr>
          <w:rFonts w:hint="eastAsia" w:ascii="仿宋" w:hAnsi="仿宋" w:eastAsia="仿宋" w:cs="仿宋"/>
          <w:color w:val="auto"/>
          <w:kern w:val="2"/>
          <w:sz w:val="21"/>
          <w:szCs w:val="21"/>
          <w:highlight w:val="none"/>
        </w:rPr>
      </w:pPr>
      <w:bookmarkStart w:id="1186" w:name="_Toc351203485"/>
      <w:bookmarkStart w:id="1187" w:name="_Toc532375577"/>
      <w:bookmarkStart w:id="1188" w:name="_Toc532377170"/>
      <w:bookmarkStart w:id="1189" w:name="_Toc532375578"/>
      <w:bookmarkStart w:id="1190" w:name="_Toc532377171"/>
      <w:bookmarkStart w:id="1191" w:name="_Toc351203486"/>
      <w:r>
        <w:rPr>
          <w:rFonts w:hint="eastAsia" w:ascii="仿宋" w:hAnsi="仿宋" w:eastAsia="仿宋" w:cs="仿宋"/>
          <w:color w:val="auto"/>
          <w:kern w:val="2"/>
          <w:sz w:val="21"/>
          <w:szCs w:val="21"/>
          <w:highlight w:val="none"/>
        </w:rPr>
        <w:t>五、</w:t>
      </w:r>
      <w:bookmarkEnd w:id="1186"/>
      <w:r>
        <w:rPr>
          <w:rFonts w:hint="eastAsia" w:ascii="仿宋" w:hAnsi="仿宋" w:eastAsia="仿宋" w:cs="仿宋"/>
          <w:color w:val="auto"/>
          <w:kern w:val="2"/>
          <w:sz w:val="21"/>
          <w:szCs w:val="21"/>
          <w:highlight w:val="none"/>
        </w:rPr>
        <w:t>项目经理及技术负责人</w:t>
      </w:r>
      <w:bookmarkEnd w:id="1187"/>
      <w:bookmarkEnd w:id="1188"/>
    </w:p>
    <w:p w14:paraId="03A9B0F7">
      <w:pPr>
        <w:spacing w:line="440" w:lineRule="exact"/>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承包人投标文件中承诺的项目经理：</w:t>
      </w:r>
    </w:p>
    <w:p w14:paraId="1FF6A6C2">
      <w:pPr>
        <w:spacing w:line="440" w:lineRule="exact"/>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姓名：</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w:t>
      </w:r>
    </w:p>
    <w:p w14:paraId="54682EB3">
      <w:pPr>
        <w:spacing w:line="440" w:lineRule="exact"/>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身份证号码：</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w:t>
      </w:r>
    </w:p>
    <w:p w14:paraId="3BD47B25">
      <w:pPr>
        <w:spacing w:line="440" w:lineRule="exact"/>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建造师注册证书号：</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w:t>
      </w:r>
    </w:p>
    <w:p w14:paraId="6185066B">
      <w:pPr>
        <w:spacing w:line="440" w:lineRule="exact"/>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承包人投标文件中承诺的技术负责人：</w:t>
      </w:r>
    </w:p>
    <w:p w14:paraId="475417C1">
      <w:pPr>
        <w:spacing w:line="440" w:lineRule="exact"/>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姓名：</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w:t>
      </w:r>
    </w:p>
    <w:p w14:paraId="00201BA3">
      <w:pPr>
        <w:spacing w:line="440" w:lineRule="exact"/>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身份证号码：</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w:t>
      </w:r>
    </w:p>
    <w:p w14:paraId="6AD0EB7E">
      <w:pPr>
        <w:pStyle w:val="6"/>
        <w:spacing w:line="44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    证书名称及号码：</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w:t>
      </w:r>
    </w:p>
    <w:p w14:paraId="6BE73237">
      <w:pPr>
        <w:pStyle w:val="5"/>
        <w:spacing w:before="120" w:after="120" w:line="440" w:lineRule="exact"/>
        <w:ind w:firstLine="420" w:firstLineChars="200"/>
        <w:jc w:val="both"/>
        <w:rPr>
          <w:rFonts w:hint="eastAsia"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rPr>
        <w:t>六、合同文件构成</w:t>
      </w:r>
      <w:bookmarkEnd w:id="1189"/>
      <w:bookmarkEnd w:id="1190"/>
      <w:bookmarkEnd w:id="1191"/>
    </w:p>
    <w:p w14:paraId="1F7E505C">
      <w:pPr>
        <w:spacing w:line="440" w:lineRule="exact"/>
        <w:ind w:firstLine="420" w:firstLineChars="200"/>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合同由以下文件构成：</w:t>
      </w:r>
    </w:p>
    <w:p w14:paraId="4BDD8DF2">
      <w:pPr>
        <w:spacing w:line="440" w:lineRule="exact"/>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（1）合同协议书；</w:t>
      </w:r>
    </w:p>
    <w:p w14:paraId="0D9B636B">
      <w:pPr>
        <w:spacing w:line="440" w:lineRule="exact"/>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（2）中选通知书；</w:t>
      </w:r>
    </w:p>
    <w:p w14:paraId="1D41C5EE">
      <w:pPr>
        <w:spacing w:line="440" w:lineRule="exact"/>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（3）投标函及投标函附录；</w:t>
      </w:r>
    </w:p>
    <w:p w14:paraId="7F530EED">
      <w:pPr>
        <w:spacing w:line="440" w:lineRule="exact"/>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（4）专用合同条款及其附件；</w:t>
      </w:r>
    </w:p>
    <w:p w14:paraId="3070A7A3">
      <w:pPr>
        <w:spacing w:line="440" w:lineRule="exact"/>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（5）通用合同条款；</w:t>
      </w:r>
    </w:p>
    <w:p w14:paraId="6CDBF6B2">
      <w:pPr>
        <w:spacing w:line="440" w:lineRule="exact"/>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（6）投标文件（投标函及投标函附录除外）；</w:t>
      </w:r>
    </w:p>
    <w:p w14:paraId="4D940CBD">
      <w:pPr>
        <w:spacing w:line="440" w:lineRule="exact"/>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（7）招标文件及修改文件；</w:t>
      </w:r>
    </w:p>
    <w:p w14:paraId="43B99516">
      <w:pPr>
        <w:spacing w:line="440" w:lineRule="exact"/>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（8）技术标准和要求；</w:t>
      </w:r>
    </w:p>
    <w:p w14:paraId="41995272">
      <w:pPr>
        <w:spacing w:line="440" w:lineRule="exact"/>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（9）图纸；</w:t>
      </w:r>
    </w:p>
    <w:p w14:paraId="31FCB702">
      <w:pPr>
        <w:spacing w:line="440" w:lineRule="exact"/>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（10）其他合同文件。</w:t>
      </w:r>
    </w:p>
    <w:p w14:paraId="4705882A">
      <w:pPr>
        <w:spacing w:line="440" w:lineRule="exact"/>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在合同订立、履行过程中形成的与合同有关的书面形式的文件均构成合同文件组成部分。</w:t>
      </w:r>
    </w:p>
    <w:p w14:paraId="3A459531">
      <w:pPr>
        <w:spacing w:line="440" w:lineRule="exact"/>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上述各项合同文件包括合同当事人就该项合同文件所作出的补充和修改，属于同一类内容的文件，应以最新签署的为准。专用合同条款及其附件须经合同当事人签名或盖章。</w:t>
      </w:r>
    </w:p>
    <w:p w14:paraId="1A793BCA">
      <w:pPr>
        <w:pStyle w:val="5"/>
        <w:spacing w:before="120" w:after="120" w:line="440" w:lineRule="exact"/>
        <w:ind w:firstLine="420" w:firstLineChars="200"/>
        <w:jc w:val="both"/>
        <w:rPr>
          <w:rFonts w:hint="eastAsia" w:ascii="仿宋" w:hAnsi="仿宋" w:eastAsia="仿宋" w:cs="仿宋"/>
          <w:color w:val="auto"/>
          <w:kern w:val="2"/>
          <w:sz w:val="21"/>
          <w:szCs w:val="21"/>
          <w:highlight w:val="none"/>
        </w:rPr>
      </w:pPr>
      <w:bookmarkStart w:id="1192" w:name="_Toc532375579"/>
      <w:bookmarkStart w:id="1193" w:name="_Toc532377172"/>
      <w:bookmarkStart w:id="1194" w:name="_Toc351203487"/>
      <w:r>
        <w:rPr>
          <w:rFonts w:hint="eastAsia" w:ascii="仿宋" w:hAnsi="仿宋" w:eastAsia="仿宋" w:cs="仿宋"/>
          <w:color w:val="auto"/>
          <w:kern w:val="2"/>
          <w:sz w:val="21"/>
          <w:szCs w:val="21"/>
          <w:highlight w:val="none"/>
        </w:rPr>
        <w:t>七、承诺</w:t>
      </w:r>
      <w:bookmarkEnd w:id="1192"/>
      <w:bookmarkEnd w:id="1193"/>
      <w:bookmarkEnd w:id="1194"/>
    </w:p>
    <w:p w14:paraId="37F776B2">
      <w:pPr>
        <w:spacing w:line="440" w:lineRule="exact"/>
        <w:ind w:firstLine="420" w:firstLineChars="200"/>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1.发包人承诺按照法律规定履行项目审批手续、筹集工程建设资金并按照合同约定的期限和方式支付合同价款。</w:t>
      </w:r>
    </w:p>
    <w:p w14:paraId="2B915AFD">
      <w:pPr>
        <w:spacing w:line="440" w:lineRule="exact"/>
        <w:ind w:firstLine="420" w:firstLineChars="200"/>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2.</w:t>
      </w:r>
      <w:r>
        <w:rPr>
          <w:rFonts w:hint="eastAsia" w:ascii="仿宋" w:hAnsi="仿宋" w:eastAsia="仿宋" w:cs="仿宋"/>
          <w:color w:val="auto"/>
          <w:sz w:val="21"/>
          <w:szCs w:val="21"/>
          <w:highlight w:val="none"/>
        </w:rPr>
        <w:t>承包人承诺按照法律规定及合同约定组织完成工程施工，确保工程质量和安全，不进行转包及违法分包，并在缺陷责任期及保修期内承担相应的工程维修责任</w:t>
      </w:r>
      <w:r>
        <w:rPr>
          <w:rFonts w:hint="eastAsia" w:ascii="仿宋" w:hAnsi="仿宋" w:eastAsia="仿宋" w:cs="仿宋"/>
          <w:bCs/>
          <w:color w:val="auto"/>
          <w:sz w:val="21"/>
          <w:szCs w:val="21"/>
          <w:highlight w:val="none"/>
        </w:rPr>
        <w:t>。</w:t>
      </w:r>
    </w:p>
    <w:p w14:paraId="025C6AF7">
      <w:pPr>
        <w:spacing w:line="440" w:lineRule="exact"/>
        <w:ind w:firstLine="420" w:firstLineChars="200"/>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3.发包人和承包人通过招投标形式签订合同的，双方理解并承诺不再就同一工程另行签订与合同实质性内容相背离的协议。</w:t>
      </w:r>
    </w:p>
    <w:p w14:paraId="2E802B0C">
      <w:pPr>
        <w:pStyle w:val="5"/>
        <w:spacing w:before="120" w:after="120" w:line="440" w:lineRule="exact"/>
        <w:ind w:firstLine="420" w:firstLineChars="200"/>
        <w:jc w:val="both"/>
        <w:rPr>
          <w:rFonts w:hint="eastAsia" w:ascii="仿宋" w:hAnsi="仿宋" w:eastAsia="仿宋" w:cs="仿宋"/>
          <w:color w:val="auto"/>
          <w:kern w:val="2"/>
          <w:sz w:val="21"/>
          <w:szCs w:val="21"/>
          <w:highlight w:val="none"/>
        </w:rPr>
      </w:pPr>
      <w:bookmarkStart w:id="1195" w:name="_Toc532375580"/>
      <w:bookmarkStart w:id="1196" w:name="_Toc532377173"/>
      <w:bookmarkStart w:id="1197" w:name="_Toc351203488"/>
      <w:r>
        <w:rPr>
          <w:rFonts w:hint="eastAsia" w:ascii="仿宋" w:hAnsi="仿宋" w:eastAsia="仿宋" w:cs="仿宋"/>
          <w:color w:val="auto"/>
          <w:kern w:val="2"/>
          <w:sz w:val="21"/>
          <w:szCs w:val="21"/>
          <w:highlight w:val="none"/>
        </w:rPr>
        <w:t>八、词语含义</w:t>
      </w:r>
      <w:bookmarkEnd w:id="1195"/>
      <w:bookmarkEnd w:id="1196"/>
      <w:bookmarkEnd w:id="1197"/>
    </w:p>
    <w:p w14:paraId="06003060">
      <w:pPr>
        <w:spacing w:line="440" w:lineRule="exact"/>
        <w:ind w:firstLine="420" w:firstLineChars="200"/>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本协议书中词语含义与专用合同条款及通用合同条款中赋予的含义相同。</w:t>
      </w:r>
    </w:p>
    <w:p w14:paraId="504C8227">
      <w:pPr>
        <w:pStyle w:val="5"/>
        <w:spacing w:before="120" w:after="120" w:line="440" w:lineRule="exact"/>
        <w:ind w:firstLine="420" w:firstLineChars="200"/>
        <w:jc w:val="both"/>
        <w:rPr>
          <w:rFonts w:hint="eastAsia" w:ascii="仿宋" w:hAnsi="仿宋" w:eastAsia="仿宋" w:cs="仿宋"/>
          <w:color w:val="auto"/>
          <w:kern w:val="2"/>
          <w:sz w:val="21"/>
          <w:szCs w:val="21"/>
          <w:highlight w:val="none"/>
        </w:rPr>
      </w:pPr>
      <w:bookmarkStart w:id="1198" w:name="_Toc532377174"/>
      <w:bookmarkStart w:id="1199" w:name="_Toc532375581"/>
      <w:r>
        <w:rPr>
          <w:rFonts w:hint="eastAsia" w:ascii="仿宋" w:hAnsi="仿宋" w:eastAsia="仿宋" w:cs="仿宋"/>
          <w:color w:val="auto"/>
          <w:kern w:val="2"/>
          <w:sz w:val="21"/>
          <w:szCs w:val="21"/>
          <w:highlight w:val="none"/>
        </w:rPr>
        <w:t>九、签订时间</w:t>
      </w:r>
      <w:bookmarkEnd w:id="1198"/>
      <w:bookmarkEnd w:id="1199"/>
    </w:p>
    <w:p w14:paraId="222A039D">
      <w:pPr>
        <w:spacing w:line="440" w:lineRule="exact"/>
        <w:ind w:firstLine="420" w:firstLineChars="200"/>
        <w:rPr>
          <w:rFonts w:hint="eastAsia" w:ascii="仿宋" w:hAnsi="仿宋" w:eastAsia="仿宋" w:cs="仿宋"/>
          <w:color w:val="auto"/>
          <w:sz w:val="21"/>
          <w:szCs w:val="21"/>
          <w:highlight w:val="none"/>
        </w:rPr>
      </w:pPr>
      <w:r>
        <w:rPr>
          <w:rFonts w:hint="eastAsia" w:ascii="仿宋" w:hAnsi="仿宋" w:eastAsia="仿宋" w:cs="仿宋"/>
          <w:bCs/>
          <w:color w:val="auto"/>
          <w:sz w:val="21"/>
          <w:szCs w:val="21"/>
          <w:highlight w:val="none"/>
        </w:rPr>
        <w:t>合同于</w:t>
      </w:r>
      <w:r>
        <w:rPr>
          <w:rFonts w:hint="eastAsia" w:ascii="仿宋" w:hAnsi="仿宋" w:eastAsia="仿宋" w:cs="仿宋"/>
          <w:bCs/>
          <w:color w:val="auto"/>
          <w:sz w:val="21"/>
          <w:szCs w:val="21"/>
          <w:highlight w:val="none"/>
          <w:u w:val="single"/>
        </w:rPr>
        <w:t xml:space="preserve">    </w:t>
      </w:r>
      <w:r>
        <w:rPr>
          <w:rFonts w:hint="eastAsia" w:ascii="仿宋" w:hAnsi="仿宋" w:eastAsia="仿宋" w:cs="仿宋"/>
          <w:bCs/>
          <w:color w:val="auto"/>
          <w:sz w:val="21"/>
          <w:szCs w:val="21"/>
          <w:highlight w:val="none"/>
        </w:rPr>
        <w:t>年</w:t>
      </w:r>
      <w:r>
        <w:rPr>
          <w:rFonts w:hint="eastAsia" w:ascii="仿宋" w:hAnsi="仿宋" w:eastAsia="仿宋" w:cs="仿宋"/>
          <w:bCs/>
          <w:color w:val="auto"/>
          <w:sz w:val="21"/>
          <w:szCs w:val="21"/>
          <w:highlight w:val="none"/>
          <w:u w:val="single"/>
        </w:rPr>
        <w:t xml:space="preserve">    </w:t>
      </w:r>
      <w:r>
        <w:rPr>
          <w:rFonts w:hint="eastAsia" w:ascii="仿宋" w:hAnsi="仿宋" w:eastAsia="仿宋" w:cs="仿宋"/>
          <w:bCs/>
          <w:color w:val="auto"/>
          <w:sz w:val="21"/>
          <w:szCs w:val="21"/>
          <w:highlight w:val="none"/>
        </w:rPr>
        <w:t>月</w:t>
      </w:r>
      <w:r>
        <w:rPr>
          <w:rFonts w:hint="eastAsia" w:ascii="仿宋" w:hAnsi="仿宋" w:eastAsia="仿宋" w:cs="仿宋"/>
          <w:bCs/>
          <w:color w:val="auto"/>
          <w:sz w:val="21"/>
          <w:szCs w:val="21"/>
          <w:highlight w:val="none"/>
          <w:u w:val="single"/>
        </w:rPr>
        <w:t xml:space="preserve">    </w:t>
      </w:r>
      <w:r>
        <w:rPr>
          <w:rFonts w:hint="eastAsia" w:ascii="仿宋" w:hAnsi="仿宋" w:eastAsia="仿宋" w:cs="仿宋"/>
          <w:bCs/>
          <w:color w:val="auto"/>
          <w:sz w:val="21"/>
          <w:szCs w:val="21"/>
          <w:highlight w:val="none"/>
        </w:rPr>
        <w:t>日签订</w:t>
      </w:r>
    </w:p>
    <w:p w14:paraId="40D951A9">
      <w:pPr>
        <w:pStyle w:val="5"/>
        <w:spacing w:before="120" w:after="120" w:line="440" w:lineRule="exact"/>
        <w:ind w:firstLine="420" w:firstLineChars="200"/>
        <w:jc w:val="both"/>
        <w:rPr>
          <w:rFonts w:hint="eastAsia" w:ascii="仿宋" w:hAnsi="仿宋" w:eastAsia="仿宋" w:cs="仿宋"/>
          <w:color w:val="auto"/>
          <w:kern w:val="2"/>
          <w:sz w:val="21"/>
          <w:szCs w:val="21"/>
          <w:highlight w:val="none"/>
        </w:rPr>
      </w:pPr>
      <w:bookmarkStart w:id="1200" w:name="_Toc351203489"/>
      <w:bookmarkStart w:id="1201" w:name="_Toc532375582"/>
      <w:bookmarkStart w:id="1202" w:name="_Toc532377175"/>
      <w:r>
        <w:rPr>
          <w:rFonts w:hint="eastAsia" w:ascii="仿宋" w:hAnsi="仿宋" w:eastAsia="仿宋" w:cs="仿宋"/>
          <w:color w:val="auto"/>
          <w:kern w:val="2"/>
          <w:sz w:val="21"/>
          <w:szCs w:val="21"/>
          <w:highlight w:val="none"/>
        </w:rPr>
        <w:t>十、</w:t>
      </w:r>
      <w:bookmarkEnd w:id="1200"/>
      <w:bookmarkStart w:id="1203" w:name="_Toc351203490"/>
      <w:r>
        <w:rPr>
          <w:rFonts w:hint="eastAsia" w:ascii="仿宋" w:hAnsi="仿宋" w:eastAsia="仿宋" w:cs="仿宋"/>
          <w:color w:val="auto"/>
          <w:kern w:val="2"/>
          <w:sz w:val="21"/>
          <w:szCs w:val="21"/>
          <w:highlight w:val="none"/>
        </w:rPr>
        <w:t>签订地点</w:t>
      </w:r>
      <w:bookmarkEnd w:id="1201"/>
      <w:bookmarkEnd w:id="1202"/>
      <w:bookmarkEnd w:id="1203"/>
    </w:p>
    <w:p w14:paraId="6C1EA000">
      <w:pPr>
        <w:spacing w:line="440" w:lineRule="exact"/>
        <w:ind w:firstLine="420" w:firstLineChars="200"/>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合同在</w:t>
      </w:r>
      <w:r>
        <w:rPr>
          <w:rFonts w:hint="eastAsia" w:ascii="仿宋" w:hAnsi="仿宋" w:eastAsia="仿宋" w:cs="仿宋"/>
          <w:bCs/>
          <w:color w:val="auto"/>
          <w:sz w:val="21"/>
          <w:szCs w:val="21"/>
          <w:highlight w:val="none"/>
          <w:u w:val="single"/>
        </w:rPr>
        <w:t xml:space="preserve">            </w:t>
      </w:r>
      <w:r>
        <w:rPr>
          <w:rFonts w:hint="eastAsia" w:ascii="仿宋" w:hAnsi="仿宋" w:eastAsia="仿宋" w:cs="仿宋"/>
          <w:bCs/>
          <w:color w:val="auto"/>
          <w:sz w:val="21"/>
          <w:szCs w:val="21"/>
          <w:highlight w:val="none"/>
        </w:rPr>
        <w:t>签订。</w:t>
      </w:r>
    </w:p>
    <w:p w14:paraId="6DED1782">
      <w:pPr>
        <w:pStyle w:val="5"/>
        <w:spacing w:before="120" w:after="120" w:line="440" w:lineRule="exact"/>
        <w:ind w:firstLine="420" w:firstLineChars="200"/>
        <w:jc w:val="both"/>
        <w:rPr>
          <w:rFonts w:hint="eastAsia" w:ascii="仿宋" w:hAnsi="仿宋" w:eastAsia="仿宋" w:cs="仿宋"/>
          <w:color w:val="auto"/>
          <w:kern w:val="2"/>
          <w:sz w:val="21"/>
          <w:szCs w:val="21"/>
          <w:highlight w:val="none"/>
        </w:rPr>
      </w:pPr>
      <w:bookmarkStart w:id="1204" w:name="_Toc532375583"/>
      <w:bookmarkStart w:id="1205" w:name="_Toc532377176"/>
      <w:bookmarkStart w:id="1206" w:name="_Toc351203491"/>
      <w:r>
        <w:rPr>
          <w:rFonts w:hint="eastAsia" w:ascii="仿宋" w:hAnsi="仿宋" w:eastAsia="仿宋" w:cs="仿宋"/>
          <w:color w:val="auto"/>
          <w:kern w:val="2"/>
          <w:sz w:val="21"/>
          <w:szCs w:val="21"/>
          <w:highlight w:val="none"/>
        </w:rPr>
        <w:t>十一、补充协议</w:t>
      </w:r>
      <w:bookmarkEnd w:id="1204"/>
      <w:bookmarkEnd w:id="1205"/>
      <w:bookmarkEnd w:id="1206"/>
    </w:p>
    <w:p w14:paraId="3BABCBA4">
      <w:pPr>
        <w:spacing w:line="440" w:lineRule="exact"/>
        <w:ind w:firstLine="420" w:firstLineChars="200"/>
        <w:rPr>
          <w:rFonts w:hint="eastAsia" w:ascii="仿宋" w:hAnsi="仿宋" w:eastAsia="仿宋" w:cs="仿宋"/>
          <w:b/>
          <w:bCs/>
          <w:color w:val="auto"/>
          <w:sz w:val="21"/>
          <w:szCs w:val="21"/>
          <w:highlight w:val="none"/>
        </w:rPr>
      </w:pPr>
      <w:r>
        <w:rPr>
          <w:rFonts w:hint="eastAsia" w:ascii="仿宋" w:hAnsi="仿宋" w:eastAsia="仿宋" w:cs="仿宋"/>
          <w:bCs/>
          <w:color w:val="auto"/>
          <w:sz w:val="21"/>
          <w:szCs w:val="21"/>
          <w:highlight w:val="none"/>
        </w:rPr>
        <w:t>合同未尽事宜，合同当事人另行签订补充协议，补充协议是合同的组成部分。</w:t>
      </w:r>
    </w:p>
    <w:p w14:paraId="48B01E55">
      <w:pPr>
        <w:pStyle w:val="5"/>
        <w:spacing w:before="120" w:after="120" w:line="440" w:lineRule="exact"/>
        <w:ind w:firstLine="420" w:firstLineChars="200"/>
        <w:jc w:val="both"/>
        <w:rPr>
          <w:rFonts w:hint="eastAsia" w:ascii="仿宋" w:hAnsi="仿宋" w:eastAsia="仿宋" w:cs="仿宋"/>
          <w:color w:val="auto"/>
          <w:kern w:val="2"/>
          <w:sz w:val="21"/>
          <w:szCs w:val="21"/>
          <w:highlight w:val="none"/>
        </w:rPr>
      </w:pPr>
      <w:bookmarkStart w:id="1207" w:name="_Toc351203492"/>
      <w:bookmarkStart w:id="1208" w:name="_Toc532377177"/>
      <w:bookmarkStart w:id="1209" w:name="_Toc532375584"/>
      <w:r>
        <w:rPr>
          <w:rFonts w:hint="eastAsia" w:ascii="仿宋" w:hAnsi="仿宋" w:eastAsia="仿宋" w:cs="仿宋"/>
          <w:color w:val="auto"/>
          <w:kern w:val="2"/>
          <w:sz w:val="21"/>
          <w:szCs w:val="21"/>
          <w:highlight w:val="none"/>
        </w:rPr>
        <w:t>十二、合同生效</w:t>
      </w:r>
      <w:bookmarkEnd w:id="1207"/>
      <w:bookmarkEnd w:id="1208"/>
      <w:bookmarkEnd w:id="1209"/>
    </w:p>
    <w:p w14:paraId="27886EDC">
      <w:pPr>
        <w:spacing w:line="440" w:lineRule="exact"/>
        <w:ind w:firstLine="420" w:firstLineChars="200"/>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合同在以下条件全部满足之后生效：</w:t>
      </w:r>
    </w:p>
    <w:p w14:paraId="3811A871">
      <w:pPr>
        <w:spacing w:line="440" w:lineRule="exact"/>
        <w:ind w:firstLine="420" w:firstLineChars="200"/>
        <w:rPr>
          <w:rFonts w:hint="eastAsia" w:ascii="仿宋" w:hAnsi="仿宋" w:eastAsia="仿宋" w:cs="仿宋"/>
          <w:color w:val="auto"/>
          <w:sz w:val="21"/>
          <w:szCs w:val="21"/>
          <w:highlight w:val="none"/>
        </w:rPr>
      </w:pPr>
      <w:r>
        <w:rPr>
          <w:rFonts w:hint="eastAsia" w:ascii="仿宋" w:hAnsi="仿宋" w:eastAsia="仿宋" w:cs="仿宋"/>
          <w:bCs/>
          <w:color w:val="auto"/>
          <w:sz w:val="21"/>
          <w:szCs w:val="21"/>
          <w:highlight w:val="none"/>
        </w:rPr>
        <w:t>1.合同</w:t>
      </w:r>
      <w:r>
        <w:rPr>
          <w:rFonts w:hint="eastAsia" w:ascii="仿宋" w:hAnsi="仿宋" w:eastAsia="仿宋" w:cs="仿宋"/>
          <w:color w:val="auto"/>
          <w:sz w:val="21"/>
          <w:szCs w:val="21"/>
          <w:highlight w:val="none"/>
        </w:rPr>
        <w:t>经双方法定代表人或其委托代理人签名并加盖</w:t>
      </w:r>
      <w:r>
        <w:rPr>
          <w:rFonts w:hint="eastAsia" w:ascii="仿宋" w:hAnsi="仿宋" w:eastAsia="仿宋" w:cs="仿宋"/>
          <w:snapToGrid w:val="0"/>
          <w:color w:val="auto"/>
          <w:kern w:val="0"/>
          <w:sz w:val="21"/>
          <w:szCs w:val="21"/>
          <w:highlight w:val="none"/>
        </w:rPr>
        <w:t>公章或合同专用章</w:t>
      </w:r>
      <w:r>
        <w:rPr>
          <w:rFonts w:hint="eastAsia" w:ascii="仿宋" w:hAnsi="仿宋" w:eastAsia="仿宋" w:cs="仿宋"/>
          <w:color w:val="auto"/>
          <w:sz w:val="21"/>
          <w:szCs w:val="21"/>
          <w:highlight w:val="none"/>
        </w:rPr>
        <w:t>；</w:t>
      </w:r>
    </w:p>
    <w:p w14:paraId="1877CB93">
      <w:pPr>
        <w:spacing w:line="440" w:lineRule="exact"/>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2.采用保函形式递交履约担保的，承包人按合同约定向发包人提交履约担保后；</w:t>
      </w:r>
    </w:p>
    <w:p w14:paraId="46C975AF">
      <w:pPr>
        <w:spacing w:line="440" w:lineRule="exact"/>
        <w:ind w:firstLine="420" w:firstLineChars="200"/>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3.</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w:t>
      </w:r>
    </w:p>
    <w:p w14:paraId="39B485A7">
      <w:pPr>
        <w:pStyle w:val="5"/>
        <w:spacing w:before="120" w:after="120" w:line="440" w:lineRule="exact"/>
        <w:ind w:firstLine="420" w:firstLineChars="200"/>
        <w:jc w:val="both"/>
        <w:rPr>
          <w:rFonts w:hint="eastAsia" w:ascii="仿宋" w:hAnsi="仿宋" w:eastAsia="仿宋" w:cs="仿宋"/>
          <w:color w:val="auto"/>
          <w:kern w:val="2"/>
          <w:sz w:val="21"/>
          <w:szCs w:val="21"/>
          <w:highlight w:val="none"/>
        </w:rPr>
      </w:pPr>
      <w:bookmarkStart w:id="1210" w:name="_Toc351203493"/>
      <w:bookmarkStart w:id="1211" w:name="_Toc532375585"/>
      <w:bookmarkStart w:id="1212" w:name="_Toc532377178"/>
      <w:r>
        <w:rPr>
          <w:rFonts w:hint="eastAsia" w:ascii="仿宋" w:hAnsi="仿宋" w:eastAsia="仿宋" w:cs="仿宋"/>
          <w:color w:val="auto"/>
          <w:kern w:val="2"/>
          <w:sz w:val="21"/>
          <w:szCs w:val="21"/>
          <w:highlight w:val="none"/>
        </w:rPr>
        <w:t>十三、合同份数</w:t>
      </w:r>
      <w:bookmarkEnd w:id="1210"/>
      <w:bookmarkEnd w:id="1211"/>
      <w:bookmarkEnd w:id="1212"/>
    </w:p>
    <w:p w14:paraId="5D7831A8">
      <w:pPr>
        <w:spacing w:line="440" w:lineRule="exact"/>
        <w:ind w:firstLine="420" w:firstLineChars="200"/>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合同一式</w:t>
      </w:r>
      <w:r>
        <w:rPr>
          <w:rFonts w:hint="eastAsia" w:ascii="仿宋" w:hAnsi="仿宋" w:eastAsia="仿宋" w:cs="仿宋"/>
          <w:bCs/>
          <w:color w:val="auto"/>
          <w:sz w:val="21"/>
          <w:szCs w:val="21"/>
          <w:highlight w:val="none"/>
          <w:u w:val="single"/>
        </w:rPr>
        <w:t xml:space="preserve">     </w:t>
      </w:r>
      <w:r>
        <w:rPr>
          <w:rFonts w:hint="eastAsia" w:ascii="仿宋" w:hAnsi="仿宋" w:eastAsia="仿宋" w:cs="仿宋"/>
          <w:bCs/>
          <w:color w:val="auto"/>
          <w:sz w:val="21"/>
          <w:szCs w:val="21"/>
          <w:highlight w:val="none"/>
        </w:rPr>
        <w:t>份，其中正本</w:t>
      </w:r>
      <w:r>
        <w:rPr>
          <w:rFonts w:hint="eastAsia" w:ascii="仿宋" w:hAnsi="仿宋" w:eastAsia="仿宋" w:cs="仿宋"/>
          <w:bCs/>
          <w:color w:val="auto"/>
          <w:sz w:val="21"/>
          <w:szCs w:val="21"/>
          <w:highlight w:val="none"/>
          <w:u w:val="single"/>
        </w:rPr>
        <w:t xml:space="preserve">    </w:t>
      </w:r>
      <w:r>
        <w:rPr>
          <w:rFonts w:hint="eastAsia" w:ascii="仿宋" w:hAnsi="仿宋" w:eastAsia="仿宋" w:cs="仿宋"/>
          <w:bCs/>
          <w:color w:val="auto"/>
          <w:sz w:val="21"/>
          <w:szCs w:val="21"/>
          <w:highlight w:val="none"/>
        </w:rPr>
        <w:t>份，双方各持</w:t>
      </w:r>
      <w:r>
        <w:rPr>
          <w:rFonts w:hint="eastAsia" w:ascii="仿宋" w:hAnsi="仿宋" w:eastAsia="仿宋" w:cs="仿宋"/>
          <w:bCs/>
          <w:color w:val="auto"/>
          <w:sz w:val="21"/>
          <w:szCs w:val="21"/>
          <w:highlight w:val="none"/>
          <w:u w:val="single"/>
        </w:rPr>
        <w:t xml:space="preserve">    </w:t>
      </w:r>
      <w:r>
        <w:rPr>
          <w:rFonts w:hint="eastAsia" w:ascii="仿宋" w:hAnsi="仿宋" w:eastAsia="仿宋" w:cs="仿宋"/>
          <w:bCs/>
          <w:color w:val="auto"/>
          <w:sz w:val="21"/>
          <w:szCs w:val="21"/>
          <w:highlight w:val="none"/>
        </w:rPr>
        <w:t>份，副本</w:t>
      </w:r>
      <w:r>
        <w:rPr>
          <w:rFonts w:hint="eastAsia" w:ascii="仿宋" w:hAnsi="仿宋" w:eastAsia="仿宋" w:cs="仿宋"/>
          <w:bCs/>
          <w:color w:val="auto"/>
          <w:sz w:val="21"/>
          <w:szCs w:val="21"/>
          <w:highlight w:val="none"/>
          <w:u w:val="single"/>
        </w:rPr>
        <w:t xml:space="preserve">    </w:t>
      </w:r>
      <w:r>
        <w:rPr>
          <w:rFonts w:hint="eastAsia" w:ascii="仿宋" w:hAnsi="仿宋" w:eastAsia="仿宋" w:cs="仿宋"/>
          <w:bCs/>
          <w:color w:val="auto"/>
          <w:sz w:val="21"/>
          <w:szCs w:val="21"/>
          <w:highlight w:val="none"/>
        </w:rPr>
        <w:t>份，双方各执</w:t>
      </w:r>
      <w:r>
        <w:rPr>
          <w:rFonts w:hint="eastAsia" w:ascii="仿宋" w:hAnsi="仿宋" w:eastAsia="仿宋" w:cs="仿宋"/>
          <w:bCs/>
          <w:color w:val="auto"/>
          <w:sz w:val="21"/>
          <w:szCs w:val="21"/>
          <w:highlight w:val="none"/>
          <w:u w:val="single"/>
        </w:rPr>
        <w:t xml:space="preserve">    </w:t>
      </w:r>
      <w:r>
        <w:rPr>
          <w:rFonts w:hint="eastAsia" w:ascii="仿宋" w:hAnsi="仿宋" w:eastAsia="仿宋" w:cs="仿宋"/>
          <w:bCs/>
          <w:color w:val="auto"/>
          <w:sz w:val="21"/>
          <w:szCs w:val="21"/>
          <w:highlight w:val="none"/>
        </w:rPr>
        <w:t>份。副本与正本不一致时，以正本为准。</w:t>
      </w:r>
    </w:p>
    <w:p w14:paraId="6715D9A3">
      <w:pPr>
        <w:spacing w:line="440" w:lineRule="exact"/>
        <w:rPr>
          <w:rFonts w:hint="eastAsia" w:ascii="仿宋" w:hAnsi="仿宋" w:eastAsia="仿宋" w:cs="仿宋"/>
          <w:bCs/>
          <w:color w:val="auto"/>
          <w:sz w:val="21"/>
          <w:szCs w:val="21"/>
          <w:highlight w:val="none"/>
        </w:rPr>
      </w:pPr>
    </w:p>
    <w:p w14:paraId="4C4B39BA">
      <w:pPr>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br w:type="page"/>
      </w:r>
    </w:p>
    <w:p w14:paraId="7CF2638B">
      <w:pPr>
        <w:spacing w:line="440" w:lineRule="exact"/>
        <w:ind w:firstLine="420" w:firstLineChars="200"/>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（以下为签名盖章页）。</w:t>
      </w:r>
    </w:p>
    <w:p w14:paraId="79E1B691">
      <w:pPr>
        <w:pStyle w:val="6"/>
        <w:spacing w:line="440" w:lineRule="exact"/>
        <w:rPr>
          <w:rFonts w:hint="eastAsia" w:ascii="仿宋" w:hAnsi="仿宋" w:eastAsia="仿宋" w:cs="仿宋"/>
          <w:color w:val="auto"/>
          <w:szCs w:val="21"/>
          <w:highlight w:val="none"/>
        </w:rPr>
      </w:pPr>
    </w:p>
    <w:p w14:paraId="6325C83E">
      <w:pPr>
        <w:adjustRightInd w:val="0"/>
        <w:spacing w:line="440" w:lineRule="exact"/>
        <w:ind w:firstLine="420" w:firstLineChars="200"/>
        <w:rPr>
          <w:rFonts w:hint="eastAsia" w:ascii="仿宋" w:hAnsi="仿宋" w:eastAsia="仿宋" w:cs="仿宋"/>
          <w:snapToGrid w:val="0"/>
          <w:color w:val="auto"/>
          <w:kern w:val="0"/>
          <w:sz w:val="21"/>
          <w:szCs w:val="21"/>
          <w:highlight w:val="none"/>
        </w:rPr>
      </w:pPr>
      <w:bookmarkStart w:id="1213" w:name="_Toc467689623"/>
      <w:r>
        <w:rPr>
          <w:rFonts w:hint="eastAsia" w:ascii="仿宋" w:hAnsi="仿宋" w:eastAsia="仿宋" w:cs="仿宋"/>
          <w:snapToGrid w:val="0"/>
          <w:color w:val="auto"/>
          <w:kern w:val="0"/>
          <w:sz w:val="21"/>
          <w:szCs w:val="21"/>
          <w:highlight w:val="none"/>
        </w:rPr>
        <w:t>发包人：</w:t>
      </w:r>
      <w:r>
        <w:rPr>
          <w:rFonts w:hint="eastAsia" w:ascii="仿宋" w:hAnsi="仿宋" w:eastAsia="仿宋" w:cs="仿宋"/>
          <w:snapToGrid w:val="0"/>
          <w:color w:val="auto"/>
          <w:kern w:val="0"/>
          <w:sz w:val="21"/>
          <w:szCs w:val="21"/>
          <w:highlight w:val="none"/>
          <w:u w:val="single"/>
        </w:rPr>
        <w:t xml:space="preserve">                                      </w:t>
      </w:r>
      <w:r>
        <w:rPr>
          <w:rFonts w:hint="eastAsia" w:ascii="仿宋" w:hAnsi="仿宋" w:eastAsia="仿宋" w:cs="仿宋"/>
          <w:snapToGrid w:val="0"/>
          <w:color w:val="auto"/>
          <w:kern w:val="0"/>
          <w:sz w:val="21"/>
          <w:szCs w:val="21"/>
          <w:highlight w:val="none"/>
        </w:rPr>
        <w:t>（公章或合同专用章）</w:t>
      </w:r>
    </w:p>
    <w:p w14:paraId="3B7FDE32">
      <w:pPr>
        <w:spacing w:line="440" w:lineRule="exact"/>
        <w:ind w:firstLine="420" w:firstLineChars="200"/>
        <w:rPr>
          <w:rFonts w:hint="eastAsia" w:ascii="仿宋" w:hAnsi="仿宋" w:eastAsia="仿宋" w:cs="仿宋"/>
          <w:snapToGrid w:val="0"/>
          <w:color w:val="auto"/>
          <w:kern w:val="0"/>
          <w:sz w:val="21"/>
          <w:szCs w:val="21"/>
          <w:highlight w:val="none"/>
        </w:rPr>
      </w:pPr>
      <w:r>
        <w:rPr>
          <w:rFonts w:hint="eastAsia" w:ascii="仿宋" w:hAnsi="仿宋" w:eastAsia="仿宋" w:cs="仿宋"/>
          <w:snapToGrid w:val="0"/>
          <w:color w:val="auto"/>
          <w:kern w:val="0"/>
          <w:sz w:val="21"/>
          <w:szCs w:val="21"/>
          <w:highlight w:val="none"/>
        </w:rPr>
        <w:t>法定代表人或其委托代理人：</w:t>
      </w:r>
      <w:r>
        <w:rPr>
          <w:rFonts w:hint="eastAsia" w:ascii="仿宋" w:hAnsi="仿宋" w:eastAsia="仿宋" w:cs="仿宋"/>
          <w:snapToGrid w:val="0"/>
          <w:color w:val="auto"/>
          <w:w w:val="200"/>
          <w:kern w:val="0"/>
          <w:sz w:val="21"/>
          <w:szCs w:val="21"/>
          <w:highlight w:val="none"/>
          <w:u w:val="single"/>
        </w:rPr>
        <w:t xml:space="preserve"> </w:t>
      </w:r>
      <w:r>
        <w:rPr>
          <w:rFonts w:hint="eastAsia" w:ascii="仿宋" w:hAnsi="仿宋" w:eastAsia="仿宋" w:cs="仿宋"/>
          <w:snapToGrid w:val="0"/>
          <w:color w:val="auto"/>
          <w:kern w:val="0"/>
          <w:sz w:val="21"/>
          <w:szCs w:val="21"/>
          <w:highlight w:val="none"/>
          <w:u w:val="single"/>
        </w:rPr>
        <w:t xml:space="preserve">                  </w:t>
      </w:r>
      <w:r>
        <w:rPr>
          <w:rFonts w:hint="eastAsia" w:ascii="仿宋" w:hAnsi="仿宋" w:eastAsia="仿宋" w:cs="仿宋"/>
          <w:snapToGrid w:val="0"/>
          <w:color w:val="auto"/>
          <w:kern w:val="0"/>
          <w:sz w:val="21"/>
          <w:szCs w:val="21"/>
          <w:highlight w:val="none"/>
        </w:rPr>
        <w:t>（签名）</w:t>
      </w:r>
    </w:p>
    <w:p w14:paraId="337BFEAE">
      <w:pPr>
        <w:spacing w:line="440" w:lineRule="exact"/>
        <w:ind w:firstLine="420" w:firstLineChars="200"/>
        <w:rPr>
          <w:rFonts w:hint="eastAsia" w:ascii="仿宋" w:hAnsi="仿宋" w:eastAsia="仿宋" w:cs="仿宋"/>
          <w:snapToGrid w:val="0"/>
          <w:color w:val="auto"/>
          <w:kern w:val="0"/>
          <w:sz w:val="21"/>
          <w:szCs w:val="21"/>
          <w:highlight w:val="none"/>
        </w:rPr>
      </w:pPr>
      <w:r>
        <w:rPr>
          <w:rFonts w:hint="eastAsia" w:ascii="仿宋" w:hAnsi="仿宋" w:eastAsia="仿宋" w:cs="仿宋"/>
          <w:snapToGrid w:val="0"/>
          <w:color w:val="auto"/>
          <w:kern w:val="0"/>
          <w:sz w:val="21"/>
          <w:szCs w:val="21"/>
          <w:highlight w:val="none"/>
        </w:rPr>
        <w:t>统一社会信用代码：</w:t>
      </w:r>
      <w:r>
        <w:rPr>
          <w:rFonts w:hint="eastAsia" w:ascii="仿宋" w:hAnsi="仿宋" w:eastAsia="仿宋" w:cs="仿宋"/>
          <w:snapToGrid w:val="0"/>
          <w:color w:val="auto"/>
          <w:w w:val="200"/>
          <w:kern w:val="0"/>
          <w:sz w:val="21"/>
          <w:szCs w:val="21"/>
          <w:highlight w:val="none"/>
          <w:u w:val="single"/>
        </w:rPr>
        <w:t xml:space="preserve"> </w:t>
      </w:r>
      <w:r>
        <w:rPr>
          <w:rFonts w:hint="eastAsia" w:ascii="仿宋" w:hAnsi="仿宋" w:eastAsia="仿宋" w:cs="仿宋"/>
          <w:snapToGrid w:val="0"/>
          <w:color w:val="auto"/>
          <w:kern w:val="0"/>
          <w:sz w:val="21"/>
          <w:szCs w:val="21"/>
          <w:highlight w:val="none"/>
          <w:u w:val="single"/>
        </w:rPr>
        <w:t xml:space="preserve">                          </w:t>
      </w:r>
    </w:p>
    <w:p w14:paraId="36E61CDF">
      <w:pPr>
        <w:spacing w:line="440" w:lineRule="exact"/>
        <w:ind w:firstLine="420" w:firstLineChars="200"/>
        <w:rPr>
          <w:rFonts w:hint="eastAsia" w:ascii="仿宋" w:hAnsi="仿宋" w:eastAsia="仿宋" w:cs="仿宋"/>
          <w:snapToGrid w:val="0"/>
          <w:color w:val="auto"/>
          <w:kern w:val="0"/>
          <w:sz w:val="21"/>
          <w:szCs w:val="21"/>
          <w:highlight w:val="none"/>
          <w:u w:val="single"/>
        </w:rPr>
      </w:pPr>
      <w:r>
        <w:rPr>
          <w:rFonts w:hint="eastAsia" w:ascii="仿宋" w:hAnsi="仿宋" w:eastAsia="仿宋" w:cs="仿宋"/>
          <w:snapToGrid w:val="0"/>
          <w:color w:val="auto"/>
          <w:kern w:val="0"/>
          <w:sz w:val="21"/>
          <w:szCs w:val="21"/>
          <w:highlight w:val="none"/>
        </w:rPr>
        <w:t>纳税人识别号：</w:t>
      </w:r>
      <w:r>
        <w:rPr>
          <w:rFonts w:hint="eastAsia" w:ascii="仿宋" w:hAnsi="仿宋" w:eastAsia="仿宋" w:cs="仿宋"/>
          <w:snapToGrid w:val="0"/>
          <w:color w:val="auto"/>
          <w:w w:val="200"/>
          <w:kern w:val="0"/>
          <w:sz w:val="21"/>
          <w:szCs w:val="21"/>
          <w:highlight w:val="none"/>
          <w:u w:val="single"/>
        </w:rPr>
        <w:t xml:space="preserve"> </w:t>
      </w:r>
      <w:r>
        <w:rPr>
          <w:rFonts w:hint="eastAsia" w:ascii="仿宋" w:hAnsi="仿宋" w:eastAsia="仿宋" w:cs="仿宋"/>
          <w:snapToGrid w:val="0"/>
          <w:color w:val="auto"/>
          <w:kern w:val="0"/>
          <w:sz w:val="21"/>
          <w:szCs w:val="21"/>
          <w:highlight w:val="none"/>
          <w:u w:val="single"/>
        </w:rPr>
        <w:t xml:space="preserve">                              </w:t>
      </w:r>
    </w:p>
    <w:p w14:paraId="34EE71AD">
      <w:pPr>
        <w:spacing w:line="440" w:lineRule="exact"/>
        <w:ind w:firstLine="420" w:firstLineChars="200"/>
        <w:rPr>
          <w:rFonts w:hint="eastAsia" w:ascii="仿宋" w:hAnsi="仿宋" w:eastAsia="仿宋" w:cs="仿宋"/>
          <w:snapToGrid w:val="0"/>
          <w:color w:val="auto"/>
          <w:kern w:val="0"/>
          <w:sz w:val="21"/>
          <w:szCs w:val="21"/>
          <w:highlight w:val="none"/>
          <w:u w:val="single"/>
        </w:rPr>
      </w:pPr>
      <w:r>
        <w:rPr>
          <w:rFonts w:hint="eastAsia" w:ascii="仿宋" w:hAnsi="仿宋" w:eastAsia="仿宋" w:cs="仿宋"/>
          <w:snapToGrid w:val="0"/>
          <w:color w:val="auto"/>
          <w:kern w:val="0"/>
          <w:sz w:val="21"/>
          <w:szCs w:val="21"/>
          <w:highlight w:val="none"/>
        </w:rPr>
        <w:t>地    址：</w:t>
      </w:r>
      <w:r>
        <w:rPr>
          <w:rFonts w:hint="eastAsia" w:ascii="仿宋" w:hAnsi="仿宋" w:eastAsia="仿宋" w:cs="仿宋"/>
          <w:snapToGrid w:val="0"/>
          <w:color w:val="auto"/>
          <w:w w:val="200"/>
          <w:kern w:val="0"/>
          <w:sz w:val="21"/>
          <w:szCs w:val="21"/>
          <w:highlight w:val="none"/>
          <w:u w:val="single"/>
        </w:rPr>
        <w:t xml:space="preserve"> </w:t>
      </w:r>
      <w:r>
        <w:rPr>
          <w:rFonts w:hint="eastAsia" w:ascii="仿宋" w:hAnsi="仿宋" w:eastAsia="仿宋" w:cs="仿宋"/>
          <w:snapToGrid w:val="0"/>
          <w:color w:val="auto"/>
          <w:kern w:val="0"/>
          <w:sz w:val="21"/>
          <w:szCs w:val="21"/>
          <w:highlight w:val="none"/>
          <w:u w:val="single"/>
        </w:rPr>
        <w:t xml:space="preserve">                                  </w:t>
      </w:r>
    </w:p>
    <w:p w14:paraId="3A8BCB72">
      <w:pPr>
        <w:spacing w:line="440" w:lineRule="exact"/>
        <w:ind w:firstLine="420" w:firstLineChars="200"/>
        <w:rPr>
          <w:rFonts w:hint="eastAsia" w:ascii="仿宋" w:hAnsi="仿宋" w:eastAsia="仿宋" w:cs="仿宋"/>
          <w:snapToGrid w:val="0"/>
          <w:color w:val="auto"/>
          <w:kern w:val="0"/>
          <w:sz w:val="21"/>
          <w:szCs w:val="21"/>
          <w:highlight w:val="none"/>
          <w:u w:val="single"/>
        </w:rPr>
      </w:pPr>
      <w:r>
        <w:rPr>
          <w:rFonts w:hint="eastAsia" w:ascii="仿宋" w:hAnsi="仿宋" w:eastAsia="仿宋" w:cs="仿宋"/>
          <w:snapToGrid w:val="0"/>
          <w:color w:val="auto"/>
          <w:kern w:val="0"/>
          <w:sz w:val="21"/>
          <w:szCs w:val="21"/>
          <w:highlight w:val="none"/>
        </w:rPr>
        <w:t>电    话：</w:t>
      </w:r>
      <w:r>
        <w:rPr>
          <w:rFonts w:hint="eastAsia" w:ascii="仿宋" w:hAnsi="仿宋" w:eastAsia="仿宋" w:cs="仿宋"/>
          <w:snapToGrid w:val="0"/>
          <w:color w:val="auto"/>
          <w:w w:val="200"/>
          <w:kern w:val="0"/>
          <w:sz w:val="21"/>
          <w:szCs w:val="21"/>
          <w:highlight w:val="none"/>
          <w:u w:val="single"/>
        </w:rPr>
        <w:t xml:space="preserve"> </w:t>
      </w:r>
      <w:r>
        <w:rPr>
          <w:rFonts w:hint="eastAsia" w:ascii="仿宋" w:hAnsi="仿宋" w:eastAsia="仿宋" w:cs="仿宋"/>
          <w:snapToGrid w:val="0"/>
          <w:color w:val="auto"/>
          <w:kern w:val="0"/>
          <w:sz w:val="21"/>
          <w:szCs w:val="21"/>
          <w:highlight w:val="none"/>
          <w:u w:val="single"/>
        </w:rPr>
        <w:t xml:space="preserve">                                  </w:t>
      </w:r>
    </w:p>
    <w:p w14:paraId="2008A6D6">
      <w:pPr>
        <w:spacing w:line="440" w:lineRule="exact"/>
        <w:ind w:firstLine="420" w:firstLineChars="200"/>
        <w:rPr>
          <w:rFonts w:hint="eastAsia" w:ascii="仿宋" w:hAnsi="仿宋" w:eastAsia="仿宋" w:cs="仿宋"/>
          <w:snapToGrid w:val="0"/>
          <w:color w:val="auto"/>
          <w:kern w:val="0"/>
          <w:sz w:val="21"/>
          <w:szCs w:val="21"/>
          <w:highlight w:val="none"/>
          <w:u w:val="single"/>
        </w:rPr>
      </w:pPr>
      <w:r>
        <w:rPr>
          <w:rFonts w:hint="eastAsia" w:ascii="仿宋" w:hAnsi="仿宋" w:eastAsia="仿宋" w:cs="仿宋"/>
          <w:snapToGrid w:val="0"/>
          <w:color w:val="auto"/>
          <w:kern w:val="0"/>
          <w:sz w:val="21"/>
          <w:szCs w:val="21"/>
          <w:highlight w:val="none"/>
        </w:rPr>
        <w:t>开户银行：</w:t>
      </w:r>
      <w:r>
        <w:rPr>
          <w:rFonts w:hint="eastAsia" w:ascii="仿宋" w:hAnsi="仿宋" w:eastAsia="仿宋" w:cs="仿宋"/>
          <w:snapToGrid w:val="0"/>
          <w:color w:val="auto"/>
          <w:w w:val="200"/>
          <w:kern w:val="0"/>
          <w:sz w:val="21"/>
          <w:szCs w:val="21"/>
          <w:highlight w:val="none"/>
          <w:u w:val="single"/>
        </w:rPr>
        <w:t xml:space="preserve"> </w:t>
      </w:r>
      <w:r>
        <w:rPr>
          <w:rFonts w:hint="eastAsia" w:ascii="仿宋" w:hAnsi="仿宋" w:eastAsia="仿宋" w:cs="仿宋"/>
          <w:snapToGrid w:val="0"/>
          <w:color w:val="auto"/>
          <w:kern w:val="0"/>
          <w:sz w:val="21"/>
          <w:szCs w:val="21"/>
          <w:highlight w:val="none"/>
          <w:u w:val="single"/>
        </w:rPr>
        <w:t xml:space="preserve">                                  </w:t>
      </w:r>
    </w:p>
    <w:p w14:paraId="06F53218">
      <w:pPr>
        <w:spacing w:line="440" w:lineRule="exact"/>
        <w:ind w:firstLine="420" w:firstLineChars="200"/>
        <w:rPr>
          <w:rFonts w:hint="eastAsia" w:ascii="仿宋" w:hAnsi="仿宋" w:eastAsia="仿宋" w:cs="仿宋"/>
          <w:color w:val="auto"/>
          <w:sz w:val="21"/>
          <w:szCs w:val="21"/>
          <w:highlight w:val="none"/>
        </w:rPr>
      </w:pPr>
      <w:r>
        <w:rPr>
          <w:rFonts w:hint="eastAsia" w:ascii="仿宋" w:hAnsi="仿宋" w:eastAsia="仿宋" w:cs="仿宋"/>
          <w:snapToGrid w:val="0"/>
          <w:color w:val="auto"/>
          <w:kern w:val="0"/>
          <w:sz w:val="21"/>
          <w:szCs w:val="21"/>
          <w:highlight w:val="none"/>
        </w:rPr>
        <w:t>账    号：</w:t>
      </w:r>
      <w:r>
        <w:rPr>
          <w:rFonts w:hint="eastAsia" w:ascii="仿宋" w:hAnsi="仿宋" w:eastAsia="仿宋" w:cs="仿宋"/>
          <w:snapToGrid w:val="0"/>
          <w:color w:val="auto"/>
          <w:w w:val="200"/>
          <w:kern w:val="0"/>
          <w:sz w:val="21"/>
          <w:szCs w:val="21"/>
          <w:highlight w:val="none"/>
          <w:u w:val="single"/>
        </w:rPr>
        <w:t xml:space="preserve"> </w:t>
      </w:r>
      <w:r>
        <w:rPr>
          <w:rFonts w:hint="eastAsia" w:ascii="仿宋" w:hAnsi="仿宋" w:eastAsia="仿宋" w:cs="仿宋"/>
          <w:snapToGrid w:val="0"/>
          <w:color w:val="auto"/>
          <w:kern w:val="0"/>
          <w:sz w:val="21"/>
          <w:szCs w:val="21"/>
          <w:highlight w:val="none"/>
          <w:u w:val="single"/>
        </w:rPr>
        <w:t xml:space="preserve">                                  </w:t>
      </w:r>
    </w:p>
    <w:p w14:paraId="078F67BD">
      <w:pPr>
        <w:spacing w:line="440" w:lineRule="exact"/>
        <w:rPr>
          <w:rFonts w:hint="eastAsia" w:ascii="仿宋" w:hAnsi="仿宋" w:eastAsia="仿宋" w:cs="仿宋"/>
          <w:snapToGrid w:val="0"/>
          <w:color w:val="auto"/>
          <w:kern w:val="0"/>
          <w:sz w:val="21"/>
          <w:szCs w:val="21"/>
          <w:highlight w:val="none"/>
        </w:rPr>
      </w:pPr>
    </w:p>
    <w:p w14:paraId="238B66CC">
      <w:pPr>
        <w:spacing w:line="440" w:lineRule="exact"/>
        <w:ind w:firstLine="420" w:firstLineChars="200"/>
        <w:rPr>
          <w:rFonts w:hint="eastAsia" w:ascii="仿宋" w:hAnsi="仿宋" w:eastAsia="仿宋" w:cs="仿宋"/>
          <w:color w:val="auto"/>
          <w:sz w:val="21"/>
          <w:szCs w:val="21"/>
          <w:highlight w:val="none"/>
        </w:rPr>
      </w:pPr>
      <w:r>
        <w:rPr>
          <w:rFonts w:hint="eastAsia" w:ascii="仿宋" w:hAnsi="仿宋" w:eastAsia="仿宋" w:cs="仿宋"/>
          <w:snapToGrid w:val="0"/>
          <w:color w:val="auto"/>
          <w:kern w:val="0"/>
          <w:sz w:val="21"/>
          <w:szCs w:val="21"/>
          <w:highlight w:val="none"/>
        </w:rPr>
        <w:t>承包人：</w:t>
      </w:r>
      <w:r>
        <w:rPr>
          <w:rFonts w:hint="eastAsia" w:ascii="仿宋" w:hAnsi="仿宋" w:eastAsia="仿宋" w:cs="仿宋"/>
          <w:snapToGrid w:val="0"/>
          <w:color w:val="auto"/>
          <w:kern w:val="0"/>
          <w:sz w:val="21"/>
          <w:szCs w:val="21"/>
          <w:highlight w:val="none"/>
          <w:u w:val="single"/>
        </w:rPr>
        <w:t xml:space="preserve">                                      </w:t>
      </w:r>
      <w:r>
        <w:rPr>
          <w:rFonts w:hint="eastAsia" w:ascii="仿宋" w:hAnsi="仿宋" w:eastAsia="仿宋" w:cs="仿宋"/>
          <w:snapToGrid w:val="0"/>
          <w:color w:val="auto"/>
          <w:kern w:val="0"/>
          <w:sz w:val="21"/>
          <w:szCs w:val="21"/>
          <w:highlight w:val="none"/>
        </w:rPr>
        <w:t>（公章或合同专用章）</w:t>
      </w:r>
    </w:p>
    <w:p w14:paraId="35F36F3C">
      <w:pPr>
        <w:spacing w:line="440" w:lineRule="exact"/>
        <w:ind w:firstLine="420" w:firstLineChars="200"/>
        <w:rPr>
          <w:rFonts w:hint="eastAsia" w:ascii="仿宋" w:hAnsi="仿宋" w:eastAsia="仿宋" w:cs="仿宋"/>
          <w:snapToGrid w:val="0"/>
          <w:color w:val="auto"/>
          <w:kern w:val="0"/>
          <w:sz w:val="21"/>
          <w:szCs w:val="21"/>
          <w:highlight w:val="none"/>
        </w:rPr>
      </w:pPr>
      <w:r>
        <w:rPr>
          <w:rFonts w:hint="eastAsia" w:ascii="仿宋" w:hAnsi="仿宋" w:eastAsia="仿宋" w:cs="仿宋"/>
          <w:snapToGrid w:val="0"/>
          <w:color w:val="auto"/>
          <w:kern w:val="0"/>
          <w:sz w:val="21"/>
          <w:szCs w:val="21"/>
          <w:highlight w:val="none"/>
        </w:rPr>
        <w:t>法定代表人或其委托代理人：</w:t>
      </w:r>
      <w:r>
        <w:rPr>
          <w:rFonts w:hint="eastAsia" w:ascii="仿宋" w:hAnsi="仿宋" w:eastAsia="仿宋" w:cs="仿宋"/>
          <w:snapToGrid w:val="0"/>
          <w:color w:val="auto"/>
          <w:w w:val="200"/>
          <w:kern w:val="0"/>
          <w:sz w:val="21"/>
          <w:szCs w:val="21"/>
          <w:highlight w:val="none"/>
          <w:u w:val="single"/>
        </w:rPr>
        <w:t xml:space="preserve">          </w:t>
      </w:r>
      <w:r>
        <w:rPr>
          <w:rFonts w:hint="eastAsia" w:ascii="仿宋" w:hAnsi="仿宋" w:eastAsia="仿宋" w:cs="仿宋"/>
          <w:snapToGrid w:val="0"/>
          <w:color w:val="auto"/>
          <w:kern w:val="0"/>
          <w:sz w:val="21"/>
          <w:szCs w:val="21"/>
          <w:highlight w:val="none"/>
        </w:rPr>
        <w:t>（签名）</w:t>
      </w:r>
    </w:p>
    <w:p w14:paraId="56FF2371">
      <w:pPr>
        <w:spacing w:line="440" w:lineRule="exact"/>
        <w:ind w:firstLine="420" w:firstLineChars="200"/>
        <w:rPr>
          <w:rFonts w:hint="eastAsia" w:ascii="仿宋" w:hAnsi="仿宋" w:eastAsia="仿宋" w:cs="仿宋"/>
          <w:snapToGrid w:val="0"/>
          <w:color w:val="auto"/>
          <w:kern w:val="0"/>
          <w:sz w:val="21"/>
          <w:szCs w:val="21"/>
          <w:highlight w:val="none"/>
        </w:rPr>
      </w:pPr>
      <w:r>
        <w:rPr>
          <w:rFonts w:hint="eastAsia" w:ascii="仿宋" w:hAnsi="仿宋" w:eastAsia="仿宋" w:cs="仿宋"/>
          <w:snapToGrid w:val="0"/>
          <w:color w:val="auto"/>
          <w:kern w:val="0"/>
          <w:sz w:val="21"/>
          <w:szCs w:val="21"/>
          <w:highlight w:val="none"/>
        </w:rPr>
        <w:t>统一社会信用代码：</w:t>
      </w:r>
      <w:r>
        <w:rPr>
          <w:rFonts w:hint="eastAsia" w:ascii="仿宋" w:hAnsi="仿宋" w:eastAsia="仿宋" w:cs="仿宋"/>
          <w:snapToGrid w:val="0"/>
          <w:color w:val="auto"/>
          <w:w w:val="200"/>
          <w:kern w:val="0"/>
          <w:sz w:val="21"/>
          <w:szCs w:val="21"/>
          <w:highlight w:val="none"/>
          <w:u w:val="single"/>
        </w:rPr>
        <w:t xml:space="preserve"> </w:t>
      </w:r>
      <w:r>
        <w:rPr>
          <w:rFonts w:hint="eastAsia" w:ascii="仿宋" w:hAnsi="仿宋" w:eastAsia="仿宋" w:cs="仿宋"/>
          <w:snapToGrid w:val="0"/>
          <w:color w:val="auto"/>
          <w:kern w:val="0"/>
          <w:sz w:val="21"/>
          <w:szCs w:val="21"/>
          <w:highlight w:val="none"/>
          <w:u w:val="single"/>
        </w:rPr>
        <w:t xml:space="preserve">                          </w:t>
      </w:r>
    </w:p>
    <w:p w14:paraId="14FF8D4E">
      <w:pPr>
        <w:spacing w:line="440" w:lineRule="exact"/>
        <w:ind w:firstLine="420" w:firstLineChars="200"/>
        <w:rPr>
          <w:rFonts w:hint="eastAsia" w:ascii="仿宋" w:hAnsi="仿宋" w:eastAsia="仿宋" w:cs="仿宋"/>
          <w:snapToGrid w:val="0"/>
          <w:color w:val="auto"/>
          <w:kern w:val="0"/>
          <w:sz w:val="21"/>
          <w:szCs w:val="21"/>
          <w:highlight w:val="none"/>
          <w:u w:val="single"/>
        </w:rPr>
      </w:pPr>
      <w:r>
        <w:rPr>
          <w:rFonts w:hint="eastAsia" w:ascii="仿宋" w:hAnsi="仿宋" w:eastAsia="仿宋" w:cs="仿宋"/>
          <w:snapToGrid w:val="0"/>
          <w:color w:val="auto"/>
          <w:kern w:val="0"/>
          <w:sz w:val="21"/>
          <w:szCs w:val="21"/>
          <w:highlight w:val="none"/>
        </w:rPr>
        <w:t>纳税人识别号：</w:t>
      </w:r>
      <w:r>
        <w:rPr>
          <w:rFonts w:hint="eastAsia" w:ascii="仿宋" w:hAnsi="仿宋" w:eastAsia="仿宋" w:cs="仿宋"/>
          <w:snapToGrid w:val="0"/>
          <w:color w:val="auto"/>
          <w:w w:val="200"/>
          <w:kern w:val="0"/>
          <w:sz w:val="21"/>
          <w:szCs w:val="21"/>
          <w:highlight w:val="none"/>
          <w:u w:val="single"/>
        </w:rPr>
        <w:t xml:space="preserve"> </w:t>
      </w:r>
      <w:r>
        <w:rPr>
          <w:rFonts w:hint="eastAsia" w:ascii="仿宋" w:hAnsi="仿宋" w:eastAsia="仿宋" w:cs="仿宋"/>
          <w:snapToGrid w:val="0"/>
          <w:color w:val="auto"/>
          <w:kern w:val="0"/>
          <w:sz w:val="21"/>
          <w:szCs w:val="21"/>
          <w:highlight w:val="none"/>
          <w:u w:val="single"/>
        </w:rPr>
        <w:t xml:space="preserve">                              </w:t>
      </w:r>
    </w:p>
    <w:p w14:paraId="2ADCA85A">
      <w:pPr>
        <w:spacing w:line="440" w:lineRule="exact"/>
        <w:ind w:firstLine="420" w:firstLineChars="200"/>
        <w:rPr>
          <w:rFonts w:hint="eastAsia" w:ascii="仿宋" w:hAnsi="仿宋" w:eastAsia="仿宋" w:cs="仿宋"/>
          <w:snapToGrid w:val="0"/>
          <w:color w:val="auto"/>
          <w:kern w:val="0"/>
          <w:sz w:val="21"/>
          <w:szCs w:val="21"/>
          <w:highlight w:val="none"/>
          <w:u w:val="single"/>
        </w:rPr>
      </w:pPr>
      <w:r>
        <w:rPr>
          <w:rFonts w:hint="eastAsia" w:ascii="仿宋" w:hAnsi="仿宋" w:eastAsia="仿宋" w:cs="仿宋"/>
          <w:snapToGrid w:val="0"/>
          <w:color w:val="auto"/>
          <w:kern w:val="0"/>
          <w:sz w:val="21"/>
          <w:szCs w:val="21"/>
          <w:highlight w:val="none"/>
        </w:rPr>
        <w:t>地    址：</w:t>
      </w:r>
      <w:r>
        <w:rPr>
          <w:rFonts w:hint="eastAsia" w:ascii="仿宋" w:hAnsi="仿宋" w:eastAsia="仿宋" w:cs="仿宋"/>
          <w:snapToGrid w:val="0"/>
          <w:color w:val="auto"/>
          <w:w w:val="200"/>
          <w:kern w:val="0"/>
          <w:sz w:val="21"/>
          <w:szCs w:val="21"/>
          <w:highlight w:val="none"/>
          <w:u w:val="single"/>
        </w:rPr>
        <w:t xml:space="preserve"> </w:t>
      </w:r>
      <w:r>
        <w:rPr>
          <w:rFonts w:hint="eastAsia" w:ascii="仿宋" w:hAnsi="仿宋" w:eastAsia="仿宋" w:cs="仿宋"/>
          <w:snapToGrid w:val="0"/>
          <w:color w:val="auto"/>
          <w:kern w:val="0"/>
          <w:sz w:val="21"/>
          <w:szCs w:val="21"/>
          <w:highlight w:val="none"/>
          <w:u w:val="single"/>
        </w:rPr>
        <w:t xml:space="preserve">                                  </w:t>
      </w:r>
    </w:p>
    <w:p w14:paraId="6E335551">
      <w:pPr>
        <w:spacing w:line="440" w:lineRule="exact"/>
        <w:ind w:firstLine="420" w:firstLineChars="200"/>
        <w:rPr>
          <w:rFonts w:hint="eastAsia" w:ascii="仿宋" w:hAnsi="仿宋" w:eastAsia="仿宋" w:cs="仿宋"/>
          <w:snapToGrid w:val="0"/>
          <w:color w:val="auto"/>
          <w:kern w:val="0"/>
          <w:sz w:val="21"/>
          <w:szCs w:val="21"/>
          <w:highlight w:val="none"/>
          <w:u w:val="single"/>
        </w:rPr>
      </w:pPr>
      <w:r>
        <w:rPr>
          <w:rFonts w:hint="eastAsia" w:ascii="仿宋" w:hAnsi="仿宋" w:eastAsia="仿宋" w:cs="仿宋"/>
          <w:snapToGrid w:val="0"/>
          <w:color w:val="auto"/>
          <w:kern w:val="0"/>
          <w:sz w:val="21"/>
          <w:szCs w:val="21"/>
          <w:highlight w:val="none"/>
        </w:rPr>
        <w:t>电    话：</w:t>
      </w:r>
      <w:r>
        <w:rPr>
          <w:rFonts w:hint="eastAsia" w:ascii="仿宋" w:hAnsi="仿宋" w:eastAsia="仿宋" w:cs="仿宋"/>
          <w:snapToGrid w:val="0"/>
          <w:color w:val="auto"/>
          <w:w w:val="200"/>
          <w:kern w:val="0"/>
          <w:sz w:val="21"/>
          <w:szCs w:val="21"/>
          <w:highlight w:val="none"/>
          <w:u w:val="single"/>
        </w:rPr>
        <w:t xml:space="preserve"> </w:t>
      </w:r>
      <w:r>
        <w:rPr>
          <w:rFonts w:hint="eastAsia" w:ascii="仿宋" w:hAnsi="仿宋" w:eastAsia="仿宋" w:cs="仿宋"/>
          <w:snapToGrid w:val="0"/>
          <w:color w:val="auto"/>
          <w:kern w:val="0"/>
          <w:sz w:val="21"/>
          <w:szCs w:val="21"/>
          <w:highlight w:val="none"/>
          <w:u w:val="single"/>
        </w:rPr>
        <w:t xml:space="preserve">                                  </w:t>
      </w:r>
    </w:p>
    <w:p w14:paraId="425CEF59">
      <w:pPr>
        <w:spacing w:line="440" w:lineRule="exact"/>
        <w:ind w:firstLine="420" w:firstLineChars="200"/>
        <w:rPr>
          <w:rFonts w:hint="eastAsia" w:ascii="仿宋" w:hAnsi="仿宋" w:eastAsia="仿宋" w:cs="仿宋"/>
          <w:snapToGrid w:val="0"/>
          <w:color w:val="auto"/>
          <w:kern w:val="0"/>
          <w:sz w:val="21"/>
          <w:szCs w:val="21"/>
          <w:highlight w:val="none"/>
          <w:u w:val="single"/>
        </w:rPr>
      </w:pPr>
      <w:r>
        <w:rPr>
          <w:rFonts w:hint="eastAsia" w:ascii="仿宋" w:hAnsi="仿宋" w:eastAsia="仿宋" w:cs="仿宋"/>
          <w:snapToGrid w:val="0"/>
          <w:color w:val="auto"/>
          <w:kern w:val="0"/>
          <w:sz w:val="21"/>
          <w:szCs w:val="21"/>
          <w:highlight w:val="none"/>
        </w:rPr>
        <w:t>开户银行：</w:t>
      </w:r>
      <w:r>
        <w:rPr>
          <w:rFonts w:hint="eastAsia" w:ascii="仿宋" w:hAnsi="仿宋" w:eastAsia="仿宋" w:cs="仿宋"/>
          <w:snapToGrid w:val="0"/>
          <w:color w:val="auto"/>
          <w:w w:val="200"/>
          <w:kern w:val="0"/>
          <w:sz w:val="21"/>
          <w:szCs w:val="21"/>
          <w:highlight w:val="none"/>
          <w:u w:val="single"/>
        </w:rPr>
        <w:t xml:space="preserve"> </w:t>
      </w:r>
      <w:r>
        <w:rPr>
          <w:rFonts w:hint="eastAsia" w:ascii="仿宋" w:hAnsi="仿宋" w:eastAsia="仿宋" w:cs="仿宋"/>
          <w:snapToGrid w:val="0"/>
          <w:color w:val="auto"/>
          <w:kern w:val="0"/>
          <w:sz w:val="21"/>
          <w:szCs w:val="21"/>
          <w:highlight w:val="none"/>
          <w:u w:val="single"/>
        </w:rPr>
        <w:t xml:space="preserve">                                  </w:t>
      </w:r>
    </w:p>
    <w:p w14:paraId="02570AF8">
      <w:pPr>
        <w:spacing w:line="440" w:lineRule="exact"/>
        <w:ind w:firstLine="420" w:firstLineChars="200"/>
        <w:rPr>
          <w:rFonts w:hint="eastAsia" w:ascii="仿宋" w:hAnsi="仿宋" w:eastAsia="仿宋" w:cs="仿宋"/>
          <w:color w:val="auto"/>
          <w:szCs w:val="21"/>
          <w:highlight w:val="none"/>
        </w:rPr>
      </w:pPr>
      <w:r>
        <w:rPr>
          <w:rFonts w:hint="eastAsia" w:ascii="仿宋" w:hAnsi="仿宋" w:eastAsia="仿宋" w:cs="仿宋"/>
          <w:snapToGrid w:val="0"/>
          <w:color w:val="auto"/>
          <w:kern w:val="0"/>
          <w:sz w:val="21"/>
          <w:szCs w:val="21"/>
          <w:highlight w:val="none"/>
        </w:rPr>
        <w:t>账    号：</w:t>
      </w:r>
      <w:r>
        <w:rPr>
          <w:rFonts w:hint="eastAsia" w:ascii="仿宋" w:hAnsi="仿宋" w:eastAsia="仿宋" w:cs="仿宋"/>
          <w:snapToGrid w:val="0"/>
          <w:color w:val="auto"/>
          <w:w w:val="200"/>
          <w:kern w:val="0"/>
          <w:sz w:val="21"/>
          <w:szCs w:val="21"/>
          <w:highlight w:val="none"/>
          <w:u w:val="single"/>
        </w:rPr>
        <w:t xml:space="preserve"> </w:t>
      </w:r>
      <w:r>
        <w:rPr>
          <w:rFonts w:hint="eastAsia" w:ascii="仿宋" w:hAnsi="仿宋" w:eastAsia="仿宋" w:cs="仿宋"/>
          <w:snapToGrid w:val="0"/>
          <w:color w:val="auto"/>
          <w:kern w:val="0"/>
          <w:sz w:val="21"/>
          <w:szCs w:val="21"/>
          <w:highlight w:val="none"/>
          <w:u w:val="single"/>
        </w:rPr>
        <w:t xml:space="preserve">                                  </w:t>
      </w:r>
    </w:p>
    <w:p w14:paraId="604C7334">
      <w:pPr>
        <w:spacing w:line="440" w:lineRule="exact"/>
        <w:jc w:val="right"/>
        <w:rPr>
          <w:rFonts w:hint="eastAsia" w:ascii="仿宋" w:hAnsi="仿宋" w:eastAsia="仿宋" w:cs="仿宋"/>
          <w:snapToGrid w:val="0"/>
          <w:color w:val="auto"/>
          <w:kern w:val="0"/>
          <w:sz w:val="21"/>
          <w:szCs w:val="21"/>
          <w:highlight w:val="none"/>
        </w:rPr>
      </w:pPr>
    </w:p>
    <w:p w14:paraId="6FEC8B0D">
      <w:pPr>
        <w:spacing w:line="440" w:lineRule="exact"/>
        <w:jc w:val="right"/>
        <w:rPr>
          <w:rFonts w:hint="eastAsia" w:ascii="仿宋" w:hAnsi="仿宋" w:eastAsia="仿宋" w:cs="仿宋"/>
          <w:snapToGrid w:val="0"/>
          <w:color w:val="auto"/>
          <w:kern w:val="0"/>
          <w:sz w:val="21"/>
          <w:szCs w:val="21"/>
          <w:highlight w:val="none"/>
        </w:rPr>
      </w:pPr>
    </w:p>
    <w:p w14:paraId="609F578C">
      <w:pPr>
        <w:spacing w:line="360" w:lineRule="auto"/>
        <w:jc w:val="center"/>
        <w:rPr>
          <w:rFonts w:hint="eastAsia" w:ascii="仿宋" w:hAnsi="仿宋" w:eastAsia="仿宋" w:cs="仿宋"/>
          <w:color w:val="auto"/>
          <w:sz w:val="44"/>
          <w:szCs w:val="44"/>
          <w:highlight w:val="none"/>
        </w:rPr>
      </w:pPr>
      <w:r>
        <w:rPr>
          <w:rFonts w:hint="eastAsia" w:ascii="仿宋" w:hAnsi="仿宋" w:eastAsia="仿宋" w:cs="仿宋"/>
          <w:snapToGrid w:val="0"/>
          <w:color w:val="auto"/>
          <w:kern w:val="0"/>
          <w:sz w:val="21"/>
          <w:szCs w:val="21"/>
          <w:highlight w:val="none"/>
        </w:rPr>
        <w:t>签约时间：</w:t>
      </w:r>
      <w:r>
        <w:rPr>
          <w:rFonts w:hint="eastAsia" w:ascii="仿宋" w:hAnsi="仿宋" w:eastAsia="仿宋" w:cs="仿宋"/>
          <w:snapToGrid w:val="0"/>
          <w:color w:val="auto"/>
          <w:kern w:val="0"/>
          <w:sz w:val="21"/>
          <w:szCs w:val="21"/>
          <w:highlight w:val="none"/>
          <w:u w:val="single"/>
        </w:rPr>
        <w:t xml:space="preserve">     </w:t>
      </w:r>
      <w:r>
        <w:rPr>
          <w:rFonts w:hint="eastAsia" w:ascii="仿宋" w:hAnsi="仿宋" w:eastAsia="仿宋" w:cs="仿宋"/>
          <w:snapToGrid w:val="0"/>
          <w:color w:val="auto"/>
          <w:kern w:val="0"/>
          <w:sz w:val="21"/>
          <w:szCs w:val="21"/>
          <w:highlight w:val="none"/>
        </w:rPr>
        <w:t>年</w:t>
      </w:r>
      <w:r>
        <w:rPr>
          <w:rFonts w:hint="eastAsia" w:ascii="仿宋" w:hAnsi="仿宋" w:eastAsia="仿宋" w:cs="仿宋"/>
          <w:snapToGrid w:val="0"/>
          <w:color w:val="auto"/>
          <w:kern w:val="0"/>
          <w:sz w:val="21"/>
          <w:szCs w:val="21"/>
          <w:highlight w:val="none"/>
          <w:u w:val="single"/>
        </w:rPr>
        <w:t xml:space="preserve">     </w:t>
      </w:r>
      <w:r>
        <w:rPr>
          <w:rFonts w:hint="eastAsia" w:ascii="仿宋" w:hAnsi="仿宋" w:eastAsia="仿宋" w:cs="仿宋"/>
          <w:snapToGrid w:val="0"/>
          <w:color w:val="auto"/>
          <w:kern w:val="0"/>
          <w:sz w:val="21"/>
          <w:szCs w:val="21"/>
          <w:highlight w:val="none"/>
        </w:rPr>
        <w:t>月</w:t>
      </w:r>
      <w:r>
        <w:rPr>
          <w:rFonts w:hint="eastAsia" w:ascii="仿宋" w:hAnsi="仿宋" w:eastAsia="仿宋" w:cs="仿宋"/>
          <w:snapToGrid w:val="0"/>
          <w:color w:val="auto"/>
          <w:kern w:val="0"/>
          <w:sz w:val="21"/>
          <w:szCs w:val="21"/>
          <w:highlight w:val="none"/>
          <w:u w:val="single"/>
        </w:rPr>
        <w:t xml:space="preserve">     </w:t>
      </w:r>
      <w:r>
        <w:rPr>
          <w:rFonts w:hint="eastAsia" w:ascii="仿宋" w:hAnsi="仿宋" w:eastAsia="仿宋" w:cs="仿宋"/>
          <w:snapToGrid w:val="0"/>
          <w:color w:val="auto"/>
          <w:kern w:val="0"/>
          <w:sz w:val="21"/>
          <w:szCs w:val="21"/>
          <w:highlight w:val="none"/>
        </w:rPr>
        <w:t>日</w:t>
      </w:r>
      <w:bookmarkEnd w:id="1213"/>
      <w:r>
        <w:rPr>
          <w:rFonts w:hint="eastAsia" w:ascii="仿宋" w:hAnsi="仿宋" w:eastAsia="仿宋" w:cs="仿宋"/>
          <w:snapToGrid w:val="0"/>
          <w:color w:val="auto"/>
          <w:sz w:val="21"/>
          <w:szCs w:val="21"/>
          <w:highlight w:val="none"/>
          <w:lang w:val="zh-CN"/>
        </w:rPr>
        <w:br w:type="page"/>
      </w:r>
      <w:bookmarkStart w:id="1214" w:name="_Toc532375586"/>
      <w:bookmarkStart w:id="1215" w:name="_Toc532377179"/>
      <w:bookmarkStart w:id="1216" w:name="_Toc9299"/>
      <w:bookmarkStart w:id="1217" w:name="_Toc12613"/>
      <w:bookmarkStart w:id="1218" w:name="_Toc529388289"/>
      <w:bookmarkStart w:id="1219" w:name="_Toc57820638"/>
      <w:bookmarkStart w:id="1220" w:name="_Toc3548"/>
      <w:r>
        <w:rPr>
          <w:rFonts w:hint="eastAsia" w:ascii="仿宋" w:hAnsi="仿宋" w:eastAsia="仿宋" w:cs="仿宋"/>
          <w:color w:val="auto"/>
          <w:sz w:val="44"/>
          <w:szCs w:val="44"/>
          <w:highlight w:val="none"/>
        </w:rPr>
        <w:t>第二部分 通用合同条款</w:t>
      </w:r>
      <w:bookmarkEnd w:id="1214"/>
      <w:bookmarkEnd w:id="1215"/>
      <w:bookmarkEnd w:id="1216"/>
      <w:bookmarkEnd w:id="1217"/>
      <w:bookmarkEnd w:id="1218"/>
      <w:bookmarkEnd w:id="1219"/>
      <w:bookmarkEnd w:id="1220"/>
    </w:p>
    <w:p w14:paraId="5BEE905E">
      <w:pPr>
        <w:spacing w:line="360" w:lineRule="auto"/>
        <w:jc w:val="center"/>
        <w:rPr>
          <w:rFonts w:hint="eastAsia" w:ascii="仿宋" w:hAnsi="仿宋" w:eastAsia="仿宋" w:cs="仿宋"/>
          <w:color w:val="auto"/>
          <w:highlight w:val="none"/>
        </w:rPr>
      </w:pPr>
      <w:r>
        <w:rPr>
          <w:rFonts w:hint="eastAsia" w:ascii="仿宋" w:hAnsi="仿宋" w:eastAsia="仿宋" w:cs="仿宋"/>
          <w:color w:val="auto"/>
          <w:sz w:val="21"/>
          <w:szCs w:val="21"/>
          <w:highlight w:val="none"/>
          <w:shd w:val="clear" w:color="auto" w:fill="FFFFFF"/>
        </w:rPr>
        <w:t>《建设工程施工合同（示范文本）》（GF-2017-0201）中通用合同条款部分</w:t>
      </w:r>
    </w:p>
    <w:p w14:paraId="6A253F50">
      <w:pPr>
        <w:spacing w:line="360" w:lineRule="auto"/>
        <w:jc w:val="right"/>
        <w:rPr>
          <w:rFonts w:hint="eastAsia" w:ascii="仿宋" w:hAnsi="仿宋" w:eastAsia="仿宋" w:cs="仿宋"/>
          <w:snapToGrid w:val="0"/>
          <w:color w:val="auto"/>
          <w:kern w:val="0"/>
          <w:szCs w:val="21"/>
          <w:highlight w:val="none"/>
        </w:rPr>
      </w:pPr>
    </w:p>
    <w:p w14:paraId="31FABFBF">
      <w:pPr>
        <w:spacing w:line="360" w:lineRule="auto"/>
        <w:jc w:val="right"/>
        <w:rPr>
          <w:rFonts w:hint="eastAsia" w:ascii="仿宋" w:hAnsi="仿宋" w:eastAsia="仿宋" w:cs="仿宋"/>
          <w:color w:val="auto"/>
          <w:sz w:val="32"/>
          <w:szCs w:val="32"/>
          <w:highlight w:val="none"/>
        </w:rPr>
      </w:pPr>
      <w:r>
        <w:rPr>
          <w:rFonts w:hint="eastAsia" w:ascii="仿宋" w:hAnsi="仿宋" w:eastAsia="仿宋" w:cs="仿宋"/>
          <w:snapToGrid w:val="0"/>
          <w:color w:val="auto"/>
          <w:kern w:val="0"/>
          <w:szCs w:val="21"/>
          <w:highlight w:val="none"/>
        </w:rPr>
        <w:br w:type="page"/>
      </w:r>
    </w:p>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p w14:paraId="7B9ADA80">
      <w:pPr>
        <w:keepNext/>
        <w:keepLines/>
        <w:spacing w:before="260" w:after="260" w:line="440" w:lineRule="exact"/>
        <w:jc w:val="center"/>
        <w:outlineLvl w:val="2"/>
        <w:rPr>
          <w:rFonts w:hint="eastAsia" w:ascii="仿宋" w:hAnsi="仿宋" w:eastAsia="仿宋" w:cs="仿宋"/>
          <w:color w:val="auto"/>
          <w:sz w:val="44"/>
          <w:szCs w:val="44"/>
          <w:highlight w:val="none"/>
        </w:rPr>
      </w:pPr>
      <w:bookmarkStart w:id="1221" w:name="_Toc13808"/>
      <w:bookmarkStart w:id="1222" w:name="_Toc26910"/>
      <w:bookmarkStart w:id="1223" w:name="_Toc57820639"/>
      <w:bookmarkStart w:id="1224" w:name="_Toc25208"/>
      <w:bookmarkStart w:id="1225" w:name="_Toc30957"/>
      <w:bookmarkStart w:id="1226" w:name="_Toc424558730"/>
      <w:bookmarkStart w:id="1227" w:name="_Toc424558370"/>
      <w:bookmarkStart w:id="1228" w:name="_Toc8252"/>
      <w:bookmarkStart w:id="1229" w:name="_Toc335223533"/>
      <w:bookmarkStart w:id="1230" w:name="_Toc223335459"/>
      <w:bookmarkStart w:id="1231" w:name="_Toc240180918"/>
      <w:bookmarkStart w:id="1232" w:name="_Toc57795993"/>
      <w:bookmarkStart w:id="1233" w:name="_Toc182293837"/>
      <w:bookmarkStart w:id="1234" w:name="_Toc183589134"/>
      <w:bookmarkStart w:id="1235" w:name="_Toc509390698"/>
      <w:bookmarkStart w:id="1236" w:name="_Toc467164259"/>
      <w:bookmarkStart w:id="1237" w:name="_Toc25981"/>
      <w:bookmarkStart w:id="1238" w:name="_Toc20472"/>
      <w:r>
        <w:rPr>
          <w:rFonts w:hint="eastAsia" w:ascii="仿宋" w:hAnsi="仿宋" w:eastAsia="仿宋" w:cs="仿宋"/>
          <w:color w:val="auto"/>
          <w:sz w:val="44"/>
          <w:szCs w:val="44"/>
          <w:highlight w:val="none"/>
        </w:rPr>
        <w:t>第三部分 专用合同条款</w:t>
      </w:r>
      <w:bookmarkEnd w:id="1221"/>
      <w:bookmarkEnd w:id="1222"/>
      <w:bookmarkEnd w:id="1223"/>
      <w:bookmarkEnd w:id="1224"/>
      <w:bookmarkEnd w:id="1225"/>
    </w:p>
    <w:p w14:paraId="7EBD51B7">
      <w:pPr>
        <w:keepNext/>
        <w:keepLines/>
        <w:widowControl/>
        <w:spacing w:before="120" w:beforeLines="50" w:after="120" w:afterLines="50" w:line="440" w:lineRule="exact"/>
        <w:outlineLvl w:val="3"/>
        <w:rPr>
          <w:rFonts w:hint="eastAsia" w:ascii="仿宋" w:hAnsi="仿宋" w:eastAsia="仿宋" w:cs="仿宋"/>
          <w:b/>
          <w:color w:val="auto"/>
          <w:sz w:val="21"/>
          <w:szCs w:val="21"/>
          <w:highlight w:val="none"/>
        </w:rPr>
      </w:pPr>
      <w:bookmarkStart w:id="1239" w:name="_Toc532375608"/>
      <w:bookmarkStart w:id="1240" w:name="_Toc532377321"/>
      <w:bookmarkStart w:id="1241" w:name="_Toc351203633"/>
      <w:bookmarkStart w:id="1242" w:name="_Hlk528927191"/>
      <w:r>
        <w:rPr>
          <w:rFonts w:hint="eastAsia" w:ascii="仿宋" w:hAnsi="仿宋" w:eastAsia="仿宋" w:cs="仿宋"/>
          <w:b/>
          <w:bCs/>
          <w:color w:val="auto"/>
          <w:sz w:val="21"/>
          <w:szCs w:val="21"/>
          <w:highlight w:val="none"/>
        </w:rPr>
        <w:t>1</w:t>
      </w:r>
      <w:bookmarkStart w:id="1243" w:name="_Toc292559866"/>
      <w:bookmarkStart w:id="1244" w:name="_Toc297048342"/>
      <w:bookmarkStart w:id="1245" w:name="_Toc296503156"/>
      <w:bookmarkStart w:id="1246" w:name="_Toc296891196"/>
      <w:bookmarkStart w:id="1247" w:name="_Toc296944495"/>
      <w:bookmarkStart w:id="1248" w:name="_Toc296346657"/>
      <w:bookmarkStart w:id="1249" w:name="_Toc297120456"/>
      <w:bookmarkStart w:id="1250" w:name="_Toc296347155"/>
      <w:bookmarkStart w:id="1251" w:name="_Toc292559361"/>
      <w:bookmarkStart w:id="1252" w:name="_Toc296890984"/>
      <w:r>
        <w:rPr>
          <w:rFonts w:hint="eastAsia" w:ascii="仿宋" w:hAnsi="仿宋" w:eastAsia="仿宋" w:cs="仿宋"/>
          <w:b/>
          <w:bCs/>
          <w:color w:val="auto"/>
          <w:sz w:val="21"/>
          <w:szCs w:val="21"/>
          <w:highlight w:val="none"/>
        </w:rPr>
        <w:t>. 一般约定</w:t>
      </w:r>
      <w:bookmarkEnd w:id="1239"/>
      <w:bookmarkEnd w:id="1240"/>
      <w:bookmarkEnd w:id="1241"/>
    </w:p>
    <w:bookmarkEnd w:id="1243"/>
    <w:bookmarkEnd w:id="1244"/>
    <w:bookmarkEnd w:id="1245"/>
    <w:bookmarkEnd w:id="1246"/>
    <w:bookmarkEnd w:id="1247"/>
    <w:bookmarkEnd w:id="1248"/>
    <w:bookmarkEnd w:id="1249"/>
    <w:bookmarkEnd w:id="1250"/>
    <w:bookmarkEnd w:id="1251"/>
    <w:bookmarkEnd w:id="1252"/>
    <w:p w14:paraId="3FF4C501">
      <w:pPr>
        <w:widowControl/>
        <w:spacing w:line="440" w:lineRule="exact"/>
        <w:ind w:firstLine="422" w:firstLineChars="200"/>
        <w:jc w:val="left"/>
        <w:outlineLvl w:val="4"/>
        <w:rPr>
          <w:rFonts w:hint="eastAsia" w:ascii="仿宋" w:hAnsi="仿宋" w:eastAsia="仿宋" w:cs="仿宋"/>
          <w:b/>
          <w:bCs/>
          <w:color w:val="auto"/>
          <w:kern w:val="0"/>
          <w:sz w:val="21"/>
          <w:szCs w:val="21"/>
          <w:highlight w:val="none"/>
        </w:rPr>
      </w:pPr>
      <w:bookmarkStart w:id="1253" w:name="_Toc532377322"/>
      <w:r>
        <w:rPr>
          <w:rFonts w:hint="eastAsia" w:ascii="仿宋" w:hAnsi="仿宋" w:eastAsia="仿宋" w:cs="仿宋"/>
          <w:b/>
          <w:bCs/>
          <w:color w:val="auto"/>
          <w:kern w:val="0"/>
          <w:sz w:val="21"/>
          <w:szCs w:val="21"/>
          <w:highlight w:val="none"/>
        </w:rPr>
        <w:t>1.1词语定义与解释</w:t>
      </w:r>
      <w:bookmarkEnd w:id="1253"/>
    </w:p>
    <w:p w14:paraId="2C368404">
      <w:pPr>
        <w:spacing w:line="440" w:lineRule="exact"/>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1.1.1 合同</w:t>
      </w:r>
    </w:p>
    <w:p w14:paraId="42736053">
      <w:pPr>
        <w:spacing w:line="440" w:lineRule="exact"/>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1.1.1.6技术标准和要求：</w:t>
      </w:r>
      <w:r>
        <w:rPr>
          <w:rFonts w:hint="eastAsia" w:ascii="仿宋" w:hAnsi="仿宋" w:eastAsia="仿宋" w:cs="仿宋"/>
          <w:color w:val="auto"/>
          <w:kern w:val="0"/>
          <w:sz w:val="21"/>
          <w:szCs w:val="21"/>
          <w:highlight w:val="none"/>
          <w:u w:val="single"/>
        </w:rPr>
        <w:t>本目中的技术标准和要求是指技术规范，即合同所约定的技术标准和要求，是合同文件的组成部分。与通用合同条款中“技术标准和要求”一词具有相同含义，包括合同双方当事人约定对其所作的修改或补充</w:t>
      </w:r>
      <w:r>
        <w:rPr>
          <w:rFonts w:hint="eastAsia" w:ascii="仿宋" w:hAnsi="仿宋" w:eastAsia="仿宋" w:cs="仿宋"/>
          <w:color w:val="auto"/>
          <w:kern w:val="0"/>
          <w:sz w:val="21"/>
          <w:szCs w:val="21"/>
          <w:highlight w:val="none"/>
        </w:rPr>
        <w:t>。</w:t>
      </w:r>
    </w:p>
    <w:p w14:paraId="5F4325F2">
      <w:pPr>
        <w:spacing w:line="440" w:lineRule="exact"/>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1.1.1.8 已标价工程量清单：</w:t>
      </w:r>
      <w:r>
        <w:rPr>
          <w:rFonts w:hint="eastAsia" w:ascii="仿宋" w:hAnsi="仿宋" w:eastAsia="仿宋" w:cs="仿宋"/>
          <w:color w:val="auto"/>
          <w:kern w:val="0"/>
          <w:sz w:val="21"/>
          <w:szCs w:val="21"/>
          <w:highlight w:val="none"/>
          <w:u w:val="single"/>
        </w:rPr>
        <w:t>指构成合同的由承包人按照发包人规定的格式和要求填写并标明价格、经算术性错误修订及其他错误修订（如有）且承包人已确认的工程量清单</w:t>
      </w:r>
      <w:r>
        <w:rPr>
          <w:rFonts w:hint="eastAsia" w:ascii="仿宋" w:hAnsi="仿宋" w:eastAsia="仿宋" w:cs="仿宋"/>
          <w:color w:val="auto"/>
          <w:kern w:val="0"/>
          <w:sz w:val="21"/>
          <w:szCs w:val="21"/>
          <w:highlight w:val="none"/>
        </w:rPr>
        <w:t>。</w:t>
      </w:r>
    </w:p>
    <w:p w14:paraId="2E138DEE">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1.1.1.10 其他合同文件包括：</w:t>
      </w:r>
      <w:r>
        <w:rPr>
          <w:rFonts w:hint="eastAsia" w:ascii="仿宋" w:hAnsi="仿宋" w:eastAsia="仿宋" w:cs="仿宋"/>
          <w:color w:val="auto"/>
          <w:sz w:val="21"/>
          <w:szCs w:val="21"/>
          <w:highlight w:val="none"/>
          <w:u w:val="single"/>
        </w:rPr>
        <w:t>按照合同协议书</w:t>
      </w:r>
      <w:r>
        <w:rPr>
          <w:rFonts w:hint="eastAsia" w:ascii="仿宋" w:hAnsi="仿宋" w:eastAsia="仿宋" w:cs="仿宋"/>
          <w:bCs/>
          <w:color w:val="auto"/>
          <w:sz w:val="21"/>
          <w:szCs w:val="21"/>
          <w:highlight w:val="none"/>
          <w:u w:val="single"/>
        </w:rPr>
        <w:t>〔</w:t>
      </w:r>
      <w:r>
        <w:rPr>
          <w:rFonts w:hint="eastAsia" w:ascii="仿宋" w:hAnsi="仿宋" w:eastAsia="仿宋" w:cs="仿宋"/>
          <w:color w:val="auto"/>
          <w:sz w:val="21"/>
          <w:szCs w:val="21"/>
          <w:highlight w:val="none"/>
          <w:u w:val="single"/>
        </w:rPr>
        <w:t>第六条</w:t>
      </w:r>
      <w:r>
        <w:rPr>
          <w:rFonts w:hint="eastAsia" w:ascii="仿宋" w:hAnsi="仿宋" w:eastAsia="仿宋" w:cs="仿宋"/>
          <w:bCs/>
          <w:color w:val="auto"/>
          <w:sz w:val="21"/>
          <w:szCs w:val="21"/>
          <w:highlight w:val="none"/>
          <w:u w:val="single"/>
        </w:rPr>
        <w:t>〕</w:t>
      </w:r>
      <w:r>
        <w:rPr>
          <w:rFonts w:hint="eastAsia" w:ascii="仿宋" w:hAnsi="仿宋" w:eastAsia="仿宋" w:cs="仿宋"/>
          <w:color w:val="auto"/>
          <w:sz w:val="21"/>
          <w:szCs w:val="21"/>
          <w:highlight w:val="none"/>
          <w:u w:val="single"/>
        </w:rPr>
        <w:t>约定执行</w:t>
      </w:r>
      <w:r>
        <w:rPr>
          <w:rFonts w:hint="eastAsia" w:ascii="仿宋" w:hAnsi="仿宋" w:eastAsia="仿宋" w:cs="仿宋"/>
          <w:color w:val="auto"/>
          <w:sz w:val="21"/>
          <w:szCs w:val="21"/>
          <w:highlight w:val="none"/>
        </w:rPr>
        <w:t>。</w:t>
      </w:r>
    </w:p>
    <w:p w14:paraId="3F38B535">
      <w:pPr>
        <w:spacing w:line="440" w:lineRule="exact"/>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本项补充1.1.1.11～1.1.1.16目：</w:t>
      </w:r>
    </w:p>
    <w:p w14:paraId="7D8C929C">
      <w:pPr>
        <w:spacing w:line="440" w:lineRule="exact"/>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1.1.1.11 招标文件：</w:t>
      </w:r>
      <w:r>
        <w:rPr>
          <w:rFonts w:hint="eastAsia" w:ascii="仿宋" w:hAnsi="仿宋" w:eastAsia="仿宋" w:cs="仿宋"/>
          <w:color w:val="auto"/>
          <w:kern w:val="0"/>
          <w:sz w:val="21"/>
          <w:szCs w:val="21"/>
          <w:highlight w:val="none"/>
          <w:u w:val="single"/>
        </w:rPr>
        <w:t>指本工程的招标文件、图纸、其他技术资料及招标人发出的对招标文件所作的澄清、修改等资料</w:t>
      </w:r>
      <w:r>
        <w:rPr>
          <w:rFonts w:hint="eastAsia" w:ascii="仿宋" w:hAnsi="仿宋" w:eastAsia="仿宋" w:cs="仿宋"/>
          <w:color w:val="auto"/>
          <w:kern w:val="0"/>
          <w:sz w:val="21"/>
          <w:szCs w:val="21"/>
          <w:highlight w:val="none"/>
        </w:rPr>
        <w:t>。</w:t>
      </w:r>
    </w:p>
    <w:p w14:paraId="14E15B24">
      <w:pPr>
        <w:spacing w:line="440" w:lineRule="exact"/>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1.1.1.12 工作：</w:t>
      </w:r>
      <w:r>
        <w:rPr>
          <w:rFonts w:hint="eastAsia" w:ascii="仿宋" w:hAnsi="仿宋" w:eastAsia="仿宋" w:cs="仿宋"/>
          <w:color w:val="auto"/>
          <w:kern w:val="0"/>
          <w:sz w:val="21"/>
          <w:szCs w:val="21"/>
          <w:highlight w:val="none"/>
          <w:u w:val="single"/>
        </w:rPr>
        <w:t>指根据合同条款规定，或根据合同合理推及的，为本工程（包括永久工程和临时工程）施工与维护所需要的管理、劳务、材料、施工设备和其他物品的提供</w:t>
      </w:r>
      <w:r>
        <w:rPr>
          <w:rFonts w:hint="eastAsia" w:ascii="仿宋" w:hAnsi="仿宋" w:eastAsia="仿宋" w:cs="仿宋"/>
          <w:color w:val="auto"/>
          <w:kern w:val="0"/>
          <w:sz w:val="21"/>
          <w:szCs w:val="21"/>
          <w:highlight w:val="none"/>
        </w:rPr>
        <w:t>。</w:t>
      </w:r>
    </w:p>
    <w:p w14:paraId="24724048">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1.1.1.13 重大设计变更：按照规定需要重新报建设行政主管部门批准的设计变更。</w:t>
      </w:r>
    </w:p>
    <w:p w14:paraId="4E18D994">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1.1.1.14 公章：专指法定单位名称章。</w:t>
      </w:r>
    </w:p>
    <w:bookmarkEnd w:id="1242"/>
    <w:p w14:paraId="2A5FF149">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1.1.1.15 到岗：指承包人按照到岗履职承诺安排满足办理施工许可手续相关要求的项目主要管理人员实际到施工现场就职履约的行为。</w:t>
      </w:r>
    </w:p>
    <w:p w14:paraId="3DB85449">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1.1.1.16 项目法人：指具有民事权利能力和民事行为能力，依法独立享有民事权利和承担民事义务，以建设项目为目的，从事项目管理的机构、单位或组织。</w:t>
      </w:r>
    </w:p>
    <w:p w14:paraId="63865B65">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1.1.2 合同当事人及其他相关方</w:t>
      </w:r>
    </w:p>
    <w:p w14:paraId="346D1A98">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1.1.2.4 监理人：</w:t>
      </w:r>
    </w:p>
    <w:p w14:paraId="58A1F815">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名    称：</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w:t>
      </w:r>
    </w:p>
    <w:p w14:paraId="58B726AD">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资质类别和等级：</w:t>
      </w:r>
      <w:r>
        <w:rPr>
          <w:rFonts w:hint="eastAsia" w:ascii="仿宋" w:hAnsi="仿宋" w:eastAsia="仿宋" w:cs="仿宋"/>
          <w:color w:val="auto"/>
          <w:sz w:val="21"/>
          <w:szCs w:val="21"/>
          <w:highlight w:val="none"/>
          <w:u w:val="single"/>
        </w:rPr>
        <w:t></w:t>
      </w:r>
      <w:r>
        <w:rPr>
          <w:rFonts w:hint="eastAsia" w:ascii="仿宋" w:hAnsi="仿宋" w:eastAsia="仿宋" w:cs="仿宋"/>
          <w:color w:val="auto"/>
          <w:sz w:val="21"/>
          <w:szCs w:val="21"/>
          <w:highlight w:val="none"/>
        </w:rPr>
        <w:t>；</w:t>
      </w:r>
    </w:p>
    <w:p w14:paraId="0553AE04">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联系方式：</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w:t>
      </w:r>
    </w:p>
    <w:p w14:paraId="764789E5">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1.1.2.5 设计人：</w:t>
      </w:r>
    </w:p>
    <w:p w14:paraId="31820A1B">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名    称：</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w:t>
      </w:r>
    </w:p>
    <w:p w14:paraId="64CA87A5">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资质类别和等级：</w:t>
      </w:r>
      <w:r>
        <w:rPr>
          <w:rFonts w:hint="eastAsia" w:ascii="仿宋" w:hAnsi="仿宋" w:eastAsia="仿宋" w:cs="仿宋"/>
          <w:color w:val="auto"/>
          <w:sz w:val="21"/>
          <w:szCs w:val="21"/>
          <w:highlight w:val="none"/>
          <w:u w:val="single"/>
        </w:rPr>
        <w:t></w:t>
      </w:r>
      <w:r>
        <w:rPr>
          <w:rFonts w:hint="eastAsia" w:ascii="仿宋" w:hAnsi="仿宋" w:eastAsia="仿宋" w:cs="仿宋"/>
          <w:color w:val="auto"/>
          <w:sz w:val="21"/>
          <w:szCs w:val="21"/>
          <w:highlight w:val="none"/>
        </w:rPr>
        <w:t>；</w:t>
      </w:r>
    </w:p>
    <w:p w14:paraId="48C2BCFA">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联系方式：</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w:t>
      </w:r>
    </w:p>
    <w:p w14:paraId="71D89C35">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1.1.3 工程和设备</w:t>
      </w:r>
    </w:p>
    <w:p w14:paraId="1DED91D8">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1.1.3.7 作为施工现场组成部分的其他场所包括：</w:t>
      </w:r>
      <w:r>
        <w:rPr>
          <w:rFonts w:hint="eastAsia" w:ascii="仿宋" w:hAnsi="仿宋" w:eastAsia="仿宋" w:cs="仿宋"/>
          <w:color w:val="auto"/>
          <w:kern w:val="0"/>
          <w:sz w:val="21"/>
          <w:szCs w:val="21"/>
          <w:highlight w:val="none"/>
          <w:u w:val="single"/>
        </w:rPr>
        <w:t>永久占地、临时占地以及为修建临时工程而租用、占用的土地</w:t>
      </w:r>
      <w:r>
        <w:rPr>
          <w:rFonts w:hint="eastAsia" w:ascii="仿宋" w:hAnsi="仿宋" w:eastAsia="仿宋" w:cs="仿宋"/>
          <w:color w:val="auto"/>
          <w:sz w:val="21"/>
          <w:szCs w:val="21"/>
          <w:highlight w:val="none"/>
        </w:rPr>
        <w:t>。</w:t>
      </w:r>
    </w:p>
    <w:p w14:paraId="3E00D739">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1.1.3.9 永久占地包括：</w:t>
      </w:r>
      <w:r>
        <w:rPr>
          <w:rFonts w:hint="eastAsia" w:ascii="仿宋" w:hAnsi="仿宋" w:eastAsia="仿宋" w:cs="仿宋"/>
          <w:color w:val="auto"/>
          <w:kern w:val="0"/>
          <w:sz w:val="21"/>
          <w:szCs w:val="21"/>
          <w:highlight w:val="none"/>
          <w:u w:val="single"/>
        </w:rPr>
        <w:t>为实施合同工程而需要的一切永久占用的土地，即合同工程</w:t>
      </w:r>
      <w:r>
        <w:rPr>
          <w:rFonts w:hint="eastAsia" w:ascii="仿宋" w:hAnsi="仿宋" w:eastAsia="仿宋" w:cs="仿宋"/>
          <w:color w:val="auto"/>
          <w:sz w:val="21"/>
          <w:szCs w:val="21"/>
          <w:highlight w:val="none"/>
          <w:u w:val="single"/>
        </w:rPr>
        <w:t>用地红线范围内的土地</w:t>
      </w:r>
      <w:r>
        <w:rPr>
          <w:rFonts w:hint="eastAsia" w:ascii="仿宋" w:hAnsi="仿宋" w:eastAsia="仿宋" w:cs="仿宋"/>
          <w:color w:val="auto"/>
          <w:sz w:val="21"/>
          <w:szCs w:val="21"/>
          <w:highlight w:val="none"/>
        </w:rPr>
        <w:t>。</w:t>
      </w:r>
    </w:p>
    <w:p w14:paraId="414D71AF">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1.1.3.10 临时占地包括：</w:t>
      </w:r>
      <w:r>
        <w:rPr>
          <w:rFonts w:hint="eastAsia" w:ascii="仿宋" w:hAnsi="仿宋" w:eastAsia="仿宋" w:cs="仿宋"/>
          <w:color w:val="auto"/>
          <w:sz w:val="21"/>
          <w:szCs w:val="21"/>
          <w:highlight w:val="none"/>
          <w:u w:val="single"/>
        </w:rPr>
        <w:t>为实施合同工程而需要</w:t>
      </w:r>
      <w:r>
        <w:rPr>
          <w:rFonts w:hint="eastAsia" w:ascii="仿宋" w:hAnsi="仿宋" w:eastAsia="仿宋" w:cs="仿宋"/>
          <w:color w:val="auto"/>
          <w:kern w:val="0"/>
          <w:sz w:val="21"/>
          <w:szCs w:val="21"/>
          <w:highlight w:val="none"/>
          <w:u w:val="single"/>
        </w:rPr>
        <w:t>的一切</w:t>
      </w:r>
      <w:r>
        <w:rPr>
          <w:rFonts w:hint="eastAsia" w:ascii="仿宋" w:hAnsi="仿宋" w:eastAsia="仿宋" w:cs="仿宋"/>
          <w:color w:val="auto"/>
          <w:sz w:val="21"/>
          <w:szCs w:val="21"/>
          <w:highlight w:val="none"/>
          <w:u w:val="single"/>
        </w:rPr>
        <w:t>临时占用的土地，包括施工所用的临时便道等的临时出入道，以及生产（办公）、生活等临时设施用地</w:t>
      </w:r>
      <w:r>
        <w:rPr>
          <w:rFonts w:hint="eastAsia" w:ascii="仿宋" w:hAnsi="仿宋" w:eastAsia="仿宋" w:cs="仿宋"/>
          <w:color w:val="auto"/>
          <w:sz w:val="21"/>
          <w:szCs w:val="21"/>
          <w:highlight w:val="none"/>
        </w:rPr>
        <w:t>。</w:t>
      </w:r>
    </w:p>
    <w:p w14:paraId="530F2775">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1.1.6 其他</w:t>
      </w:r>
    </w:p>
    <w:p w14:paraId="07698807">
      <w:pPr>
        <w:spacing w:line="440" w:lineRule="exact"/>
        <w:ind w:firstLine="420" w:firstLineChars="200"/>
        <w:jc w:val="left"/>
        <w:rPr>
          <w:rFonts w:hint="eastAsia" w:ascii="仿宋" w:hAnsi="仿宋" w:eastAsia="仿宋" w:cs="仿宋"/>
          <w:color w:val="auto"/>
          <w:sz w:val="21"/>
          <w:szCs w:val="21"/>
          <w:highlight w:val="none"/>
        </w:rPr>
      </w:pPr>
      <w:bookmarkStart w:id="1254" w:name="_Hlk528927262"/>
      <w:r>
        <w:rPr>
          <w:rFonts w:hint="eastAsia" w:ascii="仿宋" w:hAnsi="仿宋" w:eastAsia="仿宋" w:cs="仿宋"/>
          <w:color w:val="auto"/>
          <w:sz w:val="21"/>
          <w:szCs w:val="21"/>
          <w:highlight w:val="none"/>
        </w:rPr>
        <w:t>本项补充1.1.6.2～1.1.6.3目：</w:t>
      </w:r>
    </w:p>
    <w:p w14:paraId="769423D2">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1.1.6.2 转包、违法分包及挂靠：指符合《住房和城乡建设部关于印发建筑工程施工发包与承包违法行为认定查处管理办法的通知》（建市规〔2019〕1号）规定认定条件的</w:t>
      </w:r>
      <w:r>
        <w:rPr>
          <w:rFonts w:hint="eastAsia" w:ascii="仿宋" w:hAnsi="仿宋" w:eastAsia="仿宋" w:cs="仿宋"/>
          <w:color w:val="auto"/>
          <w:kern w:val="0"/>
          <w:sz w:val="21"/>
          <w:szCs w:val="21"/>
          <w:highlight w:val="none"/>
        </w:rPr>
        <w:t>违法行为</w:t>
      </w:r>
      <w:r>
        <w:rPr>
          <w:rFonts w:hint="eastAsia" w:ascii="仿宋" w:hAnsi="仿宋" w:eastAsia="仿宋" w:cs="仿宋"/>
          <w:color w:val="auto"/>
          <w:sz w:val="21"/>
          <w:szCs w:val="21"/>
          <w:highlight w:val="none"/>
        </w:rPr>
        <w:t>。</w:t>
      </w:r>
    </w:p>
    <w:bookmarkEnd w:id="1254"/>
    <w:p w14:paraId="2C2F20BB">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1.1.6.3 危险性较大的分部分项工程（以下简称“危大工程”）：指住房和城乡建设部令第37号《危险性较大的分部分项工程安全管理规定》规定的房屋建筑和市政基础设施工程在施工过程中，容易导致人员群死群伤或者造成重大经济损失的分部分项工程。危大工程及超过一定规模的危大工程范围以国务院住房城乡建设主管部门制定及重庆市住房和城乡建设委员会补充的范围为准。</w:t>
      </w:r>
    </w:p>
    <w:p w14:paraId="27078013">
      <w:pPr>
        <w:widowControl/>
        <w:spacing w:line="440" w:lineRule="exact"/>
        <w:ind w:firstLine="422" w:firstLineChars="200"/>
        <w:jc w:val="left"/>
        <w:outlineLvl w:val="4"/>
        <w:rPr>
          <w:rFonts w:hint="eastAsia" w:ascii="仿宋" w:hAnsi="仿宋" w:eastAsia="仿宋" w:cs="仿宋"/>
          <w:b/>
          <w:bCs/>
          <w:color w:val="auto"/>
          <w:kern w:val="0"/>
          <w:sz w:val="21"/>
          <w:szCs w:val="21"/>
          <w:highlight w:val="none"/>
        </w:rPr>
      </w:pPr>
      <w:bookmarkStart w:id="1255" w:name="_Toc532377323"/>
      <w:r>
        <w:rPr>
          <w:rFonts w:hint="eastAsia" w:ascii="仿宋" w:hAnsi="仿宋" w:eastAsia="仿宋" w:cs="仿宋"/>
          <w:b/>
          <w:bCs/>
          <w:color w:val="auto"/>
          <w:kern w:val="0"/>
          <w:sz w:val="21"/>
          <w:szCs w:val="21"/>
          <w:highlight w:val="none"/>
        </w:rPr>
        <w:t>1.4 标准和规范</w:t>
      </w:r>
      <w:bookmarkEnd w:id="1255"/>
    </w:p>
    <w:p w14:paraId="65C92015">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1.4.1 适用于工程的标准规范包括：</w:t>
      </w:r>
    </w:p>
    <w:p w14:paraId="6FE0B4E5">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（1）施工图所涉及的技术标准、规范、规程、图集等；</w:t>
      </w:r>
    </w:p>
    <w:p w14:paraId="1A88AB48">
      <w:pPr>
        <w:spacing w:line="440" w:lineRule="exact"/>
        <w:ind w:firstLine="420" w:firstLineChars="200"/>
        <w:jc w:val="left"/>
        <w:rPr>
          <w:rFonts w:hint="eastAsia" w:ascii="仿宋" w:hAnsi="仿宋" w:eastAsia="仿宋" w:cs="仿宋"/>
          <w:color w:val="auto"/>
          <w:sz w:val="21"/>
          <w:szCs w:val="21"/>
          <w:highlight w:val="none"/>
          <w:u w:val="single"/>
        </w:rPr>
      </w:pPr>
      <w:r>
        <w:rPr>
          <w:rFonts w:hint="eastAsia" w:ascii="仿宋" w:hAnsi="仿宋" w:eastAsia="仿宋" w:cs="仿宋"/>
          <w:color w:val="auto"/>
          <w:sz w:val="21"/>
          <w:szCs w:val="21"/>
          <w:highlight w:val="none"/>
        </w:rPr>
        <w:t>（2）国家、行业或重庆市与本工程有关的标准，以及相应的规范、规程等，当这些标准、规范、规程不一致时，以标准、规范、规程要求最高的为准。</w:t>
      </w:r>
    </w:p>
    <w:p w14:paraId="081FA6D3">
      <w:pPr>
        <w:spacing w:line="440" w:lineRule="exact"/>
        <w:ind w:firstLine="420" w:firstLineChars="200"/>
        <w:jc w:val="left"/>
        <w:rPr>
          <w:rFonts w:hint="eastAsia" w:ascii="仿宋" w:hAnsi="仿宋" w:eastAsia="仿宋" w:cs="仿宋"/>
          <w:color w:val="auto"/>
          <w:sz w:val="21"/>
          <w:szCs w:val="21"/>
          <w:highlight w:val="none"/>
          <w:u w:val="single"/>
        </w:rPr>
      </w:pPr>
      <w:r>
        <w:rPr>
          <w:rFonts w:hint="eastAsia" w:ascii="仿宋" w:hAnsi="仿宋" w:eastAsia="仿宋" w:cs="仿宋"/>
          <w:color w:val="auto"/>
          <w:sz w:val="21"/>
          <w:szCs w:val="21"/>
          <w:highlight w:val="none"/>
        </w:rPr>
        <w:t>（3）</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w:t>
      </w:r>
    </w:p>
    <w:p w14:paraId="414FB2EF">
      <w:pPr>
        <w:spacing w:line="440" w:lineRule="exact"/>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1.4.2 发包人提供国外标准、规范的名称：</w:t>
      </w:r>
      <w:r>
        <w:rPr>
          <w:rFonts w:hint="eastAsia" w:ascii="仿宋" w:hAnsi="仿宋" w:eastAsia="仿宋" w:cs="仿宋"/>
          <w:color w:val="auto"/>
          <w:kern w:val="0"/>
          <w:sz w:val="21"/>
          <w:szCs w:val="21"/>
          <w:highlight w:val="none"/>
          <w:u w:val="single"/>
        </w:rPr>
        <w:t xml:space="preserve"> / </w:t>
      </w:r>
      <w:r>
        <w:rPr>
          <w:rFonts w:hint="eastAsia" w:ascii="仿宋" w:hAnsi="仿宋" w:eastAsia="仿宋" w:cs="仿宋"/>
          <w:color w:val="auto"/>
          <w:kern w:val="0"/>
          <w:sz w:val="21"/>
          <w:szCs w:val="21"/>
          <w:highlight w:val="none"/>
        </w:rPr>
        <w:t>；</w:t>
      </w:r>
    </w:p>
    <w:p w14:paraId="29906333">
      <w:pPr>
        <w:spacing w:line="440" w:lineRule="exact"/>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发包人提供国外标准、规范的份数：</w:t>
      </w:r>
      <w:r>
        <w:rPr>
          <w:rFonts w:hint="eastAsia" w:ascii="仿宋" w:hAnsi="仿宋" w:eastAsia="仿宋" w:cs="仿宋"/>
          <w:color w:val="auto"/>
          <w:kern w:val="0"/>
          <w:sz w:val="21"/>
          <w:szCs w:val="21"/>
          <w:highlight w:val="none"/>
          <w:u w:val="single"/>
        </w:rPr>
        <w:t xml:space="preserve"> / </w:t>
      </w:r>
      <w:r>
        <w:rPr>
          <w:rFonts w:hint="eastAsia" w:ascii="仿宋" w:hAnsi="仿宋" w:eastAsia="仿宋" w:cs="仿宋"/>
          <w:color w:val="auto"/>
          <w:kern w:val="0"/>
          <w:sz w:val="21"/>
          <w:szCs w:val="21"/>
          <w:highlight w:val="none"/>
        </w:rPr>
        <w:t>；</w:t>
      </w:r>
    </w:p>
    <w:p w14:paraId="233A7658">
      <w:pPr>
        <w:spacing w:line="440" w:lineRule="exact"/>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发包人提供国外标准、规范的名称：</w:t>
      </w:r>
      <w:r>
        <w:rPr>
          <w:rFonts w:hint="eastAsia" w:ascii="仿宋" w:hAnsi="仿宋" w:eastAsia="仿宋" w:cs="仿宋"/>
          <w:color w:val="auto"/>
          <w:kern w:val="0"/>
          <w:sz w:val="21"/>
          <w:szCs w:val="21"/>
          <w:highlight w:val="none"/>
          <w:u w:val="single"/>
        </w:rPr>
        <w:t xml:space="preserve"> / </w:t>
      </w:r>
      <w:r>
        <w:rPr>
          <w:rFonts w:hint="eastAsia" w:ascii="仿宋" w:hAnsi="仿宋" w:eastAsia="仿宋" w:cs="仿宋"/>
          <w:color w:val="auto"/>
          <w:kern w:val="0"/>
          <w:sz w:val="21"/>
          <w:szCs w:val="21"/>
          <w:highlight w:val="none"/>
        </w:rPr>
        <w:t>。</w:t>
      </w:r>
    </w:p>
    <w:p w14:paraId="14DAC724">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1.4.3 发包人对工程的技术标准和功能要求的特殊要求：</w:t>
      </w:r>
      <w:r>
        <w:rPr>
          <w:rFonts w:hint="eastAsia" w:ascii="仿宋" w:hAnsi="仿宋" w:eastAsia="仿宋" w:cs="仿宋"/>
          <w:color w:val="auto"/>
          <w:kern w:val="0"/>
          <w:sz w:val="21"/>
          <w:szCs w:val="21"/>
          <w:highlight w:val="none"/>
          <w:u w:val="single"/>
        </w:rPr>
        <w:t xml:space="preserve">/ </w:t>
      </w:r>
      <w:r>
        <w:rPr>
          <w:rFonts w:hint="eastAsia" w:ascii="仿宋" w:hAnsi="仿宋" w:eastAsia="仿宋" w:cs="仿宋"/>
          <w:color w:val="auto"/>
          <w:sz w:val="21"/>
          <w:szCs w:val="21"/>
          <w:highlight w:val="none"/>
        </w:rPr>
        <w:t>。</w:t>
      </w:r>
    </w:p>
    <w:p w14:paraId="28167A42">
      <w:pPr>
        <w:widowControl/>
        <w:spacing w:line="440" w:lineRule="exact"/>
        <w:ind w:firstLine="422" w:firstLineChars="200"/>
        <w:jc w:val="left"/>
        <w:outlineLvl w:val="4"/>
        <w:rPr>
          <w:rFonts w:hint="eastAsia" w:ascii="仿宋" w:hAnsi="仿宋" w:eastAsia="仿宋" w:cs="仿宋"/>
          <w:b/>
          <w:bCs/>
          <w:color w:val="auto"/>
          <w:kern w:val="0"/>
          <w:sz w:val="21"/>
          <w:szCs w:val="21"/>
          <w:highlight w:val="none"/>
        </w:rPr>
      </w:pPr>
      <w:bookmarkStart w:id="1256" w:name="_Toc532377324"/>
      <w:r>
        <w:rPr>
          <w:rFonts w:hint="eastAsia" w:ascii="仿宋" w:hAnsi="仿宋" w:eastAsia="仿宋" w:cs="仿宋"/>
          <w:b/>
          <w:bCs/>
          <w:color w:val="auto"/>
          <w:kern w:val="0"/>
          <w:sz w:val="21"/>
          <w:szCs w:val="21"/>
          <w:highlight w:val="none"/>
        </w:rPr>
        <w:t>1.5 合同文件的优先顺序</w:t>
      </w:r>
      <w:bookmarkEnd w:id="1256"/>
    </w:p>
    <w:p w14:paraId="015D0914">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合同文件组成及优先顺序为：</w:t>
      </w:r>
      <w:r>
        <w:rPr>
          <w:rFonts w:hint="eastAsia" w:ascii="仿宋" w:hAnsi="仿宋" w:eastAsia="仿宋" w:cs="仿宋"/>
          <w:color w:val="auto"/>
          <w:sz w:val="21"/>
          <w:szCs w:val="21"/>
          <w:highlight w:val="none"/>
          <w:u w:val="single"/>
        </w:rPr>
        <w:t>按照合同协议书</w:t>
      </w:r>
      <w:r>
        <w:rPr>
          <w:rFonts w:hint="eastAsia" w:ascii="仿宋" w:hAnsi="仿宋" w:eastAsia="仿宋" w:cs="仿宋"/>
          <w:bCs/>
          <w:color w:val="auto"/>
          <w:sz w:val="21"/>
          <w:szCs w:val="21"/>
          <w:highlight w:val="none"/>
          <w:u w:val="single"/>
        </w:rPr>
        <w:t>〔</w:t>
      </w:r>
      <w:r>
        <w:rPr>
          <w:rFonts w:hint="eastAsia" w:ascii="仿宋" w:hAnsi="仿宋" w:eastAsia="仿宋" w:cs="仿宋"/>
          <w:color w:val="auto"/>
          <w:sz w:val="21"/>
          <w:szCs w:val="21"/>
          <w:highlight w:val="none"/>
          <w:u w:val="single"/>
        </w:rPr>
        <w:t>第六条</w:t>
      </w:r>
      <w:r>
        <w:rPr>
          <w:rFonts w:hint="eastAsia" w:ascii="仿宋" w:hAnsi="仿宋" w:eastAsia="仿宋" w:cs="仿宋"/>
          <w:bCs/>
          <w:color w:val="auto"/>
          <w:sz w:val="21"/>
          <w:szCs w:val="21"/>
          <w:highlight w:val="none"/>
          <w:u w:val="single"/>
        </w:rPr>
        <w:t>〕</w:t>
      </w:r>
      <w:r>
        <w:rPr>
          <w:rFonts w:hint="eastAsia" w:ascii="仿宋" w:hAnsi="仿宋" w:eastAsia="仿宋" w:cs="仿宋"/>
          <w:color w:val="auto"/>
          <w:sz w:val="21"/>
          <w:szCs w:val="21"/>
          <w:highlight w:val="none"/>
          <w:u w:val="single"/>
        </w:rPr>
        <w:t>约定执行</w:t>
      </w:r>
      <w:r>
        <w:rPr>
          <w:rFonts w:hint="eastAsia" w:ascii="仿宋" w:hAnsi="仿宋" w:eastAsia="仿宋" w:cs="仿宋"/>
          <w:color w:val="auto"/>
          <w:sz w:val="21"/>
          <w:szCs w:val="21"/>
          <w:highlight w:val="none"/>
        </w:rPr>
        <w:t>。</w:t>
      </w:r>
    </w:p>
    <w:p w14:paraId="6931E23C">
      <w:pPr>
        <w:widowControl/>
        <w:spacing w:line="440" w:lineRule="exact"/>
        <w:ind w:firstLine="422" w:firstLineChars="200"/>
        <w:jc w:val="left"/>
        <w:outlineLvl w:val="4"/>
        <w:rPr>
          <w:rFonts w:hint="eastAsia" w:ascii="仿宋" w:hAnsi="仿宋" w:eastAsia="仿宋" w:cs="仿宋"/>
          <w:b/>
          <w:bCs/>
          <w:color w:val="auto"/>
          <w:kern w:val="0"/>
          <w:sz w:val="21"/>
          <w:szCs w:val="21"/>
          <w:highlight w:val="none"/>
        </w:rPr>
      </w:pPr>
      <w:bookmarkStart w:id="1257" w:name="_Toc532377325"/>
      <w:r>
        <w:rPr>
          <w:rFonts w:hint="eastAsia" w:ascii="仿宋" w:hAnsi="仿宋" w:eastAsia="仿宋" w:cs="仿宋"/>
          <w:b/>
          <w:bCs/>
          <w:color w:val="auto"/>
          <w:kern w:val="0"/>
          <w:sz w:val="21"/>
          <w:szCs w:val="21"/>
          <w:highlight w:val="none"/>
        </w:rPr>
        <w:t>1.6 图纸和承包人文件</w:t>
      </w:r>
      <w:bookmarkEnd w:id="1257"/>
    </w:p>
    <w:p w14:paraId="39C10AD0">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1.6.1 图纸的提供和交底</w:t>
      </w:r>
    </w:p>
    <w:p w14:paraId="3DC8ABE6">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发包人向承包人提供图纸的期限：</w:t>
      </w:r>
      <w:r>
        <w:rPr>
          <w:rFonts w:hint="eastAsia" w:ascii="仿宋" w:hAnsi="仿宋" w:eastAsia="仿宋" w:cs="仿宋"/>
          <w:color w:val="auto"/>
          <w:sz w:val="21"/>
          <w:szCs w:val="21"/>
          <w:highlight w:val="none"/>
          <w:u w:val="single"/>
        </w:rPr>
        <w:t>通用合同条款第7.3.2款</w:t>
      </w:r>
      <w:r>
        <w:rPr>
          <w:rFonts w:hint="eastAsia" w:ascii="仿宋" w:hAnsi="仿宋" w:eastAsia="仿宋" w:cs="仿宋"/>
          <w:bCs/>
          <w:color w:val="auto"/>
          <w:sz w:val="21"/>
          <w:szCs w:val="21"/>
          <w:highlight w:val="none"/>
          <w:u w:val="single"/>
        </w:rPr>
        <w:t>〔</w:t>
      </w:r>
      <w:r>
        <w:rPr>
          <w:rFonts w:hint="eastAsia" w:ascii="仿宋" w:hAnsi="仿宋" w:eastAsia="仿宋" w:cs="仿宋"/>
          <w:color w:val="auto"/>
          <w:sz w:val="21"/>
          <w:szCs w:val="21"/>
          <w:highlight w:val="none"/>
          <w:u w:val="single"/>
        </w:rPr>
        <w:t>开工通知</w:t>
      </w:r>
      <w:r>
        <w:rPr>
          <w:rFonts w:hint="eastAsia" w:ascii="仿宋" w:hAnsi="仿宋" w:eastAsia="仿宋" w:cs="仿宋"/>
          <w:bCs/>
          <w:color w:val="auto"/>
          <w:sz w:val="21"/>
          <w:szCs w:val="21"/>
          <w:highlight w:val="none"/>
          <w:u w:val="single"/>
        </w:rPr>
        <w:t>〕</w:t>
      </w:r>
      <w:r>
        <w:rPr>
          <w:rFonts w:hint="eastAsia" w:ascii="仿宋" w:hAnsi="仿宋" w:eastAsia="仿宋" w:cs="仿宋"/>
          <w:color w:val="auto"/>
          <w:sz w:val="21"/>
          <w:szCs w:val="21"/>
          <w:highlight w:val="none"/>
          <w:u w:val="single"/>
        </w:rPr>
        <w:t>载明的开工日期前14天</w:t>
      </w:r>
      <w:r>
        <w:rPr>
          <w:rFonts w:hint="eastAsia" w:ascii="仿宋" w:hAnsi="仿宋" w:eastAsia="仿宋" w:cs="仿宋"/>
          <w:color w:val="auto"/>
          <w:sz w:val="21"/>
          <w:szCs w:val="21"/>
          <w:highlight w:val="none"/>
        </w:rPr>
        <w:t>；</w:t>
      </w:r>
    </w:p>
    <w:p w14:paraId="56776454">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发包人向承包人提供图纸的数量：</w:t>
      </w:r>
      <w:r>
        <w:rPr>
          <w:rFonts w:hint="eastAsia" w:ascii="仿宋" w:hAnsi="仿宋" w:eastAsia="仿宋" w:cs="仿宋"/>
          <w:color w:val="auto"/>
          <w:sz w:val="21"/>
          <w:szCs w:val="21"/>
          <w:highlight w:val="none"/>
          <w:u w:val="single"/>
        </w:rPr>
        <w:t xml:space="preserve">  套</w:t>
      </w:r>
      <w:r>
        <w:rPr>
          <w:rFonts w:hint="eastAsia" w:ascii="仿宋" w:hAnsi="仿宋" w:eastAsia="仿宋" w:cs="仿宋"/>
          <w:color w:val="auto"/>
          <w:sz w:val="21"/>
          <w:szCs w:val="21"/>
          <w:highlight w:val="none"/>
        </w:rPr>
        <w:t xml:space="preserve">； </w:t>
      </w:r>
    </w:p>
    <w:p w14:paraId="3D50D92F">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发包人向承包人提供图纸的内容：</w:t>
      </w:r>
      <w:r>
        <w:rPr>
          <w:rFonts w:hint="eastAsia" w:ascii="仿宋" w:hAnsi="仿宋" w:eastAsia="仿宋" w:cs="仿宋"/>
          <w:color w:val="auto"/>
          <w:sz w:val="21"/>
          <w:szCs w:val="21"/>
          <w:highlight w:val="none"/>
          <w:u w:val="single"/>
        </w:rPr>
        <w:t>/</w:t>
      </w:r>
      <w:r>
        <w:rPr>
          <w:rFonts w:hint="eastAsia" w:ascii="仿宋" w:hAnsi="仿宋" w:eastAsia="仿宋" w:cs="仿宋"/>
          <w:color w:val="auto"/>
          <w:sz w:val="21"/>
          <w:szCs w:val="21"/>
          <w:highlight w:val="none"/>
        </w:rPr>
        <w:t>；</w:t>
      </w:r>
    </w:p>
    <w:p w14:paraId="61A8C4C7">
      <w:pPr>
        <w:spacing w:line="440" w:lineRule="exact"/>
        <w:ind w:firstLine="420" w:firstLineChars="200"/>
        <w:jc w:val="left"/>
        <w:rPr>
          <w:rFonts w:hint="eastAsia" w:ascii="仿宋" w:hAnsi="仿宋" w:eastAsia="仿宋" w:cs="仿宋"/>
          <w:color w:val="auto"/>
          <w:sz w:val="21"/>
          <w:szCs w:val="21"/>
          <w:highlight w:val="none"/>
          <w:u w:val="single"/>
        </w:rPr>
      </w:pPr>
      <w:r>
        <w:rPr>
          <w:rFonts w:hint="eastAsia" w:ascii="仿宋" w:hAnsi="仿宋" w:eastAsia="仿宋" w:cs="仿宋"/>
          <w:color w:val="auto"/>
          <w:sz w:val="21"/>
          <w:szCs w:val="21"/>
          <w:highlight w:val="none"/>
        </w:rPr>
        <w:t>发包人组织承包人、监理人和设计人进行图纸会审和设计交底的时间：</w:t>
      </w:r>
      <w:r>
        <w:rPr>
          <w:rFonts w:hint="eastAsia" w:ascii="仿宋" w:hAnsi="仿宋" w:eastAsia="仿宋" w:cs="仿宋"/>
          <w:color w:val="auto"/>
          <w:sz w:val="21"/>
          <w:szCs w:val="21"/>
          <w:highlight w:val="none"/>
          <w:u w:val="single"/>
        </w:rPr>
        <w:t>/。</w:t>
      </w:r>
    </w:p>
    <w:p w14:paraId="2291E4EE">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1.6.2 图纸的错误</w:t>
      </w:r>
    </w:p>
    <w:p w14:paraId="520841BF">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承包人在收到发包人提供的图纸后，承包人应对收到的图纸进行仔细核查，并在开始施工前，将发现的图纸存在的差错、遗漏或缺陷及时通知监理人。监理人接到该通知后，应附相关意见并立即报送发包人，发包人应在收到监理人报送的通知后作出决定。</w:t>
      </w:r>
    </w:p>
    <w:p w14:paraId="21CF1A93">
      <w:pPr>
        <w:spacing w:line="440" w:lineRule="exact"/>
        <w:ind w:firstLine="420" w:firstLineChars="200"/>
        <w:jc w:val="left"/>
        <w:rPr>
          <w:rFonts w:hint="eastAsia" w:ascii="仿宋" w:hAnsi="仿宋" w:eastAsia="仿宋" w:cs="仿宋"/>
          <w:color w:val="auto"/>
          <w:sz w:val="21"/>
          <w:szCs w:val="21"/>
          <w:highlight w:val="none"/>
          <w:u w:val="single"/>
        </w:rPr>
      </w:pPr>
      <w:r>
        <w:rPr>
          <w:rFonts w:hint="eastAsia" w:ascii="仿宋" w:hAnsi="仿宋" w:eastAsia="仿宋" w:cs="仿宋"/>
          <w:color w:val="auto"/>
          <w:sz w:val="21"/>
          <w:szCs w:val="21"/>
          <w:highlight w:val="none"/>
        </w:rPr>
        <w:t>承包人不得利用图纸的差错、遗漏或缺陷，从中获得不正当的利益。</w:t>
      </w:r>
    </w:p>
    <w:p w14:paraId="213B393E">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1.6.4 承包人文件</w:t>
      </w:r>
    </w:p>
    <w:p w14:paraId="780FD011">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需要由承包人提供的书面文件，包括：</w:t>
      </w:r>
      <w:r>
        <w:rPr>
          <w:rFonts w:hint="eastAsia" w:ascii="仿宋" w:hAnsi="仿宋" w:eastAsia="仿宋" w:cs="仿宋"/>
          <w:color w:val="auto"/>
          <w:sz w:val="21"/>
          <w:szCs w:val="21"/>
          <w:highlight w:val="none"/>
          <w:u w:val="single"/>
        </w:rPr>
        <w:t>施工组织设计、专项施工方案、危险性较大分部分项工程施工方案（如有）、安全应急方案、进度计划、报表及计划、竣工资料及施工过程中因工程变更需要报送的施工方案、施工过程中涉及工程价款变更的相关资料、完整的竣工结算资料等</w:t>
      </w:r>
      <w:r>
        <w:rPr>
          <w:rFonts w:hint="eastAsia" w:ascii="仿宋" w:hAnsi="仿宋" w:eastAsia="仿宋" w:cs="仿宋"/>
          <w:color w:val="auto"/>
          <w:sz w:val="21"/>
          <w:szCs w:val="21"/>
          <w:highlight w:val="none"/>
        </w:rPr>
        <w:t>。</w:t>
      </w:r>
    </w:p>
    <w:p w14:paraId="11AE267F">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承包人提供文件的期限、数量：</w:t>
      </w:r>
    </w:p>
    <w:p w14:paraId="61079599">
      <w:pPr>
        <w:spacing w:line="440" w:lineRule="exact"/>
        <w:ind w:firstLine="420" w:firstLineChars="200"/>
        <w:jc w:val="left"/>
        <w:rPr>
          <w:rFonts w:hint="eastAsia" w:ascii="仿宋" w:hAnsi="仿宋" w:eastAsia="仿宋" w:cs="仿宋"/>
          <w:color w:val="auto"/>
          <w:sz w:val="21"/>
          <w:szCs w:val="21"/>
          <w:highlight w:val="none"/>
          <w:u w:val="single"/>
        </w:rPr>
      </w:pPr>
      <w:r>
        <w:rPr>
          <w:rFonts w:hint="eastAsia" w:ascii="仿宋" w:hAnsi="仿宋" w:eastAsia="仿宋" w:cs="仿宋"/>
          <w:color w:val="auto"/>
          <w:sz w:val="21"/>
          <w:szCs w:val="21"/>
          <w:highlight w:val="none"/>
        </w:rPr>
        <w:t>（1）</w:t>
      </w:r>
      <w:r>
        <w:rPr>
          <w:rFonts w:hint="eastAsia" w:ascii="仿宋" w:hAnsi="仿宋" w:eastAsia="仿宋" w:cs="仿宋"/>
          <w:color w:val="auto"/>
          <w:sz w:val="21"/>
          <w:szCs w:val="21"/>
          <w:highlight w:val="none"/>
          <w:u w:val="single"/>
        </w:rPr>
        <w:t>图纸会审及设计交底后7天内，向监理人、发包人提交经优化完善的施工组织设计和工程总体进度计划及当年年度施工进度计划。进度计划安排必须符合发包人对本工程总体进度计划的安排。专项施工方案应在专项施工7日前通过审查（含专家论证）。施工组织设计和专项施工方案经监理人审批同意后执行。承包人应接受监理人、发包人对其提交的施工组织设计和专项施工方案中不合理的工期安排及技术措施、方案的修改意见，并修改完善后重新报批，直至获得批准</w:t>
      </w:r>
      <w:r>
        <w:rPr>
          <w:rFonts w:hint="eastAsia" w:ascii="仿宋" w:hAnsi="仿宋" w:eastAsia="仿宋" w:cs="仿宋"/>
          <w:color w:val="auto"/>
          <w:sz w:val="21"/>
          <w:szCs w:val="21"/>
          <w:highlight w:val="none"/>
        </w:rPr>
        <w:t>。</w:t>
      </w:r>
    </w:p>
    <w:p w14:paraId="7B030903">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w:t>
      </w:r>
      <w:r>
        <w:rPr>
          <w:rFonts w:hint="eastAsia" w:ascii="仿宋" w:hAnsi="仿宋" w:eastAsia="仿宋" w:cs="仿宋"/>
          <w:color w:val="auto"/>
          <w:sz w:val="21"/>
          <w:szCs w:val="21"/>
          <w:highlight w:val="none"/>
          <w:u w:val="single"/>
        </w:rPr>
        <w:t>每月  日前报送月工程进度完成报表</w:t>
      </w:r>
      <w:r>
        <w:rPr>
          <w:rFonts w:hint="eastAsia" w:ascii="仿宋" w:hAnsi="仿宋" w:eastAsia="仿宋" w:cs="仿宋"/>
          <w:color w:val="auto"/>
          <w:sz w:val="21"/>
          <w:szCs w:val="21"/>
          <w:highlight w:val="none"/>
        </w:rPr>
        <w:t>。</w:t>
      </w:r>
    </w:p>
    <w:p w14:paraId="3E7DB0A6">
      <w:pPr>
        <w:spacing w:line="440" w:lineRule="exact"/>
        <w:ind w:firstLine="420" w:firstLineChars="200"/>
        <w:jc w:val="left"/>
        <w:rPr>
          <w:rFonts w:hint="eastAsia" w:ascii="仿宋" w:hAnsi="仿宋" w:eastAsia="仿宋" w:cs="仿宋"/>
          <w:color w:val="auto"/>
          <w:sz w:val="21"/>
          <w:szCs w:val="21"/>
          <w:highlight w:val="none"/>
          <w:u w:val="single"/>
        </w:rPr>
      </w:pPr>
      <w:r>
        <w:rPr>
          <w:rFonts w:hint="eastAsia" w:ascii="仿宋" w:hAnsi="仿宋" w:eastAsia="仿宋" w:cs="仿宋"/>
          <w:color w:val="auto"/>
          <w:sz w:val="21"/>
          <w:szCs w:val="21"/>
          <w:highlight w:val="none"/>
        </w:rPr>
        <w:t>（3）合同另有约定的，按照其约定。</w:t>
      </w:r>
    </w:p>
    <w:p w14:paraId="76EEB42E">
      <w:pPr>
        <w:spacing w:line="440" w:lineRule="exact"/>
        <w:ind w:firstLine="420" w:firstLineChars="200"/>
        <w:jc w:val="left"/>
        <w:rPr>
          <w:rFonts w:hint="eastAsia" w:ascii="仿宋" w:hAnsi="仿宋" w:eastAsia="仿宋" w:cs="仿宋"/>
          <w:color w:val="auto"/>
          <w:sz w:val="21"/>
          <w:szCs w:val="21"/>
          <w:highlight w:val="none"/>
          <w:u w:val="single"/>
        </w:rPr>
      </w:pPr>
      <w:r>
        <w:rPr>
          <w:rFonts w:hint="eastAsia" w:ascii="仿宋" w:hAnsi="仿宋" w:eastAsia="仿宋" w:cs="仿宋"/>
          <w:color w:val="auto"/>
          <w:sz w:val="21"/>
          <w:szCs w:val="21"/>
          <w:highlight w:val="none"/>
        </w:rPr>
        <w:t>承包人提供的文件的形式：当书面文件与电子文档不一致的，以书面文件为准。监理人审批承包人文件的期限：</w:t>
      </w:r>
      <w:r>
        <w:rPr>
          <w:rFonts w:hint="eastAsia" w:ascii="仿宋" w:hAnsi="仿宋" w:eastAsia="仿宋" w:cs="仿宋"/>
          <w:color w:val="auto"/>
          <w:sz w:val="21"/>
          <w:szCs w:val="21"/>
          <w:highlight w:val="none"/>
          <w:u w:val="single"/>
        </w:rPr>
        <w:t>收到施工组织设计和工程总体进度计划及当年年度施工进度计划后7天内；合同另有约定的，从其约定</w:t>
      </w:r>
      <w:r>
        <w:rPr>
          <w:rFonts w:hint="eastAsia" w:ascii="仿宋" w:hAnsi="仿宋" w:eastAsia="仿宋" w:cs="仿宋"/>
          <w:color w:val="auto"/>
          <w:sz w:val="21"/>
          <w:szCs w:val="21"/>
          <w:highlight w:val="none"/>
        </w:rPr>
        <w:t>。</w:t>
      </w:r>
    </w:p>
    <w:p w14:paraId="3E834DC9">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承包人提供的文件的费用：</w:t>
      </w:r>
      <w:r>
        <w:rPr>
          <w:rFonts w:hint="eastAsia" w:ascii="仿宋" w:hAnsi="仿宋" w:eastAsia="仿宋" w:cs="仿宋"/>
          <w:color w:val="auto"/>
          <w:sz w:val="21"/>
          <w:szCs w:val="21"/>
          <w:highlight w:val="none"/>
          <w:u w:val="single"/>
        </w:rPr>
        <w:t>由承包人承担</w:t>
      </w:r>
      <w:r>
        <w:rPr>
          <w:rFonts w:hint="eastAsia" w:ascii="仿宋" w:hAnsi="仿宋" w:eastAsia="仿宋" w:cs="仿宋"/>
          <w:color w:val="auto"/>
          <w:sz w:val="21"/>
          <w:szCs w:val="21"/>
          <w:highlight w:val="none"/>
        </w:rPr>
        <w:t>。</w:t>
      </w:r>
    </w:p>
    <w:p w14:paraId="4E4BE246">
      <w:pPr>
        <w:spacing w:line="440" w:lineRule="exact"/>
        <w:ind w:firstLine="420" w:firstLineChars="200"/>
        <w:jc w:val="left"/>
        <w:rPr>
          <w:rFonts w:hint="eastAsia" w:ascii="仿宋" w:hAnsi="仿宋" w:eastAsia="仿宋" w:cs="仿宋"/>
          <w:color w:val="auto"/>
          <w:sz w:val="21"/>
          <w:szCs w:val="21"/>
          <w:highlight w:val="none"/>
          <w:u w:val="single"/>
        </w:rPr>
      </w:pPr>
      <w:r>
        <w:rPr>
          <w:rFonts w:hint="eastAsia" w:ascii="仿宋" w:hAnsi="仿宋" w:eastAsia="仿宋" w:cs="仿宋"/>
          <w:color w:val="auto"/>
          <w:sz w:val="21"/>
          <w:szCs w:val="21"/>
          <w:highlight w:val="none"/>
        </w:rPr>
        <w:t>发包人审批承包人文件的期限：</w:t>
      </w:r>
      <w:r>
        <w:rPr>
          <w:rFonts w:hint="eastAsia" w:ascii="仿宋" w:hAnsi="仿宋" w:eastAsia="仿宋" w:cs="仿宋"/>
          <w:color w:val="auto"/>
          <w:sz w:val="21"/>
          <w:szCs w:val="21"/>
          <w:highlight w:val="none"/>
          <w:u w:val="single"/>
        </w:rPr>
        <w:t>收到后14天内；合同另有约定的，从其约定</w:t>
      </w:r>
      <w:r>
        <w:rPr>
          <w:rFonts w:hint="eastAsia" w:ascii="仿宋" w:hAnsi="仿宋" w:eastAsia="仿宋" w:cs="仿宋"/>
          <w:color w:val="auto"/>
          <w:sz w:val="21"/>
          <w:szCs w:val="21"/>
          <w:highlight w:val="none"/>
        </w:rPr>
        <w:t>。</w:t>
      </w:r>
    </w:p>
    <w:p w14:paraId="5034717E">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u w:val="single"/>
        </w:rPr>
        <w:t>监理人、发包人的修改意见和审批，不免除或减轻承包人对该工作、工程、材料、工程设备等应承担的责任和义务</w:t>
      </w:r>
      <w:r>
        <w:rPr>
          <w:rFonts w:hint="eastAsia" w:ascii="仿宋" w:hAnsi="仿宋" w:eastAsia="仿宋" w:cs="仿宋"/>
          <w:color w:val="auto"/>
          <w:sz w:val="21"/>
          <w:szCs w:val="21"/>
          <w:highlight w:val="none"/>
        </w:rPr>
        <w:t>。</w:t>
      </w:r>
    </w:p>
    <w:p w14:paraId="06F2D55B">
      <w:pPr>
        <w:widowControl/>
        <w:spacing w:line="440" w:lineRule="exact"/>
        <w:ind w:firstLine="422" w:firstLineChars="200"/>
        <w:jc w:val="left"/>
        <w:outlineLvl w:val="4"/>
        <w:rPr>
          <w:rFonts w:hint="eastAsia" w:ascii="仿宋" w:hAnsi="仿宋" w:eastAsia="仿宋" w:cs="仿宋"/>
          <w:b/>
          <w:bCs/>
          <w:color w:val="auto"/>
          <w:kern w:val="0"/>
          <w:sz w:val="21"/>
          <w:szCs w:val="21"/>
          <w:highlight w:val="none"/>
        </w:rPr>
      </w:pPr>
      <w:bookmarkStart w:id="1258" w:name="_Toc532377326"/>
      <w:r>
        <w:rPr>
          <w:rFonts w:hint="eastAsia" w:ascii="仿宋" w:hAnsi="仿宋" w:eastAsia="仿宋" w:cs="仿宋"/>
          <w:b/>
          <w:bCs/>
          <w:color w:val="auto"/>
          <w:kern w:val="0"/>
          <w:sz w:val="21"/>
          <w:szCs w:val="21"/>
          <w:highlight w:val="none"/>
        </w:rPr>
        <w:t>1.7 联络</w:t>
      </w:r>
      <w:bookmarkEnd w:id="1258"/>
    </w:p>
    <w:p w14:paraId="2CEFAAB9">
      <w:pPr>
        <w:spacing w:line="440" w:lineRule="exact"/>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1.7.1 发包人和承包人应当在</w:t>
      </w:r>
      <w:r>
        <w:rPr>
          <w:rFonts w:hint="eastAsia" w:ascii="仿宋" w:hAnsi="仿宋" w:eastAsia="仿宋" w:cs="仿宋"/>
          <w:color w:val="auto"/>
          <w:sz w:val="21"/>
          <w:szCs w:val="21"/>
          <w:highlight w:val="none"/>
          <w:u w:val="single"/>
        </w:rPr>
        <w:t xml:space="preserve"> 1 </w:t>
      </w:r>
      <w:r>
        <w:rPr>
          <w:rFonts w:hint="eastAsia" w:ascii="仿宋" w:hAnsi="仿宋" w:eastAsia="仿宋" w:cs="仿宋"/>
          <w:color w:val="auto"/>
          <w:kern w:val="0"/>
          <w:sz w:val="21"/>
          <w:szCs w:val="21"/>
          <w:highlight w:val="none"/>
        </w:rPr>
        <w:t>天内将与合同有关的通知、批准、证明、证书、指示、指令、要求、请求、同意、意见、确定和决定等书面函件送达对方当事人，并办理书面签收手续。</w:t>
      </w:r>
    </w:p>
    <w:p w14:paraId="01754A8F">
      <w:pPr>
        <w:tabs>
          <w:tab w:val="left" w:pos="7513"/>
        </w:tabs>
        <w:spacing w:line="440" w:lineRule="exact"/>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1.7.2 发包人接收文件地点：</w:t>
      </w:r>
      <w:r>
        <w:rPr>
          <w:rFonts w:hint="eastAsia" w:ascii="仿宋" w:hAnsi="仿宋" w:eastAsia="仿宋" w:cs="仿宋"/>
          <w:color w:val="auto"/>
          <w:kern w:val="0"/>
          <w:sz w:val="21"/>
          <w:szCs w:val="21"/>
          <w:highlight w:val="none"/>
          <w:u w:val="single"/>
        </w:rPr>
        <w:t xml:space="preserve">                        </w:t>
      </w:r>
      <w:r>
        <w:rPr>
          <w:rFonts w:hint="eastAsia" w:ascii="仿宋" w:hAnsi="仿宋" w:eastAsia="仿宋" w:cs="仿宋"/>
          <w:color w:val="auto"/>
          <w:kern w:val="0"/>
          <w:sz w:val="21"/>
          <w:szCs w:val="21"/>
          <w:highlight w:val="none"/>
        </w:rPr>
        <w:t>；</w:t>
      </w:r>
    </w:p>
    <w:p w14:paraId="0BBA1124">
      <w:pPr>
        <w:spacing w:line="440" w:lineRule="exact"/>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发包人指定的接收人：</w:t>
      </w:r>
      <w:bookmarkStart w:id="1259" w:name="_Hlk528493983"/>
      <w:bookmarkEnd w:id="1259"/>
      <w:r>
        <w:rPr>
          <w:rFonts w:hint="eastAsia" w:ascii="仿宋" w:hAnsi="仿宋" w:eastAsia="仿宋" w:cs="仿宋"/>
          <w:color w:val="auto"/>
          <w:kern w:val="0"/>
          <w:sz w:val="21"/>
          <w:szCs w:val="21"/>
          <w:highlight w:val="none"/>
          <w:u w:val="single"/>
        </w:rPr>
        <w:t xml:space="preserve">                             </w:t>
      </w:r>
      <w:r>
        <w:rPr>
          <w:rFonts w:hint="eastAsia" w:ascii="仿宋" w:hAnsi="仿宋" w:eastAsia="仿宋" w:cs="仿宋"/>
          <w:color w:val="auto"/>
          <w:kern w:val="0"/>
          <w:sz w:val="21"/>
          <w:szCs w:val="21"/>
          <w:highlight w:val="none"/>
        </w:rPr>
        <w:t>；</w:t>
      </w:r>
    </w:p>
    <w:p w14:paraId="7C30469A">
      <w:pPr>
        <w:tabs>
          <w:tab w:val="left" w:pos="7513"/>
        </w:tabs>
        <w:spacing w:line="440" w:lineRule="exact"/>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承包人接收文件地点：</w:t>
      </w:r>
      <w:r>
        <w:rPr>
          <w:rFonts w:hint="eastAsia" w:ascii="仿宋" w:hAnsi="仿宋" w:eastAsia="仿宋" w:cs="仿宋"/>
          <w:color w:val="auto"/>
          <w:kern w:val="0"/>
          <w:sz w:val="21"/>
          <w:szCs w:val="21"/>
          <w:highlight w:val="none"/>
          <w:u w:val="single"/>
        </w:rPr>
        <w:t xml:space="preserve">                             </w:t>
      </w:r>
      <w:r>
        <w:rPr>
          <w:rFonts w:hint="eastAsia" w:ascii="仿宋" w:hAnsi="仿宋" w:eastAsia="仿宋" w:cs="仿宋"/>
          <w:color w:val="auto"/>
          <w:kern w:val="0"/>
          <w:sz w:val="21"/>
          <w:szCs w:val="21"/>
          <w:highlight w:val="none"/>
        </w:rPr>
        <w:t>；</w:t>
      </w:r>
    </w:p>
    <w:p w14:paraId="631173F2">
      <w:pPr>
        <w:spacing w:line="440" w:lineRule="exact"/>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承包人指定的接收人：</w:t>
      </w:r>
      <w:r>
        <w:rPr>
          <w:rFonts w:hint="eastAsia" w:ascii="仿宋" w:hAnsi="仿宋" w:eastAsia="仿宋" w:cs="仿宋"/>
          <w:color w:val="auto"/>
          <w:kern w:val="0"/>
          <w:sz w:val="21"/>
          <w:szCs w:val="21"/>
          <w:highlight w:val="none"/>
          <w:u w:val="single"/>
        </w:rPr>
        <w:t xml:space="preserve">                             </w:t>
      </w:r>
      <w:r>
        <w:rPr>
          <w:rFonts w:hint="eastAsia" w:ascii="仿宋" w:hAnsi="仿宋" w:eastAsia="仿宋" w:cs="仿宋"/>
          <w:color w:val="auto"/>
          <w:kern w:val="0"/>
          <w:sz w:val="21"/>
          <w:szCs w:val="21"/>
          <w:highlight w:val="none"/>
        </w:rPr>
        <w:t>；</w:t>
      </w:r>
    </w:p>
    <w:p w14:paraId="2F9A0606">
      <w:pPr>
        <w:tabs>
          <w:tab w:val="left" w:pos="7371"/>
        </w:tabs>
        <w:spacing w:line="440" w:lineRule="exact"/>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监理人接收文件地点：</w:t>
      </w:r>
      <w:r>
        <w:rPr>
          <w:rFonts w:hint="eastAsia" w:ascii="仿宋" w:hAnsi="仿宋" w:eastAsia="仿宋" w:cs="仿宋"/>
          <w:color w:val="auto"/>
          <w:kern w:val="0"/>
          <w:sz w:val="21"/>
          <w:szCs w:val="21"/>
          <w:highlight w:val="none"/>
          <w:u w:val="single"/>
        </w:rPr>
        <w:t xml:space="preserve">                             </w:t>
      </w:r>
      <w:r>
        <w:rPr>
          <w:rFonts w:hint="eastAsia" w:ascii="仿宋" w:hAnsi="仿宋" w:eastAsia="仿宋" w:cs="仿宋"/>
          <w:color w:val="auto"/>
          <w:kern w:val="0"/>
          <w:sz w:val="21"/>
          <w:szCs w:val="21"/>
          <w:highlight w:val="none"/>
        </w:rPr>
        <w:t>；</w:t>
      </w:r>
    </w:p>
    <w:p w14:paraId="42E5D85D">
      <w:pPr>
        <w:spacing w:line="440" w:lineRule="exact"/>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监理人指定的接收人：</w:t>
      </w:r>
      <w:r>
        <w:rPr>
          <w:rFonts w:hint="eastAsia" w:ascii="仿宋" w:hAnsi="仿宋" w:eastAsia="仿宋" w:cs="仿宋"/>
          <w:color w:val="auto"/>
          <w:kern w:val="0"/>
          <w:sz w:val="21"/>
          <w:szCs w:val="21"/>
          <w:highlight w:val="none"/>
          <w:u w:val="single"/>
        </w:rPr>
        <w:t xml:space="preserve">                             </w:t>
      </w:r>
      <w:r>
        <w:rPr>
          <w:rFonts w:hint="eastAsia" w:ascii="仿宋" w:hAnsi="仿宋" w:eastAsia="仿宋" w:cs="仿宋"/>
          <w:color w:val="auto"/>
          <w:kern w:val="0"/>
          <w:sz w:val="21"/>
          <w:szCs w:val="21"/>
          <w:highlight w:val="none"/>
        </w:rPr>
        <w:t>。</w:t>
      </w:r>
    </w:p>
    <w:p w14:paraId="06AA4CDE">
      <w:pPr>
        <w:widowControl/>
        <w:spacing w:line="440" w:lineRule="exact"/>
        <w:ind w:firstLine="422" w:firstLineChars="200"/>
        <w:jc w:val="left"/>
        <w:outlineLvl w:val="4"/>
        <w:rPr>
          <w:rFonts w:hint="eastAsia" w:ascii="仿宋" w:hAnsi="仿宋" w:eastAsia="仿宋" w:cs="仿宋"/>
          <w:b/>
          <w:bCs/>
          <w:color w:val="auto"/>
          <w:kern w:val="0"/>
          <w:sz w:val="21"/>
          <w:szCs w:val="21"/>
          <w:highlight w:val="none"/>
        </w:rPr>
      </w:pPr>
      <w:bookmarkStart w:id="1260" w:name="_Toc532377327"/>
      <w:r>
        <w:rPr>
          <w:rFonts w:hint="eastAsia" w:ascii="仿宋" w:hAnsi="仿宋" w:eastAsia="仿宋" w:cs="仿宋"/>
          <w:b/>
          <w:bCs/>
          <w:color w:val="auto"/>
          <w:kern w:val="0"/>
          <w:sz w:val="21"/>
          <w:szCs w:val="21"/>
          <w:highlight w:val="none"/>
        </w:rPr>
        <w:t>1.8 严禁贿赂</w:t>
      </w:r>
      <w:bookmarkEnd w:id="1260"/>
    </w:p>
    <w:p w14:paraId="4E539566">
      <w:pPr>
        <w:spacing w:line="440" w:lineRule="exact"/>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本款补充以下内容：</w:t>
      </w:r>
    </w:p>
    <w:p w14:paraId="77973F18">
      <w:pPr>
        <w:spacing w:line="440" w:lineRule="exact"/>
        <w:ind w:firstLine="420" w:firstLineChars="200"/>
        <w:jc w:val="left"/>
        <w:rPr>
          <w:rFonts w:hint="eastAsia" w:ascii="仿宋" w:hAnsi="仿宋" w:eastAsia="仿宋" w:cs="仿宋"/>
          <w:color w:val="auto"/>
          <w:kern w:val="0"/>
          <w:sz w:val="21"/>
          <w:szCs w:val="21"/>
          <w:highlight w:val="none"/>
          <w:u w:val="single"/>
        </w:rPr>
      </w:pPr>
      <w:r>
        <w:rPr>
          <w:rFonts w:hint="eastAsia" w:ascii="仿宋" w:hAnsi="仿宋" w:eastAsia="仿宋" w:cs="仿宋"/>
          <w:color w:val="auto"/>
          <w:kern w:val="0"/>
          <w:sz w:val="21"/>
          <w:szCs w:val="21"/>
          <w:highlight w:val="none"/>
        </w:rPr>
        <w:t>在合同执行过程中，合同当事人应严格履行附件8《廉洁从业协议》。</w:t>
      </w:r>
    </w:p>
    <w:p w14:paraId="005C8225">
      <w:pPr>
        <w:widowControl/>
        <w:spacing w:line="440" w:lineRule="exact"/>
        <w:ind w:firstLine="422" w:firstLineChars="200"/>
        <w:jc w:val="left"/>
        <w:outlineLvl w:val="4"/>
        <w:rPr>
          <w:rFonts w:hint="eastAsia" w:ascii="仿宋" w:hAnsi="仿宋" w:eastAsia="仿宋" w:cs="仿宋"/>
          <w:b/>
          <w:bCs/>
          <w:color w:val="auto"/>
          <w:kern w:val="0"/>
          <w:sz w:val="21"/>
          <w:szCs w:val="21"/>
          <w:highlight w:val="none"/>
        </w:rPr>
      </w:pPr>
      <w:bookmarkStart w:id="1261" w:name="_Toc532377328"/>
      <w:r>
        <w:rPr>
          <w:rFonts w:hint="eastAsia" w:ascii="仿宋" w:hAnsi="仿宋" w:eastAsia="仿宋" w:cs="仿宋"/>
          <w:b/>
          <w:bCs/>
          <w:color w:val="auto"/>
          <w:kern w:val="0"/>
          <w:sz w:val="21"/>
          <w:szCs w:val="21"/>
          <w:highlight w:val="none"/>
        </w:rPr>
        <w:t>1.10 交通运输</w:t>
      </w:r>
      <w:bookmarkEnd w:id="1261"/>
    </w:p>
    <w:p w14:paraId="77F973D2">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w:t>
      </w:r>
      <w:bookmarkStart w:id="1262" w:name="_Toc318581155"/>
      <w:bookmarkStart w:id="1263" w:name="_Toc312677986"/>
      <w:bookmarkStart w:id="1264" w:name="_Toc300934943"/>
      <w:bookmarkStart w:id="1265" w:name="_Toc303539100"/>
      <w:bookmarkStart w:id="1266" w:name="_Toc304295521"/>
      <w:r>
        <w:rPr>
          <w:rFonts w:hint="eastAsia" w:ascii="仿宋" w:hAnsi="仿宋" w:eastAsia="仿宋" w:cs="仿宋"/>
          <w:color w:val="auto"/>
          <w:sz w:val="21"/>
          <w:szCs w:val="21"/>
          <w:highlight w:val="none"/>
        </w:rPr>
        <w:t>.10.1 出入现场的权利</w:t>
      </w:r>
    </w:p>
    <w:p w14:paraId="37DD29D7">
      <w:pPr>
        <w:spacing w:line="440" w:lineRule="exact"/>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sz w:val="21"/>
          <w:szCs w:val="21"/>
          <w:highlight w:val="none"/>
        </w:rPr>
        <w:t>关于出入现场的权利的约定：</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w:t>
      </w:r>
    </w:p>
    <w:bookmarkEnd w:id="1262"/>
    <w:bookmarkEnd w:id="1263"/>
    <w:bookmarkEnd w:id="1264"/>
    <w:bookmarkEnd w:id="1265"/>
    <w:bookmarkEnd w:id="1266"/>
    <w:p w14:paraId="3A9AEA35">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1.10.2 场外交通</w:t>
      </w:r>
    </w:p>
    <w:p w14:paraId="6417C992">
      <w:pPr>
        <w:spacing w:line="440" w:lineRule="exact"/>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承包人应遵守有关交通法规，执行有关道路限速、限行、禁止超载的规定，并配合交通管理部门的监督和检查。场外交通以施工场地移交时的现状为准。</w:t>
      </w:r>
    </w:p>
    <w:p w14:paraId="7F9CC977">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w:t>
      </w:r>
      <w:bookmarkStart w:id="1267" w:name="_Toc312677987"/>
      <w:bookmarkStart w:id="1268" w:name="_Toc300934944"/>
      <w:bookmarkStart w:id="1269" w:name="_Toc303539101"/>
      <w:bookmarkStart w:id="1270" w:name="_Toc318581156"/>
      <w:bookmarkStart w:id="1271" w:name="_Toc304295522"/>
      <w:r>
        <w:rPr>
          <w:rFonts w:hint="eastAsia" w:ascii="仿宋" w:hAnsi="仿宋" w:eastAsia="仿宋" w:cs="仿宋"/>
          <w:color w:val="auto"/>
          <w:sz w:val="21"/>
          <w:szCs w:val="21"/>
          <w:highlight w:val="none"/>
        </w:rPr>
        <w:t>.10.3 场内交通</w:t>
      </w:r>
    </w:p>
    <w:p w14:paraId="3CE9DBDB">
      <w:pPr>
        <w:spacing w:line="440" w:lineRule="exact"/>
        <w:ind w:firstLine="420" w:firstLineChars="200"/>
        <w:jc w:val="left"/>
        <w:rPr>
          <w:rFonts w:hint="eastAsia" w:ascii="仿宋" w:hAnsi="仿宋" w:eastAsia="仿宋" w:cs="仿宋"/>
          <w:color w:val="auto"/>
          <w:sz w:val="21"/>
          <w:szCs w:val="21"/>
          <w:highlight w:val="none"/>
          <w:u w:val="single"/>
        </w:rPr>
      </w:pPr>
      <w:r>
        <w:rPr>
          <w:rFonts w:hint="eastAsia" w:ascii="仿宋" w:hAnsi="仿宋" w:eastAsia="仿宋" w:cs="仿宋"/>
          <w:color w:val="auto"/>
          <w:kern w:val="0"/>
          <w:sz w:val="21"/>
          <w:szCs w:val="21"/>
          <w:highlight w:val="none"/>
        </w:rPr>
        <w:t>关于场外交通和场内交通的边界的约定：</w:t>
      </w:r>
      <w:r>
        <w:rPr>
          <w:rFonts w:hint="eastAsia" w:ascii="仿宋" w:hAnsi="仿宋" w:eastAsia="仿宋" w:cs="仿宋"/>
          <w:color w:val="auto"/>
          <w:sz w:val="21"/>
          <w:szCs w:val="21"/>
          <w:highlight w:val="none"/>
          <w:u w:val="single"/>
        </w:rPr>
        <w:t>以合同工程用地红线为界，用地红线外为场外交通，用地红线范围内为场内交通（场外道路穿越场内的除外）</w:t>
      </w:r>
      <w:r>
        <w:rPr>
          <w:rFonts w:hint="eastAsia" w:ascii="仿宋" w:hAnsi="仿宋" w:eastAsia="仿宋" w:cs="仿宋"/>
          <w:color w:val="auto"/>
          <w:sz w:val="21"/>
          <w:szCs w:val="21"/>
          <w:highlight w:val="none"/>
        </w:rPr>
        <w:t>。</w:t>
      </w:r>
    </w:p>
    <w:p w14:paraId="72A443B0">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关于发包人向承包人免费提供满足工程施工需要的场内道路和交通设施的约定：</w:t>
      </w:r>
      <w:r>
        <w:rPr>
          <w:rFonts w:hint="eastAsia" w:ascii="仿宋" w:hAnsi="仿宋" w:eastAsia="仿宋" w:cs="仿宋"/>
          <w:color w:val="auto"/>
          <w:kern w:val="0"/>
          <w:sz w:val="21"/>
          <w:szCs w:val="21"/>
          <w:highlight w:val="none"/>
          <w:u w:val="single"/>
        </w:rPr>
        <w:t>以施工场地移交时的现状为准</w:t>
      </w:r>
      <w:r>
        <w:rPr>
          <w:rFonts w:hint="eastAsia" w:ascii="仿宋" w:hAnsi="仿宋" w:eastAsia="仿宋" w:cs="仿宋"/>
          <w:color w:val="auto"/>
          <w:sz w:val="21"/>
          <w:szCs w:val="21"/>
          <w:highlight w:val="none"/>
        </w:rPr>
        <w:t>。</w:t>
      </w:r>
    </w:p>
    <w:bookmarkEnd w:id="1267"/>
    <w:bookmarkEnd w:id="1268"/>
    <w:bookmarkEnd w:id="1269"/>
    <w:bookmarkEnd w:id="1270"/>
    <w:bookmarkEnd w:id="1271"/>
    <w:p w14:paraId="22C59CB1">
      <w:pPr>
        <w:spacing w:line="440" w:lineRule="exact"/>
        <w:ind w:firstLine="420" w:firstLineChars="200"/>
        <w:jc w:val="left"/>
        <w:rPr>
          <w:rFonts w:hint="eastAsia" w:ascii="仿宋" w:hAnsi="仿宋" w:eastAsia="仿宋" w:cs="仿宋"/>
          <w:color w:val="auto"/>
          <w:sz w:val="21"/>
          <w:szCs w:val="21"/>
          <w:highlight w:val="none"/>
        </w:rPr>
      </w:pPr>
      <w:bookmarkStart w:id="1272" w:name="_Toc318581157"/>
      <w:r>
        <w:rPr>
          <w:rFonts w:hint="eastAsia" w:ascii="仿宋" w:hAnsi="仿宋" w:eastAsia="仿宋" w:cs="仿宋"/>
          <w:color w:val="auto"/>
          <w:sz w:val="21"/>
          <w:szCs w:val="21"/>
          <w:highlight w:val="none"/>
        </w:rPr>
        <w:t>1.10.4 超大件和超重件的运输</w:t>
      </w:r>
    </w:p>
    <w:p w14:paraId="1218FF8E">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运输超大件或超重件所需的道路和桥梁临时加固改造费用和其他有关费用由</w:t>
      </w:r>
      <w:r>
        <w:rPr>
          <w:rFonts w:hint="eastAsia" w:ascii="仿宋" w:hAnsi="仿宋" w:eastAsia="仿宋" w:cs="仿宋"/>
          <w:color w:val="auto"/>
          <w:sz w:val="21"/>
          <w:szCs w:val="21"/>
          <w:highlight w:val="none"/>
          <w:u w:val="single"/>
        </w:rPr>
        <w:t>发包人</w:t>
      </w:r>
      <w:r>
        <w:rPr>
          <w:rFonts w:hint="eastAsia" w:ascii="仿宋" w:hAnsi="仿宋" w:eastAsia="仿宋" w:cs="仿宋"/>
          <w:color w:val="auto"/>
          <w:sz w:val="21"/>
          <w:szCs w:val="21"/>
          <w:highlight w:val="none"/>
        </w:rPr>
        <w:t>承担。</w:t>
      </w:r>
    </w:p>
    <w:bookmarkEnd w:id="1272"/>
    <w:p w14:paraId="6410A87A">
      <w:pPr>
        <w:widowControl/>
        <w:spacing w:line="440" w:lineRule="exact"/>
        <w:ind w:firstLine="422" w:firstLineChars="200"/>
        <w:jc w:val="left"/>
        <w:outlineLvl w:val="4"/>
        <w:rPr>
          <w:rFonts w:hint="eastAsia" w:ascii="仿宋" w:hAnsi="仿宋" w:eastAsia="仿宋" w:cs="仿宋"/>
          <w:b/>
          <w:bCs/>
          <w:color w:val="auto"/>
          <w:kern w:val="0"/>
          <w:sz w:val="21"/>
          <w:szCs w:val="21"/>
          <w:highlight w:val="none"/>
        </w:rPr>
      </w:pPr>
      <w:bookmarkStart w:id="1273" w:name="_Toc532377329"/>
      <w:r>
        <w:rPr>
          <w:rFonts w:hint="eastAsia" w:ascii="仿宋" w:hAnsi="仿宋" w:eastAsia="仿宋" w:cs="仿宋"/>
          <w:b/>
          <w:bCs/>
          <w:color w:val="auto"/>
          <w:kern w:val="0"/>
          <w:sz w:val="21"/>
          <w:szCs w:val="21"/>
          <w:highlight w:val="none"/>
        </w:rPr>
        <w:t>1.11 知识产权</w:t>
      </w:r>
      <w:bookmarkEnd w:id="1273"/>
    </w:p>
    <w:p w14:paraId="6E1C2B81">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1.11.1 关于发包人提供给承包人的图纸、发包人为实施工程自行编制或委托编制的技术规范以及反映发包人关于合同要求或其他类似性质的文件的著作权的归属：</w:t>
      </w:r>
      <w:r>
        <w:rPr>
          <w:rFonts w:hint="eastAsia" w:ascii="仿宋" w:hAnsi="仿宋" w:eastAsia="仿宋" w:cs="仿宋"/>
          <w:color w:val="auto"/>
          <w:sz w:val="21"/>
          <w:szCs w:val="21"/>
          <w:highlight w:val="none"/>
          <w:u w:val="single"/>
        </w:rPr>
        <w:t>属于发包人</w:t>
      </w:r>
      <w:r>
        <w:rPr>
          <w:rFonts w:hint="eastAsia" w:ascii="仿宋" w:hAnsi="仿宋" w:eastAsia="仿宋" w:cs="仿宋"/>
          <w:color w:val="auto"/>
          <w:sz w:val="21"/>
          <w:szCs w:val="21"/>
          <w:highlight w:val="none"/>
        </w:rPr>
        <w:t>。</w:t>
      </w:r>
    </w:p>
    <w:p w14:paraId="49BDF63D">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关于发包人提供的上述文件的使用限制的要求：</w:t>
      </w:r>
      <w:r>
        <w:rPr>
          <w:rFonts w:hint="eastAsia" w:ascii="仿宋" w:hAnsi="仿宋" w:eastAsia="仿宋" w:cs="仿宋"/>
          <w:color w:val="auto"/>
          <w:sz w:val="21"/>
          <w:szCs w:val="21"/>
          <w:highlight w:val="none"/>
          <w:u w:val="single"/>
        </w:rPr>
        <w:t>按通用合同条款执行</w:t>
      </w:r>
      <w:r>
        <w:rPr>
          <w:rFonts w:hint="eastAsia" w:ascii="仿宋" w:hAnsi="仿宋" w:eastAsia="仿宋" w:cs="仿宋"/>
          <w:color w:val="auto"/>
          <w:sz w:val="21"/>
          <w:szCs w:val="21"/>
          <w:highlight w:val="none"/>
        </w:rPr>
        <w:t>。</w:t>
      </w:r>
    </w:p>
    <w:p w14:paraId="179C5E1A">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1.11.4 承包人在施工过程中所采用的专利、专有技术、技术秘密的使用费的承担方式：</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w:t>
      </w:r>
    </w:p>
    <w:p w14:paraId="64D2BA0C">
      <w:pPr>
        <w:widowControl/>
        <w:spacing w:line="440" w:lineRule="exact"/>
        <w:ind w:firstLine="422" w:firstLineChars="200"/>
        <w:jc w:val="left"/>
        <w:outlineLvl w:val="4"/>
        <w:rPr>
          <w:rFonts w:hint="eastAsia" w:ascii="仿宋" w:hAnsi="仿宋" w:eastAsia="仿宋" w:cs="仿宋"/>
          <w:b/>
          <w:bCs/>
          <w:color w:val="auto"/>
          <w:kern w:val="0"/>
          <w:sz w:val="21"/>
          <w:szCs w:val="21"/>
          <w:highlight w:val="none"/>
        </w:rPr>
      </w:pPr>
      <w:bookmarkStart w:id="1274" w:name="_Toc532377330"/>
      <w:r>
        <w:rPr>
          <w:rFonts w:hint="eastAsia" w:ascii="仿宋" w:hAnsi="仿宋" w:eastAsia="仿宋" w:cs="仿宋"/>
          <w:b/>
          <w:bCs/>
          <w:color w:val="auto"/>
          <w:kern w:val="0"/>
          <w:sz w:val="21"/>
          <w:szCs w:val="21"/>
          <w:highlight w:val="none"/>
        </w:rPr>
        <w:t>1.13工程量清单错误的修正</w:t>
      </w:r>
      <w:bookmarkEnd w:id="1274"/>
    </w:p>
    <w:p w14:paraId="03385DD1">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出现工程量清单错误时，责任和权利划分：</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w:t>
      </w:r>
    </w:p>
    <w:p w14:paraId="2473CD48">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出现工程量清单错误时，是否调整合同价格：</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kern w:val="0"/>
          <w:sz w:val="21"/>
          <w:szCs w:val="21"/>
          <w:highlight w:val="none"/>
        </w:rPr>
        <w:t>。</w:t>
      </w:r>
    </w:p>
    <w:p w14:paraId="0996F909">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允许调整合同价格的工程量偏差范围：</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w:t>
      </w:r>
    </w:p>
    <w:p w14:paraId="7FDC8962">
      <w:pPr>
        <w:keepNext/>
        <w:keepLines/>
        <w:widowControl/>
        <w:spacing w:before="120" w:beforeLines="50" w:after="120" w:afterLines="50" w:line="440" w:lineRule="exact"/>
        <w:outlineLvl w:val="3"/>
        <w:rPr>
          <w:rFonts w:hint="eastAsia" w:ascii="仿宋" w:hAnsi="仿宋" w:eastAsia="仿宋" w:cs="仿宋"/>
          <w:b/>
          <w:color w:val="auto"/>
          <w:sz w:val="21"/>
          <w:szCs w:val="21"/>
          <w:highlight w:val="none"/>
        </w:rPr>
      </w:pPr>
      <w:bookmarkStart w:id="1275" w:name="_Toc532375609"/>
      <w:bookmarkStart w:id="1276" w:name="_Toc351203634"/>
      <w:bookmarkStart w:id="1277" w:name="_Toc532377331"/>
      <w:r>
        <w:rPr>
          <w:rFonts w:hint="eastAsia" w:ascii="仿宋" w:hAnsi="仿宋" w:eastAsia="仿宋" w:cs="仿宋"/>
          <w:b/>
          <w:bCs/>
          <w:color w:val="auto"/>
          <w:sz w:val="21"/>
          <w:szCs w:val="21"/>
          <w:highlight w:val="none"/>
        </w:rPr>
        <w:t>2</w:t>
      </w:r>
      <w:bookmarkStart w:id="1278" w:name="_Toc296503157"/>
      <w:bookmarkStart w:id="1279" w:name="_Toc292559867"/>
      <w:bookmarkStart w:id="1280" w:name="_Toc296347156"/>
      <w:bookmarkStart w:id="1281" w:name="_Toc297120457"/>
      <w:bookmarkStart w:id="1282" w:name="_Toc296346658"/>
      <w:bookmarkStart w:id="1283" w:name="_Toc292559362"/>
      <w:bookmarkStart w:id="1284" w:name="_Toc297048343"/>
      <w:bookmarkStart w:id="1285" w:name="_Toc296890985"/>
      <w:bookmarkStart w:id="1286" w:name="_Toc296944496"/>
      <w:bookmarkStart w:id="1287" w:name="_Toc296891197"/>
      <w:r>
        <w:rPr>
          <w:rFonts w:hint="eastAsia" w:ascii="仿宋" w:hAnsi="仿宋" w:eastAsia="仿宋" w:cs="仿宋"/>
          <w:b/>
          <w:bCs/>
          <w:color w:val="auto"/>
          <w:sz w:val="21"/>
          <w:szCs w:val="21"/>
          <w:highlight w:val="none"/>
        </w:rPr>
        <w:t>. 发包人</w:t>
      </w:r>
      <w:bookmarkEnd w:id="1275"/>
      <w:bookmarkEnd w:id="1276"/>
      <w:bookmarkEnd w:id="1277"/>
    </w:p>
    <w:bookmarkEnd w:id="1278"/>
    <w:bookmarkEnd w:id="1279"/>
    <w:bookmarkEnd w:id="1280"/>
    <w:bookmarkEnd w:id="1281"/>
    <w:bookmarkEnd w:id="1282"/>
    <w:bookmarkEnd w:id="1283"/>
    <w:bookmarkEnd w:id="1284"/>
    <w:bookmarkEnd w:id="1285"/>
    <w:bookmarkEnd w:id="1286"/>
    <w:bookmarkEnd w:id="1287"/>
    <w:p w14:paraId="4A8F80DE">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2.2.1 发包人代表</w:t>
      </w:r>
    </w:p>
    <w:p w14:paraId="7E4F9FAF">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发包人代表：</w:t>
      </w:r>
    </w:p>
    <w:p w14:paraId="4FADF103">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姓    名：</w:t>
      </w:r>
      <w:r>
        <w:rPr>
          <w:rFonts w:hint="eastAsia" w:ascii="仿宋" w:hAnsi="仿宋" w:eastAsia="仿宋" w:cs="仿宋"/>
          <w:color w:val="auto"/>
          <w:sz w:val="21"/>
          <w:szCs w:val="21"/>
          <w:highlight w:val="none"/>
          <w:u w:val="single"/>
        </w:rPr>
        <w:t xml:space="preserve">              </w:t>
      </w:r>
      <w:r>
        <w:rPr>
          <w:rFonts w:hint="eastAsia" w:ascii="仿宋" w:hAnsi="仿宋" w:eastAsia="仿宋" w:cs="仿宋"/>
          <w:color w:val="auto"/>
          <w:sz w:val="21"/>
          <w:szCs w:val="21"/>
          <w:highlight w:val="none"/>
        </w:rPr>
        <w:t>；</w:t>
      </w:r>
    </w:p>
    <w:p w14:paraId="5F03E46B">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身份证号：</w:t>
      </w:r>
      <w:r>
        <w:rPr>
          <w:rFonts w:hint="eastAsia" w:ascii="仿宋" w:hAnsi="仿宋" w:eastAsia="仿宋" w:cs="仿宋"/>
          <w:color w:val="auto"/>
          <w:sz w:val="21"/>
          <w:szCs w:val="21"/>
          <w:highlight w:val="none"/>
          <w:u w:val="single"/>
        </w:rPr>
        <w:t xml:space="preserve">              </w:t>
      </w:r>
      <w:r>
        <w:rPr>
          <w:rFonts w:hint="eastAsia" w:ascii="仿宋" w:hAnsi="仿宋" w:eastAsia="仿宋" w:cs="仿宋"/>
          <w:color w:val="auto"/>
          <w:sz w:val="21"/>
          <w:szCs w:val="21"/>
          <w:highlight w:val="none"/>
        </w:rPr>
        <w:t>；</w:t>
      </w:r>
    </w:p>
    <w:p w14:paraId="335EBF07">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职    务：</w:t>
      </w:r>
      <w:r>
        <w:rPr>
          <w:rFonts w:hint="eastAsia" w:ascii="仿宋" w:hAnsi="仿宋" w:eastAsia="仿宋" w:cs="仿宋"/>
          <w:color w:val="auto"/>
          <w:sz w:val="21"/>
          <w:szCs w:val="21"/>
          <w:highlight w:val="none"/>
          <w:u w:val="single"/>
        </w:rPr>
        <w:t xml:space="preserve">              </w:t>
      </w:r>
      <w:r>
        <w:rPr>
          <w:rFonts w:hint="eastAsia" w:ascii="仿宋" w:hAnsi="仿宋" w:eastAsia="仿宋" w:cs="仿宋"/>
          <w:color w:val="auto"/>
          <w:sz w:val="21"/>
          <w:szCs w:val="21"/>
          <w:highlight w:val="none"/>
        </w:rPr>
        <w:t>；</w:t>
      </w:r>
    </w:p>
    <w:p w14:paraId="54D3476F">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联系方式：</w:t>
      </w:r>
      <w:r>
        <w:rPr>
          <w:rFonts w:hint="eastAsia" w:ascii="仿宋" w:hAnsi="仿宋" w:eastAsia="仿宋" w:cs="仿宋"/>
          <w:color w:val="auto"/>
          <w:sz w:val="21"/>
          <w:szCs w:val="21"/>
          <w:highlight w:val="none"/>
          <w:u w:val="single"/>
        </w:rPr>
        <w:t xml:space="preserve">              </w:t>
      </w:r>
      <w:r>
        <w:rPr>
          <w:rFonts w:hint="eastAsia" w:ascii="仿宋" w:hAnsi="仿宋" w:eastAsia="仿宋" w:cs="仿宋"/>
          <w:color w:val="auto"/>
          <w:sz w:val="21"/>
          <w:szCs w:val="21"/>
          <w:highlight w:val="none"/>
        </w:rPr>
        <w:t>；</w:t>
      </w:r>
    </w:p>
    <w:p w14:paraId="486849A3">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邮    编：</w:t>
      </w:r>
      <w:r>
        <w:rPr>
          <w:rFonts w:hint="eastAsia" w:ascii="仿宋" w:hAnsi="仿宋" w:eastAsia="仿宋" w:cs="仿宋"/>
          <w:color w:val="auto"/>
          <w:sz w:val="21"/>
          <w:szCs w:val="21"/>
          <w:highlight w:val="none"/>
          <w:u w:val="single"/>
        </w:rPr>
        <w:t xml:space="preserve">              </w:t>
      </w:r>
      <w:r>
        <w:rPr>
          <w:rFonts w:hint="eastAsia" w:ascii="仿宋" w:hAnsi="仿宋" w:eastAsia="仿宋" w:cs="仿宋"/>
          <w:color w:val="auto"/>
          <w:sz w:val="21"/>
          <w:szCs w:val="21"/>
          <w:highlight w:val="none"/>
        </w:rPr>
        <w:t>；</w:t>
      </w:r>
    </w:p>
    <w:p w14:paraId="63DDC3A9">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发包人对发包人代表的授权范围如下：</w:t>
      </w:r>
      <w:r>
        <w:rPr>
          <w:rFonts w:hint="eastAsia" w:ascii="仿宋" w:hAnsi="仿宋" w:eastAsia="仿宋" w:cs="仿宋"/>
          <w:color w:val="auto"/>
          <w:sz w:val="21"/>
          <w:szCs w:val="21"/>
          <w:highlight w:val="none"/>
          <w:u w:val="single"/>
        </w:rPr>
        <w:t>代表发包人对项目建设进行协调、管控、审查，确保安全、质量、环保、进度、成本可控，及时处理项目相关问题，向承包人、监理人等下达各类指令。由发包人授权的，以授权书载明的授权范围为准</w:t>
      </w:r>
      <w:r>
        <w:rPr>
          <w:rFonts w:hint="eastAsia" w:ascii="仿宋" w:hAnsi="仿宋" w:eastAsia="仿宋" w:cs="仿宋"/>
          <w:color w:val="auto"/>
          <w:sz w:val="21"/>
          <w:szCs w:val="21"/>
          <w:highlight w:val="none"/>
        </w:rPr>
        <w:t>。</w:t>
      </w:r>
    </w:p>
    <w:p w14:paraId="4DA8153E">
      <w:pPr>
        <w:widowControl/>
        <w:spacing w:line="440" w:lineRule="exact"/>
        <w:ind w:firstLine="422" w:firstLineChars="200"/>
        <w:jc w:val="left"/>
        <w:outlineLvl w:val="4"/>
        <w:rPr>
          <w:rFonts w:hint="eastAsia" w:ascii="仿宋" w:hAnsi="仿宋" w:eastAsia="仿宋" w:cs="仿宋"/>
          <w:b/>
          <w:bCs/>
          <w:color w:val="auto"/>
          <w:kern w:val="0"/>
          <w:sz w:val="21"/>
          <w:szCs w:val="21"/>
          <w:highlight w:val="none"/>
        </w:rPr>
      </w:pPr>
      <w:bookmarkStart w:id="1288" w:name="_Toc532377332"/>
      <w:r>
        <w:rPr>
          <w:rFonts w:hint="eastAsia" w:ascii="仿宋" w:hAnsi="仿宋" w:eastAsia="仿宋" w:cs="仿宋"/>
          <w:b/>
          <w:bCs/>
          <w:color w:val="auto"/>
          <w:kern w:val="0"/>
          <w:sz w:val="21"/>
          <w:szCs w:val="21"/>
          <w:highlight w:val="none"/>
        </w:rPr>
        <w:t>2.4 施工现场、施工条件和基础资料的提供</w:t>
      </w:r>
      <w:bookmarkEnd w:id="1288"/>
    </w:p>
    <w:p w14:paraId="4443C61D">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2.4.1 提供施工现场</w:t>
      </w:r>
    </w:p>
    <w:p w14:paraId="77141129">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2.4.1.1 提供场地：</w:t>
      </w:r>
    </w:p>
    <w:p w14:paraId="57E34ECD">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施工场地的提供采用以下第</w:t>
      </w:r>
      <w:r>
        <w:rPr>
          <w:rFonts w:hint="eastAsia" w:ascii="仿宋" w:hAnsi="仿宋" w:eastAsia="仿宋" w:cs="仿宋"/>
          <w:color w:val="auto"/>
          <w:sz w:val="21"/>
          <w:szCs w:val="21"/>
          <w:highlight w:val="none"/>
          <w:u w:val="single"/>
        </w:rPr>
        <w:t xml:space="preserve"> (1) </w:t>
      </w:r>
      <w:r>
        <w:rPr>
          <w:rFonts w:hint="eastAsia" w:ascii="仿宋" w:hAnsi="仿宋" w:eastAsia="仿宋" w:cs="仿宋"/>
          <w:color w:val="auto"/>
          <w:sz w:val="21"/>
          <w:szCs w:val="21"/>
          <w:highlight w:val="none"/>
        </w:rPr>
        <w:t>种方式：</w:t>
      </w:r>
    </w:p>
    <w:p w14:paraId="4652E085">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（1）一次提供全部施工场地：发包人于</w:t>
      </w:r>
      <w:r>
        <w:rPr>
          <w:rFonts w:hint="eastAsia" w:ascii="仿宋" w:hAnsi="仿宋" w:eastAsia="仿宋" w:cs="仿宋"/>
          <w:color w:val="auto"/>
          <w:sz w:val="21"/>
          <w:szCs w:val="21"/>
          <w:highlight w:val="none"/>
          <w:u w:val="single"/>
        </w:rPr>
        <w:t>开工</w:t>
      </w:r>
      <w:r>
        <w:rPr>
          <w:rFonts w:hint="eastAsia" w:ascii="仿宋" w:hAnsi="仿宋" w:eastAsia="仿宋" w:cs="仿宋"/>
          <w:color w:val="auto"/>
          <w:sz w:val="21"/>
          <w:szCs w:val="21"/>
          <w:highlight w:val="none"/>
        </w:rPr>
        <w:t>前向承包人提供合同工程用地红线范围内的施工场地。</w:t>
      </w:r>
    </w:p>
    <w:p w14:paraId="747C242E">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（2）分次提供全部施工场地：</w:t>
      </w:r>
      <w:r>
        <w:rPr>
          <w:rFonts w:hint="eastAsia" w:ascii="仿宋" w:hAnsi="仿宋" w:eastAsia="仿宋" w:cs="仿宋"/>
          <w:color w:val="auto"/>
          <w:sz w:val="21"/>
          <w:szCs w:val="21"/>
          <w:highlight w:val="none"/>
          <w:u w:val="single"/>
        </w:rPr>
        <w:t>发包人按约定的时间分次向承包人提供合同工程用地红线范围内的施工场地</w:t>
      </w:r>
      <w:r>
        <w:rPr>
          <w:rFonts w:hint="eastAsia" w:ascii="仿宋" w:hAnsi="仿宋" w:eastAsia="仿宋" w:cs="仿宋"/>
          <w:color w:val="auto"/>
          <w:sz w:val="21"/>
          <w:szCs w:val="21"/>
          <w:highlight w:val="none"/>
        </w:rPr>
        <w:t>。</w:t>
      </w:r>
    </w:p>
    <w:p w14:paraId="5984FF0E">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u w:val="single"/>
        </w:rPr>
        <w:t>承包人编制的施工组织计划已充分考虑了施工场地提供的因素</w:t>
      </w:r>
      <w:r>
        <w:rPr>
          <w:rFonts w:hint="eastAsia" w:ascii="仿宋" w:hAnsi="仿宋" w:eastAsia="仿宋" w:cs="仿宋"/>
          <w:color w:val="auto"/>
          <w:sz w:val="21"/>
          <w:szCs w:val="21"/>
          <w:highlight w:val="none"/>
        </w:rPr>
        <w:t>。</w:t>
      </w:r>
    </w:p>
    <w:p w14:paraId="5E39B026">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u w:val="single"/>
        </w:rPr>
        <w:t>施工场地未能按约定提供的，承包人应结合施工场地实际交地情况，优化施工组织计划。施工场地未能按约定提供，影响项目关键线路的，承包人可提交索赔申请，并经监理人、发包人审批后可按约定顺延项目工期，否则工期不予顺延</w:t>
      </w:r>
      <w:r>
        <w:rPr>
          <w:rFonts w:hint="eastAsia" w:ascii="仿宋" w:hAnsi="仿宋" w:eastAsia="仿宋" w:cs="仿宋"/>
          <w:color w:val="auto"/>
          <w:sz w:val="21"/>
          <w:szCs w:val="21"/>
          <w:highlight w:val="none"/>
        </w:rPr>
        <w:t>。</w:t>
      </w:r>
    </w:p>
    <w:p w14:paraId="66278981">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2.4.2 提供施工条件</w:t>
      </w:r>
    </w:p>
    <w:p w14:paraId="15D302B1">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关于发包人应负责提供施工所需要的条件：</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w:t>
      </w:r>
    </w:p>
    <w:p w14:paraId="5B1AF832">
      <w:pPr>
        <w:keepNext/>
        <w:keepLines/>
        <w:widowControl/>
        <w:spacing w:before="120" w:beforeLines="50" w:after="120" w:afterLines="50" w:line="440" w:lineRule="exact"/>
        <w:outlineLvl w:val="3"/>
        <w:rPr>
          <w:rFonts w:hint="eastAsia" w:ascii="仿宋" w:hAnsi="仿宋" w:eastAsia="仿宋" w:cs="仿宋"/>
          <w:b/>
          <w:color w:val="auto"/>
          <w:sz w:val="21"/>
          <w:szCs w:val="21"/>
          <w:highlight w:val="none"/>
        </w:rPr>
      </w:pPr>
      <w:bookmarkStart w:id="1289" w:name="_Toc532377334"/>
      <w:bookmarkStart w:id="1290" w:name="_Toc351203635"/>
      <w:bookmarkStart w:id="1291" w:name="_Toc532375610"/>
      <w:r>
        <w:rPr>
          <w:rFonts w:hint="eastAsia" w:ascii="仿宋" w:hAnsi="仿宋" w:eastAsia="仿宋" w:cs="仿宋"/>
          <w:b/>
          <w:bCs/>
          <w:color w:val="auto"/>
          <w:sz w:val="21"/>
          <w:szCs w:val="21"/>
          <w:highlight w:val="none"/>
        </w:rPr>
        <w:t>3</w:t>
      </w:r>
      <w:bookmarkStart w:id="1292" w:name="_Toc296944497"/>
      <w:bookmarkStart w:id="1293" w:name="_Toc292559363"/>
      <w:bookmarkStart w:id="1294" w:name="_Toc296891198"/>
      <w:bookmarkStart w:id="1295" w:name="_Toc296347157"/>
      <w:bookmarkStart w:id="1296" w:name="_Toc296503158"/>
      <w:bookmarkStart w:id="1297" w:name="_Toc297120458"/>
      <w:bookmarkStart w:id="1298" w:name="_Toc292559868"/>
      <w:bookmarkStart w:id="1299" w:name="_Toc296346659"/>
      <w:bookmarkStart w:id="1300" w:name="_Toc296890986"/>
      <w:bookmarkStart w:id="1301" w:name="_Toc297048344"/>
      <w:r>
        <w:rPr>
          <w:rFonts w:hint="eastAsia" w:ascii="仿宋" w:hAnsi="仿宋" w:eastAsia="仿宋" w:cs="仿宋"/>
          <w:b/>
          <w:bCs/>
          <w:color w:val="auto"/>
          <w:sz w:val="21"/>
          <w:szCs w:val="21"/>
          <w:highlight w:val="none"/>
        </w:rPr>
        <w:t>. 承包人</w:t>
      </w:r>
      <w:bookmarkEnd w:id="1289"/>
      <w:bookmarkEnd w:id="1290"/>
      <w:bookmarkEnd w:id="1291"/>
    </w:p>
    <w:bookmarkEnd w:id="1292"/>
    <w:bookmarkEnd w:id="1293"/>
    <w:bookmarkEnd w:id="1294"/>
    <w:bookmarkEnd w:id="1295"/>
    <w:bookmarkEnd w:id="1296"/>
    <w:bookmarkEnd w:id="1297"/>
    <w:bookmarkEnd w:id="1298"/>
    <w:bookmarkEnd w:id="1299"/>
    <w:bookmarkEnd w:id="1300"/>
    <w:bookmarkEnd w:id="1301"/>
    <w:p w14:paraId="34B08356">
      <w:pPr>
        <w:widowControl/>
        <w:spacing w:line="440" w:lineRule="exact"/>
        <w:ind w:firstLine="422" w:firstLineChars="200"/>
        <w:jc w:val="left"/>
        <w:outlineLvl w:val="4"/>
        <w:rPr>
          <w:rFonts w:hint="eastAsia" w:ascii="仿宋" w:hAnsi="仿宋" w:eastAsia="仿宋" w:cs="仿宋"/>
          <w:b/>
          <w:bCs/>
          <w:color w:val="auto"/>
          <w:kern w:val="0"/>
          <w:sz w:val="21"/>
          <w:szCs w:val="21"/>
          <w:highlight w:val="none"/>
        </w:rPr>
      </w:pPr>
      <w:bookmarkStart w:id="1302" w:name="_Toc532377335"/>
      <w:r>
        <w:rPr>
          <w:rFonts w:hint="eastAsia" w:ascii="仿宋" w:hAnsi="仿宋" w:eastAsia="仿宋" w:cs="仿宋"/>
          <w:b/>
          <w:bCs/>
          <w:color w:val="auto"/>
          <w:kern w:val="0"/>
          <w:sz w:val="21"/>
          <w:szCs w:val="21"/>
          <w:highlight w:val="none"/>
        </w:rPr>
        <w:t>3.1 承包人的一般义务</w:t>
      </w:r>
      <w:bookmarkEnd w:id="1302"/>
    </w:p>
    <w:p w14:paraId="72AB46AB">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本款细化为3.1.1～3.1.10项：</w:t>
      </w:r>
    </w:p>
    <w:p w14:paraId="2FC2F274">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3.1.1办理法律规定和合同约定应由承包人办理的许可和批准，并将办理结果书面报送发包人留存；协助发包人办理施工所需的工程质量监督、安全监督、施工许可证等相关证件及手续。</w:t>
      </w:r>
    </w:p>
    <w:p w14:paraId="64DC0802">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3.1.2按法律规定和合同约定完成工程，包括满足合同所必需的或合同隐含的以及由承包人义务而产生的任何工程，还应包括合同根据相关法律法规、技术规范等对工程的稳定性、完整性或安全、可靠、有效运行所必需的所有工程，并在保修期内承担保修义务。</w:t>
      </w:r>
    </w:p>
    <w:p w14:paraId="682C1395">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3.1.3按法律规定和合同约定采取施工安全和环境保护措施，办理工伤保险，确保工程及人员、材料、设备和设施的安全。施工期间，承包人应避免因施工危及红线范围外的邻近道路、建筑安全；应注意做好对周边建（构）筑物、绿化、设施设备的保护，做好围挡、监测以及安全防护，采取有效的防尘及降低噪声的措施，减小施工噪音及污水等对周边环境的影响包括对居民生活、工作、生产和经营等的影响；对不实施拆迁的建、构筑物应采取保护措施，并保证既有道路的正常通行。</w:t>
      </w:r>
    </w:p>
    <w:p w14:paraId="7DF839AE">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3.1.4按合同约定的工作内容和施工进度要求，编制施工组织设计和施工措施计划，并对所有施工作业和施工方法的完备性和安全可靠性负责。施工组织设计中的措施保障水平应满足工程按合同进度实施的需要，且不得低于投标时施工组织设计的措施保障水平。</w:t>
      </w:r>
    </w:p>
    <w:p w14:paraId="36C9C066">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3.1.5在进行合同约定的各项工作时，不得侵害发包人与他人使用公用道路、水源、市政管网等公共设施的权利，避免对邻近的公共设施产生干扰。承包人占用或使用他人的施工场地，影响他人作业或生活的，应承担相应责任。</w:t>
      </w:r>
    </w:p>
    <w:p w14:paraId="74E6CA04">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3.1.6按照第6.3款〔环境保护〕约定负责施工场地及其周边环境与生态的保护工作。</w:t>
      </w:r>
    </w:p>
    <w:p w14:paraId="54E0E7CC">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3.1.7按照第6.1款〔安全文明施工〕约定采取施工安全措施，确保工程及其人员、材料、设备和设施的安全，防止因工程施工造成的人身伤害和财产损失。</w:t>
      </w:r>
    </w:p>
    <w:p w14:paraId="53297020">
      <w:pPr>
        <w:autoSpaceDE w:val="0"/>
        <w:autoSpaceDN w:val="0"/>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3.1.8将发包人按合同约定支付的各项价款专用于合同工程，且应及时支付其雇用人员工资，并及时向分包人支付合同价款。</w:t>
      </w:r>
    </w:p>
    <w:p w14:paraId="77BF4E7E">
      <w:pPr>
        <w:autoSpaceDE w:val="0"/>
        <w:autoSpaceDN w:val="0"/>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3.1.9承包人提交的竣工资料的内容：</w:t>
      </w:r>
      <w:r>
        <w:rPr>
          <w:rFonts w:hint="eastAsia" w:ascii="仿宋" w:hAnsi="仿宋" w:eastAsia="仿宋" w:cs="仿宋"/>
          <w:color w:val="auto"/>
          <w:sz w:val="21"/>
          <w:szCs w:val="21"/>
          <w:highlight w:val="none"/>
          <w:u w:val="single"/>
        </w:rPr>
        <w:t>工程施工技术资料、工程质量保证资料、工程检验评定资料、竣工图及其他应交资料，应符合《建设工程文件归档整理规范》（GB/T50328-2014）和重庆市有关文件规定</w:t>
      </w:r>
      <w:r>
        <w:rPr>
          <w:rFonts w:hint="eastAsia" w:ascii="仿宋" w:hAnsi="仿宋" w:eastAsia="仿宋" w:cs="仿宋"/>
          <w:color w:val="auto"/>
          <w:sz w:val="21"/>
          <w:szCs w:val="21"/>
          <w:highlight w:val="none"/>
        </w:rPr>
        <w:t>。</w:t>
      </w:r>
    </w:p>
    <w:p w14:paraId="013333EF">
      <w:pPr>
        <w:autoSpaceDE w:val="0"/>
        <w:autoSpaceDN w:val="0"/>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承包人需要提交的竣工资料套数：完整竣工资料一式</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套（含电子文档）。</w:t>
      </w:r>
    </w:p>
    <w:p w14:paraId="245C0A8D">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承包人提交的竣工资料的费用承担：</w:t>
      </w:r>
      <w:r>
        <w:rPr>
          <w:rFonts w:hint="eastAsia" w:ascii="仿宋" w:hAnsi="仿宋" w:eastAsia="仿宋" w:cs="仿宋"/>
          <w:color w:val="auto"/>
          <w:sz w:val="21"/>
          <w:szCs w:val="21"/>
          <w:highlight w:val="none"/>
          <w:u w:val="single"/>
        </w:rPr>
        <w:t>由承包人承担</w:t>
      </w:r>
      <w:r>
        <w:rPr>
          <w:rFonts w:hint="eastAsia" w:ascii="仿宋" w:hAnsi="仿宋" w:eastAsia="仿宋" w:cs="仿宋"/>
          <w:color w:val="auto"/>
          <w:sz w:val="21"/>
          <w:szCs w:val="21"/>
          <w:highlight w:val="none"/>
        </w:rPr>
        <w:t>。</w:t>
      </w:r>
    </w:p>
    <w:p w14:paraId="7A0D9BF0">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承包人提交的竣工资料移交时间：</w:t>
      </w:r>
      <w:r>
        <w:rPr>
          <w:rFonts w:hint="eastAsia" w:ascii="仿宋" w:hAnsi="仿宋" w:eastAsia="仿宋" w:cs="仿宋"/>
          <w:color w:val="auto"/>
          <w:sz w:val="21"/>
          <w:szCs w:val="21"/>
          <w:highlight w:val="none"/>
          <w:u w:val="single"/>
        </w:rPr>
        <w:t>工程竣工验收合格后  个月内移交给发包人</w:t>
      </w:r>
      <w:r>
        <w:rPr>
          <w:rFonts w:hint="eastAsia" w:ascii="仿宋" w:hAnsi="仿宋" w:eastAsia="仿宋" w:cs="仿宋"/>
          <w:color w:val="auto"/>
          <w:sz w:val="21"/>
          <w:szCs w:val="21"/>
          <w:highlight w:val="none"/>
        </w:rPr>
        <w:t>。</w:t>
      </w:r>
    </w:p>
    <w:p w14:paraId="77242DEC">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承包人提交的竣工资料形式要求：</w:t>
      </w:r>
      <w:r>
        <w:rPr>
          <w:rFonts w:hint="eastAsia" w:ascii="仿宋" w:hAnsi="仿宋" w:eastAsia="仿宋" w:cs="仿宋"/>
          <w:color w:val="auto"/>
          <w:sz w:val="21"/>
          <w:szCs w:val="21"/>
          <w:highlight w:val="none"/>
          <w:u w:val="single"/>
        </w:rPr>
        <w:t>完整的书面文件及电子文档</w:t>
      </w:r>
      <w:r>
        <w:rPr>
          <w:rFonts w:hint="eastAsia" w:ascii="仿宋" w:hAnsi="仿宋" w:eastAsia="仿宋" w:cs="仿宋"/>
          <w:color w:val="auto"/>
          <w:sz w:val="21"/>
          <w:szCs w:val="21"/>
          <w:highlight w:val="none"/>
        </w:rPr>
        <w:t>。</w:t>
      </w:r>
    </w:p>
    <w:p w14:paraId="4202B656">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3.1.10承包人应履行的其他义务：</w:t>
      </w:r>
    </w:p>
    <w:p w14:paraId="7D19E7F7">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3.1.10.1在开始施工之前，承包人应核查、复测本工程的各种基准标志。承包人应及时将上述基准标志中存在的错误、不完整或其他缺陷通知发包人，以便发包人核实后重新确认。</w:t>
      </w:r>
    </w:p>
    <w:p w14:paraId="65E4F00E">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3.1.10.2承包人应负责合同工程范围内测量控制网的测量设定和管理工作，为控制施工造成测量控制网误差累加，每月承包人复测一次测量控制网，并将修正数据及时通知发包人。经监理人批准，其他相关承包人可免费使用施工控制网。</w:t>
      </w:r>
    </w:p>
    <w:p w14:paraId="1ADA36B5">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3.1.10.3承包人应在开始施工之前对本工程进行排查，补充完善遗漏的危大工程重点部位及环节。危大工程施工前，承包人应对危大工程编制专项施工方案，对于超过一定规模的危大工程，承包人还应组织召开专家论证会对专项施工方案进行论证，通过后方可实施。</w:t>
      </w:r>
    </w:p>
    <w:p w14:paraId="40718DA1">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3.1.10.4承包人应服从发包人要求的管理模式、工作方式和工作要求，同时接受监理人、跟审单位的管理和全程监督，配合项目结、决算的办理。</w:t>
      </w:r>
    </w:p>
    <w:p w14:paraId="5F532517">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3.1.10.5</w:t>
      </w:r>
      <w:r>
        <w:rPr>
          <w:rFonts w:hint="eastAsia" w:ascii="仿宋" w:hAnsi="仿宋" w:eastAsia="仿宋" w:cs="仿宋"/>
          <w:color w:val="auto"/>
          <w:sz w:val="21"/>
          <w:szCs w:val="21"/>
          <w:highlight w:val="none"/>
          <w:u w:val="single"/>
        </w:rPr>
        <w:t>承包人应为本工程开立专用账户，接受发包人的监管</w:t>
      </w:r>
      <w:r>
        <w:rPr>
          <w:rFonts w:hint="eastAsia" w:ascii="仿宋" w:hAnsi="仿宋" w:eastAsia="仿宋" w:cs="仿宋"/>
          <w:color w:val="auto"/>
          <w:sz w:val="21"/>
          <w:szCs w:val="21"/>
          <w:highlight w:val="none"/>
        </w:rPr>
        <w:t>。</w:t>
      </w:r>
    </w:p>
    <w:p w14:paraId="13C2C7C3">
      <w:pPr>
        <w:spacing w:line="440" w:lineRule="exact"/>
        <w:ind w:firstLine="420" w:firstLineChars="200"/>
        <w:jc w:val="left"/>
        <w:rPr>
          <w:rFonts w:hint="eastAsia" w:ascii="仿宋" w:hAnsi="仿宋" w:eastAsia="仿宋" w:cs="仿宋"/>
          <w:color w:val="auto"/>
          <w:sz w:val="21"/>
          <w:szCs w:val="21"/>
          <w:highlight w:val="none"/>
          <w:u w:val="single"/>
        </w:rPr>
      </w:pPr>
      <w:r>
        <w:rPr>
          <w:rFonts w:hint="eastAsia" w:ascii="仿宋" w:hAnsi="仿宋" w:eastAsia="仿宋" w:cs="仿宋"/>
          <w:color w:val="auto"/>
          <w:sz w:val="21"/>
          <w:szCs w:val="21"/>
          <w:highlight w:val="none"/>
        </w:rPr>
        <w:t>3.1.10.6</w:t>
      </w:r>
      <w:r>
        <w:rPr>
          <w:rFonts w:hint="eastAsia" w:ascii="仿宋" w:hAnsi="仿宋" w:eastAsia="仿宋" w:cs="仿宋"/>
          <w:color w:val="auto"/>
          <w:sz w:val="21"/>
          <w:szCs w:val="21"/>
          <w:highlight w:val="none"/>
          <w:u w:val="single"/>
        </w:rPr>
        <w:t xml:space="preserve">        。</w:t>
      </w:r>
    </w:p>
    <w:p w14:paraId="3276469A">
      <w:pPr>
        <w:widowControl/>
        <w:spacing w:line="440" w:lineRule="exact"/>
        <w:ind w:firstLine="422" w:firstLineChars="200"/>
        <w:jc w:val="left"/>
        <w:outlineLvl w:val="4"/>
        <w:rPr>
          <w:rFonts w:hint="eastAsia" w:ascii="仿宋" w:hAnsi="仿宋" w:eastAsia="仿宋" w:cs="仿宋"/>
          <w:b/>
          <w:bCs/>
          <w:color w:val="auto"/>
          <w:kern w:val="0"/>
          <w:sz w:val="21"/>
          <w:szCs w:val="21"/>
          <w:highlight w:val="none"/>
        </w:rPr>
      </w:pPr>
      <w:bookmarkStart w:id="1303" w:name="_Toc532377336"/>
      <w:r>
        <w:rPr>
          <w:rFonts w:hint="eastAsia" w:ascii="仿宋" w:hAnsi="仿宋" w:eastAsia="仿宋" w:cs="仿宋"/>
          <w:b/>
          <w:bCs/>
          <w:color w:val="auto"/>
          <w:kern w:val="0"/>
          <w:sz w:val="21"/>
          <w:szCs w:val="21"/>
          <w:highlight w:val="none"/>
        </w:rPr>
        <w:t>3.2 项目经理</w:t>
      </w:r>
      <w:bookmarkEnd w:id="1303"/>
    </w:p>
    <w:p w14:paraId="7E7F55B6">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3.2.1 </w:t>
      </w:r>
      <w:r>
        <w:rPr>
          <w:rFonts w:hint="eastAsia" w:ascii="仿宋" w:hAnsi="仿宋" w:eastAsia="仿宋" w:cs="仿宋"/>
          <w:color w:val="auto"/>
          <w:sz w:val="21"/>
          <w:szCs w:val="21"/>
          <w:highlight w:val="none"/>
        </w:rPr>
        <w:t>项目经理：</w:t>
      </w:r>
    </w:p>
    <w:p w14:paraId="76082A2A">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姓    名：</w:t>
      </w:r>
      <w:r>
        <w:rPr>
          <w:rFonts w:hint="eastAsia" w:ascii="仿宋" w:hAnsi="仿宋" w:eastAsia="仿宋" w:cs="仿宋"/>
          <w:color w:val="auto"/>
          <w:sz w:val="21"/>
          <w:szCs w:val="21"/>
          <w:highlight w:val="none"/>
          <w:u w:val="single"/>
        </w:rPr>
        <w:t xml:space="preserve">                          </w:t>
      </w:r>
      <w:r>
        <w:rPr>
          <w:rFonts w:hint="eastAsia" w:ascii="仿宋" w:hAnsi="仿宋" w:eastAsia="仿宋" w:cs="仿宋"/>
          <w:color w:val="auto"/>
          <w:sz w:val="21"/>
          <w:szCs w:val="21"/>
          <w:highlight w:val="none"/>
        </w:rPr>
        <w:t>；</w:t>
      </w:r>
    </w:p>
    <w:p w14:paraId="3246819F">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身份证号：</w:t>
      </w:r>
      <w:r>
        <w:rPr>
          <w:rFonts w:hint="eastAsia" w:ascii="仿宋" w:hAnsi="仿宋" w:eastAsia="仿宋" w:cs="仿宋"/>
          <w:color w:val="auto"/>
          <w:sz w:val="21"/>
          <w:szCs w:val="21"/>
          <w:highlight w:val="none"/>
          <w:u w:val="single"/>
        </w:rPr>
        <w:t>                    </w:t>
      </w:r>
      <w:r>
        <w:rPr>
          <w:rFonts w:hint="eastAsia" w:ascii="仿宋" w:hAnsi="仿宋" w:eastAsia="仿宋" w:cs="仿宋"/>
          <w:color w:val="auto"/>
          <w:sz w:val="21"/>
          <w:szCs w:val="21"/>
          <w:highlight w:val="none"/>
        </w:rPr>
        <w:t>；</w:t>
      </w:r>
    </w:p>
    <w:p w14:paraId="55E78E0C">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建造师执业资格等级：</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w:t>
      </w:r>
    </w:p>
    <w:p w14:paraId="2F4141AB">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建造师注册证书号：</w:t>
      </w:r>
      <w:r>
        <w:rPr>
          <w:rFonts w:hint="eastAsia" w:ascii="仿宋" w:hAnsi="仿宋" w:eastAsia="仿宋" w:cs="仿宋"/>
          <w:color w:val="auto"/>
          <w:sz w:val="21"/>
          <w:szCs w:val="21"/>
          <w:highlight w:val="none"/>
          <w:u w:val="single"/>
        </w:rPr>
        <w:t>       </w:t>
      </w:r>
      <w:r>
        <w:rPr>
          <w:rFonts w:hint="eastAsia" w:ascii="仿宋" w:hAnsi="仿宋" w:eastAsia="仿宋" w:cs="仿宋"/>
          <w:color w:val="auto"/>
          <w:sz w:val="21"/>
          <w:szCs w:val="21"/>
          <w:highlight w:val="none"/>
        </w:rPr>
        <w:t>；</w:t>
      </w:r>
    </w:p>
    <w:p w14:paraId="758118C1">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建造师执业印章号：</w:t>
      </w:r>
      <w:r>
        <w:rPr>
          <w:rFonts w:hint="eastAsia" w:ascii="仿宋" w:hAnsi="仿宋" w:eastAsia="仿宋" w:cs="仿宋"/>
          <w:color w:val="auto"/>
          <w:sz w:val="21"/>
          <w:szCs w:val="21"/>
          <w:highlight w:val="none"/>
          <w:u w:val="single"/>
        </w:rPr>
        <w:t>                     </w:t>
      </w:r>
      <w:r>
        <w:rPr>
          <w:rFonts w:hint="eastAsia" w:ascii="仿宋" w:hAnsi="仿宋" w:eastAsia="仿宋" w:cs="仿宋"/>
          <w:color w:val="auto"/>
          <w:sz w:val="21"/>
          <w:szCs w:val="21"/>
          <w:highlight w:val="none"/>
        </w:rPr>
        <w:t>；</w:t>
      </w:r>
    </w:p>
    <w:p w14:paraId="749FA9EF">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联系方式：</w:t>
      </w:r>
      <w:r>
        <w:rPr>
          <w:rFonts w:hint="eastAsia" w:ascii="仿宋" w:hAnsi="仿宋" w:eastAsia="仿宋" w:cs="仿宋"/>
          <w:color w:val="auto"/>
          <w:sz w:val="21"/>
          <w:szCs w:val="21"/>
          <w:highlight w:val="none"/>
          <w:u w:val="single"/>
        </w:rPr>
        <w:t>         </w:t>
      </w:r>
      <w:r>
        <w:rPr>
          <w:rFonts w:hint="eastAsia" w:ascii="仿宋" w:hAnsi="仿宋" w:eastAsia="仿宋" w:cs="仿宋"/>
          <w:color w:val="auto"/>
          <w:sz w:val="21"/>
          <w:szCs w:val="21"/>
          <w:highlight w:val="none"/>
        </w:rPr>
        <w:t>。</w:t>
      </w:r>
    </w:p>
    <w:p w14:paraId="2C471F8D">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承包人对项目经理的授权范围如下：</w:t>
      </w:r>
      <w:r>
        <w:rPr>
          <w:rFonts w:hint="eastAsia" w:ascii="仿宋" w:hAnsi="仿宋" w:eastAsia="仿宋" w:cs="仿宋"/>
          <w:color w:val="auto"/>
          <w:sz w:val="21"/>
          <w:szCs w:val="21"/>
          <w:highlight w:val="none"/>
          <w:u w:val="single"/>
        </w:rPr>
        <w:t>严格按现行国家施工规范及验收规范组织施工，保证工程质量、进度、安全；及时向监理人、发包人报告现场情况（以承包人书面授权范围为准）</w:t>
      </w:r>
      <w:r>
        <w:rPr>
          <w:rFonts w:hint="eastAsia" w:ascii="仿宋" w:hAnsi="仿宋" w:eastAsia="仿宋" w:cs="仿宋"/>
          <w:color w:val="auto"/>
          <w:sz w:val="21"/>
          <w:szCs w:val="21"/>
          <w:highlight w:val="none"/>
        </w:rPr>
        <w:t>。</w:t>
      </w:r>
    </w:p>
    <w:p w14:paraId="3F922316">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关于项目经理每月在施工现场的时间要求：</w:t>
      </w:r>
      <w:r>
        <w:rPr>
          <w:rFonts w:hint="eastAsia" w:ascii="仿宋" w:hAnsi="仿宋" w:eastAsia="仿宋" w:cs="仿宋"/>
          <w:color w:val="auto"/>
          <w:sz w:val="21"/>
          <w:szCs w:val="21"/>
          <w:highlight w:val="none"/>
          <w:u w:val="single"/>
        </w:rPr>
        <w:t>不少于22天，由监理人负责项目经理的考勤</w:t>
      </w:r>
      <w:r>
        <w:rPr>
          <w:rFonts w:hint="eastAsia" w:ascii="仿宋" w:hAnsi="仿宋" w:eastAsia="仿宋" w:cs="仿宋"/>
          <w:color w:val="auto"/>
          <w:sz w:val="21"/>
          <w:szCs w:val="21"/>
          <w:highlight w:val="none"/>
        </w:rPr>
        <w:t>。</w:t>
      </w:r>
    </w:p>
    <w:p w14:paraId="6458EC0A">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u w:val="single"/>
        </w:rPr>
        <w:t>承包人应在合同签订后7天内提交与项目经理签订的劳动合同及为项目经理缴纳社会保险的证明，承包人未在限期内提交的，项目经理无权履行职责，发包人有权要求更换项目经理</w:t>
      </w:r>
      <w:r>
        <w:rPr>
          <w:rFonts w:hint="eastAsia" w:ascii="仿宋" w:hAnsi="仿宋" w:eastAsia="仿宋" w:cs="仿宋"/>
          <w:color w:val="auto"/>
          <w:sz w:val="21"/>
          <w:szCs w:val="21"/>
          <w:highlight w:val="none"/>
        </w:rPr>
        <w:t>。</w:t>
      </w:r>
    </w:p>
    <w:p w14:paraId="42642ECC">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3.2.2 技术负责人</w:t>
      </w:r>
    </w:p>
    <w:p w14:paraId="186428EB">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姓    名：</w:t>
      </w:r>
      <w:r>
        <w:rPr>
          <w:rFonts w:hint="eastAsia" w:ascii="仿宋" w:hAnsi="仿宋" w:eastAsia="仿宋" w:cs="仿宋"/>
          <w:color w:val="auto"/>
          <w:sz w:val="21"/>
          <w:szCs w:val="21"/>
          <w:highlight w:val="none"/>
          <w:u w:val="single"/>
        </w:rPr>
        <w:t xml:space="preserve">                           </w:t>
      </w:r>
      <w:r>
        <w:rPr>
          <w:rFonts w:hint="eastAsia" w:ascii="仿宋" w:hAnsi="仿宋" w:eastAsia="仿宋" w:cs="仿宋"/>
          <w:color w:val="auto"/>
          <w:sz w:val="21"/>
          <w:szCs w:val="21"/>
          <w:highlight w:val="none"/>
        </w:rPr>
        <w:t>；</w:t>
      </w:r>
    </w:p>
    <w:p w14:paraId="55828CEC">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身份证号：</w:t>
      </w:r>
      <w:r>
        <w:rPr>
          <w:rFonts w:hint="eastAsia" w:ascii="仿宋" w:hAnsi="仿宋" w:eastAsia="仿宋" w:cs="仿宋"/>
          <w:color w:val="auto"/>
          <w:sz w:val="21"/>
          <w:szCs w:val="21"/>
          <w:highlight w:val="none"/>
          <w:u w:val="single"/>
        </w:rPr>
        <w:t xml:space="preserve">                           </w:t>
      </w:r>
      <w:r>
        <w:rPr>
          <w:rFonts w:hint="eastAsia" w:ascii="仿宋" w:hAnsi="仿宋" w:eastAsia="仿宋" w:cs="仿宋"/>
          <w:color w:val="auto"/>
          <w:sz w:val="21"/>
          <w:szCs w:val="21"/>
          <w:highlight w:val="none"/>
        </w:rPr>
        <w:t>；</w:t>
      </w:r>
    </w:p>
    <w:p w14:paraId="0C651380">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联系方式：</w:t>
      </w:r>
      <w:r>
        <w:rPr>
          <w:rFonts w:hint="eastAsia" w:ascii="仿宋" w:hAnsi="仿宋" w:eastAsia="仿宋" w:cs="仿宋"/>
          <w:color w:val="auto"/>
          <w:sz w:val="21"/>
          <w:szCs w:val="21"/>
          <w:highlight w:val="none"/>
          <w:u w:val="single"/>
        </w:rPr>
        <w:t xml:space="preserve">                           </w:t>
      </w:r>
      <w:r>
        <w:rPr>
          <w:rFonts w:hint="eastAsia" w:ascii="仿宋" w:hAnsi="仿宋" w:eastAsia="仿宋" w:cs="仿宋"/>
          <w:color w:val="auto"/>
          <w:sz w:val="21"/>
          <w:szCs w:val="21"/>
          <w:highlight w:val="none"/>
        </w:rPr>
        <w:t>；</w:t>
      </w:r>
    </w:p>
    <w:p w14:paraId="1CA9E035">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专     业：</w:t>
      </w:r>
      <w:r>
        <w:rPr>
          <w:rFonts w:hint="eastAsia" w:ascii="仿宋" w:hAnsi="仿宋" w:eastAsia="仿宋" w:cs="仿宋"/>
          <w:color w:val="auto"/>
          <w:sz w:val="21"/>
          <w:szCs w:val="21"/>
          <w:highlight w:val="none"/>
          <w:u w:val="single"/>
        </w:rPr>
        <w:t xml:space="preserve">                           </w:t>
      </w:r>
      <w:r>
        <w:rPr>
          <w:rFonts w:hint="eastAsia" w:ascii="仿宋" w:hAnsi="仿宋" w:eastAsia="仿宋" w:cs="仿宋"/>
          <w:color w:val="auto"/>
          <w:sz w:val="21"/>
          <w:szCs w:val="21"/>
          <w:highlight w:val="none"/>
        </w:rPr>
        <w:t>；</w:t>
      </w:r>
    </w:p>
    <w:p w14:paraId="3C0B0867">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证书名称及号码：</w:t>
      </w:r>
      <w:r>
        <w:rPr>
          <w:rFonts w:hint="eastAsia" w:ascii="仿宋" w:hAnsi="仿宋" w:eastAsia="仿宋" w:cs="仿宋"/>
          <w:color w:val="auto"/>
          <w:sz w:val="21"/>
          <w:szCs w:val="21"/>
          <w:highlight w:val="none"/>
          <w:u w:val="single"/>
        </w:rPr>
        <w:t xml:space="preserve">                         </w:t>
      </w:r>
      <w:r>
        <w:rPr>
          <w:rFonts w:hint="eastAsia" w:ascii="仿宋" w:hAnsi="仿宋" w:eastAsia="仿宋" w:cs="仿宋"/>
          <w:color w:val="auto"/>
          <w:sz w:val="21"/>
          <w:szCs w:val="21"/>
          <w:highlight w:val="none"/>
        </w:rPr>
        <w:t>；</w:t>
      </w:r>
    </w:p>
    <w:p w14:paraId="0E4E2546">
      <w:pPr>
        <w:spacing w:line="440" w:lineRule="exac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xml:space="preserve">    联系方式：</w:t>
      </w:r>
      <w:r>
        <w:rPr>
          <w:rFonts w:hint="eastAsia" w:ascii="仿宋" w:hAnsi="仿宋" w:eastAsia="仿宋" w:cs="仿宋"/>
          <w:color w:val="auto"/>
          <w:sz w:val="21"/>
          <w:szCs w:val="21"/>
          <w:highlight w:val="none"/>
          <w:u w:val="single"/>
        </w:rPr>
        <w:t xml:space="preserve">         </w:t>
      </w:r>
      <w:r>
        <w:rPr>
          <w:rFonts w:hint="eastAsia" w:ascii="仿宋" w:hAnsi="仿宋" w:eastAsia="仿宋" w:cs="仿宋"/>
          <w:color w:val="auto"/>
          <w:sz w:val="21"/>
          <w:szCs w:val="21"/>
          <w:highlight w:val="none"/>
        </w:rPr>
        <w:t>。</w:t>
      </w:r>
    </w:p>
    <w:p w14:paraId="66F89757">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关于技</w:t>
      </w:r>
      <w:r>
        <w:rPr>
          <w:rFonts w:hint="eastAsia" w:ascii="仿宋" w:hAnsi="仿宋" w:eastAsia="仿宋" w:cs="仿宋"/>
          <w:color w:val="auto"/>
          <w:sz w:val="21"/>
          <w:szCs w:val="21"/>
          <w:highlight w:val="none"/>
        </w:rPr>
        <w:t>术负责人每月在施工现场的时间要求：</w:t>
      </w:r>
      <w:r>
        <w:rPr>
          <w:rFonts w:hint="eastAsia" w:ascii="仿宋" w:hAnsi="仿宋" w:eastAsia="仿宋" w:cs="仿宋"/>
          <w:color w:val="auto"/>
          <w:sz w:val="21"/>
          <w:szCs w:val="21"/>
          <w:highlight w:val="none"/>
          <w:u w:val="single"/>
        </w:rPr>
        <w:t>不少于22天，由监理人负责技术负责人的考勤</w:t>
      </w:r>
      <w:r>
        <w:rPr>
          <w:rFonts w:hint="eastAsia" w:ascii="仿宋" w:hAnsi="仿宋" w:eastAsia="仿宋" w:cs="仿宋"/>
          <w:color w:val="auto"/>
          <w:sz w:val="21"/>
          <w:szCs w:val="21"/>
          <w:highlight w:val="none"/>
        </w:rPr>
        <w:t>。</w:t>
      </w:r>
    </w:p>
    <w:p w14:paraId="69D2C530">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u w:val="single"/>
        </w:rPr>
        <w:t>承包人应在合同签订后7天内提交与技术负责人签订的劳动合同及为技术负责人缴纳社会保险的证明，承包人未在限期内提交的，技术负责人无权履行职责，发包人有权要求更换技术负责人</w:t>
      </w:r>
      <w:r>
        <w:rPr>
          <w:rFonts w:hint="eastAsia" w:ascii="仿宋" w:hAnsi="仿宋" w:eastAsia="仿宋" w:cs="仿宋"/>
          <w:color w:val="auto"/>
          <w:sz w:val="21"/>
          <w:szCs w:val="21"/>
          <w:highlight w:val="none"/>
        </w:rPr>
        <w:t>。</w:t>
      </w:r>
      <w:bookmarkStart w:id="1304" w:name="_Hlk528927599"/>
    </w:p>
    <w:bookmarkEnd w:id="1304"/>
    <w:p w14:paraId="55E3A172">
      <w:pPr>
        <w:spacing w:line="440" w:lineRule="exact"/>
        <w:ind w:firstLine="420" w:firstLineChars="200"/>
        <w:jc w:val="left"/>
        <w:rPr>
          <w:rFonts w:hint="eastAsia" w:ascii="仿宋" w:hAnsi="仿宋" w:eastAsia="仿宋" w:cs="仿宋"/>
          <w:color w:val="auto"/>
          <w:sz w:val="21"/>
          <w:szCs w:val="21"/>
          <w:highlight w:val="none"/>
        </w:rPr>
      </w:pPr>
      <w:bookmarkStart w:id="1305" w:name="_Hlk528927718"/>
      <w:r>
        <w:rPr>
          <w:rFonts w:hint="eastAsia" w:ascii="仿宋" w:hAnsi="仿宋" w:eastAsia="仿宋" w:cs="仿宋"/>
          <w:color w:val="auto"/>
          <w:sz w:val="21"/>
          <w:szCs w:val="21"/>
          <w:highlight w:val="none"/>
        </w:rPr>
        <w:t>3.2.3 发包人有权书面通知承包人更换其认为不称职/不履职的项目经理和（或）技术负责人，通知中应当载明要求更换的理由。承包人应在接到更换通知后7天内向发包人提出书面的改进报告。发包人收到改进报告后仍要求更换的，承包人应在接到第二次更换通知的14天内进行更换，并将新任命的项目经理和（或）技术负责人的注册执业资格、职称证书、管理经验等资料书面报送发包人审核批准。继任项目经理和（或）技术负责人继续履行合同约定的职责。</w:t>
      </w:r>
      <w:bookmarkEnd w:id="1305"/>
    </w:p>
    <w:p w14:paraId="18B5788B">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若项目经理和技术负责人出现下列情形需更换的，承包人按通用条款第3.2.3项的规定向发包人发出通知，经发包人领导班子集体决策同意后予以批准，并将变更信息推送给行业主管部门：</w:t>
      </w:r>
    </w:p>
    <w:p w14:paraId="04DE3614">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1、死亡；</w:t>
      </w:r>
    </w:p>
    <w:p w14:paraId="5BCD5EFA">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2、非承包人原因导致工期延长，而致使项目经理和技术负责人达到法定退休年龄且确需退休；</w:t>
      </w:r>
    </w:p>
    <w:p w14:paraId="70C1821F">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3、按《职工非因工伤残或因病丧失劳动能力程度鉴定标准（试行）》规定鉴定为完全丧失劳动能力和大部分丧失劳动能力；</w:t>
      </w:r>
    </w:p>
    <w:p w14:paraId="4AA9CF47">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4、非承包人原因导致中选3个月不能开工；</w:t>
      </w:r>
    </w:p>
    <w:p w14:paraId="6F81C5E9">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5、被公安或者司法机关限制人身自由；</w:t>
      </w:r>
    </w:p>
    <w:p w14:paraId="609263CB">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6、被取消职称或者执业资格，不满足项目管理要求；</w:t>
      </w:r>
    </w:p>
    <w:p w14:paraId="6B0B4F2A">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7、非承包人原因导致确需变更的其它情形。</w:t>
      </w:r>
    </w:p>
    <w:p w14:paraId="2BE8F818">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本款补充3.2.6项</w:t>
      </w:r>
    </w:p>
    <w:p w14:paraId="238271AF">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3.2.6 国有资金投资项目其他主要人员变更参照《重庆市政府投资项目合同变更管理暂行办法》的规定。</w:t>
      </w:r>
    </w:p>
    <w:p w14:paraId="5E500C8E">
      <w:pPr>
        <w:widowControl/>
        <w:spacing w:line="440" w:lineRule="exact"/>
        <w:ind w:firstLine="422" w:firstLineChars="200"/>
        <w:jc w:val="left"/>
        <w:outlineLvl w:val="4"/>
        <w:rPr>
          <w:rFonts w:hint="eastAsia" w:ascii="仿宋" w:hAnsi="仿宋" w:eastAsia="仿宋" w:cs="仿宋"/>
          <w:b/>
          <w:bCs/>
          <w:color w:val="auto"/>
          <w:kern w:val="0"/>
          <w:sz w:val="21"/>
          <w:szCs w:val="21"/>
          <w:highlight w:val="none"/>
        </w:rPr>
      </w:pPr>
      <w:bookmarkStart w:id="1306" w:name="_Toc532377337"/>
      <w:r>
        <w:rPr>
          <w:rFonts w:hint="eastAsia" w:ascii="仿宋" w:hAnsi="仿宋" w:eastAsia="仿宋" w:cs="仿宋"/>
          <w:b/>
          <w:bCs/>
          <w:color w:val="auto"/>
          <w:kern w:val="0"/>
          <w:sz w:val="21"/>
          <w:szCs w:val="21"/>
          <w:highlight w:val="none"/>
        </w:rPr>
        <w:t>3.3 承包人人员</w:t>
      </w:r>
      <w:bookmarkEnd w:id="1306"/>
    </w:p>
    <w:p w14:paraId="3FFE9674">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3.3.1 承包人应按建设行政主管部门现行规定配备现场施工从业人员，具体要求如下：</w:t>
      </w:r>
      <w:r>
        <w:rPr>
          <w:rFonts w:hint="eastAsia" w:ascii="仿宋" w:hAnsi="仿宋" w:eastAsia="仿宋" w:cs="仿宋"/>
          <w:color w:val="auto"/>
          <w:sz w:val="21"/>
          <w:szCs w:val="21"/>
          <w:highlight w:val="none"/>
          <w:u w:val="single"/>
        </w:rPr>
        <w:t xml:space="preserve">        </w:t>
      </w:r>
    </w:p>
    <w:p w14:paraId="24DEA514">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3.3.2承包人派驻到施工现场的主要施工管理人员在施工过程中如有变动，承包人应及时向监理人提交施工现场人员变动情况的报告。承包人更换主要施工管理人员时，应提前7天书面通知监理人，并征得发包人书面同意。通知中应当载明继任人员的职称、执业资格、项目管理经验等资料。更换后的施工管理人员应当是承包人的正式员工，且在职称、执业资格、项目管理经验等方面不低于原施工管理人员。</w:t>
      </w:r>
    </w:p>
    <w:p w14:paraId="0C6FA7F1">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3.3.3 发包人有权书面通知承包人更换其认为不称职的主要施工管理人员，通知中应当载明要求更换的理由。承包人应在接到更换通知后7天内向发包人提出书面的改进报告。发包人收到改进报告后仍要求更换的，承包人应在接到第二次更换通知的7天内进行更换，并将新委派的主要施工管理人员的注册执业资格、职称证书、管理经验等资料书面报送发包人审核批准。</w:t>
      </w:r>
    </w:p>
    <w:p w14:paraId="328A7A74">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3.3.4 承包人主要施工管理人员离开施工现场，指定的临时人员需满足：</w:t>
      </w:r>
      <w:r>
        <w:rPr>
          <w:rFonts w:hint="eastAsia" w:ascii="仿宋" w:hAnsi="仿宋" w:eastAsia="仿宋" w:cs="仿宋"/>
          <w:color w:val="auto"/>
          <w:sz w:val="21"/>
          <w:szCs w:val="21"/>
          <w:highlight w:val="none"/>
          <w:u w:val="single"/>
        </w:rPr>
        <w:t>《重庆市房屋建筑与市政基础设施工程现场施工从业人员配备标准》（DBJ50-157-2013）的相应要求</w:t>
      </w:r>
      <w:r>
        <w:rPr>
          <w:rFonts w:hint="eastAsia" w:ascii="仿宋" w:hAnsi="仿宋" w:eastAsia="仿宋" w:cs="仿宋"/>
          <w:color w:val="auto"/>
          <w:sz w:val="21"/>
          <w:szCs w:val="21"/>
          <w:highlight w:val="none"/>
        </w:rPr>
        <w:t>。</w:t>
      </w:r>
    </w:p>
    <w:p w14:paraId="05888CEF">
      <w:pPr>
        <w:widowControl/>
        <w:spacing w:line="440" w:lineRule="exact"/>
        <w:ind w:firstLine="422" w:firstLineChars="200"/>
        <w:jc w:val="left"/>
        <w:outlineLvl w:val="4"/>
        <w:rPr>
          <w:rFonts w:hint="eastAsia" w:ascii="仿宋" w:hAnsi="仿宋" w:eastAsia="仿宋" w:cs="仿宋"/>
          <w:b/>
          <w:bCs/>
          <w:color w:val="auto"/>
          <w:kern w:val="0"/>
          <w:sz w:val="21"/>
          <w:szCs w:val="21"/>
          <w:highlight w:val="none"/>
        </w:rPr>
      </w:pPr>
      <w:bookmarkStart w:id="1307" w:name="_Toc532377338"/>
      <w:r>
        <w:rPr>
          <w:rFonts w:hint="eastAsia" w:ascii="仿宋" w:hAnsi="仿宋" w:eastAsia="仿宋" w:cs="仿宋"/>
          <w:b/>
          <w:bCs/>
          <w:color w:val="auto"/>
          <w:kern w:val="0"/>
          <w:sz w:val="21"/>
          <w:szCs w:val="21"/>
          <w:highlight w:val="none"/>
        </w:rPr>
        <w:t>3</w:t>
      </w:r>
      <w:bookmarkStart w:id="1308" w:name="_Toc296891199"/>
      <w:bookmarkStart w:id="1309" w:name="_Toc303539102"/>
      <w:bookmarkStart w:id="1310" w:name="_Toc300934945"/>
      <w:bookmarkStart w:id="1311" w:name="_Toc297216151"/>
      <w:bookmarkStart w:id="1312" w:name="_Toc296944498"/>
      <w:bookmarkStart w:id="1313" w:name="_Toc292559364"/>
      <w:bookmarkStart w:id="1314" w:name="_Toc296346660"/>
      <w:bookmarkStart w:id="1315" w:name="_Toc296347158"/>
      <w:bookmarkStart w:id="1316" w:name="_Toc304295523"/>
      <w:bookmarkStart w:id="1317" w:name="_Toc297048345"/>
      <w:bookmarkStart w:id="1318" w:name="_Toc312677988"/>
      <w:bookmarkStart w:id="1319" w:name="_Toc297120459"/>
      <w:bookmarkStart w:id="1320" w:name="_Toc296890987"/>
      <w:bookmarkStart w:id="1321" w:name="_Toc297123492"/>
      <w:bookmarkStart w:id="1322" w:name="_Toc292559869"/>
      <w:bookmarkStart w:id="1323" w:name="_Toc296503159"/>
      <w:r>
        <w:rPr>
          <w:rFonts w:hint="eastAsia" w:ascii="仿宋" w:hAnsi="仿宋" w:eastAsia="仿宋" w:cs="仿宋"/>
          <w:b/>
          <w:bCs/>
          <w:color w:val="auto"/>
          <w:kern w:val="0"/>
          <w:sz w:val="21"/>
          <w:szCs w:val="21"/>
          <w:highlight w:val="none"/>
        </w:rPr>
        <w:t>.5 分包</w:t>
      </w:r>
      <w:bookmarkEnd w:id="1307"/>
    </w:p>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p w14:paraId="629369AA">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本项目不允许分包。</w:t>
      </w:r>
    </w:p>
    <w:p w14:paraId="4C498B7A">
      <w:pPr>
        <w:widowControl/>
        <w:spacing w:line="440" w:lineRule="exact"/>
        <w:ind w:firstLine="422" w:firstLineChars="200"/>
        <w:jc w:val="left"/>
        <w:outlineLvl w:val="4"/>
        <w:rPr>
          <w:rFonts w:hint="eastAsia" w:ascii="仿宋" w:hAnsi="仿宋" w:eastAsia="仿宋" w:cs="仿宋"/>
          <w:b/>
          <w:bCs/>
          <w:color w:val="auto"/>
          <w:kern w:val="0"/>
          <w:sz w:val="21"/>
          <w:szCs w:val="21"/>
          <w:highlight w:val="none"/>
        </w:rPr>
      </w:pPr>
      <w:bookmarkStart w:id="1324" w:name="_Toc532377339"/>
      <w:r>
        <w:rPr>
          <w:rFonts w:hint="eastAsia" w:ascii="仿宋" w:hAnsi="仿宋" w:eastAsia="仿宋" w:cs="仿宋"/>
          <w:b/>
          <w:bCs/>
          <w:color w:val="auto"/>
          <w:kern w:val="0"/>
          <w:sz w:val="21"/>
          <w:szCs w:val="21"/>
          <w:highlight w:val="none"/>
        </w:rPr>
        <w:t>3.7 履约担保</w:t>
      </w:r>
      <w:bookmarkEnd w:id="1324"/>
    </w:p>
    <w:p w14:paraId="5368ED30">
      <w:pPr>
        <w:widowControl/>
        <w:spacing w:line="440" w:lineRule="exact"/>
        <w:ind w:firstLine="422" w:firstLineChars="200"/>
        <w:jc w:val="left"/>
        <w:outlineLvl w:val="4"/>
        <w:rPr>
          <w:rFonts w:hint="eastAsia" w:ascii="仿宋" w:hAnsi="仿宋" w:eastAsia="仿宋" w:cs="仿宋"/>
          <w:b/>
          <w:bCs/>
          <w:color w:val="auto"/>
          <w:kern w:val="0"/>
          <w:sz w:val="21"/>
          <w:szCs w:val="21"/>
          <w:highlight w:val="none"/>
          <w:lang w:val="en-US" w:eastAsia="zh-CN"/>
        </w:rPr>
      </w:pPr>
      <w:r>
        <w:rPr>
          <w:rFonts w:hint="eastAsia" w:ascii="仿宋" w:hAnsi="仿宋" w:eastAsia="仿宋" w:cs="仿宋"/>
          <w:b/>
          <w:bCs/>
          <w:color w:val="auto"/>
          <w:kern w:val="0"/>
          <w:sz w:val="21"/>
          <w:szCs w:val="21"/>
          <w:highlight w:val="none"/>
          <w:lang w:val="en-US" w:eastAsia="zh-CN"/>
        </w:rPr>
        <w:t>无</w:t>
      </w:r>
    </w:p>
    <w:p w14:paraId="0C495744">
      <w:pPr>
        <w:keepNext/>
        <w:keepLines/>
        <w:widowControl/>
        <w:spacing w:before="120" w:beforeLines="50" w:after="120" w:afterLines="50" w:line="440" w:lineRule="exact"/>
        <w:outlineLvl w:val="3"/>
        <w:rPr>
          <w:rFonts w:hint="eastAsia" w:ascii="仿宋" w:hAnsi="仿宋" w:eastAsia="仿宋" w:cs="仿宋"/>
          <w:b/>
          <w:color w:val="auto"/>
          <w:sz w:val="21"/>
          <w:szCs w:val="21"/>
          <w:highlight w:val="none"/>
        </w:rPr>
      </w:pPr>
      <w:bookmarkStart w:id="1325" w:name="_Toc351203636"/>
      <w:bookmarkStart w:id="1326" w:name="_Toc532375611"/>
      <w:bookmarkStart w:id="1327" w:name="_Toc532377340"/>
      <w:r>
        <w:rPr>
          <w:rFonts w:hint="eastAsia" w:ascii="仿宋" w:hAnsi="仿宋" w:eastAsia="仿宋" w:cs="仿宋"/>
          <w:b/>
          <w:bCs/>
          <w:color w:val="auto"/>
          <w:sz w:val="21"/>
          <w:szCs w:val="21"/>
          <w:highlight w:val="none"/>
        </w:rPr>
        <w:t>4</w:t>
      </w:r>
      <w:bookmarkStart w:id="1328" w:name="_Toc297120462"/>
      <w:bookmarkStart w:id="1329" w:name="_Toc296346663"/>
      <w:bookmarkStart w:id="1330" w:name="_Toc292559366"/>
      <w:bookmarkStart w:id="1331" w:name="_Toc297048348"/>
      <w:bookmarkStart w:id="1332" w:name="_Toc296347161"/>
      <w:bookmarkStart w:id="1333" w:name="_Toc292559871"/>
      <w:bookmarkStart w:id="1334" w:name="_Toc296890990"/>
      <w:bookmarkStart w:id="1335" w:name="_Toc267251413"/>
      <w:bookmarkStart w:id="1336" w:name="_Toc296503162"/>
      <w:bookmarkStart w:id="1337" w:name="_Toc296944501"/>
      <w:bookmarkStart w:id="1338" w:name="_Toc296891202"/>
      <w:r>
        <w:rPr>
          <w:rFonts w:hint="eastAsia" w:ascii="仿宋" w:hAnsi="仿宋" w:eastAsia="仿宋" w:cs="仿宋"/>
          <w:b/>
          <w:bCs/>
          <w:color w:val="auto"/>
          <w:sz w:val="21"/>
          <w:szCs w:val="21"/>
          <w:highlight w:val="none"/>
        </w:rPr>
        <w:t>. 监</w:t>
      </w:r>
      <w:bookmarkEnd w:id="1328"/>
      <w:bookmarkEnd w:id="1329"/>
      <w:bookmarkEnd w:id="1330"/>
      <w:bookmarkEnd w:id="1331"/>
      <w:bookmarkEnd w:id="1332"/>
      <w:bookmarkEnd w:id="1333"/>
      <w:bookmarkEnd w:id="1334"/>
      <w:bookmarkEnd w:id="1335"/>
      <w:bookmarkEnd w:id="1336"/>
      <w:bookmarkEnd w:id="1337"/>
      <w:bookmarkEnd w:id="1338"/>
      <w:r>
        <w:rPr>
          <w:rFonts w:hint="eastAsia" w:ascii="仿宋" w:hAnsi="仿宋" w:eastAsia="仿宋" w:cs="仿宋"/>
          <w:b/>
          <w:bCs/>
          <w:color w:val="auto"/>
          <w:sz w:val="21"/>
          <w:szCs w:val="21"/>
          <w:highlight w:val="none"/>
        </w:rPr>
        <w:t>理人</w:t>
      </w:r>
      <w:bookmarkEnd w:id="1325"/>
      <w:bookmarkEnd w:id="1326"/>
      <w:bookmarkEnd w:id="1327"/>
    </w:p>
    <w:p w14:paraId="74A57A02">
      <w:pPr>
        <w:widowControl/>
        <w:spacing w:line="440" w:lineRule="exact"/>
        <w:ind w:firstLine="422" w:firstLineChars="200"/>
        <w:jc w:val="left"/>
        <w:outlineLvl w:val="4"/>
        <w:rPr>
          <w:rFonts w:hint="eastAsia" w:ascii="仿宋" w:hAnsi="仿宋" w:eastAsia="仿宋" w:cs="仿宋"/>
          <w:b/>
          <w:bCs/>
          <w:color w:val="auto"/>
          <w:kern w:val="0"/>
          <w:sz w:val="21"/>
          <w:szCs w:val="21"/>
          <w:highlight w:val="none"/>
        </w:rPr>
      </w:pPr>
      <w:bookmarkStart w:id="1339" w:name="_Toc532377341"/>
      <w:r>
        <w:rPr>
          <w:rFonts w:hint="eastAsia" w:ascii="仿宋" w:hAnsi="仿宋" w:eastAsia="仿宋" w:cs="仿宋"/>
          <w:b/>
          <w:bCs/>
          <w:color w:val="auto"/>
          <w:kern w:val="0"/>
          <w:sz w:val="21"/>
          <w:szCs w:val="21"/>
          <w:highlight w:val="none"/>
        </w:rPr>
        <w:t>4.1 监理人的一般规定</w:t>
      </w:r>
      <w:bookmarkEnd w:id="1339"/>
    </w:p>
    <w:p w14:paraId="0B46824F">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关于监理人的监理内容：</w:t>
      </w:r>
      <w:r>
        <w:rPr>
          <w:rFonts w:hint="eastAsia" w:ascii="仿宋" w:hAnsi="仿宋" w:eastAsia="仿宋" w:cs="仿宋"/>
          <w:color w:val="auto"/>
          <w:sz w:val="21"/>
          <w:szCs w:val="21"/>
          <w:highlight w:val="none"/>
          <w:u w:val="single"/>
        </w:rPr>
        <w:t>见发包人与监理人就本工程签订的监理合同</w:t>
      </w:r>
      <w:r>
        <w:rPr>
          <w:rFonts w:hint="eastAsia" w:ascii="仿宋" w:hAnsi="仿宋" w:eastAsia="仿宋" w:cs="仿宋"/>
          <w:color w:val="auto"/>
          <w:sz w:val="21"/>
          <w:szCs w:val="21"/>
          <w:highlight w:val="none"/>
        </w:rPr>
        <w:t>。</w:t>
      </w:r>
    </w:p>
    <w:p w14:paraId="2B01D39D">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关于监理人的监理权限：</w:t>
      </w:r>
      <w:r>
        <w:rPr>
          <w:rFonts w:hint="eastAsia" w:ascii="仿宋" w:hAnsi="仿宋" w:eastAsia="仿宋" w:cs="仿宋"/>
          <w:color w:val="auto"/>
          <w:sz w:val="21"/>
          <w:szCs w:val="21"/>
          <w:highlight w:val="none"/>
          <w:u w:val="single"/>
        </w:rPr>
        <w:t>见发包人与监理人就本工程签订的监理合同；任何涉及费用确定和（或）工期调整，或者设计变更，或者变更估价，或者涉及经济责任的事项，监理工程师在发出指令或通知前，须征得发包人书面同意</w:t>
      </w:r>
      <w:r>
        <w:rPr>
          <w:rFonts w:hint="eastAsia" w:ascii="仿宋" w:hAnsi="仿宋" w:eastAsia="仿宋" w:cs="仿宋"/>
          <w:color w:val="auto"/>
          <w:sz w:val="21"/>
          <w:szCs w:val="21"/>
          <w:highlight w:val="none"/>
        </w:rPr>
        <w:t>。</w:t>
      </w:r>
    </w:p>
    <w:p w14:paraId="001FE962">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关于监理人在施工现场的办公场所、生活场所的提供和费用承担的约定：</w:t>
      </w:r>
      <w:r>
        <w:rPr>
          <w:rFonts w:hint="eastAsia" w:ascii="仿宋" w:hAnsi="仿宋" w:eastAsia="仿宋" w:cs="仿宋"/>
          <w:color w:val="auto"/>
          <w:sz w:val="21"/>
          <w:szCs w:val="21"/>
          <w:highlight w:val="none"/>
          <w:u w:val="single"/>
        </w:rPr>
        <w:t xml:space="preserve">                          </w:t>
      </w:r>
      <w:r>
        <w:rPr>
          <w:rFonts w:hint="eastAsia" w:ascii="仿宋" w:hAnsi="仿宋" w:eastAsia="仿宋" w:cs="仿宋"/>
          <w:color w:val="auto"/>
          <w:sz w:val="21"/>
          <w:szCs w:val="21"/>
          <w:highlight w:val="none"/>
        </w:rPr>
        <w:t>。</w:t>
      </w:r>
    </w:p>
    <w:p w14:paraId="634902AE">
      <w:pPr>
        <w:widowControl/>
        <w:spacing w:line="440" w:lineRule="exact"/>
        <w:ind w:firstLine="422" w:firstLineChars="200"/>
        <w:jc w:val="left"/>
        <w:outlineLvl w:val="4"/>
        <w:rPr>
          <w:rFonts w:hint="eastAsia" w:ascii="仿宋" w:hAnsi="仿宋" w:eastAsia="仿宋" w:cs="仿宋"/>
          <w:b/>
          <w:bCs/>
          <w:color w:val="auto"/>
          <w:kern w:val="0"/>
          <w:sz w:val="21"/>
          <w:szCs w:val="21"/>
          <w:highlight w:val="none"/>
        </w:rPr>
      </w:pPr>
      <w:bookmarkStart w:id="1340" w:name="_Toc532377342"/>
      <w:r>
        <w:rPr>
          <w:rFonts w:hint="eastAsia" w:ascii="仿宋" w:hAnsi="仿宋" w:eastAsia="仿宋" w:cs="仿宋"/>
          <w:b/>
          <w:bCs/>
          <w:color w:val="auto"/>
          <w:kern w:val="0"/>
          <w:sz w:val="21"/>
          <w:szCs w:val="21"/>
          <w:highlight w:val="none"/>
        </w:rPr>
        <w:t>4.2 监理人员</w:t>
      </w:r>
      <w:bookmarkEnd w:id="1340"/>
    </w:p>
    <w:p w14:paraId="02F8C241">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总监理工程师：</w:t>
      </w:r>
    </w:p>
    <w:p w14:paraId="1C40EED7">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姓    名：</w:t>
      </w:r>
      <w:r>
        <w:rPr>
          <w:rFonts w:hint="eastAsia" w:ascii="仿宋" w:hAnsi="仿宋" w:eastAsia="仿宋" w:cs="仿宋"/>
          <w:color w:val="auto"/>
          <w:sz w:val="21"/>
          <w:szCs w:val="21"/>
          <w:highlight w:val="none"/>
          <w:u w:val="single"/>
        </w:rPr>
        <w:t xml:space="preserve">                          </w:t>
      </w:r>
      <w:r>
        <w:rPr>
          <w:rFonts w:hint="eastAsia" w:ascii="仿宋" w:hAnsi="仿宋" w:eastAsia="仿宋" w:cs="仿宋"/>
          <w:color w:val="auto"/>
          <w:sz w:val="21"/>
          <w:szCs w:val="21"/>
          <w:highlight w:val="none"/>
        </w:rPr>
        <w:t>；</w:t>
      </w:r>
    </w:p>
    <w:p w14:paraId="02175C91">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职    务：</w:t>
      </w:r>
      <w:r>
        <w:rPr>
          <w:rFonts w:hint="eastAsia" w:ascii="仿宋" w:hAnsi="仿宋" w:eastAsia="仿宋" w:cs="仿宋"/>
          <w:color w:val="auto"/>
          <w:sz w:val="21"/>
          <w:szCs w:val="21"/>
          <w:highlight w:val="none"/>
          <w:u w:val="single"/>
        </w:rPr>
        <w:t xml:space="preserve">                          </w:t>
      </w:r>
      <w:r>
        <w:rPr>
          <w:rFonts w:hint="eastAsia" w:ascii="仿宋" w:hAnsi="仿宋" w:eastAsia="仿宋" w:cs="仿宋"/>
          <w:color w:val="auto"/>
          <w:sz w:val="21"/>
          <w:szCs w:val="21"/>
          <w:highlight w:val="none"/>
        </w:rPr>
        <w:t>；</w:t>
      </w:r>
    </w:p>
    <w:p w14:paraId="5546E278">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监理工程师执业资格证书号：</w:t>
      </w:r>
      <w:r>
        <w:rPr>
          <w:rFonts w:hint="eastAsia" w:ascii="仿宋" w:hAnsi="仿宋" w:eastAsia="仿宋" w:cs="仿宋"/>
          <w:color w:val="auto"/>
          <w:sz w:val="21"/>
          <w:szCs w:val="21"/>
          <w:highlight w:val="none"/>
          <w:u w:val="single"/>
        </w:rPr>
        <w:t xml:space="preserve">              </w:t>
      </w:r>
      <w:r>
        <w:rPr>
          <w:rFonts w:hint="eastAsia" w:ascii="仿宋" w:hAnsi="仿宋" w:eastAsia="仿宋" w:cs="仿宋"/>
          <w:color w:val="auto"/>
          <w:sz w:val="21"/>
          <w:szCs w:val="21"/>
          <w:highlight w:val="none"/>
        </w:rPr>
        <w:t>；</w:t>
      </w:r>
    </w:p>
    <w:p w14:paraId="1B6AED7D">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联系方式：</w:t>
      </w:r>
      <w:r>
        <w:rPr>
          <w:rFonts w:hint="eastAsia" w:ascii="仿宋" w:hAnsi="仿宋" w:eastAsia="仿宋" w:cs="仿宋"/>
          <w:color w:val="auto"/>
          <w:sz w:val="21"/>
          <w:szCs w:val="21"/>
          <w:highlight w:val="none"/>
          <w:u w:val="single"/>
        </w:rPr>
        <w:t xml:space="preserve">                          </w:t>
      </w:r>
      <w:r>
        <w:rPr>
          <w:rFonts w:hint="eastAsia" w:ascii="仿宋" w:hAnsi="仿宋" w:eastAsia="仿宋" w:cs="仿宋"/>
          <w:color w:val="auto"/>
          <w:sz w:val="21"/>
          <w:szCs w:val="21"/>
          <w:highlight w:val="none"/>
        </w:rPr>
        <w:t>；</w:t>
      </w:r>
    </w:p>
    <w:p w14:paraId="7025A15C">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关于监理人的其他约定：</w:t>
      </w:r>
      <w:r>
        <w:rPr>
          <w:rFonts w:hint="eastAsia" w:ascii="仿宋" w:hAnsi="仿宋" w:eastAsia="仿宋" w:cs="仿宋"/>
          <w:color w:val="auto"/>
          <w:sz w:val="21"/>
          <w:szCs w:val="21"/>
          <w:highlight w:val="none"/>
          <w:u w:val="single"/>
        </w:rPr>
        <w:t>见发包人与监理人就本工程签订的监理合同</w:t>
      </w:r>
      <w:r>
        <w:rPr>
          <w:rFonts w:hint="eastAsia" w:ascii="仿宋" w:hAnsi="仿宋" w:eastAsia="仿宋" w:cs="仿宋"/>
          <w:color w:val="auto"/>
          <w:sz w:val="21"/>
          <w:szCs w:val="21"/>
          <w:highlight w:val="none"/>
        </w:rPr>
        <w:t>。</w:t>
      </w:r>
    </w:p>
    <w:p w14:paraId="6EAC352A">
      <w:pPr>
        <w:widowControl/>
        <w:spacing w:line="440" w:lineRule="exact"/>
        <w:ind w:firstLine="420" w:firstLineChars="200"/>
        <w:jc w:val="left"/>
        <w:outlineLvl w:val="4"/>
        <w:rPr>
          <w:rFonts w:hint="eastAsia" w:ascii="仿宋" w:hAnsi="仿宋" w:eastAsia="仿宋" w:cs="仿宋"/>
          <w:bCs/>
          <w:color w:val="auto"/>
          <w:kern w:val="0"/>
          <w:sz w:val="21"/>
          <w:szCs w:val="21"/>
          <w:highlight w:val="none"/>
        </w:rPr>
      </w:pPr>
      <w:bookmarkStart w:id="1341" w:name="_Toc532377343"/>
      <w:r>
        <w:rPr>
          <w:rFonts w:hint="eastAsia" w:ascii="仿宋" w:hAnsi="仿宋" w:eastAsia="仿宋" w:cs="仿宋"/>
          <w:bCs/>
          <w:color w:val="auto"/>
          <w:kern w:val="0"/>
          <w:sz w:val="21"/>
          <w:szCs w:val="21"/>
          <w:highlight w:val="none"/>
        </w:rPr>
        <w:t>4.4 商定或确定</w:t>
      </w:r>
      <w:bookmarkEnd w:id="1341"/>
    </w:p>
    <w:p w14:paraId="5F807814">
      <w:pPr>
        <w:spacing w:line="440" w:lineRule="exact"/>
        <w:ind w:firstLine="420" w:firstLineChars="200"/>
        <w:jc w:val="left"/>
        <w:rPr>
          <w:rFonts w:hint="eastAsia" w:ascii="仿宋" w:hAnsi="仿宋" w:eastAsia="仿宋" w:cs="仿宋"/>
          <w:color w:val="auto"/>
          <w:sz w:val="21"/>
          <w:szCs w:val="21"/>
          <w:highlight w:val="none"/>
        </w:rPr>
      </w:pPr>
      <w:bookmarkStart w:id="1342" w:name="_Toc267251418"/>
      <w:r>
        <w:rPr>
          <w:rFonts w:hint="eastAsia" w:ascii="仿宋" w:hAnsi="仿宋" w:eastAsia="仿宋" w:cs="仿宋"/>
          <w:color w:val="auto"/>
          <w:sz w:val="21"/>
          <w:szCs w:val="21"/>
          <w:highlight w:val="none"/>
        </w:rPr>
        <w:t>在发包人和承包人不能通过协商达成一致意见时，发包人授权监理人对以下事项进行确定：</w:t>
      </w:r>
    </w:p>
    <w:p w14:paraId="5E8B7FCA">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u w:val="single"/>
        </w:rPr>
        <w:t xml:space="preserve">                          </w:t>
      </w:r>
      <w:r>
        <w:rPr>
          <w:rFonts w:hint="eastAsia" w:ascii="仿宋" w:hAnsi="仿宋" w:eastAsia="仿宋" w:cs="仿宋"/>
          <w:color w:val="auto"/>
          <w:sz w:val="21"/>
          <w:szCs w:val="21"/>
          <w:highlight w:val="none"/>
        </w:rPr>
        <w:t>。</w:t>
      </w:r>
    </w:p>
    <w:p w14:paraId="28B25122">
      <w:pPr>
        <w:keepNext/>
        <w:keepLines/>
        <w:widowControl/>
        <w:spacing w:before="120" w:beforeLines="50" w:after="120" w:afterLines="50" w:line="440" w:lineRule="exact"/>
        <w:outlineLvl w:val="3"/>
        <w:rPr>
          <w:rFonts w:hint="eastAsia" w:ascii="仿宋" w:hAnsi="仿宋" w:eastAsia="仿宋" w:cs="仿宋"/>
          <w:b/>
          <w:color w:val="auto"/>
          <w:sz w:val="21"/>
          <w:szCs w:val="21"/>
          <w:highlight w:val="none"/>
        </w:rPr>
      </w:pPr>
      <w:bookmarkStart w:id="1343" w:name="_Toc351203637"/>
      <w:bookmarkStart w:id="1344" w:name="_Toc532375612"/>
      <w:bookmarkStart w:id="1345" w:name="_Toc532377344"/>
      <w:r>
        <w:rPr>
          <w:rFonts w:hint="eastAsia" w:ascii="仿宋" w:hAnsi="仿宋" w:eastAsia="仿宋" w:cs="仿宋"/>
          <w:b/>
          <w:bCs/>
          <w:color w:val="auto"/>
          <w:sz w:val="21"/>
          <w:szCs w:val="21"/>
          <w:highlight w:val="none"/>
        </w:rPr>
        <w:t>5</w:t>
      </w:r>
      <w:bookmarkEnd w:id="1342"/>
      <w:bookmarkStart w:id="1346" w:name="_Toc292559367"/>
      <w:bookmarkStart w:id="1347" w:name="_Toc297048349"/>
      <w:bookmarkStart w:id="1348" w:name="_Toc296503163"/>
      <w:bookmarkStart w:id="1349" w:name="_Toc296891203"/>
      <w:bookmarkStart w:id="1350" w:name="_Toc297120463"/>
      <w:bookmarkStart w:id="1351" w:name="_Toc296347162"/>
      <w:bookmarkStart w:id="1352" w:name="_Toc296944502"/>
      <w:bookmarkStart w:id="1353" w:name="_Toc296890991"/>
      <w:bookmarkStart w:id="1354" w:name="_Toc296346664"/>
      <w:bookmarkStart w:id="1355" w:name="_Toc292559872"/>
      <w:r>
        <w:rPr>
          <w:rFonts w:hint="eastAsia" w:ascii="仿宋" w:hAnsi="仿宋" w:eastAsia="仿宋" w:cs="仿宋"/>
          <w:b/>
          <w:bCs/>
          <w:color w:val="auto"/>
          <w:sz w:val="21"/>
          <w:szCs w:val="21"/>
          <w:highlight w:val="none"/>
        </w:rPr>
        <w:t>. 工程质量</w:t>
      </w:r>
      <w:bookmarkEnd w:id="1343"/>
      <w:bookmarkEnd w:id="1344"/>
      <w:bookmarkEnd w:id="1345"/>
    </w:p>
    <w:p w14:paraId="5BDF5CA4">
      <w:pPr>
        <w:widowControl/>
        <w:spacing w:line="440" w:lineRule="exact"/>
        <w:ind w:firstLine="422" w:firstLineChars="200"/>
        <w:jc w:val="left"/>
        <w:outlineLvl w:val="4"/>
        <w:rPr>
          <w:rFonts w:hint="eastAsia" w:ascii="仿宋" w:hAnsi="仿宋" w:eastAsia="仿宋" w:cs="仿宋"/>
          <w:b/>
          <w:bCs/>
          <w:color w:val="auto"/>
          <w:kern w:val="0"/>
          <w:sz w:val="21"/>
          <w:szCs w:val="21"/>
          <w:highlight w:val="none"/>
        </w:rPr>
      </w:pPr>
      <w:bookmarkStart w:id="1356" w:name="_Toc532377345"/>
      <w:r>
        <w:rPr>
          <w:rFonts w:hint="eastAsia" w:ascii="仿宋" w:hAnsi="仿宋" w:eastAsia="仿宋" w:cs="仿宋"/>
          <w:b/>
          <w:bCs/>
          <w:color w:val="auto"/>
          <w:kern w:val="0"/>
          <w:sz w:val="21"/>
          <w:szCs w:val="21"/>
          <w:highlight w:val="none"/>
        </w:rPr>
        <w:t>5.1 质量要求</w:t>
      </w:r>
      <w:bookmarkEnd w:id="1356"/>
      <w:bookmarkStart w:id="1357" w:name="_Hlk528909888"/>
      <w:bookmarkStart w:id="1358" w:name="_Toc304295527"/>
      <w:bookmarkStart w:id="1359" w:name="_Toc312677997"/>
      <w:bookmarkStart w:id="1360" w:name="_Toc300934949"/>
      <w:bookmarkStart w:id="1361" w:name="_Toc318581164"/>
      <w:bookmarkStart w:id="1362" w:name="_Toc303539106"/>
      <w:bookmarkStart w:id="1363" w:name="_Toc297216155"/>
      <w:bookmarkStart w:id="1364" w:name="_Toc297123496"/>
    </w:p>
    <w:p w14:paraId="22F1F0DF">
      <w:pPr>
        <w:spacing w:line="440" w:lineRule="exact"/>
        <w:ind w:firstLine="420" w:firstLineChars="200"/>
        <w:jc w:val="left"/>
        <w:rPr>
          <w:rFonts w:hint="eastAsia" w:ascii="仿宋" w:hAnsi="仿宋" w:eastAsia="仿宋" w:cs="仿宋"/>
          <w:color w:val="auto"/>
          <w:sz w:val="21"/>
          <w:szCs w:val="21"/>
          <w:highlight w:val="none"/>
          <w:u w:val="single"/>
        </w:rPr>
      </w:pPr>
      <w:r>
        <w:rPr>
          <w:rFonts w:hint="eastAsia" w:ascii="仿宋" w:hAnsi="仿宋" w:eastAsia="仿宋" w:cs="仿宋"/>
          <w:color w:val="auto"/>
          <w:sz w:val="21"/>
          <w:szCs w:val="21"/>
          <w:highlight w:val="none"/>
        </w:rPr>
        <w:t>工程质量符合强制性质量标准，</w:t>
      </w:r>
      <w:r>
        <w:rPr>
          <w:rFonts w:hint="eastAsia" w:ascii="仿宋" w:hAnsi="仿宋" w:eastAsia="仿宋" w:cs="仿宋"/>
          <w:color w:val="auto"/>
          <w:sz w:val="21"/>
          <w:szCs w:val="21"/>
          <w:highlight w:val="none"/>
          <w:u w:val="single"/>
        </w:rPr>
        <w:t>符合国家和重庆市现行有关施工质量验收规范要求，并达到合格标准</w:t>
      </w:r>
      <w:r>
        <w:rPr>
          <w:rFonts w:hint="eastAsia" w:ascii="仿宋" w:hAnsi="仿宋" w:eastAsia="仿宋" w:cs="仿宋"/>
          <w:color w:val="auto"/>
          <w:sz w:val="21"/>
          <w:szCs w:val="21"/>
          <w:highlight w:val="none"/>
        </w:rPr>
        <w:t>。</w:t>
      </w:r>
    </w:p>
    <w:bookmarkEnd w:id="1357"/>
    <w:p w14:paraId="36B26711">
      <w:pPr>
        <w:widowControl/>
        <w:spacing w:line="440" w:lineRule="exact"/>
        <w:ind w:firstLine="422" w:firstLineChars="200"/>
        <w:jc w:val="left"/>
        <w:outlineLvl w:val="4"/>
        <w:rPr>
          <w:rFonts w:hint="eastAsia" w:ascii="仿宋" w:hAnsi="仿宋" w:eastAsia="仿宋" w:cs="仿宋"/>
          <w:b/>
          <w:bCs/>
          <w:color w:val="auto"/>
          <w:kern w:val="0"/>
          <w:sz w:val="21"/>
          <w:szCs w:val="21"/>
          <w:highlight w:val="none"/>
        </w:rPr>
      </w:pPr>
      <w:bookmarkStart w:id="1365" w:name="_Toc532377346"/>
      <w:r>
        <w:rPr>
          <w:rFonts w:hint="eastAsia" w:ascii="仿宋" w:hAnsi="仿宋" w:eastAsia="仿宋" w:cs="仿宋"/>
          <w:b/>
          <w:bCs/>
          <w:color w:val="auto"/>
          <w:kern w:val="0"/>
          <w:sz w:val="21"/>
          <w:szCs w:val="21"/>
          <w:highlight w:val="none"/>
        </w:rPr>
        <w:t>5.2 质量保证措施</w:t>
      </w:r>
      <w:bookmarkEnd w:id="1365"/>
    </w:p>
    <w:p w14:paraId="7528B8A9">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本款补充5.2.4项：</w:t>
      </w:r>
    </w:p>
    <w:p w14:paraId="36412228">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5.2.4 在工程建设中，参建各方应严格执行以下规定（包括但不限于）：</w:t>
      </w:r>
    </w:p>
    <w:p w14:paraId="7BC82E9F">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w:t>
      </w:r>
      <w:r>
        <w:rPr>
          <w:rFonts w:hint="eastAsia" w:ascii="仿宋" w:hAnsi="仿宋" w:eastAsia="仿宋" w:cs="仿宋"/>
          <w:color w:val="auto"/>
          <w:sz w:val="21"/>
          <w:szCs w:val="21"/>
          <w:highlight w:val="none"/>
          <w:u w:val="single"/>
        </w:rPr>
        <w:t>《建筑工程施工质量验收统一标准》（GB50300-2013）</w:t>
      </w:r>
      <w:r>
        <w:rPr>
          <w:rFonts w:hint="eastAsia" w:ascii="仿宋" w:hAnsi="仿宋" w:eastAsia="仿宋" w:cs="仿宋"/>
          <w:color w:val="auto"/>
          <w:sz w:val="21"/>
          <w:szCs w:val="21"/>
          <w:highlight w:val="none"/>
        </w:rPr>
        <w:t>；</w:t>
      </w:r>
    </w:p>
    <w:p w14:paraId="49B17EA6">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w:t>
      </w:r>
      <w:r>
        <w:rPr>
          <w:rFonts w:hint="eastAsia" w:ascii="仿宋" w:hAnsi="仿宋" w:eastAsia="仿宋" w:cs="仿宋"/>
          <w:color w:val="auto"/>
          <w:sz w:val="21"/>
          <w:szCs w:val="21"/>
          <w:highlight w:val="none"/>
          <w:u w:val="single"/>
        </w:rPr>
        <w:t>《住房城乡建设部关于印发工程质量安全提升行动方案的通知》（建质〔2017〕57号）</w:t>
      </w:r>
      <w:r>
        <w:rPr>
          <w:rFonts w:hint="eastAsia" w:ascii="仿宋" w:hAnsi="仿宋" w:eastAsia="仿宋" w:cs="仿宋"/>
          <w:color w:val="auto"/>
          <w:sz w:val="21"/>
          <w:szCs w:val="21"/>
          <w:highlight w:val="none"/>
        </w:rPr>
        <w:t>；</w:t>
      </w:r>
    </w:p>
    <w:p w14:paraId="39548DEE">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w:t>
      </w:r>
      <w:r>
        <w:rPr>
          <w:rFonts w:hint="eastAsia" w:ascii="仿宋" w:hAnsi="仿宋" w:eastAsia="仿宋" w:cs="仿宋"/>
          <w:color w:val="auto"/>
          <w:sz w:val="21"/>
          <w:szCs w:val="21"/>
          <w:highlight w:val="none"/>
          <w:u w:val="single"/>
        </w:rPr>
        <w:t>《房屋建筑和市政基础设施工程竣工验收规定》（建质〔2013〕171号）</w:t>
      </w:r>
      <w:r>
        <w:rPr>
          <w:rFonts w:hint="eastAsia" w:ascii="仿宋" w:hAnsi="仿宋" w:eastAsia="仿宋" w:cs="仿宋"/>
          <w:color w:val="auto"/>
          <w:sz w:val="21"/>
          <w:szCs w:val="21"/>
          <w:highlight w:val="none"/>
        </w:rPr>
        <w:t>；</w:t>
      </w:r>
    </w:p>
    <w:p w14:paraId="7BD5C550">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（4）</w:t>
      </w:r>
      <w:r>
        <w:rPr>
          <w:rFonts w:hint="eastAsia" w:ascii="仿宋" w:hAnsi="仿宋" w:eastAsia="仿宋" w:cs="仿宋"/>
          <w:color w:val="auto"/>
          <w:sz w:val="21"/>
          <w:szCs w:val="21"/>
          <w:highlight w:val="none"/>
          <w:u w:val="single"/>
        </w:rPr>
        <w:t>《建设部关于贯彻执行建筑工程勘察设计及施工质量验收规范若干问题的通知》（建标〔2002〕212号）</w:t>
      </w:r>
      <w:r>
        <w:rPr>
          <w:rFonts w:hint="eastAsia" w:ascii="仿宋" w:hAnsi="仿宋" w:eastAsia="仿宋" w:cs="仿宋"/>
          <w:color w:val="auto"/>
          <w:sz w:val="21"/>
          <w:szCs w:val="21"/>
          <w:highlight w:val="none"/>
        </w:rPr>
        <w:t>；</w:t>
      </w:r>
    </w:p>
    <w:p w14:paraId="52FF96CE">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（5）</w:t>
      </w:r>
      <w:r>
        <w:rPr>
          <w:rFonts w:hint="eastAsia" w:ascii="仿宋" w:hAnsi="仿宋" w:eastAsia="仿宋" w:cs="仿宋"/>
          <w:color w:val="auto"/>
          <w:sz w:val="21"/>
          <w:szCs w:val="21"/>
          <w:highlight w:val="none"/>
          <w:u w:val="single"/>
        </w:rPr>
        <w:t>《重庆市住房和城乡建设委员会关于印发&lt;重庆市房屋建筑和市政基础设施工程质量常见问题防治要点（2019年版）&gt;的通知》（渝建〔2019〕198号）</w:t>
      </w:r>
      <w:r>
        <w:rPr>
          <w:rFonts w:hint="eastAsia" w:ascii="仿宋" w:hAnsi="仿宋" w:eastAsia="仿宋" w:cs="仿宋"/>
          <w:color w:val="auto"/>
          <w:sz w:val="21"/>
          <w:szCs w:val="21"/>
          <w:highlight w:val="none"/>
        </w:rPr>
        <w:t>；</w:t>
      </w:r>
    </w:p>
    <w:p w14:paraId="324949B5">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（6）</w:t>
      </w:r>
      <w:r>
        <w:rPr>
          <w:rFonts w:hint="eastAsia" w:ascii="仿宋" w:hAnsi="仿宋" w:eastAsia="仿宋" w:cs="仿宋"/>
          <w:color w:val="auto"/>
          <w:sz w:val="21"/>
          <w:szCs w:val="21"/>
          <w:highlight w:val="none"/>
          <w:u w:val="single"/>
        </w:rPr>
        <w:t>《关于印发&lt;重庆市房屋建筑和市政基础设施工程预拌商品砂浆应用推进工作方案&gt;的通知》（渝建〔2018〕375号）</w:t>
      </w:r>
      <w:r>
        <w:rPr>
          <w:rFonts w:hint="eastAsia" w:ascii="仿宋" w:hAnsi="仿宋" w:eastAsia="仿宋" w:cs="仿宋"/>
          <w:color w:val="auto"/>
          <w:sz w:val="21"/>
          <w:szCs w:val="21"/>
          <w:highlight w:val="none"/>
        </w:rPr>
        <w:t>；</w:t>
      </w:r>
    </w:p>
    <w:p w14:paraId="409D7BAC">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（7）</w:t>
      </w:r>
      <w:r>
        <w:rPr>
          <w:rFonts w:hint="eastAsia" w:ascii="仿宋" w:hAnsi="仿宋" w:eastAsia="仿宋" w:cs="仿宋"/>
          <w:color w:val="auto"/>
          <w:sz w:val="21"/>
          <w:szCs w:val="21"/>
          <w:highlight w:val="none"/>
          <w:u w:val="single"/>
        </w:rPr>
        <w:t>《重庆市城乡建设委员会关于印发2018年房屋建筑和市政基础设施工程质量要点的通知》（渝建〔2018〕94号）</w:t>
      </w:r>
      <w:r>
        <w:rPr>
          <w:rFonts w:hint="eastAsia" w:ascii="仿宋" w:hAnsi="仿宋" w:eastAsia="仿宋" w:cs="仿宋"/>
          <w:color w:val="auto"/>
          <w:sz w:val="21"/>
          <w:szCs w:val="21"/>
          <w:highlight w:val="none"/>
        </w:rPr>
        <w:t>；</w:t>
      </w:r>
    </w:p>
    <w:p w14:paraId="749E43EE">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（8）</w:t>
      </w:r>
      <w:r>
        <w:rPr>
          <w:rFonts w:hint="eastAsia" w:ascii="仿宋" w:hAnsi="仿宋" w:eastAsia="仿宋" w:cs="仿宋"/>
          <w:color w:val="auto"/>
          <w:sz w:val="21"/>
          <w:szCs w:val="21"/>
          <w:highlight w:val="none"/>
          <w:u w:val="single"/>
        </w:rPr>
        <w:t>《重庆市城乡建设委员会关于进一步推广应用预拌商品砂浆的通知》（渝建〔2016〕318号）</w:t>
      </w:r>
      <w:r>
        <w:rPr>
          <w:rFonts w:hint="eastAsia" w:ascii="仿宋" w:hAnsi="仿宋" w:eastAsia="仿宋" w:cs="仿宋"/>
          <w:color w:val="auto"/>
          <w:sz w:val="21"/>
          <w:szCs w:val="21"/>
          <w:highlight w:val="none"/>
        </w:rPr>
        <w:t>；</w:t>
      </w:r>
    </w:p>
    <w:p w14:paraId="76A1087B">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（9）</w:t>
      </w:r>
      <w:r>
        <w:rPr>
          <w:rFonts w:hint="eastAsia" w:ascii="仿宋" w:hAnsi="仿宋" w:eastAsia="仿宋" w:cs="仿宋"/>
          <w:color w:val="auto"/>
          <w:sz w:val="21"/>
          <w:szCs w:val="21"/>
          <w:highlight w:val="none"/>
          <w:u w:val="single"/>
        </w:rPr>
        <w:t>《重庆市建设委员会关于发布&lt;建筑工程施工质量验收规范用表（建筑节能分部工程）&gt;和&lt;建设工程技术用表（建筑节能工程）&gt;的通知》（渝建发〔2008〕76号）</w:t>
      </w:r>
      <w:r>
        <w:rPr>
          <w:rFonts w:hint="eastAsia" w:ascii="仿宋" w:hAnsi="仿宋" w:eastAsia="仿宋" w:cs="仿宋"/>
          <w:color w:val="auto"/>
          <w:sz w:val="21"/>
          <w:szCs w:val="21"/>
          <w:highlight w:val="none"/>
        </w:rPr>
        <w:t>；</w:t>
      </w:r>
    </w:p>
    <w:p w14:paraId="1ACF3CD0">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（10）</w:t>
      </w:r>
      <w:r>
        <w:rPr>
          <w:rFonts w:hint="eastAsia" w:ascii="仿宋" w:hAnsi="仿宋" w:eastAsia="仿宋" w:cs="仿宋"/>
          <w:color w:val="auto"/>
          <w:sz w:val="21"/>
          <w:szCs w:val="21"/>
          <w:highlight w:val="none"/>
          <w:u w:val="single"/>
        </w:rPr>
        <w:t>国家和本市现行有关建设工程质量验收标准、规范和要求</w:t>
      </w:r>
      <w:r>
        <w:rPr>
          <w:rFonts w:hint="eastAsia" w:ascii="仿宋" w:hAnsi="仿宋" w:eastAsia="仿宋" w:cs="仿宋"/>
          <w:color w:val="auto"/>
          <w:sz w:val="21"/>
          <w:szCs w:val="21"/>
          <w:highlight w:val="none"/>
        </w:rPr>
        <w:t>；</w:t>
      </w:r>
    </w:p>
    <w:p w14:paraId="1B5CC138">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（11）</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w:t>
      </w:r>
    </w:p>
    <w:p w14:paraId="506D4A06">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承包人、监理人和发包人在工程建设中，应严格执行国家及重庆市现行标准，如上述标准及规范要求有出入则以较严格者为准。</w:t>
      </w:r>
    </w:p>
    <w:p w14:paraId="0BBDA95D">
      <w:pPr>
        <w:widowControl/>
        <w:spacing w:line="440" w:lineRule="exact"/>
        <w:ind w:firstLine="422" w:firstLineChars="200"/>
        <w:jc w:val="left"/>
        <w:outlineLvl w:val="4"/>
        <w:rPr>
          <w:rFonts w:hint="eastAsia" w:ascii="仿宋" w:hAnsi="仿宋" w:eastAsia="仿宋" w:cs="仿宋"/>
          <w:b/>
          <w:bCs/>
          <w:color w:val="auto"/>
          <w:kern w:val="0"/>
          <w:sz w:val="21"/>
          <w:szCs w:val="21"/>
          <w:highlight w:val="none"/>
        </w:rPr>
      </w:pPr>
      <w:bookmarkStart w:id="1366" w:name="_Toc532377347"/>
      <w:bookmarkStart w:id="1367" w:name="_Toc351203536"/>
      <w:bookmarkStart w:id="1368" w:name="_Hlk528927873"/>
      <w:r>
        <w:rPr>
          <w:rFonts w:hint="eastAsia" w:ascii="仿宋" w:hAnsi="仿宋" w:eastAsia="仿宋" w:cs="仿宋"/>
          <w:b/>
          <w:bCs/>
          <w:color w:val="auto"/>
          <w:kern w:val="0"/>
          <w:sz w:val="21"/>
          <w:szCs w:val="21"/>
          <w:highlight w:val="none"/>
        </w:rPr>
        <w:t>5.3隐蔽工程检查</w:t>
      </w:r>
    </w:p>
    <w:p w14:paraId="06171ED1">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5.3.2检查程序</w:t>
      </w:r>
    </w:p>
    <w:p w14:paraId="4005FD16">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工程隐蔽部位经承包人自检确认具备覆盖条件的，承包人应在共同检查前</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小时书面通知监理人检查，通知中应载明隐蔽检查的内容、时间和地点，并应附有自检记录和必要的检查资料。</w:t>
      </w:r>
    </w:p>
    <w:p w14:paraId="40CB0192">
      <w:pPr>
        <w:widowControl/>
        <w:spacing w:line="440" w:lineRule="exact"/>
        <w:ind w:firstLine="422" w:firstLineChars="200"/>
        <w:jc w:val="left"/>
        <w:outlineLvl w:val="4"/>
        <w:rPr>
          <w:rFonts w:hint="eastAsia" w:ascii="仿宋" w:hAnsi="仿宋" w:eastAsia="仿宋" w:cs="仿宋"/>
          <w:b/>
          <w:bCs/>
          <w:color w:val="auto"/>
          <w:kern w:val="0"/>
          <w:sz w:val="21"/>
          <w:szCs w:val="21"/>
          <w:highlight w:val="none"/>
        </w:rPr>
      </w:pPr>
      <w:r>
        <w:rPr>
          <w:rFonts w:hint="eastAsia" w:ascii="仿宋" w:hAnsi="仿宋" w:eastAsia="仿宋" w:cs="仿宋"/>
          <w:b/>
          <w:bCs/>
          <w:color w:val="auto"/>
          <w:kern w:val="0"/>
          <w:sz w:val="21"/>
          <w:szCs w:val="21"/>
          <w:highlight w:val="none"/>
        </w:rPr>
        <w:t>5</w:t>
      </w:r>
      <w:bookmarkStart w:id="1369" w:name="_Toc337558762"/>
      <w:r>
        <w:rPr>
          <w:rFonts w:hint="eastAsia" w:ascii="仿宋" w:hAnsi="仿宋" w:eastAsia="仿宋" w:cs="仿宋"/>
          <w:b/>
          <w:bCs/>
          <w:color w:val="auto"/>
          <w:kern w:val="0"/>
          <w:sz w:val="21"/>
          <w:szCs w:val="21"/>
          <w:highlight w:val="none"/>
        </w:rPr>
        <w:t>.4 不合格工程的处理</w:t>
      </w:r>
      <w:bookmarkEnd w:id="1366"/>
      <w:bookmarkEnd w:id="1367"/>
    </w:p>
    <w:bookmarkEnd w:id="1369"/>
    <w:p w14:paraId="470809F1">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本款补充5.4.3项：</w:t>
      </w:r>
    </w:p>
    <w:p w14:paraId="1A723C78">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5.4.3 承包人在收到监理人发出的《不合格分项报告》或监理通知单后，必须在监理人规定时间内按要求完成整改，未能在限定时间内完成整改的，须承担相应违约责任。</w:t>
      </w:r>
    </w:p>
    <w:p w14:paraId="2B8679DF">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本条补充5.6款：</w:t>
      </w:r>
    </w:p>
    <w:bookmarkEnd w:id="1368"/>
    <w:p w14:paraId="60FE3547">
      <w:pPr>
        <w:widowControl/>
        <w:spacing w:line="440" w:lineRule="exact"/>
        <w:ind w:firstLine="422" w:firstLineChars="200"/>
        <w:jc w:val="left"/>
        <w:outlineLvl w:val="4"/>
        <w:rPr>
          <w:rFonts w:hint="eastAsia" w:ascii="仿宋" w:hAnsi="仿宋" w:eastAsia="仿宋" w:cs="仿宋"/>
          <w:b/>
          <w:bCs/>
          <w:color w:val="auto"/>
          <w:kern w:val="0"/>
          <w:sz w:val="21"/>
          <w:szCs w:val="21"/>
          <w:highlight w:val="none"/>
        </w:rPr>
      </w:pPr>
      <w:bookmarkStart w:id="1370" w:name="_Toc532377348"/>
      <w:r>
        <w:rPr>
          <w:rFonts w:hint="eastAsia" w:ascii="仿宋" w:hAnsi="仿宋" w:eastAsia="仿宋" w:cs="仿宋"/>
          <w:b/>
          <w:bCs/>
          <w:color w:val="auto"/>
          <w:kern w:val="0"/>
          <w:sz w:val="21"/>
          <w:szCs w:val="21"/>
          <w:highlight w:val="none"/>
        </w:rPr>
        <w:t>5.6 质量事故的处理</w:t>
      </w:r>
      <w:bookmarkEnd w:id="1370"/>
    </w:p>
    <w:p w14:paraId="134ED9C2">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5.6.1 合同履行过程中，发生工程质量事故的调查处理按照国家及重庆市现行规定处理。</w:t>
      </w:r>
    </w:p>
    <w:p w14:paraId="5304AFB5">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5.6.2 发包人在对工程质量、安全和环境保护、水土保持等建设全过程管理中发现有技术、质量和其他问题的，可通过监理人责令承包人返工或整改；对存在的隐患，有权责令承包人予以解决，承包人按照合同中其他条款约定承担违约责任。</w:t>
      </w:r>
    </w:p>
    <w:bookmarkEnd w:id="1346"/>
    <w:bookmarkEnd w:id="1347"/>
    <w:bookmarkEnd w:id="1348"/>
    <w:bookmarkEnd w:id="1349"/>
    <w:bookmarkEnd w:id="1350"/>
    <w:bookmarkEnd w:id="1351"/>
    <w:bookmarkEnd w:id="1352"/>
    <w:bookmarkEnd w:id="1353"/>
    <w:bookmarkEnd w:id="1354"/>
    <w:bookmarkEnd w:id="1355"/>
    <w:bookmarkEnd w:id="1358"/>
    <w:bookmarkEnd w:id="1359"/>
    <w:bookmarkEnd w:id="1360"/>
    <w:bookmarkEnd w:id="1361"/>
    <w:bookmarkEnd w:id="1362"/>
    <w:bookmarkEnd w:id="1363"/>
    <w:bookmarkEnd w:id="1364"/>
    <w:p w14:paraId="75D5907C">
      <w:pPr>
        <w:keepNext/>
        <w:keepLines/>
        <w:widowControl/>
        <w:spacing w:before="120" w:beforeLines="50" w:after="120" w:afterLines="50" w:line="440" w:lineRule="exact"/>
        <w:outlineLvl w:val="3"/>
        <w:rPr>
          <w:rFonts w:hint="eastAsia" w:ascii="仿宋" w:hAnsi="仿宋" w:eastAsia="仿宋" w:cs="仿宋"/>
          <w:b/>
          <w:color w:val="auto"/>
          <w:sz w:val="21"/>
          <w:szCs w:val="21"/>
          <w:highlight w:val="none"/>
        </w:rPr>
      </w:pPr>
      <w:bookmarkStart w:id="1371" w:name="_Toc532375613"/>
      <w:bookmarkStart w:id="1372" w:name="_Toc351203638"/>
      <w:bookmarkStart w:id="1373" w:name="_Toc532377349"/>
      <w:bookmarkStart w:id="1374" w:name="_Toc296944512"/>
      <w:bookmarkStart w:id="1375" w:name="_Toc351203642"/>
      <w:bookmarkStart w:id="1376" w:name="_Toc296346674"/>
      <w:bookmarkStart w:id="1377" w:name="_Toc267251427"/>
      <w:bookmarkStart w:id="1378" w:name="_Toc296347172"/>
      <w:bookmarkStart w:id="1379" w:name="_Toc297048359"/>
      <w:bookmarkStart w:id="1380" w:name="_Toc296891001"/>
      <w:bookmarkStart w:id="1381" w:name="_Toc292559378"/>
      <w:bookmarkStart w:id="1382" w:name="_Toc297120473"/>
      <w:bookmarkStart w:id="1383" w:name="_Toc296503173"/>
      <w:bookmarkStart w:id="1384" w:name="_Toc296891213"/>
      <w:bookmarkStart w:id="1385" w:name="_Toc267251428"/>
      <w:bookmarkStart w:id="1386" w:name="_Toc292559883"/>
      <w:r>
        <w:rPr>
          <w:rFonts w:hint="eastAsia" w:ascii="仿宋" w:hAnsi="仿宋" w:eastAsia="仿宋" w:cs="仿宋"/>
          <w:b/>
          <w:bCs/>
          <w:color w:val="auto"/>
          <w:sz w:val="21"/>
          <w:szCs w:val="21"/>
          <w:highlight w:val="none"/>
        </w:rPr>
        <w:t>6. 安全文明施工与环境保护</w:t>
      </w:r>
      <w:bookmarkEnd w:id="1371"/>
      <w:bookmarkEnd w:id="1372"/>
      <w:bookmarkEnd w:id="1373"/>
    </w:p>
    <w:p w14:paraId="1D14EE2B">
      <w:pPr>
        <w:widowControl/>
        <w:spacing w:line="440" w:lineRule="exact"/>
        <w:ind w:firstLine="422" w:firstLineChars="200"/>
        <w:jc w:val="left"/>
        <w:outlineLvl w:val="4"/>
        <w:rPr>
          <w:rFonts w:hint="eastAsia" w:ascii="仿宋" w:hAnsi="仿宋" w:eastAsia="仿宋" w:cs="仿宋"/>
          <w:b/>
          <w:bCs/>
          <w:color w:val="auto"/>
          <w:kern w:val="0"/>
          <w:sz w:val="21"/>
          <w:szCs w:val="21"/>
          <w:highlight w:val="none"/>
        </w:rPr>
      </w:pPr>
      <w:bookmarkStart w:id="1387" w:name="_Toc532375614"/>
      <w:bookmarkStart w:id="1388" w:name="_Toc532377350"/>
      <w:r>
        <w:rPr>
          <w:rFonts w:hint="eastAsia" w:ascii="仿宋" w:hAnsi="仿宋" w:eastAsia="仿宋" w:cs="仿宋"/>
          <w:b/>
          <w:bCs/>
          <w:color w:val="auto"/>
          <w:kern w:val="0"/>
          <w:sz w:val="21"/>
          <w:szCs w:val="21"/>
          <w:highlight w:val="none"/>
        </w:rPr>
        <w:t>6.1 安全文明施工</w:t>
      </w:r>
      <w:bookmarkEnd w:id="1387"/>
      <w:bookmarkEnd w:id="1388"/>
    </w:p>
    <w:p w14:paraId="4701AAAF">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承包人必须认真贯彻执行国家安全生产法律、法规、规章和强制性安全标准，按照重庆市现行的质量、安全文明施工有关规定和发包人安全管理的有关规定，建立完善的质量、安全、文明施工管理制度。</w:t>
      </w:r>
    </w:p>
    <w:p w14:paraId="25FDC4DB">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承包人的施工要做到节能、环保，如果通过采用新材料、新设备、新工艺、新技术的手段来提高工程质量或节省工期，则必须保证新材料、新设备、新工艺、新技术是成熟的并获得相关部门正式批准的，同时使用前承包人必须组织专家论证，并得到发包人、监理人的批准。</w:t>
      </w:r>
    </w:p>
    <w:p w14:paraId="1375D1C4">
      <w:pPr>
        <w:spacing w:line="440" w:lineRule="exact"/>
        <w:ind w:firstLine="420" w:firstLineChars="200"/>
        <w:jc w:val="left"/>
        <w:rPr>
          <w:rFonts w:hint="eastAsia" w:ascii="仿宋" w:hAnsi="仿宋" w:eastAsia="仿宋" w:cs="仿宋"/>
          <w:color w:val="auto"/>
          <w:sz w:val="21"/>
          <w:szCs w:val="21"/>
          <w:highlight w:val="none"/>
          <w:u w:val="single"/>
        </w:rPr>
      </w:pPr>
      <w:r>
        <w:rPr>
          <w:rFonts w:hint="eastAsia" w:ascii="仿宋" w:hAnsi="仿宋" w:eastAsia="仿宋" w:cs="仿宋"/>
          <w:color w:val="auto"/>
          <w:sz w:val="21"/>
          <w:szCs w:val="21"/>
          <w:highlight w:val="none"/>
        </w:rPr>
        <w:t>6.1.1 项目安全生产的达标目标及相应事项的约定：</w:t>
      </w:r>
      <w:r>
        <w:rPr>
          <w:rFonts w:hint="eastAsia" w:ascii="仿宋" w:hAnsi="仿宋" w:eastAsia="仿宋" w:cs="仿宋"/>
          <w:color w:val="auto"/>
          <w:sz w:val="21"/>
          <w:szCs w:val="21"/>
          <w:highlight w:val="none"/>
          <w:u w:val="single"/>
        </w:rPr>
        <w:t>达到《建筑施工安全检查标准》（JGJ59-2011）的要求</w:t>
      </w:r>
      <w:r>
        <w:rPr>
          <w:rFonts w:hint="eastAsia" w:ascii="仿宋" w:hAnsi="仿宋" w:eastAsia="仿宋" w:cs="仿宋"/>
          <w:color w:val="auto"/>
          <w:sz w:val="21"/>
          <w:szCs w:val="21"/>
          <w:highlight w:val="none"/>
        </w:rPr>
        <w:t>。</w:t>
      </w:r>
    </w:p>
    <w:p w14:paraId="29FCF544">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u w:val="single"/>
        </w:rPr>
        <w:t>（1）按现行安全文明施工费计取及使用管理的政策文件规定及发包人制订的安全管理制度执行</w:t>
      </w:r>
      <w:r>
        <w:rPr>
          <w:rFonts w:hint="eastAsia" w:ascii="仿宋" w:hAnsi="仿宋" w:eastAsia="仿宋" w:cs="仿宋"/>
          <w:color w:val="auto"/>
          <w:sz w:val="21"/>
          <w:szCs w:val="21"/>
          <w:highlight w:val="none"/>
        </w:rPr>
        <w:t>。</w:t>
      </w:r>
    </w:p>
    <w:p w14:paraId="6859F9DB">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u w:val="single"/>
        </w:rPr>
        <w:t>（2）承包人的原因造成事故，由此产生的法律责任和事故责任及费用由承包人全部承担</w:t>
      </w:r>
      <w:r>
        <w:rPr>
          <w:rFonts w:hint="eastAsia" w:ascii="仿宋" w:hAnsi="仿宋" w:eastAsia="仿宋" w:cs="仿宋"/>
          <w:color w:val="auto"/>
          <w:sz w:val="21"/>
          <w:szCs w:val="21"/>
          <w:highlight w:val="none"/>
        </w:rPr>
        <w:t>。</w:t>
      </w:r>
    </w:p>
    <w:p w14:paraId="5ED343B0">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u w:val="single"/>
        </w:rPr>
        <w:t>（3）承包人向发包人做出安全承诺，并签订《安全生产目标责任书》和《安全承诺书》</w:t>
      </w:r>
      <w:r>
        <w:rPr>
          <w:rFonts w:hint="eastAsia" w:ascii="仿宋" w:hAnsi="仿宋" w:eastAsia="仿宋" w:cs="仿宋"/>
          <w:color w:val="auto"/>
          <w:sz w:val="21"/>
          <w:szCs w:val="21"/>
          <w:highlight w:val="none"/>
        </w:rPr>
        <w:t>。</w:t>
      </w:r>
    </w:p>
    <w:p w14:paraId="69D89DD0">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u w:val="single"/>
        </w:rPr>
        <w:t>（4）承包人在施工过程中，必须严格执行安全生产法的相关规定，制定切实可靠的安全技术措施</w:t>
      </w:r>
      <w:r>
        <w:rPr>
          <w:rFonts w:hint="eastAsia" w:ascii="仿宋" w:hAnsi="仿宋" w:eastAsia="仿宋" w:cs="仿宋"/>
          <w:color w:val="auto"/>
          <w:sz w:val="21"/>
          <w:szCs w:val="21"/>
          <w:highlight w:val="none"/>
        </w:rPr>
        <w:t>。</w:t>
      </w:r>
    </w:p>
    <w:p w14:paraId="362B1D77">
      <w:pPr>
        <w:spacing w:line="440" w:lineRule="exact"/>
        <w:ind w:firstLine="420" w:firstLineChars="200"/>
        <w:jc w:val="left"/>
        <w:rPr>
          <w:rFonts w:hint="eastAsia" w:ascii="仿宋" w:hAnsi="仿宋" w:eastAsia="仿宋" w:cs="仿宋"/>
          <w:color w:val="auto"/>
          <w:sz w:val="21"/>
          <w:szCs w:val="21"/>
          <w:highlight w:val="none"/>
          <w:u w:val="single"/>
        </w:rPr>
      </w:pPr>
      <w:r>
        <w:rPr>
          <w:rFonts w:hint="eastAsia" w:ascii="仿宋" w:hAnsi="仿宋" w:eastAsia="仿宋" w:cs="仿宋"/>
          <w:color w:val="auto"/>
          <w:sz w:val="21"/>
          <w:szCs w:val="21"/>
          <w:highlight w:val="none"/>
          <w:u w:val="single"/>
        </w:rPr>
        <w:t>（5）接受发包人安全监督和管理，在施工中违反安全管理规定和操作规程、违章作业的，承担违约责任</w:t>
      </w:r>
      <w:r>
        <w:rPr>
          <w:rFonts w:hint="eastAsia" w:ascii="仿宋" w:hAnsi="仿宋" w:eastAsia="仿宋" w:cs="仿宋"/>
          <w:color w:val="auto"/>
          <w:sz w:val="21"/>
          <w:szCs w:val="21"/>
          <w:highlight w:val="none"/>
        </w:rPr>
        <w:t>。</w:t>
      </w:r>
    </w:p>
    <w:p w14:paraId="2F161D19">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6.1.4 关于治安保卫的特别约定：</w:t>
      </w:r>
      <w:r>
        <w:rPr>
          <w:rFonts w:hint="eastAsia" w:ascii="仿宋" w:hAnsi="仿宋" w:eastAsia="仿宋" w:cs="仿宋"/>
          <w:color w:val="auto"/>
          <w:sz w:val="21"/>
          <w:szCs w:val="21"/>
          <w:highlight w:val="none"/>
          <w:u w:val="single"/>
        </w:rPr>
        <w:t>承包人负责组建施工现场治安管理机构或联防组织；承包人负责编制施工场地治安管理计划和突发治安事件紧急预案</w:t>
      </w:r>
      <w:r>
        <w:rPr>
          <w:rFonts w:hint="eastAsia" w:ascii="仿宋" w:hAnsi="仿宋" w:eastAsia="仿宋" w:cs="仿宋"/>
          <w:color w:val="auto"/>
          <w:sz w:val="21"/>
          <w:szCs w:val="21"/>
          <w:highlight w:val="none"/>
        </w:rPr>
        <w:t>。</w:t>
      </w:r>
    </w:p>
    <w:p w14:paraId="7E670AC4">
      <w:pPr>
        <w:spacing w:line="440" w:lineRule="exact"/>
        <w:ind w:firstLine="420" w:firstLineChars="200"/>
        <w:jc w:val="left"/>
        <w:rPr>
          <w:rFonts w:hint="eastAsia" w:ascii="仿宋" w:hAnsi="仿宋" w:eastAsia="仿宋" w:cs="仿宋"/>
          <w:color w:val="auto"/>
          <w:sz w:val="21"/>
          <w:szCs w:val="21"/>
          <w:highlight w:val="none"/>
          <w:u w:val="single"/>
        </w:rPr>
      </w:pPr>
      <w:r>
        <w:rPr>
          <w:rFonts w:hint="eastAsia" w:ascii="仿宋" w:hAnsi="仿宋" w:eastAsia="仿宋" w:cs="仿宋"/>
          <w:color w:val="auto"/>
          <w:sz w:val="21"/>
          <w:szCs w:val="21"/>
          <w:highlight w:val="none"/>
        </w:rPr>
        <w:t>关于编制施工场地治安管理计划的约定：</w:t>
      </w:r>
      <w:r>
        <w:rPr>
          <w:rFonts w:hint="eastAsia" w:ascii="仿宋" w:hAnsi="仿宋" w:eastAsia="仿宋" w:cs="仿宋"/>
          <w:color w:val="auto"/>
          <w:sz w:val="21"/>
          <w:szCs w:val="21"/>
          <w:highlight w:val="none"/>
          <w:u w:val="single"/>
        </w:rPr>
        <w:t>由承包人负责</w:t>
      </w:r>
      <w:r>
        <w:rPr>
          <w:rFonts w:hint="eastAsia" w:ascii="仿宋" w:hAnsi="仿宋" w:eastAsia="仿宋" w:cs="仿宋"/>
          <w:color w:val="auto"/>
          <w:sz w:val="21"/>
          <w:szCs w:val="21"/>
          <w:highlight w:val="none"/>
        </w:rPr>
        <w:t>。</w:t>
      </w:r>
    </w:p>
    <w:p w14:paraId="5214F45E">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6.1.5 文明施工</w:t>
      </w:r>
    </w:p>
    <w:p w14:paraId="08EF9B09">
      <w:pPr>
        <w:spacing w:line="440" w:lineRule="exact"/>
        <w:ind w:firstLine="420" w:firstLineChars="200"/>
        <w:jc w:val="left"/>
        <w:rPr>
          <w:rFonts w:hint="eastAsia" w:ascii="仿宋" w:hAnsi="仿宋" w:eastAsia="仿宋" w:cs="仿宋"/>
          <w:color w:val="auto"/>
          <w:sz w:val="21"/>
          <w:szCs w:val="21"/>
          <w:highlight w:val="none"/>
          <w:u w:val="single"/>
        </w:rPr>
      </w:pPr>
      <w:r>
        <w:rPr>
          <w:rFonts w:hint="eastAsia" w:ascii="仿宋" w:hAnsi="仿宋" w:eastAsia="仿宋" w:cs="仿宋"/>
          <w:color w:val="auto"/>
          <w:sz w:val="21"/>
          <w:szCs w:val="21"/>
          <w:highlight w:val="none"/>
        </w:rPr>
        <w:t>合同当事人对文明施工的要求：</w:t>
      </w:r>
      <w:r>
        <w:rPr>
          <w:rFonts w:hint="eastAsia" w:ascii="仿宋" w:hAnsi="仿宋" w:eastAsia="仿宋" w:cs="仿宋"/>
          <w:color w:val="auto"/>
          <w:sz w:val="21"/>
          <w:szCs w:val="21"/>
          <w:highlight w:val="none"/>
          <w:u w:val="single"/>
        </w:rPr>
        <w:t>承包人应按照《房屋建筑和市政基础设施工程施工扬尘控制工作方案》（渝建发〔2009〕13号）、《重庆市建设委员会关于印发&lt;重庆市房屋建筑和市政基础设施工程现场文明施工标准&gt;的通知》（渝建发〔2008〕169号）等相关规定履行好施工扬尘控制、文明施工等责任</w:t>
      </w:r>
      <w:r>
        <w:rPr>
          <w:rFonts w:hint="eastAsia" w:ascii="仿宋" w:hAnsi="仿宋" w:eastAsia="仿宋" w:cs="仿宋"/>
          <w:color w:val="auto"/>
          <w:sz w:val="21"/>
          <w:szCs w:val="21"/>
          <w:highlight w:val="none"/>
        </w:rPr>
        <w:t>。</w:t>
      </w:r>
    </w:p>
    <w:p w14:paraId="6B1B566C">
      <w:pPr>
        <w:spacing w:line="440" w:lineRule="exact"/>
        <w:ind w:firstLine="420" w:firstLineChars="200"/>
        <w:jc w:val="left"/>
        <w:rPr>
          <w:rFonts w:hint="eastAsia" w:ascii="仿宋" w:hAnsi="仿宋" w:eastAsia="仿宋" w:cs="仿宋"/>
          <w:color w:val="auto"/>
          <w:sz w:val="21"/>
          <w:szCs w:val="21"/>
          <w:highlight w:val="none"/>
          <w:u w:val="single"/>
        </w:rPr>
      </w:pPr>
      <w:r>
        <w:rPr>
          <w:rFonts w:hint="eastAsia" w:ascii="仿宋" w:hAnsi="仿宋" w:eastAsia="仿宋" w:cs="仿宋"/>
          <w:color w:val="auto"/>
          <w:sz w:val="21"/>
          <w:szCs w:val="21"/>
          <w:highlight w:val="none"/>
          <w:u w:val="single"/>
        </w:rPr>
        <w:t>承包人应按规定设置施工现场围挡，承包人采用的围挡主体形式应从重庆市城乡建委发布的标准图集（DJBT-062、DJBT-063）中选用，做好施工围挡，围挡应整齐美观，承包人按相关要求做好日常维护和保洁，围挡高度满足规范要求，相关费用已包含在签约合同价中</w:t>
      </w:r>
      <w:r>
        <w:rPr>
          <w:rFonts w:hint="eastAsia" w:ascii="仿宋" w:hAnsi="仿宋" w:eastAsia="仿宋" w:cs="仿宋"/>
          <w:color w:val="auto"/>
          <w:sz w:val="21"/>
          <w:szCs w:val="21"/>
          <w:highlight w:val="none"/>
        </w:rPr>
        <w:t>。</w:t>
      </w:r>
    </w:p>
    <w:p w14:paraId="12CF693E">
      <w:pPr>
        <w:spacing w:line="440" w:lineRule="exact"/>
        <w:ind w:firstLine="420" w:firstLineChars="200"/>
        <w:jc w:val="left"/>
        <w:rPr>
          <w:rFonts w:hint="eastAsia" w:ascii="仿宋" w:hAnsi="仿宋" w:eastAsia="仿宋" w:cs="仿宋"/>
          <w:color w:val="auto"/>
          <w:sz w:val="21"/>
          <w:szCs w:val="21"/>
          <w:highlight w:val="none"/>
          <w:u w:val="single"/>
        </w:rPr>
      </w:pPr>
      <w:r>
        <w:rPr>
          <w:rFonts w:hint="eastAsia" w:ascii="仿宋" w:hAnsi="仿宋" w:eastAsia="仿宋" w:cs="仿宋"/>
          <w:color w:val="auto"/>
          <w:sz w:val="21"/>
          <w:szCs w:val="21"/>
          <w:highlight w:val="none"/>
        </w:rPr>
        <w:t>6.1.6 关于安全文明施工费支付比例和支付期限的约定：</w:t>
      </w:r>
      <w:r>
        <w:rPr>
          <w:rFonts w:hint="eastAsia" w:ascii="仿宋" w:hAnsi="仿宋" w:eastAsia="仿宋" w:cs="仿宋"/>
          <w:color w:val="auto"/>
          <w:sz w:val="21"/>
          <w:szCs w:val="21"/>
          <w:highlight w:val="none"/>
          <w:u w:val="single"/>
        </w:rPr>
        <w:t>按照行业主管部门相关规定执行</w:t>
      </w:r>
      <w:r>
        <w:rPr>
          <w:rFonts w:hint="eastAsia" w:ascii="仿宋" w:hAnsi="仿宋" w:eastAsia="仿宋" w:cs="仿宋"/>
          <w:color w:val="auto"/>
          <w:sz w:val="21"/>
          <w:szCs w:val="21"/>
          <w:highlight w:val="none"/>
        </w:rPr>
        <w:t>。</w:t>
      </w:r>
    </w:p>
    <w:p w14:paraId="3A053AAD">
      <w:pPr>
        <w:widowControl/>
        <w:spacing w:line="440" w:lineRule="exact"/>
        <w:ind w:firstLine="422" w:firstLineChars="200"/>
        <w:jc w:val="left"/>
        <w:outlineLvl w:val="4"/>
        <w:rPr>
          <w:rFonts w:hint="eastAsia" w:ascii="仿宋" w:hAnsi="仿宋" w:eastAsia="仿宋" w:cs="仿宋"/>
          <w:b/>
          <w:bCs/>
          <w:color w:val="auto"/>
          <w:kern w:val="0"/>
          <w:sz w:val="21"/>
          <w:szCs w:val="21"/>
          <w:highlight w:val="none"/>
        </w:rPr>
      </w:pPr>
      <w:bookmarkStart w:id="1389" w:name="_Toc532377351"/>
      <w:bookmarkStart w:id="1390" w:name="_Toc532375615"/>
      <w:r>
        <w:rPr>
          <w:rFonts w:hint="eastAsia" w:ascii="仿宋" w:hAnsi="仿宋" w:eastAsia="仿宋" w:cs="仿宋"/>
          <w:b/>
          <w:bCs/>
          <w:color w:val="auto"/>
          <w:kern w:val="0"/>
          <w:sz w:val="21"/>
          <w:szCs w:val="21"/>
          <w:highlight w:val="none"/>
        </w:rPr>
        <w:t>6.3 环境保护</w:t>
      </w:r>
      <w:bookmarkEnd w:id="1389"/>
      <w:bookmarkEnd w:id="1390"/>
    </w:p>
    <w:p w14:paraId="75A8DFCD">
      <w:pPr>
        <w:tabs>
          <w:tab w:val="left" w:pos="711"/>
          <w:tab w:val="left" w:pos="2580"/>
        </w:tabs>
        <w:spacing w:line="440" w:lineRule="exact"/>
        <w:ind w:firstLine="420" w:firstLineChars="200"/>
        <w:jc w:val="left"/>
        <w:textAlignment w:val="baseline"/>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本款补充6.3.1～6.3.8项：</w:t>
      </w:r>
    </w:p>
    <w:p w14:paraId="6A9EBD52">
      <w:pPr>
        <w:tabs>
          <w:tab w:val="left" w:pos="711"/>
          <w:tab w:val="left" w:pos="2580"/>
        </w:tabs>
        <w:spacing w:line="440" w:lineRule="exact"/>
        <w:ind w:firstLine="420" w:firstLineChars="200"/>
        <w:jc w:val="left"/>
        <w:textAlignment w:val="baseline"/>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6.3.1 承包人应严格按照项目环境影响评价文件批准书结合发包人报送的环境影响报告书的要求进行环境保护的相关工作。如行政主管部门有新标准，则按最新标准执行，执行新标准增加的费用由发包人承担。</w:t>
      </w:r>
    </w:p>
    <w:p w14:paraId="66D1EABF">
      <w:pPr>
        <w:tabs>
          <w:tab w:val="left" w:pos="711"/>
          <w:tab w:val="left" w:pos="2580"/>
        </w:tabs>
        <w:spacing w:line="440" w:lineRule="exact"/>
        <w:ind w:firstLine="420" w:firstLineChars="200"/>
        <w:jc w:val="left"/>
        <w:textAlignment w:val="baseline"/>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6.3.2 承包人应做好对周边环境的调查工作，认真编制施工组织设计，严格按照施工方案组织施工，涉及交通、绿化、市政、环保、生态、公共安全等的施工方案应达到相关标准要求并在施工前得到相关行政主管部门和单位的同意，否则不得施工，因施工原因引起的一切投诉及处罚由承包人自行负责。</w:t>
      </w:r>
    </w:p>
    <w:p w14:paraId="1E279A2C">
      <w:pPr>
        <w:tabs>
          <w:tab w:val="left" w:pos="711"/>
          <w:tab w:val="left" w:pos="2580"/>
        </w:tabs>
        <w:spacing w:line="440" w:lineRule="exact"/>
        <w:ind w:firstLine="420" w:firstLineChars="200"/>
        <w:jc w:val="left"/>
        <w:textAlignment w:val="baseline"/>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6.3.3 承包人应加强生态环境保护工作。施工期间，采取边坡防护，挡渣坝、排水沟、沉淀池、表土剥离和绿化恢复等水土保持措施减少水土流失量，绿化恢复宜采用适于当地生长的植物。</w:t>
      </w:r>
    </w:p>
    <w:p w14:paraId="70525C54">
      <w:pPr>
        <w:tabs>
          <w:tab w:val="left" w:pos="711"/>
          <w:tab w:val="left" w:pos="2580"/>
        </w:tabs>
        <w:spacing w:line="440" w:lineRule="exact"/>
        <w:ind w:firstLine="420" w:firstLineChars="200"/>
        <w:jc w:val="left"/>
        <w:textAlignment w:val="baseline"/>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6.3.4 承包人应认真落实水污染防治措施。施工期间，加强机械设备维护，减少跑冒滴漏等现象；做好含油废水处理措施；施工场地生活污水经生化处理后达到《污水综合排放标准》（GB8978-1996）一级标准后排放。</w:t>
      </w:r>
    </w:p>
    <w:p w14:paraId="22ACF442">
      <w:pPr>
        <w:tabs>
          <w:tab w:val="left" w:pos="711"/>
          <w:tab w:val="left" w:pos="2580"/>
        </w:tabs>
        <w:spacing w:line="440" w:lineRule="exact"/>
        <w:ind w:firstLine="420" w:firstLineChars="200"/>
        <w:jc w:val="left"/>
        <w:textAlignment w:val="baseline"/>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6.3.5 承包人应重视大气污染物污染防治措施。施工期间，严格执行市政府“蓝天行动”方案等有关规定，通过洒水防尘，严格控制施工场地扬尘和运输扬尘污染。</w:t>
      </w:r>
    </w:p>
    <w:p w14:paraId="602357A0">
      <w:pPr>
        <w:tabs>
          <w:tab w:val="left" w:pos="711"/>
          <w:tab w:val="left" w:pos="2580"/>
        </w:tabs>
        <w:spacing w:line="440" w:lineRule="exact"/>
        <w:ind w:firstLine="420" w:firstLineChars="200"/>
        <w:jc w:val="left"/>
        <w:textAlignment w:val="baseline"/>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6.3.6 承包人应落实固体废物污染防治措施。施工期间，项目产生的弃方不可合理利用的，应运往指定的弃渣场内堆存；建筑垃圾运至指定的建筑垃圾消纳场处置；生活垃圾由当地环卫部门统一处置。</w:t>
      </w:r>
    </w:p>
    <w:p w14:paraId="46E57230">
      <w:pPr>
        <w:tabs>
          <w:tab w:val="left" w:pos="711"/>
          <w:tab w:val="left" w:pos="2580"/>
        </w:tabs>
        <w:spacing w:line="440" w:lineRule="exact"/>
        <w:ind w:firstLine="420" w:firstLineChars="200"/>
        <w:jc w:val="left"/>
        <w:textAlignment w:val="baseline"/>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6.3.7 承包人应认真落实噪声污染防治措施。施工期间，优选低噪声设备，合理安排施工时间，严格控制夜间施工，昼、夜施工场界需满足《建筑施工场界环境噪声排放标准》（GB12523-2011）。</w:t>
      </w:r>
    </w:p>
    <w:p w14:paraId="6B5A65D7">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6.3.8 承包人自行负责办理有关施工场地交通、环卫和施工噪音管理等手续，并应按要求结合自身实际和重庆市相关规定，考虑不低于以上标准的此类工作。</w:t>
      </w:r>
    </w:p>
    <w:p w14:paraId="0601D11C">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xml:space="preserve">6.3.9 </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w:t>
      </w:r>
    </w:p>
    <w:p w14:paraId="0EBFD726">
      <w:pPr>
        <w:keepNext/>
        <w:keepLines/>
        <w:widowControl/>
        <w:spacing w:before="120" w:beforeLines="50" w:after="120" w:afterLines="50" w:line="440" w:lineRule="exact"/>
        <w:outlineLvl w:val="3"/>
        <w:rPr>
          <w:rFonts w:hint="eastAsia" w:ascii="仿宋" w:hAnsi="仿宋" w:eastAsia="仿宋" w:cs="仿宋"/>
          <w:b/>
          <w:color w:val="auto"/>
          <w:sz w:val="21"/>
          <w:szCs w:val="21"/>
          <w:highlight w:val="none"/>
        </w:rPr>
      </w:pPr>
      <w:bookmarkStart w:id="1391" w:name="_Toc532375616"/>
      <w:bookmarkStart w:id="1392" w:name="_Toc532377352"/>
      <w:bookmarkStart w:id="1393" w:name="_Toc351203639"/>
      <w:r>
        <w:rPr>
          <w:rFonts w:hint="eastAsia" w:ascii="仿宋" w:hAnsi="仿宋" w:eastAsia="仿宋" w:cs="仿宋"/>
          <w:b/>
          <w:bCs/>
          <w:color w:val="auto"/>
          <w:sz w:val="21"/>
          <w:szCs w:val="21"/>
          <w:highlight w:val="none"/>
        </w:rPr>
        <w:t>7. 工期和进度</w:t>
      </w:r>
      <w:bookmarkEnd w:id="1391"/>
      <w:bookmarkEnd w:id="1392"/>
      <w:bookmarkEnd w:id="1393"/>
    </w:p>
    <w:p w14:paraId="70AD7437">
      <w:pPr>
        <w:widowControl/>
        <w:spacing w:line="440" w:lineRule="exact"/>
        <w:ind w:firstLine="422" w:firstLineChars="200"/>
        <w:jc w:val="left"/>
        <w:outlineLvl w:val="4"/>
        <w:rPr>
          <w:rFonts w:hint="eastAsia" w:ascii="仿宋" w:hAnsi="仿宋" w:eastAsia="仿宋" w:cs="仿宋"/>
          <w:b/>
          <w:bCs/>
          <w:color w:val="auto"/>
          <w:kern w:val="0"/>
          <w:sz w:val="21"/>
          <w:szCs w:val="21"/>
          <w:highlight w:val="none"/>
        </w:rPr>
      </w:pPr>
      <w:bookmarkStart w:id="1394" w:name="_Toc532377353"/>
      <w:bookmarkStart w:id="1395" w:name="_Toc532375617"/>
      <w:r>
        <w:rPr>
          <w:rFonts w:hint="eastAsia" w:ascii="仿宋" w:hAnsi="仿宋" w:eastAsia="仿宋" w:cs="仿宋"/>
          <w:b/>
          <w:bCs/>
          <w:color w:val="auto"/>
          <w:kern w:val="0"/>
          <w:sz w:val="21"/>
          <w:szCs w:val="21"/>
          <w:highlight w:val="none"/>
        </w:rPr>
        <w:t>7.1 施工组织设计</w:t>
      </w:r>
      <w:bookmarkEnd w:id="1394"/>
      <w:bookmarkEnd w:id="1395"/>
    </w:p>
    <w:p w14:paraId="495050A6">
      <w:pPr>
        <w:autoSpaceDE w:val="0"/>
        <w:autoSpaceDN w:val="0"/>
        <w:spacing w:line="440" w:lineRule="exact"/>
        <w:ind w:firstLine="420" w:firstLineChars="200"/>
        <w:jc w:val="left"/>
        <w:rPr>
          <w:rFonts w:hint="eastAsia" w:ascii="仿宋" w:hAnsi="仿宋" w:eastAsia="仿宋" w:cs="仿宋"/>
          <w:color w:val="auto"/>
          <w:sz w:val="21"/>
          <w:szCs w:val="21"/>
          <w:highlight w:val="none"/>
          <w:u w:val="single"/>
        </w:rPr>
      </w:pPr>
      <w:r>
        <w:rPr>
          <w:rFonts w:hint="eastAsia" w:ascii="仿宋" w:hAnsi="仿宋" w:eastAsia="仿宋" w:cs="仿宋"/>
          <w:color w:val="auto"/>
          <w:sz w:val="21"/>
          <w:szCs w:val="21"/>
          <w:highlight w:val="none"/>
        </w:rPr>
        <w:t>7.1.1 合同当事人约定的施工组织设计应包括的其他内容：</w:t>
      </w:r>
      <w:r>
        <w:rPr>
          <w:rFonts w:hint="eastAsia" w:ascii="仿宋" w:hAnsi="仿宋" w:eastAsia="仿宋" w:cs="仿宋"/>
          <w:color w:val="auto"/>
          <w:sz w:val="21"/>
          <w:szCs w:val="21"/>
          <w:highlight w:val="none"/>
          <w:u w:val="single"/>
        </w:rPr>
        <w:t>应采用文字并结合图表形式说明施工方法；拟投入工程的主要施工设备情况、拟配备工程的试验和检测仪器设备情况、劳动力计划等；结合工程特点提出切实可行的工程质量、安全生产、文明施工、工程进度、技术组织措施，同时应对关键工序、复杂环节重点提出相应技术措施，如冬雨季施工技术、减少噪音、降低环境污染、地下管线及其他地上地下设施的保护加固措施等按发包人要求提供</w:t>
      </w:r>
      <w:r>
        <w:rPr>
          <w:rFonts w:hint="eastAsia" w:ascii="仿宋" w:hAnsi="仿宋" w:eastAsia="仿宋" w:cs="仿宋"/>
          <w:color w:val="auto"/>
          <w:sz w:val="21"/>
          <w:szCs w:val="21"/>
          <w:highlight w:val="none"/>
        </w:rPr>
        <w:t>。</w:t>
      </w:r>
    </w:p>
    <w:p w14:paraId="2932D516">
      <w:pPr>
        <w:autoSpaceDE w:val="0"/>
        <w:autoSpaceDN w:val="0"/>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7.1.2 施工组织设计的提交和修改</w:t>
      </w:r>
    </w:p>
    <w:p w14:paraId="1E256C3C">
      <w:pPr>
        <w:autoSpaceDE w:val="0"/>
        <w:autoSpaceDN w:val="0"/>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承包人提交详细施工组织设计的期限的约定：</w:t>
      </w:r>
      <w:r>
        <w:rPr>
          <w:rFonts w:hint="eastAsia" w:ascii="仿宋" w:hAnsi="仿宋" w:eastAsia="仿宋" w:cs="仿宋"/>
          <w:color w:val="auto"/>
          <w:sz w:val="21"/>
          <w:szCs w:val="21"/>
          <w:highlight w:val="none"/>
          <w:u w:val="single"/>
        </w:rPr>
        <w:t>合同签订后  天内，但最迟不得晚于开工通知载明的开工日期前7天</w:t>
      </w:r>
      <w:r>
        <w:rPr>
          <w:rFonts w:hint="eastAsia" w:ascii="仿宋" w:hAnsi="仿宋" w:eastAsia="仿宋" w:cs="仿宋"/>
          <w:color w:val="auto"/>
          <w:sz w:val="21"/>
          <w:szCs w:val="21"/>
          <w:highlight w:val="none"/>
        </w:rPr>
        <w:t>。</w:t>
      </w:r>
    </w:p>
    <w:p w14:paraId="1CB5F8F7">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发包人和监理人在收到详细的施工组织设计后确认或提出修改意见的期限：</w:t>
      </w:r>
      <w:r>
        <w:rPr>
          <w:rFonts w:hint="eastAsia" w:ascii="仿宋" w:hAnsi="仿宋" w:eastAsia="仿宋" w:cs="仿宋"/>
          <w:color w:val="auto"/>
          <w:sz w:val="21"/>
          <w:szCs w:val="21"/>
          <w:highlight w:val="none"/>
          <w:u w:val="single"/>
        </w:rPr>
        <w:t>收到施工组织设计后  天内</w:t>
      </w:r>
      <w:r>
        <w:rPr>
          <w:rFonts w:hint="eastAsia" w:ascii="仿宋" w:hAnsi="仿宋" w:eastAsia="仿宋" w:cs="仿宋"/>
          <w:color w:val="auto"/>
          <w:sz w:val="21"/>
          <w:szCs w:val="21"/>
          <w:highlight w:val="none"/>
        </w:rPr>
        <w:t>。</w:t>
      </w:r>
    </w:p>
    <w:p w14:paraId="0C1CD3EE">
      <w:pPr>
        <w:widowControl/>
        <w:spacing w:line="440" w:lineRule="exact"/>
        <w:ind w:firstLine="422" w:firstLineChars="200"/>
        <w:jc w:val="left"/>
        <w:outlineLvl w:val="4"/>
        <w:rPr>
          <w:rFonts w:hint="eastAsia" w:ascii="仿宋" w:hAnsi="仿宋" w:eastAsia="仿宋" w:cs="仿宋"/>
          <w:b/>
          <w:bCs/>
          <w:color w:val="auto"/>
          <w:kern w:val="0"/>
          <w:sz w:val="21"/>
          <w:szCs w:val="21"/>
          <w:highlight w:val="none"/>
        </w:rPr>
      </w:pPr>
      <w:bookmarkStart w:id="1396" w:name="_Toc532377354"/>
      <w:bookmarkStart w:id="1397" w:name="_Toc532375618"/>
      <w:r>
        <w:rPr>
          <w:rFonts w:hint="eastAsia" w:ascii="仿宋" w:hAnsi="仿宋" w:eastAsia="仿宋" w:cs="仿宋"/>
          <w:b/>
          <w:bCs/>
          <w:color w:val="auto"/>
          <w:kern w:val="0"/>
          <w:sz w:val="21"/>
          <w:szCs w:val="21"/>
          <w:highlight w:val="none"/>
        </w:rPr>
        <w:t>7.2 施工进度计划</w:t>
      </w:r>
      <w:bookmarkEnd w:id="1396"/>
      <w:bookmarkEnd w:id="1397"/>
    </w:p>
    <w:p w14:paraId="48FB0DC7">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7.2.2 施工进度计划的修订</w:t>
      </w:r>
    </w:p>
    <w:p w14:paraId="624C6D99">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发包人和监理人在收到修订的施工进度计划后确认或提出修改意见的期限：</w:t>
      </w:r>
      <w:r>
        <w:rPr>
          <w:rFonts w:hint="eastAsia" w:ascii="仿宋" w:hAnsi="仿宋" w:eastAsia="仿宋" w:cs="仿宋"/>
          <w:color w:val="auto"/>
          <w:sz w:val="21"/>
          <w:szCs w:val="21"/>
          <w:highlight w:val="none"/>
          <w:u w:val="single"/>
        </w:rPr>
        <w:t>收到修订的施工进度计划后  天内</w:t>
      </w:r>
      <w:r>
        <w:rPr>
          <w:rFonts w:hint="eastAsia" w:ascii="仿宋" w:hAnsi="仿宋" w:eastAsia="仿宋" w:cs="仿宋"/>
          <w:color w:val="auto"/>
          <w:sz w:val="21"/>
          <w:szCs w:val="21"/>
          <w:highlight w:val="none"/>
        </w:rPr>
        <w:t>。</w:t>
      </w:r>
    </w:p>
    <w:p w14:paraId="29156C69">
      <w:pPr>
        <w:widowControl/>
        <w:spacing w:line="440" w:lineRule="exact"/>
        <w:ind w:firstLine="422" w:firstLineChars="200"/>
        <w:jc w:val="left"/>
        <w:outlineLvl w:val="4"/>
        <w:rPr>
          <w:rFonts w:hint="eastAsia" w:ascii="仿宋" w:hAnsi="仿宋" w:eastAsia="仿宋" w:cs="仿宋"/>
          <w:b/>
          <w:bCs/>
          <w:color w:val="auto"/>
          <w:kern w:val="0"/>
          <w:sz w:val="21"/>
          <w:szCs w:val="21"/>
          <w:highlight w:val="none"/>
        </w:rPr>
      </w:pPr>
      <w:bookmarkStart w:id="1398" w:name="_Toc532375619"/>
      <w:bookmarkStart w:id="1399" w:name="_Toc532377355"/>
      <w:bookmarkStart w:id="1400" w:name="_Toc297216173"/>
      <w:bookmarkStart w:id="1401" w:name="_Toc312678005"/>
      <w:bookmarkStart w:id="1402" w:name="_Toc312677479"/>
      <w:bookmarkStart w:id="1403" w:name="_Toc300934966"/>
      <w:bookmarkStart w:id="1404" w:name="_Toc304295541"/>
      <w:bookmarkStart w:id="1405" w:name="_Toc303539123"/>
      <w:bookmarkStart w:id="1406" w:name="_Toc297123514"/>
      <w:r>
        <w:rPr>
          <w:rFonts w:hint="eastAsia" w:ascii="仿宋" w:hAnsi="仿宋" w:eastAsia="仿宋" w:cs="仿宋"/>
          <w:b/>
          <w:bCs/>
          <w:color w:val="auto"/>
          <w:kern w:val="0"/>
          <w:sz w:val="21"/>
          <w:szCs w:val="21"/>
          <w:highlight w:val="none"/>
        </w:rPr>
        <w:t>7.3 开工</w:t>
      </w:r>
      <w:bookmarkEnd w:id="1398"/>
      <w:bookmarkEnd w:id="1399"/>
    </w:p>
    <w:p w14:paraId="35ECCC37">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7.3.1 开工准备</w:t>
      </w:r>
    </w:p>
    <w:p w14:paraId="58632C2D">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关于承包人提交工程开工报审表的期限：</w:t>
      </w:r>
      <w:r>
        <w:rPr>
          <w:rFonts w:hint="eastAsia" w:ascii="仿宋" w:hAnsi="仿宋" w:eastAsia="仿宋" w:cs="仿宋"/>
          <w:color w:val="auto"/>
          <w:sz w:val="21"/>
          <w:szCs w:val="21"/>
          <w:highlight w:val="none"/>
          <w:u w:val="single"/>
        </w:rPr>
        <w:t>不晚于开工前  天</w:t>
      </w:r>
      <w:r>
        <w:rPr>
          <w:rFonts w:hint="eastAsia" w:ascii="仿宋" w:hAnsi="仿宋" w:eastAsia="仿宋" w:cs="仿宋"/>
          <w:color w:val="auto"/>
          <w:sz w:val="21"/>
          <w:szCs w:val="21"/>
          <w:highlight w:val="none"/>
        </w:rPr>
        <w:t>。</w:t>
      </w:r>
    </w:p>
    <w:p w14:paraId="6FA29E26">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关于发包人应完成的其他开工准备工作及期限：</w:t>
      </w:r>
      <w:r>
        <w:rPr>
          <w:rFonts w:hint="eastAsia" w:ascii="仿宋" w:hAnsi="仿宋" w:eastAsia="仿宋" w:cs="仿宋"/>
          <w:color w:val="auto"/>
          <w:sz w:val="21"/>
          <w:szCs w:val="21"/>
          <w:highlight w:val="none"/>
          <w:u w:val="single"/>
        </w:rPr>
        <w:t>不晚于开工前  天</w:t>
      </w:r>
      <w:r>
        <w:rPr>
          <w:rFonts w:hint="eastAsia" w:ascii="仿宋" w:hAnsi="仿宋" w:eastAsia="仿宋" w:cs="仿宋"/>
          <w:color w:val="auto"/>
          <w:sz w:val="21"/>
          <w:szCs w:val="21"/>
          <w:highlight w:val="none"/>
        </w:rPr>
        <w:t>。</w:t>
      </w:r>
    </w:p>
    <w:p w14:paraId="4C9A15E9">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关于承包人应完成的其他开工准备工作及期限：</w:t>
      </w:r>
      <w:r>
        <w:rPr>
          <w:rFonts w:hint="eastAsia" w:ascii="仿宋" w:hAnsi="仿宋" w:eastAsia="仿宋" w:cs="仿宋"/>
          <w:color w:val="auto"/>
          <w:sz w:val="21"/>
          <w:szCs w:val="21"/>
          <w:highlight w:val="none"/>
          <w:u w:val="single"/>
        </w:rPr>
        <w:t>不晚于开工前  天</w:t>
      </w:r>
      <w:r>
        <w:rPr>
          <w:rFonts w:hint="eastAsia" w:ascii="仿宋" w:hAnsi="仿宋" w:eastAsia="仿宋" w:cs="仿宋"/>
          <w:color w:val="auto"/>
          <w:sz w:val="21"/>
          <w:szCs w:val="21"/>
          <w:highlight w:val="none"/>
        </w:rPr>
        <w:t>。</w:t>
      </w:r>
    </w:p>
    <w:bookmarkEnd w:id="1400"/>
    <w:bookmarkEnd w:id="1401"/>
    <w:bookmarkEnd w:id="1402"/>
    <w:bookmarkEnd w:id="1403"/>
    <w:bookmarkEnd w:id="1404"/>
    <w:bookmarkEnd w:id="1405"/>
    <w:bookmarkEnd w:id="1406"/>
    <w:p w14:paraId="4E475A18">
      <w:pPr>
        <w:widowControl/>
        <w:spacing w:line="440" w:lineRule="exact"/>
        <w:ind w:firstLine="422" w:firstLineChars="200"/>
        <w:jc w:val="left"/>
        <w:outlineLvl w:val="4"/>
        <w:rPr>
          <w:rFonts w:hint="eastAsia" w:ascii="仿宋" w:hAnsi="仿宋" w:eastAsia="仿宋" w:cs="仿宋"/>
          <w:b/>
          <w:bCs/>
          <w:color w:val="auto"/>
          <w:kern w:val="0"/>
          <w:sz w:val="21"/>
          <w:szCs w:val="21"/>
          <w:highlight w:val="none"/>
        </w:rPr>
      </w:pPr>
      <w:bookmarkStart w:id="1407" w:name="_Toc532375620"/>
      <w:bookmarkStart w:id="1408" w:name="_Toc532377356"/>
      <w:r>
        <w:rPr>
          <w:rFonts w:hint="eastAsia" w:ascii="仿宋" w:hAnsi="仿宋" w:eastAsia="仿宋" w:cs="仿宋"/>
          <w:b/>
          <w:bCs/>
          <w:color w:val="auto"/>
          <w:kern w:val="0"/>
          <w:sz w:val="21"/>
          <w:szCs w:val="21"/>
          <w:highlight w:val="none"/>
        </w:rPr>
        <w:t>7.4 测量放线</w:t>
      </w:r>
      <w:bookmarkEnd w:id="1407"/>
      <w:bookmarkEnd w:id="1408"/>
    </w:p>
    <w:p w14:paraId="22582B61">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7.4.1 发包人通过监理人向承包人提供测量基准点、基准线和水准点及其书面资料的期限：</w:t>
      </w:r>
      <w:r>
        <w:rPr>
          <w:rFonts w:hint="eastAsia" w:ascii="仿宋" w:hAnsi="仿宋" w:eastAsia="仿宋" w:cs="仿宋"/>
          <w:color w:val="auto"/>
          <w:sz w:val="21"/>
          <w:szCs w:val="21"/>
          <w:highlight w:val="none"/>
          <w:u w:val="single"/>
        </w:rPr>
        <w:t>不晚于开工前  天</w:t>
      </w:r>
      <w:r>
        <w:rPr>
          <w:rFonts w:hint="eastAsia" w:ascii="仿宋" w:hAnsi="仿宋" w:eastAsia="仿宋" w:cs="仿宋"/>
          <w:color w:val="auto"/>
          <w:sz w:val="21"/>
          <w:szCs w:val="21"/>
          <w:highlight w:val="none"/>
        </w:rPr>
        <w:t>。</w:t>
      </w:r>
    </w:p>
    <w:p w14:paraId="2B84E7DB">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承包人报监理人审批施工控制网资料的期限：</w:t>
      </w:r>
      <w:r>
        <w:rPr>
          <w:rFonts w:hint="eastAsia" w:ascii="仿宋" w:hAnsi="仿宋" w:eastAsia="仿宋" w:cs="仿宋"/>
          <w:color w:val="auto"/>
          <w:sz w:val="21"/>
          <w:szCs w:val="21"/>
          <w:highlight w:val="none"/>
          <w:u w:val="single"/>
        </w:rPr>
        <w:t>发出开工通知后  天。承包人发现发包人提供的测量基准点、基准线和水准点及其书面资料存在错误或疏漏的，应及时通知监理人并报告发包人，承包人应会同监理人、发包人核实，发包人就如何处理和是否继续施工作出决定，并通过监理人通知承包人</w:t>
      </w:r>
      <w:r>
        <w:rPr>
          <w:rFonts w:hint="eastAsia" w:ascii="仿宋" w:hAnsi="仿宋" w:eastAsia="仿宋" w:cs="仿宋"/>
          <w:color w:val="auto"/>
          <w:sz w:val="21"/>
          <w:szCs w:val="21"/>
          <w:highlight w:val="none"/>
        </w:rPr>
        <w:t>。</w:t>
      </w:r>
    </w:p>
    <w:p w14:paraId="24BF7834">
      <w:pPr>
        <w:widowControl/>
        <w:spacing w:line="440" w:lineRule="exact"/>
        <w:ind w:firstLine="422" w:firstLineChars="200"/>
        <w:jc w:val="left"/>
        <w:outlineLvl w:val="4"/>
        <w:rPr>
          <w:rFonts w:hint="eastAsia" w:ascii="仿宋" w:hAnsi="仿宋" w:eastAsia="仿宋" w:cs="仿宋"/>
          <w:b/>
          <w:bCs/>
          <w:color w:val="auto"/>
          <w:kern w:val="0"/>
          <w:sz w:val="21"/>
          <w:szCs w:val="21"/>
          <w:highlight w:val="none"/>
        </w:rPr>
      </w:pPr>
      <w:bookmarkStart w:id="1409" w:name="_Toc532375621"/>
      <w:bookmarkStart w:id="1410" w:name="_Toc532377357"/>
      <w:r>
        <w:rPr>
          <w:rFonts w:hint="eastAsia" w:ascii="仿宋" w:hAnsi="仿宋" w:eastAsia="仿宋" w:cs="仿宋"/>
          <w:b/>
          <w:bCs/>
          <w:color w:val="auto"/>
          <w:kern w:val="0"/>
          <w:sz w:val="21"/>
          <w:szCs w:val="21"/>
          <w:highlight w:val="none"/>
        </w:rPr>
        <w:t>7</w:t>
      </w:r>
      <w:bookmarkStart w:id="1411" w:name="_Toc312677484"/>
      <w:bookmarkStart w:id="1412" w:name="_Toc300934968"/>
      <w:bookmarkStart w:id="1413" w:name="_Toc304295546"/>
      <w:bookmarkStart w:id="1414" w:name="_Toc312678010"/>
      <w:bookmarkStart w:id="1415" w:name="_Toc303539125"/>
      <w:bookmarkStart w:id="1416" w:name="_Toc297123516"/>
      <w:bookmarkStart w:id="1417" w:name="_Toc297216175"/>
      <w:r>
        <w:rPr>
          <w:rFonts w:hint="eastAsia" w:ascii="仿宋" w:hAnsi="仿宋" w:eastAsia="仿宋" w:cs="仿宋"/>
          <w:b/>
          <w:bCs/>
          <w:color w:val="auto"/>
          <w:kern w:val="0"/>
          <w:sz w:val="21"/>
          <w:szCs w:val="21"/>
          <w:highlight w:val="none"/>
        </w:rPr>
        <w:t>.5 工期延误</w:t>
      </w:r>
      <w:bookmarkEnd w:id="1409"/>
      <w:bookmarkEnd w:id="1410"/>
    </w:p>
    <w:bookmarkEnd w:id="1411"/>
    <w:bookmarkEnd w:id="1412"/>
    <w:bookmarkEnd w:id="1413"/>
    <w:bookmarkEnd w:id="1414"/>
    <w:bookmarkEnd w:id="1415"/>
    <w:bookmarkEnd w:id="1416"/>
    <w:bookmarkEnd w:id="1417"/>
    <w:p w14:paraId="60732CD8">
      <w:pPr>
        <w:spacing w:line="440" w:lineRule="exact"/>
        <w:ind w:firstLine="420" w:firstLineChars="200"/>
        <w:jc w:val="left"/>
        <w:rPr>
          <w:rFonts w:hint="eastAsia" w:ascii="仿宋" w:hAnsi="仿宋" w:eastAsia="仿宋" w:cs="仿宋"/>
          <w:color w:val="auto"/>
          <w:sz w:val="21"/>
          <w:szCs w:val="21"/>
          <w:highlight w:val="none"/>
        </w:rPr>
      </w:pPr>
      <w:bookmarkStart w:id="1418" w:name="_Hlk528927940"/>
      <w:r>
        <w:rPr>
          <w:rFonts w:hint="eastAsia" w:ascii="仿宋" w:hAnsi="仿宋" w:eastAsia="仿宋" w:cs="仿宋"/>
          <w:color w:val="auto"/>
          <w:sz w:val="21"/>
          <w:szCs w:val="21"/>
          <w:highlight w:val="none"/>
        </w:rPr>
        <w:t>7.5.1 因发包人原因导致工期延误：</w:t>
      </w:r>
    </w:p>
    <w:p w14:paraId="3D8C3F06">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在合同履行过程中，除通用条款约定外，因下列情况导致工期延误和（或）费用增加的，由发包人承担由此延误的工期和（或）增加的费用：</w:t>
      </w:r>
    </w:p>
    <w:p w14:paraId="485A99E1">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（1）发包人未能按合同约定提供施工场地，且该未提供开工条件直接影响项目关键线路的；</w:t>
      </w:r>
    </w:p>
    <w:p w14:paraId="56CE1844">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（2）发包人提供的测量基准点、基准线和水准点及其书面资料存在错误或疏漏，且该错误或疏漏直接影响项目关键线路的；</w:t>
      </w:r>
    </w:p>
    <w:p w14:paraId="3B85C624">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（3）监理人未按合同约定发出指示、批准等文件，且该未按合同约定发出指示、批准直接影响项目关键线路的；</w:t>
      </w:r>
    </w:p>
    <w:p w14:paraId="160F19F7">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（4）变更未及时审批，直接影响项目关键线路的；</w:t>
      </w:r>
    </w:p>
    <w:p w14:paraId="5C63C5C3">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（5）实施变更直接影响项目关键线路的；</w:t>
      </w:r>
    </w:p>
    <w:p w14:paraId="7AA6AA0B">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（6）因发包人原因导致工程暂停施工、停建、缓建的；</w:t>
      </w:r>
    </w:p>
    <w:p w14:paraId="66D670E3">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（7）因征地拆迁、当地群众阻工等情形的；</w:t>
      </w:r>
    </w:p>
    <w:p w14:paraId="4BB5AF46">
      <w:pPr>
        <w:spacing w:line="440" w:lineRule="exact"/>
        <w:ind w:firstLine="420" w:firstLineChars="200"/>
        <w:jc w:val="left"/>
        <w:rPr>
          <w:rFonts w:hint="eastAsia" w:ascii="仿宋" w:hAnsi="仿宋" w:eastAsia="仿宋" w:cs="仿宋"/>
          <w:color w:val="auto"/>
          <w:sz w:val="21"/>
          <w:szCs w:val="21"/>
          <w:highlight w:val="none"/>
          <w:u w:val="single"/>
        </w:rPr>
      </w:pPr>
      <w:r>
        <w:rPr>
          <w:rFonts w:hint="eastAsia" w:ascii="仿宋" w:hAnsi="仿宋" w:eastAsia="仿宋" w:cs="仿宋"/>
          <w:color w:val="auto"/>
          <w:sz w:val="21"/>
          <w:szCs w:val="21"/>
          <w:highlight w:val="none"/>
        </w:rPr>
        <w:t>（8）</w:t>
      </w:r>
      <w:r>
        <w:rPr>
          <w:rFonts w:hint="eastAsia" w:ascii="仿宋" w:hAnsi="仿宋" w:eastAsia="仿宋" w:cs="仿宋"/>
          <w:color w:val="auto"/>
          <w:sz w:val="21"/>
          <w:szCs w:val="21"/>
          <w:highlight w:val="none"/>
          <w:u w:val="single"/>
        </w:rPr>
        <w:t>合同约定的其他情形</w:t>
      </w:r>
      <w:r>
        <w:rPr>
          <w:rFonts w:hint="eastAsia" w:ascii="仿宋" w:hAnsi="仿宋" w:eastAsia="仿宋" w:cs="仿宋"/>
          <w:color w:val="auto"/>
          <w:sz w:val="21"/>
          <w:szCs w:val="21"/>
          <w:highlight w:val="none"/>
        </w:rPr>
        <w:t>。</w:t>
      </w:r>
    </w:p>
    <w:p w14:paraId="1411DF1B">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u w:val="single"/>
        </w:rPr>
        <w:t>因发包人原因未按计划开工日期开工的，发包人应按实际开工日期顺延竣工日期。因发包人原因导致工期延误需要修订施工进度计划的，按照第7.2.2项〔施工进度计划的修订〕执行</w:t>
      </w:r>
      <w:r>
        <w:rPr>
          <w:rFonts w:hint="eastAsia" w:ascii="仿宋" w:hAnsi="仿宋" w:eastAsia="仿宋" w:cs="仿宋"/>
          <w:color w:val="auto"/>
          <w:sz w:val="21"/>
          <w:szCs w:val="21"/>
          <w:highlight w:val="none"/>
        </w:rPr>
        <w:t>。</w:t>
      </w:r>
    </w:p>
    <w:p w14:paraId="0CA8DE03">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7.5.2 因承包人原因导致工期延误</w:t>
      </w:r>
    </w:p>
    <w:p w14:paraId="4559CC57">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u w:val="single"/>
        </w:rPr>
        <w:t>因承包人原因造成工期延误，逾期竣工按16.2.2（6）目执行。</w:t>
      </w:r>
    </w:p>
    <w:bookmarkEnd w:id="1418"/>
    <w:p w14:paraId="210108BD">
      <w:pPr>
        <w:widowControl/>
        <w:spacing w:line="440" w:lineRule="exact"/>
        <w:ind w:firstLine="422" w:firstLineChars="200"/>
        <w:jc w:val="left"/>
        <w:outlineLvl w:val="4"/>
        <w:rPr>
          <w:rFonts w:hint="eastAsia" w:ascii="仿宋" w:hAnsi="仿宋" w:eastAsia="仿宋" w:cs="仿宋"/>
          <w:b/>
          <w:bCs/>
          <w:color w:val="auto"/>
          <w:kern w:val="0"/>
          <w:sz w:val="21"/>
          <w:szCs w:val="21"/>
          <w:highlight w:val="none"/>
        </w:rPr>
      </w:pPr>
      <w:bookmarkStart w:id="1419" w:name="_Toc532375622"/>
      <w:bookmarkStart w:id="1420" w:name="_Toc532377358"/>
      <w:bookmarkStart w:id="1421" w:name="_Hlk528927997"/>
      <w:r>
        <w:rPr>
          <w:rFonts w:hint="eastAsia" w:ascii="仿宋" w:hAnsi="仿宋" w:eastAsia="仿宋" w:cs="仿宋"/>
          <w:b/>
          <w:bCs/>
          <w:color w:val="auto"/>
          <w:kern w:val="0"/>
          <w:sz w:val="21"/>
          <w:szCs w:val="21"/>
          <w:highlight w:val="none"/>
        </w:rPr>
        <w:t>7</w:t>
      </w:r>
      <w:bookmarkStart w:id="1422" w:name="_Toc297123519"/>
      <w:bookmarkStart w:id="1423" w:name="_Toc312678015"/>
      <w:bookmarkStart w:id="1424" w:name="_Toc297216178"/>
      <w:bookmarkStart w:id="1425" w:name="_Toc304295549"/>
      <w:bookmarkStart w:id="1426" w:name="_Toc303539128"/>
      <w:bookmarkStart w:id="1427" w:name="_Toc300934971"/>
      <w:r>
        <w:rPr>
          <w:rFonts w:hint="eastAsia" w:ascii="仿宋" w:hAnsi="仿宋" w:eastAsia="仿宋" w:cs="仿宋"/>
          <w:b/>
          <w:bCs/>
          <w:color w:val="auto"/>
          <w:kern w:val="0"/>
          <w:sz w:val="21"/>
          <w:szCs w:val="21"/>
          <w:highlight w:val="none"/>
        </w:rPr>
        <w:t>.6 不</w:t>
      </w:r>
      <w:bookmarkEnd w:id="1422"/>
      <w:bookmarkEnd w:id="1423"/>
      <w:bookmarkEnd w:id="1424"/>
      <w:bookmarkEnd w:id="1425"/>
      <w:bookmarkEnd w:id="1426"/>
      <w:bookmarkEnd w:id="1427"/>
      <w:r>
        <w:rPr>
          <w:rFonts w:hint="eastAsia" w:ascii="仿宋" w:hAnsi="仿宋" w:eastAsia="仿宋" w:cs="仿宋"/>
          <w:b/>
          <w:bCs/>
          <w:color w:val="auto"/>
          <w:kern w:val="0"/>
          <w:sz w:val="21"/>
          <w:szCs w:val="21"/>
          <w:highlight w:val="none"/>
        </w:rPr>
        <w:t>利物质条件</w:t>
      </w:r>
      <w:bookmarkEnd w:id="1419"/>
      <w:bookmarkEnd w:id="1420"/>
    </w:p>
    <w:bookmarkEnd w:id="1421"/>
    <w:p w14:paraId="3FB8FA0D">
      <w:pPr>
        <w:spacing w:line="440" w:lineRule="exact"/>
        <w:ind w:firstLine="420" w:firstLineChars="200"/>
        <w:jc w:val="left"/>
        <w:rPr>
          <w:rFonts w:hint="eastAsia" w:ascii="仿宋" w:hAnsi="仿宋" w:eastAsia="仿宋" w:cs="仿宋"/>
          <w:bCs/>
          <w:color w:val="auto"/>
          <w:sz w:val="21"/>
          <w:szCs w:val="21"/>
          <w:highlight w:val="none"/>
        </w:rPr>
      </w:pPr>
      <w:bookmarkStart w:id="1428" w:name="_Toc318581172"/>
      <w:bookmarkStart w:id="1429" w:name="_Toc312678016"/>
      <w:bookmarkStart w:id="1430" w:name="_Toc303539129"/>
      <w:bookmarkStart w:id="1431" w:name="_Toc297216179"/>
      <w:bookmarkStart w:id="1432" w:name="_Toc304295550"/>
      <w:bookmarkStart w:id="1433" w:name="_Toc297123520"/>
      <w:bookmarkStart w:id="1434" w:name="_Toc300934972"/>
      <w:r>
        <w:rPr>
          <w:rFonts w:hint="eastAsia" w:ascii="仿宋" w:hAnsi="仿宋" w:eastAsia="仿宋" w:cs="仿宋"/>
          <w:color w:val="auto"/>
          <w:sz w:val="21"/>
          <w:szCs w:val="21"/>
          <w:highlight w:val="none"/>
        </w:rPr>
        <w:t>不利物质条件的其他情形和有关约定：</w:t>
      </w:r>
      <w:bookmarkStart w:id="1435" w:name="_Hlk528910274"/>
      <w:r>
        <w:rPr>
          <w:rFonts w:hint="eastAsia" w:ascii="仿宋" w:hAnsi="仿宋" w:eastAsia="仿宋" w:cs="仿宋"/>
          <w:color w:val="auto"/>
          <w:sz w:val="21"/>
          <w:szCs w:val="21"/>
          <w:highlight w:val="none"/>
          <w:u w:val="single"/>
        </w:rPr>
        <w:t xml:space="preserve">  /  </w:t>
      </w:r>
      <w:r>
        <w:rPr>
          <w:rFonts w:hint="eastAsia" w:ascii="仿宋" w:hAnsi="仿宋" w:eastAsia="仿宋" w:cs="仿宋"/>
          <w:color w:val="auto"/>
          <w:sz w:val="21"/>
          <w:szCs w:val="21"/>
          <w:highlight w:val="none"/>
        </w:rPr>
        <w:t>。</w:t>
      </w:r>
    </w:p>
    <w:bookmarkEnd w:id="1428"/>
    <w:bookmarkEnd w:id="1429"/>
    <w:bookmarkEnd w:id="1430"/>
    <w:bookmarkEnd w:id="1431"/>
    <w:bookmarkEnd w:id="1432"/>
    <w:bookmarkEnd w:id="1433"/>
    <w:bookmarkEnd w:id="1434"/>
    <w:bookmarkEnd w:id="1435"/>
    <w:p w14:paraId="365D91D3">
      <w:pPr>
        <w:widowControl/>
        <w:spacing w:line="440" w:lineRule="exact"/>
        <w:ind w:firstLine="422" w:firstLineChars="200"/>
        <w:jc w:val="left"/>
        <w:outlineLvl w:val="4"/>
        <w:rPr>
          <w:rFonts w:hint="eastAsia" w:ascii="仿宋" w:hAnsi="仿宋" w:eastAsia="仿宋" w:cs="仿宋"/>
          <w:b/>
          <w:bCs/>
          <w:color w:val="auto"/>
          <w:kern w:val="0"/>
          <w:sz w:val="21"/>
          <w:szCs w:val="21"/>
          <w:highlight w:val="none"/>
        </w:rPr>
      </w:pPr>
      <w:bookmarkStart w:id="1436" w:name="_Toc532377359"/>
      <w:bookmarkStart w:id="1437" w:name="_Toc532375623"/>
      <w:r>
        <w:rPr>
          <w:rFonts w:hint="eastAsia" w:ascii="仿宋" w:hAnsi="仿宋" w:eastAsia="仿宋" w:cs="仿宋"/>
          <w:b/>
          <w:bCs/>
          <w:color w:val="auto"/>
          <w:kern w:val="0"/>
          <w:sz w:val="21"/>
          <w:szCs w:val="21"/>
          <w:highlight w:val="none"/>
        </w:rPr>
        <w:t>7</w:t>
      </w:r>
      <w:bookmarkStart w:id="1438" w:name="_Toc303539130"/>
      <w:bookmarkStart w:id="1439" w:name="_Toc300934973"/>
      <w:bookmarkStart w:id="1440" w:name="_Toc297216180"/>
      <w:bookmarkStart w:id="1441" w:name="_Toc304295551"/>
      <w:bookmarkStart w:id="1442" w:name="_Toc312678017"/>
      <w:bookmarkStart w:id="1443" w:name="_Toc297123521"/>
      <w:r>
        <w:rPr>
          <w:rFonts w:hint="eastAsia" w:ascii="仿宋" w:hAnsi="仿宋" w:eastAsia="仿宋" w:cs="仿宋"/>
          <w:b/>
          <w:bCs/>
          <w:color w:val="auto"/>
          <w:kern w:val="0"/>
          <w:sz w:val="21"/>
          <w:szCs w:val="21"/>
          <w:highlight w:val="none"/>
        </w:rPr>
        <w:t>.7异常恶劣的气候条件</w:t>
      </w:r>
      <w:bookmarkEnd w:id="1436"/>
      <w:bookmarkEnd w:id="1437"/>
    </w:p>
    <w:bookmarkEnd w:id="1438"/>
    <w:bookmarkEnd w:id="1439"/>
    <w:bookmarkEnd w:id="1440"/>
    <w:bookmarkEnd w:id="1441"/>
    <w:bookmarkEnd w:id="1442"/>
    <w:bookmarkEnd w:id="1443"/>
    <w:p w14:paraId="3EB021F8">
      <w:pPr>
        <w:spacing w:line="440" w:lineRule="exact"/>
        <w:ind w:firstLine="420" w:firstLineChars="200"/>
        <w:jc w:val="left"/>
        <w:rPr>
          <w:rFonts w:hint="eastAsia" w:ascii="仿宋" w:hAnsi="仿宋" w:eastAsia="仿宋" w:cs="仿宋"/>
          <w:color w:val="auto"/>
          <w:sz w:val="21"/>
          <w:szCs w:val="21"/>
          <w:highlight w:val="none"/>
          <w:u w:val="single"/>
        </w:rPr>
      </w:pPr>
      <w:r>
        <w:rPr>
          <w:rFonts w:hint="eastAsia" w:ascii="仿宋" w:hAnsi="仿宋" w:eastAsia="仿宋" w:cs="仿宋"/>
          <w:color w:val="auto"/>
          <w:sz w:val="21"/>
          <w:szCs w:val="21"/>
          <w:highlight w:val="none"/>
        </w:rPr>
        <w:t>发包人和承包人同意以下情形视为异常恶劣的气候条件：</w:t>
      </w:r>
      <w:r>
        <w:rPr>
          <w:rFonts w:hint="eastAsia" w:ascii="仿宋" w:hAnsi="仿宋" w:eastAsia="仿宋" w:cs="仿宋"/>
          <w:color w:val="auto"/>
          <w:sz w:val="21"/>
          <w:szCs w:val="21"/>
          <w:highlight w:val="none"/>
          <w:u w:val="single"/>
        </w:rPr>
        <w:t xml:space="preserve">    （异常气候是指项目所在地50年以上一遇的罕见气候现象）</w:t>
      </w:r>
      <w:r>
        <w:rPr>
          <w:rFonts w:hint="eastAsia" w:ascii="仿宋" w:hAnsi="仿宋" w:eastAsia="仿宋" w:cs="仿宋"/>
          <w:color w:val="auto"/>
          <w:sz w:val="21"/>
          <w:szCs w:val="21"/>
          <w:highlight w:val="none"/>
        </w:rPr>
        <w:t>。</w:t>
      </w:r>
    </w:p>
    <w:p w14:paraId="06140A87">
      <w:pPr>
        <w:widowControl/>
        <w:spacing w:line="440" w:lineRule="exact"/>
        <w:ind w:firstLine="422" w:firstLineChars="200"/>
        <w:jc w:val="left"/>
        <w:outlineLvl w:val="4"/>
        <w:rPr>
          <w:rFonts w:hint="eastAsia" w:ascii="仿宋" w:hAnsi="仿宋" w:eastAsia="仿宋" w:cs="仿宋"/>
          <w:b/>
          <w:bCs/>
          <w:color w:val="auto"/>
          <w:kern w:val="0"/>
          <w:sz w:val="21"/>
          <w:szCs w:val="21"/>
          <w:highlight w:val="none"/>
        </w:rPr>
      </w:pPr>
      <w:bookmarkStart w:id="1444" w:name="_Toc532377360"/>
      <w:bookmarkStart w:id="1445" w:name="_Toc532375624"/>
      <w:r>
        <w:rPr>
          <w:rFonts w:hint="eastAsia" w:ascii="仿宋" w:hAnsi="仿宋" w:eastAsia="仿宋" w:cs="仿宋"/>
          <w:b/>
          <w:bCs/>
          <w:color w:val="auto"/>
          <w:kern w:val="0"/>
          <w:sz w:val="21"/>
          <w:szCs w:val="21"/>
          <w:highlight w:val="none"/>
        </w:rPr>
        <w:t>7.9 提前竣工</w:t>
      </w:r>
      <w:bookmarkEnd w:id="1444"/>
      <w:bookmarkEnd w:id="1445"/>
    </w:p>
    <w:p w14:paraId="49E491F1">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7.9.1项细化为：</w:t>
      </w:r>
    </w:p>
    <w:p w14:paraId="60BFAD88">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当项目需要提前竣工或项目工期按照第7.5款〔工期延误〕约定顺延后需要提前竣工的，发包人应通过监理人向承包人下达提前竣工指示。承包人同意提前竣工的，应向发包人和监理人提交提前竣工方案，提前竣工方案经监理人和发包人审批后生效。由此增加的费用按照第10.4.1项〔变更估价原则〕约定执行。</w:t>
      </w:r>
    </w:p>
    <w:p w14:paraId="34711239">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（2）发包人不得随意要求承包人提前竣工，承包人也不得随意提出提前竣工的建议。如遇特殊情况，确需将工期提前的，发包人和承包人必须采取有效措施，确保工程质量。</w:t>
      </w:r>
    </w:p>
    <w:p w14:paraId="70D4EA0C">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（3）如果承包人提前竣工，发包人支付奖金的计算方法在合同条款中约定，时间自竣工验收证书中写明的实际竣工日期起至预定的竣工日期止，按天计算。但奖金最高限额不超过项目7.9.2项的限额。</w:t>
      </w:r>
    </w:p>
    <w:p w14:paraId="3323CA4B">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7.9.2 提前竣工的奖励：</w:t>
      </w:r>
      <w:r>
        <w:rPr>
          <w:rFonts w:hint="eastAsia" w:ascii="仿宋" w:hAnsi="仿宋" w:eastAsia="仿宋" w:cs="仿宋"/>
          <w:color w:val="auto"/>
          <w:sz w:val="21"/>
          <w:szCs w:val="21"/>
          <w:highlight w:val="none"/>
          <w:u w:val="single"/>
        </w:rPr>
        <w:t xml:space="preserve">    无   </w:t>
      </w:r>
      <w:r>
        <w:rPr>
          <w:rFonts w:hint="eastAsia" w:ascii="仿宋" w:hAnsi="仿宋" w:eastAsia="仿宋" w:cs="仿宋"/>
          <w:color w:val="auto"/>
          <w:sz w:val="21"/>
          <w:szCs w:val="21"/>
          <w:highlight w:val="none"/>
        </w:rPr>
        <w:t>。</w:t>
      </w:r>
    </w:p>
    <w:p w14:paraId="7F146381">
      <w:pPr>
        <w:keepNext/>
        <w:keepLines/>
        <w:widowControl/>
        <w:spacing w:before="120" w:beforeLines="50" w:after="120" w:afterLines="50" w:line="440" w:lineRule="exact"/>
        <w:outlineLvl w:val="3"/>
        <w:rPr>
          <w:rFonts w:hint="eastAsia" w:ascii="仿宋" w:hAnsi="仿宋" w:eastAsia="仿宋" w:cs="仿宋"/>
          <w:b/>
          <w:color w:val="auto"/>
          <w:sz w:val="21"/>
          <w:szCs w:val="21"/>
          <w:highlight w:val="none"/>
        </w:rPr>
      </w:pPr>
      <w:bookmarkStart w:id="1446" w:name="_Toc351203640"/>
      <w:bookmarkStart w:id="1447" w:name="_Toc532377361"/>
      <w:bookmarkStart w:id="1448" w:name="_Toc532375625"/>
      <w:r>
        <w:rPr>
          <w:rFonts w:hint="eastAsia" w:ascii="仿宋" w:hAnsi="仿宋" w:eastAsia="仿宋" w:cs="仿宋"/>
          <w:b/>
          <w:bCs/>
          <w:color w:val="auto"/>
          <w:sz w:val="21"/>
          <w:szCs w:val="21"/>
          <w:highlight w:val="none"/>
        </w:rPr>
        <w:t>8. 材料与设备</w:t>
      </w:r>
      <w:bookmarkEnd w:id="1446"/>
      <w:bookmarkEnd w:id="1447"/>
      <w:bookmarkEnd w:id="1448"/>
    </w:p>
    <w:p w14:paraId="4C3A37E9">
      <w:pPr>
        <w:widowControl/>
        <w:spacing w:line="440" w:lineRule="exact"/>
        <w:ind w:firstLine="422" w:firstLineChars="200"/>
        <w:jc w:val="left"/>
        <w:outlineLvl w:val="4"/>
        <w:rPr>
          <w:rFonts w:hint="eastAsia" w:ascii="仿宋" w:hAnsi="仿宋" w:eastAsia="仿宋" w:cs="仿宋"/>
          <w:b/>
          <w:bCs/>
          <w:color w:val="auto"/>
          <w:kern w:val="0"/>
          <w:sz w:val="21"/>
          <w:szCs w:val="21"/>
          <w:highlight w:val="none"/>
        </w:rPr>
      </w:pPr>
      <w:bookmarkStart w:id="1449" w:name="_Toc532375626"/>
      <w:bookmarkStart w:id="1450" w:name="_Toc532377362"/>
      <w:r>
        <w:rPr>
          <w:rFonts w:hint="eastAsia" w:ascii="仿宋" w:hAnsi="仿宋" w:eastAsia="仿宋" w:cs="仿宋"/>
          <w:b/>
          <w:bCs/>
          <w:color w:val="auto"/>
          <w:kern w:val="0"/>
          <w:sz w:val="21"/>
          <w:szCs w:val="21"/>
          <w:highlight w:val="none"/>
        </w:rPr>
        <w:t>8.1发包人供应材料与工程设备</w:t>
      </w:r>
      <w:bookmarkEnd w:id="1449"/>
      <w:bookmarkEnd w:id="1450"/>
    </w:p>
    <w:p w14:paraId="707FBCC9">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材料的名称、规格、数量和价格：</w:t>
      </w:r>
      <w:r>
        <w:rPr>
          <w:rFonts w:hint="eastAsia" w:ascii="仿宋" w:hAnsi="仿宋" w:eastAsia="仿宋" w:cs="仿宋"/>
          <w:color w:val="auto"/>
          <w:sz w:val="21"/>
          <w:szCs w:val="21"/>
          <w:highlight w:val="none"/>
          <w:u w:val="single"/>
        </w:rPr>
        <w:t>发包人应提供甲供材料的明细表，结算时按经监理人、承包人共同确认的供应数量乘以招标时甲供材料暂定价格，在支付工程款时扣除</w:t>
      </w:r>
      <w:r>
        <w:rPr>
          <w:rFonts w:hint="eastAsia" w:ascii="仿宋" w:hAnsi="仿宋" w:eastAsia="仿宋" w:cs="仿宋"/>
          <w:color w:val="auto"/>
          <w:sz w:val="21"/>
          <w:szCs w:val="21"/>
          <w:highlight w:val="none"/>
        </w:rPr>
        <w:t>。</w:t>
      </w:r>
    </w:p>
    <w:p w14:paraId="6F7A4E5F">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u w:val="single"/>
        </w:rPr>
        <w:t>发包人按约定的内容提供材料设备并对提供的材料设备质量负责，承包人按施工规范和检测规范对一切进场材料进行质量检验，承包人有权退回检验不合格的材料；承包人对投入使用的材料质量负责</w:t>
      </w:r>
      <w:r>
        <w:rPr>
          <w:rFonts w:hint="eastAsia" w:ascii="仿宋" w:hAnsi="仿宋" w:eastAsia="仿宋" w:cs="仿宋"/>
          <w:color w:val="auto"/>
          <w:sz w:val="21"/>
          <w:szCs w:val="21"/>
          <w:highlight w:val="none"/>
        </w:rPr>
        <w:t>。</w:t>
      </w:r>
    </w:p>
    <w:p w14:paraId="421D8D52">
      <w:pPr>
        <w:widowControl/>
        <w:spacing w:line="440" w:lineRule="exact"/>
        <w:ind w:firstLine="422" w:firstLineChars="200"/>
        <w:jc w:val="left"/>
        <w:outlineLvl w:val="4"/>
        <w:rPr>
          <w:rFonts w:hint="eastAsia" w:ascii="仿宋" w:hAnsi="仿宋" w:eastAsia="仿宋" w:cs="仿宋"/>
          <w:b/>
          <w:bCs/>
          <w:color w:val="auto"/>
          <w:kern w:val="0"/>
          <w:sz w:val="21"/>
          <w:szCs w:val="21"/>
          <w:highlight w:val="none"/>
        </w:rPr>
      </w:pPr>
      <w:bookmarkStart w:id="1451" w:name="_Toc532377363"/>
      <w:bookmarkStart w:id="1452" w:name="_Toc532375627"/>
      <w:bookmarkStart w:id="1453" w:name="_Toc351203554"/>
      <w:r>
        <w:rPr>
          <w:rFonts w:hint="eastAsia" w:ascii="仿宋" w:hAnsi="仿宋" w:eastAsia="仿宋" w:cs="仿宋"/>
          <w:b/>
          <w:bCs/>
          <w:color w:val="auto"/>
          <w:kern w:val="0"/>
          <w:sz w:val="21"/>
          <w:szCs w:val="21"/>
          <w:highlight w:val="none"/>
        </w:rPr>
        <w:t>8</w:t>
      </w:r>
      <w:bookmarkStart w:id="1454" w:name="_Toc296503060"/>
      <w:bookmarkStart w:id="1455" w:name="_Toc337558778"/>
      <w:bookmarkStart w:id="1456" w:name="_Toc296346561"/>
      <w:r>
        <w:rPr>
          <w:rFonts w:hint="eastAsia" w:ascii="仿宋" w:hAnsi="仿宋" w:eastAsia="仿宋" w:cs="仿宋"/>
          <w:b/>
          <w:bCs/>
          <w:color w:val="auto"/>
          <w:kern w:val="0"/>
          <w:sz w:val="21"/>
          <w:szCs w:val="21"/>
          <w:highlight w:val="none"/>
        </w:rPr>
        <w:t>.2 承包人采购材料与工程设备</w:t>
      </w:r>
      <w:bookmarkEnd w:id="1451"/>
      <w:bookmarkEnd w:id="1452"/>
      <w:bookmarkEnd w:id="1453"/>
    </w:p>
    <w:bookmarkEnd w:id="1454"/>
    <w:bookmarkEnd w:id="1455"/>
    <w:bookmarkEnd w:id="1456"/>
    <w:p w14:paraId="02C3518B">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8.2.1承包人负责采购、运输和保管的材料、工程设备：</w:t>
      </w:r>
      <w:r>
        <w:rPr>
          <w:rFonts w:hint="eastAsia" w:ascii="仿宋" w:hAnsi="仿宋" w:eastAsia="仿宋" w:cs="仿宋"/>
          <w:color w:val="auto"/>
          <w:sz w:val="21"/>
          <w:szCs w:val="21"/>
          <w:highlight w:val="none"/>
          <w:u w:val="single"/>
        </w:rPr>
        <w:t>由承包人自行采购。承包人采购材料设备必须经监理人和发包人批准，结算时由监理人和发包人按招标文件规定审核的数量和合同约定价格计算</w:t>
      </w:r>
      <w:r>
        <w:rPr>
          <w:rFonts w:hint="eastAsia" w:ascii="仿宋" w:hAnsi="仿宋" w:eastAsia="仿宋" w:cs="仿宋"/>
          <w:color w:val="auto"/>
          <w:sz w:val="21"/>
          <w:szCs w:val="21"/>
          <w:highlight w:val="none"/>
        </w:rPr>
        <w:t>。</w:t>
      </w:r>
    </w:p>
    <w:p w14:paraId="1A1BF14E">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8.2.2承包人报送监理人审批的时间：</w:t>
      </w:r>
      <w:r>
        <w:rPr>
          <w:rFonts w:hint="eastAsia" w:ascii="仿宋" w:hAnsi="仿宋" w:eastAsia="仿宋" w:cs="仿宋"/>
          <w:color w:val="auto"/>
          <w:sz w:val="21"/>
          <w:szCs w:val="21"/>
          <w:highlight w:val="none"/>
          <w:u w:val="single"/>
        </w:rPr>
        <w:t>按发包人及监理单位的相关规定执行</w:t>
      </w:r>
      <w:r>
        <w:rPr>
          <w:rFonts w:hint="eastAsia" w:ascii="仿宋" w:hAnsi="仿宋" w:eastAsia="仿宋" w:cs="仿宋"/>
          <w:color w:val="auto"/>
          <w:sz w:val="21"/>
          <w:szCs w:val="21"/>
          <w:highlight w:val="none"/>
        </w:rPr>
        <w:t>。</w:t>
      </w:r>
    </w:p>
    <w:p w14:paraId="3D04EC78">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8.2.3承包人选择的生产厂家或供应商满足下列条件：</w:t>
      </w:r>
    </w:p>
    <w:p w14:paraId="00F08BBE">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A.承包人选择的混凝土供应商应满足下列条件：</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w:t>
      </w:r>
    </w:p>
    <w:p w14:paraId="272DAAD4">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B.承包人选择的钢材供应商应满足下列条件：</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w:t>
      </w:r>
    </w:p>
    <w:p w14:paraId="1DFF4057">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C.承包人选择的水泥供应商应满足下列条件：</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w:t>
      </w:r>
    </w:p>
    <w:p w14:paraId="645406DC">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D.承包人采购的材料与设计或标准要求不符时，承包人应按发包人和监理人要求的时间运出施工场地，并重新采购符合要求的产品，并承担由此发生的费用，因此延误的工期不予顺延。</w:t>
      </w:r>
    </w:p>
    <w:p w14:paraId="0697FF6D">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E.承包人采购的材料在使用前，应按发包人和监理人的要求进行检验或试验，不合格的不得使用。</w:t>
      </w:r>
    </w:p>
    <w:p w14:paraId="102EBE22">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F.</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w:t>
      </w:r>
    </w:p>
    <w:p w14:paraId="6C40E767">
      <w:pPr>
        <w:widowControl/>
        <w:spacing w:line="440" w:lineRule="exact"/>
        <w:ind w:firstLine="422" w:firstLineChars="200"/>
        <w:jc w:val="left"/>
        <w:outlineLvl w:val="4"/>
        <w:rPr>
          <w:rFonts w:hint="eastAsia" w:ascii="仿宋" w:hAnsi="仿宋" w:eastAsia="仿宋" w:cs="仿宋"/>
          <w:b/>
          <w:bCs/>
          <w:color w:val="auto"/>
          <w:kern w:val="0"/>
          <w:sz w:val="21"/>
          <w:szCs w:val="21"/>
          <w:highlight w:val="none"/>
        </w:rPr>
      </w:pPr>
      <w:bookmarkStart w:id="1457" w:name="_Toc532375628"/>
      <w:bookmarkStart w:id="1458" w:name="_Toc532377364"/>
      <w:r>
        <w:rPr>
          <w:rFonts w:hint="eastAsia" w:ascii="仿宋" w:hAnsi="仿宋" w:eastAsia="仿宋" w:cs="仿宋"/>
          <w:b/>
          <w:bCs/>
          <w:color w:val="auto"/>
          <w:kern w:val="0"/>
          <w:sz w:val="21"/>
          <w:szCs w:val="21"/>
          <w:highlight w:val="none"/>
        </w:rPr>
        <w:t>8</w:t>
      </w:r>
      <w:bookmarkStart w:id="1459" w:name="_Toc296346668"/>
      <w:bookmarkStart w:id="1460" w:name="_Toc297120467"/>
      <w:bookmarkStart w:id="1461" w:name="_Toc296890995"/>
      <w:bookmarkStart w:id="1462" w:name="_Toc300934979"/>
      <w:bookmarkStart w:id="1463" w:name="_Toc280868654"/>
      <w:bookmarkStart w:id="1464" w:name="_Toc292559372"/>
      <w:bookmarkStart w:id="1465" w:name="_Toc297048353"/>
      <w:bookmarkStart w:id="1466" w:name="_Toc296347166"/>
      <w:bookmarkStart w:id="1467" w:name="_Toc303539136"/>
      <w:bookmarkStart w:id="1468" w:name="_Toc292559877"/>
      <w:bookmarkStart w:id="1469" w:name="_Toc312678019"/>
      <w:bookmarkStart w:id="1470" w:name="_Toc304295556"/>
      <w:bookmarkStart w:id="1471" w:name="_Toc296503167"/>
      <w:bookmarkStart w:id="1472" w:name="_Toc296891207"/>
      <w:bookmarkStart w:id="1473" w:name="_Toc296944506"/>
      <w:bookmarkStart w:id="1474" w:name="_Toc297216186"/>
      <w:bookmarkStart w:id="1475" w:name="_Toc297123527"/>
      <w:bookmarkStart w:id="1476" w:name="_Toc312677493"/>
      <w:bookmarkStart w:id="1477" w:name="_Toc280868655"/>
      <w:bookmarkStart w:id="1478" w:name="_Toc280868656"/>
      <w:bookmarkStart w:id="1479" w:name="_Toc267251424"/>
      <w:r>
        <w:rPr>
          <w:rFonts w:hint="eastAsia" w:ascii="仿宋" w:hAnsi="仿宋" w:eastAsia="仿宋" w:cs="仿宋"/>
          <w:b/>
          <w:bCs/>
          <w:color w:val="auto"/>
          <w:kern w:val="0"/>
          <w:sz w:val="21"/>
          <w:szCs w:val="21"/>
          <w:highlight w:val="none"/>
        </w:rPr>
        <w:t>.4 材料与工程设备的保管与使用</w:t>
      </w:r>
      <w:bookmarkEnd w:id="1457"/>
      <w:bookmarkEnd w:id="1458"/>
    </w:p>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p w14:paraId="10FA5E72">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8</w:t>
      </w:r>
      <w:bookmarkStart w:id="1480" w:name="_Toc292559373"/>
      <w:bookmarkStart w:id="1481" w:name="_Toc292559878"/>
      <w:bookmarkStart w:id="1482" w:name="_Toc296890996"/>
      <w:bookmarkStart w:id="1483" w:name="_Toc297048354"/>
      <w:bookmarkStart w:id="1484" w:name="_Toc303539137"/>
      <w:bookmarkStart w:id="1485" w:name="_Toc312677494"/>
      <w:bookmarkStart w:id="1486" w:name="_Toc304295557"/>
      <w:bookmarkStart w:id="1487" w:name="_Toc300934980"/>
      <w:bookmarkStart w:id="1488" w:name="_Toc297123528"/>
      <w:bookmarkStart w:id="1489" w:name="_Toc296346669"/>
      <w:bookmarkStart w:id="1490" w:name="_Toc297120468"/>
      <w:bookmarkStart w:id="1491" w:name="_Toc318581173"/>
      <w:bookmarkStart w:id="1492" w:name="_Toc297216187"/>
      <w:bookmarkStart w:id="1493" w:name="_Toc296891208"/>
      <w:bookmarkStart w:id="1494" w:name="_Toc296944507"/>
      <w:bookmarkStart w:id="1495" w:name="_Toc296503168"/>
      <w:bookmarkStart w:id="1496" w:name="_Toc296347167"/>
      <w:bookmarkStart w:id="1497" w:name="_Toc312678020"/>
      <w:r>
        <w:rPr>
          <w:rFonts w:hint="eastAsia" w:ascii="仿宋" w:hAnsi="仿宋" w:eastAsia="仿宋" w:cs="仿宋"/>
          <w:color w:val="auto"/>
          <w:sz w:val="21"/>
          <w:szCs w:val="21"/>
          <w:highlight w:val="none"/>
        </w:rPr>
        <w:t>.4.1 发包人供应的材料设备的保管费用的承担：</w:t>
      </w:r>
      <w:r>
        <w:rPr>
          <w:rFonts w:hint="eastAsia" w:ascii="仿宋" w:hAnsi="仿宋" w:eastAsia="仿宋" w:cs="仿宋"/>
          <w:color w:val="auto"/>
          <w:sz w:val="21"/>
          <w:szCs w:val="21"/>
          <w:highlight w:val="none"/>
          <w:u w:val="single"/>
        </w:rPr>
        <w:t xml:space="preserve">  由承包人承担   </w:t>
      </w:r>
      <w:r>
        <w:rPr>
          <w:rFonts w:hint="eastAsia" w:ascii="仿宋" w:hAnsi="仿宋" w:eastAsia="仿宋" w:cs="仿宋"/>
          <w:color w:val="auto"/>
          <w:sz w:val="21"/>
          <w:szCs w:val="21"/>
          <w:highlight w:val="none"/>
        </w:rPr>
        <w:t>。</w:t>
      </w:r>
      <w:bookmarkEnd w:id="1480"/>
      <w:bookmarkEnd w:id="1481"/>
    </w:p>
    <w:p w14:paraId="7005F0FC">
      <w:pPr>
        <w:widowControl/>
        <w:spacing w:line="440" w:lineRule="exact"/>
        <w:ind w:firstLine="422" w:firstLineChars="200"/>
        <w:jc w:val="left"/>
        <w:outlineLvl w:val="4"/>
        <w:rPr>
          <w:rFonts w:hint="eastAsia" w:ascii="仿宋" w:hAnsi="仿宋" w:eastAsia="仿宋" w:cs="仿宋"/>
          <w:b/>
          <w:bCs/>
          <w:color w:val="auto"/>
          <w:kern w:val="0"/>
          <w:sz w:val="21"/>
          <w:szCs w:val="21"/>
          <w:highlight w:val="none"/>
        </w:rPr>
      </w:pPr>
      <w:bookmarkStart w:id="1498" w:name="_Toc532375629"/>
      <w:bookmarkStart w:id="1499" w:name="_Toc532377365"/>
      <w:r>
        <w:rPr>
          <w:rFonts w:hint="eastAsia" w:ascii="仿宋" w:hAnsi="仿宋" w:eastAsia="仿宋" w:cs="仿宋"/>
          <w:b/>
          <w:bCs/>
          <w:color w:val="auto"/>
          <w:kern w:val="0"/>
          <w:sz w:val="21"/>
          <w:szCs w:val="21"/>
          <w:highlight w:val="none"/>
        </w:rPr>
        <w:t>8.6 样品</w:t>
      </w:r>
      <w:bookmarkEnd w:id="1498"/>
      <w:bookmarkEnd w:id="1499"/>
    </w:p>
    <w:p w14:paraId="2EFAEEE1">
      <w:pPr>
        <w:autoSpaceDE w:val="0"/>
        <w:autoSpaceDN w:val="0"/>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8.6.1 样品的报送与封存</w:t>
      </w:r>
    </w:p>
    <w:p w14:paraId="6BAB06FA">
      <w:pPr>
        <w:autoSpaceDE w:val="0"/>
        <w:autoSpaceDN w:val="0"/>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需要承包人报送样品的材料或工程设备，样品的种类、名称、规格、数量要求：</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w:t>
      </w:r>
    </w:p>
    <w:p w14:paraId="1B378B7A">
      <w:pPr>
        <w:widowControl/>
        <w:spacing w:line="440" w:lineRule="exact"/>
        <w:ind w:firstLine="422" w:firstLineChars="200"/>
        <w:jc w:val="left"/>
        <w:outlineLvl w:val="4"/>
        <w:rPr>
          <w:rFonts w:hint="eastAsia" w:ascii="仿宋" w:hAnsi="仿宋" w:eastAsia="仿宋" w:cs="仿宋"/>
          <w:b/>
          <w:bCs/>
          <w:color w:val="auto"/>
          <w:kern w:val="0"/>
          <w:sz w:val="21"/>
          <w:szCs w:val="21"/>
          <w:highlight w:val="none"/>
        </w:rPr>
      </w:pPr>
      <w:bookmarkStart w:id="1500" w:name="_Toc532375630"/>
      <w:bookmarkStart w:id="1501" w:name="_Toc532377366"/>
      <w:r>
        <w:rPr>
          <w:rFonts w:hint="eastAsia" w:ascii="仿宋" w:hAnsi="仿宋" w:eastAsia="仿宋" w:cs="仿宋"/>
          <w:b/>
          <w:bCs/>
          <w:color w:val="auto"/>
          <w:kern w:val="0"/>
          <w:sz w:val="21"/>
          <w:szCs w:val="21"/>
          <w:highlight w:val="none"/>
        </w:rPr>
        <w:t>8.8 施工设备和临时设施</w:t>
      </w:r>
      <w:bookmarkEnd w:id="1500"/>
      <w:bookmarkEnd w:id="1501"/>
    </w:p>
    <w:p w14:paraId="3CEE751A">
      <w:pPr>
        <w:autoSpaceDE w:val="0"/>
        <w:autoSpaceDN w:val="0"/>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8.8.1 承包人提供的施工设备和临时设施</w:t>
      </w:r>
    </w:p>
    <w:p w14:paraId="230F3F9D">
      <w:pPr>
        <w:autoSpaceDE w:val="0"/>
        <w:autoSpaceDN w:val="0"/>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关于修建临时设施费用承担的约定：</w:t>
      </w:r>
      <w:r>
        <w:rPr>
          <w:rFonts w:hint="eastAsia" w:ascii="仿宋" w:hAnsi="仿宋" w:eastAsia="仿宋" w:cs="仿宋"/>
          <w:color w:val="auto"/>
          <w:sz w:val="21"/>
          <w:szCs w:val="21"/>
          <w:highlight w:val="none"/>
          <w:u w:val="single"/>
        </w:rPr>
        <w:t>由承包人承担</w:t>
      </w:r>
      <w:r>
        <w:rPr>
          <w:rFonts w:hint="eastAsia" w:ascii="仿宋" w:hAnsi="仿宋" w:eastAsia="仿宋" w:cs="仿宋"/>
          <w:color w:val="auto"/>
          <w:sz w:val="21"/>
          <w:szCs w:val="21"/>
          <w:highlight w:val="none"/>
        </w:rPr>
        <w:t>。</w:t>
      </w:r>
    </w:p>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p w14:paraId="1B08235C">
      <w:pPr>
        <w:keepNext/>
        <w:keepLines/>
        <w:widowControl/>
        <w:spacing w:before="120" w:beforeLines="50" w:after="120" w:afterLines="50" w:line="440" w:lineRule="exact"/>
        <w:outlineLvl w:val="3"/>
        <w:rPr>
          <w:rFonts w:hint="eastAsia" w:ascii="仿宋" w:hAnsi="仿宋" w:eastAsia="仿宋" w:cs="仿宋"/>
          <w:b/>
          <w:color w:val="auto"/>
          <w:sz w:val="21"/>
          <w:szCs w:val="21"/>
          <w:highlight w:val="none"/>
        </w:rPr>
      </w:pPr>
      <w:bookmarkStart w:id="1502" w:name="_Toc532377367"/>
      <w:bookmarkStart w:id="1503" w:name="_Toc351203641"/>
      <w:bookmarkStart w:id="1504" w:name="_Toc532375631"/>
      <w:r>
        <w:rPr>
          <w:rFonts w:hint="eastAsia" w:ascii="仿宋" w:hAnsi="仿宋" w:eastAsia="仿宋" w:cs="仿宋"/>
          <w:b/>
          <w:bCs/>
          <w:color w:val="auto"/>
          <w:sz w:val="21"/>
          <w:szCs w:val="21"/>
          <w:highlight w:val="none"/>
        </w:rPr>
        <w:t>9</w:t>
      </w:r>
      <w:bookmarkEnd w:id="1477"/>
      <w:bookmarkEnd w:id="1478"/>
      <w:bookmarkEnd w:id="1479"/>
      <w:bookmarkStart w:id="1505" w:name="_Toc297216192"/>
      <w:bookmarkStart w:id="1506" w:name="_Toc297123533"/>
      <w:bookmarkStart w:id="1507" w:name="_Toc312678021"/>
      <w:bookmarkStart w:id="1508" w:name="_Toc312677495"/>
      <w:bookmarkStart w:id="1509" w:name="_Toc304295559"/>
      <w:bookmarkStart w:id="1510" w:name="_Toc303539139"/>
      <w:bookmarkStart w:id="1511" w:name="_Toc300934982"/>
      <w:r>
        <w:rPr>
          <w:rFonts w:hint="eastAsia" w:ascii="仿宋" w:hAnsi="仿宋" w:eastAsia="仿宋" w:cs="仿宋"/>
          <w:b/>
          <w:bCs/>
          <w:color w:val="auto"/>
          <w:sz w:val="21"/>
          <w:szCs w:val="21"/>
          <w:highlight w:val="none"/>
        </w:rPr>
        <w:t>. 试验与检验</w:t>
      </w:r>
      <w:bookmarkEnd w:id="1502"/>
      <w:bookmarkEnd w:id="1503"/>
      <w:bookmarkEnd w:id="1504"/>
    </w:p>
    <w:bookmarkEnd w:id="1505"/>
    <w:bookmarkEnd w:id="1506"/>
    <w:bookmarkEnd w:id="1507"/>
    <w:bookmarkEnd w:id="1508"/>
    <w:bookmarkEnd w:id="1509"/>
    <w:bookmarkEnd w:id="1510"/>
    <w:bookmarkEnd w:id="1511"/>
    <w:p w14:paraId="2241322D">
      <w:pPr>
        <w:widowControl/>
        <w:spacing w:line="440" w:lineRule="exact"/>
        <w:ind w:firstLine="422" w:firstLineChars="200"/>
        <w:jc w:val="left"/>
        <w:outlineLvl w:val="4"/>
        <w:rPr>
          <w:rFonts w:hint="eastAsia" w:ascii="仿宋" w:hAnsi="仿宋" w:eastAsia="仿宋" w:cs="仿宋"/>
          <w:b/>
          <w:bCs/>
          <w:color w:val="auto"/>
          <w:kern w:val="0"/>
          <w:sz w:val="21"/>
          <w:szCs w:val="21"/>
          <w:highlight w:val="none"/>
        </w:rPr>
      </w:pPr>
      <w:bookmarkStart w:id="1512" w:name="_Toc532377368"/>
      <w:bookmarkStart w:id="1513" w:name="_Toc532375632"/>
      <w:r>
        <w:rPr>
          <w:rFonts w:hint="eastAsia" w:ascii="仿宋" w:hAnsi="仿宋" w:eastAsia="仿宋" w:cs="仿宋"/>
          <w:b/>
          <w:bCs/>
          <w:color w:val="auto"/>
          <w:kern w:val="0"/>
          <w:sz w:val="21"/>
          <w:szCs w:val="21"/>
          <w:highlight w:val="none"/>
        </w:rPr>
        <w:t>9</w:t>
      </w:r>
      <w:bookmarkStart w:id="1514" w:name="_Toc304295560"/>
      <w:bookmarkStart w:id="1515" w:name="_Toc312677496"/>
      <w:bookmarkStart w:id="1516" w:name="_Toc297216193"/>
      <w:bookmarkStart w:id="1517" w:name="_Toc300934983"/>
      <w:bookmarkStart w:id="1518" w:name="_Toc303539140"/>
      <w:bookmarkStart w:id="1519" w:name="_Toc312678022"/>
      <w:bookmarkStart w:id="1520" w:name="_Toc297123534"/>
      <w:r>
        <w:rPr>
          <w:rFonts w:hint="eastAsia" w:ascii="仿宋" w:hAnsi="仿宋" w:eastAsia="仿宋" w:cs="仿宋"/>
          <w:b/>
          <w:bCs/>
          <w:color w:val="auto"/>
          <w:kern w:val="0"/>
          <w:sz w:val="21"/>
          <w:szCs w:val="21"/>
          <w:highlight w:val="none"/>
        </w:rPr>
        <w:t>.1 试验设备与试验人员</w:t>
      </w:r>
      <w:bookmarkEnd w:id="1512"/>
      <w:bookmarkEnd w:id="1513"/>
    </w:p>
    <w:bookmarkEnd w:id="1514"/>
    <w:bookmarkEnd w:id="1515"/>
    <w:bookmarkEnd w:id="1516"/>
    <w:bookmarkEnd w:id="1517"/>
    <w:bookmarkEnd w:id="1518"/>
    <w:bookmarkEnd w:id="1519"/>
    <w:bookmarkEnd w:id="1520"/>
    <w:p w14:paraId="3A2EB334">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9</w:t>
      </w:r>
      <w:bookmarkStart w:id="1521" w:name="_Toc312677497"/>
      <w:bookmarkStart w:id="1522" w:name="_Toc297123535"/>
      <w:bookmarkStart w:id="1523" w:name="_Toc303539141"/>
      <w:bookmarkStart w:id="1524" w:name="_Toc312678023"/>
      <w:bookmarkStart w:id="1525" w:name="_Toc304295561"/>
      <w:bookmarkStart w:id="1526" w:name="_Toc297216194"/>
      <w:bookmarkStart w:id="1527" w:name="_Toc300934984"/>
      <w:bookmarkStart w:id="1528" w:name="_Toc318581174"/>
      <w:r>
        <w:rPr>
          <w:rFonts w:hint="eastAsia" w:ascii="仿宋" w:hAnsi="仿宋" w:eastAsia="仿宋" w:cs="仿宋"/>
          <w:color w:val="auto"/>
          <w:sz w:val="21"/>
          <w:szCs w:val="21"/>
          <w:highlight w:val="none"/>
        </w:rPr>
        <w:t>.1.2 试验设备</w:t>
      </w:r>
    </w:p>
    <w:p w14:paraId="2C9D96FA">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施工现场需要配置的试验场所：</w:t>
      </w:r>
      <w:bookmarkEnd w:id="1521"/>
      <w:bookmarkEnd w:id="1522"/>
      <w:bookmarkEnd w:id="1523"/>
      <w:bookmarkEnd w:id="1524"/>
      <w:bookmarkEnd w:id="1525"/>
      <w:bookmarkEnd w:id="1526"/>
      <w:bookmarkEnd w:id="1527"/>
      <w:bookmarkStart w:id="1529" w:name="_Toc312678024"/>
      <w:bookmarkStart w:id="1530" w:name="_Toc304295562"/>
      <w:bookmarkStart w:id="1531" w:name="_Toc300934985"/>
      <w:bookmarkStart w:id="1532" w:name="_Toc303539142"/>
      <w:bookmarkStart w:id="1533" w:name="_Toc297216195"/>
      <w:bookmarkStart w:id="1534" w:name="_Toc297123536"/>
      <w:bookmarkStart w:id="1535" w:name="_Toc312677498"/>
      <w:r>
        <w:rPr>
          <w:rFonts w:hint="eastAsia" w:ascii="仿宋" w:hAnsi="仿宋" w:eastAsia="仿宋" w:cs="仿宋"/>
          <w:color w:val="auto"/>
          <w:sz w:val="21"/>
          <w:szCs w:val="21"/>
          <w:highlight w:val="none"/>
          <w:u w:val="single"/>
        </w:rPr>
        <w:t>满足工程施工的需要</w:t>
      </w:r>
      <w:r>
        <w:rPr>
          <w:rFonts w:hint="eastAsia" w:ascii="仿宋" w:hAnsi="仿宋" w:eastAsia="仿宋" w:cs="仿宋"/>
          <w:color w:val="auto"/>
          <w:sz w:val="21"/>
          <w:szCs w:val="21"/>
          <w:highlight w:val="none"/>
        </w:rPr>
        <w:t>。</w:t>
      </w:r>
    </w:p>
    <w:p w14:paraId="34B5BA6E">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施工现场需要配备的试验设备：</w:t>
      </w:r>
      <w:r>
        <w:rPr>
          <w:rFonts w:hint="eastAsia" w:ascii="仿宋" w:hAnsi="仿宋" w:eastAsia="仿宋" w:cs="仿宋"/>
          <w:color w:val="auto"/>
          <w:sz w:val="21"/>
          <w:szCs w:val="21"/>
          <w:highlight w:val="none"/>
          <w:u w:val="single"/>
        </w:rPr>
        <w:t>满足工程施工的需要</w:t>
      </w:r>
      <w:r>
        <w:rPr>
          <w:rFonts w:hint="eastAsia" w:ascii="仿宋" w:hAnsi="仿宋" w:eastAsia="仿宋" w:cs="仿宋"/>
          <w:color w:val="auto"/>
          <w:sz w:val="21"/>
          <w:szCs w:val="21"/>
          <w:highlight w:val="none"/>
        </w:rPr>
        <w:t>。</w:t>
      </w:r>
    </w:p>
    <w:p w14:paraId="3ABDDDFC">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施工现场需要具备的其他试验条件：</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w:t>
      </w:r>
    </w:p>
    <w:p w14:paraId="20F9E617">
      <w:pPr>
        <w:widowControl/>
        <w:spacing w:line="440" w:lineRule="exact"/>
        <w:ind w:firstLine="422" w:firstLineChars="200"/>
        <w:jc w:val="left"/>
        <w:outlineLvl w:val="4"/>
        <w:rPr>
          <w:rFonts w:hint="eastAsia" w:ascii="仿宋" w:hAnsi="仿宋" w:eastAsia="仿宋" w:cs="仿宋"/>
          <w:b/>
          <w:bCs/>
          <w:color w:val="auto"/>
          <w:kern w:val="0"/>
          <w:sz w:val="21"/>
          <w:szCs w:val="21"/>
          <w:highlight w:val="none"/>
        </w:rPr>
      </w:pPr>
      <w:bookmarkStart w:id="1536" w:name="_Toc532375633"/>
      <w:bookmarkStart w:id="1537" w:name="_Toc532377369"/>
      <w:r>
        <w:rPr>
          <w:rFonts w:hint="eastAsia" w:ascii="仿宋" w:hAnsi="仿宋" w:eastAsia="仿宋" w:cs="仿宋"/>
          <w:b/>
          <w:bCs/>
          <w:color w:val="auto"/>
          <w:kern w:val="0"/>
          <w:sz w:val="21"/>
          <w:szCs w:val="21"/>
          <w:highlight w:val="none"/>
        </w:rPr>
        <w:t>9.4 现场工艺试验</w:t>
      </w:r>
      <w:bookmarkEnd w:id="1536"/>
      <w:bookmarkEnd w:id="1537"/>
    </w:p>
    <w:p w14:paraId="2DFCB628">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本款补充9.4.1～9.4.5项：</w:t>
      </w:r>
    </w:p>
    <w:bookmarkEnd w:id="1528"/>
    <w:bookmarkEnd w:id="1529"/>
    <w:bookmarkEnd w:id="1530"/>
    <w:bookmarkEnd w:id="1531"/>
    <w:bookmarkEnd w:id="1532"/>
    <w:bookmarkEnd w:id="1533"/>
    <w:bookmarkEnd w:id="1534"/>
    <w:bookmarkEnd w:id="1535"/>
    <w:p w14:paraId="52E4E00A">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9.4.1一般检验试验：</w:t>
      </w:r>
    </w:p>
    <w:p w14:paraId="3173D2B9">
      <w:pPr>
        <w:tabs>
          <w:tab w:val="left" w:pos="711"/>
          <w:tab w:val="left" w:pos="2580"/>
        </w:tabs>
        <w:spacing w:line="440" w:lineRule="exact"/>
        <w:ind w:firstLine="420" w:firstLineChars="200"/>
        <w:jc w:val="left"/>
        <w:textAlignment w:val="baseline"/>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根据《建设工程质量检测管理办法》（建设部令第141号）、关于实施《建设工程质量检测管理办法》有关问题的通知（建质〔2009〕25号）、《重庆市建设工程质量检测管理规定》（渝建发〔2009〕123号）、《关于加强我市建设工程质量检测委托管理的通知》（渝建〔2015〕420号）和有关施工规范、验收标准及施工图的规定或要求，对工程材料、构件、建筑安装物、半成品、成品进行的一般质量鉴定、检测和试验，由发包人委托的第三方检测试验机构实施，所发生的鉴定、检测和试验费用由发包人承担，不包含在合同价格中。</w:t>
      </w:r>
    </w:p>
    <w:p w14:paraId="4367DD0C">
      <w:pPr>
        <w:tabs>
          <w:tab w:val="left" w:pos="711"/>
          <w:tab w:val="left" w:pos="2580"/>
        </w:tabs>
        <w:spacing w:line="440" w:lineRule="exact"/>
        <w:ind w:firstLine="420" w:firstLineChars="200"/>
        <w:jc w:val="left"/>
        <w:textAlignment w:val="baseline"/>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实施前，由发包人、承包人和第三方检测试验机构签订三方合同，第三方检测试验机构分别向承包人和发包人出具相应的检测试验报告。根据渝建〔2015〕420号文和有关施工规范、验收标准及施工图的规定或要求，所做的上述检测试验所需的试件取样、制作、送检，试件制作需要提供的材料以及检测、试验的配合工作由承包人负责完成并承担由此产生的所有相关费用。</w:t>
      </w:r>
    </w:p>
    <w:p w14:paraId="0297E709">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9.4.2特殊检验试验：</w:t>
      </w:r>
    </w:p>
    <w:p w14:paraId="1886F74C">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（1）除“施工措施的检测、试验”外，包括但不限于路基弯沉值试验、路面承载力试验、桥梁荷载试验、锚固试验、桩基检测、锚杆抗拔检验、锚索预应力检测、外墙面砖抗粘接试验、室内有害物质检测、门窗 （幕墙）三性检测、石材放射性检测、石膏板阻燃检测、挡土墙抗渗试验、保温层隔热检测等（根据项目实际情况增减）设计施工规范及其他法律法规规范规定的特殊检验试验项目，根据渝建〔2015〕420号文的规定，均由发包人委托相应的第三方检测试验机构进行检测，所发生的特殊检验试验费由发包人承担，不包含在合同价格中。</w:t>
      </w:r>
    </w:p>
    <w:p w14:paraId="0CC9ECD7">
      <w:pPr>
        <w:tabs>
          <w:tab w:val="left" w:pos="711"/>
          <w:tab w:val="left" w:pos="2580"/>
        </w:tabs>
        <w:spacing w:line="440" w:lineRule="exact"/>
        <w:ind w:firstLine="420" w:firstLineChars="200"/>
        <w:jc w:val="left"/>
        <w:textAlignment w:val="baseline"/>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发包人委托的第三方检测试验机构检测试验的试件所需的材料、取样、送检及相关配合工作由承包人负责完成并承担由此产生的所有相关费用。</w:t>
      </w:r>
    </w:p>
    <w:p w14:paraId="398FB080">
      <w:pPr>
        <w:tabs>
          <w:tab w:val="left" w:pos="711"/>
          <w:tab w:val="left" w:pos="2580"/>
        </w:tabs>
        <w:spacing w:line="440" w:lineRule="exact"/>
        <w:ind w:firstLine="420" w:firstLineChars="200"/>
        <w:jc w:val="left"/>
        <w:textAlignment w:val="baseline"/>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（2）施工措施的检测、试验：因施工措施需要而做的相关检测、试验由承包人负责实施，其费用由承包人承担。</w:t>
      </w:r>
    </w:p>
    <w:p w14:paraId="5872E169">
      <w:pPr>
        <w:tabs>
          <w:tab w:val="left" w:pos="711"/>
          <w:tab w:val="left" w:pos="2580"/>
        </w:tabs>
        <w:spacing w:line="440" w:lineRule="exact"/>
        <w:ind w:firstLine="420" w:firstLineChars="200"/>
        <w:jc w:val="left"/>
        <w:textAlignment w:val="baseline"/>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9.4.3专项检测：</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w:t>
      </w:r>
    </w:p>
    <w:p w14:paraId="4A3E5ADA">
      <w:pPr>
        <w:tabs>
          <w:tab w:val="left" w:pos="711"/>
          <w:tab w:val="left" w:pos="2580"/>
        </w:tabs>
        <w:spacing w:line="440" w:lineRule="exact"/>
        <w:ind w:firstLine="420" w:firstLineChars="200"/>
        <w:jc w:val="left"/>
        <w:textAlignment w:val="baseline"/>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9.4.4若因承包人取样、制样、送检及相关配合不及时而导致工程的工期和费用增加，影响的工期不予延长，增加费用由承包人承担。</w:t>
      </w:r>
    </w:p>
    <w:p w14:paraId="553031A3">
      <w:pPr>
        <w:tabs>
          <w:tab w:val="left" w:pos="711"/>
          <w:tab w:val="left" w:pos="2580"/>
        </w:tabs>
        <w:spacing w:line="440" w:lineRule="exact"/>
        <w:ind w:firstLine="420" w:firstLineChars="200"/>
        <w:jc w:val="left"/>
        <w:textAlignment w:val="baseline"/>
        <w:rPr>
          <w:rFonts w:hint="eastAsia" w:ascii="仿宋" w:hAnsi="仿宋" w:eastAsia="仿宋" w:cs="仿宋"/>
          <w:color w:val="auto"/>
          <w:sz w:val="21"/>
          <w:szCs w:val="21"/>
          <w:highlight w:val="none"/>
          <w:u w:val="single"/>
        </w:rPr>
      </w:pPr>
      <w:r>
        <w:rPr>
          <w:rFonts w:hint="eastAsia" w:ascii="仿宋" w:hAnsi="仿宋" w:eastAsia="仿宋" w:cs="仿宋"/>
          <w:color w:val="auto"/>
          <w:sz w:val="21"/>
          <w:szCs w:val="21"/>
          <w:highlight w:val="none"/>
        </w:rPr>
        <w:t>9.4.5检测试验不合格的项目，其缺陷处理和复测费用由承包人承担，工期不予延长。</w:t>
      </w:r>
    </w:p>
    <w:bookmarkEnd w:id="1374"/>
    <w:bookmarkEnd w:id="1375"/>
    <w:bookmarkEnd w:id="1376"/>
    <w:bookmarkEnd w:id="1377"/>
    <w:bookmarkEnd w:id="1378"/>
    <w:bookmarkEnd w:id="1379"/>
    <w:bookmarkEnd w:id="1380"/>
    <w:bookmarkEnd w:id="1381"/>
    <w:bookmarkEnd w:id="1382"/>
    <w:bookmarkEnd w:id="1383"/>
    <w:bookmarkEnd w:id="1384"/>
    <w:bookmarkEnd w:id="1385"/>
    <w:bookmarkEnd w:id="1386"/>
    <w:p w14:paraId="34ED2F41">
      <w:pPr>
        <w:keepNext/>
        <w:keepLines/>
        <w:widowControl/>
        <w:spacing w:before="120" w:beforeLines="50" w:after="120" w:afterLines="50" w:line="440" w:lineRule="exact"/>
        <w:outlineLvl w:val="3"/>
        <w:rPr>
          <w:rFonts w:hint="eastAsia" w:ascii="仿宋" w:hAnsi="仿宋" w:eastAsia="仿宋" w:cs="仿宋"/>
          <w:b/>
          <w:color w:val="auto"/>
          <w:sz w:val="21"/>
          <w:szCs w:val="21"/>
          <w:highlight w:val="none"/>
        </w:rPr>
      </w:pPr>
      <w:bookmarkStart w:id="1538" w:name="_Toc532375634"/>
      <w:bookmarkStart w:id="1539" w:name="_Toc532377370"/>
      <w:bookmarkStart w:id="1540" w:name="_Toc267251485"/>
      <w:bookmarkStart w:id="1541" w:name="_Toc267251488"/>
      <w:bookmarkStart w:id="1542" w:name="_Toc267251490"/>
      <w:bookmarkStart w:id="1543" w:name="_Toc267251486"/>
      <w:bookmarkStart w:id="1544" w:name="_Hlk524298112"/>
      <w:bookmarkStart w:id="1545" w:name="_Toc267251484"/>
      <w:bookmarkStart w:id="1546" w:name="_Toc267251482"/>
      <w:bookmarkStart w:id="1547" w:name="_Toc267251489"/>
      <w:bookmarkStart w:id="1548" w:name="_Toc267251491"/>
      <w:bookmarkStart w:id="1549" w:name="_Toc267251498"/>
      <w:bookmarkStart w:id="1550" w:name="_Toc267251501"/>
      <w:bookmarkStart w:id="1551" w:name="_Toc267251496"/>
      <w:bookmarkStart w:id="1552" w:name="_Toc267251502"/>
      <w:bookmarkStart w:id="1553" w:name="_Toc267251494"/>
      <w:bookmarkStart w:id="1554" w:name="_Toc267251515"/>
      <w:bookmarkStart w:id="1555" w:name="_Toc267251492"/>
      <w:bookmarkStart w:id="1556" w:name="_Toc267251507"/>
      <w:bookmarkStart w:id="1557" w:name="_Toc267251511"/>
      <w:bookmarkStart w:id="1558" w:name="_Toc267251510"/>
      <w:bookmarkStart w:id="1559" w:name="_Toc267251504"/>
      <w:bookmarkStart w:id="1560" w:name="_Toc267251499"/>
      <w:bookmarkStart w:id="1561" w:name="_Toc267251509"/>
      <w:bookmarkStart w:id="1562" w:name="_Toc267251508"/>
      <w:bookmarkStart w:id="1563" w:name="_Toc267251513"/>
      <w:bookmarkStart w:id="1564" w:name="_Toc267251497"/>
      <w:bookmarkStart w:id="1565" w:name="_Toc267251503"/>
      <w:bookmarkStart w:id="1566" w:name="_Toc267251506"/>
      <w:bookmarkStart w:id="1567" w:name="_Toc267251493"/>
      <w:bookmarkStart w:id="1568" w:name="_Toc267251514"/>
      <w:bookmarkStart w:id="1569" w:name="_Toc267251495"/>
      <w:r>
        <w:rPr>
          <w:rFonts w:hint="eastAsia" w:ascii="仿宋" w:hAnsi="仿宋" w:eastAsia="仿宋" w:cs="仿宋"/>
          <w:b/>
          <w:bCs/>
          <w:color w:val="auto"/>
          <w:sz w:val="21"/>
          <w:szCs w:val="21"/>
          <w:highlight w:val="none"/>
        </w:rPr>
        <w:t>1</w:t>
      </w:r>
      <w:bookmarkStart w:id="1570" w:name="_Toc296347192"/>
      <w:bookmarkStart w:id="1571" w:name="_Toc296944532"/>
      <w:bookmarkStart w:id="1572" w:name="_Toc292559903"/>
      <w:bookmarkStart w:id="1573" w:name="_Toc296346694"/>
      <w:bookmarkStart w:id="1574" w:name="_Toc296503193"/>
      <w:bookmarkStart w:id="1575" w:name="_Toc296891021"/>
      <w:bookmarkStart w:id="1576" w:name="_Toc304295566"/>
      <w:bookmarkStart w:id="1577" w:name="_Toc292559398"/>
      <w:bookmarkStart w:id="1578" w:name="_Toc303539146"/>
      <w:bookmarkStart w:id="1579" w:name="_Toc297120493"/>
      <w:bookmarkStart w:id="1580" w:name="_Toc296891233"/>
      <w:bookmarkStart w:id="1581" w:name="_Toc300934989"/>
      <w:bookmarkStart w:id="1582" w:name="_Toc297216199"/>
      <w:bookmarkStart w:id="1583" w:name="_Toc297048379"/>
      <w:bookmarkStart w:id="1584" w:name="_Toc297123540"/>
      <w:bookmarkStart w:id="1585" w:name="_Toc312677499"/>
      <w:bookmarkStart w:id="1586" w:name="_Toc312678025"/>
      <w:bookmarkStart w:id="1587" w:name="_Toc267251435"/>
      <w:bookmarkStart w:id="1588" w:name="_Toc267251441"/>
      <w:bookmarkStart w:id="1589" w:name="_Toc267251440"/>
      <w:bookmarkStart w:id="1590" w:name="_Toc267251439"/>
      <w:bookmarkStart w:id="1591" w:name="_Toc267251437"/>
      <w:bookmarkStart w:id="1592" w:name="_Toc267251433"/>
      <w:r>
        <w:rPr>
          <w:rFonts w:hint="eastAsia" w:ascii="仿宋" w:hAnsi="仿宋" w:eastAsia="仿宋" w:cs="仿宋"/>
          <w:b/>
          <w:bCs/>
          <w:color w:val="auto"/>
          <w:sz w:val="21"/>
          <w:szCs w:val="21"/>
          <w:highlight w:val="none"/>
        </w:rPr>
        <w:t>0. 变更</w:t>
      </w:r>
      <w:bookmarkEnd w:id="1538"/>
      <w:bookmarkEnd w:id="153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p>
    <w:bookmarkEnd w:id="1585"/>
    <w:bookmarkEnd w:id="1586"/>
    <w:p w14:paraId="0A3A9FD1">
      <w:pPr>
        <w:widowControl/>
        <w:spacing w:line="440" w:lineRule="exact"/>
        <w:ind w:firstLine="422" w:firstLineChars="200"/>
        <w:jc w:val="left"/>
        <w:outlineLvl w:val="4"/>
        <w:rPr>
          <w:rFonts w:hint="eastAsia" w:ascii="仿宋" w:hAnsi="仿宋" w:eastAsia="仿宋" w:cs="仿宋"/>
          <w:b/>
          <w:bCs/>
          <w:color w:val="auto"/>
          <w:kern w:val="0"/>
          <w:sz w:val="21"/>
          <w:szCs w:val="21"/>
          <w:highlight w:val="none"/>
        </w:rPr>
      </w:pPr>
      <w:bookmarkStart w:id="1593" w:name="_Toc532377371"/>
      <w:bookmarkStart w:id="1594" w:name="_Toc532375635"/>
      <w:r>
        <w:rPr>
          <w:rFonts w:hint="eastAsia" w:ascii="仿宋" w:hAnsi="仿宋" w:eastAsia="仿宋" w:cs="仿宋"/>
          <w:b/>
          <w:bCs/>
          <w:color w:val="auto"/>
          <w:kern w:val="0"/>
          <w:sz w:val="21"/>
          <w:szCs w:val="21"/>
          <w:highlight w:val="none"/>
        </w:rPr>
        <w:t>1</w:t>
      </w:r>
      <w:bookmarkStart w:id="1595" w:name="_Toc297123541"/>
      <w:bookmarkStart w:id="1596" w:name="_Toc297216200"/>
      <w:bookmarkStart w:id="1597" w:name="_Toc312677500"/>
      <w:bookmarkStart w:id="1598" w:name="_Toc296346695"/>
      <w:bookmarkStart w:id="1599" w:name="_Toc292559904"/>
      <w:bookmarkStart w:id="1600" w:name="_Toc303539147"/>
      <w:bookmarkStart w:id="1601" w:name="_Toc296891234"/>
      <w:bookmarkStart w:id="1602" w:name="_Toc304295567"/>
      <w:bookmarkStart w:id="1603" w:name="_Toc296891022"/>
      <w:bookmarkStart w:id="1604" w:name="_Toc312678026"/>
      <w:bookmarkStart w:id="1605" w:name="_Toc297120494"/>
      <w:bookmarkStart w:id="1606" w:name="_Toc292559399"/>
      <w:bookmarkStart w:id="1607" w:name="_Toc296347193"/>
      <w:bookmarkStart w:id="1608" w:name="_Toc297048380"/>
      <w:bookmarkStart w:id="1609" w:name="_Toc296503194"/>
      <w:bookmarkStart w:id="1610" w:name="_Toc296944533"/>
      <w:bookmarkStart w:id="1611" w:name="_Toc300934990"/>
      <w:r>
        <w:rPr>
          <w:rFonts w:hint="eastAsia" w:ascii="仿宋" w:hAnsi="仿宋" w:eastAsia="仿宋" w:cs="仿宋"/>
          <w:b/>
          <w:bCs/>
          <w:color w:val="auto"/>
          <w:kern w:val="0"/>
          <w:sz w:val="21"/>
          <w:szCs w:val="21"/>
          <w:highlight w:val="none"/>
        </w:rPr>
        <w:t>0.1变更的范围</w:t>
      </w:r>
      <w:bookmarkEnd w:id="1593"/>
      <w:bookmarkEnd w:id="1594"/>
    </w:p>
    <w:p w14:paraId="0611C82E">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关于变更范围的约定：</w:t>
      </w:r>
    </w:p>
    <w:p w14:paraId="7339497A">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（1）增加或减少合同中任何工作，或追加额外的工作；</w:t>
      </w:r>
    </w:p>
    <w:p w14:paraId="77C4B312">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（2）取消合同中任何工作；</w:t>
      </w:r>
    </w:p>
    <w:p w14:paraId="5016AD27">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（3）改变合同中任何工作的质量标准或其他特性；</w:t>
      </w:r>
    </w:p>
    <w:p w14:paraId="10FD9580">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（4）改变工程的基线、标高、位置和尺寸；</w:t>
      </w:r>
    </w:p>
    <w:p w14:paraId="6B5D0B4A">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（5）适用于工程的标准和（或）规范变化导致需要对工程进行改变，且该改变导致工期和（或）费用变化的；</w:t>
      </w:r>
    </w:p>
    <w:p w14:paraId="6B871422">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（6）勘察设计变更；</w:t>
      </w:r>
    </w:p>
    <w:p w14:paraId="381C5F1A">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（7）实施内容变更，包括因设计变更和非设计变更引起的实施地点、投资规模、结构型式、采购数量、服务内容等进行的调整，以及因此导致的合同价格、工期变更；</w:t>
      </w:r>
    </w:p>
    <w:p w14:paraId="337940F0">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（8）项目管理人员变更；</w:t>
      </w:r>
    </w:p>
    <w:p w14:paraId="4DBCFE85">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（9）因人工、原材料等价格变化导致的合同总价变更；</w:t>
      </w:r>
    </w:p>
    <w:p w14:paraId="667D0B28">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（10）非实施内容变化导致的工期变更；</w:t>
      </w:r>
    </w:p>
    <w:p w14:paraId="6621EB60">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（11）</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w:t>
      </w:r>
    </w:p>
    <w:p w14:paraId="3E4FA6A7">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合同变更应当符合国家法律法规、强制标准和技术规范的要求，且合同变更后更加有利于工程的建设、运营、安全、节约资金、保护生态环境或者实现功能要求。发包人对项目合同变更承担主体责任。项目合同变更后，发包人应当与承包人签订补充协议。项目合同变更应当按照《重庆市政府投资项目合同变更管理暂行办法》要求进行信息公开。项目合同变更未获得通过的，发包人和承包人均不得擅自变更原合同约定事项，且不得就同一理由同一事项再提出变更。</w:t>
      </w:r>
    </w:p>
    <w:p w14:paraId="10B93A46">
      <w:pPr>
        <w:spacing w:line="440" w:lineRule="exact"/>
        <w:ind w:firstLine="420" w:firstLineChars="200"/>
        <w:jc w:val="left"/>
        <w:rPr>
          <w:rFonts w:hint="eastAsia" w:ascii="仿宋" w:hAnsi="仿宋" w:eastAsia="仿宋" w:cs="仿宋"/>
          <w:color w:val="auto"/>
          <w:sz w:val="21"/>
          <w:szCs w:val="21"/>
          <w:highlight w:val="none"/>
          <w:u w:val="single"/>
        </w:rPr>
      </w:pPr>
      <w:r>
        <w:rPr>
          <w:rFonts w:hint="eastAsia" w:ascii="仿宋" w:hAnsi="仿宋" w:eastAsia="仿宋" w:cs="仿宋"/>
          <w:color w:val="auto"/>
          <w:sz w:val="21"/>
          <w:szCs w:val="21"/>
          <w:highlight w:val="none"/>
        </w:rPr>
        <w:t>承包人对其提供的材料、工程设备、施工、无负荷试车、热负荷试车及图纸参数存在的缺陷，自费修正、调整和完善，不属于变更。</w:t>
      </w:r>
    </w:p>
    <w:p w14:paraId="2CFD4E99">
      <w:pPr>
        <w:widowControl/>
        <w:spacing w:line="440" w:lineRule="exact"/>
        <w:ind w:firstLine="422" w:firstLineChars="200"/>
        <w:jc w:val="left"/>
        <w:outlineLvl w:val="4"/>
        <w:rPr>
          <w:rFonts w:hint="eastAsia" w:ascii="仿宋" w:hAnsi="仿宋" w:eastAsia="仿宋" w:cs="仿宋"/>
          <w:b/>
          <w:bCs/>
          <w:color w:val="auto"/>
          <w:kern w:val="0"/>
          <w:sz w:val="21"/>
          <w:szCs w:val="21"/>
          <w:highlight w:val="none"/>
        </w:rPr>
      </w:pPr>
      <w:bookmarkStart w:id="1612" w:name="_Toc532377372"/>
      <w:bookmarkStart w:id="1613" w:name="_Toc532375636"/>
      <w:bookmarkStart w:id="1614" w:name="_Toc351203569"/>
      <w:r>
        <w:rPr>
          <w:rFonts w:hint="eastAsia" w:ascii="仿宋" w:hAnsi="仿宋" w:eastAsia="仿宋" w:cs="仿宋"/>
          <w:b/>
          <w:bCs/>
          <w:color w:val="auto"/>
          <w:kern w:val="0"/>
          <w:sz w:val="21"/>
          <w:szCs w:val="21"/>
          <w:highlight w:val="none"/>
        </w:rPr>
        <w:t>1</w:t>
      </w:r>
      <w:bookmarkStart w:id="1615" w:name="_Toc296503085"/>
      <w:bookmarkStart w:id="1616" w:name="_Toc337558789"/>
      <w:bookmarkStart w:id="1617" w:name="_Toc296346586"/>
      <w:r>
        <w:rPr>
          <w:rFonts w:hint="eastAsia" w:ascii="仿宋" w:hAnsi="仿宋" w:eastAsia="仿宋" w:cs="仿宋"/>
          <w:b/>
          <w:bCs/>
          <w:color w:val="auto"/>
          <w:kern w:val="0"/>
          <w:sz w:val="21"/>
          <w:szCs w:val="21"/>
          <w:highlight w:val="none"/>
        </w:rPr>
        <w:t>0.2变更权</w:t>
      </w:r>
      <w:bookmarkEnd w:id="1612"/>
      <w:bookmarkEnd w:id="1613"/>
      <w:bookmarkEnd w:id="1614"/>
    </w:p>
    <w:bookmarkEnd w:id="1615"/>
    <w:bookmarkEnd w:id="1616"/>
    <w:bookmarkEnd w:id="1617"/>
    <w:p w14:paraId="0CBCFBC8">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10.2.1发包人和监理人提出变更</w:t>
      </w:r>
    </w:p>
    <w:p w14:paraId="4913E3F9">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发包人和监理人均可以提出变更。变更指示均通过监理人以书面形式发出，监理人发出变更指示前应征得发包人同意。承包人收到经发包人签认的变更指示后，方可实施变更。未取得经发包人签认的变更指示，承包人不得实施任何变更。</w:t>
      </w:r>
    </w:p>
    <w:p w14:paraId="1B1DA9C4">
      <w:pPr>
        <w:spacing w:line="440" w:lineRule="exact"/>
        <w:ind w:firstLine="420" w:firstLineChars="200"/>
        <w:jc w:val="left"/>
        <w:rPr>
          <w:rFonts w:hint="eastAsia" w:ascii="仿宋" w:hAnsi="仿宋" w:eastAsia="仿宋" w:cs="仿宋"/>
          <w:color w:val="auto"/>
          <w:sz w:val="21"/>
          <w:szCs w:val="21"/>
          <w:highlight w:val="none"/>
          <w:u w:val="single"/>
        </w:rPr>
      </w:pPr>
      <w:r>
        <w:rPr>
          <w:rFonts w:hint="eastAsia" w:ascii="仿宋" w:hAnsi="仿宋" w:eastAsia="仿宋" w:cs="仿宋"/>
          <w:color w:val="auto"/>
          <w:sz w:val="21"/>
          <w:szCs w:val="21"/>
          <w:highlight w:val="none"/>
        </w:rPr>
        <w:t>涉及设计变更的，应由设计人提供变更后的图纸和说明，交由发包人同意后由监理人以书面形式发出。如变更超过原设计标准或批准的建设规模时，由发包人及时办理规划、设计变更等审批手续。</w:t>
      </w:r>
    </w:p>
    <w:p w14:paraId="5C0683AA">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若出现重大设计变更，变更后的内容超出承包人资质或能力范围的，发包人将另行依法招标选择承包单位，无需征得承包人同意。</w:t>
      </w:r>
    </w:p>
    <w:p w14:paraId="00F60B32">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10.2.2 承包人提出变更建议</w:t>
      </w:r>
    </w:p>
    <w:p w14:paraId="7A1828FE">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承包人可以向发包人提交书面变更建议，应当以承包人单位名义书面向发包人提出申请，详细说明变更的内容、理由，以及该变更对项目的工期、投资、质量、安全、运营管理、生态环境等的影响，客观反映项目合同变更的必要性和可行性，包括：</w:t>
      </w:r>
      <w:r>
        <w:rPr>
          <w:rFonts w:hint="eastAsia" w:ascii="仿宋" w:hAnsi="仿宋" w:eastAsia="仿宋" w:cs="仿宋"/>
          <w:color w:val="auto"/>
          <w:sz w:val="21"/>
          <w:szCs w:val="21"/>
          <w:highlight w:val="none"/>
          <w:u w:val="single"/>
        </w:rPr>
        <w:t>缩短工期，降低发包人的工程、施工、维护、营运的费用，提高竣工工程的效率或价值，给发包人带来的长远利益和其他利益。发包人接到此类建议后，可以选择：不采纳/采纳/补充进一步资料的书面通知</w:t>
      </w:r>
      <w:r>
        <w:rPr>
          <w:rFonts w:hint="eastAsia" w:ascii="仿宋" w:hAnsi="仿宋" w:eastAsia="仿宋" w:cs="仿宋"/>
          <w:color w:val="auto"/>
          <w:sz w:val="21"/>
          <w:szCs w:val="21"/>
          <w:highlight w:val="none"/>
        </w:rPr>
        <w:t>。</w:t>
      </w:r>
    </w:p>
    <w:p w14:paraId="0BE9A272">
      <w:pPr>
        <w:autoSpaceDE w:val="0"/>
        <w:autoSpaceDN w:val="0"/>
        <w:spacing w:line="440" w:lineRule="exact"/>
        <w:ind w:firstLine="420" w:firstLineChars="200"/>
        <w:jc w:val="left"/>
        <w:rPr>
          <w:rFonts w:hint="eastAsia" w:ascii="仿宋" w:hAnsi="仿宋" w:eastAsia="仿宋" w:cs="仿宋"/>
          <w:color w:val="auto"/>
          <w:sz w:val="21"/>
          <w:szCs w:val="21"/>
          <w:highlight w:val="none"/>
          <w:u w:val="single"/>
        </w:rPr>
      </w:pPr>
      <w:r>
        <w:rPr>
          <w:rFonts w:hint="eastAsia" w:ascii="仿宋" w:hAnsi="仿宋" w:eastAsia="仿宋" w:cs="仿宋"/>
          <w:color w:val="auto"/>
          <w:sz w:val="21"/>
          <w:szCs w:val="21"/>
          <w:highlight w:val="none"/>
        </w:rPr>
        <w:t>如果发包人对承包人已实施的施工项目在发出重大设计变更之前要求承包人提出一份建议，那么，承包人应尽快提出：</w:t>
      </w:r>
    </w:p>
    <w:p w14:paraId="1D09AC55">
      <w:pPr>
        <w:autoSpaceDE w:val="0"/>
        <w:autoSpaceDN w:val="0"/>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u w:val="single"/>
        </w:rPr>
        <w:t>（1）对所提方案和（或）待做工作及其实施计划的说明</w:t>
      </w:r>
      <w:r>
        <w:rPr>
          <w:rFonts w:hint="eastAsia" w:ascii="仿宋" w:hAnsi="仿宋" w:eastAsia="仿宋" w:cs="仿宋"/>
          <w:color w:val="auto"/>
          <w:sz w:val="21"/>
          <w:szCs w:val="21"/>
          <w:highlight w:val="none"/>
        </w:rPr>
        <w:t>；</w:t>
      </w:r>
    </w:p>
    <w:p w14:paraId="17250635">
      <w:pPr>
        <w:autoSpaceDE w:val="0"/>
        <w:autoSpaceDN w:val="0"/>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u w:val="single"/>
        </w:rPr>
        <w:t>（2）承包人按照对工程进度计划进行必要修改的建议</w:t>
      </w:r>
      <w:r>
        <w:rPr>
          <w:rFonts w:hint="eastAsia" w:ascii="仿宋" w:hAnsi="仿宋" w:eastAsia="仿宋" w:cs="仿宋"/>
          <w:color w:val="auto"/>
          <w:sz w:val="21"/>
          <w:szCs w:val="21"/>
          <w:highlight w:val="none"/>
        </w:rPr>
        <w:t>；</w:t>
      </w:r>
    </w:p>
    <w:p w14:paraId="026BE41E">
      <w:pPr>
        <w:autoSpaceDE w:val="0"/>
        <w:autoSpaceDN w:val="0"/>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u w:val="single"/>
        </w:rPr>
        <w:t>（3）承包人发生较大返工损失增加费用的建议</w:t>
      </w:r>
      <w:r>
        <w:rPr>
          <w:rFonts w:hint="eastAsia" w:ascii="仿宋" w:hAnsi="仿宋" w:eastAsia="仿宋" w:cs="仿宋"/>
          <w:color w:val="auto"/>
          <w:sz w:val="21"/>
          <w:szCs w:val="21"/>
          <w:highlight w:val="none"/>
        </w:rPr>
        <w:t>。</w:t>
      </w:r>
    </w:p>
    <w:p w14:paraId="001B039B">
      <w:pPr>
        <w:autoSpaceDE w:val="0"/>
        <w:autoSpaceDN w:val="0"/>
        <w:spacing w:line="440" w:lineRule="exact"/>
        <w:ind w:firstLine="420" w:firstLineChars="200"/>
        <w:jc w:val="left"/>
        <w:rPr>
          <w:rFonts w:hint="eastAsia" w:ascii="仿宋" w:hAnsi="仿宋" w:eastAsia="仿宋" w:cs="仿宋"/>
          <w:color w:val="auto"/>
          <w:sz w:val="21"/>
          <w:szCs w:val="21"/>
          <w:highlight w:val="none"/>
          <w:u w:val="single"/>
        </w:rPr>
      </w:pPr>
      <w:r>
        <w:rPr>
          <w:rFonts w:hint="eastAsia" w:ascii="仿宋" w:hAnsi="仿宋" w:eastAsia="仿宋" w:cs="仿宋"/>
          <w:color w:val="auto"/>
          <w:sz w:val="21"/>
          <w:szCs w:val="21"/>
          <w:highlight w:val="none"/>
          <w:u w:val="single"/>
        </w:rPr>
        <w:t>发包人在收到上述建议书后，应尽快给予批准、否决或提出意见</w:t>
      </w:r>
      <w:r>
        <w:rPr>
          <w:rFonts w:hint="eastAsia" w:ascii="仿宋" w:hAnsi="仿宋" w:eastAsia="仿宋" w:cs="仿宋"/>
          <w:color w:val="auto"/>
          <w:sz w:val="21"/>
          <w:szCs w:val="21"/>
          <w:highlight w:val="none"/>
        </w:rPr>
        <w:t>。</w:t>
      </w:r>
    </w:p>
    <w:p w14:paraId="27660756">
      <w:pPr>
        <w:widowControl/>
        <w:spacing w:line="440" w:lineRule="exact"/>
        <w:ind w:firstLine="422" w:firstLineChars="200"/>
        <w:jc w:val="left"/>
        <w:outlineLvl w:val="4"/>
        <w:rPr>
          <w:rFonts w:hint="eastAsia" w:ascii="仿宋" w:hAnsi="仿宋" w:eastAsia="仿宋" w:cs="仿宋"/>
          <w:b/>
          <w:bCs/>
          <w:color w:val="auto"/>
          <w:kern w:val="0"/>
          <w:sz w:val="21"/>
          <w:szCs w:val="21"/>
          <w:highlight w:val="none"/>
        </w:rPr>
      </w:pPr>
      <w:bookmarkStart w:id="1618" w:name="_Toc532375637"/>
      <w:bookmarkStart w:id="1619" w:name="_Toc532377373"/>
      <w:bookmarkStart w:id="1620" w:name="_Toc351203570"/>
      <w:bookmarkStart w:id="1621" w:name="_Hlk528928195"/>
      <w:r>
        <w:rPr>
          <w:rFonts w:hint="eastAsia" w:ascii="仿宋" w:hAnsi="仿宋" w:eastAsia="仿宋" w:cs="仿宋"/>
          <w:b/>
          <w:bCs/>
          <w:color w:val="auto"/>
          <w:kern w:val="0"/>
          <w:sz w:val="21"/>
          <w:szCs w:val="21"/>
          <w:highlight w:val="none"/>
        </w:rPr>
        <w:t>1</w:t>
      </w:r>
      <w:bookmarkStart w:id="1622" w:name="_Toc337558790"/>
      <w:bookmarkStart w:id="1623" w:name="_Toc296346587"/>
      <w:bookmarkStart w:id="1624" w:name="_Toc296503086"/>
      <w:r>
        <w:rPr>
          <w:rFonts w:hint="eastAsia" w:ascii="仿宋" w:hAnsi="仿宋" w:eastAsia="仿宋" w:cs="仿宋"/>
          <w:b/>
          <w:bCs/>
          <w:color w:val="auto"/>
          <w:kern w:val="0"/>
          <w:sz w:val="21"/>
          <w:szCs w:val="21"/>
          <w:highlight w:val="none"/>
        </w:rPr>
        <w:t>0.3变更程序</w:t>
      </w:r>
      <w:bookmarkEnd w:id="1618"/>
      <w:bookmarkEnd w:id="1619"/>
    </w:p>
    <w:bookmarkEnd w:id="1622"/>
    <w:bookmarkEnd w:id="1623"/>
    <w:bookmarkEnd w:id="1624"/>
    <w:p w14:paraId="1034374C">
      <w:pPr>
        <w:autoSpaceDE w:val="0"/>
        <w:autoSpaceDN w:val="0"/>
        <w:spacing w:line="440" w:lineRule="exact"/>
        <w:ind w:firstLine="420" w:firstLineChars="200"/>
        <w:jc w:val="left"/>
        <w:rPr>
          <w:rFonts w:hint="eastAsia" w:ascii="仿宋" w:hAnsi="仿宋" w:eastAsia="仿宋" w:cs="仿宋"/>
          <w:color w:val="auto"/>
          <w:sz w:val="21"/>
          <w:szCs w:val="21"/>
          <w:highlight w:val="none"/>
        </w:rPr>
      </w:pPr>
      <w:bookmarkStart w:id="1625" w:name="_Hlk524353972"/>
      <w:r>
        <w:rPr>
          <w:rFonts w:hint="eastAsia" w:ascii="仿宋" w:hAnsi="仿宋" w:eastAsia="仿宋" w:cs="仿宋"/>
          <w:color w:val="auto"/>
          <w:sz w:val="21"/>
          <w:szCs w:val="21"/>
          <w:highlight w:val="none"/>
        </w:rPr>
        <w:t>10.3.3 变更执行</w:t>
      </w:r>
    </w:p>
    <w:p w14:paraId="3E3A05A6">
      <w:pPr>
        <w:autoSpaceDE w:val="0"/>
        <w:autoSpaceDN w:val="0"/>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一般设计变更：承包人收到监理人下达的变更指示后，应按照监理人下达的变更指示执行，并书面说明实施该变更指示对合同价格和工期的影响，按照第10.4.1项〔变更估价原则〕约定执行。</w:t>
      </w:r>
    </w:p>
    <w:p w14:paraId="52F77D22">
      <w:pPr>
        <w:autoSpaceDE w:val="0"/>
        <w:autoSpaceDN w:val="0"/>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重大设计变更：需经设计人、监理人和发包人三方签名认可并报相关行业部门审查同意后实施。</w:t>
      </w:r>
    </w:p>
    <w:p w14:paraId="7B88544B">
      <w:pPr>
        <w:autoSpaceDE w:val="0"/>
        <w:autoSpaceDN w:val="0"/>
        <w:spacing w:line="440" w:lineRule="exact"/>
        <w:ind w:firstLine="420" w:firstLineChars="200"/>
        <w:jc w:val="left"/>
        <w:rPr>
          <w:rFonts w:hint="eastAsia" w:ascii="仿宋" w:hAnsi="仿宋" w:eastAsia="仿宋" w:cs="仿宋"/>
          <w:color w:val="auto"/>
          <w:sz w:val="21"/>
          <w:szCs w:val="21"/>
          <w:highlight w:val="none"/>
          <w:u w:val="single"/>
        </w:rPr>
      </w:pPr>
      <w:r>
        <w:rPr>
          <w:rFonts w:hint="eastAsia" w:ascii="仿宋" w:hAnsi="仿宋" w:eastAsia="仿宋" w:cs="仿宋"/>
          <w:color w:val="auto"/>
          <w:sz w:val="21"/>
          <w:szCs w:val="21"/>
          <w:highlight w:val="none"/>
          <w:u w:val="single"/>
        </w:rPr>
        <w:t>10.3.3 项增加以下内容：</w:t>
      </w:r>
    </w:p>
    <w:p w14:paraId="3816C45F">
      <w:pPr>
        <w:autoSpaceDE w:val="0"/>
        <w:autoSpaceDN w:val="0"/>
        <w:spacing w:line="440" w:lineRule="exact"/>
        <w:ind w:firstLine="420" w:firstLineChars="200"/>
        <w:jc w:val="left"/>
        <w:rPr>
          <w:rFonts w:hint="eastAsia" w:ascii="仿宋" w:hAnsi="仿宋" w:eastAsia="仿宋" w:cs="仿宋"/>
          <w:color w:val="auto"/>
          <w:sz w:val="21"/>
          <w:szCs w:val="21"/>
          <w:highlight w:val="none"/>
          <w:u w:val="single"/>
        </w:rPr>
      </w:pPr>
      <w:r>
        <w:rPr>
          <w:rFonts w:hint="eastAsia" w:ascii="仿宋" w:hAnsi="仿宋" w:eastAsia="仿宋" w:cs="仿宋"/>
          <w:color w:val="auto"/>
          <w:sz w:val="21"/>
          <w:szCs w:val="21"/>
          <w:highlight w:val="none"/>
          <w:u w:val="single"/>
        </w:rPr>
        <w:t>合同变更提出后，应当首先由发包人组织相关单位、专家进行论证。经论证确需变更的，发包人按照《重庆市政府投资项目合同变更管理暂行办法》规定的程序自行决策或者报批；经论证不需要变更的，继续按合同执行。</w:t>
      </w:r>
    </w:p>
    <w:p w14:paraId="5C78458E">
      <w:pPr>
        <w:autoSpaceDE w:val="0"/>
        <w:autoSpaceDN w:val="0"/>
        <w:spacing w:line="440" w:lineRule="exact"/>
        <w:ind w:firstLine="420" w:firstLineChars="200"/>
        <w:jc w:val="left"/>
        <w:rPr>
          <w:rFonts w:hint="eastAsia" w:ascii="仿宋" w:hAnsi="仿宋" w:eastAsia="仿宋" w:cs="仿宋"/>
          <w:color w:val="auto"/>
          <w:sz w:val="21"/>
          <w:szCs w:val="21"/>
          <w:highlight w:val="none"/>
          <w:u w:val="single"/>
        </w:rPr>
      </w:pPr>
      <w:r>
        <w:rPr>
          <w:rFonts w:hint="eastAsia" w:ascii="仿宋" w:hAnsi="仿宋" w:eastAsia="仿宋" w:cs="仿宋"/>
          <w:color w:val="auto"/>
          <w:sz w:val="21"/>
          <w:szCs w:val="21"/>
          <w:highlight w:val="none"/>
          <w:u w:val="single"/>
        </w:rPr>
        <w:t>项目的勘察设计、实施内容等作较大变更的，应当按照规定的程序报原审批部门审批；变更导致总投资超概的，应当报原投资概算核定部门核定。</w:t>
      </w:r>
    </w:p>
    <w:p w14:paraId="0D1138A6">
      <w:pPr>
        <w:autoSpaceDE w:val="0"/>
        <w:autoSpaceDN w:val="0"/>
        <w:spacing w:line="440" w:lineRule="exact"/>
        <w:ind w:firstLine="420" w:firstLineChars="200"/>
        <w:jc w:val="left"/>
        <w:rPr>
          <w:rFonts w:hint="eastAsia" w:ascii="仿宋" w:hAnsi="仿宋" w:eastAsia="仿宋" w:cs="仿宋"/>
          <w:color w:val="auto"/>
          <w:sz w:val="21"/>
          <w:szCs w:val="21"/>
          <w:highlight w:val="none"/>
          <w:u w:val="single"/>
        </w:rPr>
      </w:pPr>
      <w:r>
        <w:rPr>
          <w:rFonts w:hint="eastAsia" w:ascii="仿宋" w:hAnsi="仿宋" w:eastAsia="仿宋" w:cs="仿宋"/>
          <w:color w:val="auto"/>
          <w:sz w:val="21"/>
          <w:szCs w:val="21"/>
          <w:highlight w:val="none"/>
          <w:u w:val="single"/>
        </w:rPr>
        <w:t>项目管理人员变更的，应当经发包人领导班子集体决策同意，并将变更信息推送给行业主管部门。变更后的项目管理人员应当符合招标文件和行业主管部门的相关规定。</w:t>
      </w:r>
    </w:p>
    <w:p w14:paraId="68B6E689">
      <w:pPr>
        <w:autoSpaceDE w:val="0"/>
        <w:autoSpaceDN w:val="0"/>
        <w:spacing w:line="440" w:lineRule="exact"/>
        <w:ind w:firstLine="420" w:firstLineChars="200"/>
        <w:jc w:val="left"/>
        <w:rPr>
          <w:rFonts w:hint="eastAsia" w:ascii="仿宋" w:hAnsi="仿宋" w:eastAsia="仿宋" w:cs="仿宋"/>
          <w:color w:val="auto"/>
          <w:sz w:val="21"/>
          <w:szCs w:val="21"/>
          <w:highlight w:val="none"/>
          <w:u w:val="single"/>
        </w:rPr>
      </w:pPr>
      <w:r>
        <w:rPr>
          <w:rFonts w:hint="eastAsia" w:ascii="仿宋" w:hAnsi="仿宋" w:eastAsia="仿宋" w:cs="仿宋"/>
          <w:color w:val="auto"/>
          <w:sz w:val="21"/>
          <w:szCs w:val="21"/>
          <w:highlight w:val="none"/>
          <w:u w:val="single"/>
        </w:rPr>
        <w:t>因人工、原材料市场价格发生大幅度变化导致的合同总价变更，由发包人与承包人按照合同进行变更，并将变更信息推送给行业主管部门。</w:t>
      </w:r>
    </w:p>
    <w:p w14:paraId="4BB6F261">
      <w:pPr>
        <w:autoSpaceDE w:val="0"/>
        <w:autoSpaceDN w:val="0"/>
        <w:spacing w:line="440" w:lineRule="exact"/>
        <w:ind w:firstLine="420" w:firstLineChars="200"/>
        <w:jc w:val="left"/>
        <w:rPr>
          <w:rFonts w:hint="eastAsia" w:ascii="仿宋" w:hAnsi="仿宋" w:eastAsia="仿宋" w:cs="仿宋"/>
          <w:color w:val="auto"/>
          <w:sz w:val="21"/>
          <w:szCs w:val="21"/>
          <w:highlight w:val="none"/>
          <w:u w:val="single"/>
        </w:rPr>
      </w:pPr>
      <w:r>
        <w:rPr>
          <w:rFonts w:hint="eastAsia" w:ascii="仿宋" w:hAnsi="仿宋" w:eastAsia="仿宋" w:cs="仿宋"/>
          <w:color w:val="auto"/>
          <w:sz w:val="21"/>
          <w:szCs w:val="21"/>
          <w:highlight w:val="none"/>
          <w:u w:val="single"/>
        </w:rPr>
        <w:t>项目实施内容无变更，因不可抗力导致的工期变更，由发包人领导班子集体决策同意，并将变更信息推送给行业主管部门；因项目实施内容变更导致的工期变更，与项目实施内容变更一并办理。</w:t>
      </w:r>
    </w:p>
    <w:p w14:paraId="447D608F">
      <w:pPr>
        <w:autoSpaceDE w:val="0"/>
        <w:autoSpaceDN w:val="0"/>
        <w:spacing w:line="440" w:lineRule="exact"/>
        <w:ind w:firstLine="420" w:firstLineChars="200"/>
        <w:jc w:val="left"/>
        <w:rPr>
          <w:rFonts w:hint="eastAsia" w:ascii="仿宋" w:hAnsi="仿宋" w:eastAsia="仿宋" w:cs="仿宋"/>
          <w:color w:val="auto"/>
          <w:sz w:val="21"/>
          <w:szCs w:val="21"/>
          <w:highlight w:val="none"/>
          <w:u w:val="single"/>
        </w:rPr>
      </w:pPr>
      <w:r>
        <w:rPr>
          <w:rFonts w:hint="eastAsia" w:ascii="仿宋" w:hAnsi="仿宋" w:eastAsia="仿宋" w:cs="仿宋"/>
          <w:color w:val="auto"/>
          <w:sz w:val="21"/>
          <w:szCs w:val="21"/>
          <w:highlight w:val="none"/>
          <w:u w:val="single"/>
        </w:rPr>
        <w:t>项目合同变更后，增加的实施内容达到依法必须招标的规模标准的，增加的部分应当依法通过招标选择承包单位。</w:t>
      </w:r>
    </w:p>
    <w:bookmarkEnd w:id="1620"/>
    <w:bookmarkEnd w:id="1621"/>
    <w:bookmarkEnd w:id="1625"/>
    <w:p w14:paraId="18EE2851">
      <w:pPr>
        <w:widowControl/>
        <w:spacing w:line="440" w:lineRule="exact"/>
        <w:ind w:firstLine="422" w:firstLineChars="200"/>
        <w:jc w:val="left"/>
        <w:outlineLvl w:val="4"/>
        <w:rPr>
          <w:rFonts w:hint="eastAsia" w:ascii="仿宋" w:hAnsi="仿宋" w:eastAsia="仿宋" w:cs="仿宋"/>
          <w:b/>
          <w:bCs/>
          <w:color w:val="auto"/>
          <w:kern w:val="0"/>
          <w:sz w:val="21"/>
          <w:szCs w:val="21"/>
          <w:highlight w:val="none"/>
        </w:rPr>
      </w:pPr>
      <w:bookmarkStart w:id="1626" w:name="_Toc532377374"/>
      <w:bookmarkStart w:id="1627" w:name="_Toc532375638"/>
      <w:r>
        <w:rPr>
          <w:rFonts w:hint="eastAsia" w:ascii="仿宋" w:hAnsi="仿宋" w:eastAsia="仿宋" w:cs="仿宋"/>
          <w:b/>
          <w:bCs/>
          <w:color w:val="auto"/>
          <w:kern w:val="0"/>
          <w:sz w:val="21"/>
          <w:szCs w:val="21"/>
          <w:highlight w:val="none"/>
        </w:rPr>
        <w:t>10.4 变更估价</w:t>
      </w:r>
      <w:bookmarkEnd w:id="1626"/>
      <w:bookmarkEnd w:id="1627"/>
    </w:p>
    <w:p w14:paraId="038D6127">
      <w:pPr>
        <w:spacing w:line="440" w:lineRule="exact"/>
        <w:ind w:firstLine="420" w:firstLineChars="200"/>
        <w:jc w:val="left"/>
        <w:rPr>
          <w:rFonts w:hint="eastAsia" w:ascii="仿宋" w:hAnsi="仿宋" w:eastAsia="仿宋" w:cs="仿宋"/>
          <w:color w:val="auto"/>
          <w:sz w:val="21"/>
          <w:szCs w:val="21"/>
          <w:highlight w:val="none"/>
        </w:rPr>
      </w:pPr>
      <w:bookmarkStart w:id="1628" w:name="_Hlk524296629"/>
      <w:r>
        <w:rPr>
          <w:rFonts w:hint="eastAsia" w:ascii="仿宋" w:hAnsi="仿宋" w:eastAsia="仿宋" w:cs="仿宋"/>
          <w:color w:val="auto"/>
          <w:sz w:val="21"/>
          <w:szCs w:val="21"/>
          <w:highlight w:val="none"/>
        </w:rPr>
        <w:t>10.4.1 变更估价原则</w:t>
      </w:r>
    </w:p>
    <w:p w14:paraId="61D4D1B5">
      <w:pPr>
        <w:spacing w:line="440" w:lineRule="exact"/>
        <w:ind w:firstLine="420" w:firstLineChars="200"/>
        <w:jc w:val="left"/>
        <w:rPr>
          <w:rFonts w:hint="eastAsia" w:ascii="仿宋" w:hAnsi="仿宋" w:eastAsia="仿宋" w:cs="仿宋"/>
          <w:color w:val="auto"/>
          <w:sz w:val="21"/>
          <w:szCs w:val="21"/>
          <w:highlight w:val="none"/>
          <w:u w:val="single"/>
        </w:rPr>
      </w:pPr>
      <w:r>
        <w:rPr>
          <w:rFonts w:hint="eastAsia" w:ascii="仿宋" w:hAnsi="仿宋" w:eastAsia="仿宋" w:cs="仿宋"/>
          <w:color w:val="auto"/>
          <w:sz w:val="21"/>
          <w:szCs w:val="21"/>
          <w:highlight w:val="none"/>
        </w:rPr>
        <w:t>当发生工程变更时，工程量按</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规定的计算规则及已标价工程量清单规定的工程量计算规则计量，按以下办法计价：</w:t>
      </w:r>
      <w:bookmarkStart w:id="1629" w:name="_Hlk524770102"/>
    </w:p>
    <w:bookmarkEnd w:id="1629"/>
    <w:p w14:paraId="3C7E03F7">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10.4.1.1已标价工程量清单中有相同项目的，按照相同项目单价计算；</w:t>
      </w:r>
    </w:p>
    <w:p w14:paraId="496AF432">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10.4.1.2已标价工程量清单中有类似项目的，参考类似项目单价计算；</w:t>
      </w:r>
    </w:p>
    <w:p w14:paraId="2726F75C">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10.4.1.3已标价工程量清单中无相同项目亦无类似项目的，按照以下原则执行：</w:t>
      </w:r>
    </w:p>
    <w:p w14:paraId="1CEC4C0E">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按</w:t>
      </w:r>
      <w:r>
        <w:rPr>
          <w:rFonts w:hint="eastAsia" w:ascii="仿宋" w:hAnsi="仿宋" w:eastAsia="仿宋" w:cs="仿宋"/>
          <w:color w:val="auto"/>
          <w:sz w:val="21"/>
          <w:szCs w:val="21"/>
          <w:highlight w:val="none"/>
          <w:u w:val="single"/>
          <w:lang w:val="en-US" w:eastAsia="zh-CN"/>
        </w:rPr>
        <w:t>《房屋建筑与装饰工程工程量计算规范》（GB50854-2013）、《通用安装工程工程量计算规范》（GB50856-2013）、《市政工程工程量计算规范》（GB50857-2013）、《园林绿化工程工程量计算规范》（GB50858-2013）、《重庆市建设工程工程量清单计价规则》（CQJJGZ-2013）、《重庆市建设工程工程量计算规则》（CQJLGZ-2013）、《重庆市市政工程计价定额》（CQSZDE-2018)、</w:t>
      </w:r>
      <w:r>
        <w:rPr>
          <w:rFonts w:hint="eastAsia" w:ascii="仿宋" w:hAnsi="仿宋" w:eastAsia="仿宋" w:cs="仿宋"/>
          <w:color w:val="auto"/>
          <w:sz w:val="21"/>
          <w:szCs w:val="21"/>
          <w:highlight w:val="none"/>
          <w:u w:val="single"/>
          <w:lang w:val="zh-CN" w:eastAsia="zh-CN"/>
        </w:rPr>
        <w:t>《重庆市通用安装工程计价定额》（</w:t>
      </w:r>
      <w:r>
        <w:rPr>
          <w:rFonts w:hint="eastAsia" w:ascii="仿宋" w:hAnsi="仿宋" w:eastAsia="仿宋" w:cs="仿宋"/>
          <w:color w:val="auto"/>
          <w:sz w:val="21"/>
          <w:szCs w:val="21"/>
          <w:highlight w:val="none"/>
          <w:u w:val="single"/>
          <w:lang w:val="en-US" w:eastAsia="zh-CN"/>
        </w:rPr>
        <w:t>CQAZDE-2018</w:t>
      </w:r>
      <w:r>
        <w:rPr>
          <w:rFonts w:hint="eastAsia" w:ascii="仿宋" w:hAnsi="仿宋" w:eastAsia="仿宋" w:cs="仿宋"/>
          <w:color w:val="auto"/>
          <w:sz w:val="21"/>
          <w:szCs w:val="21"/>
          <w:highlight w:val="none"/>
          <w:u w:val="single"/>
          <w:lang w:val="zh-CN" w:eastAsia="zh-CN"/>
        </w:rPr>
        <w:t>）、《重庆市房屋建筑与装饰工程计价定额》（</w:t>
      </w:r>
      <w:r>
        <w:rPr>
          <w:rFonts w:hint="eastAsia" w:ascii="仿宋" w:hAnsi="仿宋" w:eastAsia="仿宋" w:cs="仿宋"/>
          <w:color w:val="auto"/>
          <w:sz w:val="21"/>
          <w:szCs w:val="21"/>
          <w:highlight w:val="none"/>
          <w:u w:val="single"/>
          <w:lang w:val="en-US" w:eastAsia="zh-CN"/>
        </w:rPr>
        <w:t>CQJZZSDE-2018</w:t>
      </w:r>
      <w:r>
        <w:rPr>
          <w:rFonts w:hint="eastAsia" w:ascii="仿宋" w:hAnsi="仿宋" w:eastAsia="仿宋" w:cs="仿宋"/>
          <w:color w:val="auto"/>
          <w:sz w:val="21"/>
          <w:szCs w:val="21"/>
          <w:highlight w:val="none"/>
          <w:u w:val="single"/>
          <w:lang w:val="zh-CN" w:eastAsia="zh-CN"/>
        </w:rPr>
        <w:t>）、《重庆市建设工程费用定额》（</w:t>
      </w:r>
      <w:r>
        <w:rPr>
          <w:rFonts w:hint="eastAsia" w:ascii="仿宋" w:hAnsi="仿宋" w:eastAsia="仿宋" w:cs="仿宋"/>
          <w:color w:val="auto"/>
          <w:sz w:val="21"/>
          <w:szCs w:val="21"/>
          <w:highlight w:val="none"/>
          <w:u w:val="single"/>
          <w:lang w:val="en-US" w:eastAsia="zh-CN"/>
        </w:rPr>
        <w:t>CQFYDE-2018</w:t>
      </w:r>
      <w:r>
        <w:rPr>
          <w:rFonts w:hint="eastAsia" w:ascii="仿宋" w:hAnsi="仿宋" w:eastAsia="仿宋" w:cs="仿宋"/>
          <w:color w:val="auto"/>
          <w:sz w:val="21"/>
          <w:szCs w:val="21"/>
          <w:highlight w:val="none"/>
          <w:u w:val="single"/>
          <w:lang w:val="zh-CN" w:eastAsia="zh-CN"/>
        </w:rPr>
        <w:t>）、《重庆市建设工程施工机械台班定额》（</w:t>
      </w:r>
      <w:r>
        <w:rPr>
          <w:rFonts w:hint="eastAsia" w:ascii="仿宋" w:hAnsi="仿宋" w:eastAsia="仿宋" w:cs="仿宋"/>
          <w:color w:val="auto"/>
          <w:sz w:val="21"/>
          <w:szCs w:val="21"/>
          <w:highlight w:val="none"/>
          <w:u w:val="single"/>
          <w:lang w:val="en-US" w:eastAsia="zh-CN"/>
        </w:rPr>
        <w:t>CQJXDE-2018</w:t>
      </w:r>
      <w:r>
        <w:rPr>
          <w:rFonts w:hint="eastAsia" w:ascii="仿宋" w:hAnsi="仿宋" w:eastAsia="仿宋" w:cs="仿宋"/>
          <w:color w:val="auto"/>
          <w:sz w:val="21"/>
          <w:szCs w:val="21"/>
          <w:highlight w:val="none"/>
          <w:u w:val="single"/>
          <w:lang w:val="zh-CN" w:eastAsia="zh-CN"/>
        </w:rPr>
        <w:t>）、</w:t>
      </w:r>
      <w:r>
        <w:rPr>
          <w:rFonts w:hint="eastAsia" w:ascii="仿宋" w:hAnsi="仿宋" w:eastAsia="仿宋" w:cs="仿宋"/>
          <w:color w:val="auto"/>
          <w:sz w:val="21"/>
          <w:szCs w:val="21"/>
          <w:highlight w:val="none"/>
          <w:u w:val="single"/>
        </w:rPr>
        <w:t>《重庆市建设工程费用定额》（CQFYDE-2018）及相关配套文件进行组价并按承包人报价浮动率下浮（认质核价的设备和材料不参与浮动），经监理人、跟审单位、发包人审定后执行</w:t>
      </w:r>
      <w:r>
        <w:rPr>
          <w:rFonts w:hint="eastAsia" w:ascii="仿宋" w:hAnsi="仿宋" w:eastAsia="仿宋" w:cs="仿宋"/>
          <w:color w:val="auto"/>
          <w:sz w:val="21"/>
          <w:szCs w:val="21"/>
          <w:highlight w:val="none"/>
        </w:rPr>
        <w:t>。</w:t>
      </w:r>
    </w:p>
    <w:p w14:paraId="302E8170">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承包人报价浮动率按下列公式计算：承包人报价浮动率=（1-中选价/最高限价）×100%。</w:t>
      </w:r>
    </w:p>
    <w:p w14:paraId="0328830D">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（1）人工单价：按开标当期《重庆工程造价信息》发布的项目所在地的人工单价执行。</w:t>
      </w:r>
    </w:p>
    <w:p w14:paraId="443849A3">
      <w:pPr>
        <w:spacing w:line="440" w:lineRule="exact"/>
        <w:ind w:firstLine="420" w:firstLineChars="200"/>
        <w:jc w:val="left"/>
        <w:rPr>
          <w:rFonts w:hint="eastAsia" w:ascii="仿宋" w:hAnsi="仿宋" w:eastAsia="仿宋" w:cs="仿宋"/>
          <w:color w:val="auto"/>
          <w:sz w:val="21"/>
          <w:szCs w:val="21"/>
          <w:highlight w:val="none"/>
        </w:rPr>
      </w:pPr>
      <w:bookmarkStart w:id="1630" w:name="_Hlk529023896"/>
      <w:r>
        <w:rPr>
          <w:rFonts w:hint="eastAsia" w:ascii="仿宋" w:hAnsi="仿宋" w:eastAsia="仿宋" w:cs="仿宋"/>
          <w:color w:val="auto"/>
          <w:sz w:val="21"/>
          <w:szCs w:val="21"/>
          <w:highlight w:val="none"/>
        </w:rPr>
        <w:t>（2）材料单价：</w:t>
      </w:r>
    </w:p>
    <w:p w14:paraId="3E6DC9BC">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①按</w:t>
      </w:r>
      <w:bookmarkStart w:id="1631" w:name="_Hlk529023354"/>
      <w:r>
        <w:rPr>
          <w:rFonts w:hint="eastAsia" w:ascii="仿宋" w:hAnsi="仿宋" w:eastAsia="仿宋" w:cs="仿宋"/>
          <w:color w:val="auto"/>
          <w:sz w:val="21"/>
          <w:szCs w:val="21"/>
          <w:highlight w:val="none"/>
        </w:rPr>
        <w:t>开标当期《重庆工程造价信息》发布的项目所在地的信息价</w:t>
      </w:r>
      <w:bookmarkEnd w:id="1631"/>
      <w:r>
        <w:rPr>
          <w:rFonts w:hint="eastAsia" w:ascii="仿宋" w:hAnsi="仿宋" w:eastAsia="仿宋" w:cs="仿宋"/>
          <w:color w:val="auto"/>
          <w:sz w:val="21"/>
          <w:szCs w:val="21"/>
          <w:highlight w:val="none"/>
        </w:rPr>
        <w:t>执行；</w:t>
      </w:r>
    </w:p>
    <w:p w14:paraId="14E101C6">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②开标当期《重庆工程造价信息》中没有的，承包人投标报价中有的，按承包人投标报价中相同材料单价的最低值执行；</w:t>
      </w:r>
    </w:p>
    <w:p w14:paraId="170DBF8E">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③开标当期《重庆工程造价信息》和承包人投标报价没有的，由承包人申报、监理人会同跟审单位、发包人根据市场行情认质核价确定。</w:t>
      </w:r>
    </w:p>
    <w:bookmarkEnd w:id="1630"/>
    <w:p w14:paraId="057A6E06">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企业管理费和利润：按承包人投标报价中相同工程分类的费用标准执行（投标报价中费用标准高于《重庆市建设工程费用定额》（CQFYDE-2018）费用标准的，按《重庆市建设工程费用定额》（CQFYDE-2018）费用标准执行）。</w:t>
      </w:r>
    </w:p>
    <w:p w14:paraId="44DBA1F0">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（4）规费：按《重庆市建设工程费用定额》（CQFYDE-2018）费用标准进行计算。</w:t>
      </w:r>
    </w:p>
    <w:p w14:paraId="38E05226">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（5）税金：包含增值税、城市维护建设税、教育费附加、地方教育附加以及环境保护税。其中增值税按《重庆市建设工程费用定额》（CQFYDE-2018）规定及配套文件执行。</w:t>
      </w:r>
    </w:p>
    <w:p w14:paraId="10BC4D1B">
      <w:pPr>
        <w:spacing w:line="440" w:lineRule="exact"/>
        <w:ind w:firstLine="420" w:firstLineChars="200"/>
        <w:jc w:val="left"/>
        <w:rPr>
          <w:rFonts w:hint="eastAsia" w:ascii="仿宋" w:hAnsi="仿宋" w:eastAsia="仿宋" w:cs="仿宋"/>
          <w:color w:val="auto"/>
          <w:sz w:val="21"/>
          <w:szCs w:val="21"/>
          <w:highlight w:val="none"/>
          <w:u w:val="single"/>
        </w:rPr>
      </w:pPr>
      <w:r>
        <w:rPr>
          <w:rFonts w:hint="eastAsia" w:ascii="仿宋" w:hAnsi="仿宋" w:eastAsia="仿宋" w:cs="仿宋"/>
          <w:color w:val="auto"/>
          <w:sz w:val="21"/>
          <w:szCs w:val="21"/>
          <w:highlight w:val="none"/>
        </w:rPr>
        <w:t>10.4.1.4已标价工程量清单中无相同项目亦无类似项目，也无定额可套用的，由承包人会同监理人、跟审单位、发包人按相关原则、编制方法编制补充定额（人工、材料、机械基价执行2018年计价定额的基价，2018年计价定额没有的基价，按市场价计），按照第10.4.1.3目约定执行；或参照重庆市场相同工作的市场价格上报监理人，最终价格按承包人、监理人、跟审单位、发包人共同询价确认的价格执行。</w:t>
      </w:r>
    </w:p>
    <w:p w14:paraId="22E6BB5C">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本款补充10.4.3项：</w:t>
      </w:r>
    </w:p>
    <w:p w14:paraId="08AE74E5">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10.4.3工程变更引起施工方案改变并使措施项目发生变化时，承包人提出调整措施项目费的，应事前将拟实施的方案提交监理人审核报发包人确认，并应详细说明与原方案措施项目相比的变化情况。拟实施的方案经发承包双方确认后执行，并应按照下列规定调整措施项目费：</w:t>
      </w:r>
    </w:p>
    <w:p w14:paraId="27C718B6">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w:t>
      </w:r>
      <w:r>
        <w:rPr>
          <w:rFonts w:hint="eastAsia" w:ascii="仿宋" w:hAnsi="仿宋" w:eastAsia="仿宋" w:cs="仿宋"/>
          <w:color w:val="auto"/>
          <w:sz w:val="21"/>
          <w:szCs w:val="21"/>
          <w:highlight w:val="none"/>
          <w:u w:val="single"/>
        </w:rPr>
        <w:t>安全文明施工费应按照实际发生变化的措施项目依据现行安全文明施工费计取及管理政策规定及《重庆市建设工程费用定额》（CQFYDE-2018）规定执行</w:t>
      </w:r>
      <w:r>
        <w:rPr>
          <w:rFonts w:hint="eastAsia" w:ascii="仿宋" w:hAnsi="仿宋" w:eastAsia="仿宋" w:cs="仿宋"/>
          <w:color w:val="auto"/>
          <w:sz w:val="21"/>
          <w:szCs w:val="21"/>
          <w:highlight w:val="none"/>
        </w:rPr>
        <w:t>；</w:t>
      </w:r>
    </w:p>
    <w:p w14:paraId="1C0BB558">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w:t>
      </w:r>
      <w:r>
        <w:rPr>
          <w:rFonts w:hint="eastAsia" w:ascii="仿宋" w:hAnsi="仿宋" w:eastAsia="仿宋" w:cs="仿宋"/>
          <w:color w:val="auto"/>
          <w:sz w:val="21"/>
          <w:szCs w:val="21"/>
          <w:highlight w:val="none"/>
          <w:u w:val="single"/>
        </w:rPr>
        <w:t>按照单价计算的措施项目费，应按照实际发生变化的措施项目，按照第10.4.1项〔变更估价原则〕约定执行</w:t>
      </w:r>
      <w:r>
        <w:rPr>
          <w:rFonts w:hint="eastAsia" w:ascii="仿宋" w:hAnsi="仿宋" w:eastAsia="仿宋" w:cs="仿宋"/>
          <w:color w:val="auto"/>
          <w:sz w:val="21"/>
          <w:szCs w:val="21"/>
          <w:highlight w:val="none"/>
        </w:rPr>
        <w:t>；</w:t>
      </w:r>
    </w:p>
    <w:p w14:paraId="08389F6E">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w:t>
      </w:r>
      <w:r>
        <w:rPr>
          <w:rFonts w:hint="eastAsia" w:ascii="仿宋" w:hAnsi="仿宋" w:eastAsia="仿宋" w:cs="仿宋"/>
          <w:color w:val="auto"/>
          <w:sz w:val="21"/>
          <w:szCs w:val="21"/>
          <w:highlight w:val="none"/>
          <w:u w:val="single"/>
        </w:rPr>
        <w:t>按总价（或系数）计算的措施项目费，应按照实际发生变化的措施项目费按承包人报价浮动率下浮后的金额计算</w:t>
      </w:r>
      <w:r>
        <w:rPr>
          <w:rFonts w:hint="eastAsia" w:ascii="仿宋" w:hAnsi="仿宋" w:eastAsia="仿宋" w:cs="仿宋"/>
          <w:color w:val="auto"/>
          <w:sz w:val="21"/>
          <w:szCs w:val="21"/>
          <w:highlight w:val="none"/>
        </w:rPr>
        <w:t>；</w:t>
      </w:r>
    </w:p>
    <w:p w14:paraId="7F48E3BF">
      <w:pPr>
        <w:spacing w:line="440" w:lineRule="exact"/>
        <w:ind w:firstLine="420" w:firstLineChars="200"/>
        <w:jc w:val="left"/>
        <w:rPr>
          <w:rFonts w:hint="eastAsia" w:ascii="仿宋" w:hAnsi="仿宋" w:eastAsia="仿宋" w:cs="仿宋"/>
          <w:color w:val="auto"/>
          <w:sz w:val="21"/>
          <w:szCs w:val="21"/>
          <w:highlight w:val="none"/>
          <w:u w:val="single"/>
        </w:rPr>
      </w:pPr>
      <w:r>
        <w:rPr>
          <w:rFonts w:hint="eastAsia" w:ascii="仿宋" w:hAnsi="仿宋" w:eastAsia="仿宋" w:cs="仿宋"/>
          <w:color w:val="auto"/>
          <w:sz w:val="21"/>
          <w:szCs w:val="21"/>
          <w:highlight w:val="none"/>
        </w:rPr>
        <w:t>（4）</w:t>
      </w:r>
      <w:r>
        <w:rPr>
          <w:rFonts w:hint="eastAsia" w:ascii="仿宋" w:hAnsi="仿宋" w:eastAsia="仿宋" w:cs="仿宋"/>
          <w:color w:val="auto"/>
          <w:sz w:val="21"/>
          <w:szCs w:val="21"/>
          <w:highlight w:val="none"/>
          <w:u w:val="single"/>
        </w:rPr>
        <w:t>如果承包人未事前将拟实施的方案提交给发包人确认，则应视为工程变更不引起措施项目费的调整或承包人放弃调整措施项目费的权利</w:t>
      </w:r>
      <w:r>
        <w:rPr>
          <w:rFonts w:hint="eastAsia" w:ascii="仿宋" w:hAnsi="仿宋" w:eastAsia="仿宋" w:cs="仿宋"/>
          <w:color w:val="auto"/>
          <w:sz w:val="21"/>
          <w:szCs w:val="21"/>
          <w:highlight w:val="none"/>
        </w:rPr>
        <w:t>。</w:t>
      </w:r>
    </w:p>
    <w:bookmarkEnd w:id="1628"/>
    <w:p w14:paraId="2A561DB5">
      <w:pPr>
        <w:widowControl/>
        <w:spacing w:line="440" w:lineRule="exact"/>
        <w:ind w:firstLine="422" w:firstLineChars="200"/>
        <w:jc w:val="left"/>
        <w:outlineLvl w:val="4"/>
        <w:rPr>
          <w:rFonts w:hint="eastAsia" w:ascii="仿宋" w:hAnsi="仿宋" w:eastAsia="仿宋" w:cs="仿宋"/>
          <w:b/>
          <w:bCs/>
          <w:color w:val="auto"/>
          <w:kern w:val="0"/>
          <w:sz w:val="21"/>
          <w:szCs w:val="21"/>
          <w:highlight w:val="none"/>
        </w:rPr>
      </w:pPr>
      <w:bookmarkStart w:id="1632" w:name="_Toc532375639"/>
      <w:bookmarkStart w:id="1633" w:name="_Toc532377375"/>
      <w:r>
        <w:rPr>
          <w:rFonts w:hint="eastAsia" w:ascii="仿宋" w:hAnsi="仿宋" w:eastAsia="仿宋" w:cs="仿宋"/>
          <w:b/>
          <w:bCs/>
          <w:color w:val="auto"/>
          <w:kern w:val="0"/>
          <w:sz w:val="21"/>
          <w:szCs w:val="21"/>
          <w:highlight w:val="none"/>
        </w:rPr>
        <w:t>1</w:t>
      </w:r>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Start w:id="1634" w:name="_Toc296346698"/>
      <w:bookmarkStart w:id="1635" w:name="_Toc296347196"/>
      <w:bookmarkStart w:id="1636" w:name="_Toc296503197"/>
      <w:bookmarkStart w:id="1637" w:name="_Toc296944536"/>
      <w:bookmarkStart w:id="1638" w:name="_Toc297048383"/>
      <w:bookmarkStart w:id="1639" w:name="_Toc297123544"/>
      <w:bookmarkStart w:id="1640" w:name="_Toc297216203"/>
      <w:bookmarkStart w:id="1641" w:name="_Toc296891237"/>
      <w:bookmarkStart w:id="1642" w:name="_Toc300934993"/>
      <w:bookmarkStart w:id="1643" w:name="_Toc297120497"/>
      <w:bookmarkStart w:id="1644" w:name="_Toc296891025"/>
      <w:bookmarkStart w:id="1645" w:name="_Toc292559907"/>
      <w:bookmarkStart w:id="1646" w:name="_Toc303539150"/>
      <w:bookmarkStart w:id="1647" w:name="_Toc292559402"/>
      <w:bookmarkStart w:id="1648" w:name="_Toc312678029"/>
      <w:bookmarkStart w:id="1649" w:name="_Toc312677503"/>
      <w:bookmarkStart w:id="1650" w:name="_Toc304295570"/>
      <w:r>
        <w:rPr>
          <w:rFonts w:hint="eastAsia" w:ascii="仿宋" w:hAnsi="仿宋" w:eastAsia="仿宋" w:cs="仿宋"/>
          <w:b/>
          <w:bCs/>
          <w:color w:val="auto"/>
          <w:kern w:val="0"/>
          <w:sz w:val="21"/>
          <w:szCs w:val="21"/>
          <w:highlight w:val="none"/>
        </w:rPr>
        <w:t>0.5承</w:t>
      </w:r>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Start w:id="1651" w:name="_Toc292559913"/>
      <w:bookmarkStart w:id="1652" w:name="_Toc303539151"/>
      <w:bookmarkStart w:id="1653" w:name="_Toc292559408"/>
      <w:bookmarkStart w:id="1654" w:name="_Toc297216204"/>
      <w:bookmarkStart w:id="1655" w:name="_Toc296944542"/>
      <w:bookmarkStart w:id="1656" w:name="_Toc296503203"/>
      <w:bookmarkStart w:id="1657" w:name="_Toc296346704"/>
      <w:bookmarkStart w:id="1658" w:name="_Toc297123545"/>
      <w:bookmarkStart w:id="1659" w:name="_Toc297048389"/>
      <w:bookmarkStart w:id="1660" w:name="_Toc297120503"/>
      <w:bookmarkStart w:id="1661" w:name="_Toc296891031"/>
      <w:bookmarkStart w:id="1662" w:name="_Toc300934994"/>
      <w:bookmarkStart w:id="1663" w:name="_Toc296891243"/>
      <w:bookmarkStart w:id="1664" w:name="_Toc296347202"/>
      <w:r>
        <w:rPr>
          <w:rFonts w:hint="eastAsia" w:ascii="仿宋" w:hAnsi="仿宋" w:eastAsia="仿宋" w:cs="仿宋"/>
          <w:b/>
          <w:bCs/>
          <w:color w:val="auto"/>
          <w:kern w:val="0"/>
          <w:sz w:val="21"/>
          <w:szCs w:val="21"/>
          <w:highlight w:val="none"/>
        </w:rPr>
        <w:t>包人的合理化建议</w:t>
      </w:r>
      <w:bookmarkEnd w:id="1632"/>
      <w:bookmarkEnd w:id="1633"/>
    </w:p>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p w14:paraId="44BE8464">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承包人提出合理化建议的，应向监理人提交合理化建议说明，说明建议的内容和理由，以及实施该建议对合同价格和（或）工期和（或）工程经济效益的影响。</w:t>
      </w:r>
    </w:p>
    <w:p w14:paraId="5BE9CFC9">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监理人审查承包人合理化建议的期限：</w:t>
      </w:r>
      <w:r>
        <w:rPr>
          <w:rFonts w:hint="eastAsia" w:ascii="仿宋" w:hAnsi="仿宋" w:eastAsia="仿宋" w:cs="仿宋"/>
          <w:color w:val="auto"/>
          <w:sz w:val="21"/>
          <w:szCs w:val="21"/>
          <w:highlight w:val="none"/>
          <w:u w:val="single"/>
        </w:rPr>
        <w:t>不超过14天</w:t>
      </w:r>
      <w:r>
        <w:rPr>
          <w:rFonts w:hint="eastAsia" w:ascii="仿宋" w:hAnsi="仿宋" w:eastAsia="仿宋" w:cs="仿宋"/>
          <w:color w:val="auto"/>
          <w:sz w:val="21"/>
          <w:szCs w:val="21"/>
          <w:highlight w:val="none"/>
        </w:rPr>
        <w:t>。</w:t>
      </w:r>
    </w:p>
    <w:p w14:paraId="33D53B98">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发包人审批承包人合理化建议的期限：</w:t>
      </w:r>
      <w:r>
        <w:rPr>
          <w:rFonts w:hint="eastAsia" w:ascii="仿宋" w:hAnsi="仿宋" w:eastAsia="仿宋" w:cs="仿宋"/>
          <w:color w:val="auto"/>
          <w:sz w:val="21"/>
          <w:szCs w:val="21"/>
          <w:highlight w:val="none"/>
          <w:u w:val="single"/>
        </w:rPr>
        <w:t>不超过14天</w:t>
      </w:r>
      <w:r>
        <w:rPr>
          <w:rFonts w:hint="eastAsia" w:ascii="仿宋" w:hAnsi="仿宋" w:eastAsia="仿宋" w:cs="仿宋"/>
          <w:color w:val="auto"/>
          <w:sz w:val="21"/>
          <w:szCs w:val="21"/>
          <w:highlight w:val="none"/>
        </w:rPr>
        <w:t>。</w:t>
      </w:r>
    </w:p>
    <w:p w14:paraId="165C0D70">
      <w:pPr>
        <w:spacing w:line="440" w:lineRule="exact"/>
        <w:ind w:firstLine="420" w:firstLineChars="200"/>
        <w:jc w:val="left"/>
        <w:rPr>
          <w:rFonts w:hint="eastAsia" w:ascii="仿宋" w:hAnsi="仿宋" w:eastAsia="仿宋" w:cs="仿宋"/>
          <w:color w:val="auto"/>
          <w:sz w:val="21"/>
          <w:szCs w:val="21"/>
          <w:highlight w:val="none"/>
          <w:u w:val="single"/>
        </w:rPr>
      </w:pPr>
      <w:r>
        <w:rPr>
          <w:rFonts w:hint="eastAsia" w:ascii="仿宋" w:hAnsi="仿宋" w:eastAsia="仿宋" w:cs="仿宋"/>
          <w:color w:val="auto"/>
          <w:sz w:val="21"/>
          <w:szCs w:val="21"/>
          <w:highlight w:val="none"/>
        </w:rPr>
        <w:t>承</w:t>
      </w:r>
      <w:bookmarkStart w:id="1665" w:name="_Toc296347203"/>
      <w:bookmarkStart w:id="1666" w:name="_Toc304295571"/>
      <w:bookmarkStart w:id="1667" w:name="_Toc312678030"/>
      <w:bookmarkStart w:id="1668" w:name="_Toc297216205"/>
      <w:bookmarkStart w:id="1669" w:name="_Toc297048390"/>
      <w:bookmarkStart w:id="1670" w:name="_Toc296891244"/>
      <w:bookmarkStart w:id="1671" w:name="_Toc297123546"/>
      <w:bookmarkStart w:id="1672" w:name="_Toc296944543"/>
      <w:bookmarkStart w:id="1673" w:name="_Toc292559409"/>
      <w:bookmarkStart w:id="1674" w:name="_Toc296891032"/>
      <w:bookmarkStart w:id="1675" w:name="_Toc297120504"/>
      <w:bookmarkStart w:id="1676" w:name="_Toc312677504"/>
      <w:bookmarkStart w:id="1677" w:name="_Toc300934995"/>
      <w:bookmarkStart w:id="1678" w:name="_Toc296503204"/>
      <w:bookmarkStart w:id="1679" w:name="_Toc303539152"/>
      <w:bookmarkStart w:id="1680" w:name="_Toc296346705"/>
      <w:bookmarkStart w:id="1681" w:name="_Toc318581175"/>
      <w:bookmarkStart w:id="1682" w:name="_Toc292559914"/>
      <w:r>
        <w:rPr>
          <w:rFonts w:hint="eastAsia" w:ascii="仿宋" w:hAnsi="仿宋" w:eastAsia="仿宋" w:cs="仿宋"/>
          <w:color w:val="auto"/>
          <w:sz w:val="21"/>
          <w:szCs w:val="21"/>
          <w:highlight w:val="none"/>
        </w:rPr>
        <w:t>包人提出的合理化建议降低了合同价格或缩短了工期或者提高了工程经济效益的奖励的方法和金额为：</w:t>
      </w:r>
      <w:r>
        <w:rPr>
          <w:rFonts w:hint="eastAsia" w:ascii="仿宋" w:hAnsi="仿宋" w:eastAsia="仿宋" w:cs="仿宋"/>
          <w:color w:val="auto"/>
          <w:sz w:val="21"/>
          <w:szCs w:val="21"/>
          <w:highlight w:val="none"/>
          <w:u w:val="single"/>
        </w:rPr>
        <w:t>无</w:t>
      </w:r>
      <w:r>
        <w:rPr>
          <w:rFonts w:hint="eastAsia" w:ascii="仿宋" w:hAnsi="仿宋" w:eastAsia="仿宋" w:cs="仿宋"/>
          <w:color w:val="auto"/>
          <w:sz w:val="21"/>
          <w:szCs w:val="21"/>
          <w:highlight w:val="none"/>
        </w:rPr>
        <w:t>。</w:t>
      </w:r>
    </w:p>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p w14:paraId="647C45A5">
      <w:pPr>
        <w:widowControl/>
        <w:spacing w:line="440" w:lineRule="exact"/>
        <w:ind w:firstLine="422" w:firstLineChars="200"/>
        <w:jc w:val="left"/>
        <w:outlineLvl w:val="4"/>
        <w:rPr>
          <w:rFonts w:hint="eastAsia" w:ascii="仿宋" w:hAnsi="仿宋" w:eastAsia="仿宋" w:cs="仿宋"/>
          <w:b/>
          <w:bCs/>
          <w:color w:val="auto"/>
          <w:kern w:val="0"/>
          <w:sz w:val="21"/>
          <w:szCs w:val="21"/>
          <w:highlight w:val="none"/>
        </w:rPr>
      </w:pPr>
      <w:bookmarkStart w:id="1683" w:name="_Toc532377376"/>
      <w:bookmarkStart w:id="1684" w:name="_Toc532375640"/>
      <w:r>
        <w:rPr>
          <w:rFonts w:hint="eastAsia" w:ascii="仿宋" w:hAnsi="仿宋" w:eastAsia="仿宋" w:cs="仿宋"/>
          <w:b/>
          <w:bCs/>
          <w:color w:val="auto"/>
          <w:kern w:val="0"/>
          <w:sz w:val="21"/>
          <w:szCs w:val="21"/>
          <w:highlight w:val="none"/>
        </w:rPr>
        <w:t>1</w:t>
      </w:r>
      <w:bookmarkStart w:id="1685" w:name="_Toc312678033"/>
      <w:bookmarkStart w:id="1686" w:name="_Toc304295574"/>
      <w:bookmarkStart w:id="1687" w:name="_Toc297120499"/>
      <w:bookmarkStart w:id="1688" w:name="_Toc292559404"/>
      <w:bookmarkStart w:id="1689" w:name="_Toc300934997"/>
      <w:bookmarkStart w:id="1690" w:name="_Toc297216207"/>
      <w:bookmarkStart w:id="1691" w:name="_Toc296346700"/>
      <w:bookmarkStart w:id="1692" w:name="_Toc296503199"/>
      <w:bookmarkStart w:id="1693" w:name="_Toc296891027"/>
      <w:bookmarkStart w:id="1694" w:name="_Toc303539154"/>
      <w:bookmarkStart w:id="1695" w:name="_Toc312677507"/>
      <w:bookmarkStart w:id="1696" w:name="_Toc297048385"/>
      <w:bookmarkStart w:id="1697" w:name="_Toc296347198"/>
      <w:bookmarkStart w:id="1698" w:name="_Toc292559909"/>
      <w:bookmarkStart w:id="1699" w:name="_Toc297123548"/>
      <w:bookmarkStart w:id="1700" w:name="_Toc296891239"/>
      <w:bookmarkStart w:id="1701" w:name="_Toc296944538"/>
      <w:r>
        <w:rPr>
          <w:rFonts w:hint="eastAsia" w:ascii="仿宋" w:hAnsi="仿宋" w:eastAsia="仿宋" w:cs="仿宋"/>
          <w:b/>
          <w:bCs/>
          <w:color w:val="auto"/>
          <w:kern w:val="0"/>
          <w:sz w:val="21"/>
          <w:szCs w:val="21"/>
          <w:highlight w:val="none"/>
        </w:rPr>
        <w:t>0.7 暂估价</w:t>
      </w:r>
      <w:bookmarkEnd w:id="1683"/>
      <w:bookmarkEnd w:id="1684"/>
    </w:p>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p w14:paraId="0E88C17B">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专业工程暂估价：30000</w:t>
      </w:r>
      <w:r>
        <w:rPr>
          <w:rFonts w:hint="eastAsia" w:ascii="仿宋" w:hAnsi="仿宋" w:eastAsia="仿宋" w:cs="仿宋"/>
          <w:color w:val="auto"/>
          <w:sz w:val="21"/>
          <w:szCs w:val="21"/>
          <w:highlight w:val="none"/>
          <w:lang w:val="en-US" w:eastAsia="zh-CN"/>
        </w:rPr>
        <w:t>.00</w:t>
      </w:r>
      <w:r>
        <w:rPr>
          <w:rFonts w:hint="eastAsia" w:ascii="仿宋" w:hAnsi="仿宋" w:eastAsia="仿宋" w:cs="仿宋"/>
          <w:color w:val="auto"/>
          <w:sz w:val="21"/>
          <w:szCs w:val="21"/>
          <w:highlight w:val="none"/>
        </w:rPr>
        <w:t>元。</w:t>
      </w:r>
    </w:p>
    <w:p w14:paraId="2F734CCC">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单项合同估算价在国家相关法律法规规定必须招标规模以下的，符合可以不招标相关规定的，由承包人采取交钥匙工程模式实施，发包人配合。承包人（需在允许资质范围内）或承包人委托的有资质的专业分包单位实施。费用估价按照第10.4.1项〔变更估价原则〕执行，承包人申报，经监理人、跟审单位、发包人共同审定。审定后根据承包人签订的相关合同（需经监理人、跟审单位、发包人共同确认）约定，由承包人申报，随进度款按与相关单位签订的合同约定一并支付。</w:t>
      </w:r>
    </w:p>
    <w:p w14:paraId="75560207">
      <w:pPr>
        <w:spacing w:line="440" w:lineRule="exact"/>
        <w:ind w:firstLine="420" w:firstLineChars="200"/>
        <w:jc w:val="left"/>
        <w:rPr>
          <w:rFonts w:hint="eastAsia" w:ascii="仿宋" w:hAnsi="仿宋" w:eastAsia="仿宋" w:cs="仿宋"/>
          <w:color w:val="auto"/>
          <w:sz w:val="21"/>
          <w:szCs w:val="21"/>
          <w:highlight w:val="none"/>
          <w:u w:val="single"/>
        </w:rPr>
      </w:pPr>
      <w:r>
        <w:rPr>
          <w:rFonts w:hint="eastAsia" w:ascii="仿宋" w:hAnsi="仿宋" w:eastAsia="仿宋" w:cs="仿宋"/>
          <w:color w:val="auto"/>
          <w:sz w:val="21"/>
          <w:szCs w:val="21"/>
          <w:highlight w:val="none"/>
        </w:rPr>
        <w:t>单项合同暂估价在国家相关法律法规规定必须招标规模以上的，需依法必须招标的，由承包人、发包人共同招标确定。</w:t>
      </w:r>
    </w:p>
    <w:p w14:paraId="7F98B12A">
      <w:pPr>
        <w:widowControl/>
        <w:spacing w:line="440" w:lineRule="exact"/>
        <w:ind w:firstLine="422" w:firstLineChars="200"/>
        <w:jc w:val="left"/>
        <w:outlineLvl w:val="4"/>
        <w:rPr>
          <w:rFonts w:hint="eastAsia" w:ascii="仿宋" w:hAnsi="仿宋" w:eastAsia="仿宋" w:cs="仿宋"/>
          <w:b/>
          <w:bCs/>
          <w:color w:val="auto"/>
          <w:kern w:val="0"/>
          <w:sz w:val="21"/>
          <w:szCs w:val="21"/>
          <w:highlight w:val="none"/>
        </w:rPr>
      </w:pPr>
      <w:bookmarkStart w:id="1702" w:name="_Toc532375641"/>
      <w:bookmarkStart w:id="1703" w:name="_Toc532377377"/>
      <w:r>
        <w:rPr>
          <w:rFonts w:hint="eastAsia" w:ascii="仿宋" w:hAnsi="仿宋" w:eastAsia="仿宋" w:cs="仿宋"/>
          <w:b/>
          <w:bCs/>
          <w:color w:val="auto"/>
          <w:kern w:val="0"/>
          <w:sz w:val="21"/>
          <w:szCs w:val="21"/>
          <w:highlight w:val="none"/>
        </w:rPr>
        <w:t>10.8 暂列金额</w:t>
      </w:r>
      <w:bookmarkEnd w:id="1702"/>
      <w:bookmarkEnd w:id="1703"/>
    </w:p>
    <w:p w14:paraId="1FD18462">
      <w:pPr>
        <w:autoSpaceDE w:val="0"/>
        <w:autoSpaceDN w:val="0"/>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合同当事人关于暂列金额使用的约定：</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w:t>
      </w:r>
    </w:p>
    <w:p w14:paraId="43D05B46">
      <w:pPr>
        <w:keepNext/>
        <w:keepLines/>
        <w:widowControl/>
        <w:spacing w:before="120" w:beforeLines="50" w:after="120" w:afterLines="50" w:line="440" w:lineRule="exact"/>
        <w:outlineLvl w:val="3"/>
        <w:rPr>
          <w:rFonts w:hint="eastAsia" w:ascii="仿宋" w:hAnsi="仿宋" w:eastAsia="仿宋" w:cs="仿宋"/>
          <w:b/>
          <w:color w:val="auto"/>
          <w:sz w:val="21"/>
          <w:szCs w:val="21"/>
          <w:highlight w:val="none"/>
        </w:rPr>
      </w:pPr>
      <w:bookmarkStart w:id="1704" w:name="_Toc532375642"/>
      <w:bookmarkStart w:id="1705" w:name="_Toc532377378"/>
      <w:bookmarkStart w:id="1706" w:name="_Toc351203643"/>
      <w:r>
        <w:rPr>
          <w:rFonts w:hint="eastAsia" w:ascii="仿宋" w:hAnsi="仿宋" w:eastAsia="仿宋" w:cs="仿宋"/>
          <w:b/>
          <w:bCs/>
          <w:color w:val="auto"/>
          <w:sz w:val="21"/>
          <w:szCs w:val="21"/>
          <w:highlight w:val="none"/>
        </w:rPr>
        <w:t>11. 价格调整</w:t>
      </w:r>
      <w:bookmarkEnd w:id="1704"/>
      <w:bookmarkEnd w:id="1705"/>
      <w:bookmarkEnd w:id="1706"/>
    </w:p>
    <w:p w14:paraId="2B4A64B2">
      <w:pPr>
        <w:widowControl/>
        <w:spacing w:line="440" w:lineRule="exact"/>
        <w:ind w:firstLine="422" w:firstLineChars="200"/>
        <w:jc w:val="left"/>
        <w:outlineLvl w:val="4"/>
        <w:rPr>
          <w:rFonts w:hint="eastAsia" w:ascii="仿宋" w:hAnsi="仿宋" w:eastAsia="仿宋" w:cs="仿宋"/>
          <w:b/>
          <w:bCs/>
          <w:color w:val="auto"/>
          <w:kern w:val="0"/>
          <w:sz w:val="21"/>
          <w:szCs w:val="21"/>
          <w:highlight w:val="none"/>
        </w:rPr>
      </w:pPr>
      <w:bookmarkStart w:id="1707" w:name="_Toc532375643"/>
      <w:bookmarkStart w:id="1708" w:name="_Toc532377379"/>
      <w:bookmarkStart w:id="1709" w:name="_Toc304295577"/>
      <w:bookmarkStart w:id="1710" w:name="_Toc297216209"/>
      <w:bookmarkStart w:id="1711" w:name="_Toc312678039"/>
      <w:bookmarkStart w:id="1712" w:name="_Toc292559911"/>
      <w:bookmarkStart w:id="1713" w:name="_Toc296891029"/>
      <w:bookmarkStart w:id="1714" w:name="_Toc300935000"/>
      <w:bookmarkStart w:id="1715" w:name="_Toc296891241"/>
      <w:bookmarkStart w:id="1716" w:name="_Toc296503201"/>
      <w:bookmarkStart w:id="1717" w:name="_Toc296347200"/>
      <w:bookmarkStart w:id="1718" w:name="_Toc297123550"/>
      <w:bookmarkStart w:id="1719" w:name="_Toc296346702"/>
      <w:bookmarkStart w:id="1720" w:name="_Toc296944540"/>
      <w:bookmarkStart w:id="1721" w:name="_Toc292559406"/>
      <w:bookmarkStart w:id="1722" w:name="_Toc297048387"/>
      <w:bookmarkStart w:id="1723" w:name="_Toc297120501"/>
      <w:bookmarkStart w:id="1724" w:name="_Toc303539157"/>
      <w:r>
        <w:rPr>
          <w:rFonts w:hint="eastAsia" w:ascii="仿宋" w:hAnsi="仿宋" w:eastAsia="仿宋" w:cs="仿宋"/>
          <w:b/>
          <w:bCs/>
          <w:color w:val="auto"/>
          <w:kern w:val="0"/>
          <w:sz w:val="21"/>
          <w:szCs w:val="21"/>
          <w:highlight w:val="none"/>
        </w:rPr>
        <w:t>11.1 市场价格波动引起的调整</w:t>
      </w:r>
      <w:bookmarkEnd w:id="1707"/>
      <w:bookmarkEnd w:id="1708"/>
    </w:p>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p w14:paraId="6005D974">
      <w:pPr>
        <w:spacing w:line="440" w:lineRule="exact"/>
        <w:ind w:firstLine="420" w:firstLineChars="200"/>
        <w:jc w:val="left"/>
        <w:rPr>
          <w:rFonts w:hint="eastAsia" w:ascii="仿宋" w:hAnsi="仿宋" w:eastAsia="仿宋" w:cs="仿宋"/>
          <w:color w:val="auto"/>
          <w:sz w:val="21"/>
          <w:szCs w:val="21"/>
          <w:highlight w:val="none"/>
        </w:rPr>
      </w:pPr>
      <w:bookmarkStart w:id="1725" w:name="_Toc466913963"/>
      <w:bookmarkStart w:id="1726" w:name="_Toc466911545"/>
      <w:bookmarkStart w:id="1727" w:name="_Toc466913513"/>
      <w:bookmarkStart w:id="1728" w:name="_Toc467689641"/>
      <w:r>
        <w:rPr>
          <w:rFonts w:hint="eastAsia" w:ascii="仿宋" w:hAnsi="仿宋" w:eastAsia="仿宋" w:cs="仿宋"/>
          <w:color w:val="auto"/>
          <w:sz w:val="21"/>
          <w:szCs w:val="21"/>
          <w:highlight w:val="none"/>
        </w:rPr>
        <w:t>市场价格波动是否调整合同价格的约定：</w:t>
      </w:r>
      <w:r>
        <w:rPr>
          <w:rFonts w:hint="eastAsia" w:ascii="仿宋" w:hAnsi="仿宋" w:eastAsia="仿宋" w:cs="仿宋"/>
          <w:color w:val="auto"/>
          <w:sz w:val="21"/>
          <w:szCs w:val="21"/>
          <w:highlight w:val="none"/>
          <w:u w:val="single"/>
        </w:rPr>
        <w:t>不调整合同价格，风险费用由承包人自行考虑后纳入签约合同价格中，包干使用</w:t>
      </w:r>
      <w:r>
        <w:rPr>
          <w:rFonts w:hint="eastAsia" w:ascii="仿宋" w:hAnsi="仿宋" w:eastAsia="仿宋" w:cs="仿宋"/>
          <w:color w:val="auto"/>
          <w:sz w:val="21"/>
          <w:szCs w:val="21"/>
          <w:highlight w:val="none"/>
        </w:rPr>
        <w:t>。</w:t>
      </w:r>
    </w:p>
    <w:bookmarkEnd w:id="1587"/>
    <w:bookmarkEnd w:id="1588"/>
    <w:bookmarkEnd w:id="1589"/>
    <w:bookmarkEnd w:id="1590"/>
    <w:bookmarkEnd w:id="1591"/>
    <w:bookmarkEnd w:id="1592"/>
    <w:bookmarkEnd w:id="1725"/>
    <w:bookmarkEnd w:id="1726"/>
    <w:bookmarkEnd w:id="1727"/>
    <w:bookmarkEnd w:id="1728"/>
    <w:p w14:paraId="5B741A58">
      <w:pPr>
        <w:widowControl/>
        <w:spacing w:line="440" w:lineRule="exact"/>
        <w:ind w:firstLine="422" w:firstLineChars="200"/>
        <w:jc w:val="left"/>
        <w:outlineLvl w:val="4"/>
        <w:rPr>
          <w:rFonts w:hint="eastAsia" w:ascii="仿宋" w:hAnsi="仿宋" w:eastAsia="仿宋" w:cs="仿宋"/>
          <w:b/>
          <w:bCs/>
          <w:color w:val="auto"/>
          <w:kern w:val="0"/>
          <w:sz w:val="21"/>
          <w:szCs w:val="21"/>
          <w:highlight w:val="none"/>
        </w:rPr>
      </w:pPr>
      <w:bookmarkStart w:id="1729" w:name="_Toc532377380"/>
      <w:bookmarkStart w:id="1730" w:name="_Toc532375644"/>
      <w:bookmarkStart w:id="1731" w:name="_Hlk528928232"/>
      <w:bookmarkStart w:id="1732" w:name="_Toc297048391"/>
      <w:bookmarkStart w:id="1733" w:name="_Toc296503205"/>
      <w:bookmarkStart w:id="1734" w:name="_Toc292559915"/>
      <w:bookmarkStart w:id="1735" w:name="_Toc296891033"/>
      <w:bookmarkStart w:id="1736" w:name="_Toc296347204"/>
      <w:bookmarkStart w:id="1737" w:name="_Toc297120505"/>
      <w:bookmarkStart w:id="1738" w:name="_Toc292559410"/>
      <w:bookmarkStart w:id="1739" w:name="_Toc296346706"/>
      <w:bookmarkStart w:id="1740" w:name="_Toc296891245"/>
      <w:bookmarkStart w:id="1741" w:name="_Toc296944544"/>
      <w:bookmarkStart w:id="1742" w:name="_Toc351203644"/>
      <w:bookmarkStart w:id="1743" w:name="_Toc303539159"/>
      <w:bookmarkStart w:id="1744" w:name="_Toc300935002"/>
      <w:bookmarkStart w:id="1745" w:name="_Toc297216211"/>
      <w:bookmarkStart w:id="1746" w:name="_Toc312678040"/>
      <w:bookmarkStart w:id="1747" w:name="_Toc297123552"/>
      <w:bookmarkStart w:id="1748" w:name="_Toc304295579"/>
      <w:r>
        <w:rPr>
          <w:rFonts w:hint="eastAsia" w:ascii="仿宋" w:hAnsi="仿宋" w:eastAsia="仿宋" w:cs="仿宋"/>
          <w:b/>
          <w:bCs/>
          <w:color w:val="auto"/>
          <w:kern w:val="0"/>
          <w:sz w:val="21"/>
          <w:szCs w:val="21"/>
          <w:highlight w:val="none"/>
        </w:rPr>
        <w:t>11.2 法律变化引起的调整</w:t>
      </w:r>
      <w:bookmarkEnd w:id="1729"/>
      <w:bookmarkEnd w:id="1730"/>
    </w:p>
    <w:p w14:paraId="10238EB1">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项目投标基准日至竣工验收合格之日，国家或相关行政主管部门发布直接影响项目的新法规、新政策、新文件、新标准，属强制执行的，自执行之日执行，由此增减的费用由发包人承担，估价照第10.4.1项〔变更估价原则〕执行；属选择性执行的，发包人与承包人协商解决。</w:t>
      </w:r>
    </w:p>
    <w:p w14:paraId="3F25E548">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本条补充11.3款</w:t>
      </w:r>
    </w:p>
    <w:bookmarkEnd w:id="1731"/>
    <w:p w14:paraId="2BD9D1DA">
      <w:pPr>
        <w:widowControl/>
        <w:spacing w:line="440" w:lineRule="exact"/>
        <w:ind w:firstLine="422" w:firstLineChars="200"/>
        <w:jc w:val="left"/>
        <w:outlineLvl w:val="4"/>
        <w:rPr>
          <w:rFonts w:hint="eastAsia" w:ascii="仿宋" w:hAnsi="仿宋" w:eastAsia="仿宋" w:cs="仿宋"/>
          <w:b/>
          <w:bCs/>
          <w:color w:val="auto"/>
          <w:kern w:val="0"/>
          <w:sz w:val="21"/>
          <w:szCs w:val="21"/>
          <w:highlight w:val="none"/>
        </w:rPr>
      </w:pPr>
      <w:bookmarkStart w:id="1749" w:name="_Toc532375645"/>
      <w:bookmarkStart w:id="1750" w:name="_Toc532377381"/>
      <w:r>
        <w:rPr>
          <w:rFonts w:hint="eastAsia" w:ascii="仿宋" w:hAnsi="仿宋" w:eastAsia="仿宋" w:cs="仿宋"/>
          <w:b/>
          <w:bCs/>
          <w:color w:val="auto"/>
          <w:kern w:val="0"/>
          <w:sz w:val="21"/>
          <w:szCs w:val="21"/>
          <w:highlight w:val="none"/>
        </w:rPr>
        <w:t>11.3 严重不平衡报价引起的调整</w:t>
      </w:r>
      <w:bookmarkEnd w:id="1749"/>
      <w:bookmarkEnd w:id="1750"/>
    </w:p>
    <w:p w14:paraId="5E5451BD">
      <w:pPr>
        <w:spacing w:line="440" w:lineRule="exact"/>
        <w:ind w:firstLine="420" w:firstLineChars="200"/>
        <w:jc w:val="left"/>
        <w:rPr>
          <w:rFonts w:hint="eastAsia" w:ascii="仿宋" w:hAnsi="仿宋" w:eastAsia="仿宋" w:cs="仿宋"/>
          <w:color w:val="auto"/>
          <w:sz w:val="21"/>
          <w:szCs w:val="21"/>
          <w:highlight w:val="none"/>
          <w:u w:val="single"/>
        </w:rPr>
      </w:pPr>
      <w:r>
        <w:rPr>
          <w:rFonts w:hint="eastAsia" w:ascii="仿宋" w:hAnsi="仿宋" w:eastAsia="仿宋" w:cs="仿宋"/>
          <w:color w:val="auto"/>
          <w:sz w:val="21"/>
          <w:szCs w:val="21"/>
          <w:highlight w:val="none"/>
          <w:u w:val="single"/>
        </w:rPr>
        <w:t>合同履行期间，当按第12.3.1项〔计量原则〕约定确认的完成工程量比已标价工程量清单载明工程量增加超过15%，且发包人发现承包人的已标价工程量清单相关清单子目中有严重不平衡报价的。超过已标价工程量清单载明工程量15%的部分，发包人将对严重不平衡报价的清单子目综合单价进行修正，并按修正综合单价办理竣工结算，修正综合单价按照第10.4.1项〔变更估价原则〕（3）目约定执行</w:t>
      </w:r>
      <w:r>
        <w:rPr>
          <w:rFonts w:hint="eastAsia" w:ascii="仿宋" w:hAnsi="仿宋" w:eastAsia="仿宋" w:cs="仿宋"/>
          <w:color w:val="auto"/>
          <w:sz w:val="21"/>
          <w:szCs w:val="21"/>
          <w:highlight w:val="none"/>
        </w:rPr>
        <w:t>。</w:t>
      </w:r>
    </w:p>
    <w:p w14:paraId="63D0ACAE">
      <w:pPr>
        <w:spacing w:line="440" w:lineRule="exact"/>
        <w:ind w:firstLine="420" w:firstLineChars="200"/>
        <w:jc w:val="left"/>
        <w:rPr>
          <w:rFonts w:hint="eastAsia" w:ascii="仿宋" w:hAnsi="仿宋" w:eastAsia="仿宋" w:cs="仿宋"/>
          <w:color w:val="auto"/>
          <w:sz w:val="21"/>
          <w:szCs w:val="21"/>
          <w:highlight w:val="none"/>
          <w:u w:val="single"/>
        </w:rPr>
      </w:pPr>
      <w:r>
        <w:rPr>
          <w:rFonts w:hint="eastAsia" w:ascii="仿宋" w:hAnsi="仿宋" w:eastAsia="仿宋" w:cs="仿宋"/>
          <w:color w:val="auto"/>
          <w:sz w:val="21"/>
          <w:szCs w:val="21"/>
          <w:highlight w:val="none"/>
          <w:u w:val="single"/>
        </w:rPr>
        <w:t>严重不平衡报价是指：清单子目综合单价与发包人按照第10.4.1项〔变更估价原则〕（3）目约定确定的综合单价相比，高于50%（即严重不平衡报价清单子目综合单价 - 按照第10.4.1项〔变更估价原则〕（3）目约定确定的综合单价）/按照第10.4.1项〔变更估价原则〕（3）目约定确定的综合单价×100%</w:t>
      </w:r>
      <w:r>
        <w:rPr>
          <w:rFonts w:hint="eastAsia" w:ascii="仿宋" w:hAnsi="仿宋" w:eastAsia="仿宋" w:cs="仿宋"/>
          <w:color w:val="auto"/>
          <w:sz w:val="21"/>
          <w:szCs w:val="21"/>
          <w:highlight w:val="none"/>
        </w:rPr>
        <w:t>。</w:t>
      </w:r>
    </w:p>
    <w:p w14:paraId="577D7410">
      <w:pPr>
        <w:keepNext/>
        <w:keepLines/>
        <w:widowControl/>
        <w:spacing w:before="120" w:beforeLines="50" w:after="120" w:afterLines="50" w:line="440" w:lineRule="exact"/>
        <w:outlineLvl w:val="3"/>
        <w:rPr>
          <w:rFonts w:hint="eastAsia" w:ascii="仿宋" w:hAnsi="仿宋" w:eastAsia="仿宋" w:cs="仿宋"/>
          <w:b/>
          <w:color w:val="auto"/>
          <w:sz w:val="21"/>
          <w:szCs w:val="21"/>
          <w:highlight w:val="none"/>
        </w:rPr>
      </w:pPr>
      <w:bookmarkStart w:id="1751" w:name="_Toc532375646"/>
      <w:bookmarkStart w:id="1752" w:name="_Toc532377382"/>
      <w:r>
        <w:rPr>
          <w:rFonts w:hint="eastAsia" w:ascii="仿宋" w:hAnsi="仿宋" w:eastAsia="仿宋" w:cs="仿宋"/>
          <w:b/>
          <w:bCs/>
          <w:color w:val="auto"/>
          <w:sz w:val="21"/>
          <w:szCs w:val="21"/>
          <w:highlight w:val="none"/>
        </w:rPr>
        <w:t xml:space="preserve">12. </w:t>
      </w:r>
      <w:bookmarkEnd w:id="1732"/>
      <w:bookmarkEnd w:id="1733"/>
      <w:bookmarkEnd w:id="1734"/>
      <w:bookmarkEnd w:id="1735"/>
      <w:bookmarkEnd w:id="1736"/>
      <w:bookmarkEnd w:id="1737"/>
      <w:bookmarkEnd w:id="1738"/>
      <w:bookmarkEnd w:id="1739"/>
      <w:bookmarkEnd w:id="1740"/>
      <w:bookmarkEnd w:id="1741"/>
      <w:r>
        <w:rPr>
          <w:rFonts w:hint="eastAsia" w:ascii="仿宋" w:hAnsi="仿宋" w:eastAsia="仿宋" w:cs="仿宋"/>
          <w:b/>
          <w:bCs/>
          <w:color w:val="auto"/>
          <w:sz w:val="21"/>
          <w:szCs w:val="21"/>
          <w:highlight w:val="none"/>
        </w:rPr>
        <w:t>合同价格、计量与支付</w:t>
      </w:r>
      <w:bookmarkEnd w:id="1742"/>
      <w:bookmarkEnd w:id="1751"/>
      <w:bookmarkEnd w:id="1752"/>
    </w:p>
    <w:bookmarkEnd w:id="1743"/>
    <w:bookmarkEnd w:id="1744"/>
    <w:bookmarkEnd w:id="1745"/>
    <w:bookmarkEnd w:id="1746"/>
    <w:bookmarkEnd w:id="1747"/>
    <w:bookmarkEnd w:id="1748"/>
    <w:p w14:paraId="02DA7663">
      <w:pPr>
        <w:widowControl/>
        <w:spacing w:line="440" w:lineRule="exact"/>
        <w:ind w:firstLine="422" w:firstLineChars="200"/>
        <w:jc w:val="left"/>
        <w:outlineLvl w:val="4"/>
        <w:rPr>
          <w:rFonts w:hint="eastAsia" w:ascii="仿宋" w:hAnsi="仿宋" w:eastAsia="仿宋" w:cs="仿宋"/>
          <w:b/>
          <w:bCs/>
          <w:color w:val="auto"/>
          <w:kern w:val="0"/>
          <w:sz w:val="21"/>
          <w:szCs w:val="21"/>
          <w:highlight w:val="none"/>
        </w:rPr>
      </w:pPr>
      <w:bookmarkStart w:id="1753" w:name="_Toc292559916"/>
      <w:bookmarkStart w:id="1754" w:name="_Toc267251461"/>
      <w:bookmarkStart w:id="1755" w:name="_Toc292559411"/>
      <w:bookmarkStart w:id="1756" w:name="_Toc296503206"/>
      <w:bookmarkStart w:id="1757" w:name="_Toc296944545"/>
      <w:bookmarkStart w:id="1758" w:name="_Toc296891034"/>
      <w:bookmarkStart w:id="1759" w:name="_Toc297120506"/>
      <w:bookmarkStart w:id="1760" w:name="_Toc296347205"/>
      <w:bookmarkStart w:id="1761" w:name="_Toc296891246"/>
      <w:bookmarkStart w:id="1762" w:name="_Toc296346707"/>
      <w:bookmarkStart w:id="1763" w:name="_Toc297048392"/>
      <w:bookmarkStart w:id="1764" w:name="_Toc532375647"/>
      <w:bookmarkStart w:id="1765" w:name="_Toc532377383"/>
      <w:bookmarkStart w:id="1766" w:name="_Toc303539160"/>
      <w:bookmarkStart w:id="1767" w:name="_Toc312678041"/>
      <w:bookmarkStart w:id="1768" w:name="_Toc304295580"/>
      <w:bookmarkStart w:id="1769" w:name="_Toc300935003"/>
      <w:bookmarkStart w:id="1770" w:name="_Toc297123553"/>
      <w:bookmarkStart w:id="1771" w:name="_Toc297216212"/>
      <w:r>
        <w:rPr>
          <w:rFonts w:hint="eastAsia" w:ascii="仿宋" w:hAnsi="仿宋" w:eastAsia="仿宋" w:cs="仿宋"/>
          <w:b/>
          <w:bCs/>
          <w:color w:val="auto"/>
          <w:kern w:val="0"/>
          <w:sz w:val="21"/>
          <w:szCs w:val="21"/>
          <w:highlight w:val="none"/>
        </w:rPr>
        <w:t>12.1 合</w:t>
      </w:r>
      <w:bookmarkEnd w:id="1753"/>
      <w:bookmarkEnd w:id="1754"/>
      <w:bookmarkEnd w:id="1755"/>
      <w:r>
        <w:rPr>
          <w:rFonts w:hint="eastAsia" w:ascii="仿宋" w:hAnsi="仿宋" w:eastAsia="仿宋" w:cs="仿宋"/>
          <w:b/>
          <w:bCs/>
          <w:color w:val="auto"/>
          <w:kern w:val="0"/>
          <w:sz w:val="21"/>
          <w:szCs w:val="21"/>
          <w:highlight w:val="none"/>
        </w:rPr>
        <w:t>同价</w:t>
      </w:r>
      <w:bookmarkEnd w:id="1756"/>
      <w:bookmarkEnd w:id="1757"/>
      <w:bookmarkEnd w:id="1758"/>
      <w:bookmarkEnd w:id="1759"/>
      <w:bookmarkEnd w:id="1760"/>
      <w:bookmarkEnd w:id="1761"/>
      <w:bookmarkEnd w:id="1762"/>
      <w:bookmarkEnd w:id="1763"/>
      <w:r>
        <w:rPr>
          <w:rFonts w:hint="eastAsia" w:ascii="仿宋" w:hAnsi="仿宋" w:eastAsia="仿宋" w:cs="仿宋"/>
          <w:b/>
          <w:bCs/>
          <w:color w:val="auto"/>
          <w:kern w:val="0"/>
          <w:sz w:val="21"/>
          <w:szCs w:val="21"/>
          <w:highlight w:val="none"/>
        </w:rPr>
        <w:t>格形式</w:t>
      </w:r>
      <w:bookmarkEnd w:id="1764"/>
      <w:bookmarkEnd w:id="1765"/>
    </w:p>
    <w:bookmarkEnd w:id="1766"/>
    <w:bookmarkEnd w:id="1767"/>
    <w:bookmarkEnd w:id="1768"/>
    <w:bookmarkEnd w:id="1769"/>
    <w:bookmarkEnd w:id="1770"/>
    <w:bookmarkEnd w:id="1771"/>
    <w:p w14:paraId="11FC6F03">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1、综合单价合同。</w:t>
      </w:r>
    </w:p>
    <w:p w14:paraId="1C3B7EAA">
      <w:pPr>
        <w:spacing w:line="440" w:lineRule="exact"/>
        <w:ind w:firstLine="420" w:firstLineChars="200"/>
        <w:jc w:val="left"/>
        <w:rPr>
          <w:rFonts w:hint="eastAsia" w:ascii="仿宋" w:hAnsi="仿宋" w:eastAsia="仿宋" w:cs="仿宋"/>
          <w:color w:val="auto"/>
          <w:sz w:val="21"/>
          <w:szCs w:val="21"/>
          <w:highlight w:val="none"/>
          <w:u w:val="single"/>
        </w:rPr>
      </w:pPr>
      <w:r>
        <w:rPr>
          <w:rFonts w:hint="eastAsia" w:ascii="仿宋" w:hAnsi="仿宋" w:eastAsia="仿宋" w:cs="仿宋"/>
          <w:color w:val="auto"/>
          <w:sz w:val="21"/>
          <w:szCs w:val="21"/>
          <w:highlight w:val="none"/>
        </w:rPr>
        <w:t>综合单价包含的风险范围：</w:t>
      </w:r>
      <w:r>
        <w:rPr>
          <w:rFonts w:hint="eastAsia" w:ascii="仿宋" w:hAnsi="仿宋" w:eastAsia="仿宋" w:cs="仿宋"/>
          <w:color w:val="auto"/>
          <w:sz w:val="21"/>
          <w:szCs w:val="21"/>
          <w:highlight w:val="none"/>
          <w:u w:val="single"/>
        </w:rPr>
        <w:t>包括但不限于为实施和完成合同工程所需的人工费、材料费、施工机具使用费、企业管理费、利润、风险费、施工技术措施项目费、施工组织措施项目费及缺陷修复等费用，以及</w:t>
      </w:r>
      <w:bookmarkStart w:id="1772" w:name="_Hlk528508096"/>
      <w:r>
        <w:rPr>
          <w:rFonts w:hint="eastAsia" w:ascii="仿宋" w:hAnsi="仿宋" w:eastAsia="仿宋" w:cs="仿宋"/>
          <w:color w:val="auto"/>
          <w:sz w:val="21"/>
          <w:szCs w:val="21"/>
          <w:highlight w:val="none"/>
          <w:u w:val="single"/>
        </w:rPr>
        <w:t>第11.1款〔市场价格波动引起的调整〕约定范围内的市场价格波动风险、政策性文件规定的各项应有费用、</w:t>
      </w:r>
      <w:bookmarkEnd w:id="1772"/>
      <w:r>
        <w:rPr>
          <w:rFonts w:hint="eastAsia" w:ascii="仿宋" w:hAnsi="仿宋" w:eastAsia="仿宋" w:cs="仿宋"/>
          <w:color w:val="auto"/>
          <w:sz w:val="21"/>
          <w:szCs w:val="21"/>
          <w:highlight w:val="none"/>
          <w:u w:val="single"/>
        </w:rPr>
        <w:t>招标文件和合同明示或暗示的应由承包人承担的所有责任、义务和风险等所需的费用</w:t>
      </w:r>
      <w:r>
        <w:rPr>
          <w:rFonts w:hint="eastAsia" w:ascii="仿宋" w:hAnsi="仿宋" w:eastAsia="仿宋" w:cs="仿宋"/>
          <w:color w:val="auto"/>
          <w:sz w:val="21"/>
          <w:szCs w:val="21"/>
          <w:highlight w:val="none"/>
        </w:rPr>
        <w:t>。</w:t>
      </w:r>
    </w:p>
    <w:p w14:paraId="31770F8F">
      <w:pPr>
        <w:spacing w:line="440" w:lineRule="exact"/>
        <w:ind w:firstLine="420" w:firstLineChars="200"/>
        <w:jc w:val="left"/>
        <w:rPr>
          <w:rFonts w:hint="eastAsia" w:ascii="仿宋" w:hAnsi="仿宋" w:eastAsia="仿宋" w:cs="仿宋"/>
          <w:color w:val="auto"/>
          <w:sz w:val="21"/>
          <w:szCs w:val="21"/>
          <w:highlight w:val="none"/>
          <w:u w:val="single"/>
        </w:rPr>
      </w:pPr>
      <w:r>
        <w:rPr>
          <w:rFonts w:hint="eastAsia" w:ascii="仿宋" w:hAnsi="仿宋" w:eastAsia="仿宋" w:cs="仿宋"/>
          <w:color w:val="auto"/>
          <w:sz w:val="21"/>
          <w:szCs w:val="21"/>
          <w:highlight w:val="none"/>
        </w:rPr>
        <w:t>风险费用的计算方法：</w:t>
      </w:r>
      <w:r>
        <w:rPr>
          <w:rFonts w:hint="eastAsia" w:ascii="仿宋" w:hAnsi="仿宋" w:eastAsia="仿宋" w:cs="仿宋"/>
          <w:color w:val="auto"/>
          <w:sz w:val="21"/>
          <w:szCs w:val="21"/>
          <w:highlight w:val="none"/>
          <w:u w:val="single"/>
        </w:rPr>
        <w:t>由承包人自行考虑并计入签约合同价格中，包干使用</w:t>
      </w:r>
      <w:r>
        <w:rPr>
          <w:rFonts w:hint="eastAsia" w:ascii="仿宋" w:hAnsi="仿宋" w:eastAsia="仿宋" w:cs="仿宋"/>
          <w:color w:val="auto"/>
          <w:sz w:val="21"/>
          <w:szCs w:val="21"/>
          <w:highlight w:val="none"/>
        </w:rPr>
        <w:t>。</w:t>
      </w:r>
    </w:p>
    <w:p w14:paraId="3F9CA595">
      <w:pPr>
        <w:spacing w:line="440" w:lineRule="exact"/>
        <w:ind w:firstLine="420" w:firstLineChars="200"/>
        <w:jc w:val="left"/>
        <w:rPr>
          <w:rFonts w:hint="eastAsia" w:ascii="仿宋" w:hAnsi="仿宋" w:eastAsia="仿宋" w:cs="仿宋"/>
          <w:color w:val="auto"/>
          <w:sz w:val="21"/>
          <w:szCs w:val="21"/>
          <w:highlight w:val="none"/>
          <w:u w:val="single"/>
        </w:rPr>
      </w:pPr>
      <w:r>
        <w:rPr>
          <w:rFonts w:hint="eastAsia" w:ascii="仿宋" w:hAnsi="仿宋" w:eastAsia="仿宋" w:cs="仿宋"/>
          <w:color w:val="auto"/>
          <w:sz w:val="21"/>
          <w:szCs w:val="21"/>
          <w:highlight w:val="none"/>
        </w:rPr>
        <w:t>风险范围以外合同价格的调整方法：</w:t>
      </w:r>
      <w:r>
        <w:rPr>
          <w:rFonts w:hint="eastAsia" w:ascii="仿宋" w:hAnsi="仿宋" w:eastAsia="仿宋" w:cs="仿宋"/>
          <w:color w:val="auto"/>
          <w:sz w:val="21"/>
          <w:szCs w:val="21"/>
          <w:highlight w:val="none"/>
          <w:u w:val="single"/>
        </w:rPr>
        <w:t>按照合同相关条款约定执行</w:t>
      </w:r>
      <w:r>
        <w:rPr>
          <w:rFonts w:hint="eastAsia" w:ascii="仿宋" w:hAnsi="仿宋" w:eastAsia="仿宋" w:cs="仿宋"/>
          <w:color w:val="auto"/>
          <w:sz w:val="21"/>
          <w:szCs w:val="21"/>
          <w:highlight w:val="none"/>
        </w:rPr>
        <w:t>。</w:t>
      </w:r>
    </w:p>
    <w:p w14:paraId="77892DA7">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2、总价合同。</w:t>
      </w:r>
    </w:p>
    <w:p w14:paraId="64A9486A">
      <w:pPr>
        <w:spacing w:line="440" w:lineRule="exact"/>
        <w:ind w:firstLine="420" w:firstLineChars="200"/>
        <w:jc w:val="left"/>
        <w:rPr>
          <w:rFonts w:hint="eastAsia" w:ascii="仿宋" w:hAnsi="仿宋" w:eastAsia="仿宋" w:cs="仿宋"/>
          <w:color w:val="auto"/>
          <w:sz w:val="21"/>
          <w:szCs w:val="21"/>
          <w:highlight w:val="none"/>
          <w:u w:val="single"/>
        </w:rPr>
      </w:pPr>
      <w:r>
        <w:rPr>
          <w:rFonts w:hint="eastAsia" w:ascii="仿宋" w:hAnsi="仿宋" w:eastAsia="仿宋" w:cs="仿宋"/>
          <w:color w:val="auto"/>
          <w:sz w:val="21"/>
          <w:szCs w:val="21"/>
          <w:highlight w:val="none"/>
        </w:rPr>
        <w:t>总价包含的风险范围：</w:t>
      </w:r>
      <w:r>
        <w:rPr>
          <w:rFonts w:hint="eastAsia" w:ascii="仿宋" w:hAnsi="仿宋" w:eastAsia="仿宋" w:cs="仿宋"/>
          <w:color w:val="auto"/>
          <w:sz w:val="21"/>
          <w:szCs w:val="21"/>
          <w:highlight w:val="none"/>
          <w:u w:val="single"/>
        </w:rPr>
        <w:t>/</w:t>
      </w:r>
      <w:r>
        <w:rPr>
          <w:rFonts w:hint="eastAsia" w:ascii="仿宋" w:hAnsi="仿宋" w:eastAsia="仿宋" w:cs="仿宋"/>
          <w:color w:val="auto"/>
          <w:sz w:val="21"/>
          <w:szCs w:val="21"/>
          <w:highlight w:val="none"/>
        </w:rPr>
        <w:t>。</w:t>
      </w:r>
    </w:p>
    <w:p w14:paraId="4D4C0850">
      <w:pPr>
        <w:spacing w:line="440" w:lineRule="exact"/>
        <w:ind w:firstLine="420" w:firstLineChars="200"/>
        <w:jc w:val="left"/>
        <w:rPr>
          <w:rFonts w:hint="eastAsia" w:ascii="仿宋" w:hAnsi="仿宋" w:eastAsia="仿宋" w:cs="仿宋"/>
          <w:color w:val="auto"/>
          <w:sz w:val="21"/>
          <w:szCs w:val="21"/>
          <w:highlight w:val="none"/>
          <w:u w:val="single"/>
        </w:rPr>
      </w:pPr>
      <w:r>
        <w:rPr>
          <w:rFonts w:hint="eastAsia" w:ascii="仿宋" w:hAnsi="仿宋" w:eastAsia="仿宋" w:cs="仿宋"/>
          <w:color w:val="auto"/>
          <w:sz w:val="21"/>
          <w:szCs w:val="21"/>
          <w:highlight w:val="none"/>
        </w:rPr>
        <w:t>风险费用的计算方法：</w:t>
      </w:r>
      <w:r>
        <w:rPr>
          <w:rFonts w:hint="eastAsia" w:ascii="仿宋" w:hAnsi="仿宋" w:eastAsia="仿宋" w:cs="仿宋"/>
          <w:color w:val="auto"/>
          <w:sz w:val="21"/>
          <w:szCs w:val="21"/>
          <w:highlight w:val="none"/>
          <w:u w:val="single"/>
        </w:rPr>
        <w:t>/</w:t>
      </w:r>
      <w:r>
        <w:rPr>
          <w:rFonts w:hint="eastAsia" w:ascii="仿宋" w:hAnsi="仿宋" w:eastAsia="仿宋" w:cs="仿宋"/>
          <w:color w:val="auto"/>
          <w:sz w:val="21"/>
          <w:szCs w:val="21"/>
          <w:highlight w:val="none"/>
        </w:rPr>
        <w:t>。</w:t>
      </w:r>
    </w:p>
    <w:p w14:paraId="78E7BDED">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风险范围以外合同价格的调整方法：</w:t>
      </w:r>
      <w:r>
        <w:rPr>
          <w:rFonts w:hint="eastAsia" w:ascii="仿宋" w:hAnsi="仿宋" w:eastAsia="仿宋" w:cs="仿宋"/>
          <w:color w:val="auto"/>
          <w:sz w:val="21"/>
          <w:szCs w:val="21"/>
          <w:highlight w:val="none"/>
          <w:u w:val="single"/>
        </w:rPr>
        <w:t>/</w:t>
      </w:r>
      <w:r>
        <w:rPr>
          <w:rFonts w:hint="eastAsia" w:ascii="仿宋" w:hAnsi="仿宋" w:eastAsia="仿宋" w:cs="仿宋"/>
          <w:color w:val="auto"/>
          <w:sz w:val="21"/>
          <w:szCs w:val="21"/>
          <w:highlight w:val="none"/>
        </w:rPr>
        <w:t>。</w:t>
      </w:r>
    </w:p>
    <w:p w14:paraId="6D6E1745">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3、其他价格方式：</w:t>
      </w:r>
      <w:r>
        <w:rPr>
          <w:rFonts w:hint="eastAsia" w:ascii="仿宋" w:hAnsi="仿宋" w:eastAsia="仿宋" w:cs="仿宋"/>
          <w:color w:val="auto"/>
          <w:sz w:val="21"/>
          <w:szCs w:val="21"/>
          <w:highlight w:val="none"/>
          <w:u w:val="single"/>
        </w:rPr>
        <w:t>不采用</w:t>
      </w:r>
      <w:r>
        <w:rPr>
          <w:rFonts w:hint="eastAsia" w:ascii="仿宋" w:hAnsi="仿宋" w:eastAsia="仿宋" w:cs="仿宋"/>
          <w:color w:val="auto"/>
          <w:sz w:val="21"/>
          <w:szCs w:val="21"/>
          <w:highlight w:val="none"/>
        </w:rPr>
        <w:t>。</w:t>
      </w:r>
    </w:p>
    <w:p w14:paraId="337F9ABE">
      <w:pPr>
        <w:widowControl/>
        <w:spacing w:line="440" w:lineRule="exact"/>
        <w:ind w:firstLine="422" w:firstLineChars="200"/>
        <w:jc w:val="left"/>
        <w:outlineLvl w:val="4"/>
        <w:rPr>
          <w:rFonts w:hint="eastAsia" w:ascii="仿宋" w:hAnsi="仿宋" w:eastAsia="仿宋" w:cs="仿宋"/>
          <w:b/>
          <w:bCs/>
          <w:color w:val="auto"/>
          <w:kern w:val="0"/>
          <w:sz w:val="21"/>
          <w:szCs w:val="21"/>
          <w:highlight w:val="none"/>
        </w:rPr>
      </w:pPr>
      <w:bookmarkStart w:id="1773" w:name="_Toc532375648"/>
      <w:bookmarkStart w:id="1774" w:name="_Toc532377384"/>
      <w:bookmarkStart w:id="1775" w:name="_Toc297216213"/>
      <w:bookmarkStart w:id="1776" w:name="_Toc300935004"/>
      <w:bookmarkStart w:id="1777" w:name="_Toc297123554"/>
      <w:bookmarkStart w:id="1778" w:name="_Toc304295581"/>
      <w:bookmarkStart w:id="1779" w:name="_Toc312678042"/>
      <w:bookmarkStart w:id="1780" w:name="_Toc303539161"/>
      <w:bookmarkStart w:id="1781" w:name="_Toc296346708"/>
      <w:bookmarkStart w:id="1782" w:name="_Toc296347206"/>
      <w:bookmarkStart w:id="1783" w:name="_Toc292559917"/>
      <w:bookmarkStart w:id="1784" w:name="_Toc297120507"/>
      <w:bookmarkStart w:id="1785" w:name="_Toc297048393"/>
      <w:bookmarkStart w:id="1786" w:name="_Toc296944546"/>
      <w:bookmarkStart w:id="1787" w:name="_Toc296503207"/>
      <w:bookmarkStart w:id="1788" w:name="_Toc292559412"/>
      <w:bookmarkStart w:id="1789" w:name="_Toc296891035"/>
      <w:bookmarkStart w:id="1790" w:name="_Toc296891247"/>
      <w:r>
        <w:rPr>
          <w:rFonts w:hint="eastAsia" w:ascii="仿宋" w:hAnsi="仿宋" w:eastAsia="仿宋" w:cs="仿宋"/>
          <w:b/>
          <w:bCs/>
          <w:color w:val="auto"/>
          <w:kern w:val="0"/>
          <w:sz w:val="21"/>
          <w:szCs w:val="21"/>
          <w:highlight w:val="none"/>
        </w:rPr>
        <w:t>12.2 预付款</w:t>
      </w:r>
      <w:bookmarkEnd w:id="1773"/>
      <w:bookmarkEnd w:id="1774"/>
    </w:p>
    <w:bookmarkEnd w:id="1775"/>
    <w:bookmarkEnd w:id="1776"/>
    <w:bookmarkEnd w:id="1777"/>
    <w:bookmarkEnd w:id="1778"/>
    <w:bookmarkEnd w:id="1779"/>
    <w:bookmarkEnd w:id="1780"/>
    <w:p w14:paraId="41603B6C">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12.2.1 预付款的支付</w:t>
      </w:r>
    </w:p>
    <w:p w14:paraId="23D47441">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预付款支付比例或金额：</w:t>
      </w:r>
      <w:r>
        <w:rPr>
          <w:rFonts w:hint="eastAsia" w:ascii="仿宋" w:hAnsi="仿宋" w:eastAsia="仿宋" w:cs="仿宋"/>
          <w:color w:val="auto"/>
          <w:sz w:val="21"/>
          <w:szCs w:val="21"/>
          <w:highlight w:val="none"/>
          <w:u w:val="single"/>
        </w:rPr>
        <w:t xml:space="preserve">   无</w:t>
      </w:r>
      <w:r>
        <w:rPr>
          <w:rFonts w:hint="eastAsia" w:ascii="仿宋" w:hAnsi="仿宋" w:eastAsia="仿宋" w:cs="仿宋"/>
          <w:color w:val="auto"/>
          <w:sz w:val="21"/>
          <w:szCs w:val="21"/>
          <w:highlight w:val="none"/>
        </w:rPr>
        <w:t>。</w:t>
      </w:r>
    </w:p>
    <w:p w14:paraId="287CA92C">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预付款支付期限：</w:t>
      </w:r>
      <w:r>
        <w:rPr>
          <w:rFonts w:hint="eastAsia" w:ascii="仿宋" w:hAnsi="仿宋" w:eastAsia="仿宋" w:cs="仿宋"/>
          <w:color w:val="auto"/>
          <w:sz w:val="21"/>
          <w:szCs w:val="21"/>
          <w:highlight w:val="none"/>
          <w:u w:val="single"/>
        </w:rPr>
        <w:t xml:space="preserve">   /  </w:t>
      </w:r>
      <w:r>
        <w:rPr>
          <w:rFonts w:hint="eastAsia" w:ascii="仿宋" w:hAnsi="仿宋" w:eastAsia="仿宋" w:cs="仿宋"/>
          <w:color w:val="auto"/>
          <w:sz w:val="21"/>
          <w:szCs w:val="21"/>
          <w:highlight w:val="none"/>
        </w:rPr>
        <w:t xml:space="preserve"> 。</w:t>
      </w:r>
    </w:p>
    <w:p w14:paraId="5172C25E">
      <w:pPr>
        <w:spacing w:line="440" w:lineRule="exact"/>
        <w:ind w:firstLine="420" w:firstLineChars="200"/>
        <w:jc w:val="left"/>
        <w:rPr>
          <w:rFonts w:hint="eastAsia" w:ascii="仿宋" w:hAnsi="仿宋" w:eastAsia="仿宋" w:cs="仿宋"/>
          <w:color w:val="auto"/>
          <w:sz w:val="21"/>
          <w:szCs w:val="21"/>
          <w:highlight w:val="none"/>
          <w:u w:val="single"/>
        </w:rPr>
      </w:pPr>
      <w:r>
        <w:rPr>
          <w:rFonts w:hint="eastAsia" w:ascii="仿宋" w:hAnsi="仿宋" w:eastAsia="仿宋" w:cs="仿宋"/>
          <w:color w:val="auto"/>
          <w:sz w:val="21"/>
          <w:szCs w:val="21"/>
          <w:highlight w:val="none"/>
        </w:rPr>
        <w:t>预付款扣回的方式：</w:t>
      </w:r>
      <w:r>
        <w:rPr>
          <w:rFonts w:hint="eastAsia" w:ascii="仿宋" w:hAnsi="仿宋" w:eastAsia="仿宋" w:cs="仿宋"/>
          <w:color w:val="auto"/>
          <w:sz w:val="21"/>
          <w:szCs w:val="21"/>
          <w:highlight w:val="none"/>
          <w:u w:val="single"/>
        </w:rPr>
        <w:t xml:space="preserve">   /  </w:t>
      </w:r>
      <w:r>
        <w:rPr>
          <w:rFonts w:hint="eastAsia" w:ascii="仿宋" w:hAnsi="仿宋" w:eastAsia="仿宋" w:cs="仿宋"/>
          <w:color w:val="auto"/>
          <w:sz w:val="21"/>
          <w:szCs w:val="21"/>
          <w:highlight w:val="none"/>
        </w:rPr>
        <w:t>。</w:t>
      </w:r>
    </w:p>
    <w:p w14:paraId="3A9771A1">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12.2.2 预付款担保</w:t>
      </w:r>
    </w:p>
    <w:p w14:paraId="5EEF1364">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承包人提交预付款担保的期限：</w:t>
      </w:r>
      <w:r>
        <w:rPr>
          <w:rFonts w:hint="eastAsia" w:ascii="仿宋" w:hAnsi="仿宋" w:eastAsia="仿宋" w:cs="仿宋"/>
          <w:color w:val="auto"/>
          <w:sz w:val="21"/>
          <w:szCs w:val="21"/>
          <w:highlight w:val="none"/>
          <w:u w:val="single"/>
        </w:rPr>
        <w:t xml:space="preserve">  /    </w:t>
      </w:r>
      <w:r>
        <w:rPr>
          <w:rFonts w:hint="eastAsia" w:ascii="仿宋" w:hAnsi="仿宋" w:eastAsia="仿宋" w:cs="仿宋"/>
          <w:color w:val="auto"/>
          <w:sz w:val="21"/>
          <w:szCs w:val="21"/>
          <w:highlight w:val="none"/>
        </w:rPr>
        <w:t>。</w:t>
      </w:r>
    </w:p>
    <w:p w14:paraId="14C7BE5E">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预付款担保的形式为：</w:t>
      </w:r>
      <w:r>
        <w:rPr>
          <w:rFonts w:hint="eastAsia" w:ascii="仿宋" w:hAnsi="仿宋" w:eastAsia="仿宋" w:cs="仿宋"/>
          <w:color w:val="auto"/>
          <w:sz w:val="21"/>
          <w:szCs w:val="21"/>
          <w:highlight w:val="none"/>
          <w:u w:val="single"/>
        </w:rPr>
        <w:t xml:space="preserve">  /    </w:t>
      </w:r>
      <w:r>
        <w:rPr>
          <w:rFonts w:hint="eastAsia" w:ascii="仿宋" w:hAnsi="仿宋" w:eastAsia="仿宋" w:cs="仿宋"/>
          <w:color w:val="auto"/>
          <w:sz w:val="21"/>
          <w:szCs w:val="21"/>
          <w:highlight w:val="none"/>
        </w:rPr>
        <w:t>。</w:t>
      </w:r>
    </w:p>
    <w:p w14:paraId="4DDEEA39">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预付款担保的金额：</w:t>
      </w:r>
      <w:r>
        <w:rPr>
          <w:rFonts w:hint="eastAsia" w:ascii="仿宋" w:hAnsi="仿宋" w:eastAsia="仿宋" w:cs="仿宋"/>
          <w:color w:val="auto"/>
          <w:sz w:val="21"/>
          <w:szCs w:val="21"/>
          <w:highlight w:val="none"/>
          <w:u w:val="single"/>
        </w:rPr>
        <w:t xml:space="preserve">    /    </w:t>
      </w:r>
      <w:r>
        <w:rPr>
          <w:rFonts w:hint="eastAsia" w:ascii="仿宋" w:hAnsi="仿宋" w:eastAsia="仿宋" w:cs="仿宋"/>
          <w:color w:val="auto"/>
          <w:sz w:val="21"/>
          <w:szCs w:val="21"/>
          <w:highlight w:val="none"/>
        </w:rPr>
        <w:t>。</w:t>
      </w:r>
    </w:p>
    <w:p w14:paraId="7BCC70E2">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预付款担保的时间：</w:t>
      </w:r>
      <w:r>
        <w:rPr>
          <w:rFonts w:hint="eastAsia" w:ascii="仿宋" w:hAnsi="仿宋" w:eastAsia="仿宋" w:cs="仿宋"/>
          <w:color w:val="auto"/>
          <w:sz w:val="21"/>
          <w:szCs w:val="21"/>
          <w:highlight w:val="none"/>
          <w:u w:val="single"/>
        </w:rPr>
        <w:t xml:space="preserve">    /    </w:t>
      </w:r>
      <w:r>
        <w:rPr>
          <w:rFonts w:hint="eastAsia" w:ascii="仿宋" w:hAnsi="仿宋" w:eastAsia="仿宋" w:cs="仿宋"/>
          <w:color w:val="auto"/>
          <w:sz w:val="21"/>
          <w:szCs w:val="21"/>
          <w:highlight w:val="none"/>
        </w:rPr>
        <w:t>。</w:t>
      </w:r>
    </w:p>
    <w:p w14:paraId="6D1388AF">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预付款担保的期限：</w:t>
      </w:r>
      <w:r>
        <w:rPr>
          <w:rFonts w:hint="eastAsia" w:ascii="仿宋" w:hAnsi="仿宋" w:eastAsia="仿宋" w:cs="仿宋"/>
          <w:color w:val="auto"/>
          <w:sz w:val="21"/>
          <w:szCs w:val="21"/>
          <w:highlight w:val="none"/>
          <w:u w:val="single"/>
        </w:rPr>
        <w:t xml:space="preserve">     /   </w:t>
      </w:r>
      <w:r>
        <w:rPr>
          <w:rFonts w:hint="eastAsia" w:ascii="仿宋" w:hAnsi="仿宋" w:eastAsia="仿宋" w:cs="仿宋"/>
          <w:color w:val="auto"/>
          <w:sz w:val="21"/>
          <w:szCs w:val="21"/>
          <w:highlight w:val="none"/>
        </w:rPr>
        <w:t>。</w:t>
      </w:r>
    </w:p>
    <w:p w14:paraId="216F81B6">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预付款担保的退还时间：</w:t>
      </w:r>
      <w:r>
        <w:rPr>
          <w:rFonts w:hint="eastAsia" w:ascii="仿宋" w:hAnsi="仿宋" w:eastAsia="仿宋" w:cs="仿宋"/>
          <w:color w:val="auto"/>
          <w:sz w:val="21"/>
          <w:szCs w:val="21"/>
          <w:highlight w:val="none"/>
          <w:u w:val="single"/>
        </w:rPr>
        <w:t xml:space="preserve">  /      </w:t>
      </w:r>
      <w:r>
        <w:rPr>
          <w:rFonts w:hint="eastAsia" w:ascii="仿宋" w:hAnsi="仿宋" w:eastAsia="仿宋" w:cs="仿宋"/>
          <w:color w:val="auto"/>
          <w:sz w:val="21"/>
          <w:szCs w:val="21"/>
          <w:highlight w:val="none"/>
        </w:rPr>
        <w:t>。</w:t>
      </w:r>
    </w:p>
    <w:bookmarkEnd w:id="1781"/>
    <w:bookmarkEnd w:id="1782"/>
    <w:bookmarkEnd w:id="1783"/>
    <w:bookmarkEnd w:id="1784"/>
    <w:bookmarkEnd w:id="1785"/>
    <w:bookmarkEnd w:id="1786"/>
    <w:bookmarkEnd w:id="1787"/>
    <w:bookmarkEnd w:id="1788"/>
    <w:bookmarkEnd w:id="1789"/>
    <w:bookmarkEnd w:id="1790"/>
    <w:p w14:paraId="4DCFD864">
      <w:pPr>
        <w:widowControl/>
        <w:spacing w:line="440" w:lineRule="exact"/>
        <w:ind w:firstLine="422" w:firstLineChars="200"/>
        <w:jc w:val="left"/>
        <w:outlineLvl w:val="4"/>
        <w:rPr>
          <w:rFonts w:hint="eastAsia" w:ascii="仿宋" w:hAnsi="仿宋" w:eastAsia="仿宋" w:cs="仿宋"/>
          <w:b/>
          <w:bCs/>
          <w:color w:val="auto"/>
          <w:kern w:val="0"/>
          <w:sz w:val="21"/>
          <w:szCs w:val="21"/>
          <w:highlight w:val="none"/>
        </w:rPr>
      </w:pPr>
      <w:bookmarkStart w:id="1791" w:name="_Toc532377385"/>
      <w:bookmarkStart w:id="1792" w:name="_Toc532375649"/>
      <w:r>
        <w:rPr>
          <w:rFonts w:hint="eastAsia" w:ascii="仿宋" w:hAnsi="仿宋" w:eastAsia="仿宋" w:cs="仿宋"/>
          <w:b/>
          <w:bCs/>
          <w:color w:val="auto"/>
          <w:kern w:val="0"/>
          <w:sz w:val="21"/>
          <w:szCs w:val="21"/>
          <w:highlight w:val="none"/>
        </w:rPr>
        <w:t>12.3 计量</w:t>
      </w:r>
      <w:bookmarkEnd w:id="1791"/>
      <w:bookmarkEnd w:id="1792"/>
    </w:p>
    <w:p w14:paraId="39AD53CA">
      <w:pPr>
        <w:spacing w:line="440" w:lineRule="exact"/>
        <w:ind w:firstLine="420" w:firstLineChars="200"/>
        <w:jc w:val="left"/>
        <w:rPr>
          <w:rFonts w:hint="eastAsia" w:ascii="仿宋" w:hAnsi="仿宋" w:eastAsia="仿宋" w:cs="仿宋"/>
          <w:color w:val="auto"/>
          <w:sz w:val="21"/>
          <w:szCs w:val="21"/>
          <w:highlight w:val="none"/>
        </w:rPr>
      </w:pPr>
      <w:bookmarkStart w:id="1793" w:name="_Hlk528928260"/>
      <w:r>
        <w:rPr>
          <w:rFonts w:hint="eastAsia" w:ascii="仿宋" w:hAnsi="仿宋" w:eastAsia="仿宋" w:cs="仿宋"/>
          <w:color w:val="auto"/>
          <w:sz w:val="21"/>
          <w:szCs w:val="21"/>
          <w:highlight w:val="none"/>
        </w:rPr>
        <w:t>12.3.1 计量原则</w:t>
      </w:r>
    </w:p>
    <w:p w14:paraId="49742F98">
      <w:pPr>
        <w:tabs>
          <w:tab w:val="left" w:pos="1134"/>
        </w:tabs>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工程量按</w:t>
      </w:r>
      <w:r>
        <w:rPr>
          <w:rFonts w:hint="eastAsia" w:ascii="仿宋" w:hAnsi="仿宋" w:eastAsia="仿宋" w:cs="仿宋"/>
          <w:color w:val="auto"/>
          <w:sz w:val="21"/>
          <w:szCs w:val="21"/>
          <w:highlight w:val="none"/>
          <w:lang w:val="en-US" w:eastAsia="zh-CN"/>
        </w:rPr>
        <w:t>《房屋建筑与装饰工程工程量计算规范》（GB50854-2013）、《通用安装工程工程量计算规范》（GB50856-2013）、《市政工程工程量计算规范》（GB50857-2013）、《园林绿化工程工程量计算规范》（GB50858-2013）、《重庆市建设工程工程量清单计价规则》（CQJJGZ-2013）、《重庆市建设工程工程量计算规则》（CQJLGZ-2013）</w:t>
      </w:r>
      <w:r>
        <w:rPr>
          <w:rFonts w:hint="eastAsia" w:ascii="仿宋" w:hAnsi="仿宋" w:eastAsia="仿宋" w:cs="仿宋"/>
          <w:color w:val="auto"/>
          <w:sz w:val="21"/>
          <w:szCs w:val="21"/>
          <w:highlight w:val="none"/>
        </w:rPr>
        <w:t>等规定的计算规则及已标价工程量清单规定的工程量计算规则计量。</w:t>
      </w:r>
    </w:p>
    <w:bookmarkEnd w:id="1793"/>
    <w:p w14:paraId="0952B170">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12.3.2 计量周期</w:t>
      </w:r>
    </w:p>
    <w:p w14:paraId="446DD9A6">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关于计量周期的约定：</w:t>
      </w:r>
      <w:r>
        <w:rPr>
          <w:rFonts w:hint="eastAsia" w:ascii="仿宋" w:hAnsi="仿宋" w:eastAsia="仿宋" w:cs="仿宋"/>
          <w:color w:val="auto"/>
          <w:sz w:val="21"/>
          <w:szCs w:val="21"/>
          <w:highlight w:val="none"/>
          <w:u w:val="single"/>
        </w:rPr>
        <w:t>按月计量根据具体项目实际情况可以按月、按进度、按节点等形式计量，按进度、按节点计量的参考按月计量原则执行）</w:t>
      </w:r>
      <w:r>
        <w:rPr>
          <w:rFonts w:hint="eastAsia" w:ascii="仿宋" w:hAnsi="仿宋" w:eastAsia="仿宋" w:cs="仿宋"/>
          <w:color w:val="auto"/>
          <w:sz w:val="21"/>
          <w:szCs w:val="21"/>
          <w:highlight w:val="none"/>
        </w:rPr>
        <w:t>。</w:t>
      </w:r>
    </w:p>
    <w:p w14:paraId="4543857A">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12.3.3 单价合同的计量</w:t>
      </w:r>
    </w:p>
    <w:p w14:paraId="4A6480CC">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关于单价合同计量的约定：</w:t>
      </w:r>
    </w:p>
    <w:p w14:paraId="0CADE608">
      <w:pPr>
        <w:spacing w:line="440" w:lineRule="exact"/>
        <w:ind w:firstLine="420" w:firstLineChars="200"/>
        <w:jc w:val="left"/>
        <w:rPr>
          <w:rFonts w:hint="eastAsia" w:ascii="仿宋" w:hAnsi="仿宋" w:eastAsia="仿宋" w:cs="仿宋"/>
          <w:color w:val="auto"/>
          <w:sz w:val="21"/>
          <w:szCs w:val="21"/>
          <w:highlight w:val="none"/>
          <w:u w:val="single"/>
        </w:rPr>
      </w:pPr>
      <w:bookmarkStart w:id="1794" w:name="_Hlk528926162"/>
      <w:r>
        <w:rPr>
          <w:rFonts w:hint="eastAsia" w:ascii="仿宋" w:hAnsi="仿宋" w:eastAsia="仿宋" w:cs="仿宋"/>
          <w:color w:val="auto"/>
          <w:sz w:val="21"/>
          <w:szCs w:val="21"/>
          <w:highlight w:val="none"/>
          <w:u w:val="single"/>
        </w:rPr>
        <w:t>（1）承包人应于当月  日前向监理人报送上月已完成的工程量，并附进度付款申请单、已完成工程量报表和其他有关资料</w:t>
      </w:r>
      <w:r>
        <w:rPr>
          <w:rFonts w:hint="eastAsia" w:ascii="仿宋" w:hAnsi="仿宋" w:eastAsia="仿宋" w:cs="仿宋"/>
          <w:color w:val="auto"/>
          <w:sz w:val="21"/>
          <w:szCs w:val="21"/>
          <w:highlight w:val="none"/>
        </w:rPr>
        <w:t>。</w:t>
      </w:r>
    </w:p>
    <w:bookmarkEnd w:id="1794"/>
    <w:p w14:paraId="065E852B">
      <w:pPr>
        <w:spacing w:line="440" w:lineRule="exact"/>
        <w:ind w:firstLine="420" w:firstLineChars="200"/>
        <w:jc w:val="left"/>
        <w:rPr>
          <w:rFonts w:hint="eastAsia" w:ascii="仿宋" w:hAnsi="仿宋" w:eastAsia="仿宋" w:cs="仿宋"/>
          <w:color w:val="auto"/>
          <w:sz w:val="21"/>
          <w:szCs w:val="21"/>
          <w:highlight w:val="none"/>
          <w:u w:val="single"/>
        </w:rPr>
      </w:pPr>
      <w:r>
        <w:rPr>
          <w:rFonts w:hint="eastAsia" w:ascii="仿宋" w:hAnsi="仿宋" w:eastAsia="仿宋" w:cs="仿宋"/>
          <w:color w:val="auto"/>
          <w:sz w:val="21"/>
          <w:szCs w:val="21"/>
          <w:highlight w:val="none"/>
          <w:u w:val="single"/>
        </w:rPr>
        <w:t>（2）承包人未在已标价的工程量清单中填入单价和（或）总价的子目，视为该子目的费用已包含合同工程的其他子目的单价或总价中，不再另行计量支付</w:t>
      </w:r>
      <w:r>
        <w:rPr>
          <w:rFonts w:hint="eastAsia" w:ascii="仿宋" w:hAnsi="仿宋" w:eastAsia="仿宋" w:cs="仿宋"/>
          <w:color w:val="auto"/>
          <w:sz w:val="21"/>
          <w:szCs w:val="21"/>
          <w:highlight w:val="none"/>
        </w:rPr>
        <w:t>。</w:t>
      </w:r>
    </w:p>
    <w:p w14:paraId="7327884D">
      <w:pPr>
        <w:spacing w:line="440" w:lineRule="exact"/>
        <w:ind w:firstLine="420" w:firstLineChars="200"/>
        <w:jc w:val="left"/>
        <w:rPr>
          <w:rFonts w:hint="eastAsia" w:ascii="仿宋" w:hAnsi="仿宋" w:eastAsia="仿宋" w:cs="仿宋"/>
          <w:color w:val="auto"/>
          <w:sz w:val="21"/>
          <w:szCs w:val="21"/>
          <w:highlight w:val="none"/>
          <w:u w:val="single"/>
        </w:rPr>
      </w:pPr>
      <w:r>
        <w:rPr>
          <w:rFonts w:hint="eastAsia" w:ascii="仿宋" w:hAnsi="仿宋" w:eastAsia="仿宋" w:cs="仿宋"/>
          <w:color w:val="auto"/>
          <w:sz w:val="21"/>
          <w:szCs w:val="21"/>
          <w:highlight w:val="none"/>
          <w:u w:val="single"/>
        </w:rPr>
        <w:t>（3）监理人应在收到承包人提交的工程量报表后7天内完成对承包人提交的工程量报表的审核并报送发包人；发包人收到监理人报送资料后7天内完成审批，以确定当月实际完成的工程量。监理人、跟审单位、发包人任一方对工程量有异议的，均有权要求承包人进行共同复核或抽样复测。承包人应协助监理人、跟审单位进行复核或抽样复测，并按监理人要求提供补充计量资料。承包人未按监理人要求参加复核或抽样复测的，监理人复核或修正的工程量视为承包人实际完成的工程量</w:t>
      </w:r>
      <w:r>
        <w:rPr>
          <w:rFonts w:hint="eastAsia" w:ascii="仿宋" w:hAnsi="仿宋" w:eastAsia="仿宋" w:cs="仿宋"/>
          <w:color w:val="auto"/>
          <w:sz w:val="21"/>
          <w:szCs w:val="21"/>
          <w:highlight w:val="none"/>
        </w:rPr>
        <w:t>。</w:t>
      </w:r>
    </w:p>
    <w:p w14:paraId="4EA4EF54">
      <w:pPr>
        <w:spacing w:line="440" w:lineRule="exact"/>
        <w:ind w:firstLine="420" w:firstLineChars="200"/>
        <w:jc w:val="left"/>
        <w:rPr>
          <w:rFonts w:hint="eastAsia" w:ascii="仿宋" w:hAnsi="仿宋" w:eastAsia="仿宋" w:cs="仿宋"/>
          <w:color w:val="auto"/>
          <w:sz w:val="21"/>
          <w:szCs w:val="21"/>
          <w:highlight w:val="none"/>
          <w:u w:val="single"/>
        </w:rPr>
      </w:pPr>
      <w:r>
        <w:rPr>
          <w:rFonts w:hint="eastAsia" w:ascii="仿宋" w:hAnsi="仿宋" w:eastAsia="仿宋" w:cs="仿宋"/>
          <w:color w:val="auto"/>
          <w:sz w:val="21"/>
          <w:szCs w:val="21"/>
          <w:highlight w:val="none"/>
          <w:u w:val="single"/>
        </w:rPr>
        <w:t>（4）工程量的计量仅作为进度付款和工程施工进度控制的依据，不应认为是承包人履行合同义务完成工程的实际和准确的工程量，实际和准确工程量按竣工图和第12.3.1项〔计量原则〕约定确认的工程量为准</w:t>
      </w:r>
      <w:r>
        <w:rPr>
          <w:rFonts w:hint="eastAsia" w:ascii="仿宋" w:hAnsi="仿宋" w:eastAsia="仿宋" w:cs="仿宋"/>
          <w:color w:val="auto"/>
          <w:sz w:val="21"/>
          <w:szCs w:val="21"/>
          <w:highlight w:val="none"/>
        </w:rPr>
        <w:t>。</w:t>
      </w:r>
    </w:p>
    <w:p w14:paraId="287E3F03">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12.3.4 总价合同的计量</w:t>
      </w:r>
    </w:p>
    <w:p w14:paraId="0E44133C">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关于总价合同计量的约定：</w:t>
      </w:r>
      <w:r>
        <w:rPr>
          <w:rFonts w:hint="eastAsia" w:ascii="仿宋" w:hAnsi="仿宋" w:eastAsia="仿宋" w:cs="仿宋"/>
          <w:color w:val="auto"/>
          <w:sz w:val="21"/>
          <w:szCs w:val="21"/>
          <w:highlight w:val="none"/>
          <w:u w:val="single"/>
        </w:rPr>
        <w:t>按形象进度比例支付</w:t>
      </w:r>
      <w:r>
        <w:rPr>
          <w:rFonts w:hint="eastAsia" w:ascii="仿宋" w:hAnsi="仿宋" w:eastAsia="仿宋" w:cs="仿宋"/>
          <w:color w:val="auto"/>
          <w:sz w:val="21"/>
          <w:szCs w:val="21"/>
          <w:highlight w:val="none"/>
        </w:rPr>
        <w:t>。</w:t>
      </w:r>
    </w:p>
    <w:p w14:paraId="64A2A0AA">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12.3.5总价合同采用支付分解表计量支付的，是否适用第12.3.4项〔总价合同的计量〕约定进行计量：</w:t>
      </w:r>
      <w:r>
        <w:rPr>
          <w:rFonts w:hint="eastAsia" w:ascii="仿宋" w:hAnsi="仿宋" w:eastAsia="仿宋" w:cs="仿宋"/>
          <w:color w:val="auto"/>
          <w:sz w:val="21"/>
          <w:szCs w:val="21"/>
          <w:highlight w:val="none"/>
          <w:u w:val="single"/>
        </w:rPr>
        <w:t>适用</w:t>
      </w:r>
      <w:r>
        <w:rPr>
          <w:rFonts w:hint="eastAsia" w:ascii="仿宋" w:hAnsi="仿宋" w:eastAsia="仿宋" w:cs="仿宋"/>
          <w:color w:val="auto"/>
          <w:sz w:val="21"/>
          <w:szCs w:val="21"/>
          <w:highlight w:val="none"/>
        </w:rPr>
        <w:t>。</w:t>
      </w:r>
    </w:p>
    <w:p w14:paraId="4DFA789E">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12.3.6 其他价格形式合同的计量</w:t>
      </w:r>
    </w:p>
    <w:p w14:paraId="1CF21D97">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其他价格形式的计量方式和程序：</w:t>
      </w:r>
      <w:r>
        <w:rPr>
          <w:rFonts w:hint="eastAsia" w:ascii="仿宋" w:hAnsi="仿宋" w:eastAsia="仿宋" w:cs="仿宋"/>
          <w:color w:val="auto"/>
          <w:sz w:val="21"/>
          <w:szCs w:val="21"/>
          <w:highlight w:val="none"/>
          <w:u w:val="single"/>
        </w:rPr>
        <w:t>不采用</w:t>
      </w:r>
      <w:r>
        <w:rPr>
          <w:rFonts w:hint="eastAsia" w:ascii="仿宋" w:hAnsi="仿宋" w:eastAsia="仿宋" w:cs="仿宋"/>
          <w:color w:val="auto"/>
          <w:sz w:val="21"/>
          <w:szCs w:val="21"/>
          <w:highlight w:val="none"/>
        </w:rPr>
        <w:t>。</w:t>
      </w:r>
    </w:p>
    <w:p w14:paraId="0F65FBAE">
      <w:pPr>
        <w:widowControl/>
        <w:spacing w:line="440" w:lineRule="exact"/>
        <w:ind w:firstLine="422" w:firstLineChars="200"/>
        <w:jc w:val="left"/>
        <w:outlineLvl w:val="4"/>
        <w:rPr>
          <w:rFonts w:hint="eastAsia" w:ascii="仿宋" w:hAnsi="仿宋" w:eastAsia="仿宋" w:cs="仿宋"/>
          <w:color w:val="auto"/>
          <w:sz w:val="21"/>
          <w:szCs w:val="21"/>
          <w:highlight w:val="none"/>
        </w:rPr>
      </w:pPr>
      <w:bookmarkStart w:id="1795" w:name="_Toc532377386"/>
      <w:bookmarkStart w:id="1796" w:name="_Toc532375650"/>
      <w:bookmarkStart w:id="1797" w:name="_Hlk528928289"/>
      <w:r>
        <w:rPr>
          <w:rFonts w:hint="eastAsia" w:ascii="仿宋" w:hAnsi="仿宋" w:eastAsia="仿宋" w:cs="仿宋"/>
          <w:b/>
          <w:bCs/>
          <w:color w:val="auto"/>
          <w:kern w:val="0"/>
          <w:sz w:val="21"/>
          <w:szCs w:val="21"/>
          <w:highlight w:val="none"/>
        </w:rPr>
        <w:t>12.4 工程进度款支付</w:t>
      </w:r>
      <w:bookmarkEnd w:id="1795"/>
      <w:bookmarkEnd w:id="1796"/>
      <w:bookmarkEnd w:id="1797"/>
      <w:bookmarkStart w:id="1798" w:name="_Toc532377387"/>
      <w:bookmarkStart w:id="1799" w:name="_Toc351203585"/>
    </w:p>
    <w:p w14:paraId="62079B54">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12.4.</w:t>
      </w:r>
      <w:r>
        <w:rPr>
          <w:rFonts w:hint="eastAsia" w:ascii="仿宋" w:hAnsi="仿宋" w:eastAsia="仿宋" w:cs="仿宋"/>
          <w:color w:val="auto"/>
          <w:sz w:val="21"/>
          <w:szCs w:val="21"/>
          <w:highlight w:val="none"/>
          <w:lang w:val="en-US" w:eastAsia="zh-CN"/>
        </w:rPr>
        <w:t>1本项目无预付款，</w:t>
      </w:r>
      <w:r>
        <w:rPr>
          <w:rFonts w:hint="eastAsia" w:ascii="仿宋" w:hAnsi="仿宋" w:eastAsia="仿宋" w:cs="仿宋"/>
          <w:color w:val="auto"/>
          <w:sz w:val="21"/>
          <w:szCs w:val="21"/>
          <w:highlight w:val="none"/>
        </w:rPr>
        <w:t>竣工验收合格后，由承包人向发包人提出支付申请，发包人支付至合同金额的</w:t>
      </w:r>
      <w:r>
        <w:rPr>
          <w:rFonts w:hint="eastAsia" w:ascii="仿宋" w:hAnsi="仿宋" w:eastAsia="仿宋" w:cs="仿宋"/>
          <w:color w:val="auto"/>
          <w:sz w:val="21"/>
          <w:szCs w:val="21"/>
          <w:highlight w:val="none"/>
          <w:lang w:val="en-US" w:eastAsia="zh-CN"/>
        </w:rPr>
        <w:t>8</w:t>
      </w:r>
      <w:r>
        <w:rPr>
          <w:rFonts w:hint="eastAsia" w:ascii="仿宋" w:hAnsi="仿宋" w:eastAsia="仿宋" w:cs="仿宋"/>
          <w:color w:val="auto"/>
          <w:sz w:val="21"/>
          <w:szCs w:val="21"/>
          <w:highlight w:val="none"/>
        </w:rPr>
        <w:t>0%。</w:t>
      </w:r>
    </w:p>
    <w:p w14:paraId="58DED861">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12.4.</w:t>
      </w:r>
      <w:r>
        <w:rPr>
          <w:rFonts w:hint="eastAsia" w:ascii="仿宋" w:hAnsi="仿宋" w:eastAsia="仿宋" w:cs="仿宋"/>
          <w:color w:val="auto"/>
          <w:sz w:val="21"/>
          <w:szCs w:val="21"/>
          <w:highlight w:val="none"/>
          <w:lang w:val="en-US" w:eastAsia="zh-CN"/>
        </w:rPr>
        <w:t>2</w:t>
      </w:r>
      <w:r>
        <w:rPr>
          <w:rFonts w:hint="eastAsia" w:ascii="仿宋" w:hAnsi="仿宋" w:eastAsia="仿宋" w:cs="仿宋"/>
          <w:color w:val="auto"/>
          <w:sz w:val="21"/>
          <w:szCs w:val="21"/>
          <w:highlight w:val="none"/>
        </w:rPr>
        <w:t>根据中选综合单价和实际完成的经验收合格的工程量计算出最终结算金额，经相关审计部门完成结算审核后，支付至审定金额的</w:t>
      </w:r>
      <w:r>
        <w:rPr>
          <w:rFonts w:hint="eastAsia" w:ascii="仿宋" w:hAnsi="仿宋" w:eastAsia="仿宋" w:cs="仿宋"/>
          <w:color w:val="auto"/>
          <w:sz w:val="21"/>
          <w:szCs w:val="21"/>
          <w:highlight w:val="none"/>
          <w:lang w:val="en-US" w:eastAsia="zh-CN"/>
        </w:rPr>
        <w:t>100</w:t>
      </w:r>
      <w:r>
        <w:rPr>
          <w:rFonts w:hint="eastAsia" w:ascii="仿宋" w:hAnsi="仿宋" w:eastAsia="仿宋" w:cs="仿宋"/>
          <w:color w:val="auto"/>
          <w:sz w:val="21"/>
          <w:szCs w:val="21"/>
          <w:highlight w:val="none"/>
        </w:rPr>
        <w:t>%。</w:t>
      </w:r>
    </w:p>
    <w:p w14:paraId="781FEC88">
      <w:pPr>
        <w:widowControl/>
        <w:spacing w:line="440" w:lineRule="exact"/>
        <w:ind w:firstLine="422" w:firstLineChars="200"/>
        <w:jc w:val="left"/>
        <w:outlineLvl w:val="4"/>
        <w:rPr>
          <w:rFonts w:hint="eastAsia" w:ascii="仿宋" w:hAnsi="仿宋" w:eastAsia="仿宋" w:cs="仿宋"/>
          <w:b/>
          <w:bCs/>
          <w:color w:val="auto"/>
          <w:kern w:val="0"/>
          <w:sz w:val="21"/>
          <w:szCs w:val="21"/>
          <w:highlight w:val="none"/>
        </w:rPr>
      </w:pPr>
      <w:r>
        <w:rPr>
          <w:rFonts w:hint="eastAsia" w:ascii="仿宋" w:hAnsi="仿宋" w:eastAsia="仿宋" w:cs="仿宋"/>
          <w:b/>
          <w:bCs/>
          <w:color w:val="auto"/>
          <w:kern w:val="0"/>
          <w:sz w:val="21"/>
          <w:szCs w:val="21"/>
          <w:highlight w:val="none"/>
        </w:rPr>
        <w:t>12.5支付账户</w:t>
      </w:r>
      <w:bookmarkEnd w:id="1798"/>
      <w:bookmarkEnd w:id="1799"/>
    </w:p>
    <w:p w14:paraId="7BC221CD">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发包人应将合同价款支付至如下承包人指定的开户银行及银行账户：</w:t>
      </w:r>
    </w:p>
    <w:p w14:paraId="6197B42D">
      <w:pPr>
        <w:spacing w:line="440" w:lineRule="exact"/>
        <w:ind w:firstLine="420" w:firstLineChars="200"/>
        <w:jc w:val="left"/>
        <w:rPr>
          <w:rFonts w:hint="eastAsia" w:ascii="仿宋" w:hAnsi="仿宋" w:eastAsia="仿宋" w:cs="仿宋"/>
          <w:color w:val="auto"/>
          <w:kern w:val="0"/>
          <w:sz w:val="21"/>
          <w:szCs w:val="21"/>
          <w:highlight w:val="none"/>
          <w:u w:val="single"/>
        </w:rPr>
      </w:pPr>
      <w:r>
        <w:rPr>
          <w:rFonts w:hint="eastAsia" w:ascii="仿宋" w:hAnsi="仿宋" w:eastAsia="仿宋" w:cs="仿宋"/>
          <w:color w:val="auto"/>
          <w:kern w:val="0"/>
          <w:sz w:val="21"/>
          <w:szCs w:val="21"/>
          <w:highlight w:val="none"/>
        </w:rPr>
        <w:t>收款单位名称：</w:t>
      </w:r>
      <w:r>
        <w:rPr>
          <w:rFonts w:hint="eastAsia" w:ascii="仿宋" w:hAnsi="仿宋" w:eastAsia="仿宋" w:cs="仿宋"/>
          <w:color w:val="auto"/>
          <w:kern w:val="0"/>
          <w:sz w:val="21"/>
          <w:szCs w:val="21"/>
          <w:highlight w:val="none"/>
          <w:u w:val="single"/>
        </w:rPr>
        <w:t xml:space="preserve">                              </w:t>
      </w:r>
      <w:r>
        <w:rPr>
          <w:rFonts w:hint="eastAsia" w:ascii="仿宋" w:hAnsi="仿宋" w:eastAsia="仿宋" w:cs="仿宋"/>
          <w:color w:val="auto"/>
          <w:kern w:val="0"/>
          <w:sz w:val="21"/>
          <w:szCs w:val="21"/>
          <w:highlight w:val="none"/>
        </w:rPr>
        <w:t>；</w:t>
      </w:r>
    </w:p>
    <w:p w14:paraId="13E8022F">
      <w:pPr>
        <w:spacing w:line="440" w:lineRule="exact"/>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收款账号：</w:t>
      </w:r>
      <w:r>
        <w:rPr>
          <w:rFonts w:hint="eastAsia" w:ascii="仿宋" w:hAnsi="仿宋" w:eastAsia="仿宋" w:cs="仿宋"/>
          <w:color w:val="auto"/>
          <w:kern w:val="0"/>
          <w:sz w:val="21"/>
          <w:szCs w:val="21"/>
          <w:highlight w:val="none"/>
          <w:u w:val="single"/>
        </w:rPr>
        <w:t xml:space="preserve">                                  </w:t>
      </w:r>
      <w:r>
        <w:rPr>
          <w:rFonts w:hint="eastAsia" w:ascii="仿宋" w:hAnsi="仿宋" w:eastAsia="仿宋" w:cs="仿宋"/>
          <w:color w:val="auto"/>
          <w:kern w:val="0"/>
          <w:sz w:val="21"/>
          <w:szCs w:val="21"/>
          <w:highlight w:val="none"/>
        </w:rPr>
        <w:t>；</w:t>
      </w:r>
    </w:p>
    <w:p w14:paraId="46A884C3">
      <w:pPr>
        <w:spacing w:line="440" w:lineRule="exact"/>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收款开户银行：</w:t>
      </w:r>
      <w:r>
        <w:rPr>
          <w:rFonts w:hint="eastAsia" w:ascii="仿宋" w:hAnsi="仿宋" w:eastAsia="仿宋" w:cs="仿宋"/>
          <w:color w:val="auto"/>
          <w:kern w:val="0"/>
          <w:sz w:val="21"/>
          <w:szCs w:val="21"/>
          <w:highlight w:val="none"/>
          <w:u w:val="single"/>
        </w:rPr>
        <w:t xml:space="preserve">                              </w:t>
      </w:r>
      <w:r>
        <w:rPr>
          <w:rFonts w:hint="eastAsia" w:ascii="仿宋" w:hAnsi="仿宋" w:eastAsia="仿宋" w:cs="仿宋"/>
          <w:color w:val="auto"/>
          <w:kern w:val="0"/>
          <w:sz w:val="21"/>
          <w:szCs w:val="21"/>
          <w:highlight w:val="none"/>
        </w:rPr>
        <w:t>。</w:t>
      </w:r>
    </w:p>
    <w:p w14:paraId="49FA15D0">
      <w:pPr>
        <w:spacing w:line="440" w:lineRule="exact"/>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发包人应按行业主管部门的相关规定将人工费（工资款）支付至承包人指定的农民工工资专用账户。</w:t>
      </w:r>
    </w:p>
    <w:p w14:paraId="1A23B8C3">
      <w:pPr>
        <w:keepNext/>
        <w:keepLines/>
        <w:widowControl/>
        <w:spacing w:before="120" w:beforeLines="50" w:after="120" w:afterLines="50" w:line="440" w:lineRule="exact"/>
        <w:outlineLvl w:val="3"/>
        <w:rPr>
          <w:rFonts w:hint="eastAsia" w:ascii="仿宋" w:hAnsi="仿宋" w:eastAsia="仿宋" w:cs="仿宋"/>
          <w:b/>
          <w:color w:val="auto"/>
          <w:sz w:val="21"/>
          <w:szCs w:val="21"/>
          <w:highlight w:val="none"/>
        </w:rPr>
      </w:pPr>
      <w:bookmarkStart w:id="1800" w:name="_Toc532375651"/>
      <w:bookmarkStart w:id="1801" w:name="_Toc351203645"/>
      <w:bookmarkStart w:id="1802" w:name="_Toc532377388"/>
      <w:bookmarkStart w:id="1803" w:name="_Toc297216223"/>
      <w:bookmarkStart w:id="1804" w:name="_Toc296346720"/>
      <w:bookmarkStart w:id="1805" w:name="_Toc304295593"/>
      <w:bookmarkStart w:id="1806" w:name="_Toc296503219"/>
      <w:bookmarkStart w:id="1807" w:name="_Toc303539172"/>
      <w:bookmarkStart w:id="1808" w:name="_Toc292559424"/>
      <w:bookmarkStart w:id="1809" w:name="_Toc297120519"/>
      <w:bookmarkStart w:id="1810" w:name="_Toc296891259"/>
      <w:bookmarkStart w:id="1811" w:name="_Toc292559929"/>
      <w:bookmarkStart w:id="1812" w:name="_Toc297048405"/>
      <w:bookmarkStart w:id="1813" w:name="_Toc296944558"/>
      <w:bookmarkStart w:id="1814" w:name="_Toc300935015"/>
      <w:bookmarkStart w:id="1815" w:name="_Toc297123564"/>
      <w:bookmarkStart w:id="1816" w:name="_Toc296347218"/>
      <w:bookmarkStart w:id="1817" w:name="_Toc312678053"/>
      <w:bookmarkStart w:id="1818" w:name="_Toc296891047"/>
      <w:r>
        <w:rPr>
          <w:rFonts w:hint="eastAsia" w:ascii="仿宋" w:hAnsi="仿宋" w:eastAsia="仿宋" w:cs="仿宋"/>
          <w:b/>
          <w:bCs/>
          <w:color w:val="auto"/>
          <w:sz w:val="21"/>
          <w:szCs w:val="21"/>
          <w:highlight w:val="none"/>
        </w:rPr>
        <w:t>13. 验收和工程试车</w:t>
      </w:r>
      <w:bookmarkEnd w:id="1800"/>
      <w:bookmarkEnd w:id="1801"/>
      <w:bookmarkEnd w:id="1802"/>
    </w:p>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p w14:paraId="6773CF67">
      <w:pPr>
        <w:widowControl/>
        <w:spacing w:line="440" w:lineRule="exact"/>
        <w:ind w:firstLine="422" w:firstLineChars="200"/>
        <w:jc w:val="left"/>
        <w:outlineLvl w:val="4"/>
        <w:rPr>
          <w:rFonts w:hint="eastAsia" w:ascii="仿宋" w:hAnsi="仿宋" w:eastAsia="仿宋" w:cs="仿宋"/>
          <w:b/>
          <w:bCs/>
          <w:color w:val="auto"/>
          <w:kern w:val="0"/>
          <w:sz w:val="21"/>
          <w:szCs w:val="21"/>
          <w:highlight w:val="none"/>
        </w:rPr>
      </w:pPr>
      <w:bookmarkStart w:id="1819" w:name="_Toc532377389"/>
      <w:bookmarkStart w:id="1820" w:name="_Toc532375652"/>
      <w:bookmarkStart w:id="1821" w:name="_Toc280868704"/>
      <w:bookmarkStart w:id="1822" w:name="_Toc280868705"/>
      <w:bookmarkStart w:id="1823" w:name="_Toc280868706"/>
      <w:bookmarkStart w:id="1824" w:name="_Toc280868707"/>
      <w:bookmarkStart w:id="1825" w:name="_Toc280868708"/>
      <w:bookmarkStart w:id="1826" w:name="_Toc267251475"/>
      <w:bookmarkStart w:id="1827" w:name="_Toc280868709"/>
      <w:bookmarkStart w:id="1828" w:name="_Toc267251470"/>
      <w:bookmarkStart w:id="1829" w:name="_Toc267251474"/>
      <w:bookmarkStart w:id="1830" w:name="_Toc267251473"/>
      <w:bookmarkStart w:id="1831" w:name="_Toc267251472"/>
      <w:bookmarkStart w:id="1832" w:name="_Toc267251476"/>
      <w:bookmarkStart w:id="1833" w:name="_Toc267251471"/>
      <w:r>
        <w:rPr>
          <w:rFonts w:hint="eastAsia" w:ascii="仿宋" w:hAnsi="仿宋" w:eastAsia="仿宋" w:cs="仿宋"/>
          <w:b/>
          <w:bCs/>
          <w:color w:val="auto"/>
          <w:kern w:val="0"/>
          <w:sz w:val="21"/>
          <w:szCs w:val="21"/>
          <w:highlight w:val="none"/>
        </w:rPr>
        <w:t>13.1 分部分项工程验收</w:t>
      </w:r>
      <w:bookmarkEnd w:id="1819"/>
      <w:bookmarkEnd w:id="1820"/>
    </w:p>
    <w:p w14:paraId="60E895F5">
      <w:pPr>
        <w:spacing w:line="440" w:lineRule="exact"/>
        <w:ind w:right="140" w:rightChars="50"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13.1.2 监理人不能按时进行验收时，应提前</w:t>
      </w:r>
      <w:r>
        <w:rPr>
          <w:rFonts w:hint="eastAsia" w:ascii="仿宋" w:hAnsi="仿宋" w:eastAsia="仿宋" w:cs="仿宋"/>
          <w:color w:val="auto"/>
          <w:sz w:val="21"/>
          <w:szCs w:val="21"/>
          <w:highlight w:val="none"/>
          <w:u w:val="single"/>
        </w:rPr>
        <w:t>24</w:t>
      </w:r>
      <w:r>
        <w:rPr>
          <w:rFonts w:hint="eastAsia" w:ascii="仿宋" w:hAnsi="仿宋" w:eastAsia="仿宋" w:cs="仿宋"/>
          <w:color w:val="auto"/>
          <w:sz w:val="21"/>
          <w:szCs w:val="21"/>
          <w:highlight w:val="none"/>
        </w:rPr>
        <w:t>小时提交书面延期要求。</w:t>
      </w:r>
    </w:p>
    <w:p w14:paraId="55CDB54A">
      <w:pPr>
        <w:spacing w:line="440" w:lineRule="exact"/>
        <w:ind w:right="140" w:rightChars="50"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关于延期最长不得超过：</w:t>
      </w:r>
      <w:r>
        <w:rPr>
          <w:rFonts w:hint="eastAsia" w:ascii="仿宋" w:hAnsi="仿宋" w:eastAsia="仿宋" w:cs="仿宋"/>
          <w:color w:val="auto"/>
          <w:sz w:val="21"/>
          <w:szCs w:val="21"/>
          <w:highlight w:val="none"/>
          <w:u w:val="single"/>
        </w:rPr>
        <w:t>48</w:t>
      </w:r>
      <w:r>
        <w:rPr>
          <w:rFonts w:hint="eastAsia" w:ascii="仿宋" w:hAnsi="仿宋" w:eastAsia="仿宋" w:cs="仿宋"/>
          <w:color w:val="auto"/>
          <w:sz w:val="21"/>
          <w:szCs w:val="21"/>
          <w:highlight w:val="none"/>
        </w:rPr>
        <w:t>小时。</w:t>
      </w:r>
    </w:p>
    <w:p w14:paraId="4FB0B731">
      <w:pPr>
        <w:widowControl/>
        <w:spacing w:line="440" w:lineRule="exact"/>
        <w:ind w:firstLine="422" w:firstLineChars="200"/>
        <w:jc w:val="left"/>
        <w:outlineLvl w:val="4"/>
        <w:rPr>
          <w:rFonts w:hint="eastAsia" w:ascii="仿宋" w:hAnsi="仿宋" w:eastAsia="仿宋" w:cs="仿宋"/>
          <w:b/>
          <w:bCs/>
          <w:color w:val="auto"/>
          <w:kern w:val="0"/>
          <w:sz w:val="21"/>
          <w:szCs w:val="21"/>
          <w:highlight w:val="none"/>
        </w:rPr>
      </w:pPr>
      <w:bookmarkStart w:id="1834" w:name="_Toc532375653"/>
      <w:bookmarkStart w:id="1835" w:name="_Toc532377390"/>
      <w:bookmarkStart w:id="1836" w:name="_Toc304295596"/>
      <w:bookmarkStart w:id="1837" w:name="_Toc296503223"/>
      <w:bookmarkStart w:id="1838" w:name="_Toc297048409"/>
      <w:bookmarkStart w:id="1839" w:name="_Toc296891051"/>
      <w:bookmarkStart w:id="1840" w:name="_Toc303539173"/>
      <w:bookmarkStart w:id="1841" w:name="_Toc312678056"/>
      <w:bookmarkStart w:id="1842" w:name="_Toc300935016"/>
      <w:bookmarkStart w:id="1843" w:name="_Toc296891263"/>
      <w:bookmarkStart w:id="1844" w:name="_Toc297120523"/>
      <w:bookmarkStart w:id="1845" w:name="_Toc296346724"/>
      <w:bookmarkStart w:id="1846" w:name="_Toc292559933"/>
      <w:bookmarkStart w:id="1847" w:name="_Toc296944562"/>
      <w:bookmarkStart w:id="1848" w:name="_Toc297123565"/>
      <w:bookmarkStart w:id="1849" w:name="_Toc297216224"/>
      <w:bookmarkStart w:id="1850" w:name="_Toc296347222"/>
      <w:bookmarkStart w:id="1851" w:name="_Toc292559428"/>
      <w:r>
        <w:rPr>
          <w:rFonts w:hint="eastAsia" w:ascii="仿宋" w:hAnsi="仿宋" w:eastAsia="仿宋" w:cs="仿宋"/>
          <w:b/>
          <w:bCs/>
          <w:color w:val="auto"/>
          <w:kern w:val="0"/>
          <w:sz w:val="21"/>
          <w:szCs w:val="21"/>
          <w:highlight w:val="none"/>
        </w:rPr>
        <w:t>13.2 竣工验收</w:t>
      </w:r>
      <w:bookmarkEnd w:id="1834"/>
      <w:bookmarkEnd w:id="1835"/>
    </w:p>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p w14:paraId="4970AE70">
      <w:pPr>
        <w:spacing w:line="440" w:lineRule="exact"/>
        <w:ind w:right="140" w:rightChars="50"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13.2.2竣工验收程序</w:t>
      </w:r>
    </w:p>
    <w:bookmarkEnd w:id="1821"/>
    <w:p w14:paraId="02E0DE26">
      <w:pPr>
        <w:spacing w:line="440" w:lineRule="exact"/>
        <w:ind w:right="140" w:rightChars="50"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关于竣工验收程序的约定：工程完工且符合下列条件时，承包人可向发包人提供竣工报告，并要求验收：</w:t>
      </w:r>
    </w:p>
    <w:p w14:paraId="07B71B05">
      <w:pPr>
        <w:spacing w:line="440" w:lineRule="exact"/>
        <w:ind w:right="140" w:rightChars="50"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（1）除发包人同意的甩项工作和缺陷修补工作外，合同范围内的全部工程以及有关工作，包括合同要求的试验、试运行以及检验均已完成，并符合合同要求；</w:t>
      </w:r>
    </w:p>
    <w:p w14:paraId="16943FAD">
      <w:pPr>
        <w:spacing w:line="440" w:lineRule="exact"/>
        <w:ind w:right="140" w:rightChars="50"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（2）已按合同约定编制了甩项工作和缺陷修补工作清单以及相应的施工计划；</w:t>
      </w:r>
    </w:p>
    <w:p w14:paraId="505B8470">
      <w:pPr>
        <w:spacing w:line="440" w:lineRule="exact"/>
        <w:ind w:right="140" w:rightChars="50"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（3）已按合同约定的内容和份数备齐竣工资料。</w:t>
      </w:r>
    </w:p>
    <w:p w14:paraId="61F49AE8">
      <w:pPr>
        <w:spacing w:line="440" w:lineRule="exact"/>
        <w:ind w:right="140" w:rightChars="50"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（4）</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w:t>
      </w:r>
    </w:p>
    <w:p w14:paraId="7FE7B31C">
      <w:pPr>
        <w:spacing w:line="440" w:lineRule="exact"/>
        <w:ind w:right="140" w:rightChars="50"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工程竣工及竣工资料：</w:t>
      </w:r>
    </w:p>
    <w:p w14:paraId="76CF2A89">
      <w:pPr>
        <w:spacing w:line="440" w:lineRule="exact"/>
        <w:ind w:right="140" w:rightChars="50"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u w:val="single"/>
        </w:rPr>
        <w:t>（1）发包人应在收到承包人竣工报告后14天内组织设计单位、监理单位、质监等其他部门进行验收，竣工日期以最后一次整改后通过竣工验收的时间为准</w:t>
      </w:r>
      <w:r>
        <w:rPr>
          <w:rFonts w:hint="eastAsia" w:ascii="仿宋" w:hAnsi="仿宋" w:eastAsia="仿宋" w:cs="仿宋"/>
          <w:color w:val="auto"/>
          <w:sz w:val="21"/>
          <w:szCs w:val="21"/>
          <w:highlight w:val="none"/>
        </w:rPr>
        <w:t>。</w:t>
      </w:r>
    </w:p>
    <w:p w14:paraId="049FC33B">
      <w:pPr>
        <w:spacing w:line="440" w:lineRule="exact"/>
        <w:ind w:right="140" w:rightChars="50"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u w:val="single"/>
        </w:rPr>
        <w:t>（2）当工程具备竣工验收条件时，承包人应及时向发包人提交竣工报告及竣工资料、办理移交手续。否则发包人有权依据监理人出具的鉴定结论书，自行组织有关部门验收，并提出整改意见。承包人必须按要求整改，并承担整改费用；如承包人拒绝按发包人提出的要求整改，发包人有权请第三方整改，由此发生的整改费用从未付工程款中扣除，不足部分发包人有权向承包人追偿。当验收通过后具备交付使用条件时，承包人不得以任何借口拒绝移交工程，否则，发包人有权强行使用，由此发生的一切后果，由承包人负责</w:t>
      </w:r>
      <w:r>
        <w:rPr>
          <w:rFonts w:hint="eastAsia" w:ascii="仿宋" w:hAnsi="仿宋" w:eastAsia="仿宋" w:cs="仿宋"/>
          <w:color w:val="auto"/>
          <w:sz w:val="21"/>
          <w:szCs w:val="21"/>
          <w:highlight w:val="none"/>
        </w:rPr>
        <w:t>。</w:t>
      </w:r>
    </w:p>
    <w:p w14:paraId="001172D9">
      <w:pPr>
        <w:spacing w:line="440" w:lineRule="exact"/>
        <w:ind w:right="140" w:rightChars="50" w:firstLine="420" w:firstLineChars="200"/>
        <w:jc w:val="left"/>
        <w:rPr>
          <w:rFonts w:hint="eastAsia" w:ascii="仿宋" w:hAnsi="仿宋" w:eastAsia="仿宋" w:cs="仿宋"/>
          <w:color w:val="auto"/>
          <w:sz w:val="21"/>
          <w:szCs w:val="21"/>
          <w:highlight w:val="none"/>
          <w:u w:val="single"/>
        </w:rPr>
      </w:pPr>
      <w:r>
        <w:rPr>
          <w:rFonts w:hint="eastAsia" w:ascii="仿宋" w:hAnsi="仿宋" w:eastAsia="仿宋" w:cs="仿宋"/>
          <w:color w:val="auto"/>
          <w:sz w:val="21"/>
          <w:szCs w:val="21"/>
          <w:highlight w:val="none"/>
        </w:rPr>
        <w:t>（3）承包人提供竣工资料的约定：</w:t>
      </w:r>
      <w:r>
        <w:rPr>
          <w:rFonts w:hint="eastAsia" w:ascii="仿宋" w:hAnsi="仿宋" w:eastAsia="仿宋" w:cs="仿宋"/>
          <w:color w:val="auto"/>
          <w:sz w:val="21"/>
          <w:szCs w:val="21"/>
          <w:highlight w:val="none"/>
          <w:u w:val="single"/>
        </w:rPr>
        <w:t>承包人提供纸质版竣工图三套，电子版竣工图二套（刻光盘）</w:t>
      </w:r>
      <w:r>
        <w:rPr>
          <w:rFonts w:hint="eastAsia" w:ascii="仿宋" w:hAnsi="仿宋" w:eastAsia="仿宋" w:cs="仿宋"/>
          <w:color w:val="auto"/>
          <w:sz w:val="21"/>
          <w:szCs w:val="21"/>
          <w:highlight w:val="none"/>
        </w:rPr>
        <w:t>。</w:t>
      </w:r>
    </w:p>
    <w:bookmarkEnd w:id="1822"/>
    <w:p w14:paraId="386F9C17">
      <w:pPr>
        <w:spacing w:line="440" w:lineRule="exact"/>
        <w:ind w:right="140" w:rightChars="50"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13.2.5 移交、接收全部与部分工程</w:t>
      </w:r>
    </w:p>
    <w:bookmarkEnd w:id="1823"/>
    <w:p w14:paraId="2CC3ED1C">
      <w:pPr>
        <w:spacing w:line="440" w:lineRule="exact"/>
        <w:ind w:right="140" w:rightChars="50" w:firstLine="420" w:firstLineChars="200"/>
        <w:jc w:val="left"/>
        <w:rPr>
          <w:rFonts w:hint="eastAsia" w:ascii="仿宋" w:hAnsi="仿宋" w:eastAsia="仿宋" w:cs="仿宋"/>
          <w:color w:val="auto"/>
          <w:sz w:val="21"/>
          <w:szCs w:val="21"/>
          <w:highlight w:val="none"/>
          <w:u w:val="single"/>
        </w:rPr>
      </w:pPr>
      <w:r>
        <w:rPr>
          <w:rFonts w:hint="eastAsia" w:ascii="仿宋" w:hAnsi="仿宋" w:eastAsia="仿宋" w:cs="仿宋"/>
          <w:color w:val="auto"/>
          <w:sz w:val="21"/>
          <w:szCs w:val="21"/>
          <w:highlight w:val="none"/>
        </w:rPr>
        <w:t>承包人向发包人移交工程的期限：</w:t>
      </w:r>
      <w:r>
        <w:rPr>
          <w:rFonts w:hint="eastAsia" w:ascii="仿宋" w:hAnsi="仿宋" w:eastAsia="仿宋" w:cs="仿宋"/>
          <w:color w:val="auto"/>
          <w:sz w:val="21"/>
          <w:szCs w:val="21"/>
          <w:highlight w:val="none"/>
          <w:u w:val="single"/>
        </w:rPr>
        <w:t>颁发工程接收证书后7天内完成工程的移交</w:t>
      </w:r>
      <w:r>
        <w:rPr>
          <w:rFonts w:hint="eastAsia" w:ascii="仿宋" w:hAnsi="仿宋" w:eastAsia="仿宋" w:cs="仿宋"/>
          <w:color w:val="auto"/>
          <w:sz w:val="21"/>
          <w:szCs w:val="21"/>
          <w:highlight w:val="none"/>
        </w:rPr>
        <w:t>。</w:t>
      </w:r>
    </w:p>
    <w:p w14:paraId="736C089C">
      <w:pPr>
        <w:spacing w:line="440" w:lineRule="exact"/>
        <w:ind w:right="140" w:rightChars="50" w:firstLine="420" w:firstLineChars="200"/>
        <w:jc w:val="left"/>
        <w:rPr>
          <w:rFonts w:hint="eastAsia" w:ascii="仿宋" w:hAnsi="仿宋" w:eastAsia="仿宋" w:cs="仿宋"/>
          <w:color w:val="auto"/>
          <w:sz w:val="21"/>
          <w:szCs w:val="21"/>
          <w:highlight w:val="none"/>
          <w:u w:val="single"/>
        </w:rPr>
      </w:pPr>
      <w:r>
        <w:rPr>
          <w:rFonts w:hint="eastAsia" w:ascii="仿宋" w:hAnsi="仿宋" w:eastAsia="仿宋" w:cs="仿宋"/>
          <w:color w:val="auto"/>
          <w:sz w:val="21"/>
          <w:szCs w:val="21"/>
          <w:highlight w:val="none"/>
          <w:u w:val="single"/>
        </w:rPr>
        <w:t>发包人未按合同约定接收全部或部分工程的，违约金的计算方法为：发包人自应当接收工程之日起承担工程照管、成品保护、保管等与工程有关的各项费用。</w:t>
      </w:r>
    </w:p>
    <w:bookmarkEnd w:id="1824"/>
    <w:p w14:paraId="129346C7">
      <w:pPr>
        <w:spacing w:line="440" w:lineRule="exact"/>
        <w:ind w:right="140" w:rightChars="50" w:firstLine="420" w:firstLineChars="200"/>
        <w:jc w:val="left"/>
        <w:rPr>
          <w:rFonts w:hint="eastAsia" w:ascii="仿宋" w:hAnsi="仿宋" w:eastAsia="仿宋" w:cs="仿宋"/>
          <w:color w:val="auto"/>
          <w:sz w:val="21"/>
          <w:szCs w:val="21"/>
          <w:highlight w:val="none"/>
          <w:u w:val="single"/>
        </w:rPr>
      </w:pPr>
      <w:r>
        <w:rPr>
          <w:rFonts w:hint="eastAsia" w:ascii="仿宋" w:hAnsi="仿宋" w:eastAsia="仿宋" w:cs="仿宋"/>
          <w:color w:val="auto"/>
          <w:sz w:val="21"/>
          <w:szCs w:val="21"/>
          <w:highlight w:val="none"/>
        </w:rPr>
        <w:t>因承包人自身原因未按时移交工程的，违约金的计算方法为：</w:t>
      </w:r>
      <w:r>
        <w:rPr>
          <w:rFonts w:hint="eastAsia" w:ascii="仿宋" w:hAnsi="仿宋" w:eastAsia="仿宋" w:cs="仿宋"/>
          <w:color w:val="auto"/>
          <w:sz w:val="21"/>
          <w:szCs w:val="21"/>
          <w:highlight w:val="none"/>
          <w:u w:val="single"/>
        </w:rPr>
        <w:t>承包人应承担工程照管、成品保护、保管等与工程有关的各项费用，并按经审定结算金额的0.5‰/天支付违约金</w:t>
      </w:r>
      <w:r>
        <w:rPr>
          <w:rFonts w:hint="eastAsia" w:ascii="仿宋" w:hAnsi="仿宋" w:eastAsia="仿宋" w:cs="仿宋"/>
          <w:color w:val="auto"/>
          <w:sz w:val="21"/>
          <w:szCs w:val="21"/>
          <w:highlight w:val="none"/>
        </w:rPr>
        <w:t>。</w:t>
      </w:r>
    </w:p>
    <w:p w14:paraId="370F0EBE">
      <w:pPr>
        <w:widowControl/>
        <w:spacing w:line="440" w:lineRule="exact"/>
        <w:ind w:firstLine="422" w:firstLineChars="200"/>
        <w:jc w:val="left"/>
        <w:outlineLvl w:val="4"/>
        <w:rPr>
          <w:rFonts w:hint="eastAsia" w:ascii="仿宋" w:hAnsi="仿宋" w:eastAsia="仿宋" w:cs="仿宋"/>
          <w:b/>
          <w:bCs/>
          <w:color w:val="auto"/>
          <w:kern w:val="0"/>
          <w:sz w:val="21"/>
          <w:szCs w:val="21"/>
          <w:highlight w:val="none"/>
        </w:rPr>
      </w:pPr>
      <w:bookmarkStart w:id="1852" w:name="_Toc532377391"/>
      <w:bookmarkStart w:id="1853" w:name="_Toc532375654"/>
      <w:r>
        <w:rPr>
          <w:rFonts w:hint="eastAsia" w:ascii="仿宋" w:hAnsi="仿宋" w:eastAsia="仿宋" w:cs="仿宋"/>
          <w:b/>
          <w:bCs/>
          <w:color w:val="auto"/>
          <w:kern w:val="0"/>
          <w:sz w:val="21"/>
          <w:szCs w:val="21"/>
          <w:highlight w:val="none"/>
        </w:rPr>
        <w:t>13.3 工程试车</w:t>
      </w:r>
      <w:bookmarkEnd w:id="1852"/>
      <w:bookmarkEnd w:id="1853"/>
    </w:p>
    <w:p w14:paraId="57B56FAE">
      <w:pPr>
        <w:spacing w:line="440" w:lineRule="exact"/>
        <w:ind w:right="140" w:rightChars="50"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13.3.1 试车程序</w:t>
      </w:r>
    </w:p>
    <w:p w14:paraId="668A4C30">
      <w:pPr>
        <w:spacing w:line="440" w:lineRule="exact"/>
        <w:ind w:right="140" w:rightChars="50"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工程试车内容：</w:t>
      </w:r>
      <w:r>
        <w:rPr>
          <w:rFonts w:hint="eastAsia" w:ascii="仿宋" w:hAnsi="仿宋" w:eastAsia="仿宋" w:cs="仿宋"/>
          <w:color w:val="auto"/>
          <w:sz w:val="21"/>
          <w:szCs w:val="21"/>
          <w:highlight w:val="none"/>
          <w:u w:val="single"/>
        </w:rPr>
        <w:t>按通用合同条款执行</w:t>
      </w:r>
      <w:r>
        <w:rPr>
          <w:rFonts w:hint="eastAsia" w:ascii="仿宋" w:hAnsi="仿宋" w:eastAsia="仿宋" w:cs="仿宋"/>
          <w:color w:val="auto"/>
          <w:sz w:val="21"/>
          <w:szCs w:val="21"/>
          <w:highlight w:val="none"/>
        </w:rPr>
        <w:t>。</w:t>
      </w:r>
    </w:p>
    <w:p w14:paraId="6299AF71">
      <w:pPr>
        <w:spacing w:line="440" w:lineRule="exact"/>
        <w:ind w:right="140" w:rightChars="50"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（1）单机无负荷试车费用由</w:t>
      </w:r>
      <w:r>
        <w:rPr>
          <w:rFonts w:hint="eastAsia" w:ascii="仿宋" w:hAnsi="仿宋" w:eastAsia="仿宋" w:cs="仿宋"/>
          <w:color w:val="auto"/>
          <w:sz w:val="21"/>
          <w:szCs w:val="21"/>
          <w:highlight w:val="none"/>
          <w:u w:val="single"/>
        </w:rPr>
        <w:t>承包人</w:t>
      </w:r>
      <w:r>
        <w:rPr>
          <w:rFonts w:hint="eastAsia" w:ascii="仿宋" w:hAnsi="仿宋" w:eastAsia="仿宋" w:cs="仿宋"/>
          <w:color w:val="auto"/>
          <w:sz w:val="21"/>
          <w:szCs w:val="21"/>
          <w:highlight w:val="none"/>
        </w:rPr>
        <w:t>承担；</w:t>
      </w:r>
    </w:p>
    <w:p w14:paraId="3CEC725E">
      <w:pPr>
        <w:spacing w:line="440" w:lineRule="exact"/>
        <w:ind w:right="140" w:rightChars="50"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（2）无负荷联动试车费用由</w:t>
      </w:r>
      <w:r>
        <w:rPr>
          <w:rFonts w:hint="eastAsia" w:ascii="仿宋" w:hAnsi="仿宋" w:eastAsia="仿宋" w:cs="仿宋"/>
          <w:color w:val="auto"/>
          <w:sz w:val="21"/>
          <w:szCs w:val="21"/>
          <w:highlight w:val="none"/>
          <w:u w:val="single"/>
        </w:rPr>
        <w:t>承包人</w:t>
      </w:r>
      <w:r>
        <w:rPr>
          <w:rFonts w:hint="eastAsia" w:ascii="仿宋" w:hAnsi="仿宋" w:eastAsia="仿宋" w:cs="仿宋"/>
          <w:color w:val="auto"/>
          <w:sz w:val="21"/>
          <w:szCs w:val="21"/>
          <w:highlight w:val="none"/>
        </w:rPr>
        <w:t>承担。</w:t>
      </w:r>
    </w:p>
    <w:p w14:paraId="55EC64B4">
      <w:pPr>
        <w:widowControl/>
        <w:spacing w:line="440" w:lineRule="exact"/>
        <w:ind w:firstLine="422" w:firstLineChars="200"/>
        <w:jc w:val="left"/>
        <w:outlineLvl w:val="4"/>
        <w:rPr>
          <w:rFonts w:hint="eastAsia" w:ascii="仿宋" w:hAnsi="仿宋" w:eastAsia="仿宋" w:cs="仿宋"/>
          <w:b/>
          <w:bCs/>
          <w:color w:val="auto"/>
          <w:kern w:val="0"/>
          <w:sz w:val="21"/>
          <w:szCs w:val="21"/>
          <w:highlight w:val="none"/>
        </w:rPr>
      </w:pPr>
      <w:bookmarkStart w:id="1854" w:name="_Toc532375655"/>
      <w:bookmarkStart w:id="1855" w:name="_Toc532377392"/>
      <w:r>
        <w:rPr>
          <w:rFonts w:hint="eastAsia" w:ascii="仿宋" w:hAnsi="仿宋" w:eastAsia="仿宋" w:cs="仿宋"/>
          <w:b/>
          <w:bCs/>
          <w:color w:val="auto"/>
          <w:kern w:val="0"/>
          <w:sz w:val="21"/>
          <w:szCs w:val="21"/>
          <w:highlight w:val="none"/>
        </w:rPr>
        <w:t>13.6 竣工退场</w:t>
      </w:r>
      <w:bookmarkEnd w:id="1854"/>
      <w:bookmarkEnd w:id="1855"/>
    </w:p>
    <w:p w14:paraId="68E01E16">
      <w:pPr>
        <w:spacing w:line="440" w:lineRule="exact"/>
        <w:ind w:right="140" w:rightChars="50"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13.6.1 竣工退场</w:t>
      </w:r>
    </w:p>
    <w:p w14:paraId="78EF23E1">
      <w:pPr>
        <w:spacing w:line="440" w:lineRule="exact"/>
        <w:ind w:right="140" w:rightChars="50" w:firstLine="420" w:firstLineChars="200"/>
        <w:jc w:val="left"/>
        <w:rPr>
          <w:rFonts w:hint="eastAsia" w:ascii="仿宋" w:hAnsi="仿宋" w:eastAsia="仿宋" w:cs="仿宋"/>
          <w:color w:val="auto"/>
          <w:sz w:val="21"/>
          <w:szCs w:val="21"/>
          <w:highlight w:val="none"/>
          <w:u w:val="single"/>
        </w:rPr>
      </w:pPr>
      <w:r>
        <w:rPr>
          <w:rFonts w:hint="eastAsia" w:ascii="仿宋" w:hAnsi="仿宋" w:eastAsia="仿宋" w:cs="仿宋"/>
          <w:color w:val="auto"/>
          <w:sz w:val="21"/>
          <w:szCs w:val="21"/>
          <w:highlight w:val="none"/>
        </w:rPr>
        <w:t>承包人完成竣工退场的期限：</w:t>
      </w:r>
      <w:r>
        <w:rPr>
          <w:rFonts w:hint="eastAsia" w:ascii="仿宋" w:hAnsi="仿宋" w:eastAsia="仿宋" w:cs="仿宋"/>
          <w:color w:val="auto"/>
          <w:sz w:val="21"/>
          <w:szCs w:val="21"/>
          <w:highlight w:val="none"/>
          <w:u w:val="single"/>
        </w:rPr>
        <w:t>工程接收证书颁发后28天内，承包人的施工人员、剩余材料、施工设备和临时工程应完全撤离施工场地并对施工场地进行清理、平整、复原，直至监理人检验合格为止，由此发生的费用已包含在签约合同价内。承包人未在限期内拆除的，发包人可委托其他单位代为拆除，由此发生的费用（发包人可从应付承包人的款项中扣除）由承包人承担，承包人还应按审定结算金额的0.5‰/天的标准向发包人支付违约金。因工程维修需要部分人员必须留在施工现场的，需征得发包人同意</w:t>
      </w:r>
      <w:r>
        <w:rPr>
          <w:rFonts w:hint="eastAsia" w:ascii="仿宋" w:hAnsi="仿宋" w:eastAsia="仿宋" w:cs="仿宋"/>
          <w:color w:val="auto"/>
          <w:sz w:val="21"/>
          <w:szCs w:val="21"/>
          <w:highlight w:val="none"/>
        </w:rPr>
        <w:t>。</w:t>
      </w:r>
    </w:p>
    <w:bookmarkEnd w:id="1825"/>
    <w:p w14:paraId="0940728A">
      <w:pPr>
        <w:keepNext/>
        <w:keepLines/>
        <w:widowControl/>
        <w:numPr>
          <w:ilvl w:val="0"/>
          <w:numId w:val="3"/>
        </w:numPr>
        <w:spacing w:before="120" w:beforeLines="50" w:after="120" w:afterLines="50" w:line="440" w:lineRule="exact"/>
        <w:outlineLvl w:val="3"/>
        <w:rPr>
          <w:rFonts w:hint="eastAsia" w:ascii="仿宋" w:hAnsi="仿宋" w:eastAsia="仿宋" w:cs="仿宋"/>
          <w:b/>
          <w:bCs/>
          <w:color w:val="auto"/>
          <w:sz w:val="21"/>
          <w:szCs w:val="21"/>
          <w:highlight w:val="none"/>
        </w:rPr>
      </w:pPr>
      <w:bookmarkStart w:id="1856" w:name="_Toc351203646"/>
      <w:bookmarkStart w:id="1857" w:name="_Toc532375656"/>
      <w:bookmarkStart w:id="1858" w:name="_Toc532377393"/>
      <w:r>
        <w:rPr>
          <w:rFonts w:hint="eastAsia" w:ascii="仿宋" w:hAnsi="仿宋" w:eastAsia="仿宋" w:cs="仿宋"/>
          <w:b/>
          <w:bCs/>
          <w:color w:val="auto"/>
          <w:sz w:val="21"/>
          <w:szCs w:val="21"/>
          <w:highlight w:val="none"/>
        </w:rPr>
        <w:t>竣工结算</w:t>
      </w:r>
      <w:bookmarkEnd w:id="1856"/>
      <w:bookmarkEnd w:id="1857"/>
      <w:bookmarkEnd w:id="1858"/>
    </w:p>
    <w:p w14:paraId="0876DF18">
      <w:pPr>
        <w:spacing w:line="360" w:lineRule="auto"/>
        <w:ind w:right="140" w:rightChars="50"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14.2.1 竣工结算办法</w:t>
      </w:r>
    </w:p>
    <w:p w14:paraId="53594FB8">
      <w:pPr>
        <w:spacing w:line="360" w:lineRule="auto"/>
        <w:ind w:right="140" w:rightChars="50"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14.2.1.1计量原则</w:t>
      </w:r>
    </w:p>
    <w:p w14:paraId="245421EF">
      <w:pPr>
        <w:spacing w:line="360" w:lineRule="auto"/>
        <w:ind w:right="140" w:rightChars="50" w:firstLine="420" w:firstLineChars="200"/>
        <w:jc w:val="left"/>
        <w:rPr>
          <w:rFonts w:hint="eastAsia" w:ascii="仿宋" w:hAnsi="仿宋" w:eastAsia="仿宋" w:cs="仿宋"/>
          <w:color w:val="auto"/>
          <w:sz w:val="21"/>
          <w:szCs w:val="21"/>
          <w:highlight w:val="none"/>
          <w:u w:val="single"/>
        </w:rPr>
      </w:pPr>
      <w:r>
        <w:rPr>
          <w:rFonts w:hint="eastAsia" w:ascii="仿宋" w:hAnsi="仿宋" w:eastAsia="仿宋" w:cs="仿宋"/>
          <w:color w:val="auto"/>
          <w:sz w:val="21"/>
          <w:szCs w:val="21"/>
          <w:highlight w:val="none"/>
        </w:rPr>
        <w:t>按照第12.3.1项〔计量原则〕约定执行。</w:t>
      </w:r>
    </w:p>
    <w:p w14:paraId="4AA68A5E">
      <w:pPr>
        <w:spacing w:line="360" w:lineRule="auto"/>
        <w:ind w:right="140" w:rightChars="50"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14.2.1.2计价原则</w:t>
      </w:r>
    </w:p>
    <w:p w14:paraId="721708FE">
      <w:pPr>
        <w:spacing w:line="360" w:lineRule="auto"/>
        <w:ind w:right="140" w:rightChars="50" w:firstLine="420" w:firstLineChars="200"/>
        <w:jc w:val="left"/>
        <w:rPr>
          <w:rFonts w:hint="eastAsia" w:ascii="仿宋" w:hAnsi="仿宋" w:eastAsia="仿宋" w:cs="仿宋"/>
          <w:color w:val="auto"/>
          <w:sz w:val="21"/>
          <w:szCs w:val="21"/>
          <w:highlight w:val="none"/>
          <w:u w:val="single"/>
        </w:rPr>
      </w:pPr>
      <w:r>
        <w:rPr>
          <w:rFonts w:hint="eastAsia" w:ascii="仿宋" w:hAnsi="仿宋" w:eastAsia="仿宋" w:cs="仿宋"/>
          <w:color w:val="auto"/>
          <w:sz w:val="21"/>
          <w:szCs w:val="21"/>
          <w:highlight w:val="none"/>
          <w:u w:val="single"/>
        </w:rPr>
        <w:t>合同竣工结算价=Σ分部分项工程结算价+Σ措施项目结算价+Σ其他项目结算价±Σ价格调整（如有）±Σ变更、索赔与现场签证结算价±Σ奖励、罚金、违约金及其他费用+Σ规费+Σ税金</w:t>
      </w:r>
      <w:r>
        <w:rPr>
          <w:rFonts w:hint="eastAsia" w:ascii="仿宋" w:hAnsi="仿宋" w:eastAsia="仿宋" w:cs="仿宋"/>
          <w:color w:val="auto"/>
          <w:sz w:val="21"/>
          <w:szCs w:val="21"/>
          <w:highlight w:val="none"/>
        </w:rPr>
        <w:t>。</w:t>
      </w:r>
    </w:p>
    <w:p w14:paraId="78C0F819">
      <w:pPr>
        <w:spacing w:line="360" w:lineRule="auto"/>
        <w:ind w:right="140" w:rightChars="50"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具体结算办法如下：</w:t>
      </w:r>
    </w:p>
    <w:p w14:paraId="1DFAD2CB">
      <w:pPr>
        <w:tabs>
          <w:tab w:val="left" w:pos="711"/>
          <w:tab w:val="left" w:pos="2580"/>
        </w:tabs>
        <w:spacing w:line="360" w:lineRule="auto"/>
        <w:ind w:right="140" w:rightChars="50" w:firstLine="420" w:firstLineChars="200"/>
        <w:jc w:val="left"/>
        <w:textAlignment w:val="baseline"/>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（1）分部分项工程：</w:t>
      </w:r>
    </w:p>
    <w:p w14:paraId="3A756507">
      <w:pPr>
        <w:tabs>
          <w:tab w:val="left" w:pos="711"/>
          <w:tab w:val="left" w:pos="2580"/>
        </w:tabs>
        <w:spacing w:line="360" w:lineRule="auto"/>
        <w:ind w:right="140" w:rightChars="50" w:firstLine="420" w:firstLineChars="200"/>
        <w:jc w:val="left"/>
        <w:textAlignment w:val="baseline"/>
        <w:rPr>
          <w:rFonts w:hint="eastAsia" w:ascii="仿宋" w:hAnsi="仿宋" w:eastAsia="仿宋" w:cs="仿宋"/>
          <w:color w:val="auto"/>
          <w:sz w:val="21"/>
          <w:szCs w:val="21"/>
          <w:highlight w:val="none"/>
          <w:u w:val="single"/>
        </w:rPr>
      </w:pPr>
      <w:r>
        <w:rPr>
          <w:rFonts w:hint="eastAsia" w:ascii="仿宋" w:hAnsi="仿宋" w:eastAsia="仿宋" w:cs="仿宋"/>
          <w:color w:val="auto"/>
          <w:sz w:val="21"/>
          <w:szCs w:val="21"/>
          <w:highlight w:val="none"/>
          <w:u w:val="single"/>
        </w:rPr>
        <w:t>①已标价工程量清单子目综合单价按合同约定无需调整的，以按照竣工图和第12.3.1项〔计量原则〕约定确定的工程量乘以相应的已标价工程量清单子目综合单价确定该部分分部分项工程结算价</w:t>
      </w:r>
      <w:r>
        <w:rPr>
          <w:rFonts w:hint="eastAsia" w:ascii="仿宋" w:hAnsi="仿宋" w:eastAsia="仿宋" w:cs="仿宋"/>
          <w:color w:val="auto"/>
          <w:sz w:val="21"/>
          <w:szCs w:val="21"/>
          <w:highlight w:val="none"/>
        </w:rPr>
        <w:t>；</w:t>
      </w:r>
    </w:p>
    <w:p w14:paraId="44B1889F">
      <w:pPr>
        <w:tabs>
          <w:tab w:val="left" w:pos="711"/>
          <w:tab w:val="left" w:pos="2580"/>
        </w:tabs>
        <w:spacing w:line="360" w:lineRule="auto"/>
        <w:ind w:right="140" w:rightChars="50" w:firstLine="420" w:firstLineChars="200"/>
        <w:jc w:val="left"/>
        <w:textAlignment w:val="baseline"/>
        <w:rPr>
          <w:rFonts w:hint="eastAsia" w:ascii="仿宋" w:hAnsi="仿宋" w:eastAsia="仿宋" w:cs="仿宋"/>
          <w:color w:val="auto"/>
          <w:sz w:val="21"/>
          <w:szCs w:val="21"/>
          <w:highlight w:val="none"/>
          <w:u w:val="single"/>
        </w:rPr>
      </w:pPr>
      <w:r>
        <w:rPr>
          <w:rFonts w:hint="eastAsia" w:ascii="仿宋" w:hAnsi="仿宋" w:eastAsia="仿宋" w:cs="仿宋"/>
          <w:color w:val="auto"/>
          <w:sz w:val="21"/>
          <w:szCs w:val="21"/>
          <w:highlight w:val="none"/>
          <w:u w:val="single"/>
        </w:rPr>
        <w:t>②已标价工程量清单子目综合单价按第11.3款〔严重不平衡报价引起的调整〕约定需要修正综合单价的，结算工程量超过已标价工程量15%的，超出部分工程量乘以按第11.3款〔严重不平衡报价引起的调整〕约定修正综合单价确定该部分分部分项工程结算价</w:t>
      </w:r>
      <w:r>
        <w:rPr>
          <w:rFonts w:hint="eastAsia" w:ascii="仿宋" w:hAnsi="仿宋" w:eastAsia="仿宋" w:cs="仿宋"/>
          <w:color w:val="auto"/>
          <w:sz w:val="21"/>
          <w:szCs w:val="21"/>
          <w:highlight w:val="none"/>
        </w:rPr>
        <w:t>；</w:t>
      </w:r>
    </w:p>
    <w:p w14:paraId="69D315C0">
      <w:pPr>
        <w:tabs>
          <w:tab w:val="left" w:pos="711"/>
          <w:tab w:val="left" w:pos="2580"/>
        </w:tabs>
        <w:spacing w:line="360" w:lineRule="auto"/>
        <w:ind w:right="140" w:rightChars="50" w:firstLine="420" w:firstLineChars="200"/>
        <w:jc w:val="left"/>
        <w:textAlignment w:val="baseline"/>
        <w:rPr>
          <w:rFonts w:hint="eastAsia" w:ascii="仿宋" w:hAnsi="仿宋" w:eastAsia="仿宋" w:cs="仿宋"/>
          <w:color w:val="auto"/>
          <w:sz w:val="21"/>
          <w:szCs w:val="21"/>
          <w:highlight w:val="none"/>
          <w:u w:val="single"/>
        </w:rPr>
      </w:pPr>
      <w:r>
        <w:rPr>
          <w:rFonts w:hint="eastAsia" w:ascii="仿宋" w:hAnsi="仿宋" w:eastAsia="仿宋" w:cs="仿宋"/>
          <w:color w:val="auto"/>
          <w:sz w:val="21"/>
          <w:szCs w:val="21"/>
          <w:highlight w:val="none"/>
          <w:u w:val="single"/>
        </w:rPr>
        <w:t>③需要对没有填入综合单价或总额价的子目项目进行扣减的，第12.3.1项〔计量原则〕约定确定的工程量乘以按照10.4.1〔变更估价原则〕（3）目约定的综合单价进行扣减</w:t>
      </w:r>
      <w:r>
        <w:rPr>
          <w:rFonts w:hint="eastAsia" w:ascii="仿宋" w:hAnsi="仿宋" w:eastAsia="仿宋" w:cs="仿宋"/>
          <w:color w:val="auto"/>
          <w:sz w:val="21"/>
          <w:szCs w:val="21"/>
          <w:highlight w:val="none"/>
        </w:rPr>
        <w:t>；</w:t>
      </w:r>
    </w:p>
    <w:p w14:paraId="61F6465B">
      <w:pPr>
        <w:tabs>
          <w:tab w:val="left" w:pos="711"/>
          <w:tab w:val="left" w:pos="2580"/>
        </w:tabs>
        <w:spacing w:line="360" w:lineRule="auto"/>
        <w:ind w:right="140" w:rightChars="50" w:firstLine="420" w:firstLineChars="200"/>
        <w:jc w:val="left"/>
        <w:textAlignment w:val="baseline"/>
        <w:rPr>
          <w:rFonts w:hint="eastAsia" w:ascii="仿宋" w:hAnsi="仿宋" w:eastAsia="仿宋" w:cs="仿宋"/>
          <w:color w:val="auto"/>
          <w:sz w:val="21"/>
          <w:szCs w:val="21"/>
          <w:highlight w:val="none"/>
          <w:u w:val="single"/>
        </w:rPr>
      </w:pPr>
      <w:r>
        <w:rPr>
          <w:rFonts w:hint="eastAsia" w:ascii="仿宋" w:hAnsi="仿宋" w:eastAsia="仿宋" w:cs="仿宋"/>
          <w:color w:val="auto"/>
          <w:sz w:val="21"/>
          <w:szCs w:val="21"/>
          <w:highlight w:val="none"/>
          <w:u w:val="single"/>
        </w:rPr>
        <w:t>④合同、已标价工程量清单和招标文件另有约定的，按照其约定执行</w:t>
      </w:r>
      <w:r>
        <w:rPr>
          <w:rFonts w:hint="eastAsia" w:ascii="仿宋" w:hAnsi="仿宋" w:eastAsia="仿宋" w:cs="仿宋"/>
          <w:color w:val="auto"/>
          <w:sz w:val="21"/>
          <w:szCs w:val="21"/>
          <w:highlight w:val="none"/>
        </w:rPr>
        <w:t>。</w:t>
      </w:r>
    </w:p>
    <w:p w14:paraId="3FF60892">
      <w:pPr>
        <w:tabs>
          <w:tab w:val="left" w:pos="711"/>
          <w:tab w:val="left" w:pos="2580"/>
        </w:tabs>
        <w:spacing w:line="360" w:lineRule="auto"/>
        <w:ind w:right="140" w:rightChars="50" w:firstLine="420" w:firstLineChars="200"/>
        <w:jc w:val="left"/>
        <w:textAlignment w:val="baseline"/>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（2）措施项目：</w:t>
      </w:r>
    </w:p>
    <w:p w14:paraId="5CB39803">
      <w:pPr>
        <w:tabs>
          <w:tab w:val="left" w:pos="711"/>
          <w:tab w:val="left" w:pos="2580"/>
        </w:tabs>
        <w:spacing w:line="360" w:lineRule="auto"/>
        <w:ind w:right="140" w:rightChars="50" w:firstLine="420" w:firstLineChars="200"/>
        <w:jc w:val="left"/>
        <w:textAlignment w:val="baseline"/>
        <w:rPr>
          <w:rFonts w:hint="eastAsia" w:ascii="仿宋" w:hAnsi="仿宋" w:eastAsia="仿宋" w:cs="仿宋"/>
          <w:color w:val="auto"/>
          <w:sz w:val="21"/>
          <w:szCs w:val="21"/>
          <w:highlight w:val="none"/>
          <w:u w:val="single"/>
        </w:rPr>
      </w:pPr>
      <w:r>
        <w:rPr>
          <w:rFonts w:hint="eastAsia" w:ascii="仿宋" w:hAnsi="仿宋" w:eastAsia="仿宋" w:cs="仿宋"/>
          <w:color w:val="auto"/>
          <w:sz w:val="21"/>
          <w:szCs w:val="21"/>
          <w:highlight w:val="none"/>
          <w:u w:val="single"/>
        </w:rPr>
        <w:t>①已标价工程量清单范围内以项为计量单位的措施项目费（安全文明施工费除外）包干使用；不以项为计量单位的措施项目费按第14.2.1项〔竣工结算办理办法〕分部分项约定执行</w:t>
      </w:r>
      <w:r>
        <w:rPr>
          <w:rFonts w:hint="eastAsia" w:ascii="仿宋" w:hAnsi="仿宋" w:eastAsia="仿宋" w:cs="仿宋"/>
          <w:color w:val="auto"/>
          <w:sz w:val="21"/>
          <w:szCs w:val="21"/>
          <w:highlight w:val="none"/>
        </w:rPr>
        <w:t>。</w:t>
      </w:r>
    </w:p>
    <w:p w14:paraId="70DB9629">
      <w:pPr>
        <w:tabs>
          <w:tab w:val="left" w:pos="711"/>
          <w:tab w:val="left" w:pos="2580"/>
        </w:tabs>
        <w:spacing w:line="360" w:lineRule="auto"/>
        <w:ind w:right="140" w:rightChars="50" w:firstLine="420" w:firstLineChars="200"/>
        <w:jc w:val="left"/>
        <w:textAlignment w:val="baseline"/>
        <w:rPr>
          <w:rFonts w:hint="eastAsia" w:ascii="仿宋" w:hAnsi="仿宋" w:eastAsia="仿宋" w:cs="仿宋"/>
          <w:color w:val="auto"/>
          <w:sz w:val="21"/>
          <w:szCs w:val="21"/>
          <w:highlight w:val="none"/>
          <w:u w:val="single"/>
        </w:rPr>
      </w:pPr>
      <w:r>
        <w:rPr>
          <w:rFonts w:hint="eastAsia" w:ascii="仿宋" w:hAnsi="仿宋" w:eastAsia="仿宋" w:cs="仿宋"/>
          <w:color w:val="auto"/>
          <w:sz w:val="21"/>
          <w:szCs w:val="21"/>
          <w:highlight w:val="none"/>
          <w:u w:val="single"/>
        </w:rPr>
        <w:t>②工程变更引起施工方案改变使措施项目发生变化的，经监理人、发包人确定后可对按第10.4.3项约定执行</w:t>
      </w:r>
      <w:r>
        <w:rPr>
          <w:rFonts w:hint="eastAsia" w:ascii="仿宋" w:hAnsi="仿宋" w:eastAsia="仿宋" w:cs="仿宋"/>
          <w:color w:val="auto"/>
          <w:sz w:val="21"/>
          <w:szCs w:val="21"/>
          <w:highlight w:val="none"/>
        </w:rPr>
        <w:t>。</w:t>
      </w:r>
    </w:p>
    <w:p w14:paraId="331C9264">
      <w:pPr>
        <w:tabs>
          <w:tab w:val="left" w:pos="711"/>
          <w:tab w:val="left" w:pos="2580"/>
        </w:tabs>
        <w:spacing w:line="360" w:lineRule="auto"/>
        <w:ind w:right="140" w:rightChars="50" w:firstLine="420" w:firstLineChars="200"/>
        <w:jc w:val="left"/>
        <w:textAlignment w:val="baseline"/>
        <w:rPr>
          <w:rFonts w:hint="eastAsia" w:ascii="仿宋" w:hAnsi="仿宋" w:eastAsia="仿宋" w:cs="仿宋"/>
          <w:color w:val="auto"/>
          <w:sz w:val="21"/>
          <w:szCs w:val="21"/>
          <w:highlight w:val="none"/>
          <w:u w:val="single"/>
        </w:rPr>
      </w:pPr>
      <w:r>
        <w:rPr>
          <w:rFonts w:hint="eastAsia" w:ascii="仿宋" w:hAnsi="仿宋" w:eastAsia="仿宋" w:cs="仿宋"/>
          <w:color w:val="auto"/>
          <w:sz w:val="21"/>
          <w:szCs w:val="21"/>
          <w:highlight w:val="none"/>
          <w:u w:val="single"/>
        </w:rPr>
        <w:t>③安全文明施工费按照《重庆市建设工程安全文明施工费计取及使用管理规定》（渝建发〔2014〕25号）、《重庆市住房和城乡建设委员会关于调整建设施工现场形象品质提升安全文明施工费计取的通知》（渝建管〔2020〕97号）、《重庆市建设工程费用定额》（CQFYDE-2018）、《重庆市城乡建设委员会关于适用增值税新税率调整建设工程计价依据的通知》（渝建〔2019〕143号）、《重庆市住房和城乡建设委员会关于修订发布&lt;重庆市建设工程安全文明施工费计取及使用管理规定&gt;的通知》（渝建管〔2024〕38号）的规定进行结算</w:t>
      </w:r>
      <w:r>
        <w:rPr>
          <w:rFonts w:hint="eastAsia" w:ascii="仿宋" w:hAnsi="仿宋" w:eastAsia="仿宋" w:cs="仿宋"/>
          <w:color w:val="auto"/>
          <w:sz w:val="21"/>
          <w:szCs w:val="21"/>
          <w:highlight w:val="none"/>
        </w:rPr>
        <w:t>。</w:t>
      </w:r>
    </w:p>
    <w:p w14:paraId="6A28C497">
      <w:pPr>
        <w:tabs>
          <w:tab w:val="left" w:pos="711"/>
          <w:tab w:val="left" w:pos="2580"/>
        </w:tabs>
        <w:spacing w:line="360" w:lineRule="auto"/>
        <w:ind w:right="140" w:rightChars="50" w:firstLine="420" w:firstLineChars="200"/>
        <w:jc w:val="left"/>
        <w:textAlignment w:val="baseline"/>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（3）其他项目：</w:t>
      </w:r>
    </w:p>
    <w:p w14:paraId="390AD2E3">
      <w:pPr>
        <w:spacing w:line="360" w:lineRule="auto"/>
        <w:ind w:right="140" w:rightChars="50"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①材料（工程设备）暂估价：</w:t>
      </w:r>
      <w:r>
        <w:rPr>
          <w:rFonts w:hint="eastAsia" w:ascii="仿宋" w:hAnsi="仿宋" w:eastAsia="仿宋" w:cs="仿宋"/>
          <w:color w:val="auto"/>
          <w:sz w:val="21"/>
          <w:szCs w:val="21"/>
          <w:highlight w:val="none"/>
          <w:u w:val="single"/>
        </w:rPr>
        <w:t>按照第12.3.1项〔计量原则〕约定及对应定额消耗量确定的数量乘以监理人、跟审单位、发包人根据市场行情认质核价确定的价格进行结算</w:t>
      </w:r>
      <w:r>
        <w:rPr>
          <w:rFonts w:hint="eastAsia" w:ascii="仿宋" w:hAnsi="仿宋" w:eastAsia="仿宋" w:cs="仿宋"/>
          <w:color w:val="auto"/>
          <w:sz w:val="21"/>
          <w:szCs w:val="21"/>
          <w:highlight w:val="none"/>
        </w:rPr>
        <w:t>。</w:t>
      </w:r>
    </w:p>
    <w:p w14:paraId="6F4915DE">
      <w:pPr>
        <w:spacing w:line="360" w:lineRule="auto"/>
        <w:ind w:right="140" w:rightChars="50"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②专业工程暂估价：</w:t>
      </w:r>
    </w:p>
    <w:p w14:paraId="61D8E9D2">
      <w:pPr>
        <w:spacing w:line="360" w:lineRule="auto"/>
        <w:ind w:right="140" w:rightChars="50"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u w:val="single"/>
        </w:rPr>
        <w:t>1）对于不属于依法必须招标的暂估价项目：按发包人审定的价格进行结算</w:t>
      </w:r>
      <w:r>
        <w:rPr>
          <w:rFonts w:hint="eastAsia" w:ascii="仿宋" w:hAnsi="仿宋" w:eastAsia="仿宋" w:cs="仿宋"/>
          <w:color w:val="auto"/>
          <w:sz w:val="21"/>
          <w:szCs w:val="21"/>
          <w:highlight w:val="none"/>
        </w:rPr>
        <w:t>。</w:t>
      </w:r>
    </w:p>
    <w:p w14:paraId="598F0703">
      <w:pPr>
        <w:spacing w:line="360" w:lineRule="auto"/>
        <w:ind w:right="140" w:rightChars="50"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u w:val="single"/>
        </w:rPr>
        <w:t>2）对于依法必须招标的暂估价项目：达到招标规模标准的暂估价内容，包括专业工程暂估价和材料设备暂估价均应招标确定，并按暂估价招标文件约定结算</w:t>
      </w:r>
      <w:r>
        <w:rPr>
          <w:rFonts w:hint="eastAsia" w:ascii="仿宋" w:hAnsi="仿宋" w:eastAsia="仿宋" w:cs="仿宋"/>
          <w:color w:val="auto"/>
          <w:sz w:val="21"/>
          <w:szCs w:val="21"/>
          <w:highlight w:val="none"/>
        </w:rPr>
        <w:t>。</w:t>
      </w:r>
    </w:p>
    <w:p w14:paraId="5F0CE33E">
      <w:pPr>
        <w:spacing w:line="360" w:lineRule="auto"/>
        <w:ind w:right="140" w:rightChars="50"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u w:val="single"/>
        </w:rPr>
        <w:t>3）总承包服务费：总承包服务费包干使用，结算时不作调整</w:t>
      </w:r>
      <w:r>
        <w:rPr>
          <w:rFonts w:hint="eastAsia" w:ascii="仿宋" w:hAnsi="仿宋" w:eastAsia="仿宋" w:cs="仿宋"/>
          <w:color w:val="auto"/>
          <w:sz w:val="21"/>
          <w:szCs w:val="21"/>
          <w:highlight w:val="none"/>
        </w:rPr>
        <w:t>。</w:t>
      </w:r>
    </w:p>
    <w:p w14:paraId="0C76A39C">
      <w:pPr>
        <w:tabs>
          <w:tab w:val="left" w:pos="711"/>
          <w:tab w:val="left" w:pos="2580"/>
        </w:tabs>
        <w:spacing w:line="360" w:lineRule="auto"/>
        <w:ind w:right="140" w:rightChars="50" w:firstLine="420" w:firstLineChars="200"/>
        <w:jc w:val="left"/>
        <w:textAlignment w:val="baseline"/>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（4）价格调整：</w:t>
      </w:r>
      <w:r>
        <w:rPr>
          <w:rFonts w:hint="eastAsia" w:ascii="仿宋" w:hAnsi="仿宋" w:eastAsia="仿宋" w:cs="仿宋"/>
          <w:color w:val="auto"/>
          <w:sz w:val="21"/>
          <w:szCs w:val="21"/>
          <w:highlight w:val="none"/>
          <w:u w:val="single"/>
        </w:rPr>
        <w:t>按照第11条〔价格调整〕约定约定执行</w:t>
      </w:r>
      <w:r>
        <w:rPr>
          <w:rFonts w:hint="eastAsia" w:ascii="仿宋" w:hAnsi="仿宋" w:eastAsia="仿宋" w:cs="仿宋"/>
          <w:color w:val="auto"/>
          <w:sz w:val="21"/>
          <w:szCs w:val="21"/>
          <w:highlight w:val="none"/>
        </w:rPr>
        <w:t>。</w:t>
      </w:r>
    </w:p>
    <w:p w14:paraId="3E6F423B">
      <w:pPr>
        <w:tabs>
          <w:tab w:val="left" w:pos="711"/>
          <w:tab w:val="left" w:pos="2580"/>
        </w:tabs>
        <w:spacing w:line="360" w:lineRule="auto"/>
        <w:ind w:right="140" w:rightChars="50" w:firstLine="420" w:firstLineChars="200"/>
        <w:jc w:val="left"/>
        <w:textAlignment w:val="baseline"/>
        <w:rPr>
          <w:rFonts w:hint="eastAsia" w:ascii="仿宋" w:hAnsi="仿宋" w:eastAsia="仿宋" w:cs="仿宋"/>
          <w:color w:val="auto"/>
          <w:sz w:val="21"/>
          <w:szCs w:val="21"/>
          <w:highlight w:val="none"/>
          <w:u w:val="single"/>
        </w:rPr>
      </w:pPr>
      <w:r>
        <w:rPr>
          <w:rFonts w:hint="eastAsia" w:ascii="仿宋" w:hAnsi="仿宋" w:eastAsia="仿宋" w:cs="仿宋"/>
          <w:color w:val="auto"/>
          <w:sz w:val="21"/>
          <w:szCs w:val="21"/>
          <w:highlight w:val="none"/>
        </w:rPr>
        <w:t>（5）工程变更、索赔与现场签证：</w:t>
      </w:r>
    </w:p>
    <w:p w14:paraId="4D4CB1DE">
      <w:pPr>
        <w:tabs>
          <w:tab w:val="left" w:pos="711"/>
          <w:tab w:val="left" w:pos="2580"/>
        </w:tabs>
        <w:spacing w:line="360" w:lineRule="auto"/>
        <w:ind w:right="140" w:rightChars="50" w:firstLine="420" w:firstLineChars="200"/>
        <w:jc w:val="left"/>
        <w:textAlignment w:val="baseline"/>
        <w:rPr>
          <w:rFonts w:hint="eastAsia" w:ascii="仿宋" w:hAnsi="仿宋" w:eastAsia="仿宋" w:cs="仿宋"/>
          <w:color w:val="auto"/>
          <w:sz w:val="21"/>
          <w:szCs w:val="21"/>
          <w:highlight w:val="none"/>
          <w:u w:val="single"/>
        </w:rPr>
      </w:pPr>
      <w:r>
        <w:rPr>
          <w:rFonts w:hint="eastAsia" w:ascii="仿宋" w:hAnsi="仿宋" w:eastAsia="仿宋" w:cs="仿宋"/>
          <w:color w:val="auto"/>
          <w:sz w:val="21"/>
          <w:szCs w:val="21"/>
          <w:highlight w:val="none"/>
        </w:rPr>
        <w:t>1）工程变更：按照第10.4.1项〔变更估价原则〕约定确定为总价包干的，按审定包干总价计入结算；其余项目按照有效的竣工结算资料和第12.3.1项〔计量原则〕约定确定的工程量乘以相应的按照第10.4.1项〔变更估价原则〕约定确定综合单价来确定该部分结算价。</w:t>
      </w:r>
    </w:p>
    <w:p w14:paraId="125062B9">
      <w:pPr>
        <w:tabs>
          <w:tab w:val="left" w:pos="711"/>
          <w:tab w:val="left" w:pos="2580"/>
        </w:tabs>
        <w:spacing w:line="360" w:lineRule="auto"/>
        <w:ind w:right="140" w:rightChars="50" w:firstLine="420" w:firstLineChars="200"/>
        <w:jc w:val="left"/>
        <w:textAlignment w:val="baseline"/>
        <w:rPr>
          <w:rFonts w:hint="eastAsia" w:ascii="仿宋" w:hAnsi="仿宋" w:eastAsia="仿宋" w:cs="仿宋"/>
          <w:color w:val="auto"/>
          <w:sz w:val="21"/>
          <w:szCs w:val="21"/>
          <w:highlight w:val="none"/>
          <w:u w:val="single"/>
        </w:rPr>
      </w:pPr>
      <w:r>
        <w:rPr>
          <w:rFonts w:hint="eastAsia" w:ascii="仿宋" w:hAnsi="仿宋" w:eastAsia="仿宋" w:cs="仿宋"/>
          <w:color w:val="auto"/>
          <w:sz w:val="21"/>
          <w:szCs w:val="21"/>
          <w:highlight w:val="none"/>
        </w:rPr>
        <w:t>2）索赔：按照第10.4.1项〔变更估价原则〕和第14.2.1项〔竣工结算办法〕约定执行。</w:t>
      </w:r>
    </w:p>
    <w:p w14:paraId="30E81B37">
      <w:pPr>
        <w:tabs>
          <w:tab w:val="left" w:pos="711"/>
          <w:tab w:val="left" w:pos="2580"/>
        </w:tabs>
        <w:spacing w:line="360" w:lineRule="auto"/>
        <w:ind w:right="140" w:rightChars="50" w:firstLine="420" w:firstLineChars="200"/>
        <w:jc w:val="left"/>
        <w:textAlignment w:val="baseline"/>
        <w:rPr>
          <w:rFonts w:hint="eastAsia" w:ascii="仿宋" w:hAnsi="仿宋" w:eastAsia="仿宋" w:cs="仿宋"/>
          <w:color w:val="auto"/>
          <w:sz w:val="21"/>
          <w:szCs w:val="21"/>
          <w:highlight w:val="none"/>
          <w:u w:val="single"/>
        </w:rPr>
      </w:pPr>
      <w:r>
        <w:rPr>
          <w:rFonts w:hint="eastAsia" w:ascii="仿宋" w:hAnsi="仿宋" w:eastAsia="仿宋" w:cs="仿宋"/>
          <w:color w:val="auto"/>
          <w:sz w:val="21"/>
          <w:szCs w:val="21"/>
          <w:highlight w:val="none"/>
        </w:rPr>
        <w:t>3）现场签证：按照第10.4.1项〔变更估价原则〕和第14.2.1项〔竣工结算办法〕约定执行。</w:t>
      </w:r>
    </w:p>
    <w:p w14:paraId="5368D5CF">
      <w:pPr>
        <w:tabs>
          <w:tab w:val="left" w:pos="711"/>
          <w:tab w:val="left" w:pos="2580"/>
        </w:tabs>
        <w:spacing w:line="360" w:lineRule="auto"/>
        <w:ind w:right="140" w:rightChars="50" w:firstLine="420" w:firstLineChars="200"/>
        <w:jc w:val="left"/>
        <w:textAlignment w:val="baseline"/>
        <w:rPr>
          <w:rFonts w:hint="eastAsia" w:ascii="仿宋" w:hAnsi="仿宋" w:eastAsia="仿宋" w:cs="仿宋"/>
          <w:color w:val="auto"/>
          <w:sz w:val="21"/>
          <w:szCs w:val="21"/>
          <w:highlight w:val="none"/>
          <w:u w:val="single"/>
        </w:rPr>
      </w:pPr>
      <w:r>
        <w:rPr>
          <w:rFonts w:hint="eastAsia" w:ascii="仿宋" w:hAnsi="仿宋" w:eastAsia="仿宋" w:cs="仿宋"/>
          <w:color w:val="auto"/>
          <w:sz w:val="21"/>
          <w:szCs w:val="21"/>
          <w:highlight w:val="none"/>
        </w:rPr>
        <w:t>（6）奖励、罚金、违约金及其他费用：</w:t>
      </w:r>
      <w:r>
        <w:rPr>
          <w:rFonts w:hint="eastAsia" w:ascii="仿宋" w:hAnsi="仿宋" w:eastAsia="仿宋" w:cs="仿宋"/>
          <w:color w:val="auto"/>
          <w:sz w:val="21"/>
          <w:szCs w:val="21"/>
          <w:highlight w:val="none"/>
          <w:u w:val="single"/>
        </w:rPr>
        <w:t>按实进行结算</w:t>
      </w:r>
      <w:r>
        <w:rPr>
          <w:rFonts w:hint="eastAsia" w:ascii="仿宋" w:hAnsi="仿宋" w:eastAsia="仿宋" w:cs="仿宋"/>
          <w:color w:val="auto"/>
          <w:sz w:val="21"/>
          <w:szCs w:val="21"/>
          <w:highlight w:val="none"/>
        </w:rPr>
        <w:t>。</w:t>
      </w:r>
    </w:p>
    <w:p w14:paraId="77DF5551">
      <w:pPr>
        <w:tabs>
          <w:tab w:val="left" w:pos="711"/>
          <w:tab w:val="left" w:pos="2580"/>
        </w:tabs>
        <w:spacing w:line="360" w:lineRule="auto"/>
        <w:ind w:right="140" w:rightChars="50" w:firstLine="420" w:firstLineChars="200"/>
        <w:jc w:val="left"/>
        <w:textAlignment w:val="baseline"/>
        <w:rPr>
          <w:rFonts w:hint="eastAsia" w:ascii="仿宋" w:hAnsi="仿宋" w:eastAsia="仿宋" w:cs="仿宋"/>
          <w:color w:val="auto"/>
          <w:sz w:val="21"/>
          <w:szCs w:val="21"/>
          <w:highlight w:val="none"/>
          <w:u w:val="single"/>
        </w:rPr>
      </w:pPr>
      <w:r>
        <w:rPr>
          <w:rFonts w:hint="eastAsia" w:ascii="仿宋" w:hAnsi="仿宋" w:eastAsia="仿宋" w:cs="仿宋"/>
          <w:color w:val="auto"/>
          <w:sz w:val="21"/>
          <w:szCs w:val="21"/>
          <w:highlight w:val="none"/>
        </w:rPr>
        <w:t>（7）规费：已标价工程量清单中规费费用按《重庆市建设工程费用定额》（CQFYDE-2018）执行。</w:t>
      </w:r>
    </w:p>
    <w:p w14:paraId="4DD8EC93">
      <w:pPr>
        <w:tabs>
          <w:tab w:val="left" w:pos="711"/>
          <w:tab w:val="left" w:pos="2580"/>
        </w:tabs>
        <w:spacing w:line="360" w:lineRule="auto"/>
        <w:ind w:right="140" w:rightChars="50" w:firstLine="420" w:firstLineChars="200"/>
        <w:jc w:val="left"/>
        <w:textAlignment w:val="baseline"/>
        <w:rPr>
          <w:rFonts w:hint="eastAsia" w:ascii="仿宋" w:hAnsi="仿宋" w:eastAsia="仿宋" w:cs="仿宋"/>
          <w:color w:val="auto"/>
          <w:sz w:val="21"/>
          <w:szCs w:val="21"/>
          <w:highlight w:val="none"/>
          <w:u w:val="single"/>
        </w:rPr>
      </w:pPr>
      <w:r>
        <w:rPr>
          <w:rFonts w:hint="eastAsia" w:ascii="仿宋" w:hAnsi="仿宋" w:eastAsia="仿宋" w:cs="仿宋"/>
          <w:color w:val="auto"/>
          <w:sz w:val="21"/>
          <w:szCs w:val="21"/>
          <w:highlight w:val="none"/>
        </w:rPr>
        <w:t>（8）税金：包含增值税、城市维护建设税、教育费附加、地方教育附加以及环境保护税。其中增值税按《重庆市建设工程费用定额》（CQFYDE-2018）、《重庆市城乡建设委员会关于适用增值税新税率调整建设工程计价依据的通知》（渝建〔2019〕143号）规定执行，环境保护税按实结算。</w:t>
      </w:r>
    </w:p>
    <w:p w14:paraId="15F8AFD4">
      <w:pPr>
        <w:spacing w:line="360" w:lineRule="auto"/>
        <w:ind w:right="140" w:rightChars="50"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14.2.1.3竣工结算价</w:t>
      </w:r>
    </w:p>
    <w:p w14:paraId="007E0520">
      <w:pPr>
        <w:tabs>
          <w:tab w:val="left" w:pos="711"/>
          <w:tab w:val="left" w:pos="2580"/>
        </w:tabs>
        <w:spacing w:line="360" w:lineRule="auto"/>
        <w:ind w:right="140" w:rightChars="50" w:firstLine="420" w:firstLineChars="200"/>
        <w:jc w:val="left"/>
        <w:textAlignment w:val="baseline"/>
        <w:rPr>
          <w:rFonts w:hint="eastAsia" w:ascii="仿宋" w:hAnsi="仿宋" w:eastAsia="仿宋" w:cs="仿宋"/>
          <w:color w:val="auto"/>
          <w:sz w:val="21"/>
          <w:szCs w:val="21"/>
          <w:highlight w:val="none"/>
          <w:u w:val="single"/>
        </w:rPr>
      </w:pPr>
      <w:bookmarkStart w:id="1859" w:name="_Hlk528660512"/>
      <w:r>
        <w:rPr>
          <w:rFonts w:hint="eastAsia" w:ascii="仿宋" w:hAnsi="仿宋" w:eastAsia="仿宋" w:cs="仿宋"/>
          <w:color w:val="auto"/>
          <w:sz w:val="21"/>
          <w:szCs w:val="21"/>
          <w:highlight w:val="none"/>
          <w:u w:val="single"/>
        </w:rPr>
        <w:t>以发包人会同跟审单位、监理人、承包人根据有效资料共同确定竣工结算金额作为合同竣工结算价</w:t>
      </w:r>
      <w:r>
        <w:rPr>
          <w:rFonts w:hint="eastAsia" w:ascii="仿宋" w:hAnsi="仿宋" w:eastAsia="仿宋" w:cs="仿宋"/>
          <w:color w:val="auto"/>
          <w:sz w:val="21"/>
          <w:szCs w:val="21"/>
          <w:highlight w:val="none"/>
        </w:rPr>
        <w:t>。</w:t>
      </w:r>
    </w:p>
    <w:bookmarkEnd w:id="1859"/>
    <w:p w14:paraId="7D975D6F">
      <w:pPr>
        <w:spacing w:line="360" w:lineRule="auto"/>
        <w:ind w:right="140" w:rightChars="50"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14.2.2 竣工结算审核期限</w:t>
      </w:r>
    </w:p>
    <w:p w14:paraId="32E87019">
      <w:pPr>
        <w:spacing w:line="360" w:lineRule="auto"/>
        <w:ind w:right="140" w:rightChars="50"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监理人审核竣工付款申请单的期限：</w:t>
      </w:r>
      <w:r>
        <w:rPr>
          <w:rFonts w:hint="eastAsia" w:ascii="仿宋" w:hAnsi="仿宋" w:eastAsia="仿宋" w:cs="仿宋"/>
          <w:color w:val="auto"/>
          <w:sz w:val="21"/>
          <w:szCs w:val="21"/>
          <w:highlight w:val="none"/>
          <w:u w:val="single"/>
        </w:rPr>
        <w:t>不超过  日</w:t>
      </w:r>
      <w:r>
        <w:rPr>
          <w:rFonts w:hint="eastAsia" w:ascii="仿宋" w:hAnsi="仿宋" w:eastAsia="仿宋" w:cs="仿宋"/>
          <w:color w:val="auto"/>
          <w:sz w:val="21"/>
          <w:szCs w:val="21"/>
          <w:highlight w:val="none"/>
        </w:rPr>
        <w:t>。</w:t>
      </w:r>
    </w:p>
    <w:p w14:paraId="1A214F5E">
      <w:pPr>
        <w:spacing w:line="360" w:lineRule="auto"/>
        <w:ind w:right="140" w:rightChars="50"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发包人审核竣工付款申请单的期限：</w:t>
      </w:r>
      <w:r>
        <w:rPr>
          <w:rFonts w:hint="eastAsia" w:ascii="仿宋" w:hAnsi="仿宋" w:eastAsia="仿宋" w:cs="仿宋"/>
          <w:color w:val="auto"/>
          <w:sz w:val="21"/>
          <w:szCs w:val="21"/>
          <w:highlight w:val="none"/>
          <w:u w:val="single"/>
        </w:rPr>
        <w:t>不超过  日</w:t>
      </w:r>
      <w:r>
        <w:rPr>
          <w:rFonts w:hint="eastAsia" w:ascii="仿宋" w:hAnsi="仿宋" w:eastAsia="仿宋" w:cs="仿宋"/>
          <w:color w:val="auto"/>
          <w:sz w:val="21"/>
          <w:szCs w:val="21"/>
          <w:highlight w:val="none"/>
        </w:rPr>
        <w:t>。</w:t>
      </w:r>
    </w:p>
    <w:p w14:paraId="0AEE8C4A">
      <w:pPr>
        <w:spacing w:line="360" w:lineRule="auto"/>
        <w:ind w:right="140" w:rightChars="50"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发包人完成竣工付款的期限：</w:t>
      </w:r>
      <w:r>
        <w:rPr>
          <w:rFonts w:hint="eastAsia" w:ascii="仿宋" w:hAnsi="仿宋" w:eastAsia="仿宋" w:cs="仿宋"/>
          <w:color w:val="auto"/>
          <w:sz w:val="21"/>
          <w:szCs w:val="21"/>
          <w:highlight w:val="none"/>
          <w:u w:val="single"/>
        </w:rPr>
        <w:t>完成竣工付款申请单审核后  天内</w:t>
      </w:r>
      <w:r>
        <w:rPr>
          <w:rFonts w:hint="eastAsia" w:ascii="仿宋" w:hAnsi="仿宋" w:eastAsia="仿宋" w:cs="仿宋"/>
          <w:color w:val="auto"/>
          <w:sz w:val="21"/>
          <w:szCs w:val="21"/>
          <w:highlight w:val="none"/>
        </w:rPr>
        <w:t>。</w:t>
      </w:r>
    </w:p>
    <w:p w14:paraId="7C889CC4">
      <w:pPr>
        <w:spacing w:line="360" w:lineRule="auto"/>
        <w:ind w:right="140" w:rightChars="50" w:firstLine="420" w:firstLineChars="200"/>
        <w:jc w:val="left"/>
        <w:rPr>
          <w:rFonts w:hint="eastAsia" w:ascii="仿宋" w:hAnsi="仿宋" w:eastAsia="仿宋" w:cs="仿宋"/>
          <w:color w:val="auto"/>
          <w:sz w:val="21"/>
          <w:szCs w:val="21"/>
          <w:highlight w:val="none"/>
          <w:u w:val="single"/>
        </w:rPr>
      </w:pPr>
      <w:r>
        <w:rPr>
          <w:rFonts w:hint="eastAsia" w:ascii="仿宋" w:hAnsi="仿宋" w:eastAsia="仿宋" w:cs="仿宋"/>
          <w:color w:val="auto"/>
          <w:sz w:val="21"/>
          <w:szCs w:val="21"/>
          <w:highlight w:val="none"/>
        </w:rPr>
        <w:t>关于竣工付款证书异议部分复核的方式和程序： 按照第20条〔争议解决〕约定处理。</w:t>
      </w:r>
    </w:p>
    <w:bookmarkEnd w:id="1540"/>
    <w:bookmarkEnd w:id="1541"/>
    <w:bookmarkEnd w:id="1542"/>
    <w:bookmarkEnd w:id="1543"/>
    <w:bookmarkEnd w:id="1544"/>
    <w:bookmarkEnd w:id="1545"/>
    <w:bookmarkEnd w:id="1546"/>
    <w:bookmarkEnd w:id="1547"/>
    <w:bookmarkEnd w:id="1826"/>
    <w:bookmarkEnd w:id="1827"/>
    <w:bookmarkEnd w:id="1828"/>
    <w:bookmarkEnd w:id="1829"/>
    <w:bookmarkEnd w:id="1830"/>
    <w:bookmarkEnd w:id="1831"/>
    <w:bookmarkEnd w:id="1832"/>
    <w:bookmarkEnd w:id="1833"/>
    <w:p w14:paraId="1FF2F9A6">
      <w:pPr>
        <w:keepNext/>
        <w:keepLines/>
        <w:widowControl/>
        <w:spacing w:before="120" w:beforeLines="50" w:after="120" w:afterLines="50" w:line="440" w:lineRule="exact"/>
        <w:outlineLvl w:val="3"/>
        <w:rPr>
          <w:rFonts w:hint="eastAsia" w:ascii="仿宋" w:hAnsi="仿宋" w:eastAsia="仿宋" w:cs="仿宋"/>
          <w:b/>
          <w:color w:val="auto"/>
          <w:sz w:val="21"/>
          <w:szCs w:val="21"/>
          <w:highlight w:val="none"/>
        </w:rPr>
      </w:pPr>
      <w:bookmarkStart w:id="1860" w:name="_Toc351203647"/>
      <w:bookmarkStart w:id="1861" w:name="_Toc532375661"/>
      <w:bookmarkStart w:id="1862" w:name="_Toc532377398"/>
      <w:bookmarkStart w:id="1863" w:name="_Toc267251483"/>
      <w:bookmarkStart w:id="1864" w:name="_Toc280868717"/>
      <w:bookmarkStart w:id="1865" w:name="_Toc280868718"/>
      <w:r>
        <w:rPr>
          <w:rFonts w:hint="eastAsia" w:ascii="仿宋" w:hAnsi="仿宋" w:eastAsia="仿宋" w:cs="仿宋"/>
          <w:b/>
          <w:bCs/>
          <w:color w:val="auto"/>
          <w:sz w:val="21"/>
          <w:szCs w:val="21"/>
          <w:highlight w:val="none"/>
        </w:rPr>
        <w:t>15. 缺陷责任期与保修</w:t>
      </w:r>
      <w:bookmarkEnd w:id="1860"/>
      <w:bookmarkEnd w:id="1861"/>
      <w:bookmarkEnd w:id="1862"/>
    </w:p>
    <w:bookmarkEnd w:id="1863"/>
    <w:p w14:paraId="47602541">
      <w:pPr>
        <w:widowControl/>
        <w:spacing w:line="440" w:lineRule="exact"/>
        <w:ind w:firstLine="422" w:firstLineChars="200"/>
        <w:jc w:val="left"/>
        <w:outlineLvl w:val="4"/>
        <w:rPr>
          <w:rFonts w:hint="eastAsia" w:ascii="仿宋" w:hAnsi="仿宋" w:eastAsia="仿宋" w:cs="仿宋"/>
          <w:b/>
          <w:bCs/>
          <w:color w:val="auto"/>
          <w:kern w:val="0"/>
          <w:sz w:val="21"/>
          <w:szCs w:val="21"/>
          <w:highlight w:val="none"/>
        </w:rPr>
      </w:pPr>
      <w:bookmarkStart w:id="1866" w:name="_Toc532377399"/>
      <w:bookmarkStart w:id="1867" w:name="_Toc532375662"/>
      <w:r>
        <w:rPr>
          <w:rFonts w:hint="eastAsia" w:ascii="仿宋" w:hAnsi="仿宋" w:eastAsia="仿宋" w:cs="仿宋"/>
          <w:b/>
          <w:bCs/>
          <w:color w:val="auto"/>
          <w:kern w:val="0"/>
          <w:sz w:val="21"/>
          <w:szCs w:val="21"/>
          <w:highlight w:val="none"/>
        </w:rPr>
        <w:t>15.3 质量保证金</w:t>
      </w:r>
      <w:bookmarkEnd w:id="1866"/>
      <w:bookmarkEnd w:id="1867"/>
    </w:p>
    <w:p w14:paraId="7B398863">
      <w:pPr>
        <w:widowControl/>
        <w:spacing w:line="440" w:lineRule="exact"/>
        <w:ind w:firstLine="422" w:firstLineChars="200"/>
        <w:jc w:val="left"/>
        <w:outlineLvl w:val="4"/>
        <w:rPr>
          <w:rFonts w:hint="eastAsia" w:ascii="仿宋" w:hAnsi="仿宋" w:eastAsia="仿宋" w:cs="仿宋"/>
          <w:b/>
          <w:bCs/>
          <w:color w:val="auto"/>
          <w:kern w:val="0"/>
          <w:sz w:val="21"/>
          <w:szCs w:val="21"/>
          <w:highlight w:val="none"/>
        </w:rPr>
      </w:pPr>
      <w:bookmarkStart w:id="1868" w:name="_Toc532375663"/>
      <w:bookmarkStart w:id="1869" w:name="_Toc532377400"/>
      <w:r>
        <w:rPr>
          <w:rFonts w:hint="eastAsia" w:ascii="仿宋" w:hAnsi="仿宋" w:eastAsia="仿宋" w:cs="仿宋"/>
          <w:b/>
          <w:bCs/>
          <w:color w:val="auto"/>
          <w:kern w:val="0"/>
          <w:sz w:val="21"/>
          <w:szCs w:val="21"/>
          <w:highlight w:val="none"/>
        </w:rPr>
        <w:t>15.4 保修</w:t>
      </w:r>
      <w:bookmarkEnd w:id="1868"/>
      <w:bookmarkEnd w:id="1869"/>
    </w:p>
    <w:p w14:paraId="6932468F">
      <w:pPr>
        <w:spacing w:line="440" w:lineRule="exact"/>
        <w:ind w:right="140" w:rightChars="50"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15.4.1 保修责任</w:t>
      </w:r>
    </w:p>
    <w:p w14:paraId="48C9BAE2">
      <w:pPr>
        <w:spacing w:line="440" w:lineRule="exact"/>
        <w:ind w:right="140" w:rightChars="50"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工程保修期为：</w:t>
      </w:r>
      <w:bookmarkStart w:id="1870" w:name="_Hlk524381274"/>
      <w:r>
        <w:rPr>
          <w:rFonts w:hint="eastAsia" w:ascii="仿宋" w:hAnsi="仿宋" w:eastAsia="仿宋" w:cs="仿宋"/>
          <w:color w:val="auto"/>
          <w:sz w:val="21"/>
          <w:szCs w:val="21"/>
          <w:highlight w:val="none"/>
        </w:rPr>
        <w:t>按照附件1《工程质量保修书》的规定执行。</w:t>
      </w:r>
      <w:bookmarkEnd w:id="1870"/>
    </w:p>
    <w:p w14:paraId="7E134F42">
      <w:pPr>
        <w:spacing w:line="440" w:lineRule="exact"/>
        <w:ind w:right="140" w:rightChars="50"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15.4.3 修复通知</w:t>
      </w:r>
    </w:p>
    <w:p w14:paraId="45D48B0A">
      <w:pPr>
        <w:spacing w:line="440" w:lineRule="exact"/>
        <w:ind w:right="140" w:rightChars="50"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承包人收到保修通知并到达工程现场的合理时间：</w:t>
      </w:r>
      <w:r>
        <w:rPr>
          <w:rFonts w:hint="eastAsia" w:ascii="仿宋" w:hAnsi="仿宋" w:eastAsia="仿宋" w:cs="仿宋"/>
          <w:color w:val="auto"/>
          <w:sz w:val="21"/>
          <w:szCs w:val="21"/>
          <w:highlight w:val="none"/>
          <w:u w:val="single"/>
        </w:rPr>
        <w:t xml:space="preserve">  小时内，最长不能超过  小时</w:t>
      </w:r>
      <w:r>
        <w:rPr>
          <w:rFonts w:hint="eastAsia" w:ascii="仿宋" w:hAnsi="仿宋" w:eastAsia="仿宋" w:cs="仿宋"/>
          <w:color w:val="auto"/>
          <w:sz w:val="21"/>
          <w:szCs w:val="21"/>
          <w:highlight w:val="none"/>
        </w:rPr>
        <w:t>。</w:t>
      </w:r>
    </w:p>
    <w:p w14:paraId="05E6E66A">
      <w:pPr>
        <w:keepNext/>
        <w:keepLines/>
        <w:widowControl/>
        <w:spacing w:before="120" w:beforeLines="50" w:after="120" w:afterLines="50" w:line="440" w:lineRule="exact"/>
        <w:outlineLvl w:val="3"/>
        <w:rPr>
          <w:rFonts w:hint="eastAsia" w:ascii="仿宋" w:hAnsi="仿宋" w:eastAsia="仿宋" w:cs="仿宋"/>
          <w:b/>
          <w:color w:val="auto"/>
          <w:sz w:val="21"/>
          <w:szCs w:val="21"/>
          <w:highlight w:val="none"/>
        </w:rPr>
      </w:pPr>
      <w:bookmarkStart w:id="1871" w:name="_Toc532375664"/>
      <w:bookmarkStart w:id="1872" w:name="_Toc532377401"/>
      <w:bookmarkStart w:id="1873" w:name="_Toc351203648"/>
      <w:r>
        <w:rPr>
          <w:rFonts w:hint="eastAsia" w:ascii="仿宋" w:hAnsi="仿宋" w:eastAsia="仿宋" w:cs="仿宋"/>
          <w:b/>
          <w:bCs/>
          <w:color w:val="auto"/>
          <w:sz w:val="21"/>
          <w:szCs w:val="21"/>
          <w:highlight w:val="none"/>
        </w:rPr>
        <w:t>16. 违约</w:t>
      </w:r>
      <w:bookmarkEnd w:id="1871"/>
      <w:bookmarkEnd w:id="1872"/>
      <w:bookmarkEnd w:id="1873"/>
    </w:p>
    <w:p w14:paraId="06221394">
      <w:pPr>
        <w:widowControl/>
        <w:spacing w:line="440" w:lineRule="exact"/>
        <w:ind w:firstLine="422" w:firstLineChars="200"/>
        <w:jc w:val="left"/>
        <w:outlineLvl w:val="4"/>
        <w:rPr>
          <w:rFonts w:hint="eastAsia" w:ascii="仿宋" w:hAnsi="仿宋" w:eastAsia="仿宋" w:cs="仿宋"/>
          <w:b/>
          <w:bCs/>
          <w:color w:val="auto"/>
          <w:kern w:val="0"/>
          <w:sz w:val="21"/>
          <w:szCs w:val="21"/>
          <w:highlight w:val="none"/>
        </w:rPr>
      </w:pPr>
      <w:bookmarkStart w:id="1874" w:name="_Toc532377402"/>
      <w:r>
        <w:rPr>
          <w:rFonts w:hint="eastAsia" w:ascii="仿宋" w:hAnsi="仿宋" w:eastAsia="仿宋" w:cs="仿宋"/>
          <w:b/>
          <w:bCs/>
          <w:color w:val="auto"/>
          <w:kern w:val="0"/>
          <w:sz w:val="21"/>
          <w:szCs w:val="21"/>
          <w:highlight w:val="none"/>
        </w:rPr>
        <w:t>16.1 发包人违约</w:t>
      </w:r>
      <w:bookmarkEnd w:id="1874"/>
    </w:p>
    <w:p w14:paraId="6455C88A">
      <w:pPr>
        <w:spacing w:line="440" w:lineRule="exact"/>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16.1.1 发包人违约的情形</w:t>
      </w:r>
    </w:p>
    <w:p w14:paraId="49FB43AD">
      <w:pPr>
        <w:spacing w:line="440" w:lineRule="exact"/>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除通用合同条款约定外，发包人违约的其他情形：</w:t>
      </w:r>
    </w:p>
    <w:p w14:paraId="4760331E">
      <w:pPr>
        <w:spacing w:line="440" w:lineRule="exact"/>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（1）根据专用合同条款7.5.1项因发包人原因导致工期延误的；</w:t>
      </w:r>
    </w:p>
    <w:p w14:paraId="5095D59F">
      <w:pPr>
        <w:snapToGrid w:val="0"/>
        <w:spacing w:line="440" w:lineRule="exact"/>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（2）因发包人原因未能及时办理完毕合同约定的许可、批准或备案的；</w:t>
      </w:r>
    </w:p>
    <w:p w14:paraId="1F3118CB">
      <w:pPr>
        <w:snapToGrid w:val="0"/>
        <w:spacing w:line="440" w:lineRule="exact"/>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（3）因监理人未能按合同约定发出指示、指示延误或发出了错误指示而导致承包人费用增加和（或）工期延误的；</w:t>
      </w:r>
    </w:p>
    <w:p w14:paraId="3990EA08">
      <w:pPr>
        <w:snapToGrid w:val="0"/>
        <w:spacing w:line="440" w:lineRule="exact"/>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（4）根据5.3.3发包人或监理人要求重新检查的，经检查证明工程质量符合合同要求的，并由此产生增加的费用和（或）延误的工期的；</w:t>
      </w:r>
    </w:p>
    <w:p w14:paraId="076EF6EC">
      <w:pPr>
        <w:snapToGrid w:val="0"/>
        <w:spacing w:line="440" w:lineRule="exact"/>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（5）因发包人原因造成工程质量未达到合同约定标准的；</w:t>
      </w:r>
    </w:p>
    <w:p w14:paraId="4703702F">
      <w:pPr>
        <w:snapToGrid w:val="0"/>
        <w:spacing w:line="440" w:lineRule="exact"/>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（6）由于发包人原因对承包人造成的人员人身伤亡和财产损失的；</w:t>
      </w:r>
    </w:p>
    <w:p w14:paraId="69F39A9B">
      <w:pPr>
        <w:spacing w:line="440" w:lineRule="exact"/>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（7）因发包人原因导致工程无法按期办理竣工验收或竣工结算的；</w:t>
      </w:r>
    </w:p>
    <w:p w14:paraId="417F1CDA">
      <w:pPr>
        <w:spacing w:line="440" w:lineRule="exact"/>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（8）发包人无正当理由未按约定退还履约担保、低价风险担保、预付款担保或质量保证金的；</w:t>
      </w:r>
    </w:p>
    <w:p w14:paraId="4482AA4A">
      <w:pPr>
        <w:spacing w:line="440" w:lineRule="exact"/>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（9）发包人不当提取履约担保、低价风险担保或质量保证金的；</w:t>
      </w:r>
    </w:p>
    <w:p w14:paraId="63CBC394">
      <w:pPr>
        <w:spacing w:line="440" w:lineRule="exact"/>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（10）发包人未按合同约定接收全部或部分工作的；</w:t>
      </w:r>
    </w:p>
    <w:p w14:paraId="1B1AF7C8">
      <w:pPr>
        <w:spacing w:line="440" w:lineRule="exact"/>
        <w:ind w:firstLine="420" w:firstLineChars="200"/>
        <w:jc w:val="left"/>
        <w:rPr>
          <w:rFonts w:hint="eastAsia" w:ascii="仿宋" w:hAnsi="仿宋" w:eastAsia="仿宋" w:cs="仿宋"/>
          <w:color w:val="auto"/>
          <w:kern w:val="0"/>
          <w:sz w:val="21"/>
          <w:szCs w:val="21"/>
          <w:highlight w:val="none"/>
          <w:u w:val="single"/>
        </w:rPr>
      </w:pPr>
      <w:r>
        <w:rPr>
          <w:rFonts w:hint="eastAsia" w:ascii="仿宋" w:hAnsi="仿宋" w:eastAsia="仿宋" w:cs="仿宋"/>
          <w:color w:val="auto"/>
          <w:kern w:val="0"/>
          <w:sz w:val="21"/>
          <w:szCs w:val="21"/>
          <w:highlight w:val="none"/>
        </w:rPr>
        <w:t>（11）发包人未按合同约定办理保险的；</w:t>
      </w:r>
    </w:p>
    <w:p w14:paraId="74A08686">
      <w:pPr>
        <w:snapToGrid w:val="0"/>
        <w:spacing w:line="440" w:lineRule="exact"/>
        <w:ind w:firstLine="420" w:firstLineChars="200"/>
        <w:jc w:val="left"/>
        <w:rPr>
          <w:rFonts w:hint="eastAsia" w:ascii="仿宋" w:hAnsi="仿宋" w:eastAsia="仿宋" w:cs="仿宋"/>
          <w:color w:val="auto"/>
          <w:kern w:val="0"/>
          <w:sz w:val="21"/>
          <w:szCs w:val="21"/>
          <w:highlight w:val="none"/>
          <w:u w:val="single"/>
        </w:rPr>
      </w:pPr>
      <w:r>
        <w:rPr>
          <w:rFonts w:hint="eastAsia" w:ascii="仿宋" w:hAnsi="仿宋" w:eastAsia="仿宋" w:cs="仿宋"/>
          <w:color w:val="auto"/>
          <w:kern w:val="0"/>
          <w:sz w:val="21"/>
          <w:szCs w:val="21"/>
          <w:highlight w:val="none"/>
          <w:u w:val="single"/>
        </w:rPr>
        <w:t xml:space="preserve">（12）其他：        </w:t>
      </w:r>
      <w:r>
        <w:rPr>
          <w:rFonts w:hint="eastAsia" w:ascii="仿宋" w:hAnsi="仿宋" w:eastAsia="仿宋" w:cs="仿宋"/>
          <w:color w:val="auto"/>
          <w:kern w:val="0"/>
          <w:sz w:val="21"/>
          <w:szCs w:val="21"/>
          <w:highlight w:val="none"/>
        </w:rPr>
        <w:t>。</w:t>
      </w:r>
    </w:p>
    <w:p w14:paraId="4D55BED6">
      <w:pPr>
        <w:spacing w:line="440" w:lineRule="exact"/>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16.1.2发包人违约的责任</w:t>
      </w:r>
    </w:p>
    <w:p w14:paraId="6D86F0D4">
      <w:pPr>
        <w:snapToGrid w:val="0"/>
        <w:spacing w:line="440" w:lineRule="exact"/>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（1）因发包人原因未能及时办理完毕前述许可、批准或备案的违约责任：由发包人承担由此增加的费用和（或）顺延工期，并支付合理利润，具体索赔程序按照第19条〔索赔〕约定执行。</w:t>
      </w:r>
    </w:p>
    <w:p w14:paraId="6CD1F417">
      <w:pPr>
        <w:snapToGrid w:val="0"/>
        <w:spacing w:line="440" w:lineRule="exact"/>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2）因监理人未能按合同约定发出指示、指示延误或发出了错误指示而导致承包人费用增加和（或）工期延误的，由发包人承担由此增加的费用和（或）顺延工期，并支付合理利润，具体索赔程序按照第19条〔索赔〕约定执行。</w:t>
      </w:r>
    </w:p>
    <w:p w14:paraId="4D8E18F4">
      <w:pPr>
        <w:snapToGrid w:val="0"/>
        <w:spacing w:line="440" w:lineRule="exact"/>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（3）因发包人原因导致工期延误的违约责任：由发包人承担由此增加的费用和（或）顺延工期，并支付合理利润，具体索赔程序按照第19条〔索赔〕约定执行。</w:t>
      </w:r>
    </w:p>
    <w:p w14:paraId="5F60398E">
      <w:pPr>
        <w:snapToGrid w:val="0"/>
        <w:spacing w:line="440" w:lineRule="exact"/>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（4）因发包人原因未能在计划开工日期前7天内下达开工通知的违约责任：由发包人承担由此增加的费用和（或）顺延工期，并支付合理利润，具体索赔程序按照第19条〔索赔〕约定执行。</w:t>
      </w:r>
    </w:p>
    <w:p w14:paraId="098CF287">
      <w:pPr>
        <w:spacing w:line="440" w:lineRule="exact"/>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（5）根据5.3.3项发包人或监理人要求重新检查的，经检查证明工程质量符合合同要求的，由发包人承担由此增加的费用和（或）顺延工期，并支付合理利润，具体索赔程序按照第19条〔索赔〕约定执行。</w:t>
      </w:r>
    </w:p>
    <w:p w14:paraId="7F40D4C5">
      <w:pPr>
        <w:spacing w:line="440" w:lineRule="exact"/>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（6）因发包人原因未按合同约定支付合同价款的违约责任：发包人应向承包人支付违约金，自应当支付之日起28天后开始计算违约金，计算公式：</w:t>
      </w:r>
      <w:r>
        <w:rPr>
          <w:rFonts w:hint="eastAsia" w:ascii="仿宋" w:hAnsi="仿宋" w:eastAsia="仿宋" w:cs="仿宋"/>
          <w:color w:val="auto"/>
          <w:kern w:val="0"/>
          <w:sz w:val="21"/>
          <w:szCs w:val="21"/>
          <w:highlight w:val="none"/>
          <w:u w:val="single"/>
        </w:rPr>
        <w:t>违约金=应付未付金额×中国人民银行  年  月公布的5年期贷款市场报价利率/360天×逾期天数</w:t>
      </w:r>
      <w:r>
        <w:rPr>
          <w:rFonts w:hint="eastAsia" w:ascii="仿宋" w:hAnsi="仿宋" w:eastAsia="仿宋" w:cs="仿宋"/>
          <w:color w:val="auto"/>
          <w:sz w:val="21"/>
          <w:szCs w:val="21"/>
          <w:highlight w:val="none"/>
          <w:u w:val="single"/>
        </w:rPr>
        <w:t>（自第29天起计算）</w:t>
      </w:r>
      <w:r>
        <w:rPr>
          <w:rFonts w:hint="eastAsia" w:ascii="仿宋" w:hAnsi="仿宋" w:eastAsia="仿宋" w:cs="仿宋"/>
          <w:color w:val="auto"/>
          <w:kern w:val="0"/>
          <w:sz w:val="21"/>
          <w:szCs w:val="21"/>
          <w:highlight w:val="none"/>
          <w:u w:val="single"/>
        </w:rPr>
        <w:t>；逾期天数超过56天的，超过部分天数按上述利率的两倍计算并支付违约金</w:t>
      </w:r>
      <w:r>
        <w:rPr>
          <w:rFonts w:hint="eastAsia" w:ascii="仿宋" w:hAnsi="仿宋" w:eastAsia="仿宋" w:cs="仿宋"/>
          <w:color w:val="auto"/>
          <w:kern w:val="0"/>
          <w:sz w:val="21"/>
          <w:szCs w:val="21"/>
          <w:highlight w:val="none"/>
        </w:rPr>
        <w:t>。</w:t>
      </w:r>
    </w:p>
    <w:p w14:paraId="752F7E74">
      <w:pPr>
        <w:spacing w:line="440" w:lineRule="exact"/>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（7）发包人违反合同约定，自行实施或转由他人实施被取消的合同工作内容的违约责任：由发包人承担由此给承包人造成的实际损失并支付合理利润。</w:t>
      </w:r>
    </w:p>
    <w:p w14:paraId="3A130FC4">
      <w:pPr>
        <w:spacing w:line="440" w:lineRule="exact"/>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8）发包人提供的基准资料错误并导致承包人测量放线工作返工或造成工程损失的，以及发包人提供的材料、工程设备的规格、数量或质量不符合合同约定，或因发包人原因导致交货日期延误或交货地点变更等情况的违约责任：由发包人承担由此增加的费用和（或）顺延工期，并支付合理利润，具体索赔程序按照第19条〔索赔〕约定执行。</w:t>
      </w:r>
    </w:p>
    <w:p w14:paraId="0850B423">
      <w:pPr>
        <w:spacing w:line="440" w:lineRule="exact"/>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（9）因发包人原因造成工程质量未达到合同约定标准的，由发包人承担由此增加的费用和（或）延误的工期，并支付合理利润。</w:t>
      </w:r>
    </w:p>
    <w:p w14:paraId="1B1B65B4">
      <w:pPr>
        <w:spacing w:line="440" w:lineRule="exact"/>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（10）因发包人违反合同约定造成暂停施工的违约责任：由发包人承担由此增加的费用和（或）顺延工期，并支付合理利润，具体索赔程序按照第19条〔索赔〕约定执行。</w:t>
      </w:r>
    </w:p>
    <w:p w14:paraId="05196CB5">
      <w:pPr>
        <w:spacing w:line="440" w:lineRule="exact"/>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（11）发包人无正当理由没有在约定期限内发出复工指示，导致承包人无法复工的违约责任：由发包人承担由此增加的费用和（或）顺延工期，并支付合理利润，具体索赔程序按照第19条〔索赔〕约定执行。</w:t>
      </w:r>
    </w:p>
    <w:p w14:paraId="3B6C05B7">
      <w:pPr>
        <w:spacing w:line="440" w:lineRule="exact"/>
        <w:ind w:firstLine="420" w:firstLineChars="200"/>
        <w:jc w:val="left"/>
        <w:rPr>
          <w:rFonts w:hint="eastAsia" w:ascii="仿宋" w:hAnsi="仿宋" w:eastAsia="仿宋" w:cs="仿宋"/>
          <w:color w:val="auto"/>
          <w:kern w:val="0"/>
          <w:sz w:val="21"/>
          <w:szCs w:val="21"/>
          <w:highlight w:val="none"/>
          <w:u w:val="single"/>
        </w:rPr>
      </w:pPr>
      <w:r>
        <w:rPr>
          <w:rFonts w:hint="eastAsia" w:ascii="仿宋" w:hAnsi="仿宋" w:eastAsia="仿宋" w:cs="仿宋"/>
          <w:color w:val="auto"/>
          <w:kern w:val="0"/>
          <w:sz w:val="21"/>
          <w:szCs w:val="21"/>
          <w:highlight w:val="none"/>
        </w:rPr>
        <w:t>（12）因发包人原因导致工程无法按期办理竣工验收或竣工结算的违约责任：由发包人承担由此增加的费用和（或）顺延工期，并支付合理利润，具体索赔程序按照第19条〔索赔〕约定执行。</w:t>
      </w:r>
    </w:p>
    <w:p w14:paraId="3A240C88">
      <w:pPr>
        <w:spacing w:line="440" w:lineRule="exact"/>
        <w:ind w:firstLine="420" w:firstLineChars="200"/>
        <w:jc w:val="left"/>
        <w:rPr>
          <w:rFonts w:hint="eastAsia" w:ascii="仿宋" w:hAnsi="仿宋" w:eastAsia="仿宋" w:cs="仿宋"/>
          <w:color w:val="auto"/>
          <w:kern w:val="0"/>
          <w:sz w:val="21"/>
          <w:szCs w:val="21"/>
          <w:highlight w:val="none"/>
          <w:u w:val="single"/>
        </w:rPr>
      </w:pPr>
      <w:r>
        <w:rPr>
          <w:rFonts w:hint="eastAsia" w:ascii="仿宋" w:hAnsi="仿宋" w:eastAsia="仿宋" w:cs="仿宋"/>
          <w:color w:val="auto"/>
          <w:sz w:val="21"/>
          <w:szCs w:val="21"/>
          <w:highlight w:val="none"/>
        </w:rPr>
        <w:t>（13）</w:t>
      </w:r>
      <w:r>
        <w:rPr>
          <w:rFonts w:hint="eastAsia" w:ascii="仿宋" w:hAnsi="仿宋" w:eastAsia="仿宋" w:cs="仿宋"/>
          <w:color w:val="auto"/>
          <w:kern w:val="0"/>
          <w:sz w:val="21"/>
          <w:szCs w:val="21"/>
          <w:highlight w:val="none"/>
        </w:rPr>
        <w:t>发包人无正当理由未按约定退还履约担保、低价风险担保、预付款担保或质量保证金的违约责任：发包人应向承包人支付违约金，自应当退还之日起28天后开始计算违约金，</w:t>
      </w:r>
      <w:r>
        <w:rPr>
          <w:rFonts w:hint="eastAsia" w:ascii="仿宋" w:hAnsi="仿宋" w:eastAsia="仿宋" w:cs="仿宋"/>
          <w:color w:val="auto"/>
          <w:kern w:val="0"/>
          <w:sz w:val="21"/>
          <w:szCs w:val="21"/>
          <w:highlight w:val="none"/>
          <w:u w:val="single"/>
        </w:rPr>
        <w:t>计算公式：违约金=应退未退担保金额×中国人民银行  年  月公布的5年期贷款市场报价利率/360天×逾期天数</w:t>
      </w:r>
      <w:r>
        <w:rPr>
          <w:rFonts w:hint="eastAsia" w:ascii="仿宋" w:hAnsi="仿宋" w:eastAsia="仿宋" w:cs="仿宋"/>
          <w:color w:val="auto"/>
          <w:sz w:val="21"/>
          <w:szCs w:val="21"/>
          <w:highlight w:val="none"/>
          <w:u w:val="single"/>
        </w:rPr>
        <w:t>（自第29天起计算）</w:t>
      </w:r>
      <w:r>
        <w:rPr>
          <w:rFonts w:hint="eastAsia" w:ascii="仿宋" w:hAnsi="仿宋" w:eastAsia="仿宋" w:cs="仿宋"/>
          <w:color w:val="auto"/>
          <w:kern w:val="0"/>
          <w:sz w:val="21"/>
          <w:szCs w:val="21"/>
          <w:highlight w:val="none"/>
        </w:rPr>
        <w:t>。</w:t>
      </w:r>
    </w:p>
    <w:p w14:paraId="14018916">
      <w:pPr>
        <w:spacing w:line="440" w:lineRule="exact"/>
        <w:ind w:firstLine="420" w:firstLineChars="200"/>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（14）</w:t>
      </w:r>
      <w:r>
        <w:rPr>
          <w:rFonts w:hint="eastAsia" w:ascii="仿宋" w:hAnsi="仿宋" w:eastAsia="仿宋" w:cs="仿宋"/>
          <w:color w:val="auto"/>
          <w:sz w:val="21"/>
          <w:szCs w:val="21"/>
          <w:highlight w:val="none"/>
        </w:rPr>
        <w:t>发包人不当提取履约担保、低价风险担保、预付款担保或质量保证金的，应及时予以退还，若不当提取超过28天的，应承担违约责任：发包人应向承包人支付违约金，</w:t>
      </w:r>
      <w:r>
        <w:rPr>
          <w:rFonts w:hint="eastAsia" w:ascii="仿宋" w:hAnsi="仿宋" w:eastAsia="仿宋" w:cs="仿宋"/>
          <w:color w:val="auto"/>
          <w:sz w:val="21"/>
          <w:szCs w:val="21"/>
          <w:highlight w:val="none"/>
          <w:u w:val="single"/>
        </w:rPr>
        <w:t>计算公式：违约金=不当提取的担保金额×中国人民银行  年  月公布的5年期贷款市场报价利率/360天×逾期天数（自第29天起计算）</w:t>
      </w:r>
      <w:r>
        <w:rPr>
          <w:rFonts w:hint="eastAsia" w:ascii="仿宋" w:hAnsi="仿宋" w:eastAsia="仿宋" w:cs="仿宋"/>
          <w:color w:val="auto"/>
          <w:sz w:val="21"/>
          <w:szCs w:val="21"/>
          <w:highlight w:val="none"/>
        </w:rPr>
        <w:t>。</w:t>
      </w:r>
    </w:p>
    <w:p w14:paraId="19F4D601">
      <w:pPr>
        <w:spacing w:line="440" w:lineRule="exact"/>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（15）发包人未按合同约定接收全部或部分工作的违约责任：由发包人承担自应当接收工程之日起的工程照管、成品保护、保管等与工程有关的各项费用。</w:t>
      </w:r>
    </w:p>
    <w:p w14:paraId="60C2A300">
      <w:pPr>
        <w:snapToGrid w:val="0"/>
        <w:spacing w:line="440" w:lineRule="exact"/>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（16）由于发包人原因对承包人造成的人员人身伤亡和财产损失的，由发包人负责赔偿，并承担由此增加的费用和（或）延误的工期，并支付合理利润。</w:t>
      </w:r>
    </w:p>
    <w:p w14:paraId="25F43182">
      <w:pPr>
        <w:spacing w:line="440" w:lineRule="exact"/>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（17）发包人未按合同约定办理保险的违约责任：除按18.6.1项约定执行外，每延迟1天，按</w:t>
      </w:r>
      <w:r>
        <w:rPr>
          <w:rFonts w:hint="eastAsia" w:ascii="仿宋" w:hAnsi="仿宋" w:eastAsia="仿宋" w:cs="仿宋"/>
          <w:color w:val="auto"/>
          <w:kern w:val="0"/>
          <w:sz w:val="21"/>
          <w:szCs w:val="21"/>
          <w:highlight w:val="none"/>
          <w:u w:val="single"/>
        </w:rPr>
        <w:t>500元/天</w:t>
      </w:r>
      <w:r>
        <w:rPr>
          <w:rFonts w:hint="eastAsia" w:ascii="仿宋" w:hAnsi="仿宋" w:eastAsia="仿宋" w:cs="仿宋"/>
          <w:color w:val="auto"/>
          <w:kern w:val="0"/>
          <w:sz w:val="21"/>
          <w:szCs w:val="21"/>
          <w:highlight w:val="none"/>
        </w:rPr>
        <w:t>支付违约金。</w:t>
      </w:r>
    </w:p>
    <w:p w14:paraId="241C2165">
      <w:pPr>
        <w:spacing w:line="440" w:lineRule="exact"/>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（18）其他：</w:t>
      </w:r>
      <w:r>
        <w:rPr>
          <w:rFonts w:hint="eastAsia" w:ascii="仿宋" w:hAnsi="仿宋" w:eastAsia="仿宋" w:cs="仿宋"/>
          <w:color w:val="auto"/>
          <w:kern w:val="0"/>
          <w:sz w:val="21"/>
          <w:szCs w:val="21"/>
          <w:highlight w:val="none"/>
          <w:u w:val="single"/>
        </w:rPr>
        <w:t xml:space="preserve">        </w:t>
      </w:r>
      <w:r>
        <w:rPr>
          <w:rFonts w:hint="eastAsia" w:ascii="仿宋" w:hAnsi="仿宋" w:eastAsia="仿宋" w:cs="仿宋"/>
          <w:color w:val="auto"/>
          <w:kern w:val="0"/>
          <w:sz w:val="21"/>
          <w:szCs w:val="21"/>
          <w:highlight w:val="none"/>
        </w:rPr>
        <w:t>。</w:t>
      </w:r>
    </w:p>
    <w:p w14:paraId="6639D902">
      <w:pPr>
        <w:autoSpaceDE w:val="0"/>
        <w:autoSpaceDN w:val="0"/>
        <w:adjustRightInd w:val="0"/>
        <w:spacing w:line="440" w:lineRule="exact"/>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发包人发生除通用条款第16.1.1项第（7）目以外的违约情况时，承包人可向发包人发出通知，要求发包人采取有效措施纠正违约行为。发包人收到承包人通知后的28天内仍不履行合同义务，承包人有权暂停施工，并通知监理人。</w:t>
      </w:r>
    </w:p>
    <w:p w14:paraId="54472034">
      <w:pPr>
        <w:spacing w:line="440" w:lineRule="exact"/>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16.1.3 因发包人违约解除合同</w:t>
      </w:r>
    </w:p>
    <w:p w14:paraId="47AB5C1B">
      <w:pPr>
        <w:autoSpaceDE w:val="0"/>
        <w:autoSpaceDN w:val="0"/>
        <w:adjustRightInd w:val="0"/>
        <w:spacing w:line="440" w:lineRule="exact"/>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因发包人违约并致使合同目的不能实现的，承包人有权解除合同：</w:t>
      </w:r>
    </w:p>
    <w:p w14:paraId="13F96342">
      <w:pPr>
        <w:autoSpaceDE w:val="0"/>
        <w:autoSpaceDN w:val="0"/>
        <w:adjustRightInd w:val="0"/>
        <w:spacing w:line="440" w:lineRule="exact"/>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（1）因发包人原因延迟支付合同价款超过180天的；</w:t>
      </w:r>
    </w:p>
    <w:p w14:paraId="6161A095">
      <w:pPr>
        <w:autoSpaceDE w:val="0"/>
        <w:autoSpaceDN w:val="0"/>
        <w:adjustRightInd w:val="0"/>
        <w:spacing w:line="440" w:lineRule="exact"/>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（2）因发包人原因导致工期延误超过90天的；</w:t>
      </w:r>
    </w:p>
    <w:p w14:paraId="795A6A83">
      <w:pPr>
        <w:snapToGrid w:val="0"/>
        <w:spacing w:line="440" w:lineRule="exact"/>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（3）因发包人第16.1.2（5）违约情形导致暂停施工满56天，且发包人仍未纠正其违约行为的；</w:t>
      </w:r>
    </w:p>
    <w:p w14:paraId="1CB5237F">
      <w:pPr>
        <w:snapToGrid w:val="0"/>
        <w:spacing w:line="440" w:lineRule="exact"/>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（4）其他未履行合同项下的义务构成对合同的实质性违约，并且在收到承包人要求说明其违约并予以补救的通知后56天内仍未补救该实质性违约的；</w:t>
      </w:r>
    </w:p>
    <w:p w14:paraId="6C1F7502">
      <w:pPr>
        <w:snapToGrid w:val="0"/>
        <w:spacing w:line="440" w:lineRule="exact"/>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（5）</w:t>
      </w:r>
      <w:r>
        <w:rPr>
          <w:rFonts w:hint="eastAsia" w:ascii="仿宋" w:hAnsi="仿宋" w:eastAsia="仿宋" w:cs="仿宋"/>
          <w:color w:val="auto"/>
          <w:kern w:val="0"/>
          <w:sz w:val="21"/>
          <w:szCs w:val="21"/>
          <w:highlight w:val="none"/>
          <w:u w:val="single"/>
        </w:rPr>
        <w:t>合同约定的承包人有权解除合同的其他情形</w:t>
      </w:r>
      <w:r>
        <w:rPr>
          <w:rFonts w:hint="eastAsia" w:ascii="仿宋" w:hAnsi="仿宋" w:eastAsia="仿宋" w:cs="仿宋"/>
          <w:color w:val="auto"/>
          <w:kern w:val="0"/>
          <w:sz w:val="21"/>
          <w:szCs w:val="21"/>
          <w:highlight w:val="none"/>
        </w:rPr>
        <w:t>。</w:t>
      </w:r>
    </w:p>
    <w:p w14:paraId="0DD8BE92">
      <w:pPr>
        <w:spacing w:line="440" w:lineRule="exact"/>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16.1.4 因发包人违约解除合同后的付款</w:t>
      </w:r>
    </w:p>
    <w:p w14:paraId="4F13AFCB">
      <w:pPr>
        <w:snapToGrid w:val="0"/>
        <w:spacing w:line="440" w:lineRule="exact"/>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承包人按照本款约定解除合同的，发包人应在解除合同后28天内支付下列款项，并解除履约担保、低价风险担保、预付款担保：</w:t>
      </w:r>
    </w:p>
    <w:p w14:paraId="414BE6E6">
      <w:pPr>
        <w:snapToGrid w:val="0"/>
        <w:spacing w:line="440" w:lineRule="exact"/>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（1）合同解除前所完成工作的价款；</w:t>
      </w:r>
    </w:p>
    <w:p w14:paraId="17E5CB77">
      <w:pPr>
        <w:snapToGrid w:val="0"/>
        <w:spacing w:line="440" w:lineRule="exact"/>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（2）承包人为工程施工订购并已付款的材料、工程设备和其他物品的价款；</w:t>
      </w:r>
    </w:p>
    <w:p w14:paraId="65BB59C3">
      <w:pPr>
        <w:snapToGrid w:val="0"/>
        <w:spacing w:line="440" w:lineRule="exact"/>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（3）承包人撤离施工现场以及遣散承包人人员的款项；</w:t>
      </w:r>
    </w:p>
    <w:p w14:paraId="5F6F7D42">
      <w:pPr>
        <w:snapToGrid w:val="0"/>
        <w:spacing w:line="440" w:lineRule="exact"/>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（4）按照合同约定在合同解除前应支付的违约金；</w:t>
      </w:r>
    </w:p>
    <w:p w14:paraId="53252AA3">
      <w:pPr>
        <w:snapToGrid w:val="0"/>
        <w:spacing w:line="440" w:lineRule="exact"/>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（5）按照合同约定应当支付给承包人的其他款项；</w:t>
      </w:r>
    </w:p>
    <w:p w14:paraId="53E18B00">
      <w:pPr>
        <w:snapToGrid w:val="0"/>
        <w:spacing w:line="440" w:lineRule="exact"/>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（6）按照合同约定应退还的质量保证金；</w:t>
      </w:r>
    </w:p>
    <w:p w14:paraId="0E9E6C66">
      <w:pPr>
        <w:snapToGrid w:val="0"/>
        <w:spacing w:line="440" w:lineRule="exact"/>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（7）因解除合同给承包人造成的损失；</w:t>
      </w:r>
    </w:p>
    <w:p w14:paraId="6EB14005">
      <w:pPr>
        <w:snapToGrid w:val="0"/>
        <w:spacing w:line="440" w:lineRule="exact"/>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（8）</w:t>
      </w:r>
      <w:r>
        <w:rPr>
          <w:rFonts w:hint="eastAsia" w:ascii="仿宋" w:hAnsi="仿宋" w:eastAsia="仿宋" w:cs="仿宋"/>
          <w:color w:val="auto"/>
          <w:kern w:val="0"/>
          <w:sz w:val="21"/>
          <w:szCs w:val="21"/>
          <w:highlight w:val="none"/>
          <w:u w:val="single"/>
        </w:rPr>
        <w:t xml:space="preserve">        。</w:t>
      </w:r>
    </w:p>
    <w:p w14:paraId="20F1FE26">
      <w:pPr>
        <w:snapToGrid w:val="0"/>
        <w:spacing w:line="440" w:lineRule="exact"/>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合同当事人未能就解除合同后的结清达成一致的，按照第20条〔争议解决〕的约定处理。</w:t>
      </w:r>
    </w:p>
    <w:p w14:paraId="7EAFB4DE">
      <w:pPr>
        <w:snapToGrid w:val="0"/>
        <w:spacing w:line="440" w:lineRule="exact"/>
        <w:ind w:firstLine="420" w:firstLineChars="200"/>
        <w:jc w:val="left"/>
        <w:rPr>
          <w:rFonts w:hint="eastAsia" w:ascii="仿宋" w:hAnsi="仿宋" w:eastAsia="仿宋" w:cs="仿宋"/>
          <w:color w:val="auto"/>
          <w:kern w:val="0"/>
          <w:sz w:val="21"/>
          <w:szCs w:val="21"/>
          <w:highlight w:val="none"/>
          <w:u w:val="single"/>
        </w:rPr>
      </w:pPr>
      <w:r>
        <w:rPr>
          <w:rFonts w:hint="eastAsia" w:ascii="仿宋" w:hAnsi="仿宋" w:eastAsia="仿宋" w:cs="仿宋"/>
          <w:color w:val="auto"/>
          <w:kern w:val="0"/>
          <w:sz w:val="21"/>
          <w:szCs w:val="21"/>
          <w:highlight w:val="none"/>
        </w:rPr>
        <w:t>承包人应妥善做好已完工程和与工程有关的已购材料、工程设备的保护和移交工作，并将施工设备和人员撤出施工现场，发包人应为承包人撤出提供必要条件。</w:t>
      </w:r>
    </w:p>
    <w:p w14:paraId="35BAAA46">
      <w:pPr>
        <w:widowControl/>
        <w:spacing w:line="440" w:lineRule="exact"/>
        <w:ind w:firstLine="422" w:firstLineChars="200"/>
        <w:jc w:val="left"/>
        <w:outlineLvl w:val="4"/>
        <w:rPr>
          <w:rFonts w:hint="eastAsia" w:ascii="仿宋" w:hAnsi="仿宋" w:eastAsia="仿宋" w:cs="仿宋"/>
          <w:b/>
          <w:bCs/>
          <w:color w:val="auto"/>
          <w:kern w:val="0"/>
          <w:sz w:val="21"/>
          <w:szCs w:val="21"/>
          <w:highlight w:val="none"/>
        </w:rPr>
      </w:pPr>
      <w:bookmarkStart w:id="1875" w:name="_Toc532377403"/>
      <w:r>
        <w:rPr>
          <w:rFonts w:hint="eastAsia" w:ascii="仿宋" w:hAnsi="仿宋" w:eastAsia="仿宋" w:cs="仿宋"/>
          <w:b/>
          <w:bCs/>
          <w:color w:val="auto"/>
          <w:kern w:val="0"/>
          <w:sz w:val="21"/>
          <w:szCs w:val="21"/>
          <w:highlight w:val="none"/>
        </w:rPr>
        <w:t>16.2 承包人违约</w:t>
      </w:r>
      <w:bookmarkEnd w:id="1875"/>
    </w:p>
    <w:p w14:paraId="5523228F">
      <w:pPr>
        <w:snapToGrid w:val="0"/>
        <w:spacing w:line="440" w:lineRule="exact"/>
        <w:ind w:firstLine="420" w:firstLineChars="200"/>
        <w:jc w:val="left"/>
        <w:rPr>
          <w:rFonts w:hint="eastAsia" w:ascii="仿宋" w:hAnsi="仿宋" w:eastAsia="仿宋" w:cs="仿宋"/>
          <w:color w:val="auto"/>
          <w:kern w:val="0"/>
          <w:sz w:val="21"/>
          <w:szCs w:val="21"/>
          <w:highlight w:val="none"/>
        </w:rPr>
      </w:pPr>
      <w:bookmarkStart w:id="1876" w:name="_Hlk524380579"/>
      <w:r>
        <w:rPr>
          <w:rFonts w:hint="eastAsia" w:ascii="仿宋" w:hAnsi="仿宋" w:eastAsia="仿宋" w:cs="仿宋"/>
          <w:color w:val="auto"/>
          <w:kern w:val="0"/>
          <w:sz w:val="21"/>
          <w:szCs w:val="21"/>
          <w:highlight w:val="none"/>
        </w:rPr>
        <w:t>16.2.1 承包人违约的情形</w:t>
      </w:r>
    </w:p>
    <w:p w14:paraId="3FF1ADB4">
      <w:pPr>
        <w:snapToGrid w:val="0"/>
        <w:spacing w:line="440" w:lineRule="exact"/>
        <w:ind w:firstLine="420" w:firstLineChars="200"/>
        <w:jc w:val="left"/>
        <w:rPr>
          <w:rFonts w:hint="eastAsia" w:ascii="仿宋" w:hAnsi="仿宋" w:eastAsia="仿宋" w:cs="仿宋"/>
          <w:color w:val="auto"/>
          <w:kern w:val="0"/>
          <w:sz w:val="21"/>
          <w:szCs w:val="21"/>
          <w:highlight w:val="none"/>
          <w:u w:val="single"/>
        </w:rPr>
      </w:pPr>
      <w:r>
        <w:rPr>
          <w:rFonts w:hint="eastAsia" w:ascii="仿宋" w:hAnsi="仿宋" w:eastAsia="仿宋" w:cs="仿宋"/>
          <w:color w:val="auto"/>
          <w:kern w:val="0"/>
          <w:sz w:val="21"/>
          <w:szCs w:val="21"/>
          <w:highlight w:val="none"/>
        </w:rPr>
        <w:t>除通用合同条款约定外，承包人违约的其他情形：</w:t>
      </w:r>
    </w:p>
    <w:p w14:paraId="35A19F7E">
      <w:pPr>
        <w:snapToGrid w:val="0"/>
        <w:spacing w:line="440" w:lineRule="exact"/>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（1）承包人未按合同约定提交履约担保或质量保证金的；</w:t>
      </w:r>
    </w:p>
    <w:p w14:paraId="14707B18">
      <w:pPr>
        <w:snapToGrid w:val="0"/>
        <w:spacing w:line="440" w:lineRule="exact"/>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（2）承包人未能按期开工的；</w:t>
      </w:r>
    </w:p>
    <w:p w14:paraId="3A2F04C9">
      <w:pPr>
        <w:snapToGrid w:val="0"/>
        <w:spacing w:line="440" w:lineRule="exact"/>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（3）承包人未按投标文件或监理人的要求及时配备称职的主要管理人员，或承包人未按经审定的施工组织设计配备或更换关键施工设备的；</w:t>
      </w:r>
    </w:p>
    <w:p w14:paraId="38D76E48">
      <w:pPr>
        <w:snapToGrid w:val="0"/>
        <w:spacing w:line="440" w:lineRule="exact"/>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（4）承包人有安全问题或有违反安全管理规章制度情况的；</w:t>
      </w:r>
    </w:p>
    <w:p w14:paraId="3BAEA323">
      <w:pPr>
        <w:snapToGrid w:val="0"/>
        <w:spacing w:line="440" w:lineRule="exact"/>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（5）承包人在缺陷责任期及保修期内，未能在合理期限对工程缺陷进行修复，或拒绝按发包人要求进行修复的；</w:t>
      </w:r>
    </w:p>
    <w:p w14:paraId="35B54D88">
      <w:pPr>
        <w:snapToGrid w:val="0"/>
        <w:spacing w:line="440" w:lineRule="exact"/>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（6）承包人拖欠其工人或所雇人员工资或报酬，导致其工人或所雇人员向有关部门投诉、控告、检举或以聚集等方式讨要工资或报酬的；</w:t>
      </w:r>
    </w:p>
    <w:p w14:paraId="076C2FC1">
      <w:pPr>
        <w:snapToGrid w:val="0"/>
        <w:spacing w:line="440" w:lineRule="exact"/>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（7）承包人不配合发包人、监理人及发包人委托的工程造价咨询服务单位结算审核或承包人其他原因导致未按期完成工程竣工结算的；</w:t>
      </w:r>
    </w:p>
    <w:p w14:paraId="5C70AE51">
      <w:pPr>
        <w:snapToGrid w:val="0"/>
        <w:spacing w:line="440" w:lineRule="exact"/>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（8）承包人违反合同约定进行转包或违法分包的；</w:t>
      </w:r>
    </w:p>
    <w:p w14:paraId="69DC43E6">
      <w:pPr>
        <w:snapToGrid w:val="0"/>
        <w:spacing w:line="440" w:lineRule="exact"/>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（9）承包人未按合同约定移交全部或部分工作的；</w:t>
      </w:r>
    </w:p>
    <w:p w14:paraId="4225ACAA">
      <w:pPr>
        <w:snapToGrid w:val="0"/>
        <w:spacing w:line="440" w:lineRule="exact"/>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（10）承包人未按合同约定购买保险的；</w:t>
      </w:r>
    </w:p>
    <w:p w14:paraId="3A5DD4FE">
      <w:pPr>
        <w:snapToGrid w:val="0"/>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（11）项目经理若有以下情形，属于承包人违约：</w:t>
      </w:r>
    </w:p>
    <w:p w14:paraId="3CC0E8F1">
      <w:pPr>
        <w:snapToGrid w:val="0"/>
        <w:spacing w:line="440" w:lineRule="exact"/>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1）项目经理不按承诺到岗的；</w:t>
      </w:r>
    </w:p>
    <w:p w14:paraId="4FB54921">
      <w:pPr>
        <w:snapToGrid w:val="0"/>
        <w:spacing w:line="440" w:lineRule="exact"/>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2）每月在施工现场的天数少于约定天数的；</w:t>
      </w:r>
    </w:p>
    <w:p w14:paraId="78C3602F">
      <w:pPr>
        <w:snapToGrid w:val="0"/>
        <w:spacing w:line="440" w:lineRule="exact"/>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3）承包人未提交项目经理劳动合同和社会保险证明的；</w:t>
      </w:r>
    </w:p>
    <w:p w14:paraId="7A4DEC2C">
      <w:pPr>
        <w:snapToGrid w:val="0"/>
        <w:spacing w:line="440" w:lineRule="exact"/>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4）未经批准，擅自离开施工现场（超过约定时间）的；</w:t>
      </w:r>
    </w:p>
    <w:p w14:paraId="1A6A52FE">
      <w:pPr>
        <w:snapToGrid w:val="0"/>
        <w:spacing w:line="440" w:lineRule="exact"/>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5）未经批准，擅自变更项目经理的；</w:t>
      </w:r>
    </w:p>
    <w:p w14:paraId="7BFE8940">
      <w:pPr>
        <w:snapToGrid w:val="0"/>
        <w:spacing w:line="440" w:lineRule="exact"/>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6）按照渝建发〔2015〕35号文的要求，施工期间，项目经理因在一个记分周期内累计记分达到12分，被建设行政主管部门依法责令停止执业的；</w:t>
      </w:r>
    </w:p>
    <w:p w14:paraId="6EE4582E">
      <w:pPr>
        <w:snapToGrid w:val="0"/>
        <w:spacing w:line="440" w:lineRule="exact"/>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7）发包人有正当理由认为项目经理不称职/不履职，且承包人在约定时间内不予更换的；</w:t>
      </w:r>
    </w:p>
    <w:p w14:paraId="4917C755">
      <w:pPr>
        <w:snapToGrid w:val="0"/>
        <w:spacing w:line="440" w:lineRule="exact"/>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8）其他双方约定的情形：</w:t>
      </w:r>
      <w:r>
        <w:rPr>
          <w:rFonts w:hint="eastAsia" w:ascii="仿宋" w:hAnsi="仿宋" w:eastAsia="仿宋" w:cs="仿宋"/>
          <w:color w:val="auto"/>
          <w:kern w:val="0"/>
          <w:sz w:val="21"/>
          <w:szCs w:val="21"/>
          <w:highlight w:val="none"/>
          <w:u w:val="single"/>
        </w:rPr>
        <w:t xml:space="preserve">        </w:t>
      </w:r>
      <w:r>
        <w:rPr>
          <w:rFonts w:hint="eastAsia" w:ascii="仿宋" w:hAnsi="仿宋" w:eastAsia="仿宋" w:cs="仿宋"/>
          <w:color w:val="auto"/>
          <w:kern w:val="0"/>
          <w:sz w:val="21"/>
          <w:szCs w:val="21"/>
          <w:highlight w:val="none"/>
        </w:rPr>
        <w:t>。</w:t>
      </w:r>
    </w:p>
    <w:p w14:paraId="3046F400">
      <w:pPr>
        <w:snapToGrid w:val="0"/>
        <w:spacing w:line="440" w:lineRule="exact"/>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（12）技术负责人若有以下情形，属于承包人违约：</w:t>
      </w:r>
    </w:p>
    <w:p w14:paraId="2D0B81F6">
      <w:pPr>
        <w:snapToGrid w:val="0"/>
        <w:spacing w:line="440" w:lineRule="exact"/>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1）每月在施工现场的天数少于约定天数的；</w:t>
      </w:r>
    </w:p>
    <w:p w14:paraId="2D858BAA">
      <w:pPr>
        <w:snapToGrid w:val="0"/>
        <w:spacing w:line="440" w:lineRule="exact"/>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2）承包人未提交技术负责人劳动合同和社会保险证明的；</w:t>
      </w:r>
    </w:p>
    <w:p w14:paraId="774BD5AA">
      <w:pPr>
        <w:snapToGrid w:val="0"/>
        <w:spacing w:line="440" w:lineRule="exact"/>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3）未经批准，擅自离开施工现场（超过约定时间）的；</w:t>
      </w:r>
    </w:p>
    <w:p w14:paraId="3350E3F4">
      <w:pPr>
        <w:snapToGrid w:val="0"/>
        <w:spacing w:line="440" w:lineRule="exact"/>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4）未经批准，擅自变更技术负责人的；</w:t>
      </w:r>
    </w:p>
    <w:p w14:paraId="4145D198">
      <w:pPr>
        <w:snapToGrid w:val="0"/>
        <w:spacing w:line="440" w:lineRule="exact"/>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5）发包人有正当理由认为技术负责人不称职/不履职，且承包人在约定时间内不予更换的；</w:t>
      </w:r>
    </w:p>
    <w:p w14:paraId="2E8698C6">
      <w:pPr>
        <w:snapToGrid w:val="0"/>
        <w:spacing w:line="440" w:lineRule="exact"/>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6）其他双方约定的情形：</w:t>
      </w:r>
      <w:r>
        <w:rPr>
          <w:rFonts w:hint="eastAsia" w:ascii="仿宋" w:hAnsi="仿宋" w:eastAsia="仿宋" w:cs="仿宋"/>
          <w:color w:val="auto"/>
          <w:kern w:val="0"/>
          <w:sz w:val="21"/>
          <w:szCs w:val="21"/>
          <w:highlight w:val="none"/>
          <w:u w:val="single"/>
        </w:rPr>
        <w:t xml:space="preserve">        </w:t>
      </w:r>
      <w:r>
        <w:rPr>
          <w:rFonts w:hint="eastAsia" w:ascii="仿宋" w:hAnsi="仿宋" w:eastAsia="仿宋" w:cs="仿宋"/>
          <w:color w:val="auto"/>
          <w:kern w:val="0"/>
          <w:sz w:val="21"/>
          <w:szCs w:val="21"/>
          <w:highlight w:val="none"/>
        </w:rPr>
        <w:t>。</w:t>
      </w:r>
    </w:p>
    <w:p w14:paraId="7C9FB4A0">
      <w:pPr>
        <w:snapToGrid w:val="0"/>
        <w:spacing w:line="440" w:lineRule="exact"/>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（13）主要施工管理人员若有以下情形，属于承包人违约：</w:t>
      </w:r>
    </w:p>
    <w:p w14:paraId="15E15005">
      <w:pPr>
        <w:snapToGrid w:val="0"/>
        <w:spacing w:line="440" w:lineRule="exact"/>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1）承包人未提交主要管理人员劳动合同和社会保险证明的；</w:t>
      </w:r>
    </w:p>
    <w:p w14:paraId="7FC786E3">
      <w:pPr>
        <w:snapToGrid w:val="0"/>
        <w:spacing w:line="440" w:lineRule="exact"/>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2）未经批准，擅自离开施工现场（超过约定时间）的；</w:t>
      </w:r>
    </w:p>
    <w:p w14:paraId="248E9FB6">
      <w:pPr>
        <w:snapToGrid w:val="0"/>
        <w:spacing w:line="440" w:lineRule="exact"/>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3）未经批准，擅自变更主要施工管理人员的；</w:t>
      </w:r>
    </w:p>
    <w:p w14:paraId="0E91DCAA">
      <w:pPr>
        <w:snapToGrid w:val="0"/>
        <w:spacing w:line="440" w:lineRule="exact"/>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4）发包人有正当理由认为主要施工管理人员不称职/不履职，且承包人在约定时间内不予更换的；</w:t>
      </w:r>
    </w:p>
    <w:p w14:paraId="0CCB2D8B">
      <w:pPr>
        <w:snapToGrid w:val="0"/>
        <w:spacing w:line="440" w:lineRule="exact"/>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5）其他双方约定的情形：</w:t>
      </w:r>
      <w:r>
        <w:rPr>
          <w:rFonts w:hint="eastAsia" w:ascii="仿宋" w:hAnsi="仿宋" w:eastAsia="仿宋" w:cs="仿宋"/>
          <w:color w:val="auto"/>
          <w:kern w:val="0"/>
          <w:sz w:val="21"/>
          <w:szCs w:val="21"/>
          <w:highlight w:val="none"/>
          <w:u w:val="single"/>
        </w:rPr>
        <w:t xml:space="preserve">        </w:t>
      </w:r>
      <w:r>
        <w:rPr>
          <w:rFonts w:hint="eastAsia" w:ascii="仿宋" w:hAnsi="仿宋" w:eastAsia="仿宋" w:cs="仿宋"/>
          <w:color w:val="auto"/>
          <w:kern w:val="0"/>
          <w:sz w:val="21"/>
          <w:szCs w:val="21"/>
          <w:highlight w:val="none"/>
        </w:rPr>
        <w:t>。</w:t>
      </w:r>
    </w:p>
    <w:p w14:paraId="699EE16B">
      <w:pPr>
        <w:snapToGrid w:val="0"/>
        <w:spacing w:line="440" w:lineRule="exact"/>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（14）</w:t>
      </w:r>
      <w:r>
        <w:rPr>
          <w:rFonts w:hint="eastAsia" w:ascii="仿宋" w:hAnsi="仿宋" w:eastAsia="仿宋" w:cs="仿宋"/>
          <w:color w:val="auto"/>
          <w:kern w:val="0"/>
          <w:sz w:val="21"/>
          <w:szCs w:val="21"/>
          <w:highlight w:val="none"/>
          <w:u w:val="single"/>
        </w:rPr>
        <w:t xml:space="preserve">        。</w:t>
      </w:r>
    </w:p>
    <w:bookmarkEnd w:id="1876"/>
    <w:p w14:paraId="0F3AC15B">
      <w:pPr>
        <w:adjustRightInd w:val="0"/>
        <w:snapToGrid w:val="0"/>
        <w:spacing w:line="440" w:lineRule="exact"/>
        <w:ind w:firstLine="420" w:firstLineChars="200"/>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16.2.2 承包人违约的责任</w:t>
      </w:r>
    </w:p>
    <w:p w14:paraId="5C1880B8">
      <w:pPr>
        <w:adjustRightInd w:val="0"/>
        <w:snapToGrid w:val="0"/>
        <w:spacing w:line="440" w:lineRule="exact"/>
        <w:ind w:firstLine="420" w:firstLineChars="200"/>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承包人违约责任的承担方式和计算方法：</w:t>
      </w:r>
    </w:p>
    <w:p w14:paraId="330F09AE">
      <w:pPr>
        <w:snapToGrid w:val="0"/>
        <w:spacing w:line="440" w:lineRule="exact"/>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（1）承包人未按合同约定提交履约担保、质量保证金的违约责任：承包人应支付违约金，</w:t>
      </w:r>
      <w:r>
        <w:rPr>
          <w:rFonts w:hint="eastAsia" w:ascii="仿宋" w:hAnsi="仿宋" w:eastAsia="仿宋" w:cs="仿宋"/>
          <w:color w:val="auto"/>
          <w:sz w:val="21"/>
          <w:szCs w:val="21"/>
          <w:highlight w:val="none"/>
        </w:rPr>
        <w:t>违约金的计算方法：</w:t>
      </w:r>
      <w:r>
        <w:rPr>
          <w:rFonts w:hint="eastAsia" w:ascii="仿宋" w:hAnsi="仿宋" w:eastAsia="仿宋" w:cs="仿宋"/>
          <w:color w:val="auto"/>
          <w:kern w:val="0"/>
          <w:sz w:val="21"/>
          <w:szCs w:val="21"/>
          <w:highlight w:val="none"/>
        </w:rPr>
        <w:t>每延误1天，承包人按</w:t>
      </w:r>
      <w:r>
        <w:rPr>
          <w:rFonts w:hint="eastAsia" w:ascii="仿宋" w:hAnsi="仿宋" w:eastAsia="仿宋" w:cs="仿宋"/>
          <w:color w:val="auto"/>
          <w:kern w:val="0"/>
          <w:sz w:val="21"/>
          <w:szCs w:val="21"/>
          <w:highlight w:val="none"/>
          <w:u w:val="single"/>
        </w:rPr>
        <w:t xml:space="preserve">  （5000～50000）元/天</w:t>
      </w:r>
      <w:r>
        <w:rPr>
          <w:rFonts w:hint="eastAsia" w:ascii="仿宋" w:hAnsi="仿宋" w:eastAsia="仿宋" w:cs="仿宋"/>
          <w:color w:val="auto"/>
          <w:kern w:val="0"/>
          <w:sz w:val="21"/>
          <w:szCs w:val="21"/>
          <w:highlight w:val="none"/>
        </w:rPr>
        <w:t>计算违约金，累计违约金上限：</w:t>
      </w:r>
      <w:r>
        <w:rPr>
          <w:rFonts w:hint="eastAsia" w:ascii="仿宋" w:hAnsi="仿宋" w:eastAsia="仿宋" w:cs="仿宋"/>
          <w:color w:val="auto"/>
          <w:kern w:val="0"/>
          <w:sz w:val="21"/>
          <w:szCs w:val="21"/>
          <w:highlight w:val="none"/>
          <w:u w:val="single"/>
        </w:rPr>
        <w:t xml:space="preserve">  万元（不超过签约合同价的3%）</w:t>
      </w:r>
      <w:r>
        <w:rPr>
          <w:rFonts w:hint="eastAsia" w:ascii="仿宋" w:hAnsi="仿宋" w:eastAsia="仿宋" w:cs="仿宋"/>
          <w:color w:val="auto"/>
          <w:kern w:val="0"/>
          <w:sz w:val="21"/>
          <w:szCs w:val="21"/>
          <w:highlight w:val="none"/>
          <w:lang w:val="zh-CN"/>
        </w:rPr>
        <w:t>。</w:t>
      </w:r>
    </w:p>
    <w:p w14:paraId="62F33532">
      <w:pPr>
        <w:snapToGrid w:val="0"/>
        <w:spacing w:line="440" w:lineRule="exact"/>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（2）承包人违反合同约定进行转包或违法分包的违约责任：按照违反合同约定进行转包和（或）违法分包相应转包和（或）分包合同的合同金额的</w:t>
      </w:r>
      <w:r>
        <w:rPr>
          <w:rFonts w:hint="eastAsia" w:ascii="仿宋" w:hAnsi="仿宋" w:eastAsia="仿宋" w:cs="仿宋"/>
          <w:color w:val="auto"/>
          <w:kern w:val="0"/>
          <w:sz w:val="21"/>
          <w:szCs w:val="21"/>
          <w:highlight w:val="none"/>
          <w:u w:val="single"/>
        </w:rPr>
        <w:t xml:space="preserve">  （5～10）%</w:t>
      </w:r>
      <w:r>
        <w:rPr>
          <w:rFonts w:hint="eastAsia" w:ascii="仿宋" w:hAnsi="仿宋" w:eastAsia="仿宋" w:cs="仿宋"/>
          <w:color w:val="auto"/>
          <w:kern w:val="0"/>
          <w:sz w:val="21"/>
          <w:szCs w:val="21"/>
          <w:highlight w:val="none"/>
        </w:rPr>
        <w:t>支付违约金，违法转/分包商应在7天内撤离出场。</w:t>
      </w:r>
    </w:p>
    <w:p w14:paraId="274CA8F7">
      <w:pPr>
        <w:snapToGrid w:val="0"/>
        <w:spacing w:line="440" w:lineRule="exact"/>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（3）承包人违反合同约定采购和使用不合格的材料和工程设备的违约责任：按照违反合同约定采购和使用不合格的材料和（或）工程设备相应合同金额的</w:t>
      </w:r>
      <w:r>
        <w:rPr>
          <w:rFonts w:hint="eastAsia" w:ascii="仿宋" w:hAnsi="仿宋" w:eastAsia="仿宋" w:cs="仿宋"/>
          <w:color w:val="auto"/>
          <w:kern w:val="0"/>
          <w:sz w:val="21"/>
          <w:szCs w:val="21"/>
          <w:highlight w:val="none"/>
          <w:u w:val="single"/>
        </w:rPr>
        <w:t xml:space="preserve">  （5～10）%</w:t>
      </w:r>
      <w:r>
        <w:rPr>
          <w:rFonts w:hint="eastAsia" w:ascii="仿宋" w:hAnsi="仿宋" w:eastAsia="仿宋" w:cs="仿宋"/>
          <w:color w:val="auto"/>
          <w:kern w:val="0"/>
          <w:sz w:val="21"/>
          <w:szCs w:val="21"/>
          <w:highlight w:val="none"/>
        </w:rPr>
        <w:t>支付违约金。</w:t>
      </w:r>
    </w:p>
    <w:p w14:paraId="42FAD17D">
      <w:pPr>
        <w:snapToGrid w:val="0"/>
        <w:spacing w:line="440" w:lineRule="exact"/>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（4）因承包人原因导致工程质量不符合规定或合同要求的违约责任：承包人退还已支付工程质量不符合合同要求工程的工程款，并按照工程质量不符合合同要求工程相应合同金额的</w:t>
      </w:r>
      <w:r>
        <w:rPr>
          <w:rFonts w:hint="eastAsia" w:ascii="仿宋" w:hAnsi="仿宋" w:eastAsia="仿宋" w:cs="仿宋"/>
          <w:color w:val="auto"/>
          <w:kern w:val="0"/>
          <w:sz w:val="21"/>
          <w:szCs w:val="21"/>
          <w:highlight w:val="none"/>
          <w:u w:val="single"/>
        </w:rPr>
        <w:t xml:space="preserve">  （5～10）%</w:t>
      </w:r>
      <w:r>
        <w:rPr>
          <w:rFonts w:hint="eastAsia" w:ascii="仿宋" w:hAnsi="仿宋" w:eastAsia="仿宋" w:cs="仿宋"/>
          <w:color w:val="auto"/>
          <w:kern w:val="0"/>
          <w:sz w:val="21"/>
          <w:szCs w:val="21"/>
          <w:highlight w:val="none"/>
        </w:rPr>
        <w:t>支付违约金。</w:t>
      </w:r>
    </w:p>
    <w:p w14:paraId="2B43865F">
      <w:pPr>
        <w:snapToGrid w:val="0"/>
        <w:spacing w:line="440" w:lineRule="exact"/>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（5）承包人违反材料与设备的约定，未经批准，擅自将已按照合同约定进入施工现场的材料或设备撤离施工现场的违约责任：按照承包人擅自撤离施工现场材料和（或）设备相应合同金额的</w:t>
      </w:r>
      <w:r>
        <w:rPr>
          <w:rFonts w:hint="eastAsia" w:ascii="仿宋" w:hAnsi="仿宋" w:eastAsia="仿宋" w:cs="仿宋"/>
          <w:color w:val="auto"/>
          <w:kern w:val="0"/>
          <w:sz w:val="21"/>
          <w:szCs w:val="21"/>
          <w:highlight w:val="none"/>
          <w:u w:val="single"/>
        </w:rPr>
        <w:t xml:space="preserve">  （1～5）%</w:t>
      </w:r>
      <w:r>
        <w:rPr>
          <w:rFonts w:hint="eastAsia" w:ascii="仿宋" w:hAnsi="仿宋" w:eastAsia="仿宋" w:cs="仿宋"/>
          <w:color w:val="auto"/>
          <w:kern w:val="0"/>
          <w:sz w:val="21"/>
          <w:szCs w:val="21"/>
          <w:highlight w:val="none"/>
        </w:rPr>
        <w:t>支付违约金。</w:t>
      </w:r>
    </w:p>
    <w:p w14:paraId="5886BBCF">
      <w:pPr>
        <w:snapToGrid w:val="0"/>
        <w:spacing w:line="440" w:lineRule="exact"/>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（6）因承包人原因造成工期延误的违约承担方式和计算方法：由承包人承担由此增加的费用，</w:t>
      </w:r>
      <w:r>
        <w:rPr>
          <w:rFonts w:hint="eastAsia" w:ascii="仿宋" w:hAnsi="仿宋" w:eastAsia="仿宋" w:cs="仿宋"/>
          <w:color w:val="auto"/>
          <w:sz w:val="21"/>
          <w:szCs w:val="21"/>
          <w:highlight w:val="none"/>
        </w:rPr>
        <w:t>由此导致工期延误的，工期不予顺延；逾期竣工违约金的计算方法：</w:t>
      </w:r>
      <w:r>
        <w:rPr>
          <w:rFonts w:hint="eastAsia" w:ascii="仿宋" w:hAnsi="仿宋" w:eastAsia="仿宋" w:cs="仿宋"/>
          <w:color w:val="auto"/>
          <w:kern w:val="0"/>
          <w:sz w:val="21"/>
          <w:szCs w:val="21"/>
          <w:highlight w:val="none"/>
        </w:rPr>
        <w:t>每延误1天，承包人按</w:t>
      </w:r>
      <w:r>
        <w:rPr>
          <w:rFonts w:hint="eastAsia" w:ascii="仿宋" w:hAnsi="仿宋" w:eastAsia="仿宋" w:cs="仿宋"/>
          <w:color w:val="auto"/>
          <w:kern w:val="0"/>
          <w:sz w:val="21"/>
          <w:szCs w:val="21"/>
          <w:highlight w:val="none"/>
          <w:u w:val="single"/>
        </w:rPr>
        <w:t xml:space="preserve">  （5000～50000）元/天</w:t>
      </w:r>
      <w:r>
        <w:rPr>
          <w:rFonts w:hint="eastAsia" w:ascii="仿宋" w:hAnsi="仿宋" w:eastAsia="仿宋" w:cs="仿宋"/>
          <w:color w:val="auto"/>
          <w:kern w:val="0"/>
          <w:sz w:val="21"/>
          <w:szCs w:val="21"/>
          <w:highlight w:val="none"/>
        </w:rPr>
        <w:t>计算逾期竣工违约金，累计违约金上限：</w:t>
      </w:r>
      <w:r>
        <w:rPr>
          <w:rFonts w:hint="eastAsia" w:ascii="仿宋" w:hAnsi="仿宋" w:eastAsia="仿宋" w:cs="仿宋"/>
          <w:color w:val="auto"/>
          <w:kern w:val="0"/>
          <w:sz w:val="21"/>
          <w:szCs w:val="21"/>
          <w:highlight w:val="none"/>
          <w:u w:val="single"/>
        </w:rPr>
        <w:t xml:space="preserve">  </w:t>
      </w:r>
      <w:r>
        <w:rPr>
          <w:rFonts w:hint="eastAsia" w:ascii="仿宋" w:hAnsi="仿宋" w:eastAsia="仿宋" w:cs="仿宋"/>
          <w:color w:val="auto"/>
          <w:kern w:val="0"/>
          <w:sz w:val="21"/>
          <w:szCs w:val="21"/>
          <w:highlight w:val="none"/>
        </w:rPr>
        <w:t>万元（不超过签约合同价的3%）</w:t>
      </w:r>
      <w:r>
        <w:rPr>
          <w:rFonts w:hint="eastAsia" w:ascii="仿宋" w:hAnsi="仿宋" w:eastAsia="仿宋" w:cs="仿宋"/>
          <w:color w:val="auto"/>
          <w:kern w:val="0"/>
          <w:sz w:val="21"/>
          <w:szCs w:val="21"/>
          <w:highlight w:val="none"/>
          <w:lang w:val="zh-CN"/>
        </w:rPr>
        <w:t>；</w:t>
      </w:r>
      <w:r>
        <w:rPr>
          <w:rFonts w:hint="eastAsia" w:ascii="仿宋" w:hAnsi="仿宋" w:eastAsia="仿宋" w:cs="仿宋"/>
          <w:color w:val="auto"/>
          <w:kern w:val="0"/>
          <w:sz w:val="21"/>
          <w:szCs w:val="21"/>
          <w:highlight w:val="none"/>
        </w:rPr>
        <w:t>承包人支付逾期竣工违约金后，不免除承包人继续完成工程及修补缺陷的义务。</w:t>
      </w:r>
    </w:p>
    <w:p w14:paraId="43DFD11C">
      <w:pPr>
        <w:snapToGrid w:val="0"/>
        <w:spacing w:line="440" w:lineRule="exact"/>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（7）承包人在缺陷责任期及保修期内，未能在合理期限对工程缺陷进行修复，或拒绝按发包人要求进行修复的违约责任：按照发包人修复缺陷费用的</w:t>
      </w:r>
      <w:r>
        <w:rPr>
          <w:rFonts w:hint="eastAsia" w:ascii="仿宋" w:hAnsi="仿宋" w:eastAsia="仿宋" w:cs="仿宋"/>
          <w:color w:val="auto"/>
          <w:kern w:val="0"/>
          <w:sz w:val="21"/>
          <w:szCs w:val="21"/>
          <w:highlight w:val="none"/>
          <w:u w:val="single"/>
        </w:rPr>
        <w:t xml:space="preserve">  （0.5～2）%</w:t>
      </w:r>
      <w:r>
        <w:rPr>
          <w:rFonts w:hint="eastAsia" w:ascii="仿宋" w:hAnsi="仿宋" w:eastAsia="仿宋" w:cs="仿宋"/>
          <w:color w:val="auto"/>
          <w:kern w:val="0"/>
          <w:sz w:val="21"/>
          <w:szCs w:val="21"/>
          <w:highlight w:val="none"/>
        </w:rPr>
        <w:t>支付违约金。</w:t>
      </w:r>
    </w:p>
    <w:p w14:paraId="7C660200">
      <w:pPr>
        <w:snapToGrid w:val="0"/>
        <w:spacing w:line="440" w:lineRule="exact"/>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（8）承包人明确表示或者以其行为表明不履行合同主要义务的违约责任：按签约合同价的</w:t>
      </w:r>
      <w:r>
        <w:rPr>
          <w:rFonts w:hint="eastAsia" w:ascii="仿宋" w:hAnsi="仿宋" w:eastAsia="仿宋" w:cs="仿宋"/>
          <w:color w:val="auto"/>
          <w:kern w:val="0"/>
          <w:sz w:val="21"/>
          <w:szCs w:val="21"/>
          <w:highlight w:val="none"/>
          <w:u w:val="single"/>
        </w:rPr>
        <w:t xml:space="preserve">  （5～10）%</w:t>
      </w:r>
      <w:r>
        <w:rPr>
          <w:rFonts w:hint="eastAsia" w:ascii="仿宋" w:hAnsi="仿宋" w:eastAsia="仿宋" w:cs="仿宋"/>
          <w:color w:val="auto"/>
          <w:kern w:val="0"/>
          <w:sz w:val="21"/>
          <w:szCs w:val="21"/>
          <w:highlight w:val="none"/>
        </w:rPr>
        <w:t>支付违约金。</w:t>
      </w:r>
    </w:p>
    <w:p w14:paraId="7067AA3D">
      <w:pPr>
        <w:snapToGrid w:val="0"/>
        <w:spacing w:line="440" w:lineRule="exact"/>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（9）承包人未能按照合同约定履行其他义务的违约责任：按</w:t>
      </w:r>
      <w:r>
        <w:rPr>
          <w:rFonts w:hint="eastAsia" w:ascii="仿宋" w:hAnsi="仿宋" w:eastAsia="仿宋" w:cs="仿宋"/>
          <w:color w:val="auto"/>
          <w:kern w:val="0"/>
          <w:sz w:val="21"/>
          <w:szCs w:val="21"/>
          <w:highlight w:val="none"/>
          <w:u w:val="single"/>
        </w:rPr>
        <w:t>（500～5000）元/次</w:t>
      </w:r>
      <w:r>
        <w:rPr>
          <w:rFonts w:hint="eastAsia" w:ascii="仿宋" w:hAnsi="仿宋" w:eastAsia="仿宋" w:cs="仿宋"/>
          <w:color w:val="auto"/>
          <w:kern w:val="0"/>
          <w:sz w:val="21"/>
          <w:szCs w:val="21"/>
          <w:highlight w:val="none"/>
        </w:rPr>
        <w:t>支付违约金。</w:t>
      </w:r>
    </w:p>
    <w:p w14:paraId="53FAEA42">
      <w:pPr>
        <w:snapToGrid w:val="0"/>
        <w:spacing w:line="440" w:lineRule="exact"/>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（10）承包人未能按期开工的违约责任：按合同价</w:t>
      </w:r>
      <w:r>
        <w:rPr>
          <w:rFonts w:hint="eastAsia" w:ascii="仿宋" w:hAnsi="仿宋" w:eastAsia="仿宋" w:cs="仿宋"/>
          <w:color w:val="auto"/>
          <w:kern w:val="0"/>
          <w:sz w:val="21"/>
          <w:szCs w:val="21"/>
          <w:highlight w:val="none"/>
          <w:u w:val="single"/>
        </w:rPr>
        <w:t>0.2‰/天</w:t>
      </w:r>
      <w:r>
        <w:rPr>
          <w:rFonts w:hint="eastAsia" w:ascii="仿宋" w:hAnsi="仿宋" w:eastAsia="仿宋" w:cs="仿宋"/>
          <w:color w:val="auto"/>
          <w:kern w:val="0"/>
          <w:sz w:val="21"/>
          <w:szCs w:val="21"/>
          <w:highlight w:val="none"/>
        </w:rPr>
        <w:t>支付违约金，本项违约金累计限额为签约合同价的</w:t>
      </w:r>
      <w:r>
        <w:rPr>
          <w:rFonts w:hint="eastAsia" w:ascii="仿宋" w:hAnsi="仿宋" w:eastAsia="仿宋" w:cs="仿宋"/>
          <w:color w:val="auto"/>
          <w:kern w:val="0"/>
          <w:sz w:val="21"/>
          <w:szCs w:val="21"/>
          <w:highlight w:val="none"/>
          <w:u w:val="single"/>
        </w:rPr>
        <w:t xml:space="preserve"> 1 %</w:t>
      </w:r>
      <w:r>
        <w:rPr>
          <w:rFonts w:hint="eastAsia" w:ascii="仿宋" w:hAnsi="仿宋" w:eastAsia="仿宋" w:cs="仿宋"/>
          <w:color w:val="auto"/>
          <w:kern w:val="0"/>
          <w:sz w:val="21"/>
          <w:szCs w:val="21"/>
          <w:highlight w:val="none"/>
        </w:rPr>
        <w:t>。</w:t>
      </w:r>
    </w:p>
    <w:p w14:paraId="5BF9C8CE">
      <w:pPr>
        <w:snapToGrid w:val="0"/>
        <w:spacing w:line="440" w:lineRule="exact"/>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（11）承包人未按经审定的施工组织设计配备或更换关键施工设备的违约责任：按</w:t>
      </w:r>
      <w:r>
        <w:rPr>
          <w:rFonts w:hint="eastAsia" w:ascii="仿宋" w:hAnsi="仿宋" w:eastAsia="仿宋" w:cs="仿宋"/>
          <w:color w:val="auto"/>
          <w:kern w:val="0"/>
          <w:sz w:val="21"/>
          <w:szCs w:val="21"/>
          <w:highlight w:val="none"/>
          <w:u w:val="single"/>
        </w:rPr>
        <w:t xml:space="preserve">  （5000～50000）元/台·次</w:t>
      </w:r>
      <w:r>
        <w:rPr>
          <w:rFonts w:hint="eastAsia" w:ascii="仿宋" w:hAnsi="仿宋" w:eastAsia="仿宋" w:cs="仿宋"/>
          <w:color w:val="auto"/>
          <w:kern w:val="0"/>
          <w:sz w:val="21"/>
          <w:szCs w:val="21"/>
          <w:highlight w:val="none"/>
        </w:rPr>
        <w:t>支付违约金。</w:t>
      </w:r>
    </w:p>
    <w:p w14:paraId="18997715">
      <w:pPr>
        <w:snapToGrid w:val="0"/>
        <w:spacing w:line="440" w:lineRule="exact"/>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（12）承包人有安全问题或有违反安全管理规章制度情况的违约责任：根据具体情节，按签约合同价的</w:t>
      </w:r>
      <w:r>
        <w:rPr>
          <w:rFonts w:hint="eastAsia" w:ascii="仿宋" w:hAnsi="仿宋" w:eastAsia="仿宋" w:cs="仿宋"/>
          <w:color w:val="auto"/>
          <w:kern w:val="0"/>
          <w:sz w:val="21"/>
          <w:szCs w:val="21"/>
          <w:highlight w:val="none"/>
          <w:u w:val="single"/>
        </w:rPr>
        <w:t>0.5‰～4‰/次</w:t>
      </w:r>
      <w:r>
        <w:rPr>
          <w:rFonts w:hint="eastAsia" w:ascii="仿宋" w:hAnsi="仿宋" w:eastAsia="仿宋" w:cs="仿宋"/>
          <w:color w:val="auto"/>
          <w:kern w:val="0"/>
          <w:sz w:val="21"/>
          <w:szCs w:val="21"/>
          <w:highlight w:val="none"/>
        </w:rPr>
        <w:t>支付违约金（累计不超过签约合同价的1%，详见附件9安全管理协议）。</w:t>
      </w:r>
    </w:p>
    <w:p w14:paraId="527A17DA">
      <w:pPr>
        <w:snapToGrid w:val="0"/>
        <w:spacing w:line="440" w:lineRule="exact"/>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（13）承包人拖欠其工人或所雇人员工资或报酬，导致其工人或所雇人员向有关部门投诉、控告、检举或以聚集等方式讨要工资或报酬的违约责任：根据具体情节，按违约金额</w:t>
      </w:r>
      <w:r>
        <w:rPr>
          <w:rFonts w:hint="eastAsia" w:ascii="仿宋" w:hAnsi="仿宋" w:eastAsia="仿宋" w:cs="仿宋"/>
          <w:color w:val="auto"/>
          <w:kern w:val="0"/>
          <w:sz w:val="21"/>
          <w:szCs w:val="21"/>
          <w:highlight w:val="none"/>
          <w:u w:val="single"/>
        </w:rPr>
        <w:t xml:space="preserve">  （50000～200000）元/次</w:t>
      </w:r>
      <w:r>
        <w:rPr>
          <w:rFonts w:hint="eastAsia" w:ascii="仿宋" w:hAnsi="仿宋" w:eastAsia="仿宋" w:cs="仿宋"/>
          <w:color w:val="auto"/>
          <w:kern w:val="0"/>
          <w:sz w:val="21"/>
          <w:szCs w:val="21"/>
          <w:highlight w:val="none"/>
        </w:rPr>
        <w:t>支付违约金。</w:t>
      </w:r>
    </w:p>
    <w:p w14:paraId="30F1DB04">
      <w:pPr>
        <w:snapToGrid w:val="0"/>
        <w:spacing w:line="440" w:lineRule="exact"/>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（14）承包人不配合发包人、监理人及发包人委托的工程造价咨询服务单位结算审核的违约责任：根据具体情节，按</w:t>
      </w:r>
      <w:r>
        <w:rPr>
          <w:rFonts w:hint="eastAsia" w:ascii="仿宋" w:hAnsi="仿宋" w:eastAsia="仿宋" w:cs="仿宋"/>
          <w:color w:val="auto"/>
          <w:kern w:val="0"/>
          <w:sz w:val="21"/>
          <w:szCs w:val="21"/>
          <w:highlight w:val="none"/>
          <w:u w:val="single"/>
        </w:rPr>
        <w:t xml:space="preserve">  （10000～100000）元/次</w:t>
      </w:r>
      <w:r>
        <w:rPr>
          <w:rFonts w:hint="eastAsia" w:ascii="仿宋" w:hAnsi="仿宋" w:eastAsia="仿宋" w:cs="仿宋"/>
          <w:color w:val="auto"/>
          <w:kern w:val="0"/>
          <w:sz w:val="21"/>
          <w:szCs w:val="21"/>
          <w:highlight w:val="none"/>
        </w:rPr>
        <w:t>支付违约金。</w:t>
      </w:r>
    </w:p>
    <w:p w14:paraId="496BF39B">
      <w:pPr>
        <w:snapToGrid w:val="0"/>
        <w:spacing w:line="440" w:lineRule="exact"/>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（15）承包人未按合同约定移交全部和部分工程的违约责任：由承包人承担工程照管、成品保护、保管等与工程有关的各种费用，并按结算金额或违约部分结算金额的</w:t>
      </w:r>
      <w:r>
        <w:rPr>
          <w:rFonts w:hint="eastAsia" w:ascii="仿宋" w:hAnsi="仿宋" w:eastAsia="仿宋" w:cs="仿宋"/>
          <w:color w:val="auto"/>
          <w:kern w:val="0"/>
          <w:sz w:val="21"/>
          <w:szCs w:val="21"/>
          <w:highlight w:val="none"/>
          <w:u w:val="single"/>
        </w:rPr>
        <w:t>0.5～1‰</w:t>
      </w:r>
      <w:r>
        <w:rPr>
          <w:rFonts w:hint="eastAsia" w:ascii="仿宋" w:hAnsi="仿宋" w:eastAsia="仿宋" w:cs="仿宋"/>
          <w:color w:val="auto"/>
          <w:kern w:val="0"/>
          <w:sz w:val="21"/>
          <w:szCs w:val="21"/>
          <w:highlight w:val="none"/>
        </w:rPr>
        <w:t>支付违约金。</w:t>
      </w:r>
    </w:p>
    <w:p w14:paraId="4D6D6244">
      <w:pPr>
        <w:snapToGrid w:val="0"/>
        <w:spacing w:line="440" w:lineRule="exact"/>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sz w:val="21"/>
          <w:szCs w:val="21"/>
          <w:highlight w:val="none"/>
        </w:rPr>
        <w:t>（16）承包人未按合同约定购买保险的违约责任：除按18.6.2项约定执行外，每延迟1天，按</w:t>
      </w:r>
      <w:r>
        <w:rPr>
          <w:rFonts w:hint="eastAsia" w:ascii="仿宋" w:hAnsi="仿宋" w:eastAsia="仿宋" w:cs="仿宋"/>
          <w:color w:val="auto"/>
          <w:sz w:val="21"/>
          <w:szCs w:val="21"/>
          <w:highlight w:val="none"/>
          <w:u w:val="single"/>
        </w:rPr>
        <w:t>500元/天</w:t>
      </w:r>
      <w:r>
        <w:rPr>
          <w:rFonts w:hint="eastAsia" w:ascii="仿宋" w:hAnsi="仿宋" w:eastAsia="仿宋" w:cs="仿宋"/>
          <w:color w:val="auto"/>
          <w:sz w:val="21"/>
          <w:szCs w:val="21"/>
          <w:highlight w:val="none"/>
        </w:rPr>
        <w:t>支付违约金。</w:t>
      </w:r>
    </w:p>
    <w:p w14:paraId="785FA630">
      <w:pPr>
        <w:snapToGrid w:val="0"/>
        <w:spacing w:line="440" w:lineRule="exact"/>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（17）发生第16.2.1项（11）目、16.2.1项（12）目、16.2.1项（13）目违约情形的违约责任：除承担由此增加的费用和工期延误的责任，承包人应向发包人支付违约金：</w:t>
      </w:r>
    </w:p>
    <w:p w14:paraId="08777754">
      <w:pPr>
        <w:snapToGrid w:val="0"/>
        <w:spacing w:line="440" w:lineRule="exact"/>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1）项目经理违约承担方式和计算方法：对于第16.2.1项（11）目的情形，每发现一次，根据具体情节，按</w:t>
      </w:r>
      <w:r>
        <w:rPr>
          <w:rFonts w:hint="eastAsia" w:ascii="仿宋" w:hAnsi="仿宋" w:eastAsia="仿宋" w:cs="仿宋"/>
          <w:color w:val="auto"/>
          <w:kern w:val="0"/>
          <w:sz w:val="21"/>
          <w:szCs w:val="21"/>
          <w:highlight w:val="none"/>
          <w:u w:val="single"/>
        </w:rPr>
        <w:t>1000～30000元/天·次</w:t>
      </w:r>
      <w:r>
        <w:rPr>
          <w:rFonts w:hint="eastAsia" w:ascii="仿宋" w:hAnsi="仿宋" w:eastAsia="仿宋" w:cs="仿宋"/>
          <w:color w:val="auto"/>
          <w:kern w:val="0"/>
          <w:sz w:val="21"/>
          <w:szCs w:val="21"/>
          <w:highlight w:val="none"/>
        </w:rPr>
        <w:t>计算违约金；项目经理不按承诺到岗的（3.2.3项约定的情形除外），按履约保证金的</w:t>
      </w:r>
      <w:r>
        <w:rPr>
          <w:rFonts w:hint="eastAsia" w:ascii="仿宋" w:hAnsi="仿宋" w:eastAsia="仿宋" w:cs="仿宋"/>
          <w:color w:val="auto"/>
          <w:kern w:val="0"/>
          <w:sz w:val="21"/>
          <w:szCs w:val="21"/>
          <w:highlight w:val="none"/>
          <w:u w:val="single"/>
        </w:rPr>
        <w:t>（50～100）%</w:t>
      </w:r>
      <w:r>
        <w:rPr>
          <w:rFonts w:hint="eastAsia" w:ascii="仿宋" w:hAnsi="仿宋" w:eastAsia="仿宋" w:cs="仿宋"/>
          <w:color w:val="auto"/>
          <w:kern w:val="0"/>
          <w:sz w:val="21"/>
          <w:szCs w:val="21"/>
          <w:highlight w:val="none"/>
        </w:rPr>
        <w:t>支付违约金，并解除合同；擅自更换项目经理的，按签约合同价的</w:t>
      </w:r>
      <w:r>
        <w:rPr>
          <w:rFonts w:hint="eastAsia" w:ascii="仿宋" w:hAnsi="仿宋" w:eastAsia="仿宋" w:cs="仿宋"/>
          <w:color w:val="auto"/>
          <w:kern w:val="0"/>
          <w:sz w:val="21"/>
          <w:szCs w:val="21"/>
          <w:highlight w:val="none"/>
          <w:u w:val="single"/>
        </w:rPr>
        <w:t>（0.5～3）%/人·次</w:t>
      </w:r>
      <w:r>
        <w:rPr>
          <w:rFonts w:hint="eastAsia" w:ascii="仿宋" w:hAnsi="仿宋" w:eastAsia="仿宋" w:cs="仿宋"/>
          <w:color w:val="auto"/>
          <w:kern w:val="0"/>
          <w:sz w:val="21"/>
          <w:szCs w:val="21"/>
          <w:highlight w:val="none"/>
        </w:rPr>
        <w:t>支付违约金，每次不低于</w:t>
      </w:r>
      <w:r>
        <w:rPr>
          <w:rFonts w:hint="eastAsia" w:ascii="仿宋" w:hAnsi="仿宋" w:eastAsia="仿宋" w:cs="仿宋"/>
          <w:color w:val="auto"/>
          <w:kern w:val="0"/>
          <w:sz w:val="21"/>
          <w:szCs w:val="21"/>
          <w:highlight w:val="none"/>
          <w:u w:val="single"/>
        </w:rPr>
        <w:t>20万</w:t>
      </w:r>
      <w:r>
        <w:rPr>
          <w:rFonts w:hint="eastAsia" w:ascii="仿宋" w:hAnsi="仿宋" w:eastAsia="仿宋" w:cs="仿宋"/>
          <w:color w:val="auto"/>
          <w:kern w:val="0"/>
          <w:sz w:val="21"/>
          <w:szCs w:val="21"/>
          <w:highlight w:val="none"/>
        </w:rPr>
        <w:t>，累计不超过</w:t>
      </w:r>
      <w:r>
        <w:rPr>
          <w:rFonts w:hint="eastAsia" w:ascii="仿宋" w:hAnsi="仿宋" w:eastAsia="仿宋" w:cs="仿宋"/>
          <w:color w:val="auto"/>
          <w:kern w:val="0"/>
          <w:sz w:val="21"/>
          <w:szCs w:val="21"/>
          <w:highlight w:val="none"/>
          <w:u w:val="single"/>
        </w:rPr>
        <w:t>200万</w:t>
      </w:r>
      <w:r>
        <w:rPr>
          <w:rFonts w:hint="eastAsia" w:ascii="仿宋" w:hAnsi="仿宋" w:eastAsia="仿宋" w:cs="仿宋"/>
          <w:color w:val="auto"/>
          <w:kern w:val="0"/>
          <w:sz w:val="21"/>
          <w:szCs w:val="21"/>
          <w:highlight w:val="none"/>
        </w:rPr>
        <w:t>；项目经理被责令停止执业的，按签约合同价的</w:t>
      </w:r>
      <w:r>
        <w:rPr>
          <w:rFonts w:hint="eastAsia" w:ascii="仿宋" w:hAnsi="仿宋" w:eastAsia="仿宋" w:cs="仿宋"/>
          <w:color w:val="auto"/>
          <w:kern w:val="0"/>
          <w:sz w:val="21"/>
          <w:szCs w:val="21"/>
          <w:highlight w:val="none"/>
          <w:u w:val="single"/>
        </w:rPr>
        <w:t>（0.5～3）%/人·次</w:t>
      </w:r>
      <w:r>
        <w:rPr>
          <w:rFonts w:hint="eastAsia" w:ascii="仿宋" w:hAnsi="仿宋" w:eastAsia="仿宋" w:cs="仿宋"/>
          <w:color w:val="auto"/>
          <w:kern w:val="0"/>
          <w:sz w:val="21"/>
          <w:szCs w:val="21"/>
          <w:highlight w:val="none"/>
        </w:rPr>
        <w:t>支付违约金，每次不低于</w:t>
      </w:r>
      <w:r>
        <w:rPr>
          <w:rFonts w:hint="eastAsia" w:ascii="仿宋" w:hAnsi="仿宋" w:eastAsia="仿宋" w:cs="仿宋"/>
          <w:color w:val="auto"/>
          <w:kern w:val="0"/>
          <w:sz w:val="21"/>
          <w:szCs w:val="21"/>
          <w:highlight w:val="none"/>
          <w:u w:val="single"/>
        </w:rPr>
        <w:t>20万</w:t>
      </w:r>
      <w:r>
        <w:rPr>
          <w:rFonts w:hint="eastAsia" w:ascii="仿宋" w:hAnsi="仿宋" w:eastAsia="仿宋" w:cs="仿宋"/>
          <w:color w:val="auto"/>
          <w:kern w:val="0"/>
          <w:sz w:val="21"/>
          <w:szCs w:val="21"/>
          <w:highlight w:val="none"/>
        </w:rPr>
        <w:t>，累计不超过</w:t>
      </w:r>
      <w:r>
        <w:rPr>
          <w:rFonts w:hint="eastAsia" w:ascii="仿宋" w:hAnsi="仿宋" w:eastAsia="仿宋" w:cs="仿宋"/>
          <w:color w:val="auto"/>
          <w:kern w:val="0"/>
          <w:sz w:val="21"/>
          <w:szCs w:val="21"/>
          <w:highlight w:val="none"/>
          <w:u w:val="single"/>
        </w:rPr>
        <w:t>200万</w:t>
      </w:r>
      <w:r>
        <w:rPr>
          <w:rFonts w:hint="eastAsia" w:ascii="仿宋" w:hAnsi="仿宋" w:eastAsia="仿宋" w:cs="仿宋"/>
          <w:color w:val="auto"/>
          <w:kern w:val="0"/>
          <w:sz w:val="21"/>
          <w:szCs w:val="21"/>
          <w:highlight w:val="none"/>
        </w:rPr>
        <w:t>；项目经理被责令停止执业的，按签约合同价的</w:t>
      </w:r>
      <w:r>
        <w:rPr>
          <w:rFonts w:hint="eastAsia" w:ascii="仿宋" w:hAnsi="仿宋" w:eastAsia="仿宋" w:cs="仿宋"/>
          <w:color w:val="auto"/>
          <w:kern w:val="0"/>
          <w:sz w:val="21"/>
          <w:szCs w:val="21"/>
          <w:highlight w:val="none"/>
          <w:u w:val="single"/>
        </w:rPr>
        <w:t>（0.5～3）%/人•次</w:t>
      </w:r>
      <w:r>
        <w:rPr>
          <w:rFonts w:hint="eastAsia" w:ascii="仿宋" w:hAnsi="仿宋" w:eastAsia="仿宋" w:cs="仿宋"/>
          <w:color w:val="auto"/>
          <w:kern w:val="0"/>
          <w:sz w:val="21"/>
          <w:szCs w:val="21"/>
          <w:highlight w:val="none"/>
        </w:rPr>
        <w:t>支付违约金，每次不低于</w:t>
      </w:r>
      <w:r>
        <w:rPr>
          <w:rFonts w:hint="eastAsia" w:ascii="仿宋" w:hAnsi="仿宋" w:eastAsia="仿宋" w:cs="仿宋"/>
          <w:color w:val="auto"/>
          <w:kern w:val="0"/>
          <w:sz w:val="21"/>
          <w:szCs w:val="21"/>
          <w:highlight w:val="none"/>
          <w:u w:val="single"/>
        </w:rPr>
        <w:t>20</w:t>
      </w:r>
      <w:r>
        <w:rPr>
          <w:rFonts w:hint="eastAsia" w:ascii="仿宋" w:hAnsi="仿宋" w:eastAsia="仿宋" w:cs="仿宋"/>
          <w:color w:val="auto"/>
          <w:kern w:val="0"/>
          <w:sz w:val="21"/>
          <w:szCs w:val="21"/>
          <w:highlight w:val="none"/>
        </w:rPr>
        <w:t>万，累计不超过</w:t>
      </w:r>
      <w:r>
        <w:rPr>
          <w:rFonts w:hint="eastAsia" w:ascii="仿宋" w:hAnsi="仿宋" w:eastAsia="仿宋" w:cs="仿宋"/>
          <w:color w:val="auto"/>
          <w:kern w:val="0"/>
          <w:sz w:val="21"/>
          <w:szCs w:val="21"/>
          <w:highlight w:val="none"/>
          <w:u w:val="single"/>
        </w:rPr>
        <w:t>200</w:t>
      </w:r>
      <w:r>
        <w:rPr>
          <w:rFonts w:hint="eastAsia" w:ascii="仿宋" w:hAnsi="仿宋" w:eastAsia="仿宋" w:cs="仿宋"/>
          <w:color w:val="auto"/>
          <w:kern w:val="0"/>
          <w:sz w:val="21"/>
          <w:szCs w:val="21"/>
          <w:highlight w:val="none"/>
        </w:rPr>
        <w:t>万。</w:t>
      </w:r>
    </w:p>
    <w:p w14:paraId="6A29769A">
      <w:pPr>
        <w:snapToGrid w:val="0"/>
        <w:spacing w:line="440" w:lineRule="exact"/>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2）主要技术负责人违约承担方式和计算方法：对于第16.2.1项（12）目的六种情形，每发现一次，根据具体情节，按</w:t>
      </w:r>
      <w:r>
        <w:rPr>
          <w:rFonts w:hint="eastAsia" w:ascii="仿宋" w:hAnsi="仿宋" w:eastAsia="仿宋" w:cs="仿宋"/>
          <w:color w:val="auto"/>
          <w:kern w:val="0"/>
          <w:sz w:val="21"/>
          <w:szCs w:val="21"/>
          <w:highlight w:val="none"/>
          <w:u w:val="single"/>
        </w:rPr>
        <w:t>1000～30000元/天·次</w:t>
      </w:r>
      <w:r>
        <w:rPr>
          <w:rFonts w:hint="eastAsia" w:ascii="仿宋" w:hAnsi="仿宋" w:eastAsia="仿宋" w:cs="仿宋"/>
          <w:color w:val="auto"/>
          <w:kern w:val="0"/>
          <w:sz w:val="21"/>
          <w:szCs w:val="21"/>
          <w:highlight w:val="none"/>
        </w:rPr>
        <w:t>计算违约金；擅自更换主要技术负责人的，按签约合同价的</w:t>
      </w:r>
      <w:r>
        <w:rPr>
          <w:rFonts w:hint="eastAsia" w:ascii="仿宋" w:hAnsi="仿宋" w:eastAsia="仿宋" w:cs="仿宋"/>
          <w:color w:val="auto"/>
          <w:kern w:val="0"/>
          <w:sz w:val="21"/>
          <w:szCs w:val="21"/>
          <w:highlight w:val="none"/>
          <w:u w:val="single"/>
        </w:rPr>
        <w:t>（0.5～2）%/人·次</w:t>
      </w:r>
      <w:r>
        <w:rPr>
          <w:rFonts w:hint="eastAsia" w:ascii="仿宋" w:hAnsi="仿宋" w:eastAsia="仿宋" w:cs="仿宋"/>
          <w:color w:val="auto"/>
          <w:kern w:val="0"/>
          <w:sz w:val="21"/>
          <w:szCs w:val="21"/>
          <w:highlight w:val="none"/>
        </w:rPr>
        <w:t>支付违约金，每次不低于</w:t>
      </w:r>
      <w:r>
        <w:rPr>
          <w:rFonts w:hint="eastAsia" w:ascii="仿宋" w:hAnsi="仿宋" w:eastAsia="仿宋" w:cs="仿宋"/>
          <w:color w:val="auto"/>
          <w:kern w:val="0"/>
          <w:sz w:val="21"/>
          <w:szCs w:val="21"/>
          <w:highlight w:val="none"/>
          <w:u w:val="single"/>
        </w:rPr>
        <w:t>10万</w:t>
      </w:r>
      <w:r>
        <w:rPr>
          <w:rFonts w:hint="eastAsia" w:ascii="仿宋" w:hAnsi="仿宋" w:eastAsia="仿宋" w:cs="仿宋"/>
          <w:color w:val="auto"/>
          <w:kern w:val="0"/>
          <w:sz w:val="21"/>
          <w:szCs w:val="21"/>
          <w:highlight w:val="none"/>
        </w:rPr>
        <w:t>，累计不超过</w:t>
      </w:r>
      <w:r>
        <w:rPr>
          <w:rFonts w:hint="eastAsia" w:ascii="仿宋" w:hAnsi="仿宋" w:eastAsia="仿宋" w:cs="仿宋"/>
          <w:color w:val="auto"/>
          <w:kern w:val="0"/>
          <w:sz w:val="21"/>
          <w:szCs w:val="21"/>
          <w:highlight w:val="none"/>
          <w:u w:val="single"/>
        </w:rPr>
        <w:t>100万</w:t>
      </w:r>
      <w:r>
        <w:rPr>
          <w:rFonts w:hint="eastAsia" w:ascii="仿宋" w:hAnsi="仿宋" w:eastAsia="仿宋" w:cs="仿宋"/>
          <w:color w:val="auto"/>
          <w:kern w:val="0"/>
          <w:sz w:val="21"/>
          <w:szCs w:val="21"/>
          <w:highlight w:val="none"/>
        </w:rPr>
        <w:t>。</w:t>
      </w:r>
    </w:p>
    <w:p w14:paraId="53B7EEC6">
      <w:pPr>
        <w:snapToGrid w:val="0"/>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3）主要施工管理人员违约承担方式和计算方法：对于第16.2.1项（13）目的五种情形，每发现一次，根据具体情节，按</w:t>
      </w:r>
      <w:r>
        <w:rPr>
          <w:rFonts w:hint="eastAsia" w:ascii="仿宋" w:hAnsi="仿宋" w:eastAsia="仿宋" w:cs="仿宋"/>
          <w:color w:val="auto"/>
          <w:kern w:val="0"/>
          <w:sz w:val="21"/>
          <w:szCs w:val="21"/>
          <w:highlight w:val="none"/>
          <w:u w:val="single"/>
        </w:rPr>
        <w:t>500～10000元/天·次</w:t>
      </w:r>
      <w:r>
        <w:rPr>
          <w:rFonts w:hint="eastAsia" w:ascii="仿宋" w:hAnsi="仿宋" w:eastAsia="仿宋" w:cs="仿宋"/>
          <w:color w:val="auto"/>
          <w:kern w:val="0"/>
          <w:sz w:val="21"/>
          <w:szCs w:val="21"/>
          <w:highlight w:val="none"/>
        </w:rPr>
        <w:t>计算违约金。</w:t>
      </w:r>
    </w:p>
    <w:p w14:paraId="5250134C">
      <w:pPr>
        <w:snapToGrid w:val="0"/>
        <w:spacing w:line="440" w:lineRule="exact"/>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（18）</w:t>
      </w:r>
      <w:r>
        <w:rPr>
          <w:rFonts w:hint="eastAsia" w:ascii="仿宋" w:hAnsi="仿宋" w:eastAsia="仿宋" w:cs="仿宋"/>
          <w:color w:val="auto"/>
          <w:kern w:val="0"/>
          <w:sz w:val="21"/>
          <w:szCs w:val="21"/>
          <w:highlight w:val="none"/>
          <w:u w:val="single"/>
        </w:rPr>
        <w:t xml:space="preserve">        </w:t>
      </w:r>
      <w:r>
        <w:rPr>
          <w:rFonts w:hint="eastAsia" w:ascii="仿宋" w:hAnsi="仿宋" w:eastAsia="仿宋" w:cs="仿宋"/>
          <w:color w:val="auto"/>
          <w:kern w:val="0"/>
          <w:sz w:val="21"/>
          <w:szCs w:val="21"/>
          <w:highlight w:val="none"/>
        </w:rPr>
        <w:t>。</w:t>
      </w:r>
      <w:bookmarkStart w:id="1877" w:name="_Hlk524380347"/>
    </w:p>
    <w:p w14:paraId="65011DA1">
      <w:pPr>
        <w:snapToGrid w:val="0"/>
        <w:spacing w:line="440" w:lineRule="exact"/>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sz w:val="21"/>
          <w:szCs w:val="21"/>
          <w:highlight w:val="none"/>
        </w:rPr>
        <w:t>应当由承包人向发包人支付的违约金，发包人可直接提取届时有效的履约担保相应金额，不足部分由承包人支付；若发包人提取履约担保相应金额，则承包人应在提取后7日内补足或提交合同约定的履约担保的金额，否则按专用合同第</w:t>
      </w:r>
      <w:r>
        <w:rPr>
          <w:rFonts w:hint="eastAsia" w:ascii="仿宋" w:hAnsi="仿宋" w:eastAsia="仿宋" w:cs="仿宋"/>
          <w:color w:val="auto"/>
          <w:kern w:val="0"/>
          <w:sz w:val="21"/>
          <w:szCs w:val="21"/>
          <w:highlight w:val="none"/>
        </w:rPr>
        <w:t>16.2.2项第（1）目承担违约责任</w:t>
      </w:r>
      <w:r>
        <w:rPr>
          <w:rFonts w:hint="eastAsia" w:ascii="仿宋" w:hAnsi="仿宋" w:eastAsia="仿宋" w:cs="仿宋"/>
          <w:color w:val="auto"/>
          <w:sz w:val="21"/>
          <w:szCs w:val="21"/>
          <w:highlight w:val="none"/>
        </w:rPr>
        <w:t>，并从应付或到期应付给承包人的任何款项中或采用其他方法，扣除该违约金。</w:t>
      </w:r>
    </w:p>
    <w:p w14:paraId="76DA8D37">
      <w:pPr>
        <w:snapToGrid w:val="0"/>
        <w:spacing w:line="440" w:lineRule="exact"/>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sz w:val="21"/>
          <w:szCs w:val="21"/>
          <w:highlight w:val="none"/>
        </w:rPr>
        <w:t>承包人必须及时纠正违约行为并采取积极措施，满足合同要求，自行承担与纠正违约行为有关的人身伤亡、罚款、索赔、损失补偿、诉讼费用及其他一切责任，工期不予顺延</w:t>
      </w:r>
      <w:r>
        <w:rPr>
          <w:rFonts w:hint="eastAsia" w:ascii="仿宋" w:hAnsi="仿宋" w:eastAsia="仿宋" w:cs="仿宋"/>
          <w:color w:val="auto"/>
          <w:kern w:val="0"/>
          <w:sz w:val="21"/>
          <w:szCs w:val="21"/>
          <w:highlight w:val="none"/>
        </w:rPr>
        <w:t>，承担由此给</w:t>
      </w:r>
      <w:r>
        <w:rPr>
          <w:rFonts w:hint="eastAsia" w:ascii="仿宋" w:hAnsi="仿宋" w:eastAsia="仿宋" w:cs="仿宋"/>
          <w:color w:val="auto"/>
          <w:sz w:val="21"/>
          <w:szCs w:val="21"/>
          <w:highlight w:val="none"/>
        </w:rPr>
        <w:t>发包人造成的经济损失。</w:t>
      </w:r>
    </w:p>
    <w:p w14:paraId="39686E1E">
      <w:pPr>
        <w:snapToGrid w:val="0"/>
        <w:spacing w:line="440" w:lineRule="exact"/>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sz w:val="21"/>
          <w:szCs w:val="21"/>
          <w:highlight w:val="none"/>
        </w:rPr>
        <w:t>承包人承担承包范围的工程质量、安全、环保责任，因承包人原因引起的质量、安全、环保等事故由承包人承担相应的法律后果。</w:t>
      </w:r>
    </w:p>
    <w:bookmarkEnd w:id="1877"/>
    <w:p w14:paraId="7655478B">
      <w:pPr>
        <w:spacing w:line="440" w:lineRule="exact"/>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16.2.3 因承包人违约解除合同</w:t>
      </w:r>
    </w:p>
    <w:p w14:paraId="40A686BF">
      <w:pPr>
        <w:spacing w:line="440" w:lineRule="exact"/>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因承包人违约并致使合同目的不能实现的，发包人有权解除合同：</w:t>
      </w:r>
    </w:p>
    <w:p w14:paraId="4F8C32EA">
      <w:pPr>
        <w:spacing w:line="440" w:lineRule="exact"/>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（1）未按合同约定延迟提供履约担保、质量保证金超过14天的；</w:t>
      </w:r>
    </w:p>
    <w:p w14:paraId="508A1991">
      <w:pPr>
        <w:spacing w:line="440" w:lineRule="exact"/>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（2）未按合同约定购买保险且经催告后超过56天的；</w:t>
      </w:r>
    </w:p>
    <w:p w14:paraId="5D03B25B">
      <w:pPr>
        <w:spacing w:line="440" w:lineRule="exact"/>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（3）因承包人原因导致开工时间累计延误超过56天的；</w:t>
      </w:r>
    </w:p>
    <w:p w14:paraId="71DE2F5D">
      <w:pPr>
        <w:spacing w:line="440" w:lineRule="exact"/>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（4）因承包人原因导致工期延误超过90天的；</w:t>
      </w:r>
    </w:p>
    <w:p w14:paraId="73CBE89C">
      <w:pPr>
        <w:spacing w:line="440" w:lineRule="exact"/>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（5）发生第21.2款〔退出机制〕约定的情形的；</w:t>
      </w:r>
    </w:p>
    <w:p w14:paraId="70A7A32D">
      <w:pPr>
        <w:spacing w:line="440" w:lineRule="exact"/>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（6）监理人发出整改通知后，承包人在监理人限定的期限内仍不纠正违约行为的；</w:t>
      </w:r>
    </w:p>
    <w:p w14:paraId="6A2BF4F3">
      <w:pPr>
        <w:spacing w:line="440" w:lineRule="exact"/>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（7）承包人进入清算或者严重资不抵债且无法履行合同的；</w:t>
      </w:r>
    </w:p>
    <w:p w14:paraId="3360F501">
      <w:pPr>
        <w:spacing w:line="440" w:lineRule="exact"/>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（8）违反适用法律而被相关政府部门依法吊销营业执照、责令停业、清算或宣布破产、责令关闭的；</w:t>
      </w:r>
    </w:p>
    <w:p w14:paraId="29A40254">
      <w:pPr>
        <w:spacing w:line="440" w:lineRule="exact"/>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（9）承包人未履行合同项下的义务构成对合同的实质性违约，并且在收到发包人要求说明其违约并予以补救的通知后56天内仍未能补救该实质性违约的；</w:t>
      </w:r>
    </w:p>
    <w:p w14:paraId="13FA17A0">
      <w:pPr>
        <w:spacing w:line="440" w:lineRule="exact"/>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（10）</w:t>
      </w:r>
      <w:r>
        <w:rPr>
          <w:rFonts w:hint="eastAsia" w:ascii="仿宋" w:hAnsi="仿宋" w:eastAsia="仿宋" w:cs="仿宋"/>
          <w:color w:val="auto"/>
          <w:kern w:val="0"/>
          <w:sz w:val="21"/>
          <w:szCs w:val="21"/>
          <w:highlight w:val="none"/>
          <w:u w:val="single"/>
        </w:rPr>
        <w:t>合同约定的发包人有权解除合同的其他情形</w:t>
      </w:r>
      <w:r>
        <w:rPr>
          <w:rFonts w:hint="eastAsia" w:ascii="仿宋" w:hAnsi="仿宋" w:eastAsia="仿宋" w:cs="仿宋"/>
          <w:color w:val="auto"/>
          <w:kern w:val="0"/>
          <w:sz w:val="21"/>
          <w:szCs w:val="21"/>
          <w:highlight w:val="none"/>
        </w:rPr>
        <w:t>。</w:t>
      </w:r>
    </w:p>
    <w:p w14:paraId="7C69170F">
      <w:pPr>
        <w:spacing w:line="440" w:lineRule="exact"/>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16.2.4因承包人违约解除合同后的处理</w:t>
      </w:r>
    </w:p>
    <w:p w14:paraId="66A694A8">
      <w:pPr>
        <w:spacing w:line="440" w:lineRule="exact"/>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因承包人违约导致合同解除的，合同当事人应在合同解除后56天内完成估价、付款和清算，并按以下约定执行：</w:t>
      </w:r>
    </w:p>
    <w:p w14:paraId="1FA1D4C3">
      <w:pPr>
        <w:spacing w:line="440" w:lineRule="exact"/>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（1）合同解除后，按第14.2款结算审定方式确定承包人实际完成工作对应的合同价款，以及承包人已提供的材料、工程设备、施工设备和临时工程等的价值；</w:t>
      </w:r>
    </w:p>
    <w:p w14:paraId="1E6C0D9D">
      <w:pPr>
        <w:spacing w:line="440" w:lineRule="exact"/>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（2）合同解除后，承包人应支付违约金；</w:t>
      </w:r>
    </w:p>
    <w:p w14:paraId="32531288">
      <w:pPr>
        <w:spacing w:line="440" w:lineRule="exact"/>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（3）合同解除后，赔偿因解除合同给发包人造成的损失；</w:t>
      </w:r>
    </w:p>
    <w:p w14:paraId="37FAC4B9">
      <w:pPr>
        <w:spacing w:line="440" w:lineRule="exact"/>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（4）合同解除后，承包人应按照发包人要求和监理人的指示完成现场的清理和撤离。</w:t>
      </w:r>
    </w:p>
    <w:p w14:paraId="2A59B477">
      <w:pPr>
        <w:spacing w:line="440" w:lineRule="exact"/>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（5）</w:t>
      </w:r>
      <w:r>
        <w:rPr>
          <w:rFonts w:hint="eastAsia" w:ascii="仿宋" w:hAnsi="仿宋" w:eastAsia="仿宋" w:cs="仿宋"/>
          <w:color w:val="auto"/>
          <w:kern w:val="0"/>
          <w:sz w:val="21"/>
          <w:szCs w:val="21"/>
          <w:highlight w:val="none"/>
          <w:u w:val="single"/>
        </w:rPr>
        <w:t xml:space="preserve">        </w:t>
      </w:r>
      <w:r>
        <w:rPr>
          <w:rFonts w:hint="eastAsia" w:ascii="仿宋" w:hAnsi="仿宋" w:eastAsia="仿宋" w:cs="仿宋"/>
          <w:color w:val="auto"/>
          <w:kern w:val="0"/>
          <w:sz w:val="21"/>
          <w:szCs w:val="21"/>
          <w:highlight w:val="none"/>
        </w:rPr>
        <w:t>。</w:t>
      </w:r>
    </w:p>
    <w:p w14:paraId="4E6D091A">
      <w:pPr>
        <w:spacing w:line="440" w:lineRule="exact"/>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因承包人违约导致解除合同的，发包人有权暂停对承包人的付款，查清各项付款和已扣款项。发包人和承包人未能就合同解除后的清算和款项支付达成一致的，按照第20条〔争议解决〕的约定处理。</w:t>
      </w:r>
    </w:p>
    <w:p w14:paraId="48031C69">
      <w:pPr>
        <w:spacing w:line="440" w:lineRule="exact"/>
        <w:ind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合同解除后，发包人可派员进驻施工现场，另行组织人员或委托其他承包人继续完成合同工程；因继续完成工程的需要，发包人有权使用承包人在施工现场的材料、设备、临时工程、承包人文件和由承包人或以其名义编制的其他文件；发包人继续使用承包人在施工现场的材料、设备、临时工程、承包人文件和由承包人或以其名义编制的其他文件的费用承担方式由双方协商确定；发包人继续使用的行为不免除或减轻承包人应承担的违约责任，也不影响发包人根据合同享有的索赔等权利。</w:t>
      </w:r>
    </w:p>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864"/>
    <w:bookmarkEnd w:id="1865"/>
    <w:p w14:paraId="3A65CC8D">
      <w:pPr>
        <w:keepNext/>
        <w:keepLines/>
        <w:widowControl/>
        <w:spacing w:before="120" w:beforeLines="50" w:after="120" w:afterLines="50" w:line="440" w:lineRule="exact"/>
        <w:outlineLvl w:val="3"/>
        <w:rPr>
          <w:rFonts w:hint="eastAsia" w:ascii="仿宋" w:hAnsi="仿宋" w:eastAsia="仿宋" w:cs="仿宋"/>
          <w:b/>
          <w:color w:val="auto"/>
          <w:sz w:val="21"/>
          <w:szCs w:val="21"/>
          <w:highlight w:val="none"/>
        </w:rPr>
      </w:pPr>
      <w:bookmarkStart w:id="1878" w:name="_Toc351203649"/>
      <w:bookmarkStart w:id="1879" w:name="_Toc532377404"/>
      <w:bookmarkStart w:id="1880" w:name="_Toc532375665"/>
      <w:bookmarkStart w:id="1881" w:name="_Hlk528928440"/>
      <w:r>
        <w:rPr>
          <w:rFonts w:hint="eastAsia" w:ascii="仿宋" w:hAnsi="仿宋" w:eastAsia="仿宋" w:cs="仿宋"/>
          <w:b/>
          <w:bCs/>
          <w:color w:val="auto"/>
          <w:sz w:val="21"/>
          <w:szCs w:val="21"/>
          <w:highlight w:val="none"/>
        </w:rPr>
        <w:t>17. 不可抗力</w:t>
      </w:r>
      <w:bookmarkEnd w:id="1878"/>
      <w:bookmarkEnd w:id="1879"/>
      <w:bookmarkEnd w:id="1880"/>
    </w:p>
    <w:p w14:paraId="6E64FFFB">
      <w:pPr>
        <w:widowControl/>
        <w:spacing w:line="440" w:lineRule="exact"/>
        <w:ind w:firstLine="422" w:firstLineChars="200"/>
        <w:jc w:val="left"/>
        <w:outlineLvl w:val="4"/>
        <w:rPr>
          <w:rFonts w:hint="eastAsia" w:ascii="仿宋" w:hAnsi="仿宋" w:eastAsia="仿宋" w:cs="仿宋"/>
          <w:b/>
          <w:bCs/>
          <w:color w:val="auto"/>
          <w:kern w:val="0"/>
          <w:sz w:val="21"/>
          <w:szCs w:val="21"/>
          <w:highlight w:val="none"/>
        </w:rPr>
      </w:pPr>
      <w:bookmarkStart w:id="1882" w:name="_Toc532375666"/>
      <w:bookmarkStart w:id="1883" w:name="_Toc532377405"/>
      <w:r>
        <w:rPr>
          <w:rFonts w:hint="eastAsia" w:ascii="仿宋" w:hAnsi="仿宋" w:eastAsia="仿宋" w:cs="仿宋"/>
          <w:b/>
          <w:bCs/>
          <w:color w:val="auto"/>
          <w:kern w:val="0"/>
          <w:sz w:val="21"/>
          <w:szCs w:val="21"/>
          <w:highlight w:val="none"/>
        </w:rPr>
        <w:t>17.1 不可抗力的确认</w:t>
      </w:r>
      <w:bookmarkEnd w:id="1882"/>
      <w:bookmarkEnd w:id="1883"/>
    </w:p>
    <w:p w14:paraId="33BD3A51">
      <w:pPr>
        <w:spacing w:line="440" w:lineRule="exact"/>
        <w:ind w:right="140" w:rightChars="50"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除通用合同条款约定的不可抗力事件之外，视为不可抗力的其他情形：</w:t>
      </w:r>
      <w:bookmarkStart w:id="1884" w:name="_Hlk524379638"/>
    </w:p>
    <w:p w14:paraId="7D731242">
      <w:pPr>
        <w:spacing w:line="440" w:lineRule="exact"/>
        <w:ind w:right="140" w:rightChars="50"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（1）洪水、火山爆发、山崩、山体滑坡、泥石流、龙卷风、隧道内不可预测的突发性地质灾害等自然灾害；</w:t>
      </w:r>
    </w:p>
    <w:p w14:paraId="42907034">
      <w:pPr>
        <w:spacing w:line="440" w:lineRule="exact"/>
        <w:ind w:right="140" w:rightChars="50"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（2）骚乱、戒严、封锁、禁运、恐怖行为、等社会行为，但承包人或其分包人派遣与雇佣的人员由于合同工程施工原因引起的除外；</w:t>
      </w:r>
    </w:p>
    <w:p w14:paraId="3A2D490B">
      <w:pPr>
        <w:spacing w:line="440" w:lineRule="exact"/>
        <w:ind w:right="140" w:rightChars="50"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（3）不能合理预见的重大交通阻滞、停运、交通事故，非双方责任引起的火灾、爆炸、船舶撞击等情形；</w:t>
      </w:r>
    </w:p>
    <w:p w14:paraId="7657EFC7">
      <w:pPr>
        <w:spacing w:line="440" w:lineRule="exact"/>
        <w:ind w:right="140" w:rightChars="50"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（4）化学或放射性污染或核辐射；</w:t>
      </w:r>
    </w:p>
    <w:p w14:paraId="26969BC2">
      <w:pPr>
        <w:spacing w:line="440" w:lineRule="exact"/>
        <w:ind w:right="140" w:rightChars="50"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（5）环保治理等政府行为导致项目停工的。</w:t>
      </w:r>
      <w:bookmarkEnd w:id="1884"/>
    </w:p>
    <w:p w14:paraId="7AE21BB1">
      <w:pPr>
        <w:spacing w:line="440" w:lineRule="exact"/>
        <w:ind w:right="140" w:rightChars="50"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（6）</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w:t>
      </w:r>
    </w:p>
    <w:p w14:paraId="4F4D5AAC">
      <w:pPr>
        <w:widowControl/>
        <w:spacing w:line="440" w:lineRule="exact"/>
        <w:ind w:firstLine="422" w:firstLineChars="200"/>
        <w:jc w:val="left"/>
        <w:outlineLvl w:val="4"/>
        <w:rPr>
          <w:rFonts w:hint="eastAsia" w:ascii="仿宋" w:hAnsi="仿宋" w:eastAsia="仿宋" w:cs="仿宋"/>
          <w:b/>
          <w:bCs/>
          <w:color w:val="auto"/>
          <w:kern w:val="0"/>
          <w:sz w:val="21"/>
          <w:szCs w:val="21"/>
          <w:highlight w:val="none"/>
        </w:rPr>
      </w:pPr>
      <w:bookmarkStart w:id="1885" w:name="_Toc532375667"/>
      <w:bookmarkStart w:id="1886" w:name="_Toc532377406"/>
      <w:bookmarkStart w:id="1887" w:name="_Toc351203610"/>
      <w:bookmarkStart w:id="1888" w:name="_Toc337558826"/>
      <w:bookmarkStart w:id="1889" w:name="_Toc296503119"/>
      <w:bookmarkStart w:id="1890" w:name="_Toc296346620"/>
      <w:r>
        <w:rPr>
          <w:rFonts w:hint="eastAsia" w:ascii="仿宋" w:hAnsi="仿宋" w:eastAsia="仿宋" w:cs="仿宋"/>
          <w:b/>
          <w:bCs/>
          <w:color w:val="auto"/>
          <w:kern w:val="0"/>
          <w:sz w:val="21"/>
          <w:szCs w:val="21"/>
          <w:highlight w:val="none"/>
        </w:rPr>
        <w:t>17.3 不可抗力后果的承担</w:t>
      </w:r>
      <w:bookmarkEnd w:id="1885"/>
      <w:bookmarkEnd w:id="1886"/>
      <w:bookmarkEnd w:id="1887"/>
    </w:p>
    <w:bookmarkEnd w:id="1888"/>
    <w:bookmarkEnd w:id="1889"/>
    <w:bookmarkEnd w:id="1890"/>
    <w:p w14:paraId="659C5E9C">
      <w:pPr>
        <w:spacing w:line="440" w:lineRule="exact"/>
        <w:ind w:right="140" w:rightChars="50"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17.3.1 不可抗力引起的后果及造成的损失由合同当事人按照法律规定及合同约定各自承担。不可抗力发生前已完成的工程应当按照合同约定进行计量支付。</w:t>
      </w:r>
    </w:p>
    <w:p w14:paraId="3AE6769E">
      <w:pPr>
        <w:spacing w:line="440" w:lineRule="exact"/>
        <w:ind w:right="140" w:rightChars="50"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17.3.2 不可抗力导致的人员伤亡、财产损失、费用增加和（或）工期延误等后果，由合同当事人按以下原则承担：</w:t>
      </w:r>
    </w:p>
    <w:p w14:paraId="36614D1D">
      <w:pPr>
        <w:spacing w:line="440" w:lineRule="exact"/>
        <w:ind w:right="140" w:rightChars="50"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（1）永久工程、已运至施工现场的施工材料和工程设备的损坏，以及因工程损坏造成的第三方人员伤亡和财产损失由发包人承担；</w:t>
      </w:r>
    </w:p>
    <w:p w14:paraId="4DD81079">
      <w:pPr>
        <w:spacing w:line="440" w:lineRule="exact"/>
        <w:ind w:right="140" w:rightChars="50"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（2）承包人施工设备的损坏由承包人承担；</w:t>
      </w:r>
    </w:p>
    <w:p w14:paraId="74FCE1F9">
      <w:pPr>
        <w:spacing w:line="440" w:lineRule="exact"/>
        <w:ind w:right="140" w:rightChars="50"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（3）发包人和承包人承担各自人员伤亡和财产的损失；</w:t>
      </w:r>
    </w:p>
    <w:p w14:paraId="2475FC81">
      <w:pPr>
        <w:spacing w:line="440" w:lineRule="exact"/>
        <w:ind w:right="140" w:rightChars="50"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（4）因不可抗力影响承包人履行合同约定的义务，已经引起或将引起工期延误的，应当顺延工期，由此导致承包人停工的费用损失由发包人和承包人合理共担；</w:t>
      </w:r>
    </w:p>
    <w:p w14:paraId="5D649BD5">
      <w:pPr>
        <w:spacing w:line="440" w:lineRule="exact"/>
        <w:ind w:right="140" w:rightChars="50"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（5）因不可抗力引起或将引起工期延误，发包人要求赶工的，由此增加的赶工费用由发包人承担；</w:t>
      </w:r>
    </w:p>
    <w:p w14:paraId="77BB1257">
      <w:pPr>
        <w:spacing w:line="440" w:lineRule="exact"/>
        <w:ind w:right="140" w:rightChars="50"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（6）承包人在停工期间按照发包人要求照管、清理和修复工程的费用由发包人承担；</w:t>
      </w:r>
    </w:p>
    <w:p w14:paraId="5EBB9D3F">
      <w:pPr>
        <w:spacing w:line="440" w:lineRule="exact"/>
        <w:ind w:right="140" w:rightChars="50"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（7）不可抗力事件发生后，合同当事人均应采取措施尽量避免和减少损失的扩大，任何一方当事人没有采取有效措施导致损失扩大的，应对扩大的损失承担责任。</w:t>
      </w:r>
    </w:p>
    <w:p w14:paraId="5E8C6DA6">
      <w:pPr>
        <w:spacing w:line="440" w:lineRule="exact"/>
        <w:ind w:right="140" w:rightChars="50"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（8）</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w:t>
      </w:r>
    </w:p>
    <w:p w14:paraId="4C576B7F">
      <w:pPr>
        <w:widowControl/>
        <w:spacing w:line="440" w:lineRule="exact"/>
        <w:ind w:firstLine="422" w:firstLineChars="200"/>
        <w:jc w:val="left"/>
        <w:outlineLvl w:val="4"/>
        <w:rPr>
          <w:rFonts w:hint="eastAsia" w:ascii="仿宋" w:hAnsi="仿宋" w:eastAsia="仿宋" w:cs="仿宋"/>
          <w:b/>
          <w:bCs/>
          <w:color w:val="auto"/>
          <w:kern w:val="0"/>
          <w:sz w:val="21"/>
          <w:szCs w:val="21"/>
          <w:highlight w:val="none"/>
        </w:rPr>
      </w:pPr>
      <w:bookmarkStart w:id="1891" w:name="_Toc532375668"/>
      <w:bookmarkStart w:id="1892" w:name="_Toc532377407"/>
      <w:r>
        <w:rPr>
          <w:rFonts w:hint="eastAsia" w:ascii="仿宋" w:hAnsi="仿宋" w:eastAsia="仿宋" w:cs="仿宋"/>
          <w:b/>
          <w:bCs/>
          <w:color w:val="auto"/>
          <w:kern w:val="0"/>
          <w:sz w:val="21"/>
          <w:szCs w:val="21"/>
          <w:highlight w:val="none"/>
        </w:rPr>
        <w:t>17.4 因不可抗力解除合同</w:t>
      </w:r>
      <w:bookmarkEnd w:id="1891"/>
      <w:bookmarkEnd w:id="1892"/>
    </w:p>
    <w:p w14:paraId="50C3BA15">
      <w:pPr>
        <w:spacing w:line="440" w:lineRule="exact"/>
        <w:ind w:right="140" w:rightChars="50"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合同解除后，发包人应在商定或确定发包人应支付款项后</w:t>
      </w:r>
      <w:r>
        <w:rPr>
          <w:rFonts w:hint="eastAsia" w:ascii="仿宋" w:hAnsi="仿宋" w:eastAsia="仿宋" w:cs="仿宋"/>
          <w:color w:val="auto"/>
          <w:sz w:val="21"/>
          <w:szCs w:val="21"/>
          <w:highlight w:val="none"/>
          <w:u w:val="single"/>
        </w:rPr>
        <w:t>28</w:t>
      </w:r>
      <w:r>
        <w:rPr>
          <w:rFonts w:hint="eastAsia" w:ascii="仿宋" w:hAnsi="仿宋" w:eastAsia="仿宋" w:cs="仿宋"/>
          <w:color w:val="auto"/>
          <w:sz w:val="21"/>
          <w:szCs w:val="21"/>
          <w:highlight w:val="none"/>
        </w:rPr>
        <w:t>天内完成款项的支付。</w:t>
      </w:r>
    </w:p>
    <w:p w14:paraId="7FC69463">
      <w:pPr>
        <w:keepNext/>
        <w:keepLines/>
        <w:widowControl/>
        <w:spacing w:before="120" w:beforeLines="50" w:after="120" w:afterLines="50" w:line="440" w:lineRule="exact"/>
        <w:outlineLvl w:val="3"/>
        <w:rPr>
          <w:rFonts w:hint="eastAsia" w:ascii="仿宋" w:hAnsi="仿宋" w:eastAsia="仿宋" w:cs="仿宋"/>
          <w:b/>
          <w:color w:val="auto"/>
          <w:sz w:val="21"/>
          <w:szCs w:val="21"/>
          <w:highlight w:val="none"/>
        </w:rPr>
      </w:pPr>
      <w:bookmarkStart w:id="1893" w:name="_Toc351203650"/>
      <w:bookmarkStart w:id="1894" w:name="_Toc532375669"/>
      <w:bookmarkStart w:id="1895" w:name="_Toc532377408"/>
      <w:r>
        <w:rPr>
          <w:rFonts w:hint="eastAsia" w:ascii="仿宋" w:hAnsi="仿宋" w:eastAsia="仿宋" w:cs="仿宋"/>
          <w:b/>
          <w:bCs/>
          <w:color w:val="auto"/>
          <w:sz w:val="21"/>
          <w:szCs w:val="21"/>
          <w:highlight w:val="none"/>
        </w:rPr>
        <w:t>18. 保险</w:t>
      </w:r>
      <w:bookmarkEnd w:id="1893"/>
      <w:bookmarkEnd w:id="1894"/>
      <w:bookmarkEnd w:id="1895"/>
    </w:p>
    <w:p w14:paraId="0037953A">
      <w:pPr>
        <w:widowControl/>
        <w:spacing w:line="440" w:lineRule="exact"/>
        <w:ind w:firstLine="422" w:firstLineChars="200"/>
        <w:jc w:val="left"/>
        <w:outlineLvl w:val="4"/>
        <w:rPr>
          <w:rFonts w:hint="eastAsia" w:ascii="仿宋" w:hAnsi="仿宋" w:eastAsia="仿宋" w:cs="仿宋"/>
          <w:b/>
          <w:bCs/>
          <w:color w:val="auto"/>
          <w:kern w:val="0"/>
          <w:sz w:val="21"/>
          <w:szCs w:val="21"/>
          <w:highlight w:val="none"/>
        </w:rPr>
      </w:pPr>
      <w:bookmarkStart w:id="1896" w:name="_Toc532377409"/>
      <w:bookmarkStart w:id="1897" w:name="_Toc532375670"/>
      <w:r>
        <w:rPr>
          <w:rFonts w:hint="eastAsia" w:ascii="仿宋" w:hAnsi="仿宋" w:eastAsia="仿宋" w:cs="仿宋"/>
          <w:b/>
          <w:bCs/>
          <w:color w:val="auto"/>
          <w:kern w:val="0"/>
          <w:sz w:val="21"/>
          <w:szCs w:val="21"/>
          <w:highlight w:val="none"/>
        </w:rPr>
        <w:t>18.1 工程保险</w:t>
      </w:r>
      <w:bookmarkEnd w:id="1896"/>
      <w:bookmarkEnd w:id="1897"/>
    </w:p>
    <w:p w14:paraId="6F647DE7">
      <w:pPr>
        <w:spacing w:line="440" w:lineRule="exact"/>
        <w:ind w:right="140" w:rightChars="50"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关于工程保险的特别约定：发包人应投保</w:t>
      </w:r>
      <w:r>
        <w:rPr>
          <w:rFonts w:hint="eastAsia" w:ascii="仿宋" w:hAnsi="仿宋" w:eastAsia="仿宋" w:cs="仿宋"/>
          <w:color w:val="auto"/>
          <w:sz w:val="21"/>
          <w:szCs w:val="21"/>
          <w:highlight w:val="none"/>
          <w:u w:val="single"/>
        </w:rPr>
        <w:t>建筑工程一切险或安装工程一切险</w:t>
      </w:r>
      <w:r>
        <w:rPr>
          <w:rFonts w:hint="eastAsia" w:ascii="仿宋" w:hAnsi="仿宋" w:eastAsia="仿宋" w:cs="仿宋"/>
          <w:color w:val="auto"/>
          <w:sz w:val="21"/>
          <w:szCs w:val="21"/>
          <w:highlight w:val="none"/>
        </w:rPr>
        <w:t>；发包人委托承包人投保的，因投保产生的保险费和其他相关费用由发包人承担。</w:t>
      </w:r>
    </w:p>
    <w:p w14:paraId="7D3EEAB8">
      <w:pPr>
        <w:widowControl/>
        <w:spacing w:line="440" w:lineRule="exact"/>
        <w:ind w:firstLine="422" w:firstLineChars="200"/>
        <w:jc w:val="left"/>
        <w:outlineLvl w:val="4"/>
        <w:rPr>
          <w:rFonts w:hint="eastAsia" w:ascii="仿宋" w:hAnsi="仿宋" w:eastAsia="仿宋" w:cs="仿宋"/>
          <w:b/>
          <w:bCs/>
          <w:color w:val="auto"/>
          <w:kern w:val="0"/>
          <w:sz w:val="21"/>
          <w:szCs w:val="21"/>
          <w:highlight w:val="none"/>
        </w:rPr>
      </w:pPr>
      <w:bookmarkStart w:id="1898" w:name="_Toc532377410"/>
      <w:bookmarkStart w:id="1899" w:name="_Toc532375671"/>
      <w:r>
        <w:rPr>
          <w:rFonts w:hint="eastAsia" w:ascii="仿宋" w:hAnsi="仿宋" w:eastAsia="仿宋" w:cs="仿宋"/>
          <w:b/>
          <w:bCs/>
          <w:color w:val="auto"/>
          <w:kern w:val="0"/>
          <w:sz w:val="21"/>
          <w:szCs w:val="21"/>
          <w:highlight w:val="none"/>
        </w:rPr>
        <w:t>18.3 其他保险</w:t>
      </w:r>
      <w:bookmarkEnd w:id="1898"/>
      <w:bookmarkEnd w:id="1899"/>
    </w:p>
    <w:p w14:paraId="71BFA155">
      <w:pPr>
        <w:spacing w:line="440" w:lineRule="exact"/>
        <w:ind w:right="140" w:rightChars="50"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关于其他保险的约定：</w:t>
      </w:r>
      <w:r>
        <w:rPr>
          <w:rFonts w:hint="eastAsia" w:ascii="仿宋" w:hAnsi="仿宋" w:eastAsia="仿宋" w:cs="仿宋"/>
          <w:color w:val="auto"/>
          <w:sz w:val="21"/>
          <w:szCs w:val="21"/>
          <w:highlight w:val="none"/>
          <w:u w:val="single"/>
        </w:rPr>
        <w:t xml:space="preserve">    /    </w:t>
      </w:r>
      <w:r>
        <w:rPr>
          <w:rFonts w:hint="eastAsia" w:ascii="仿宋" w:hAnsi="仿宋" w:eastAsia="仿宋" w:cs="仿宋"/>
          <w:color w:val="auto"/>
          <w:sz w:val="21"/>
          <w:szCs w:val="21"/>
          <w:highlight w:val="none"/>
        </w:rPr>
        <w:t>。</w:t>
      </w:r>
    </w:p>
    <w:p w14:paraId="5F9D29E5">
      <w:pPr>
        <w:spacing w:line="440" w:lineRule="exact"/>
        <w:ind w:right="140" w:rightChars="50"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承包人是否应为其施工设备等办理财产保险：</w:t>
      </w:r>
      <w:r>
        <w:rPr>
          <w:rFonts w:hint="eastAsia" w:ascii="仿宋" w:hAnsi="仿宋" w:eastAsia="仿宋" w:cs="仿宋"/>
          <w:color w:val="auto"/>
          <w:sz w:val="21"/>
          <w:szCs w:val="21"/>
          <w:highlight w:val="none"/>
          <w:u w:val="single"/>
        </w:rPr>
        <w:t xml:space="preserve">    /    </w:t>
      </w:r>
      <w:r>
        <w:rPr>
          <w:rFonts w:hint="eastAsia" w:ascii="仿宋" w:hAnsi="仿宋" w:eastAsia="仿宋" w:cs="仿宋"/>
          <w:color w:val="auto"/>
          <w:sz w:val="21"/>
          <w:szCs w:val="21"/>
          <w:highlight w:val="none"/>
        </w:rPr>
        <w:t>。</w:t>
      </w:r>
    </w:p>
    <w:p w14:paraId="2B5D2550">
      <w:pPr>
        <w:spacing w:line="440" w:lineRule="exact"/>
        <w:ind w:right="140" w:rightChars="50"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安全生产责任险：</w:t>
      </w:r>
      <w:r>
        <w:rPr>
          <w:rFonts w:hint="eastAsia" w:ascii="仿宋" w:hAnsi="仿宋" w:eastAsia="仿宋" w:cs="仿宋"/>
          <w:color w:val="auto"/>
          <w:sz w:val="21"/>
          <w:szCs w:val="21"/>
          <w:highlight w:val="none"/>
          <w:u w:val="single"/>
        </w:rPr>
        <w:t>承包人应按《重庆市人民政府办公厅关于在高危行业领域强制推行安全生产责任保险的实施意见》（渝府办法〔2017〕182号）的要求办理安全生产责任保险</w:t>
      </w:r>
      <w:r>
        <w:rPr>
          <w:rFonts w:hint="eastAsia" w:ascii="仿宋" w:hAnsi="仿宋" w:eastAsia="仿宋" w:cs="仿宋"/>
          <w:color w:val="auto"/>
          <w:sz w:val="21"/>
          <w:szCs w:val="21"/>
          <w:highlight w:val="none"/>
        </w:rPr>
        <w:t>。</w:t>
      </w:r>
    </w:p>
    <w:p w14:paraId="2F6D2FDA">
      <w:pPr>
        <w:widowControl/>
        <w:spacing w:line="440" w:lineRule="exact"/>
        <w:ind w:firstLine="422" w:firstLineChars="200"/>
        <w:jc w:val="left"/>
        <w:outlineLvl w:val="4"/>
        <w:rPr>
          <w:rFonts w:hint="eastAsia" w:ascii="仿宋" w:hAnsi="仿宋" w:eastAsia="仿宋" w:cs="仿宋"/>
          <w:b/>
          <w:bCs/>
          <w:color w:val="auto"/>
          <w:kern w:val="0"/>
          <w:sz w:val="21"/>
          <w:szCs w:val="21"/>
          <w:highlight w:val="none"/>
        </w:rPr>
      </w:pPr>
      <w:bookmarkStart w:id="1900" w:name="_Toc532375672"/>
      <w:bookmarkStart w:id="1901" w:name="_Toc532377411"/>
      <w:r>
        <w:rPr>
          <w:rFonts w:hint="eastAsia" w:ascii="仿宋" w:hAnsi="仿宋" w:eastAsia="仿宋" w:cs="仿宋"/>
          <w:b/>
          <w:bCs/>
          <w:color w:val="auto"/>
          <w:kern w:val="0"/>
          <w:sz w:val="21"/>
          <w:szCs w:val="21"/>
          <w:highlight w:val="none"/>
        </w:rPr>
        <w:t>18.7 通知义务</w:t>
      </w:r>
      <w:bookmarkEnd w:id="1900"/>
      <w:bookmarkEnd w:id="1901"/>
    </w:p>
    <w:p w14:paraId="0AD1841B">
      <w:pPr>
        <w:spacing w:line="440" w:lineRule="exact"/>
        <w:ind w:right="140" w:rightChars="50"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关于变更保险合同时的通知义务的约定：</w:t>
      </w:r>
      <w:r>
        <w:rPr>
          <w:rFonts w:hint="eastAsia" w:ascii="仿宋" w:hAnsi="仿宋" w:eastAsia="仿宋" w:cs="仿宋"/>
          <w:color w:val="auto"/>
          <w:sz w:val="21"/>
          <w:szCs w:val="21"/>
          <w:highlight w:val="none"/>
          <w:u w:val="single"/>
        </w:rPr>
        <w:t>按通用合同条款执行</w:t>
      </w:r>
      <w:r>
        <w:rPr>
          <w:rFonts w:hint="eastAsia" w:ascii="仿宋" w:hAnsi="仿宋" w:eastAsia="仿宋" w:cs="仿宋"/>
          <w:color w:val="auto"/>
          <w:sz w:val="21"/>
          <w:szCs w:val="21"/>
          <w:highlight w:val="none"/>
        </w:rPr>
        <w:t>。</w:t>
      </w:r>
    </w:p>
    <w:p w14:paraId="22C5C558">
      <w:pPr>
        <w:widowControl/>
        <w:spacing w:line="440" w:lineRule="exact"/>
        <w:ind w:firstLine="422" w:firstLineChars="200"/>
        <w:jc w:val="left"/>
        <w:outlineLvl w:val="4"/>
        <w:rPr>
          <w:rFonts w:hint="eastAsia" w:ascii="仿宋" w:hAnsi="仿宋" w:eastAsia="仿宋" w:cs="仿宋"/>
          <w:b/>
          <w:bCs/>
          <w:color w:val="auto"/>
          <w:kern w:val="0"/>
          <w:sz w:val="21"/>
          <w:szCs w:val="21"/>
          <w:highlight w:val="none"/>
        </w:rPr>
      </w:pPr>
      <w:bookmarkStart w:id="1902" w:name="_Toc532375673"/>
      <w:bookmarkStart w:id="1903" w:name="_Toc532377412"/>
      <w:r>
        <w:rPr>
          <w:rFonts w:hint="eastAsia" w:ascii="仿宋" w:hAnsi="仿宋" w:eastAsia="仿宋" w:cs="仿宋"/>
          <w:b/>
          <w:bCs/>
          <w:color w:val="auto"/>
          <w:kern w:val="0"/>
          <w:sz w:val="21"/>
          <w:szCs w:val="21"/>
          <w:highlight w:val="none"/>
        </w:rPr>
        <w:t>18.8 其他</w:t>
      </w:r>
      <w:bookmarkEnd w:id="1902"/>
      <w:bookmarkEnd w:id="1903"/>
    </w:p>
    <w:p w14:paraId="18308A07">
      <w:pPr>
        <w:spacing w:line="440" w:lineRule="exact"/>
        <w:ind w:right="140" w:rightChars="50"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18.8.1 工程开工日前，承包人向发包人提交各项生效的保险证据和保险单副本。未按本项约定提交的，每延后1天，承包人按500元/天支付违约金。</w:t>
      </w:r>
    </w:p>
    <w:p w14:paraId="192BE5D8">
      <w:pPr>
        <w:spacing w:line="440" w:lineRule="exact"/>
        <w:ind w:right="140" w:rightChars="50"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18.8.2 承包人保险赔偿金不足以补偿发包人损失时，</w:t>
      </w:r>
      <w:bookmarkStart w:id="1904" w:name="_Hlk524378346"/>
      <w:r>
        <w:rPr>
          <w:rFonts w:hint="eastAsia" w:ascii="仿宋" w:hAnsi="仿宋" w:eastAsia="仿宋" w:cs="仿宋"/>
          <w:color w:val="auto"/>
          <w:sz w:val="21"/>
          <w:szCs w:val="21"/>
          <w:highlight w:val="none"/>
        </w:rPr>
        <w:t>差额由承包人负责补足</w:t>
      </w:r>
      <w:bookmarkEnd w:id="1904"/>
      <w:r>
        <w:rPr>
          <w:rFonts w:hint="eastAsia" w:ascii="仿宋" w:hAnsi="仿宋" w:eastAsia="仿宋" w:cs="仿宋"/>
          <w:color w:val="auto"/>
          <w:sz w:val="21"/>
          <w:szCs w:val="21"/>
          <w:highlight w:val="none"/>
        </w:rPr>
        <w:t>。</w:t>
      </w:r>
    </w:p>
    <w:p w14:paraId="441D44E5">
      <w:pPr>
        <w:keepNext/>
        <w:keepLines/>
        <w:widowControl/>
        <w:spacing w:before="120" w:beforeLines="50" w:after="120" w:afterLines="50" w:line="440" w:lineRule="exact"/>
        <w:outlineLvl w:val="3"/>
        <w:rPr>
          <w:rFonts w:hint="eastAsia" w:ascii="仿宋" w:hAnsi="仿宋" w:eastAsia="仿宋" w:cs="仿宋"/>
          <w:b/>
          <w:color w:val="auto"/>
          <w:sz w:val="21"/>
          <w:szCs w:val="21"/>
          <w:highlight w:val="none"/>
        </w:rPr>
      </w:pPr>
      <w:bookmarkStart w:id="1905" w:name="_Toc532375674"/>
      <w:bookmarkStart w:id="1906" w:name="_Toc351203620"/>
      <w:bookmarkStart w:id="1907" w:name="_Toc532377413"/>
      <w:bookmarkStart w:id="1908" w:name="_Toc296346641"/>
      <w:bookmarkStart w:id="1909" w:name="_Toc296503140"/>
      <w:bookmarkStart w:id="1910" w:name="_Toc337558835"/>
      <w:r>
        <w:rPr>
          <w:rFonts w:hint="eastAsia" w:ascii="仿宋" w:hAnsi="仿宋" w:eastAsia="仿宋" w:cs="仿宋"/>
          <w:b/>
          <w:bCs/>
          <w:color w:val="auto"/>
          <w:sz w:val="21"/>
          <w:szCs w:val="21"/>
          <w:highlight w:val="none"/>
        </w:rPr>
        <w:t>19. 索赔</w:t>
      </w:r>
      <w:bookmarkEnd w:id="1905"/>
      <w:bookmarkEnd w:id="1906"/>
      <w:bookmarkEnd w:id="1907"/>
    </w:p>
    <w:bookmarkEnd w:id="1908"/>
    <w:bookmarkEnd w:id="1909"/>
    <w:bookmarkEnd w:id="1910"/>
    <w:p w14:paraId="31E8CC3A">
      <w:pPr>
        <w:widowControl/>
        <w:spacing w:line="440" w:lineRule="exact"/>
        <w:ind w:firstLine="422" w:firstLineChars="200"/>
        <w:jc w:val="left"/>
        <w:outlineLvl w:val="4"/>
        <w:rPr>
          <w:rFonts w:hint="eastAsia" w:ascii="仿宋" w:hAnsi="仿宋" w:eastAsia="仿宋" w:cs="仿宋"/>
          <w:b/>
          <w:bCs/>
          <w:color w:val="auto"/>
          <w:kern w:val="0"/>
          <w:sz w:val="21"/>
          <w:szCs w:val="21"/>
          <w:highlight w:val="none"/>
        </w:rPr>
      </w:pPr>
      <w:bookmarkStart w:id="1911" w:name="_Toc532375675"/>
      <w:bookmarkStart w:id="1912" w:name="_Toc532377414"/>
      <w:bookmarkStart w:id="1913" w:name="_Toc351203621"/>
      <w:bookmarkStart w:id="1914" w:name="_Toc296503141"/>
      <w:bookmarkStart w:id="1915" w:name="_Toc337558836"/>
      <w:bookmarkStart w:id="1916" w:name="_Toc296346642"/>
      <w:r>
        <w:rPr>
          <w:rFonts w:hint="eastAsia" w:ascii="仿宋" w:hAnsi="仿宋" w:eastAsia="仿宋" w:cs="仿宋"/>
          <w:b/>
          <w:bCs/>
          <w:color w:val="auto"/>
          <w:kern w:val="0"/>
          <w:sz w:val="21"/>
          <w:szCs w:val="21"/>
          <w:highlight w:val="none"/>
        </w:rPr>
        <w:t>19.1 承包人的索赔</w:t>
      </w:r>
      <w:bookmarkEnd w:id="1911"/>
      <w:bookmarkEnd w:id="1912"/>
    </w:p>
    <w:p w14:paraId="4AEF880A">
      <w:pPr>
        <w:autoSpaceDE w:val="0"/>
        <w:autoSpaceDN w:val="0"/>
        <w:spacing w:line="440" w:lineRule="exact"/>
        <w:ind w:right="140" w:rightChars="50"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根据合同约定，承包人认为有权得到追加付款和（或）延长工期的，应按以下程序向发包人提出索赔：</w:t>
      </w:r>
    </w:p>
    <w:p w14:paraId="6242BF99">
      <w:pPr>
        <w:autoSpaceDE w:val="0"/>
        <w:autoSpaceDN w:val="0"/>
        <w:spacing w:line="440" w:lineRule="exact"/>
        <w:ind w:right="140" w:rightChars="50"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（1）承包人应在索赔事件发生后28天内，向监理人递交索赔意向通知书，并说明发生索赔事件的事由；承包人未在前述28天内发出索赔意向通知书的，丧失要求追加付款和（或）延长工期的权利；</w:t>
      </w:r>
    </w:p>
    <w:p w14:paraId="35BD33DD">
      <w:pPr>
        <w:autoSpaceDE w:val="0"/>
        <w:autoSpaceDN w:val="0"/>
        <w:spacing w:line="440" w:lineRule="exact"/>
        <w:ind w:right="140" w:rightChars="50"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（2）承包人应在发出索赔意向通知书后28天内，向监理人正式递交索赔报告；索赔报告应详细说明索赔理由以及要求追加的付款金额和（或）延长的工期，并附必要的记录和证明材料；</w:t>
      </w:r>
    </w:p>
    <w:p w14:paraId="367B729D">
      <w:pPr>
        <w:autoSpaceDE w:val="0"/>
        <w:autoSpaceDN w:val="0"/>
        <w:spacing w:line="440" w:lineRule="exact"/>
        <w:ind w:right="140" w:rightChars="50"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（3）索赔事件具有持续影响的，承包人应按监理人要求的合理时间间隔继续递交延续索赔通知，说明持续影响的实际情况和记录，列出累计的追加付款金额和（或）工期延长天数；</w:t>
      </w:r>
    </w:p>
    <w:p w14:paraId="38E8B5E5">
      <w:pPr>
        <w:autoSpaceDE w:val="0"/>
        <w:autoSpaceDN w:val="0"/>
        <w:spacing w:line="440" w:lineRule="exact"/>
        <w:ind w:right="140" w:rightChars="50"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（4）在索赔事件影响结束后28天内，承包人应向监理人递交最终索赔报告，说明最终要求索赔的追加付款金额和（或）延长的工期，并附必要的记录和证明材料。</w:t>
      </w:r>
    </w:p>
    <w:p w14:paraId="5296E942">
      <w:pPr>
        <w:autoSpaceDE w:val="0"/>
        <w:autoSpaceDN w:val="0"/>
        <w:spacing w:line="440" w:lineRule="exact"/>
        <w:ind w:right="140" w:rightChars="50"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（5）</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w:t>
      </w:r>
    </w:p>
    <w:p w14:paraId="027F655E">
      <w:pPr>
        <w:widowControl/>
        <w:spacing w:line="440" w:lineRule="exact"/>
        <w:ind w:firstLine="422" w:firstLineChars="200"/>
        <w:jc w:val="left"/>
        <w:outlineLvl w:val="4"/>
        <w:rPr>
          <w:rFonts w:hint="eastAsia" w:ascii="仿宋" w:hAnsi="仿宋" w:eastAsia="仿宋" w:cs="仿宋"/>
          <w:b/>
          <w:bCs/>
          <w:color w:val="auto"/>
          <w:kern w:val="0"/>
          <w:sz w:val="21"/>
          <w:szCs w:val="21"/>
          <w:highlight w:val="none"/>
        </w:rPr>
      </w:pPr>
      <w:bookmarkStart w:id="1917" w:name="_Toc532375676"/>
      <w:bookmarkStart w:id="1918" w:name="_Toc532377415"/>
      <w:r>
        <w:rPr>
          <w:rFonts w:hint="eastAsia" w:ascii="仿宋" w:hAnsi="仿宋" w:eastAsia="仿宋" w:cs="仿宋"/>
          <w:b/>
          <w:bCs/>
          <w:color w:val="auto"/>
          <w:kern w:val="0"/>
          <w:sz w:val="21"/>
          <w:szCs w:val="21"/>
          <w:highlight w:val="none"/>
        </w:rPr>
        <w:t>19.2 对承包人索赔的处理</w:t>
      </w:r>
      <w:bookmarkEnd w:id="1917"/>
      <w:bookmarkEnd w:id="1918"/>
    </w:p>
    <w:p w14:paraId="6C607933">
      <w:pPr>
        <w:autoSpaceDE w:val="0"/>
        <w:autoSpaceDN w:val="0"/>
        <w:spacing w:line="440" w:lineRule="exact"/>
        <w:ind w:right="140" w:rightChars="50"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对承包人索赔的处理如下：</w:t>
      </w:r>
    </w:p>
    <w:p w14:paraId="4C168042">
      <w:pPr>
        <w:autoSpaceDE w:val="0"/>
        <w:autoSpaceDN w:val="0"/>
        <w:spacing w:line="440" w:lineRule="exact"/>
        <w:ind w:right="140" w:rightChars="50" w:firstLine="420" w:firstLineChars="200"/>
        <w:jc w:val="left"/>
        <w:rPr>
          <w:rFonts w:hint="eastAsia" w:ascii="仿宋" w:hAnsi="仿宋" w:eastAsia="仿宋" w:cs="仿宋"/>
          <w:color w:val="auto"/>
          <w:sz w:val="21"/>
          <w:szCs w:val="21"/>
          <w:highlight w:val="none"/>
          <w:u w:val="single"/>
        </w:rPr>
      </w:pPr>
      <w:r>
        <w:rPr>
          <w:rFonts w:hint="eastAsia" w:ascii="仿宋" w:hAnsi="仿宋" w:eastAsia="仿宋" w:cs="仿宋"/>
          <w:color w:val="auto"/>
          <w:sz w:val="21"/>
          <w:szCs w:val="21"/>
          <w:highlight w:val="none"/>
          <w:u w:val="single"/>
        </w:rPr>
        <w:t>（1）监理人应在收到索赔报告后14天内完成审查并报送发包人。监理人对索赔报告存在异议的，有权要求承包人提交全部原始记录副本</w:t>
      </w:r>
      <w:r>
        <w:rPr>
          <w:rFonts w:hint="eastAsia" w:ascii="仿宋" w:hAnsi="仿宋" w:eastAsia="仿宋" w:cs="仿宋"/>
          <w:color w:val="auto"/>
          <w:sz w:val="21"/>
          <w:szCs w:val="21"/>
          <w:highlight w:val="none"/>
        </w:rPr>
        <w:t>；</w:t>
      </w:r>
    </w:p>
    <w:p w14:paraId="16432F95">
      <w:pPr>
        <w:autoSpaceDE w:val="0"/>
        <w:autoSpaceDN w:val="0"/>
        <w:spacing w:line="440" w:lineRule="exact"/>
        <w:ind w:right="140" w:rightChars="50" w:firstLine="420" w:firstLineChars="200"/>
        <w:jc w:val="left"/>
        <w:rPr>
          <w:rFonts w:hint="eastAsia" w:ascii="仿宋" w:hAnsi="仿宋" w:eastAsia="仿宋" w:cs="仿宋"/>
          <w:color w:val="auto"/>
          <w:sz w:val="21"/>
          <w:szCs w:val="21"/>
          <w:highlight w:val="none"/>
          <w:u w:val="single"/>
        </w:rPr>
      </w:pPr>
      <w:r>
        <w:rPr>
          <w:rFonts w:hint="eastAsia" w:ascii="仿宋" w:hAnsi="仿宋" w:eastAsia="仿宋" w:cs="仿宋"/>
          <w:color w:val="auto"/>
          <w:sz w:val="21"/>
          <w:szCs w:val="21"/>
          <w:highlight w:val="none"/>
          <w:u w:val="single"/>
        </w:rPr>
        <w:t>（2）发包人应在监理人收到索赔报告或有关索赔的进一步证明材料后的28天内，由监理人向承包人出具经发包人签认的索赔处理结果。发包人逾期未答复的，承包人应以书面形式催告发包人，经承包人三次（每次间隔不少于3天）书面催告后，发包人仍未按期限答复的，则视为认可承包人的索赔要求</w:t>
      </w:r>
      <w:r>
        <w:rPr>
          <w:rFonts w:hint="eastAsia" w:ascii="仿宋" w:hAnsi="仿宋" w:eastAsia="仿宋" w:cs="仿宋"/>
          <w:color w:val="auto"/>
          <w:sz w:val="21"/>
          <w:szCs w:val="21"/>
          <w:highlight w:val="none"/>
        </w:rPr>
        <w:t>；</w:t>
      </w:r>
    </w:p>
    <w:p w14:paraId="2A85252C">
      <w:pPr>
        <w:autoSpaceDE w:val="0"/>
        <w:autoSpaceDN w:val="0"/>
        <w:spacing w:line="440" w:lineRule="exact"/>
        <w:ind w:right="140" w:rightChars="50" w:firstLine="420" w:firstLineChars="200"/>
        <w:jc w:val="left"/>
        <w:rPr>
          <w:rFonts w:hint="eastAsia" w:ascii="仿宋" w:hAnsi="仿宋" w:eastAsia="仿宋" w:cs="仿宋"/>
          <w:color w:val="auto"/>
          <w:sz w:val="21"/>
          <w:szCs w:val="21"/>
          <w:highlight w:val="none"/>
          <w:u w:val="single"/>
        </w:rPr>
      </w:pPr>
      <w:r>
        <w:rPr>
          <w:rFonts w:hint="eastAsia" w:ascii="仿宋" w:hAnsi="仿宋" w:eastAsia="仿宋" w:cs="仿宋"/>
          <w:color w:val="auto"/>
          <w:sz w:val="21"/>
          <w:szCs w:val="21"/>
          <w:highlight w:val="none"/>
          <w:u w:val="single"/>
        </w:rPr>
        <w:t>（3）承包人接受索赔处理结果的，索赔款项在当期进度款中进行支付；承包人不接受索赔处理结果的，按照第20条〔争议解决〕约定处理</w:t>
      </w:r>
      <w:r>
        <w:rPr>
          <w:rFonts w:hint="eastAsia" w:ascii="仿宋" w:hAnsi="仿宋" w:eastAsia="仿宋" w:cs="仿宋"/>
          <w:color w:val="auto"/>
          <w:sz w:val="21"/>
          <w:szCs w:val="21"/>
          <w:highlight w:val="none"/>
        </w:rPr>
        <w:t>；</w:t>
      </w:r>
    </w:p>
    <w:p w14:paraId="50EFCBBF">
      <w:pPr>
        <w:autoSpaceDE w:val="0"/>
        <w:autoSpaceDN w:val="0"/>
        <w:spacing w:line="440" w:lineRule="exact"/>
        <w:ind w:right="140" w:rightChars="50" w:firstLine="420" w:firstLineChars="200"/>
        <w:jc w:val="left"/>
        <w:rPr>
          <w:rFonts w:hint="eastAsia" w:ascii="仿宋" w:hAnsi="仿宋" w:eastAsia="仿宋" w:cs="仿宋"/>
          <w:color w:val="auto"/>
          <w:sz w:val="21"/>
          <w:szCs w:val="21"/>
          <w:highlight w:val="none"/>
          <w:u w:val="single"/>
        </w:rPr>
      </w:pPr>
      <w:r>
        <w:rPr>
          <w:rFonts w:hint="eastAsia" w:ascii="仿宋" w:hAnsi="仿宋" w:eastAsia="仿宋" w:cs="仿宋"/>
          <w:color w:val="auto"/>
          <w:sz w:val="21"/>
          <w:szCs w:val="21"/>
          <w:highlight w:val="none"/>
          <w:u w:val="single"/>
        </w:rPr>
        <w:t>（4）工期延误的关键线路按照经监理人、发包人审批同意的施工组织设计计算</w:t>
      </w:r>
      <w:r>
        <w:rPr>
          <w:rFonts w:hint="eastAsia" w:ascii="仿宋" w:hAnsi="仿宋" w:eastAsia="仿宋" w:cs="仿宋"/>
          <w:color w:val="auto"/>
          <w:sz w:val="21"/>
          <w:szCs w:val="21"/>
          <w:highlight w:val="none"/>
        </w:rPr>
        <w:t>。</w:t>
      </w:r>
    </w:p>
    <w:p w14:paraId="1A683229">
      <w:pPr>
        <w:widowControl/>
        <w:spacing w:line="440" w:lineRule="exact"/>
        <w:ind w:firstLine="422" w:firstLineChars="200"/>
        <w:jc w:val="left"/>
        <w:outlineLvl w:val="4"/>
        <w:rPr>
          <w:rFonts w:hint="eastAsia" w:ascii="仿宋" w:hAnsi="仿宋" w:eastAsia="仿宋" w:cs="仿宋"/>
          <w:b/>
          <w:bCs/>
          <w:color w:val="auto"/>
          <w:kern w:val="0"/>
          <w:sz w:val="21"/>
          <w:szCs w:val="21"/>
          <w:highlight w:val="none"/>
        </w:rPr>
      </w:pPr>
      <w:bookmarkStart w:id="1919" w:name="_Toc532375677"/>
      <w:bookmarkStart w:id="1920" w:name="_Toc532377416"/>
      <w:r>
        <w:rPr>
          <w:rFonts w:hint="eastAsia" w:ascii="仿宋" w:hAnsi="仿宋" w:eastAsia="仿宋" w:cs="仿宋"/>
          <w:b/>
          <w:bCs/>
          <w:color w:val="auto"/>
          <w:kern w:val="0"/>
          <w:sz w:val="21"/>
          <w:szCs w:val="21"/>
          <w:highlight w:val="none"/>
        </w:rPr>
        <w:t>19.3发包人的索赔</w:t>
      </w:r>
      <w:bookmarkEnd w:id="1919"/>
      <w:bookmarkEnd w:id="1920"/>
    </w:p>
    <w:p w14:paraId="2A590538">
      <w:pPr>
        <w:autoSpaceDE w:val="0"/>
        <w:autoSpaceDN w:val="0"/>
        <w:spacing w:line="440" w:lineRule="exact"/>
        <w:ind w:right="140" w:rightChars="50"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根据合同约定，发包人认为有权得到赔付金额和（或）延长缺陷责任期的，监理人应向承包人发出通知并附有详细的证明。</w:t>
      </w:r>
    </w:p>
    <w:p w14:paraId="342A0345">
      <w:pPr>
        <w:autoSpaceDE w:val="0"/>
        <w:autoSpaceDN w:val="0"/>
        <w:spacing w:line="440" w:lineRule="exact"/>
        <w:ind w:right="140" w:rightChars="50" w:firstLine="420" w:firstLineChars="200"/>
        <w:jc w:val="left"/>
        <w:rPr>
          <w:rFonts w:hint="eastAsia" w:ascii="仿宋" w:hAnsi="仿宋" w:eastAsia="仿宋" w:cs="仿宋"/>
          <w:color w:val="auto"/>
          <w:sz w:val="21"/>
          <w:szCs w:val="21"/>
          <w:highlight w:val="none"/>
          <w:u w:val="single"/>
        </w:rPr>
      </w:pPr>
      <w:r>
        <w:rPr>
          <w:rFonts w:hint="eastAsia" w:ascii="仿宋" w:hAnsi="仿宋" w:eastAsia="仿宋" w:cs="仿宋"/>
          <w:color w:val="auto"/>
          <w:sz w:val="21"/>
          <w:szCs w:val="21"/>
          <w:highlight w:val="none"/>
        </w:rPr>
        <w:t>发包人应在索赔事件发生后28天内通过监理人向承包人提出索赔意向通知书，发包人未在前述28天内发出索赔意向通知书的，丧失要求赔付金额和（或）延长缺陷责任期的权利。发包人应在发出索赔意向通知书后28天内，通过监理人向承包人正式递交索赔报告；索赔事件具有持续影响的，发包人应在索赔事件影响结束后28天内，</w:t>
      </w:r>
      <w:bookmarkStart w:id="1921" w:name="_Hlk528652769"/>
      <w:r>
        <w:rPr>
          <w:rFonts w:hint="eastAsia" w:ascii="仿宋" w:hAnsi="仿宋" w:eastAsia="仿宋" w:cs="仿宋"/>
          <w:color w:val="auto"/>
          <w:sz w:val="21"/>
          <w:szCs w:val="21"/>
          <w:highlight w:val="none"/>
        </w:rPr>
        <w:t>通过监理人向承包人正式递交最终索赔报告</w:t>
      </w:r>
      <w:bookmarkEnd w:id="1921"/>
      <w:r>
        <w:rPr>
          <w:rFonts w:hint="eastAsia" w:ascii="仿宋" w:hAnsi="仿宋" w:eastAsia="仿宋" w:cs="仿宋"/>
          <w:color w:val="auto"/>
          <w:sz w:val="21"/>
          <w:szCs w:val="21"/>
          <w:highlight w:val="none"/>
        </w:rPr>
        <w:t>。</w:t>
      </w:r>
    </w:p>
    <w:p w14:paraId="4ACC444F">
      <w:pPr>
        <w:widowControl/>
        <w:spacing w:line="440" w:lineRule="exact"/>
        <w:ind w:firstLine="422" w:firstLineChars="200"/>
        <w:jc w:val="left"/>
        <w:outlineLvl w:val="4"/>
        <w:rPr>
          <w:rFonts w:hint="eastAsia" w:ascii="仿宋" w:hAnsi="仿宋" w:eastAsia="仿宋" w:cs="仿宋"/>
          <w:b/>
          <w:bCs/>
          <w:color w:val="auto"/>
          <w:kern w:val="0"/>
          <w:sz w:val="21"/>
          <w:szCs w:val="21"/>
          <w:highlight w:val="none"/>
        </w:rPr>
      </w:pPr>
      <w:bookmarkStart w:id="1922" w:name="_Toc532375678"/>
      <w:bookmarkStart w:id="1923" w:name="_Toc532377417"/>
      <w:r>
        <w:rPr>
          <w:rFonts w:hint="eastAsia" w:ascii="仿宋" w:hAnsi="仿宋" w:eastAsia="仿宋" w:cs="仿宋"/>
          <w:b/>
          <w:bCs/>
          <w:color w:val="auto"/>
          <w:kern w:val="0"/>
          <w:sz w:val="21"/>
          <w:szCs w:val="21"/>
          <w:highlight w:val="none"/>
        </w:rPr>
        <w:t>19.4 对发包人索赔的处理</w:t>
      </w:r>
      <w:bookmarkEnd w:id="1922"/>
      <w:bookmarkEnd w:id="1923"/>
    </w:p>
    <w:p w14:paraId="1965672A">
      <w:pPr>
        <w:autoSpaceDE w:val="0"/>
        <w:autoSpaceDN w:val="0"/>
        <w:spacing w:line="440" w:lineRule="exact"/>
        <w:ind w:right="140" w:rightChars="50"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对发包人索赔的处理如下：</w:t>
      </w:r>
    </w:p>
    <w:p w14:paraId="62336F47">
      <w:pPr>
        <w:autoSpaceDE w:val="0"/>
        <w:autoSpaceDN w:val="0"/>
        <w:spacing w:line="440" w:lineRule="exact"/>
        <w:ind w:right="140" w:rightChars="50"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（1）承包人收到发包人提交的索赔报告后，应及时审查索赔报告的内容、查验发包人证明材料；</w:t>
      </w:r>
    </w:p>
    <w:p w14:paraId="6A40D965">
      <w:pPr>
        <w:autoSpaceDE w:val="0"/>
        <w:autoSpaceDN w:val="0"/>
        <w:spacing w:line="440" w:lineRule="exact"/>
        <w:ind w:right="140" w:rightChars="50"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承包人应在收到索赔报告或有关索赔的进一步证明材料后28天内，将索赔处理结果答复发包人。如果承包人未在上述期限内作出答复的，监理人应以书面形式催告承包人，经监理人三次书面催告后，承包人仍未按期限答复的，则视为对发包人索赔要求的认可；</w:t>
      </w:r>
    </w:p>
    <w:p w14:paraId="54E0F964">
      <w:pPr>
        <w:autoSpaceDE w:val="0"/>
        <w:autoSpaceDN w:val="0"/>
        <w:spacing w:line="440" w:lineRule="exact"/>
        <w:ind w:right="140" w:rightChars="50" w:firstLine="420" w:firstLineChars="200"/>
        <w:jc w:val="left"/>
        <w:rPr>
          <w:rFonts w:hint="eastAsia" w:ascii="仿宋" w:hAnsi="仿宋" w:eastAsia="仿宋" w:cs="仿宋"/>
          <w:color w:val="auto"/>
          <w:sz w:val="21"/>
          <w:szCs w:val="21"/>
          <w:highlight w:val="none"/>
          <w:u w:val="single"/>
        </w:rPr>
      </w:pPr>
      <w:r>
        <w:rPr>
          <w:rFonts w:hint="eastAsia" w:ascii="仿宋" w:hAnsi="仿宋" w:eastAsia="仿宋" w:cs="仿宋"/>
          <w:color w:val="auto"/>
          <w:sz w:val="21"/>
          <w:szCs w:val="21"/>
          <w:highlight w:val="none"/>
        </w:rPr>
        <w:t>（3）承包人接受索赔处理结果的，发包人可从应支付给承包人的合同价款中扣除赔付的金额或延长缺陷责任期；发包人不接受索赔处理结果的，按第20条〔争议解决〕约定处理。</w:t>
      </w:r>
    </w:p>
    <w:p w14:paraId="55CC5B47">
      <w:pPr>
        <w:widowControl/>
        <w:spacing w:line="440" w:lineRule="exact"/>
        <w:ind w:firstLine="422" w:firstLineChars="200"/>
        <w:jc w:val="left"/>
        <w:outlineLvl w:val="4"/>
        <w:rPr>
          <w:rFonts w:hint="eastAsia" w:ascii="仿宋" w:hAnsi="仿宋" w:eastAsia="仿宋" w:cs="仿宋"/>
          <w:b/>
          <w:bCs/>
          <w:color w:val="auto"/>
          <w:kern w:val="0"/>
          <w:sz w:val="21"/>
          <w:szCs w:val="21"/>
          <w:highlight w:val="none"/>
        </w:rPr>
      </w:pPr>
      <w:bookmarkStart w:id="1924" w:name="_Toc532377418"/>
      <w:bookmarkStart w:id="1925" w:name="_Toc532375679"/>
      <w:bookmarkStart w:id="1926" w:name="_Hlk528928420"/>
      <w:r>
        <w:rPr>
          <w:rFonts w:hint="eastAsia" w:ascii="仿宋" w:hAnsi="仿宋" w:eastAsia="仿宋" w:cs="仿宋"/>
          <w:b/>
          <w:bCs/>
          <w:color w:val="auto"/>
          <w:kern w:val="0"/>
          <w:sz w:val="21"/>
          <w:szCs w:val="21"/>
          <w:highlight w:val="none"/>
        </w:rPr>
        <w:t>19.5 提出索赔的期限</w:t>
      </w:r>
      <w:bookmarkEnd w:id="1924"/>
      <w:bookmarkEnd w:id="1925"/>
    </w:p>
    <w:p w14:paraId="1BD6867E">
      <w:pPr>
        <w:autoSpaceDE w:val="0"/>
        <w:autoSpaceDN w:val="0"/>
        <w:spacing w:line="440" w:lineRule="exact"/>
        <w:ind w:right="140" w:rightChars="50" w:firstLine="420" w:firstLineChars="200"/>
        <w:jc w:val="left"/>
        <w:rPr>
          <w:rFonts w:hint="eastAsia" w:ascii="仿宋" w:hAnsi="仿宋" w:eastAsia="仿宋" w:cs="仿宋"/>
          <w:color w:val="auto"/>
          <w:sz w:val="21"/>
          <w:szCs w:val="21"/>
          <w:highlight w:val="none"/>
        </w:rPr>
      </w:pPr>
      <w:bookmarkStart w:id="1927" w:name="_Hlk524298376"/>
      <w:r>
        <w:rPr>
          <w:rFonts w:hint="eastAsia" w:ascii="仿宋" w:hAnsi="仿宋" w:eastAsia="仿宋" w:cs="仿宋"/>
          <w:color w:val="auto"/>
          <w:sz w:val="21"/>
          <w:szCs w:val="21"/>
          <w:highlight w:val="none"/>
        </w:rPr>
        <w:t>任一索赔事件发生后28天内，承包人/发包人未向对方发出索赔意向通知书的，视为其已放弃索赔权，无权再就该索赔事项提出任何索赔。</w:t>
      </w:r>
    </w:p>
    <w:bookmarkEnd w:id="1913"/>
    <w:bookmarkEnd w:id="1914"/>
    <w:bookmarkEnd w:id="1915"/>
    <w:bookmarkEnd w:id="1916"/>
    <w:bookmarkEnd w:id="1926"/>
    <w:bookmarkEnd w:id="1927"/>
    <w:p w14:paraId="0FF23F22">
      <w:pPr>
        <w:keepNext/>
        <w:keepLines/>
        <w:widowControl/>
        <w:spacing w:before="120" w:beforeLines="50" w:after="120" w:afterLines="50" w:line="440" w:lineRule="exact"/>
        <w:outlineLvl w:val="3"/>
        <w:rPr>
          <w:rFonts w:hint="eastAsia" w:ascii="仿宋" w:hAnsi="仿宋" w:eastAsia="仿宋" w:cs="仿宋"/>
          <w:b/>
          <w:color w:val="auto"/>
          <w:sz w:val="21"/>
          <w:szCs w:val="21"/>
          <w:highlight w:val="none"/>
        </w:rPr>
      </w:pPr>
      <w:bookmarkStart w:id="1928" w:name="_Toc351203651"/>
      <w:bookmarkStart w:id="1929" w:name="_Toc532377419"/>
      <w:bookmarkStart w:id="1930" w:name="_Toc532375680"/>
      <w:r>
        <w:rPr>
          <w:rFonts w:hint="eastAsia" w:ascii="仿宋" w:hAnsi="仿宋" w:eastAsia="仿宋" w:cs="仿宋"/>
          <w:b/>
          <w:bCs/>
          <w:color w:val="auto"/>
          <w:sz w:val="21"/>
          <w:szCs w:val="21"/>
          <w:highlight w:val="none"/>
        </w:rPr>
        <w:t>20. 争议解决</w:t>
      </w:r>
      <w:bookmarkEnd w:id="1928"/>
      <w:bookmarkEnd w:id="1929"/>
      <w:bookmarkEnd w:id="1930"/>
    </w:p>
    <w:p w14:paraId="5B6CA709">
      <w:pPr>
        <w:widowControl/>
        <w:spacing w:line="440" w:lineRule="exact"/>
        <w:ind w:firstLine="422" w:firstLineChars="200"/>
        <w:jc w:val="left"/>
        <w:outlineLvl w:val="4"/>
        <w:rPr>
          <w:rFonts w:hint="eastAsia" w:ascii="仿宋" w:hAnsi="仿宋" w:eastAsia="仿宋" w:cs="仿宋"/>
          <w:b/>
          <w:bCs/>
          <w:color w:val="auto"/>
          <w:kern w:val="0"/>
          <w:sz w:val="21"/>
          <w:szCs w:val="21"/>
          <w:highlight w:val="none"/>
        </w:rPr>
      </w:pPr>
      <w:bookmarkStart w:id="1931" w:name="_Toc532377420"/>
      <w:bookmarkStart w:id="1932" w:name="_Toc532375681"/>
      <w:r>
        <w:rPr>
          <w:rFonts w:hint="eastAsia" w:ascii="仿宋" w:hAnsi="仿宋" w:eastAsia="仿宋" w:cs="仿宋"/>
          <w:b/>
          <w:bCs/>
          <w:color w:val="auto"/>
          <w:kern w:val="0"/>
          <w:sz w:val="21"/>
          <w:szCs w:val="21"/>
          <w:highlight w:val="none"/>
        </w:rPr>
        <w:t>20.3 争议评审</w:t>
      </w:r>
      <w:bookmarkEnd w:id="1931"/>
      <w:bookmarkEnd w:id="1932"/>
    </w:p>
    <w:p w14:paraId="7250DA22">
      <w:pPr>
        <w:spacing w:line="440" w:lineRule="exact"/>
        <w:ind w:right="140" w:rightChars="50"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合同当事人是否同意将工程争议提交争议评审小组决定：</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w:t>
      </w:r>
    </w:p>
    <w:p w14:paraId="22CD50B3">
      <w:pPr>
        <w:widowControl/>
        <w:spacing w:line="440" w:lineRule="exact"/>
        <w:ind w:firstLine="422" w:firstLineChars="200"/>
        <w:jc w:val="left"/>
        <w:outlineLvl w:val="4"/>
        <w:rPr>
          <w:rFonts w:hint="eastAsia" w:ascii="仿宋" w:hAnsi="仿宋" w:eastAsia="仿宋" w:cs="仿宋"/>
          <w:b/>
          <w:bCs/>
          <w:color w:val="auto"/>
          <w:kern w:val="0"/>
          <w:sz w:val="21"/>
          <w:szCs w:val="21"/>
          <w:highlight w:val="none"/>
        </w:rPr>
      </w:pPr>
      <w:bookmarkStart w:id="1933" w:name="_Toc532377421"/>
      <w:bookmarkStart w:id="1934" w:name="_Toc532375682"/>
      <w:r>
        <w:rPr>
          <w:rFonts w:hint="eastAsia" w:ascii="仿宋" w:hAnsi="仿宋" w:eastAsia="仿宋" w:cs="仿宋"/>
          <w:b/>
          <w:bCs/>
          <w:color w:val="auto"/>
          <w:kern w:val="0"/>
          <w:sz w:val="21"/>
          <w:szCs w:val="21"/>
          <w:highlight w:val="none"/>
        </w:rPr>
        <w:t>20.4 仲裁或诉讼</w:t>
      </w:r>
      <w:bookmarkEnd w:id="1933"/>
      <w:bookmarkEnd w:id="1934"/>
    </w:p>
    <w:p w14:paraId="399DB0BB">
      <w:pPr>
        <w:spacing w:line="440" w:lineRule="exact"/>
        <w:ind w:right="140" w:rightChars="50"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因合同及合同有关事项发生的争议，按下列第</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种方式解决：</w:t>
      </w:r>
    </w:p>
    <w:p w14:paraId="7191B745">
      <w:pPr>
        <w:spacing w:line="440" w:lineRule="exact"/>
        <w:ind w:right="140" w:rightChars="50"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（1）向</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仲裁委员会申请仲裁；</w:t>
      </w:r>
    </w:p>
    <w:p w14:paraId="7E30BAE3">
      <w:pPr>
        <w:spacing w:line="440" w:lineRule="exact"/>
        <w:ind w:right="140" w:rightChars="50"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（2）向</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人民法院起诉。</w:t>
      </w:r>
    </w:p>
    <w:p w14:paraId="2E7E9B2A">
      <w:pPr>
        <w:keepNext/>
        <w:keepLines/>
        <w:widowControl/>
        <w:spacing w:before="120" w:beforeLines="50" w:after="120" w:afterLines="50" w:line="440" w:lineRule="exact"/>
        <w:outlineLvl w:val="3"/>
        <w:rPr>
          <w:rFonts w:hint="eastAsia" w:ascii="仿宋" w:hAnsi="仿宋" w:eastAsia="仿宋" w:cs="仿宋"/>
          <w:b/>
          <w:color w:val="auto"/>
          <w:sz w:val="21"/>
          <w:szCs w:val="21"/>
          <w:highlight w:val="none"/>
        </w:rPr>
      </w:pPr>
      <w:bookmarkStart w:id="1935" w:name="_Toc532375683"/>
      <w:bookmarkStart w:id="1936" w:name="_Toc532377422"/>
      <w:r>
        <w:rPr>
          <w:rFonts w:hint="eastAsia" w:ascii="仿宋" w:hAnsi="仿宋" w:eastAsia="仿宋" w:cs="仿宋"/>
          <w:b/>
          <w:bCs/>
          <w:color w:val="auto"/>
          <w:sz w:val="21"/>
          <w:szCs w:val="21"/>
          <w:highlight w:val="none"/>
        </w:rPr>
        <w:t>21. 补充条款</w:t>
      </w:r>
      <w:bookmarkEnd w:id="1935"/>
      <w:bookmarkEnd w:id="1936"/>
    </w:p>
    <w:p w14:paraId="4A13681C">
      <w:pPr>
        <w:widowControl/>
        <w:spacing w:line="440" w:lineRule="exact"/>
        <w:ind w:firstLine="422" w:firstLineChars="200"/>
        <w:jc w:val="left"/>
        <w:outlineLvl w:val="4"/>
        <w:rPr>
          <w:rFonts w:hint="eastAsia" w:ascii="仿宋" w:hAnsi="仿宋" w:eastAsia="仿宋" w:cs="仿宋"/>
          <w:b/>
          <w:bCs/>
          <w:color w:val="auto"/>
          <w:kern w:val="0"/>
          <w:sz w:val="21"/>
          <w:szCs w:val="21"/>
          <w:highlight w:val="none"/>
        </w:rPr>
      </w:pPr>
      <w:bookmarkStart w:id="1937" w:name="_Toc532375684"/>
      <w:bookmarkStart w:id="1938" w:name="_Toc532377423"/>
      <w:r>
        <w:rPr>
          <w:rFonts w:hint="eastAsia" w:ascii="仿宋" w:hAnsi="仿宋" w:eastAsia="仿宋" w:cs="仿宋"/>
          <w:b/>
          <w:bCs/>
          <w:color w:val="auto"/>
          <w:kern w:val="0"/>
          <w:sz w:val="21"/>
          <w:szCs w:val="21"/>
          <w:highlight w:val="none"/>
        </w:rPr>
        <w:t>21.1 退出机制</w:t>
      </w:r>
      <w:bookmarkEnd w:id="1937"/>
      <w:bookmarkEnd w:id="1938"/>
    </w:p>
    <w:p w14:paraId="658DC972">
      <w:pPr>
        <w:spacing w:line="440" w:lineRule="exact"/>
        <w:ind w:right="140" w:rightChars="50"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21.1.1有下列情形之一的，发包人有权解除合同，亦有权兑付履约担保，并对承包人做清退出场处理</w:t>
      </w:r>
      <w:r>
        <w:rPr>
          <w:rFonts w:hint="eastAsia" w:ascii="仿宋" w:hAnsi="仿宋" w:eastAsia="仿宋" w:cs="仿宋"/>
          <w:color w:val="auto"/>
          <w:kern w:val="0"/>
          <w:sz w:val="21"/>
          <w:szCs w:val="21"/>
          <w:highlight w:val="none"/>
        </w:rPr>
        <w:t>：</w:t>
      </w:r>
    </w:p>
    <w:p w14:paraId="0B75FB00">
      <w:pPr>
        <w:spacing w:line="440" w:lineRule="exact"/>
        <w:ind w:right="140" w:rightChars="50"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（1）因承包人原因造成较大及以上等级生产安全事故或工程质量事故的；</w:t>
      </w:r>
    </w:p>
    <w:p w14:paraId="482AE7A5">
      <w:pPr>
        <w:spacing w:line="440" w:lineRule="exact"/>
        <w:ind w:right="140" w:rightChars="50" w:firstLine="420" w:firstLineChars="20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（2）因承包人债权债务纠纷或其他纠纷导致工程无法正常施工的。</w:t>
      </w:r>
    </w:p>
    <w:p w14:paraId="31058B12">
      <w:pPr>
        <w:spacing w:line="440" w:lineRule="exact"/>
        <w:ind w:right="140" w:rightChars="50"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（3）</w:t>
      </w:r>
      <w:r>
        <w:rPr>
          <w:rFonts w:hint="eastAsia" w:ascii="仿宋" w:hAnsi="仿宋" w:eastAsia="仿宋" w:cs="仿宋"/>
          <w:color w:val="auto"/>
          <w:kern w:val="0"/>
          <w:sz w:val="21"/>
          <w:szCs w:val="21"/>
          <w:highlight w:val="none"/>
          <w:u w:val="single"/>
        </w:rPr>
        <w:t xml:space="preserve">        </w:t>
      </w:r>
      <w:r>
        <w:rPr>
          <w:rFonts w:hint="eastAsia" w:ascii="仿宋" w:hAnsi="仿宋" w:eastAsia="仿宋" w:cs="仿宋"/>
          <w:color w:val="auto"/>
          <w:kern w:val="0"/>
          <w:sz w:val="21"/>
          <w:szCs w:val="21"/>
          <w:highlight w:val="none"/>
        </w:rPr>
        <w:t>。</w:t>
      </w:r>
    </w:p>
    <w:p w14:paraId="3CB4FB1F">
      <w:pPr>
        <w:spacing w:line="440" w:lineRule="exact"/>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21.1.2有下列情形之一的，承包人有权解除合同，并按16.1.4约定执行：</w:t>
      </w:r>
    </w:p>
    <w:p w14:paraId="061295FA">
      <w:pPr>
        <w:spacing w:line="440" w:lineRule="exact"/>
        <w:ind w:right="140" w:rightChars="50"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（1）因发包人征地、拆迁、补偿、审批手续等原因致使本工程延期开工超过90天的。</w:t>
      </w:r>
    </w:p>
    <w:p w14:paraId="121056C3">
      <w:pPr>
        <w:spacing w:line="440" w:lineRule="exact"/>
        <w:ind w:right="140" w:rightChars="50"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（2）</w:t>
      </w:r>
      <w:r>
        <w:rPr>
          <w:rFonts w:hint="eastAsia" w:ascii="仿宋" w:hAnsi="仿宋" w:eastAsia="仿宋" w:cs="仿宋"/>
          <w:color w:val="auto"/>
          <w:kern w:val="0"/>
          <w:sz w:val="21"/>
          <w:szCs w:val="21"/>
          <w:highlight w:val="none"/>
          <w:u w:val="single"/>
        </w:rPr>
        <w:t xml:space="preserve">        </w:t>
      </w:r>
      <w:r>
        <w:rPr>
          <w:rFonts w:hint="eastAsia" w:ascii="仿宋" w:hAnsi="仿宋" w:eastAsia="仿宋" w:cs="仿宋"/>
          <w:color w:val="auto"/>
          <w:kern w:val="0"/>
          <w:sz w:val="21"/>
          <w:szCs w:val="21"/>
          <w:highlight w:val="none"/>
        </w:rPr>
        <w:t>。</w:t>
      </w:r>
    </w:p>
    <w:bookmarkEnd w:id="1881"/>
    <w:p w14:paraId="17DD407F">
      <w:pPr>
        <w:spacing w:line="480" w:lineRule="exact"/>
        <w:ind w:right="140" w:rightChars="50" w:firstLine="420" w:firstLineChars="200"/>
        <w:jc w:val="left"/>
        <w:rPr>
          <w:rFonts w:hint="eastAsia" w:ascii="仿宋" w:hAnsi="仿宋" w:eastAsia="仿宋" w:cs="仿宋"/>
          <w:color w:val="auto"/>
          <w:sz w:val="21"/>
          <w:szCs w:val="21"/>
          <w:highlight w:val="none"/>
        </w:rPr>
      </w:pPr>
    </w:p>
    <w:bookmarkEnd w:id="1226"/>
    <w:bookmarkEnd w:id="1227"/>
    <w:bookmarkEnd w:id="1228"/>
    <w:bookmarkEnd w:id="1229"/>
    <w:bookmarkEnd w:id="1230"/>
    <w:bookmarkEnd w:id="1231"/>
    <w:bookmarkEnd w:id="1232"/>
    <w:bookmarkEnd w:id="1233"/>
    <w:bookmarkEnd w:id="1234"/>
    <w:bookmarkEnd w:id="1235"/>
    <w:bookmarkEnd w:id="1236"/>
    <w:bookmarkEnd w:id="1237"/>
    <w:bookmarkEnd w:id="1238"/>
    <w:p w14:paraId="1E0010D2">
      <w:pPr>
        <w:spacing w:line="480" w:lineRule="exact"/>
        <w:ind w:right="140" w:rightChars="50"/>
        <w:jc w:val="left"/>
        <w:rPr>
          <w:rFonts w:hint="eastAsia" w:ascii="仿宋" w:hAnsi="仿宋" w:eastAsia="仿宋" w:cs="仿宋"/>
          <w:color w:val="auto"/>
          <w:sz w:val="21"/>
          <w:highlight w:val="none"/>
        </w:rPr>
      </w:pPr>
    </w:p>
    <w:p w14:paraId="0392031D">
      <w:pPr>
        <w:spacing w:line="480" w:lineRule="exact"/>
        <w:ind w:right="140" w:rightChars="50"/>
        <w:jc w:val="left"/>
        <w:rPr>
          <w:rFonts w:hint="eastAsia" w:ascii="仿宋" w:hAnsi="仿宋" w:eastAsia="仿宋" w:cs="仿宋"/>
          <w:color w:val="auto"/>
          <w:sz w:val="21"/>
          <w:highlight w:val="none"/>
        </w:rPr>
      </w:pPr>
    </w:p>
    <w:p w14:paraId="138E1334">
      <w:pPr>
        <w:spacing w:line="480" w:lineRule="exact"/>
        <w:rPr>
          <w:rFonts w:hint="eastAsia" w:ascii="仿宋" w:hAnsi="仿宋" w:eastAsia="仿宋" w:cs="仿宋"/>
          <w:color w:val="auto"/>
          <w:sz w:val="21"/>
          <w:highlight w:val="none"/>
        </w:rPr>
      </w:pPr>
      <w:r>
        <w:rPr>
          <w:rFonts w:hint="eastAsia" w:ascii="仿宋" w:hAnsi="仿宋" w:eastAsia="仿宋" w:cs="仿宋"/>
          <w:color w:val="auto"/>
          <w:sz w:val="21"/>
          <w:highlight w:val="none"/>
        </w:rPr>
        <w:br w:type="page"/>
      </w:r>
    </w:p>
    <w:p w14:paraId="0D4420D5">
      <w:pPr>
        <w:pStyle w:val="2"/>
        <w:spacing w:before="0" w:after="0" w:line="360" w:lineRule="auto"/>
        <w:jc w:val="center"/>
        <w:rPr>
          <w:rFonts w:hint="eastAsia" w:ascii="仿宋" w:hAnsi="仿宋" w:eastAsia="仿宋" w:cs="仿宋"/>
          <w:bCs w:val="0"/>
          <w:color w:val="auto"/>
          <w:highlight w:val="none"/>
        </w:rPr>
      </w:pPr>
      <w:bookmarkStart w:id="1939" w:name="_Toc14744"/>
      <w:r>
        <w:rPr>
          <w:rFonts w:hint="eastAsia" w:ascii="仿宋" w:hAnsi="仿宋" w:eastAsia="仿宋" w:cs="仿宋"/>
          <w:bCs w:val="0"/>
          <w:color w:val="auto"/>
          <w:highlight w:val="none"/>
        </w:rPr>
        <w:t>第五章 工程量清单</w:t>
      </w:r>
      <w:bookmarkEnd w:id="1939"/>
    </w:p>
    <w:p w14:paraId="09AC4C1F">
      <w:pPr>
        <w:spacing w:line="360" w:lineRule="auto"/>
        <w:ind w:firstLine="420" w:firstLineChars="20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详见附件（如有）</w:t>
      </w:r>
    </w:p>
    <w:p w14:paraId="31F0F257">
      <w:pPr>
        <w:pStyle w:val="12"/>
        <w:spacing w:before="240"/>
        <w:rPr>
          <w:rFonts w:hint="eastAsia" w:ascii="仿宋" w:hAnsi="仿宋" w:eastAsia="仿宋" w:cs="仿宋"/>
          <w:color w:val="auto"/>
          <w:highlight w:val="none"/>
        </w:rPr>
      </w:pPr>
      <w:r>
        <w:rPr>
          <w:rFonts w:hint="eastAsia" w:ascii="仿宋" w:hAnsi="仿宋" w:eastAsia="仿宋" w:cs="仿宋"/>
          <w:color w:val="auto"/>
          <w:highlight w:val="none"/>
        </w:rPr>
        <w:br w:type="page"/>
      </w:r>
    </w:p>
    <w:p w14:paraId="038DCC79">
      <w:pPr>
        <w:pStyle w:val="2"/>
        <w:spacing w:before="0" w:after="0" w:line="360" w:lineRule="auto"/>
        <w:jc w:val="center"/>
        <w:rPr>
          <w:rFonts w:hint="eastAsia" w:ascii="仿宋" w:hAnsi="仿宋" w:eastAsia="仿宋" w:cs="仿宋"/>
          <w:bCs w:val="0"/>
          <w:color w:val="auto"/>
          <w:highlight w:val="none"/>
        </w:rPr>
      </w:pPr>
      <w:bookmarkStart w:id="1940" w:name="_Toc15986"/>
      <w:r>
        <w:rPr>
          <w:rFonts w:hint="eastAsia" w:ascii="仿宋" w:hAnsi="仿宋" w:eastAsia="仿宋" w:cs="仿宋"/>
          <w:bCs w:val="0"/>
          <w:color w:val="auto"/>
          <w:highlight w:val="none"/>
        </w:rPr>
        <w:t>第六章 投标文件格式</w:t>
      </w:r>
      <w:bookmarkEnd w:id="1153"/>
      <w:bookmarkEnd w:id="1940"/>
    </w:p>
    <w:p w14:paraId="71EA01C4">
      <w:pPr>
        <w:pStyle w:val="2"/>
        <w:spacing w:before="0" w:after="0" w:line="440" w:lineRule="exact"/>
        <w:jc w:val="center"/>
        <w:rPr>
          <w:rFonts w:hint="eastAsia" w:ascii="仿宋" w:hAnsi="仿宋" w:eastAsia="仿宋" w:cs="仿宋"/>
          <w:snapToGrid w:val="0"/>
          <w:color w:val="auto"/>
          <w:kern w:val="0"/>
          <w:sz w:val="32"/>
          <w:szCs w:val="32"/>
          <w:highlight w:val="none"/>
        </w:rPr>
      </w:pPr>
      <w:r>
        <w:rPr>
          <w:rFonts w:hint="eastAsia" w:ascii="仿宋" w:hAnsi="仿宋" w:eastAsia="仿宋" w:cs="仿宋"/>
          <w:snapToGrid w:val="0"/>
          <w:color w:val="auto"/>
          <w:kern w:val="0"/>
          <w:sz w:val="32"/>
          <w:szCs w:val="32"/>
          <w:highlight w:val="none"/>
        </w:rPr>
        <w:br w:type="page"/>
      </w:r>
      <w:bookmarkStart w:id="1941" w:name="_Toc20817"/>
      <w:bookmarkStart w:id="1942" w:name="_Toc452965419"/>
      <w:bookmarkStart w:id="1943" w:name="_Toc12804"/>
      <w:bookmarkStart w:id="1944" w:name="_Toc19781"/>
      <w:bookmarkStart w:id="1945" w:name="_Toc19348"/>
      <w:bookmarkStart w:id="1946" w:name="_Toc4353"/>
      <w:bookmarkStart w:id="1947" w:name="_Toc173"/>
      <w:bookmarkStart w:id="1948" w:name="_Toc12511"/>
      <w:bookmarkStart w:id="1949" w:name="_Toc22831"/>
      <w:bookmarkStart w:id="1950" w:name="_Toc19084"/>
      <w:bookmarkStart w:id="1951" w:name="_Toc11883"/>
      <w:bookmarkStart w:id="1952" w:name="_Toc460923614"/>
      <w:r>
        <w:rPr>
          <w:rFonts w:hint="eastAsia" w:ascii="仿宋" w:hAnsi="仿宋" w:eastAsia="仿宋" w:cs="仿宋"/>
          <w:snapToGrid w:val="0"/>
          <w:color w:val="auto"/>
          <w:kern w:val="0"/>
          <w:sz w:val="32"/>
          <w:szCs w:val="32"/>
          <w:highlight w:val="none"/>
        </w:rPr>
        <w:t>目    录</w:t>
      </w:r>
      <w:bookmarkEnd w:id="1941"/>
      <w:bookmarkEnd w:id="1942"/>
      <w:bookmarkEnd w:id="1943"/>
      <w:bookmarkEnd w:id="1944"/>
      <w:bookmarkEnd w:id="1945"/>
      <w:bookmarkEnd w:id="1946"/>
      <w:bookmarkEnd w:id="1947"/>
      <w:bookmarkEnd w:id="1948"/>
      <w:bookmarkEnd w:id="1949"/>
      <w:bookmarkEnd w:id="1950"/>
      <w:bookmarkEnd w:id="1951"/>
      <w:bookmarkEnd w:id="1952"/>
    </w:p>
    <w:p w14:paraId="3952A4CE">
      <w:pPr>
        <w:rPr>
          <w:rFonts w:hint="eastAsia" w:ascii="仿宋" w:hAnsi="仿宋" w:eastAsia="仿宋" w:cs="仿宋"/>
          <w:color w:val="auto"/>
          <w:highlight w:val="none"/>
        </w:rPr>
      </w:pPr>
    </w:p>
    <w:p w14:paraId="32893C31">
      <w:pPr>
        <w:autoSpaceDE w:val="0"/>
        <w:autoSpaceDN w:val="0"/>
        <w:adjustRightInd w:val="0"/>
        <w:snapToGrid w:val="0"/>
        <w:spacing w:line="500" w:lineRule="exact"/>
        <w:jc w:val="left"/>
        <w:rPr>
          <w:rFonts w:hint="eastAsia" w:ascii="仿宋" w:hAnsi="仿宋" w:eastAsia="仿宋" w:cs="仿宋"/>
          <w:b/>
          <w:color w:val="auto"/>
          <w:kern w:val="0"/>
          <w:sz w:val="24"/>
          <w:highlight w:val="none"/>
        </w:rPr>
      </w:pPr>
      <w:r>
        <w:rPr>
          <w:rFonts w:hint="eastAsia" w:ascii="仿宋" w:hAnsi="仿宋" w:eastAsia="仿宋" w:cs="仿宋"/>
          <w:b/>
          <w:color w:val="auto"/>
          <w:kern w:val="0"/>
          <w:sz w:val="24"/>
          <w:highlight w:val="none"/>
        </w:rPr>
        <w:t>一、投标函部分</w:t>
      </w:r>
    </w:p>
    <w:p w14:paraId="55D6F6F8">
      <w:pPr>
        <w:autoSpaceDE w:val="0"/>
        <w:autoSpaceDN w:val="0"/>
        <w:adjustRightInd w:val="0"/>
        <w:spacing w:line="500" w:lineRule="exact"/>
        <w:ind w:right="-2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（一）投标函</w:t>
      </w:r>
    </w:p>
    <w:p w14:paraId="32CD79C3">
      <w:pPr>
        <w:autoSpaceDE w:val="0"/>
        <w:autoSpaceDN w:val="0"/>
        <w:adjustRightInd w:val="0"/>
        <w:spacing w:line="500" w:lineRule="exact"/>
        <w:ind w:right="-2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（二）法定代表人身份证明及授权委托书</w:t>
      </w:r>
    </w:p>
    <w:p w14:paraId="0FC4F660">
      <w:pPr>
        <w:autoSpaceDE w:val="0"/>
        <w:autoSpaceDN w:val="0"/>
        <w:adjustRightInd w:val="0"/>
        <w:spacing w:line="500" w:lineRule="exact"/>
        <w:ind w:right="-2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（三）已标价工程量清单</w:t>
      </w:r>
    </w:p>
    <w:p w14:paraId="122C6DC3">
      <w:pPr>
        <w:tabs>
          <w:tab w:val="left" w:pos="2580"/>
          <w:tab w:val="left" w:pos="5940"/>
        </w:tabs>
        <w:autoSpaceDE w:val="0"/>
        <w:autoSpaceDN w:val="0"/>
        <w:adjustRightInd w:val="0"/>
        <w:snapToGrid w:val="0"/>
        <w:spacing w:line="500" w:lineRule="exact"/>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二、资格审查部分</w:t>
      </w:r>
    </w:p>
    <w:p w14:paraId="4D7B7DBF">
      <w:pPr>
        <w:autoSpaceDE w:val="0"/>
        <w:autoSpaceDN w:val="0"/>
        <w:adjustRightInd w:val="0"/>
        <w:spacing w:line="500" w:lineRule="exact"/>
        <w:ind w:right="-2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（一）法定代表人身份证明及授权委托书</w:t>
      </w:r>
    </w:p>
    <w:p w14:paraId="1593F32A">
      <w:pPr>
        <w:autoSpaceDE w:val="0"/>
        <w:autoSpaceDN w:val="0"/>
        <w:adjustRightInd w:val="0"/>
        <w:spacing w:line="500" w:lineRule="exact"/>
        <w:ind w:right="-2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（二）投标人基本情况表</w:t>
      </w:r>
    </w:p>
    <w:p w14:paraId="67E43F83">
      <w:pPr>
        <w:autoSpaceDE w:val="0"/>
        <w:autoSpaceDN w:val="0"/>
        <w:adjustRightInd w:val="0"/>
        <w:spacing w:line="500" w:lineRule="exact"/>
        <w:ind w:right="-2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（三）承诺</w:t>
      </w:r>
    </w:p>
    <w:p w14:paraId="3A6579B4">
      <w:pPr>
        <w:autoSpaceDE w:val="0"/>
        <w:autoSpaceDN w:val="0"/>
        <w:adjustRightInd w:val="0"/>
        <w:spacing w:line="500" w:lineRule="exact"/>
        <w:ind w:right="-2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（四）其他资料</w:t>
      </w:r>
    </w:p>
    <w:p w14:paraId="61FAC48E">
      <w:pPr>
        <w:pStyle w:val="4"/>
        <w:rPr>
          <w:rFonts w:hint="eastAsia" w:ascii="仿宋" w:hAnsi="仿宋" w:eastAsia="仿宋" w:cs="仿宋"/>
          <w:color w:val="auto"/>
          <w:highlight w:val="none"/>
        </w:rPr>
      </w:pPr>
      <w:bookmarkStart w:id="1953" w:name="_Toc1365"/>
      <w:bookmarkStart w:id="1954" w:name="_Toc32351"/>
      <w:r>
        <w:rPr>
          <w:rFonts w:hint="eastAsia" w:ascii="仿宋" w:hAnsi="仿宋" w:eastAsia="仿宋" w:cs="仿宋"/>
          <w:color w:val="auto"/>
          <w:kern w:val="0"/>
          <w:sz w:val="24"/>
          <w:highlight w:val="none"/>
        </w:rPr>
        <w:t>三、技术方案</w:t>
      </w:r>
      <w:bookmarkEnd w:id="1953"/>
      <w:bookmarkEnd w:id="1954"/>
    </w:p>
    <w:p w14:paraId="6C537771">
      <w:pPr>
        <w:pStyle w:val="3"/>
        <w:spacing w:before="0" w:after="0" w:line="360" w:lineRule="auto"/>
        <w:jc w:val="center"/>
        <w:rPr>
          <w:rFonts w:hint="eastAsia" w:ascii="仿宋" w:hAnsi="仿宋" w:eastAsia="仿宋" w:cs="仿宋"/>
          <w:bCs w:val="0"/>
          <w:color w:val="auto"/>
          <w:highlight w:val="none"/>
        </w:rPr>
      </w:pPr>
      <w:r>
        <w:rPr>
          <w:rFonts w:hint="eastAsia" w:ascii="仿宋" w:hAnsi="仿宋" w:eastAsia="仿宋" w:cs="仿宋"/>
          <w:bCs w:val="0"/>
          <w:color w:val="auto"/>
          <w:highlight w:val="none"/>
        </w:rPr>
        <w:br w:type="page"/>
      </w:r>
      <w:bookmarkStart w:id="1955" w:name="_Toc12918"/>
      <w:bookmarkStart w:id="1956" w:name="_Toc460923615"/>
      <w:bookmarkStart w:id="1957" w:name="_Toc28988"/>
      <w:bookmarkStart w:id="1958" w:name="_Toc22198"/>
      <w:bookmarkStart w:id="1959" w:name="_Toc452965420"/>
      <w:bookmarkStart w:id="1960" w:name="_Toc22282"/>
      <w:bookmarkStart w:id="1961" w:name="_Toc7615"/>
      <w:bookmarkStart w:id="1962" w:name="_Toc13296"/>
      <w:bookmarkStart w:id="1963" w:name="_Toc11824"/>
      <w:bookmarkStart w:id="1964" w:name="_Toc9109"/>
      <w:bookmarkStart w:id="1965" w:name="_Toc14512"/>
      <w:bookmarkStart w:id="1966" w:name="_Toc11781"/>
      <w:r>
        <w:rPr>
          <w:rFonts w:hint="eastAsia" w:ascii="仿宋" w:hAnsi="仿宋" w:eastAsia="仿宋" w:cs="仿宋"/>
          <w:bCs w:val="0"/>
          <w:color w:val="auto"/>
          <w:highlight w:val="none"/>
        </w:rPr>
        <w:t>一、投标函部分</w:t>
      </w:r>
      <w:bookmarkEnd w:id="1955"/>
      <w:bookmarkEnd w:id="1956"/>
      <w:bookmarkEnd w:id="1957"/>
      <w:bookmarkEnd w:id="1958"/>
      <w:bookmarkEnd w:id="1959"/>
      <w:bookmarkEnd w:id="1960"/>
      <w:bookmarkEnd w:id="1961"/>
      <w:bookmarkEnd w:id="1962"/>
      <w:bookmarkEnd w:id="1963"/>
      <w:bookmarkEnd w:id="1964"/>
      <w:bookmarkEnd w:id="1965"/>
      <w:bookmarkEnd w:id="1966"/>
    </w:p>
    <w:p w14:paraId="591A0D8E">
      <w:pPr>
        <w:tabs>
          <w:tab w:val="left" w:pos="2580"/>
          <w:tab w:val="left" w:pos="5940"/>
        </w:tabs>
        <w:autoSpaceDE w:val="0"/>
        <w:autoSpaceDN w:val="0"/>
        <w:adjustRightInd w:val="0"/>
        <w:snapToGrid w:val="0"/>
        <w:spacing w:line="360" w:lineRule="auto"/>
        <w:ind w:firstLine="560" w:firstLineChars="200"/>
        <w:jc w:val="left"/>
        <w:rPr>
          <w:rFonts w:hint="eastAsia" w:ascii="仿宋" w:hAnsi="仿宋" w:eastAsia="仿宋" w:cs="仿宋"/>
          <w:color w:val="auto"/>
          <w:kern w:val="0"/>
          <w:szCs w:val="28"/>
          <w:highlight w:val="none"/>
        </w:rPr>
      </w:pPr>
    </w:p>
    <w:p w14:paraId="5786E2D1">
      <w:pPr>
        <w:tabs>
          <w:tab w:val="left" w:pos="2580"/>
          <w:tab w:val="left" w:pos="5940"/>
        </w:tabs>
        <w:autoSpaceDE w:val="0"/>
        <w:autoSpaceDN w:val="0"/>
        <w:adjustRightInd w:val="0"/>
        <w:snapToGrid w:val="0"/>
        <w:spacing w:line="360" w:lineRule="auto"/>
        <w:ind w:firstLine="560" w:firstLineChars="200"/>
        <w:jc w:val="left"/>
        <w:rPr>
          <w:rFonts w:hint="eastAsia" w:ascii="仿宋" w:hAnsi="仿宋" w:eastAsia="仿宋" w:cs="仿宋"/>
          <w:color w:val="auto"/>
          <w:kern w:val="0"/>
          <w:szCs w:val="28"/>
          <w:highlight w:val="none"/>
        </w:rPr>
      </w:pPr>
    </w:p>
    <w:p w14:paraId="6CB84AC8">
      <w:pPr>
        <w:tabs>
          <w:tab w:val="left" w:pos="2580"/>
          <w:tab w:val="left" w:pos="5940"/>
        </w:tabs>
        <w:autoSpaceDE w:val="0"/>
        <w:autoSpaceDN w:val="0"/>
        <w:adjustRightInd w:val="0"/>
        <w:snapToGrid w:val="0"/>
        <w:spacing w:line="360" w:lineRule="auto"/>
        <w:ind w:firstLine="560" w:firstLineChars="200"/>
        <w:jc w:val="left"/>
        <w:rPr>
          <w:rFonts w:hint="eastAsia" w:ascii="仿宋" w:hAnsi="仿宋" w:eastAsia="仿宋" w:cs="仿宋"/>
          <w:color w:val="auto"/>
          <w:kern w:val="0"/>
          <w:szCs w:val="28"/>
          <w:highlight w:val="none"/>
        </w:rPr>
      </w:pPr>
    </w:p>
    <w:p w14:paraId="7519D935">
      <w:pPr>
        <w:tabs>
          <w:tab w:val="left" w:pos="2580"/>
          <w:tab w:val="left" w:pos="5940"/>
        </w:tabs>
        <w:autoSpaceDE w:val="0"/>
        <w:autoSpaceDN w:val="0"/>
        <w:adjustRightInd w:val="0"/>
        <w:snapToGrid w:val="0"/>
        <w:spacing w:line="360" w:lineRule="auto"/>
        <w:ind w:firstLine="560" w:firstLineChars="200"/>
        <w:jc w:val="left"/>
        <w:rPr>
          <w:rFonts w:hint="eastAsia" w:ascii="仿宋" w:hAnsi="仿宋" w:eastAsia="仿宋" w:cs="仿宋"/>
          <w:color w:val="auto"/>
          <w:kern w:val="0"/>
          <w:szCs w:val="28"/>
          <w:highlight w:val="none"/>
        </w:rPr>
      </w:pPr>
    </w:p>
    <w:p w14:paraId="7BAEBE83">
      <w:pPr>
        <w:tabs>
          <w:tab w:val="left" w:pos="2580"/>
          <w:tab w:val="left" w:pos="5940"/>
        </w:tabs>
        <w:autoSpaceDE w:val="0"/>
        <w:autoSpaceDN w:val="0"/>
        <w:adjustRightInd w:val="0"/>
        <w:snapToGrid w:val="0"/>
        <w:spacing w:line="360" w:lineRule="auto"/>
        <w:ind w:firstLine="560" w:firstLineChars="200"/>
        <w:jc w:val="left"/>
        <w:rPr>
          <w:rFonts w:hint="eastAsia" w:ascii="仿宋" w:hAnsi="仿宋" w:eastAsia="仿宋" w:cs="仿宋"/>
          <w:color w:val="auto"/>
          <w:kern w:val="0"/>
          <w:szCs w:val="28"/>
          <w:highlight w:val="none"/>
        </w:rPr>
      </w:pPr>
    </w:p>
    <w:p w14:paraId="79CF95F5">
      <w:pPr>
        <w:tabs>
          <w:tab w:val="left" w:pos="2580"/>
          <w:tab w:val="left" w:pos="5940"/>
        </w:tabs>
        <w:autoSpaceDE w:val="0"/>
        <w:autoSpaceDN w:val="0"/>
        <w:adjustRightInd w:val="0"/>
        <w:snapToGrid w:val="0"/>
        <w:spacing w:line="360" w:lineRule="auto"/>
        <w:ind w:firstLine="560" w:firstLineChars="200"/>
        <w:jc w:val="left"/>
        <w:rPr>
          <w:rFonts w:hint="eastAsia" w:ascii="仿宋" w:hAnsi="仿宋" w:eastAsia="仿宋" w:cs="仿宋"/>
          <w:color w:val="auto"/>
          <w:kern w:val="0"/>
          <w:szCs w:val="28"/>
          <w:highlight w:val="none"/>
        </w:rPr>
      </w:pPr>
    </w:p>
    <w:p w14:paraId="2BB8C746">
      <w:pPr>
        <w:tabs>
          <w:tab w:val="left" w:pos="2580"/>
          <w:tab w:val="left" w:pos="5940"/>
        </w:tabs>
        <w:autoSpaceDE w:val="0"/>
        <w:autoSpaceDN w:val="0"/>
        <w:adjustRightInd w:val="0"/>
        <w:snapToGrid w:val="0"/>
        <w:spacing w:line="360" w:lineRule="auto"/>
        <w:ind w:firstLine="560" w:firstLineChars="200"/>
        <w:jc w:val="left"/>
        <w:rPr>
          <w:rFonts w:hint="eastAsia" w:ascii="仿宋" w:hAnsi="仿宋" w:eastAsia="仿宋" w:cs="仿宋"/>
          <w:color w:val="auto"/>
          <w:kern w:val="0"/>
          <w:szCs w:val="28"/>
          <w:highlight w:val="none"/>
        </w:rPr>
      </w:pPr>
    </w:p>
    <w:p w14:paraId="6AC1983A">
      <w:pPr>
        <w:tabs>
          <w:tab w:val="left" w:pos="2580"/>
          <w:tab w:val="left" w:pos="5940"/>
        </w:tabs>
        <w:autoSpaceDE w:val="0"/>
        <w:autoSpaceDN w:val="0"/>
        <w:adjustRightInd w:val="0"/>
        <w:snapToGrid w:val="0"/>
        <w:spacing w:line="360" w:lineRule="auto"/>
        <w:ind w:firstLine="560" w:firstLineChars="200"/>
        <w:jc w:val="left"/>
        <w:rPr>
          <w:rFonts w:hint="eastAsia" w:ascii="仿宋" w:hAnsi="仿宋" w:eastAsia="仿宋" w:cs="仿宋"/>
          <w:color w:val="auto"/>
          <w:kern w:val="0"/>
          <w:szCs w:val="28"/>
          <w:highlight w:val="none"/>
        </w:rPr>
      </w:pPr>
    </w:p>
    <w:p w14:paraId="1FF9D412">
      <w:pPr>
        <w:tabs>
          <w:tab w:val="left" w:pos="2580"/>
          <w:tab w:val="left" w:pos="5940"/>
        </w:tabs>
        <w:autoSpaceDE w:val="0"/>
        <w:autoSpaceDN w:val="0"/>
        <w:adjustRightInd w:val="0"/>
        <w:snapToGrid w:val="0"/>
        <w:spacing w:line="360" w:lineRule="auto"/>
        <w:ind w:firstLine="560" w:firstLineChars="200"/>
        <w:jc w:val="left"/>
        <w:rPr>
          <w:rFonts w:hint="eastAsia" w:ascii="仿宋" w:hAnsi="仿宋" w:eastAsia="仿宋" w:cs="仿宋"/>
          <w:color w:val="auto"/>
          <w:kern w:val="0"/>
          <w:szCs w:val="28"/>
          <w:highlight w:val="none"/>
        </w:rPr>
      </w:pPr>
    </w:p>
    <w:p w14:paraId="4E4978B3">
      <w:pPr>
        <w:tabs>
          <w:tab w:val="left" w:pos="2580"/>
          <w:tab w:val="left" w:pos="5940"/>
        </w:tabs>
        <w:autoSpaceDE w:val="0"/>
        <w:autoSpaceDN w:val="0"/>
        <w:adjustRightInd w:val="0"/>
        <w:snapToGrid w:val="0"/>
        <w:spacing w:line="360" w:lineRule="auto"/>
        <w:ind w:firstLine="560" w:firstLineChars="200"/>
        <w:jc w:val="left"/>
        <w:rPr>
          <w:rFonts w:hint="eastAsia" w:ascii="仿宋" w:hAnsi="仿宋" w:eastAsia="仿宋" w:cs="仿宋"/>
          <w:color w:val="auto"/>
          <w:kern w:val="0"/>
          <w:szCs w:val="28"/>
          <w:highlight w:val="none"/>
        </w:rPr>
      </w:pPr>
    </w:p>
    <w:p w14:paraId="73A853C6">
      <w:pPr>
        <w:tabs>
          <w:tab w:val="left" w:pos="2580"/>
          <w:tab w:val="left" w:pos="5940"/>
        </w:tabs>
        <w:autoSpaceDE w:val="0"/>
        <w:autoSpaceDN w:val="0"/>
        <w:adjustRightInd w:val="0"/>
        <w:snapToGrid w:val="0"/>
        <w:spacing w:line="360" w:lineRule="auto"/>
        <w:ind w:firstLine="560" w:firstLineChars="200"/>
        <w:jc w:val="left"/>
        <w:rPr>
          <w:rFonts w:hint="eastAsia" w:ascii="仿宋" w:hAnsi="仿宋" w:eastAsia="仿宋" w:cs="仿宋"/>
          <w:color w:val="auto"/>
          <w:kern w:val="0"/>
          <w:szCs w:val="28"/>
          <w:highlight w:val="none"/>
        </w:rPr>
      </w:pPr>
    </w:p>
    <w:p w14:paraId="1BA2D096">
      <w:pPr>
        <w:tabs>
          <w:tab w:val="left" w:pos="2580"/>
          <w:tab w:val="left" w:pos="5940"/>
        </w:tabs>
        <w:autoSpaceDE w:val="0"/>
        <w:autoSpaceDN w:val="0"/>
        <w:adjustRightInd w:val="0"/>
        <w:snapToGrid w:val="0"/>
        <w:spacing w:line="360" w:lineRule="auto"/>
        <w:ind w:firstLine="560" w:firstLineChars="200"/>
        <w:jc w:val="left"/>
        <w:rPr>
          <w:rFonts w:hint="eastAsia" w:ascii="仿宋" w:hAnsi="仿宋" w:eastAsia="仿宋" w:cs="仿宋"/>
          <w:color w:val="auto"/>
          <w:kern w:val="0"/>
          <w:szCs w:val="28"/>
          <w:highlight w:val="none"/>
        </w:rPr>
      </w:pPr>
    </w:p>
    <w:p w14:paraId="5028D57F">
      <w:pPr>
        <w:tabs>
          <w:tab w:val="left" w:pos="2580"/>
          <w:tab w:val="left" w:pos="5940"/>
        </w:tabs>
        <w:autoSpaceDE w:val="0"/>
        <w:autoSpaceDN w:val="0"/>
        <w:adjustRightInd w:val="0"/>
        <w:snapToGrid w:val="0"/>
        <w:spacing w:line="360" w:lineRule="auto"/>
        <w:ind w:firstLine="560" w:firstLineChars="200"/>
        <w:jc w:val="left"/>
        <w:rPr>
          <w:rFonts w:hint="eastAsia" w:ascii="仿宋" w:hAnsi="仿宋" w:eastAsia="仿宋" w:cs="仿宋"/>
          <w:color w:val="auto"/>
          <w:kern w:val="0"/>
          <w:szCs w:val="28"/>
          <w:highlight w:val="none"/>
        </w:rPr>
      </w:pPr>
    </w:p>
    <w:p w14:paraId="49933C28">
      <w:pPr>
        <w:tabs>
          <w:tab w:val="left" w:pos="2580"/>
          <w:tab w:val="left" w:pos="5940"/>
        </w:tabs>
        <w:autoSpaceDE w:val="0"/>
        <w:autoSpaceDN w:val="0"/>
        <w:adjustRightInd w:val="0"/>
        <w:snapToGrid w:val="0"/>
        <w:spacing w:line="360" w:lineRule="auto"/>
        <w:ind w:firstLine="560" w:firstLineChars="200"/>
        <w:jc w:val="left"/>
        <w:rPr>
          <w:rFonts w:hint="eastAsia" w:ascii="仿宋" w:hAnsi="仿宋" w:eastAsia="仿宋" w:cs="仿宋"/>
          <w:color w:val="auto"/>
          <w:kern w:val="0"/>
          <w:szCs w:val="28"/>
          <w:highlight w:val="none"/>
        </w:rPr>
      </w:pPr>
    </w:p>
    <w:p w14:paraId="3077AE43">
      <w:pPr>
        <w:tabs>
          <w:tab w:val="left" w:pos="2580"/>
          <w:tab w:val="left" w:pos="5940"/>
        </w:tabs>
        <w:autoSpaceDE w:val="0"/>
        <w:autoSpaceDN w:val="0"/>
        <w:adjustRightInd w:val="0"/>
        <w:snapToGrid w:val="0"/>
        <w:spacing w:line="360" w:lineRule="auto"/>
        <w:ind w:firstLine="560" w:firstLineChars="200"/>
        <w:jc w:val="left"/>
        <w:rPr>
          <w:rFonts w:hint="eastAsia" w:ascii="仿宋" w:hAnsi="仿宋" w:eastAsia="仿宋" w:cs="仿宋"/>
          <w:color w:val="auto"/>
          <w:kern w:val="0"/>
          <w:szCs w:val="28"/>
          <w:highlight w:val="none"/>
        </w:rPr>
      </w:pPr>
    </w:p>
    <w:p w14:paraId="7A65111C">
      <w:pPr>
        <w:tabs>
          <w:tab w:val="left" w:pos="2580"/>
          <w:tab w:val="left" w:pos="5940"/>
        </w:tabs>
        <w:autoSpaceDE w:val="0"/>
        <w:autoSpaceDN w:val="0"/>
        <w:adjustRightInd w:val="0"/>
        <w:snapToGrid w:val="0"/>
        <w:spacing w:line="360" w:lineRule="auto"/>
        <w:ind w:firstLine="560" w:firstLineChars="200"/>
        <w:jc w:val="left"/>
        <w:rPr>
          <w:rFonts w:hint="eastAsia" w:ascii="仿宋" w:hAnsi="仿宋" w:eastAsia="仿宋" w:cs="仿宋"/>
          <w:color w:val="auto"/>
          <w:kern w:val="0"/>
          <w:szCs w:val="28"/>
          <w:highlight w:val="none"/>
        </w:rPr>
      </w:pPr>
    </w:p>
    <w:p w14:paraId="124E5809">
      <w:pPr>
        <w:tabs>
          <w:tab w:val="left" w:pos="2580"/>
          <w:tab w:val="left" w:pos="5940"/>
        </w:tabs>
        <w:autoSpaceDE w:val="0"/>
        <w:autoSpaceDN w:val="0"/>
        <w:adjustRightInd w:val="0"/>
        <w:snapToGrid w:val="0"/>
        <w:spacing w:line="360" w:lineRule="auto"/>
        <w:ind w:firstLine="560" w:firstLineChars="200"/>
        <w:rPr>
          <w:rFonts w:hint="eastAsia" w:ascii="仿宋" w:hAnsi="仿宋" w:eastAsia="仿宋" w:cs="仿宋"/>
          <w:b/>
          <w:color w:val="auto"/>
          <w:kern w:val="0"/>
          <w:szCs w:val="28"/>
          <w:highlight w:val="none"/>
          <w:u w:val="single"/>
        </w:rPr>
      </w:pPr>
      <w:r>
        <w:rPr>
          <w:rFonts w:hint="eastAsia" w:ascii="仿宋" w:hAnsi="仿宋" w:eastAsia="仿宋" w:cs="仿宋"/>
          <w:color w:val="auto"/>
          <w:kern w:val="0"/>
          <w:szCs w:val="28"/>
          <w:highlight w:val="none"/>
          <w:u w:val="single"/>
        </w:rPr>
        <w:br w:type="page"/>
      </w:r>
      <w:r>
        <w:rPr>
          <w:rFonts w:hint="eastAsia" w:ascii="仿宋" w:hAnsi="仿宋" w:eastAsia="仿宋" w:cs="仿宋"/>
          <w:b/>
          <w:color w:val="auto"/>
          <w:kern w:val="0"/>
          <w:szCs w:val="28"/>
          <w:highlight w:val="none"/>
          <w:u w:val="single"/>
        </w:rPr>
        <w:t xml:space="preserve">                                                </w:t>
      </w:r>
      <w:r>
        <w:rPr>
          <w:rFonts w:hint="eastAsia" w:ascii="仿宋" w:hAnsi="仿宋" w:eastAsia="仿宋" w:cs="仿宋"/>
          <w:b/>
          <w:color w:val="auto"/>
          <w:kern w:val="0"/>
          <w:szCs w:val="28"/>
          <w:highlight w:val="none"/>
        </w:rPr>
        <w:t>（项目名称）</w:t>
      </w:r>
    </w:p>
    <w:p w14:paraId="6294044B">
      <w:pPr>
        <w:tabs>
          <w:tab w:val="left" w:pos="3600"/>
          <w:tab w:val="left" w:pos="4480"/>
          <w:tab w:val="left" w:pos="5360"/>
        </w:tabs>
        <w:autoSpaceDE w:val="0"/>
        <w:autoSpaceDN w:val="0"/>
        <w:adjustRightInd w:val="0"/>
        <w:snapToGrid w:val="0"/>
        <w:spacing w:line="360" w:lineRule="auto"/>
        <w:ind w:firstLine="880" w:firstLineChars="200"/>
        <w:jc w:val="left"/>
        <w:rPr>
          <w:rFonts w:hint="eastAsia" w:ascii="仿宋" w:hAnsi="仿宋" w:eastAsia="仿宋" w:cs="仿宋"/>
          <w:color w:val="auto"/>
          <w:kern w:val="0"/>
          <w:sz w:val="44"/>
          <w:szCs w:val="44"/>
          <w:highlight w:val="none"/>
        </w:rPr>
      </w:pPr>
    </w:p>
    <w:p w14:paraId="6375A5D5">
      <w:pPr>
        <w:tabs>
          <w:tab w:val="left" w:pos="3600"/>
          <w:tab w:val="left" w:pos="4480"/>
          <w:tab w:val="left" w:pos="5360"/>
        </w:tabs>
        <w:autoSpaceDE w:val="0"/>
        <w:autoSpaceDN w:val="0"/>
        <w:adjustRightInd w:val="0"/>
        <w:snapToGrid w:val="0"/>
        <w:spacing w:line="360" w:lineRule="auto"/>
        <w:ind w:firstLine="880" w:firstLineChars="200"/>
        <w:jc w:val="left"/>
        <w:rPr>
          <w:rFonts w:hint="eastAsia" w:ascii="仿宋" w:hAnsi="仿宋" w:eastAsia="仿宋" w:cs="仿宋"/>
          <w:color w:val="auto"/>
          <w:kern w:val="0"/>
          <w:sz w:val="44"/>
          <w:szCs w:val="44"/>
          <w:highlight w:val="none"/>
        </w:rPr>
      </w:pPr>
    </w:p>
    <w:p w14:paraId="3367CE7F">
      <w:pPr>
        <w:tabs>
          <w:tab w:val="left" w:pos="3600"/>
          <w:tab w:val="left" w:pos="4480"/>
          <w:tab w:val="left" w:pos="5360"/>
        </w:tabs>
        <w:autoSpaceDE w:val="0"/>
        <w:autoSpaceDN w:val="0"/>
        <w:adjustRightInd w:val="0"/>
        <w:snapToGrid w:val="0"/>
        <w:spacing w:line="360" w:lineRule="auto"/>
        <w:jc w:val="center"/>
        <w:rPr>
          <w:rFonts w:hint="eastAsia" w:ascii="仿宋" w:hAnsi="仿宋" w:eastAsia="仿宋" w:cs="仿宋"/>
          <w:b/>
          <w:color w:val="auto"/>
          <w:kern w:val="0"/>
          <w:sz w:val="84"/>
          <w:szCs w:val="84"/>
          <w:highlight w:val="none"/>
        </w:rPr>
      </w:pPr>
      <w:r>
        <w:rPr>
          <w:rFonts w:hint="eastAsia" w:ascii="仿宋" w:hAnsi="仿宋" w:eastAsia="仿宋" w:cs="仿宋"/>
          <w:b/>
          <w:color w:val="auto"/>
          <w:kern w:val="0"/>
          <w:sz w:val="84"/>
          <w:szCs w:val="84"/>
          <w:highlight w:val="none"/>
        </w:rPr>
        <w:t>投标文件</w:t>
      </w:r>
    </w:p>
    <w:p w14:paraId="3069AA1E">
      <w:pPr>
        <w:autoSpaceDE w:val="0"/>
        <w:autoSpaceDN w:val="0"/>
        <w:adjustRightInd w:val="0"/>
        <w:snapToGrid w:val="0"/>
        <w:spacing w:line="360" w:lineRule="auto"/>
        <w:ind w:firstLine="320" w:firstLineChars="200"/>
        <w:jc w:val="left"/>
        <w:rPr>
          <w:rFonts w:hint="eastAsia" w:ascii="仿宋" w:hAnsi="仿宋" w:eastAsia="仿宋" w:cs="仿宋"/>
          <w:color w:val="auto"/>
          <w:kern w:val="0"/>
          <w:sz w:val="16"/>
          <w:szCs w:val="16"/>
          <w:highlight w:val="none"/>
        </w:rPr>
      </w:pPr>
    </w:p>
    <w:p w14:paraId="60AFFB6A">
      <w:pPr>
        <w:autoSpaceDE w:val="0"/>
        <w:autoSpaceDN w:val="0"/>
        <w:adjustRightInd w:val="0"/>
        <w:snapToGrid w:val="0"/>
        <w:spacing w:line="360" w:lineRule="auto"/>
        <w:jc w:val="center"/>
        <w:rPr>
          <w:rFonts w:hint="eastAsia" w:ascii="仿宋" w:hAnsi="仿宋" w:eastAsia="仿宋" w:cs="仿宋"/>
          <w:b/>
          <w:color w:val="auto"/>
          <w:kern w:val="0"/>
          <w:sz w:val="36"/>
          <w:szCs w:val="36"/>
          <w:highlight w:val="none"/>
        </w:rPr>
      </w:pPr>
      <w:r>
        <w:rPr>
          <w:rFonts w:hint="eastAsia" w:ascii="仿宋" w:hAnsi="仿宋" w:eastAsia="仿宋" w:cs="仿宋"/>
          <w:b/>
          <w:color w:val="auto"/>
          <w:kern w:val="0"/>
          <w:sz w:val="36"/>
          <w:szCs w:val="36"/>
          <w:highlight w:val="none"/>
        </w:rPr>
        <w:t>投标函部分</w:t>
      </w:r>
    </w:p>
    <w:p w14:paraId="5A4D0C64">
      <w:pPr>
        <w:autoSpaceDE w:val="0"/>
        <w:autoSpaceDN w:val="0"/>
        <w:adjustRightInd w:val="0"/>
        <w:snapToGrid w:val="0"/>
        <w:spacing w:line="360" w:lineRule="auto"/>
        <w:ind w:firstLine="402" w:firstLineChars="200"/>
        <w:jc w:val="left"/>
        <w:rPr>
          <w:rFonts w:hint="eastAsia" w:ascii="仿宋" w:hAnsi="仿宋" w:eastAsia="仿宋" w:cs="仿宋"/>
          <w:b/>
          <w:color w:val="auto"/>
          <w:kern w:val="0"/>
          <w:sz w:val="20"/>
          <w:szCs w:val="20"/>
          <w:highlight w:val="none"/>
        </w:rPr>
      </w:pPr>
    </w:p>
    <w:p w14:paraId="58E12DF8">
      <w:pPr>
        <w:autoSpaceDE w:val="0"/>
        <w:autoSpaceDN w:val="0"/>
        <w:adjustRightInd w:val="0"/>
        <w:snapToGrid w:val="0"/>
        <w:spacing w:line="360" w:lineRule="auto"/>
        <w:ind w:firstLine="402" w:firstLineChars="200"/>
        <w:jc w:val="left"/>
        <w:rPr>
          <w:rFonts w:hint="eastAsia" w:ascii="仿宋" w:hAnsi="仿宋" w:eastAsia="仿宋" w:cs="仿宋"/>
          <w:b/>
          <w:color w:val="auto"/>
          <w:kern w:val="0"/>
          <w:sz w:val="20"/>
          <w:szCs w:val="20"/>
          <w:highlight w:val="none"/>
        </w:rPr>
      </w:pPr>
    </w:p>
    <w:p w14:paraId="51AD7489">
      <w:pPr>
        <w:autoSpaceDE w:val="0"/>
        <w:autoSpaceDN w:val="0"/>
        <w:adjustRightInd w:val="0"/>
        <w:snapToGrid w:val="0"/>
        <w:spacing w:line="360" w:lineRule="auto"/>
        <w:ind w:firstLine="402" w:firstLineChars="200"/>
        <w:jc w:val="left"/>
        <w:rPr>
          <w:rFonts w:hint="eastAsia" w:ascii="仿宋" w:hAnsi="仿宋" w:eastAsia="仿宋" w:cs="仿宋"/>
          <w:b/>
          <w:color w:val="auto"/>
          <w:kern w:val="0"/>
          <w:sz w:val="20"/>
          <w:szCs w:val="20"/>
          <w:highlight w:val="none"/>
        </w:rPr>
      </w:pPr>
    </w:p>
    <w:p w14:paraId="065C85C3">
      <w:pPr>
        <w:autoSpaceDE w:val="0"/>
        <w:autoSpaceDN w:val="0"/>
        <w:adjustRightInd w:val="0"/>
        <w:snapToGrid w:val="0"/>
        <w:spacing w:line="360" w:lineRule="auto"/>
        <w:ind w:firstLine="402" w:firstLineChars="200"/>
        <w:jc w:val="left"/>
        <w:rPr>
          <w:rFonts w:hint="eastAsia" w:ascii="仿宋" w:hAnsi="仿宋" w:eastAsia="仿宋" w:cs="仿宋"/>
          <w:b/>
          <w:color w:val="auto"/>
          <w:kern w:val="0"/>
          <w:sz w:val="20"/>
          <w:szCs w:val="20"/>
          <w:highlight w:val="none"/>
        </w:rPr>
      </w:pPr>
    </w:p>
    <w:p w14:paraId="26844316">
      <w:pPr>
        <w:autoSpaceDE w:val="0"/>
        <w:autoSpaceDN w:val="0"/>
        <w:adjustRightInd w:val="0"/>
        <w:snapToGrid w:val="0"/>
        <w:spacing w:line="360" w:lineRule="auto"/>
        <w:ind w:firstLine="402" w:firstLineChars="200"/>
        <w:jc w:val="left"/>
        <w:rPr>
          <w:rFonts w:hint="eastAsia" w:ascii="仿宋" w:hAnsi="仿宋" w:eastAsia="仿宋" w:cs="仿宋"/>
          <w:b/>
          <w:color w:val="auto"/>
          <w:kern w:val="0"/>
          <w:sz w:val="20"/>
          <w:szCs w:val="20"/>
          <w:highlight w:val="none"/>
        </w:rPr>
      </w:pPr>
    </w:p>
    <w:p w14:paraId="3B0E7424">
      <w:pPr>
        <w:autoSpaceDE w:val="0"/>
        <w:autoSpaceDN w:val="0"/>
        <w:adjustRightInd w:val="0"/>
        <w:snapToGrid w:val="0"/>
        <w:spacing w:line="360" w:lineRule="auto"/>
        <w:ind w:firstLine="402" w:firstLineChars="200"/>
        <w:jc w:val="left"/>
        <w:rPr>
          <w:rFonts w:hint="eastAsia" w:ascii="仿宋" w:hAnsi="仿宋" w:eastAsia="仿宋" w:cs="仿宋"/>
          <w:b/>
          <w:color w:val="auto"/>
          <w:kern w:val="0"/>
          <w:sz w:val="20"/>
          <w:szCs w:val="20"/>
          <w:highlight w:val="none"/>
        </w:rPr>
      </w:pPr>
    </w:p>
    <w:p w14:paraId="348A580E">
      <w:pPr>
        <w:tabs>
          <w:tab w:val="left" w:pos="5531"/>
          <w:tab w:val="left" w:pos="6640"/>
        </w:tabs>
        <w:autoSpaceDE w:val="0"/>
        <w:autoSpaceDN w:val="0"/>
        <w:adjustRightInd w:val="0"/>
        <w:snapToGrid w:val="0"/>
        <w:spacing w:line="360" w:lineRule="auto"/>
        <w:ind w:firstLine="562" w:firstLineChars="200"/>
        <w:rPr>
          <w:rFonts w:hint="eastAsia" w:ascii="仿宋" w:hAnsi="仿宋" w:eastAsia="仿宋" w:cs="仿宋"/>
          <w:b/>
          <w:color w:val="auto"/>
          <w:kern w:val="0"/>
          <w:szCs w:val="28"/>
          <w:highlight w:val="none"/>
        </w:rPr>
      </w:pPr>
      <w:r>
        <w:rPr>
          <w:rFonts w:hint="eastAsia" w:ascii="仿宋" w:hAnsi="仿宋" w:eastAsia="仿宋" w:cs="仿宋"/>
          <w:b/>
          <w:color w:val="auto"/>
          <w:kern w:val="0"/>
          <w:szCs w:val="28"/>
          <w:highlight w:val="none"/>
        </w:rPr>
        <w:t>投标人：</w:t>
      </w:r>
      <w:r>
        <w:rPr>
          <w:rFonts w:hint="eastAsia" w:ascii="仿宋" w:hAnsi="仿宋" w:eastAsia="仿宋" w:cs="仿宋"/>
          <w:b/>
          <w:color w:val="auto"/>
          <w:kern w:val="0"/>
          <w:szCs w:val="28"/>
          <w:highlight w:val="none"/>
          <w:u w:val="single"/>
        </w:rPr>
        <w:t>　　　　                　  　</w:t>
      </w:r>
      <w:r>
        <w:rPr>
          <w:rFonts w:hint="eastAsia" w:ascii="仿宋" w:hAnsi="仿宋" w:eastAsia="仿宋" w:cs="仿宋"/>
          <w:b/>
          <w:color w:val="auto"/>
          <w:kern w:val="0"/>
          <w:szCs w:val="28"/>
          <w:highlight w:val="none"/>
        </w:rPr>
        <w:t>（盖单位公章）</w:t>
      </w:r>
    </w:p>
    <w:p w14:paraId="3A60D5CC">
      <w:pPr>
        <w:tabs>
          <w:tab w:val="left" w:pos="6080"/>
          <w:tab w:val="left" w:pos="6640"/>
        </w:tabs>
        <w:autoSpaceDE w:val="0"/>
        <w:autoSpaceDN w:val="0"/>
        <w:adjustRightInd w:val="0"/>
        <w:snapToGrid w:val="0"/>
        <w:spacing w:line="360" w:lineRule="auto"/>
        <w:ind w:firstLine="562" w:firstLineChars="200"/>
        <w:jc w:val="center"/>
        <w:rPr>
          <w:rFonts w:hint="eastAsia" w:ascii="仿宋" w:hAnsi="仿宋" w:eastAsia="仿宋" w:cs="仿宋"/>
          <w:b/>
          <w:color w:val="auto"/>
          <w:kern w:val="0"/>
          <w:szCs w:val="28"/>
          <w:highlight w:val="none"/>
        </w:rPr>
      </w:pPr>
    </w:p>
    <w:p w14:paraId="2FF6BC3E">
      <w:pPr>
        <w:tabs>
          <w:tab w:val="left" w:pos="6080"/>
          <w:tab w:val="left" w:pos="6640"/>
        </w:tabs>
        <w:autoSpaceDE w:val="0"/>
        <w:autoSpaceDN w:val="0"/>
        <w:adjustRightInd w:val="0"/>
        <w:snapToGrid w:val="0"/>
        <w:spacing w:line="360" w:lineRule="auto"/>
        <w:ind w:firstLine="562" w:firstLineChars="200"/>
        <w:rPr>
          <w:rFonts w:hint="eastAsia" w:ascii="仿宋" w:hAnsi="仿宋" w:eastAsia="仿宋" w:cs="仿宋"/>
          <w:b/>
          <w:color w:val="auto"/>
          <w:kern w:val="0"/>
          <w:szCs w:val="28"/>
          <w:highlight w:val="none"/>
        </w:rPr>
      </w:pPr>
      <w:r>
        <w:rPr>
          <w:rFonts w:hint="eastAsia" w:ascii="仿宋" w:hAnsi="仿宋" w:eastAsia="仿宋" w:cs="仿宋"/>
          <w:b/>
          <w:color w:val="auto"/>
          <w:kern w:val="0"/>
          <w:szCs w:val="28"/>
          <w:highlight w:val="none"/>
        </w:rPr>
        <w:t>法定代表人或其委托代理人：</w:t>
      </w:r>
      <w:r>
        <w:rPr>
          <w:rFonts w:hint="eastAsia" w:ascii="仿宋" w:hAnsi="仿宋" w:eastAsia="仿宋" w:cs="仿宋"/>
          <w:b/>
          <w:color w:val="auto"/>
          <w:kern w:val="0"/>
          <w:szCs w:val="28"/>
          <w:highlight w:val="none"/>
          <w:u w:val="single"/>
        </w:rPr>
        <w:t>　　      　</w:t>
      </w:r>
      <w:r>
        <w:rPr>
          <w:rFonts w:hint="eastAsia" w:ascii="仿宋" w:hAnsi="仿宋" w:eastAsia="仿宋" w:cs="仿宋"/>
          <w:b/>
          <w:color w:val="auto"/>
          <w:kern w:val="0"/>
          <w:szCs w:val="28"/>
          <w:highlight w:val="none"/>
        </w:rPr>
        <w:t>（签字或盖章）</w:t>
      </w:r>
    </w:p>
    <w:p w14:paraId="27A054CA">
      <w:pPr>
        <w:tabs>
          <w:tab w:val="left" w:pos="3280"/>
          <w:tab w:val="left" w:pos="4680"/>
          <w:tab w:val="left" w:pos="6080"/>
        </w:tabs>
        <w:autoSpaceDE w:val="0"/>
        <w:autoSpaceDN w:val="0"/>
        <w:adjustRightInd w:val="0"/>
        <w:snapToGrid w:val="0"/>
        <w:spacing w:line="360" w:lineRule="auto"/>
        <w:ind w:firstLine="562" w:firstLineChars="200"/>
        <w:jc w:val="center"/>
        <w:rPr>
          <w:rFonts w:hint="eastAsia" w:ascii="仿宋" w:hAnsi="仿宋" w:eastAsia="仿宋" w:cs="仿宋"/>
          <w:b/>
          <w:color w:val="auto"/>
          <w:kern w:val="0"/>
          <w:szCs w:val="28"/>
          <w:highlight w:val="none"/>
          <w:u w:val="single"/>
        </w:rPr>
      </w:pPr>
    </w:p>
    <w:p w14:paraId="4CE1A10C">
      <w:pPr>
        <w:tabs>
          <w:tab w:val="left" w:pos="3280"/>
          <w:tab w:val="left" w:pos="4680"/>
          <w:tab w:val="left" w:pos="6080"/>
        </w:tabs>
        <w:autoSpaceDE w:val="0"/>
        <w:autoSpaceDN w:val="0"/>
        <w:adjustRightInd w:val="0"/>
        <w:snapToGrid w:val="0"/>
        <w:spacing w:line="360" w:lineRule="auto"/>
        <w:ind w:firstLine="562" w:firstLineChars="200"/>
        <w:jc w:val="center"/>
        <w:rPr>
          <w:rFonts w:hint="eastAsia" w:ascii="仿宋" w:hAnsi="仿宋" w:eastAsia="仿宋" w:cs="仿宋"/>
          <w:b/>
          <w:color w:val="auto"/>
          <w:kern w:val="0"/>
          <w:szCs w:val="28"/>
          <w:highlight w:val="none"/>
        </w:rPr>
      </w:pPr>
      <w:r>
        <w:rPr>
          <w:rFonts w:hint="eastAsia" w:ascii="仿宋" w:hAnsi="仿宋" w:eastAsia="仿宋" w:cs="仿宋"/>
          <w:b/>
          <w:color w:val="auto"/>
          <w:kern w:val="0"/>
          <w:szCs w:val="28"/>
          <w:highlight w:val="none"/>
          <w:u w:val="single"/>
        </w:rPr>
        <w:t xml:space="preserve">       </w:t>
      </w:r>
      <w:r>
        <w:rPr>
          <w:rFonts w:hint="eastAsia" w:ascii="仿宋" w:hAnsi="仿宋" w:eastAsia="仿宋" w:cs="仿宋"/>
          <w:b/>
          <w:color w:val="auto"/>
          <w:kern w:val="0"/>
          <w:szCs w:val="28"/>
          <w:highlight w:val="none"/>
        </w:rPr>
        <w:t>年</w:t>
      </w:r>
      <w:r>
        <w:rPr>
          <w:rFonts w:hint="eastAsia" w:ascii="仿宋" w:hAnsi="仿宋" w:eastAsia="仿宋" w:cs="仿宋"/>
          <w:b/>
          <w:color w:val="auto"/>
          <w:kern w:val="0"/>
          <w:szCs w:val="28"/>
          <w:highlight w:val="none"/>
          <w:u w:val="single"/>
        </w:rPr>
        <w:t xml:space="preserve">   </w:t>
      </w:r>
      <w:r>
        <w:rPr>
          <w:rFonts w:hint="eastAsia" w:ascii="仿宋" w:hAnsi="仿宋" w:eastAsia="仿宋" w:cs="仿宋"/>
          <w:b/>
          <w:color w:val="auto"/>
          <w:kern w:val="0"/>
          <w:szCs w:val="28"/>
          <w:highlight w:val="none"/>
        </w:rPr>
        <w:t>月</w:t>
      </w:r>
      <w:r>
        <w:rPr>
          <w:rFonts w:hint="eastAsia" w:ascii="仿宋" w:hAnsi="仿宋" w:eastAsia="仿宋" w:cs="仿宋"/>
          <w:b/>
          <w:color w:val="auto"/>
          <w:kern w:val="0"/>
          <w:szCs w:val="28"/>
          <w:highlight w:val="none"/>
          <w:u w:val="single"/>
        </w:rPr>
        <w:t xml:space="preserve">    </w:t>
      </w:r>
      <w:r>
        <w:rPr>
          <w:rFonts w:hint="eastAsia" w:ascii="仿宋" w:hAnsi="仿宋" w:eastAsia="仿宋" w:cs="仿宋"/>
          <w:b/>
          <w:color w:val="auto"/>
          <w:kern w:val="0"/>
          <w:szCs w:val="28"/>
          <w:highlight w:val="none"/>
        </w:rPr>
        <w:t xml:space="preserve">日 </w:t>
      </w:r>
    </w:p>
    <w:p w14:paraId="06EC3722">
      <w:pPr>
        <w:autoSpaceDE w:val="0"/>
        <w:autoSpaceDN w:val="0"/>
        <w:adjustRightInd w:val="0"/>
        <w:snapToGrid w:val="0"/>
        <w:spacing w:line="360" w:lineRule="auto"/>
        <w:ind w:firstLine="480" w:firstLineChars="200"/>
        <w:jc w:val="left"/>
        <w:rPr>
          <w:rFonts w:hint="eastAsia" w:ascii="仿宋" w:hAnsi="仿宋" w:eastAsia="仿宋" w:cs="仿宋"/>
          <w:color w:val="auto"/>
          <w:kern w:val="0"/>
          <w:sz w:val="24"/>
          <w:szCs w:val="21"/>
          <w:highlight w:val="none"/>
        </w:rPr>
      </w:pPr>
      <w:r>
        <w:rPr>
          <w:rFonts w:hint="eastAsia" w:ascii="仿宋" w:hAnsi="仿宋" w:eastAsia="仿宋" w:cs="仿宋"/>
          <w:color w:val="auto"/>
          <w:kern w:val="0"/>
          <w:sz w:val="24"/>
          <w:szCs w:val="21"/>
          <w:highlight w:val="none"/>
        </w:rPr>
        <w:br w:type="page"/>
      </w:r>
    </w:p>
    <w:p w14:paraId="2F0BCACD">
      <w:pPr>
        <w:autoSpaceDE w:val="0"/>
        <w:autoSpaceDN w:val="0"/>
        <w:adjustRightInd w:val="0"/>
        <w:snapToGrid w:val="0"/>
        <w:spacing w:line="360" w:lineRule="auto"/>
        <w:ind w:firstLine="643" w:firstLineChars="200"/>
        <w:jc w:val="center"/>
        <w:rPr>
          <w:rFonts w:hint="eastAsia" w:ascii="仿宋" w:hAnsi="仿宋" w:eastAsia="仿宋" w:cs="仿宋"/>
          <w:b/>
          <w:color w:val="auto"/>
          <w:kern w:val="0"/>
          <w:sz w:val="32"/>
          <w:szCs w:val="32"/>
          <w:highlight w:val="none"/>
        </w:rPr>
      </w:pPr>
      <w:r>
        <w:rPr>
          <w:rFonts w:hint="eastAsia" w:ascii="仿宋" w:hAnsi="仿宋" w:eastAsia="仿宋" w:cs="仿宋"/>
          <w:b/>
          <w:color w:val="auto"/>
          <w:kern w:val="0"/>
          <w:sz w:val="32"/>
          <w:szCs w:val="32"/>
          <w:highlight w:val="none"/>
        </w:rPr>
        <w:t>目录</w:t>
      </w:r>
    </w:p>
    <w:p w14:paraId="726FDDD5">
      <w:pPr>
        <w:autoSpaceDE w:val="0"/>
        <w:autoSpaceDN w:val="0"/>
        <w:adjustRightInd w:val="0"/>
        <w:snapToGrid w:val="0"/>
        <w:spacing w:line="360" w:lineRule="auto"/>
        <w:ind w:firstLine="480" w:firstLineChars="200"/>
        <w:jc w:val="left"/>
        <w:rPr>
          <w:rFonts w:hint="eastAsia" w:ascii="仿宋" w:hAnsi="仿宋" w:eastAsia="仿宋" w:cs="仿宋"/>
          <w:color w:val="auto"/>
          <w:kern w:val="0"/>
          <w:sz w:val="24"/>
          <w:szCs w:val="21"/>
          <w:highlight w:val="none"/>
        </w:rPr>
      </w:pPr>
    </w:p>
    <w:p w14:paraId="489E1988">
      <w:pPr>
        <w:autoSpaceDE w:val="0"/>
        <w:autoSpaceDN w:val="0"/>
        <w:adjustRightInd w:val="0"/>
        <w:spacing w:line="360" w:lineRule="auto"/>
        <w:ind w:right="-20" w:firstLine="480" w:firstLineChars="20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（一）投标函</w:t>
      </w:r>
    </w:p>
    <w:p w14:paraId="744658A2">
      <w:pPr>
        <w:autoSpaceDE w:val="0"/>
        <w:autoSpaceDN w:val="0"/>
        <w:adjustRightInd w:val="0"/>
        <w:spacing w:line="360" w:lineRule="auto"/>
        <w:ind w:right="-20" w:firstLine="480" w:firstLineChars="20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（二）法定代表人身份证明及授权委托书</w:t>
      </w:r>
    </w:p>
    <w:p w14:paraId="49C34413">
      <w:pPr>
        <w:autoSpaceDE w:val="0"/>
        <w:autoSpaceDN w:val="0"/>
        <w:adjustRightInd w:val="0"/>
        <w:spacing w:line="360" w:lineRule="auto"/>
        <w:ind w:right="-20" w:firstLine="480" w:firstLineChars="20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（三）已标价工程量清单</w:t>
      </w:r>
    </w:p>
    <w:p w14:paraId="6317653E">
      <w:pPr>
        <w:autoSpaceDE w:val="0"/>
        <w:autoSpaceDN w:val="0"/>
        <w:adjustRightInd w:val="0"/>
        <w:spacing w:line="360" w:lineRule="auto"/>
        <w:ind w:right="-20" w:firstLine="480" w:firstLineChars="200"/>
        <w:jc w:val="left"/>
        <w:rPr>
          <w:rFonts w:hint="eastAsia" w:ascii="仿宋" w:hAnsi="仿宋" w:eastAsia="仿宋" w:cs="仿宋"/>
          <w:color w:val="auto"/>
          <w:kern w:val="0"/>
          <w:sz w:val="24"/>
          <w:highlight w:val="none"/>
        </w:rPr>
      </w:pPr>
    </w:p>
    <w:p w14:paraId="1393DB49">
      <w:pPr>
        <w:autoSpaceDE w:val="0"/>
        <w:autoSpaceDN w:val="0"/>
        <w:adjustRightInd w:val="0"/>
        <w:snapToGrid w:val="0"/>
        <w:spacing w:line="360" w:lineRule="auto"/>
        <w:ind w:firstLine="560" w:firstLineChars="200"/>
        <w:jc w:val="left"/>
        <w:rPr>
          <w:rFonts w:hint="eastAsia" w:ascii="仿宋" w:hAnsi="仿宋" w:eastAsia="仿宋" w:cs="仿宋"/>
          <w:color w:val="auto"/>
          <w:kern w:val="0"/>
          <w:szCs w:val="21"/>
          <w:highlight w:val="none"/>
        </w:rPr>
      </w:pPr>
    </w:p>
    <w:p w14:paraId="2A50383E">
      <w:pPr>
        <w:autoSpaceDE w:val="0"/>
        <w:autoSpaceDN w:val="0"/>
        <w:adjustRightInd w:val="0"/>
        <w:snapToGrid w:val="0"/>
        <w:spacing w:line="360" w:lineRule="auto"/>
        <w:ind w:firstLine="560" w:firstLineChars="200"/>
        <w:jc w:val="left"/>
        <w:rPr>
          <w:rFonts w:hint="eastAsia" w:ascii="仿宋" w:hAnsi="仿宋" w:eastAsia="仿宋" w:cs="仿宋"/>
          <w:color w:val="auto"/>
          <w:kern w:val="0"/>
          <w:szCs w:val="21"/>
          <w:highlight w:val="none"/>
        </w:rPr>
      </w:pPr>
    </w:p>
    <w:p w14:paraId="628A6941">
      <w:pPr>
        <w:autoSpaceDE w:val="0"/>
        <w:autoSpaceDN w:val="0"/>
        <w:adjustRightInd w:val="0"/>
        <w:snapToGrid w:val="0"/>
        <w:spacing w:line="360" w:lineRule="auto"/>
        <w:ind w:firstLine="560" w:firstLineChars="200"/>
        <w:jc w:val="left"/>
        <w:rPr>
          <w:rFonts w:hint="eastAsia" w:ascii="仿宋" w:hAnsi="仿宋" w:eastAsia="仿宋" w:cs="仿宋"/>
          <w:color w:val="auto"/>
          <w:kern w:val="0"/>
          <w:highlight w:val="none"/>
        </w:rPr>
      </w:pPr>
    </w:p>
    <w:p w14:paraId="72F4CE6F">
      <w:pPr>
        <w:autoSpaceDE w:val="0"/>
        <w:autoSpaceDN w:val="0"/>
        <w:adjustRightInd w:val="0"/>
        <w:snapToGrid w:val="0"/>
        <w:spacing w:line="360" w:lineRule="auto"/>
        <w:ind w:firstLine="560" w:firstLineChars="200"/>
        <w:jc w:val="left"/>
        <w:rPr>
          <w:rFonts w:hint="eastAsia" w:ascii="仿宋" w:hAnsi="仿宋" w:eastAsia="仿宋" w:cs="仿宋"/>
          <w:color w:val="auto"/>
          <w:kern w:val="0"/>
          <w:highlight w:val="none"/>
        </w:rPr>
      </w:pPr>
    </w:p>
    <w:p w14:paraId="34A060C6">
      <w:pPr>
        <w:autoSpaceDE w:val="0"/>
        <w:autoSpaceDN w:val="0"/>
        <w:adjustRightInd w:val="0"/>
        <w:snapToGrid w:val="0"/>
        <w:spacing w:line="360" w:lineRule="auto"/>
        <w:ind w:firstLine="560" w:firstLineChars="200"/>
        <w:jc w:val="left"/>
        <w:rPr>
          <w:rFonts w:hint="eastAsia" w:ascii="仿宋" w:hAnsi="仿宋" w:eastAsia="仿宋" w:cs="仿宋"/>
          <w:color w:val="auto"/>
          <w:kern w:val="0"/>
          <w:highlight w:val="none"/>
        </w:rPr>
      </w:pPr>
    </w:p>
    <w:p w14:paraId="07AD6DDD">
      <w:pPr>
        <w:autoSpaceDE w:val="0"/>
        <w:autoSpaceDN w:val="0"/>
        <w:adjustRightInd w:val="0"/>
        <w:snapToGrid w:val="0"/>
        <w:spacing w:line="360" w:lineRule="auto"/>
        <w:ind w:firstLine="560" w:firstLineChars="200"/>
        <w:jc w:val="left"/>
        <w:rPr>
          <w:rFonts w:hint="eastAsia" w:ascii="仿宋" w:hAnsi="仿宋" w:eastAsia="仿宋" w:cs="仿宋"/>
          <w:color w:val="auto"/>
          <w:kern w:val="0"/>
          <w:highlight w:val="none"/>
        </w:rPr>
      </w:pPr>
    </w:p>
    <w:p w14:paraId="235C7A46">
      <w:pPr>
        <w:autoSpaceDE w:val="0"/>
        <w:autoSpaceDN w:val="0"/>
        <w:adjustRightInd w:val="0"/>
        <w:snapToGrid w:val="0"/>
        <w:spacing w:line="360" w:lineRule="auto"/>
        <w:ind w:firstLine="560" w:firstLineChars="200"/>
        <w:jc w:val="left"/>
        <w:rPr>
          <w:rFonts w:hint="eastAsia" w:ascii="仿宋" w:hAnsi="仿宋" w:eastAsia="仿宋" w:cs="仿宋"/>
          <w:color w:val="auto"/>
          <w:kern w:val="0"/>
          <w:highlight w:val="none"/>
        </w:rPr>
      </w:pPr>
    </w:p>
    <w:p w14:paraId="2DCB91BE">
      <w:pPr>
        <w:autoSpaceDE w:val="0"/>
        <w:autoSpaceDN w:val="0"/>
        <w:adjustRightInd w:val="0"/>
        <w:snapToGrid w:val="0"/>
        <w:spacing w:line="360" w:lineRule="auto"/>
        <w:ind w:firstLine="560" w:firstLineChars="200"/>
        <w:jc w:val="left"/>
        <w:rPr>
          <w:rFonts w:hint="eastAsia" w:ascii="仿宋" w:hAnsi="仿宋" w:eastAsia="仿宋" w:cs="仿宋"/>
          <w:color w:val="auto"/>
          <w:kern w:val="0"/>
          <w:szCs w:val="28"/>
          <w:highlight w:val="none"/>
        </w:rPr>
      </w:pPr>
    </w:p>
    <w:p w14:paraId="75A2F658">
      <w:pPr>
        <w:autoSpaceDE w:val="0"/>
        <w:autoSpaceDN w:val="0"/>
        <w:adjustRightInd w:val="0"/>
        <w:snapToGrid w:val="0"/>
        <w:spacing w:line="360" w:lineRule="auto"/>
        <w:ind w:firstLine="560" w:firstLineChars="200"/>
        <w:jc w:val="left"/>
        <w:rPr>
          <w:rFonts w:hint="eastAsia" w:ascii="仿宋" w:hAnsi="仿宋" w:eastAsia="仿宋" w:cs="仿宋"/>
          <w:color w:val="auto"/>
          <w:kern w:val="0"/>
          <w:szCs w:val="28"/>
          <w:highlight w:val="none"/>
        </w:rPr>
      </w:pPr>
    </w:p>
    <w:p w14:paraId="07D18363">
      <w:pPr>
        <w:autoSpaceDE w:val="0"/>
        <w:autoSpaceDN w:val="0"/>
        <w:adjustRightInd w:val="0"/>
        <w:snapToGrid w:val="0"/>
        <w:spacing w:line="360" w:lineRule="auto"/>
        <w:ind w:firstLine="560" w:firstLineChars="200"/>
        <w:jc w:val="left"/>
        <w:rPr>
          <w:rFonts w:hint="eastAsia" w:ascii="仿宋" w:hAnsi="仿宋" w:eastAsia="仿宋" w:cs="仿宋"/>
          <w:color w:val="auto"/>
          <w:kern w:val="0"/>
          <w:szCs w:val="28"/>
          <w:highlight w:val="none"/>
        </w:rPr>
      </w:pPr>
    </w:p>
    <w:p w14:paraId="0BAA125C">
      <w:pPr>
        <w:pStyle w:val="4"/>
        <w:numPr>
          <w:ilvl w:val="0"/>
          <w:numId w:val="4"/>
        </w:numPr>
        <w:spacing w:before="0" w:after="0" w:line="440" w:lineRule="exact"/>
        <w:ind w:firstLine="643" w:firstLineChars="200"/>
        <w:jc w:val="center"/>
        <w:rPr>
          <w:rFonts w:hint="eastAsia" w:ascii="仿宋" w:hAnsi="仿宋" w:eastAsia="仿宋" w:cs="仿宋"/>
          <w:color w:val="auto"/>
          <w:sz w:val="28"/>
          <w:highlight w:val="none"/>
        </w:rPr>
      </w:pPr>
      <w:r>
        <w:rPr>
          <w:rFonts w:hint="eastAsia" w:ascii="仿宋" w:hAnsi="仿宋" w:eastAsia="仿宋" w:cs="仿宋"/>
          <w:color w:val="auto"/>
          <w:highlight w:val="none"/>
        </w:rPr>
        <w:br w:type="page"/>
      </w:r>
      <w:bookmarkStart w:id="1967" w:name="_Toc12445"/>
      <w:r>
        <w:rPr>
          <w:rFonts w:hint="eastAsia" w:ascii="仿宋" w:hAnsi="仿宋" w:eastAsia="仿宋" w:cs="仿宋"/>
          <w:color w:val="auto"/>
          <w:sz w:val="28"/>
          <w:highlight w:val="none"/>
        </w:rPr>
        <w:t>投标函</w:t>
      </w:r>
      <w:bookmarkEnd w:id="1967"/>
    </w:p>
    <w:p w14:paraId="168EF90A">
      <w:pPr>
        <w:rPr>
          <w:rFonts w:hint="eastAsia" w:ascii="仿宋" w:hAnsi="仿宋" w:eastAsia="仿宋" w:cs="仿宋"/>
          <w:color w:val="auto"/>
          <w:highlight w:val="none"/>
        </w:rPr>
      </w:pPr>
    </w:p>
    <w:p w14:paraId="05F4AF28">
      <w:pPr>
        <w:autoSpaceDE w:val="0"/>
        <w:autoSpaceDN w:val="0"/>
        <w:adjustRightInd w:val="0"/>
        <w:spacing w:line="360" w:lineRule="auto"/>
        <w:ind w:right="-20"/>
        <w:jc w:val="left"/>
        <w:rPr>
          <w:rFonts w:hint="eastAsia" w:ascii="仿宋" w:hAnsi="仿宋" w:eastAsia="仿宋" w:cs="仿宋"/>
          <w:snapToGrid w:val="0"/>
          <w:color w:val="auto"/>
          <w:kern w:val="0"/>
          <w:sz w:val="24"/>
          <w:highlight w:val="none"/>
        </w:rPr>
      </w:pPr>
      <w:r>
        <w:rPr>
          <w:rFonts w:hint="eastAsia" w:ascii="仿宋" w:hAnsi="仿宋" w:eastAsia="仿宋" w:cs="仿宋"/>
          <w:b/>
          <w:snapToGrid w:val="0"/>
          <w:color w:val="auto"/>
          <w:kern w:val="0"/>
          <w:sz w:val="24"/>
          <w:szCs w:val="20"/>
          <w:highlight w:val="none"/>
          <w:u w:val="single"/>
        </w:rPr>
        <w:t xml:space="preserve">                      </w:t>
      </w:r>
      <w:r>
        <w:rPr>
          <w:rFonts w:hint="eastAsia" w:ascii="仿宋" w:hAnsi="仿宋" w:eastAsia="仿宋" w:cs="仿宋"/>
          <w:snapToGrid w:val="0"/>
          <w:color w:val="auto"/>
          <w:kern w:val="0"/>
          <w:sz w:val="24"/>
          <w:szCs w:val="20"/>
          <w:highlight w:val="none"/>
        </w:rPr>
        <w:t>（招标人名称）：</w:t>
      </w:r>
    </w:p>
    <w:p w14:paraId="16F03FB1">
      <w:pPr>
        <w:pStyle w:val="6"/>
        <w:spacing w:line="360" w:lineRule="auto"/>
        <w:ind w:firstLine="480" w:firstLineChars="200"/>
        <w:rPr>
          <w:rFonts w:hint="eastAsia" w:ascii="仿宋" w:hAnsi="仿宋" w:eastAsia="仿宋" w:cs="仿宋"/>
          <w:color w:val="auto"/>
          <w:sz w:val="24"/>
          <w:szCs w:val="32"/>
          <w:highlight w:val="none"/>
        </w:rPr>
      </w:pPr>
      <w:r>
        <w:rPr>
          <w:rFonts w:hint="eastAsia" w:ascii="仿宋" w:hAnsi="仿宋" w:eastAsia="仿宋" w:cs="仿宋"/>
          <w:snapToGrid w:val="0"/>
          <w:color w:val="auto"/>
          <w:kern w:val="0"/>
          <w:sz w:val="24"/>
          <w:highlight w:val="none"/>
        </w:rPr>
        <w:t>1.我方已仔细研究了</w:t>
      </w:r>
      <w:r>
        <w:rPr>
          <w:rFonts w:hint="eastAsia" w:ascii="仿宋" w:hAnsi="仿宋" w:eastAsia="仿宋" w:cs="仿宋"/>
          <w:snapToGrid w:val="0"/>
          <w:color w:val="auto"/>
          <w:kern w:val="0"/>
          <w:sz w:val="24"/>
          <w:highlight w:val="none"/>
          <w:u w:val="single"/>
        </w:rPr>
        <w:tab/>
      </w:r>
      <w:r>
        <w:rPr>
          <w:rFonts w:hint="eastAsia" w:ascii="仿宋" w:hAnsi="仿宋" w:eastAsia="仿宋" w:cs="仿宋"/>
          <w:snapToGrid w:val="0"/>
          <w:color w:val="auto"/>
          <w:kern w:val="0"/>
          <w:sz w:val="24"/>
          <w:highlight w:val="none"/>
          <w:u w:val="single"/>
        </w:rPr>
        <w:tab/>
      </w:r>
      <w:r>
        <w:rPr>
          <w:rFonts w:hint="eastAsia" w:ascii="仿宋" w:hAnsi="仿宋" w:eastAsia="仿宋" w:cs="仿宋"/>
          <w:snapToGrid w:val="0"/>
          <w:color w:val="auto"/>
          <w:kern w:val="0"/>
          <w:sz w:val="24"/>
          <w:highlight w:val="none"/>
          <w:u w:val="single"/>
        </w:rPr>
        <w:t xml:space="preserve">   （项目名称）</w:t>
      </w:r>
      <w:r>
        <w:rPr>
          <w:rFonts w:hint="eastAsia" w:ascii="仿宋" w:hAnsi="仿宋" w:eastAsia="仿宋" w:cs="仿宋"/>
          <w:snapToGrid w:val="0"/>
          <w:color w:val="auto"/>
          <w:kern w:val="0"/>
          <w:sz w:val="24"/>
          <w:highlight w:val="none"/>
        </w:rPr>
        <w:t>招标文件的全部内容，愿意以人民币（大写）</w:t>
      </w:r>
      <w:r>
        <w:rPr>
          <w:rFonts w:hint="eastAsia" w:ascii="仿宋" w:hAnsi="仿宋" w:eastAsia="仿宋" w:cs="仿宋"/>
          <w:snapToGrid w:val="0"/>
          <w:color w:val="auto"/>
          <w:kern w:val="0"/>
          <w:sz w:val="24"/>
          <w:highlight w:val="none"/>
          <w:u w:val="single"/>
        </w:rPr>
        <w:tab/>
      </w:r>
      <w:r>
        <w:rPr>
          <w:rFonts w:hint="eastAsia" w:ascii="仿宋" w:hAnsi="仿宋" w:eastAsia="仿宋" w:cs="仿宋"/>
          <w:snapToGrid w:val="0"/>
          <w:color w:val="auto"/>
          <w:kern w:val="0"/>
          <w:sz w:val="24"/>
          <w:highlight w:val="none"/>
        </w:rPr>
        <w:t>（¥</w:t>
      </w:r>
      <w:r>
        <w:rPr>
          <w:rFonts w:hint="eastAsia" w:ascii="仿宋" w:hAnsi="仿宋" w:eastAsia="仿宋" w:cs="仿宋"/>
          <w:snapToGrid w:val="0"/>
          <w:color w:val="auto"/>
          <w:kern w:val="0"/>
          <w:sz w:val="24"/>
          <w:highlight w:val="none"/>
          <w:u w:val="single"/>
        </w:rPr>
        <w:t xml:space="preserve">    </w:t>
      </w:r>
      <w:r>
        <w:rPr>
          <w:rFonts w:hint="eastAsia" w:ascii="仿宋" w:hAnsi="仿宋" w:eastAsia="仿宋" w:cs="仿宋"/>
          <w:snapToGrid w:val="0"/>
          <w:color w:val="auto"/>
          <w:kern w:val="0"/>
          <w:sz w:val="24"/>
          <w:highlight w:val="none"/>
        </w:rPr>
        <w:t>）的投标总报价进行报价，其中</w:t>
      </w:r>
      <w:r>
        <w:rPr>
          <w:rFonts w:hint="eastAsia" w:ascii="仿宋" w:hAnsi="仿宋" w:eastAsia="仿宋" w:cs="仿宋"/>
          <w:snapToGrid w:val="0"/>
          <w:color w:val="auto"/>
          <w:kern w:val="0"/>
          <w:sz w:val="24"/>
          <w:szCs w:val="32"/>
          <w:highlight w:val="none"/>
        </w:rPr>
        <w:t>安全文明施工费暂定金额为人民币</w:t>
      </w:r>
      <w:r>
        <w:rPr>
          <w:rFonts w:hint="eastAsia" w:ascii="仿宋" w:hAnsi="仿宋" w:eastAsia="仿宋" w:cs="仿宋"/>
          <w:snapToGrid w:val="0"/>
          <w:color w:val="auto"/>
          <w:kern w:val="0"/>
          <w:sz w:val="24"/>
          <w:highlight w:val="none"/>
        </w:rPr>
        <w:t>（大写）</w:t>
      </w:r>
      <w:r>
        <w:rPr>
          <w:rFonts w:hint="eastAsia" w:ascii="仿宋" w:hAnsi="仿宋" w:eastAsia="仿宋" w:cs="仿宋"/>
          <w:snapToGrid w:val="0"/>
          <w:color w:val="auto"/>
          <w:kern w:val="0"/>
          <w:sz w:val="24"/>
          <w:highlight w:val="none"/>
          <w:u w:val="single"/>
        </w:rPr>
        <w:tab/>
      </w:r>
      <w:r>
        <w:rPr>
          <w:rFonts w:hint="eastAsia" w:ascii="仿宋" w:hAnsi="仿宋" w:eastAsia="仿宋" w:cs="仿宋"/>
          <w:snapToGrid w:val="0"/>
          <w:color w:val="auto"/>
          <w:kern w:val="0"/>
          <w:sz w:val="24"/>
          <w:highlight w:val="none"/>
        </w:rPr>
        <w:t>（¥</w:t>
      </w:r>
      <w:r>
        <w:rPr>
          <w:rFonts w:hint="eastAsia" w:ascii="仿宋" w:hAnsi="仿宋" w:eastAsia="仿宋" w:cs="仿宋"/>
          <w:snapToGrid w:val="0"/>
          <w:color w:val="auto"/>
          <w:kern w:val="0"/>
          <w:sz w:val="24"/>
          <w:highlight w:val="none"/>
          <w:u w:val="single"/>
        </w:rPr>
        <w:t xml:space="preserve">    </w:t>
      </w:r>
      <w:r>
        <w:rPr>
          <w:rFonts w:hint="eastAsia" w:ascii="仿宋" w:hAnsi="仿宋" w:eastAsia="仿宋" w:cs="仿宋"/>
          <w:snapToGrid w:val="0"/>
          <w:color w:val="auto"/>
          <w:kern w:val="0"/>
          <w:sz w:val="24"/>
          <w:highlight w:val="none"/>
        </w:rPr>
        <w:t>），该工程</w:t>
      </w:r>
      <w:r>
        <w:rPr>
          <w:rFonts w:hint="eastAsia" w:ascii="仿宋" w:hAnsi="仿宋" w:eastAsia="仿宋" w:cs="仿宋"/>
          <w:snapToGrid w:val="0"/>
          <w:color w:val="auto"/>
          <w:kern w:val="0"/>
          <w:sz w:val="24"/>
          <w:szCs w:val="32"/>
          <w:highlight w:val="none"/>
        </w:rPr>
        <w:t>项目经理为</w:t>
      </w:r>
      <w:r>
        <w:rPr>
          <w:rFonts w:hint="eastAsia" w:ascii="仿宋" w:hAnsi="仿宋" w:eastAsia="仿宋" w:cs="仿宋"/>
          <w:snapToGrid w:val="0"/>
          <w:color w:val="auto"/>
          <w:kern w:val="0"/>
          <w:sz w:val="24"/>
          <w:szCs w:val="32"/>
          <w:highlight w:val="none"/>
          <w:u w:val="single"/>
        </w:rPr>
        <w:t xml:space="preserve">        </w:t>
      </w:r>
      <w:r>
        <w:rPr>
          <w:rFonts w:hint="eastAsia" w:ascii="仿宋" w:hAnsi="仿宋" w:eastAsia="仿宋" w:cs="仿宋"/>
          <w:snapToGrid w:val="0"/>
          <w:color w:val="auto"/>
          <w:kern w:val="0"/>
          <w:sz w:val="24"/>
          <w:highlight w:val="none"/>
        </w:rPr>
        <w:t>。工期</w:t>
      </w:r>
      <w:r>
        <w:rPr>
          <w:rFonts w:hint="eastAsia" w:ascii="仿宋" w:hAnsi="仿宋" w:eastAsia="仿宋" w:cs="仿宋"/>
          <w:snapToGrid w:val="0"/>
          <w:color w:val="auto"/>
          <w:kern w:val="0"/>
          <w:sz w:val="24"/>
          <w:highlight w:val="none"/>
          <w:u w:val="single"/>
        </w:rPr>
        <w:t xml:space="preserve">      </w:t>
      </w:r>
      <w:r>
        <w:rPr>
          <w:rFonts w:hint="eastAsia" w:ascii="仿宋" w:hAnsi="仿宋" w:eastAsia="仿宋" w:cs="仿宋"/>
          <w:snapToGrid w:val="0"/>
          <w:color w:val="auto"/>
          <w:kern w:val="0"/>
          <w:sz w:val="24"/>
          <w:highlight w:val="none"/>
        </w:rPr>
        <w:t>日历天， 按合同约定实施和完成承包工程，修补工程中的任何缺陷，工程质量达到</w:t>
      </w:r>
      <w:r>
        <w:rPr>
          <w:rFonts w:hint="eastAsia" w:ascii="仿宋" w:hAnsi="仿宋" w:eastAsia="仿宋" w:cs="仿宋"/>
          <w:snapToGrid w:val="0"/>
          <w:color w:val="auto"/>
          <w:kern w:val="0"/>
          <w:sz w:val="24"/>
          <w:highlight w:val="none"/>
          <w:u w:val="single"/>
        </w:rPr>
        <w:t xml:space="preserve">                  </w:t>
      </w:r>
      <w:r>
        <w:rPr>
          <w:rFonts w:hint="eastAsia" w:ascii="仿宋" w:hAnsi="仿宋" w:eastAsia="仿宋" w:cs="仿宋"/>
          <w:snapToGrid w:val="0"/>
          <w:color w:val="auto"/>
          <w:kern w:val="0"/>
          <w:sz w:val="24"/>
          <w:highlight w:val="none"/>
        </w:rPr>
        <w:t>。</w:t>
      </w:r>
    </w:p>
    <w:p w14:paraId="19C81895">
      <w:pPr>
        <w:autoSpaceDE w:val="0"/>
        <w:autoSpaceDN w:val="0"/>
        <w:adjustRightInd w:val="0"/>
        <w:spacing w:line="360" w:lineRule="auto"/>
        <w:ind w:firstLine="480" w:firstLineChars="200"/>
        <w:jc w:val="left"/>
        <w:rPr>
          <w:rFonts w:hint="eastAsia" w:ascii="仿宋" w:hAnsi="仿宋" w:eastAsia="仿宋" w:cs="仿宋"/>
          <w:snapToGrid w:val="0"/>
          <w:color w:val="auto"/>
          <w:kern w:val="0"/>
          <w:sz w:val="24"/>
          <w:szCs w:val="20"/>
          <w:highlight w:val="none"/>
        </w:rPr>
      </w:pPr>
      <w:r>
        <w:rPr>
          <w:rFonts w:hint="eastAsia" w:ascii="仿宋" w:hAnsi="仿宋" w:eastAsia="仿宋" w:cs="仿宋"/>
          <w:snapToGrid w:val="0"/>
          <w:color w:val="auto"/>
          <w:kern w:val="0"/>
          <w:sz w:val="24"/>
          <w:szCs w:val="20"/>
          <w:highlight w:val="none"/>
        </w:rPr>
        <w:t>2．我方承诺在投标有效期内不修改、撤销投标文件。</w:t>
      </w:r>
    </w:p>
    <w:p w14:paraId="2C63D735">
      <w:pPr>
        <w:autoSpaceDE w:val="0"/>
        <w:autoSpaceDN w:val="0"/>
        <w:adjustRightInd w:val="0"/>
        <w:spacing w:line="360" w:lineRule="auto"/>
        <w:ind w:firstLine="480" w:firstLineChars="200"/>
        <w:jc w:val="left"/>
        <w:rPr>
          <w:rFonts w:hint="eastAsia" w:ascii="仿宋" w:hAnsi="仿宋" w:eastAsia="仿宋" w:cs="仿宋"/>
          <w:snapToGrid w:val="0"/>
          <w:color w:val="auto"/>
          <w:kern w:val="0"/>
          <w:sz w:val="24"/>
          <w:szCs w:val="20"/>
          <w:highlight w:val="none"/>
        </w:rPr>
      </w:pPr>
      <w:r>
        <w:rPr>
          <w:rFonts w:hint="eastAsia" w:ascii="仿宋" w:hAnsi="仿宋" w:eastAsia="仿宋" w:cs="仿宋"/>
          <w:snapToGrid w:val="0"/>
          <w:color w:val="auto"/>
          <w:kern w:val="0"/>
          <w:sz w:val="24"/>
          <w:szCs w:val="20"/>
          <w:highlight w:val="none"/>
        </w:rPr>
        <w:t>3．如我方中选：</w:t>
      </w:r>
    </w:p>
    <w:p w14:paraId="0D43E63F">
      <w:pPr>
        <w:autoSpaceDE w:val="0"/>
        <w:autoSpaceDN w:val="0"/>
        <w:adjustRightInd w:val="0"/>
        <w:spacing w:line="360" w:lineRule="auto"/>
        <w:ind w:firstLine="480" w:firstLineChars="200"/>
        <w:jc w:val="left"/>
        <w:rPr>
          <w:rFonts w:hint="eastAsia" w:ascii="仿宋" w:hAnsi="仿宋" w:eastAsia="仿宋" w:cs="仿宋"/>
          <w:snapToGrid w:val="0"/>
          <w:color w:val="auto"/>
          <w:kern w:val="0"/>
          <w:sz w:val="24"/>
          <w:szCs w:val="20"/>
          <w:highlight w:val="none"/>
        </w:rPr>
      </w:pPr>
      <w:r>
        <w:rPr>
          <w:rFonts w:hint="eastAsia" w:ascii="仿宋" w:hAnsi="仿宋" w:eastAsia="仿宋" w:cs="仿宋"/>
          <w:snapToGrid w:val="0"/>
          <w:color w:val="auto"/>
          <w:kern w:val="0"/>
          <w:sz w:val="24"/>
          <w:szCs w:val="20"/>
          <w:highlight w:val="none"/>
        </w:rPr>
        <w:t>（1）我方承诺在收到中选通知书后，在中选通知书规定的期限内与你方签订合同。</w:t>
      </w:r>
    </w:p>
    <w:p w14:paraId="00E4B823">
      <w:pPr>
        <w:autoSpaceDE w:val="0"/>
        <w:autoSpaceDN w:val="0"/>
        <w:adjustRightInd w:val="0"/>
        <w:spacing w:line="360" w:lineRule="auto"/>
        <w:ind w:firstLine="480" w:firstLineChars="200"/>
        <w:jc w:val="left"/>
        <w:rPr>
          <w:rFonts w:hint="eastAsia" w:ascii="仿宋" w:hAnsi="仿宋" w:eastAsia="仿宋" w:cs="仿宋"/>
          <w:snapToGrid w:val="0"/>
          <w:color w:val="auto"/>
          <w:kern w:val="0"/>
          <w:sz w:val="24"/>
          <w:szCs w:val="20"/>
          <w:highlight w:val="none"/>
        </w:rPr>
      </w:pPr>
      <w:r>
        <w:rPr>
          <w:rFonts w:hint="eastAsia" w:ascii="仿宋" w:hAnsi="仿宋" w:eastAsia="仿宋" w:cs="仿宋"/>
          <w:snapToGrid w:val="0"/>
          <w:color w:val="auto"/>
          <w:kern w:val="0"/>
          <w:sz w:val="24"/>
          <w:szCs w:val="20"/>
          <w:highlight w:val="none"/>
        </w:rPr>
        <w:t>（2）我方承诺按照招标文件规定向你方递交履约担保（如有）。</w:t>
      </w:r>
    </w:p>
    <w:p w14:paraId="6178C17F">
      <w:pPr>
        <w:tabs>
          <w:tab w:val="left" w:pos="2730"/>
          <w:tab w:val="left" w:pos="7560"/>
        </w:tabs>
        <w:autoSpaceDE w:val="0"/>
        <w:autoSpaceDN w:val="0"/>
        <w:adjustRightInd w:val="0"/>
        <w:spacing w:line="360" w:lineRule="auto"/>
        <w:ind w:right="-119" w:firstLine="480" w:firstLineChars="200"/>
        <w:jc w:val="left"/>
        <w:rPr>
          <w:rFonts w:hint="eastAsia" w:ascii="仿宋" w:hAnsi="仿宋" w:eastAsia="仿宋" w:cs="仿宋"/>
          <w:snapToGrid w:val="0"/>
          <w:color w:val="auto"/>
          <w:kern w:val="0"/>
          <w:sz w:val="24"/>
          <w:szCs w:val="20"/>
          <w:highlight w:val="none"/>
        </w:rPr>
      </w:pPr>
      <w:r>
        <w:rPr>
          <w:rFonts w:hint="eastAsia" w:ascii="仿宋" w:hAnsi="仿宋" w:eastAsia="仿宋" w:cs="仿宋"/>
          <w:snapToGrid w:val="0"/>
          <w:color w:val="auto"/>
          <w:kern w:val="0"/>
          <w:sz w:val="24"/>
          <w:szCs w:val="20"/>
          <w:highlight w:val="none"/>
        </w:rPr>
        <w:t>（3）我方承诺在合同约定的期限内完成并移交全部合同工程。</w:t>
      </w:r>
    </w:p>
    <w:p w14:paraId="70A41A79">
      <w:pPr>
        <w:autoSpaceDE w:val="0"/>
        <w:autoSpaceDN w:val="0"/>
        <w:adjustRightInd w:val="0"/>
        <w:spacing w:line="360" w:lineRule="auto"/>
        <w:ind w:firstLine="480" w:firstLineChars="200"/>
        <w:jc w:val="left"/>
        <w:rPr>
          <w:rFonts w:hint="eastAsia" w:ascii="仿宋" w:hAnsi="仿宋" w:eastAsia="仿宋" w:cs="仿宋"/>
          <w:snapToGrid w:val="0"/>
          <w:color w:val="auto"/>
          <w:kern w:val="0"/>
          <w:sz w:val="24"/>
          <w:szCs w:val="20"/>
          <w:highlight w:val="none"/>
        </w:rPr>
      </w:pPr>
      <w:r>
        <w:rPr>
          <w:rFonts w:hint="eastAsia" w:ascii="仿宋" w:hAnsi="仿宋" w:eastAsia="仿宋" w:cs="仿宋"/>
          <w:snapToGrid w:val="0"/>
          <w:color w:val="auto"/>
          <w:kern w:val="0"/>
          <w:sz w:val="24"/>
          <w:szCs w:val="20"/>
          <w:highlight w:val="none"/>
        </w:rPr>
        <w:t>4．我方在此声明，所递交的投标文件及有关资料内容完整、真实和准确，且不存在第 二章“投标人须知”第 1.4.3 项规定的任何一种情形。</w:t>
      </w:r>
    </w:p>
    <w:p w14:paraId="62988A7E">
      <w:pPr>
        <w:autoSpaceDE w:val="0"/>
        <w:autoSpaceDN w:val="0"/>
        <w:adjustRightInd w:val="0"/>
        <w:spacing w:line="360" w:lineRule="auto"/>
        <w:ind w:firstLine="480" w:firstLineChars="200"/>
        <w:jc w:val="left"/>
        <w:rPr>
          <w:rFonts w:hint="eastAsia" w:ascii="仿宋" w:hAnsi="仿宋" w:eastAsia="仿宋" w:cs="仿宋"/>
          <w:snapToGrid w:val="0"/>
          <w:color w:val="auto"/>
          <w:kern w:val="0"/>
          <w:sz w:val="24"/>
          <w:szCs w:val="20"/>
          <w:highlight w:val="none"/>
        </w:rPr>
      </w:pPr>
      <w:r>
        <w:rPr>
          <w:rFonts w:hint="eastAsia" w:ascii="仿宋" w:hAnsi="仿宋" w:eastAsia="仿宋" w:cs="仿宋"/>
          <w:snapToGrid w:val="0"/>
          <w:color w:val="auto"/>
          <w:kern w:val="0"/>
          <w:sz w:val="24"/>
          <w:szCs w:val="20"/>
          <w:highlight w:val="none"/>
        </w:rPr>
        <w:t>5．（其他补充说明）。</w:t>
      </w:r>
    </w:p>
    <w:p w14:paraId="1105EB67">
      <w:pPr>
        <w:tabs>
          <w:tab w:val="left" w:pos="7140"/>
          <w:tab w:val="left" w:pos="7560"/>
          <w:tab w:val="left" w:pos="8300"/>
        </w:tabs>
        <w:autoSpaceDE w:val="0"/>
        <w:autoSpaceDN w:val="0"/>
        <w:adjustRightInd w:val="0"/>
        <w:spacing w:line="360" w:lineRule="auto"/>
        <w:ind w:right="210" w:firstLine="480" w:firstLineChars="200"/>
        <w:rPr>
          <w:rFonts w:hint="eastAsia" w:ascii="仿宋" w:hAnsi="仿宋" w:eastAsia="仿宋" w:cs="仿宋"/>
          <w:snapToGrid w:val="0"/>
          <w:color w:val="auto"/>
          <w:kern w:val="0"/>
          <w:sz w:val="24"/>
          <w:szCs w:val="20"/>
          <w:highlight w:val="none"/>
        </w:rPr>
      </w:pPr>
    </w:p>
    <w:p w14:paraId="2B2489EA">
      <w:pPr>
        <w:tabs>
          <w:tab w:val="left" w:pos="7140"/>
          <w:tab w:val="left" w:pos="7560"/>
          <w:tab w:val="left" w:pos="8300"/>
        </w:tabs>
        <w:autoSpaceDE w:val="0"/>
        <w:autoSpaceDN w:val="0"/>
        <w:adjustRightInd w:val="0"/>
        <w:spacing w:line="360" w:lineRule="auto"/>
        <w:ind w:right="210" w:firstLine="480" w:firstLineChars="200"/>
        <w:rPr>
          <w:rFonts w:hint="eastAsia" w:ascii="仿宋" w:hAnsi="仿宋" w:eastAsia="仿宋" w:cs="仿宋"/>
          <w:snapToGrid w:val="0"/>
          <w:color w:val="auto"/>
          <w:kern w:val="0"/>
          <w:sz w:val="24"/>
          <w:szCs w:val="20"/>
          <w:highlight w:val="none"/>
        </w:rPr>
      </w:pPr>
      <w:r>
        <w:rPr>
          <w:rFonts w:hint="eastAsia" w:ascii="仿宋" w:hAnsi="仿宋" w:eastAsia="仿宋" w:cs="仿宋"/>
          <w:snapToGrid w:val="0"/>
          <w:color w:val="auto"/>
          <w:kern w:val="0"/>
          <w:sz w:val="24"/>
          <w:szCs w:val="20"/>
          <w:highlight w:val="none"/>
        </w:rPr>
        <w:t>投标人：</w:t>
      </w:r>
      <w:r>
        <w:rPr>
          <w:rFonts w:hint="eastAsia" w:ascii="仿宋" w:hAnsi="仿宋" w:eastAsia="仿宋" w:cs="仿宋"/>
          <w:snapToGrid w:val="0"/>
          <w:color w:val="auto"/>
          <w:kern w:val="0"/>
          <w:sz w:val="24"/>
          <w:szCs w:val="20"/>
          <w:highlight w:val="none"/>
          <w:u w:val="single"/>
        </w:rPr>
        <w:t>　　　　                                    　</w:t>
      </w:r>
      <w:r>
        <w:rPr>
          <w:rFonts w:hint="eastAsia" w:ascii="仿宋" w:hAnsi="仿宋" w:eastAsia="仿宋" w:cs="仿宋"/>
          <w:snapToGrid w:val="0"/>
          <w:color w:val="auto"/>
          <w:kern w:val="0"/>
          <w:sz w:val="24"/>
          <w:szCs w:val="20"/>
          <w:highlight w:val="none"/>
        </w:rPr>
        <w:t>（盖单位公章）</w:t>
      </w:r>
    </w:p>
    <w:p w14:paraId="33CB9207">
      <w:pPr>
        <w:tabs>
          <w:tab w:val="left" w:pos="7140"/>
          <w:tab w:val="left" w:pos="7560"/>
          <w:tab w:val="left" w:pos="8300"/>
        </w:tabs>
        <w:autoSpaceDE w:val="0"/>
        <w:autoSpaceDN w:val="0"/>
        <w:adjustRightInd w:val="0"/>
        <w:spacing w:line="360" w:lineRule="auto"/>
        <w:ind w:right="210" w:firstLine="480" w:firstLineChars="200"/>
        <w:rPr>
          <w:rFonts w:hint="eastAsia" w:ascii="仿宋" w:hAnsi="仿宋" w:eastAsia="仿宋" w:cs="仿宋"/>
          <w:snapToGrid w:val="0"/>
          <w:color w:val="auto"/>
          <w:kern w:val="0"/>
          <w:sz w:val="24"/>
          <w:szCs w:val="20"/>
          <w:highlight w:val="none"/>
        </w:rPr>
      </w:pPr>
    </w:p>
    <w:p w14:paraId="23ADDCFA">
      <w:pPr>
        <w:tabs>
          <w:tab w:val="left" w:pos="7140"/>
          <w:tab w:val="left" w:pos="7560"/>
          <w:tab w:val="left" w:pos="8300"/>
        </w:tabs>
        <w:autoSpaceDE w:val="0"/>
        <w:autoSpaceDN w:val="0"/>
        <w:adjustRightInd w:val="0"/>
        <w:spacing w:line="360" w:lineRule="auto"/>
        <w:ind w:firstLine="480" w:firstLineChars="200"/>
        <w:rPr>
          <w:rFonts w:hint="eastAsia" w:ascii="仿宋" w:hAnsi="仿宋" w:eastAsia="仿宋" w:cs="仿宋"/>
          <w:snapToGrid w:val="0"/>
          <w:color w:val="auto"/>
          <w:kern w:val="0"/>
          <w:sz w:val="24"/>
          <w:szCs w:val="20"/>
          <w:highlight w:val="none"/>
        </w:rPr>
      </w:pPr>
      <w:r>
        <w:rPr>
          <w:rFonts w:hint="eastAsia" w:ascii="仿宋" w:hAnsi="仿宋" w:eastAsia="仿宋" w:cs="仿宋"/>
          <w:snapToGrid w:val="0"/>
          <w:color w:val="auto"/>
          <w:kern w:val="0"/>
          <w:sz w:val="24"/>
          <w:szCs w:val="20"/>
          <w:highlight w:val="none"/>
        </w:rPr>
        <w:t>法定代表人或其委托代理人：</w:t>
      </w:r>
      <w:r>
        <w:rPr>
          <w:rFonts w:hint="eastAsia" w:ascii="仿宋" w:hAnsi="仿宋" w:eastAsia="仿宋" w:cs="仿宋"/>
          <w:snapToGrid w:val="0"/>
          <w:color w:val="auto"/>
          <w:kern w:val="0"/>
          <w:sz w:val="24"/>
          <w:szCs w:val="20"/>
          <w:highlight w:val="none"/>
          <w:u w:val="single"/>
        </w:rPr>
        <w:t xml:space="preserve">                            </w:t>
      </w:r>
      <w:r>
        <w:rPr>
          <w:rFonts w:hint="eastAsia" w:ascii="仿宋" w:hAnsi="仿宋" w:eastAsia="仿宋" w:cs="仿宋"/>
          <w:snapToGrid w:val="0"/>
          <w:color w:val="auto"/>
          <w:kern w:val="0"/>
          <w:sz w:val="24"/>
          <w:szCs w:val="20"/>
          <w:highlight w:val="none"/>
        </w:rPr>
        <w:t>（签字或盖章）</w:t>
      </w:r>
    </w:p>
    <w:p w14:paraId="600332C4">
      <w:pPr>
        <w:tabs>
          <w:tab w:val="left" w:pos="7140"/>
          <w:tab w:val="left" w:pos="7560"/>
          <w:tab w:val="left" w:pos="8300"/>
        </w:tabs>
        <w:autoSpaceDE w:val="0"/>
        <w:autoSpaceDN w:val="0"/>
        <w:adjustRightInd w:val="0"/>
        <w:spacing w:line="360" w:lineRule="auto"/>
        <w:ind w:right="210" w:firstLine="480" w:firstLineChars="200"/>
        <w:rPr>
          <w:rFonts w:hint="eastAsia" w:ascii="仿宋" w:hAnsi="仿宋" w:eastAsia="仿宋" w:cs="仿宋"/>
          <w:snapToGrid w:val="0"/>
          <w:color w:val="auto"/>
          <w:kern w:val="0"/>
          <w:sz w:val="24"/>
          <w:szCs w:val="20"/>
          <w:highlight w:val="none"/>
        </w:rPr>
      </w:pPr>
    </w:p>
    <w:p w14:paraId="75BF8222">
      <w:pPr>
        <w:tabs>
          <w:tab w:val="left" w:pos="7140"/>
          <w:tab w:val="left" w:pos="7560"/>
          <w:tab w:val="left" w:pos="8300"/>
        </w:tabs>
        <w:autoSpaceDE w:val="0"/>
        <w:autoSpaceDN w:val="0"/>
        <w:adjustRightInd w:val="0"/>
        <w:spacing w:line="360" w:lineRule="auto"/>
        <w:ind w:right="210" w:firstLine="480" w:firstLineChars="200"/>
        <w:rPr>
          <w:rFonts w:hint="eastAsia" w:ascii="仿宋" w:hAnsi="仿宋" w:eastAsia="仿宋" w:cs="仿宋"/>
          <w:snapToGrid w:val="0"/>
          <w:color w:val="auto"/>
          <w:kern w:val="0"/>
          <w:sz w:val="24"/>
          <w:szCs w:val="20"/>
          <w:highlight w:val="none"/>
          <w:u w:val="single"/>
        </w:rPr>
      </w:pPr>
      <w:r>
        <w:rPr>
          <w:rFonts w:hint="eastAsia" w:ascii="仿宋" w:hAnsi="仿宋" w:eastAsia="仿宋" w:cs="仿宋"/>
          <w:snapToGrid w:val="0"/>
          <w:color w:val="auto"/>
          <w:kern w:val="0"/>
          <w:sz w:val="24"/>
          <w:szCs w:val="20"/>
          <w:highlight w:val="none"/>
        </w:rPr>
        <w:t>地址：</w:t>
      </w:r>
      <w:r>
        <w:rPr>
          <w:rFonts w:hint="eastAsia" w:ascii="仿宋" w:hAnsi="仿宋" w:eastAsia="仿宋" w:cs="仿宋"/>
          <w:snapToGrid w:val="0"/>
          <w:color w:val="auto"/>
          <w:kern w:val="0"/>
          <w:sz w:val="24"/>
          <w:szCs w:val="20"/>
          <w:highlight w:val="none"/>
          <w:u w:val="single"/>
        </w:rPr>
        <w:tab/>
      </w:r>
    </w:p>
    <w:p w14:paraId="4EF058FF">
      <w:pPr>
        <w:autoSpaceDE w:val="0"/>
        <w:autoSpaceDN w:val="0"/>
        <w:adjustRightInd w:val="0"/>
        <w:spacing w:line="360" w:lineRule="auto"/>
        <w:jc w:val="left"/>
        <w:rPr>
          <w:rFonts w:hint="eastAsia" w:ascii="仿宋" w:hAnsi="仿宋" w:eastAsia="仿宋" w:cs="仿宋"/>
          <w:snapToGrid w:val="0"/>
          <w:color w:val="auto"/>
          <w:kern w:val="0"/>
          <w:sz w:val="18"/>
          <w:szCs w:val="18"/>
          <w:highlight w:val="none"/>
        </w:rPr>
      </w:pPr>
    </w:p>
    <w:p w14:paraId="75931835">
      <w:pPr>
        <w:tabs>
          <w:tab w:val="left" w:pos="8300"/>
        </w:tabs>
        <w:autoSpaceDE w:val="0"/>
        <w:autoSpaceDN w:val="0"/>
        <w:adjustRightInd w:val="0"/>
        <w:spacing w:line="360" w:lineRule="auto"/>
        <w:ind w:firstLine="480" w:firstLineChars="200"/>
        <w:jc w:val="left"/>
        <w:rPr>
          <w:rFonts w:hint="eastAsia" w:ascii="仿宋" w:hAnsi="仿宋" w:eastAsia="仿宋" w:cs="仿宋"/>
          <w:snapToGrid w:val="0"/>
          <w:color w:val="auto"/>
          <w:kern w:val="0"/>
          <w:sz w:val="24"/>
          <w:szCs w:val="20"/>
          <w:highlight w:val="none"/>
        </w:rPr>
      </w:pPr>
      <w:r>
        <w:rPr>
          <w:rFonts w:hint="eastAsia" w:ascii="仿宋" w:hAnsi="仿宋" w:eastAsia="仿宋" w:cs="仿宋"/>
          <w:snapToGrid w:val="0"/>
          <w:color w:val="auto"/>
          <w:kern w:val="0"/>
          <w:sz w:val="24"/>
          <w:szCs w:val="20"/>
          <w:highlight w:val="none"/>
        </w:rPr>
        <w:t>电话：</w:t>
      </w:r>
      <w:r>
        <w:rPr>
          <w:rFonts w:hint="eastAsia" w:ascii="仿宋" w:hAnsi="仿宋" w:eastAsia="仿宋" w:cs="仿宋"/>
          <w:snapToGrid w:val="0"/>
          <w:color w:val="auto"/>
          <w:kern w:val="0"/>
          <w:sz w:val="24"/>
          <w:szCs w:val="20"/>
          <w:highlight w:val="none"/>
          <w:u w:val="single"/>
        </w:rPr>
        <w:t>　　　　　　　　　　　　　　　　　　　　</w:t>
      </w:r>
    </w:p>
    <w:p w14:paraId="2714A6D6">
      <w:pPr>
        <w:autoSpaceDE w:val="0"/>
        <w:autoSpaceDN w:val="0"/>
        <w:adjustRightInd w:val="0"/>
        <w:spacing w:line="360" w:lineRule="auto"/>
        <w:ind w:firstLine="360" w:firstLineChars="200"/>
        <w:jc w:val="left"/>
        <w:rPr>
          <w:rFonts w:hint="eastAsia" w:ascii="仿宋" w:hAnsi="仿宋" w:eastAsia="仿宋" w:cs="仿宋"/>
          <w:snapToGrid w:val="0"/>
          <w:color w:val="auto"/>
          <w:kern w:val="0"/>
          <w:sz w:val="18"/>
          <w:szCs w:val="18"/>
          <w:highlight w:val="none"/>
        </w:rPr>
      </w:pPr>
    </w:p>
    <w:p w14:paraId="5E5123B3">
      <w:pPr>
        <w:autoSpaceDE w:val="0"/>
        <w:autoSpaceDN w:val="0"/>
        <w:adjustRightInd w:val="0"/>
        <w:spacing w:line="360" w:lineRule="auto"/>
        <w:ind w:firstLine="360" w:firstLineChars="200"/>
        <w:jc w:val="left"/>
        <w:rPr>
          <w:rFonts w:hint="eastAsia" w:ascii="仿宋" w:hAnsi="仿宋" w:eastAsia="仿宋" w:cs="仿宋"/>
          <w:snapToGrid w:val="0"/>
          <w:color w:val="auto"/>
          <w:kern w:val="0"/>
          <w:sz w:val="18"/>
          <w:szCs w:val="18"/>
          <w:highlight w:val="none"/>
        </w:rPr>
      </w:pPr>
    </w:p>
    <w:p w14:paraId="69D38090">
      <w:pPr>
        <w:tabs>
          <w:tab w:val="left" w:pos="6000"/>
          <w:tab w:val="left" w:pos="7040"/>
          <w:tab w:val="left" w:pos="8100"/>
        </w:tabs>
        <w:autoSpaceDE w:val="0"/>
        <w:autoSpaceDN w:val="0"/>
        <w:adjustRightInd w:val="0"/>
        <w:spacing w:line="360" w:lineRule="auto"/>
        <w:ind w:right="-23" w:firstLine="2640" w:firstLineChars="1100"/>
        <w:jc w:val="right"/>
        <w:rPr>
          <w:rFonts w:hint="eastAsia" w:ascii="仿宋" w:hAnsi="仿宋" w:eastAsia="仿宋" w:cs="仿宋"/>
          <w:snapToGrid w:val="0"/>
          <w:color w:val="auto"/>
          <w:kern w:val="0"/>
          <w:sz w:val="24"/>
          <w:szCs w:val="20"/>
          <w:highlight w:val="none"/>
          <w:u w:val="single"/>
        </w:rPr>
      </w:pPr>
      <w:r>
        <w:rPr>
          <w:rFonts w:hint="eastAsia" w:ascii="仿宋" w:hAnsi="仿宋" w:eastAsia="仿宋" w:cs="仿宋"/>
          <w:snapToGrid w:val="0"/>
          <w:color w:val="auto"/>
          <w:kern w:val="0"/>
          <w:sz w:val="24"/>
          <w:szCs w:val="20"/>
          <w:highlight w:val="none"/>
          <w:u w:val="single"/>
        </w:rPr>
        <w:t xml:space="preserve">       </w:t>
      </w:r>
      <w:r>
        <w:rPr>
          <w:rFonts w:hint="eastAsia" w:ascii="仿宋" w:hAnsi="仿宋" w:eastAsia="仿宋" w:cs="仿宋"/>
          <w:snapToGrid w:val="0"/>
          <w:color w:val="auto"/>
          <w:kern w:val="0"/>
          <w:sz w:val="24"/>
          <w:szCs w:val="20"/>
          <w:highlight w:val="none"/>
        </w:rPr>
        <w:t>年</w:t>
      </w:r>
      <w:r>
        <w:rPr>
          <w:rFonts w:hint="eastAsia" w:ascii="仿宋" w:hAnsi="仿宋" w:eastAsia="仿宋" w:cs="仿宋"/>
          <w:snapToGrid w:val="0"/>
          <w:color w:val="auto"/>
          <w:kern w:val="0"/>
          <w:sz w:val="24"/>
          <w:szCs w:val="20"/>
          <w:highlight w:val="none"/>
          <w:u w:val="single"/>
        </w:rPr>
        <w:t xml:space="preserve">     </w:t>
      </w:r>
      <w:r>
        <w:rPr>
          <w:rFonts w:hint="eastAsia" w:ascii="仿宋" w:hAnsi="仿宋" w:eastAsia="仿宋" w:cs="仿宋"/>
          <w:snapToGrid w:val="0"/>
          <w:color w:val="auto"/>
          <w:kern w:val="0"/>
          <w:sz w:val="24"/>
          <w:szCs w:val="20"/>
          <w:highlight w:val="none"/>
        </w:rPr>
        <w:t>月</w:t>
      </w:r>
      <w:r>
        <w:rPr>
          <w:rFonts w:hint="eastAsia" w:ascii="仿宋" w:hAnsi="仿宋" w:eastAsia="仿宋" w:cs="仿宋"/>
          <w:snapToGrid w:val="0"/>
          <w:color w:val="auto"/>
          <w:kern w:val="0"/>
          <w:sz w:val="24"/>
          <w:szCs w:val="20"/>
          <w:highlight w:val="none"/>
          <w:u w:val="single"/>
        </w:rPr>
        <w:t xml:space="preserve">     </w:t>
      </w:r>
      <w:r>
        <w:rPr>
          <w:rFonts w:hint="eastAsia" w:ascii="仿宋" w:hAnsi="仿宋" w:eastAsia="仿宋" w:cs="仿宋"/>
          <w:snapToGrid w:val="0"/>
          <w:color w:val="auto"/>
          <w:kern w:val="0"/>
          <w:sz w:val="24"/>
          <w:szCs w:val="20"/>
          <w:highlight w:val="none"/>
        </w:rPr>
        <w:t>日</w:t>
      </w:r>
    </w:p>
    <w:p w14:paraId="71F7FBC9">
      <w:pPr>
        <w:rPr>
          <w:rFonts w:hint="eastAsia" w:ascii="仿宋" w:hAnsi="仿宋" w:eastAsia="仿宋" w:cs="仿宋"/>
          <w:color w:val="auto"/>
          <w:highlight w:val="none"/>
        </w:rPr>
      </w:pPr>
      <w:bookmarkStart w:id="1968" w:name="_Toc224103496"/>
    </w:p>
    <w:bookmarkEnd w:id="1968"/>
    <w:p w14:paraId="5183484D">
      <w:pPr>
        <w:spacing w:line="360" w:lineRule="auto"/>
        <w:ind w:firstLine="560" w:firstLineChars="200"/>
        <w:rPr>
          <w:rFonts w:hint="eastAsia" w:ascii="仿宋" w:hAnsi="仿宋" w:eastAsia="仿宋" w:cs="仿宋"/>
          <w:snapToGrid w:val="0"/>
          <w:color w:val="auto"/>
          <w:highlight w:val="none"/>
        </w:rPr>
      </w:pPr>
    </w:p>
    <w:p w14:paraId="34799C99">
      <w:pPr>
        <w:pStyle w:val="12"/>
        <w:spacing w:before="240"/>
        <w:rPr>
          <w:rFonts w:hint="eastAsia" w:ascii="仿宋" w:hAnsi="仿宋" w:eastAsia="仿宋" w:cs="仿宋"/>
          <w:color w:val="auto"/>
          <w:highlight w:val="none"/>
        </w:rPr>
      </w:pPr>
    </w:p>
    <w:p w14:paraId="38795F44">
      <w:pPr>
        <w:pStyle w:val="4"/>
        <w:spacing w:before="0" w:after="0" w:line="440" w:lineRule="exact"/>
        <w:ind w:firstLine="562" w:firstLineChars="200"/>
        <w:jc w:val="center"/>
        <w:rPr>
          <w:rFonts w:hint="eastAsia" w:ascii="仿宋" w:hAnsi="仿宋" w:eastAsia="仿宋" w:cs="仿宋"/>
          <w:color w:val="auto"/>
          <w:highlight w:val="none"/>
        </w:rPr>
      </w:pPr>
      <w:bookmarkStart w:id="1969" w:name="_Toc277082645"/>
      <w:bookmarkStart w:id="1970" w:name="_Toc31593"/>
      <w:bookmarkStart w:id="1971" w:name="_Toc4808"/>
      <w:bookmarkStart w:id="1972" w:name="_Toc28645"/>
      <w:bookmarkStart w:id="1973" w:name="_Toc460923618"/>
      <w:bookmarkStart w:id="1974" w:name="_Toc1422"/>
      <w:bookmarkStart w:id="1975" w:name="_Toc224103497"/>
      <w:bookmarkStart w:id="1976" w:name="_Toc287607869"/>
      <w:bookmarkStart w:id="1977" w:name="_Toc14971"/>
      <w:bookmarkStart w:id="1978" w:name="_Toc452965423"/>
      <w:r>
        <w:rPr>
          <w:rFonts w:hint="eastAsia" w:ascii="仿宋" w:hAnsi="仿宋" w:eastAsia="仿宋" w:cs="仿宋"/>
          <w:color w:val="auto"/>
          <w:sz w:val="28"/>
          <w:highlight w:val="none"/>
        </w:rPr>
        <w:br w:type="page"/>
      </w:r>
      <w:bookmarkStart w:id="1979" w:name="_Toc3983"/>
      <w:bookmarkStart w:id="1980" w:name="_Toc26186"/>
      <w:bookmarkStart w:id="1981" w:name="_Toc11746"/>
      <w:bookmarkStart w:id="1982" w:name="_Toc3958"/>
      <w:bookmarkStart w:id="1983" w:name="_Toc20256"/>
      <w:r>
        <w:rPr>
          <w:rFonts w:hint="eastAsia" w:ascii="仿宋" w:hAnsi="仿宋" w:eastAsia="仿宋" w:cs="仿宋"/>
          <w:color w:val="auto"/>
          <w:sz w:val="28"/>
          <w:highlight w:val="none"/>
        </w:rPr>
        <w:t>（二）法定代表人身份证明及授权委托书</w:t>
      </w:r>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p>
    <w:p w14:paraId="23488AB2">
      <w:pPr>
        <w:spacing w:line="440" w:lineRule="exact"/>
        <w:ind w:firstLine="562" w:firstLineChars="200"/>
        <w:jc w:val="center"/>
        <w:rPr>
          <w:rFonts w:hint="eastAsia" w:ascii="仿宋" w:hAnsi="仿宋" w:eastAsia="仿宋" w:cs="仿宋"/>
          <w:b/>
          <w:color w:val="auto"/>
          <w:highlight w:val="none"/>
        </w:rPr>
      </w:pPr>
    </w:p>
    <w:p w14:paraId="30FDA415">
      <w:pPr>
        <w:spacing w:line="440" w:lineRule="exact"/>
        <w:ind w:firstLine="562" w:firstLineChars="200"/>
        <w:jc w:val="center"/>
        <w:rPr>
          <w:rFonts w:hint="eastAsia" w:ascii="仿宋" w:hAnsi="仿宋" w:eastAsia="仿宋" w:cs="仿宋"/>
          <w:b/>
          <w:color w:val="auto"/>
          <w:highlight w:val="none"/>
        </w:rPr>
      </w:pPr>
      <w:r>
        <w:rPr>
          <w:rFonts w:hint="eastAsia" w:ascii="仿宋" w:hAnsi="仿宋" w:eastAsia="仿宋" w:cs="仿宋"/>
          <w:b/>
          <w:color w:val="auto"/>
          <w:highlight w:val="none"/>
        </w:rPr>
        <w:t>法定代表人身份证明</w:t>
      </w:r>
    </w:p>
    <w:p w14:paraId="0D8C962B">
      <w:pPr>
        <w:tabs>
          <w:tab w:val="left" w:pos="5565"/>
        </w:tabs>
        <w:autoSpaceDE w:val="0"/>
        <w:autoSpaceDN w:val="0"/>
        <w:adjustRightInd w:val="0"/>
        <w:snapToGrid w:val="0"/>
        <w:spacing w:line="440" w:lineRule="exact"/>
        <w:jc w:val="left"/>
        <w:rPr>
          <w:rFonts w:hint="eastAsia" w:ascii="仿宋" w:hAnsi="仿宋" w:eastAsia="仿宋" w:cs="仿宋"/>
          <w:color w:val="auto"/>
          <w:kern w:val="0"/>
          <w:sz w:val="24"/>
          <w:szCs w:val="20"/>
          <w:highlight w:val="none"/>
        </w:rPr>
      </w:pPr>
      <w:r>
        <w:rPr>
          <w:rFonts w:hint="eastAsia" w:ascii="仿宋" w:hAnsi="仿宋" w:eastAsia="仿宋" w:cs="仿宋"/>
          <w:color w:val="auto"/>
          <w:kern w:val="0"/>
          <w:sz w:val="24"/>
          <w:szCs w:val="20"/>
          <w:highlight w:val="none"/>
        </w:rPr>
        <w:t>投标人名称：</w:t>
      </w:r>
      <w:r>
        <w:rPr>
          <w:rFonts w:hint="eastAsia" w:ascii="仿宋" w:hAnsi="仿宋" w:eastAsia="仿宋" w:cs="仿宋"/>
          <w:color w:val="auto"/>
          <w:kern w:val="0"/>
          <w:sz w:val="24"/>
          <w:szCs w:val="20"/>
          <w:highlight w:val="none"/>
          <w:u w:val="single"/>
        </w:rPr>
        <w:tab/>
      </w:r>
    </w:p>
    <w:p w14:paraId="6569AF9C">
      <w:pPr>
        <w:autoSpaceDE w:val="0"/>
        <w:autoSpaceDN w:val="0"/>
        <w:adjustRightInd w:val="0"/>
        <w:snapToGrid w:val="0"/>
        <w:spacing w:line="440" w:lineRule="exact"/>
        <w:ind w:firstLine="360" w:firstLineChars="200"/>
        <w:jc w:val="left"/>
        <w:rPr>
          <w:rFonts w:hint="eastAsia" w:ascii="仿宋" w:hAnsi="仿宋" w:eastAsia="仿宋" w:cs="仿宋"/>
          <w:color w:val="auto"/>
          <w:kern w:val="0"/>
          <w:sz w:val="18"/>
          <w:szCs w:val="18"/>
          <w:highlight w:val="none"/>
        </w:rPr>
      </w:pPr>
    </w:p>
    <w:p w14:paraId="2282D229">
      <w:pPr>
        <w:tabs>
          <w:tab w:val="left" w:pos="5475"/>
        </w:tabs>
        <w:autoSpaceDE w:val="0"/>
        <w:autoSpaceDN w:val="0"/>
        <w:adjustRightInd w:val="0"/>
        <w:snapToGrid w:val="0"/>
        <w:spacing w:line="440" w:lineRule="exact"/>
        <w:jc w:val="left"/>
        <w:rPr>
          <w:rFonts w:hint="eastAsia" w:ascii="仿宋" w:hAnsi="仿宋" w:eastAsia="仿宋" w:cs="仿宋"/>
          <w:color w:val="auto"/>
          <w:kern w:val="0"/>
          <w:sz w:val="24"/>
          <w:szCs w:val="20"/>
          <w:highlight w:val="none"/>
        </w:rPr>
      </w:pPr>
      <w:r>
        <w:rPr>
          <w:rFonts w:hint="eastAsia" w:ascii="仿宋" w:hAnsi="仿宋" w:eastAsia="仿宋" w:cs="仿宋"/>
          <w:color w:val="auto"/>
          <w:kern w:val="0"/>
          <w:sz w:val="24"/>
          <w:szCs w:val="20"/>
          <w:highlight w:val="none"/>
        </w:rPr>
        <w:t>单位性质：</w:t>
      </w:r>
      <w:r>
        <w:rPr>
          <w:rFonts w:hint="eastAsia" w:ascii="仿宋" w:hAnsi="仿宋" w:eastAsia="仿宋" w:cs="仿宋"/>
          <w:color w:val="auto"/>
          <w:kern w:val="0"/>
          <w:sz w:val="24"/>
          <w:szCs w:val="20"/>
          <w:highlight w:val="none"/>
          <w:u w:val="single"/>
        </w:rPr>
        <w:tab/>
      </w:r>
    </w:p>
    <w:p w14:paraId="0FC5243F">
      <w:pPr>
        <w:autoSpaceDE w:val="0"/>
        <w:autoSpaceDN w:val="0"/>
        <w:adjustRightInd w:val="0"/>
        <w:snapToGrid w:val="0"/>
        <w:spacing w:line="440" w:lineRule="exact"/>
        <w:ind w:firstLine="360" w:firstLineChars="200"/>
        <w:jc w:val="left"/>
        <w:rPr>
          <w:rFonts w:hint="eastAsia" w:ascii="仿宋" w:hAnsi="仿宋" w:eastAsia="仿宋" w:cs="仿宋"/>
          <w:color w:val="auto"/>
          <w:kern w:val="0"/>
          <w:sz w:val="18"/>
          <w:szCs w:val="18"/>
          <w:highlight w:val="none"/>
        </w:rPr>
      </w:pPr>
    </w:p>
    <w:p w14:paraId="190C44F4">
      <w:pPr>
        <w:tabs>
          <w:tab w:val="left" w:pos="5475"/>
        </w:tabs>
        <w:autoSpaceDE w:val="0"/>
        <w:autoSpaceDN w:val="0"/>
        <w:adjustRightInd w:val="0"/>
        <w:snapToGrid w:val="0"/>
        <w:spacing w:line="440" w:lineRule="exact"/>
        <w:jc w:val="left"/>
        <w:rPr>
          <w:rFonts w:hint="eastAsia" w:ascii="仿宋" w:hAnsi="仿宋" w:eastAsia="仿宋" w:cs="仿宋"/>
          <w:color w:val="auto"/>
          <w:kern w:val="0"/>
          <w:sz w:val="24"/>
          <w:szCs w:val="20"/>
          <w:highlight w:val="none"/>
        </w:rPr>
      </w:pPr>
      <w:r>
        <w:rPr>
          <w:rFonts w:hint="eastAsia" w:ascii="仿宋" w:hAnsi="仿宋" w:eastAsia="仿宋" w:cs="仿宋"/>
          <w:color w:val="auto"/>
          <w:kern w:val="0"/>
          <w:sz w:val="24"/>
          <w:szCs w:val="20"/>
          <w:highlight w:val="none"/>
        </w:rPr>
        <w:t>地址：</w:t>
      </w:r>
      <w:r>
        <w:rPr>
          <w:rFonts w:hint="eastAsia" w:ascii="仿宋" w:hAnsi="仿宋" w:eastAsia="仿宋" w:cs="仿宋"/>
          <w:color w:val="auto"/>
          <w:kern w:val="0"/>
          <w:sz w:val="24"/>
          <w:szCs w:val="20"/>
          <w:highlight w:val="none"/>
          <w:u w:val="single"/>
        </w:rPr>
        <w:tab/>
      </w:r>
    </w:p>
    <w:p w14:paraId="06BE03BC">
      <w:pPr>
        <w:autoSpaceDE w:val="0"/>
        <w:autoSpaceDN w:val="0"/>
        <w:adjustRightInd w:val="0"/>
        <w:snapToGrid w:val="0"/>
        <w:spacing w:line="440" w:lineRule="exact"/>
        <w:ind w:firstLine="360" w:firstLineChars="200"/>
        <w:jc w:val="left"/>
        <w:rPr>
          <w:rFonts w:hint="eastAsia" w:ascii="仿宋" w:hAnsi="仿宋" w:eastAsia="仿宋" w:cs="仿宋"/>
          <w:color w:val="auto"/>
          <w:kern w:val="0"/>
          <w:sz w:val="18"/>
          <w:szCs w:val="18"/>
          <w:highlight w:val="none"/>
        </w:rPr>
      </w:pPr>
    </w:p>
    <w:p w14:paraId="42A1F486">
      <w:pPr>
        <w:tabs>
          <w:tab w:val="left" w:pos="2520"/>
          <w:tab w:val="left" w:pos="3836"/>
        </w:tabs>
        <w:autoSpaceDE w:val="0"/>
        <w:autoSpaceDN w:val="0"/>
        <w:adjustRightInd w:val="0"/>
        <w:snapToGrid w:val="0"/>
        <w:spacing w:line="440" w:lineRule="exact"/>
        <w:jc w:val="left"/>
        <w:rPr>
          <w:rFonts w:hint="eastAsia" w:ascii="仿宋" w:hAnsi="仿宋" w:eastAsia="仿宋" w:cs="仿宋"/>
          <w:color w:val="auto"/>
          <w:kern w:val="0"/>
          <w:sz w:val="24"/>
          <w:szCs w:val="20"/>
          <w:highlight w:val="none"/>
        </w:rPr>
      </w:pPr>
      <w:r>
        <w:rPr>
          <w:rFonts w:hint="eastAsia" w:ascii="仿宋" w:hAnsi="仿宋" w:eastAsia="仿宋" w:cs="仿宋"/>
          <w:color w:val="auto"/>
          <w:kern w:val="0"/>
          <w:sz w:val="24"/>
          <w:szCs w:val="20"/>
          <w:highlight w:val="none"/>
        </w:rPr>
        <w:t>成立时间：</w:t>
      </w:r>
      <w:r>
        <w:rPr>
          <w:rFonts w:hint="eastAsia" w:ascii="仿宋" w:hAnsi="仿宋" w:eastAsia="仿宋" w:cs="仿宋"/>
          <w:color w:val="auto"/>
          <w:kern w:val="0"/>
          <w:sz w:val="24"/>
          <w:szCs w:val="20"/>
          <w:highlight w:val="none"/>
          <w:u w:val="single"/>
        </w:rPr>
        <w:tab/>
      </w:r>
      <w:r>
        <w:rPr>
          <w:rFonts w:hint="eastAsia" w:ascii="仿宋" w:hAnsi="仿宋" w:eastAsia="仿宋" w:cs="仿宋"/>
          <w:color w:val="auto"/>
          <w:kern w:val="0"/>
          <w:sz w:val="24"/>
          <w:szCs w:val="20"/>
          <w:highlight w:val="none"/>
        </w:rPr>
        <w:t>年</w:t>
      </w:r>
      <w:r>
        <w:rPr>
          <w:rFonts w:hint="eastAsia" w:ascii="仿宋" w:hAnsi="仿宋" w:eastAsia="仿宋" w:cs="仿宋"/>
          <w:color w:val="auto"/>
          <w:kern w:val="0"/>
          <w:sz w:val="24"/>
          <w:szCs w:val="20"/>
          <w:highlight w:val="none"/>
          <w:u w:val="single"/>
        </w:rPr>
        <w:tab/>
      </w:r>
      <w:r>
        <w:rPr>
          <w:rFonts w:hint="eastAsia" w:ascii="仿宋" w:hAnsi="仿宋" w:eastAsia="仿宋" w:cs="仿宋"/>
          <w:color w:val="auto"/>
          <w:kern w:val="0"/>
          <w:sz w:val="24"/>
          <w:szCs w:val="20"/>
          <w:highlight w:val="none"/>
        </w:rPr>
        <w:t>月</w:t>
      </w:r>
      <w:r>
        <w:rPr>
          <w:rFonts w:hint="eastAsia" w:ascii="仿宋" w:hAnsi="仿宋" w:eastAsia="仿宋" w:cs="仿宋"/>
          <w:color w:val="auto"/>
          <w:kern w:val="0"/>
          <w:sz w:val="24"/>
          <w:szCs w:val="20"/>
          <w:highlight w:val="none"/>
          <w:u w:val="single"/>
        </w:rPr>
        <w:tab/>
      </w:r>
      <w:r>
        <w:rPr>
          <w:rFonts w:hint="eastAsia" w:ascii="仿宋" w:hAnsi="仿宋" w:eastAsia="仿宋" w:cs="仿宋"/>
          <w:color w:val="auto"/>
          <w:kern w:val="0"/>
          <w:sz w:val="24"/>
          <w:szCs w:val="20"/>
          <w:highlight w:val="none"/>
          <w:u w:val="single"/>
        </w:rPr>
        <w:t xml:space="preserve">              </w:t>
      </w:r>
      <w:r>
        <w:rPr>
          <w:rFonts w:hint="eastAsia" w:ascii="仿宋" w:hAnsi="仿宋" w:eastAsia="仿宋" w:cs="仿宋"/>
          <w:color w:val="auto"/>
          <w:kern w:val="0"/>
          <w:sz w:val="24"/>
          <w:szCs w:val="20"/>
          <w:highlight w:val="none"/>
        </w:rPr>
        <w:t>日</w:t>
      </w:r>
    </w:p>
    <w:p w14:paraId="5A2E9F7B">
      <w:pPr>
        <w:autoSpaceDE w:val="0"/>
        <w:autoSpaceDN w:val="0"/>
        <w:adjustRightInd w:val="0"/>
        <w:snapToGrid w:val="0"/>
        <w:spacing w:line="440" w:lineRule="exact"/>
        <w:jc w:val="left"/>
        <w:rPr>
          <w:rFonts w:hint="eastAsia" w:ascii="仿宋" w:hAnsi="仿宋" w:eastAsia="仿宋" w:cs="仿宋"/>
          <w:color w:val="auto"/>
          <w:kern w:val="0"/>
          <w:sz w:val="8"/>
          <w:szCs w:val="8"/>
          <w:highlight w:val="none"/>
        </w:rPr>
      </w:pPr>
    </w:p>
    <w:p w14:paraId="49A9139D">
      <w:pPr>
        <w:tabs>
          <w:tab w:val="left" w:pos="5475"/>
        </w:tabs>
        <w:autoSpaceDE w:val="0"/>
        <w:autoSpaceDN w:val="0"/>
        <w:adjustRightInd w:val="0"/>
        <w:snapToGrid w:val="0"/>
        <w:spacing w:line="440" w:lineRule="exact"/>
        <w:jc w:val="left"/>
        <w:rPr>
          <w:rFonts w:hint="eastAsia" w:ascii="仿宋" w:hAnsi="仿宋" w:eastAsia="仿宋" w:cs="仿宋"/>
          <w:color w:val="auto"/>
          <w:kern w:val="0"/>
          <w:sz w:val="24"/>
          <w:szCs w:val="20"/>
          <w:highlight w:val="none"/>
        </w:rPr>
      </w:pPr>
      <w:r>
        <w:rPr>
          <w:rFonts w:hint="eastAsia" w:ascii="仿宋" w:hAnsi="仿宋" w:eastAsia="仿宋" w:cs="仿宋"/>
          <w:color w:val="auto"/>
          <w:kern w:val="0"/>
          <w:sz w:val="24"/>
          <w:szCs w:val="20"/>
          <w:highlight w:val="none"/>
        </w:rPr>
        <w:t>经营期限：</w:t>
      </w:r>
      <w:r>
        <w:rPr>
          <w:rFonts w:hint="eastAsia" w:ascii="仿宋" w:hAnsi="仿宋" w:eastAsia="仿宋" w:cs="仿宋"/>
          <w:color w:val="auto"/>
          <w:kern w:val="0"/>
          <w:sz w:val="24"/>
          <w:szCs w:val="20"/>
          <w:highlight w:val="none"/>
          <w:u w:val="single"/>
        </w:rPr>
        <w:tab/>
      </w:r>
    </w:p>
    <w:p w14:paraId="76625762">
      <w:pPr>
        <w:autoSpaceDE w:val="0"/>
        <w:autoSpaceDN w:val="0"/>
        <w:adjustRightInd w:val="0"/>
        <w:snapToGrid w:val="0"/>
        <w:spacing w:line="440" w:lineRule="exact"/>
        <w:ind w:firstLine="360" w:firstLineChars="200"/>
        <w:jc w:val="left"/>
        <w:rPr>
          <w:rFonts w:hint="eastAsia" w:ascii="仿宋" w:hAnsi="仿宋" w:eastAsia="仿宋" w:cs="仿宋"/>
          <w:color w:val="auto"/>
          <w:kern w:val="0"/>
          <w:sz w:val="18"/>
          <w:szCs w:val="18"/>
          <w:highlight w:val="none"/>
        </w:rPr>
      </w:pPr>
    </w:p>
    <w:p w14:paraId="35BF3347">
      <w:pPr>
        <w:tabs>
          <w:tab w:val="left" w:pos="1580"/>
          <w:tab w:val="left" w:pos="3260"/>
          <w:tab w:val="left" w:pos="4840"/>
          <w:tab w:val="left" w:pos="6300"/>
        </w:tabs>
        <w:autoSpaceDE w:val="0"/>
        <w:autoSpaceDN w:val="0"/>
        <w:adjustRightInd w:val="0"/>
        <w:snapToGrid w:val="0"/>
        <w:spacing w:line="440" w:lineRule="exact"/>
        <w:jc w:val="left"/>
        <w:rPr>
          <w:rFonts w:hint="eastAsia" w:ascii="仿宋" w:hAnsi="仿宋" w:eastAsia="仿宋" w:cs="仿宋"/>
          <w:color w:val="auto"/>
          <w:kern w:val="0"/>
          <w:sz w:val="24"/>
          <w:szCs w:val="20"/>
          <w:highlight w:val="none"/>
        </w:rPr>
      </w:pPr>
      <w:r>
        <w:rPr>
          <w:rFonts w:hint="eastAsia" w:ascii="仿宋" w:hAnsi="仿宋" w:eastAsia="仿宋" w:cs="仿宋"/>
          <w:color w:val="auto"/>
          <w:kern w:val="0"/>
          <w:sz w:val="24"/>
          <w:szCs w:val="20"/>
          <w:highlight w:val="none"/>
        </w:rPr>
        <w:t>姓名：</w:t>
      </w:r>
      <w:r>
        <w:rPr>
          <w:rFonts w:hint="eastAsia" w:ascii="仿宋" w:hAnsi="仿宋" w:eastAsia="仿宋" w:cs="仿宋"/>
          <w:color w:val="auto"/>
          <w:kern w:val="0"/>
          <w:sz w:val="24"/>
          <w:szCs w:val="20"/>
          <w:highlight w:val="none"/>
          <w:u w:val="single"/>
        </w:rPr>
        <w:tab/>
      </w:r>
      <w:r>
        <w:rPr>
          <w:rFonts w:hint="eastAsia" w:ascii="仿宋" w:hAnsi="仿宋" w:eastAsia="仿宋" w:cs="仿宋"/>
          <w:color w:val="auto"/>
          <w:kern w:val="0"/>
          <w:sz w:val="24"/>
          <w:szCs w:val="20"/>
          <w:highlight w:val="none"/>
        </w:rPr>
        <w:t>性别：</w:t>
      </w:r>
      <w:r>
        <w:rPr>
          <w:rFonts w:hint="eastAsia" w:ascii="仿宋" w:hAnsi="仿宋" w:eastAsia="仿宋" w:cs="仿宋"/>
          <w:color w:val="auto"/>
          <w:kern w:val="0"/>
          <w:sz w:val="24"/>
          <w:szCs w:val="20"/>
          <w:highlight w:val="none"/>
          <w:u w:val="single"/>
        </w:rPr>
        <w:tab/>
      </w:r>
      <w:r>
        <w:rPr>
          <w:rFonts w:hint="eastAsia" w:ascii="仿宋" w:hAnsi="仿宋" w:eastAsia="仿宋" w:cs="仿宋"/>
          <w:color w:val="auto"/>
          <w:kern w:val="0"/>
          <w:sz w:val="24"/>
          <w:szCs w:val="20"/>
          <w:highlight w:val="none"/>
        </w:rPr>
        <w:t>年龄：</w:t>
      </w:r>
      <w:r>
        <w:rPr>
          <w:rFonts w:hint="eastAsia" w:ascii="仿宋" w:hAnsi="仿宋" w:eastAsia="仿宋" w:cs="仿宋"/>
          <w:color w:val="auto"/>
          <w:kern w:val="0"/>
          <w:sz w:val="24"/>
          <w:szCs w:val="20"/>
          <w:highlight w:val="none"/>
          <w:u w:val="single"/>
        </w:rPr>
        <w:tab/>
      </w:r>
      <w:r>
        <w:rPr>
          <w:rFonts w:hint="eastAsia" w:ascii="仿宋" w:hAnsi="仿宋" w:eastAsia="仿宋" w:cs="仿宋"/>
          <w:color w:val="auto"/>
          <w:kern w:val="0"/>
          <w:sz w:val="24"/>
          <w:szCs w:val="20"/>
          <w:highlight w:val="none"/>
        </w:rPr>
        <w:t>职务：</w:t>
      </w:r>
      <w:r>
        <w:rPr>
          <w:rFonts w:hint="eastAsia" w:ascii="仿宋" w:hAnsi="仿宋" w:eastAsia="仿宋" w:cs="仿宋"/>
          <w:color w:val="auto"/>
          <w:kern w:val="0"/>
          <w:sz w:val="24"/>
          <w:szCs w:val="20"/>
          <w:highlight w:val="none"/>
          <w:u w:val="single"/>
        </w:rPr>
        <w:tab/>
      </w:r>
    </w:p>
    <w:p w14:paraId="031EFB32">
      <w:pPr>
        <w:autoSpaceDE w:val="0"/>
        <w:autoSpaceDN w:val="0"/>
        <w:adjustRightInd w:val="0"/>
        <w:snapToGrid w:val="0"/>
        <w:spacing w:line="440" w:lineRule="exact"/>
        <w:ind w:firstLine="360" w:firstLineChars="200"/>
        <w:jc w:val="left"/>
        <w:rPr>
          <w:rFonts w:hint="eastAsia" w:ascii="仿宋" w:hAnsi="仿宋" w:eastAsia="仿宋" w:cs="仿宋"/>
          <w:color w:val="auto"/>
          <w:kern w:val="0"/>
          <w:sz w:val="18"/>
          <w:szCs w:val="18"/>
          <w:highlight w:val="none"/>
        </w:rPr>
      </w:pPr>
    </w:p>
    <w:p w14:paraId="56975CD1">
      <w:pPr>
        <w:tabs>
          <w:tab w:val="left" w:pos="3360"/>
        </w:tabs>
        <w:autoSpaceDE w:val="0"/>
        <w:autoSpaceDN w:val="0"/>
        <w:adjustRightInd w:val="0"/>
        <w:snapToGrid w:val="0"/>
        <w:spacing w:line="440" w:lineRule="exact"/>
        <w:jc w:val="left"/>
        <w:rPr>
          <w:rFonts w:hint="eastAsia" w:ascii="仿宋" w:hAnsi="仿宋" w:eastAsia="仿宋" w:cs="仿宋"/>
          <w:color w:val="auto"/>
          <w:kern w:val="0"/>
          <w:sz w:val="24"/>
          <w:szCs w:val="20"/>
          <w:highlight w:val="none"/>
        </w:rPr>
      </w:pPr>
      <w:r>
        <w:rPr>
          <w:rFonts w:hint="eastAsia" w:ascii="仿宋" w:hAnsi="仿宋" w:eastAsia="仿宋" w:cs="仿宋"/>
          <w:color w:val="auto"/>
          <w:kern w:val="0"/>
          <w:sz w:val="24"/>
          <w:szCs w:val="20"/>
          <w:highlight w:val="none"/>
        </w:rPr>
        <w:t>系</w:t>
      </w:r>
      <w:r>
        <w:rPr>
          <w:rFonts w:hint="eastAsia" w:ascii="仿宋" w:hAnsi="仿宋" w:eastAsia="仿宋" w:cs="仿宋"/>
          <w:color w:val="auto"/>
          <w:kern w:val="0"/>
          <w:sz w:val="24"/>
          <w:szCs w:val="20"/>
          <w:highlight w:val="none"/>
          <w:u w:val="single"/>
        </w:rPr>
        <w:tab/>
      </w:r>
      <w:r>
        <w:rPr>
          <w:rFonts w:hint="eastAsia" w:ascii="仿宋" w:hAnsi="仿宋" w:eastAsia="仿宋" w:cs="仿宋"/>
          <w:color w:val="auto"/>
          <w:kern w:val="0"/>
          <w:sz w:val="24"/>
          <w:szCs w:val="20"/>
          <w:highlight w:val="none"/>
        </w:rPr>
        <w:t>（投标人名称）的法定代表人。</w:t>
      </w:r>
    </w:p>
    <w:p w14:paraId="07D0ABDA">
      <w:pPr>
        <w:autoSpaceDE w:val="0"/>
        <w:autoSpaceDN w:val="0"/>
        <w:adjustRightInd w:val="0"/>
        <w:snapToGrid w:val="0"/>
        <w:spacing w:line="440" w:lineRule="exact"/>
        <w:ind w:firstLine="160" w:firstLineChars="200"/>
        <w:jc w:val="left"/>
        <w:rPr>
          <w:rFonts w:hint="eastAsia" w:ascii="仿宋" w:hAnsi="仿宋" w:eastAsia="仿宋" w:cs="仿宋"/>
          <w:color w:val="auto"/>
          <w:kern w:val="0"/>
          <w:sz w:val="8"/>
          <w:szCs w:val="8"/>
          <w:highlight w:val="none"/>
        </w:rPr>
      </w:pPr>
    </w:p>
    <w:p w14:paraId="6B5D8037">
      <w:pPr>
        <w:autoSpaceDE w:val="0"/>
        <w:autoSpaceDN w:val="0"/>
        <w:adjustRightInd w:val="0"/>
        <w:snapToGrid w:val="0"/>
        <w:spacing w:line="440" w:lineRule="exact"/>
        <w:ind w:firstLine="480" w:firstLineChars="200"/>
        <w:jc w:val="left"/>
        <w:rPr>
          <w:rFonts w:hint="eastAsia" w:ascii="仿宋" w:hAnsi="仿宋" w:eastAsia="仿宋" w:cs="仿宋"/>
          <w:color w:val="auto"/>
          <w:kern w:val="0"/>
          <w:sz w:val="24"/>
          <w:szCs w:val="20"/>
          <w:highlight w:val="none"/>
        </w:rPr>
      </w:pPr>
      <w:r>
        <w:rPr>
          <w:rFonts w:hint="eastAsia" w:ascii="仿宋" w:hAnsi="仿宋" w:eastAsia="仿宋" w:cs="仿宋"/>
          <w:color w:val="auto"/>
          <w:kern w:val="0"/>
          <w:sz w:val="24"/>
          <w:szCs w:val="20"/>
          <w:highlight w:val="none"/>
        </w:rPr>
        <w:t>特此证明。</w:t>
      </w:r>
    </w:p>
    <w:p w14:paraId="7D0CBCC1">
      <w:pPr>
        <w:autoSpaceDE w:val="0"/>
        <w:autoSpaceDN w:val="0"/>
        <w:adjustRightInd w:val="0"/>
        <w:snapToGrid w:val="0"/>
        <w:spacing w:line="440" w:lineRule="exact"/>
        <w:jc w:val="left"/>
        <w:rPr>
          <w:rFonts w:hint="eastAsia" w:ascii="仿宋" w:hAnsi="仿宋" w:eastAsia="仿宋" w:cs="仿宋"/>
          <w:color w:val="auto"/>
          <w:kern w:val="0"/>
          <w:sz w:val="18"/>
          <w:szCs w:val="18"/>
          <w:highlight w:val="none"/>
        </w:rPr>
      </w:pPr>
    </w:p>
    <w:p w14:paraId="6CB24533">
      <w:pPr>
        <w:autoSpaceDE w:val="0"/>
        <w:autoSpaceDN w:val="0"/>
        <w:adjustRightInd w:val="0"/>
        <w:snapToGrid w:val="0"/>
        <w:spacing w:line="440" w:lineRule="exact"/>
        <w:ind w:firstLine="360" w:firstLineChars="200"/>
        <w:jc w:val="left"/>
        <w:rPr>
          <w:rFonts w:hint="eastAsia" w:ascii="仿宋" w:hAnsi="仿宋" w:eastAsia="仿宋" w:cs="仿宋"/>
          <w:color w:val="auto"/>
          <w:kern w:val="0"/>
          <w:sz w:val="18"/>
          <w:szCs w:val="18"/>
          <w:highlight w:val="none"/>
        </w:rPr>
      </w:pPr>
    </w:p>
    <w:p w14:paraId="0E15B6EF">
      <w:pPr>
        <w:tabs>
          <w:tab w:val="left" w:pos="5460"/>
        </w:tabs>
        <w:autoSpaceDE w:val="0"/>
        <w:autoSpaceDN w:val="0"/>
        <w:adjustRightInd w:val="0"/>
        <w:snapToGrid w:val="0"/>
        <w:spacing w:line="440" w:lineRule="exact"/>
        <w:ind w:firstLine="480" w:firstLineChars="200"/>
        <w:jc w:val="left"/>
        <w:rPr>
          <w:rFonts w:hint="eastAsia" w:ascii="仿宋" w:hAnsi="仿宋" w:eastAsia="仿宋" w:cs="仿宋"/>
          <w:color w:val="auto"/>
          <w:kern w:val="0"/>
          <w:sz w:val="24"/>
          <w:szCs w:val="20"/>
          <w:highlight w:val="none"/>
        </w:rPr>
      </w:pPr>
      <w:r>
        <w:rPr>
          <w:rFonts w:hint="eastAsia" w:ascii="仿宋" w:hAnsi="仿宋" w:eastAsia="仿宋" w:cs="仿宋"/>
          <w:color w:val="auto"/>
          <w:kern w:val="0"/>
          <w:sz w:val="24"/>
          <w:szCs w:val="20"/>
          <w:highlight w:val="none"/>
        </w:rPr>
        <w:t>投标人：</w:t>
      </w:r>
      <w:r>
        <w:rPr>
          <w:rFonts w:hint="eastAsia" w:ascii="仿宋" w:hAnsi="仿宋" w:eastAsia="仿宋" w:cs="仿宋"/>
          <w:color w:val="auto"/>
          <w:kern w:val="0"/>
          <w:sz w:val="24"/>
          <w:szCs w:val="20"/>
          <w:highlight w:val="none"/>
          <w:u w:val="single"/>
        </w:rPr>
        <w:tab/>
      </w:r>
      <w:r>
        <w:rPr>
          <w:rFonts w:hint="eastAsia" w:ascii="仿宋" w:hAnsi="仿宋" w:eastAsia="仿宋" w:cs="仿宋"/>
          <w:color w:val="auto"/>
          <w:kern w:val="0"/>
          <w:sz w:val="24"/>
          <w:szCs w:val="20"/>
          <w:highlight w:val="none"/>
        </w:rPr>
        <w:t>（盖单位公章）</w:t>
      </w:r>
    </w:p>
    <w:p w14:paraId="7217969C">
      <w:pPr>
        <w:autoSpaceDE w:val="0"/>
        <w:autoSpaceDN w:val="0"/>
        <w:adjustRightInd w:val="0"/>
        <w:snapToGrid w:val="0"/>
        <w:spacing w:line="440" w:lineRule="exact"/>
        <w:ind w:firstLine="360" w:firstLineChars="200"/>
        <w:jc w:val="left"/>
        <w:rPr>
          <w:rFonts w:hint="eastAsia" w:ascii="仿宋" w:hAnsi="仿宋" w:eastAsia="仿宋" w:cs="仿宋"/>
          <w:color w:val="auto"/>
          <w:kern w:val="0"/>
          <w:sz w:val="18"/>
          <w:szCs w:val="18"/>
          <w:highlight w:val="none"/>
        </w:rPr>
      </w:pPr>
    </w:p>
    <w:p w14:paraId="0DF9C9D3">
      <w:pPr>
        <w:tabs>
          <w:tab w:val="left" w:pos="4620"/>
          <w:tab w:val="left" w:pos="5460"/>
          <w:tab w:val="left" w:pos="6400"/>
        </w:tabs>
        <w:autoSpaceDE w:val="0"/>
        <w:autoSpaceDN w:val="0"/>
        <w:adjustRightInd w:val="0"/>
        <w:snapToGrid w:val="0"/>
        <w:spacing w:line="440" w:lineRule="exact"/>
        <w:ind w:firstLine="4560" w:firstLineChars="1900"/>
        <w:jc w:val="right"/>
        <w:rPr>
          <w:rFonts w:hint="eastAsia" w:ascii="仿宋" w:hAnsi="仿宋" w:eastAsia="仿宋" w:cs="仿宋"/>
          <w:color w:val="auto"/>
          <w:kern w:val="0"/>
          <w:sz w:val="24"/>
          <w:szCs w:val="20"/>
          <w:highlight w:val="none"/>
        </w:rPr>
      </w:pPr>
      <w:r>
        <w:rPr>
          <w:rFonts w:hint="eastAsia" w:ascii="仿宋" w:hAnsi="仿宋" w:eastAsia="仿宋" w:cs="仿宋"/>
          <w:color w:val="auto"/>
          <w:kern w:val="0"/>
          <w:sz w:val="24"/>
          <w:szCs w:val="20"/>
          <w:highlight w:val="none"/>
        </w:rPr>
        <w:t>年    月   日</w:t>
      </w:r>
    </w:p>
    <w:p w14:paraId="42C04D8A">
      <w:pPr>
        <w:autoSpaceDE w:val="0"/>
        <w:autoSpaceDN w:val="0"/>
        <w:adjustRightInd w:val="0"/>
        <w:snapToGrid w:val="0"/>
        <w:spacing w:line="440" w:lineRule="exact"/>
        <w:ind w:firstLine="480" w:firstLineChars="200"/>
        <w:jc w:val="left"/>
        <w:rPr>
          <w:rFonts w:hint="eastAsia" w:ascii="仿宋" w:hAnsi="仿宋" w:eastAsia="仿宋" w:cs="仿宋"/>
          <w:color w:val="auto"/>
          <w:kern w:val="0"/>
          <w:sz w:val="24"/>
          <w:szCs w:val="22"/>
          <w:highlight w:val="none"/>
        </w:rPr>
      </w:pPr>
    </w:p>
    <w:p w14:paraId="666B6F36">
      <w:pPr>
        <w:tabs>
          <w:tab w:val="left" w:pos="142"/>
        </w:tabs>
        <w:spacing w:line="440" w:lineRule="exact"/>
        <w:rPr>
          <w:rFonts w:hint="eastAsia" w:ascii="仿宋" w:hAnsi="仿宋" w:eastAsia="仿宋" w:cs="仿宋"/>
          <w:color w:val="auto"/>
          <w:sz w:val="24"/>
          <w:szCs w:val="20"/>
          <w:highlight w:val="none"/>
        </w:rPr>
      </w:pPr>
      <w:r>
        <w:rPr>
          <w:rFonts w:hint="eastAsia" w:ascii="仿宋" w:hAnsi="仿宋" w:eastAsia="仿宋" w:cs="仿宋"/>
          <w:color w:val="auto"/>
          <w:sz w:val="24"/>
          <w:szCs w:val="20"/>
          <w:highlight w:val="none"/>
        </w:rPr>
        <w:t>此处附法定代表人身份证正反面复印件</w:t>
      </w:r>
    </w:p>
    <w:p w14:paraId="429660C7">
      <w:pPr>
        <w:tabs>
          <w:tab w:val="left" w:pos="1680"/>
          <w:tab w:val="left" w:pos="4215"/>
          <w:tab w:val="left" w:pos="4305"/>
          <w:tab w:val="left" w:pos="8000"/>
        </w:tabs>
        <w:autoSpaceDE w:val="0"/>
        <w:autoSpaceDN w:val="0"/>
        <w:adjustRightInd w:val="0"/>
        <w:snapToGrid w:val="0"/>
        <w:spacing w:line="360" w:lineRule="auto"/>
        <w:jc w:val="center"/>
        <w:rPr>
          <w:rFonts w:hint="eastAsia" w:ascii="仿宋" w:hAnsi="仿宋" w:eastAsia="仿宋" w:cs="仿宋"/>
          <w:b/>
          <w:color w:val="auto"/>
          <w:kern w:val="0"/>
          <w:szCs w:val="28"/>
          <w:highlight w:val="none"/>
        </w:rPr>
      </w:pPr>
      <w:r>
        <w:rPr>
          <w:rFonts w:hint="eastAsia" w:ascii="仿宋" w:hAnsi="仿宋" w:eastAsia="仿宋" w:cs="仿宋"/>
          <w:b/>
          <w:color w:val="auto"/>
          <w:kern w:val="0"/>
          <w:szCs w:val="28"/>
          <w:highlight w:val="none"/>
        </w:rPr>
        <w:br w:type="page"/>
      </w:r>
      <w:r>
        <w:rPr>
          <w:rFonts w:hint="eastAsia" w:ascii="仿宋" w:hAnsi="仿宋" w:eastAsia="仿宋" w:cs="仿宋"/>
          <w:b/>
          <w:color w:val="auto"/>
          <w:kern w:val="0"/>
          <w:szCs w:val="28"/>
          <w:highlight w:val="none"/>
        </w:rPr>
        <w:t>授权委托书</w:t>
      </w:r>
    </w:p>
    <w:p w14:paraId="1E0B9D4B">
      <w:pPr>
        <w:tabs>
          <w:tab w:val="left" w:pos="1680"/>
          <w:tab w:val="left" w:pos="3900"/>
          <w:tab w:val="left" w:pos="4305"/>
          <w:tab w:val="left" w:pos="8000"/>
        </w:tabs>
        <w:autoSpaceDE w:val="0"/>
        <w:autoSpaceDN w:val="0"/>
        <w:adjustRightInd w:val="0"/>
        <w:snapToGrid w:val="0"/>
        <w:spacing w:line="360" w:lineRule="auto"/>
        <w:ind w:firstLine="480" w:firstLineChars="200"/>
        <w:rPr>
          <w:rFonts w:hint="eastAsia" w:ascii="仿宋" w:hAnsi="仿宋" w:eastAsia="仿宋" w:cs="仿宋"/>
          <w:color w:val="auto"/>
          <w:kern w:val="0"/>
          <w:sz w:val="24"/>
          <w:szCs w:val="20"/>
          <w:highlight w:val="none"/>
        </w:rPr>
      </w:pPr>
      <w:r>
        <w:rPr>
          <w:rFonts w:hint="eastAsia" w:ascii="仿宋" w:hAnsi="仿宋" w:eastAsia="仿宋" w:cs="仿宋"/>
          <w:color w:val="auto"/>
          <w:kern w:val="0"/>
          <w:sz w:val="24"/>
          <w:szCs w:val="20"/>
          <w:highlight w:val="none"/>
        </w:rPr>
        <w:t>本人</w:t>
      </w:r>
      <w:r>
        <w:rPr>
          <w:rFonts w:hint="eastAsia" w:ascii="仿宋" w:hAnsi="仿宋" w:eastAsia="仿宋" w:cs="仿宋"/>
          <w:color w:val="auto"/>
          <w:kern w:val="0"/>
          <w:sz w:val="24"/>
          <w:szCs w:val="20"/>
          <w:highlight w:val="none"/>
          <w:u w:val="single"/>
        </w:rPr>
        <w:tab/>
      </w:r>
      <w:r>
        <w:rPr>
          <w:rFonts w:hint="eastAsia" w:ascii="仿宋" w:hAnsi="仿宋" w:eastAsia="仿宋" w:cs="仿宋"/>
          <w:color w:val="auto"/>
          <w:kern w:val="0"/>
          <w:sz w:val="24"/>
          <w:szCs w:val="20"/>
          <w:highlight w:val="none"/>
        </w:rPr>
        <w:t>（姓名）系</w:t>
      </w:r>
      <w:r>
        <w:rPr>
          <w:rFonts w:hint="eastAsia" w:ascii="仿宋" w:hAnsi="仿宋" w:eastAsia="仿宋" w:cs="仿宋"/>
          <w:color w:val="auto"/>
          <w:kern w:val="0"/>
          <w:sz w:val="24"/>
          <w:szCs w:val="20"/>
          <w:highlight w:val="none"/>
          <w:u w:val="single"/>
        </w:rPr>
        <w:tab/>
      </w:r>
      <w:r>
        <w:rPr>
          <w:rFonts w:hint="eastAsia" w:ascii="仿宋" w:hAnsi="仿宋" w:eastAsia="仿宋" w:cs="仿宋"/>
          <w:color w:val="auto"/>
          <w:kern w:val="0"/>
          <w:sz w:val="24"/>
          <w:szCs w:val="20"/>
          <w:highlight w:val="none"/>
        </w:rPr>
        <w:t>（投标人名称）的法定代表人，现委托</w:t>
      </w:r>
      <w:r>
        <w:rPr>
          <w:rFonts w:hint="eastAsia" w:ascii="仿宋" w:hAnsi="仿宋" w:eastAsia="仿宋" w:cs="仿宋"/>
          <w:color w:val="auto"/>
          <w:kern w:val="0"/>
          <w:sz w:val="24"/>
          <w:szCs w:val="20"/>
          <w:highlight w:val="none"/>
          <w:u w:val="single"/>
        </w:rPr>
        <w:tab/>
      </w:r>
      <w:r>
        <w:rPr>
          <w:rFonts w:hint="eastAsia" w:ascii="仿宋" w:hAnsi="仿宋" w:eastAsia="仿宋" w:cs="仿宋"/>
          <w:color w:val="auto"/>
          <w:kern w:val="0"/>
          <w:sz w:val="24"/>
          <w:szCs w:val="20"/>
          <w:highlight w:val="none"/>
          <w:u w:val="single"/>
        </w:rPr>
        <w:t xml:space="preserve">    </w:t>
      </w:r>
      <w:r>
        <w:rPr>
          <w:rFonts w:hint="eastAsia" w:ascii="仿宋" w:hAnsi="仿宋" w:eastAsia="仿宋" w:cs="仿宋"/>
          <w:color w:val="auto"/>
          <w:kern w:val="0"/>
          <w:sz w:val="24"/>
          <w:szCs w:val="20"/>
          <w:highlight w:val="none"/>
        </w:rPr>
        <w:t>（姓名）为我方代理人。代理人根据授权，以我方名义签署、澄清、说明、补正、递交、撤回、修改</w:t>
      </w:r>
      <w:r>
        <w:rPr>
          <w:rFonts w:hint="eastAsia" w:ascii="仿宋" w:hAnsi="仿宋" w:eastAsia="仿宋" w:cs="仿宋"/>
          <w:color w:val="auto"/>
          <w:kern w:val="0"/>
          <w:sz w:val="24"/>
          <w:szCs w:val="20"/>
          <w:highlight w:val="none"/>
          <w:u w:val="single"/>
        </w:rPr>
        <w:tab/>
      </w:r>
      <w:r>
        <w:rPr>
          <w:rFonts w:hint="eastAsia" w:ascii="仿宋" w:hAnsi="仿宋" w:eastAsia="仿宋" w:cs="仿宋"/>
          <w:color w:val="auto"/>
          <w:kern w:val="0"/>
          <w:sz w:val="24"/>
          <w:szCs w:val="20"/>
          <w:highlight w:val="none"/>
          <w:u w:val="single"/>
        </w:rPr>
        <w:t xml:space="preserve">        </w:t>
      </w:r>
      <w:r>
        <w:rPr>
          <w:rFonts w:hint="eastAsia" w:ascii="仿宋" w:hAnsi="仿宋" w:eastAsia="仿宋" w:cs="仿宋"/>
          <w:color w:val="auto"/>
          <w:kern w:val="0"/>
          <w:sz w:val="24"/>
          <w:szCs w:val="20"/>
          <w:highlight w:val="none"/>
        </w:rPr>
        <w:t>（项目名称）投标文件、签订合同和处理有关事宜，其法律后果由我方承担。</w:t>
      </w:r>
    </w:p>
    <w:p w14:paraId="3E9E0868">
      <w:pPr>
        <w:tabs>
          <w:tab w:val="left" w:pos="3780"/>
          <w:tab w:val="left" w:pos="4215"/>
          <w:tab w:val="left" w:pos="4305"/>
          <w:tab w:val="left" w:pos="8000"/>
        </w:tabs>
        <w:autoSpaceDE w:val="0"/>
        <w:autoSpaceDN w:val="0"/>
        <w:adjustRightInd w:val="0"/>
        <w:snapToGrid w:val="0"/>
        <w:spacing w:line="360" w:lineRule="auto"/>
        <w:ind w:firstLine="480" w:firstLineChars="200"/>
        <w:rPr>
          <w:rFonts w:hint="eastAsia" w:ascii="仿宋" w:hAnsi="仿宋" w:eastAsia="仿宋" w:cs="仿宋"/>
          <w:color w:val="auto"/>
          <w:kern w:val="0"/>
          <w:sz w:val="24"/>
          <w:szCs w:val="20"/>
          <w:highlight w:val="none"/>
        </w:rPr>
      </w:pPr>
      <w:r>
        <w:rPr>
          <w:rFonts w:hint="eastAsia" w:ascii="仿宋" w:hAnsi="仿宋" w:eastAsia="仿宋" w:cs="仿宋"/>
          <w:color w:val="auto"/>
          <w:kern w:val="0"/>
          <w:sz w:val="24"/>
          <w:szCs w:val="20"/>
          <w:highlight w:val="none"/>
        </w:rPr>
        <w:t>委托期限：</w:t>
      </w:r>
      <w:r>
        <w:rPr>
          <w:rFonts w:hint="eastAsia" w:ascii="仿宋" w:hAnsi="仿宋" w:eastAsia="仿宋" w:cs="仿宋"/>
          <w:color w:val="auto"/>
          <w:kern w:val="0"/>
          <w:sz w:val="24"/>
          <w:szCs w:val="20"/>
          <w:highlight w:val="none"/>
          <w:u w:val="single"/>
        </w:rPr>
        <w:tab/>
      </w:r>
      <w:r>
        <w:rPr>
          <w:rFonts w:hint="eastAsia" w:ascii="仿宋" w:hAnsi="仿宋" w:eastAsia="仿宋" w:cs="仿宋"/>
          <w:color w:val="auto"/>
          <w:kern w:val="0"/>
          <w:sz w:val="24"/>
          <w:szCs w:val="20"/>
          <w:highlight w:val="none"/>
        </w:rPr>
        <w:t>。</w:t>
      </w:r>
    </w:p>
    <w:p w14:paraId="4FB56688">
      <w:pPr>
        <w:tabs>
          <w:tab w:val="left" w:pos="1680"/>
          <w:tab w:val="left" w:pos="4215"/>
          <w:tab w:val="left" w:pos="4305"/>
          <w:tab w:val="left" w:pos="8000"/>
        </w:tabs>
        <w:autoSpaceDE w:val="0"/>
        <w:autoSpaceDN w:val="0"/>
        <w:adjustRightInd w:val="0"/>
        <w:snapToGrid w:val="0"/>
        <w:spacing w:line="360" w:lineRule="auto"/>
        <w:ind w:firstLine="480" w:firstLineChars="200"/>
        <w:rPr>
          <w:rFonts w:hint="eastAsia" w:ascii="仿宋" w:hAnsi="仿宋" w:eastAsia="仿宋" w:cs="仿宋"/>
          <w:color w:val="auto"/>
          <w:kern w:val="0"/>
          <w:sz w:val="24"/>
          <w:szCs w:val="20"/>
          <w:highlight w:val="none"/>
        </w:rPr>
      </w:pPr>
      <w:r>
        <w:rPr>
          <w:rFonts w:hint="eastAsia" w:ascii="仿宋" w:hAnsi="仿宋" w:eastAsia="仿宋" w:cs="仿宋"/>
          <w:color w:val="auto"/>
          <w:kern w:val="0"/>
          <w:sz w:val="24"/>
          <w:szCs w:val="20"/>
          <w:highlight w:val="none"/>
        </w:rPr>
        <w:t>代理人无转委托权。</w:t>
      </w:r>
    </w:p>
    <w:p w14:paraId="7D2B46B2">
      <w:pPr>
        <w:tabs>
          <w:tab w:val="left" w:pos="4200"/>
          <w:tab w:val="left" w:pos="4620"/>
        </w:tabs>
        <w:autoSpaceDE w:val="0"/>
        <w:autoSpaceDN w:val="0"/>
        <w:adjustRightInd w:val="0"/>
        <w:snapToGrid w:val="0"/>
        <w:spacing w:line="360" w:lineRule="auto"/>
        <w:ind w:firstLine="480" w:firstLineChars="200"/>
        <w:jc w:val="left"/>
        <w:rPr>
          <w:rFonts w:hint="eastAsia" w:ascii="仿宋" w:hAnsi="仿宋" w:eastAsia="仿宋" w:cs="仿宋"/>
          <w:color w:val="auto"/>
          <w:kern w:val="0"/>
          <w:sz w:val="24"/>
          <w:szCs w:val="20"/>
          <w:highlight w:val="none"/>
        </w:rPr>
      </w:pPr>
      <w:r>
        <w:rPr>
          <w:rFonts w:hint="eastAsia" w:ascii="仿宋" w:hAnsi="仿宋" w:eastAsia="仿宋" w:cs="仿宋"/>
          <w:color w:val="auto"/>
          <w:kern w:val="0"/>
          <w:sz w:val="24"/>
          <w:szCs w:val="20"/>
          <w:highlight w:val="none"/>
        </w:rPr>
        <w:t>投标人：</w:t>
      </w:r>
      <w:r>
        <w:rPr>
          <w:rFonts w:hint="eastAsia" w:ascii="仿宋" w:hAnsi="仿宋" w:eastAsia="仿宋" w:cs="仿宋"/>
          <w:color w:val="auto"/>
          <w:kern w:val="0"/>
          <w:sz w:val="24"/>
          <w:szCs w:val="20"/>
          <w:highlight w:val="none"/>
          <w:u w:val="single"/>
        </w:rPr>
        <w:tab/>
      </w:r>
      <w:r>
        <w:rPr>
          <w:rFonts w:hint="eastAsia" w:ascii="仿宋" w:hAnsi="仿宋" w:eastAsia="仿宋" w:cs="仿宋"/>
          <w:color w:val="auto"/>
          <w:kern w:val="0"/>
          <w:sz w:val="24"/>
          <w:szCs w:val="20"/>
          <w:highlight w:val="none"/>
        </w:rPr>
        <w:t>（盖单位公章）</w:t>
      </w:r>
    </w:p>
    <w:p w14:paraId="00440BF6">
      <w:pPr>
        <w:tabs>
          <w:tab w:val="left" w:pos="6300"/>
        </w:tabs>
        <w:autoSpaceDE w:val="0"/>
        <w:autoSpaceDN w:val="0"/>
        <w:adjustRightInd w:val="0"/>
        <w:snapToGrid w:val="0"/>
        <w:spacing w:line="360" w:lineRule="auto"/>
        <w:ind w:firstLine="480" w:firstLineChars="200"/>
        <w:jc w:val="left"/>
        <w:rPr>
          <w:rFonts w:hint="eastAsia" w:ascii="仿宋" w:hAnsi="仿宋" w:eastAsia="仿宋" w:cs="仿宋"/>
          <w:color w:val="auto"/>
          <w:kern w:val="0"/>
          <w:sz w:val="24"/>
          <w:szCs w:val="20"/>
          <w:highlight w:val="none"/>
        </w:rPr>
      </w:pPr>
      <w:r>
        <w:rPr>
          <w:rFonts w:hint="eastAsia" w:ascii="仿宋" w:hAnsi="仿宋" w:eastAsia="仿宋" w:cs="仿宋"/>
          <w:color w:val="auto"/>
          <w:kern w:val="0"/>
          <w:sz w:val="24"/>
          <w:szCs w:val="20"/>
          <w:highlight w:val="none"/>
        </w:rPr>
        <w:t>法定代表人：</w:t>
      </w:r>
      <w:r>
        <w:rPr>
          <w:rFonts w:hint="eastAsia" w:ascii="仿宋" w:hAnsi="仿宋" w:eastAsia="仿宋" w:cs="仿宋"/>
          <w:color w:val="auto"/>
          <w:kern w:val="0"/>
          <w:sz w:val="24"/>
          <w:szCs w:val="20"/>
          <w:highlight w:val="none"/>
          <w:u w:val="single"/>
        </w:rPr>
        <w:tab/>
      </w:r>
      <w:r>
        <w:rPr>
          <w:rFonts w:hint="eastAsia" w:ascii="仿宋" w:hAnsi="仿宋" w:eastAsia="仿宋" w:cs="仿宋"/>
          <w:color w:val="auto"/>
          <w:kern w:val="0"/>
          <w:sz w:val="24"/>
          <w:szCs w:val="20"/>
          <w:highlight w:val="none"/>
          <w:u w:val="single"/>
        </w:rPr>
        <w:tab/>
      </w:r>
      <w:r>
        <w:rPr>
          <w:rFonts w:hint="eastAsia" w:ascii="仿宋" w:hAnsi="仿宋" w:eastAsia="仿宋" w:cs="仿宋"/>
          <w:color w:val="auto"/>
          <w:kern w:val="0"/>
          <w:sz w:val="24"/>
          <w:szCs w:val="20"/>
          <w:highlight w:val="none"/>
        </w:rPr>
        <w:t>（签字或盖章）</w:t>
      </w:r>
    </w:p>
    <w:p w14:paraId="4D8B820E">
      <w:pPr>
        <w:tabs>
          <w:tab w:val="left" w:pos="5260"/>
        </w:tabs>
        <w:autoSpaceDE w:val="0"/>
        <w:autoSpaceDN w:val="0"/>
        <w:adjustRightInd w:val="0"/>
        <w:snapToGrid w:val="0"/>
        <w:spacing w:line="360" w:lineRule="auto"/>
        <w:ind w:firstLine="480" w:firstLineChars="200"/>
        <w:jc w:val="left"/>
        <w:rPr>
          <w:rFonts w:hint="eastAsia" w:ascii="仿宋" w:hAnsi="仿宋" w:eastAsia="仿宋" w:cs="仿宋"/>
          <w:color w:val="auto"/>
          <w:kern w:val="0"/>
          <w:sz w:val="24"/>
          <w:szCs w:val="20"/>
          <w:highlight w:val="none"/>
        </w:rPr>
      </w:pPr>
      <w:r>
        <w:rPr>
          <w:rFonts w:hint="eastAsia" w:ascii="仿宋" w:hAnsi="仿宋" w:eastAsia="仿宋" w:cs="仿宋"/>
          <w:color w:val="auto"/>
          <w:kern w:val="0"/>
          <w:sz w:val="24"/>
          <w:szCs w:val="20"/>
          <w:highlight w:val="none"/>
        </w:rPr>
        <w:t>身份证号码：</w:t>
      </w:r>
      <w:r>
        <w:rPr>
          <w:rFonts w:hint="eastAsia" w:ascii="仿宋" w:hAnsi="仿宋" w:eastAsia="仿宋" w:cs="仿宋"/>
          <w:color w:val="auto"/>
          <w:kern w:val="0"/>
          <w:sz w:val="24"/>
          <w:szCs w:val="20"/>
          <w:highlight w:val="none"/>
          <w:u w:val="single"/>
        </w:rPr>
        <w:tab/>
      </w:r>
      <w:r>
        <w:rPr>
          <w:rFonts w:hint="eastAsia" w:ascii="仿宋" w:hAnsi="仿宋" w:eastAsia="仿宋" w:cs="仿宋"/>
          <w:color w:val="auto"/>
          <w:kern w:val="0"/>
          <w:sz w:val="24"/>
          <w:szCs w:val="20"/>
          <w:highlight w:val="none"/>
          <w:u w:val="single"/>
        </w:rPr>
        <w:t xml:space="preserve">            </w:t>
      </w:r>
    </w:p>
    <w:p w14:paraId="7C093AEF">
      <w:pPr>
        <w:tabs>
          <w:tab w:val="left" w:pos="6720"/>
        </w:tabs>
        <w:autoSpaceDE w:val="0"/>
        <w:autoSpaceDN w:val="0"/>
        <w:adjustRightInd w:val="0"/>
        <w:snapToGrid w:val="0"/>
        <w:spacing w:line="360" w:lineRule="auto"/>
        <w:ind w:firstLine="480" w:firstLineChars="200"/>
        <w:jc w:val="left"/>
        <w:rPr>
          <w:rFonts w:hint="eastAsia" w:ascii="仿宋" w:hAnsi="仿宋" w:eastAsia="仿宋" w:cs="仿宋"/>
          <w:color w:val="auto"/>
          <w:kern w:val="0"/>
          <w:sz w:val="24"/>
          <w:szCs w:val="20"/>
          <w:highlight w:val="none"/>
        </w:rPr>
      </w:pPr>
      <w:r>
        <w:rPr>
          <w:rFonts w:hint="eastAsia" w:ascii="仿宋" w:hAnsi="仿宋" w:eastAsia="仿宋" w:cs="仿宋"/>
          <w:color w:val="auto"/>
          <w:kern w:val="0"/>
          <w:sz w:val="24"/>
          <w:szCs w:val="20"/>
          <w:highlight w:val="none"/>
        </w:rPr>
        <w:t>委托代理人：</w:t>
      </w:r>
      <w:r>
        <w:rPr>
          <w:rFonts w:hint="eastAsia" w:ascii="仿宋" w:hAnsi="仿宋" w:eastAsia="仿宋" w:cs="仿宋"/>
          <w:color w:val="auto"/>
          <w:kern w:val="0"/>
          <w:sz w:val="24"/>
          <w:szCs w:val="20"/>
          <w:highlight w:val="none"/>
          <w:u w:val="single"/>
        </w:rPr>
        <w:tab/>
      </w:r>
      <w:r>
        <w:rPr>
          <w:rFonts w:hint="eastAsia" w:ascii="仿宋" w:hAnsi="仿宋" w:eastAsia="仿宋" w:cs="仿宋"/>
          <w:color w:val="auto"/>
          <w:kern w:val="0"/>
          <w:sz w:val="24"/>
          <w:szCs w:val="20"/>
          <w:highlight w:val="none"/>
        </w:rPr>
        <w:t>（签字或盖章）</w:t>
      </w:r>
    </w:p>
    <w:p w14:paraId="0926E7FA">
      <w:pPr>
        <w:tabs>
          <w:tab w:val="left" w:pos="6825"/>
        </w:tabs>
        <w:autoSpaceDE w:val="0"/>
        <w:autoSpaceDN w:val="0"/>
        <w:adjustRightInd w:val="0"/>
        <w:snapToGrid w:val="0"/>
        <w:spacing w:line="360" w:lineRule="auto"/>
        <w:ind w:firstLine="480" w:firstLineChars="200"/>
        <w:jc w:val="left"/>
        <w:rPr>
          <w:rFonts w:hint="eastAsia" w:ascii="仿宋" w:hAnsi="仿宋" w:eastAsia="仿宋" w:cs="仿宋"/>
          <w:color w:val="auto"/>
          <w:kern w:val="0"/>
          <w:sz w:val="24"/>
          <w:szCs w:val="20"/>
          <w:highlight w:val="none"/>
        </w:rPr>
      </w:pPr>
      <w:r>
        <w:rPr>
          <w:rFonts w:hint="eastAsia" w:ascii="仿宋" w:hAnsi="仿宋" w:eastAsia="仿宋" w:cs="仿宋"/>
          <w:color w:val="auto"/>
          <w:kern w:val="0"/>
          <w:sz w:val="24"/>
          <w:szCs w:val="20"/>
          <w:highlight w:val="none"/>
        </w:rPr>
        <w:t>身份证号码：</w:t>
      </w:r>
      <w:r>
        <w:rPr>
          <w:rFonts w:hint="eastAsia" w:ascii="仿宋" w:hAnsi="仿宋" w:eastAsia="仿宋" w:cs="仿宋"/>
          <w:color w:val="auto"/>
          <w:kern w:val="0"/>
          <w:sz w:val="24"/>
          <w:szCs w:val="20"/>
          <w:highlight w:val="none"/>
          <w:u w:val="single"/>
        </w:rPr>
        <w:tab/>
      </w:r>
    </w:p>
    <w:p w14:paraId="349E0CC1">
      <w:pPr>
        <w:tabs>
          <w:tab w:val="left" w:pos="4005"/>
          <w:tab w:val="left" w:pos="4100"/>
          <w:tab w:val="left" w:pos="4830"/>
        </w:tabs>
        <w:wordWrap w:val="0"/>
        <w:autoSpaceDE w:val="0"/>
        <w:autoSpaceDN w:val="0"/>
        <w:adjustRightInd w:val="0"/>
        <w:snapToGrid w:val="0"/>
        <w:spacing w:line="360" w:lineRule="auto"/>
        <w:ind w:firstLine="4080" w:firstLineChars="1700"/>
        <w:jc w:val="right"/>
        <w:rPr>
          <w:rFonts w:hint="eastAsia" w:ascii="仿宋" w:hAnsi="仿宋" w:eastAsia="仿宋" w:cs="仿宋"/>
          <w:color w:val="auto"/>
          <w:kern w:val="0"/>
          <w:sz w:val="24"/>
          <w:szCs w:val="20"/>
          <w:highlight w:val="none"/>
        </w:rPr>
      </w:pPr>
      <w:r>
        <w:rPr>
          <w:rFonts w:hint="eastAsia" w:ascii="仿宋" w:hAnsi="仿宋" w:eastAsia="仿宋" w:cs="仿宋"/>
          <w:color w:val="auto"/>
          <w:kern w:val="0"/>
          <w:sz w:val="24"/>
          <w:szCs w:val="20"/>
          <w:highlight w:val="none"/>
          <w:u w:val="single"/>
        </w:rPr>
        <w:t xml:space="preserve">    </w:t>
      </w:r>
      <w:r>
        <w:rPr>
          <w:rFonts w:hint="eastAsia" w:ascii="仿宋" w:hAnsi="仿宋" w:eastAsia="仿宋" w:cs="仿宋"/>
          <w:color w:val="auto"/>
          <w:kern w:val="0"/>
          <w:sz w:val="24"/>
          <w:szCs w:val="20"/>
          <w:highlight w:val="none"/>
          <w:u w:val="single"/>
        </w:rPr>
        <w:tab/>
      </w:r>
      <w:r>
        <w:rPr>
          <w:rFonts w:hint="eastAsia" w:ascii="仿宋" w:hAnsi="仿宋" w:eastAsia="仿宋" w:cs="仿宋"/>
          <w:color w:val="auto"/>
          <w:kern w:val="0"/>
          <w:sz w:val="24"/>
          <w:szCs w:val="20"/>
          <w:highlight w:val="none"/>
        </w:rPr>
        <w:t>年</w:t>
      </w:r>
      <w:r>
        <w:rPr>
          <w:rFonts w:hint="eastAsia" w:ascii="仿宋" w:hAnsi="仿宋" w:eastAsia="仿宋" w:cs="仿宋"/>
          <w:color w:val="auto"/>
          <w:kern w:val="0"/>
          <w:sz w:val="24"/>
          <w:szCs w:val="20"/>
          <w:highlight w:val="none"/>
          <w:u w:val="single"/>
        </w:rPr>
        <w:tab/>
      </w:r>
      <w:r>
        <w:rPr>
          <w:rFonts w:hint="eastAsia" w:ascii="仿宋" w:hAnsi="仿宋" w:eastAsia="仿宋" w:cs="仿宋"/>
          <w:color w:val="auto"/>
          <w:kern w:val="0"/>
          <w:sz w:val="24"/>
          <w:szCs w:val="20"/>
          <w:highlight w:val="none"/>
        </w:rPr>
        <w:t>月</w:t>
      </w:r>
      <w:r>
        <w:rPr>
          <w:rFonts w:hint="eastAsia" w:ascii="仿宋" w:hAnsi="仿宋" w:eastAsia="仿宋" w:cs="仿宋"/>
          <w:color w:val="auto"/>
          <w:kern w:val="0"/>
          <w:sz w:val="24"/>
          <w:szCs w:val="20"/>
          <w:highlight w:val="none"/>
          <w:u w:val="single"/>
        </w:rPr>
        <w:t xml:space="preserve">     </w:t>
      </w:r>
      <w:r>
        <w:rPr>
          <w:rFonts w:hint="eastAsia" w:ascii="仿宋" w:hAnsi="仿宋" w:eastAsia="仿宋" w:cs="仿宋"/>
          <w:color w:val="auto"/>
          <w:kern w:val="0"/>
          <w:sz w:val="24"/>
          <w:szCs w:val="20"/>
          <w:highlight w:val="none"/>
        </w:rPr>
        <w:t>日</w:t>
      </w:r>
    </w:p>
    <w:p w14:paraId="2E5C2507">
      <w:pPr>
        <w:tabs>
          <w:tab w:val="left" w:pos="4005"/>
          <w:tab w:val="left" w:pos="4100"/>
          <w:tab w:val="left" w:pos="5040"/>
        </w:tabs>
        <w:autoSpaceDE w:val="0"/>
        <w:autoSpaceDN w:val="0"/>
        <w:adjustRightInd w:val="0"/>
        <w:snapToGrid w:val="0"/>
        <w:spacing w:line="360" w:lineRule="auto"/>
        <w:ind w:firstLine="480" w:firstLineChars="200"/>
        <w:jc w:val="left"/>
        <w:rPr>
          <w:rFonts w:hint="eastAsia" w:ascii="仿宋" w:hAnsi="仿宋" w:eastAsia="仿宋" w:cs="仿宋"/>
          <w:color w:val="auto"/>
          <w:kern w:val="0"/>
          <w:sz w:val="24"/>
          <w:szCs w:val="20"/>
          <w:highlight w:val="none"/>
        </w:rPr>
      </w:pPr>
    </w:p>
    <w:p w14:paraId="20053A03">
      <w:pPr>
        <w:tabs>
          <w:tab w:val="left" w:pos="142"/>
        </w:tabs>
        <w:spacing w:line="360" w:lineRule="auto"/>
        <w:rPr>
          <w:rFonts w:hint="eastAsia" w:ascii="仿宋" w:hAnsi="仿宋" w:eastAsia="仿宋" w:cs="仿宋"/>
          <w:color w:val="auto"/>
          <w:sz w:val="24"/>
          <w:szCs w:val="20"/>
          <w:highlight w:val="none"/>
        </w:rPr>
      </w:pPr>
      <w:r>
        <w:rPr>
          <w:rFonts w:hint="eastAsia" w:ascii="仿宋" w:hAnsi="仿宋" w:eastAsia="仿宋" w:cs="仿宋"/>
          <w:color w:val="auto"/>
          <w:sz w:val="24"/>
          <w:szCs w:val="20"/>
          <w:highlight w:val="none"/>
        </w:rPr>
        <w:t xml:space="preserve">此处附法定代表人身份证正反面复印件        </w:t>
      </w:r>
      <w:r>
        <w:rPr>
          <w:rFonts w:hint="eastAsia" w:ascii="仿宋" w:hAnsi="仿宋" w:eastAsia="仿宋" w:cs="仿宋"/>
          <w:color w:val="auto"/>
          <w:kern w:val="0"/>
          <w:sz w:val="24"/>
          <w:szCs w:val="20"/>
          <w:highlight w:val="none"/>
        </w:rPr>
        <w:t>此处附授权委托人</w:t>
      </w:r>
      <w:r>
        <w:rPr>
          <w:rFonts w:hint="eastAsia" w:ascii="仿宋" w:hAnsi="仿宋" w:eastAsia="仿宋" w:cs="仿宋"/>
          <w:color w:val="auto"/>
          <w:sz w:val="24"/>
          <w:szCs w:val="20"/>
          <w:highlight w:val="none"/>
        </w:rPr>
        <w:t>身份证正反面复印件</w:t>
      </w:r>
    </w:p>
    <w:p w14:paraId="038F4EF9">
      <w:pPr>
        <w:autoSpaceDE w:val="0"/>
        <w:autoSpaceDN w:val="0"/>
        <w:adjustRightInd w:val="0"/>
        <w:snapToGrid w:val="0"/>
        <w:spacing w:line="360" w:lineRule="auto"/>
        <w:jc w:val="left"/>
        <w:rPr>
          <w:rFonts w:hint="eastAsia" w:ascii="仿宋" w:hAnsi="仿宋" w:eastAsia="仿宋" w:cs="仿宋"/>
          <w:color w:val="auto"/>
          <w:kern w:val="0"/>
          <w:szCs w:val="21"/>
          <w:highlight w:val="none"/>
        </w:rPr>
      </w:pPr>
    </w:p>
    <w:p w14:paraId="2BD55DAE">
      <w:pPr>
        <w:spacing w:line="360" w:lineRule="auto"/>
        <w:rPr>
          <w:rFonts w:hint="eastAsia" w:ascii="仿宋" w:hAnsi="仿宋" w:eastAsia="仿宋" w:cs="仿宋"/>
          <w:color w:val="auto"/>
          <w:highlight w:val="none"/>
        </w:rPr>
      </w:pPr>
    </w:p>
    <w:p w14:paraId="3377B108">
      <w:pPr>
        <w:spacing w:line="360" w:lineRule="auto"/>
        <w:rPr>
          <w:rFonts w:hint="eastAsia" w:ascii="仿宋" w:hAnsi="仿宋" w:eastAsia="仿宋" w:cs="仿宋"/>
          <w:color w:val="auto"/>
          <w:highlight w:val="none"/>
        </w:rPr>
      </w:pPr>
    </w:p>
    <w:p w14:paraId="11CF4B10">
      <w:pPr>
        <w:autoSpaceDE w:val="0"/>
        <w:autoSpaceDN w:val="0"/>
        <w:adjustRightInd w:val="0"/>
        <w:snapToGrid w:val="0"/>
        <w:spacing w:line="360" w:lineRule="auto"/>
        <w:jc w:val="left"/>
        <w:rPr>
          <w:rFonts w:hint="eastAsia" w:ascii="仿宋" w:hAnsi="仿宋" w:eastAsia="仿宋" w:cs="仿宋"/>
          <w:color w:val="auto"/>
          <w:kern w:val="0"/>
          <w:sz w:val="24"/>
          <w:szCs w:val="20"/>
          <w:highlight w:val="none"/>
        </w:rPr>
      </w:pPr>
    </w:p>
    <w:p w14:paraId="587F5F68">
      <w:pPr>
        <w:autoSpaceDE w:val="0"/>
        <w:autoSpaceDN w:val="0"/>
        <w:adjustRightInd w:val="0"/>
        <w:snapToGrid w:val="0"/>
        <w:spacing w:line="360" w:lineRule="auto"/>
        <w:jc w:val="left"/>
        <w:rPr>
          <w:rFonts w:hint="eastAsia" w:ascii="仿宋" w:hAnsi="仿宋" w:eastAsia="仿宋" w:cs="仿宋"/>
          <w:color w:val="auto"/>
          <w:kern w:val="0"/>
          <w:sz w:val="22"/>
          <w:szCs w:val="21"/>
          <w:highlight w:val="none"/>
        </w:rPr>
      </w:pPr>
      <w:r>
        <w:rPr>
          <w:rFonts w:hint="eastAsia" w:ascii="仿宋" w:hAnsi="仿宋" w:eastAsia="仿宋" w:cs="仿宋"/>
          <w:color w:val="auto"/>
          <w:kern w:val="0"/>
          <w:sz w:val="22"/>
          <w:szCs w:val="18"/>
          <w:highlight w:val="none"/>
        </w:rPr>
        <w:t>注：1、法定代表人参加投标活动并签署文件的不需要授权委托书，只需提供法定代表人身份证明；非法定代表人参加投标活动及签署文件的除提供法定代表人身份证明外还须提供授权委托书。</w:t>
      </w:r>
    </w:p>
    <w:p w14:paraId="297BF445">
      <w:pPr>
        <w:tabs>
          <w:tab w:val="left" w:pos="5760"/>
        </w:tabs>
        <w:autoSpaceDE w:val="0"/>
        <w:autoSpaceDN w:val="0"/>
        <w:adjustRightInd w:val="0"/>
        <w:spacing w:line="360" w:lineRule="auto"/>
        <w:ind w:right="11" w:firstLine="440" w:firstLineChars="20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2"/>
          <w:szCs w:val="18"/>
          <w:highlight w:val="none"/>
        </w:rPr>
        <w:t>2、法定代表人身份证明及授权委托书原件装入投标文件一并递交。另外须准备一份在开标现场出具</w:t>
      </w:r>
      <w:r>
        <w:rPr>
          <w:rFonts w:hint="eastAsia" w:ascii="仿宋" w:hAnsi="仿宋" w:eastAsia="仿宋" w:cs="仿宋"/>
          <w:color w:val="auto"/>
          <w:kern w:val="0"/>
          <w:sz w:val="24"/>
          <w:szCs w:val="20"/>
          <w:highlight w:val="none"/>
        </w:rPr>
        <w:t>。</w:t>
      </w:r>
      <w:r>
        <w:rPr>
          <w:rFonts w:hint="eastAsia" w:ascii="仿宋" w:hAnsi="仿宋" w:eastAsia="仿宋" w:cs="仿宋"/>
          <w:color w:val="auto"/>
          <w:highlight w:val="none"/>
        </w:rPr>
        <w:br w:type="page"/>
      </w:r>
      <w:r>
        <w:rPr>
          <w:rFonts w:hint="eastAsia" w:ascii="仿宋" w:hAnsi="仿宋" w:eastAsia="仿宋" w:cs="仿宋"/>
          <w:b/>
          <w:bCs/>
          <w:color w:val="auto"/>
          <w:highlight w:val="none"/>
        </w:rPr>
        <w:t>（三）已标价工程量清单</w:t>
      </w:r>
    </w:p>
    <w:p w14:paraId="1356CC97">
      <w:pPr>
        <w:pStyle w:val="12"/>
        <w:spacing w:before="240"/>
        <w:rPr>
          <w:rFonts w:hint="eastAsia" w:ascii="仿宋" w:hAnsi="仿宋" w:eastAsia="仿宋" w:cs="仿宋"/>
          <w:color w:val="auto"/>
          <w:highlight w:val="none"/>
        </w:rPr>
      </w:pPr>
    </w:p>
    <w:p w14:paraId="03F38850">
      <w:pPr>
        <w:pStyle w:val="3"/>
        <w:spacing w:before="0" w:after="0" w:line="360" w:lineRule="auto"/>
        <w:ind w:firstLine="562" w:firstLineChars="200"/>
        <w:jc w:val="center"/>
        <w:rPr>
          <w:rFonts w:hint="eastAsia" w:ascii="仿宋" w:hAnsi="仿宋" w:eastAsia="仿宋" w:cs="仿宋"/>
          <w:bCs w:val="0"/>
          <w:color w:val="auto"/>
          <w:highlight w:val="none"/>
        </w:rPr>
      </w:pPr>
      <w:bookmarkStart w:id="1984" w:name="_Toc411433135"/>
      <w:bookmarkStart w:id="1985" w:name="_Toc410724917"/>
      <w:bookmarkStart w:id="1986" w:name="_Toc416967494"/>
      <w:r>
        <w:rPr>
          <w:rFonts w:hint="eastAsia" w:ascii="仿宋" w:hAnsi="仿宋" w:eastAsia="仿宋" w:cs="仿宋"/>
          <w:color w:val="auto"/>
          <w:sz w:val="28"/>
          <w:highlight w:val="none"/>
        </w:rPr>
        <w:br w:type="page"/>
      </w:r>
      <w:bookmarkEnd w:id="1984"/>
      <w:bookmarkEnd w:id="1985"/>
      <w:bookmarkEnd w:id="1986"/>
      <w:bookmarkStart w:id="1987" w:name="_Toc28632"/>
      <w:bookmarkStart w:id="1988" w:name="_Toc287620829"/>
      <w:bookmarkStart w:id="1989" w:name="_Toc23954"/>
      <w:bookmarkStart w:id="1990" w:name="_Toc11965"/>
      <w:bookmarkStart w:id="1991" w:name="_Toc224103510"/>
      <w:bookmarkStart w:id="1992" w:name="_Toc452965425"/>
      <w:bookmarkStart w:id="1993" w:name="_Toc287607882"/>
      <w:bookmarkStart w:id="1994" w:name="_Toc30439"/>
      <w:bookmarkStart w:id="1995" w:name="_Toc460923620"/>
      <w:bookmarkStart w:id="1996" w:name="_Toc3315"/>
      <w:bookmarkStart w:id="1997" w:name="_Toc16360"/>
      <w:bookmarkStart w:id="1998" w:name="_Toc277082656"/>
      <w:bookmarkStart w:id="1999" w:name="_Toc2718"/>
      <w:bookmarkStart w:id="2000" w:name="_Toc11492"/>
      <w:bookmarkStart w:id="2001" w:name="_Toc12947"/>
      <w:bookmarkStart w:id="2002" w:name="_Toc27520"/>
      <w:r>
        <w:rPr>
          <w:rFonts w:hint="eastAsia" w:ascii="仿宋" w:hAnsi="仿宋" w:eastAsia="仿宋" w:cs="仿宋"/>
          <w:color w:val="auto"/>
          <w:sz w:val="28"/>
          <w:highlight w:val="none"/>
        </w:rPr>
        <w:t>二</w:t>
      </w:r>
      <w:r>
        <w:rPr>
          <w:rFonts w:hint="eastAsia" w:ascii="仿宋" w:hAnsi="仿宋" w:eastAsia="仿宋" w:cs="仿宋"/>
          <w:bCs w:val="0"/>
          <w:color w:val="auto"/>
          <w:highlight w:val="none"/>
        </w:rPr>
        <w:t>、资格审查资料</w:t>
      </w:r>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p>
    <w:p w14:paraId="30C1152B">
      <w:pPr>
        <w:adjustRightInd w:val="0"/>
        <w:snapToGrid w:val="0"/>
        <w:spacing w:line="360" w:lineRule="auto"/>
        <w:ind w:firstLine="640" w:firstLineChars="200"/>
        <w:rPr>
          <w:rFonts w:hint="eastAsia" w:ascii="仿宋" w:hAnsi="仿宋" w:eastAsia="仿宋" w:cs="仿宋"/>
          <w:color w:val="auto"/>
          <w:sz w:val="32"/>
          <w:szCs w:val="32"/>
          <w:highlight w:val="none"/>
        </w:rPr>
      </w:pPr>
    </w:p>
    <w:p w14:paraId="7A55DD9F">
      <w:pPr>
        <w:adjustRightInd w:val="0"/>
        <w:snapToGrid w:val="0"/>
        <w:spacing w:line="360" w:lineRule="auto"/>
        <w:ind w:firstLine="640" w:firstLineChars="200"/>
        <w:rPr>
          <w:rFonts w:hint="eastAsia" w:ascii="仿宋" w:hAnsi="仿宋" w:eastAsia="仿宋" w:cs="仿宋"/>
          <w:color w:val="auto"/>
          <w:sz w:val="32"/>
          <w:szCs w:val="32"/>
          <w:highlight w:val="none"/>
        </w:rPr>
      </w:pPr>
    </w:p>
    <w:p w14:paraId="4B241625">
      <w:pPr>
        <w:spacing w:line="360" w:lineRule="auto"/>
        <w:ind w:firstLine="640" w:firstLineChars="200"/>
        <w:rPr>
          <w:rFonts w:hint="eastAsia" w:ascii="仿宋" w:hAnsi="仿宋" w:eastAsia="仿宋" w:cs="仿宋"/>
          <w:color w:val="auto"/>
          <w:sz w:val="32"/>
          <w:szCs w:val="32"/>
          <w:highlight w:val="none"/>
        </w:rPr>
      </w:pPr>
    </w:p>
    <w:p w14:paraId="42726D2C">
      <w:pPr>
        <w:spacing w:line="360" w:lineRule="auto"/>
        <w:ind w:firstLine="640" w:firstLineChars="200"/>
        <w:rPr>
          <w:rFonts w:hint="eastAsia" w:ascii="仿宋" w:hAnsi="仿宋" w:eastAsia="仿宋" w:cs="仿宋"/>
          <w:color w:val="auto"/>
          <w:sz w:val="32"/>
          <w:szCs w:val="32"/>
          <w:highlight w:val="none"/>
        </w:rPr>
      </w:pPr>
    </w:p>
    <w:p w14:paraId="3AD301C2">
      <w:pPr>
        <w:spacing w:line="360" w:lineRule="auto"/>
        <w:ind w:firstLine="640" w:firstLineChars="200"/>
        <w:rPr>
          <w:rFonts w:hint="eastAsia" w:ascii="仿宋" w:hAnsi="仿宋" w:eastAsia="仿宋" w:cs="仿宋"/>
          <w:color w:val="auto"/>
          <w:sz w:val="32"/>
          <w:szCs w:val="32"/>
          <w:highlight w:val="none"/>
        </w:rPr>
      </w:pPr>
    </w:p>
    <w:p w14:paraId="4BF741F9">
      <w:pPr>
        <w:spacing w:line="360" w:lineRule="auto"/>
        <w:ind w:firstLine="640" w:firstLineChars="200"/>
        <w:rPr>
          <w:rFonts w:hint="eastAsia" w:ascii="仿宋" w:hAnsi="仿宋" w:eastAsia="仿宋" w:cs="仿宋"/>
          <w:color w:val="auto"/>
          <w:sz w:val="32"/>
          <w:szCs w:val="32"/>
          <w:highlight w:val="none"/>
        </w:rPr>
      </w:pPr>
    </w:p>
    <w:p w14:paraId="67AAC6C5">
      <w:pPr>
        <w:spacing w:line="360" w:lineRule="auto"/>
        <w:ind w:firstLine="640" w:firstLineChars="200"/>
        <w:rPr>
          <w:rFonts w:hint="eastAsia" w:ascii="仿宋" w:hAnsi="仿宋" w:eastAsia="仿宋" w:cs="仿宋"/>
          <w:color w:val="auto"/>
          <w:sz w:val="32"/>
          <w:szCs w:val="32"/>
          <w:highlight w:val="none"/>
        </w:rPr>
      </w:pPr>
    </w:p>
    <w:p w14:paraId="1D986130">
      <w:pPr>
        <w:spacing w:line="360" w:lineRule="auto"/>
        <w:ind w:firstLine="640" w:firstLineChars="200"/>
        <w:rPr>
          <w:rFonts w:hint="eastAsia" w:ascii="仿宋" w:hAnsi="仿宋" w:eastAsia="仿宋" w:cs="仿宋"/>
          <w:color w:val="auto"/>
          <w:sz w:val="32"/>
          <w:szCs w:val="32"/>
          <w:highlight w:val="none"/>
        </w:rPr>
      </w:pPr>
    </w:p>
    <w:p w14:paraId="79D53E4F">
      <w:pPr>
        <w:spacing w:line="360" w:lineRule="auto"/>
        <w:ind w:firstLine="640" w:firstLineChars="200"/>
        <w:rPr>
          <w:rFonts w:hint="eastAsia" w:ascii="仿宋" w:hAnsi="仿宋" w:eastAsia="仿宋" w:cs="仿宋"/>
          <w:color w:val="auto"/>
          <w:sz w:val="32"/>
          <w:szCs w:val="32"/>
          <w:highlight w:val="none"/>
        </w:rPr>
      </w:pPr>
    </w:p>
    <w:p w14:paraId="04C44EAB">
      <w:pPr>
        <w:spacing w:line="360" w:lineRule="auto"/>
        <w:ind w:firstLine="640" w:firstLineChars="200"/>
        <w:rPr>
          <w:rFonts w:hint="eastAsia" w:ascii="仿宋" w:hAnsi="仿宋" w:eastAsia="仿宋" w:cs="仿宋"/>
          <w:color w:val="auto"/>
          <w:sz w:val="32"/>
          <w:szCs w:val="32"/>
          <w:highlight w:val="none"/>
        </w:rPr>
      </w:pPr>
    </w:p>
    <w:p w14:paraId="7A0AB43C">
      <w:pPr>
        <w:spacing w:line="360" w:lineRule="auto"/>
        <w:ind w:firstLine="640" w:firstLineChars="200"/>
        <w:rPr>
          <w:rFonts w:hint="eastAsia" w:ascii="仿宋" w:hAnsi="仿宋" w:eastAsia="仿宋" w:cs="仿宋"/>
          <w:color w:val="auto"/>
          <w:sz w:val="32"/>
          <w:szCs w:val="32"/>
          <w:highlight w:val="none"/>
        </w:rPr>
      </w:pPr>
    </w:p>
    <w:p w14:paraId="07B151E5">
      <w:pPr>
        <w:spacing w:line="360" w:lineRule="auto"/>
        <w:ind w:firstLine="640" w:firstLineChars="200"/>
        <w:rPr>
          <w:rFonts w:hint="eastAsia" w:ascii="仿宋" w:hAnsi="仿宋" w:eastAsia="仿宋" w:cs="仿宋"/>
          <w:color w:val="auto"/>
          <w:sz w:val="32"/>
          <w:szCs w:val="32"/>
          <w:highlight w:val="none"/>
        </w:rPr>
      </w:pPr>
    </w:p>
    <w:p w14:paraId="389F677A">
      <w:pPr>
        <w:spacing w:line="360" w:lineRule="auto"/>
        <w:ind w:firstLine="640" w:firstLineChars="200"/>
        <w:rPr>
          <w:rFonts w:hint="eastAsia" w:ascii="仿宋" w:hAnsi="仿宋" w:eastAsia="仿宋" w:cs="仿宋"/>
          <w:color w:val="auto"/>
          <w:sz w:val="32"/>
          <w:szCs w:val="32"/>
          <w:highlight w:val="none"/>
        </w:rPr>
      </w:pPr>
    </w:p>
    <w:p w14:paraId="56519061">
      <w:pPr>
        <w:spacing w:line="360" w:lineRule="auto"/>
        <w:ind w:firstLine="640" w:firstLineChars="200"/>
        <w:rPr>
          <w:rFonts w:hint="eastAsia" w:ascii="仿宋" w:hAnsi="仿宋" w:eastAsia="仿宋" w:cs="仿宋"/>
          <w:color w:val="auto"/>
          <w:sz w:val="32"/>
          <w:szCs w:val="32"/>
          <w:highlight w:val="none"/>
        </w:rPr>
      </w:pPr>
    </w:p>
    <w:p w14:paraId="121CCA02">
      <w:pPr>
        <w:spacing w:line="360" w:lineRule="auto"/>
        <w:ind w:firstLine="640" w:firstLineChars="200"/>
        <w:rPr>
          <w:rFonts w:hint="eastAsia" w:ascii="仿宋" w:hAnsi="仿宋" w:eastAsia="仿宋" w:cs="仿宋"/>
          <w:b/>
          <w:color w:val="auto"/>
          <w:kern w:val="0"/>
          <w:szCs w:val="28"/>
          <w:highlight w:val="none"/>
          <w:u w:val="single"/>
        </w:rPr>
      </w:pPr>
      <w:r>
        <w:rPr>
          <w:rFonts w:hint="eastAsia" w:ascii="仿宋" w:hAnsi="仿宋" w:eastAsia="仿宋" w:cs="仿宋"/>
          <w:color w:val="auto"/>
          <w:sz w:val="32"/>
          <w:szCs w:val="32"/>
          <w:highlight w:val="none"/>
        </w:rPr>
        <w:br w:type="page"/>
      </w:r>
      <w:r>
        <w:rPr>
          <w:rFonts w:hint="eastAsia" w:ascii="仿宋" w:hAnsi="仿宋" w:eastAsia="仿宋" w:cs="仿宋"/>
          <w:b/>
          <w:color w:val="auto"/>
          <w:kern w:val="0"/>
          <w:szCs w:val="28"/>
          <w:highlight w:val="none"/>
          <w:u w:val="single"/>
        </w:rPr>
        <w:t xml:space="preserve">                                                </w:t>
      </w:r>
      <w:r>
        <w:rPr>
          <w:rFonts w:hint="eastAsia" w:ascii="仿宋" w:hAnsi="仿宋" w:eastAsia="仿宋" w:cs="仿宋"/>
          <w:b/>
          <w:color w:val="auto"/>
          <w:kern w:val="0"/>
          <w:szCs w:val="28"/>
          <w:highlight w:val="none"/>
        </w:rPr>
        <w:t>（项目名称）</w:t>
      </w:r>
    </w:p>
    <w:p w14:paraId="757E705C">
      <w:pPr>
        <w:tabs>
          <w:tab w:val="left" w:pos="3600"/>
          <w:tab w:val="left" w:pos="4480"/>
          <w:tab w:val="left" w:pos="5360"/>
        </w:tabs>
        <w:autoSpaceDE w:val="0"/>
        <w:autoSpaceDN w:val="0"/>
        <w:adjustRightInd w:val="0"/>
        <w:snapToGrid w:val="0"/>
        <w:spacing w:line="360" w:lineRule="auto"/>
        <w:ind w:firstLine="880" w:firstLineChars="200"/>
        <w:jc w:val="left"/>
        <w:rPr>
          <w:rFonts w:hint="eastAsia" w:ascii="仿宋" w:hAnsi="仿宋" w:eastAsia="仿宋" w:cs="仿宋"/>
          <w:color w:val="auto"/>
          <w:kern w:val="0"/>
          <w:sz w:val="44"/>
          <w:szCs w:val="44"/>
          <w:highlight w:val="none"/>
        </w:rPr>
      </w:pPr>
    </w:p>
    <w:p w14:paraId="0EA97E20">
      <w:pPr>
        <w:tabs>
          <w:tab w:val="left" w:pos="3600"/>
          <w:tab w:val="left" w:pos="4480"/>
          <w:tab w:val="left" w:pos="5360"/>
        </w:tabs>
        <w:autoSpaceDE w:val="0"/>
        <w:autoSpaceDN w:val="0"/>
        <w:adjustRightInd w:val="0"/>
        <w:snapToGrid w:val="0"/>
        <w:spacing w:line="360" w:lineRule="auto"/>
        <w:ind w:firstLine="880" w:firstLineChars="200"/>
        <w:jc w:val="left"/>
        <w:rPr>
          <w:rFonts w:hint="eastAsia" w:ascii="仿宋" w:hAnsi="仿宋" w:eastAsia="仿宋" w:cs="仿宋"/>
          <w:color w:val="auto"/>
          <w:kern w:val="0"/>
          <w:sz w:val="44"/>
          <w:szCs w:val="44"/>
          <w:highlight w:val="none"/>
        </w:rPr>
      </w:pPr>
    </w:p>
    <w:p w14:paraId="1758391D">
      <w:pPr>
        <w:tabs>
          <w:tab w:val="left" w:pos="3600"/>
          <w:tab w:val="left" w:pos="4480"/>
          <w:tab w:val="left" w:pos="5360"/>
        </w:tabs>
        <w:autoSpaceDE w:val="0"/>
        <w:autoSpaceDN w:val="0"/>
        <w:adjustRightInd w:val="0"/>
        <w:snapToGrid w:val="0"/>
        <w:spacing w:line="360" w:lineRule="auto"/>
        <w:jc w:val="center"/>
        <w:rPr>
          <w:rFonts w:hint="eastAsia" w:ascii="仿宋" w:hAnsi="仿宋" w:eastAsia="仿宋" w:cs="仿宋"/>
          <w:b/>
          <w:color w:val="auto"/>
          <w:kern w:val="0"/>
          <w:sz w:val="84"/>
          <w:szCs w:val="84"/>
          <w:highlight w:val="none"/>
        </w:rPr>
      </w:pPr>
      <w:r>
        <w:rPr>
          <w:rFonts w:hint="eastAsia" w:ascii="仿宋" w:hAnsi="仿宋" w:eastAsia="仿宋" w:cs="仿宋"/>
          <w:b/>
          <w:color w:val="auto"/>
          <w:kern w:val="0"/>
          <w:sz w:val="84"/>
          <w:szCs w:val="84"/>
          <w:highlight w:val="none"/>
        </w:rPr>
        <w:t>投标文件</w:t>
      </w:r>
    </w:p>
    <w:p w14:paraId="2E93DCD0">
      <w:pPr>
        <w:autoSpaceDE w:val="0"/>
        <w:autoSpaceDN w:val="0"/>
        <w:adjustRightInd w:val="0"/>
        <w:snapToGrid w:val="0"/>
        <w:spacing w:line="360" w:lineRule="auto"/>
        <w:ind w:firstLine="320" w:firstLineChars="200"/>
        <w:jc w:val="left"/>
        <w:rPr>
          <w:rFonts w:hint="eastAsia" w:ascii="仿宋" w:hAnsi="仿宋" w:eastAsia="仿宋" w:cs="仿宋"/>
          <w:color w:val="auto"/>
          <w:kern w:val="0"/>
          <w:sz w:val="16"/>
          <w:szCs w:val="16"/>
          <w:highlight w:val="none"/>
        </w:rPr>
      </w:pPr>
    </w:p>
    <w:p w14:paraId="798AD1C7">
      <w:pPr>
        <w:autoSpaceDE w:val="0"/>
        <w:autoSpaceDN w:val="0"/>
        <w:adjustRightInd w:val="0"/>
        <w:snapToGrid w:val="0"/>
        <w:spacing w:line="360" w:lineRule="auto"/>
        <w:jc w:val="center"/>
        <w:rPr>
          <w:rFonts w:hint="eastAsia" w:ascii="仿宋" w:hAnsi="仿宋" w:eastAsia="仿宋" w:cs="仿宋"/>
          <w:b/>
          <w:color w:val="auto"/>
          <w:kern w:val="0"/>
          <w:sz w:val="36"/>
          <w:szCs w:val="36"/>
          <w:highlight w:val="none"/>
        </w:rPr>
      </w:pPr>
      <w:r>
        <w:rPr>
          <w:rFonts w:hint="eastAsia" w:ascii="仿宋" w:hAnsi="仿宋" w:eastAsia="仿宋" w:cs="仿宋"/>
          <w:b/>
          <w:color w:val="auto"/>
          <w:kern w:val="0"/>
          <w:sz w:val="36"/>
          <w:szCs w:val="36"/>
          <w:highlight w:val="none"/>
        </w:rPr>
        <w:t>资格审查资料</w:t>
      </w:r>
    </w:p>
    <w:p w14:paraId="5D9EC4AA">
      <w:pPr>
        <w:autoSpaceDE w:val="0"/>
        <w:autoSpaceDN w:val="0"/>
        <w:adjustRightInd w:val="0"/>
        <w:snapToGrid w:val="0"/>
        <w:spacing w:line="360" w:lineRule="auto"/>
        <w:ind w:firstLine="400" w:firstLineChars="200"/>
        <w:jc w:val="left"/>
        <w:rPr>
          <w:rFonts w:hint="eastAsia" w:ascii="仿宋" w:hAnsi="仿宋" w:eastAsia="仿宋" w:cs="仿宋"/>
          <w:color w:val="auto"/>
          <w:kern w:val="0"/>
          <w:sz w:val="20"/>
          <w:szCs w:val="20"/>
          <w:highlight w:val="none"/>
        </w:rPr>
      </w:pPr>
    </w:p>
    <w:p w14:paraId="2EEB93E3">
      <w:pPr>
        <w:adjustRightInd w:val="0"/>
        <w:snapToGrid w:val="0"/>
        <w:spacing w:line="360" w:lineRule="auto"/>
        <w:ind w:firstLine="560" w:firstLineChars="200"/>
        <w:rPr>
          <w:rFonts w:hint="eastAsia" w:ascii="仿宋" w:hAnsi="仿宋" w:eastAsia="仿宋" w:cs="仿宋"/>
          <w:color w:val="auto"/>
          <w:szCs w:val="21"/>
          <w:highlight w:val="none"/>
        </w:rPr>
      </w:pPr>
    </w:p>
    <w:p w14:paraId="1E95350C">
      <w:pPr>
        <w:autoSpaceDE w:val="0"/>
        <w:autoSpaceDN w:val="0"/>
        <w:adjustRightInd w:val="0"/>
        <w:snapToGrid w:val="0"/>
        <w:spacing w:line="360" w:lineRule="auto"/>
        <w:ind w:firstLine="400" w:firstLineChars="200"/>
        <w:jc w:val="left"/>
        <w:rPr>
          <w:rFonts w:hint="eastAsia" w:ascii="仿宋" w:hAnsi="仿宋" w:eastAsia="仿宋" w:cs="仿宋"/>
          <w:color w:val="auto"/>
          <w:kern w:val="0"/>
          <w:sz w:val="20"/>
          <w:szCs w:val="20"/>
          <w:highlight w:val="none"/>
        </w:rPr>
      </w:pPr>
    </w:p>
    <w:p w14:paraId="5D20CF12">
      <w:pPr>
        <w:autoSpaceDE w:val="0"/>
        <w:autoSpaceDN w:val="0"/>
        <w:adjustRightInd w:val="0"/>
        <w:snapToGrid w:val="0"/>
        <w:spacing w:line="360" w:lineRule="auto"/>
        <w:ind w:firstLine="400" w:firstLineChars="200"/>
        <w:jc w:val="left"/>
        <w:rPr>
          <w:rFonts w:hint="eastAsia" w:ascii="仿宋" w:hAnsi="仿宋" w:eastAsia="仿宋" w:cs="仿宋"/>
          <w:color w:val="auto"/>
          <w:kern w:val="0"/>
          <w:sz w:val="20"/>
          <w:szCs w:val="20"/>
          <w:highlight w:val="none"/>
        </w:rPr>
      </w:pPr>
    </w:p>
    <w:p w14:paraId="4EB4CAD7">
      <w:pPr>
        <w:autoSpaceDE w:val="0"/>
        <w:autoSpaceDN w:val="0"/>
        <w:adjustRightInd w:val="0"/>
        <w:snapToGrid w:val="0"/>
        <w:spacing w:line="360" w:lineRule="auto"/>
        <w:ind w:firstLine="400" w:firstLineChars="200"/>
        <w:jc w:val="left"/>
        <w:rPr>
          <w:rFonts w:hint="eastAsia" w:ascii="仿宋" w:hAnsi="仿宋" w:eastAsia="仿宋" w:cs="仿宋"/>
          <w:color w:val="auto"/>
          <w:kern w:val="0"/>
          <w:sz w:val="20"/>
          <w:szCs w:val="20"/>
          <w:highlight w:val="none"/>
        </w:rPr>
      </w:pPr>
    </w:p>
    <w:p w14:paraId="08D68A21">
      <w:pPr>
        <w:rPr>
          <w:rFonts w:hint="eastAsia" w:ascii="仿宋" w:hAnsi="仿宋" w:eastAsia="仿宋" w:cs="仿宋"/>
          <w:color w:val="auto"/>
          <w:highlight w:val="none"/>
        </w:rPr>
      </w:pPr>
    </w:p>
    <w:p w14:paraId="297DB64F">
      <w:pPr>
        <w:autoSpaceDE w:val="0"/>
        <w:autoSpaceDN w:val="0"/>
        <w:adjustRightInd w:val="0"/>
        <w:snapToGrid w:val="0"/>
        <w:spacing w:line="360" w:lineRule="auto"/>
        <w:ind w:firstLine="400" w:firstLineChars="200"/>
        <w:jc w:val="left"/>
        <w:rPr>
          <w:rFonts w:hint="eastAsia" w:ascii="仿宋" w:hAnsi="仿宋" w:eastAsia="仿宋" w:cs="仿宋"/>
          <w:color w:val="auto"/>
          <w:kern w:val="0"/>
          <w:sz w:val="20"/>
          <w:szCs w:val="20"/>
          <w:highlight w:val="none"/>
        </w:rPr>
      </w:pPr>
    </w:p>
    <w:p w14:paraId="56C7AF84">
      <w:pPr>
        <w:tabs>
          <w:tab w:val="left" w:pos="6080"/>
          <w:tab w:val="left" w:pos="6640"/>
        </w:tabs>
        <w:autoSpaceDE w:val="0"/>
        <w:autoSpaceDN w:val="0"/>
        <w:adjustRightInd w:val="0"/>
        <w:snapToGrid w:val="0"/>
        <w:spacing w:line="360" w:lineRule="auto"/>
        <w:ind w:firstLine="562" w:firstLineChars="200"/>
        <w:rPr>
          <w:rFonts w:hint="eastAsia" w:ascii="仿宋" w:hAnsi="仿宋" w:eastAsia="仿宋" w:cs="仿宋"/>
          <w:b/>
          <w:color w:val="auto"/>
          <w:kern w:val="0"/>
          <w:szCs w:val="28"/>
          <w:highlight w:val="none"/>
        </w:rPr>
      </w:pPr>
      <w:r>
        <w:rPr>
          <w:rFonts w:hint="eastAsia" w:ascii="仿宋" w:hAnsi="仿宋" w:eastAsia="仿宋" w:cs="仿宋"/>
          <w:b/>
          <w:color w:val="auto"/>
          <w:kern w:val="0"/>
          <w:szCs w:val="28"/>
          <w:highlight w:val="none"/>
        </w:rPr>
        <w:t>投标人：</w:t>
      </w:r>
      <w:r>
        <w:rPr>
          <w:rFonts w:hint="eastAsia" w:ascii="仿宋" w:hAnsi="仿宋" w:eastAsia="仿宋" w:cs="仿宋"/>
          <w:b/>
          <w:color w:val="auto"/>
          <w:kern w:val="0"/>
          <w:szCs w:val="28"/>
          <w:highlight w:val="none"/>
          <w:u w:val="single"/>
        </w:rPr>
        <w:t xml:space="preserve">　　　　　　                     </w:t>
      </w:r>
      <w:r>
        <w:rPr>
          <w:rFonts w:hint="eastAsia" w:ascii="仿宋" w:hAnsi="仿宋" w:eastAsia="仿宋" w:cs="仿宋"/>
          <w:b/>
          <w:color w:val="auto"/>
          <w:kern w:val="0"/>
          <w:szCs w:val="28"/>
          <w:highlight w:val="none"/>
        </w:rPr>
        <w:t>（盖单位公章）</w:t>
      </w:r>
    </w:p>
    <w:p w14:paraId="45A54B58">
      <w:pPr>
        <w:tabs>
          <w:tab w:val="left" w:pos="6080"/>
          <w:tab w:val="left" w:pos="6640"/>
        </w:tabs>
        <w:autoSpaceDE w:val="0"/>
        <w:autoSpaceDN w:val="0"/>
        <w:adjustRightInd w:val="0"/>
        <w:snapToGrid w:val="0"/>
        <w:spacing w:line="360" w:lineRule="auto"/>
        <w:ind w:firstLine="562" w:firstLineChars="200"/>
        <w:rPr>
          <w:rFonts w:hint="eastAsia" w:ascii="仿宋" w:hAnsi="仿宋" w:eastAsia="仿宋" w:cs="仿宋"/>
          <w:b/>
          <w:color w:val="auto"/>
          <w:kern w:val="0"/>
          <w:szCs w:val="28"/>
          <w:highlight w:val="none"/>
        </w:rPr>
      </w:pPr>
    </w:p>
    <w:p w14:paraId="71485A7D">
      <w:pPr>
        <w:tabs>
          <w:tab w:val="left" w:pos="6080"/>
          <w:tab w:val="left" w:pos="6640"/>
        </w:tabs>
        <w:autoSpaceDE w:val="0"/>
        <w:autoSpaceDN w:val="0"/>
        <w:adjustRightInd w:val="0"/>
        <w:snapToGrid w:val="0"/>
        <w:spacing w:line="360" w:lineRule="auto"/>
        <w:ind w:firstLine="562" w:firstLineChars="200"/>
        <w:rPr>
          <w:rFonts w:hint="eastAsia" w:ascii="仿宋" w:hAnsi="仿宋" w:eastAsia="仿宋" w:cs="仿宋"/>
          <w:b/>
          <w:color w:val="auto"/>
          <w:kern w:val="0"/>
          <w:szCs w:val="28"/>
          <w:highlight w:val="none"/>
        </w:rPr>
      </w:pPr>
      <w:r>
        <w:rPr>
          <w:rFonts w:hint="eastAsia" w:ascii="仿宋" w:hAnsi="仿宋" w:eastAsia="仿宋" w:cs="仿宋"/>
          <w:b/>
          <w:color w:val="auto"/>
          <w:kern w:val="0"/>
          <w:szCs w:val="28"/>
          <w:highlight w:val="none"/>
        </w:rPr>
        <w:t>法定代表人或其委托代理人：</w:t>
      </w:r>
      <w:r>
        <w:rPr>
          <w:rFonts w:hint="eastAsia" w:ascii="仿宋" w:hAnsi="仿宋" w:eastAsia="仿宋" w:cs="仿宋"/>
          <w:b/>
          <w:color w:val="auto"/>
          <w:kern w:val="0"/>
          <w:szCs w:val="28"/>
          <w:highlight w:val="none"/>
          <w:u w:val="single"/>
        </w:rPr>
        <w:t>　　         　</w:t>
      </w:r>
      <w:r>
        <w:rPr>
          <w:rFonts w:hint="eastAsia" w:ascii="仿宋" w:hAnsi="仿宋" w:eastAsia="仿宋" w:cs="仿宋"/>
          <w:b/>
          <w:color w:val="auto"/>
          <w:kern w:val="0"/>
          <w:szCs w:val="28"/>
          <w:highlight w:val="none"/>
        </w:rPr>
        <w:t>（签字或盖章）</w:t>
      </w:r>
    </w:p>
    <w:p w14:paraId="7FC46059">
      <w:pPr>
        <w:tabs>
          <w:tab w:val="left" w:pos="3280"/>
          <w:tab w:val="left" w:pos="4680"/>
          <w:tab w:val="left" w:pos="6080"/>
        </w:tabs>
        <w:autoSpaceDE w:val="0"/>
        <w:autoSpaceDN w:val="0"/>
        <w:adjustRightInd w:val="0"/>
        <w:snapToGrid w:val="0"/>
        <w:spacing w:line="360" w:lineRule="auto"/>
        <w:ind w:firstLine="562" w:firstLineChars="200"/>
        <w:rPr>
          <w:rFonts w:hint="eastAsia" w:ascii="仿宋" w:hAnsi="仿宋" w:eastAsia="仿宋" w:cs="仿宋"/>
          <w:b/>
          <w:color w:val="auto"/>
          <w:kern w:val="0"/>
          <w:szCs w:val="28"/>
          <w:highlight w:val="none"/>
        </w:rPr>
      </w:pPr>
    </w:p>
    <w:p w14:paraId="2BB128C0">
      <w:pPr>
        <w:tabs>
          <w:tab w:val="left" w:pos="3280"/>
          <w:tab w:val="left" w:pos="4680"/>
          <w:tab w:val="left" w:pos="6080"/>
        </w:tabs>
        <w:autoSpaceDE w:val="0"/>
        <w:autoSpaceDN w:val="0"/>
        <w:adjustRightInd w:val="0"/>
        <w:snapToGrid w:val="0"/>
        <w:spacing w:line="360" w:lineRule="auto"/>
        <w:ind w:firstLine="978" w:firstLineChars="348"/>
        <w:jc w:val="center"/>
        <w:rPr>
          <w:rFonts w:hint="eastAsia" w:ascii="仿宋" w:hAnsi="仿宋" w:eastAsia="仿宋" w:cs="仿宋"/>
          <w:b/>
          <w:color w:val="auto"/>
          <w:kern w:val="0"/>
          <w:szCs w:val="28"/>
          <w:highlight w:val="none"/>
        </w:rPr>
      </w:pPr>
      <w:r>
        <w:rPr>
          <w:rFonts w:hint="eastAsia" w:ascii="仿宋" w:hAnsi="仿宋" w:eastAsia="仿宋" w:cs="仿宋"/>
          <w:b/>
          <w:color w:val="auto"/>
          <w:kern w:val="0"/>
          <w:szCs w:val="28"/>
          <w:highlight w:val="none"/>
        </w:rPr>
        <w:t>年   月   日</w:t>
      </w:r>
    </w:p>
    <w:p w14:paraId="46750F50">
      <w:pPr>
        <w:spacing w:line="360" w:lineRule="auto"/>
        <w:ind w:firstLine="480" w:firstLineChars="200"/>
        <w:jc w:val="center"/>
        <w:rPr>
          <w:rFonts w:hint="eastAsia" w:ascii="仿宋" w:hAnsi="仿宋" w:eastAsia="仿宋" w:cs="仿宋"/>
          <w:color w:val="auto"/>
          <w:kern w:val="0"/>
          <w:sz w:val="24"/>
          <w:szCs w:val="21"/>
          <w:highlight w:val="none"/>
        </w:rPr>
      </w:pPr>
      <w:r>
        <w:rPr>
          <w:rFonts w:hint="eastAsia" w:ascii="仿宋" w:hAnsi="仿宋" w:eastAsia="仿宋" w:cs="仿宋"/>
          <w:color w:val="auto"/>
          <w:kern w:val="0"/>
          <w:sz w:val="24"/>
          <w:szCs w:val="21"/>
          <w:highlight w:val="none"/>
        </w:rPr>
        <w:br w:type="page"/>
      </w:r>
    </w:p>
    <w:p w14:paraId="13D9476F">
      <w:pPr>
        <w:spacing w:line="360" w:lineRule="auto"/>
        <w:ind w:firstLine="643" w:firstLineChars="200"/>
        <w:jc w:val="center"/>
        <w:rPr>
          <w:rFonts w:hint="eastAsia" w:ascii="仿宋" w:hAnsi="仿宋" w:eastAsia="仿宋" w:cs="仿宋"/>
          <w:b/>
          <w:color w:val="auto"/>
          <w:kern w:val="0"/>
          <w:sz w:val="32"/>
          <w:szCs w:val="32"/>
          <w:highlight w:val="none"/>
        </w:rPr>
      </w:pPr>
      <w:r>
        <w:rPr>
          <w:rFonts w:hint="eastAsia" w:ascii="仿宋" w:hAnsi="仿宋" w:eastAsia="仿宋" w:cs="仿宋"/>
          <w:b/>
          <w:color w:val="auto"/>
          <w:kern w:val="0"/>
          <w:sz w:val="32"/>
          <w:szCs w:val="32"/>
          <w:highlight w:val="none"/>
        </w:rPr>
        <w:t>目录</w:t>
      </w:r>
    </w:p>
    <w:p w14:paraId="119618DC">
      <w:pPr>
        <w:spacing w:line="360" w:lineRule="auto"/>
        <w:ind w:firstLine="643" w:firstLineChars="200"/>
        <w:jc w:val="center"/>
        <w:rPr>
          <w:rFonts w:hint="eastAsia" w:ascii="仿宋" w:hAnsi="仿宋" w:eastAsia="仿宋" w:cs="仿宋"/>
          <w:b/>
          <w:color w:val="auto"/>
          <w:kern w:val="0"/>
          <w:sz w:val="32"/>
          <w:szCs w:val="32"/>
          <w:highlight w:val="none"/>
        </w:rPr>
      </w:pPr>
    </w:p>
    <w:p w14:paraId="464477DA">
      <w:pPr>
        <w:autoSpaceDE w:val="0"/>
        <w:autoSpaceDN w:val="0"/>
        <w:adjustRightInd w:val="0"/>
        <w:spacing w:line="500" w:lineRule="exact"/>
        <w:ind w:right="-2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（一）法定代表人身份证明及授权委托书</w:t>
      </w:r>
    </w:p>
    <w:p w14:paraId="4BB6CE6C">
      <w:pPr>
        <w:autoSpaceDE w:val="0"/>
        <w:autoSpaceDN w:val="0"/>
        <w:adjustRightInd w:val="0"/>
        <w:spacing w:line="500" w:lineRule="exact"/>
        <w:ind w:right="-2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（二）投标人基本情况表</w:t>
      </w:r>
    </w:p>
    <w:p w14:paraId="3F19D21C">
      <w:pPr>
        <w:autoSpaceDE w:val="0"/>
        <w:autoSpaceDN w:val="0"/>
        <w:adjustRightInd w:val="0"/>
        <w:spacing w:line="500" w:lineRule="exact"/>
        <w:ind w:right="-2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（三）承诺</w:t>
      </w:r>
    </w:p>
    <w:p w14:paraId="5C9E63F2">
      <w:pPr>
        <w:autoSpaceDE w:val="0"/>
        <w:autoSpaceDN w:val="0"/>
        <w:adjustRightInd w:val="0"/>
        <w:spacing w:line="500" w:lineRule="exact"/>
        <w:ind w:right="-2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（四）其他资料</w:t>
      </w:r>
    </w:p>
    <w:p w14:paraId="436D2AB5">
      <w:pPr>
        <w:spacing w:line="360" w:lineRule="auto"/>
        <w:rPr>
          <w:rFonts w:hint="eastAsia" w:ascii="仿宋" w:hAnsi="仿宋" w:eastAsia="仿宋" w:cs="仿宋"/>
          <w:color w:val="auto"/>
          <w:kern w:val="0"/>
          <w:sz w:val="24"/>
          <w:highlight w:val="none"/>
        </w:rPr>
      </w:pPr>
    </w:p>
    <w:p w14:paraId="4E0C3BE4">
      <w:pPr>
        <w:spacing w:line="360" w:lineRule="auto"/>
        <w:ind w:firstLine="480" w:firstLineChars="200"/>
        <w:rPr>
          <w:rFonts w:hint="eastAsia" w:ascii="仿宋" w:hAnsi="仿宋" w:eastAsia="仿宋" w:cs="仿宋"/>
          <w:color w:val="auto"/>
          <w:sz w:val="24"/>
          <w:highlight w:val="none"/>
        </w:rPr>
      </w:pPr>
    </w:p>
    <w:p w14:paraId="46628760">
      <w:pPr>
        <w:spacing w:line="360" w:lineRule="auto"/>
        <w:ind w:firstLine="643" w:firstLineChars="200"/>
        <w:jc w:val="center"/>
        <w:rPr>
          <w:rFonts w:hint="eastAsia" w:ascii="仿宋" w:hAnsi="仿宋" w:eastAsia="仿宋" w:cs="仿宋"/>
          <w:b/>
          <w:color w:val="auto"/>
          <w:kern w:val="0"/>
          <w:sz w:val="32"/>
          <w:szCs w:val="32"/>
          <w:highlight w:val="none"/>
        </w:rPr>
      </w:pPr>
    </w:p>
    <w:p w14:paraId="4CF036C8">
      <w:pPr>
        <w:spacing w:line="360" w:lineRule="auto"/>
        <w:ind w:firstLine="643" w:firstLineChars="200"/>
        <w:jc w:val="center"/>
        <w:rPr>
          <w:rFonts w:hint="eastAsia" w:ascii="仿宋" w:hAnsi="仿宋" w:eastAsia="仿宋" w:cs="仿宋"/>
          <w:b/>
          <w:color w:val="auto"/>
          <w:kern w:val="0"/>
          <w:sz w:val="32"/>
          <w:szCs w:val="32"/>
          <w:highlight w:val="none"/>
        </w:rPr>
      </w:pPr>
    </w:p>
    <w:p w14:paraId="36726662">
      <w:pPr>
        <w:spacing w:line="360" w:lineRule="auto"/>
        <w:ind w:firstLine="560" w:firstLineChars="200"/>
        <w:rPr>
          <w:rFonts w:hint="eastAsia" w:ascii="仿宋" w:hAnsi="仿宋" w:eastAsia="仿宋" w:cs="仿宋"/>
          <w:color w:val="auto"/>
          <w:highlight w:val="none"/>
        </w:rPr>
      </w:pPr>
      <w:r>
        <w:rPr>
          <w:rFonts w:hint="eastAsia" w:ascii="仿宋" w:hAnsi="仿宋" w:eastAsia="仿宋" w:cs="仿宋"/>
          <w:color w:val="auto"/>
          <w:highlight w:val="none"/>
        </w:rPr>
        <w:br w:type="page"/>
      </w:r>
    </w:p>
    <w:p w14:paraId="5DCE7B44">
      <w:pPr>
        <w:pStyle w:val="4"/>
        <w:spacing w:before="0" w:after="0" w:line="360" w:lineRule="auto"/>
        <w:ind w:firstLine="562" w:firstLineChars="200"/>
        <w:jc w:val="center"/>
        <w:rPr>
          <w:rFonts w:hint="eastAsia" w:ascii="仿宋" w:hAnsi="仿宋" w:eastAsia="仿宋" w:cs="仿宋"/>
          <w:color w:val="auto"/>
          <w:highlight w:val="none"/>
        </w:rPr>
      </w:pPr>
      <w:bookmarkStart w:id="2003" w:name="_Toc452965426"/>
      <w:bookmarkStart w:id="2004" w:name="_Toc15651"/>
      <w:bookmarkStart w:id="2005" w:name="_Toc12173"/>
      <w:bookmarkStart w:id="2006" w:name="_Toc9291"/>
      <w:bookmarkStart w:id="2007" w:name="_Toc12276"/>
      <w:bookmarkStart w:id="2008" w:name="_Toc4463"/>
      <w:bookmarkStart w:id="2009" w:name="_Toc29617"/>
      <w:bookmarkStart w:id="2010" w:name="_Toc27181"/>
      <w:bookmarkStart w:id="2011" w:name="_Toc17369"/>
      <w:bookmarkStart w:id="2012" w:name="_Toc460923621"/>
      <w:bookmarkStart w:id="2013" w:name="_Toc205"/>
      <w:bookmarkStart w:id="2014" w:name="_Toc29883"/>
      <w:r>
        <w:rPr>
          <w:rFonts w:hint="eastAsia" w:ascii="仿宋" w:hAnsi="仿宋" w:eastAsia="仿宋" w:cs="仿宋"/>
          <w:color w:val="auto"/>
          <w:sz w:val="28"/>
          <w:highlight w:val="none"/>
        </w:rPr>
        <w:t>（一）法定代表人身份证明及授权委托书</w:t>
      </w:r>
      <w:bookmarkEnd w:id="2003"/>
      <w:bookmarkEnd w:id="2004"/>
      <w:bookmarkEnd w:id="2005"/>
      <w:bookmarkEnd w:id="2006"/>
      <w:bookmarkEnd w:id="2007"/>
      <w:bookmarkEnd w:id="2008"/>
      <w:bookmarkEnd w:id="2009"/>
      <w:bookmarkEnd w:id="2010"/>
      <w:bookmarkEnd w:id="2011"/>
      <w:bookmarkEnd w:id="2012"/>
      <w:bookmarkEnd w:id="2013"/>
      <w:bookmarkEnd w:id="2014"/>
    </w:p>
    <w:p w14:paraId="555BCC59">
      <w:pPr>
        <w:spacing w:line="360" w:lineRule="auto"/>
        <w:ind w:firstLine="562" w:firstLineChars="200"/>
        <w:jc w:val="center"/>
        <w:rPr>
          <w:rFonts w:hint="eastAsia" w:ascii="仿宋" w:hAnsi="仿宋" w:eastAsia="仿宋" w:cs="仿宋"/>
          <w:b/>
          <w:color w:val="auto"/>
          <w:highlight w:val="none"/>
        </w:rPr>
      </w:pPr>
      <w:r>
        <w:rPr>
          <w:rFonts w:hint="eastAsia" w:ascii="仿宋" w:hAnsi="仿宋" w:eastAsia="仿宋" w:cs="仿宋"/>
          <w:b/>
          <w:color w:val="auto"/>
          <w:highlight w:val="none"/>
        </w:rPr>
        <w:t>法定代表人身份证明</w:t>
      </w:r>
    </w:p>
    <w:p w14:paraId="3DBB5AB5">
      <w:pPr>
        <w:tabs>
          <w:tab w:val="left" w:pos="5565"/>
        </w:tabs>
        <w:autoSpaceDE w:val="0"/>
        <w:autoSpaceDN w:val="0"/>
        <w:adjustRightInd w:val="0"/>
        <w:snapToGrid w:val="0"/>
        <w:spacing w:line="400" w:lineRule="exact"/>
        <w:jc w:val="left"/>
        <w:rPr>
          <w:rFonts w:hint="eastAsia" w:ascii="仿宋" w:hAnsi="仿宋" w:eastAsia="仿宋" w:cs="仿宋"/>
          <w:color w:val="auto"/>
          <w:kern w:val="0"/>
          <w:sz w:val="24"/>
          <w:szCs w:val="20"/>
          <w:highlight w:val="none"/>
        </w:rPr>
      </w:pPr>
      <w:r>
        <w:rPr>
          <w:rFonts w:hint="eastAsia" w:ascii="仿宋" w:hAnsi="仿宋" w:eastAsia="仿宋" w:cs="仿宋"/>
          <w:color w:val="auto"/>
          <w:kern w:val="0"/>
          <w:sz w:val="24"/>
          <w:szCs w:val="20"/>
          <w:highlight w:val="none"/>
        </w:rPr>
        <w:t>投标人名称：</w:t>
      </w:r>
      <w:r>
        <w:rPr>
          <w:rFonts w:hint="eastAsia" w:ascii="仿宋" w:hAnsi="仿宋" w:eastAsia="仿宋" w:cs="仿宋"/>
          <w:color w:val="auto"/>
          <w:kern w:val="0"/>
          <w:sz w:val="24"/>
          <w:szCs w:val="20"/>
          <w:highlight w:val="none"/>
          <w:u w:val="single"/>
        </w:rPr>
        <w:tab/>
      </w:r>
    </w:p>
    <w:p w14:paraId="5793AC91">
      <w:pPr>
        <w:autoSpaceDE w:val="0"/>
        <w:autoSpaceDN w:val="0"/>
        <w:adjustRightInd w:val="0"/>
        <w:snapToGrid w:val="0"/>
        <w:spacing w:line="400" w:lineRule="exact"/>
        <w:ind w:firstLine="360" w:firstLineChars="200"/>
        <w:jc w:val="left"/>
        <w:rPr>
          <w:rFonts w:hint="eastAsia" w:ascii="仿宋" w:hAnsi="仿宋" w:eastAsia="仿宋" w:cs="仿宋"/>
          <w:color w:val="auto"/>
          <w:kern w:val="0"/>
          <w:sz w:val="18"/>
          <w:szCs w:val="18"/>
          <w:highlight w:val="none"/>
        </w:rPr>
      </w:pPr>
    </w:p>
    <w:p w14:paraId="57501635">
      <w:pPr>
        <w:tabs>
          <w:tab w:val="left" w:pos="5475"/>
        </w:tabs>
        <w:autoSpaceDE w:val="0"/>
        <w:autoSpaceDN w:val="0"/>
        <w:adjustRightInd w:val="0"/>
        <w:snapToGrid w:val="0"/>
        <w:spacing w:line="400" w:lineRule="exact"/>
        <w:jc w:val="left"/>
        <w:rPr>
          <w:rFonts w:hint="eastAsia" w:ascii="仿宋" w:hAnsi="仿宋" w:eastAsia="仿宋" w:cs="仿宋"/>
          <w:color w:val="auto"/>
          <w:kern w:val="0"/>
          <w:sz w:val="24"/>
          <w:szCs w:val="20"/>
          <w:highlight w:val="none"/>
        </w:rPr>
      </w:pPr>
      <w:r>
        <w:rPr>
          <w:rFonts w:hint="eastAsia" w:ascii="仿宋" w:hAnsi="仿宋" w:eastAsia="仿宋" w:cs="仿宋"/>
          <w:color w:val="auto"/>
          <w:kern w:val="0"/>
          <w:sz w:val="24"/>
          <w:szCs w:val="20"/>
          <w:highlight w:val="none"/>
        </w:rPr>
        <w:t>单位性质：</w:t>
      </w:r>
      <w:r>
        <w:rPr>
          <w:rFonts w:hint="eastAsia" w:ascii="仿宋" w:hAnsi="仿宋" w:eastAsia="仿宋" w:cs="仿宋"/>
          <w:color w:val="auto"/>
          <w:kern w:val="0"/>
          <w:sz w:val="24"/>
          <w:szCs w:val="20"/>
          <w:highlight w:val="none"/>
          <w:u w:val="single"/>
        </w:rPr>
        <w:tab/>
      </w:r>
    </w:p>
    <w:p w14:paraId="3670DFCC">
      <w:pPr>
        <w:autoSpaceDE w:val="0"/>
        <w:autoSpaceDN w:val="0"/>
        <w:adjustRightInd w:val="0"/>
        <w:snapToGrid w:val="0"/>
        <w:spacing w:line="400" w:lineRule="exact"/>
        <w:ind w:firstLine="360" w:firstLineChars="200"/>
        <w:jc w:val="left"/>
        <w:rPr>
          <w:rFonts w:hint="eastAsia" w:ascii="仿宋" w:hAnsi="仿宋" w:eastAsia="仿宋" w:cs="仿宋"/>
          <w:color w:val="auto"/>
          <w:kern w:val="0"/>
          <w:sz w:val="18"/>
          <w:szCs w:val="18"/>
          <w:highlight w:val="none"/>
        </w:rPr>
      </w:pPr>
    </w:p>
    <w:p w14:paraId="23466835">
      <w:pPr>
        <w:tabs>
          <w:tab w:val="left" w:pos="5475"/>
        </w:tabs>
        <w:autoSpaceDE w:val="0"/>
        <w:autoSpaceDN w:val="0"/>
        <w:adjustRightInd w:val="0"/>
        <w:snapToGrid w:val="0"/>
        <w:spacing w:line="400" w:lineRule="exact"/>
        <w:jc w:val="left"/>
        <w:rPr>
          <w:rFonts w:hint="eastAsia" w:ascii="仿宋" w:hAnsi="仿宋" w:eastAsia="仿宋" w:cs="仿宋"/>
          <w:color w:val="auto"/>
          <w:kern w:val="0"/>
          <w:sz w:val="24"/>
          <w:szCs w:val="20"/>
          <w:highlight w:val="none"/>
        </w:rPr>
      </w:pPr>
      <w:r>
        <w:rPr>
          <w:rFonts w:hint="eastAsia" w:ascii="仿宋" w:hAnsi="仿宋" w:eastAsia="仿宋" w:cs="仿宋"/>
          <w:color w:val="auto"/>
          <w:kern w:val="0"/>
          <w:sz w:val="24"/>
          <w:szCs w:val="20"/>
          <w:highlight w:val="none"/>
        </w:rPr>
        <w:t>地址：</w:t>
      </w:r>
      <w:r>
        <w:rPr>
          <w:rFonts w:hint="eastAsia" w:ascii="仿宋" w:hAnsi="仿宋" w:eastAsia="仿宋" w:cs="仿宋"/>
          <w:color w:val="auto"/>
          <w:kern w:val="0"/>
          <w:sz w:val="24"/>
          <w:szCs w:val="20"/>
          <w:highlight w:val="none"/>
          <w:u w:val="single"/>
        </w:rPr>
        <w:tab/>
      </w:r>
    </w:p>
    <w:p w14:paraId="5F187D96">
      <w:pPr>
        <w:autoSpaceDE w:val="0"/>
        <w:autoSpaceDN w:val="0"/>
        <w:adjustRightInd w:val="0"/>
        <w:snapToGrid w:val="0"/>
        <w:spacing w:line="400" w:lineRule="exact"/>
        <w:ind w:firstLine="360" w:firstLineChars="200"/>
        <w:jc w:val="left"/>
        <w:rPr>
          <w:rFonts w:hint="eastAsia" w:ascii="仿宋" w:hAnsi="仿宋" w:eastAsia="仿宋" w:cs="仿宋"/>
          <w:color w:val="auto"/>
          <w:kern w:val="0"/>
          <w:sz w:val="18"/>
          <w:szCs w:val="18"/>
          <w:highlight w:val="none"/>
        </w:rPr>
      </w:pPr>
    </w:p>
    <w:p w14:paraId="4996D682">
      <w:pPr>
        <w:tabs>
          <w:tab w:val="left" w:pos="2520"/>
          <w:tab w:val="left" w:pos="3836"/>
        </w:tabs>
        <w:autoSpaceDE w:val="0"/>
        <w:autoSpaceDN w:val="0"/>
        <w:adjustRightInd w:val="0"/>
        <w:snapToGrid w:val="0"/>
        <w:spacing w:line="400" w:lineRule="exact"/>
        <w:jc w:val="left"/>
        <w:rPr>
          <w:rFonts w:hint="eastAsia" w:ascii="仿宋" w:hAnsi="仿宋" w:eastAsia="仿宋" w:cs="仿宋"/>
          <w:color w:val="auto"/>
          <w:kern w:val="0"/>
          <w:sz w:val="24"/>
          <w:szCs w:val="20"/>
          <w:highlight w:val="none"/>
        </w:rPr>
      </w:pPr>
      <w:r>
        <w:rPr>
          <w:rFonts w:hint="eastAsia" w:ascii="仿宋" w:hAnsi="仿宋" w:eastAsia="仿宋" w:cs="仿宋"/>
          <w:color w:val="auto"/>
          <w:kern w:val="0"/>
          <w:sz w:val="24"/>
          <w:szCs w:val="20"/>
          <w:highlight w:val="none"/>
        </w:rPr>
        <w:t>成立时间：</w:t>
      </w:r>
      <w:r>
        <w:rPr>
          <w:rFonts w:hint="eastAsia" w:ascii="仿宋" w:hAnsi="仿宋" w:eastAsia="仿宋" w:cs="仿宋"/>
          <w:color w:val="auto"/>
          <w:kern w:val="0"/>
          <w:sz w:val="24"/>
          <w:szCs w:val="20"/>
          <w:highlight w:val="none"/>
          <w:u w:val="single"/>
        </w:rPr>
        <w:tab/>
      </w:r>
      <w:r>
        <w:rPr>
          <w:rFonts w:hint="eastAsia" w:ascii="仿宋" w:hAnsi="仿宋" w:eastAsia="仿宋" w:cs="仿宋"/>
          <w:color w:val="auto"/>
          <w:kern w:val="0"/>
          <w:sz w:val="24"/>
          <w:szCs w:val="20"/>
          <w:highlight w:val="none"/>
        </w:rPr>
        <w:t>年</w:t>
      </w:r>
      <w:r>
        <w:rPr>
          <w:rFonts w:hint="eastAsia" w:ascii="仿宋" w:hAnsi="仿宋" w:eastAsia="仿宋" w:cs="仿宋"/>
          <w:color w:val="auto"/>
          <w:kern w:val="0"/>
          <w:sz w:val="24"/>
          <w:szCs w:val="20"/>
          <w:highlight w:val="none"/>
          <w:u w:val="single"/>
        </w:rPr>
        <w:tab/>
      </w:r>
      <w:r>
        <w:rPr>
          <w:rFonts w:hint="eastAsia" w:ascii="仿宋" w:hAnsi="仿宋" w:eastAsia="仿宋" w:cs="仿宋"/>
          <w:color w:val="auto"/>
          <w:kern w:val="0"/>
          <w:sz w:val="24"/>
          <w:szCs w:val="20"/>
          <w:highlight w:val="none"/>
        </w:rPr>
        <w:t>月</w:t>
      </w:r>
      <w:r>
        <w:rPr>
          <w:rFonts w:hint="eastAsia" w:ascii="仿宋" w:hAnsi="仿宋" w:eastAsia="仿宋" w:cs="仿宋"/>
          <w:color w:val="auto"/>
          <w:kern w:val="0"/>
          <w:sz w:val="24"/>
          <w:szCs w:val="20"/>
          <w:highlight w:val="none"/>
          <w:u w:val="single"/>
        </w:rPr>
        <w:t xml:space="preserve">              </w:t>
      </w:r>
      <w:r>
        <w:rPr>
          <w:rFonts w:hint="eastAsia" w:ascii="仿宋" w:hAnsi="仿宋" w:eastAsia="仿宋" w:cs="仿宋"/>
          <w:color w:val="auto"/>
          <w:kern w:val="0"/>
          <w:sz w:val="24"/>
          <w:szCs w:val="20"/>
          <w:highlight w:val="none"/>
        </w:rPr>
        <w:t>日</w:t>
      </w:r>
    </w:p>
    <w:p w14:paraId="3AB00C19">
      <w:pPr>
        <w:autoSpaceDE w:val="0"/>
        <w:autoSpaceDN w:val="0"/>
        <w:adjustRightInd w:val="0"/>
        <w:snapToGrid w:val="0"/>
        <w:spacing w:line="400" w:lineRule="exact"/>
        <w:jc w:val="left"/>
        <w:rPr>
          <w:rFonts w:hint="eastAsia" w:ascii="仿宋" w:hAnsi="仿宋" w:eastAsia="仿宋" w:cs="仿宋"/>
          <w:color w:val="auto"/>
          <w:kern w:val="0"/>
          <w:sz w:val="8"/>
          <w:szCs w:val="8"/>
          <w:highlight w:val="none"/>
        </w:rPr>
      </w:pPr>
    </w:p>
    <w:p w14:paraId="0ECCF0E1">
      <w:pPr>
        <w:tabs>
          <w:tab w:val="left" w:pos="5475"/>
        </w:tabs>
        <w:autoSpaceDE w:val="0"/>
        <w:autoSpaceDN w:val="0"/>
        <w:adjustRightInd w:val="0"/>
        <w:snapToGrid w:val="0"/>
        <w:spacing w:line="400" w:lineRule="exact"/>
        <w:jc w:val="left"/>
        <w:rPr>
          <w:rFonts w:hint="eastAsia" w:ascii="仿宋" w:hAnsi="仿宋" w:eastAsia="仿宋" w:cs="仿宋"/>
          <w:color w:val="auto"/>
          <w:kern w:val="0"/>
          <w:sz w:val="24"/>
          <w:szCs w:val="20"/>
          <w:highlight w:val="none"/>
        </w:rPr>
      </w:pPr>
      <w:r>
        <w:rPr>
          <w:rFonts w:hint="eastAsia" w:ascii="仿宋" w:hAnsi="仿宋" w:eastAsia="仿宋" w:cs="仿宋"/>
          <w:color w:val="auto"/>
          <w:kern w:val="0"/>
          <w:sz w:val="24"/>
          <w:szCs w:val="20"/>
          <w:highlight w:val="none"/>
        </w:rPr>
        <w:t>经营期限：</w:t>
      </w:r>
      <w:r>
        <w:rPr>
          <w:rFonts w:hint="eastAsia" w:ascii="仿宋" w:hAnsi="仿宋" w:eastAsia="仿宋" w:cs="仿宋"/>
          <w:color w:val="auto"/>
          <w:kern w:val="0"/>
          <w:sz w:val="24"/>
          <w:szCs w:val="20"/>
          <w:highlight w:val="none"/>
          <w:u w:val="single"/>
        </w:rPr>
        <w:tab/>
      </w:r>
    </w:p>
    <w:p w14:paraId="67419A63">
      <w:pPr>
        <w:autoSpaceDE w:val="0"/>
        <w:autoSpaceDN w:val="0"/>
        <w:adjustRightInd w:val="0"/>
        <w:snapToGrid w:val="0"/>
        <w:spacing w:line="400" w:lineRule="exact"/>
        <w:ind w:firstLine="360" w:firstLineChars="200"/>
        <w:jc w:val="left"/>
        <w:rPr>
          <w:rFonts w:hint="eastAsia" w:ascii="仿宋" w:hAnsi="仿宋" w:eastAsia="仿宋" w:cs="仿宋"/>
          <w:color w:val="auto"/>
          <w:kern w:val="0"/>
          <w:sz w:val="18"/>
          <w:szCs w:val="18"/>
          <w:highlight w:val="none"/>
        </w:rPr>
      </w:pPr>
    </w:p>
    <w:p w14:paraId="5ACCC013">
      <w:pPr>
        <w:tabs>
          <w:tab w:val="left" w:pos="1580"/>
          <w:tab w:val="left" w:pos="3260"/>
          <w:tab w:val="left" w:pos="4840"/>
          <w:tab w:val="left" w:pos="6300"/>
        </w:tabs>
        <w:autoSpaceDE w:val="0"/>
        <w:autoSpaceDN w:val="0"/>
        <w:adjustRightInd w:val="0"/>
        <w:snapToGrid w:val="0"/>
        <w:spacing w:line="400" w:lineRule="exact"/>
        <w:jc w:val="left"/>
        <w:rPr>
          <w:rFonts w:hint="eastAsia" w:ascii="仿宋" w:hAnsi="仿宋" w:eastAsia="仿宋" w:cs="仿宋"/>
          <w:color w:val="auto"/>
          <w:kern w:val="0"/>
          <w:sz w:val="24"/>
          <w:szCs w:val="20"/>
          <w:highlight w:val="none"/>
        </w:rPr>
      </w:pPr>
      <w:r>
        <w:rPr>
          <w:rFonts w:hint="eastAsia" w:ascii="仿宋" w:hAnsi="仿宋" w:eastAsia="仿宋" w:cs="仿宋"/>
          <w:color w:val="auto"/>
          <w:kern w:val="0"/>
          <w:sz w:val="24"/>
          <w:szCs w:val="20"/>
          <w:highlight w:val="none"/>
        </w:rPr>
        <w:t>姓名：</w:t>
      </w:r>
      <w:r>
        <w:rPr>
          <w:rFonts w:hint="eastAsia" w:ascii="仿宋" w:hAnsi="仿宋" w:eastAsia="仿宋" w:cs="仿宋"/>
          <w:color w:val="auto"/>
          <w:kern w:val="0"/>
          <w:sz w:val="24"/>
          <w:szCs w:val="20"/>
          <w:highlight w:val="none"/>
          <w:u w:val="single"/>
        </w:rPr>
        <w:tab/>
      </w:r>
      <w:r>
        <w:rPr>
          <w:rFonts w:hint="eastAsia" w:ascii="仿宋" w:hAnsi="仿宋" w:eastAsia="仿宋" w:cs="仿宋"/>
          <w:color w:val="auto"/>
          <w:kern w:val="0"/>
          <w:sz w:val="24"/>
          <w:szCs w:val="20"/>
          <w:highlight w:val="none"/>
        </w:rPr>
        <w:t>性别：</w:t>
      </w:r>
      <w:r>
        <w:rPr>
          <w:rFonts w:hint="eastAsia" w:ascii="仿宋" w:hAnsi="仿宋" w:eastAsia="仿宋" w:cs="仿宋"/>
          <w:color w:val="auto"/>
          <w:kern w:val="0"/>
          <w:sz w:val="24"/>
          <w:szCs w:val="20"/>
          <w:highlight w:val="none"/>
          <w:u w:val="single"/>
        </w:rPr>
        <w:tab/>
      </w:r>
      <w:r>
        <w:rPr>
          <w:rFonts w:hint="eastAsia" w:ascii="仿宋" w:hAnsi="仿宋" w:eastAsia="仿宋" w:cs="仿宋"/>
          <w:color w:val="auto"/>
          <w:kern w:val="0"/>
          <w:sz w:val="24"/>
          <w:szCs w:val="20"/>
          <w:highlight w:val="none"/>
        </w:rPr>
        <w:t>年龄：</w:t>
      </w:r>
      <w:r>
        <w:rPr>
          <w:rFonts w:hint="eastAsia" w:ascii="仿宋" w:hAnsi="仿宋" w:eastAsia="仿宋" w:cs="仿宋"/>
          <w:color w:val="auto"/>
          <w:kern w:val="0"/>
          <w:sz w:val="24"/>
          <w:szCs w:val="20"/>
          <w:highlight w:val="none"/>
          <w:u w:val="single"/>
        </w:rPr>
        <w:tab/>
      </w:r>
      <w:r>
        <w:rPr>
          <w:rFonts w:hint="eastAsia" w:ascii="仿宋" w:hAnsi="仿宋" w:eastAsia="仿宋" w:cs="仿宋"/>
          <w:color w:val="auto"/>
          <w:kern w:val="0"/>
          <w:sz w:val="24"/>
          <w:szCs w:val="20"/>
          <w:highlight w:val="none"/>
        </w:rPr>
        <w:t>职务：</w:t>
      </w:r>
      <w:r>
        <w:rPr>
          <w:rFonts w:hint="eastAsia" w:ascii="仿宋" w:hAnsi="仿宋" w:eastAsia="仿宋" w:cs="仿宋"/>
          <w:color w:val="auto"/>
          <w:kern w:val="0"/>
          <w:sz w:val="24"/>
          <w:szCs w:val="20"/>
          <w:highlight w:val="none"/>
          <w:u w:val="single"/>
        </w:rPr>
        <w:tab/>
      </w:r>
    </w:p>
    <w:p w14:paraId="7BF17942">
      <w:pPr>
        <w:autoSpaceDE w:val="0"/>
        <w:autoSpaceDN w:val="0"/>
        <w:adjustRightInd w:val="0"/>
        <w:snapToGrid w:val="0"/>
        <w:spacing w:line="400" w:lineRule="exact"/>
        <w:ind w:firstLine="360" w:firstLineChars="200"/>
        <w:jc w:val="left"/>
        <w:rPr>
          <w:rFonts w:hint="eastAsia" w:ascii="仿宋" w:hAnsi="仿宋" w:eastAsia="仿宋" w:cs="仿宋"/>
          <w:color w:val="auto"/>
          <w:kern w:val="0"/>
          <w:sz w:val="18"/>
          <w:szCs w:val="18"/>
          <w:highlight w:val="none"/>
        </w:rPr>
      </w:pPr>
    </w:p>
    <w:p w14:paraId="79C5C971">
      <w:pPr>
        <w:tabs>
          <w:tab w:val="left" w:pos="3360"/>
        </w:tabs>
        <w:autoSpaceDE w:val="0"/>
        <w:autoSpaceDN w:val="0"/>
        <w:adjustRightInd w:val="0"/>
        <w:snapToGrid w:val="0"/>
        <w:spacing w:line="400" w:lineRule="exact"/>
        <w:jc w:val="left"/>
        <w:rPr>
          <w:rFonts w:hint="eastAsia" w:ascii="仿宋" w:hAnsi="仿宋" w:eastAsia="仿宋" w:cs="仿宋"/>
          <w:color w:val="auto"/>
          <w:kern w:val="0"/>
          <w:sz w:val="24"/>
          <w:szCs w:val="20"/>
          <w:highlight w:val="none"/>
        </w:rPr>
      </w:pPr>
      <w:r>
        <w:rPr>
          <w:rFonts w:hint="eastAsia" w:ascii="仿宋" w:hAnsi="仿宋" w:eastAsia="仿宋" w:cs="仿宋"/>
          <w:color w:val="auto"/>
          <w:kern w:val="0"/>
          <w:sz w:val="24"/>
          <w:szCs w:val="20"/>
          <w:highlight w:val="none"/>
        </w:rPr>
        <w:t>系</w:t>
      </w:r>
      <w:r>
        <w:rPr>
          <w:rFonts w:hint="eastAsia" w:ascii="仿宋" w:hAnsi="仿宋" w:eastAsia="仿宋" w:cs="仿宋"/>
          <w:color w:val="auto"/>
          <w:kern w:val="0"/>
          <w:sz w:val="24"/>
          <w:szCs w:val="20"/>
          <w:highlight w:val="none"/>
          <w:u w:val="single"/>
        </w:rPr>
        <w:tab/>
      </w:r>
      <w:r>
        <w:rPr>
          <w:rFonts w:hint="eastAsia" w:ascii="仿宋" w:hAnsi="仿宋" w:eastAsia="仿宋" w:cs="仿宋"/>
          <w:color w:val="auto"/>
          <w:kern w:val="0"/>
          <w:sz w:val="24"/>
          <w:szCs w:val="20"/>
          <w:highlight w:val="none"/>
        </w:rPr>
        <w:t>（投标人名称）的法定代表人。</w:t>
      </w:r>
    </w:p>
    <w:p w14:paraId="33CDE69E">
      <w:pPr>
        <w:autoSpaceDE w:val="0"/>
        <w:autoSpaceDN w:val="0"/>
        <w:adjustRightInd w:val="0"/>
        <w:snapToGrid w:val="0"/>
        <w:spacing w:line="360" w:lineRule="auto"/>
        <w:ind w:firstLine="160" w:firstLineChars="200"/>
        <w:jc w:val="left"/>
        <w:rPr>
          <w:rFonts w:hint="eastAsia" w:ascii="仿宋" w:hAnsi="仿宋" w:eastAsia="仿宋" w:cs="仿宋"/>
          <w:color w:val="auto"/>
          <w:kern w:val="0"/>
          <w:sz w:val="8"/>
          <w:szCs w:val="8"/>
          <w:highlight w:val="none"/>
        </w:rPr>
      </w:pPr>
    </w:p>
    <w:p w14:paraId="7D150AE5">
      <w:pPr>
        <w:autoSpaceDE w:val="0"/>
        <w:autoSpaceDN w:val="0"/>
        <w:adjustRightInd w:val="0"/>
        <w:snapToGrid w:val="0"/>
        <w:spacing w:line="360" w:lineRule="auto"/>
        <w:ind w:firstLine="480" w:firstLineChars="200"/>
        <w:jc w:val="left"/>
        <w:rPr>
          <w:rFonts w:hint="eastAsia" w:ascii="仿宋" w:hAnsi="仿宋" w:eastAsia="仿宋" w:cs="仿宋"/>
          <w:color w:val="auto"/>
          <w:kern w:val="0"/>
          <w:sz w:val="24"/>
          <w:szCs w:val="20"/>
          <w:highlight w:val="none"/>
        </w:rPr>
      </w:pPr>
      <w:r>
        <w:rPr>
          <w:rFonts w:hint="eastAsia" w:ascii="仿宋" w:hAnsi="仿宋" w:eastAsia="仿宋" w:cs="仿宋"/>
          <w:color w:val="auto"/>
          <w:kern w:val="0"/>
          <w:sz w:val="24"/>
          <w:szCs w:val="20"/>
          <w:highlight w:val="none"/>
        </w:rPr>
        <w:t>特此证明。</w:t>
      </w:r>
    </w:p>
    <w:p w14:paraId="2B4FE8AE">
      <w:pPr>
        <w:autoSpaceDE w:val="0"/>
        <w:autoSpaceDN w:val="0"/>
        <w:adjustRightInd w:val="0"/>
        <w:snapToGrid w:val="0"/>
        <w:spacing w:line="360" w:lineRule="auto"/>
        <w:jc w:val="left"/>
        <w:rPr>
          <w:rFonts w:hint="eastAsia" w:ascii="仿宋" w:hAnsi="仿宋" w:eastAsia="仿宋" w:cs="仿宋"/>
          <w:color w:val="auto"/>
          <w:kern w:val="0"/>
          <w:sz w:val="18"/>
          <w:szCs w:val="18"/>
          <w:highlight w:val="none"/>
        </w:rPr>
      </w:pPr>
    </w:p>
    <w:p w14:paraId="339E2DDC">
      <w:pPr>
        <w:tabs>
          <w:tab w:val="left" w:pos="5460"/>
        </w:tabs>
        <w:autoSpaceDE w:val="0"/>
        <w:autoSpaceDN w:val="0"/>
        <w:adjustRightInd w:val="0"/>
        <w:snapToGrid w:val="0"/>
        <w:spacing w:line="360" w:lineRule="auto"/>
        <w:ind w:firstLine="480" w:firstLineChars="200"/>
        <w:jc w:val="left"/>
        <w:rPr>
          <w:rFonts w:hint="eastAsia" w:ascii="仿宋" w:hAnsi="仿宋" w:eastAsia="仿宋" w:cs="仿宋"/>
          <w:color w:val="auto"/>
          <w:kern w:val="0"/>
          <w:sz w:val="24"/>
          <w:szCs w:val="20"/>
          <w:highlight w:val="none"/>
        </w:rPr>
      </w:pPr>
      <w:r>
        <w:rPr>
          <w:rFonts w:hint="eastAsia" w:ascii="仿宋" w:hAnsi="仿宋" w:eastAsia="仿宋" w:cs="仿宋"/>
          <w:color w:val="auto"/>
          <w:kern w:val="0"/>
          <w:sz w:val="24"/>
          <w:szCs w:val="20"/>
          <w:highlight w:val="none"/>
        </w:rPr>
        <w:t>投标人：</w:t>
      </w:r>
      <w:r>
        <w:rPr>
          <w:rFonts w:hint="eastAsia" w:ascii="仿宋" w:hAnsi="仿宋" w:eastAsia="仿宋" w:cs="仿宋"/>
          <w:color w:val="auto"/>
          <w:kern w:val="0"/>
          <w:sz w:val="24"/>
          <w:szCs w:val="20"/>
          <w:highlight w:val="none"/>
          <w:u w:val="single"/>
        </w:rPr>
        <w:tab/>
      </w:r>
      <w:r>
        <w:rPr>
          <w:rFonts w:hint="eastAsia" w:ascii="仿宋" w:hAnsi="仿宋" w:eastAsia="仿宋" w:cs="仿宋"/>
          <w:color w:val="auto"/>
          <w:kern w:val="0"/>
          <w:sz w:val="24"/>
          <w:szCs w:val="20"/>
          <w:highlight w:val="none"/>
        </w:rPr>
        <w:t>（盖单位章）</w:t>
      </w:r>
    </w:p>
    <w:p w14:paraId="565211CF">
      <w:pPr>
        <w:tabs>
          <w:tab w:val="left" w:pos="4515"/>
          <w:tab w:val="left" w:pos="5460"/>
          <w:tab w:val="left" w:pos="6400"/>
        </w:tabs>
        <w:autoSpaceDE w:val="0"/>
        <w:autoSpaceDN w:val="0"/>
        <w:adjustRightInd w:val="0"/>
        <w:snapToGrid w:val="0"/>
        <w:spacing w:line="360" w:lineRule="auto"/>
        <w:ind w:firstLine="4440" w:firstLineChars="1850"/>
        <w:jc w:val="left"/>
        <w:rPr>
          <w:rFonts w:hint="eastAsia" w:ascii="仿宋" w:hAnsi="仿宋" w:eastAsia="仿宋" w:cs="仿宋"/>
          <w:color w:val="auto"/>
          <w:kern w:val="0"/>
          <w:sz w:val="24"/>
          <w:szCs w:val="20"/>
          <w:highlight w:val="none"/>
        </w:rPr>
      </w:pPr>
      <w:r>
        <w:rPr>
          <w:rFonts w:hint="eastAsia" w:ascii="仿宋" w:hAnsi="仿宋" w:eastAsia="仿宋" w:cs="仿宋"/>
          <w:color w:val="auto"/>
          <w:kern w:val="0"/>
          <w:sz w:val="24"/>
          <w:szCs w:val="20"/>
          <w:highlight w:val="none"/>
          <w:u w:val="single"/>
        </w:rPr>
        <w:tab/>
      </w:r>
      <w:r>
        <w:rPr>
          <w:rFonts w:hint="eastAsia" w:ascii="仿宋" w:hAnsi="仿宋" w:eastAsia="仿宋" w:cs="仿宋"/>
          <w:color w:val="auto"/>
          <w:kern w:val="0"/>
          <w:sz w:val="24"/>
          <w:szCs w:val="20"/>
          <w:highlight w:val="none"/>
          <w:u w:val="single"/>
        </w:rPr>
        <w:t xml:space="preserve">      </w:t>
      </w:r>
      <w:r>
        <w:rPr>
          <w:rFonts w:hint="eastAsia" w:ascii="仿宋" w:hAnsi="仿宋" w:eastAsia="仿宋" w:cs="仿宋"/>
          <w:color w:val="auto"/>
          <w:kern w:val="0"/>
          <w:sz w:val="24"/>
          <w:szCs w:val="20"/>
          <w:highlight w:val="none"/>
        </w:rPr>
        <w:t>年</w:t>
      </w:r>
      <w:r>
        <w:rPr>
          <w:rFonts w:hint="eastAsia" w:ascii="仿宋" w:hAnsi="仿宋" w:eastAsia="仿宋" w:cs="仿宋"/>
          <w:color w:val="auto"/>
          <w:kern w:val="0"/>
          <w:sz w:val="24"/>
          <w:szCs w:val="20"/>
          <w:highlight w:val="none"/>
          <w:u w:val="single"/>
        </w:rPr>
        <w:tab/>
      </w:r>
      <w:r>
        <w:rPr>
          <w:rFonts w:hint="eastAsia" w:ascii="仿宋" w:hAnsi="仿宋" w:eastAsia="仿宋" w:cs="仿宋"/>
          <w:color w:val="auto"/>
          <w:kern w:val="0"/>
          <w:sz w:val="24"/>
          <w:szCs w:val="20"/>
          <w:highlight w:val="none"/>
        </w:rPr>
        <w:t>月</w:t>
      </w:r>
      <w:r>
        <w:rPr>
          <w:rFonts w:hint="eastAsia" w:ascii="仿宋" w:hAnsi="仿宋" w:eastAsia="仿宋" w:cs="仿宋"/>
          <w:color w:val="auto"/>
          <w:kern w:val="0"/>
          <w:sz w:val="24"/>
          <w:szCs w:val="20"/>
          <w:highlight w:val="none"/>
          <w:u w:val="single"/>
        </w:rPr>
        <w:tab/>
      </w:r>
      <w:r>
        <w:rPr>
          <w:rFonts w:hint="eastAsia" w:ascii="仿宋" w:hAnsi="仿宋" w:eastAsia="仿宋" w:cs="仿宋"/>
          <w:color w:val="auto"/>
          <w:kern w:val="0"/>
          <w:sz w:val="24"/>
          <w:szCs w:val="20"/>
          <w:highlight w:val="none"/>
          <w:u w:val="single"/>
        </w:rPr>
        <w:t xml:space="preserve">       </w:t>
      </w:r>
      <w:r>
        <w:rPr>
          <w:rFonts w:hint="eastAsia" w:ascii="仿宋" w:hAnsi="仿宋" w:eastAsia="仿宋" w:cs="仿宋"/>
          <w:color w:val="auto"/>
          <w:kern w:val="0"/>
          <w:sz w:val="24"/>
          <w:szCs w:val="20"/>
          <w:highlight w:val="none"/>
        </w:rPr>
        <w:t>日</w:t>
      </w:r>
    </w:p>
    <w:p w14:paraId="25821794">
      <w:pPr>
        <w:autoSpaceDE w:val="0"/>
        <w:autoSpaceDN w:val="0"/>
        <w:adjustRightInd w:val="0"/>
        <w:snapToGrid w:val="0"/>
        <w:spacing w:line="360" w:lineRule="auto"/>
        <w:ind w:firstLine="560" w:firstLineChars="200"/>
        <w:jc w:val="left"/>
        <w:rPr>
          <w:rFonts w:hint="eastAsia" w:ascii="仿宋" w:hAnsi="仿宋" w:eastAsia="仿宋" w:cs="仿宋"/>
          <w:color w:val="auto"/>
          <w:kern w:val="0"/>
          <w:highlight w:val="none"/>
        </w:rPr>
      </w:pPr>
    </w:p>
    <w:p w14:paraId="0ACF5964">
      <w:pPr>
        <w:autoSpaceDE w:val="0"/>
        <w:autoSpaceDN w:val="0"/>
        <w:adjustRightInd w:val="0"/>
        <w:snapToGrid w:val="0"/>
        <w:spacing w:line="360" w:lineRule="auto"/>
        <w:ind w:firstLine="560" w:firstLineChars="200"/>
        <w:jc w:val="left"/>
        <w:rPr>
          <w:rFonts w:hint="eastAsia" w:ascii="仿宋" w:hAnsi="仿宋" w:eastAsia="仿宋" w:cs="仿宋"/>
          <w:color w:val="auto"/>
          <w:kern w:val="0"/>
          <w:highlight w:val="none"/>
        </w:rPr>
      </w:pPr>
    </w:p>
    <w:p w14:paraId="4FA515E3">
      <w:pPr>
        <w:tabs>
          <w:tab w:val="left" w:pos="142"/>
        </w:tabs>
        <w:spacing w:line="360" w:lineRule="auto"/>
        <w:rPr>
          <w:rFonts w:hint="eastAsia" w:ascii="仿宋" w:hAnsi="仿宋" w:eastAsia="仿宋" w:cs="仿宋"/>
          <w:color w:val="auto"/>
          <w:sz w:val="24"/>
          <w:szCs w:val="20"/>
          <w:highlight w:val="none"/>
        </w:rPr>
      </w:pPr>
      <w:r>
        <w:rPr>
          <w:rFonts w:hint="eastAsia" w:ascii="仿宋" w:hAnsi="仿宋" w:eastAsia="仿宋" w:cs="仿宋"/>
          <w:color w:val="auto"/>
          <w:sz w:val="24"/>
          <w:szCs w:val="20"/>
          <w:highlight w:val="none"/>
        </w:rPr>
        <w:t>此处附法定代表人身份证正反面复印件</w:t>
      </w:r>
    </w:p>
    <w:p w14:paraId="0B458706">
      <w:pPr>
        <w:tabs>
          <w:tab w:val="left" w:pos="1680"/>
          <w:tab w:val="left" w:pos="4215"/>
          <w:tab w:val="left" w:pos="4305"/>
          <w:tab w:val="left" w:pos="8000"/>
        </w:tabs>
        <w:autoSpaceDE w:val="0"/>
        <w:autoSpaceDN w:val="0"/>
        <w:adjustRightInd w:val="0"/>
        <w:snapToGrid w:val="0"/>
        <w:spacing w:line="360" w:lineRule="auto"/>
        <w:ind w:firstLine="560" w:firstLineChars="200"/>
        <w:rPr>
          <w:rFonts w:hint="eastAsia" w:ascii="仿宋" w:hAnsi="仿宋" w:eastAsia="仿宋" w:cs="仿宋"/>
          <w:color w:val="auto"/>
          <w:kern w:val="0"/>
          <w:szCs w:val="21"/>
          <w:highlight w:val="none"/>
        </w:rPr>
      </w:pPr>
    </w:p>
    <w:p w14:paraId="0559B7B1">
      <w:pPr>
        <w:tabs>
          <w:tab w:val="left" w:pos="1680"/>
          <w:tab w:val="left" w:pos="4215"/>
          <w:tab w:val="left" w:pos="4305"/>
          <w:tab w:val="left" w:pos="8000"/>
        </w:tabs>
        <w:autoSpaceDE w:val="0"/>
        <w:autoSpaceDN w:val="0"/>
        <w:adjustRightInd w:val="0"/>
        <w:snapToGrid w:val="0"/>
        <w:spacing w:line="360" w:lineRule="auto"/>
        <w:ind w:firstLine="562" w:firstLineChars="200"/>
        <w:jc w:val="center"/>
        <w:rPr>
          <w:rFonts w:hint="eastAsia" w:ascii="仿宋" w:hAnsi="仿宋" w:eastAsia="仿宋" w:cs="仿宋"/>
          <w:color w:val="auto"/>
          <w:kern w:val="0"/>
          <w:sz w:val="20"/>
          <w:szCs w:val="20"/>
          <w:highlight w:val="none"/>
        </w:rPr>
      </w:pPr>
      <w:r>
        <w:rPr>
          <w:rFonts w:hint="eastAsia" w:ascii="仿宋" w:hAnsi="仿宋" w:eastAsia="仿宋" w:cs="仿宋"/>
          <w:b/>
          <w:color w:val="auto"/>
          <w:kern w:val="0"/>
          <w:szCs w:val="28"/>
          <w:highlight w:val="none"/>
        </w:rPr>
        <w:br w:type="page"/>
      </w:r>
      <w:r>
        <w:rPr>
          <w:rFonts w:hint="eastAsia" w:ascii="仿宋" w:hAnsi="仿宋" w:eastAsia="仿宋" w:cs="仿宋"/>
          <w:b/>
          <w:color w:val="auto"/>
          <w:kern w:val="0"/>
          <w:szCs w:val="28"/>
          <w:highlight w:val="none"/>
        </w:rPr>
        <w:t>授权委托书</w:t>
      </w:r>
    </w:p>
    <w:p w14:paraId="5DE8B1DA">
      <w:pPr>
        <w:autoSpaceDE w:val="0"/>
        <w:autoSpaceDN w:val="0"/>
        <w:adjustRightInd w:val="0"/>
        <w:snapToGrid w:val="0"/>
        <w:spacing w:line="360" w:lineRule="auto"/>
        <w:ind w:firstLine="400" w:firstLineChars="200"/>
        <w:jc w:val="left"/>
        <w:rPr>
          <w:rFonts w:hint="eastAsia" w:ascii="仿宋" w:hAnsi="仿宋" w:eastAsia="仿宋" w:cs="仿宋"/>
          <w:color w:val="auto"/>
          <w:kern w:val="0"/>
          <w:sz w:val="20"/>
          <w:szCs w:val="20"/>
          <w:highlight w:val="none"/>
        </w:rPr>
      </w:pPr>
    </w:p>
    <w:p w14:paraId="42FBED02">
      <w:pPr>
        <w:tabs>
          <w:tab w:val="left" w:pos="1680"/>
          <w:tab w:val="left" w:pos="3900"/>
          <w:tab w:val="left" w:pos="4305"/>
          <w:tab w:val="left" w:pos="8000"/>
        </w:tabs>
        <w:autoSpaceDE w:val="0"/>
        <w:autoSpaceDN w:val="0"/>
        <w:adjustRightInd w:val="0"/>
        <w:snapToGrid w:val="0"/>
        <w:spacing w:line="360" w:lineRule="auto"/>
        <w:ind w:firstLine="440" w:firstLineChars="200"/>
        <w:rPr>
          <w:rFonts w:hint="eastAsia" w:ascii="仿宋" w:hAnsi="仿宋" w:eastAsia="仿宋" w:cs="仿宋"/>
          <w:color w:val="auto"/>
          <w:kern w:val="0"/>
          <w:sz w:val="22"/>
          <w:szCs w:val="18"/>
          <w:highlight w:val="none"/>
        </w:rPr>
      </w:pPr>
      <w:r>
        <w:rPr>
          <w:rFonts w:hint="eastAsia" w:ascii="仿宋" w:hAnsi="仿宋" w:eastAsia="仿宋" w:cs="仿宋"/>
          <w:color w:val="auto"/>
          <w:kern w:val="0"/>
          <w:sz w:val="22"/>
          <w:szCs w:val="18"/>
          <w:highlight w:val="none"/>
        </w:rPr>
        <w:t>本人</w:t>
      </w:r>
      <w:r>
        <w:rPr>
          <w:rFonts w:hint="eastAsia" w:ascii="仿宋" w:hAnsi="仿宋" w:eastAsia="仿宋" w:cs="仿宋"/>
          <w:color w:val="auto"/>
          <w:kern w:val="0"/>
          <w:sz w:val="22"/>
          <w:szCs w:val="18"/>
          <w:highlight w:val="none"/>
          <w:u w:val="single"/>
        </w:rPr>
        <w:tab/>
      </w:r>
      <w:r>
        <w:rPr>
          <w:rFonts w:hint="eastAsia" w:ascii="仿宋" w:hAnsi="仿宋" w:eastAsia="仿宋" w:cs="仿宋"/>
          <w:color w:val="auto"/>
          <w:kern w:val="0"/>
          <w:sz w:val="22"/>
          <w:szCs w:val="18"/>
          <w:highlight w:val="none"/>
        </w:rPr>
        <w:t>（姓名）系</w:t>
      </w:r>
      <w:r>
        <w:rPr>
          <w:rFonts w:hint="eastAsia" w:ascii="仿宋" w:hAnsi="仿宋" w:eastAsia="仿宋" w:cs="仿宋"/>
          <w:color w:val="auto"/>
          <w:kern w:val="0"/>
          <w:sz w:val="22"/>
          <w:szCs w:val="18"/>
          <w:highlight w:val="none"/>
          <w:u w:val="single"/>
        </w:rPr>
        <w:tab/>
      </w:r>
      <w:r>
        <w:rPr>
          <w:rFonts w:hint="eastAsia" w:ascii="仿宋" w:hAnsi="仿宋" w:eastAsia="仿宋" w:cs="仿宋"/>
          <w:color w:val="auto"/>
          <w:kern w:val="0"/>
          <w:sz w:val="22"/>
          <w:szCs w:val="18"/>
          <w:highlight w:val="none"/>
        </w:rPr>
        <w:t>（投标人名称）的法定代表人，现委托</w:t>
      </w:r>
      <w:r>
        <w:rPr>
          <w:rFonts w:hint="eastAsia" w:ascii="仿宋" w:hAnsi="仿宋" w:eastAsia="仿宋" w:cs="仿宋"/>
          <w:color w:val="auto"/>
          <w:kern w:val="0"/>
          <w:sz w:val="22"/>
          <w:szCs w:val="18"/>
          <w:highlight w:val="none"/>
          <w:u w:val="single"/>
        </w:rPr>
        <w:tab/>
      </w:r>
      <w:r>
        <w:rPr>
          <w:rFonts w:hint="eastAsia" w:ascii="仿宋" w:hAnsi="仿宋" w:eastAsia="仿宋" w:cs="仿宋"/>
          <w:color w:val="auto"/>
          <w:kern w:val="0"/>
          <w:sz w:val="22"/>
          <w:szCs w:val="18"/>
          <w:highlight w:val="none"/>
        </w:rPr>
        <w:t>（姓名）为我方代理人。代理人根据授权，以我方名义签署、澄清、说明、补正、递交、撤回、修改</w:t>
      </w:r>
      <w:r>
        <w:rPr>
          <w:rFonts w:hint="eastAsia" w:ascii="仿宋" w:hAnsi="仿宋" w:eastAsia="仿宋" w:cs="仿宋"/>
          <w:color w:val="auto"/>
          <w:kern w:val="0"/>
          <w:sz w:val="22"/>
          <w:szCs w:val="18"/>
          <w:highlight w:val="none"/>
          <w:u w:val="single"/>
        </w:rPr>
        <w:tab/>
      </w:r>
      <w:r>
        <w:rPr>
          <w:rFonts w:hint="eastAsia" w:ascii="仿宋" w:hAnsi="仿宋" w:eastAsia="仿宋" w:cs="仿宋"/>
          <w:color w:val="auto"/>
          <w:kern w:val="0"/>
          <w:sz w:val="22"/>
          <w:szCs w:val="18"/>
          <w:highlight w:val="none"/>
        </w:rPr>
        <w:t>（项目名称）投标文件、签订合同和处理有关事宜，其法律后果由我方承担。</w:t>
      </w:r>
    </w:p>
    <w:p w14:paraId="55C04662">
      <w:pPr>
        <w:tabs>
          <w:tab w:val="left" w:pos="2730"/>
          <w:tab w:val="left" w:pos="4215"/>
          <w:tab w:val="left" w:pos="4305"/>
          <w:tab w:val="left" w:pos="8000"/>
        </w:tabs>
        <w:autoSpaceDE w:val="0"/>
        <w:autoSpaceDN w:val="0"/>
        <w:adjustRightInd w:val="0"/>
        <w:snapToGrid w:val="0"/>
        <w:spacing w:line="360" w:lineRule="auto"/>
        <w:ind w:firstLine="440" w:firstLineChars="200"/>
        <w:rPr>
          <w:rFonts w:hint="eastAsia" w:ascii="仿宋" w:hAnsi="仿宋" w:eastAsia="仿宋" w:cs="仿宋"/>
          <w:color w:val="auto"/>
          <w:kern w:val="0"/>
          <w:sz w:val="22"/>
          <w:szCs w:val="18"/>
          <w:highlight w:val="none"/>
        </w:rPr>
      </w:pPr>
      <w:r>
        <w:rPr>
          <w:rFonts w:hint="eastAsia" w:ascii="仿宋" w:hAnsi="仿宋" w:eastAsia="仿宋" w:cs="仿宋"/>
          <w:color w:val="auto"/>
          <w:kern w:val="0"/>
          <w:sz w:val="22"/>
          <w:szCs w:val="18"/>
          <w:highlight w:val="none"/>
        </w:rPr>
        <w:t>委托期限：</w:t>
      </w:r>
      <w:r>
        <w:rPr>
          <w:rFonts w:hint="eastAsia" w:ascii="仿宋" w:hAnsi="仿宋" w:eastAsia="仿宋" w:cs="仿宋"/>
          <w:color w:val="auto"/>
          <w:kern w:val="0"/>
          <w:sz w:val="22"/>
          <w:szCs w:val="18"/>
          <w:highlight w:val="none"/>
          <w:u w:val="single"/>
        </w:rPr>
        <w:tab/>
      </w:r>
      <w:r>
        <w:rPr>
          <w:rFonts w:hint="eastAsia" w:ascii="仿宋" w:hAnsi="仿宋" w:eastAsia="仿宋" w:cs="仿宋"/>
          <w:color w:val="auto"/>
          <w:kern w:val="0"/>
          <w:sz w:val="22"/>
          <w:szCs w:val="18"/>
          <w:highlight w:val="none"/>
        </w:rPr>
        <w:t>。</w:t>
      </w:r>
    </w:p>
    <w:p w14:paraId="4C590394">
      <w:pPr>
        <w:tabs>
          <w:tab w:val="left" w:pos="1680"/>
          <w:tab w:val="left" w:pos="4215"/>
          <w:tab w:val="left" w:pos="4305"/>
          <w:tab w:val="left" w:pos="8000"/>
        </w:tabs>
        <w:autoSpaceDE w:val="0"/>
        <w:autoSpaceDN w:val="0"/>
        <w:adjustRightInd w:val="0"/>
        <w:snapToGrid w:val="0"/>
        <w:spacing w:line="360" w:lineRule="auto"/>
        <w:ind w:firstLine="440" w:firstLineChars="200"/>
        <w:rPr>
          <w:rFonts w:hint="eastAsia" w:ascii="仿宋" w:hAnsi="仿宋" w:eastAsia="仿宋" w:cs="仿宋"/>
          <w:color w:val="auto"/>
          <w:kern w:val="0"/>
          <w:sz w:val="22"/>
          <w:szCs w:val="18"/>
          <w:highlight w:val="none"/>
        </w:rPr>
      </w:pPr>
      <w:r>
        <w:rPr>
          <w:rFonts w:hint="eastAsia" w:ascii="仿宋" w:hAnsi="仿宋" w:eastAsia="仿宋" w:cs="仿宋"/>
          <w:color w:val="auto"/>
          <w:kern w:val="0"/>
          <w:sz w:val="22"/>
          <w:szCs w:val="18"/>
          <w:highlight w:val="none"/>
        </w:rPr>
        <w:t>代理人无转委托权。</w:t>
      </w:r>
    </w:p>
    <w:p w14:paraId="0DEB26C6">
      <w:pPr>
        <w:autoSpaceDE w:val="0"/>
        <w:autoSpaceDN w:val="0"/>
        <w:adjustRightInd w:val="0"/>
        <w:snapToGrid w:val="0"/>
        <w:spacing w:line="360" w:lineRule="auto"/>
        <w:ind w:firstLine="200" w:firstLineChars="200"/>
        <w:jc w:val="left"/>
        <w:rPr>
          <w:rFonts w:hint="eastAsia" w:ascii="仿宋" w:hAnsi="仿宋" w:eastAsia="仿宋" w:cs="仿宋"/>
          <w:color w:val="auto"/>
          <w:kern w:val="0"/>
          <w:sz w:val="10"/>
          <w:szCs w:val="10"/>
          <w:highlight w:val="none"/>
        </w:rPr>
      </w:pPr>
    </w:p>
    <w:p w14:paraId="113B43E3">
      <w:pPr>
        <w:autoSpaceDE w:val="0"/>
        <w:autoSpaceDN w:val="0"/>
        <w:adjustRightInd w:val="0"/>
        <w:snapToGrid w:val="0"/>
        <w:spacing w:line="360" w:lineRule="auto"/>
        <w:ind w:firstLine="320" w:firstLineChars="200"/>
        <w:jc w:val="left"/>
        <w:rPr>
          <w:rFonts w:hint="eastAsia" w:ascii="仿宋" w:hAnsi="仿宋" w:eastAsia="仿宋" w:cs="仿宋"/>
          <w:color w:val="auto"/>
          <w:kern w:val="0"/>
          <w:sz w:val="16"/>
          <w:szCs w:val="16"/>
          <w:highlight w:val="none"/>
        </w:rPr>
      </w:pPr>
    </w:p>
    <w:p w14:paraId="29A819A8">
      <w:pPr>
        <w:tabs>
          <w:tab w:val="left" w:pos="4200"/>
          <w:tab w:val="left" w:pos="4620"/>
        </w:tabs>
        <w:autoSpaceDE w:val="0"/>
        <w:autoSpaceDN w:val="0"/>
        <w:adjustRightInd w:val="0"/>
        <w:snapToGrid w:val="0"/>
        <w:spacing w:line="360" w:lineRule="auto"/>
        <w:ind w:firstLine="440" w:firstLineChars="200"/>
        <w:jc w:val="left"/>
        <w:rPr>
          <w:rFonts w:hint="eastAsia" w:ascii="仿宋" w:hAnsi="仿宋" w:eastAsia="仿宋" w:cs="仿宋"/>
          <w:color w:val="auto"/>
          <w:kern w:val="0"/>
          <w:sz w:val="22"/>
          <w:szCs w:val="18"/>
          <w:highlight w:val="none"/>
        </w:rPr>
      </w:pPr>
      <w:r>
        <w:rPr>
          <w:rFonts w:hint="eastAsia" w:ascii="仿宋" w:hAnsi="仿宋" w:eastAsia="仿宋" w:cs="仿宋"/>
          <w:color w:val="auto"/>
          <w:kern w:val="0"/>
          <w:sz w:val="22"/>
          <w:szCs w:val="18"/>
          <w:highlight w:val="none"/>
        </w:rPr>
        <w:t>投标人：</w:t>
      </w:r>
      <w:r>
        <w:rPr>
          <w:rFonts w:hint="eastAsia" w:ascii="仿宋" w:hAnsi="仿宋" w:eastAsia="仿宋" w:cs="仿宋"/>
          <w:color w:val="auto"/>
          <w:kern w:val="0"/>
          <w:sz w:val="22"/>
          <w:szCs w:val="18"/>
          <w:highlight w:val="none"/>
          <w:u w:val="single"/>
        </w:rPr>
        <w:tab/>
      </w:r>
      <w:r>
        <w:rPr>
          <w:rFonts w:hint="eastAsia" w:ascii="仿宋" w:hAnsi="仿宋" w:eastAsia="仿宋" w:cs="仿宋"/>
          <w:color w:val="auto"/>
          <w:kern w:val="0"/>
          <w:sz w:val="22"/>
          <w:szCs w:val="18"/>
          <w:highlight w:val="none"/>
        </w:rPr>
        <w:t>（盖单位公章）</w:t>
      </w:r>
    </w:p>
    <w:p w14:paraId="30ED12BB">
      <w:pPr>
        <w:tabs>
          <w:tab w:val="left" w:pos="6300"/>
        </w:tabs>
        <w:autoSpaceDE w:val="0"/>
        <w:autoSpaceDN w:val="0"/>
        <w:adjustRightInd w:val="0"/>
        <w:snapToGrid w:val="0"/>
        <w:spacing w:line="360" w:lineRule="auto"/>
        <w:ind w:firstLine="440" w:firstLineChars="200"/>
        <w:jc w:val="left"/>
        <w:rPr>
          <w:rFonts w:hint="eastAsia" w:ascii="仿宋" w:hAnsi="仿宋" w:eastAsia="仿宋" w:cs="仿宋"/>
          <w:color w:val="auto"/>
          <w:kern w:val="0"/>
          <w:sz w:val="22"/>
          <w:szCs w:val="18"/>
          <w:highlight w:val="none"/>
        </w:rPr>
      </w:pPr>
      <w:r>
        <w:rPr>
          <w:rFonts w:hint="eastAsia" w:ascii="仿宋" w:hAnsi="仿宋" w:eastAsia="仿宋" w:cs="仿宋"/>
          <w:color w:val="auto"/>
          <w:kern w:val="0"/>
          <w:sz w:val="22"/>
          <w:szCs w:val="18"/>
          <w:highlight w:val="none"/>
        </w:rPr>
        <w:t>法定代表人：</w:t>
      </w:r>
      <w:r>
        <w:rPr>
          <w:rFonts w:hint="eastAsia" w:ascii="仿宋" w:hAnsi="仿宋" w:eastAsia="仿宋" w:cs="仿宋"/>
          <w:color w:val="auto"/>
          <w:kern w:val="0"/>
          <w:sz w:val="22"/>
          <w:szCs w:val="18"/>
          <w:highlight w:val="none"/>
          <w:u w:val="single"/>
        </w:rPr>
        <w:tab/>
      </w:r>
      <w:r>
        <w:rPr>
          <w:rFonts w:hint="eastAsia" w:ascii="仿宋" w:hAnsi="仿宋" w:eastAsia="仿宋" w:cs="仿宋"/>
          <w:color w:val="auto"/>
          <w:kern w:val="0"/>
          <w:sz w:val="22"/>
          <w:szCs w:val="18"/>
          <w:highlight w:val="none"/>
          <w:u w:val="single"/>
        </w:rPr>
        <w:tab/>
      </w:r>
      <w:r>
        <w:rPr>
          <w:rFonts w:hint="eastAsia" w:ascii="仿宋" w:hAnsi="仿宋" w:eastAsia="仿宋" w:cs="仿宋"/>
          <w:color w:val="auto"/>
          <w:kern w:val="0"/>
          <w:sz w:val="22"/>
          <w:szCs w:val="18"/>
          <w:highlight w:val="none"/>
        </w:rPr>
        <w:t>（签字或盖章）</w:t>
      </w:r>
    </w:p>
    <w:p w14:paraId="11F45B77">
      <w:pPr>
        <w:tabs>
          <w:tab w:val="left" w:pos="5260"/>
        </w:tabs>
        <w:autoSpaceDE w:val="0"/>
        <w:autoSpaceDN w:val="0"/>
        <w:adjustRightInd w:val="0"/>
        <w:snapToGrid w:val="0"/>
        <w:spacing w:line="360" w:lineRule="auto"/>
        <w:ind w:firstLine="440" w:firstLineChars="200"/>
        <w:jc w:val="left"/>
        <w:rPr>
          <w:rFonts w:hint="eastAsia" w:ascii="仿宋" w:hAnsi="仿宋" w:eastAsia="仿宋" w:cs="仿宋"/>
          <w:color w:val="auto"/>
          <w:kern w:val="0"/>
          <w:sz w:val="22"/>
          <w:szCs w:val="18"/>
          <w:highlight w:val="none"/>
        </w:rPr>
      </w:pPr>
      <w:r>
        <w:rPr>
          <w:rFonts w:hint="eastAsia" w:ascii="仿宋" w:hAnsi="仿宋" w:eastAsia="仿宋" w:cs="仿宋"/>
          <w:color w:val="auto"/>
          <w:kern w:val="0"/>
          <w:sz w:val="22"/>
          <w:szCs w:val="18"/>
          <w:highlight w:val="none"/>
        </w:rPr>
        <w:t>身份证号码：</w:t>
      </w:r>
      <w:r>
        <w:rPr>
          <w:rFonts w:hint="eastAsia" w:ascii="仿宋" w:hAnsi="仿宋" w:eastAsia="仿宋" w:cs="仿宋"/>
          <w:color w:val="auto"/>
          <w:kern w:val="0"/>
          <w:sz w:val="22"/>
          <w:szCs w:val="18"/>
          <w:highlight w:val="none"/>
          <w:u w:val="single"/>
        </w:rPr>
        <w:tab/>
      </w:r>
    </w:p>
    <w:p w14:paraId="66659B4D">
      <w:pPr>
        <w:tabs>
          <w:tab w:val="left" w:pos="6720"/>
        </w:tabs>
        <w:autoSpaceDE w:val="0"/>
        <w:autoSpaceDN w:val="0"/>
        <w:adjustRightInd w:val="0"/>
        <w:snapToGrid w:val="0"/>
        <w:spacing w:line="360" w:lineRule="auto"/>
        <w:ind w:firstLine="440" w:firstLineChars="200"/>
        <w:jc w:val="left"/>
        <w:rPr>
          <w:rFonts w:hint="eastAsia" w:ascii="仿宋" w:hAnsi="仿宋" w:eastAsia="仿宋" w:cs="仿宋"/>
          <w:color w:val="auto"/>
          <w:kern w:val="0"/>
          <w:sz w:val="22"/>
          <w:szCs w:val="18"/>
          <w:highlight w:val="none"/>
        </w:rPr>
      </w:pPr>
      <w:r>
        <w:rPr>
          <w:rFonts w:hint="eastAsia" w:ascii="仿宋" w:hAnsi="仿宋" w:eastAsia="仿宋" w:cs="仿宋"/>
          <w:color w:val="auto"/>
          <w:kern w:val="0"/>
          <w:sz w:val="22"/>
          <w:szCs w:val="18"/>
          <w:highlight w:val="none"/>
        </w:rPr>
        <w:t>委托代理人：</w:t>
      </w:r>
      <w:r>
        <w:rPr>
          <w:rFonts w:hint="eastAsia" w:ascii="仿宋" w:hAnsi="仿宋" w:eastAsia="仿宋" w:cs="仿宋"/>
          <w:color w:val="auto"/>
          <w:kern w:val="0"/>
          <w:sz w:val="22"/>
          <w:szCs w:val="18"/>
          <w:highlight w:val="none"/>
          <w:u w:val="single"/>
        </w:rPr>
        <w:tab/>
      </w:r>
      <w:r>
        <w:rPr>
          <w:rFonts w:hint="eastAsia" w:ascii="仿宋" w:hAnsi="仿宋" w:eastAsia="仿宋" w:cs="仿宋"/>
          <w:color w:val="auto"/>
          <w:kern w:val="0"/>
          <w:sz w:val="22"/>
          <w:szCs w:val="18"/>
          <w:highlight w:val="none"/>
        </w:rPr>
        <w:t>（签字或盖章）</w:t>
      </w:r>
    </w:p>
    <w:p w14:paraId="6303C637">
      <w:pPr>
        <w:tabs>
          <w:tab w:val="left" w:pos="6720"/>
        </w:tabs>
        <w:autoSpaceDE w:val="0"/>
        <w:autoSpaceDN w:val="0"/>
        <w:adjustRightInd w:val="0"/>
        <w:snapToGrid w:val="0"/>
        <w:spacing w:line="360" w:lineRule="auto"/>
        <w:ind w:firstLine="440" w:firstLineChars="200"/>
        <w:jc w:val="left"/>
        <w:rPr>
          <w:rFonts w:hint="eastAsia" w:ascii="仿宋" w:hAnsi="仿宋" w:eastAsia="仿宋" w:cs="仿宋"/>
          <w:color w:val="auto"/>
          <w:kern w:val="0"/>
          <w:sz w:val="22"/>
          <w:szCs w:val="18"/>
          <w:highlight w:val="none"/>
        </w:rPr>
      </w:pPr>
      <w:r>
        <w:rPr>
          <w:rFonts w:hint="eastAsia" w:ascii="仿宋" w:hAnsi="仿宋" w:eastAsia="仿宋" w:cs="仿宋"/>
          <w:color w:val="auto"/>
          <w:kern w:val="0"/>
          <w:sz w:val="22"/>
          <w:szCs w:val="18"/>
          <w:highlight w:val="none"/>
        </w:rPr>
        <w:t>身份证号码：</w:t>
      </w:r>
      <w:r>
        <w:rPr>
          <w:rFonts w:hint="eastAsia" w:ascii="仿宋" w:hAnsi="仿宋" w:eastAsia="仿宋" w:cs="仿宋"/>
          <w:color w:val="auto"/>
          <w:kern w:val="0"/>
          <w:sz w:val="22"/>
          <w:szCs w:val="18"/>
          <w:highlight w:val="none"/>
          <w:u w:val="single"/>
        </w:rPr>
        <w:tab/>
      </w:r>
    </w:p>
    <w:p w14:paraId="22D825BE">
      <w:pPr>
        <w:autoSpaceDE w:val="0"/>
        <w:autoSpaceDN w:val="0"/>
        <w:adjustRightInd w:val="0"/>
        <w:snapToGrid w:val="0"/>
        <w:spacing w:line="360" w:lineRule="auto"/>
        <w:ind w:firstLine="440" w:firstLineChars="200"/>
        <w:jc w:val="left"/>
        <w:rPr>
          <w:rFonts w:hint="eastAsia" w:ascii="仿宋" w:hAnsi="仿宋" w:eastAsia="仿宋" w:cs="仿宋"/>
          <w:color w:val="auto"/>
          <w:kern w:val="0"/>
          <w:sz w:val="22"/>
          <w:szCs w:val="22"/>
          <w:highlight w:val="none"/>
        </w:rPr>
      </w:pPr>
    </w:p>
    <w:p w14:paraId="592CA3DE">
      <w:pPr>
        <w:tabs>
          <w:tab w:val="left" w:pos="4005"/>
          <w:tab w:val="left" w:pos="4100"/>
          <w:tab w:val="left" w:pos="5040"/>
        </w:tabs>
        <w:autoSpaceDE w:val="0"/>
        <w:autoSpaceDN w:val="0"/>
        <w:adjustRightInd w:val="0"/>
        <w:snapToGrid w:val="0"/>
        <w:spacing w:line="360" w:lineRule="auto"/>
        <w:ind w:firstLine="3520" w:firstLineChars="1600"/>
        <w:jc w:val="right"/>
        <w:rPr>
          <w:rFonts w:hint="eastAsia" w:ascii="仿宋" w:hAnsi="仿宋" w:eastAsia="仿宋" w:cs="仿宋"/>
          <w:color w:val="auto"/>
          <w:kern w:val="0"/>
          <w:sz w:val="22"/>
          <w:szCs w:val="18"/>
          <w:highlight w:val="none"/>
        </w:rPr>
      </w:pPr>
      <w:r>
        <w:rPr>
          <w:rFonts w:hint="eastAsia" w:ascii="仿宋" w:hAnsi="仿宋" w:eastAsia="仿宋" w:cs="仿宋"/>
          <w:color w:val="auto"/>
          <w:kern w:val="0"/>
          <w:sz w:val="22"/>
          <w:szCs w:val="18"/>
          <w:highlight w:val="none"/>
          <w:u w:val="single"/>
        </w:rPr>
        <w:tab/>
      </w:r>
      <w:r>
        <w:rPr>
          <w:rFonts w:hint="eastAsia" w:ascii="仿宋" w:hAnsi="仿宋" w:eastAsia="仿宋" w:cs="仿宋"/>
          <w:color w:val="auto"/>
          <w:kern w:val="0"/>
          <w:sz w:val="22"/>
          <w:szCs w:val="18"/>
          <w:highlight w:val="none"/>
        </w:rPr>
        <w:t>年</w:t>
      </w:r>
      <w:r>
        <w:rPr>
          <w:rFonts w:hint="eastAsia" w:ascii="仿宋" w:hAnsi="仿宋" w:eastAsia="仿宋" w:cs="仿宋"/>
          <w:color w:val="auto"/>
          <w:kern w:val="0"/>
          <w:sz w:val="22"/>
          <w:szCs w:val="18"/>
          <w:highlight w:val="none"/>
          <w:u w:val="single"/>
        </w:rPr>
        <w:tab/>
      </w:r>
      <w:r>
        <w:rPr>
          <w:rFonts w:hint="eastAsia" w:ascii="仿宋" w:hAnsi="仿宋" w:eastAsia="仿宋" w:cs="仿宋"/>
          <w:color w:val="auto"/>
          <w:kern w:val="0"/>
          <w:sz w:val="22"/>
          <w:szCs w:val="18"/>
          <w:highlight w:val="none"/>
        </w:rPr>
        <w:t>月</w:t>
      </w:r>
      <w:r>
        <w:rPr>
          <w:rFonts w:hint="eastAsia" w:ascii="仿宋" w:hAnsi="仿宋" w:eastAsia="仿宋" w:cs="仿宋"/>
          <w:color w:val="auto"/>
          <w:kern w:val="0"/>
          <w:sz w:val="22"/>
          <w:szCs w:val="18"/>
          <w:highlight w:val="none"/>
          <w:u w:val="single"/>
        </w:rPr>
        <w:tab/>
      </w:r>
      <w:r>
        <w:rPr>
          <w:rFonts w:hint="eastAsia" w:ascii="仿宋" w:hAnsi="仿宋" w:eastAsia="仿宋" w:cs="仿宋"/>
          <w:color w:val="auto"/>
          <w:kern w:val="0"/>
          <w:sz w:val="22"/>
          <w:szCs w:val="18"/>
          <w:highlight w:val="none"/>
          <w:u w:val="single"/>
        </w:rPr>
        <w:t xml:space="preserve">      </w:t>
      </w:r>
      <w:r>
        <w:rPr>
          <w:rFonts w:hint="eastAsia" w:ascii="仿宋" w:hAnsi="仿宋" w:eastAsia="仿宋" w:cs="仿宋"/>
          <w:color w:val="auto"/>
          <w:kern w:val="0"/>
          <w:sz w:val="22"/>
          <w:szCs w:val="18"/>
          <w:highlight w:val="none"/>
        </w:rPr>
        <w:t>日</w:t>
      </w:r>
    </w:p>
    <w:p w14:paraId="20975E2E">
      <w:pPr>
        <w:tabs>
          <w:tab w:val="left" w:pos="4005"/>
          <w:tab w:val="left" w:pos="4100"/>
          <w:tab w:val="left" w:pos="5040"/>
        </w:tabs>
        <w:autoSpaceDE w:val="0"/>
        <w:autoSpaceDN w:val="0"/>
        <w:adjustRightInd w:val="0"/>
        <w:snapToGrid w:val="0"/>
        <w:spacing w:line="440" w:lineRule="exact"/>
        <w:ind w:firstLine="3520" w:firstLineChars="1600"/>
        <w:jc w:val="right"/>
        <w:rPr>
          <w:rFonts w:hint="eastAsia" w:ascii="仿宋" w:hAnsi="仿宋" w:eastAsia="仿宋" w:cs="仿宋"/>
          <w:color w:val="auto"/>
          <w:kern w:val="0"/>
          <w:sz w:val="22"/>
          <w:szCs w:val="18"/>
          <w:highlight w:val="none"/>
        </w:rPr>
      </w:pPr>
    </w:p>
    <w:p w14:paraId="6A04DF14">
      <w:pPr>
        <w:tabs>
          <w:tab w:val="left" w:pos="4005"/>
          <w:tab w:val="left" w:pos="4100"/>
          <w:tab w:val="left" w:pos="5040"/>
        </w:tabs>
        <w:autoSpaceDE w:val="0"/>
        <w:autoSpaceDN w:val="0"/>
        <w:adjustRightInd w:val="0"/>
        <w:snapToGrid w:val="0"/>
        <w:spacing w:line="440" w:lineRule="exact"/>
        <w:ind w:firstLine="3520" w:firstLineChars="1600"/>
        <w:jc w:val="right"/>
        <w:rPr>
          <w:rFonts w:hint="eastAsia" w:ascii="仿宋" w:hAnsi="仿宋" w:eastAsia="仿宋" w:cs="仿宋"/>
          <w:color w:val="auto"/>
          <w:kern w:val="0"/>
          <w:sz w:val="22"/>
          <w:szCs w:val="18"/>
          <w:highlight w:val="none"/>
        </w:rPr>
      </w:pPr>
    </w:p>
    <w:p w14:paraId="57EEF056">
      <w:pPr>
        <w:tabs>
          <w:tab w:val="left" w:pos="142"/>
        </w:tabs>
        <w:spacing w:line="440" w:lineRule="exact"/>
        <w:rPr>
          <w:rFonts w:hint="eastAsia" w:ascii="仿宋" w:hAnsi="仿宋" w:eastAsia="仿宋" w:cs="仿宋"/>
          <w:color w:val="auto"/>
          <w:sz w:val="22"/>
          <w:szCs w:val="18"/>
          <w:highlight w:val="none"/>
        </w:rPr>
      </w:pPr>
      <w:r>
        <w:rPr>
          <w:rFonts w:hint="eastAsia" w:ascii="仿宋" w:hAnsi="仿宋" w:eastAsia="仿宋" w:cs="仿宋"/>
          <w:color w:val="auto"/>
          <w:sz w:val="22"/>
          <w:szCs w:val="18"/>
          <w:highlight w:val="none"/>
        </w:rPr>
        <w:t xml:space="preserve">此处附法定代表人身份证正反面复印件        </w:t>
      </w:r>
      <w:r>
        <w:rPr>
          <w:rFonts w:hint="eastAsia" w:ascii="仿宋" w:hAnsi="仿宋" w:eastAsia="仿宋" w:cs="仿宋"/>
          <w:color w:val="auto"/>
          <w:kern w:val="0"/>
          <w:sz w:val="22"/>
          <w:szCs w:val="18"/>
          <w:highlight w:val="none"/>
        </w:rPr>
        <w:t>此处附授权委托人</w:t>
      </w:r>
      <w:r>
        <w:rPr>
          <w:rFonts w:hint="eastAsia" w:ascii="仿宋" w:hAnsi="仿宋" w:eastAsia="仿宋" w:cs="仿宋"/>
          <w:color w:val="auto"/>
          <w:sz w:val="22"/>
          <w:szCs w:val="18"/>
          <w:highlight w:val="none"/>
        </w:rPr>
        <w:t>身份证正反面复印件</w:t>
      </w:r>
    </w:p>
    <w:p w14:paraId="0486E691">
      <w:pPr>
        <w:tabs>
          <w:tab w:val="left" w:pos="4005"/>
          <w:tab w:val="left" w:pos="4100"/>
          <w:tab w:val="left" w:pos="5040"/>
        </w:tabs>
        <w:autoSpaceDE w:val="0"/>
        <w:autoSpaceDN w:val="0"/>
        <w:adjustRightInd w:val="0"/>
        <w:snapToGrid w:val="0"/>
        <w:spacing w:line="440" w:lineRule="exact"/>
        <w:ind w:firstLine="560" w:firstLineChars="200"/>
        <w:jc w:val="left"/>
        <w:rPr>
          <w:rFonts w:hint="eastAsia" w:ascii="仿宋" w:hAnsi="仿宋" w:eastAsia="仿宋" w:cs="仿宋"/>
          <w:color w:val="auto"/>
          <w:kern w:val="0"/>
          <w:szCs w:val="21"/>
          <w:highlight w:val="none"/>
        </w:rPr>
      </w:pPr>
    </w:p>
    <w:p w14:paraId="4647FB8D">
      <w:pPr>
        <w:tabs>
          <w:tab w:val="left" w:pos="4005"/>
          <w:tab w:val="left" w:pos="4100"/>
          <w:tab w:val="left" w:pos="5040"/>
        </w:tabs>
        <w:autoSpaceDE w:val="0"/>
        <w:autoSpaceDN w:val="0"/>
        <w:adjustRightInd w:val="0"/>
        <w:snapToGrid w:val="0"/>
        <w:spacing w:line="360" w:lineRule="auto"/>
        <w:ind w:firstLine="560" w:firstLineChars="200"/>
        <w:jc w:val="left"/>
        <w:rPr>
          <w:rFonts w:hint="eastAsia" w:ascii="仿宋" w:hAnsi="仿宋" w:eastAsia="仿宋" w:cs="仿宋"/>
          <w:color w:val="auto"/>
          <w:kern w:val="0"/>
          <w:szCs w:val="21"/>
          <w:highlight w:val="none"/>
        </w:rPr>
      </w:pPr>
    </w:p>
    <w:p w14:paraId="528A36E0">
      <w:pPr>
        <w:rPr>
          <w:rFonts w:hint="eastAsia" w:ascii="仿宋" w:hAnsi="仿宋" w:eastAsia="仿宋" w:cs="仿宋"/>
          <w:color w:val="auto"/>
          <w:highlight w:val="none"/>
        </w:rPr>
      </w:pPr>
    </w:p>
    <w:p w14:paraId="1B68035F">
      <w:pPr>
        <w:rPr>
          <w:rFonts w:hint="eastAsia" w:ascii="仿宋" w:hAnsi="仿宋" w:eastAsia="仿宋" w:cs="仿宋"/>
          <w:color w:val="auto"/>
          <w:highlight w:val="none"/>
        </w:rPr>
      </w:pPr>
    </w:p>
    <w:p w14:paraId="00561EBE">
      <w:pPr>
        <w:rPr>
          <w:rFonts w:hint="eastAsia" w:ascii="仿宋" w:hAnsi="仿宋" w:eastAsia="仿宋" w:cs="仿宋"/>
          <w:color w:val="auto"/>
          <w:highlight w:val="none"/>
        </w:rPr>
      </w:pPr>
    </w:p>
    <w:p w14:paraId="02E62097">
      <w:pPr>
        <w:pStyle w:val="4"/>
        <w:spacing w:before="0" w:after="0" w:line="360" w:lineRule="auto"/>
        <w:jc w:val="center"/>
        <w:rPr>
          <w:rFonts w:hint="eastAsia" w:ascii="仿宋" w:hAnsi="仿宋" w:eastAsia="仿宋" w:cs="仿宋"/>
          <w:color w:val="auto"/>
          <w:highlight w:val="none"/>
        </w:rPr>
      </w:pPr>
      <w:bookmarkStart w:id="2015" w:name="_Toc452965427"/>
      <w:bookmarkStart w:id="2016" w:name="_Toc27428"/>
      <w:bookmarkStart w:id="2017" w:name="_Toc25482"/>
      <w:bookmarkStart w:id="2018" w:name="_Toc2773"/>
      <w:bookmarkStart w:id="2019" w:name="_Toc2227"/>
      <w:bookmarkStart w:id="2020" w:name="_Toc19095"/>
      <w:bookmarkStart w:id="2021" w:name="_Toc460923622"/>
      <w:bookmarkStart w:id="2022" w:name="_Toc31425"/>
      <w:r>
        <w:rPr>
          <w:rFonts w:hint="eastAsia" w:ascii="仿宋" w:hAnsi="仿宋" w:eastAsia="仿宋" w:cs="仿宋"/>
          <w:color w:val="auto"/>
          <w:highlight w:val="none"/>
        </w:rPr>
        <w:br w:type="page"/>
      </w:r>
      <w:bookmarkStart w:id="2023" w:name="_Toc30787"/>
      <w:bookmarkStart w:id="2024" w:name="_Toc26019"/>
      <w:bookmarkStart w:id="2025" w:name="_Toc3622"/>
      <w:bookmarkStart w:id="2026" w:name="_Toc11369"/>
      <w:r>
        <w:rPr>
          <w:rFonts w:hint="eastAsia" w:ascii="仿宋" w:hAnsi="仿宋" w:eastAsia="仿宋" w:cs="仿宋"/>
          <w:color w:val="auto"/>
          <w:sz w:val="28"/>
          <w:highlight w:val="none"/>
        </w:rPr>
        <w:t>（二）投标人基本情况表</w:t>
      </w:r>
      <w:bookmarkEnd w:id="2015"/>
      <w:bookmarkEnd w:id="2016"/>
      <w:bookmarkEnd w:id="2017"/>
      <w:bookmarkEnd w:id="2018"/>
      <w:bookmarkEnd w:id="2019"/>
      <w:bookmarkEnd w:id="2020"/>
      <w:bookmarkEnd w:id="2021"/>
      <w:bookmarkEnd w:id="2022"/>
      <w:bookmarkEnd w:id="2023"/>
      <w:bookmarkEnd w:id="2024"/>
      <w:bookmarkEnd w:id="2025"/>
      <w:bookmarkEnd w:id="2026"/>
    </w:p>
    <w:tbl>
      <w:tblPr>
        <w:tblStyle w:val="17"/>
        <w:tblW w:w="9208" w:type="dxa"/>
        <w:tblInd w:w="-5" w:type="dxa"/>
        <w:tblLayout w:type="fixed"/>
        <w:tblCellMar>
          <w:top w:w="0" w:type="dxa"/>
          <w:left w:w="0" w:type="dxa"/>
          <w:bottom w:w="0" w:type="dxa"/>
          <w:right w:w="0" w:type="dxa"/>
        </w:tblCellMar>
      </w:tblPr>
      <w:tblGrid>
        <w:gridCol w:w="1741"/>
        <w:gridCol w:w="905"/>
        <w:gridCol w:w="958"/>
        <w:gridCol w:w="846"/>
        <w:gridCol w:w="554"/>
        <w:gridCol w:w="1284"/>
        <w:gridCol w:w="479"/>
        <w:gridCol w:w="92"/>
        <w:gridCol w:w="2349"/>
      </w:tblGrid>
      <w:tr w14:paraId="50D1F260">
        <w:tblPrEx>
          <w:tblCellMar>
            <w:top w:w="0" w:type="dxa"/>
            <w:left w:w="0" w:type="dxa"/>
            <w:bottom w:w="0" w:type="dxa"/>
            <w:right w:w="0" w:type="dxa"/>
          </w:tblCellMar>
        </w:tblPrEx>
        <w:trPr>
          <w:trHeight w:val="826" w:hRule="exact"/>
        </w:trPr>
        <w:tc>
          <w:tcPr>
            <w:tcW w:w="1741" w:type="dxa"/>
            <w:tcBorders>
              <w:top w:val="single" w:color="000000" w:sz="4" w:space="0"/>
              <w:left w:val="single" w:color="000000" w:sz="4" w:space="0"/>
              <w:bottom w:val="single" w:color="000000" w:sz="4" w:space="0"/>
              <w:right w:val="single" w:color="000000" w:sz="4" w:space="0"/>
            </w:tcBorders>
            <w:vAlign w:val="center"/>
          </w:tcPr>
          <w:p w14:paraId="517CF1DC">
            <w:pPr>
              <w:autoSpaceDE w:val="0"/>
              <w:autoSpaceDN w:val="0"/>
              <w:adjustRightInd w:val="0"/>
              <w:snapToGrid w:val="0"/>
              <w:spacing w:line="360" w:lineRule="auto"/>
              <w:jc w:val="center"/>
              <w:rPr>
                <w:rFonts w:hint="eastAsia" w:ascii="仿宋" w:hAnsi="仿宋" w:eastAsia="仿宋" w:cs="仿宋"/>
                <w:color w:val="auto"/>
                <w:kern w:val="0"/>
                <w:sz w:val="22"/>
                <w:szCs w:val="18"/>
                <w:highlight w:val="none"/>
              </w:rPr>
            </w:pPr>
            <w:r>
              <w:rPr>
                <w:rFonts w:hint="eastAsia" w:ascii="仿宋" w:hAnsi="仿宋" w:eastAsia="仿宋" w:cs="仿宋"/>
                <w:color w:val="auto"/>
                <w:kern w:val="0"/>
                <w:sz w:val="22"/>
                <w:szCs w:val="18"/>
                <w:highlight w:val="none"/>
              </w:rPr>
              <w:t>投标人名称</w:t>
            </w:r>
          </w:p>
        </w:tc>
        <w:tc>
          <w:tcPr>
            <w:tcW w:w="7467" w:type="dxa"/>
            <w:gridSpan w:val="8"/>
            <w:tcBorders>
              <w:top w:val="single" w:color="000000" w:sz="4" w:space="0"/>
              <w:left w:val="single" w:color="000000" w:sz="4" w:space="0"/>
              <w:bottom w:val="single" w:color="000000" w:sz="4" w:space="0"/>
              <w:right w:val="single" w:color="000000" w:sz="4" w:space="0"/>
            </w:tcBorders>
            <w:vAlign w:val="center"/>
          </w:tcPr>
          <w:p w14:paraId="41576531">
            <w:pPr>
              <w:autoSpaceDE w:val="0"/>
              <w:autoSpaceDN w:val="0"/>
              <w:adjustRightInd w:val="0"/>
              <w:snapToGrid w:val="0"/>
              <w:spacing w:line="360" w:lineRule="auto"/>
              <w:ind w:firstLine="440" w:firstLineChars="200"/>
              <w:jc w:val="center"/>
              <w:rPr>
                <w:rFonts w:hint="eastAsia" w:ascii="仿宋" w:hAnsi="仿宋" w:eastAsia="仿宋" w:cs="仿宋"/>
                <w:color w:val="auto"/>
                <w:kern w:val="0"/>
                <w:sz w:val="22"/>
                <w:szCs w:val="18"/>
                <w:highlight w:val="none"/>
              </w:rPr>
            </w:pPr>
          </w:p>
        </w:tc>
      </w:tr>
      <w:tr w14:paraId="657624AF">
        <w:tblPrEx>
          <w:tblCellMar>
            <w:top w:w="0" w:type="dxa"/>
            <w:left w:w="0" w:type="dxa"/>
            <w:bottom w:w="0" w:type="dxa"/>
            <w:right w:w="0" w:type="dxa"/>
          </w:tblCellMar>
        </w:tblPrEx>
        <w:trPr>
          <w:trHeight w:val="484" w:hRule="exact"/>
        </w:trPr>
        <w:tc>
          <w:tcPr>
            <w:tcW w:w="1741" w:type="dxa"/>
            <w:tcBorders>
              <w:top w:val="single" w:color="000000" w:sz="4" w:space="0"/>
              <w:left w:val="single" w:color="000000" w:sz="4" w:space="0"/>
              <w:bottom w:val="single" w:color="000000" w:sz="4" w:space="0"/>
              <w:right w:val="single" w:color="000000" w:sz="4" w:space="0"/>
            </w:tcBorders>
            <w:vAlign w:val="center"/>
          </w:tcPr>
          <w:p w14:paraId="214C2418">
            <w:pPr>
              <w:autoSpaceDE w:val="0"/>
              <w:autoSpaceDN w:val="0"/>
              <w:adjustRightInd w:val="0"/>
              <w:snapToGrid w:val="0"/>
              <w:spacing w:line="360" w:lineRule="auto"/>
              <w:jc w:val="center"/>
              <w:rPr>
                <w:rFonts w:hint="eastAsia" w:ascii="仿宋" w:hAnsi="仿宋" w:eastAsia="仿宋" w:cs="仿宋"/>
                <w:color w:val="auto"/>
                <w:kern w:val="0"/>
                <w:sz w:val="22"/>
                <w:szCs w:val="18"/>
                <w:highlight w:val="none"/>
              </w:rPr>
            </w:pPr>
            <w:r>
              <w:rPr>
                <w:rFonts w:hint="eastAsia" w:ascii="仿宋" w:hAnsi="仿宋" w:eastAsia="仿宋" w:cs="仿宋"/>
                <w:color w:val="auto"/>
                <w:kern w:val="0"/>
                <w:sz w:val="22"/>
                <w:szCs w:val="18"/>
                <w:highlight w:val="none"/>
              </w:rPr>
              <w:t>注册地址</w:t>
            </w:r>
          </w:p>
        </w:tc>
        <w:tc>
          <w:tcPr>
            <w:tcW w:w="3263" w:type="dxa"/>
            <w:gridSpan w:val="4"/>
            <w:tcBorders>
              <w:top w:val="single" w:color="000000" w:sz="4" w:space="0"/>
              <w:left w:val="single" w:color="000000" w:sz="4" w:space="0"/>
              <w:bottom w:val="single" w:color="000000" w:sz="4" w:space="0"/>
              <w:right w:val="single" w:color="000000" w:sz="4" w:space="0"/>
            </w:tcBorders>
            <w:vAlign w:val="center"/>
          </w:tcPr>
          <w:p w14:paraId="011170AF">
            <w:pPr>
              <w:autoSpaceDE w:val="0"/>
              <w:autoSpaceDN w:val="0"/>
              <w:adjustRightInd w:val="0"/>
              <w:snapToGrid w:val="0"/>
              <w:spacing w:line="360" w:lineRule="auto"/>
              <w:ind w:firstLine="440" w:firstLineChars="200"/>
              <w:jc w:val="center"/>
              <w:rPr>
                <w:rFonts w:hint="eastAsia" w:ascii="仿宋" w:hAnsi="仿宋" w:eastAsia="仿宋" w:cs="仿宋"/>
                <w:color w:val="auto"/>
                <w:kern w:val="0"/>
                <w:sz w:val="22"/>
                <w:szCs w:val="18"/>
                <w:highlight w:val="none"/>
              </w:rPr>
            </w:pPr>
          </w:p>
        </w:tc>
        <w:tc>
          <w:tcPr>
            <w:tcW w:w="1284" w:type="dxa"/>
            <w:tcBorders>
              <w:top w:val="single" w:color="000000" w:sz="4" w:space="0"/>
              <w:left w:val="single" w:color="000000" w:sz="4" w:space="0"/>
              <w:bottom w:val="single" w:color="000000" w:sz="4" w:space="0"/>
              <w:right w:val="single" w:color="000000" w:sz="4" w:space="0"/>
            </w:tcBorders>
            <w:vAlign w:val="center"/>
          </w:tcPr>
          <w:p w14:paraId="151C9363">
            <w:pPr>
              <w:autoSpaceDE w:val="0"/>
              <w:autoSpaceDN w:val="0"/>
              <w:adjustRightInd w:val="0"/>
              <w:snapToGrid w:val="0"/>
              <w:spacing w:line="360" w:lineRule="auto"/>
              <w:jc w:val="center"/>
              <w:rPr>
                <w:rFonts w:hint="eastAsia" w:ascii="仿宋" w:hAnsi="仿宋" w:eastAsia="仿宋" w:cs="仿宋"/>
                <w:color w:val="auto"/>
                <w:kern w:val="0"/>
                <w:sz w:val="22"/>
                <w:szCs w:val="18"/>
                <w:highlight w:val="none"/>
              </w:rPr>
            </w:pPr>
            <w:r>
              <w:rPr>
                <w:rFonts w:hint="eastAsia" w:ascii="仿宋" w:hAnsi="仿宋" w:eastAsia="仿宋" w:cs="仿宋"/>
                <w:color w:val="auto"/>
                <w:kern w:val="0"/>
                <w:sz w:val="22"/>
                <w:szCs w:val="18"/>
                <w:highlight w:val="none"/>
              </w:rPr>
              <w:t>邮政编码</w:t>
            </w:r>
          </w:p>
        </w:tc>
        <w:tc>
          <w:tcPr>
            <w:tcW w:w="2920" w:type="dxa"/>
            <w:gridSpan w:val="3"/>
            <w:tcBorders>
              <w:top w:val="single" w:color="000000" w:sz="4" w:space="0"/>
              <w:left w:val="single" w:color="000000" w:sz="4" w:space="0"/>
              <w:bottom w:val="single" w:color="000000" w:sz="4" w:space="0"/>
              <w:right w:val="single" w:color="000000" w:sz="4" w:space="0"/>
            </w:tcBorders>
            <w:vAlign w:val="center"/>
          </w:tcPr>
          <w:p w14:paraId="044EFE15">
            <w:pPr>
              <w:autoSpaceDE w:val="0"/>
              <w:autoSpaceDN w:val="0"/>
              <w:adjustRightInd w:val="0"/>
              <w:snapToGrid w:val="0"/>
              <w:spacing w:line="360" w:lineRule="auto"/>
              <w:ind w:firstLine="440" w:firstLineChars="200"/>
              <w:jc w:val="center"/>
              <w:rPr>
                <w:rFonts w:hint="eastAsia" w:ascii="仿宋" w:hAnsi="仿宋" w:eastAsia="仿宋" w:cs="仿宋"/>
                <w:color w:val="auto"/>
                <w:kern w:val="0"/>
                <w:sz w:val="22"/>
                <w:szCs w:val="18"/>
                <w:highlight w:val="none"/>
              </w:rPr>
            </w:pPr>
          </w:p>
        </w:tc>
      </w:tr>
      <w:tr w14:paraId="2EBA675B">
        <w:tblPrEx>
          <w:tblCellMar>
            <w:top w:w="0" w:type="dxa"/>
            <w:left w:w="0" w:type="dxa"/>
            <w:bottom w:w="0" w:type="dxa"/>
            <w:right w:w="0" w:type="dxa"/>
          </w:tblCellMar>
        </w:tblPrEx>
        <w:trPr>
          <w:trHeight w:val="655" w:hRule="exact"/>
        </w:trPr>
        <w:tc>
          <w:tcPr>
            <w:tcW w:w="1741" w:type="dxa"/>
            <w:vMerge w:val="restart"/>
            <w:tcBorders>
              <w:top w:val="single" w:color="000000" w:sz="4" w:space="0"/>
              <w:left w:val="single" w:color="000000" w:sz="4" w:space="0"/>
              <w:bottom w:val="single" w:color="000000" w:sz="4" w:space="0"/>
              <w:right w:val="single" w:color="000000" w:sz="4" w:space="0"/>
            </w:tcBorders>
            <w:vAlign w:val="center"/>
          </w:tcPr>
          <w:p w14:paraId="006A46DA">
            <w:pPr>
              <w:autoSpaceDE w:val="0"/>
              <w:autoSpaceDN w:val="0"/>
              <w:adjustRightInd w:val="0"/>
              <w:snapToGrid w:val="0"/>
              <w:spacing w:line="360" w:lineRule="auto"/>
              <w:jc w:val="center"/>
              <w:rPr>
                <w:rFonts w:hint="eastAsia" w:ascii="仿宋" w:hAnsi="仿宋" w:eastAsia="仿宋" w:cs="仿宋"/>
                <w:color w:val="auto"/>
                <w:kern w:val="0"/>
                <w:sz w:val="22"/>
                <w:szCs w:val="18"/>
                <w:highlight w:val="none"/>
              </w:rPr>
            </w:pPr>
            <w:r>
              <w:rPr>
                <w:rFonts w:hint="eastAsia" w:ascii="仿宋" w:hAnsi="仿宋" w:eastAsia="仿宋" w:cs="仿宋"/>
                <w:color w:val="auto"/>
                <w:kern w:val="0"/>
                <w:sz w:val="22"/>
                <w:szCs w:val="18"/>
                <w:highlight w:val="none"/>
              </w:rPr>
              <w:t>联系方式</w:t>
            </w:r>
          </w:p>
        </w:tc>
        <w:tc>
          <w:tcPr>
            <w:tcW w:w="905" w:type="dxa"/>
            <w:tcBorders>
              <w:top w:val="single" w:color="000000" w:sz="4" w:space="0"/>
              <w:left w:val="single" w:color="000000" w:sz="4" w:space="0"/>
              <w:bottom w:val="single" w:color="000000" w:sz="4" w:space="0"/>
              <w:right w:val="single" w:color="000000" w:sz="4" w:space="0"/>
            </w:tcBorders>
            <w:vAlign w:val="center"/>
          </w:tcPr>
          <w:p w14:paraId="082CB8F8">
            <w:pPr>
              <w:autoSpaceDE w:val="0"/>
              <w:autoSpaceDN w:val="0"/>
              <w:adjustRightInd w:val="0"/>
              <w:snapToGrid w:val="0"/>
              <w:spacing w:line="360" w:lineRule="auto"/>
              <w:jc w:val="center"/>
              <w:rPr>
                <w:rFonts w:hint="eastAsia" w:ascii="仿宋" w:hAnsi="仿宋" w:eastAsia="仿宋" w:cs="仿宋"/>
                <w:color w:val="auto"/>
                <w:kern w:val="0"/>
                <w:sz w:val="22"/>
                <w:szCs w:val="18"/>
                <w:highlight w:val="none"/>
              </w:rPr>
            </w:pPr>
            <w:r>
              <w:rPr>
                <w:rFonts w:hint="eastAsia" w:ascii="仿宋" w:hAnsi="仿宋" w:eastAsia="仿宋" w:cs="仿宋"/>
                <w:color w:val="auto"/>
                <w:kern w:val="0"/>
                <w:sz w:val="22"/>
                <w:szCs w:val="18"/>
                <w:highlight w:val="none"/>
              </w:rPr>
              <w:t>联系人</w:t>
            </w:r>
          </w:p>
        </w:tc>
        <w:tc>
          <w:tcPr>
            <w:tcW w:w="2358" w:type="dxa"/>
            <w:gridSpan w:val="3"/>
            <w:tcBorders>
              <w:top w:val="single" w:color="000000" w:sz="4" w:space="0"/>
              <w:left w:val="single" w:color="000000" w:sz="4" w:space="0"/>
              <w:bottom w:val="single" w:color="000000" w:sz="4" w:space="0"/>
              <w:right w:val="single" w:color="000000" w:sz="4" w:space="0"/>
            </w:tcBorders>
            <w:vAlign w:val="center"/>
          </w:tcPr>
          <w:p w14:paraId="36C0B62C">
            <w:pPr>
              <w:autoSpaceDE w:val="0"/>
              <w:autoSpaceDN w:val="0"/>
              <w:adjustRightInd w:val="0"/>
              <w:snapToGrid w:val="0"/>
              <w:spacing w:line="360" w:lineRule="auto"/>
              <w:ind w:firstLine="440" w:firstLineChars="200"/>
              <w:jc w:val="center"/>
              <w:rPr>
                <w:rFonts w:hint="eastAsia" w:ascii="仿宋" w:hAnsi="仿宋" w:eastAsia="仿宋" w:cs="仿宋"/>
                <w:color w:val="auto"/>
                <w:kern w:val="0"/>
                <w:sz w:val="22"/>
                <w:szCs w:val="18"/>
                <w:highlight w:val="none"/>
              </w:rPr>
            </w:pPr>
          </w:p>
        </w:tc>
        <w:tc>
          <w:tcPr>
            <w:tcW w:w="1284" w:type="dxa"/>
            <w:tcBorders>
              <w:top w:val="single" w:color="000000" w:sz="4" w:space="0"/>
              <w:left w:val="single" w:color="000000" w:sz="4" w:space="0"/>
              <w:bottom w:val="single" w:color="000000" w:sz="4" w:space="0"/>
              <w:right w:val="single" w:color="000000" w:sz="4" w:space="0"/>
            </w:tcBorders>
            <w:vAlign w:val="center"/>
          </w:tcPr>
          <w:p w14:paraId="1A197E2E">
            <w:pPr>
              <w:autoSpaceDE w:val="0"/>
              <w:autoSpaceDN w:val="0"/>
              <w:adjustRightInd w:val="0"/>
              <w:snapToGrid w:val="0"/>
              <w:spacing w:line="360" w:lineRule="auto"/>
              <w:jc w:val="center"/>
              <w:rPr>
                <w:rFonts w:hint="eastAsia" w:ascii="仿宋" w:hAnsi="仿宋" w:eastAsia="仿宋" w:cs="仿宋"/>
                <w:color w:val="auto"/>
                <w:kern w:val="0"/>
                <w:sz w:val="22"/>
                <w:szCs w:val="18"/>
                <w:highlight w:val="none"/>
              </w:rPr>
            </w:pPr>
            <w:r>
              <w:rPr>
                <w:rFonts w:hint="eastAsia" w:ascii="仿宋" w:hAnsi="仿宋" w:eastAsia="仿宋" w:cs="仿宋"/>
                <w:color w:val="auto"/>
                <w:kern w:val="0"/>
                <w:sz w:val="22"/>
                <w:szCs w:val="18"/>
                <w:highlight w:val="none"/>
              </w:rPr>
              <w:t>电话</w:t>
            </w:r>
          </w:p>
        </w:tc>
        <w:tc>
          <w:tcPr>
            <w:tcW w:w="2920" w:type="dxa"/>
            <w:gridSpan w:val="3"/>
            <w:tcBorders>
              <w:top w:val="single" w:color="000000" w:sz="4" w:space="0"/>
              <w:left w:val="single" w:color="000000" w:sz="4" w:space="0"/>
              <w:bottom w:val="single" w:color="000000" w:sz="4" w:space="0"/>
              <w:right w:val="single" w:color="000000" w:sz="4" w:space="0"/>
            </w:tcBorders>
            <w:vAlign w:val="center"/>
          </w:tcPr>
          <w:p w14:paraId="5F0A71BE">
            <w:pPr>
              <w:autoSpaceDE w:val="0"/>
              <w:autoSpaceDN w:val="0"/>
              <w:adjustRightInd w:val="0"/>
              <w:snapToGrid w:val="0"/>
              <w:spacing w:line="360" w:lineRule="auto"/>
              <w:ind w:firstLine="440" w:firstLineChars="200"/>
              <w:jc w:val="center"/>
              <w:rPr>
                <w:rFonts w:hint="eastAsia" w:ascii="仿宋" w:hAnsi="仿宋" w:eastAsia="仿宋" w:cs="仿宋"/>
                <w:color w:val="auto"/>
                <w:kern w:val="0"/>
                <w:sz w:val="22"/>
                <w:szCs w:val="18"/>
                <w:highlight w:val="none"/>
              </w:rPr>
            </w:pPr>
          </w:p>
        </w:tc>
      </w:tr>
      <w:tr w14:paraId="27D6046D">
        <w:tblPrEx>
          <w:tblCellMar>
            <w:top w:w="0" w:type="dxa"/>
            <w:left w:w="0" w:type="dxa"/>
            <w:bottom w:w="0" w:type="dxa"/>
            <w:right w:w="0" w:type="dxa"/>
          </w:tblCellMar>
        </w:tblPrEx>
        <w:trPr>
          <w:trHeight w:val="647" w:hRule="exact"/>
        </w:trPr>
        <w:tc>
          <w:tcPr>
            <w:tcW w:w="1741" w:type="dxa"/>
            <w:vMerge w:val="continue"/>
            <w:tcBorders>
              <w:top w:val="single" w:color="000000" w:sz="4" w:space="0"/>
              <w:left w:val="single" w:color="000000" w:sz="4" w:space="0"/>
              <w:bottom w:val="single" w:color="000000" w:sz="4" w:space="0"/>
              <w:right w:val="single" w:color="000000" w:sz="4" w:space="0"/>
            </w:tcBorders>
            <w:vAlign w:val="center"/>
          </w:tcPr>
          <w:p w14:paraId="401BE606">
            <w:pPr>
              <w:autoSpaceDE w:val="0"/>
              <w:autoSpaceDN w:val="0"/>
              <w:adjustRightInd w:val="0"/>
              <w:snapToGrid w:val="0"/>
              <w:spacing w:line="360" w:lineRule="auto"/>
              <w:ind w:firstLine="440" w:firstLineChars="200"/>
              <w:jc w:val="center"/>
              <w:rPr>
                <w:rFonts w:hint="eastAsia" w:ascii="仿宋" w:hAnsi="仿宋" w:eastAsia="仿宋" w:cs="仿宋"/>
                <w:color w:val="auto"/>
                <w:kern w:val="0"/>
                <w:sz w:val="22"/>
                <w:szCs w:val="18"/>
                <w:highlight w:val="none"/>
              </w:rPr>
            </w:pPr>
          </w:p>
        </w:tc>
        <w:tc>
          <w:tcPr>
            <w:tcW w:w="905" w:type="dxa"/>
            <w:tcBorders>
              <w:top w:val="single" w:color="000000" w:sz="4" w:space="0"/>
              <w:left w:val="single" w:color="000000" w:sz="4" w:space="0"/>
              <w:bottom w:val="single" w:color="000000" w:sz="4" w:space="0"/>
              <w:right w:val="single" w:color="000000" w:sz="4" w:space="0"/>
            </w:tcBorders>
            <w:vAlign w:val="center"/>
          </w:tcPr>
          <w:p w14:paraId="09545777">
            <w:pPr>
              <w:tabs>
                <w:tab w:val="left" w:pos="540"/>
              </w:tabs>
              <w:autoSpaceDE w:val="0"/>
              <w:autoSpaceDN w:val="0"/>
              <w:adjustRightInd w:val="0"/>
              <w:snapToGrid w:val="0"/>
              <w:spacing w:line="360" w:lineRule="auto"/>
              <w:jc w:val="center"/>
              <w:rPr>
                <w:rFonts w:hint="eastAsia" w:ascii="仿宋" w:hAnsi="仿宋" w:eastAsia="仿宋" w:cs="仿宋"/>
                <w:color w:val="auto"/>
                <w:kern w:val="0"/>
                <w:sz w:val="22"/>
                <w:szCs w:val="18"/>
                <w:highlight w:val="none"/>
              </w:rPr>
            </w:pPr>
            <w:r>
              <w:rPr>
                <w:rFonts w:hint="eastAsia" w:ascii="仿宋" w:hAnsi="仿宋" w:eastAsia="仿宋" w:cs="仿宋"/>
                <w:color w:val="auto"/>
                <w:kern w:val="0"/>
                <w:sz w:val="22"/>
                <w:szCs w:val="18"/>
                <w:highlight w:val="none"/>
              </w:rPr>
              <w:t>传真</w:t>
            </w:r>
          </w:p>
        </w:tc>
        <w:tc>
          <w:tcPr>
            <w:tcW w:w="2358" w:type="dxa"/>
            <w:gridSpan w:val="3"/>
            <w:tcBorders>
              <w:top w:val="single" w:color="000000" w:sz="4" w:space="0"/>
              <w:left w:val="single" w:color="000000" w:sz="4" w:space="0"/>
              <w:bottom w:val="single" w:color="000000" w:sz="4" w:space="0"/>
              <w:right w:val="single" w:color="000000" w:sz="4" w:space="0"/>
            </w:tcBorders>
            <w:vAlign w:val="center"/>
          </w:tcPr>
          <w:p w14:paraId="03AC1732">
            <w:pPr>
              <w:autoSpaceDE w:val="0"/>
              <w:autoSpaceDN w:val="0"/>
              <w:adjustRightInd w:val="0"/>
              <w:snapToGrid w:val="0"/>
              <w:spacing w:line="360" w:lineRule="auto"/>
              <w:ind w:firstLine="440" w:firstLineChars="200"/>
              <w:jc w:val="center"/>
              <w:rPr>
                <w:rFonts w:hint="eastAsia" w:ascii="仿宋" w:hAnsi="仿宋" w:eastAsia="仿宋" w:cs="仿宋"/>
                <w:color w:val="auto"/>
                <w:kern w:val="0"/>
                <w:sz w:val="22"/>
                <w:szCs w:val="18"/>
                <w:highlight w:val="none"/>
              </w:rPr>
            </w:pPr>
          </w:p>
        </w:tc>
        <w:tc>
          <w:tcPr>
            <w:tcW w:w="1284" w:type="dxa"/>
            <w:tcBorders>
              <w:top w:val="single" w:color="000000" w:sz="4" w:space="0"/>
              <w:left w:val="single" w:color="000000" w:sz="4" w:space="0"/>
              <w:bottom w:val="single" w:color="000000" w:sz="4" w:space="0"/>
              <w:right w:val="single" w:color="000000" w:sz="4" w:space="0"/>
            </w:tcBorders>
            <w:vAlign w:val="center"/>
          </w:tcPr>
          <w:p w14:paraId="7C029E05">
            <w:pPr>
              <w:autoSpaceDE w:val="0"/>
              <w:autoSpaceDN w:val="0"/>
              <w:adjustRightInd w:val="0"/>
              <w:snapToGrid w:val="0"/>
              <w:spacing w:line="360" w:lineRule="auto"/>
              <w:jc w:val="center"/>
              <w:rPr>
                <w:rFonts w:hint="eastAsia" w:ascii="仿宋" w:hAnsi="仿宋" w:eastAsia="仿宋" w:cs="仿宋"/>
                <w:color w:val="auto"/>
                <w:kern w:val="0"/>
                <w:sz w:val="22"/>
                <w:szCs w:val="18"/>
                <w:highlight w:val="none"/>
              </w:rPr>
            </w:pPr>
            <w:r>
              <w:rPr>
                <w:rFonts w:hint="eastAsia" w:ascii="仿宋" w:hAnsi="仿宋" w:eastAsia="仿宋" w:cs="仿宋"/>
                <w:color w:val="auto"/>
                <w:kern w:val="0"/>
                <w:sz w:val="22"/>
                <w:szCs w:val="18"/>
                <w:highlight w:val="none"/>
              </w:rPr>
              <w:t>网址</w:t>
            </w:r>
          </w:p>
        </w:tc>
        <w:tc>
          <w:tcPr>
            <w:tcW w:w="2920" w:type="dxa"/>
            <w:gridSpan w:val="3"/>
            <w:tcBorders>
              <w:top w:val="single" w:color="000000" w:sz="4" w:space="0"/>
              <w:left w:val="single" w:color="000000" w:sz="4" w:space="0"/>
              <w:bottom w:val="single" w:color="000000" w:sz="4" w:space="0"/>
              <w:right w:val="single" w:color="000000" w:sz="4" w:space="0"/>
            </w:tcBorders>
            <w:vAlign w:val="center"/>
          </w:tcPr>
          <w:p w14:paraId="0B752340">
            <w:pPr>
              <w:autoSpaceDE w:val="0"/>
              <w:autoSpaceDN w:val="0"/>
              <w:adjustRightInd w:val="0"/>
              <w:snapToGrid w:val="0"/>
              <w:spacing w:line="360" w:lineRule="auto"/>
              <w:ind w:firstLine="440" w:firstLineChars="200"/>
              <w:jc w:val="center"/>
              <w:rPr>
                <w:rFonts w:hint="eastAsia" w:ascii="仿宋" w:hAnsi="仿宋" w:eastAsia="仿宋" w:cs="仿宋"/>
                <w:color w:val="auto"/>
                <w:kern w:val="0"/>
                <w:sz w:val="22"/>
                <w:szCs w:val="18"/>
                <w:highlight w:val="none"/>
              </w:rPr>
            </w:pPr>
          </w:p>
        </w:tc>
      </w:tr>
      <w:tr w14:paraId="19D3FAFF">
        <w:tblPrEx>
          <w:tblCellMar>
            <w:top w:w="0" w:type="dxa"/>
            <w:left w:w="0" w:type="dxa"/>
            <w:bottom w:w="0" w:type="dxa"/>
            <w:right w:w="0" w:type="dxa"/>
          </w:tblCellMar>
        </w:tblPrEx>
        <w:trPr>
          <w:trHeight w:val="663" w:hRule="exact"/>
        </w:trPr>
        <w:tc>
          <w:tcPr>
            <w:tcW w:w="1741" w:type="dxa"/>
            <w:tcBorders>
              <w:top w:val="single" w:color="000000" w:sz="4" w:space="0"/>
              <w:left w:val="single" w:color="000000" w:sz="4" w:space="0"/>
              <w:bottom w:val="single" w:color="000000" w:sz="4" w:space="0"/>
              <w:right w:val="single" w:color="000000" w:sz="4" w:space="0"/>
            </w:tcBorders>
            <w:vAlign w:val="center"/>
          </w:tcPr>
          <w:p w14:paraId="58748996">
            <w:pPr>
              <w:autoSpaceDE w:val="0"/>
              <w:autoSpaceDN w:val="0"/>
              <w:adjustRightInd w:val="0"/>
              <w:snapToGrid w:val="0"/>
              <w:spacing w:line="360" w:lineRule="auto"/>
              <w:jc w:val="center"/>
              <w:rPr>
                <w:rFonts w:hint="eastAsia" w:ascii="仿宋" w:hAnsi="仿宋" w:eastAsia="仿宋" w:cs="仿宋"/>
                <w:color w:val="auto"/>
                <w:kern w:val="0"/>
                <w:sz w:val="22"/>
                <w:szCs w:val="18"/>
                <w:highlight w:val="none"/>
              </w:rPr>
            </w:pPr>
            <w:r>
              <w:rPr>
                <w:rFonts w:hint="eastAsia" w:ascii="仿宋" w:hAnsi="仿宋" w:eastAsia="仿宋" w:cs="仿宋"/>
                <w:color w:val="auto"/>
                <w:kern w:val="0"/>
                <w:sz w:val="22"/>
                <w:szCs w:val="18"/>
                <w:highlight w:val="none"/>
              </w:rPr>
              <w:t>法定代表人</w:t>
            </w:r>
          </w:p>
        </w:tc>
        <w:tc>
          <w:tcPr>
            <w:tcW w:w="905" w:type="dxa"/>
            <w:tcBorders>
              <w:top w:val="single" w:color="000000" w:sz="4" w:space="0"/>
              <w:left w:val="single" w:color="000000" w:sz="4" w:space="0"/>
              <w:bottom w:val="single" w:color="000000" w:sz="4" w:space="0"/>
              <w:right w:val="single" w:color="000000" w:sz="4" w:space="0"/>
            </w:tcBorders>
            <w:vAlign w:val="center"/>
          </w:tcPr>
          <w:p w14:paraId="09CF1DFB">
            <w:pPr>
              <w:autoSpaceDE w:val="0"/>
              <w:autoSpaceDN w:val="0"/>
              <w:adjustRightInd w:val="0"/>
              <w:snapToGrid w:val="0"/>
              <w:spacing w:line="360" w:lineRule="auto"/>
              <w:jc w:val="center"/>
              <w:rPr>
                <w:rFonts w:hint="eastAsia" w:ascii="仿宋" w:hAnsi="仿宋" w:eastAsia="仿宋" w:cs="仿宋"/>
                <w:color w:val="auto"/>
                <w:kern w:val="0"/>
                <w:sz w:val="22"/>
                <w:szCs w:val="18"/>
                <w:highlight w:val="none"/>
              </w:rPr>
            </w:pPr>
            <w:r>
              <w:rPr>
                <w:rFonts w:hint="eastAsia" w:ascii="仿宋" w:hAnsi="仿宋" w:eastAsia="仿宋" w:cs="仿宋"/>
                <w:color w:val="auto"/>
                <w:kern w:val="0"/>
                <w:sz w:val="22"/>
                <w:szCs w:val="18"/>
                <w:highlight w:val="none"/>
              </w:rPr>
              <w:t>姓名</w:t>
            </w:r>
          </w:p>
        </w:tc>
        <w:tc>
          <w:tcPr>
            <w:tcW w:w="958" w:type="dxa"/>
            <w:tcBorders>
              <w:top w:val="single" w:color="000000" w:sz="4" w:space="0"/>
              <w:left w:val="single" w:color="000000" w:sz="4" w:space="0"/>
              <w:bottom w:val="single" w:color="000000" w:sz="4" w:space="0"/>
              <w:right w:val="single" w:color="000000" w:sz="4" w:space="0"/>
            </w:tcBorders>
            <w:vAlign w:val="center"/>
          </w:tcPr>
          <w:p w14:paraId="69BDDB88">
            <w:pPr>
              <w:autoSpaceDE w:val="0"/>
              <w:autoSpaceDN w:val="0"/>
              <w:adjustRightInd w:val="0"/>
              <w:snapToGrid w:val="0"/>
              <w:spacing w:line="360" w:lineRule="auto"/>
              <w:ind w:firstLine="440" w:firstLineChars="200"/>
              <w:jc w:val="center"/>
              <w:rPr>
                <w:rFonts w:hint="eastAsia" w:ascii="仿宋" w:hAnsi="仿宋" w:eastAsia="仿宋" w:cs="仿宋"/>
                <w:color w:val="auto"/>
                <w:kern w:val="0"/>
                <w:sz w:val="22"/>
                <w:szCs w:val="18"/>
                <w:highlight w:val="none"/>
              </w:rPr>
            </w:pPr>
          </w:p>
        </w:tc>
        <w:tc>
          <w:tcPr>
            <w:tcW w:w="1400" w:type="dxa"/>
            <w:gridSpan w:val="2"/>
            <w:tcBorders>
              <w:top w:val="single" w:color="000000" w:sz="4" w:space="0"/>
              <w:left w:val="single" w:color="000000" w:sz="4" w:space="0"/>
              <w:bottom w:val="single" w:color="000000" w:sz="4" w:space="0"/>
              <w:right w:val="single" w:color="000000" w:sz="4" w:space="0"/>
            </w:tcBorders>
            <w:vAlign w:val="center"/>
          </w:tcPr>
          <w:p w14:paraId="339BD6D6">
            <w:pPr>
              <w:autoSpaceDE w:val="0"/>
              <w:autoSpaceDN w:val="0"/>
              <w:adjustRightInd w:val="0"/>
              <w:snapToGrid w:val="0"/>
              <w:spacing w:line="360" w:lineRule="auto"/>
              <w:jc w:val="center"/>
              <w:rPr>
                <w:rFonts w:hint="eastAsia" w:ascii="仿宋" w:hAnsi="仿宋" w:eastAsia="仿宋" w:cs="仿宋"/>
                <w:color w:val="auto"/>
                <w:kern w:val="0"/>
                <w:sz w:val="22"/>
                <w:szCs w:val="18"/>
                <w:highlight w:val="none"/>
              </w:rPr>
            </w:pPr>
            <w:r>
              <w:rPr>
                <w:rFonts w:hint="eastAsia" w:ascii="仿宋" w:hAnsi="仿宋" w:eastAsia="仿宋" w:cs="仿宋"/>
                <w:color w:val="auto"/>
                <w:kern w:val="0"/>
                <w:sz w:val="22"/>
                <w:szCs w:val="18"/>
                <w:highlight w:val="none"/>
              </w:rPr>
              <w:t>技术职称</w:t>
            </w:r>
          </w:p>
        </w:tc>
        <w:tc>
          <w:tcPr>
            <w:tcW w:w="1284" w:type="dxa"/>
            <w:tcBorders>
              <w:top w:val="single" w:color="000000" w:sz="4" w:space="0"/>
              <w:left w:val="single" w:color="000000" w:sz="4" w:space="0"/>
              <w:bottom w:val="single" w:color="000000" w:sz="4" w:space="0"/>
              <w:right w:val="single" w:color="000000" w:sz="4" w:space="0"/>
            </w:tcBorders>
            <w:vAlign w:val="center"/>
          </w:tcPr>
          <w:p w14:paraId="7C8D8ED4">
            <w:pPr>
              <w:autoSpaceDE w:val="0"/>
              <w:autoSpaceDN w:val="0"/>
              <w:adjustRightInd w:val="0"/>
              <w:snapToGrid w:val="0"/>
              <w:spacing w:line="360" w:lineRule="auto"/>
              <w:ind w:firstLine="440" w:firstLineChars="200"/>
              <w:jc w:val="center"/>
              <w:rPr>
                <w:rFonts w:hint="eastAsia" w:ascii="仿宋" w:hAnsi="仿宋" w:eastAsia="仿宋" w:cs="仿宋"/>
                <w:color w:val="auto"/>
                <w:kern w:val="0"/>
                <w:sz w:val="22"/>
                <w:szCs w:val="18"/>
                <w:highlight w:val="none"/>
              </w:rPr>
            </w:pPr>
          </w:p>
        </w:tc>
        <w:tc>
          <w:tcPr>
            <w:tcW w:w="571" w:type="dxa"/>
            <w:gridSpan w:val="2"/>
            <w:tcBorders>
              <w:top w:val="single" w:color="000000" w:sz="4" w:space="0"/>
              <w:left w:val="single" w:color="000000" w:sz="4" w:space="0"/>
              <w:bottom w:val="single" w:color="000000" w:sz="4" w:space="0"/>
              <w:right w:val="single" w:color="000000" w:sz="4" w:space="0"/>
            </w:tcBorders>
            <w:vAlign w:val="center"/>
          </w:tcPr>
          <w:p w14:paraId="5DAD58F8">
            <w:pPr>
              <w:autoSpaceDE w:val="0"/>
              <w:autoSpaceDN w:val="0"/>
              <w:adjustRightInd w:val="0"/>
              <w:snapToGrid w:val="0"/>
              <w:spacing w:line="360" w:lineRule="auto"/>
              <w:jc w:val="center"/>
              <w:rPr>
                <w:rFonts w:hint="eastAsia" w:ascii="仿宋" w:hAnsi="仿宋" w:eastAsia="仿宋" w:cs="仿宋"/>
                <w:color w:val="auto"/>
                <w:kern w:val="0"/>
                <w:sz w:val="22"/>
                <w:szCs w:val="18"/>
                <w:highlight w:val="none"/>
              </w:rPr>
            </w:pPr>
            <w:r>
              <w:rPr>
                <w:rFonts w:hint="eastAsia" w:ascii="仿宋" w:hAnsi="仿宋" w:eastAsia="仿宋" w:cs="仿宋"/>
                <w:color w:val="auto"/>
                <w:kern w:val="0"/>
                <w:sz w:val="22"/>
                <w:szCs w:val="18"/>
                <w:highlight w:val="none"/>
              </w:rPr>
              <w:t>电话</w:t>
            </w:r>
          </w:p>
        </w:tc>
        <w:tc>
          <w:tcPr>
            <w:tcW w:w="2349" w:type="dxa"/>
            <w:tcBorders>
              <w:top w:val="single" w:color="000000" w:sz="4" w:space="0"/>
              <w:left w:val="single" w:color="000000" w:sz="4" w:space="0"/>
              <w:bottom w:val="single" w:color="000000" w:sz="4" w:space="0"/>
              <w:right w:val="single" w:color="000000" w:sz="4" w:space="0"/>
            </w:tcBorders>
            <w:vAlign w:val="center"/>
          </w:tcPr>
          <w:p w14:paraId="5E3B08F8">
            <w:pPr>
              <w:autoSpaceDE w:val="0"/>
              <w:autoSpaceDN w:val="0"/>
              <w:adjustRightInd w:val="0"/>
              <w:snapToGrid w:val="0"/>
              <w:spacing w:line="360" w:lineRule="auto"/>
              <w:ind w:firstLine="440" w:firstLineChars="200"/>
              <w:jc w:val="center"/>
              <w:rPr>
                <w:rFonts w:hint="eastAsia" w:ascii="仿宋" w:hAnsi="仿宋" w:eastAsia="仿宋" w:cs="仿宋"/>
                <w:color w:val="auto"/>
                <w:kern w:val="0"/>
                <w:sz w:val="22"/>
                <w:szCs w:val="18"/>
                <w:highlight w:val="none"/>
              </w:rPr>
            </w:pPr>
          </w:p>
        </w:tc>
      </w:tr>
      <w:tr w14:paraId="2437C0E9">
        <w:tblPrEx>
          <w:tblCellMar>
            <w:top w:w="0" w:type="dxa"/>
            <w:left w:w="0" w:type="dxa"/>
            <w:bottom w:w="0" w:type="dxa"/>
            <w:right w:w="0" w:type="dxa"/>
          </w:tblCellMar>
        </w:tblPrEx>
        <w:trPr>
          <w:trHeight w:val="819" w:hRule="exact"/>
        </w:trPr>
        <w:tc>
          <w:tcPr>
            <w:tcW w:w="1741" w:type="dxa"/>
            <w:tcBorders>
              <w:top w:val="single" w:color="000000" w:sz="4" w:space="0"/>
              <w:left w:val="single" w:color="000000" w:sz="4" w:space="0"/>
              <w:bottom w:val="single" w:color="000000" w:sz="4" w:space="0"/>
              <w:right w:val="single" w:color="000000" w:sz="4" w:space="0"/>
            </w:tcBorders>
            <w:vAlign w:val="center"/>
          </w:tcPr>
          <w:p w14:paraId="7450C780">
            <w:pPr>
              <w:autoSpaceDE w:val="0"/>
              <w:autoSpaceDN w:val="0"/>
              <w:adjustRightInd w:val="0"/>
              <w:snapToGrid w:val="0"/>
              <w:spacing w:line="360" w:lineRule="auto"/>
              <w:jc w:val="center"/>
              <w:rPr>
                <w:rFonts w:hint="eastAsia" w:ascii="仿宋" w:hAnsi="仿宋" w:eastAsia="仿宋" w:cs="仿宋"/>
                <w:color w:val="auto"/>
                <w:kern w:val="0"/>
                <w:sz w:val="22"/>
                <w:szCs w:val="18"/>
                <w:highlight w:val="none"/>
              </w:rPr>
            </w:pPr>
            <w:r>
              <w:rPr>
                <w:rFonts w:hint="eastAsia" w:ascii="仿宋" w:hAnsi="仿宋" w:eastAsia="仿宋" w:cs="仿宋"/>
                <w:color w:val="auto"/>
                <w:kern w:val="0"/>
                <w:sz w:val="22"/>
                <w:szCs w:val="18"/>
                <w:highlight w:val="none"/>
              </w:rPr>
              <w:t>项目总工</w:t>
            </w:r>
          </w:p>
        </w:tc>
        <w:tc>
          <w:tcPr>
            <w:tcW w:w="905" w:type="dxa"/>
            <w:tcBorders>
              <w:top w:val="single" w:color="000000" w:sz="4" w:space="0"/>
              <w:left w:val="single" w:color="000000" w:sz="4" w:space="0"/>
              <w:bottom w:val="single" w:color="000000" w:sz="4" w:space="0"/>
              <w:right w:val="single" w:color="000000" w:sz="4" w:space="0"/>
            </w:tcBorders>
            <w:vAlign w:val="center"/>
          </w:tcPr>
          <w:p w14:paraId="5A02628C">
            <w:pPr>
              <w:autoSpaceDE w:val="0"/>
              <w:autoSpaceDN w:val="0"/>
              <w:adjustRightInd w:val="0"/>
              <w:snapToGrid w:val="0"/>
              <w:spacing w:line="360" w:lineRule="auto"/>
              <w:jc w:val="center"/>
              <w:rPr>
                <w:rFonts w:hint="eastAsia" w:ascii="仿宋" w:hAnsi="仿宋" w:eastAsia="仿宋" w:cs="仿宋"/>
                <w:color w:val="auto"/>
                <w:kern w:val="0"/>
                <w:sz w:val="22"/>
                <w:szCs w:val="18"/>
                <w:highlight w:val="none"/>
              </w:rPr>
            </w:pPr>
            <w:r>
              <w:rPr>
                <w:rFonts w:hint="eastAsia" w:ascii="仿宋" w:hAnsi="仿宋" w:eastAsia="仿宋" w:cs="仿宋"/>
                <w:color w:val="auto"/>
                <w:kern w:val="0"/>
                <w:sz w:val="22"/>
                <w:szCs w:val="18"/>
                <w:highlight w:val="none"/>
              </w:rPr>
              <w:t>姓名</w:t>
            </w:r>
          </w:p>
        </w:tc>
        <w:tc>
          <w:tcPr>
            <w:tcW w:w="958" w:type="dxa"/>
            <w:tcBorders>
              <w:top w:val="single" w:color="000000" w:sz="4" w:space="0"/>
              <w:left w:val="single" w:color="000000" w:sz="4" w:space="0"/>
              <w:bottom w:val="single" w:color="000000" w:sz="4" w:space="0"/>
              <w:right w:val="single" w:color="000000" w:sz="4" w:space="0"/>
            </w:tcBorders>
            <w:vAlign w:val="center"/>
          </w:tcPr>
          <w:p w14:paraId="288B882D">
            <w:pPr>
              <w:autoSpaceDE w:val="0"/>
              <w:autoSpaceDN w:val="0"/>
              <w:adjustRightInd w:val="0"/>
              <w:snapToGrid w:val="0"/>
              <w:spacing w:line="360" w:lineRule="auto"/>
              <w:ind w:firstLine="440" w:firstLineChars="200"/>
              <w:jc w:val="center"/>
              <w:rPr>
                <w:rFonts w:hint="eastAsia" w:ascii="仿宋" w:hAnsi="仿宋" w:eastAsia="仿宋" w:cs="仿宋"/>
                <w:color w:val="auto"/>
                <w:kern w:val="0"/>
                <w:sz w:val="22"/>
                <w:szCs w:val="18"/>
                <w:highlight w:val="none"/>
              </w:rPr>
            </w:pPr>
          </w:p>
        </w:tc>
        <w:tc>
          <w:tcPr>
            <w:tcW w:w="1400" w:type="dxa"/>
            <w:gridSpan w:val="2"/>
            <w:tcBorders>
              <w:top w:val="single" w:color="000000" w:sz="4" w:space="0"/>
              <w:left w:val="single" w:color="000000" w:sz="4" w:space="0"/>
              <w:bottom w:val="single" w:color="000000" w:sz="4" w:space="0"/>
              <w:right w:val="single" w:color="000000" w:sz="4" w:space="0"/>
            </w:tcBorders>
            <w:vAlign w:val="center"/>
          </w:tcPr>
          <w:p w14:paraId="0BF3EEBB">
            <w:pPr>
              <w:autoSpaceDE w:val="0"/>
              <w:autoSpaceDN w:val="0"/>
              <w:adjustRightInd w:val="0"/>
              <w:snapToGrid w:val="0"/>
              <w:spacing w:line="360" w:lineRule="auto"/>
              <w:jc w:val="center"/>
              <w:rPr>
                <w:rFonts w:hint="eastAsia" w:ascii="仿宋" w:hAnsi="仿宋" w:eastAsia="仿宋" w:cs="仿宋"/>
                <w:color w:val="auto"/>
                <w:kern w:val="0"/>
                <w:sz w:val="22"/>
                <w:szCs w:val="18"/>
                <w:highlight w:val="none"/>
              </w:rPr>
            </w:pPr>
            <w:r>
              <w:rPr>
                <w:rFonts w:hint="eastAsia" w:ascii="仿宋" w:hAnsi="仿宋" w:eastAsia="仿宋" w:cs="仿宋"/>
                <w:color w:val="auto"/>
                <w:kern w:val="0"/>
                <w:sz w:val="22"/>
                <w:szCs w:val="18"/>
                <w:highlight w:val="none"/>
              </w:rPr>
              <w:t>技术职称</w:t>
            </w:r>
          </w:p>
        </w:tc>
        <w:tc>
          <w:tcPr>
            <w:tcW w:w="1284" w:type="dxa"/>
            <w:tcBorders>
              <w:top w:val="single" w:color="000000" w:sz="4" w:space="0"/>
              <w:left w:val="single" w:color="000000" w:sz="4" w:space="0"/>
              <w:bottom w:val="single" w:color="000000" w:sz="4" w:space="0"/>
              <w:right w:val="single" w:color="000000" w:sz="4" w:space="0"/>
            </w:tcBorders>
            <w:vAlign w:val="center"/>
          </w:tcPr>
          <w:p w14:paraId="281A413E">
            <w:pPr>
              <w:autoSpaceDE w:val="0"/>
              <w:autoSpaceDN w:val="0"/>
              <w:adjustRightInd w:val="0"/>
              <w:snapToGrid w:val="0"/>
              <w:spacing w:line="360" w:lineRule="auto"/>
              <w:ind w:firstLine="440" w:firstLineChars="200"/>
              <w:jc w:val="center"/>
              <w:rPr>
                <w:rFonts w:hint="eastAsia" w:ascii="仿宋" w:hAnsi="仿宋" w:eastAsia="仿宋" w:cs="仿宋"/>
                <w:color w:val="auto"/>
                <w:kern w:val="0"/>
                <w:sz w:val="22"/>
                <w:szCs w:val="18"/>
                <w:highlight w:val="none"/>
              </w:rPr>
            </w:pPr>
          </w:p>
        </w:tc>
        <w:tc>
          <w:tcPr>
            <w:tcW w:w="571" w:type="dxa"/>
            <w:gridSpan w:val="2"/>
            <w:tcBorders>
              <w:top w:val="single" w:color="000000" w:sz="4" w:space="0"/>
              <w:left w:val="single" w:color="000000" w:sz="4" w:space="0"/>
              <w:bottom w:val="single" w:color="000000" w:sz="4" w:space="0"/>
              <w:right w:val="single" w:color="000000" w:sz="4" w:space="0"/>
            </w:tcBorders>
            <w:vAlign w:val="center"/>
          </w:tcPr>
          <w:p w14:paraId="1245C20A">
            <w:pPr>
              <w:autoSpaceDE w:val="0"/>
              <w:autoSpaceDN w:val="0"/>
              <w:adjustRightInd w:val="0"/>
              <w:snapToGrid w:val="0"/>
              <w:spacing w:line="360" w:lineRule="auto"/>
              <w:jc w:val="center"/>
              <w:rPr>
                <w:rFonts w:hint="eastAsia" w:ascii="仿宋" w:hAnsi="仿宋" w:eastAsia="仿宋" w:cs="仿宋"/>
                <w:color w:val="auto"/>
                <w:kern w:val="0"/>
                <w:sz w:val="22"/>
                <w:szCs w:val="18"/>
                <w:highlight w:val="none"/>
              </w:rPr>
            </w:pPr>
            <w:r>
              <w:rPr>
                <w:rFonts w:hint="eastAsia" w:ascii="仿宋" w:hAnsi="仿宋" w:eastAsia="仿宋" w:cs="仿宋"/>
                <w:color w:val="auto"/>
                <w:kern w:val="0"/>
                <w:sz w:val="22"/>
                <w:szCs w:val="18"/>
                <w:highlight w:val="none"/>
              </w:rPr>
              <w:t>电话</w:t>
            </w:r>
          </w:p>
        </w:tc>
        <w:tc>
          <w:tcPr>
            <w:tcW w:w="2349" w:type="dxa"/>
            <w:tcBorders>
              <w:top w:val="single" w:color="000000" w:sz="4" w:space="0"/>
              <w:left w:val="single" w:color="000000" w:sz="4" w:space="0"/>
              <w:bottom w:val="single" w:color="000000" w:sz="4" w:space="0"/>
              <w:right w:val="single" w:color="000000" w:sz="4" w:space="0"/>
            </w:tcBorders>
            <w:vAlign w:val="center"/>
          </w:tcPr>
          <w:p w14:paraId="1931BD4C">
            <w:pPr>
              <w:autoSpaceDE w:val="0"/>
              <w:autoSpaceDN w:val="0"/>
              <w:adjustRightInd w:val="0"/>
              <w:snapToGrid w:val="0"/>
              <w:spacing w:line="360" w:lineRule="auto"/>
              <w:ind w:firstLine="440" w:firstLineChars="200"/>
              <w:jc w:val="center"/>
              <w:rPr>
                <w:rFonts w:hint="eastAsia" w:ascii="仿宋" w:hAnsi="仿宋" w:eastAsia="仿宋" w:cs="仿宋"/>
                <w:color w:val="auto"/>
                <w:kern w:val="0"/>
                <w:sz w:val="22"/>
                <w:szCs w:val="18"/>
                <w:highlight w:val="none"/>
              </w:rPr>
            </w:pPr>
          </w:p>
        </w:tc>
      </w:tr>
      <w:tr w14:paraId="06CA3BB9">
        <w:tblPrEx>
          <w:tblCellMar>
            <w:top w:w="0" w:type="dxa"/>
            <w:left w:w="0" w:type="dxa"/>
            <w:bottom w:w="0" w:type="dxa"/>
            <w:right w:w="0" w:type="dxa"/>
          </w:tblCellMar>
        </w:tblPrEx>
        <w:trPr>
          <w:trHeight w:val="637" w:hRule="exact"/>
        </w:trPr>
        <w:tc>
          <w:tcPr>
            <w:tcW w:w="1741" w:type="dxa"/>
            <w:tcBorders>
              <w:top w:val="single" w:color="000000" w:sz="4" w:space="0"/>
              <w:left w:val="single" w:color="000000" w:sz="4" w:space="0"/>
              <w:bottom w:val="single" w:color="000000" w:sz="4" w:space="0"/>
              <w:right w:val="single" w:color="000000" w:sz="4" w:space="0"/>
            </w:tcBorders>
            <w:vAlign w:val="center"/>
          </w:tcPr>
          <w:p w14:paraId="09F07C3F">
            <w:pPr>
              <w:autoSpaceDE w:val="0"/>
              <w:autoSpaceDN w:val="0"/>
              <w:adjustRightInd w:val="0"/>
              <w:snapToGrid w:val="0"/>
              <w:spacing w:line="360" w:lineRule="auto"/>
              <w:jc w:val="center"/>
              <w:rPr>
                <w:rFonts w:hint="eastAsia" w:ascii="仿宋" w:hAnsi="仿宋" w:eastAsia="仿宋" w:cs="仿宋"/>
                <w:color w:val="auto"/>
                <w:kern w:val="0"/>
                <w:sz w:val="22"/>
                <w:szCs w:val="18"/>
                <w:highlight w:val="none"/>
              </w:rPr>
            </w:pPr>
            <w:r>
              <w:rPr>
                <w:rFonts w:hint="eastAsia" w:ascii="仿宋" w:hAnsi="仿宋" w:eastAsia="仿宋" w:cs="仿宋"/>
                <w:color w:val="auto"/>
                <w:kern w:val="0"/>
                <w:sz w:val="22"/>
                <w:szCs w:val="18"/>
                <w:highlight w:val="none"/>
              </w:rPr>
              <w:t>成立时间</w:t>
            </w:r>
          </w:p>
        </w:tc>
        <w:tc>
          <w:tcPr>
            <w:tcW w:w="1863" w:type="dxa"/>
            <w:gridSpan w:val="2"/>
            <w:tcBorders>
              <w:top w:val="single" w:color="000000" w:sz="4" w:space="0"/>
              <w:left w:val="single" w:color="000000" w:sz="4" w:space="0"/>
              <w:bottom w:val="single" w:color="000000" w:sz="4" w:space="0"/>
              <w:right w:val="single" w:color="000000" w:sz="4" w:space="0"/>
            </w:tcBorders>
            <w:vAlign w:val="center"/>
          </w:tcPr>
          <w:p w14:paraId="69DB28F1">
            <w:pPr>
              <w:autoSpaceDE w:val="0"/>
              <w:autoSpaceDN w:val="0"/>
              <w:adjustRightInd w:val="0"/>
              <w:snapToGrid w:val="0"/>
              <w:spacing w:line="360" w:lineRule="auto"/>
              <w:ind w:firstLine="440" w:firstLineChars="200"/>
              <w:jc w:val="center"/>
              <w:rPr>
                <w:rFonts w:hint="eastAsia" w:ascii="仿宋" w:hAnsi="仿宋" w:eastAsia="仿宋" w:cs="仿宋"/>
                <w:color w:val="auto"/>
                <w:kern w:val="0"/>
                <w:sz w:val="22"/>
                <w:szCs w:val="18"/>
                <w:highlight w:val="none"/>
              </w:rPr>
            </w:pPr>
          </w:p>
        </w:tc>
        <w:tc>
          <w:tcPr>
            <w:tcW w:w="5604" w:type="dxa"/>
            <w:gridSpan w:val="6"/>
            <w:tcBorders>
              <w:top w:val="single" w:color="000000" w:sz="4" w:space="0"/>
              <w:left w:val="single" w:color="000000" w:sz="4" w:space="0"/>
              <w:bottom w:val="single" w:color="000000" w:sz="4" w:space="0"/>
              <w:right w:val="single" w:color="000000" w:sz="4" w:space="0"/>
            </w:tcBorders>
            <w:vAlign w:val="center"/>
          </w:tcPr>
          <w:p w14:paraId="17BE9E43">
            <w:pPr>
              <w:autoSpaceDE w:val="0"/>
              <w:autoSpaceDN w:val="0"/>
              <w:adjustRightInd w:val="0"/>
              <w:snapToGrid w:val="0"/>
              <w:spacing w:line="360" w:lineRule="auto"/>
              <w:ind w:firstLine="440" w:firstLineChars="200"/>
              <w:jc w:val="center"/>
              <w:rPr>
                <w:rFonts w:hint="eastAsia" w:ascii="仿宋" w:hAnsi="仿宋" w:eastAsia="仿宋" w:cs="仿宋"/>
                <w:color w:val="auto"/>
                <w:kern w:val="0"/>
                <w:sz w:val="22"/>
                <w:szCs w:val="18"/>
                <w:highlight w:val="none"/>
              </w:rPr>
            </w:pPr>
            <w:r>
              <w:rPr>
                <w:rFonts w:hint="eastAsia" w:ascii="仿宋" w:hAnsi="仿宋" w:eastAsia="仿宋" w:cs="仿宋"/>
                <w:color w:val="auto"/>
                <w:kern w:val="0"/>
                <w:sz w:val="22"/>
                <w:szCs w:val="18"/>
                <w:highlight w:val="none"/>
              </w:rPr>
              <w:t>员工总人数：</w:t>
            </w:r>
          </w:p>
        </w:tc>
      </w:tr>
      <w:tr w14:paraId="191AC8EE">
        <w:tblPrEx>
          <w:tblCellMar>
            <w:top w:w="0" w:type="dxa"/>
            <w:left w:w="0" w:type="dxa"/>
            <w:bottom w:w="0" w:type="dxa"/>
            <w:right w:w="0" w:type="dxa"/>
          </w:tblCellMar>
        </w:tblPrEx>
        <w:trPr>
          <w:trHeight w:val="809" w:hRule="exact"/>
        </w:trPr>
        <w:tc>
          <w:tcPr>
            <w:tcW w:w="1741" w:type="dxa"/>
            <w:tcBorders>
              <w:top w:val="single" w:color="000000" w:sz="4" w:space="0"/>
              <w:left w:val="single" w:color="000000" w:sz="4" w:space="0"/>
              <w:bottom w:val="single" w:color="000000" w:sz="4" w:space="0"/>
              <w:right w:val="single" w:color="000000" w:sz="4" w:space="0"/>
            </w:tcBorders>
            <w:vAlign w:val="center"/>
          </w:tcPr>
          <w:p w14:paraId="1761D158">
            <w:pPr>
              <w:autoSpaceDE w:val="0"/>
              <w:autoSpaceDN w:val="0"/>
              <w:adjustRightInd w:val="0"/>
              <w:snapToGrid w:val="0"/>
              <w:spacing w:line="360" w:lineRule="auto"/>
              <w:jc w:val="center"/>
              <w:rPr>
                <w:rFonts w:hint="eastAsia" w:ascii="仿宋" w:hAnsi="仿宋" w:eastAsia="仿宋" w:cs="仿宋"/>
                <w:color w:val="auto"/>
                <w:kern w:val="0"/>
                <w:sz w:val="22"/>
                <w:szCs w:val="18"/>
                <w:highlight w:val="none"/>
              </w:rPr>
            </w:pPr>
            <w:r>
              <w:rPr>
                <w:rFonts w:hint="eastAsia" w:ascii="仿宋" w:hAnsi="仿宋" w:eastAsia="仿宋" w:cs="仿宋"/>
                <w:color w:val="auto"/>
                <w:kern w:val="0"/>
                <w:sz w:val="22"/>
                <w:szCs w:val="18"/>
                <w:highlight w:val="none"/>
              </w:rPr>
              <w:t>企业资质等级</w:t>
            </w:r>
          </w:p>
        </w:tc>
        <w:tc>
          <w:tcPr>
            <w:tcW w:w="1863" w:type="dxa"/>
            <w:gridSpan w:val="2"/>
            <w:tcBorders>
              <w:top w:val="single" w:color="000000" w:sz="4" w:space="0"/>
              <w:left w:val="single" w:color="000000" w:sz="4" w:space="0"/>
              <w:bottom w:val="single" w:color="000000" w:sz="4" w:space="0"/>
              <w:right w:val="single" w:color="000000" w:sz="4" w:space="0"/>
            </w:tcBorders>
            <w:vAlign w:val="center"/>
          </w:tcPr>
          <w:p w14:paraId="1EA8EC18">
            <w:pPr>
              <w:autoSpaceDE w:val="0"/>
              <w:autoSpaceDN w:val="0"/>
              <w:adjustRightInd w:val="0"/>
              <w:snapToGrid w:val="0"/>
              <w:spacing w:line="360" w:lineRule="auto"/>
              <w:ind w:firstLine="440" w:firstLineChars="200"/>
              <w:jc w:val="center"/>
              <w:rPr>
                <w:rFonts w:hint="eastAsia" w:ascii="仿宋" w:hAnsi="仿宋" w:eastAsia="仿宋" w:cs="仿宋"/>
                <w:color w:val="auto"/>
                <w:kern w:val="0"/>
                <w:sz w:val="22"/>
                <w:szCs w:val="18"/>
                <w:highlight w:val="none"/>
              </w:rPr>
            </w:pPr>
          </w:p>
        </w:tc>
        <w:tc>
          <w:tcPr>
            <w:tcW w:w="846" w:type="dxa"/>
            <w:vMerge w:val="restart"/>
            <w:tcBorders>
              <w:top w:val="single" w:color="000000" w:sz="4" w:space="0"/>
              <w:left w:val="single" w:color="000000" w:sz="4" w:space="0"/>
              <w:bottom w:val="single" w:color="000000" w:sz="4" w:space="0"/>
              <w:right w:val="single" w:color="000000" w:sz="4" w:space="0"/>
            </w:tcBorders>
            <w:vAlign w:val="center"/>
          </w:tcPr>
          <w:p w14:paraId="5176275D">
            <w:pPr>
              <w:autoSpaceDE w:val="0"/>
              <w:autoSpaceDN w:val="0"/>
              <w:adjustRightInd w:val="0"/>
              <w:snapToGrid w:val="0"/>
              <w:spacing w:line="360" w:lineRule="auto"/>
              <w:jc w:val="center"/>
              <w:rPr>
                <w:rFonts w:hint="eastAsia" w:ascii="仿宋" w:hAnsi="仿宋" w:eastAsia="仿宋" w:cs="仿宋"/>
                <w:color w:val="auto"/>
                <w:kern w:val="0"/>
                <w:sz w:val="22"/>
                <w:szCs w:val="18"/>
                <w:highlight w:val="none"/>
              </w:rPr>
            </w:pPr>
            <w:r>
              <w:rPr>
                <w:rFonts w:hint="eastAsia" w:ascii="仿宋" w:hAnsi="仿宋" w:eastAsia="仿宋" w:cs="仿宋"/>
                <w:color w:val="auto"/>
                <w:kern w:val="0"/>
                <w:sz w:val="22"/>
                <w:szCs w:val="18"/>
                <w:highlight w:val="none"/>
              </w:rPr>
              <w:t>其中</w:t>
            </w:r>
          </w:p>
        </w:tc>
        <w:tc>
          <w:tcPr>
            <w:tcW w:w="2317" w:type="dxa"/>
            <w:gridSpan w:val="3"/>
            <w:vMerge w:val="restart"/>
            <w:tcBorders>
              <w:top w:val="single" w:color="000000" w:sz="4" w:space="0"/>
              <w:left w:val="single" w:color="000000" w:sz="4" w:space="0"/>
              <w:right w:val="single" w:color="000000" w:sz="4" w:space="0"/>
            </w:tcBorders>
            <w:vAlign w:val="center"/>
          </w:tcPr>
          <w:p w14:paraId="3CD10209">
            <w:pPr>
              <w:autoSpaceDE w:val="0"/>
              <w:autoSpaceDN w:val="0"/>
              <w:adjustRightInd w:val="0"/>
              <w:snapToGrid w:val="0"/>
              <w:spacing w:line="360" w:lineRule="auto"/>
              <w:jc w:val="center"/>
              <w:rPr>
                <w:rFonts w:hint="eastAsia" w:ascii="仿宋" w:hAnsi="仿宋" w:eastAsia="仿宋" w:cs="仿宋"/>
                <w:color w:val="auto"/>
                <w:kern w:val="0"/>
                <w:sz w:val="22"/>
                <w:szCs w:val="18"/>
                <w:highlight w:val="none"/>
              </w:rPr>
            </w:pPr>
            <w:r>
              <w:rPr>
                <w:rFonts w:hint="eastAsia" w:ascii="仿宋" w:hAnsi="仿宋" w:eastAsia="仿宋" w:cs="仿宋"/>
                <w:color w:val="auto"/>
                <w:kern w:val="0"/>
                <w:sz w:val="22"/>
                <w:szCs w:val="18"/>
                <w:highlight w:val="none"/>
              </w:rPr>
              <w:t>高级职称人员</w:t>
            </w:r>
          </w:p>
        </w:tc>
        <w:tc>
          <w:tcPr>
            <w:tcW w:w="2441" w:type="dxa"/>
            <w:gridSpan w:val="2"/>
            <w:vMerge w:val="restart"/>
            <w:tcBorders>
              <w:top w:val="single" w:color="000000" w:sz="4" w:space="0"/>
              <w:left w:val="single" w:color="000000" w:sz="4" w:space="0"/>
              <w:right w:val="single" w:color="000000" w:sz="4" w:space="0"/>
            </w:tcBorders>
            <w:vAlign w:val="center"/>
          </w:tcPr>
          <w:p w14:paraId="3947F8A6">
            <w:pPr>
              <w:autoSpaceDE w:val="0"/>
              <w:autoSpaceDN w:val="0"/>
              <w:adjustRightInd w:val="0"/>
              <w:snapToGrid w:val="0"/>
              <w:spacing w:line="360" w:lineRule="auto"/>
              <w:ind w:firstLine="440" w:firstLineChars="200"/>
              <w:jc w:val="center"/>
              <w:rPr>
                <w:rFonts w:hint="eastAsia" w:ascii="仿宋" w:hAnsi="仿宋" w:eastAsia="仿宋" w:cs="仿宋"/>
                <w:color w:val="auto"/>
                <w:kern w:val="0"/>
                <w:sz w:val="22"/>
                <w:szCs w:val="18"/>
                <w:highlight w:val="none"/>
              </w:rPr>
            </w:pPr>
          </w:p>
        </w:tc>
      </w:tr>
      <w:tr w14:paraId="70704ADC">
        <w:tblPrEx>
          <w:tblCellMar>
            <w:top w:w="0" w:type="dxa"/>
            <w:left w:w="0" w:type="dxa"/>
            <w:bottom w:w="0" w:type="dxa"/>
            <w:right w:w="0" w:type="dxa"/>
          </w:tblCellMar>
        </w:tblPrEx>
        <w:trPr>
          <w:trHeight w:val="804" w:hRule="exact"/>
        </w:trPr>
        <w:tc>
          <w:tcPr>
            <w:tcW w:w="1741" w:type="dxa"/>
            <w:tcBorders>
              <w:top w:val="single" w:color="000000" w:sz="4" w:space="0"/>
              <w:left w:val="single" w:color="000000" w:sz="4" w:space="0"/>
              <w:bottom w:val="single" w:color="000000" w:sz="4" w:space="0"/>
              <w:right w:val="single" w:color="000000" w:sz="4" w:space="0"/>
            </w:tcBorders>
            <w:vAlign w:val="center"/>
          </w:tcPr>
          <w:p w14:paraId="339B1705">
            <w:pPr>
              <w:autoSpaceDE w:val="0"/>
              <w:autoSpaceDN w:val="0"/>
              <w:adjustRightInd w:val="0"/>
              <w:snapToGrid w:val="0"/>
              <w:spacing w:line="360" w:lineRule="auto"/>
              <w:jc w:val="center"/>
              <w:rPr>
                <w:rFonts w:hint="eastAsia" w:ascii="仿宋" w:hAnsi="仿宋" w:eastAsia="仿宋" w:cs="仿宋"/>
                <w:color w:val="auto"/>
                <w:kern w:val="0"/>
                <w:sz w:val="22"/>
                <w:szCs w:val="18"/>
                <w:highlight w:val="none"/>
              </w:rPr>
            </w:pPr>
            <w:r>
              <w:rPr>
                <w:rFonts w:hint="eastAsia" w:ascii="仿宋" w:hAnsi="仿宋" w:eastAsia="仿宋" w:cs="仿宋"/>
                <w:color w:val="auto"/>
                <w:kern w:val="0"/>
                <w:sz w:val="22"/>
                <w:szCs w:val="18"/>
                <w:highlight w:val="none"/>
              </w:rPr>
              <w:t>营业执照号</w:t>
            </w:r>
          </w:p>
        </w:tc>
        <w:tc>
          <w:tcPr>
            <w:tcW w:w="1863" w:type="dxa"/>
            <w:gridSpan w:val="2"/>
            <w:tcBorders>
              <w:top w:val="single" w:color="000000" w:sz="4" w:space="0"/>
              <w:left w:val="single" w:color="000000" w:sz="4" w:space="0"/>
              <w:bottom w:val="single" w:color="000000" w:sz="4" w:space="0"/>
              <w:right w:val="single" w:color="000000" w:sz="4" w:space="0"/>
            </w:tcBorders>
            <w:vAlign w:val="center"/>
          </w:tcPr>
          <w:p w14:paraId="5FCEFC5F">
            <w:pPr>
              <w:autoSpaceDE w:val="0"/>
              <w:autoSpaceDN w:val="0"/>
              <w:adjustRightInd w:val="0"/>
              <w:snapToGrid w:val="0"/>
              <w:spacing w:line="360" w:lineRule="auto"/>
              <w:ind w:firstLine="440" w:firstLineChars="200"/>
              <w:jc w:val="center"/>
              <w:rPr>
                <w:rFonts w:hint="eastAsia" w:ascii="仿宋" w:hAnsi="仿宋" w:eastAsia="仿宋" w:cs="仿宋"/>
                <w:color w:val="auto"/>
                <w:kern w:val="0"/>
                <w:sz w:val="22"/>
                <w:szCs w:val="18"/>
                <w:highlight w:val="none"/>
              </w:rPr>
            </w:pPr>
          </w:p>
        </w:tc>
        <w:tc>
          <w:tcPr>
            <w:tcW w:w="846" w:type="dxa"/>
            <w:vMerge w:val="continue"/>
            <w:tcBorders>
              <w:top w:val="single" w:color="000000" w:sz="4" w:space="0"/>
              <w:left w:val="single" w:color="000000" w:sz="4" w:space="0"/>
              <w:bottom w:val="single" w:color="000000" w:sz="4" w:space="0"/>
              <w:right w:val="single" w:color="000000" w:sz="4" w:space="0"/>
            </w:tcBorders>
            <w:vAlign w:val="center"/>
          </w:tcPr>
          <w:p w14:paraId="22B4B562">
            <w:pPr>
              <w:autoSpaceDE w:val="0"/>
              <w:autoSpaceDN w:val="0"/>
              <w:adjustRightInd w:val="0"/>
              <w:snapToGrid w:val="0"/>
              <w:spacing w:line="360" w:lineRule="auto"/>
              <w:ind w:firstLine="440" w:firstLineChars="200"/>
              <w:jc w:val="center"/>
              <w:rPr>
                <w:rFonts w:hint="eastAsia" w:ascii="仿宋" w:hAnsi="仿宋" w:eastAsia="仿宋" w:cs="仿宋"/>
                <w:color w:val="auto"/>
                <w:kern w:val="0"/>
                <w:sz w:val="22"/>
                <w:szCs w:val="18"/>
                <w:highlight w:val="none"/>
              </w:rPr>
            </w:pPr>
          </w:p>
        </w:tc>
        <w:tc>
          <w:tcPr>
            <w:tcW w:w="2317" w:type="dxa"/>
            <w:gridSpan w:val="3"/>
            <w:vMerge w:val="continue"/>
            <w:tcBorders>
              <w:left w:val="single" w:color="000000" w:sz="4" w:space="0"/>
              <w:bottom w:val="single" w:color="000000" w:sz="4" w:space="0"/>
              <w:right w:val="single" w:color="000000" w:sz="4" w:space="0"/>
            </w:tcBorders>
            <w:vAlign w:val="center"/>
          </w:tcPr>
          <w:p w14:paraId="099F4786">
            <w:pPr>
              <w:autoSpaceDE w:val="0"/>
              <w:autoSpaceDN w:val="0"/>
              <w:adjustRightInd w:val="0"/>
              <w:snapToGrid w:val="0"/>
              <w:spacing w:line="360" w:lineRule="auto"/>
              <w:jc w:val="center"/>
              <w:rPr>
                <w:rFonts w:hint="eastAsia" w:ascii="仿宋" w:hAnsi="仿宋" w:eastAsia="仿宋" w:cs="仿宋"/>
                <w:color w:val="auto"/>
                <w:kern w:val="0"/>
                <w:sz w:val="22"/>
                <w:szCs w:val="18"/>
                <w:highlight w:val="none"/>
              </w:rPr>
            </w:pPr>
          </w:p>
        </w:tc>
        <w:tc>
          <w:tcPr>
            <w:tcW w:w="2441" w:type="dxa"/>
            <w:gridSpan w:val="2"/>
            <w:vMerge w:val="continue"/>
            <w:tcBorders>
              <w:left w:val="single" w:color="000000" w:sz="4" w:space="0"/>
              <w:bottom w:val="single" w:color="000000" w:sz="4" w:space="0"/>
              <w:right w:val="single" w:color="000000" w:sz="4" w:space="0"/>
            </w:tcBorders>
            <w:vAlign w:val="center"/>
          </w:tcPr>
          <w:p w14:paraId="3E8787C4">
            <w:pPr>
              <w:autoSpaceDE w:val="0"/>
              <w:autoSpaceDN w:val="0"/>
              <w:adjustRightInd w:val="0"/>
              <w:snapToGrid w:val="0"/>
              <w:spacing w:line="360" w:lineRule="auto"/>
              <w:ind w:firstLine="440" w:firstLineChars="200"/>
              <w:jc w:val="center"/>
              <w:rPr>
                <w:rFonts w:hint="eastAsia" w:ascii="仿宋" w:hAnsi="仿宋" w:eastAsia="仿宋" w:cs="仿宋"/>
                <w:color w:val="auto"/>
                <w:kern w:val="0"/>
                <w:sz w:val="22"/>
                <w:szCs w:val="18"/>
                <w:highlight w:val="none"/>
              </w:rPr>
            </w:pPr>
          </w:p>
        </w:tc>
      </w:tr>
      <w:tr w14:paraId="42CAD9D3">
        <w:tblPrEx>
          <w:tblCellMar>
            <w:top w:w="0" w:type="dxa"/>
            <w:left w:w="0" w:type="dxa"/>
            <w:bottom w:w="0" w:type="dxa"/>
            <w:right w:w="0" w:type="dxa"/>
          </w:tblCellMar>
        </w:tblPrEx>
        <w:trPr>
          <w:trHeight w:val="829" w:hRule="exact"/>
        </w:trPr>
        <w:tc>
          <w:tcPr>
            <w:tcW w:w="1741" w:type="dxa"/>
            <w:tcBorders>
              <w:top w:val="single" w:color="000000" w:sz="4" w:space="0"/>
              <w:left w:val="single" w:color="000000" w:sz="4" w:space="0"/>
              <w:bottom w:val="single" w:color="000000" w:sz="4" w:space="0"/>
              <w:right w:val="single" w:color="000000" w:sz="4" w:space="0"/>
            </w:tcBorders>
            <w:vAlign w:val="center"/>
          </w:tcPr>
          <w:p w14:paraId="1EF4BFE7">
            <w:pPr>
              <w:autoSpaceDE w:val="0"/>
              <w:autoSpaceDN w:val="0"/>
              <w:adjustRightInd w:val="0"/>
              <w:snapToGrid w:val="0"/>
              <w:spacing w:line="360" w:lineRule="auto"/>
              <w:jc w:val="center"/>
              <w:rPr>
                <w:rFonts w:hint="eastAsia" w:ascii="仿宋" w:hAnsi="仿宋" w:eastAsia="仿宋" w:cs="仿宋"/>
                <w:color w:val="auto"/>
                <w:kern w:val="0"/>
                <w:sz w:val="22"/>
                <w:szCs w:val="18"/>
                <w:highlight w:val="none"/>
              </w:rPr>
            </w:pPr>
            <w:r>
              <w:rPr>
                <w:rFonts w:hint="eastAsia" w:ascii="仿宋" w:hAnsi="仿宋" w:eastAsia="仿宋" w:cs="仿宋"/>
                <w:color w:val="auto"/>
                <w:kern w:val="0"/>
                <w:sz w:val="22"/>
                <w:szCs w:val="18"/>
                <w:highlight w:val="none"/>
              </w:rPr>
              <w:t>注册资金</w:t>
            </w:r>
          </w:p>
        </w:tc>
        <w:tc>
          <w:tcPr>
            <w:tcW w:w="1863" w:type="dxa"/>
            <w:gridSpan w:val="2"/>
            <w:tcBorders>
              <w:top w:val="single" w:color="000000" w:sz="4" w:space="0"/>
              <w:left w:val="single" w:color="000000" w:sz="4" w:space="0"/>
              <w:bottom w:val="single" w:color="000000" w:sz="4" w:space="0"/>
              <w:right w:val="single" w:color="000000" w:sz="4" w:space="0"/>
            </w:tcBorders>
            <w:vAlign w:val="center"/>
          </w:tcPr>
          <w:p w14:paraId="2E72BCA3">
            <w:pPr>
              <w:autoSpaceDE w:val="0"/>
              <w:autoSpaceDN w:val="0"/>
              <w:adjustRightInd w:val="0"/>
              <w:snapToGrid w:val="0"/>
              <w:spacing w:line="360" w:lineRule="auto"/>
              <w:ind w:firstLine="440" w:firstLineChars="200"/>
              <w:jc w:val="center"/>
              <w:rPr>
                <w:rFonts w:hint="eastAsia" w:ascii="仿宋" w:hAnsi="仿宋" w:eastAsia="仿宋" w:cs="仿宋"/>
                <w:color w:val="auto"/>
                <w:kern w:val="0"/>
                <w:sz w:val="22"/>
                <w:szCs w:val="18"/>
                <w:highlight w:val="none"/>
              </w:rPr>
            </w:pPr>
          </w:p>
        </w:tc>
        <w:tc>
          <w:tcPr>
            <w:tcW w:w="846" w:type="dxa"/>
            <w:vMerge w:val="continue"/>
            <w:tcBorders>
              <w:top w:val="single" w:color="000000" w:sz="4" w:space="0"/>
              <w:left w:val="single" w:color="000000" w:sz="4" w:space="0"/>
              <w:bottom w:val="single" w:color="000000" w:sz="4" w:space="0"/>
              <w:right w:val="single" w:color="000000" w:sz="4" w:space="0"/>
            </w:tcBorders>
            <w:vAlign w:val="center"/>
          </w:tcPr>
          <w:p w14:paraId="02BB8A24">
            <w:pPr>
              <w:autoSpaceDE w:val="0"/>
              <w:autoSpaceDN w:val="0"/>
              <w:adjustRightInd w:val="0"/>
              <w:snapToGrid w:val="0"/>
              <w:spacing w:line="360" w:lineRule="auto"/>
              <w:ind w:firstLine="440" w:firstLineChars="200"/>
              <w:jc w:val="center"/>
              <w:rPr>
                <w:rFonts w:hint="eastAsia" w:ascii="仿宋" w:hAnsi="仿宋" w:eastAsia="仿宋" w:cs="仿宋"/>
                <w:color w:val="auto"/>
                <w:kern w:val="0"/>
                <w:sz w:val="22"/>
                <w:szCs w:val="18"/>
                <w:highlight w:val="none"/>
              </w:rPr>
            </w:pPr>
          </w:p>
        </w:tc>
        <w:tc>
          <w:tcPr>
            <w:tcW w:w="2317" w:type="dxa"/>
            <w:gridSpan w:val="3"/>
            <w:tcBorders>
              <w:top w:val="single" w:color="000000" w:sz="4" w:space="0"/>
              <w:left w:val="single" w:color="000000" w:sz="4" w:space="0"/>
              <w:bottom w:val="single" w:color="000000" w:sz="4" w:space="0"/>
              <w:right w:val="single" w:color="000000" w:sz="4" w:space="0"/>
            </w:tcBorders>
            <w:vAlign w:val="center"/>
          </w:tcPr>
          <w:p w14:paraId="6FAF4125">
            <w:pPr>
              <w:autoSpaceDE w:val="0"/>
              <w:autoSpaceDN w:val="0"/>
              <w:adjustRightInd w:val="0"/>
              <w:snapToGrid w:val="0"/>
              <w:spacing w:line="360" w:lineRule="auto"/>
              <w:jc w:val="center"/>
              <w:rPr>
                <w:rFonts w:hint="eastAsia" w:ascii="仿宋" w:hAnsi="仿宋" w:eastAsia="仿宋" w:cs="仿宋"/>
                <w:color w:val="auto"/>
                <w:kern w:val="0"/>
                <w:sz w:val="22"/>
                <w:szCs w:val="18"/>
                <w:highlight w:val="none"/>
              </w:rPr>
            </w:pPr>
            <w:r>
              <w:rPr>
                <w:rFonts w:hint="eastAsia" w:ascii="仿宋" w:hAnsi="仿宋" w:eastAsia="仿宋" w:cs="仿宋"/>
                <w:color w:val="auto"/>
                <w:kern w:val="0"/>
                <w:sz w:val="22"/>
                <w:szCs w:val="18"/>
                <w:highlight w:val="none"/>
              </w:rPr>
              <w:t>中级职称人员</w:t>
            </w:r>
          </w:p>
        </w:tc>
        <w:tc>
          <w:tcPr>
            <w:tcW w:w="2441" w:type="dxa"/>
            <w:gridSpan w:val="2"/>
            <w:tcBorders>
              <w:top w:val="single" w:color="000000" w:sz="4" w:space="0"/>
              <w:left w:val="single" w:color="000000" w:sz="4" w:space="0"/>
              <w:bottom w:val="single" w:color="000000" w:sz="4" w:space="0"/>
              <w:right w:val="single" w:color="000000" w:sz="4" w:space="0"/>
            </w:tcBorders>
            <w:vAlign w:val="center"/>
          </w:tcPr>
          <w:p w14:paraId="31631FE1">
            <w:pPr>
              <w:autoSpaceDE w:val="0"/>
              <w:autoSpaceDN w:val="0"/>
              <w:adjustRightInd w:val="0"/>
              <w:snapToGrid w:val="0"/>
              <w:spacing w:line="360" w:lineRule="auto"/>
              <w:ind w:firstLine="440" w:firstLineChars="200"/>
              <w:jc w:val="center"/>
              <w:rPr>
                <w:rFonts w:hint="eastAsia" w:ascii="仿宋" w:hAnsi="仿宋" w:eastAsia="仿宋" w:cs="仿宋"/>
                <w:color w:val="auto"/>
                <w:kern w:val="0"/>
                <w:sz w:val="22"/>
                <w:szCs w:val="18"/>
                <w:highlight w:val="none"/>
              </w:rPr>
            </w:pPr>
          </w:p>
        </w:tc>
      </w:tr>
      <w:tr w14:paraId="0A36E5B8">
        <w:tblPrEx>
          <w:tblCellMar>
            <w:top w:w="0" w:type="dxa"/>
            <w:left w:w="0" w:type="dxa"/>
            <w:bottom w:w="0" w:type="dxa"/>
            <w:right w:w="0" w:type="dxa"/>
          </w:tblCellMar>
        </w:tblPrEx>
        <w:trPr>
          <w:trHeight w:val="811" w:hRule="exact"/>
        </w:trPr>
        <w:tc>
          <w:tcPr>
            <w:tcW w:w="1741" w:type="dxa"/>
            <w:tcBorders>
              <w:top w:val="single" w:color="000000" w:sz="4" w:space="0"/>
              <w:left w:val="single" w:color="000000" w:sz="4" w:space="0"/>
              <w:bottom w:val="single" w:color="000000" w:sz="4" w:space="0"/>
              <w:right w:val="single" w:color="000000" w:sz="4" w:space="0"/>
            </w:tcBorders>
            <w:vAlign w:val="center"/>
          </w:tcPr>
          <w:p w14:paraId="7B133A62">
            <w:pPr>
              <w:autoSpaceDE w:val="0"/>
              <w:autoSpaceDN w:val="0"/>
              <w:adjustRightInd w:val="0"/>
              <w:snapToGrid w:val="0"/>
              <w:spacing w:line="360" w:lineRule="auto"/>
              <w:jc w:val="center"/>
              <w:rPr>
                <w:rFonts w:hint="eastAsia" w:ascii="仿宋" w:hAnsi="仿宋" w:eastAsia="仿宋" w:cs="仿宋"/>
                <w:color w:val="auto"/>
                <w:kern w:val="0"/>
                <w:sz w:val="22"/>
                <w:szCs w:val="18"/>
                <w:highlight w:val="none"/>
              </w:rPr>
            </w:pPr>
            <w:r>
              <w:rPr>
                <w:rFonts w:hint="eastAsia" w:ascii="仿宋" w:hAnsi="仿宋" w:eastAsia="仿宋" w:cs="仿宋"/>
                <w:color w:val="auto"/>
                <w:kern w:val="0"/>
                <w:sz w:val="22"/>
                <w:szCs w:val="18"/>
                <w:highlight w:val="none"/>
              </w:rPr>
              <w:t>开户银行</w:t>
            </w:r>
          </w:p>
        </w:tc>
        <w:tc>
          <w:tcPr>
            <w:tcW w:w="1863" w:type="dxa"/>
            <w:gridSpan w:val="2"/>
            <w:tcBorders>
              <w:top w:val="single" w:color="000000" w:sz="4" w:space="0"/>
              <w:left w:val="single" w:color="000000" w:sz="4" w:space="0"/>
              <w:bottom w:val="single" w:color="000000" w:sz="4" w:space="0"/>
              <w:right w:val="single" w:color="000000" w:sz="4" w:space="0"/>
            </w:tcBorders>
            <w:vAlign w:val="center"/>
          </w:tcPr>
          <w:p w14:paraId="2BB3AD6D">
            <w:pPr>
              <w:autoSpaceDE w:val="0"/>
              <w:autoSpaceDN w:val="0"/>
              <w:adjustRightInd w:val="0"/>
              <w:snapToGrid w:val="0"/>
              <w:spacing w:line="360" w:lineRule="auto"/>
              <w:ind w:firstLine="440" w:firstLineChars="200"/>
              <w:jc w:val="center"/>
              <w:rPr>
                <w:rFonts w:hint="eastAsia" w:ascii="仿宋" w:hAnsi="仿宋" w:eastAsia="仿宋" w:cs="仿宋"/>
                <w:color w:val="auto"/>
                <w:kern w:val="0"/>
                <w:sz w:val="22"/>
                <w:szCs w:val="18"/>
                <w:highlight w:val="none"/>
              </w:rPr>
            </w:pPr>
          </w:p>
        </w:tc>
        <w:tc>
          <w:tcPr>
            <w:tcW w:w="846" w:type="dxa"/>
            <w:vMerge w:val="continue"/>
            <w:tcBorders>
              <w:top w:val="single" w:color="000000" w:sz="4" w:space="0"/>
              <w:left w:val="single" w:color="000000" w:sz="4" w:space="0"/>
              <w:bottom w:val="single" w:color="000000" w:sz="4" w:space="0"/>
              <w:right w:val="single" w:color="000000" w:sz="4" w:space="0"/>
            </w:tcBorders>
            <w:vAlign w:val="center"/>
          </w:tcPr>
          <w:p w14:paraId="2710F0C3">
            <w:pPr>
              <w:autoSpaceDE w:val="0"/>
              <w:autoSpaceDN w:val="0"/>
              <w:adjustRightInd w:val="0"/>
              <w:snapToGrid w:val="0"/>
              <w:spacing w:line="360" w:lineRule="auto"/>
              <w:ind w:firstLine="440" w:firstLineChars="200"/>
              <w:jc w:val="center"/>
              <w:rPr>
                <w:rFonts w:hint="eastAsia" w:ascii="仿宋" w:hAnsi="仿宋" w:eastAsia="仿宋" w:cs="仿宋"/>
                <w:color w:val="auto"/>
                <w:kern w:val="0"/>
                <w:sz w:val="22"/>
                <w:szCs w:val="18"/>
                <w:highlight w:val="none"/>
              </w:rPr>
            </w:pPr>
          </w:p>
        </w:tc>
        <w:tc>
          <w:tcPr>
            <w:tcW w:w="2317" w:type="dxa"/>
            <w:gridSpan w:val="3"/>
            <w:vMerge w:val="restart"/>
            <w:tcBorders>
              <w:top w:val="single" w:color="000000" w:sz="4" w:space="0"/>
              <w:left w:val="single" w:color="000000" w:sz="4" w:space="0"/>
              <w:right w:val="single" w:color="000000" w:sz="4" w:space="0"/>
            </w:tcBorders>
            <w:vAlign w:val="center"/>
          </w:tcPr>
          <w:p w14:paraId="4FF12B3A">
            <w:pPr>
              <w:autoSpaceDE w:val="0"/>
              <w:autoSpaceDN w:val="0"/>
              <w:adjustRightInd w:val="0"/>
              <w:snapToGrid w:val="0"/>
              <w:spacing w:line="360" w:lineRule="auto"/>
              <w:jc w:val="center"/>
              <w:rPr>
                <w:rFonts w:hint="eastAsia" w:ascii="仿宋" w:hAnsi="仿宋" w:eastAsia="仿宋" w:cs="仿宋"/>
                <w:color w:val="auto"/>
                <w:kern w:val="0"/>
                <w:sz w:val="22"/>
                <w:szCs w:val="18"/>
                <w:highlight w:val="none"/>
              </w:rPr>
            </w:pPr>
            <w:r>
              <w:rPr>
                <w:rFonts w:hint="eastAsia" w:ascii="仿宋" w:hAnsi="仿宋" w:eastAsia="仿宋" w:cs="仿宋"/>
                <w:color w:val="auto"/>
                <w:kern w:val="0"/>
                <w:sz w:val="22"/>
                <w:szCs w:val="18"/>
                <w:highlight w:val="none"/>
              </w:rPr>
              <w:t>初级职称人员</w:t>
            </w:r>
          </w:p>
        </w:tc>
        <w:tc>
          <w:tcPr>
            <w:tcW w:w="2441" w:type="dxa"/>
            <w:gridSpan w:val="2"/>
            <w:vMerge w:val="restart"/>
            <w:tcBorders>
              <w:top w:val="single" w:color="000000" w:sz="4" w:space="0"/>
              <w:left w:val="single" w:color="000000" w:sz="4" w:space="0"/>
              <w:right w:val="single" w:color="000000" w:sz="4" w:space="0"/>
            </w:tcBorders>
            <w:vAlign w:val="center"/>
          </w:tcPr>
          <w:p w14:paraId="7214275C">
            <w:pPr>
              <w:autoSpaceDE w:val="0"/>
              <w:autoSpaceDN w:val="0"/>
              <w:adjustRightInd w:val="0"/>
              <w:snapToGrid w:val="0"/>
              <w:spacing w:line="360" w:lineRule="auto"/>
              <w:ind w:firstLine="440" w:firstLineChars="200"/>
              <w:jc w:val="center"/>
              <w:rPr>
                <w:rFonts w:hint="eastAsia" w:ascii="仿宋" w:hAnsi="仿宋" w:eastAsia="仿宋" w:cs="仿宋"/>
                <w:color w:val="auto"/>
                <w:kern w:val="0"/>
                <w:sz w:val="22"/>
                <w:szCs w:val="18"/>
                <w:highlight w:val="none"/>
              </w:rPr>
            </w:pPr>
          </w:p>
        </w:tc>
      </w:tr>
      <w:tr w14:paraId="428A2D8A">
        <w:tblPrEx>
          <w:tblCellMar>
            <w:top w:w="0" w:type="dxa"/>
            <w:left w:w="0" w:type="dxa"/>
            <w:bottom w:w="0" w:type="dxa"/>
            <w:right w:w="0" w:type="dxa"/>
          </w:tblCellMar>
        </w:tblPrEx>
        <w:trPr>
          <w:trHeight w:val="644" w:hRule="exact"/>
        </w:trPr>
        <w:tc>
          <w:tcPr>
            <w:tcW w:w="1741" w:type="dxa"/>
            <w:tcBorders>
              <w:top w:val="single" w:color="000000" w:sz="4" w:space="0"/>
              <w:left w:val="single" w:color="000000" w:sz="4" w:space="0"/>
              <w:bottom w:val="single" w:color="000000" w:sz="4" w:space="0"/>
              <w:right w:val="single" w:color="000000" w:sz="4" w:space="0"/>
            </w:tcBorders>
            <w:vAlign w:val="center"/>
          </w:tcPr>
          <w:p w14:paraId="77176988">
            <w:pPr>
              <w:autoSpaceDE w:val="0"/>
              <w:autoSpaceDN w:val="0"/>
              <w:adjustRightInd w:val="0"/>
              <w:snapToGrid w:val="0"/>
              <w:spacing w:line="360" w:lineRule="auto"/>
              <w:jc w:val="center"/>
              <w:rPr>
                <w:rFonts w:hint="eastAsia" w:ascii="仿宋" w:hAnsi="仿宋" w:eastAsia="仿宋" w:cs="仿宋"/>
                <w:color w:val="auto"/>
                <w:kern w:val="0"/>
                <w:sz w:val="22"/>
                <w:szCs w:val="18"/>
                <w:highlight w:val="none"/>
              </w:rPr>
            </w:pPr>
            <w:r>
              <w:rPr>
                <w:rFonts w:hint="eastAsia" w:ascii="仿宋" w:hAnsi="仿宋" w:eastAsia="仿宋" w:cs="仿宋"/>
                <w:color w:val="auto"/>
                <w:kern w:val="0"/>
                <w:sz w:val="22"/>
                <w:szCs w:val="18"/>
                <w:highlight w:val="none"/>
              </w:rPr>
              <w:t>账号</w:t>
            </w:r>
          </w:p>
        </w:tc>
        <w:tc>
          <w:tcPr>
            <w:tcW w:w="1863" w:type="dxa"/>
            <w:gridSpan w:val="2"/>
            <w:tcBorders>
              <w:top w:val="single" w:color="000000" w:sz="4" w:space="0"/>
              <w:left w:val="single" w:color="000000" w:sz="4" w:space="0"/>
              <w:bottom w:val="single" w:color="000000" w:sz="4" w:space="0"/>
              <w:right w:val="single" w:color="000000" w:sz="4" w:space="0"/>
            </w:tcBorders>
            <w:vAlign w:val="center"/>
          </w:tcPr>
          <w:p w14:paraId="58386E41">
            <w:pPr>
              <w:autoSpaceDE w:val="0"/>
              <w:autoSpaceDN w:val="0"/>
              <w:adjustRightInd w:val="0"/>
              <w:snapToGrid w:val="0"/>
              <w:spacing w:line="360" w:lineRule="auto"/>
              <w:ind w:firstLine="440" w:firstLineChars="200"/>
              <w:jc w:val="center"/>
              <w:rPr>
                <w:rFonts w:hint="eastAsia" w:ascii="仿宋" w:hAnsi="仿宋" w:eastAsia="仿宋" w:cs="仿宋"/>
                <w:color w:val="auto"/>
                <w:kern w:val="0"/>
                <w:sz w:val="22"/>
                <w:szCs w:val="18"/>
                <w:highlight w:val="none"/>
              </w:rPr>
            </w:pPr>
          </w:p>
        </w:tc>
        <w:tc>
          <w:tcPr>
            <w:tcW w:w="846" w:type="dxa"/>
            <w:vMerge w:val="continue"/>
            <w:tcBorders>
              <w:top w:val="single" w:color="000000" w:sz="4" w:space="0"/>
              <w:left w:val="single" w:color="000000" w:sz="4" w:space="0"/>
              <w:bottom w:val="single" w:color="000000" w:sz="4" w:space="0"/>
              <w:right w:val="single" w:color="000000" w:sz="4" w:space="0"/>
            </w:tcBorders>
            <w:vAlign w:val="center"/>
          </w:tcPr>
          <w:p w14:paraId="07EAAA87">
            <w:pPr>
              <w:autoSpaceDE w:val="0"/>
              <w:autoSpaceDN w:val="0"/>
              <w:adjustRightInd w:val="0"/>
              <w:snapToGrid w:val="0"/>
              <w:spacing w:line="360" w:lineRule="auto"/>
              <w:ind w:firstLine="440" w:firstLineChars="200"/>
              <w:jc w:val="center"/>
              <w:rPr>
                <w:rFonts w:hint="eastAsia" w:ascii="仿宋" w:hAnsi="仿宋" w:eastAsia="仿宋" w:cs="仿宋"/>
                <w:color w:val="auto"/>
                <w:kern w:val="0"/>
                <w:sz w:val="22"/>
                <w:szCs w:val="18"/>
                <w:highlight w:val="none"/>
              </w:rPr>
            </w:pPr>
          </w:p>
        </w:tc>
        <w:tc>
          <w:tcPr>
            <w:tcW w:w="2317" w:type="dxa"/>
            <w:gridSpan w:val="3"/>
            <w:vMerge w:val="continue"/>
            <w:tcBorders>
              <w:left w:val="single" w:color="000000" w:sz="4" w:space="0"/>
              <w:bottom w:val="single" w:color="000000" w:sz="4" w:space="0"/>
              <w:right w:val="single" w:color="000000" w:sz="4" w:space="0"/>
            </w:tcBorders>
            <w:vAlign w:val="center"/>
          </w:tcPr>
          <w:p w14:paraId="509CBAA2">
            <w:pPr>
              <w:tabs>
                <w:tab w:val="left" w:pos="1240"/>
              </w:tabs>
              <w:autoSpaceDE w:val="0"/>
              <w:autoSpaceDN w:val="0"/>
              <w:adjustRightInd w:val="0"/>
              <w:snapToGrid w:val="0"/>
              <w:spacing w:line="360" w:lineRule="auto"/>
              <w:rPr>
                <w:rFonts w:hint="eastAsia" w:ascii="仿宋" w:hAnsi="仿宋" w:eastAsia="仿宋" w:cs="仿宋"/>
                <w:color w:val="auto"/>
                <w:kern w:val="0"/>
                <w:sz w:val="22"/>
                <w:szCs w:val="18"/>
                <w:highlight w:val="none"/>
              </w:rPr>
            </w:pPr>
          </w:p>
        </w:tc>
        <w:tc>
          <w:tcPr>
            <w:tcW w:w="2441" w:type="dxa"/>
            <w:gridSpan w:val="2"/>
            <w:vMerge w:val="continue"/>
            <w:tcBorders>
              <w:left w:val="single" w:color="000000" w:sz="4" w:space="0"/>
              <w:bottom w:val="single" w:color="000000" w:sz="4" w:space="0"/>
              <w:right w:val="single" w:color="000000" w:sz="4" w:space="0"/>
            </w:tcBorders>
            <w:vAlign w:val="center"/>
          </w:tcPr>
          <w:p w14:paraId="27B0BE88">
            <w:pPr>
              <w:autoSpaceDE w:val="0"/>
              <w:autoSpaceDN w:val="0"/>
              <w:adjustRightInd w:val="0"/>
              <w:snapToGrid w:val="0"/>
              <w:spacing w:line="360" w:lineRule="auto"/>
              <w:ind w:firstLine="440" w:firstLineChars="200"/>
              <w:jc w:val="center"/>
              <w:rPr>
                <w:rFonts w:hint="eastAsia" w:ascii="仿宋" w:hAnsi="仿宋" w:eastAsia="仿宋" w:cs="仿宋"/>
                <w:color w:val="auto"/>
                <w:kern w:val="0"/>
                <w:sz w:val="22"/>
                <w:szCs w:val="18"/>
                <w:highlight w:val="none"/>
              </w:rPr>
            </w:pPr>
          </w:p>
        </w:tc>
      </w:tr>
      <w:tr w14:paraId="7D605480">
        <w:tblPrEx>
          <w:tblCellMar>
            <w:top w:w="0" w:type="dxa"/>
            <w:left w:w="0" w:type="dxa"/>
            <w:bottom w:w="0" w:type="dxa"/>
            <w:right w:w="0" w:type="dxa"/>
          </w:tblCellMar>
        </w:tblPrEx>
        <w:trPr>
          <w:trHeight w:val="1313" w:hRule="exact"/>
        </w:trPr>
        <w:tc>
          <w:tcPr>
            <w:tcW w:w="1741" w:type="dxa"/>
            <w:tcBorders>
              <w:top w:val="single" w:color="000000" w:sz="4" w:space="0"/>
              <w:left w:val="single" w:color="000000" w:sz="4" w:space="0"/>
              <w:bottom w:val="single" w:color="000000" w:sz="4" w:space="0"/>
              <w:right w:val="single" w:color="000000" w:sz="4" w:space="0"/>
            </w:tcBorders>
            <w:vAlign w:val="center"/>
          </w:tcPr>
          <w:p w14:paraId="4A01E192">
            <w:pPr>
              <w:autoSpaceDE w:val="0"/>
              <w:autoSpaceDN w:val="0"/>
              <w:adjustRightInd w:val="0"/>
              <w:snapToGrid w:val="0"/>
              <w:spacing w:line="360" w:lineRule="auto"/>
              <w:jc w:val="center"/>
              <w:rPr>
                <w:rFonts w:hint="eastAsia" w:ascii="仿宋" w:hAnsi="仿宋" w:eastAsia="仿宋" w:cs="仿宋"/>
                <w:color w:val="auto"/>
                <w:kern w:val="0"/>
                <w:sz w:val="22"/>
                <w:szCs w:val="18"/>
                <w:highlight w:val="none"/>
              </w:rPr>
            </w:pPr>
            <w:r>
              <w:rPr>
                <w:rFonts w:hint="eastAsia" w:ascii="仿宋" w:hAnsi="仿宋" w:eastAsia="仿宋" w:cs="仿宋"/>
                <w:color w:val="auto"/>
                <w:kern w:val="0"/>
                <w:sz w:val="22"/>
                <w:szCs w:val="18"/>
                <w:highlight w:val="none"/>
              </w:rPr>
              <w:t>经营范围</w:t>
            </w:r>
          </w:p>
        </w:tc>
        <w:tc>
          <w:tcPr>
            <w:tcW w:w="7467" w:type="dxa"/>
            <w:gridSpan w:val="8"/>
            <w:tcBorders>
              <w:top w:val="single" w:color="000000" w:sz="4" w:space="0"/>
              <w:left w:val="single" w:color="000000" w:sz="4" w:space="0"/>
              <w:bottom w:val="single" w:color="000000" w:sz="4" w:space="0"/>
              <w:right w:val="single" w:color="000000" w:sz="4" w:space="0"/>
            </w:tcBorders>
            <w:vAlign w:val="center"/>
          </w:tcPr>
          <w:p w14:paraId="45378118">
            <w:pPr>
              <w:autoSpaceDE w:val="0"/>
              <w:autoSpaceDN w:val="0"/>
              <w:adjustRightInd w:val="0"/>
              <w:snapToGrid w:val="0"/>
              <w:spacing w:line="360" w:lineRule="auto"/>
              <w:ind w:firstLine="440" w:firstLineChars="200"/>
              <w:jc w:val="center"/>
              <w:rPr>
                <w:rFonts w:hint="eastAsia" w:ascii="仿宋" w:hAnsi="仿宋" w:eastAsia="仿宋" w:cs="仿宋"/>
                <w:color w:val="auto"/>
                <w:kern w:val="0"/>
                <w:sz w:val="22"/>
                <w:szCs w:val="18"/>
                <w:highlight w:val="none"/>
              </w:rPr>
            </w:pPr>
          </w:p>
        </w:tc>
      </w:tr>
      <w:tr w14:paraId="27C02EDA">
        <w:tblPrEx>
          <w:tblCellMar>
            <w:top w:w="0" w:type="dxa"/>
            <w:left w:w="0" w:type="dxa"/>
            <w:bottom w:w="0" w:type="dxa"/>
            <w:right w:w="0" w:type="dxa"/>
          </w:tblCellMar>
        </w:tblPrEx>
        <w:trPr>
          <w:trHeight w:val="785" w:hRule="exact"/>
        </w:trPr>
        <w:tc>
          <w:tcPr>
            <w:tcW w:w="1741" w:type="dxa"/>
            <w:tcBorders>
              <w:top w:val="single" w:color="000000" w:sz="4" w:space="0"/>
              <w:left w:val="single" w:color="000000" w:sz="4" w:space="0"/>
              <w:bottom w:val="single" w:color="000000" w:sz="4" w:space="0"/>
              <w:right w:val="single" w:color="000000" w:sz="4" w:space="0"/>
            </w:tcBorders>
            <w:vAlign w:val="center"/>
          </w:tcPr>
          <w:p w14:paraId="7396AA15">
            <w:pPr>
              <w:autoSpaceDE w:val="0"/>
              <w:autoSpaceDN w:val="0"/>
              <w:adjustRightInd w:val="0"/>
              <w:snapToGrid w:val="0"/>
              <w:spacing w:line="360" w:lineRule="auto"/>
              <w:jc w:val="center"/>
              <w:rPr>
                <w:rFonts w:hint="eastAsia" w:ascii="仿宋" w:hAnsi="仿宋" w:eastAsia="仿宋" w:cs="仿宋"/>
                <w:color w:val="auto"/>
                <w:kern w:val="0"/>
                <w:sz w:val="22"/>
                <w:szCs w:val="18"/>
                <w:highlight w:val="none"/>
              </w:rPr>
            </w:pPr>
            <w:r>
              <w:rPr>
                <w:rFonts w:hint="eastAsia" w:ascii="仿宋" w:hAnsi="仿宋" w:eastAsia="仿宋" w:cs="仿宋"/>
                <w:color w:val="auto"/>
                <w:kern w:val="0"/>
                <w:sz w:val="22"/>
                <w:szCs w:val="18"/>
                <w:highlight w:val="none"/>
              </w:rPr>
              <w:t>备注</w:t>
            </w:r>
          </w:p>
        </w:tc>
        <w:tc>
          <w:tcPr>
            <w:tcW w:w="7467" w:type="dxa"/>
            <w:gridSpan w:val="8"/>
            <w:tcBorders>
              <w:top w:val="single" w:color="000000" w:sz="4" w:space="0"/>
              <w:left w:val="single" w:color="000000" w:sz="4" w:space="0"/>
              <w:bottom w:val="single" w:color="000000" w:sz="4" w:space="0"/>
              <w:right w:val="single" w:color="000000" w:sz="4" w:space="0"/>
            </w:tcBorders>
            <w:vAlign w:val="center"/>
          </w:tcPr>
          <w:p w14:paraId="7607E3EF">
            <w:pPr>
              <w:autoSpaceDE w:val="0"/>
              <w:autoSpaceDN w:val="0"/>
              <w:adjustRightInd w:val="0"/>
              <w:snapToGrid w:val="0"/>
              <w:spacing w:line="360" w:lineRule="auto"/>
              <w:ind w:firstLine="440" w:firstLineChars="200"/>
              <w:jc w:val="center"/>
              <w:rPr>
                <w:rFonts w:hint="eastAsia" w:ascii="仿宋" w:hAnsi="仿宋" w:eastAsia="仿宋" w:cs="仿宋"/>
                <w:color w:val="auto"/>
                <w:kern w:val="0"/>
                <w:sz w:val="22"/>
                <w:szCs w:val="18"/>
                <w:highlight w:val="none"/>
              </w:rPr>
            </w:pPr>
          </w:p>
        </w:tc>
      </w:tr>
    </w:tbl>
    <w:p w14:paraId="12D231BF">
      <w:pPr>
        <w:rPr>
          <w:rFonts w:hint="eastAsia" w:ascii="仿宋" w:hAnsi="仿宋" w:eastAsia="仿宋" w:cs="仿宋"/>
          <w:color w:val="auto"/>
          <w:highlight w:val="none"/>
        </w:rPr>
      </w:pPr>
    </w:p>
    <w:p w14:paraId="24CB29FB">
      <w:pPr>
        <w:rPr>
          <w:rFonts w:hint="eastAsia" w:ascii="仿宋" w:hAnsi="仿宋" w:eastAsia="仿宋" w:cs="仿宋"/>
          <w:color w:val="auto"/>
          <w:highlight w:val="none"/>
        </w:rPr>
      </w:pPr>
    </w:p>
    <w:p w14:paraId="21164180">
      <w:pPr>
        <w:rPr>
          <w:rFonts w:hint="eastAsia" w:ascii="仿宋" w:hAnsi="仿宋" w:eastAsia="仿宋" w:cs="仿宋"/>
          <w:color w:val="auto"/>
          <w:highlight w:val="none"/>
        </w:rPr>
      </w:pPr>
    </w:p>
    <w:p w14:paraId="6DDB91A1">
      <w:pPr>
        <w:spacing w:line="360" w:lineRule="auto"/>
        <w:ind w:firstLine="560" w:firstLineChars="200"/>
        <w:rPr>
          <w:rFonts w:hint="eastAsia" w:ascii="仿宋" w:hAnsi="仿宋" w:eastAsia="仿宋" w:cs="仿宋"/>
          <w:color w:val="auto"/>
          <w:highlight w:val="none"/>
        </w:rPr>
      </w:pPr>
      <w:r>
        <w:rPr>
          <w:rFonts w:hint="eastAsia" w:ascii="仿宋" w:hAnsi="仿宋" w:eastAsia="仿宋" w:cs="仿宋"/>
          <w:color w:val="auto"/>
          <w:highlight w:val="none"/>
        </w:rPr>
        <w:br w:type="page"/>
      </w:r>
    </w:p>
    <w:p w14:paraId="1B6ECE4B">
      <w:pPr>
        <w:pStyle w:val="4"/>
        <w:spacing w:before="0" w:line="440" w:lineRule="exact"/>
        <w:jc w:val="center"/>
        <w:rPr>
          <w:rFonts w:hint="eastAsia" w:ascii="仿宋" w:hAnsi="仿宋" w:eastAsia="仿宋" w:cs="仿宋"/>
          <w:color w:val="auto"/>
          <w:sz w:val="28"/>
          <w:highlight w:val="none"/>
        </w:rPr>
      </w:pPr>
      <w:bookmarkStart w:id="2027" w:name="_Toc430530551"/>
      <w:bookmarkStart w:id="2028" w:name="_Toc287620835"/>
      <w:bookmarkStart w:id="2029" w:name="_Toc30723"/>
      <w:bookmarkStart w:id="2030" w:name="_Toc57796024"/>
      <w:bookmarkStart w:id="2031" w:name="_Toc534185842"/>
      <w:bookmarkStart w:id="2032" w:name="_Toc27983330"/>
      <w:bookmarkStart w:id="2033" w:name="_Toc277082661"/>
      <w:bookmarkStart w:id="2034" w:name="_Toc509218865"/>
      <w:bookmarkStart w:id="2035" w:name="_Toc287607889"/>
      <w:bookmarkStart w:id="2036" w:name="_Toc224103516"/>
      <w:bookmarkStart w:id="2037" w:name="_Toc3331"/>
      <w:bookmarkStart w:id="2038" w:name="_Toc31141"/>
      <w:bookmarkStart w:id="2039" w:name="_Toc10732"/>
      <w:bookmarkStart w:id="2040" w:name="_Toc13516"/>
      <w:bookmarkStart w:id="2041" w:name="_Toc29019"/>
      <w:bookmarkStart w:id="2042" w:name="_Toc6768"/>
      <w:bookmarkStart w:id="2043" w:name="_Toc1892"/>
      <w:r>
        <w:rPr>
          <w:rFonts w:hint="eastAsia" w:ascii="仿宋" w:hAnsi="仿宋" w:eastAsia="仿宋" w:cs="仿宋"/>
          <w:color w:val="auto"/>
          <w:sz w:val="28"/>
          <w:highlight w:val="none"/>
        </w:rPr>
        <w:t>（三）</w:t>
      </w:r>
      <w:bookmarkEnd w:id="2027"/>
      <w:bookmarkEnd w:id="2028"/>
      <w:bookmarkEnd w:id="2029"/>
      <w:bookmarkEnd w:id="2030"/>
      <w:bookmarkEnd w:id="2031"/>
      <w:bookmarkEnd w:id="2032"/>
      <w:bookmarkEnd w:id="2033"/>
      <w:bookmarkEnd w:id="2034"/>
      <w:bookmarkEnd w:id="2035"/>
      <w:bookmarkEnd w:id="2036"/>
      <w:bookmarkStart w:id="2044" w:name="_Toc27450"/>
      <w:bookmarkStart w:id="2045" w:name="_Toc57796025"/>
      <w:r>
        <w:rPr>
          <w:rFonts w:hint="eastAsia" w:ascii="仿宋" w:hAnsi="仿宋" w:eastAsia="仿宋" w:cs="仿宋"/>
          <w:color w:val="auto"/>
          <w:sz w:val="28"/>
          <w:highlight w:val="none"/>
        </w:rPr>
        <w:t>承诺</w:t>
      </w:r>
      <w:bookmarkEnd w:id="2037"/>
      <w:bookmarkEnd w:id="2038"/>
      <w:bookmarkEnd w:id="2039"/>
      <w:bookmarkEnd w:id="2040"/>
      <w:bookmarkEnd w:id="2041"/>
      <w:bookmarkEnd w:id="2042"/>
      <w:bookmarkEnd w:id="2043"/>
      <w:bookmarkEnd w:id="2044"/>
      <w:bookmarkEnd w:id="2045"/>
    </w:p>
    <w:p w14:paraId="04ECD004">
      <w:pPr>
        <w:snapToGrid w:val="0"/>
        <w:spacing w:line="440" w:lineRule="exact"/>
        <w:rPr>
          <w:rFonts w:hint="eastAsia" w:ascii="仿宋" w:hAnsi="仿宋" w:eastAsia="仿宋" w:cs="仿宋"/>
          <w:color w:val="auto"/>
          <w:sz w:val="22"/>
          <w:szCs w:val="22"/>
          <w:highlight w:val="none"/>
          <w:u w:val="single"/>
        </w:rPr>
      </w:pPr>
      <w:r>
        <w:rPr>
          <w:rFonts w:hint="eastAsia" w:ascii="仿宋" w:hAnsi="仿宋" w:eastAsia="仿宋" w:cs="仿宋"/>
          <w:color w:val="auto"/>
          <w:sz w:val="22"/>
          <w:szCs w:val="22"/>
          <w:highlight w:val="none"/>
          <w:u w:val="single"/>
        </w:rPr>
        <w:t xml:space="preserve">        （招标人名称）</w:t>
      </w:r>
      <w:r>
        <w:rPr>
          <w:rFonts w:hint="eastAsia" w:ascii="仿宋" w:hAnsi="仿宋" w:eastAsia="仿宋" w:cs="仿宋"/>
          <w:color w:val="auto"/>
          <w:sz w:val="22"/>
          <w:szCs w:val="22"/>
          <w:highlight w:val="none"/>
        </w:rPr>
        <w:t>：</w:t>
      </w:r>
    </w:p>
    <w:p w14:paraId="0BF4E8D9">
      <w:pPr>
        <w:snapToGrid w:val="0"/>
        <w:spacing w:line="440" w:lineRule="exact"/>
        <w:ind w:firstLine="440" w:firstLineChars="20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我公司</w:t>
      </w:r>
      <w:r>
        <w:rPr>
          <w:rFonts w:hint="eastAsia" w:ascii="仿宋" w:hAnsi="仿宋" w:eastAsia="仿宋" w:cs="仿宋"/>
          <w:color w:val="auto"/>
          <w:sz w:val="22"/>
          <w:szCs w:val="22"/>
          <w:highlight w:val="none"/>
          <w:u w:val="single"/>
        </w:rPr>
        <w:t xml:space="preserve">        （投标人名称）</w:t>
      </w:r>
      <w:r>
        <w:rPr>
          <w:rFonts w:hint="eastAsia" w:ascii="仿宋" w:hAnsi="仿宋" w:eastAsia="仿宋" w:cs="仿宋"/>
          <w:color w:val="auto"/>
          <w:sz w:val="22"/>
          <w:szCs w:val="22"/>
          <w:highlight w:val="none"/>
        </w:rPr>
        <w:t>参加了贵单位</w:t>
      </w:r>
      <w:r>
        <w:rPr>
          <w:rFonts w:hint="eastAsia" w:ascii="仿宋" w:hAnsi="仿宋" w:eastAsia="仿宋" w:cs="仿宋"/>
          <w:color w:val="auto"/>
          <w:sz w:val="22"/>
          <w:szCs w:val="22"/>
          <w:highlight w:val="none"/>
          <w:u w:val="single"/>
        </w:rPr>
        <w:t xml:space="preserve">        （项目名称）</w:t>
      </w:r>
      <w:r>
        <w:rPr>
          <w:rFonts w:hint="eastAsia" w:ascii="仿宋" w:hAnsi="仿宋" w:eastAsia="仿宋" w:cs="仿宋"/>
          <w:color w:val="auto"/>
          <w:sz w:val="22"/>
          <w:szCs w:val="22"/>
          <w:highlight w:val="none"/>
        </w:rPr>
        <w:t>的投标，自愿作出以下承诺：</w:t>
      </w:r>
    </w:p>
    <w:p w14:paraId="4D957392">
      <w:pPr>
        <w:snapToGrid w:val="0"/>
        <w:spacing w:line="440" w:lineRule="exact"/>
        <w:ind w:firstLine="440" w:firstLineChars="20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1、投标截止日投标资格情况不存在下列情形之一：</w:t>
      </w:r>
    </w:p>
    <w:p w14:paraId="797F7E5A">
      <w:pPr>
        <w:adjustRightInd w:val="0"/>
        <w:snapToGrid w:val="0"/>
        <w:spacing w:line="440" w:lineRule="exact"/>
        <w:ind w:right="40" w:firstLine="431" w:firstLineChars="196"/>
        <w:rPr>
          <w:rFonts w:hint="eastAsia" w:ascii="仿宋" w:hAnsi="仿宋" w:eastAsia="仿宋" w:cs="仿宋"/>
          <w:bCs/>
          <w:color w:val="auto"/>
          <w:sz w:val="22"/>
          <w:szCs w:val="22"/>
          <w:highlight w:val="none"/>
        </w:rPr>
      </w:pPr>
      <w:r>
        <w:rPr>
          <w:rFonts w:hint="eastAsia" w:ascii="仿宋" w:hAnsi="仿宋" w:eastAsia="仿宋" w:cs="仿宋"/>
          <w:bCs/>
          <w:color w:val="auto"/>
          <w:sz w:val="22"/>
          <w:szCs w:val="22"/>
          <w:highlight w:val="none"/>
        </w:rPr>
        <w:t>（1）被人民法院列入失信被执行人名单且在被执行期内；</w:t>
      </w:r>
    </w:p>
    <w:p w14:paraId="2B1F4C7D">
      <w:pPr>
        <w:adjustRightInd w:val="0"/>
        <w:snapToGrid w:val="0"/>
        <w:spacing w:line="440" w:lineRule="exact"/>
        <w:ind w:right="40" w:firstLine="431" w:firstLineChars="196"/>
        <w:rPr>
          <w:rFonts w:hint="eastAsia" w:ascii="仿宋" w:hAnsi="仿宋" w:eastAsia="仿宋" w:cs="仿宋"/>
          <w:bCs/>
          <w:color w:val="auto"/>
          <w:sz w:val="22"/>
          <w:szCs w:val="22"/>
          <w:highlight w:val="none"/>
        </w:rPr>
      </w:pPr>
      <w:r>
        <w:rPr>
          <w:rFonts w:hint="eastAsia" w:ascii="仿宋" w:hAnsi="仿宋" w:eastAsia="仿宋" w:cs="仿宋"/>
          <w:bCs/>
          <w:color w:val="auto"/>
          <w:sz w:val="22"/>
          <w:szCs w:val="22"/>
          <w:highlight w:val="none"/>
        </w:rPr>
        <w:t>（2）被列入《重庆市工程建设领域招标投标信用管理暂行办法》规定的重点关注名单且记分达到12分且在记分有效期内；</w:t>
      </w:r>
    </w:p>
    <w:p w14:paraId="6AC632BF">
      <w:pPr>
        <w:adjustRightInd w:val="0"/>
        <w:snapToGrid w:val="0"/>
        <w:spacing w:line="440" w:lineRule="exact"/>
        <w:ind w:right="40" w:firstLine="431" w:firstLineChars="196"/>
        <w:rPr>
          <w:rFonts w:hint="eastAsia" w:ascii="仿宋" w:hAnsi="仿宋" w:eastAsia="仿宋" w:cs="仿宋"/>
          <w:bCs/>
          <w:color w:val="auto"/>
          <w:sz w:val="22"/>
          <w:szCs w:val="22"/>
          <w:highlight w:val="none"/>
        </w:rPr>
      </w:pPr>
      <w:r>
        <w:rPr>
          <w:rFonts w:hint="eastAsia" w:ascii="仿宋" w:hAnsi="仿宋" w:eastAsia="仿宋" w:cs="仿宋"/>
          <w:bCs/>
          <w:color w:val="auto"/>
          <w:sz w:val="22"/>
          <w:szCs w:val="22"/>
          <w:highlight w:val="none"/>
        </w:rPr>
        <w:t>（3）被列入《重庆市工程建设领域招标投标信用管理暂行办法》规定的重庆市工程建设领域招标投标失信惩戒对象名单（以下称黑名单）且在记分有效期内；</w:t>
      </w:r>
    </w:p>
    <w:p w14:paraId="5095B356">
      <w:pPr>
        <w:adjustRightInd w:val="0"/>
        <w:snapToGrid w:val="0"/>
        <w:spacing w:line="440" w:lineRule="exact"/>
        <w:ind w:right="40" w:firstLine="431" w:firstLineChars="196"/>
        <w:rPr>
          <w:rFonts w:hint="eastAsia" w:ascii="仿宋" w:hAnsi="仿宋" w:eastAsia="仿宋" w:cs="仿宋"/>
          <w:bCs/>
          <w:color w:val="auto"/>
          <w:sz w:val="22"/>
          <w:szCs w:val="22"/>
          <w:highlight w:val="none"/>
        </w:rPr>
      </w:pPr>
      <w:r>
        <w:rPr>
          <w:rFonts w:hint="eastAsia" w:ascii="仿宋" w:hAnsi="仿宋" w:eastAsia="仿宋" w:cs="仿宋"/>
          <w:bCs/>
          <w:color w:val="auto"/>
          <w:sz w:val="22"/>
          <w:szCs w:val="22"/>
          <w:highlight w:val="none"/>
        </w:rPr>
        <w:t>（4）被国家、重庆市（含市或任意区县）有关行政部门处以暂停投标资格行政处罚，且在处罚期限内；</w:t>
      </w:r>
    </w:p>
    <w:p w14:paraId="1A0DBE17">
      <w:pPr>
        <w:snapToGrid w:val="0"/>
        <w:spacing w:line="440" w:lineRule="exact"/>
        <w:ind w:firstLine="440" w:firstLineChars="20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2、我公司若中选，在签订合同之前，将按照主管部门的要求组建施工项目部，配置项目管理班子并出具任命文件，项目管理班子成员未经过招标人同意，不得变更。任命文件应当明确施工项目部的职责、岗位设置、人员配备，并书面通知招标人。相关岗位管理人员应持有主管部门要求的岗位证书，并提供我公司为其缴纳的养老保险证明材料复印件。成交后不能满足该要求的，招标人可取消我公司成交资格，给招标人造成损失的，我公司依法承担违约赔偿责任。</w:t>
      </w:r>
    </w:p>
    <w:p w14:paraId="1C4235A6">
      <w:pPr>
        <w:snapToGrid w:val="0"/>
        <w:spacing w:line="440" w:lineRule="exact"/>
        <w:ind w:firstLine="440" w:firstLineChars="20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3、我公司在资格审查部分中提供的相关证明材料真实有效，不存在弄虚作假情形。招标人在合同签订前均有权对我司提供的资料进行核实，若发现弄虚作假，取消中选资格，并按相关法律法规报相关部门处理，我司自愿承担因此造成的相关责任并赔偿相应损失。</w:t>
      </w:r>
    </w:p>
    <w:p w14:paraId="3310EB1C">
      <w:pPr>
        <w:snapToGrid w:val="0"/>
        <w:spacing w:line="440" w:lineRule="exact"/>
        <w:ind w:firstLine="440" w:firstLineChars="200"/>
        <w:rPr>
          <w:rFonts w:hint="eastAsia" w:ascii="仿宋" w:hAnsi="仿宋" w:eastAsia="仿宋" w:cs="仿宋"/>
          <w:color w:val="auto"/>
          <w:kern w:val="0"/>
          <w:sz w:val="22"/>
          <w:szCs w:val="22"/>
          <w:highlight w:val="none"/>
        </w:rPr>
      </w:pPr>
      <w:r>
        <w:rPr>
          <w:rFonts w:hint="eastAsia" w:ascii="仿宋" w:hAnsi="仿宋" w:eastAsia="仿宋" w:cs="仿宋"/>
          <w:color w:val="auto"/>
          <w:sz w:val="22"/>
          <w:szCs w:val="22"/>
          <w:highlight w:val="none"/>
        </w:rPr>
        <w:t>4、我公司的投标文件符合第四章 合同条款及格式规定，投标文件中没有招标人不能接受的条件。</w:t>
      </w:r>
    </w:p>
    <w:p w14:paraId="2B1867CA">
      <w:pPr>
        <w:tabs>
          <w:tab w:val="left" w:pos="4200"/>
          <w:tab w:val="left" w:pos="4620"/>
        </w:tabs>
        <w:autoSpaceDE w:val="0"/>
        <w:autoSpaceDN w:val="0"/>
        <w:adjustRightInd w:val="0"/>
        <w:snapToGrid w:val="0"/>
        <w:spacing w:line="440" w:lineRule="exact"/>
        <w:ind w:firstLine="440" w:firstLineChars="200"/>
        <w:jc w:val="left"/>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投  标  人：</w:t>
      </w:r>
      <w:r>
        <w:rPr>
          <w:rFonts w:hint="eastAsia" w:ascii="仿宋" w:hAnsi="仿宋" w:eastAsia="仿宋" w:cs="仿宋"/>
          <w:color w:val="auto"/>
          <w:w w:val="200"/>
          <w:kern w:val="0"/>
          <w:sz w:val="22"/>
          <w:szCs w:val="22"/>
          <w:highlight w:val="none"/>
          <w:u w:val="single"/>
        </w:rPr>
        <w:t xml:space="preserve">                           </w:t>
      </w:r>
      <w:r>
        <w:rPr>
          <w:rFonts w:hint="eastAsia" w:ascii="仿宋" w:hAnsi="仿宋" w:eastAsia="仿宋" w:cs="仿宋"/>
          <w:color w:val="auto"/>
          <w:kern w:val="0"/>
          <w:sz w:val="22"/>
          <w:szCs w:val="22"/>
          <w:highlight w:val="none"/>
        </w:rPr>
        <w:t>（</w:t>
      </w:r>
      <w:r>
        <w:rPr>
          <w:rFonts w:hint="eastAsia" w:ascii="仿宋" w:hAnsi="仿宋" w:eastAsia="仿宋" w:cs="仿宋"/>
          <w:color w:val="auto"/>
          <w:spacing w:val="-1"/>
          <w:kern w:val="0"/>
          <w:sz w:val="22"/>
          <w:szCs w:val="22"/>
          <w:highlight w:val="none"/>
        </w:rPr>
        <w:t>盖单位公章</w:t>
      </w:r>
      <w:r>
        <w:rPr>
          <w:rFonts w:hint="eastAsia" w:ascii="仿宋" w:hAnsi="仿宋" w:eastAsia="仿宋" w:cs="仿宋"/>
          <w:color w:val="auto"/>
          <w:kern w:val="0"/>
          <w:sz w:val="22"/>
          <w:szCs w:val="22"/>
          <w:highlight w:val="none"/>
        </w:rPr>
        <w:t>）</w:t>
      </w:r>
    </w:p>
    <w:p w14:paraId="62528952">
      <w:pPr>
        <w:tabs>
          <w:tab w:val="left" w:pos="6300"/>
        </w:tabs>
        <w:autoSpaceDE w:val="0"/>
        <w:autoSpaceDN w:val="0"/>
        <w:adjustRightInd w:val="0"/>
        <w:snapToGrid w:val="0"/>
        <w:spacing w:line="440" w:lineRule="exact"/>
        <w:ind w:firstLine="440" w:firstLineChars="200"/>
        <w:jc w:val="left"/>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法定代表人：</w:t>
      </w:r>
      <w:r>
        <w:rPr>
          <w:rFonts w:hint="eastAsia" w:ascii="仿宋" w:hAnsi="仿宋" w:eastAsia="仿宋" w:cs="仿宋"/>
          <w:color w:val="auto"/>
          <w:w w:val="200"/>
          <w:kern w:val="0"/>
          <w:sz w:val="22"/>
          <w:szCs w:val="22"/>
          <w:highlight w:val="none"/>
          <w:u w:val="single"/>
        </w:rPr>
        <w:t xml:space="preserve">                           </w:t>
      </w:r>
      <w:r>
        <w:rPr>
          <w:rFonts w:hint="eastAsia" w:ascii="仿宋" w:hAnsi="仿宋" w:eastAsia="仿宋" w:cs="仿宋"/>
          <w:color w:val="auto"/>
          <w:kern w:val="0"/>
          <w:sz w:val="22"/>
          <w:szCs w:val="22"/>
          <w:highlight w:val="none"/>
        </w:rPr>
        <w:t>（签字或盖章）</w:t>
      </w:r>
    </w:p>
    <w:p w14:paraId="136AFFEF">
      <w:pPr>
        <w:pStyle w:val="6"/>
        <w:spacing w:line="440" w:lineRule="exact"/>
        <w:rPr>
          <w:rFonts w:hint="eastAsia" w:ascii="仿宋" w:hAnsi="仿宋" w:eastAsia="仿宋" w:cs="仿宋"/>
          <w:color w:val="auto"/>
          <w:sz w:val="22"/>
          <w:szCs w:val="22"/>
          <w:highlight w:val="none"/>
        </w:rPr>
      </w:pPr>
    </w:p>
    <w:p w14:paraId="0AE931F1">
      <w:pPr>
        <w:snapToGrid w:val="0"/>
        <w:spacing w:line="440" w:lineRule="exact"/>
        <w:ind w:firstLine="440" w:firstLineChars="200"/>
        <w:jc w:val="right"/>
        <w:rPr>
          <w:rFonts w:hint="eastAsia" w:ascii="仿宋" w:hAnsi="仿宋" w:eastAsia="仿宋" w:cs="仿宋"/>
          <w:color w:val="auto"/>
          <w:sz w:val="22"/>
          <w:szCs w:val="22"/>
          <w:highlight w:val="none"/>
        </w:rPr>
      </w:pPr>
      <w:r>
        <w:rPr>
          <w:rFonts w:hint="eastAsia" w:ascii="仿宋" w:hAnsi="仿宋" w:eastAsia="仿宋" w:cs="仿宋"/>
          <w:color w:val="auto"/>
          <w:kern w:val="0"/>
          <w:sz w:val="22"/>
          <w:szCs w:val="22"/>
          <w:highlight w:val="none"/>
          <w:u w:val="single"/>
        </w:rPr>
        <w:t xml:space="preserve">    </w:t>
      </w:r>
      <w:r>
        <w:rPr>
          <w:rFonts w:hint="eastAsia" w:ascii="仿宋" w:hAnsi="仿宋" w:eastAsia="仿宋" w:cs="仿宋"/>
          <w:color w:val="auto"/>
          <w:kern w:val="0"/>
          <w:sz w:val="22"/>
          <w:szCs w:val="22"/>
          <w:highlight w:val="none"/>
        </w:rPr>
        <w:t>年</w:t>
      </w:r>
      <w:r>
        <w:rPr>
          <w:rFonts w:hint="eastAsia" w:ascii="仿宋" w:hAnsi="仿宋" w:eastAsia="仿宋" w:cs="仿宋"/>
          <w:color w:val="auto"/>
          <w:kern w:val="0"/>
          <w:sz w:val="22"/>
          <w:szCs w:val="22"/>
          <w:highlight w:val="none"/>
          <w:u w:val="single"/>
        </w:rPr>
        <w:t xml:space="preserve">    </w:t>
      </w:r>
      <w:r>
        <w:rPr>
          <w:rFonts w:hint="eastAsia" w:ascii="仿宋" w:hAnsi="仿宋" w:eastAsia="仿宋" w:cs="仿宋"/>
          <w:color w:val="auto"/>
          <w:kern w:val="0"/>
          <w:sz w:val="22"/>
          <w:szCs w:val="22"/>
          <w:highlight w:val="none"/>
        </w:rPr>
        <w:t>月</w:t>
      </w:r>
      <w:r>
        <w:rPr>
          <w:rFonts w:hint="eastAsia" w:ascii="仿宋" w:hAnsi="仿宋" w:eastAsia="仿宋" w:cs="仿宋"/>
          <w:color w:val="auto"/>
          <w:kern w:val="0"/>
          <w:sz w:val="22"/>
          <w:szCs w:val="22"/>
          <w:highlight w:val="none"/>
          <w:u w:val="single"/>
        </w:rPr>
        <w:t xml:space="preserve">    </w:t>
      </w:r>
      <w:r>
        <w:rPr>
          <w:rFonts w:hint="eastAsia" w:ascii="仿宋" w:hAnsi="仿宋" w:eastAsia="仿宋" w:cs="仿宋"/>
          <w:color w:val="auto"/>
          <w:kern w:val="0"/>
          <w:sz w:val="22"/>
          <w:szCs w:val="22"/>
          <w:highlight w:val="none"/>
        </w:rPr>
        <w:t>日</w:t>
      </w:r>
    </w:p>
    <w:p w14:paraId="2F2DB448">
      <w:pPr>
        <w:pStyle w:val="4"/>
        <w:spacing w:before="0" w:line="240" w:lineRule="auto"/>
        <w:jc w:val="center"/>
        <w:rPr>
          <w:rFonts w:hint="eastAsia" w:ascii="仿宋" w:hAnsi="仿宋" w:eastAsia="仿宋" w:cs="仿宋"/>
          <w:b w:val="0"/>
          <w:bCs w:val="0"/>
          <w:color w:val="auto"/>
          <w:highlight w:val="none"/>
        </w:rPr>
      </w:pPr>
      <w:bookmarkStart w:id="2046" w:name="_Toc27983333"/>
      <w:r>
        <w:rPr>
          <w:rFonts w:hint="eastAsia" w:ascii="仿宋" w:hAnsi="仿宋" w:eastAsia="仿宋" w:cs="仿宋"/>
          <w:color w:val="auto"/>
          <w:sz w:val="22"/>
          <w:szCs w:val="22"/>
          <w:highlight w:val="none"/>
        </w:rPr>
        <w:br w:type="page"/>
      </w:r>
      <w:bookmarkStart w:id="2047" w:name="_Toc27461"/>
      <w:bookmarkStart w:id="2048" w:name="_Toc57796026"/>
      <w:bookmarkStart w:id="2049" w:name="_Toc18374"/>
      <w:bookmarkStart w:id="2050" w:name="_Toc4828"/>
      <w:bookmarkStart w:id="2051" w:name="_Toc14739"/>
      <w:bookmarkStart w:id="2052" w:name="_Toc26113"/>
      <w:r>
        <w:rPr>
          <w:rFonts w:hint="eastAsia" w:ascii="仿宋" w:hAnsi="仿宋" w:eastAsia="仿宋" w:cs="仿宋"/>
          <w:color w:val="auto"/>
          <w:sz w:val="28"/>
          <w:highlight w:val="none"/>
        </w:rPr>
        <w:t>（四）其他资料</w:t>
      </w:r>
      <w:bookmarkEnd w:id="2046"/>
      <w:bookmarkEnd w:id="2047"/>
      <w:bookmarkEnd w:id="2048"/>
      <w:bookmarkEnd w:id="2049"/>
      <w:bookmarkEnd w:id="2050"/>
      <w:bookmarkEnd w:id="2051"/>
      <w:bookmarkEnd w:id="2052"/>
    </w:p>
    <w:p w14:paraId="0769FDCF">
      <w:pPr>
        <w:rPr>
          <w:rFonts w:hint="eastAsia" w:ascii="仿宋" w:hAnsi="仿宋" w:eastAsia="仿宋" w:cs="仿宋"/>
          <w:color w:val="auto"/>
          <w:highlight w:val="none"/>
        </w:rPr>
      </w:pPr>
    </w:p>
    <w:p w14:paraId="083AA4E7">
      <w:pPr>
        <w:jc w:val="center"/>
        <w:rPr>
          <w:rFonts w:hint="eastAsia" w:ascii="仿宋" w:hAnsi="仿宋" w:eastAsia="仿宋" w:cs="仿宋"/>
          <w:color w:val="auto"/>
          <w:highlight w:val="none"/>
        </w:rPr>
      </w:pPr>
      <w:r>
        <w:rPr>
          <w:rFonts w:hint="eastAsia" w:ascii="仿宋" w:hAnsi="仿宋" w:eastAsia="仿宋" w:cs="仿宋"/>
          <w:color w:val="auto"/>
          <w:highlight w:val="none"/>
        </w:rPr>
        <w:br w:type="page"/>
      </w:r>
    </w:p>
    <w:p w14:paraId="4CD4D5F5">
      <w:pPr>
        <w:pStyle w:val="4"/>
        <w:numPr>
          <w:ilvl w:val="0"/>
          <w:numId w:val="5"/>
        </w:numPr>
        <w:spacing w:before="0" w:line="240" w:lineRule="auto"/>
        <w:jc w:val="center"/>
        <w:rPr>
          <w:rFonts w:hint="eastAsia" w:ascii="仿宋" w:hAnsi="仿宋" w:eastAsia="仿宋" w:cs="仿宋"/>
          <w:color w:val="auto"/>
          <w:sz w:val="28"/>
          <w:szCs w:val="24"/>
          <w:highlight w:val="none"/>
        </w:rPr>
      </w:pPr>
      <w:bookmarkStart w:id="2053" w:name="_Toc23695"/>
      <w:bookmarkStart w:id="2054" w:name="_Toc15677"/>
      <w:r>
        <w:rPr>
          <w:rFonts w:hint="eastAsia" w:ascii="仿宋" w:hAnsi="仿宋" w:eastAsia="仿宋" w:cs="仿宋"/>
          <w:color w:val="auto"/>
          <w:sz w:val="28"/>
          <w:szCs w:val="24"/>
          <w:highlight w:val="none"/>
        </w:rPr>
        <w:t>技术方案</w:t>
      </w:r>
      <w:bookmarkEnd w:id="2053"/>
      <w:bookmarkEnd w:id="2054"/>
    </w:p>
    <w:p w14:paraId="1C210002">
      <w:pPr>
        <w:rPr>
          <w:rFonts w:hint="eastAsia" w:ascii="仿宋" w:hAnsi="仿宋" w:eastAsia="仿宋" w:cs="仿宋"/>
          <w:color w:val="auto"/>
          <w:highlight w:val="none"/>
        </w:rPr>
      </w:pPr>
    </w:p>
    <w:p w14:paraId="390A04B3">
      <w:pPr>
        <w:spacing w:line="360" w:lineRule="auto"/>
        <w:jc w:val="center"/>
        <w:rPr>
          <w:rFonts w:hint="eastAsia" w:ascii="仿宋" w:hAnsi="仿宋" w:eastAsia="仿宋" w:cs="仿宋"/>
          <w:color w:val="auto"/>
          <w:kern w:val="0"/>
          <w:sz w:val="32"/>
          <w:szCs w:val="32"/>
          <w:highlight w:val="none"/>
        </w:rPr>
      </w:pPr>
      <w:r>
        <w:rPr>
          <w:rFonts w:hint="eastAsia" w:ascii="仿宋" w:hAnsi="仿宋" w:eastAsia="仿宋" w:cs="仿宋"/>
          <w:color w:val="auto"/>
          <w:highlight w:val="none"/>
        </w:rPr>
        <w:br w:type="page"/>
      </w:r>
      <w:r>
        <w:rPr>
          <w:rFonts w:hint="eastAsia" w:ascii="仿宋" w:hAnsi="仿宋" w:eastAsia="仿宋" w:cs="仿宋"/>
          <w:color w:val="auto"/>
          <w:kern w:val="0"/>
          <w:sz w:val="32"/>
          <w:szCs w:val="32"/>
          <w:highlight w:val="none"/>
          <w:u w:val="single"/>
        </w:rPr>
        <w:t xml:space="preserve">                   （项目名称）</w:t>
      </w:r>
    </w:p>
    <w:p w14:paraId="506314CD">
      <w:pPr>
        <w:tabs>
          <w:tab w:val="left" w:pos="3600"/>
          <w:tab w:val="left" w:pos="4480"/>
          <w:tab w:val="left" w:pos="5360"/>
        </w:tabs>
        <w:autoSpaceDE w:val="0"/>
        <w:autoSpaceDN w:val="0"/>
        <w:adjustRightInd w:val="0"/>
        <w:snapToGrid w:val="0"/>
        <w:spacing w:line="360" w:lineRule="auto"/>
        <w:jc w:val="left"/>
        <w:rPr>
          <w:rFonts w:hint="eastAsia" w:ascii="仿宋" w:hAnsi="仿宋" w:eastAsia="仿宋" w:cs="仿宋"/>
          <w:color w:val="auto"/>
          <w:kern w:val="0"/>
          <w:sz w:val="44"/>
          <w:szCs w:val="44"/>
          <w:highlight w:val="none"/>
        </w:rPr>
      </w:pPr>
    </w:p>
    <w:p w14:paraId="0421EB25">
      <w:pPr>
        <w:tabs>
          <w:tab w:val="left" w:pos="3600"/>
          <w:tab w:val="left" w:pos="4480"/>
          <w:tab w:val="left" w:pos="5360"/>
        </w:tabs>
        <w:autoSpaceDE w:val="0"/>
        <w:autoSpaceDN w:val="0"/>
        <w:adjustRightInd w:val="0"/>
        <w:snapToGrid w:val="0"/>
        <w:spacing w:line="360" w:lineRule="auto"/>
        <w:jc w:val="left"/>
        <w:rPr>
          <w:rFonts w:hint="eastAsia" w:ascii="仿宋" w:hAnsi="仿宋" w:eastAsia="仿宋" w:cs="仿宋"/>
          <w:color w:val="auto"/>
          <w:kern w:val="0"/>
          <w:sz w:val="44"/>
          <w:szCs w:val="44"/>
          <w:highlight w:val="none"/>
        </w:rPr>
      </w:pPr>
    </w:p>
    <w:p w14:paraId="2446A8C9">
      <w:pPr>
        <w:tabs>
          <w:tab w:val="left" w:pos="3600"/>
          <w:tab w:val="left" w:pos="4480"/>
          <w:tab w:val="left" w:pos="5360"/>
        </w:tabs>
        <w:autoSpaceDE w:val="0"/>
        <w:autoSpaceDN w:val="0"/>
        <w:adjustRightInd w:val="0"/>
        <w:snapToGrid w:val="0"/>
        <w:spacing w:line="360" w:lineRule="auto"/>
        <w:jc w:val="left"/>
        <w:rPr>
          <w:rFonts w:hint="eastAsia" w:ascii="仿宋" w:hAnsi="仿宋" w:eastAsia="仿宋" w:cs="仿宋"/>
          <w:color w:val="auto"/>
          <w:kern w:val="0"/>
          <w:sz w:val="44"/>
          <w:szCs w:val="44"/>
          <w:highlight w:val="none"/>
        </w:rPr>
      </w:pPr>
    </w:p>
    <w:p w14:paraId="45C5DF4A">
      <w:pPr>
        <w:tabs>
          <w:tab w:val="left" w:pos="3600"/>
          <w:tab w:val="left" w:pos="4480"/>
          <w:tab w:val="left" w:pos="5360"/>
        </w:tabs>
        <w:autoSpaceDE w:val="0"/>
        <w:autoSpaceDN w:val="0"/>
        <w:adjustRightInd w:val="0"/>
        <w:snapToGrid w:val="0"/>
        <w:spacing w:line="360" w:lineRule="auto"/>
        <w:jc w:val="center"/>
        <w:rPr>
          <w:rFonts w:hint="eastAsia" w:ascii="仿宋" w:hAnsi="仿宋" w:eastAsia="仿宋" w:cs="仿宋"/>
          <w:b/>
          <w:color w:val="auto"/>
          <w:kern w:val="0"/>
          <w:sz w:val="84"/>
          <w:szCs w:val="84"/>
          <w:highlight w:val="none"/>
        </w:rPr>
      </w:pPr>
      <w:r>
        <w:rPr>
          <w:rFonts w:hint="eastAsia" w:ascii="仿宋" w:hAnsi="仿宋" w:eastAsia="仿宋" w:cs="仿宋"/>
          <w:b/>
          <w:color w:val="auto"/>
          <w:kern w:val="0"/>
          <w:sz w:val="84"/>
          <w:szCs w:val="84"/>
          <w:highlight w:val="none"/>
        </w:rPr>
        <w:t>投标文件</w:t>
      </w:r>
    </w:p>
    <w:p w14:paraId="53140388">
      <w:pPr>
        <w:autoSpaceDE w:val="0"/>
        <w:autoSpaceDN w:val="0"/>
        <w:adjustRightInd w:val="0"/>
        <w:snapToGrid w:val="0"/>
        <w:spacing w:line="360" w:lineRule="auto"/>
        <w:jc w:val="left"/>
        <w:rPr>
          <w:rFonts w:hint="eastAsia" w:ascii="仿宋" w:hAnsi="仿宋" w:eastAsia="仿宋" w:cs="仿宋"/>
          <w:color w:val="auto"/>
          <w:kern w:val="0"/>
          <w:sz w:val="16"/>
          <w:szCs w:val="16"/>
          <w:highlight w:val="none"/>
        </w:rPr>
      </w:pPr>
    </w:p>
    <w:p w14:paraId="41D85697">
      <w:pPr>
        <w:autoSpaceDE w:val="0"/>
        <w:autoSpaceDN w:val="0"/>
        <w:adjustRightInd w:val="0"/>
        <w:snapToGrid w:val="0"/>
        <w:spacing w:line="360" w:lineRule="auto"/>
        <w:jc w:val="center"/>
        <w:rPr>
          <w:rFonts w:hint="eastAsia" w:ascii="仿宋" w:hAnsi="仿宋" w:eastAsia="仿宋" w:cs="仿宋"/>
          <w:b/>
          <w:color w:val="auto"/>
          <w:kern w:val="0"/>
          <w:sz w:val="36"/>
          <w:szCs w:val="36"/>
          <w:highlight w:val="none"/>
        </w:rPr>
      </w:pPr>
      <w:r>
        <w:rPr>
          <w:rFonts w:hint="eastAsia" w:ascii="仿宋" w:hAnsi="仿宋" w:eastAsia="仿宋" w:cs="仿宋"/>
          <w:b/>
          <w:color w:val="auto"/>
          <w:kern w:val="0"/>
          <w:sz w:val="36"/>
          <w:szCs w:val="36"/>
          <w:highlight w:val="none"/>
        </w:rPr>
        <w:t>技术方案</w:t>
      </w:r>
    </w:p>
    <w:p w14:paraId="237EC50F">
      <w:pPr>
        <w:autoSpaceDE w:val="0"/>
        <w:autoSpaceDN w:val="0"/>
        <w:adjustRightInd w:val="0"/>
        <w:snapToGrid w:val="0"/>
        <w:spacing w:line="360" w:lineRule="auto"/>
        <w:jc w:val="left"/>
        <w:rPr>
          <w:rFonts w:hint="eastAsia" w:ascii="仿宋" w:hAnsi="仿宋" w:eastAsia="仿宋" w:cs="仿宋"/>
          <w:b/>
          <w:color w:val="auto"/>
          <w:kern w:val="0"/>
          <w:sz w:val="20"/>
          <w:szCs w:val="20"/>
          <w:highlight w:val="none"/>
        </w:rPr>
      </w:pPr>
    </w:p>
    <w:p w14:paraId="515AA0FF">
      <w:pPr>
        <w:autoSpaceDE w:val="0"/>
        <w:autoSpaceDN w:val="0"/>
        <w:adjustRightInd w:val="0"/>
        <w:snapToGrid w:val="0"/>
        <w:spacing w:line="360" w:lineRule="auto"/>
        <w:jc w:val="left"/>
        <w:rPr>
          <w:rFonts w:hint="eastAsia" w:ascii="仿宋" w:hAnsi="仿宋" w:eastAsia="仿宋" w:cs="仿宋"/>
          <w:b/>
          <w:color w:val="auto"/>
          <w:kern w:val="0"/>
          <w:sz w:val="20"/>
          <w:szCs w:val="20"/>
          <w:highlight w:val="none"/>
        </w:rPr>
      </w:pPr>
    </w:p>
    <w:p w14:paraId="1CDF3A98">
      <w:pPr>
        <w:autoSpaceDE w:val="0"/>
        <w:autoSpaceDN w:val="0"/>
        <w:adjustRightInd w:val="0"/>
        <w:snapToGrid w:val="0"/>
        <w:spacing w:line="360" w:lineRule="auto"/>
        <w:jc w:val="left"/>
        <w:rPr>
          <w:rFonts w:hint="eastAsia" w:ascii="仿宋" w:hAnsi="仿宋" w:eastAsia="仿宋" w:cs="仿宋"/>
          <w:b/>
          <w:color w:val="auto"/>
          <w:kern w:val="0"/>
          <w:sz w:val="20"/>
          <w:szCs w:val="20"/>
          <w:highlight w:val="none"/>
        </w:rPr>
      </w:pPr>
    </w:p>
    <w:p w14:paraId="3AD79889">
      <w:pPr>
        <w:autoSpaceDE w:val="0"/>
        <w:autoSpaceDN w:val="0"/>
        <w:adjustRightInd w:val="0"/>
        <w:snapToGrid w:val="0"/>
        <w:spacing w:line="360" w:lineRule="auto"/>
        <w:jc w:val="left"/>
        <w:rPr>
          <w:rFonts w:hint="eastAsia" w:ascii="仿宋" w:hAnsi="仿宋" w:eastAsia="仿宋" w:cs="仿宋"/>
          <w:b/>
          <w:color w:val="auto"/>
          <w:kern w:val="0"/>
          <w:sz w:val="20"/>
          <w:szCs w:val="20"/>
          <w:highlight w:val="none"/>
        </w:rPr>
      </w:pPr>
    </w:p>
    <w:p w14:paraId="7C0385E6">
      <w:pPr>
        <w:autoSpaceDE w:val="0"/>
        <w:autoSpaceDN w:val="0"/>
        <w:adjustRightInd w:val="0"/>
        <w:snapToGrid w:val="0"/>
        <w:spacing w:line="360" w:lineRule="auto"/>
        <w:jc w:val="left"/>
        <w:rPr>
          <w:rFonts w:hint="eastAsia" w:ascii="仿宋" w:hAnsi="仿宋" w:eastAsia="仿宋" w:cs="仿宋"/>
          <w:b/>
          <w:color w:val="auto"/>
          <w:kern w:val="0"/>
          <w:sz w:val="20"/>
          <w:szCs w:val="20"/>
          <w:highlight w:val="none"/>
        </w:rPr>
      </w:pPr>
    </w:p>
    <w:p w14:paraId="2E34C95C">
      <w:pPr>
        <w:autoSpaceDE w:val="0"/>
        <w:autoSpaceDN w:val="0"/>
        <w:adjustRightInd w:val="0"/>
        <w:snapToGrid w:val="0"/>
        <w:spacing w:line="360" w:lineRule="auto"/>
        <w:jc w:val="left"/>
        <w:rPr>
          <w:rFonts w:hint="eastAsia" w:ascii="仿宋" w:hAnsi="仿宋" w:eastAsia="仿宋" w:cs="仿宋"/>
          <w:b/>
          <w:color w:val="auto"/>
          <w:kern w:val="0"/>
          <w:sz w:val="20"/>
          <w:szCs w:val="20"/>
          <w:highlight w:val="none"/>
        </w:rPr>
      </w:pPr>
    </w:p>
    <w:p w14:paraId="3A1D8B30">
      <w:pPr>
        <w:autoSpaceDE w:val="0"/>
        <w:autoSpaceDN w:val="0"/>
        <w:adjustRightInd w:val="0"/>
        <w:snapToGrid w:val="0"/>
        <w:spacing w:line="360" w:lineRule="auto"/>
        <w:jc w:val="left"/>
        <w:rPr>
          <w:rFonts w:hint="eastAsia" w:ascii="仿宋" w:hAnsi="仿宋" w:eastAsia="仿宋" w:cs="仿宋"/>
          <w:b/>
          <w:color w:val="auto"/>
          <w:kern w:val="0"/>
          <w:sz w:val="20"/>
          <w:szCs w:val="20"/>
          <w:highlight w:val="none"/>
        </w:rPr>
      </w:pPr>
    </w:p>
    <w:p w14:paraId="1A719631">
      <w:pPr>
        <w:autoSpaceDE w:val="0"/>
        <w:autoSpaceDN w:val="0"/>
        <w:adjustRightInd w:val="0"/>
        <w:snapToGrid w:val="0"/>
        <w:spacing w:line="360" w:lineRule="auto"/>
        <w:jc w:val="left"/>
        <w:rPr>
          <w:rFonts w:hint="eastAsia" w:ascii="仿宋" w:hAnsi="仿宋" w:eastAsia="仿宋" w:cs="仿宋"/>
          <w:b/>
          <w:color w:val="auto"/>
          <w:kern w:val="0"/>
          <w:sz w:val="20"/>
          <w:szCs w:val="20"/>
          <w:highlight w:val="none"/>
        </w:rPr>
      </w:pPr>
    </w:p>
    <w:p w14:paraId="129BA2E8">
      <w:pPr>
        <w:tabs>
          <w:tab w:val="left" w:pos="6080"/>
          <w:tab w:val="left" w:pos="6640"/>
        </w:tabs>
        <w:autoSpaceDE w:val="0"/>
        <w:autoSpaceDN w:val="0"/>
        <w:adjustRightInd w:val="0"/>
        <w:snapToGrid w:val="0"/>
        <w:spacing w:after="120" w:afterLines="50" w:line="360" w:lineRule="auto"/>
        <w:jc w:val="center"/>
        <w:rPr>
          <w:rFonts w:hint="eastAsia" w:ascii="仿宋" w:hAnsi="仿宋" w:eastAsia="仿宋" w:cs="仿宋"/>
          <w:color w:val="auto"/>
          <w:w w:val="99"/>
          <w:kern w:val="0"/>
          <w:szCs w:val="28"/>
          <w:highlight w:val="none"/>
        </w:rPr>
      </w:pPr>
      <w:r>
        <w:rPr>
          <w:rFonts w:hint="eastAsia" w:ascii="仿宋" w:hAnsi="仿宋" w:eastAsia="仿宋" w:cs="仿宋"/>
          <w:color w:val="auto"/>
          <w:w w:val="99"/>
          <w:kern w:val="0"/>
          <w:szCs w:val="28"/>
          <w:highlight w:val="none"/>
        </w:rPr>
        <w:t xml:space="preserve">  投  标  人</w:t>
      </w:r>
      <w:r>
        <w:rPr>
          <w:rFonts w:hint="eastAsia" w:ascii="仿宋" w:hAnsi="仿宋" w:eastAsia="仿宋" w:cs="仿宋"/>
          <w:color w:val="auto"/>
          <w:spacing w:val="1"/>
          <w:w w:val="99"/>
          <w:kern w:val="0"/>
          <w:szCs w:val="28"/>
          <w:highlight w:val="none"/>
        </w:rPr>
        <w:t>：</w:t>
      </w:r>
      <w:r>
        <w:rPr>
          <w:rFonts w:hint="eastAsia" w:ascii="仿宋" w:hAnsi="仿宋" w:eastAsia="仿宋" w:cs="仿宋"/>
          <w:color w:val="auto"/>
          <w:w w:val="198"/>
          <w:kern w:val="0"/>
          <w:szCs w:val="28"/>
          <w:highlight w:val="none"/>
          <w:u w:val="single"/>
        </w:rPr>
        <w:t xml:space="preserve"> 　　　　 　　</w:t>
      </w:r>
      <w:r>
        <w:rPr>
          <w:rFonts w:hint="eastAsia" w:ascii="仿宋" w:hAnsi="仿宋" w:eastAsia="仿宋" w:cs="仿宋"/>
          <w:color w:val="auto"/>
          <w:w w:val="99"/>
          <w:kern w:val="0"/>
          <w:szCs w:val="28"/>
          <w:highlight w:val="none"/>
        </w:rPr>
        <w:t>（盖单位公章）</w:t>
      </w:r>
    </w:p>
    <w:p w14:paraId="77C54E3B">
      <w:pPr>
        <w:tabs>
          <w:tab w:val="left" w:pos="6080"/>
          <w:tab w:val="left" w:pos="6640"/>
        </w:tabs>
        <w:autoSpaceDE w:val="0"/>
        <w:autoSpaceDN w:val="0"/>
        <w:adjustRightInd w:val="0"/>
        <w:snapToGrid w:val="0"/>
        <w:spacing w:after="120" w:afterLines="50" w:line="360" w:lineRule="auto"/>
        <w:jc w:val="center"/>
        <w:rPr>
          <w:rFonts w:hint="eastAsia" w:ascii="仿宋" w:hAnsi="仿宋" w:eastAsia="仿宋" w:cs="仿宋"/>
          <w:b/>
          <w:color w:val="auto"/>
          <w:kern w:val="0"/>
          <w:szCs w:val="28"/>
          <w:highlight w:val="none"/>
        </w:rPr>
      </w:pPr>
      <w:r>
        <w:rPr>
          <w:rFonts w:hint="eastAsia" w:ascii="仿宋" w:hAnsi="仿宋" w:eastAsia="仿宋" w:cs="仿宋"/>
          <w:color w:val="auto"/>
          <w:w w:val="99"/>
          <w:kern w:val="0"/>
          <w:szCs w:val="28"/>
          <w:highlight w:val="none"/>
        </w:rPr>
        <w:t>法定代表人或其委托代理人：</w:t>
      </w:r>
      <w:r>
        <w:rPr>
          <w:rFonts w:hint="eastAsia" w:ascii="仿宋" w:hAnsi="仿宋" w:eastAsia="仿宋" w:cs="仿宋"/>
          <w:color w:val="auto"/>
          <w:w w:val="198"/>
          <w:kern w:val="0"/>
          <w:szCs w:val="28"/>
          <w:highlight w:val="none"/>
          <w:u w:val="single"/>
        </w:rPr>
        <w:t xml:space="preserve">  　  　</w:t>
      </w:r>
      <w:r>
        <w:rPr>
          <w:rFonts w:hint="eastAsia" w:ascii="仿宋" w:hAnsi="仿宋" w:eastAsia="仿宋" w:cs="仿宋"/>
          <w:color w:val="auto"/>
          <w:w w:val="99"/>
          <w:kern w:val="0"/>
          <w:szCs w:val="28"/>
          <w:highlight w:val="none"/>
        </w:rPr>
        <w:t>（签字或盖章）</w:t>
      </w:r>
    </w:p>
    <w:p w14:paraId="6757373A">
      <w:pPr>
        <w:tabs>
          <w:tab w:val="left" w:pos="3280"/>
          <w:tab w:val="left" w:pos="4680"/>
          <w:tab w:val="left" w:pos="6080"/>
        </w:tabs>
        <w:autoSpaceDE w:val="0"/>
        <w:autoSpaceDN w:val="0"/>
        <w:adjustRightInd w:val="0"/>
        <w:snapToGrid w:val="0"/>
        <w:spacing w:after="120" w:afterLines="50" w:line="360" w:lineRule="auto"/>
        <w:jc w:val="center"/>
        <w:rPr>
          <w:rFonts w:hint="eastAsia" w:ascii="仿宋" w:hAnsi="仿宋" w:eastAsia="仿宋" w:cs="仿宋"/>
          <w:color w:val="auto"/>
          <w:kern w:val="0"/>
          <w:szCs w:val="28"/>
          <w:highlight w:val="none"/>
        </w:rPr>
      </w:pPr>
      <w:r>
        <w:rPr>
          <w:rFonts w:hint="eastAsia" w:ascii="仿宋" w:hAnsi="仿宋" w:eastAsia="仿宋" w:cs="仿宋"/>
          <w:color w:val="auto"/>
          <w:w w:val="198"/>
          <w:kern w:val="0"/>
          <w:szCs w:val="28"/>
          <w:highlight w:val="none"/>
          <w:u w:val="single"/>
        </w:rPr>
        <w:t xml:space="preserve">    </w:t>
      </w:r>
      <w:r>
        <w:rPr>
          <w:rFonts w:hint="eastAsia" w:ascii="仿宋" w:hAnsi="仿宋" w:eastAsia="仿宋" w:cs="仿宋"/>
          <w:color w:val="auto"/>
          <w:w w:val="99"/>
          <w:kern w:val="0"/>
          <w:szCs w:val="28"/>
          <w:highlight w:val="none"/>
        </w:rPr>
        <w:t>年</w:t>
      </w:r>
      <w:r>
        <w:rPr>
          <w:rFonts w:hint="eastAsia" w:ascii="仿宋" w:hAnsi="仿宋" w:eastAsia="仿宋" w:cs="仿宋"/>
          <w:color w:val="auto"/>
          <w:w w:val="198"/>
          <w:kern w:val="0"/>
          <w:szCs w:val="28"/>
          <w:highlight w:val="none"/>
          <w:u w:val="single"/>
        </w:rPr>
        <w:t xml:space="preserve">    </w:t>
      </w:r>
      <w:r>
        <w:rPr>
          <w:rFonts w:hint="eastAsia" w:ascii="仿宋" w:hAnsi="仿宋" w:eastAsia="仿宋" w:cs="仿宋"/>
          <w:color w:val="auto"/>
          <w:w w:val="99"/>
          <w:kern w:val="0"/>
          <w:szCs w:val="28"/>
          <w:highlight w:val="none"/>
        </w:rPr>
        <w:t>月</w:t>
      </w:r>
      <w:r>
        <w:rPr>
          <w:rFonts w:hint="eastAsia" w:ascii="仿宋" w:hAnsi="仿宋" w:eastAsia="仿宋" w:cs="仿宋"/>
          <w:color w:val="auto"/>
          <w:w w:val="198"/>
          <w:kern w:val="0"/>
          <w:szCs w:val="28"/>
          <w:highlight w:val="none"/>
          <w:u w:val="single"/>
        </w:rPr>
        <w:t xml:space="preserve">    </w:t>
      </w:r>
      <w:r>
        <w:rPr>
          <w:rFonts w:hint="eastAsia" w:ascii="仿宋" w:hAnsi="仿宋" w:eastAsia="仿宋" w:cs="仿宋"/>
          <w:color w:val="auto"/>
          <w:w w:val="99"/>
          <w:kern w:val="0"/>
          <w:szCs w:val="28"/>
          <w:highlight w:val="none"/>
        </w:rPr>
        <w:t>日</w:t>
      </w:r>
    </w:p>
    <w:p w14:paraId="17EE8769">
      <w:pPr>
        <w:autoSpaceDE w:val="0"/>
        <w:autoSpaceDN w:val="0"/>
        <w:adjustRightInd w:val="0"/>
        <w:snapToGrid w:val="0"/>
        <w:spacing w:line="360" w:lineRule="auto"/>
        <w:jc w:val="center"/>
        <w:rPr>
          <w:rFonts w:hint="eastAsia" w:ascii="仿宋" w:hAnsi="仿宋" w:eastAsia="仿宋" w:cs="仿宋"/>
          <w:color w:val="auto"/>
          <w:kern w:val="0"/>
          <w:sz w:val="32"/>
          <w:szCs w:val="32"/>
          <w:highlight w:val="none"/>
        </w:rPr>
      </w:pPr>
      <w:r>
        <w:rPr>
          <w:rFonts w:hint="eastAsia" w:ascii="仿宋" w:hAnsi="仿宋" w:eastAsia="仿宋" w:cs="仿宋"/>
          <w:color w:val="auto"/>
          <w:sz w:val="22"/>
          <w:szCs w:val="22"/>
          <w:highlight w:val="none"/>
        </w:rPr>
        <w:br w:type="page"/>
      </w:r>
      <w:r>
        <w:rPr>
          <w:rFonts w:hint="eastAsia" w:ascii="仿宋" w:hAnsi="仿宋" w:eastAsia="仿宋" w:cs="仿宋"/>
          <w:color w:val="auto"/>
          <w:kern w:val="0"/>
          <w:sz w:val="36"/>
          <w:szCs w:val="36"/>
          <w:highlight w:val="none"/>
        </w:rPr>
        <w:t>目  录</w:t>
      </w:r>
    </w:p>
    <w:p w14:paraId="34CD8ABB">
      <w:pPr>
        <w:autoSpaceDE w:val="0"/>
        <w:autoSpaceDN w:val="0"/>
        <w:adjustRightInd w:val="0"/>
        <w:snapToGrid w:val="0"/>
        <w:spacing w:line="360" w:lineRule="auto"/>
        <w:jc w:val="left"/>
        <w:rPr>
          <w:rFonts w:hint="eastAsia" w:ascii="仿宋" w:hAnsi="仿宋" w:eastAsia="仿宋" w:cs="仿宋"/>
          <w:color w:val="auto"/>
          <w:kern w:val="0"/>
          <w:sz w:val="32"/>
          <w:szCs w:val="32"/>
          <w:highlight w:val="none"/>
        </w:rPr>
      </w:pPr>
    </w:p>
    <w:p w14:paraId="4C4FFBA1">
      <w:pPr>
        <w:autoSpaceDE w:val="0"/>
        <w:autoSpaceDN w:val="0"/>
        <w:adjustRightInd w:val="0"/>
        <w:snapToGrid w:val="0"/>
        <w:spacing w:line="360" w:lineRule="auto"/>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[目录由投标人自行编制]</w:t>
      </w:r>
    </w:p>
    <w:p w14:paraId="33752535">
      <w:pPr>
        <w:rPr>
          <w:rFonts w:hint="eastAsia" w:ascii="仿宋" w:hAnsi="仿宋" w:eastAsia="仿宋" w:cs="仿宋"/>
          <w:color w:val="auto"/>
          <w:sz w:val="22"/>
          <w:szCs w:val="22"/>
          <w:highlight w:val="none"/>
        </w:rPr>
      </w:pPr>
    </w:p>
    <w:p w14:paraId="3021344D">
      <w:pPr>
        <w:rPr>
          <w:rFonts w:hint="eastAsia" w:ascii="仿宋" w:hAnsi="仿宋" w:eastAsia="仿宋" w:cs="仿宋"/>
          <w:color w:val="auto"/>
          <w:highlight w:val="none"/>
        </w:rPr>
      </w:pPr>
    </w:p>
    <w:sectPr>
      <w:headerReference r:id="rId11" w:type="default"/>
      <w:footerReference r:id="rId12" w:type="default"/>
      <w:pgSz w:w="11906" w:h="16838"/>
      <w:pgMar w:top="1191" w:right="1361" w:bottom="1191" w:left="141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embedRegular r:id="rId1" w:fontKey="{7D628A30-6C32-46C2-86A1-86F39012B40C}"/>
  </w:font>
  <w:font w:name="方正黑体_GBK">
    <w:panose1 w:val="02010600010101010101"/>
    <w:charset w:val="86"/>
    <w:family w:val="auto"/>
    <w:pitch w:val="default"/>
    <w:sig w:usb0="00000001" w:usb1="080E0000" w:usb2="00000000" w:usb3="00000000" w:csb0="00040000" w:csb1="00000000"/>
    <w:embedRegular r:id="rId2" w:fontKey="{59071584-AA98-4BCC-9107-428EB5AC7D2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C9DECC">
    <w:pPr>
      <w:pStyle w:val="1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E727D9">
    <w:pPr>
      <w:pStyle w:val="1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24533E44">
                          <w:pPr>
                            <w:pStyle w:val="10"/>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q6k8jKAQAAlwMAAA4AAABkcnMvZTJvRG9jLnhtbK1TzY7TMBC+&#10;I/EOlu80aaWFKGq6AlWLkBAgLfsAruM0lmyP5XGb9AXgDThx4c5z9TkYO2kXLZc9cHHmz9/M93my&#10;vh2tYUcVUINr+HJRcqachFa7fcMfvt69qjjDKFwrDDjV8JNCfrt5+WI9+FqtoAfTqsAIxGE9+Ib3&#10;Mfq6KFD2ygpcgFeOkh0EKyK5YV+0QQyEbk2xKsvXxQCh9QGkQqTodkryGTE8BxC6Tku1BXmwysUJ&#10;NSgjIlHCXnvkmzxt1ykZP3cdqshMw4lpzCc1IXuXzmKzFvU+CN9rOY8gnjPCE05WaEdNr1BbEQU7&#10;BP0PlNUyAEIXFxJsMRHJihCLZflEm/teeJW5kNTor6Lj/4OVn45fAtMtbQJnTlh68POP7+efv8+/&#10;vrFlkmfwWFPVvae6OL6DMZXOcaRgYj12waYv8WGUJ3FPV3HVGJlMl6pVVZWUkpS7OIRTPF73AeN7&#10;BZYlo+GBXi+LKo4fMU6ll5LUzcGdNobiojaODYR6U725yTeuKUI3jpokFtO0yYrjbpwp7KA9EbOB&#10;VqDhjjaeM/PBkcJpWy5GuBi72Ug90b89RBohT5ZQJ6i5Gb1X5jbvVlqIv/1c9fg/bf4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aGmCS9MAAAAFAQAADwAAAAAAAAABACAAAAAiAAAAZHJzL2Rvd25y&#10;ZXYueG1sUEsBAhQAFAAAAAgAh07iQFq6k8jKAQAAlwMAAA4AAAAAAAAAAQAgAAAAIgEAAGRycy9l&#10;Mm9Eb2MueG1sUEsFBgAAAAAGAAYAWQEAAF4FAAAAAA==&#10;">
              <v:fill on="f" focussize="0,0"/>
              <v:stroke on="f" weight="1.25pt"/>
              <v:imagedata o:title=""/>
              <o:lock v:ext="edit" aspectratio="f"/>
              <v:textbox inset="0mm,0mm,0mm,0mm" style="mso-fit-shape-to-text:t;">
                <w:txbxContent>
                  <w:p w14:paraId="24533E44">
                    <w:pPr>
                      <w:pStyle w:val="10"/>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49BD6E">
    <w:pPr>
      <w:pStyle w:val="10"/>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0D770F">
    <w:pPr>
      <w:pStyle w:val="10"/>
      <w:ind w:right="36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FBA33C">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18FBA33C">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CA0001">
    <w:pPr>
      <w:pStyle w:val="1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3A01D6">
                          <w:pPr>
                            <w:pStyle w:val="10"/>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2B3A01D6">
                    <w:pPr>
                      <w:pStyle w:val="10"/>
                    </w:pPr>
                    <w:r>
                      <w:fldChar w:fldCharType="begin"/>
                    </w:r>
                    <w:r>
                      <w:instrText xml:space="preserve"> PAGE  \* MERGEFORMAT </w:instrText>
                    </w:r>
                    <w:r>
                      <w:fldChar w:fldCharType="separate"/>
                    </w:r>
                    <w:r>
                      <w:t>13</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1F18A3">
    <w:pPr>
      <w:pStyle w:val="10"/>
      <w:framePr w:wrap="around" w:vAnchor="text" w:hAnchor="margin" w:xAlign="center" w:y="1"/>
      <w:rPr>
        <w:rStyle w:val="20"/>
      </w:rPr>
    </w:pPr>
    <w:r>
      <w:fldChar w:fldCharType="begin"/>
    </w:r>
    <w:r>
      <w:rPr>
        <w:rStyle w:val="20"/>
      </w:rPr>
      <w:instrText xml:space="preserve">PAGE  </w:instrText>
    </w:r>
    <w:r>
      <w:fldChar w:fldCharType="separate"/>
    </w:r>
    <w:r>
      <w:rPr>
        <w:rStyle w:val="20"/>
      </w:rPr>
      <w:t>1</w:t>
    </w:r>
    <w:r>
      <w:fldChar w:fldCharType="end"/>
    </w:r>
  </w:p>
  <w:p w14:paraId="4501183B">
    <w:pPr>
      <w:pStyle w:val="1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0FC76B">
    <w:pPr>
      <w:pStyle w:val="10"/>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117424">
                          <w:pPr>
                            <w:pStyle w:val="10"/>
                          </w:pPr>
                          <w:r>
                            <w:fldChar w:fldCharType="begin"/>
                          </w:r>
                          <w:r>
                            <w:instrText xml:space="preserve"> PAGE  \* MERGEFORMAT </w:instrText>
                          </w:r>
                          <w:r>
                            <w:fldChar w:fldCharType="separate"/>
                          </w:r>
                          <w:r>
                            <w:t>24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p w14:paraId="27117424">
                    <w:pPr>
                      <w:pStyle w:val="10"/>
                    </w:pPr>
                    <w:r>
                      <w:fldChar w:fldCharType="begin"/>
                    </w:r>
                    <w:r>
                      <w:instrText xml:space="preserve"> PAGE  \* MERGEFORMAT </w:instrText>
                    </w:r>
                    <w:r>
                      <w:fldChar w:fldCharType="separate"/>
                    </w:r>
                    <w:r>
                      <w:t>24</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B66FEA">
    <w:pPr>
      <w:pStyle w:val="11"/>
      <w:pBdr>
        <w:bottom w:val="none" w:color="auto" w:sz="0" w:space="0"/>
      </w:pBdr>
      <w:jc w:val="left"/>
      <w:rPr>
        <w:rFonts w:ascii="方正黑体_GBK" w:eastAsia="方正黑体_GBK"/>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D224F2">
    <w:pPr>
      <w:pStyle w:val="11"/>
      <w:pBdr>
        <w:bottom w:val="none" w:color="auto" w:sz="0" w:space="1"/>
      </w:pBdr>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EA2750">
    <w:pPr>
      <w:pStyle w:val="11"/>
      <w:pBdr>
        <w:bottom w:val="none" w:color="auto" w:sz="0" w:space="1"/>
      </w:pBdr>
      <w:tabs>
        <w:tab w:val="clear" w:pos="415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F35E45"/>
    <w:multiLevelType w:val="singleLevel"/>
    <w:tmpl w:val="9EF35E45"/>
    <w:lvl w:ilvl="0" w:tentative="0">
      <w:start w:val="1"/>
      <w:numFmt w:val="chineseCounting"/>
      <w:suff w:val="nothing"/>
      <w:lvlText w:val="（%1）"/>
      <w:lvlJc w:val="left"/>
      <w:rPr>
        <w:rFonts w:hint="eastAsia"/>
      </w:rPr>
    </w:lvl>
  </w:abstractNum>
  <w:abstractNum w:abstractNumId="1">
    <w:nsid w:val="AB96254D"/>
    <w:multiLevelType w:val="singleLevel"/>
    <w:tmpl w:val="AB96254D"/>
    <w:lvl w:ilvl="0" w:tentative="0">
      <w:start w:val="2"/>
      <w:numFmt w:val="decimal"/>
      <w:lvlText w:val="%1."/>
      <w:lvlJc w:val="left"/>
      <w:pPr>
        <w:tabs>
          <w:tab w:val="left" w:pos="312"/>
        </w:tabs>
      </w:pPr>
    </w:lvl>
  </w:abstractNum>
  <w:abstractNum w:abstractNumId="2">
    <w:nsid w:val="533A8FAC"/>
    <w:multiLevelType w:val="singleLevel"/>
    <w:tmpl w:val="533A8FAC"/>
    <w:lvl w:ilvl="0" w:tentative="0">
      <w:start w:val="2"/>
      <w:numFmt w:val="decimal"/>
      <w:suff w:val="nothing"/>
      <w:lvlText w:val="（%1）"/>
      <w:lvlJc w:val="left"/>
    </w:lvl>
  </w:abstractNum>
  <w:abstractNum w:abstractNumId="3">
    <w:nsid w:val="5D45477E"/>
    <w:multiLevelType w:val="singleLevel"/>
    <w:tmpl w:val="5D45477E"/>
    <w:lvl w:ilvl="0" w:tentative="0">
      <w:start w:val="4"/>
      <w:numFmt w:val="chineseCounting"/>
      <w:suff w:val="nothing"/>
      <w:lvlText w:val="%1、"/>
      <w:lvlJc w:val="left"/>
      <w:rPr>
        <w:rFonts w:hint="eastAsia"/>
      </w:rPr>
    </w:lvl>
  </w:abstractNum>
  <w:abstractNum w:abstractNumId="4">
    <w:nsid w:val="5D7F1EF5"/>
    <w:multiLevelType w:val="singleLevel"/>
    <w:tmpl w:val="5D7F1EF5"/>
    <w:lvl w:ilvl="0" w:tentative="0">
      <w:start w:val="14"/>
      <w:numFmt w:val="decimal"/>
      <w:suff w:val="space"/>
      <w:lvlText w:val="%1."/>
      <w:lvlJc w:val="left"/>
    </w:lvl>
  </w:abstractNum>
  <w:num w:numId="1">
    <w:abstractNumId w:val="1"/>
  </w:num>
  <w:num w:numId="2">
    <w:abstractNumId w:val="2"/>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39E3590"/>
    <w:rsid w:val="001558A0"/>
    <w:rsid w:val="00546DCC"/>
    <w:rsid w:val="00665D2A"/>
    <w:rsid w:val="006C1665"/>
    <w:rsid w:val="00773F6F"/>
    <w:rsid w:val="007F12B0"/>
    <w:rsid w:val="00895EA9"/>
    <w:rsid w:val="009943E4"/>
    <w:rsid w:val="00A07231"/>
    <w:rsid w:val="00B573FC"/>
    <w:rsid w:val="012226E8"/>
    <w:rsid w:val="01E14769"/>
    <w:rsid w:val="02337C82"/>
    <w:rsid w:val="02AE7AB6"/>
    <w:rsid w:val="072D4687"/>
    <w:rsid w:val="075D42B7"/>
    <w:rsid w:val="08E25E9D"/>
    <w:rsid w:val="09D20B14"/>
    <w:rsid w:val="0BBE20B8"/>
    <w:rsid w:val="0D747664"/>
    <w:rsid w:val="0F2C11F3"/>
    <w:rsid w:val="11002F32"/>
    <w:rsid w:val="15E81B54"/>
    <w:rsid w:val="165D4F05"/>
    <w:rsid w:val="188D40F3"/>
    <w:rsid w:val="18EC0CC4"/>
    <w:rsid w:val="19212219"/>
    <w:rsid w:val="19B565D8"/>
    <w:rsid w:val="19C43E0D"/>
    <w:rsid w:val="1CA42C54"/>
    <w:rsid w:val="1CEB2BD7"/>
    <w:rsid w:val="1CED5120"/>
    <w:rsid w:val="1E112B2C"/>
    <w:rsid w:val="1FD42BF5"/>
    <w:rsid w:val="207B3E05"/>
    <w:rsid w:val="228F5B46"/>
    <w:rsid w:val="229F68B8"/>
    <w:rsid w:val="242C28E4"/>
    <w:rsid w:val="25375746"/>
    <w:rsid w:val="25494FD2"/>
    <w:rsid w:val="288764E6"/>
    <w:rsid w:val="2A545D77"/>
    <w:rsid w:val="2C63256A"/>
    <w:rsid w:val="2D76527F"/>
    <w:rsid w:val="2E87496F"/>
    <w:rsid w:val="302B7F90"/>
    <w:rsid w:val="311553E6"/>
    <w:rsid w:val="31637BB0"/>
    <w:rsid w:val="32D714EA"/>
    <w:rsid w:val="33E95EDD"/>
    <w:rsid w:val="368820A9"/>
    <w:rsid w:val="36C719CD"/>
    <w:rsid w:val="39EF60E5"/>
    <w:rsid w:val="3D5F3D81"/>
    <w:rsid w:val="3DF84B20"/>
    <w:rsid w:val="3E5B224B"/>
    <w:rsid w:val="3F387BEE"/>
    <w:rsid w:val="3FAA7756"/>
    <w:rsid w:val="400A45F9"/>
    <w:rsid w:val="455B7CDE"/>
    <w:rsid w:val="45656D65"/>
    <w:rsid w:val="45C74B48"/>
    <w:rsid w:val="475325E7"/>
    <w:rsid w:val="4DBF45D3"/>
    <w:rsid w:val="4DCC4784"/>
    <w:rsid w:val="4F4026B9"/>
    <w:rsid w:val="5060304C"/>
    <w:rsid w:val="51181B78"/>
    <w:rsid w:val="5669655C"/>
    <w:rsid w:val="578373F3"/>
    <w:rsid w:val="58077DC1"/>
    <w:rsid w:val="58A46E38"/>
    <w:rsid w:val="5C5678DA"/>
    <w:rsid w:val="5DFB6F28"/>
    <w:rsid w:val="5E775AAF"/>
    <w:rsid w:val="607F3D46"/>
    <w:rsid w:val="6244623E"/>
    <w:rsid w:val="639E3590"/>
    <w:rsid w:val="64712CA8"/>
    <w:rsid w:val="662921C7"/>
    <w:rsid w:val="677A6EDE"/>
    <w:rsid w:val="682B406E"/>
    <w:rsid w:val="685B1317"/>
    <w:rsid w:val="6880427A"/>
    <w:rsid w:val="690C6BC0"/>
    <w:rsid w:val="6939281C"/>
    <w:rsid w:val="6C5C7101"/>
    <w:rsid w:val="6D6B47F1"/>
    <w:rsid w:val="6E8114A4"/>
    <w:rsid w:val="70613188"/>
    <w:rsid w:val="70CB13FF"/>
    <w:rsid w:val="722D1456"/>
    <w:rsid w:val="73B31834"/>
    <w:rsid w:val="767B79DD"/>
    <w:rsid w:val="77C80C70"/>
    <w:rsid w:val="77D17A87"/>
    <w:rsid w:val="77DA1086"/>
    <w:rsid w:val="78E42AE7"/>
    <w:rsid w:val="7BC905A4"/>
    <w:rsid w:val="7BF1129C"/>
    <w:rsid w:val="7C35457D"/>
    <w:rsid w:val="7E2F06C7"/>
    <w:rsid w:val="7F452654"/>
    <w:rsid w:val="7FB603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22"/>
    <w:qFormat/>
    <w:uiPriority w:val="0"/>
    <w:pPr>
      <w:keepNext/>
      <w:keepLines/>
      <w:spacing w:before="260" w:after="260" w:line="416" w:lineRule="auto"/>
      <w:outlineLvl w:val="1"/>
    </w:pPr>
    <w:rPr>
      <w:b/>
      <w:bCs/>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paragraph" w:styleId="5">
    <w:name w:val="heading 4"/>
    <w:basedOn w:val="1"/>
    <w:next w:val="1"/>
    <w:qFormat/>
    <w:uiPriority w:val="0"/>
    <w:pPr>
      <w:widowControl/>
      <w:spacing w:before="100" w:beforeAutospacing="1" w:after="100" w:afterAutospacing="1"/>
      <w:jc w:val="left"/>
      <w:outlineLvl w:val="3"/>
    </w:pPr>
    <w:rPr>
      <w:kern w:val="0"/>
      <w:sz w:val="24"/>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6">
    <w:name w:val="Body Text"/>
    <w:basedOn w:val="1"/>
    <w:next w:val="1"/>
    <w:qFormat/>
    <w:uiPriority w:val="0"/>
    <w:pPr>
      <w:spacing w:after="120"/>
    </w:pPr>
    <w:rPr>
      <w:sz w:val="21"/>
    </w:rPr>
  </w:style>
  <w:style w:type="paragraph" w:styleId="7">
    <w:name w:val="toc 3"/>
    <w:basedOn w:val="1"/>
    <w:next w:val="1"/>
    <w:qFormat/>
    <w:uiPriority w:val="0"/>
    <w:pPr>
      <w:ind w:left="840" w:leftChars="400"/>
    </w:pPr>
  </w:style>
  <w:style w:type="paragraph" w:styleId="8">
    <w:name w:val="Body Text Indent 2"/>
    <w:basedOn w:val="1"/>
    <w:qFormat/>
    <w:uiPriority w:val="0"/>
    <w:pPr>
      <w:widowControl/>
      <w:spacing w:line="480" w:lineRule="auto"/>
      <w:ind w:firstLine="560"/>
      <w:jc w:val="left"/>
    </w:pPr>
    <w:rPr>
      <w:kern w:val="0"/>
    </w:rPr>
  </w:style>
  <w:style w:type="paragraph" w:styleId="9">
    <w:name w:val="Balloon Text"/>
    <w:basedOn w:val="1"/>
    <w:qFormat/>
    <w:uiPriority w:val="0"/>
    <w:rPr>
      <w:sz w:val="18"/>
    </w:rPr>
  </w:style>
  <w:style w:type="paragraph" w:styleId="10">
    <w:name w:val="footer"/>
    <w:basedOn w:val="1"/>
    <w:qFormat/>
    <w:uiPriority w:val="0"/>
    <w:pPr>
      <w:tabs>
        <w:tab w:val="center" w:pos="4153"/>
        <w:tab w:val="right" w:pos="8306"/>
      </w:tabs>
      <w:snapToGrid w:val="0"/>
      <w:jc w:val="left"/>
    </w:pPr>
    <w:rPr>
      <w:sz w:val="18"/>
      <w:szCs w:val="18"/>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2">
    <w:name w:val="toc 1"/>
    <w:basedOn w:val="1"/>
    <w:next w:val="1"/>
    <w:qFormat/>
    <w:uiPriority w:val="39"/>
    <w:pPr>
      <w:tabs>
        <w:tab w:val="right" w:leader="dot" w:pos="9117"/>
      </w:tabs>
      <w:spacing w:before="312" w:beforeLines="100"/>
      <w:jc w:val="left"/>
    </w:pPr>
    <w:rPr>
      <w:caps/>
      <w:szCs w:val="20"/>
    </w:rPr>
  </w:style>
  <w:style w:type="paragraph" w:styleId="13">
    <w:name w:val="Subtitle"/>
    <w:basedOn w:val="1"/>
    <w:qFormat/>
    <w:uiPriority w:val="0"/>
    <w:pPr>
      <w:widowControl/>
      <w:jc w:val="center"/>
    </w:pPr>
    <w:rPr>
      <w:kern w:val="0"/>
      <w:sz w:val="20"/>
      <w:u w:val="single"/>
      <w:lang w:eastAsia="en-US"/>
    </w:rPr>
  </w:style>
  <w:style w:type="paragraph" w:styleId="14">
    <w:name w:val="footnote text"/>
    <w:basedOn w:val="1"/>
    <w:qFormat/>
    <w:uiPriority w:val="0"/>
    <w:pPr>
      <w:widowControl/>
      <w:snapToGrid w:val="0"/>
      <w:jc w:val="left"/>
    </w:pPr>
    <w:rPr>
      <w:rFonts w:ascii="Arial" w:hAnsi="Arial" w:cs="Arial"/>
      <w:kern w:val="0"/>
      <w:sz w:val="18"/>
      <w:szCs w:val="18"/>
      <w:lang w:eastAsia="en-US"/>
    </w:rPr>
  </w:style>
  <w:style w:type="paragraph" w:styleId="15">
    <w:name w:val="toc 2"/>
    <w:basedOn w:val="1"/>
    <w:next w:val="1"/>
    <w:qFormat/>
    <w:uiPriority w:val="0"/>
    <w:pPr>
      <w:ind w:left="420" w:leftChars="200"/>
    </w:pPr>
  </w:style>
  <w:style w:type="paragraph" w:styleId="16">
    <w:name w:val="Body Text First Indent"/>
    <w:basedOn w:val="6"/>
    <w:next w:val="1"/>
    <w:qFormat/>
    <w:uiPriority w:val="0"/>
    <w:pPr>
      <w:adjustRightInd w:val="0"/>
      <w:spacing w:line="275" w:lineRule="atLeast"/>
      <w:ind w:firstLine="420"/>
      <w:textAlignment w:val="baseline"/>
    </w:pPr>
    <w:rPr>
      <w:rFonts w:ascii="宋体" w:eastAsia="楷体_GB2312"/>
      <w:sz w:val="24"/>
      <w:szCs w:val="20"/>
    </w:rPr>
  </w:style>
  <w:style w:type="table" w:styleId="18">
    <w:name w:val="Table Grid"/>
    <w:basedOn w:val="17"/>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0">
    <w:name w:val="page number"/>
    <w:qFormat/>
    <w:uiPriority w:val="0"/>
  </w:style>
  <w:style w:type="character" w:styleId="21">
    <w:name w:val="footnote reference"/>
    <w:qFormat/>
    <w:uiPriority w:val="0"/>
    <w:rPr>
      <w:vertAlign w:val="superscript"/>
    </w:rPr>
  </w:style>
  <w:style w:type="character" w:customStyle="1" w:styleId="22">
    <w:name w:val="标题 2 字符"/>
    <w:link w:val="3"/>
    <w:qFormat/>
    <w:uiPriority w:val="0"/>
    <w:rPr>
      <w:rFonts w:ascii="Times New Roman" w:hAnsi="Times New Roman"/>
      <w:b/>
      <w:bCs/>
      <w:sz w:val="32"/>
      <w:szCs w:val="32"/>
    </w:rPr>
  </w:style>
  <w:style w:type="paragraph" w:customStyle="1" w:styleId="23">
    <w:name w:val="pa-34"/>
    <w:basedOn w:val="1"/>
    <w:qFormat/>
    <w:uiPriority w:val="0"/>
    <w:pPr>
      <w:widowControl/>
      <w:spacing w:line="360" w:lineRule="atLeast"/>
      <w:ind w:firstLine="420"/>
      <w:jc w:val="left"/>
    </w:pPr>
    <w:rPr>
      <w:rFonts w:ascii="宋体" w:hAnsi="宋体" w:cs="宋体"/>
      <w:kern w:val="0"/>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7.xml"/><Relationship Id="rId11" Type="http://schemas.openxmlformats.org/officeDocument/2006/relationships/header" Target="header3.xml"/><Relationship Id="rId10" Type="http://schemas.openxmlformats.org/officeDocument/2006/relationships/footer" Target="footer6.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95</Pages>
  <Words>13093</Words>
  <Characters>14117</Characters>
  <Lines>510</Lines>
  <Paragraphs>143</Paragraphs>
  <TotalTime>0</TotalTime>
  <ScaleCrop>false</ScaleCrop>
  <LinksUpToDate>false</LinksUpToDate>
  <CharactersWithSpaces>14344</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2025-03-10T11:54:00Z</dcterms:created>
  <dc:creator>小小小朋友o∩_∩o</dc:creator>
  <cp:lastModifiedBy>刘瑾</cp:lastModifiedBy>
  <cp:lastPrinted>2025-03-20T09:13:00Z</cp:lastPrinted>
  <dcterms:modified xsi:type="dcterms:W3CDTF">2026-03-26T02:21:49Z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129CADD53350479C90924F4A4BBE09A9_13</vt:lpwstr>
  </property>
  <property fmtid="{D5CDD505-2E9C-101B-9397-08002B2CF9AE}" pid="4" name="KSOTemplateDocerSaveRecord">
    <vt:lpwstr>eyJoZGlkIjoiOTZiZDk2NjY5MWI1N2Q2ZWJhNDBmYjg5MjQ3ZDE1ZDkiLCJ1c2VySWQiOiI2MjkzOTExMzYifQ==</vt:lpwstr>
  </property>
</Properties>
</file>