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7F7091B">
      <w:pPr>
        <w:spacing w:line="700" w:lineRule="exact"/>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项目名称：重庆市大足中学初中部2号教学楼拆除工程</w:t>
      </w:r>
    </w:p>
    <w:p w14:paraId="333B1CDD">
      <w:pPr>
        <w:spacing w:line="700" w:lineRule="exact"/>
        <w:jc w:val="left"/>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项目编号：</w:t>
      </w:r>
      <w:r>
        <w:rPr>
          <w:rFonts w:hint="eastAsia" w:ascii="仿宋" w:hAnsi="仿宋" w:eastAsia="仿宋" w:cs="仿宋"/>
          <w:b/>
          <w:bCs/>
          <w:sz w:val="32"/>
          <w:szCs w:val="32"/>
          <w:lang w:val="en-US" w:eastAsia="zh-CN"/>
        </w:rPr>
        <w:tab/>
      </w:r>
      <w:r>
        <w:rPr>
          <w:rFonts w:hint="eastAsia" w:ascii="仿宋" w:hAnsi="仿宋" w:eastAsia="仿宋" w:cs="仿宋"/>
          <w:b/>
          <w:bCs/>
          <w:sz w:val="32"/>
          <w:szCs w:val="32"/>
          <w:lang w:val="en-US" w:eastAsia="zh-CN"/>
        </w:rPr>
        <w:t>HBZB20251006</w:t>
      </w:r>
    </w:p>
    <w:p w14:paraId="28F8C095">
      <w:pPr>
        <w:keepNext w:val="0"/>
        <w:keepLines w:val="0"/>
        <w:pageBreakBefore w:val="0"/>
        <w:widowControl w:val="0"/>
        <w:kinsoku/>
        <w:wordWrap w:val="0"/>
        <w:overflowPunct/>
        <w:topLinePunct w:val="0"/>
        <w:autoSpaceDE/>
        <w:autoSpaceDN/>
        <w:bidi w:val="0"/>
        <w:spacing w:line="660" w:lineRule="exact"/>
        <w:jc w:val="both"/>
        <w:textAlignment w:val="auto"/>
        <w:rPr>
          <w:rFonts w:hint="default" w:ascii="仿宋" w:hAnsi="仿宋" w:eastAsia="仿宋" w:cs="仿宋"/>
          <w:b/>
          <w:color w:val="auto"/>
          <w:kern w:val="2"/>
          <w:sz w:val="36"/>
          <w:szCs w:val="36"/>
          <w:highlight w:val="none"/>
          <w:lang w:val="en-US" w:eastAsia="zh-CN" w:bidi="ar-SA"/>
        </w:rPr>
      </w:pPr>
    </w:p>
    <w:p w14:paraId="7D50436C">
      <w:pPr>
        <w:rPr>
          <w:rFonts w:hint="eastAsia" w:ascii="仿宋" w:hAnsi="仿宋" w:eastAsia="仿宋" w:cs="仿宋"/>
          <w:color w:val="auto"/>
          <w:highlight w:val="none"/>
        </w:rPr>
      </w:pPr>
    </w:p>
    <w:p w14:paraId="6B1B4E4F">
      <w:pPr>
        <w:rPr>
          <w:rFonts w:hint="eastAsia" w:ascii="仿宋" w:hAnsi="仿宋" w:eastAsia="仿宋" w:cs="仿宋"/>
          <w:color w:val="auto"/>
          <w:highlight w:val="none"/>
        </w:rPr>
      </w:pPr>
    </w:p>
    <w:p w14:paraId="380FF75D">
      <w:pPr>
        <w:pStyle w:val="3"/>
        <w:rPr>
          <w:rFonts w:hint="eastAsia" w:ascii="仿宋" w:hAnsi="仿宋" w:eastAsia="仿宋" w:cs="仿宋"/>
          <w:color w:val="auto"/>
          <w:highlight w:val="none"/>
        </w:rPr>
      </w:pPr>
    </w:p>
    <w:p w14:paraId="4078FA7B">
      <w:pPr>
        <w:rPr>
          <w:rFonts w:hint="eastAsia" w:ascii="仿宋" w:hAnsi="仿宋" w:eastAsia="仿宋" w:cs="仿宋"/>
          <w:color w:val="auto"/>
          <w:highlight w:val="none"/>
        </w:rPr>
      </w:pPr>
      <w:bookmarkStart w:id="0" w:name="_Toc109721475"/>
      <w:bookmarkStart w:id="1" w:name="_Toc17688"/>
      <w:bookmarkStart w:id="2" w:name="_Toc110000690"/>
      <w:bookmarkStart w:id="3" w:name="_Toc110443976"/>
      <w:bookmarkStart w:id="4" w:name="_Toc110328768"/>
    </w:p>
    <w:p w14:paraId="6D4D2B76">
      <w:pPr>
        <w:pStyle w:val="3"/>
        <w:rPr>
          <w:rFonts w:hint="eastAsia"/>
          <w:color w:val="auto"/>
        </w:rPr>
      </w:pPr>
    </w:p>
    <w:p w14:paraId="2627C604">
      <w:pPr>
        <w:spacing w:line="240" w:lineRule="auto"/>
        <w:jc w:val="center"/>
        <w:outlineLvl w:val="0"/>
        <w:rPr>
          <w:rFonts w:hint="eastAsia" w:ascii="仿宋" w:hAnsi="仿宋" w:eastAsia="仿宋" w:cs="仿宋"/>
          <w:b/>
          <w:bCs/>
          <w:color w:val="auto"/>
          <w:spacing w:val="0"/>
          <w:w w:val="90"/>
          <w:sz w:val="90"/>
          <w:szCs w:val="90"/>
          <w:highlight w:val="none"/>
          <w:lang w:eastAsia="zh-CN"/>
        </w:rPr>
      </w:pPr>
      <w:bookmarkStart w:id="5" w:name="_Toc16443"/>
      <w:bookmarkStart w:id="6" w:name="_Toc18063"/>
      <w:r>
        <w:rPr>
          <w:rFonts w:hint="eastAsia" w:ascii="仿宋" w:hAnsi="仿宋" w:eastAsia="仿宋" w:cs="仿宋"/>
          <w:b/>
          <w:bCs/>
          <w:color w:val="auto"/>
          <w:spacing w:val="0"/>
          <w:w w:val="90"/>
          <w:sz w:val="90"/>
          <w:szCs w:val="90"/>
          <w:highlight w:val="none"/>
          <w:lang w:eastAsia="zh-CN"/>
        </w:rPr>
        <w:t>竞</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lang w:eastAsia="zh-CN"/>
        </w:rPr>
        <w:t>争</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lang w:eastAsia="zh-CN"/>
        </w:rPr>
        <w:t>性</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lang w:eastAsia="zh-CN"/>
        </w:rPr>
        <w:t>比</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lang w:eastAsia="zh-CN"/>
        </w:rPr>
        <w:t>选</w:t>
      </w:r>
    </w:p>
    <w:p w14:paraId="65C80F6A">
      <w:pPr>
        <w:spacing w:line="240" w:lineRule="auto"/>
        <w:jc w:val="center"/>
        <w:outlineLvl w:val="0"/>
        <w:rPr>
          <w:rFonts w:hint="eastAsia" w:ascii="仿宋" w:hAnsi="仿宋" w:eastAsia="仿宋" w:cs="仿宋"/>
          <w:b/>
          <w:bCs/>
          <w:color w:val="auto"/>
          <w:spacing w:val="0"/>
          <w:w w:val="90"/>
          <w:sz w:val="90"/>
          <w:szCs w:val="90"/>
          <w:highlight w:val="none"/>
        </w:rPr>
      </w:pPr>
      <w:r>
        <w:rPr>
          <w:rFonts w:hint="eastAsia" w:ascii="仿宋" w:hAnsi="仿宋" w:eastAsia="仿宋" w:cs="仿宋"/>
          <w:b/>
          <w:bCs/>
          <w:color w:val="auto"/>
          <w:spacing w:val="0"/>
          <w:w w:val="90"/>
          <w:sz w:val="90"/>
          <w:szCs w:val="90"/>
          <w:highlight w:val="none"/>
        </w:rPr>
        <w:t>采</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rPr>
        <w:t>购</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rPr>
        <w:t>文</w:t>
      </w:r>
      <w:r>
        <w:rPr>
          <w:rFonts w:hint="eastAsia" w:ascii="仿宋" w:hAnsi="仿宋" w:eastAsia="仿宋" w:cs="仿宋"/>
          <w:b/>
          <w:bCs/>
          <w:color w:val="auto"/>
          <w:spacing w:val="0"/>
          <w:w w:val="90"/>
          <w:sz w:val="90"/>
          <w:szCs w:val="90"/>
          <w:highlight w:val="none"/>
          <w:lang w:val="en-US" w:eastAsia="zh-CN"/>
        </w:rPr>
        <w:t xml:space="preserve"> </w:t>
      </w:r>
      <w:r>
        <w:rPr>
          <w:rFonts w:hint="eastAsia" w:ascii="仿宋" w:hAnsi="仿宋" w:eastAsia="仿宋" w:cs="仿宋"/>
          <w:b/>
          <w:bCs/>
          <w:color w:val="auto"/>
          <w:spacing w:val="0"/>
          <w:w w:val="90"/>
          <w:sz w:val="90"/>
          <w:szCs w:val="90"/>
          <w:highlight w:val="none"/>
        </w:rPr>
        <w:t>件</w:t>
      </w:r>
      <w:bookmarkEnd w:id="0"/>
      <w:bookmarkEnd w:id="1"/>
      <w:bookmarkEnd w:id="2"/>
      <w:bookmarkEnd w:id="3"/>
      <w:bookmarkEnd w:id="4"/>
      <w:bookmarkEnd w:id="5"/>
      <w:bookmarkEnd w:id="6"/>
    </w:p>
    <w:p w14:paraId="5D9C67BE">
      <w:pPr>
        <w:spacing w:line="700" w:lineRule="exact"/>
        <w:jc w:val="center"/>
        <w:rPr>
          <w:rFonts w:hint="eastAsia" w:ascii="宋体" w:hAnsi="宋体" w:cs="宋体"/>
          <w:spacing w:val="80"/>
          <w:sz w:val="48"/>
          <w:szCs w:val="48"/>
        </w:rPr>
      </w:pPr>
      <w:r>
        <w:rPr>
          <w:rFonts w:hint="eastAsia" w:ascii="宋体" w:hAnsi="宋体" w:cs="宋体"/>
          <w:sz w:val="32"/>
          <w:szCs w:val="32"/>
        </w:rPr>
        <w:t>（经评审的最低投标价法）</w:t>
      </w:r>
    </w:p>
    <w:p w14:paraId="019BBD42">
      <w:pPr>
        <w:spacing w:line="700" w:lineRule="exact"/>
        <w:jc w:val="center"/>
        <w:rPr>
          <w:rFonts w:hint="eastAsia" w:ascii="仿宋" w:hAnsi="仿宋" w:eastAsia="仿宋" w:cs="仿宋"/>
          <w:color w:val="auto"/>
          <w:sz w:val="32"/>
          <w:highlight w:val="none"/>
        </w:rPr>
      </w:pPr>
    </w:p>
    <w:p w14:paraId="22851900">
      <w:pPr>
        <w:pStyle w:val="3"/>
        <w:rPr>
          <w:rFonts w:hint="eastAsia" w:ascii="仿宋" w:hAnsi="仿宋" w:eastAsia="仿宋" w:cs="仿宋"/>
          <w:color w:val="auto"/>
          <w:highlight w:val="none"/>
        </w:rPr>
      </w:pPr>
    </w:p>
    <w:p w14:paraId="2B80FDD6">
      <w:pPr>
        <w:pStyle w:val="3"/>
        <w:rPr>
          <w:rFonts w:hint="eastAsia" w:ascii="仿宋" w:hAnsi="仿宋" w:eastAsia="仿宋" w:cs="仿宋"/>
          <w:color w:val="auto"/>
          <w:highlight w:val="none"/>
        </w:rPr>
      </w:pPr>
    </w:p>
    <w:p w14:paraId="1853DBE9">
      <w:pPr>
        <w:rPr>
          <w:rFonts w:hint="eastAsia" w:ascii="仿宋" w:hAnsi="仿宋" w:eastAsia="仿宋" w:cs="仿宋"/>
          <w:color w:val="auto"/>
          <w:highlight w:val="none"/>
        </w:rPr>
      </w:pPr>
    </w:p>
    <w:p w14:paraId="16E656CB">
      <w:pPr>
        <w:pStyle w:val="3"/>
        <w:rPr>
          <w:rFonts w:hint="eastAsia" w:ascii="仿宋" w:hAnsi="仿宋" w:eastAsia="仿宋" w:cs="仿宋"/>
          <w:color w:val="auto"/>
          <w:highlight w:val="none"/>
        </w:rPr>
      </w:pPr>
    </w:p>
    <w:p w14:paraId="7654D58E">
      <w:pPr>
        <w:rPr>
          <w:rFonts w:hint="eastAsia" w:ascii="仿宋" w:hAnsi="仿宋" w:eastAsia="仿宋" w:cs="仿宋"/>
          <w:color w:val="auto"/>
          <w:highlight w:val="none"/>
        </w:rPr>
      </w:pPr>
    </w:p>
    <w:p w14:paraId="5A84130B">
      <w:pPr>
        <w:pStyle w:val="3"/>
        <w:rPr>
          <w:rFonts w:hint="eastAsia"/>
          <w:color w:val="auto"/>
        </w:rPr>
      </w:pPr>
    </w:p>
    <w:p w14:paraId="10C477BE">
      <w:pPr>
        <w:pStyle w:val="2"/>
        <w:rPr>
          <w:rFonts w:hint="eastAsia" w:ascii="仿宋" w:hAnsi="仿宋" w:eastAsia="仿宋" w:cs="仿宋"/>
          <w:color w:val="auto"/>
          <w:highlight w:val="none"/>
        </w:rPr>
      </w:pPr>
    </w:p>
    <w:p w14:paraId="6F4B2AC3">
      <w:pPr>
        <w:keepNext w:val="0"/>
        <w:keepLines w:val="0"/>
        <w:pageBreakBefore w:val="0"/>
        <w:widowControl w:val="0"/>
        <w:kinsoku/>
        <w:wordWrap w:val="0"/>
        <w:overflowPunct/>
        <w:topLinePunct w:val="0"/>
        <w:autoSpaceDE/>
        <w:autoSpaceDN/>
        <w:bidi w:val="0"/>
        <w:spacing w:line="660" w:lineRule="exact"/>
        <w:jc w:val="both"/>
        <w:textAlignment w:val="auto"/>
        <w:outlineLvl w:val="0"/>
        <w:rPr>
          <w:rFonts w:hint="eastAsia" w:ascii="仿宋" w:hAnsi="仿宋" w:eastAsia="仿宋" w:cs="仿宋"/>
          <w:b/>
          <w:color w:val="auto"/>
          <w:kern w:val="2"/>
          <w:sz w:val="30"/>
          <w:szCs w:val="30"/>
          <w:highlight w:val="none"/>
          <w:lang w:val="en-US" w:eastAsia="zh-CN" w:bidi="ar-SA"/>
        </w:rPr>
      </w:pPr>
      <w:r>
        <w:rPr>
          <w:rFonts w:hint="eastAsia" w:ascii="仿宋" w:hAnsi="仿宋" w:eastAsia="仿宋" w:cs="仿宋"/>
          <w:b/>
          <w:color w:val="auto"/>
          <w:kern w:val="2"/>
          <w:sz w:val="30"/>
          <w:szCs w:val="30"/>
          <w:highlight w:val="none"/>
          <w:lang w:val="en-US" w:eastAsia="zh-CN" w:bidi="ar-SA"/>
        </w:rPr>
        <w:t>采   购   人：重庆市大足中学</w:t>
      </w:r>
    </w:p>
    <w:p w14:paraId="08323736">
      <w:pPr>
        <w:keepNext w:val="0"/>
        <w:keepLines w:val="0"/>
        <w:pageBreakBefore w:val="0"/>
        <w:widowControl w:val="0"/>
        <w:kinsoku/>
        <w:wordWrap w:val="0"/>
        <w:overflowPunct/>
        <w:topLinePunct w:val="0"/>
        <w:autoSpaceDE/>
        <w:autoSpaceDN/>
        <w:bidi w:val="0"/>
        <w:spacing w:line="660" w:lineRule="exact"/>
        <w:jc w:val="both"/>
        <w:textAlignment w:val="auto"/>
        <w:outlineLvl w:val="0"/>
        <w:rPr>
          <w:rFonts w:hint="eastAsia" w:ascii="仿宋" w:hAnsi="仿宋" w:eastAsia="仿宋" w:cs="仿宋"/>
          <w:b/>
          <w:color w:val="auto"/>
          <w:kern w:val="2"/>
          <w:sz w:val="30"/>
          <w:szCs w:val="30"/>
          <w:highlight w:val="none"/>
          <w:lang w:val="en-US" w:eastAsia="zh-CN" w:bidi="ar-SA"/>
        </w:rPr>
      </w:pPr>
      <w:r>
        <w:rPr>
          <w:rFonts w:hint="eastAsia" w:ascii="仿宋" w:hAnsi="仿宋" w:eastAsia="仿宋" w:cs="仿宋"/>
          <w:b/>
          <w:color w:val="auto"/>
          <w:kern w:val="2"/>
          <w:sz w:val="30"/>
          <w:szCs w:val="30"/>
          <w:highlight w:val="none"/>
          <w:lang w:val="en-US" w:eastAsia="zh-CN" w:bidi="ar-SA"/>
        </w:rPr>
        <w:t xml:space="preserve">代  理 机 构：重庆弘标建设工程管理有限公司 </w:t>
      </w:r>
    </w:p>
    <w:p w14:paraId="64223604">
      <w:pPr>
        <w:keepNext w:val="0"/>
        <w:keepLines w:val="0"/>
        <w:pageBreakBefore w:val="0"/>
        <w:widowControl w:val="0"/>
        <w:kinsoku/>
        <w:wordWrap w:val="0"/>
        <w:overflowPunct/>
        <w:topLinePunct w:val="0"/>
        <w:autoSpaceDE/>
        <w:autoSpaceDN/>
        <w:bidi w:val="0"/>
        <w:spacing w:line="660" w:lineRule="exact"/>
        <w:jc w:val="both"/>
        <w:textAlignment w:val="auto"/>
        <w:outlineLvl w:val="0"/>
        <w:rPr>
          <w:rFonts w:hint="eastAsia" w:ascii="仿宋" w:hAnsi="仿宋" w:eastAsia="仿宋" w:cs="仿宋"/>
          <w:b/>
          <w:color w:val="auto"/>
          <w:kern w:val="2"/>
          <w:sz w:val="30"/>
          <w:szCs w:val="30"/>
          <w:highlight w:val="none"/>
          <w:lang w:val="en-US" w:eastAsia="zh-CN" w:bidi="ar-SA"/>
        </w:rPr>
        <w:sectPr>
          <w:headerReference r:id="rId3" w:type="default"/>
          <w:footerReference r:id="rId4" w:type="default"/>
          <w:pgSz w:w="11907" w:h="16840"/>
          <w:pgMar w:top="1134" w:right="1191" w:bottom="1134" w:left="1304" w:header="851" w:footer="992" w:gutter="0"/>
          <w:pgNumType w:fmt="decimal" w:start="1"/>
          <w:cols w:space="720" w:num="1"/>
          <w:docGrid w:linePitch="380" w:charSpace="-5735"/>
        </w:sectPr>
      </w:pPr>
      <w:r>
        <w:rPr>
          <w:rFonts w:hint="eastAsia" w:ascii="仿宋" w:hAnsi="仿宋" w:eastAsia="仿宋" w:cs="仿宋"/>
          <w:b/>
          <w:color w:val="auto"/>
          <w:kern w:val="2"/>
          <w:sz w:val="30"/>
          <w:szCs w:val="30"/>
          <w:highlight w:val="none"/>
          <w:lang w:val="en-US" w:eastAsia="zh-CN" w:bidi="ar-SA"/>
        </w:rPr>
        <w:t xml:space="preserve">编 </w:t>
      </w:r>
      <w:r>
        <w:rPr>
          <w:rFonts w:hint="eastAsia" w:ascii="仿宋" w:hAnsi="仿宋" w:eastAsia="仿宋" w:cs="仿宋"/>
          <w:b/>
          <w:color w:val="auto"/>
          <w:kern w:val="2"/>
          <w:sz w:val="30"/>
          <w:szCs w:val="30"/>
          <w:highlight w:val="none"/>
          <w:lang w:val="en-US" w:eastAsia="zh-CN" w:bidi="ar-SA"/>
        </w:rPr>
        <w:tab/>
      </w:r>
      <w:r>
        <w:rPr>
          <w:rFonts w:hint="eastAsia" w:ascii="仿宋" w:hAnsi="仿宋" w:eastAsia="仿宋" w:cs="仿宋"/>
          <w:b/>
          <w:color w:val="auto"/>
          <w:kern w:val="2"/>
          <w:sz w:val="30"/>
          <w:szCs w:val="30"/>
          <w:highlight w:val="none"/>
          <w:lang w:val="en-US" w:eastAsia="zh-CN" w:bidi="ar-SA"/>
        </w:rPr>
        <w:t>制 时 间：</w:t>
      </w:r>
      <w:r>
        <w:rPr>
          <w:rFonts w:hint="eastAsia" w:ascii="仿宋" w:hAnsi="仿宋" w:eastAsia="仿宋" w:cs="仿宋"/>
          <w:b/>
          <w:color w:val="auto"/>
          <w:kern w:val="2"/>
          <w:sz w:val="30"/>
          <w:szCs w:val="30"/>
          <w:highlight w:val="none"/>
          <w:lang w:val="en-US" w:eastAsia="zh-CN" w:bidi="ar-SA"/>
        </w:rPr>
        <w:tab/>
      </w:r>
      <w:r>
        <w:rPr>
          <w:rFonts w:hint="eastAsia" w:ascii="仿宋" w:hAnsi="仿宋" w:eastAsia="仿宋" w:cs="仿宋"/>
          <w:b/>
          <w:color w:val="auto"/>
          <w:kern w:val="2"/>
          <w:sz w:val="30"/>
          <w:szCs w:val="30"/>
          <w:highlight w:val="none"/>
          <w:lang w:val="en-US" w:eastAsia="zh-CN" w:bidi="ar-SA"/>
        </w:rPr>
        <w:t>2025年6月</w:t>
      </w:r>
    </w:p>
    <w:p w14:paraId="6C68E9BF">
      <w:pPr>
        <w:snapToGrid w:val="0"/>
        <w:spacing w:line="500" w:lineRule="exact"/>
        <w:ind w:firstLine="4400" w:firstLineChars="1000"/>
        <w:jc w:val="both"/>
        <w:rPr>
          <w:rFonts w:hint="eastAsia" w:ascii="仿宋" w:hAnsi="仿宋" w:eastAsia="仿宋" w:cs="仿宋"/>
          <w:color w:val="auto"/>
          <w:sz w:val="44"/>
          <w:highlight w:val="none"/>
        </w:rPr>
      </w:pPr>
    </w:p>
    <w:p w14:paraId="429F30CF">
      <w:pPr>
        <w:snapToGrid w:val="0"/>
        <w:spacing w:line="500" w:lineRule="exact"/>
        <w:ind w:firstLine="4400" w:firstLineChars="1000"/>
        <w:jc w:val="both"/>
        <w:rPr>
          <w:rFonts w:hint="eastAsia" w:ascii="仿宋" w:hAnsi="仿宋" w:eastAsia="仿宋" w:cs="仿宋"/>
          <w:color w:val="auto"/>
          <w:sz w:val="44"/>
          <w:highlight w:val="none"/>
        </w:rPr>
      </w:pPr>
      <w:r>
        <w:rPr>
          <w:rFonts w:hint="eastAsia" w:ascii="仿宋" w:hAnsi="仿宋" w:eastAsia="仿宋" w:cs="仿宋"/>
          <w:color w:val="auto"/>
          <w:sz w:val="44"/>
          <w:highlight w:val="none"/>
        </w:rPr>
        <w:t>目  录</w:t>
      </w:r>
    </w:p>
    <w:p w14:paraId="56A1BCB1">
      <w:pPr>
        <w:pStyle w:val="39"/>
        <w:tabs>
          <w:tab w:val="right" w:leader="dot" w:pos="9412"/>
          <w:tab w:val="clear" w:pos="1260"/>
          <w:tab w:val="clear" w:pos="1685"/>
          <w:tab w:val="clear" w:pos="8400"/>
        </w:tabs>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TOC \o "1-2" \h \z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_Toc30544 </w:instrText>
      </w:r>
      <w:r>
        <w:rPr>
          <w:rFonts w:hint="eastAsia" w:ascii="仿宋" w:hAnsi="仿宋" w:eastAsia="仿宋" w:cs="仿宋"/>
          <w:szCs w:val="21"/>
          <w:highlight w:val="none"/>
        </w:rPr>
        <w:fldChar w:fldCharType="separate"/>
      </w:r>
      <w:r>
        <w:rPr>
          <w:rFonts w:hint="eastAsia" w:ascii="仿宋" w:hAnsi="仿宋" w:eastAsia="仿宋" w:cs="仿宋"/>
          <w:highlight w:val="none"/>
        </w:rPr>
        <w:t>第一篇 投标邀请书</w:t>
      </w:r>
      <w:r>
        <w:tab/>
      </w:r>
      <w:r>
        <w:fldChar w:fldCharType="begin"/>
      </w:r>
      <w:r>
        <w:instrText xml:space="preserve"> PAGEREF _Toc30544 \h </w:instrText>
      </w:r>
      <w:r>
        <w:fldChar w:fldCharType="separate"/>
      </w:r>
      <w:r>
        <w:t>4</w:t>
      </w:r>
      <w:r>
        <w:fldChar w:fldCharType="end"/>
      </w:r>
      <w:r>
        <w:rPr>
          <w:rFonts w:hint="eastAsia" w:ascii="仿宋" w:hAnsi="仿宋" w:eastAsia="仿宋" w:cs="仿宋"/>
          <w:color w:val="auto"/>
          <w:szCs w:val="21"/>
          <w:highlight w:val="none"/>
        </w:rPr>
        <w:fldChar w:fldCharType="end"/>
      </w:r>
    </w:p>
    <w:p w14:paraId="41EC5861">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_Toc23627 </w:instrText>
      </w:r>
      <w:r>
        <w:rPr>
          <w:rFonts w:hint="eastAsia" w:ascii="仿宋" w:hAnsi="仿宋" w:eastAsia="仿宋" w:cs="仿宋"/>
          <w:szCs w:val="21"/>
          <w:highlight w:val="none"/>
        </w:rPr>
        <w:fldChar w:fldCharType="separate"/>
      </w:r>
      <w:r>
        <w:rPr>
          <w:rFonts w:hint="eastAsia" w:ascii="仿宋" w:hAnsi="仿宋" w:eastAsia="仿宋" w:cs="仿宋"/>
          <w:highlight w:val="none"/>
        </w:rPr>
        <w:t>一、项目内容</w:t>
      </w:r>
      <w:r>
        <w:tab/>
      </w:r>
      <w:r>
        <w:fldChar w:fldCharType="begin"/>
      </w:r>
      <w:r>
        <w:instrText xml:space="preserve"> PAGEREF _Toc23627 \h </w:instrText>
      </w:r>
      <w:r>
        <w:fldChar w:fldCharType="separate"/>
      </w:r>
      <w:r>
        <w:t>4</w:t>
      </w:r>
      <w:r>
        <w:fldChar w:fldCharType="end"/>
      </w:r>
      <w:r>
        <w:rPr>
          <w:rFonts w:hint="eastAsia" w:ascii="仿宋" w:hAnsi="仿宋" w:eastAsia="仿宋" w:cs="仿宋"/>
          <w:color w:val="auto"/>
          <w:szCs w:val="21"/>
          <w:highlight w:val="none"/>
        </w:rPr>
        <w:fldChar w:fldCharType="end"/>
      </w:r>
    </w:p>
    <w:p w14:paraId="699112B7">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_Toc9059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二、资金来源</w:t>
      </w:r>
      <w:r>
        <w:tab/>
      </w:r>
      <w:r>
        <w:fldChar w:fldCharType="begin"/>
      </w:r>
      <w:r>
        <w:instrText xml:space="preserve"> PAGEREF _Toc9059 \h </w:instrText>
      </w:r>
      <w:r>
        <w:fldChar w:fldCharType="separate"/>
      </w:r>
      <w:r>
        <w:t>4</w:t>
      </w:r>
      <w:r>
        <w:fldChar w:fldCharType="end"/>
      </w:r>
      <w:r>
        <w:rPr>
          <w:rFonts w:hint="eastAsia" w:ascii="仿宋" w:hAnsi="仿宋" w:eastAsia="仿宋" w:cs="仿宋"/>
          <w:color w:val="auto"/>
          <w:szCs w:val="21"/>
          <w:highlight w:val="none"/>
        </w:rPr>
        <w:fldChar w:fldCharType="end"/>
      </w:r>
    </w:p>
    <w:p w14:paraId="6EDB5DC8">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_Toc5748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三、竞争性比选资格</w:t>
      </w:r>
      <w:r>
        <w:tab/>
      </w:r>
      <w:r>
        <w:fldChar w:fldCharType="begin"/>
      </w:r>
      <w:r>
        <w:instrText xml:space="preserve"> PAGEREF _Toc5748 \h </w:instrText>
      </w:r>
      <w:r>
        <w:fldChar w:fldCharType="separate"/>
      </w:r>
      <w:r>
        <w:t>4</w:t>
      </w:r>
      <w:r>
        <w:fldChar w:fldCharType="end"/>
      </w:r>
      <w:r>
        <w:rPr>
          <w:rFonts w:hint="eastAsia" w:ascii="仿宋" w:hAnsi="仿宋" w:eastAsia="仿宋" w:cs="仿宋"/>
          <w:color w:val="auto"/>
          <w:szCs w:val="21"/>
          <w:highlight w:val="none"/>
        </w:rPr>
        <w:fldChar w:fldCharType="end"/>
      </w:r>
    </w:p>
    <w:p w14:paraId="2E1ED5BB">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_Toc9446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四、竞争性比选相关说明</w:t>
      </w:r>
      <w:r>
        <w:tab/>
      </w:r>
      <w:r>
        <w:fldChar w:fldCharType="begin"/>
      </w:r>
      <w:r>
        <w:instrText xml:space="preserve"> PAGEREF _Toc9446 \h </w:instrText>
      </w:r>
      <w:r>
        <w:fldChar w:fldCharType="separate"/>
      </w:r>
      <w:r>
        <w:t>5</w:t>
      </w:r>
      <w:r>
        <w:fldChar w:fldCharType="end"/>
      </w:r>
      <w:r>
        <w:rPr>
          <w:rFonts w:hint="eastAsia" w:ascii="仿宋" w:hAnsi="仿宋" w:eastAsia="仿宋" w:cs="仿宋"/>
          <w:color w:val="auto"/>
          <w:szCs w:val="21"/>
          <w:highlight w:val="none"/>
        </w:rPr>
        <w:fldChar w:fldCharType="end"/>
      </w:r>
    </w:p>
    <w:p w14:paraId="25D3BE27">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_Toc16526 </w:instrText>
      </w:r>
      <w:r>
        <w:rPr>
          <w:rFonts w:hint="eastAsia" w:ascii="仿宋" w:hAnsi="仿宋" w:eastAsia="仿宋" w:cs="仿宋"/>
          <w:szCs w:val="21"/>
          <w:highlight w:val="none"/>
        </w:rPr>
        <w:fldChar w:fldCharType="separate"/>
      </w:r>
      <w:r>
        <w:rPr>
          <w:rFonts w:hint="eastAsia" w:ascii="仿宋" w:hAnsi="仿宋" w:eastAsia="仿宋" w:cs="仿宋"/>
          <w:szCs w:val="18"/>
          <w:highlight w:val="none"/>
          <w:lang w:val="en-US" w:eastAsia="zh-CN"/>
        </w:rPr>
        <w:t>五、其它有关规定</w:t>
      </w:r>
      <w:r>
        <w:tab/>
      </w:r>
      <w:r>
        <w:fldChar w:fldCharType="begin"/>
      </w:r>
      <w:r>
        <w:instrText xml:space="preserve"> PAGEREF _Toc16526 \h </w:instrText>
      </w:r>
      <w:r>
        <w:fldChar w:fldCharType="separate"/>
      </w:r>
      <w:r>
        <w:t>6</w:t>
      </w:r>
      <w:r>
        <w:fldChar w:fldCharType="end"/>
      </w:r>
      <w:r>
        <w:rPr>
          <w:rFonts w:hint="eastAsia" w:ascii="仿宋" w:hAnsi="仿宋" w:eastAsia="仿宋" w:cs="仿宋"/>
          <w:color w:val="auto"/>
          <w:szCs w:val="21"/>
          <w:highlight w:val="none"/>
        </w:rPr>
        <w:fldChar w:fldCharType="end"/>
      </w:r>
    </w:p>
    <w:p w14:paraId="770C39D4">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_Toc24273 </w:instrText>
      </w:r>
      <w:r>
        <w:rPr>
          <w:rFonts w:hint="eastAsia" w:ascii="仿宋" w:hAnsi="仿宋" w:eastAsia="仿宋" w:cs="仿宋"/>
          <w:szCs w:val="21"/>
          <w:highlight w:val="none"/>
        </w:rPr>
        <w:fldChar w:fldCharType="separate"/>
      </w:r>
      <w:r>
        <w:rPr>
          <w:rFonts w:hint="eastAsia" w:ascii="仿宋" w:hAnsi="仿宋" w:eastAsia="仿宋" w:cs="仿宋"/>
          <w:szCs w:val="18"/>
          <w:highlight w:val="none"/>
          <w:lang w:val="en-US" w:eastAsia="zh-CN"/>
        </w:rPr>
        <w:t>六、联系方式</w:t>
      </w:r>
      <w:r>
        <w:tab/>
      </w:r>
      <w:r>
        <w:fldChar w:fldCharType="begin"/>
      </w:r>
      <w:r>
        <w:instrText xml:space="preserve"> PAGEREF _Toc24273 \h </w:instrText>
      </w:r>
      <w:r>
        <w:fldChar w:fldCharType="separate"/>
      </w:r>
      <w:r>
        <w:t>7</w:t>
      </w:r>
      <w:r>
        <w:fldChar w:fldCharType="end"/>
      </w:r>
      <w:r>
        <w:rPr>
          <w:rFonts w:hint="eastAsia" w:ascii="仿宋" w:hAnsi="仿宋" w:eastAsia="仿宋" w:cs="仿宋"/>
          <w:color w:val="auto"/>
          <w:szCs w:val="21"/>
          <w:highlight w:val="none"/>
        </w:rPr>
        <w:fldChar w:fldCharType="end"/>
      </w:r>
    </w:p>
    <w:p w14:paraId="3281E2AC">
      <w:pPr>
        <w:pStyle w:val="39"/>
        <w:tabs>
          <w:tab w:val="right" w:leader="dot" w:pos="9412"/>
          <w:tab w:val="clear" w:pos="1260"/>
          <w:tab w:val="clear" w:pos="1685"/>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_Toc7618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第二篇 项目技术需求</w:t>
      </w:r>
      <w:r>
        <w:tab/>
      </w:r>
      <w:r>
        <w:fldChar w:fldCharType="begin"/>
      </w:r>
      <w:r>
        <w:instrText xml:space="preserve"> PAGEREF _Toc7618 \h </w:instrText>
      </w:r>
      <w:r>
        <w:fldChar w:fldCharType="separate"/>
      </w:r>
      <w:r>
        <w:t>8</w:t>
      </w:r>
      <w:r>
        <w:fldChar w:fldCharType="end"/>
      </w:r>
      <w:r>
        <w:rPr>
          <w:rFonts w:hint="eastAsia" w:ascii="仿宋" w:hAnsi="仿宋" w:eastAsia="仿宋" w:cs="仿宋"/>
          <w:color w:val="auto"/>
          <w:szCs w:val="21"/>
          <w:highlight w:val="none"/>
        </w:rPr>
        <w:fldChar w:fldCharType="end"/>
      </w:r>
    </w:p>
    <w:p w14:paraId="30BD5161">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_Toc2928 </w:instrText>
      </w:r>
      <w:r>
        <w:rPr>
          <w:rFonts w:hint="eastAsia" w:ascii="仿宋" w:hAnsi="仿宋" w:eastAsia="仿宋" w:cs="仿宋"/>
          <w:szCs w:val="21"/>
          <w:highlight w:val="none"/>
        </w:rPr>
        <w:fldChar w:fldCharType="separate"/>
      </w:r>
      <w:r>
        <w:rPr>
          <w:rFonts w:hint="eastAsia" w:ascii="仿宋" w:hAnsi="仿宋" w:eastAsia="仿宋" w:cs="仿宋"/>
        </w:rPr>
        <w:t xml:space="preserve">一、 </w:t>
      </w:r>
      <w:r>
        <w:rPr>
          <w:rFonts w:hint="eastAsia" w:ascii="仿宋" w:hAnsi="仿宋" w:eastAsia="仿宋" w:cs="仿宋"/>
          <w:highlight w:val="none"/>
        </w:rPr>
        <w:t>项目一览表</w:t>
      </w:r>
      <w:r>
        <w:tab/>
      </w:r>
      <w:r>
        <w:fldChar w:fldCharType="begin"/>
      </w:r>
      <w:r>
        <w:instrText xml:space="preserve"> PAGEREF _Toc2928 \h </w:instrText>
      </w:r>
      <w:r>
        <w:fldChar w:fldCharType="separate"/>
      </w:r>
      <w:r>
        <w:t>8</w:t>
      </w:r>
      <w:r>
        <w:fldChar w:fldCharType="end"/>
      </w:r>
      <w:r>
        <w:rPr>
          <w:rFonts w:hint="eastAsia" w:ascii="仿宋" w:hAnsi="仿宋" w:eastAsia="仿宋" w:cs="仿宋"/>
          <w:color w:val="auto"/>
          <w:szCs w:val="21"/>
          <w:highlight w:val="none"/>
        </w:rPr>
        <w:fldChar w:fldCharType="end"/>
      </w:r>
    </w:p>
    <w:p w14:paraId="15CABE10">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_Toc7123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二、实施内容及要求</w:t>
      </w:r>
      <w:r>
        <w:tab/>
      </w:r>
      <w:r>
        <w:fldChar w:fldCharType="begin"/>
      </w:r>
      <w:r>
        <w:instrText xml:space="preserve"> PAGEREF _Toc7123 \h </w:instrText>
      </w:r>
      <w:r>
        <w:fldChar w:fldCharType="separate"/>
      </w:r>
      <w:r>
        <w:t>8</w:t>
      </w:r>
      <w:r>
        <w:fldChar w:fldCharType="end"/>
      </w:r>
      <w:r>
        <w:rPr>
          <w:rFonts w:hint="eastAsia" w:ascii="仿宋" w:hAnsi="仿宋" w:eastAsia="仿宋" w:cs="仿宋"/>
          <w:color w:val="auto"/>
          <w:szCs w:val="21"/>
          <w:highlight w:val="none"/>
        </w:rPr>
        <w:fldChar w:fldCharType="end"/>
      </w:r>
    </w:p>
    <w:p w14:paraId="0875861B">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_Toc5015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三、投标截止日投标资格情况</w:t>
      </w:r>
      <w:r>
        <w:tab/>
      </w:r>
      <w:r>
        <w:fldChar w:fldCharType="begin"/>
      </w:r>
      <w:r>
        <w:instrText xml:space="preserve"> PAGEREF _Toc5015 \h </w:instrText>
      </w:r>
      <w:r>
        <w:fldChar w:fldCharType="separate"/>
      </w:r>
      <w:r>
        <w:t>8</w:t>
      </w:r>
      <w:r>
        <w:fldChar w:fldCharType="end"/>
      </w:r>
      <w:r>
        <w:rPr>
          <w:rFonts w:hint="eastAsia" w:ascii="仿宋" w:hAnsi="仿宋" w:eastAsia="仿宋" w:cs="仿宋"/>
          <w:color w:val="auto"/>
          <w:szCs w:val="21"/>
          <w:highlight w:val="none"/>
        </w:rPr>
        <w:fldChar w:fldCharType="end"/>
      </w:r>
    </w:p>
    <w:p w14:paraId="0E7C62F2">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_Toc20980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四、现场踏勘</w:t>
      </w:r>
      <w:r>
        <w:tab/>
      </w:r>
      <w:r>
        <w:fldChar w:fldCharType="begin"/>
      </w:r>
      <w:r>
        <w:instrText xml:space="preserve"> PAGEREF _Toc20980 \h </w:instrText>
      </w:r>
      <w:r>
        <w:fldChar w:fldCharType="separate"/>
      </w:r>
      <w:r>
        <w:t>9</w:t>
      </w:r>
      <w:r>
        <w:fldChar w:fldCharType="end"/>
      </w:r>
      <w:r>
        <w:rPr>
          <w:rFonts w:hint="eastAsia" w:ascii="仿宋" w:hAnsi="仿宋" w:eastAsia="仿宋" w:cs="仿宋"/>
          <w:color w:val="auto"/>
          <w:szCs w:val="21"/>
          <w:highlight w:val="none"/>
        </w:rPr>
        <w:fldChar w:fldCharType="end"/>
      </w:r>
    </w:p>
    <w:p w14:paraId="6125A380">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_Toc1172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五、安全要求</w:t>
      </w:r>
      <w:r>
        <w:tab/>
      </w:r>
      <w:r>
        <w:fldChar w:fldCharType="begin"/>
      </w:r>
      <w:r>
        <w:instrText xml:space="preserve"> PAGEREF _Toc1172 \h </w:instrText>
      </w:r>
      <w:r>
        <w:fldChar w:fldCharType="separate"/>
      </w:r>
      <w:r>
        <w:t>9</w:t>
      </w:r>
      <w:r>
        <w:fldChar w:fldCharType="end"/>
      </w:r>
      <w:r>
        <w:rPr>
          <w:rFonts w:hint="eastAsia" w:ascii="仿宋" w:hAnsi="仿宋" w:eastAsia="仿宋" w:cs="仿宋"/>
          <w:color w:val="auto"/>
          <w:szCs w:val="21"/>
          <w:highlight w:val="none"/>
        </w:rPr>
        <w:fldChar w:fldCharType="end"/>
      </w:r>
    </w:p>
    <w:p w14:paraId="0C68A46B">
      <w:pPr>
        <w:pStyle w:val="39"/>
        <w:tabs>
          <w:tab w:val="right" w:leader="dot" w:pos="9412"/>
          <w:tab w:val="clear" w:pos="1260"/>
          <w:tab w:val="clear" w:pos="1685"/>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_Toc18298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第三篇  项目商务需求</w:t>
      </w:r>
      <w:r>
        <w:tab/>
      </w:r>
      <w:r>
        <w:fldChar w:fldCharType="begin"/>
      </w:r>
      <w:r>
        <w:instrText xml:space="preserve"> PAGEREF _Toc18298 \h </w:instrText>
      </w:r>
      <w:r>
        <w:fldChar w:fldCharType="separate"/>
      </w:r>
      <w:r>
        <w:t>10</w:t>
      </w:r>
      <w:r>
        <w:fldChar w:fldCharType="end"/>
      </w:r>
      <w:r>
        <w:rPr>
          <w:rFonts w:hint="eastAsia" w:ascii="仿宋" w:hAnsi="仿宋" w:eastAsia="仿宋" w:cs="仿宋"/>
          <w:color w:val="auto"/>
          <w:szCs w:val="21"/>
          <w:highlight w:val="none"/>
        </w:rPr>
        <w:fldChar w:fldCharType="end"/>
      </w:r>
    </w:p>
    <w:p w14:paraId="345B5E2B">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_Toc17059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一、实施时间、地点、要求及验收方式</w:t>
      </w:r>
      <w:r>
        <w:tab/>
      </w:r>
      <w:r>
        <w:fldChar w:fldCharType="begin"/>
      </w:r>
      <w:r>
        <w:instrText xml:space="preserve"> PAGEREF _Toc17059 \h </w:instrText>
      </w:r>
      <w:r>
        <w:fldChar w:fldCharType="separate"/>
      </w:r>
      <w:r>
        <w:t>10</w:t>
      </w:r>
      <w:r>
        <w:fldChar w:fldCharType="end"/>
      </w:r>
      <w:r>
        <w:rPr>
          <w:rFonts w:hint="eastAsia" w:ascii="仿宋" w:hAnsi="仿宋" w:eastAsia="仿宋" w:cs="仿宋"/>
          <w:color w:val="auto"/>
          <w:szCs w:val="21"/>
          <w:highlight w:val="none"/>
        </w:rPr>
        <w:fldChar w:fldCharType="end"/>
      </w:r>
    </w:p>
    <w:p w14:paraId="62100515">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_Toc18697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二、报价要求及结算方式</w:t>
      </w:r>
      <w:r>
        <w:tab/>
      </w:r>
      <w:r>
        <w:fldChar w:fldCharType="begin"/>
      </w:r>
      <w:r>
        <w:instrText xml:space="preserve"> PAGEREF _Toc18697 \h </w:instrText>
      </w:r>
      <w:r>
        <w:fldChar w:fldCharType="separate"/>
      </w:r>
      <w:r>
        <w:t>10</w:t>
      </w:r>
      <w:r>
        <w:fldChar w:fldCharType="end"/>
      </w:r>
      <w:r>
        <w:rPr>
          <w:rFonts w:hint="eastAsia" w:ascii="仿宋" w:hAnsi="仿宋" w:eastAsia="仿宋" w:cs="仿宋"/>
          <w:color w:val="auto"/>
          <w:szCs w:val="21"/>
          <w:highlight w:val="none"/>
        </w:rPr>
        <w:fldChar w:fldCharType="end"/>
      </w:r>
    </w:p>
    <w:p w14:paraId="59B7280F">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_Toc17379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三、付款方式</w:t>
      </w:r>
      <w:r>
        <w:tab/>
      </w:r>
      <w:r>
        <w:fldChar w:fldCharType="begin"/>
      </w:r>
      <w:r>
        <w:instrText xml:space="preserve"> PAGEREF _Toc17379 \h </w:instrText>
      </w:r>
      <w:r>
        <w:fldChar w:fldCharType="separate"/>
      </w:r>
      <w:r>
        <w:t>12</w:t>
      </w:r>
      <w:r>
        <w:fldChar w:fldCharType="end"/>
      </w:r>
      <w:r>
        <w:rPr>
          <w:rFonts w:hint="eastAsia" w:ascii="仿宋" w:hAnsi="仿宋" w:eastAsia="仿宋" w:cs="仿宋"/>
          <w:color w:val="auto"/>
          <w:szCs w:val="21"/>
          <w:highlight w:val="none"/>
        </w:rPr>
        <w:fldChar w:fldCharType="end"/>
      </w:r>
    </w:p>
    <w:p w14:paraId="424DDC0C">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_Toc2084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五、其他</w:t>
      </w:r>
      <w:r>
        <w:tab/>
      </w:r>
      <w:r>
        <w:fldChar w:fldCharType="begin"/>
      </w:r>
      <w:r>
        <w:instrText xml:space="preserve"> PAGEREF _Toc2084 \h </w:instrText>
      </w:r>
      <w:r>
        <w:fldChar w:fldCharType="separate"/>
      </w:r>
      <w:r>
        <w:t>12</w:t>
      </w:r>
      <w:r>
        <w:fldChar w:fldCharType="end"/>
      </w:r>
      <w:r>
        <w:rPr>
          <w:rFonts w:hint="eastAsia" w:ascii="仿宋" w:hAnsi="仿宋" w:eastAsia="仿宋" w:cs="仿宋"/>
          <w:color w:val="auto"/>
          <w:szCs w:val="21"/>
          <w:highlight w:val="none"/>
        </w:rPr>
        <w:fldChar w:fldCharType="end"/>
      </w:r>
    </w:p>
    <w:p w14:paraId="356EBC86">
      <w:pPr>
        <w:pStyle w:val="39"/>
        <w:tabs>
          <w:tab w:val="right" w:leader="dot" w:pos="9412"/>
          <w:tab w:val="clear" w:pos="1260"/>
          <w:tab w:val="clear" w:pos="1685"/>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_Toc16419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第四篇 资格审查及评标办法</w:t>
      </w:r>
      <w:r>
        <w:tab/>
      </w:r>
      <w:r>
        <w:fldChar w:fldCharType="begin"/>
      </w:r>
      <w:r>
        <w:instrText xml:space="preserve"> PAGEREF _Toc16419 \h </w:instrText>
      </w:r>
      <w:r>
        <w:fldChar w:fldCharType="separate"/>
      </w:r>
      <w:r>
        <w:t>13</w:t>
      </w:r>
      <w:r>
        <w:fldChar w:fldCharType="end"/>
      </w:r>
      <w:r>
        <w:rPr>
          <w:rFonts w:hint="eastAsia" w:ascii="仿宋" w:hAnsi="仿宋" w:eastAsia="仿宋" w:cs="仿宋"/>
          <w:color w:val="auto"/>
          <w:szCs w:val="21"/>
          <w:highlight w:val="none"/>
        </w:rPr>
        <w:fldChar w:fldCharType="end"/>
      </w:r>
    </w:p>
    <w:p w14:paraId="1FA76B0F">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_Toc24653 </w:instrText>
      </w:r>
      <w:r>
        <w:rPr>
          <w:rFonts w:hint="eastAsia" w:ascii="仿宋" w:hAnsi="仿宋" w:eastAsia="仿宋" w:cs="仿宋"/>
          <w:szCs w:val="21"/>
          <w:highlight w:val="none"/>
        </w:rPr>
        <w:fldChar w:fldCharType="separate"/>
      </w:r>
      <w:r>
        <w:rPr>
          <w:rFonts w:hint="eastAsia" w:ascii="仿宋" w:hAnsi="仿宋" w:eastAsia="仿宋" w:cs="仿宋"/>
          <w:highlight w:val="none"/>
        </w:rPr>
        <w:t>一、资格审查及符合性审查</w:t>
      </w:r>
      <w:r>
        <w:tab/>
      </w:r>
      <w:r>
        <w:fldChar w:fldCharType="begin"/>
      </w:r>
      <w:r>
        <w:instrText xml:space="preserve"> PAGEREF _Toc24653 \h </w:instrText>
      </w:r>
      <w:r>
        <w:fldChar w:fldCharType="separate"/>
      </w:r>
      <w:r>
        <w:t>13</w:t>
      </w:r>
      <w:r>
        <w:fldChar w:fldCharType="end"/>
      </w:r>
      <w:r>
        <w:rPr>
          <w:rFonts w:hint="eastAsia" w:ascii="仿宋" w:hAnsi="仿宋" w:eastAsia="仿宋" w:cs="仿宋"/>
          <w:color w:val="auto"/>
          <w:szCs w:val="21"/>
          <w:highlight w:val="none"/>
        </w:rPr>
        <w:fldChar w:fldCharType="end"/>
      </w:r>
    </w:p>
    <w:p w14:paraId="127C539E">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_Toc25609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二、成交原则</w:t>
      </w:r>
      <w:r>
        <w:tab/>
      </w:r>
      <w:r>
        <w:fldChar w:fldCharType="begin"/>
      </w:r>
      <w:r>
        <w:instrText xml:space="preserve"> PAGEREF _Toc25609 \h </w:instrText>
      </w:r>
      <w:r>
        <w:fldChar w:fldCharType="separate"/>
      </w:r>
      <w:r>
        <w:t>15</w:t>
      </w:r>
      <w:r>
        <w:fldChar w:fldCharType="end"/>
      </w:r>
      <w:r>
        <w:rPr>
          <w:rFonts w:hint="eastAsia" w:ascii="仿宋" w:hAnsi="仿宋" w:eastAsia="仿宋" w:cs="仿宋"/>
          <w:color w:val="auto"/>
          <w:szCs w:val="21"/>
          <w:highlight w:val="none"/>
        </w:rPr>
        <w:fldChar w:fldCharType="end"/>
      </w:r>
    </w:p>
    <w:p w14:paraId="64607D87">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_Toc13848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三、无效响应</w:t>
      </w:r>
      <w:r>
        <w:tab/>
      </w:r>
      <w:r>
        <w:fldChar w:fldCharType="begin"/>
      </w:r>
      <w:r>
        <w:instrText xml:space="preserve"> PAGEREF _Toc13848 \h </w:instrText>
      </w:r>
      <w:r>
        <w:fldChar w:fldCharType="separate"/>
      </w:r>
      <w:r>
        <w:t>15</w:t>
      </w:r>
      <w:r>
        <w:fldChar w:fldCharType="end"/>
      </w:r>
      <w:r>
        <w:rPr>
          <w:rFonts w:hint="eastAsia" w:ascii="仿宋" w:hAnsi="仿宋" w:eastAsia="仿宋" w:cs="仿宋"/>
          <w:color w:val="auto"/>
          <w:szCs w:val="21"/>
          <w:highlight w:val="none"/>
        </w:rPr>
        <w:fldChar w:fldCharType="end"/>
      </w:r>
    </w:p>
    <w:p w14:paraId="026A0818">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_Toc19027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四、采购终止</w:t>
      </w:r>
      <w:r>
        <w:tab/>
      </w:r>
      <w:r>
        <w:fldChar w:fldCharType="begin"/>
      </w:r>
      <w:r>
        <w:instrText xml:space="preserve"> PAGEREF _Toc19027 \h </w:instrText>
      </w:r>
      <w:r>
        <w:fldChar w:fldCharType="separate"/>
      </w:r>
      <w:r>
        <w:t>16</w:t>
      </w:r>
      <w:r>
        <w:fldChar w:fldCharType="end"/>
      </w:r>
      <w:r>
        <w:rPr>
          <w:rFonts w:hint="eastAsia" w:ascii="仿宋" w:hAnsi="仿宋" w:eastAsia="仿宋" w:cs="仿宋"/>
          <w:color w:val="auto"/>
          <w:szCs w:val="21"/>
          <w:highlight w:val="none"/>
        </w:rPr>
        <w:fldChar w:fldCharType="end"/>
      </w:r>
    </w:p>
    <w:p w14:paraId="6B6EAE1E">
      <w:pPr>
        <w:pStyle w:val="39"/>
        <w:tabs>
          <w:tab w:val="right" w:leader="dot" w:pos="9412"/>
          <w:tab w:val="clear" w:pos="1260"/>
          <w:tab w:val="clear" w:pos="1685"/>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_Toc18395 </w:instrText>
      </w:r>
      <w:r>
        <w:rPr>
          <w:rFonts w:hint="eastAsia" w:ascii="仿宋" w:hAnsi="仿宋" w:eastAsia="仿宋" w:cs="仿宋"/>
          <w:szCs w:val="21"/>
          <w:highlight w:val="none"/>
        </w:rPr>
        <w:fldChar w:fldCharType="separate"/>
      </w:r>
      <w:r>
        <w:rPr>
          <w:rFonts w:hint="eastAsia" w:ascii="仿宋" w:hAnsi="仿宋" w:eastAsia="仿宋" w:cs="仿宋"/>
          <w:highlight w:val="none"/>
        </w:rPr>
        <w:t xml:space="preserve">第五篇  </w:t>
      </w:r>
      <w:r>
        <w:rPr>
          <w:rFonts w:hint="eastAsia" w:ascii="仿宋" w:hAnsi="仿宋" w:eastAsia="仿宋" w:cs="仿宋"/>
          <w:highlight w:val="none"/>
          <w:lang w:eastAsia="zh-CN"/>
        </w:rPr>
        <w:t>供应商</w:t>
      </w:r>
      <w:r>
        <w:rPr>
          <w:rFonts w:hint="eastAsia" w:ascii="仿宋" w:hAnsi="仿宋" w:eastAsia="仿宋" w:cs="仿宋"/>
          <w:highlight w:val="none"/>
        </w:rPr>
        <w:t>须知</w:t>
      </w:r>
      <w:r>
        <w:tab/>
      </w:r>
      <w:r>
        <w:fldChar w:fldCharType="begin"/>
      </w:r>
      <w:r>
        <w:instrText xml:space="preserve"> PAGEREF _Toc18395 \h </w:instrText>
      </w:r>
      <w:r>
        <w:fldChar w:fldCharType="separate"/>
      </w:r>
      <w:r>
        <w:t>17</w:t>
      </w:r>
      <w:r>
        <w:fldChar w:fldCharType="end"/>
      </w:r>
      <w:r>
        <w:rPr>
          <w:rFonts w:hint="eastAsia" w:ascii="仿宋" w:hAnsi="仿宋" w:eastAsia="仿宋" w:cs="仿宋"/>
          <w:color w:val="auto"/>
          <w:szCs w:val="21"/>
          <w:highlight w:val="none"/>
        </w:rPr>
        <w:fldChar w:fldCharType="end"/>
      </w:r>
    </w:p>
    <w:p w14:paraId="03F585AE">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_Toc21575 </w:instrText>
      </w:r>
      <w:r>
        <w:rPr>
          <w:rFonts w:hint="eastAsia" w:ascii="仿宋" w:hAnsi="仿宋" w:eastAsia="仿宋" w:cs="仿宋"/>
          <w:szCs w:val="21"/>
          <w:highlight w:val="none"/>
        </w:rPr>
        <w:fldChar w:fldCharType="separate"/>
      </w:r>
      <w:r>
        <w:rPr>
          <w:rFonts w:hint="eastAsia" w:ascii="仿宋" w:hAnsi="仿宋" w:eastAsia="仿宋" w:cs="仿宋"/>
          <w:highlight w:val="none"/>
        </w:rPr>
        <w:t>一、</w:t>
      </w:r>
      <w:r>
        <w:rPr>
          <w:rFonts w:hint="eastAsia" w:ascii="仿宋" w:hAnsi="仿宋" w:eastAsia="仿宋" w:cs="仿宋"/>
          <w:highlight w:val="none"/>
          <w:lang w:eastAsia="zh-CN"/>
        </w:rPr>
        <w:t>供应商</w:t>
      </w:r>
      <w:r>
        <w:tab/>
      </w:r>
      <w:r>
        <w:fldChar w:fldCharType="begin"/>
      </w:r>
      <w:r>
        <w:instrText xml:space="preserve"> PAGEREF _Toc21575 \h </w:instrText>
      </w:r>
      <w:r>
        <w:fldChar w:fldCharType="separate"/>
      </w:r>
      <w:r>
        <w:t>17</w:t>
      </w:r>
      <w:r>
        <w:fldChar w:fldCharType="end"/>
      </w:r>
      <w:r>
        <w:rPr>
          <w:rFonts w:hint="eastAsia" w:ascii="仿宋" w:hAnsi="仿宋" w:eastAsia="仿宋" w:cs="仿宋"/>
          <w:color w:val="auto"/>
          <w:szCs w:val="21"/>
          <w:highlight w:val="none"/>
        </w:rPr>
        <w:fldChar w:fldCharType="end"/>
      </w:r>
    </w:p>
    <w:p w14:paraId="711E0D11">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_Toc17638 </w:instrText>
      </w:r>
      <w:r>
        <w:rPr>
          <w:rFonts w:hint="eastAsia" w:ascii="仿宋" w:hAnsi="仿宋" w:eastAsia="仿宋" w:cs="仿宋"/>
          <w:szCs w:val="21"/>
          <w:highlight w:val="none"/>
        </w:rPr>
        <w:fldChar w:fldCharType="separate"/>
      </w:r>
      <w:r>
        <w:rPr>
          <w:rFonts w:hint="eastAsia" w:ascii="仿宋" w:hAnsi="仿宋" w:eastAsia="仿宋" w:cs="仿宋"/>
          <w:highlight w:val="none"/>
        </w:rPr>
        <w:t>二、</w:t>
      </w:r>
      <w:r>
        <w:rPr>
          <w:rFonts w:hint="eastAsia" w:ascii="仿宋" w:hAnsi="仿宋" w:eastAsia="仿宋" w:cs="仿宋"/>
          <w:highlight w:val="none"/>
          <w:lang w:eastAsia="zh-CN"/>
        </w:rPr>
        <w:t>采购文件</w:t>
      </w:r>
      <w:r>
        <w:tab/>
      </w:r>
      <w:r>
        <w:fldChar w:fldCharType="begin"/>
      </w:r>
      <w:r>
        <w:instrText xml:space="preserve"> PAGEREF _Toc17638 \h </w:instrText>
      </w:r>
      <w:r>
        <w:fldChar w:fldCharType="separate"/>
      </w:r>
      <w:r>
        <w:t>17</w:t>
      </w:r>
      <w:r>
        <w:fldChar w:fldCharType="end"/>
      </w:r>
      <w:r>
        <w:rPr>
          <w:rFonts w:hint="eastAsia" w:ascii="仿宋" w:hAnsi="仿宋" w:eastAsia="仿宋" w:cs="仿宋"/>
          <w:color w:val="auto"/>
          <w:szCs w:val="21"/>
          <w:highlight w:val="none"/>
        </w:rPr>
        <w:fldChar w:fldCharType="end"/>
      </w:r>
    </w:p>
    <w:p w14:paraId="4645E0C0">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_Toc659 </w:instrText>
      </w:r>
      <w:r>
        <w:rPr>
          <w:rFonts w:hint="eastAsia" w:ascii="仿宋" w:hAnsi="仿宋" w:eastAsia="仿宋" w:cs="仿宋"/>
          <w:szCs w:val="21"/>
          <w:highlight w:val="none"/>
        </w:rPr>
        <w:fldChar w:fldCharType="separate"/>
      </w:r>
      <w:r>
        <w:rPr>
          <w:rFonts w:hint="eastAsia" w:ascii="仿宋" w:hAnsi="仿宋" w:eastAsia="仿宋" w:cs="仿宋"/>
          <w:highlight w:val="none"/>
        </w:rPr>
        <w:t>三、</w:t>
      </w:r>
      <w:r>
        <w:rPr>
          <w:rFonts w:hint="eastAsia" w:ascii="仿宋" w:hAnsi="仿宋" w:eastAsia="仿宋" w:cs="仿宋"/>
          <w:highlight w:val="none"/>
          <w:lang w:eastAsia="zh-CN"/>
        </w:rPr>
        <w:t>响应文件</w:t>
      </w:r>
      <w:r>
        <w:tab/>
      </w:r>
      <w:r>
        <w:fldChar w:fldCharType="begin"/>
      </w:r>
      <w:r>
        <w:instrText xml:space="preserve"> PAGEREF _Toc659 \h </w:instrText>
      </w:r>
      <w:r>
        <w:fldChar w:fldCharType="separate"/>
      </w:r>
      <w:r>
        <w:t>17</w:t>
      </w:r>
      <w:r>
        <w:fldChar w:fldCharType="end"/>
      </w:r>
      <w:r>
        <w:rPr>
          <w:rFonts w:hint="eastAsia" w:ascii="仿宋" w:hAnsi="仿宋" w:eastAsia="仿宋" w:cs="仿宋"/>
          <w:color w:val="auto"/>
          <w:szCs w:val="21"/>
          <w:highlight w:val="none"/>
        </w:rPr>
        <w:fldChar w:fldCharType="end"/>
      </w:r>
    </w:p>
    <w:p w14:paraId="793747C4">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_Toc26465 </w:instrText>
      </w:r>
      <w:r>
        <w:rPr>
          <w:rFonts w:hint="eastAsia" w:ascii="仿宋" w:hAnsi="仿宋" w:eastAsia="仿宋" w:cs="仿宋"/>
          <w:szCs w:val="21"/>
          <w:highlight w:val="none"/>
        </w:rPr>
        <w:fldChar w:fldCharType="separate"/>
      </w:r>
      <w:r>
        <w:rPr>
          <w:rFonts w:hint="eastAsia" w:ascii="仿宋" w:hAnsi="仿宋" w:eastAsia="仿宋" w:cs="仿宋"/>
          <w:highlight w:val="none"/>
        </w:rPr>
        <w:t>四、开标</w:t>
      </w:r>
      <w:r>
        <w:tab/>
      </w:r>
      <w:r>
        <w:fldChar w:fldCharType="begin"/>
      </w:r>
      <w:r>
        <w:instrText xml:space="preserve"> PAGEREF _Toc26465 \h </w:instrText>
      </w:r>
      <w:r>
        <w:fldChar w:fldCharType="separate"/>
      </w:r>
      <w:r>
        <w:t>19</w:t>
      </w:r>
      <w:r>
        <w:fldChar w:fldCharType="end"/>
      </w:r>
      <w:r>
        <w:rPr>
          <w:rFonts w:hint="eastAsia" w:ascii="仿宋" w:hAnsi="仿宋" w:eastAsia="仿宋" w:cs="仿宋"/>
          <w:color w:val="auto"/>
          <w:szCs w:val="21"/>
          <w:highlight w:val="none"/>
        </w:rPr>
        <w:fldChar w:fldCharType="end"/>
      </w:r>
    </w:p>
    <w:p w14:paraId="7998431C">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_Toc14884 </w:instrText>
      </w:r>
      <w:r>
        <w:rPr>
          <w:rFonts w:hint="eastAsia" w:ascii="仿宋" w:hAnsi="仿宋" w:eastAsia="仿宋" w:cs="仿宋"/>
          <w:szCs w:val="21"/>
          <w:highlight w:val="none"/>
        </w:rPr>
        <w:fldChar w:fldCharType="separate"/>
      </w:r>
      <w:r>
        <w:rPr>
          <w:rFonts w:hint="eastAsia" w:ascii="仿宋" w:hAnsi="仿宋" w:eastAsia="仿宋" w:cs="仿宋"/>
          <w:highlight w:val="none"/>
        </w:rPr>
        <w:t>五、评标</w:t>
      </w:r>
      <w:r>
        <w:tab/>
      </w:r>
      <w:r>
        <w:fldChar w:fldCharType="begin"/>
      </w:r>
      <w:r>
        <w:instrText xml:space="preserve"> PAGEREF _Toc14884 \h </w:instrText>
      </w:r>
      <w:r>
        <w:fldChar w:fldCharType="separate"/>
      </w:r>
      <w:r>
        <w:t>20</w:t>
      </w:r>
      <w:r>
        <w:fldChar w:fldCharType="end"/>
      </w:r>
      <w:r>
        <w:rPr>
          <w:rFonts w:hint="eastAsia" w:ascii="仿宋" w:hAnsi="仿宋" w:eastAsia="仿宋" w:cs="仿宋"/>
          <w:color w:val="auto"/>
          <w:szCs w:val="21"/>
          <w:highlight w:val="none"/>
        </w:rPr>
        <w:fldChar w:fldCharType="end"/>
      </w:r>
    </w:p>
    <w:p w14:paraId="069FEC48">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_Toc28234 </w:instrText>
      </w:r>
      <w:r>
        <w:rPr>
          <w:rFonts w:hint="eastAsia" w:ascii="仿宋" w:hAnsi="仿宋" w:eastAsia="仿宋" w:cs="仿宋"/>
          <w:szCs w:val="21"/>
          <w:highlight w:val="none"/>
        </w:rPr>
        <w:fldChar w:fldCharType="separate"/>
      </w:r>
      <w:r>
        <w:rPr>
          <w:rFonts w:hint="eastAsia" w:ascii="仿宋" w:hAnsi="仿宋" w:eastAsia="仿宋" w:cs="仿宋"/>
          <w:highlight w:val="none"/>
        </w:rPr>
        <w:t>六、定标</w:t>
      </w:r>
      <w:r>
        <w:tab/>
      </w:r>
      <w:r>
        <w:fldChar w:fldCharType="begin"/>
      </w:r>
      <w:r>
        <w:instrText xml:space="preserve"> PAGEREF _Toc28234 \h </w:instrText>
      </w:r>
      <w:r>
        <w:fldChar w:fldCharType="separate"/>
      </w:r>
      <w:r>
        <w:t>20</w:t>
      </w:r>
      <w:r>
        <w:fldChar w:fldCharType="end"/>
      </w:r>
      <w:r>
        <w:rPr>
          <w:rFonts w:hint="eastAsia" w:ascii="仿宋" w:hAnsi="仿宋" w:eastAsia="仿宋" w:cs="仿宋"/>
          <w:color w:val="auto"/>
          <w:szCs w:val="21"/>
          <w:highlight w:val="none"/>
        </w:rPr>
        <w:fldChar w:fldCharType="end"/>
      </w:r>
    </w:p>
    <w:p w14:paraId="42A0F04E">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_Toc31933 </w:instrText>
      </w:r>
      <w:r>
        <w:rPr>
          <w:rFonts w:hint="eastAsia" w:ascii="仿宋" w:hAnsi="仿宋" w:eastAsia="仿宋" w:cs="仿宋"/>
          <w:szCs w:val="21"/>
          <w:highlight w:val="none"/>
        </w:rPr>
        <w:fldChar w:fldCharType="separate"/>
      </w:r>
      <w:r>
        <w:rPr>
          <w:rFonts w:hint="eastAsia" w:ascii="仿宋" w:hAnsi="仿宋" w:eastAsia="仿宋" w:cs="仿宋"/>
          <w:highlight w:val="none"/>
        </w:rPr>
        <w:t>七、中标通知书</w:t>
      </w:r>
      <w:r>
        <w:tab/>
      </w:r>
      <w:r>
        <w:fldChar w:fldCharType="begin"/>
      </w:r>
      <w:r>
        <w:instrText xml:space="preserve"> PAGEREF _Toc31933 \h </w:instrText>
      </w:r>
      <w:r>
        <w:fldChar w:fldCharType="separate"/>
      </w:r>
      <w:r>
        <w:t>20</w:t>
      </w:r>
      <w:r>
        <w:fldChar w:fldCharType="end"/>
      </w:r>
      <w:r>
        <w:rPr>
          <w:rFonts w:hint="eastAsia" w:ascii="仿宋" w:hAnsi="仿宋" w:eastAsia="仿宋" w:cs="仿宋"/>
          <w:color w:val="auto"/>
          <w:szCs w:val="21"/>
          <w:highlight w:val="none"/>
        </w:rPr>
        <w:fldChar w:fldCharType="end"/>
      </w:r>
    </w:p>
    <w:p w14:paraId="4F058DD2">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_Toc35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八</w:t>
      </w:r>
      <w:r>
        <w:rPr>
          <w:rFonts w:hint="eastAsia" w:ascii="仿宋" w:hAnsi="仿宋" w:eastAsia="仿宋" w:cs="仿宋"/>
          <w:highlight w:val="none"/>
        </w:rPr>
        <w:t>、采购代理服务费</w:t>
      </w:r>
      <w:r>
        <w:tab/>
      </w:r>
      <w:r>
        <w:fldChar w:fldCharType="begin"/>
      </w:r>
      <w:r>
        <w:instrText xml:space="preserve"> PAGEREF _Toc35 \h </w:instrText>
      </w:r>
      <w:r>
        <w:fldChar w:fldCharType="separate"/>
      </w:r>
      <w:r>
        <w:t>20</w:t>
      </w:r>
      <w:r>
        <w:fldChar w:fldCharType="end"/>
      </w:r>
      <w:r>
        <w:rPr>
          <w:rFonts w:hint="eastAsia" w:ascii="仿宋" w:hAnsi="仿宋" w:eastAsia="仿宋" w:cs="仿宋"/>
          <w:color w:val="auto"/>
          <w:szCs w:val="21"/>
          <w:highlight w:val="none"/>
        </w:rPr>
        <w:fldChar w:fldCharType="end"/>
      </w:r>
    </w:p>
    <w:p w14:paraId="0BEB86CE">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_Toc7007 </w:instrText>
      </w:r>
      <w:r>
        <w:rPr>
          <w:rFonts w:hint="eastAsia" w:ascii="仿宋" w:hAnsi="仿宋" w:eastAsia="仿宋" w:cs="仿宋"/>
          <w:szCs w:val="21"/>
          <w:highlight w:val="none"/>
        </w:rPr>
        <w:fldChar w:fldCharType="separate"/>
      </w:r>
      <w:r>
        <w:rPr>
          <w:rFonts w:hint="eastAsia" w:ascii="仿宋" w:hAnsi="仿宋" w:eastAsia="仿宋" w:cs="仿宋"/>
          <w:highlight w:val="none"/>
          <w:lang w:val="en-US" w:eastAsia="zh-CN"/>
        </w:rPr>
        <w:t>九</w:t>
      </w:r>
      <w:r>
        <w:rPr>
          <w:rFonts w:hint="eastAsia" w:ascii="仿宋" w:hAnsi="仿宋" w:eastAsia="仿宋" w:cs="仿宋"/>
          <w:highlight w:val="none"/>
        </w:rPr>
        <w:t>、签订合同</w:t>
      </w:r>
      <w:r>
        <w:tab/>
      </w:r>
      <w:r>
        <w:fldChar w:fldCharType="begin"/>
      </w:r>
      <w:r>
        <w:instrText xml:space="preserve"> PAGEREF _Toc7007 \h </w:instrText>
      </w:r>
      <w:r>
        <w:fldChar w:fldCharType="separate"/>
      </w:r>
      <w:r>
        <w:t>20</w:t>
      </w:r>
      <w:r>
        <w:fldChar w:fldCharType="end"/>
      </w:r>
      <w:r>
        <w:rPr>
          <w:rFonts w:hint="eastAsia" w:ascii="仿宋" w:hAnsi="仿宋" w:eastAsia="仿宋" w:cs="仿宋"/>
          <w:color w:val="auto"/>
          <w:szCs w:val="21"/>
          <w:highlight w:val="none"/>
        </w:rPr>
        <w:fldChar w:fldCharType="end"/>
      </w:r>
    </w:p>
    <w:p w14:paraId="42472B2C">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_Toc22709 </w:instrText>
      </w:r>
      <w:r>
        <w:rPr>
          <w:rFonts w:hint="eastAsia" w:ascii="仿宋" w:hAnsi="仿宋" w:eastAsia="仿宋" w:cs="仿宋"/>
          <w:szCs w:val="21"/>
          <w:highlight w:val="none"/>
        </w:rPr>
        <w:fldChar w:fldCharType="separate"/>
      </w:r>
      <w:r>
        <w:rPr>
          <w:rFonts w:hint="eastAsia" w:ascii="仿宋" w:hAnsi="仿宋" w:eastAsia="仿宋" w:cs="仿宋"/>
          <w:lang w:val="en-US" w:eastAsia="zh-CN"/>
        </w:rPr>
        <w:t xml:space="preserve">第六篇 </w:t>
      </w:r>
      <w:r>
        <w:rPr>
          <w:rFonts w:hint="eastAsia" w:ascii="仿宋" w:hAnsi="仿宋" w:eastAsia="仿宋" w:cs="仿宋"/>
          <w:highlight w:val="none"/>
          <w:lang w:val="en-US" w:eastAsia="zh-CN"/>
        </w:rPr>
        <w:t>合同条款及格式</w:t>
      </w:r>
      <w:r>
        <w:tab/>
      </w:r>
      <w:r>
        <w:fldChar w:fldCharType="begin"/>
      </w:r>
      <w:r>
        <w:instrText xml:space="preserve"> PAGEREF _Toc22709 \h </w:instrText>
      </w:r>
      <w:r>
        <w:fldChar w:fldCharType="separate"/>
      </w:r>
      <w:r>
        <w:t>23</w:t>
      </w:r>
      <w:r>
        <w:fldChar w:fldCharType="end"/>
      </w:r>
      <w:r>
        <w:rPr>
          <w:rFonts w:hint="eastAsia" w:ascii="仿宋" w:hAnsi="仿宋" w:eastAsia="仿宋" w:cs="仿宋"/>
          <w:color w:val="auto"/>
          <w:szCs w:val="21"/>
          <w:highlight w:val="none"/>
        </w:rPr>
        <w:fldChar w:fldCharType="end"/>
      </w:r>
    </w:p>
    <w:p w14:paraId="10E9B206">
      <w:pPr>
        <w:pStyle w:val="39"/>
        <w:tabs>
          <w:tab w:val="right" w:leader="dot" w:pos="9412"/>
          <w:tab w:val="clear" w:pos="1260"/>
          <w:tab w:val="clear" w:pos="1685"/>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_Toc12355 </w:instrText>
      </w:r>
      <w:r>
        <w:rPr>
          <w:rFonts w:hint="eastAsia" w:ascii="仿宋" w:hAnsi="仿宋" w:eastAsia="仿宋" w:cs="仿宋"/>
          <w:szCs w:val="21"/>
          <w:highlight w:val="none"/>
        </w:rPr>
        <w:fldChar w:fldCharType="separate"/>
      </w:r>
      <w:r>
        <w:rPr>
          <w:rFonts w:hint="eastAsia" w:ascii="仿宋" w:hAnsi="仿宋" w:eastAsia="仿宋" w:cs="仿宋"/>
          <w:bCs/>
          <w:kern w:val="2"/>
          <w:szCs w:val="21"/>
          <w:highlight w:val="none"/>
          <w:lang w:val="en-US" w:eastAsia="zh-CN" w:bidi="ar-SA"/>
        </w:rPr>
        <w:t>第七篇  响应文件格式要求</w:t>
      </w:r>
      <w:r>
        <w:tab/>
      </w:r>
      <w:r>
        <w:fldChar w:fldCharType="begin"/>
      </w:r>
      <w:r>
        <w:instrText xml:space="preserve"> PAGEREF _Toc12355 \h </w:instrText>
      </w:r>
      <w:r>
        <w:fldChar w:fldCharType="separate"/>
      </w:r>
      <w:r>
        <w:t>24</w:t>
      </w:r>
      <w:r>
        <w:fldChar w:fldCharType="end"/>
      </w:r>
      <w:r>
        <w:rPr>
          <w:rFonts w:hint="eastAsia" w:ascii="仿宋" w:hAnsi="仿宋" w:eastAsia="仿宋" w:cs="仿宋"/>
          <w:color w:val="auto"/>
          <w:szCs w:val="21"/>
          <w:highlight w:val="none"/>
        </w:rPr>
        <w:fldChar w:fldCharType="end"/>
      </w:r>
    </w:p>
    <w:p w14:paraId="1A19CA94">
      <w:pPr>
        <w:pStyle w:val="48"/>
        <w:tabs>
          <w:tab w:val="right" w:leader="dot" w:pos="9412"/>
          <w:tab w:val="clear" w:pos="8400"/>
        </w:tabs>
      </w:pPr>
      <w:r>
        <w:rPr>
          <w:rFonts w:hint="eastAsia" w:ascii="仿宋" w:hAnsi="仿宋" w:eastAsia="仿宋" w:cs="仿宋"/>
          <w:color w:val="auto"/>
          <w:szCs w:val="21"/>
          <w:highlight w:val="none"/>
        </w:rPr>
        <w:fldChar w:fldCharType="begin"/>
      </w:r>
      <w:r>
        <w:rPr>
          <w:rFonts w:hint="eastAsia" w:ascii="仿宋" w:hAnsi="仿宋" w:eastAsia="仿宋" w:cs="仿宋"/>
          <w:szCs w:val="21"/>
          <w:highlight w:val="none"/>
        </w:rPr>
        <w:instrText xml:space="preserve"> HYPERLINK \l _Toc11971 </w:instrText>
      </w:r>
      <w:r>
        <w:rPr>
          <w:rFonts w:hint="eastAsia" w:ascii="仿宋" w:hAnsi="仿宋" w:eastAsia="仿宋" w:cs="仿宋"/>
          <w:szCs w:val="21"/>
          <w:highlight w:val="none"/>
        </w:rPr>
        <w:fldChar w:fldCharType="separate"/>
      </w:r>
      <w:r>
        <w:rPr>
          <w:rFonts w:hint="eastAsia" w:ascii="仿宋" w:hAnsi="仿宋" w:eastAsia="仿宋" w:cs="仿宋"/>
          <w:kern w:val="2"/>
          <w:highlight w:val="none"/>
          <w:lang w:val="en-US" w:eastAsia="zh-CN" w:bidi="ar-SA"/>
        </w:rPr>
        <w:t>一、经济部分</w:t>
      </w:r>
      <w:r>
        <w:tab/>
      </w:r>
      <w:r>
        <w:fldChar w:fldCharType="begin"/>
      </w:r>
      <w:r>
        <w:instrText xml:space="preserve"> PAGEREF _Toc11971 \h </w:instrText>
      </w:r>
      <w:r>
        <w:fldChar w:fldCharType="separate"/>
      </w:r>
      <w:r>
        <w:t>54</w:t>
      </w:r>
      <w:r>
        <w:fldChar w:fldCharType="end"/>
      </w:r>
      <w:r>
        <w:rPr>
          <w:rFonts w:hint="eastAsia" w:ascii="仿宋" w:hAnsi="仿宋" w:eastAsia="仿宋" w:cs="仿宋"/>
          <w:color w:val="auto"/>
          <w:szCs w:val="21"/>
          <w:highlight w:val="none"/>
        </w:rPr>
        <w:fldChar w:fldCharType="end"/>
      </w:r>
    </w:p>
    <w:p w14:paraId="7EC132BE">
      <w:pPr>
        <w:pStyle w:val="39"/>
        <w:ind w:firstLine="0" w:firstLineChars="0"/>
        <w:rPr>
          <w:rFonts w:hint="eastAsia" w:ascii="仿宋" w:hAnsi="仿宋" w:eastAsia="仿宋" w:cs="仿宋"/>
          <w:color w:val="auto"/>
          <w:sz w:val="32"/>
          <w:highlight w:val="none"/>
        </w:rPr>
        <w:sectPr>
          <w:headerReference r:id="rId5" w:type="default"/>
          <w:footerReference r:id="rId6" w:type="default"/>
          <w:pgSz w:w="11907" w:h="16840"/>
          <w:pgMar w:top="1134" w:right="1191" w:bottom="1134" w:left="1304" w:header="964" w:footer="992" w:gutter="0"/>
          <w:pgNumType w:fmt="decimal" w:start="2"/>
          <w:cols w:space="720" w:num="1"/>
          <w:docGrid w:linePitch="312" w:charSpace="0"/>
        </w:sectPr>
      </w:pPr>
      <w:r>
        <w:rPr>
          <w:rFonts w:hint="eastAsia" w:ascii="仿宋" w:hAnsi="仿宋" w:eastAsia="仿宋" w:cs="仿宋"/>
          <w:color w:val="auto"/>
          <w:szCs w:val="21"/>
          <w:highlight w:val="none"/>
        </w:rPr>
        <w:fldChar w:fldCharType="end"/>
      </w:r>
    </w:p>
    <w:p w14:paraId="352EA737">
      <w:pPr>
        <w:pStyle w:val="4"/>
        <w:bidi w:val="0"/>
        <w:rPr>
          <w:rFonts w:hint="eastAsia" w:ascii="仿宋" w:hAnsi="仿宋" w:eastAsia="仿宋" w:cs="仿宋"/>
          <w:color w:val="auto"/>
          <w:highlight w:val="none"/>
        </w:rPr>
      </w:pPr>
      <w:bookmarkStart w:id="7" w:name="_Toc21468"/>
      <w:bookmarkStart w:id="8" w:name="_Toc31300"/>
      <w:bookmarkStart w:id="9" w:name="_Toc21631"/>
      <w:bookmarkStart w:id="10" w:name="_Toc30544"/>
      <w:bookmarkStart w:id="11" w:name="_Toc2977"/>
      <w:bookmarkStart w:id="12" w:name="_Toc14366"/>
      <w:bookmarkStart w:id="13" w:name="_Toc21693"/>
      <w:bookmarkStart w:id="14" w:name="_Toc25832"/>
      <w:bookmarkStart w:id="15" w:name="_Toc6967"/>
      <w:bookmarkStart w:id="16" w:name="_Toc4502"/>
      <w:bookmarkStart w:id="17" w:name="_Toc75793495"/>
      <w:bookmarkStart w:id="18" w:name="_Toc19468"/>
      <w:bookmarkStart w:id="19" w:name="_Toc5896"/>
      <w:bookmarkStart w:id="20" w:name="_Toc5284"/>
      <w:bookmarkStart w:id="21" w:name="_Toc16178"/>
      <w:bookmarkStart w:id="22" w:name="_Toc1386"/>
      <w:r>
        <w:rPr>
          <w:rFonts w:hint="eastAsia" w:ascii="仿宋" w:hAnsi="仿宋" w:eastAsia="仿宋" w:cs="仿宋"/>
          <w:color w:val="auto"/>
          <w:highlight w:val="none"/>
        </w:rPr>
        <w:t>第一篇 投标邀请书</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4F3622">
      <w:pPr>
        <w:snapToGrid w:val="0"/>
        <w:spacing w:line="360" w:lineRule="auto"/>
        <w:ind w:firstLine="480" w:firstLineChars="200"/>
        <w:rPr>
          <w:rFonts w:hint="eastAsia" w:ascii="仿宋" w:hAnsi="仿宋" w:eastAsia="仿宋" w:cs="仿宋"/>
          <w:color w:val="auto"/>
          <w:sz w:val="24"/>
          <w:szCs w:val="24"/>
          <w:highlight w:val="none"/>
          <w:u w:val="single"/>
          <w:lang w:val="en-US" w:eastAsia="zh-CN"/>
        </w:rPr>
      </w:pPr>
    </w:p>
    <w:p w14:paraId="11CBC799">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 xml:space="preserve">重庆弘标建设工程管理有限公司 </w:t>
      </w:r>
      <w:r>
        <w:rPr>
          <w:rFonts w:hint="eastAsia" w:ascii="仿宋" w:hAnsi="仿宋" w:eastAsia="仿宋" w:cs="仿宋"/>
          <w:color w:val="auto"/>
          <w:sz w:val="24"/>
          <w:szCs w:val="24"/>
          <w:highlight w:val="none"/>
          <w:lang w:val="en-US" w:eastAsia="zh-CN"/>
        </w:rPr>
        <w:t>（以下简称：采购代理机构）受</w:t>
      </w:r>
      <w:r>
        <w:rPr>
          <w:rFonts w:hint="eastAsia" w:ascii="仿宋" w:hAnsi="仿宋" w:eastAsia="仿宋" w:cs="仿宋"/>
          <w:color w:val="auto"/>
          <w:sz w:val="24"/>
          <w:szCs w:val="24"/>
          <w:highlight w:val="none"/>
          <w:u w:val="single"/>
          <w:lang w:val="en-US" w:eastAsia="zh-CN"/>
        </w:rPr>
        <w:t xml:space="preserve"> 重庆市大足中学</w:t>
      </w:r>
      <w:r>
        <w:rPr>
          <w:rFonts w:hint="eastAsia" w:ascii="仿宋" w:hAnsi="仿宋" w:eastAsia="仿宋" w:cs="仿宋"/>
          <w:color w:val="auto"/>
          <w:sz w:val="24"/>
          <w:szCs w:val="24"/>
          <w:highlight w:val="none"/>
          <w:lang w:val="en-US" w:eastAsia="zh-CN"/>
        </w:rPr>
        <w:t>（以下简称：采购人）的委托，对</w:t>
      </w:r>
      <w:r>
        <w:rPr>
          <w:rFonts w:hint="eastAsia" w:ascii="仿宋" w:hAnsi="仿宋" w:eastAsia="仿宋" w:cs="仿宋"/>
          <w:color w:val="auto"/>
          <w:sz w:val="24"/>
          <w:szCs w:val="24"/>
          <w:highlight w:val="none"/>
          <w:u w:val="single"/>
          <w:lang w:val="en-US" w:eastAsia="zh-CN"/>
        </w:rPr>
        <w:t>重庆市大足中学初中部2号教学楼拆除工程</w:t>
      </w:r>
      <w:r>
        <w:rPr>
          <w:rFonts w:hint="eastAsia" w:ascii="仿宋" w:hAnsi="仿宋" w:eastAsia="仿宋" w:cs="仿宋"/>
          <w:color w:val="auto"/>
          <w:sz w:val="24"/>
          <w:szCs w:val="24"/>
          <w:highlight w:val="none"/>
          <w:lang w:val="en-US" w:eastAsia="zh-CN"/>
        </w:rPr>
        <w:t>进行竞争性比选，欢迎有资格的供应商参加投标。</w:t>
      </w:r>
    </w:p>
    <w:p w14:paraId="44836F36">
      <w:pPr>
        <w:pStyle w:val="5"/>
        <w:bidi w:val="0"/>
        <w:rPr>
          <w:rFonts w:hint="eastAsia" w:ascii="仿宋" w:hAnsi="仿宋" w:eastAsia="仿宋" w:cs="仿宋"/>
          <w:color w:val="auto"/>
          <w:highlight w:val="none"/>
        </w:rPr>
      </w:pPr>
      <w:bookmarkStart w:id="23" w:name="_Toc19648"/>
      <w:bookmarkStart w:id="24" w:name="_Toc9774"/>
      <w:bookmarkStart w:id="25" w:name="_Toc75793496"/>
      <w:bookmarkStart w:id="26" w:name="_Toc8806"/>
      <w:bookmarkStart w:id="27" w:name="_Toc23627"/>
      <w:bookmarkStart w:id="28" w:name="_Toc398"/>
      <w:bookmarkStart w:id="29" w:name="_Toc9233"/>
      <w:bookmarkStart w:id="30" w:name="_Toc10092"/>
      <w:bookmarkStart w:id="31" w:name="_Toc25391"/>
      <w:bookmarkStart w:id="32" w:name="_Toc19219"/>
      <w:bookmarkStart w:id="33" w:name="_Toc2284"/>
      <w:bookmarkStart w:id="34" w:name="_Toc27035"/>
      <w:bookmarkStart w:id="35" w:name="_Toc19082"/>
      <w:bookmarkStart w:id="36" w:name="_Toc16810"/>
      <w:bookmarkStart w:id="37" w:name="_Toc14081"/>
      <w:bookmarkStart w:id="38" w:name="_Toc11858"/>
      <w:r>
        <w:rPr>
          <w:rFonts w:hint="eastAsia" w:ascii="仿宋" w:hAnsi="仿宋" w:eastAsia="仿宋" w:cs="仿宋"/>
          <w:color w:val="auto"/>
          <w:highlight w:val="none"/>
        </w:rPr>
        <w:t>一、项目内容</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tbl>
      <w:tblPr>
        <w:tblStyle w:val="60"/>
        <w:tblW w:w="8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4"/>
        <w:gridCol w:w="1863"/>
        <w:gridCol w:w="1687"/>
        <w:gridCol w:w="1604"/>
      </w:tblGrid>
      <w:tr w14:paraId="2598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3554" w:type="dxa"/>
            <w:noWrap w:val="0"/>
            <w:vAlign w:val="center"/>
          </w:tcPr>
          <w:p w14:paraId="455D55D0">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项目名称</w:t>
            </w:r>
          </w:p>
        </w:tc>
        <w:tc>
          <w:tcPr>
            <w:tcW w:w="1863" w:type="dxa"/>
            <w:noWrap w:val="0"/>
            <w:vAlign w:val="center"/>
          </w:tcPr>
          <w:p w14:paraId="6225EC5D">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采购预算</w:t>
            </w:r>
          </w:p>
          <w:p w14:paraId="15861438">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（元）</w:t>
            </w:r>
          </w:p>
        </w:tc>
        <w:tc>
          <w:tcPr>
            <w:tcW w:w="1687" w:type="dxa"/>
            <w:noWrap w:val="0"/>
            <w:vAlign w:val="center"/>
          </w:tcPr>
          <w:p w14:paraId="3DD6D2F0">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投标保证金（元）</w:t>
            </w:r>
          </w:p>
        </w:tc>
        <w:tc>
          <w:tcPr>
            <w:tcW w:w="1604" w:type="dxa"/>
            <w:noWrap w:val="0"/>
            <w:vAlign w:val="center"/>
          </w:tcPr>
          <w:p w14:paraId="05739BCB">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备注</w:t>
            </w:r>
          </w:p>
        </w:tc>
      </w:tr>
      <w:tr w14:paraId="09CD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554" w:type="dxa"/>
            <w:noWrap w:val="0"/>
            <w:vAlign w:val="center"/>
          </w:tcPr>
          <w:p w14:paraId="1702FEB6">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重庆市大足中学初中部2号教学楼拆除工程</w:t>
            </w:r>
          </w:p>
        </w:tc>
        <w:tc>
          <w:tcPr>
            <w:tcW w:w="1863" w:type="dxa"/>
            <w:noWrap w:val="0"/>
            <w:vAlign w:val="center"/>
          </w:tcPr>
          <w:p w14:paraId="2FE0ADA3">
            <w:pPr>
              <w:keepNext w:val="0"/>
              <w:keepLines w:val="0"/>
              <w:widowControl/>
              <w:suppressLineNumbers w:val="0"/>
              <w:ind w:left="0" w:leftChars="0" w:firstLine="0" w:firstLineChars="0"/>
              <w:jc w:val="center"/>
              <w:textAlignment w:val="center"/>
              <w:rPr>
                <w:rFonts w:hint="default"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702623.67</w:t>
            </w:r>
          </w:p>
        </w:tc>
        <w:tc>
          <w:tcPr>
            <w:tcW w:w="1687" w:type="dxa"/>
            <w:noWrap w:val="0"/>
            <w:vAlign w:val="center"/>
          </w:tcPr>
          <w:p w14:paraId="56E5432E">
            <w:pPr>
              <w:keepNext w:val="0"/>
              <w:keepLines w:val="0"/>
              <w:widowControl/>
              <w:suppressLineNumbers w:val="0"/>
              <w:ind w:left="0" w:leftChars="0" w:firstLine="0" w:firstLineChars="0"/>
              <w:jc w:val="center"/>
              <w:textAlignment w:val="center"/>
              <w:rPr>
                <w:rFonts w:hint="default"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14000.00</w:t>
            </w:r>
          </w:p>
        </w:tc>
        <w:tc>
          <w:tcPr>
            <w:tcW w:w="1604" w:type="dxa"/>
            <w:noWrap w:val="0"/>
            <w:vAlign w:val="center"/>
          </w:tcPr>
          <w:p w14:paraId="6E5D5330">
            <w:pPr>
              <w:keepNext w:val="0"/>
              <w:keepLines w:val="0"/>
              <w:widowControl/>
              <w:suppressLineNumbers w:val="0"/>
              <w:ind w:left="0" w:leftChars="0" w:firstLine="0" w:firstLineChars="0"/>
              <w:jc w:val="center"/>
              <w:textAlignment w:val="center"/>
              <w:rPr>
                <w:rFonts w:hint="eastAsia" w:ascii="仿宋" w:hAnsi="仿宋" w:eastAsia="仿宋" w:cs="仿宋"/>
                <w:b w:val="0"/>
                <w:bCs w:val="0"/>
                <w:i w:val="0"/>
                <w:iCs w:val="0"/>
                <w:color w:val="auto"/>
                <w:kern w:val="0"/>
                <w:sz w:val="24"/>
                <w:szCs w:val="24"/>
                <w:highlight w:val="none"/>
                <w:u w:val="none"/>
                <w:lang w:val="en-US" w:eastAsia="zh-CN" w:bidi="ar"/>
              </w:rPr>
            </w:pPr>
            <w:r>
              <w:rPr>
                <w:rFonts w:hint="eastAsia" w:ascii="仿宋" w:hAnsi="仿宋" w:eastAsia="仿宋" w:cs="仿宋"/>
                <w:b w:val="0"/>
                <w:bCs w:val="0"/>
                <w:i w:val="0"/>
                <w:iCs w:val="0"/>
                <w:color w:val="auto"/>
                <w:kern w:val="0"/>
                <w:sz w:val="24"/>
                <w:szCs w:val="24"/>
                <w:highlight w:val="none"/>
                <w:u w:val="none"/>
                <w:lang w:val="en-US" w:eastAsia="zh-CN" w:bidi="ar"/>
              </w:rPr>
              <w:t>不接受联合体投标</w:t>
            </w:r>
          </w:p>
        </w:tc>
      </w:tr>
    </w:tbl>
    <w:p w14:paraId="70E8569C">
      <w:pPr>
        <w:pStyle w:val="5"/>
        <w:bidi w:val="0"/>
        <w:spacing w:line="360" w:lineRule="auto"/>
        <w:rPr>
          <w:rFonts w:hint="eastAsia" w:ascii="仿宋" w:hAnsi="仿宋" w:eastAsia="仿宋" w:cs="仿宋"/>
          <w:color w:val="auto"/>
          <w:highlight w:val="none"/>
          <w:lang w:val="en-US" w:eastAsia="zh-CN"/>
        </w:rPr>
      </w:pPr>
      <w:bookmarkStart w:id="39" w:name="_Toc9059"/>
      <w:r>
        <w:rPr>
          <w:rFonts w:hint="eastAsia" w:ascii="仿宋" w:hAnsi="仿宋" w:eastAsia="仿宋" w:cs="仿宋"/>
          <w:color w:val="auto"/>
          <w:highlight w:val="none"/>
          <w:lang w:val="en-US" w:eastAsia="zh-CN"/>
        </w:rPr>
        <w:t>二、资金来源</w:t>
      </w:r>
      <w:bookmarkEnd w:id="39"/>
    </w:p>
    <w:p w14:paraId="079A6E3E">
      <w:pPr>
        <w:snapToGrid w:val="0"/>
        <w:spacing w:line="360" w:lineRule="auto"/>
        <w:ind w:firstLine="480" w:firstLineChars="200"/>
        <w:rPr>
          <w:rFonts w:hint="eastAsia" w:ascii="仿宋" w:hAnsi="仿宋" w:eastAsia="仿宋" w:cs="仿宋"/>
          <w:color w:val="auto"/>
          <w:sz w:val="24"/>
          <w:szCs w:val="24"/>
          <w:highlight w:val="none"/>
          <w:lang w:val="en-US" w:eastAsia="zh-CN"/>
        </w:rPr>
      </w:pPr>
      <w:bookmarkStart w:id="40" w:name="_Toc26180"/>
      <w:bookmarkStart w:id="41" w:name="_Toc895"/>
      <w:bookmarkStart w:id="42" w:name="_Toc110443981"/>
      <w:bookmarkStart w:id="43" w:name="_Toc2316"/>
      <w:r>
        <w:rPr>
          <w:rFonts w:hint="eastAsia" w:ascii="仿宋" w:hAnsi="仿宋" w:eastAsia="仿宋" w:cs="仿宋"/>
          <w:b w:val="0"/>
          <w:bCs w:val="0"/>
          <w:i w:val="0"/>
          <w:iCs w:val="0"/>
          <w:color w:val="auto"/>
          <w:kern w:val="0"/>
          <w:sz w:val="24"/>
          <w:szCs w:val="24"/>
          <w:highlight w:val="none"/>
          <w:u w:val="none"/>
          <w:lang w:val="en-US" w:eastAsia="zh-CN" w:bidi="ar"/>
        </w:rPr>
        <w:t>财政专项资金</w:t>
      </w:r>
      <w:r>
        <w:rPr>
          <w:rFonts w:hint="eastAsia" w:ascii="仿宋" w:hAnsi="仿宋" w:eastAsia="仿宋" w:cs="仿宋"/>
          <w:color w:val="auto"/>
          <w:sz w:val="24"/>
          <w:szCs w:val="24"/>
          <w:highlight w:val="none"/>
          <w:lang w:val="en-US" w:eastAsia="zh-CN"/>
        </w:rPr>
        <w:t>。</w:t>
      </w:r>
    </w:p>
    <w:p w14:paraId="7619EE6E">
      <w:pPr>
        <w:pStyle w:val="5"/>
        <w:bidi w:val="0"/>
        <w:spacing w:line="360" w:lineRule="auto"/>
        <w:rPr>
          <w:rFonts w:hint="eastAsia" w:ascii="仿宋" w:hAnsi="仿宋" w:eastAsia="仿宋" w:cs="仿宋"/>
          <w:color w:val="auto"/>
          <w:highlight w:val="none"/>
          <w:lang w:val="en-US" w:eastAsia="zh-CN"/>
        </w:rPr>
      </w:pPr>
      <w:bookmarkStart w:id="44" w:name="_Toc5748"/>
      <w:r>
        <w:rPr>
          <w:rFonts w:hint="eastAsia" w:ascii="仿宋" w:hAnsi="仿宋" w:eastAsia="仿宋" w:cs="仿宋"/>
          <w:color w:val="auto"/>
          <w:highlight w:val="none"/>
          <w:lang w:val="en-US" w:eastAsia="zh-CN"/>
        </w:rPr>
        <w:t>三、竞争性比选资格</w:t>
      </w:r>
      <w:bookmarkEnd w:id="40"/>
      <w:bookmarkEnd w:id="41"/>
      <w:bookmarkEnd w:id="42"/>
      <w:bookmarkEnd w:id="43"/>
      <w:bookmarkEnd w:id="44"/>
    </w:p>
    <w:p w14:paraId="4D618945">
      <w:pPr>
        <w:snapToGrid w:val="0"/>
        <w:spacing w:line="360" w:lineRule="auto"/>
        <w:ind w:firstLine="240" w:firstLineChars="100"/>
        <w:rPr>
          <w:rFonts w:hint="eastAsia" w:ascii="仿宋" w:hAnsi="仿宋" w:eastAsia="仿宋" w:cs="仿宋"/>
          <w:color w:val="auto"/>
          <w:sz w:val="24"/>
          <w:szCs w:val="24"/>
          <w:highlight w:val="none"/>
          <w:lang w:val="en-US" w:eastAsia="zh-CN"/>
        </w:rPr>
      </w:pPr>
      <w:bookmarkStart w:id="45" w:name="_Toc110443983"/>
      <w:bookmarkStart w:id="46" w:name="_Toc23652"/>
      <w:bookmarkStart w:id="47" w:name="_Toc9281"/>
      <w:bookmarkStart w:id="48" w:name="_Toc13568"/>
      <w:r>
        <w:rPr>
          <w:rFonts w:hint="eastAsia" w:ascii="仿宋" w:hAnsi="仿宋" w:eastAsia="仿宋" w:cs="仿宋"/>
          <w:color w:val="auto"/>
          <w:sz w:val="24"/>
          <w:szCs w:val="24"/>
          <w:highlight w:val="none"/>
          <w:lang w:val="en-US" w:eastAsia="zh-CN"/>
        </w:rPr>
        <w:t>（一）满足《中华人民共和国政府采购法》第二十二条规定。</w:t>
      </w:r>
    </w:p>
    <w:p w14:paraId="08B1A403">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（二）本项目的特定资格要求：</w:t>
      </w:r>
    </w:p>
    <w:p w14:paraId="52C562DD">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1、投标人具备建设行政主管部门颁发的有效的建筑工程施工总承包叁级及以上资质（提供有效的资质证书复印件加盖供应商公章）。</w:t>
      </w:r>
    </w:p>
    <w:p w14:paraId="1C0A4810">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2、业绩要求：</w:t>
      </w:r>
      <w:r>
        <w:rPr>
          <w:rFonts w:hint="default" w:ascii="仿宋" w:hAnsi="仿宋" w:eastAsia="仿宋" w:cs="仿宋"/>
          <w:color w:val="auto"/>
          <w:sz w:val="24"/>
          <w:szCs w:val="24"/>
          <w:highlight w:val="none"/>
          <w:lang w:val="en-US" w:eastAsia="zh-CN"/>
        </w:rPr>
        <w:t>投标截止日前</w:t>
      </w:r>
      <w:r>
        <w:rPr>
          <w:rFonts w:hint="eastAsia" w:ascii="仿宋" w:hAnsi="仿宋" w:eastAsia="仿宋" w:cs="仿宋"/>
          <w:color w:val="auto"/>
          <w:sz w:val="24"/>
          <w:szCs w:val="24"/>
          <w:highlight w:val="none"/>
          <w:lang w:val="en-US" w:eastAsia="zh-CN"/>
        </w:rPr>
        <w:t>3</w:t>
      </w:r>
      <w:r>
        <w:rPr>
          <w:rFonts w:hint="default" w:ascii="仿宋" w:hAnsi="仿宋" w:eastAsia="仿宋" w:cs="仿宋"/>
          <w:color w:val="auto"/>
          <w:sz w:val="24"/>
          <w:szCs w:val="24"/>
          <w:highlight w:val="none"/>
          <w:lang w:val="en-US" w:eastAsia="zh-CN"/>
        </w:rPr>
        <w:t>年，指</w:t>
      </w:r>
      <w:r>
        <w:rPr>
          <w:rFonts w:hint="eastAsia" w:ascii="仿宋" w:hAnsi="仿宋" w:eastAsia="仿宋" w:cs="仿宋"/>
          <w:color w:val="auto"/>
          <w:sz w:val="24"/>
          <w:szCs w:val="24"/>
          <w:highlight w:val="none"/>
          <w:lang w:val="en-US" w:eastAsia="zh-CN"/>
        </w:rPr>
        <w:t>投标人</w:t>
      </w:r>
      <w:r>
        <w:rPr>
          <w:rFonts w:hint="default" w:ascii="仿宋" w:hAnsi="仿宋" w:eastAsia="仿宋" w:cs="仿宋"/>
          <w:color w:val="auto"/>
          <w:sz w:val="24"/>
          <w:szCs w:val="24"/>
          <w:highlight w:val="none"/>
          <w:lang w:val="en-US" w:eastAsia="zh-CN"/>
        </w:rPr>
        <w:t>在 202</w:t>
      </w:r>
      <w:r>
        <w:rPr>
          <w:rFonts w:hint="eastAsia" w:ascii="仿宋" w:hAnsi="仿宋" w:eastAsia="仿宋" w:cs="仿宋"/>
          <w:color w:val="auto"/>
          <w:sz w:val="24"/>
          <w:szCs w:val="24"/>
          <w:highlight w:val="none"/>
          <w:lang w:val="en-US" w:eastAsia="zh-CN"/>
        </w:rPr>
        <w:t>2</w:t>
      </w:r>
      <w:r>
        <w:rPr>
          <w:rFonts w:hint="default" w:ascii="仿宋" w:hAnsi="仿宋" w:eastAsia="仿宋" w:cs="仿宋"/>
          <w:color w:val="auto"/>
          <w:sz w:val="24"/>
          <w:szCs w:val="24"/>
          <w:highlight w:val="none"/>
          <w:lang w:val="en-US" w:eastAsia="zh-CN"/>
        </w:rPr>
        <w:t xml:space="preserve"> 年</w:t>
      </w:r>
      <w:r>
        <w:rPr>
          <w:rFonts w:hint="eastAsia" w:ascii="仿宋" w:hAnsi="仿宋" w:eastAsia="仿宋" w:cs="仿宋"/>
          <w:color w:val="auto"/>
          <w:sz w:val="24"/>
          <w:szCs w:val="24"/>
          <w:highlight w:val="none"/>
          <w:lang w:val="en-US" w:eastAsia="zh-CN"/>
        </w:rPr>
        <w:t>6</w:t>
      </w:r>
      <w:r>
        <w:rPr>
          <w:rFonts w:hint="default" w:ascii="仿宋" w:hAnsi="仿宋" w:eastAsia="仿宋" w:cs="仿宋"/>
          <w:color w:val="auto"/>
          <w:sz w:val="24"/>
          <w:szCs w:val="24"/>
          <w:highlight w:val="none"/>
          <w:lang w:val="en-US" w:eastAsia="zh-CN"/>
        </w:rPr>
        <w:t>月1日起至投标截止日止完成的1个</w:t>
      </w:r>
      <w:r>
        <w:rPr>
          <w:rFonts w:hint="eastAsia" w:ascii="仿宋" w:hAnsi="仿宋" w:eastAsia="仿宋" w:cs="仿宋"/>
          <w:color w:val="auto"/>
          <w:sz w:val="24"/>
          <w:szCs w:val="24"/>
          <w:highlight w:val="none"/>
          <w:lang w:val="en-US" w:eastAsia="zh-CN"/>
        </w:rPr>
        <w:t>类似拆除</w:t>
      </w:r>
      <w:r>
        <w:rPr>
          <w:rFonts w:hint="default" w:ascii="仿宋" w:hAnsi="仿宋" w:eastAsia="仿宋" w:cs="仿宋"/>
          <w:color w:val="auto"/>
          <w:sz w:val="24"/>
          <w:szCs w:val="24"/>
          <w:highlight w:val="none"/>
          <w:lang w:val="en-US" w:eastAsia="zh-CN"/>
        </w:rPr>
        <w:t>项目业绩</w:t>
      </w:r>
      <w:r>
        <w:rPr>
          <w:rFonts w:hint="eastAsia" w:ascii="仿宋" w:hAnsi="仿宋" w:eastAsia="仿宋" w:cs="仿宋"/>
          <w:color w:val="auto"/>
          <w:sz w:val="24"/>
          <w:szCs w:val="24"/>
          <w:highlight w:val="none"/>
          <w:lang w:val="en-US" w:eastAsia="zh-CN"/>
        </w:rPr>
        <w:t xml:space="preserve">(以竣工验收为准）。业绩规模要求： </w:t>
      </w:r>
    </w:p>
    <w:p w14:paraId="5CF1993D">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工程类别：房屋建筑工程 </w:t>
      </w:r>
    </w:p>
    <w:p w14:paraId="24AE0D04">
      <w:pPr>
        <w:snapToGrid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工程规模：拆除房屋建筑面积900平方及以上</w:t>
      </w:r>
    </w:p>
    <w:p w14:paraId="7D24A718">
      <w:pPr>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业绩证明材料要求</w:t>
      </w:r>
    </w:p>
    <w:p w14:paraId="786727D1">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w:t>
      </w:r>
      <w:r>
        <w:rPr>
          <w:rFonts w:hint="default" w:ascii="仿宋" w:hAnsi="仿宋" w:eastAsia="仿宋" w:cs="仿宋"/>
          <w:color w:val="auto"/>
          <w:sz w:val="24"/>
          <w:szCs w:val="24"/>
          <w:highlight w:val="none"/>
          <w:lang w:val="en-US" w:eastAsia="zh-CN"/>
        </w:rPr>
        <w:t>须在</w:t>
      </w:r>
      <w:r>
        <w:rPr>
          <w:rFonts w:hint="eastAsia" w:ascii="仿宋" w:hAnsi="仿宋" w:eastAsia="仿宋" w:cs="仿宋"/>
          <w:color w:val="auto"/>
          <w:sz w:val="24"/>
          <w:szCs w:val="24"/>
          <w:highlight w:val="none"/>
          <w:lang w:val="en-US" w:eastAsia="zh-CN"/>
        </w:rPr>
        <w:t>响应文件中</w:t>
      </w:r>
      <w:r>
        <w:rPr>
          <w:rFonts w:hint="default" w:ascii="仿宋" w:hAnsi="仿宋" w:eastAsia="仿宋" w:cs="仿宋"/>
          <w:color w:val="auto"/>
          <w:sz w:val="24"/>
          <w:szCs w:val="24"/>
          <w:highlight w:val="none"/>
          <w:lang w:val="en-US" w:eastAsia="zh-CN"/>
        </w:rPr>
        <w:t>提供该业绩的中标通知书（直接发包的项目可提供项目发包人出具的项目直接发包情况说明或证明文书代替）、合同协议书</w:t>
      </w:r>
      <w:r>
        <w:rPr>
          <w:rFonts w:hint="eastAsia" w:ascii="仿宋" w:hAnsi="仿宋" w:eastAsia="仿宋" w:cs="仿宋"/>
          <w:color w:val="auto"/>
          <w:sz w:val="24"/>
          <w:szCs w:val="24"/>
          <w:highlight w:val="none"/>
          <w:lang w:val="en-US" w:eastAsia="zh-CN"/>
        </w:rPr>
        <w:t>、竣工验收合格</w:t>
      </w:r>
      <w:r>
        <w:rPr>
          <w:rFonts w:hint="default" w:ascii="仿宋" w:hAnsi="仿宋" w:eastAsia="仿宋" w:cs="仿宋"/>
          <w:color w:val="auto"/>
          <w:sz w:val="24"/>
          <w:szCs w:val="24"/>
          <w:highlight w:val="none"/>
          <w:lang w:val="en-US" w:eastAsia="zh-CN"/>
        </w:rPr>
        <w:t>证明材料。同时须提供该业绩在“全国建筑市场监管公共服务平台”的网页截图，截图数量不限但须确保截图信息清晰显示完整的网站名称、查询网址、工程名称、中标单位名称（或承包单位名称或施工企业名称），截图的其余信息不作为评审依据。</w:t>
      </w:r>
    </w:p>
    <w:p w14:paraId="3C14F335">
      <w:pPr>
        <w:keepNext w:val="0"/>
        <w:keepLines w:val="0"/>
        <w:pageBreakBefore w:val="0"/>
        <w:widowControl w:val="0"/>
        <w:numPr>
          <w:ilvl w:val="0"/>
          <w:numId w:val="16"/>
        </w:numPr>
        <w:kinsoku/>
        <w:wordWrap/>
        <w:overflowPunct/>
        <w:topLinePunct w:val="0"/>
        <w:autoSpaceDE/>
        <w:autoSpaceDN/>
        <w:bidi w:val="0"/>
        <w:adjustRightInd/>
        <w:snapToGrid w:val="0"/>
        <w:spacing w:line="400" w:lineRule="exact"/>
        <w:ind w:left="480" w:leftChars="0"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人员要求：</w:t>
      </w:r>
    </w:p>
    <w:p w14:paraId="5B8A42ED">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项目经理：1人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投标人拟派的项目经理必须已在投标人本单位注册并应具有</w:t>
      </w:r>
      <w:r>
        <w:rPr>
          <w:rFonts w:hint="eastAsia" w:ascii="仿宋" w:hAnsi="仿宋" w:eastAsia="仿宋" w:cs="仿宋"/>
          <w:color w:val="auto"/>
          <w:sz w:val="24"/>
          <w:szCs w:val="24"/>
          <w:highlight w:val="none"/>
          <w:lang w:val="en-US" w:eastAsia="zh-CN"/>
        </w:rPr>
        <w:t xml:space="preserve"> 建筑工程 </w:t>
      </w:r>
      <w:r>
        <w:rPr>
          <w:rFonts w:hint="eastAsia" w:ascii="仿宋" w:hAnsi="仿宋" w:eastAsia="仿宋" w:cs="仿宋"/>
          <w:color w:val="auto"/>
          <w:sz w:val="24"/>
          <w:szCs w:val="24"/>
          <w:highlight w:val="none"/>
        </w:rPr>
        <w:t>专业 贰级及以上 注册建造师执业资格，并具有由建设行政主管部门颁发的有效的安全生产考核合格证书</w:t>
      </w:r>
      <w:r>
        <w:rPr>
          <w:rFonts w:hint="eastAsia" w:ascii="仿宋" w:hAnsi="仿宋" w:eastAsia="仿宋" w:cs="仿宋"/>
          <w:color w:val="auto"/>
          <w:sz w:val="24"/>
          <w:szCs w:val="24"/>
          <w:highlight w:val="none"/>
          <w:lang w:eastAsia="zh-CN"/>
        </w:rPr>
        <w:t>。</w:t>
      </w:r>
    </w:p>
    <w:p w14:paraId="31DDC26E">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项目技术负责人：1人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投标人拟派的项目</w:t>
      </w:r>
      <w:r>
        <w:rPr>
          <w:rFonts w:hint="eastAsia" w:ascii="仿宋" w:hAnsi="仿宋" w:eastAsia="仿宋" w:cs="仿宋"/>
          <w:color w:val="auto"/>
          <w:sz w:val="24"/>
          <w:szCs w:val="24"/>
          <w:highlight w:val="none"/>
          <w:lang w:val="en-US" w:eastAsia="zh-CN"/>
        </w:rPr>
        <w:t>技术负责人</w:t>
      </w:r>
      <w:r>
        <w:rPr>
          <w:rFonts w:hint="eastAsia" w:ascii="仿宋" w:hAnsi="仿宋" w:eastAsia="仿宋" w:cs="仿宋"/>
          <w:color w:val="auto"/>
          <w:sz w:val="24"/>
          <w:szCs w:val="24"/>
          <w:highlight w:val="none"/>
        </w:rPr>
        <w:t>应具有</w:t>
      </w:r>
      <w:r>
        <w:rPr>
          <w:rFonts w:hint="eastAsia" w:ascii="仿宋" w:hAnsi="仿宋" w:eastAsia="仿宋" w:cs="仿宋"/>
          <w:color w:val="auto"/>
          <w:sz w:val="24"/>
          <w:szCs w:val="24"/>
          <w:highlight w:val="none"/>
          <w:lang w:val="en-US" w:eastAsia="zh-CN"/>
        </w:rPr>
        <w:t>工程类</w:t>
      </w:r>
      <w:r>
        <w:rPr>
          <w:rFonts w:hint="eastAsia" w:ascii="仿宋" w:hAnsi="仿宋" w:eastAsia="仿宋" w:cs="仿宋"/>
          <w:color w:val="auto"/>
          <w:sz w:val="24"/>
          <w:szCs w:val="24"/>
          <w:highlight w:val="none"/>
        </w:rPr>
        <w:t>专业中级及以上职称。</w:t>
      </w:r>
    </w:p>
    <w:p w14:paraId="7A9643E5">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480"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（3）本采购文件中所要求的上述人员养老保险证明如下：</w:t>
      </w:r>
    </w:p>
    <w:p w14:paraId="6CA7037A">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提供连续养老保险证明期限须包含 2024 年12月至2025年5月。提供的养老保险参保证明须体现上述人员的姓名、身份证号（或社保号）、单位名称、本单位参保时间（或起始参保时间），并带有社保部门公章或社保部门的有效电子印章。</w:t>
      </w:r>
    </w:p>
    <w:p w14:paraId="588E97C1">
      <w:pPr>
        <w:pStyle w:val="5"/>
        <w:bidi w:val="0"/>
        <w:spacing w:line="360" w:lineRule="auto"/>
        <w:rPr>
          <w:rFonts w:hint="eastAsia" w:ascii="仿宋" w:hAnsi="仿宋" w:eastAsia="仿宋" w:cs="仿宋"/>
          <w:color w:val="auto"/>
          <w:highlight w:val="none"/>
          <w:lang w:val="en-US" w:eastAsia="zh-CN"/>
        </w:rPr>
      </w:pPr>
      <w:bookmarkStart w:id="49" w:name="_Toc9446"/>
      <w:r>
        <w:rPr>
          <w:rFonts w:hint="eastAsia" w:ascii="仿宋" w:hAnsi="仿宋" w:eastAsia="仿宋" w:cs="仿宋"/>
          <w:color w:val="auto"/>
          <w:highlight w:val="none"/>
          <w:lang w:val="en-US" w:eastAsia="zh-CN"/>
        </w:rPr>
        <w:t>四、竞争性比选相关说明</w:t>
      </w:r>
      <w:bookmarkEnd w:id="45"/>
      <w:bookmarkEnd w:id="46"/>
      <w:bookmarkEnd w:id="47"/>
      <w:bookmarkEnd w:id="48"/>
      <w:bookmarkEnd w:id="49"/>
    </w:p>
    <w:p w14:paraId="1D5CDF9E">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凡有意参加投标的供应商，请在行采家（https://www.gec123.com/）注册并下载或在代理机构领取本项目采购文件以及图纸、补遗等开标前公布的所有项目资料，无论供应商下载与否，均视为已知晓所有招标内容。</w:t>
      </w:r>
    </w:p>
    <w:p w14:paraId="7DC8C7B5">
      <w:pPr>
        <w:pStyle w:val="5"/>
        <w:pageBreakBefore w:val="0"/>
        <w:widowControl/>
        <w:kinsoku/>
        <w:overflowPunct/>
        <w:topLinePunct w:val="0"/>
        <w:autoSpaceDE/>
        <w:autoSpaceDN/>
        <w:bidi w:val="0"/>
        <w:spacing w:before="48" w:after="48" w:line="400" w:lineRule="exact"/>
        <w:ind w:firstLine="394"/>
        <w:textAlignment w:val="auto"/>
        <w:rPr>
          <w:rFonts w:hint="eastAsia" w:ascii="仿宋" w:hAnsi="仿宋" w:eastAsia="仿宋" w:cs="仿宋"/>
          <w:b/>
          <w:bCs/>
          <w:color w:val="auto"/>
          <w:kern w:val="2"/>
          <w:sz w:val="24"/>
          <w:szCs w:val="24"/>
          <w:highlight w:val="none"/>
          <w:lang w:val="en-US" w:eastAsia="zh-CN" w:bidi="ar-SA"/>
        </w:rPr>
      </w:pPr>
      <w:bookmarkStart w:id="50" w:name="_Toc15752"/>
      <w:r>
        <w:rPr>
          <w:rFonts w:hint="eastAsia" w:ascii="仿宋" w:hAnsi="仿宋" w:eastAsia="仿宋" w:cs="仿宋"/>
          <w:b/>
          <w:bCs/>
          <w:color w:val="auto"/>
          <w:kern w:val="2"/>
          <w:sz w:val="28"/>
          <w:szCs w:val="28"/>
          <w:highlight w:val="none"/>
          <w:lang w:val="en-US" w:eastAsia="zh-CN" w:bidi="ar-SA"/>
        </w:rPr>
        <w:t>（二）</w:t>
      </w:r>
      <w:bookmarkEnd w:id="50"/>
      <w:r>
        <w:rPr>
          <w:rFonts w:hint="eastAsia" w:ascii="仿宋" w:hAnsi="仿宋" w:eastAsia="仿宋" w:cs="仿宋"/>
          <w:b/>
          <w:bCs/>
          <w:color w:val="auto"/>
          <w:kern w:val="2"/>
          <w:sz w:val="28"/>
          <w:szCs w:val="28"/>
          <w:highlight w:val="none"/>
          <w:lang w:val="en-US" w:eastAsia="zh-CN" w:bidi="ar-SA"/>
        </w:rPr>
        <w:t>报名及采购文件发售</w:t>
      </w:r>
    </w:p>
    <w:p w14:paraId="0DE3F4AB">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1.报名时间：2025年6月13日至2025年6月18日12：00（工作时间）。</w:t>
      </w:r>
    </w:p>
    <w:p w14:paraId="67AEE5A9">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2.报名费：人民币500元/份（售后不退）。</w:t>
      </w:r>
    </w:p>
    <w:p w14:paraId="5EFAA2DB">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3.报名方式：现场报名</w:t>
      </w:r>
    </w:p>
    <w:p w14:paraId="6D5D7379">
      <w:pPr>
        <w:tabs>
          <w:tab w:val="left" w:pos="6300"/>
        </w:tabs>
        <w:snapToGrid w:val="0"/>
        <w:spacing w:line="500" w:lineRule="exact"/>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在规定的报名时间内，供应商到重庆弘标建设工程管理有限公司，登记递交了《重庆弘标建设工程管理有限公司发售登记表》格式详见附件并缴纳了报名费的，其报名才被接收。</w:t>
      </w:r>
    </w:p>
    <w:p w14:paraId="51F8C79C">
      <w:pPr>
        <w:spacing w:line="500" w:lineRule="exact"/>
        <w:ind w:firstLine="562" w:firstLineChars="200"/>
        <w:rPr>
          <w:rFonts w:hint="eastAsia" w:ascii="宋体" w:hAnsi="宋体" w:eastAsia="宋体" w:cs="宋体"/>
          <w:color w:val="auto"/>
          <w:sz w:val="24"/>
          <w:szCs w:val="24"/>
          <w:highlight w:val="none"/>
        </w:rPr>
      </w:pPr>
      <w:bookmarkStart w:id="51" w:name="_Toc9310"/>
      <w:bookmarkStart w:id="52" w:name="_Toc373860294"/>
      <w:bookmarkStart w:id="53" w:name="_Toc21554"/>
      <w:r>
        <w:rPr>
          <w:rFonts w:hint="eastAsia" w:ascii="仿宋" w:hAnsi="仿宋" w:eastAsia="仿宋" w:cs="仿宋"/>
          <w:b/>
          <w:bCs/>
          <w:color w:val="auto"/>
          <w:kern w:val="2"/>
          <w:sz w:val="28"/>
          <w:szCs w:val="28"/>
          <w:highlight w:val="none"/>
          <w:lang w:val="en-US" w:eastAsia="zh-CN" w:bidi="ar-SA"/>
        </w:rPr>
        <w:t>（三）线上报价</w:t>
      </w:r>
    </w:p>
    <w:p w14:paraId="637DDA0E">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1.线上报价时间：2025年6月19日9：00 </w:t>
      </w:r>
    </w:p>
    <w:p w14:paraId="1EB38217">
      <w:pPr>
        <w:snapToGrid w:val="0"/>
        <w:spacing w:line="360" w:lineRule="auto"/>
        <w:ind w:firstLine="240" w:firstLineChars="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2.线上报价截止时间：2025年6月19日16：00</w:t>
      </w:r>
      <w:bookmarkStart w:id="515" w:name="_GoBack"/>
      <w:bookmarkEnd w:id="515"/>
    </w:p>
    <w:p w14:paraId="4676F092">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3.线上报价要求：按本项目规定的时间在“行采家（https://www.gec123.com/）进行网上报价并按要求上传签字盖章完毕的响应文件电子档（PDF格式）。</w:t>
      </w:r>
    </w:p>
    <w:p w14:paraId="2F49B8E3">
      <w:pPr>
        <w:snapToGrid w:val="0"/>
        <w:spacing w:line="360" w:lineRule="auto"/>
        <w:ind w:firstLine="240" w:firstLineChars="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w:t>
      </w:r>
    </w:p>
    <w:p w14:paraId="50EC43B3">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①供应商上传的响应文件应按照响应文件编制要求制作，规定签字、盖章的地方必须按规定签字、盖章，未按要求制作响应文件的按无效响应处理。</w:t>
      </w:r>
    </w:p>
    <w:p w14:paraId="2737180F">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②网上报价应与响应文件报价一致，若不一致按无效响应处理。</w:t>
      </w:r>
    </w:p>
    <w:p w14:paraId="0EE6AC72">
      <w:pPr>
        <w:spacing w:line="500" w:lineRule="exact"/>
        <w:ind w:firstLine="562" w:firstLineChars="200"/>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（四）线下投标</w:t>
      </w:r>
    </w:p>
    <w:p w14:paraId="22BB7A68">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1.供应商线下投标时须提供纸质响应文件一正二副（副本可为正本的复印件），作为专家评审的材料。纸质响应文件须与网上上传的响应文件电子档内容一致，若不一致按无效响应处理。</w:t>
      </w:r>
    </w:p>
    <w:p w14:paraId="7CB7FFD3">
      <w:pPr>
        <w:snapToGrid w:val="0"/>
        <w:spacing w:line="360" w:lineRule="auto"/>
        <w:ind w:firstLine="240" w:firstLineChars="1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2.纸质响应文件递交开始时间：2025年6月20日9:30</w:t>
      </w:r>
    </w:p>
    <w:p w14:paraId="3F9B64BD">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纸质响应文件递交截止时间：2025年6月20日10:00</w:t>
      </w:r>
    </w:p>
    <w:p w14:paraId="5D890699">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纸质响应文件递交地点：重庆市大足区棠香街道和平新村村委会旁</w:t>
      </w:r>
    </w:p>
    <w:p w14:paraId="2BAB24E0">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4.线下评审时间：2025年6月20日10:00（北京时间）。</w:t>
      </w:r>
    </w:p>
    <w:p w14:paraId="7A077384">
      <w:pPr>
        <w:wordWrap w:val="0"/>
        <w:spacing w:line="360" w:lineRule="auto"/>
        <w:ind w:firstLine="480"/>
        <w:rPr>
          <w:rFonts w:hint="default" w:ascii="仿宋" w:hAnsi="仿宋" w:eastAsia="仿宋" w:cs="仿宋"/>
          <w:color w:val="auto"/>
          <w:sz w:val="24"/>
          <w:szCs w:val="24"/>
          <w:highlight w:val="none"/>
          <w:lang w:val="en-US" w:eastAsia="zh-CN"/>
        </w:rPr>
      </w:pPr>
      <w:bookmarkStart w:id="54" w:name="_Toc514962184"/>
      <w:bookmarkStart w:id="55" w:name="_Toc6160"/>
      <w:r>
        <w:rPr>
          <w:rFonts w:hint="eastAsia" w:ascii="仿宋" w:hAnsi="仿宋" w:eastAsia="仿宋" w:cs="仿宋"/>
          <w:b/>
          <w:bCs/>
          <w:color w:val="auto"/>
          <w:kern w:val="2"/>
          <w:sz w:val="28"/>
          <w:szCs w:val="28"/>
          <w:highlight w:val="none"/>
          <w:lang w:val="en-US" w:eastAsia="zh-CN" w:bidi="ar-SA"/>
        </w:rPr>
        <w:t>（五）投标保证金</w:t>
      </w:r>
      <w:bookmarkEnd w:id="54"/>
      <w:bookmarkEnd w:id="55"/>
    </w:p>
    <w:p w14:paraId="7ABEA1A3">
      <w:pPr>
        <w:wordWrap w:val="0"/>
        <w:spacing w:line="360" w:lineRule="auto"/>
        <w:ind w:firstLine="48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1.缴纳金额：14000.00元，大写：壹万肆仟元整</w:t>
      </w:r>
    </w:p>
    <w:p w14:paraId="208418A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2.缴纳方式：由供应商从其基本账户将投标保证金汇至以下指定账户：</w:t>
      </w:r>
    </w:p>
    <w:p w14:paraId="3C406655">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户  名：重庆弘标建设工程管理有限公司</w:t>
      </w:r>
    </w:p>
    <w:p w14:paraId="071F8984">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开户行：重庆农村商业银行双桥支行 </w:t>
      </w:r>
    </w:p>
    <w:p w14:paraId="50B651D9">
      <w:pPr>
        <w:wordWrap w:val="0"/>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账  号：2238010120010000170</w:t>
      </w:r>
    </w:p>
    <w:p w14:paraId="1641FDB8">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3.保证金到账时间及备注填写要求</w:t>
      </w:r>
    </w:p>
    <w:p w14:paraId="46D28392">
      <w:pPr>
        <w:spacing w:line="360" w:lineRule="auto"/>
        <w:ind w:firstLine="480" w:firstLineChars="200"/>
        <w:rPr>
          <w:rFonts w:hint="eastAsia" w:ascii="仿宋" w:hAnsi="仿宋" w:eastAsia="仿宋" w:cs="仿宋"/>
          <w:color w:val="auto"/>
          <w:sz w:val="24"/>
          <w:szCs w:val="24"/>
          <w:highlight w:val="none"/>
          <w:lang w:val="en-US" w:eastAsia="zh-CN"/>
        </w:rPr>
      </w:pPr>
      <w:bookmarkStart w:id="56" w:name="_Toc24100"/>
      <w:bookmarkStart w:id="57" w:name="_Toc514962185"/>
      <w:r>
        <w:rPr>
          <w:rFonts w:hint="eastAsia" w:ascii="仿宋" w:hAnsi="仿宋" w:eastAsia="仿宋" w:cs="仿宋"/>
          <w:color w:val="auto"/>
          <w:sz w:val="24"/>
          <w:szCs w:val="24"/>
          <w:highlight w:val="none"/>
          <w:lang w:val="en-US" w:eastAsia="zh-CN"/>
        </w:rPr>
        <w:t>（1）到账时间要求</w:t>
      </w:r>
    </w:p>
    <w:p w14:paraId="20CCFF50">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本项目投标保证金的到账截止时间为投标前一天中午12：00（供应商在银行转账汇款时，须充分考虑转账汇款的时间差风险，如同城转账、异地转账或汇款、跨行转账或电汇的时间要求）。</w:t>
      </w:r>
    </w:p>
    <w:p w14:paraId="085FB081">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（2）备注填写要求</w:t>
      </w:r>
    </w:p>
    <w:p w14:paraId="45D3CB40">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供应商应在银行转账（汇款）凭证备注栏中注明“投标保证金-HBZB20251006”，不按要求填写备注和缴纳保证金入指定账户的，投标现场不予接收响应文件，由供应商自行承担后果。</w:t>
      </w:r>
    </w:p>
    <w:p w14:paraId="70FD54D5">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4.保证金退还方式</w:t>
      </w:r>
    </w:p>
    <w:p w14:paraId="119EBC28">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（1）未成交供应商的保证金，在中标通知书发出后，由重庆弘标建设工程管理有限公司在5个工作日内退还至供应商的转款账户上。</w:t>
      </w:r>
    </w:p>
    <w:p w14:paraId="584E46FA">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（2）成交供应商的保证金，在成交供应商和采购人签订合同后，由重庆弘标建设工程管理有限公司在5个工作日内退还至供应商的转款账户上。</w:t>
      </w:r>
    </w:p>
    <w:p w14:paraId="3C491138">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特别提醒：为确保保证金按规定时间退还，自合同签订之日起2个工作日内，成交供应商应将合同原件送达重庆弘标建设工程管理有限公司。否则，造成保证金延迟退还，责任自负。</w:t>
      </w:r>
    </w:p>
    <w:p w14:paraId="156C507C">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查询电话：</w:t>
      </w:r>
      <w:bookmarkEnd w:id="56"/>
      <w:bookmarkEnd w:id="57"/>
      <w:r>
        <w:rPr>
          <w:rFonts w:hint="eastAsia" w:ascii="仿宋" w:hAnsi="仿宋" w:eastAsia="仿宋" w:cs="仿宋"/>
          <w:color w:val="auto"/>
          <w:sz w:val="24"/>
          <w:szCs w:val="24"/>
          <w:highlight w:val="none"/>
          <w:lang w:val="en-US" w:eastAsia="zh-CN"/>
        </w:rPr>
        <w:t>13509458496</w:t>
      </w:r>
    </w:p>
    <w:bookmarkEnd w:id="51"/>
    <w:bookmarkEnd w:id="52"/>
    <w:bookmarkEnd w:id="53"/>
    <w:p w14:paraId="0F5152F1">
      <w:pPr>
        <w:pStyle w:val="5"/>
        <w:bidi w:val="0"/>
        <w:spacing w:line="360" w:lineRule="auto"/>
        <w:rPr>
          <w:rFonts w:hint="eastAsia" w:ascii="仿宋" w:hAnsi="仿宋" w:eastAsia="仿宋" w:cs="仿宋"/>
          <w:color w:val="auto"/>
          <w:sz w:val="24"/>
          <w:szCs w:val="18"/>
          <w:highlight w:val="none"/>
          <w:lang w:val="en-US" w:eastAsia="zh-CN"/>
        </w:rPr>
      </w:pPr>
      <w:bookmarkStart w:id="58" w:name="_Toc65660336"/>
      <w:bookmarkStart w:id="59" w:name="_Toc8403"/>
      <w:bookmarkStart w:id="60" w:name="_Toc525047163"/>
      <w:bookmarkStart w:id="61" w:name="_Toc16269"/>
      <w:bookmarkStart w:id="62" w:name="_Toc106034776"/>
      <w:bookmarkStart w:id="63" w:name="_Toc16526"/>
      <w:bookmarkStart w:id="64" w:name="_Toc4728"/>
      <w:bookmarkStart w:id="65" w:name="_Toc521053055"/>
      <w:bookmarkStart w:id="66" w:name="_Toc6563"/>
      <w:bookmarkStart w:id="67" w:name="_Toc110443986"/>
      <w:bookmarkStart w:id="68" w:name="_Toc27555"/>
      <w:bookmarkStart w:id="69" w:name="_Toc1943"/>
      <w:bookmarkStart w:id="70" w:name="_Toc485108773"/>
      <w:r>
        <w:rPr>
          <w:rFonts w:hint="eastAsia" w:ascii="仿宋" w:hAnsi="仿宋" w:eastAsia="仿宋" w:cs="仿宋"/>
          <w:color w:val="auto"/>
          <w:sz w:val="24"/>
          <w:szCs w:val="18"/>
          <w:highlight w:val="none"/>
          <w:lang w:val="en-US" w:eastAsia="zh-CN"/>
        </w:rPr>
        <w:t>五、其它有关规定</w:t>
      </w:r>
      <w:bookmarkEnd w:id="58"/>
      <w:bookmarkEnd w:id="59"/>
      <w:bookmarkEnd w:id="60"/>
      <w:bookmarkEnd w:id="61"/>
      <w:bookmarkEnd w:id="62"/>
      <w:bookmarkEnd w:id="63"/>
      <w:bookmarkEnd w:id="64"/>
      <w:bookmarkEnd w:id="65"/>
      <w:bookmarkEnd w:id="66"/>
      <w:bookmarkEnd w:id="67"/>
      <w:bookmarkEnd w:id="68"/>
    </w:p>
    <w:p w14:paraId="7B698648">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（一）单位负责人为同一人或者存在直接控股、管理关系的不同供应商，不得参加同一合同项（包）下的政府采购活动，否则均为无效报价。</w:t>
      </w:r>
    </w:p>
    <w:p w14:paraId="1C715637">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（二）为采购项目提供整体设计、规范编制或者项目管理、监理、检测等服务的供应商，不得再参加该采购项目的其他采购活动。</w:t>
      </w:r>
    </w:p>
    <w:p w14:paraId="2423E484">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（三）同一合同项（包）下的货物，制造商参与报价的，不得再委托代理商参与报价。</w:t>
      </w:r>
    </w:p>
    <w:p w14:paraId="78BCFBB6">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（四）本项目的澄清文件（如果有）一律在行采家（https://www.gec123.com/）上发布，请各供应商注意下载；无论供应商下载或领取与否，均视同供应商已知晓本项目澄清文件（如果有）的内容。</w:t>
      </w:r>
    </w:p>
    <w:p w14:paraId="6A41E47C">
      <w:pPr>
        <w:snapToGrid w:val="0"/>
        <w:spacing w:line="360" w:lineRule="auto"/>
        <w:ind w:firstLine="240" w:firstLineChars="100"/>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（五）超过响应文件截止时间递交的响应文件，恕不接收。</w:t>
      </w:r>
    </w:p>
    <w:p w14:paraId="273CA215">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（六）竞争性比选费用：无论竞争性比选结果如何，供应商参与本项目竞争性比选的所有费用均应由供应商自行承担。</w:t>
      </w:r>
    </w:p>
    <w:p w14:paraId="06C05B1A">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（七）本项目不接受联合体参与报价，否则按无效处理。</w:t>
      </w:r>
    </w:p>
    <w:p w14:paraId="73E469BB">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（八）本项目不接受合同分包，否则按无效处理。</w:t>
      </w:r>
    </w:p>
    <w:p w14:paraId="585D9940">
      <w:pPr>
        <w:snapToGrid w:val="0"/>
        <w:spacing w:line="360" w:lineRule="auto"/>
        <w:ind w:firstLine="240" w:firstLineChars="1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九）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件的供应商，将拒绝其参与政府采购活动。</w:t>
      </w:r>
    </w:p>
    <w:p w14:paraId="180233A7">
      <w:pPr>
        <w:pStyle w:val="5"/>
        <w:bidi w:val="0"/>
        <w:spacing w:line="360" w:lineRule="auto"/>
        <w:rPr>
          <w:rFonts w:hint="eastAsia" w:ascii="仿宋" w:hAnsi="仿宋" w:eastAsia="仿宋" w:cs="仿宋"/>
          <w:color w:val="auto"/>
          <w:sz w:val="24"/>
          <w:szCs w:val="18"/>
          <w:highlight w:val="none"/>
          <w:lang w:val="en-US" w:eastAsia="zh-CN"/>
        </w:rPr>
      </w:pPr>
      <w:bookmarkStart w:id="71" w:name="_Toc110443987"/>
      <w:bookmarkStart w:id="72" w:name="_Toc14306"/>
      <w:bookmarkStart w:id="73" w:name="_Toc6795"/>
      <w:bookmarkStart w:id="74" w:name="_Toc24273"/>
      <w:r>
        <w:rPr>
          <w:rFonts w:hint="eastAsia" w:ascii="仿宋" w:hAnsi="仿宋" w:eastAsia="仿宋" w:cs="仿宋"/>
          <w:color w:val="auto"/>
          <w:sz w:val="24"/>
          <w:szCs w:val="18"/>
          <w:highlight w:val="none"/>
          <w:lang w:val="en-US" w:eastAsia="zh-CN"/>
        </w:rPr>
        <w:t>六、联系方式</w:t>
      </w:r>
      <w:bookmarkEnd w:id="69"/>
      <w:bookmarkEnd w:id="70"/>
      <w:bookmarkEnd w:id="71"/>
      <w:bookmarkEnd w:id="72"/>
      <w:bookmarkEnd w:id="73"/>
      <w:bookmarkEnd w:id="74"/>
    </w:p>
    <w:p w14:paraId="326FA746">
      <w:pPr>
        <w:snapToGrid w:val="0"/>
        <w:spacing w:line="360" w:lineRule="auto"/>
        <w:ind w:firstLine="240" w:firstLineChars="100"/>
        <w:outlineLvl w:val="1"/>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（一）采购人：重庆市大足中学</w:t>
      </w:r>
    </w:p>
    <w:p w14:paraId="505AD9F9">
      <w:pPr>
        <w:snapToGrid w:val="0"/>
        <w:spacing w:line="360" w:lineRule="auto"/>
        <w:ind w:firstLine="960" w:firstLineChars="400"/>
        <w:outlineLvl w:val="1"/>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址：重庆市大足区龙岗街道办事处学府路1号</w:t>
      </w:r>
    </w:p>
    <w:p w14:paraId="1DD987AA">
      <w:pPr>
        <w:snapToGrid w:val="0"/>
        <w:spacing w:line="360" w:lineRule="auto"/>
        <w:ind w:firstLine="960" w:firstLineChars="400"/>
        <w:outlineLvl w:val="1"/>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联系人：陈老师            </w:t>
      </w:r>
    </w:p>
    <w:p w14:paraId="3928A4CD">
      <w:pPr>
        <w:snapToGrid w:val="0"/>
        <w:spacing w:line="360" w:lineRule="auto"/>
        <w:ind w:firstLine="960" w:firstLineChars="400"/>
        <w:outlineLvl w:val="1"/>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电  话：13637775618            </w:t>
      </w:r>
    </w:p>
    <w:p w14:paraId="27222437">
      <w:pPr>
        <w:snapToGrid w:val="0"/>
        <w:spacing w:line="360" w:lineRule="auto"/>
        <w:ind w:firstLine="240" w:firstLineChars="100"/>
        <w:outlineLvl w:val="1"/>
        <w:rPr>
          <w:rFonts w:hint="eastAsia" w:ascii="仿宋" w:hAnsi="仿宋" w:eastAsia="仿宋" w:cs="仿宋"/>
          <w:color w:val="auto"/>
          <w:sz w:val="24"/>
          <w:szCs w:val="24"/>
          <w:highlight w:val="none"/>
          <w:lang w:val="en-US" w:eastAsia="zh-CN"/>
        </w:rPr>
      </w:pPr>
      <w:bookmarkStart w:id="75" w:name="_Toc8649"/>
      <w:bookmarkStart w:id="76" w:name="_Toc32686"/>
      <w:bookmarkStart w:id="77" w:name="_Toc2422"/>
      <w:bookmarkStart w:id="78" w:name="_Toc19886"/>
      <w:bookmarkStart w:id="79" w:name="_Toc725"/>
      <w:bookmarkStart w:id="80" w:name="_Toc1492"/>
      <w:bookmarkStart w:id="81" w:name="_Toc12959"/>
      <w:bookmarkStart w:id="82" w:name="_Toc26176"/>
      <w:bookmarkStart w:id="83" w:name="_Toc25639"/>
      <w:bookmarkStart w:id="84" w:name="_Toc75793504"/>
      <w:bookmarkStart w:id="85" w:name="_Toc23143"/>
      <w:bookmarkStart w:id="86" w:name="_Toc11017"/>
      <w:bookmarkStart w:id="87" w:name="_Toc2070"/>
      <w:bookmarkStart w:id="88" w:name="_Toc5461"/>
      <w:bookmarkStart w:id="89" w:name="_Toc1625"/>
      <w:r>
        <w:rPr>
          <w:rFonts w:hint="eastAsia" w:ascii="仿宋" w:hAnsi="仿宋" w:eastAsia="仿宋" w:cs="仿宋"/>
          <w:color w:val="auto"/>
          <w:sz w:val="24"/>
          <w:szCs w:val="24"/>
          <w:highlight w:val="none"/>
          <w:lang w:val="en-US" w:eastAsia="zh-CN"/>
        </w:rPr>
        <w:t>（二）采购代理机构：重庆弘标建设工程管理有限公司</w:t>
      </w:r>
    </w:p>
    <w:p w14:paraId="40193D74">
      <w:pPr>
        <w:snapToGrid w:val="0"/>
        <w:spacing w:line="360" w:lineRule="auto"/>
        <w:ind w:firstLine="960" w:firstLineChars="400"/>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联系人： 江老师           </w:t>
      </w:r>
    </w:p>
    <w:p w14:paraId="7CCCFEE0">
      <w:pPr>
        <w:snapToGrid w:val="0"/>
        <w:spacing w:line="360" w:lineRule="auto"/>
        <w:ind w:firstLine="960" w:firstLineChars="400"/>
        <w:outlineLvl w:val="1"/>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电  话： 13509458496           </w:t>
      </w:r>
    </w:p>
    <w:p w14:paraId="1E82A95A">
      <w:pPr>
        <w:snapToGrid w:val="0"/>
        <w:spacing w:line="360" w:lineRule="auto"/>
        <w:ind w:firstLine="960" w:firstLineChars="400"/>
        <w:outlineLvl w:val="1"/>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地  址：重庆市大足区双路街道双龙西路22号            </w:t>
      </w:r>
    </w:p>
    <w:p w14:paraId="5F931E41">
      <w:pPr>
        <w:pStyle w:val="4"/>
        <w:bidi w:val="0"/>
        <w:jc w:val="both"/>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r>
        <w:rPr>
          <w:rFonts w:hint="eastAsia" w:ascii="仿宋" w:hAnsi="仿宋" w:eastAsia="仿宋" w:cs="仿宋"/>
          <w:color w:val="auto"/>
          <w:highlight w:val="none"/>
          <w:lang w:val="en-US" w:eastAsia="zh-CN"/>
        </w:rPr>
        <w:t xml:space="preserve">          </w:t>
      </w:r>
      <w:bookmarkStart w:id="90" w:name="_Toc7618"/>
      <w:r>
        <w:rPr>
          <w:rFonts w:hint="eastAsia" w:ascii="仿宋" w:hAnsi="仿宋" w:eastAsia="仿宋" w:cs="仿宋"/>
          <w:color w:val="auto"/>
          <w:highlight w:val="none"/>
          <w:lang w:val="en-US" w:eastAsia="zh-CN"/>
        </w:rPr>
        <w:t xml:space="preserve">第二篇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hint="eastAsia" w:ascii="仿宋" w:hAnsi="仿宋" w:eastAsia="仿宋" w:cs="仿宋"/>
          <w:color w:val="auto"/>
          <w:highlight w:val="none"/>
          <w:lang w:val="en-US" w:eastAsia="zh-CN"/>
        </w:rPr>
        <w:t>项目技术需求</w:t>
      </w:r>
      <w:bookmarkEnd w:id="90"/>
    </w:p>
    <w:p w14:paraId="64A8ABAB">
      <w:pPr>
        <w:pStyle w:val="5"/>
        <w:numPr>
          <w:ilvl w:val="0"/>
          <w:numId w:val="17"/>
        </w:numPr>
        <w:bidi w:val="0"/>
        <w:rPr>
          <w:rFonts w:hint="eastAsia" w:ascii="仿宋" w:hAnsi="仿宋" w:eastAsia="仿宋" w:cs="仿宋"/>
          <w:color w:val="auto"/>
          <w:highlight w:val="none"/>
        </w:rPr>
      </w:pPr>
      <w:bookmarkStart w:id="91" w:name="_Toc2928"/>
      <w:bookmarkStart w:id="92" w:name="_Toc22910"/>
      <w:bookmarkStart w:id="93" w:name="_Toc4531"/>
      <w:bookmarkStart w:id="94" w:name="_Toc19238"/>
      <w:bookmarkStart w:id="95" w:name="_Toc4519"/>
      <w:bookmarkStart w:id="96" w:name="_Toc8370"/>
      <w:bookmarkStart w:id="97" w:name="_Toc29985"/>
      <w:bookmarkStart w:id="98" w:name="_Toc23504"/>
      <w:bookmarkStart w:id="99" w:name="_Toc23656"/>
      <w:bookmarkStart w:id="100" w:name="_Toc688"/>
      <w:bookmarkStart w:id="101" w:name="_Toc20979"/>
      <w:bookmarkStart w:id="102" w:name="_Toc11703"/>
      <w:bookmarkStart w:id="103" w:name="_Toc75793505"/>
      <w:bookmarkStart w:id="104" w:name="_Toc4913"/>
      <w:bookmarkStart w:id="105" w:name="_Toc9261"/>
      <w:bookmarkStart w:id="106" w:name="_Toc7027"/>
      <w:r>
        <w:rPr>
          <w:rFonts w:hint="eastAsia" w:ascii="仿宋" w:hAnsi="仿宋" w:eastAsia="仿宋" w:cs="仿宋"/>
          <w:color w:val="auto"/>
          <w:highlight w:val="none"/>
        </w:rPr>
        <w:t>项目一览表</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60"/>
        <w:tblpPr w:leftFromText="180" w:rightFromText="180" w:vertAnchor="text" w:horzAnchor="page" w:tblpX="1237" w:tblpY="27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8"/>
        <w:gridCol w:w="2605"/>
        <w:gridCol w:w="2128"/>
      </w:tblGrid>
      <w:tr w14:paraId="7096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78" w:type="dxa"/>
            <w:tcBorders>
              <w:top w:val="single" w:color="auto" w:sz="4" w:space="0"/>
              <w:left w:val="single" w:color="auto" w:sz="4" w:space="0"/>
              <w:right w:val="single" w:color="auto" w:sz="4" w:space="0"/>
            </w:tcBorders>
            <w:noWrap w:val="0"/>
            <w:vAlign w:val="center"/>
          </w:tcPr>
          <w:p w14:paraId="3BCC47B8">
            <w:pPr>
              <w:bidi w:val="0"/>
              <w:ind w:firstLine="2400" w:firstLineChars="10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项目内容</w:t>
            </w:r>
          </w:p>
        </w:tc>
        <w:tc>
          <w:tcPr>
            <w:tcW w:w="2605" w:type="dxa"/>
            <w:tcBorders>
              <w:top w:val="single" w:color="auto" w:sz="4" w:space="0"/>
              <w:left w:val="single" w:color="auto" w:sz="4" w:space="0"/>
              <w:right w:val="single" w:color="auto" w:sz="4" w:space="0"/>
            </w:tcBorders>
            <w:noWrap w:val="0"/>
            <w:vAlign w:val="center"/>
          </w:tcPr>
          <w:p w14:paraId="6C65407C">
            <w:pPr>
              <w:bidi w:val="0"/>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数量/单位</w:t>
            </w:r>
          </w:p>
        </w:tc>
        <w:tc>
          <w:tcPr>
            <w:tcW w:w="2128" w:type="dxa"/>
            <w:tcBorders>
              <w:top w:val="single" w:color="auto" w:sz="4" w:space="0"/>
              <w:left w:val="single" w:color="auto" w:sz="4" w:space="0"/>
              <w:right w:val="single" w:color="auto" w:sz="4" w:space="0"/>
            </w:tcBorders>
            <w:noWrap w:val="0"/>
            <w:vAlign w:val="top"/>
          </w:tcPr>
          <w:p w14:paraId="611853B4">
            <w:pPr>
              <w:bidi w:val="0"/>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3D57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4878" w:type="dxa"/>
            <w:tcBorders>
              <w:top w:val="single" w:color="auto" w:sz="4" w:space="0"/>
              <w:left w:val="single" w:color="auto" w:sz="4" w:space="0"/>
              <w:right w:val="single" w:color="auto" w:sz="4" w:space="0"/>
            </w:tcBorders>
            <w:noWrap w:val="0"/>
            <w:vAlign w:val="center"/>
          </w:tcPr>
          <w:p w14:paraId="3D985FA8">
            <w:pPr>
              <w:bidi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重庆市大足中学初中部2号教学楼拆除工程</w:t>
            </w:r>
          </w:p>
        </w:tc>
        <w:tc>
          <w:tcPr>
            <w:tcW w:w="2605" w:type="dxa"/>
            <w:tcBorders>
              <w:top w:val="single" w:color="auto" w:sz="4" w:space="0"/>
              <w:left w:val="single" w:color="auto" w:sz="4" w:space="0"/>
              <w:right w:val="single" w:color="auto" w:sz="4" w:space="0"/>
            </w:tcBorders>
            <w:noWrap w:val="0"/>
            <w:vAlign w:val="center"/>
          </w:tcPr>
          <w:p w14:paraId="3952B352">
            <w:pPr>
              <w:bidi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w:t>
            </w:r>
          </w:p>
        </w:tc>
        <w:tc>
          <w:tcPr>
            <w:tcW w:w="2128" w:type="dxa"/>
            <w:tcBorders>
              <w:top w:val="single" w:color="auto" w:sz="4" w:space="0"/>
              <w:left w:val="single" w:color="auto" w:sz="4" w:space="0"/>
              <w:right w:val="single" w:color="auto" w:sz="4" w:space="0"/>
            </w:tcBorders>
            <w:noWrap w:val="0"/>
            <w:vAlign w:val="center"/>
          </w:tcPr>
          <w:p w14:paraId="661CFA34">
            <w:pPr>
              <w:bidi w:val="0"/>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详见下文</w:t>
            </w:r>
          </w:p>
        </w:tc>
      </w:tr>
    </w:tbl>
    <w:p w14:paraId="10BED48A">
      <w:pPr>
        <w:pStyle w:val="5"/>
        <w:bidi w:val="0"/>
        <w:rPr>
          <w:rFonts w:hint="eastAsia" w:ascii="仿宋" w:hAnsi="仿宋" w:eastAsia="仿宋" w:cs="仿宋"/>
          <w:color w:val="auto"/>
          <w:highlight w:val="none"/>
          <w:lang w:val="en-US" w:eastAsia="zh-CN"/>
        </w:rPr>
      </w:pPr>
      <w:bookmarkStart w:id="107" w:name="_Toc7123"/>
      <w:r>
        <w:rPr>
          <w:rFonts w:hint="eastAsia" w:ascii="仿宋" w:hAnsi="仿宋" w:eastAsia="仿宋" w:cs="仿宋"/>
          <w:color w:val="auto"/>
          <w:highlight w:val="none"/>
          <w:lang w:val="en-US" w:eastAsia="zh-CN"/>
        </w:rPr>
        <w:t>二、实施内容及要求</w:t>
      </w:r>
      <w:bookmarkEnd w:id="107"/>
      <w:bookmarkStart w:id="108" w:name="_Toc49960014"/>
      <w:bookmarkStart w:id="109" w:name="_Toc112263720"/>
    </w:p>
    <w:p w14:paraId="4DC643D7">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（一）实施内容</w:t>
      </w:r>
    </w:p>
    <w:p w14:paraId="2D523C7B">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1.项目名称：重庆市大足中学初中部2号教学楼拆除工程</w:t>
      </w:r>
    </w:p>
    <w:p w14:paraId="73E78B2E">
      <w:pPr>
        <w:pStyle w:val="224"/>
        <w:outlineLvl w:val="2"/>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2.建设地点：重庆市大足中学内</w:t>
      </w:r>
    </w:p>
    <w:p w14:paraId="1C303823">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3.工程概况：重庆市大足中学初中部2号教学楼拆除工程，具体以招标人提供的工程量清单为准。</w:t>
      </w:r>
    </w:p>
    <w:p w14:paraId="38D08C17">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4.比选范围：</w:t>
      </w:r>
      <w:bookmarkStart w:id="110" w:name="_Toc6416"/>
      <w:r>
        <w:rPr>
          <w:rFonts w:hint="eastAsia" w:ascii="仿宋" w:hAnsi="仿宋" w:eastAsia="仿宋" w:cs="仿宋"/>
          <w:color w:val="auto"/>
          <w:kern w:val="2"/>
          <w:sz w:val="24"/>
          <w:szCs w:val="24"/>
          <w:highlight w:val="none"/>
          <w:lang w:val="en-US" w:eastAsia="zh-CN" w:bidi="ar-SA"/>
        </w:rPr>
        <w:t>详见本项目工程量清单及施工图设计。</w:t>
      </w:r>
    </w:p>
    <w:p w14:paraId="5CB5AAEE">
      <w:pPr>
        <w:pStyle w:val="224"/>
        <w:rPr>
          <w:rFonts w:hint="default" w:ascii="仿宋" w:hAnsi="仿宋" w:eastAsia="仿宋" w:cs="仿宋"/>
          <w:color w:val="auto"/>
          <w:kern w:val="2"/>
          <w:sz w:val="24"/>
          <w:szCs w:val="24"/>
          <w:highlight w:val="none"/>
          <w:lang w:val="en-US" w:eastAsia="zh-CN" w:bidi="ar-SA"/>
        </w:rPr>
      </w:pPr>
      <w:bookmarkStart w:id="111" w:name="_Toc8400"/>
      <w:r>
        <w:rPr>
          <w:rFonts w:hint="eastAsia" w:ascii="仿宋" w:hAnsi="仿宋" w:eastAsia="仿宋" w:cs="仿宋"/>
          <w:color w:val="auto"/>
          <w:kern w:val="2"/>
          <w:sz w:val="24"/>
          <w:szCs w:val="24"/>
          <w:highlight w:val="none"/>
          <w:lang w:val="en-US" w:eastAsia="zh-CN" w:bidi="ar-SA"/>
        </w:rPr>
        <w:t>5.质量要求：符合强制性质量标准，符合国家和重庆市现行有关施工质量验收规范要求，并达到合格标准。</w:t>
      </w:r>
      <w:bookmarkEnd w:id="111"/>
    </w:p>
    <w:p w14:paraId="47E0338A">
      <w:pPr>
        <w:pStyle w:val="5"/>
        <w:bidi w:val="0"/>
        <w:rPr>
          <w:rFonts w:hint="eastAsia" w:ascii="仿宋" w:hAnsi="仿宋" w:eastAsia="仿宋" w:cs="仿宋"/>
          <w:color w:val="auto"/>
          <w:highlight w:val="none"/>
          <w:lang w:val="en-US" w:eastAsia="zh-CN"/>
        </w:rPr>
      </w:pPr>
      <w:bookmarkStart w:id="112" w:name="_Toc5015"/>
      <w:r>
        <w:rPr>
          <w:rFonts w:hint="eastAsia" w:ascii="仿宋" w:hAnsi="仿宋" w:eastAsia="仿宋" w:cs="仿宋"/>
          <w:color w:val="auto"/>
          <w:highlight w:val="none"/>
          <w:lang w:val="en-US" w:eastAsia="zh-CN"/>
        </w:rPr>
        <w:t>三、投标截止日投标资格情况</w:t>
      </w:r>
      <w:bookmarkEnd w:id="112"/>
    </w:p>
    <w:p w14:paraId="0C0FCCDE">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投标人自行承诺（格式自拟）不得存在下列情形之一：</w:t>
      </w:r>
    </w:p>
    <w:p w14:paraId="7F59519A">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（1）被人民法院列入失信被执行人名单且在被执行期内；</w:t>
      </w:r>
    </w:p>
    <w:p w14:paraId="43ED256F">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（2）被列入《重庆市工程建设领域招标投标信用管理暂行办法》规定的重点关注名单且记分达到12分且在记分有效期内；</w:t>
      </w:r>
    </w:p>
    <w:p w14:paraId="17FC3A54">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（3）被列入《重庆市工程建设领域招标投标信用管理暂行办法》规定的重庆市工程建设领域招标投标失信惩戒对象名单（以下称黑名单）且在记分有效期内；</w:t>
      </w:r>
    </w:p>
    <w:p w14:paraId="1169C815">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（4）被国家、重庆市（含市或任意区县）有关行政部门处以暂停投标资格行政处罚，且在处罚期限内；</w:t>
      </w:r>
    </w:p>
    <w:p w14:paraId="760D7B52">
      <w:pPr>
        <w:pStyle w:val="224"/>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（5）被重庆市市级有关行业主管部门暂停在渝承揽新业务且在暂停期内。</w:t>
      </w:r>
    </w:p>
    <w:p w14:paraId="32B678B6">
      <w:pPr>
        <w:pStyle w:val="5"/>
        <w:bidi w:val="0"/>
        <w:rPr>
          <w:rFonts w:hint="eastAsia" w:ascii="仿宋" w:hAnsi="仿宋" w:eastAsia="仿宋" w:cs="仿宋"/>
          <w:color w:val="auto"/>
          <w:highlight w:val="none"/>
          <w:lang w:val="en-US" w:eastAsia="zh-CN"/>
        </w:rPr>
      </w:pPr>
      <w:bookmarkStart w:id="113" w:name="_Toc20980"/>
      <w:r>
        <w:rPr>
          <w:rFonts w:hint="eastAsia" w:ascii="仿宋" w:hAnsi="仿宋" w:eastAsia="仿宋" w:cs="仿宋"/>
          <w:color w:val="auto"/>
          <w:highlight w:val="none"/>
          <w:lang w:val="en-US" w:eastAsia="zh-CN"/>
        </w:rPr>
        <w:t>四、</w:t>
      </w:r>
      <w:bookmarkStart w:id="114" w:name="_Toc80863889"/>
      <w:r>
        <w:rPr>
          <w:rFonts w:hint="eastAsia" w:ascii="仿宋" w:hAnsi="仿宋" w:eastAsia="仿宋" w:cs="仿宋"/>
          <w:color w:val="auto"/>
          <w:highlight w:val="none"/>
          <w:lang w:val="en-US" w:eastAsia="zh-CN"/>
        </w:rPr>
        <w:t>现场踏勘</w:t>
      </w:r>
      <w:bookmarkEnd w:id="113"/>
      <w:bookmarkEnd w:id="114"/>
    </w:p>
    <w:bookmarkEnd w:id="110"/>
    <w:p w14:paraId="261525DB">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（一）采购人不组织现场踏勘，由各供应商在采购开始前自行到现场进行踏勘了解实际情况，根据实际踏勘情况做服务方案。踏勘产生的费用和风险等均由供应商自行承担。</w:t>
      </w:r>
    </w:p>
    <w:p w14:paraId="5D1CD719">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二）无论供应商是否踏勘过现场，均视为在响应截止时间之前踏勘过现场且对本项目潜在的风险和义务已完全了解，并已充分考虑了本项目可能面临的不确定因素可能导致的风险，成交供应商不得以不完全了解现场情况为借口而提出延长服务期限或提出额外赔偿等要求。</w:t>
      </w:r>
    </w:p>
    <w:p w14:paraId="2E8B5B86">
      <w:pPr>
        <w:pStyle w:val="5"/>
        <w:bidi w:val="0"/>
        <w:rPr>
          <w:rFonts w:hint="eastAsia" w:ascii="仿宋" w:hAnsi="仿宋" w:eastAsia="仿宋" w:cs="仿宋"/>
          <w:color w:val="auto"/>
          <w:highlight w:val="none"/>
          <w:lang w:val="en-US" w:eastAsia="zh-CN"/>
        </w:rPr>
      </w:pPr>
      <w:bookmarkStart w:id="115" w:name="_Toc1172"/>
      <w:bookmarkStart w:id="116" w:name="_Toc11993"/>
      <w:bookmarkStart w:id="117" w:name="_Toc28054"/>
      <w:r>
        <w:rPr>
          <w:rFonts w:hint="eastAsia" w:ascii="仿宋" w:hAnsi="仿宋" w:eastAsia="仿宋" w:cs="仿宋"/>
          <w:color w:val="auto"/>
          <w:highlight w:val="none"/>
          <w:lang w:val="en-US" w:eastAsia="zh-CN"/>
        </w:rPr>
        <w:t>五、安全要求</w:t>
      </w:r>
      <w:bookmarkEnd w:id="115"/>
      <w:bookmarkEnd w:id="116"/>
    </w:p>
    <w:bookmarkEnd w:id="117"/>
    <w:p w14:paraId="7BECDB1F">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供应商严格按照安全标准组织实施，采取必要的安全防护措施，消除隐患。在施工过程中由于供应商管理或安全措施不力造成周边环境破坏或事故责任和因此发生的费用，由供应商承担。供应商负责进入现场实施人员及财物安全，发生任何伤亡事故与采购人无关，供应商自行解决并承担相应的法律责任和财产损失。如因施工导致第三人人身、财产损失由成交供应商承担相关的赔偿责任。</w:t>
      </w:r>
    </w:p>
    <w:p w14:paraId="0325FF1D">
      <w:pPr>
        <w:snapToGrid w:val="0"/>
        <w:spacing w:line="4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特别说明：</w:t>
      </w:r>
    </w:p>
    <w:p w14:paraId="4401E459">
      <w:pPr>
        <w:snapToGrid w:val="0"/>
        <w:spacing w:line="400" w:lineRule="exact"/>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、本竞采文件要求须提交的相关证明材料复印件均应加盖供应商公章并装入响应文件中。</w:t>
      </w:r>
    </w:p>
    <w:p w14:paraId="657C3464">
      <w:pPr>
        <w:snapToGrid w:val="0"/>
        <w:spacing w:line="400" w:lineRule="exact"/>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、供应商须自行承诺其提供的上述相关证明材料真实有效，不存在弄虚作假情形（格式自拟）。</w:t>
      </w:r>
      <w:r>
        <w:rPr>
          <w:rFonts w:hint="eastAsia" w:ascii="仿宋" w:hAnsi="仿宋" w:eastAsia="仿宋" w:cs="仿宋"/>
          <w:color w:val="auto"/>
          <w:sz w:val="24"/>
          <w:szCs w:val="24"/>
          <w:highlight w:val="none"/>
        </w:rPr>
        <w:t>采购人在合同签订前均有权对供应商提供的资料进行核实，若发现弄虚作假，按相关规定取消其中标资格，并按相关法律法规报招标投标监督部门，供应商承担因此造成的相关责任并赔偿相应损失。</w:t>
      </w:r>
    </w:p>
    <w:p w14:paraId="5CE67467">
      <w:pPr>
        <w:pStyle w:val="36"/>
        <w:rPr>
          <w:rFonts w:hint="eastAsia"/>
          <w:color w:val="auto"/>
          <w:highlight w:val="none"/>
          <w:lang w:val="en-US" w:eastAsia="zh-CN"/>
        </w:rPr>
      </w:pPr>
    </w:p>
    <w:p w14:paraId="44169C19">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p>
    <w:bookmarkEnd w:id="108"/>
    <w:bookmarkEnd w:id="109"/>
    <w:p w14:paraId="0CF8B80B">
      <w:pPr>
        <w:pStyle w:val="4"/>
        <w:bidi w:val="0"/>
        <w:jc w:val="center"/>
        <w:rPr>
          <w:rFonts w:hint="eastAsia" w:ascii="仿宋" w:hAnsi="仿宋" w:eastAsia="仿宋" w:cs="仿宋"/>
          <w:color w:val="auto"/>
          <w:highlight w:val="none"/>
          <w:lang w:val="en-US" w:eastAsia="zh-CN"/>
        </w:rPr>
      </w:pPr>
      <w:bookmarkStart w:id="118" w:name="_Toc9920"/>
      <w:bookmarkStart w:id="119" w:name="_Toc28164"/>
      <w:bookmarkStart w:id="120" w:name="_Toc1363"/>
      <w:bookmarkStart w:id="121" w:name="_Toc31584"/>
      <w:bookmarkStart w:id="122" w:name="_Toc19536"/>
      <w:bookmarkStart w:id="123" w:name="_Toc21557"/>
      <w:bookmarkStart w:id="124" w:name="_Toc75793508"/>
      <w:bookmarkStart w:id="125" w:name="_Toc2095"/>
      <w:bookmarkStart w:id="126" w:name="_Toc9326"/>
      <w:bookmarkStart w:id="127" w:name="_Toc18187"/>
      <w:bookmarkStart w:id="128" w:name="_Toc26363"/>
      <w:bookmarkStart w:id="129" w:name="_Toc8633"/>
      <w:bookmarkStart w:id="130" w:name="_Toc15467"/>
      <w:bookmarkStart w:id="131" w:name="_Toc13990"/>
      <w:bookmarkStart w:id="132" w:name="_Toc20842"/>
      <w:bookmarkStart w:id="133" w:name="_Toc18298"/>
      <w:r>
        <w:rPr>
          <w:rFonts w:hint="eastAsia" w:ascii="仿宋" w:hAnsi="仿宋" w:eastAsia="仿宋" w:cs="仿宋"/>
          <w:color w:val="auto"/>
          <w:highlight w:val="none"/>
          <w:lang w:val="en-US" w:eastAsia="zh-CN"/>
        </w:rPr>
        <w:t xml:space="preserve">第三篇  </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hint="eastAsia" w:ascii="仿宋" w:hAnsi="仿宋" w:eastAsia="仿宋" w:cs="仿宋"/>
          <w:color w:val="auto"/>
          <w:highlight w:val="none"/>
          <w:lang w:val="en-US" w:eastAsia="zh-CN"/>
        </w:rPr>
        <w:t>项目商务需求</w:t>
      </w:r>
      <w:bookmarkEnd w:id="133"/>
      <w:bookmarkStart w:id="134" w:name="_Toc267320049"/>
    </w:p>
    <w:p w14:paraId="318C1B83">
      <w:pPr>
        <w:pStyle w:val="5"/>
        <w:bidi w:val="0"/>
        <w:rPr>
          <w:rFonts w:hint="eastAsia" w:ascii="仿宋" w:hAnsi="仿宋" w:eastAsia="仿宋" w:cs="仿宋"/>
          <w:color w:val="auto"/>
          <w:highlight w:val="none"/>
          <w:lang w:val="en-US" w:eastAsia="zh-CN"/>
        </w:rPr>
      </w:pPr>
      <w:bookmarkStart w:id="135" w:name="_Toc21429"/>
      <w:bookmarkStart w:id="136" w:name="_Toc75793509"/>
      <w:bookmarkStart w:id="137" w:name="_Toc28521"/>
      <w:bookmarkStart w:id="138" w:name="_Toc6595"/>
      <w:bookmarkStart w:id="139" w:name="_Toc9676"/>
      <w:bookmarkStart w:id="140" w:name="_Toc14029"/>
      <w:bookmarkStart w:id="141" w:name="_Toc30118"/>
      <w:bookmarkStart w:id="142" w:name="_Toc11380"/>
      <w:bookmarkStart w:id="143" w:name="_Toc13389"/>
      <w:bookmarkStart w:id="144" w:name="_Toc22944"/>
      <w:bookmarkStart w:id="145" w:name="_Toc8752"/>
      <w:bookmarkStart w:id="146" w:name="_Toc13728"/>
      <w:bookmarkStart w:id="147" w:name="_Toc12768"/>
      <w:bookmarkStart w:id="148" w:name="_Toc10039"/>
      <w:bookmarkStart w:id="149" w:name="_Toc23501"/>
      <w:bookmarkStart w:id="150" w:name="_Toc17059"/>
      <w:r>
        <w:rPr>
          <w:rFonts w:hint="eastAsia" w:ascii="仿宋" w:hAnsi="仿宋" w:eastAsia="仿宋" w:cs="仿宋"/>
          <w:color w:val="auto"/>
          <w:highlight w:val="none"/>
          <w:lang w:val="en-US" w:eastAsia="zh-CN"/>
        </w:rPr>
        <w:t>一、</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hint="eastAsia" w:ascii="仿宋" w:hAnsi="仿宋" w:eastAsia="仿宋" w:cs="仿宋"/>
          <w:color w:val="auto"/>
          <w:highlight w:val="none"/>
          <w:lang w:val="en-US" w:eastAsia="zh-CN"/>
        </w:rPr>
        <w:t>实施时间、地点、要求及验收方式</w:t>
      </w:r>
      <w:bookmarkEnd w:id="150"/>
    </w:p>
    <w:p w14:paraId="3E3FFF4C">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1、实施时间</w:t>
      </w:r>
    </w:p>
    <w:p w14:paraId="23D3578C">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合同签订之日起30个日历天内完成。</w:t>
      </w:r>
    </w:p>
    <w:p w14:paraId="6DAE7EB5">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2、实施地点</w:t>
      </w:r>
    </w:p>
    <w:p w14:paraId="0B3F683C">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 重庆市大足中学内 。</w:t>
      </w:r>
    </w:p>
    <w:p w14:paraId="640E6DCA">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3、实施要求</w:t>
      </w:r>
    </w:p>
    <w:p w14:paraId="470E287C">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本项目中标人加强施工期间安全管理，做到安全施工、文明施工，并做好相应的施工安全公告及警戒标识，为施工人员购买工伤保险和人身意外保险。</w:t>
      </w:r>
    </w:p>
    <w:p w14:paraId="45DF07F3">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4、验收方式</w:t>
      </w:r>
    </w:p>
    <w:p w14:paraId="5F915DE2">
      <w:pPr>
        <w:spacing w:line="360" w:lineRule="auto"/>
        <w:ind w:firstLine="480" w:firstLineChars="200"/>
        <w:rPr>
          <w:rFonts w:hint="eastAsia" w:ascii="仿宋" w:hAnsi="仿宋" w:eastAsia="仿宋" w:cs="仿宋"/>
          <w:color w:val="auto"/>
          <w:kern w:val="2"/>
          <w:sz w:val="24"/>
          <w:szCs w:val="24"/>
          <w:highlight w:val="none"/>
          <w:lang w:val="en-US" w:eastAsia="zh-CN" w:bidi="ar-SA"/>
        </w:rPr>
      </w:pPr>
      <w:bookmarkStart w:id="151" w:name="_Toc1484"/>
      <w:bookmarkStart w:id="152" w:name="_Toc13418"/>
      <w:bookmarkStart w:id="153" w:name="_Toc20367"/>
      <w:bookmarkStart w:id="154" w:name="_Toc29436"/>
      <w:bookmarkStart w:id="155" w:name="_Toc75793510"/>
      <w:bookmarkStart w:id="156" w:name="_Toc7746"/>
      <w:bookmarkStart w:id="157" w:name="_Toc22142"/>
      <w:bookmarkStart w:id="158" w:name="_Toc22158"/>
      <w:bookmarkStart w:id="159" w:name="_Toc21022"/>
      <w:bookmarkStart w:id="160" w:name="_Toc30781"/>
      <w:bookmarkStart w:id="161" w:name="_Toc18152"/>
      <w:bookmarkStart w:id="162" w:name="_Toc8592"/>
      <w:bookmarkStart w:id="163" w:name="_Toc28679"/>
      <w:bookmarkStart w:id="164" w:name="_Toc4036"/>
      <w:bookmarkStart w:id="165" w:name="_Toc29144"/>
      <w:bookmarkStart w:id="166" w:name="_Toc267320050"/>
      <w:r>
        <w:rPr>
          <w:rFonts w:hint="eastAsia" w:ascii="仿宋" w:hAnsi="仿宋" w:eastAsia="仿宋" w:cs="仿宋"/>
          <w:color w:val="auto"/>
          <w:kern w:val="2"/>
          <w:sz w:val="24"/>
          <w:szCs w:val="24"/>
          <w:highlight w:val="none"/>
          <w:lang w:val="en-US" w:eastAsia="zh-CN" w:bidi="ar-SA"/>
        </w:rPr>
        <w:t>（1）施工过程应遵照现行国家有关规范进行，采购人按照有关要求自行组织进行检查验收。成交供应商应保证工程质量，工程用建筑材料须符合国家及行业标准，质量要求：</w:t>
      </w:r>
      <w:r>
        <w:rPr>
          <w:rFonts w:hint="eastAsia" w:ascii="仿宋" w:hAnsi="仿宋" w:eastAsia="仿宋" w:cs="仿宋"/>
          <w:b/>
          <w:bCs/>
          <w:color w:val="auto"/>
          <w:kern w:val="2"/>
          <w:sz w:val="24"/>
          <w:szCs w:val="24"/>
          <w:highlight w:val="none"/>
          <w:lang w:val="en-US" w:eastAsia="zh-CN" w:bidi="ar-SA"/>
        </w:rPr>
        <w:t>工程质量符合强制性质量标准，符合国家和重庆市现行有关施工质量验收规范要求，并达到合格标准。</w:t>
      </w:r>
    </w:p>
    <w:p w14:paraId="60EE06DF">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（2）工程完工后，按国家相关标准验收程序和规程进行验收并签字确认。验收的相关费用由成交供应商承担。</w:t>
      </w:r>
    </w:p>
    <w:p w14:paraId="45316B7C">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（3）成交供应商未达到采购文件的要求，且对采购人造成损失的，由成交供应商承担一切责任，并赔偿所造成的损失。</w:t>
      </w:r>
    </w:p>
    <w:p w14:paraId="08D4FE68">
      <w:pPr>
        <w:pStyle w:val="5"/>
        <w:bidi w:val="0"/>
        <w:rPr>
          <w:rFonts w:hint="eastAsia" w:ascii="仿宋" w:hAnsi="仿宋" w:eastAsia="仿宋" w:cs="仿宋"/>
          <w:color w:val="auto"/>
          <w:highlight w:val="none"/>
          <w:lang w:val="en-US" w:eastAsia="zh-CN"/>
        </w:rPr>
      </w:pPr>
      <w:bookmarkStart w:id="167" w:name="_Toc18697"/>
      <w:r>
        <w:rPr>
          <w:rFonts w:hint="eastAsia" w:ascii="仿宋" w:hAnsi="仿宋" w:eastAsia="仿宋" w:cs="仿宋"/>
          <w:color w:val="auto"/>
          <w:highlight w:val="none"/>
          <w:lang w:val="en-US" w:eastAsia="zh-CN"/>
        </w:rPr>
        <w:t>二、</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rFonts w:hint="eastAsia" w:ascii="仿宋" w:hAnsi="仿宋" w:eastAsia="仿宋" w:cs="仿宋"/>
          <w:color w:val="auto"/>
          <w:highlight w:val="none"/>
          <w:lang w:val="en-US" w:eastAsia="zh-CN"/>
        </w:rPr>
        <w:t>报价要求及结算方式</w:t>
      </w:r>
      <w:bookmarkEnd w:id="167"/>
    </w:p>
    <w:p w14:paraId="0DDEEED0">
      <w:pPr>
        <w:spacing w:line="360" w:lineRule="auto"/>
        <w:ind w:firstLine="480" w:firstLineChars="200"/>
        <w:outlineLvl w:val="1"/>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1、报价要求</w:t>
      </w:r>
    </w:p>
    <w:bookmarkEnd w:id="166"/>
    <w:p w14:paraId="2A5D5C12">
      <w:pPr>
        <w:spacing w:line="360" w:lineRule="auto"/>
        <w:ind w:firstLine="480" w:firstLineChars="200"/>
        <w:rPr>
          <w:rFonts w:hint="eastAsia" w:ascii="仿宋" w:hAnsi="仿宋" w:eastAsia="仿宋" w:cs="仿宋"/>
          <w:color w:val="auto"/>
          <w:kern w:val="2"/>
          <w:sz w:val="24"/>
          <w:szCs w:val="24"/>
          <w:highlight w:val="none"/>
          <w:lang w:val="en-US" w:eastAsia="zh-CN" w:bidi="ar-SA"/>
        </w:rPr>
      </w:pPr>
      <w:bookmarkStart w:id="168" w:name="_Toc15693"/>
      <w:bookmarkStart w:id="169" w:name="_Toc30067"/>
      <w:bookmarkStart w:id="170" w:name="_Toc22763"/>
      <w:bookmarkStart w:id="171" w:name="_Toc23377"/>
      <w:bookmarkStart w:id="172" w:name="_Toc3339"/>
      <w:bookmarkStart w:id="173" w:name="_Toc25165"/>
      <w:bookmarkStart w:id="174" w:name="_Toc8133"/>
      <w:bookmarkStart w:id="175" w:name="_Toc25903"/>
      <w:bookmarkStart w:id="176" w:name="_Toc75793517"/>
      <w:bookmarkStart w:id="177" w:name="_Toc2406"/>
      <w:bookmarkStart w:id="178" w:name="_Toc11875"/>
      <w:bookmarkStart w:id="179" w:name="_Toc2487"/>
      <w:bookmarkStart w:id="180" w:name="_Toc24966"/>
      <w:bookmarkStart w:id="181" w:name="_Toc25911"/>
      <w:bookmarkStart w:id="182" w:name="_Toc32453"/>
      <w:r>
        <w:rPr>
          <w:rFonts w:hint="eastAsia" w:ascii="仿宋" w:hAnsi="仿宋" w:eastAsia="仿宋" w:cs="仿宋"/>
          <w:color w:val="auto"/>
          <w:kern w:val="2"/>
          <w:sz w:val="24"/>
          <w:szCs w:val="24"/>
          <w:highlight w:val="none"/>
          <w:lang w:val="en-US" w:eastAsia="zh-CN" w:bidi="ar-SA"/>
        </w:rPr>
        <w:t>1.1本项目最高限价为702623.67元（大写：柒拾万零贰仟陆佰贰拾叁元陆角柒分），投标总价超过此最高限价的响应文件为无效投标。</w:t>
      </w:r>
    </w:p>
    <w:p w14:paraId="42946D8D">
      <w:pPr>
        <w:spacing w:line="360" w:lineRule="auto"/>
        <w:ind w:firstLine="480" w:firstLineChars="200"/>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1.2供应商的响应报价应完成本项目全部工程的报价，并以供应商在工程量清单中提出的单价或总价为依据。</w:t>
      </w:r>
    </w:p>
    <w:p w14:paraId="7912211F">
      <w:pPr>
        <w:spacing w:line="360" w:lineRule="auto"/>
        <w:ind w:firstLine="480" w:firstLineChars="200"/>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1.3供应商报价函中的总报价必须与工程量清单总报价一致。</w:t>
      </w:r>
    </w:p>
    <w:p w14:paraId="0297897C">
      <w:pPr>
        <w:spacing w:line="360" w:lineRule="auto"/>
        <w:ind w:firstLine="480" w:firstLineChars="200"/>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注：（1）采购人在工程量清单中所列出的价格（包括安全文明施工费、暂列金额、暂估价等），供应商不得修改，否则由评标委员会作否决投标处理。</w:t>
      </w:r>
    </w:p>
    <w:p w14:paraId="45DAA9E4">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本次报价为综合单价报价，每项清单综合单价报价不得高于每项清单综合单价最高限价。报价包括但不限于完成本项目所实施内容的人工、材料、机械、管理费、规费、利润、税金、措施项目费、风险费等一切费用等。供应商根据本竞采文件、国家有关标准规范结合本项目特点，结合实际工作量、技术含量、难易程度、复杂性、经营决策、企业实力和市场行情等因素，计算费用并承担相应的风险自主报价。因成交供应商自身原因造</w:t>
      </w:r>
      <w:r>
        <w:rPr>
          <w:rFonts w:hint="eastAsia" w:ascii="仿宋" w:hAnsi="仿宋" w:eastAsia="仿宋" w:cs="仿宋"/>
          <w:color w:val="auto"/>
          <w:kern w:val="2"/>
          <w:sz w:val="24"/>
          <w:szCs w:val="24"/>
          <w:highlight w:val="none"/>
          <w:lang w:val="en-US" w:eastAsia="zh-CN" w:bidi="ar-SA"/>
        </w:rPr>
        <w:t>成漏报、少报皆由其自行承担责任，采购人不再补偿。</w:t>
      </w:r>
    </w:p>
    <w:p w14:paraId="4D4121F0">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2、结算原则</w:t>
      </w:r>
    </w:p>
    <w:p w14:paraId="60FB2B61">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2.1按照《建设工程工程量清单计价规范》(GB50500-2013)、《重庆市建设工程工程量清单计价规则》（CQQDGZ-2013）的规定，采用工程量清单计价。</w:t>
      </w:r>
    </w:p>
    <w:p w14:paraId="3D614923">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2.2《重庆市房屋修缮工程计价定额》2018、《重庆市房屋建筑与装饰工程计价定额》2018及相关配套文件。</w:t>
      </w:r>
    </w:p>
    <w:p w14:paraId="44428CB6">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2.3工程取费及税金按2018年《重庆市建设工程费用定额》、《重庆市城乡建设委员会关于建筑业营业税改征增值税调整建设工程计价依据的通知》（渝建发〔2016〕35号）计算，重庆市城乡建设委员会“关于适用增值税新税率调整建设工程计价依据的通知”（渝建【2019】143号）及相关配套文件。</w:t>
      </w:r>
    </w:p>
    <w:p w14:paraId="1B60BA69">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2.4人工工日单价按《重庆市工程造价信息》2024年第二季度进行调整。</w:t>
      </w:r>
    </w:p>
    <w:p w14:paraId="4A2FD680">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2.5材料单价参照《重庆工程造价信息》2024年8期。</w:t>
      </w:r>
    </w:p>
    <w:p w14:paraId="3682015D">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2.6国家、行业和地方政府其他有关法律、法规和规定。</w:t>
      </w:r>
    </w:p>
    <w:p w14:paraId="563599E5">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2.7《重庆市大足中学初中部2号教学楼拆除工程》建设项目实施方案图纸。</w:t>
      </w:r>
    </w:p>
    <w:p w14:paraId="7B259150">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2.8本项目结算最终以相关单位审定的金额为准。</w:t>
      </w:r>
    </w:p>
    <w:p w14:paraId="28D0A022">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 变更估价的原则：</w:t>
      </w:r>
    </w:p>
    <w:p w14:paraId="47F63F77">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3.1属于设计变更的项目，则由成交供应商按照《建设工程工程量清单计价规范》(GB50500-2013)、《重庆市建设工程工程量清单计价规则》（CQQDGZ-2013）的规定，采用工程量清单计价。</w:t>
      </w:r>
    </w:p>
    <w:p w14:paraId="5B4A7B4F">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3.2《重庆市房屋修缮工程计价定额》2018、《重庆市房屋建筑与装饰工程计价定额》2018及相关配套文件。</w:t>
      </w:r>
    </w:p>
    <w:p w14:paraId="536C4880">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3.3工程取费及税金按2018年《重庆市建设工程费用定额》、《重庆市城乡建设委员会关于建筑业营业税改征增值税调整建设工程计价依据的通知》（渝建发〔2016〕35号）计算，重庆市城乡建设委员会“关于适用增值税新税率调整建设工程计价依据的通知”（渝建【2019】143号）及相关配套文件。</w:t>
      </w:r>
    </w:p>
    <w:p w14:paraId="34ADEBD9">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3.4人工工日单价按《重庆市工程造价信息》2024年第二季度进行调整。</w:t>
      </w:r>
    </w:p>
    <w:p w14:paraId="076A0C96">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3.5材料单价参照《重庆工程造价信息》2024年8期。</w:t>
      </w:r>
    </w:p>
    <w:p w14:paraId="121FEDAF">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3.6国家、行业和地方政府其他有关法律、法规和规定。</w:t>
      </w:r>
    </w:p>
    <w:p w14:paraId="67D470A9">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3.7《重庆市大足中学初中部2号教学楼拆除工程》建设项目实施方案图纸。</w:t>
      </w:r>
    </w:p>
    <w:p w14:paraId="6CE630A4">
      <w:pPr>
        <w:spacing w:line="360" w:lineRule="auto"/>
        <w:ind w:firstLine="480" w:firstLineChars="200"/>
        <w:outlineLvl w:val="1"/>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3.8本项目结算最终以相关单位审定的金额为准。</w:t>
      </w:r>
    </w:p>
    <w:p w14:paraId="7DFC8848">
      <w:pPr>
        <w:pStyle w:val="5"/>
        <w:bidi w:val="0"/>
        <w:rPr>
          <w:rFonts w:hint="eastAsia" w:ascii="仿宋" w:hAnsi="仿宋" w:eastAsia="仿宋" w:cs="仿宋"/>
          <w:color w:val="auto"/>
          <w:highlight w:val="none"/>
          <w:lang w:val="en-US" w:eastAsia="zh-CN"/>
        </w:rPr>
      </w:pPr>
      <w:bookmarkStart w:id="183" w:name="_Toc17379"/>
      <w:r>
        <w:rPr>
          <w:rFonts w:hint="eastAsia" w:ascii="仿宋" w:hAnsi="仿宋" w:eastAsia="仿宋" w:cs="仿宋"/>
          <w:color w:val="auto"/>
          <w:highlight w:val="none"/>
          <w:lang w:val="en-US" w:eastAsia="zh-CN"/>
        </w:rPr>
        <w:t>三、付款方式</w:t>
      </w:r>
      <w:bookmarkEnd w:id="183"/>
    </w:p>
    <w:p w14:paraId="0E0595E1">
      <w:pPr>
        <w:keepNext w:val="0"/>
        <w:keepLines w:val="0"/>
        <w:pageBreakBefore w:val="0"/>
        <w:kinsoku/>
        <w:wordWrap/>
        <w:overflowPunct/>
        <w:topLinePunct w:val="0"/>
        <w:autoSpaceDE/>
        <w:autoSpaceDN/>
        <w:bidi w:val="0"/>
        <w:adjustRightInd/>
        <w:snapToGrid/>
        <w:spacing w:line="400" w:lineRule="exact"/>
        <w:ind w:right="0" w:rightChars="0" w:firstLine="480" w:firstLineChars="200"/>
        <w:jc w:val="both"/>
        <w:textAlignment w:val="auto"/>
        <w:outlineLvl w:val="9"/>
        <w:rPr>
          <w:rFonts w:hint="default"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本工程不支付预付款；根据专项资金实际到位情况，工程完工结算后支付合同价的60%，审计完成支付至审定（若遇国审或二审，最终审定金额按国审或二审为准）金额的97%，支付工程款视业主上级补助资金到位情况而定，如资金未到位，工程款拨付时间则顺延，不计息。余下3%作为质保金，质保期满后无息付清（质保期,24个月）；每次拨款中标单位须开具相应金额建安增值税发票。</w:t>
      </w:r>
    </w:p>
    <w:p w14:paraId="6B13A8E4">
      <w:pPr>
        <w:numPr>
          <w:ilvl w:val="0"/>
          <w:numId w:val="0"/>
        </w:numPr>
        <w:spacing w:line="400" w:lineRule="exact"/>
        <w:rPr>
          <w:rFonts w:hint="eastAsia" w:ascii="仿宋" w:hAnsi="仿宋" w:eastAsia="仿宋" w:cs="仿宋"/>
          <w:b/>
          <w:color w:val="auto"/>
          <w:kern w:val="2"/>
          <w:sz w:val="28"/>
          <w:highlight w:val="none"/>
          <w:lang w:val="en-US" w:eastAsia="zh-CN" w:bidi="ar-SA"/>
        </w:rPr>
      </w:pPr>
      <w:bookmarkStart w:id="184" w:name="_Toc376184488"/>
      <w:bookmarkStart w:id="185" w:name="_Toc51655846"/>
      <w:bookmarkStart w:id="186" w:name="_Toc5632"/>
      <w:r>
        <w:rPr>
          <w:rFonts w:hint="eastAsia" w:ascii="仿宋" w:hAnsi="仿宋" w:eastAsia="仿宋" w:cs="仿宋"/>
          <w:b/>
          <w:color w:val="auto"/>
          <w:kern w:val="2"/>
          <w:sz w:val="28"/>
          <w:highlight w:val="none"/>
          <w:lang w:val="en-US" w:eastAsia="zh-CN" w:bidi="ar-SA"/>
        </w:rPr>
        <w:t>四、质量保证金</w:t>
      </w:r>
    </w:p>
    <w:p w14:paraId="4BF1FE17">
      <w:pPr>
        <w:spacing w:line="400" w:lineRule="exact"/>
        <w:ind w:firstLine="482" w:firstLineChars="200"/>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 xml:space="preserve">本项目质量保证金为3%，质保期期满后无息退回，质保期两年。 </w:t>
      </w:r>
    </w:p>
    <w:p w14:paraId="748A45FB">
      <w:pPr>
        <w:spacing w:line="400" w:lineRule="exact"/>
        <w:ind w:firstLine="482" w:firstLineChars="200"/>
        <w:rPr>
          <w:rFonts w:hint="eastAsia" w:ascii="仿宋" w:hAnsi="仿宋" w:eastAsia="仿宋" w:cs="仿宋"/>
          <w:b/>
          <w:bCs/>
          <w:color w:val="auto"/>
          <w:kern w:val="2"/>
          <w:sz w:val="24"/>
          <w:szCs w:val="24"/>
          <w:highlight w:val="none"/>
          <w:lang w:val="en-US" w:eastAsia="zh-CN" w:bidi="ar-SA"/>
        </w:rPr>
      </w:pPr>
    </w:p>
    <w:p w14:paraId="030071D2">
      <w:pPr>
        <w:pStyle w:val="5"/>
        <w:numPr>
          <w:ilvl w:val="0"/>
          <w:numId w:val="0"/>
        </w:numPr>
        <w:bidi w:val="0"/>
        <w:rPr>
          <w:rFonts w:hint="eastAsia" w:ascii="仿宋" w:hAnsi="仿宋" w:eastAsia="仿宋" w:cs="仿宋"/>
          <w:color w:val="auto"/>
          <w:highlight w:val="none"/>
          <w:lang w:val="en-US" w:eastAsia="zh-CN"/>
        </w:rPr>
      </w:pPr>
      <w:bookmarkStart w:id="187" w:name="_Toc2084"/>
      <w:r>
        <w:rPr>
          <w:rFonts w:hint="eastAsia" w:ascii="仿宋" w:hAnsi="仿宋" w:eastAsia="仿宋" w:cs="仿宋"/>
          <w:color w:val="auto"/>
          <w:highlight w:val="none"/>
          <w:lang w:val="en-US" w:eastAsia="zh-CN"/>
        </w:rPr>
        <w:t>五、其他</w:t>
      </w:r>
      <w:bookmarkEnd w:id="184"/>
      <w:bookmarkEnd w:id="185"/>
      <w:bookmarkEnd w:id="187"/>
    </w:p>
    <w:bookmarkEnd w:id="186"/>
    <w:p w14:paraId="21C04AF1">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（一）供应商必须在响应文件中对以上条款和服务承诺明确列出，承诺内容必须达到本篇及采购文件其他条款的要求。</w:t>
      </w:r>
    </w:p>
    <w:p w14:paraId="60D2A0FB">
      <w:pPr>
        <w:spacing w:line="360" w:lineRule="auto"/>
        <w:ind w:firstLine="480" w:firstLineChars="200"/>
        <w:outlineLvl w:val="1"/>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24"/>
          <w:szCs w:val="24"/>
          <w:highlight w:val="none"/>
          <w:lang w:val="en-US" w:eastAsia="zh-CN" w:bidi="ar-SA"/>
        </w:rPr>
        <w:t>（二）其他未尽事宜由供需双方在采购合同中详细约定。</w:t>
      </w:r>
    </w:p>
    <w:p w14:paraId="6B8913A7">
      <w:pPr>
        <w:ind w:firstLine="2209" w:firstLineChars="500"/>
        <w:rPr>
          <w:rFonts w:hint="eastAsia" w:ascii="仿宋" w:hAnsi="仿宋" w:eastAsia="仿宋" w:cs="仿宋"/>
          <w:b/>
          <w:color w:val="auto"/>
          <w:kern w:val="2"/>
          <w:sz w:val="44"/>
          <w:highlight w:val="none"/>
          <w:lang w:val="en-US" w:eastAsia="zh-CN" w:bidi="ar-SA"/>
        </w:rPr>
      </w:pPr>
    </w:p>
    <w:p w14:paraId="124E8373">
      <w:pPr>
        <w:pStyle w:val="4"/>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bookmarkStart w:id="188" w:name="_Toc16419"/>
      <w:r>
        <w:rPr>
          <w:rFonts w:hint="eastAsia" w:ascii="仿宋" w:hAnsi="仿宋" w:eastAsia="仿宋" w:cs="仿宋"/>
          <w:color w:val="auto"/>
          <w:highlight w:val="none"/>
          <w:lang w:val="en-US" w:eastAsia="zh-CN"/>
        </w:rPr>
        <w:t>第四篇 资格审查及评标办法</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8"/>
    </w:p>
    <w:p w14:paraId="3513C887">
      <w:pPr>
        <w:pStyle w:val="5"/>
        <w:bidi w:val="0"/>
        <w:rPr>
          <w:rFonts w:hint="eastAsia" w:ascii="仿宋" w:hAnsi="仿宋" w:eastAsia="仿宋" w:cs="仿宋"/>
          <w:color w:val="auto"/>
          <w:highlight w:val="none"/>
        </w:rPr>
      </w:pPr>
      <w:bookmarkStart w:id="189" w:name="_Toc1497"/>
      <w:bookmarkStart w:id="190" w:name="_Toc8983"/>
      <w:bookmarkStart w:id="191" w:name="_Toc27081"/>
      <w:bookmarkStart w:id="192" w:name="_Toc26309"/>
      <w:bookmarkStart w:id="193" w:name="_Toc23973"/>
      <w:bookmarkStart w:id="194" w:name="_Toc20541"/>
      <w:bookmarkStart w:id="195" w:name="_Toc14564"/>
      <w:bookmarkStart w:id="196" w:name="_Toc21859"/>
      <w:bookmarkStart w:id="197" w:name="_Toc28360"/>
      <w:bookmarkStart w:id="198" w:name="_Toc75793518"/>
      <w:bookmarkStart w:id="199" w:name="_Toc29755"/>
      <w:bookmarkStart w:id="200" w:name="_Toc28903"/>
      <w:bookmarkStart w:id="201" w:name="_Toc25971"/>
      <w:bookmarkStart w:id="202" w:name="_Toc4071"/>
      <w:bookmarkStart w:id="203" w:name="_Toc12641"/>
      <w:bookmarkStart w:id="204" w:name="_Toc24653"/>
      <w:r>
        <w:rPr>
          <w:rFonts w:hint="eastAsia" w:ascii="仿宋" w:hAnsi="仿宋" w:eastAsia="仿宋" w:cs="仿宋"/>
          <w:color w:val="auto"/>
          <w:highlight w:val="none"/>
        </w:rPr>
        <w:t>一、资格审查</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Pr>
          <w:rFonts w:hint="eastAsia" w:ascii="仿宋" w:hAnsi="仿宋" w:eastAsia="仿宋" w:cs="仿宋"/>
          <w:color w:val="auto"/>
          <w:highlight w:val="none"/>
        </w:rPr>
        <w:t>及符合性审查</w:t>
      </w:r>
      <w:bookmarkEnd w:id="204"/>
    </w:p>
    <w:p w14:paraId="5305EE69">
      <w:pPr>
        <w:snapToGrid w:val="0"/>
        <w:spacing w:line="400" w:lineRule="exac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若未通过资格审查及符合性审查的</w:t>
      </w:r>
      <w:r>
        <w:rPr>
          <w:rFonts w:hint="eastAsia" w:ascii="仿宋" w:hAnsi="仿宋" w:eastAsia="仿宋" w:cs="仿宋"/>
          <w:b/>
          <w:color w:val="auto"/>
          <w:sz w:val="28"/>
          <w:szCs w:val="28"/>
          <w:highlight w:val="none"/>
          <w:lang w:eastAsia="zh-CN"/>
        </w:rPr>
        <w:t>响应文件</w:t>
      </w:r>
      <w:r>
        <w:rPr>
          <w:rFonts w:hint="eastAsia" w:ascii="仿宋" w:hAnsi="仿宋" w:eastAsia="仿宋" w:cs="仿宋"/>
          <w:b/>
          <w:color w:val="auto"/>
          <w:sz w:val="28"/>
          <w:szCs w:val="28"/>
          <w:highlight w:val="none"/>
        </w:rPr>
        <w:t>，不进入评审环节。</w:t>
      </w:r>
    </w:p>
    <w:p w14:paraId="11ADAAA2">
      <w:pPr>
        <w:snapToGrid w:val="0"/>
        <w:spacing w:line="400" w:lineRule="exact"/>
        <w:ind w:firstLine="562" w:firstLineChars="200"/>
        <w:outlineLvl w:val="1"/>
        <w:rPr>
          <w:rFonts w:hint="eastAsia" w:ascii="仿宋" w:hAnsi="仿宋" w:eastAsia="仿宋" w:cs="仿宋"/>
          <w:color w:val="auto"/>
          <w:kern w:val="0"/>
          <w:sz w:val="28"/>
          <w:szCs w:val="28"/>
          <w:highlight w:val="none"/>
        </w:rPr>
      </w:pPr>
      <w:r>
        <w:rPr>
          <w:rFonts w:hint="eastAsia" w:ascii="仿宋" w:hAnsi="仿宋" w:eastAsia="仿宋" w:cs="仿宋"/>
          <w:b/>
          <w:color w:val="auto"/>
          <w:sz w:val="28"/>
          <w:szCs w:val="28"/>
          <w:highlight w:val="none"/>
        </w:rPr>
        <w:t>（一）资格审查</w:t>
      </w:r>
    </w:p>
    <w:p w14:paraId="673092CF">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依据政府采购相关法律法规规定，由评审小组对响应文件中的资格证明文件进行审查。资格审查资料表如下：</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3118"/>
        <w:gridCol w:w="4984"/>
      </w:tblGrid>
      <w:tr w14:paraId="38414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08E273C4">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序号</w:t>
            </w:r>
          </w:p>
        </w:tc>
        <w:tc>
          <w:tcPr>
            <w:tcW w:w="3827" w:type="dxa"/>
            <w:gridSpan w:val="2"/>
            <w:noWrap w:val="0"/>
            <w:vAlign w:val="center"/>
          </w:tcPr>
          <w:p w14:paraId="2A4F3F69">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检查因素</w:t>
            </w:r>
          </w:p>
        </w:tc>
        <w:tc>
          <w:tcPr>
            <w:tcW w:w="4984" w:type="dxa"/>
            <w:noWrap w:val="0"/>
            <w:vAlign w:val="center"/>
          </w:tcPr>
          <w:p w14:paraId="7E0A0F0A">
            <w:pPr>
              <w:jc w:val="center"/>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检查内容</w:t>
            </w:r>
          </w:p>
        </w:tc>
      </w:tr>
      <w:tr w14:paraId="6357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817" w:type="dxa"/>
            <w:vMerge w:val="restart"/>
            <w:noWrap w:val="0"/>
            <w:vAlign w:val="center"/>
          </w:tcPr>
          <w:p w14:paraId="715A39B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1</w:t>
            </w:r>
          </w:p>
        </w:tc>
        <w:tc>
          <w:tcPr>
            <w:tcW w:w="709" w:type="dxa"/>
            <w:vMerge w:val="restart"/>
            <w:noWrap w:val="0"/>
            <w:vAlign w:val="center"/>
          </w:tcPr>
          <w:p w14:paraId="7B40D0A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供应商应符合的基本资格条件</w:t>
            </w:r>
          </w:p>
        </w:tc>
        <w:tc>
          <w:tcPr>
            <w:tcW w:w="3118" w:type="dxa"/>
            <w:noWrap w:val="0"/>
            <w:vAlign w:val="center"/>
          </w:tcPr>
          <w:p w14:paraId="421F920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1.具有独立承担民事责任的能力</w:t>
            </w:r>
          </w:p>
        </w:tc>
        <w:tc>
          <w:tcPr>
            <w:tcW w:w="4984" w:type="dxa"/>
            <w:noWrap w:val="0"/>
            <w:vAlign w:val="center"/>
          </w:tcPr>
          <w:p w14:paraId="67B194B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 xml:space="preserve">1.供应商法人营业执照（副本）或事业单位法人证书（副本）或个体工商户营业执照或有效的自然人身份证明或社会团体法人登记证书（提供复印件）。 </w:t>
            </w:r>
          </w:p>
          <w:p w14:paraId="1288F87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2.供应商法定代表人身份证明和法定代表人授权代表委托书。</w:t>
            </w:r>
          </w:p>
        </w:tc>
      </w:tr>
      <w:tr w14:paraId="1551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0"/>
            <w:vAlign w:val="center"/>
          </w:tcPr>
          <w:p w14:paraId="63AA3D6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709" w:type="dxa"/>
            <w:vMerge w:val="continue"/>
            <w:noWrap w:val="0"/>
            <w:vAlign w:val="center"/>
          </w:tcPr>
          <w:p w14:paraId="072DB6FA">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p>
        </w:tc>
        <w:tc>
          <w:tcPr>
            <w:tcW w:w="3118" w:type="dxa"/>
            <w:noWrap w:val="0"/>
            <w:vAlign w:val="center"/>
          </w:tcPr>
          <w:p w14:paraId="31DDF90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zh-CN" w:eastAsia="zh-CN"/>
              </w:rPr>
              <w:t>2.</w:t>
            </w:r>
            <w:r>
              <w:rPr>
                <w:rFonts w:hint="eastAsia" w:ascii="仿宋" w:hAnsi="仿宋" w:eastAsia="仿宋" w:cs="仿宋"/>
                <w:color w:val="auto"/>
                <w:sz w:val="21"/>
                <w:szCs w:val="21"/>
                <w:highlight w:val="none"/>
                <w:shd w:val="clear" w:color="auto" w:fill="auto"/>
                <w:lang w:val="en-US" w:eastAsia="zh-CN"/>
              </w:rPr>
              <w:t>具有良好的商业信誉和健全的财务会计制度</w:t>
            </w:r>
          </w:p>
        </w:tc>
        <w:tc>
          <w:tcPr>
            <w:tcW w:w="4984" w:type="dxa"/>
            <w:vMerge w:val="restart"/>
            <w:noWrap w:val="0"/>
            <w:vAlign w:val="center"/>
          </w:tcPr>
          <w:p w14:paraId="44040AA2">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供应商提供“基本资格条件承诺函”（格式详见第七篇）</w:t>
            </w:r>
          </w:p>
          <w:p w14:paraId="130212D2">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r>
      <w:tr w14:paraId="61BF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0"/>
            <w:vAlign w:val="center"/>
          </w:tcPr>
          <w:p w14:paraId="11ED986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709" w:type="dxa"/>
            <w:vMerge w:val="continue"/>
            <w:noWrap w:val="0"/>
            <w:vAlign w:val="center"/>
          </w:tcPr>
          <w:p w14:paraId="4104BB8F">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p>
        </w:tc>
        <w:tc>
          <w:tcPr>
            <w:tcW w:w="3118" w:type="dxa"/>
            <w:noWrap w:val="0"/>
            <w:vAlign w:val="center"/>
          </w:tcPr>
          <w:p w14:paraId="1F704CB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3.具有履行合同所必需的设备和专业技术能力</w:t>
            </w:r>
          </w:p>
        </w:tc>
        <w:tc>
          <w:tcPr>
            <w:tcW w:w="4984" w:type="dxa"/>
            <w:vMerge w:val="continue"/>
            <w:noWrap w:val="0"/>
            <w:vAlign w:val="center"/>
          </w:tcPr>
          <w:p w14:paraId="5E930246">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r>
      <w:tr w14:paraId="6C6F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noWrap w:val="0"/>
            <w:vAlign w:val="center"/>
          </w:tcPr>
          <w:p w14:paraId="2140220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709" w:type="dxa"/>
            <w:vMerge w:val="continue"/>
            <w:noWrap w:val="0"/>
            <w:vAlign w:val="center"/>
          </w:tcPr>
          <w:p w14:paraId="343B1A5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p>
        </w:tc>
        <w:tc>
          <w:tcPr>
            <w:tcW w:w="3118" w:type="dxa"/>
            <w:noWrap w:val="0"/>
            <w:vAlign w:val="center"/>
          </w:tcPr>
          <w:p w14:paraId="74247CF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4.有依法缴纳税收和社会保障金的良好记录</w:t>
            </w:r>
          </w:p>
        </w:tc>
        <w:tc>
          <w:tcPr>
            <w:tcW w:w="4984" w:type="dxa"/>
            <w:vMerge w:val="continue"/>
            <w:noWrap w:val="0"/>
            <w:vAlign w:val="center"/>
          </w:tcPr>
          <w:p w14:paraId="3B5A560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r>
      <w:tr w14:paraId="576C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17" w:type="dxa"/>
            <w:vMerge w:val="continue"/>
            <w:noWrap w:val="0"/>
            <w:vAlign w:val="center"/>
          </w:tcPr>
          <w:p w14:paraId="642890BF">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709" w:type="dxa"/>
            <w:vMerge w:val="continue"/>
            <w:noWrap w:val="0"/>
            <w:vAlign w:val="center"/>
          </w:tcPr>
          <w:p w14:paraId="080643E6">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p>
        </w:tc>
        <w:tc>
          <w:tcPr>
            <w:tcW w:w="3118" w:type="dxa"/>
            <w:noWrap w:val="0"/>
            <w:vAlign w:val="center"/>
          </w:tcPr>
          <w:p w14:paraId="1E8D1DC2">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en-US" w:eastAsia="zh-CN"/>
              </w:rPr>
              <w:t>5.参加政府采购活动前三年内，在经营活动中没有重大违法记录</w:t>
            </w:r>
          </w:p>
        </w:tc>
        <w:tc>
          <w:tcPr>
            <w:tcW w:w="4984" w:type="dxa"/>
            <w:vMerge w:val="continue"/>
            <w:noWrap w:val="0"/>
            <w:vAlign w:val="center"/>
          </w:tcPr>
          <w:p w14:paraId="63F07B73">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r>
      <w:tr w14:paraId="669A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817" w:type="dxa"/>
            <w:vMerge w:val="continue"/>
            <w:noWrap w:val="0"/>
            <w:vAlign w:val="center"/>
          </w:tcPr>
          <w:p w14:paraId="1D5B5A3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709" w:type="dxa"/>
            <w:vMerge w:val="continue"/>
            <w:noWrap w:val="0"/>
            <w:vAlign w:val="center"/>
          </w:tcPr>
          <w:p w14:paraId="631C6EB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3118" w:type="dxa"/>
            <w:noWrap w:val="0"/>
            <w:vAlign w:val="center"/>
          </w:tcPr>
          <w:p w14:paraId="780CDEA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6.法律、行政法规规定的其他条件</w:t>
            </w:r>
          </w:p>
        </w:tc>
        <w:tc>
          <w:tcPr>
            <w:tcW w:w="4984" w:type="dxa"/>
            <w:noWrap w:val="0"/>
            <w:vAlign w:val="center"/>
          </w:tcPr>
          <w:p w14:paraId="596870B5">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r>
      <w:tr w14:paraId="2B0B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17" w:type="dxa"/>
            <w:noWrap w:val="0"/>
            <w:vAlign w:val="center"/>
          </w:tcPr>
          <w:p w14:paraId="70552976">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2</w:t>
            </w:r>
          </w:p>
        </w:tc>
        <w:tc>
          <w:tcPr>
            <w:tcW w:w="3827" w:type="dxa"/>
            <w:gridSpan w:val="2"/>
            <w:noWrap w:val="0"/>
            <w:vAlign w:val="center"/>
          </w:tcPr>
          <w:p w14:paraId="63AA7FE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本项目的特定资格要求</w:t>
            </w:r>
          </w:p>
        </w:tc>
        <w:tc>
          <w:tcPr>
            <w:tcW w:w="4984" w:type="dxa"/>
            <w:noWrap w:val="0"/>
            <w:vAlign w:val="center"/>
          </w:tcPr>
          <w:p w14:paraId="45C9FB9D">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按第一篇“三、供应商资格要求（二）特定资格条件”的要求提交（如果有）。</w:t>
            </w:r>
          </w:p>
        </w:tc>
      </w:tr>
      <w:tr w14:paraId="7CCD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17" w:type="dxa"/>
            <w:noWrap w:val="0"/>
            <w:vAlign w:val="center"/>
          </w:tcPr>
          <w:p w14:paraId="2CE449C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3</w:t>
            </w:r>
          </w:p>
        </w:tc>
        <w:tc>
          <w:tcPr>
            <w:tcW w:w="3827" w:type="dxa"/>
            <w:gridSpan w:val="2"/>
            <w:noWrap w:val="0"/>
            <w:vAlign w:val="center"/>
          </w:tcPr>
          <w:p w14:paraId="2B5A8C0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投标保证金</w:t>
            </w:r>
          </w:p>
        </w:tc>
        <w:tc>
          <w:tcPr>
            <w:tcW w:w="4984" w:type="dxa"/>
            <w:noWrap w:val="0"/>
            <w:vAlign w:val="center"/>
          </w:tcPr>
          <w:p w14:paraId="1B3225A5">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按照采购文件的规定提交投标保证金</w:t>
            </w:r>
            <w:r>
              <w:rPr>
                <w:rFonts w:hint="eastAsia" w:ascii="仿宋" w:hAnsi="仿宋" w:eastAsia="仿宋" w:cs="仿宋"/>
                <w:color w:val="auto"/>
                <w:sz w:val="21"/>
                <w:szCs w:val="21"/>
                <w:highlight w:val="none"/>
                <w:shd w:val="clear" w:color="auto" w:fill="auto"/>
                <w:lang w:eastAsia="zh-CN"/>
              </w:rPr>
              <w:t>。</w:t>
            </w:r>
          </w:p>
        </w:tc>
      </w:tr>
    </w:tbl>
    <w:p w14:paraId="340AC8C8">
      <w:pPr>
        <w:widowControl w:val="0"/>
        <w:spacing w:line="280" w:lineRule="exact"/>
        <w:ind w:firstLine="0" w:firstLineChars="0"/>
        <w:jc w:val="both"/>
        <w:rPr>
          <w:rFonts w:hint="eastAsia" w:ascii="仿宋" w:hAnsi="仿宋" w:eastAsia="仿宋" w:cs="仿宋"/>
          <w:color w:val="auto"/>
          <w:kern w:val="2"/>
          <w:sz w:val="24"/>
          <w:szCs w:val="24"/>
          <w:highlight w:val="none"/>
          <w:lang w:val="en-US" w:eastAsia="zh-CN" w:bidi="ar-SA"/>
        </w:rPr>
      </w:pPr>
    </w:p>
    <w:p w14:paraId="5FE7AC5D">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注：</w:t>
      </w:r>
      <w:r>
        <w:rPr>
          <w:rFonts w:hint="eastAsia" w:ascii="仿宋" w:hAnsi="仿宋" w:eastAsia="仿宋" w:cs="仿宋"/>
          <w:color w:val="auto"/>
          <w:kern w:val="2"/>
          <w:sz w:val="24"/>
          <w:szCs w:val="24"/>
          <w:highlight w:val="none"/>
          <w:lang w:val="en-US" w:eastAsia="zh-CN" w:bidi="ar-SA"/>
        </w:rPr>
        <w:fldChar w:fldCharType="begin"/>
      </w:r>
      <w:r>
        <w:rPr>
          <w:rFonts w:hint="eastAsia" w:ascii="仿宋" w:hAnsi="仿宋" w:eastAsia="仿宋" w:cs="仿宋"/>
          <w:color w:val="auto"/>
          <w:kern w:val="2"/>
          <w:sz w:val="24"/>
          <w:szCs w:val="24"/>
          <w:highlight w:val="none"/>
          <w:lang w:val="en-US" w:eastAsia="zh-CN" w:bidi="ar-SA"/>
        </w:rPr>
        <w:instrText xml:space="preserve"> eq \o\ac(</w:instrText>
      </w:r>
      <w:r>
        <w:rPr>
          <w:rFonts w:hint="eastAsia" w:ascii="仿宋" w:hAnsi="仿宋" w:eastAsia="仿宋" w:cs="仿宋"/>
          <w:color w:val="auto"/>
          <w:kern w:val="2"/>
          <w:position w:val="-4"/>
          <w:sz w:val="36"/>
          <w:szCs w:val="24"/>
          <w:highlight w:val="none"/>
          <w:lang w:val="en-US" w:eastAsia="zh-CN" w:bidi="ar-SA"/>
        </w:rPr>
        <w:instrText xml:space="preserve">○</w:instrText>
      </w:r>
      <w:r>
        <w:rPr>
          <w:rFonts w:hint="eastAsia" w:ascii="仿宋" w:hAnsi="仿宋" w:eastAsia="仿宋" w:cs="仿宋"/>
          <w:color w:val="auto"/>
          <w:kern w:val="2"/>
          <w:position w:val="0"/>
          <w:sz w:val="24"/>
          <w:szCs w:val="24"/>
          <w:highlight w:val="none"/>
          <w:lang w:val="en-US" w:eastAsia="zh-CN" w:bidi="ar-SA"/>
        </w:rPr>
        <w:instrText xml:space="preserve">,1)</w:instrText>
      </w:r>
      <w:r>
        <w:rPr>
          <w:rFonts w:hint="eastAsia" w:ascii="仿宋" w:hAnsi="仿宋" w:eastAsia="仿宋" w:cs="仿宋"/>
          <w:color w:val="auto"/>
          <w:kern w:val="2"/>
          <w:sz w:val="24"/>
          <w:szCs w:val="24"/>
          <w:highlight w:val="none"/>
          <w:lang w:val="en-US" w:eastAsia="zh-CN" w:bidi="ar-SA"/>
        </w:rPr>
        <w:fldChar w:fldCharType="end"/>
      </w:r>
      <w:r>
        <w:rPr>
          <w:rFonts w:hint="eastAsia" w:ascii="仿宋" w:hAnsi="仿宋" w:eastAsia="仿宋" w:cs="仿宋"/>
          <w:color w:val="auto"/>
          <w:kern w:val="2"/>
          <w:sz w:val="24"/>
          <w:szCs w:val="24"/>
          <w:highlight w:val="none"/>
          <w:lang w:val="en-US" w:eastAsia="zh-CN" w:bidi="ar-SA"/>
        </w:rPr>
        <w:t>供应商按“多证合一”登记制度办理营业执照的，组织机构代码证、税务登记证（副本）和社会保险登记证以供应商所提供的营业执照（副本）复印件为准。</w:t>
      </w:r>
    </w:p>
    <w:p w14:paraId="08A997B5">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fldChar w:fldCharType="begin"/>
      </w:r>
      <w:r>
        <w:rPr>
          <w:rFonts w:hint="eastAsia" w:ascii="仿宋" w:hAnsi="仿宋" w:eastAsia="仿宋" w:cs="仿宋"/>
          <w:color w:val="auto"/>
          <w:kern w:val="2"/>
          <w:sz w:val="24"/>
          <w:szCs w:val="24"/>
          <w:highlight w:val="none"/>
          <w:lang w:val="en-US" w:eastAsia="zh-CN" w:bidi="ar-SA"/>
        </w:rPr>
        <w:instrText xml:space="preserve"> eq \o\ac(</w:instrText>
      </w:r>
      <w:r>
        <w:rPr>
          <w:rFonts w:hint="eastAsia" w:ascii="仿宋" w:hAnsi="仿宋" w:eastAsia="仿宋" w:cs="仿宋"/>
          <w:color w:val="auto"/>
          <w:kern w:val="2"/>
          <w:position w:val="-4"/>
          <w:sz w:val="36"/>
          <w:szCs w:val="24"/>
          <w:highlight w:val="none"/>
          <w:lang w:val="en-US" w:eastAsia="zh-CN" w:bidi="ar-SA"/>
        </w:rPr>
        <w:instrText xml:space="preserve">○</w:instrText>
      </w:r>
      <w:r>
        <w:rPr>
          <w:rFonts w:hint="eastAsia" w:ascii="仿宋" w:hAnsi="仿宋" w:eastAsia="仿宋" w:cs="仿宋"/>
          <w:color w:val="auto"/>
          <w:kern w:val="2"/>
          <w:position w:val="0"/>
          <w:sz w:val="24"/>
          <w:szCs w:val="24"/>
          <w:highlight w:val="none"/>
          <w:lang w:val="en-US" w:eastAsia="zh-CN" w:bidi="ar-SA"/>
        </w:rPr>
        <w:instrText xml:space="preserve">,2)</w:instrText>
      </w:r>
      <w:r>
        <w:rPr>
          <w:rFonts w:hint="eastAsia" w:ascii="仿宋" w:hAnsi="仿宋" w:eastAsia="仿宋" w:cs="仿宋"/>
          <w:color w:val="auto"/>
          <w:kern w:val="2"/>
          <w:sz w:val="24"/>
          <w:szCs w:val="24"/>
          <w:highlight w:val="none"/>
          <w:lang w:val="en-US" w:eastAsia="zh-CN" w:bidi="ar-SA"/>
        </w:rPr>
        <w:fldChar w:fldCharType="end"/>
      </w:r>
      <w:r>
        <w:rPr>
          <w:rFonts w:hint="eastAsia" w:ascii="仿宋" w:hAnsi="仿宋" w:eastAsia="仿宋" w:cs="仿宋"/>
          <w:color w:val="auto"/>
          <w:kern w:val="2"/>
          <w:sz w:val="24"/>
          <w:szCs w:val="24"/>
          <w:highlight w:val="none"/>
          <w:lang w:val="en-US" w:eastAsia="zh-CN" w:bidi="ar-SA"/>
        </w:rPr>
        <w:t>根据《中华人民共和国政府采购法实施条例》第十九条“参加政府采购活动前三年内，在经营活动中没有重大违法记录”中“重大违法记录”，是指供应商因违法经营受到刑事处罚或者责令停产停业、吊销许可证或者执照、较大数额罚款等行政处罚。</w:t>
      </w:r>
    </w:p>
    <w:p w14:paraId="0A657B30">
      <w:pPr>
        <w:spacing w:line="360" w:lineRule="auto"/>
        <w:ind w:firstLine="480" w:firstLineChars="200"/>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（二）符合性审查</w:t>
      </w:r>
    </w:p>
    <w:p w14:paraId="7624D4FB">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评审小组应当对符合资格的供应商的响应文件进行符合性审查，以确定其是否满足采购文件的实质性要求。符合性审查资料表如下：</w:t>
      </w:r>
    </w:p>
    <w:tbl>
      <w:tblPr>
        <w:tblStyle w:val="60"/>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2"/>
        <w:gridCol w:w="1598"/>
        <w:gridCol w:w="5225"/>
        <w:gridCol w:w="760"/>
      </w:tblGrid>
      <w:tr w14:paraId="5EC0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675" w:type="dxa"/>
            <w:noWrap w:val="0"/>
            <w:vAlign w:val="center"/>
          </w:tcPr>
          <w:p w14:paraId="630FCC54">
            <w:pPr>
              <w:widowControl w:val="0"/>
              <w:spacing w:line="280" w:lineRule="exact"/>
              <w:ind w:firstLine="0" w:firstLineChars="0"/>
              <w:jc w:val="cente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序号</w:t>
            </w:r>
          </w:p>
        </w:tc>
        <w:tc>
          <w:tcPr>
            <w:tcW w:w="2970" w:type="dxa"/>
            <w:gridSpan w:val="2"/>
            <w:noWrap w:val="0"/>
            <w:vAlign w:val="center"/>
          </w:tcPr>
          <w:p w14:paraId="2DDF2054">
            <w:pPr>
              <w:widowControl w:val="0"/>
              <w:spacing w:line="280" w:lineRule="exact"/>
              <w:ind w:firstLine="0" w:firstLineChars="0"/>
              <w:jc w:val="cente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评审因素</w:t>
            </w:r>
          </w:p>
        </w:tc>
        <w:tc>
          <w:tcPr>
            <w:tcW w:w="5985" w:type="dxa"/>
            <w:gridSpan w:val="2"/>
            <w:noWrap w:val="0"/>
            <w:vAlign w:val="center"/>
          </w:tcPr>
          <w:p w14:paraId="785B49D3">
            <w:pPr>
              <w:widowControl w:val="0"/>
              <w:spacing w:line="280" w:lineRule="exact"/>
              <w:ind w:firstLine="0" w:firstLineChars="0"/>
              <w:jc w:val="cente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评审标准</w:t>
            </w:r>
          </w:p>
        </w:tc>
      </w:tr>
      <w:tr w14:paraId="48F7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75" w:type="dxa"/>
            <w:vMerge w:val="restart"/>
            <w:noWrap w:val="0"/>
            <w:vAlign w:val="center"/>
          </w:tcPr>
          <w:p w14:paraId="3769A15D">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1</w:t>
            </w:r>
          </w:p>
        </w:tc>
        <w:tc>
          <w:tcPr>
            <w:tcW w:w="1372" w:type="dxa"/>
            <w:vMerge w:val="restart"/>
            <w:noWrap w:val="0"/>
            <w:vAlign w:val="center"/>
          </w:tcPr>
          <w:p w14:paraId="3E4A27D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有效性审查</w:t>
            </w:r>
          </w:p>
        </w:tc>
        <w:tc>
          <w:tcPr>
            <w:tcW w:w="1598" w:type="dxa"/>
            <w:noWrap w:val="0"/>
            <w:vAlign w:val="center"/>
          </w:tcPr>
          <w:p w14:paraId="69860A7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响应文件签署</w:t>
            </w:r>
          </w:p>
        </w:tc>
        <w:tc>
          <w:tcPr>
            <w:tcW w:w="5985" w:type="dxa"/>
            <w:gridSpan w:val="2"/>
            <w:noWrap w:val="0"/>
            <w:vAlign w:val="center"/>
          </w:tcPr>
          <w:p w14:paraId="1AC37C8B">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按</w:t>
            </w:r>
            <w:r>
              <w:rPr>
                <w:rFonts w:hint="eastAsia" w:ascii="仿宋" w:hAnsi="仿宋" w:eastAsia="仿宋" w:cs="仿宋"/>
                <w:color w:val="auto"/>
                <w:sz w:val="21"/>
                <w:szCs w:val="21"/>
                <w:highlight w:val="none"/>
                <w:shd w:val="clear" w:color="auto" w:fill="auto"/>
                <w:lang w:eastAsia="zh-CN"/>
              </w:rPr>
              <w:t>采购</w:t>
            </w:r>
            <w:r>
              <w:rPr>
                <w:rFonts w:hint="eastAsia" w:ascii="仿宋" w:hAnsi="仿宋" w:eastAsia="仿宋" w:cs="仿宋"/>
                <w:color w:val="auto"/>
                <w:sz w:val="21"/>
                <w:szCs w:val="21"/>
                <w:highlight w:val="none"/>
                <w:shd w:val="clear" w:color="auto" w:fill="auto"/>
              </w:rPr>
              <w:t>文件</w:t>
            </w:r>
            <w:r>
              <w:rPr>
                <w:rFonts w:hint="eastAsia" w:ascii="仿宋" w:hAnsi="仿宋" w:eastAsia="仿宋" w:cs="仿宋"/>
                <w:color w:val="auto"/>
                <w:sz w:val="21"/>
                <w:szCs w:val="21"/>
                <w:highlight w:val="none"/>
                <w:shd w:val="clear" w:color="auto" w:fill="auto"/>
                <w:lang w:eastAsia="zh-CN"/>
              </w:rPr>
              <w:t>供应商</w:t>
            </w:r>
            <w:r>
              <w:rPr>
                <w:rFonts w:hint="eastAsia" w:ascii="仿宋" w:hAnsi="仿宋" w:eastAsia="仿宋" w:cs="仿宋"/>
                <w:color w:val="auto"/>
                <w:sz w:val="21"/>
                <w:szCs w:val="21"/>
                <w:highlight w:val="none"/>
                <w:shd w:val="clear" w:color="auto" w:fill="auto"/>
                <w:lang w:val="en-US" w:eastAsia="zh-CN"/>
              </w:rPr>
              <w:t>响应</w:t>
            </w:r>
            <w:r>
              <w:rPr>
                <w:rFonts w:hint="eastAsia" w:ascii="仿宋" w:hAnsi="仿宋" w:eastAsia="仿宋" w:cs="仿宋"/>
                <w:color w:val="auto"/>
                <w:sz w:val="21"/>
                <w:szCs w:val="21"/>
                <w:highlight w:val="none"/>
                <w:shd w:val="clear" w:color="auto" w:fill="auto"/>
                <w:lang w:eastAsia="zh-CN"/>
              </w:rPr>
              <w:t>文件</w:t>
            </w:r>
            <w:r>
              <w:rPr>
                <w:rFonts w:hint="eastAsia" w:ascii="仿宋" w:hAnsi="仿宋" w:eastAsia="仿宋" w:cs="仿宋"/>
                <w:color w:val="auto"/>
                <w:sz w:val="21"/>
                <w:szCs w:val="21"/>
                <w:highlight w:val="none"/>
                <w:shd w:val="clear" w:color="auto" w:fill="auto"/>
              </w:rPr>
              <w:t>要求签署或盖章。</w:t>
            </w:r>
          </w:p>
        </w:tc>
      </w:tr>
      <w:tr w14:paraId="0DAC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Merge w:val="continue"/>
            <w:noWrap w:val="0"/>
            <w:vAlign w:val="center"/>
          </w:tcPr>
          <w:p w14:paraId="7A55F3A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651CA4B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551373D5">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en-US" w:eastAsia="zh-CN"/>
              </w:rPr>
              <w:t>法定代表人身份证明及授权委托书</w:t>
            </w:r>
          </w:p>
        </w:tc>
        <w:tc>
          <w:tcPr>
            <w:tcW w:w="5985" w:type="dxa"/>
            <w:gridSpan w:val="2"/>
            <w:noWrap w:val="0"/>
            <w:vAlign w:val="center"/>
          </w:tcPr>
          <w:p w14:paraId="680EE16E">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法定代表人身份证明及授权委托书有效，符合</w:t>
            </w:r>
            <w:r>
              <w:rPr>
                <w:rFonts w:hint="eastAsia" w:ascii="仿宋" w:hAnsi="仿宋" w:eastAsia="仿宋" w:cs="仿宋"/>
                <w:color w:val="auto"/>
                <w:sz w:val="21"/>
                <w:szCs w:val="21"/>
                <w:highlight w:val="none"/>
                <w:shd w:val="clear" w:color="auto" w:fill="auto"/>
                <w:lang w:eastAsia="zh-CN"/>
              </w:rPr>
              <w:t>采购</w:t>
            </w:r>
            <w:r>
              <w:rPr>
                <w:rFonts w:hint="eastAsia" w:ascii="仿宋" w:hAnsi="仿宋" w:eastAsia="仿宋" w:cs="仿宋"/>
                <w:color w:val="auto"/>
                <w:sz w:val="21"/>
                <w:szCs w:val="21"/>
                <w:highlight w:val="none"/>
                <w:shd w:val="clear" w:color="auto" w:fill="auto"/>
              </w:rPr>
              <w:t>文件规定的格式，签署或盖章齐全。</w:t>
            </w:r>
          </w:p>
        </w:tc>
      </w:tr>
      <w:tr w14:paraId="421E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675" w:type="dxa"/>
            <w:vMerge w:val="continue"/>
            <w:noWrap w:val="0"/>
            <w:vAlign w:val="center"/>
          </w:tcPr>
          <w:p w14:paraId="465B7E7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56B50A6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610FF3C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en-US" w:eastAsia="zh-CN"/>
              </w:rPr>
              <w:t>响应</w:t>
            </w:r>
            <w:r>
              <w:rPr>
                <w:rFonts w:hint="eastAsia" w:ascii="仿宋" w:hAnsi="仿宋" w:eastAsia="仿宋" w:cs="仿宋"/>
                <w:color w:val="auto"/>
                <w:sz w:val="21"/>
                <w:szCs w:val="21"/>
                <w:highlight w:val="none"/>
                <w:shd w:val="clear" w:color="auto" w:fill="auto"/>
                <w:lang w:val="zh-CN" w:eastAsia="zh-CN"/>
              </w:rPr>
              <w:t>方案</w:t>
            </w:r>
          </w:p>
        </w:tc>
        <w:tc>
          <w:tcPr>
            <w:tcW w:w="5985" w:type="dxa"/>
            <w:gridSpan w:val="2"/>
            <w:noWrap w:val="0"/>
            <w:vAlign w:val="center"/>
          </w:tcPr>
          <w:p w14:paraId="000C4D03">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zh-CN"/>
              </w:rPr>
              <w:t>每个包只能有一个</w:t>
            </w:r>
            <w:r>
              <w:rPr>
                <w:rFonts w:hint="eastAsia" w:ascii="仿宋" w:hAnsi="仿宋" w:eastAsia="仿宋" w:cs="仿宋"/>
                <w:color w:val="auto"/>
                <w:sz w:val="21"/>
                <w:szCs w:val="21"/>
                <w:highlight w:val="none"/>
                <w:shd w:val="clear" w:color="auto" w:fill="auto"/>
              </w:rPr>
              <w:t>响应</w:t>
            </w:r>
            <w:r>
              <w:rPr>
                <w:rFonts w:hint="eastAsia" w:ascii="仿宋" w:hAnsi="仿宋" w:eastAsia="仿宋" w:cs="仿宋"/>
                <w:color w:val="auto"/>
                <w:sz w:val="21"/>
                <w:szCs w:val="21"/>
                <w:highlight w:val="none"/>
                <w:shd w:val="clear" w:color="auto" w:fill="auto"/>
                <w:lang w:val="zh-CN"/>
              </w:rPr>
              <w:t>方案。</w:t>
            </w:r>
          </w:p>
        </w:tc>
      </w:tr>
      <w:tr w14:paraId="297A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675" w:type="dxa"/>
            <w:vMerge w:val="continue"/>
            <w:noWrap w:val="0"/>
            <w:vAlign w:val="center"/>
          </w:tcPr>
          <w:p w14:paraId="5258944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0354D163">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6F7983A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报价唯一</w:t>
            </w:r>
          </w:p>
        </w:tc>
        <w:tc>
          <w:tcPr>
            <w:tcW w:w="5985" w:type="dxa"/>
            <w:gridSpan w:val="2"/>
            <w:noWrap w:val="0"/>
            <w:vAlign w:val="center"/>
          </w:tcPr>
          <w:p w14:paraId="7C81C5BB">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只能有一个有效报价，不得提交选择性报价。</w:t>
            </w:r>
          </w:p>
        </w:tc>
      </w:tr>
      <w:tr w14:paraId="04A8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675" w:type="dxa"/>
            <w:vMerge w:val="restart"/>
            <w:noWrap w:val="0"/>
            <w:vAlign w:val="center"/>
          </w:tcPr>
          <w:p w14:paraId="4F51D8C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2</w:t>
            </w:r>
          </w:p>
        </w:tc>
        <w:tc>
          <w:tcPr>
            <w:tcW w:w="1372" w:type="dxa"/>
            <w:vMerge w:val="restart"/>
            <w:noWrap w:val="0"/>
            <w:vAlign w:val="center"/>
          </w:tcPr>
          <w:p w14:paraId="0957367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完整性审查</w:t>
            </w:r>
          </w:p>
        </w:tc>
        <w:tc>
          <w:tcPr>
            <w:tcW w:w="1598" w:type="dxa"/>
            <w:noWrap w:val="0"/>
            <w:vAlign w:val="center"/>
          </w:tcPr>
          <w:p w14:paraId="0343921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响应</w:t>
            </w:r>
            <w:r>
              <w:rPr>
                <w:rFonts w:hint="eastAsia" w:ascii="仿宋" w:hAnsi="仿宋" w:eastAsia="仿宋" w:cs="仿宋"/>
                <w:color w:val="auto"/>
                <w:sz w:val="21"/>
                <w:szCs w:val="21"/>
                <w:highlight w:val="none"/>
                <w:shd w:val="clear" w:color="auto" w:fill="auto"/>
                <w:lang w:val="zh-CN" w:eastAsia="zh-CN"/>
              </w:rPr>
              <w:t>文件份数</w:t>
            </w:r>
          </w:p>
        </w:tc>
        <w:tc>
          <w:tcPr>
            <w:tcW w:w="5985" w:type="dxa"/>
            <w:gridSpan w:val="2"/>
            <w:noWrap w:val="0"/>
            <w:vAlign w:val="center"/>
          </w:tcPr>
          <w:p w14:paraId="2B4AD49E">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rPr>
              <w:t>响应</w:t>
            </w:r>
            <w:r>
              <w:rPr>
                <w:rFonts w:hint="eastAsia" w:ascii="仿宋" w:hAnsi="仿宋" w:eastAsia="仿宋" w:cs="仿宋"/>
                <w:color w:val="auto"/>
                <w:sz w:val="21"/>
                <w:szCs w:val="21"/>
                <w:highlight w:val="none"/>
                <w:shd w:val="clear" w:color="auto" w:fill="auto"/>
                <w:lang w:val="zh-CN"/>
              </w:rPr>
              <w:t>文件正、副本数量（含电子文档）符合</w:t>
            </w:r>
            <w:r>
              <w:rPr>
                <w:rFonts w:hint="eastAsia" w:ascii="仿宋" w:hAnsi="仿宋" w:eastAsia="仿宋" w:cs="仿宋"/>
                <w:color w:val="auto"/>
                <w:sz w:val="21"/>
                <w:szCs w:val="21"/>
                <w:highlight w:val="none"/>
                <w:shd w:val="clear" w:color="auto" w:fill="auto"/>
                <w:lang w:eastAsia="zh-CN"/>
              </w:rPr>
              <w:t>采购</w:t>
            </w:r>
            <w:r>
              <w:rPr>
                <w:rFonts w:hint="eastAsia" w:ascii="仿宋" w:hAnsi="仿宋" w:eastAsia="仿宋" w:cs="仿宋"/>
                <w:color w:val="auto"/>
                <w:sz w:val="21"/>
                <w:szCs w:val="21"/>
                <w:highlight w:val="none"/>
                <w:shd w:val="clear" w:color="auto" w:fill="auto"/>
              </w:rPr>
              <w:t>文件</w:t>
            </w:r>
            <w:r>
              <w:rPr>
                <w:rFonts w:hint="eastAsia" w:ascii="仿宋" w:hAnsi="仿宋" w:eastAsia="仿宋" w:cs="仿宋"/>
                <w:color w:val="auto"/>
                <w:sz w:val="21"/>
                <w:szCs w:val="21"/>
                <w:highlight w:val="none"/>
                <w:shd w:val="clear" w:color="auto" w:fill="auto"/>
                <w:lang w:val="zh-CN"/>
              </w:rPr>
              <w:t>要求。</w:t>
            </w:r>
          </w:p>
        </w:tc>
      </w:tr>
      <w:tr w14:paraId="40EF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675" w:type="dxa"/>
            <w:vMerge w:val="continue"/>
            <w:noWrap w:val="0"/>
            <w:vAlign w:val="center"/>
          </w:tcPr>
          <w:p w14:paraId="7BE308F3">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5042CF1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6AEFE16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响应</w:t>
            </w:r>
            <w:r>
              <w:rPr>
                <w:rFonts w:hint="eastAsia" w:ascii="仿宋" w:hAnsi="仿宋" w:eastAsia="仿宋" w:cs="仿宋"/>
                <w:color w:val="auto"/>
                <w:sz w:val="21"/>
                <w:szCs w:val="21"/>
                <w:highlight w:val="none"/>
                <w:shd w:val="clear" w:color="auto" w:fill="auto"/>
                <w:lang w:val="zh-CN" w:eastAsia="zh-CN"/>
              </w:rPr>
              <w:t>文件内容</w:t>
            </w:r>
          </w:p>
        </w:tc>
        <w:tc>
          <w:tcPr>
            <w:tcW w:w="5985" w:type="dxa"/>
            <w:gridSpan w:val="2"/>
            <w:noWrap w:val="0"/>
            <w:vAlign w:val="center"/>
          </w:tcPr>
          <w:p w14:paraId="2C989E5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对采购文件</w:t>
            </w:r>
            <w:r>
              <w:rPr>
                <w:rFonts w:hint="eastAsia" w:ascii="仿宋" w:hAnsi="仿宋" w:eastAsia="仿宋" w:cs="仿宋"/>
                <w:color w:val="auto"/>
                <w:sz w:val="21"/>
                <w:szCs w:val="21"/>
                <w:highlight w:val="none"/>
                <w:shd w:val="clear" w:color="auto" w:fill="auto"/>
                <w:lang w:val="zh-CN" w:eastAsia="zh-CN"/>
              </w:rPr>
              <w:t>要求</w:t>
            </w:r>
            <w:r>
              <w:rPr>
                <w:rFonts w:hint="eastAsia" w:ascii="仿宋" w:hAnsi="仿宋" w:eastAsia="仿宋" w:cs="仿宋"/>
                <w:color w:val="auto"/>
                <w:sz w:val="21"/>
                <w:szCs w:val="21"/>
                <w:highlight w:val="none"/>
                <w:shd w:val="clear" w:color="auto" w:fill="auto"/>
                <w:lang w:val="en-US" w:eastAsia="zh-CN"/>
              </w:rPr>
              <w:t>的响应内容及承诺</w:t>
            </w:r>
            <w:r>
              <w:rPr>
                <w:rFonts w:hint="eastAsia" w:ascii="仿宋" w:hAnsi="仿宋" w:eastAsia="仿宋" w:cs="仿宋"/>
                <w:color w:val="auto"/>
                <w:sz w:val="21"/>
                <w:szCs w:val="21"/>
                <w:highlight w:val="none"/>
                <w:shd w:val="clear" w:color="auto" w:fill="auto"/>
                <w:lang w:val="zh-CN" w:eastAsia="zh-CN"/>
              </w:rPr>
              <w:t>齐全、无遗漏。</w:t>
            </w:r>
          </w:p>
        </w:tc>
      </w:tr>
      <w:tr w14:paraId="5F94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restart"/>
            <w:noWrap w:val="0"/>
            <w:vAlign w:val="center"/>
          </w:tcPr>
          <w:p w14:paraId="0FD207F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3</w:t>
            </w:r>
          </w:p>
        </w:tc>
        <w:tc>
          <w:tcPr>
            <w:tcW w:w="1372" w:type="dxa"/>
            <w:vMerge w:val="restart"/>
            <w:noWrap w:val="0"/>
            <w:vAlign w:val="center"/>
          </w:tcPr>
          <w:p w14:paraId="14EAC07A">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采购文件的响应程度审查</w:t>
            </w:r>
          </w:p>
        </w:tc>
        <w:tc>
          <w:tcPr>
            <w:tcW w:w="1598" w:type="dxa"/>
            <w:noWrap w:val="0"/>
            <w:vAlign w:val="center"/>
          </w:tcPr>
          <w:p w14:paraId="764A9686">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响应文件内容</w:t>
            </w:r>
          </w:p>
        </w:tc>
        <w:tc>
          <w:tcPr>
            <w:tcW w:w="5985" w:type="dxa"/>
            <w:gridSpan w:val="2"/>
            <w:noWrap w:val="0"/>
            <w:vAlign w:val="center"/>
          </w:tcPr>
          <w:p w14:paraId="5D0883E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对采购文件第二篇、第三篇规定的内容进行响应。</w:t>
            </w:r>
          </w:p>
        </w:tc>
      </w:tr>
      <w:tr w14:paraId="0AA10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37DB2745">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bookmarkStart w:id="205" w:name="_Toc9094"/>
            <w:bookmarkStart w:id="206" w:name="_Toc5620"/>
            <w:bookmarkStart w:id="207" w:name="_Toc20171"/>
            <w:bookmarkStart w:id="208" w:name="_Toc27015"/>
            <w:bookmarkStart w:id="209" w:name="_Toc27633"/>
            <w:bookmarkStart w:id="210" w:name="_Toc29140"/>
            <w:bookmarkStart w:id="211" w:name="_Toc14824"/>
            <w:bookmarkStart w:id="212" w:name="_Toc30011"/>
            <w:bookmarkStart w:id="213" w:name="_Toc28549"/>
            <w:bookmarkStart w:id="214" w:name="_Toc26796"/>
            <w:bookmarkStart w:id="215" w:name="_Toc31997"/>
            <w:bookmarkStart w:id="216" w:name="_Toc25341"/>
            <w:bookmarkStart w:id="217" w:name="_Toc75793519"/>
            <w:bookmarkStart w:id="218" w:name="_Toc30717"/>
            <w:bookmarkStart w:id="219" w:name="_Toc21650"/>
          </w:p>
        </w:tc>
        <w:tc>
          <w:tcPr>
            <w:tcW w:w="1372" w:type="dxa"/>
            <w:vMerge w:val="continue"/>
            <w:noWrap w:val="0"/>
            <w:vAlign w:val="center"/>
          </w:tcPr>
          <w:p w14:paraId="6BCA8C6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79229EB2">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kern w:val="0"/>
                <w:sz w:val="21"/>
                <w:szCs w:val="21"/>
                <w:highlight w:val="none"/>
                <w:shd w:val="clear" w:color="auto" w:fill="auto"/>
                <w:lang w:eastAsia="zh-CN"/>
              </w:rPr>
              <w:t>投标</w:t>
            </w:r>
            <w:r>
              <w:rPr>
                <w:rFonts w:hint="eastAsia" w:ascii="仿宋" w:hAnsi="仿宋" w:eastAsia="仿宋" w:cs="仿宋"/>
                <w:color w:val="auto"/>
                <w:kern w:val="0"/>
                <w:sz w:val="21"/>
                <w:szCs w:val="21"/>
                <w:highlight w:val="none"/>
                <w:shd w:val="clear" w:color="auto" w:fill="auto"/>
              </w:rPr>
              <w:t>有效期</w:t>
            </w:r>
          </w:p>
        </w:tc>
        <w:tc>
          <w:tcPr>
            <w:tcW w:w="5985" w:type="dxa"/>
            <w:gridSpan w:val="2"/>
            <w:noWrap w:val="0"/>
            <w:vAlign w:val="center"/>
          </w:tcPr>
          <w:p w14:paraId="67946982">
            <w:pPr>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kern w:val="0"/>
                <w:sz w:val="21"/>
                <w:szCs w:val="21"/>
                <w:highlight w:val="none"/>
                <w:shd w:val="clear" w:color="auto" w:fill="auto"/>
              </w:rPr>
              <w:t>响应文件及有关承诺文件有效期为提交响应文件截止时间起90天。</w:t>
            </w:r>
          </w:p>
        </w:tc>
      </w:tr>
      <w:tr w14:paraId="520CB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restart"/>
            <w:noWrap w:val="0"/>
            <w:vAlign w:val="center"/>
          </w:tcPr>
          <w:p w14:paraId="0C00FFF2">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en-US" w:eastAsia="zh-CN"/>
              </w:rPr>
              <w:t>4</w:t>
            </w:r>
          </w:p>
        </w:tc>
        <w:tc>
          <w:tcPr>
            <w:tcW w:w="1372" w:type="dxa"/>
            <w:vMerge w:val="restart"/>
            <w:noWrap w:val="0"/>
            <w:vAlign w:val="center"/>
          </w:tcPr>
          <w:p w14:paraId="49FBE9E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color w:val="auto"/>
                <w:sz w:val="21"/>
                <w:szCs w:val="21"/>
                <w:highlight w:val="none"/>
                <w:shd w:val="clear" w:color="auto" w:fill="auto"/>
                <w:lang w:val="zh-CN" w:eastAsia="zh-CN"/>
              </w:rPr>
              <w:t>技术方案评审标准</w:t>
            </w:r>
          </w:p>
        </w:tc>
        <w:tc>
          <w:tcPr>
            <w:tcW w:w="1598" w:type="dxa"/>
            <w:noWrap w:val="0"/>
            <w:vAlign w:val="center"/>
          </w:tcPr>
          <w:p w14:paraId="78CA2E72">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技术方案要求</w:t>
            </w:r>
          </w:p>
        </w:tc>
        <w:tc>
          <w:tcPr>
            <w:tcW w:w="5985" w:type="dxa"/>
            <w:gridSpan w:val="2"/>
            <w:noWrap w:val="0"/>
            <w:vAlign w:val="center"/>
          </w:tcPr>
          <w:p w14:paraId="69F113E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技术部分</w:t>
            </w:r>
            <w:r>
              <w:rPr>
                <w:rFonts w:hint="eastAsia" w:ascii="仿宋" w:hAnsi="仿宋" w:eastAsia="仿宋" w:cs="仿宋"/>
                <w:color w:val="auto"/>
                <w:sz w:val="21"/>
                <w:szCs w:val="21"/>
                <w:highlight w:val="none"/>
                <w:shd w:val="clear" w:color="auto" w:fill="auto"/>
                <w:lang w:val="en-US" w:eastAsia="zh-CN"/>
              </w:rPr>
              <w:t>的</w:t>
            </w:r>
            <w:r>
              <w:rPr>
                <w:rFonts w:hint="eastAsia" w:ascii="仿宋" w:hAnsi="仿宋" w:eastAsia="仿宋" w:cs="仿宋"/>
                <w:color w:val="auto"/>
                <w:sz w:val="21"/>
                <w:szCs w:val="21"/>
                <w:highlight w:val="none"/>
                <w:shd w:val="clear" w:color="auto" w:fill="auto"/>
                <w:lang w:val="zh-CN" w:eastAsia="zh-CN"/>
              </w:rPr>
              <w:t>要求：符合/不符合</w:t>
            </w:r>
          </w:p>
        </w:tc>
      </w:tr>
      <w:tr w14:paraId="04AE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165D189D">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288041E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top"/>
          </w:tcPr>
          <w:p w14:paraId="69B0231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对工程施工重点、技术关键点的理解和认识</w:t>
            </w:r>
          </w:p>
        </w:tc>
        <w:tc>
          <w:tcPr>
            <w:tcW w:w="5225" w:type="dxa"/>
            <w:noWrap w:val="0"/>
            <w:vAlign w:val="center"/>
          </w:tcPr>
          <w:p w14:paraId="5E3756D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对工程施工重点、技术关键点的理解和认识符合项目实际。结合项目现场实际情况明确提出施工的重点、技术关键点。</w:t>
            </w:r>
          </w:p>
        </w:tc>
        <w:tc>
          <w:tcPr>
            <w:tcW w:w="760" w:type="dxa"/>
            <w:vMerge w:val="restart"/>
            <w:noWrap w:val="0"/>
            <w:vAlign w:val="center"/>
          </w:tcPr>
          <w:p w14:paraId="26653CB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p>
          <w:p w14:paraId="687B3FB3">
            <w:pPr>
              <w:widowControl w:val="0"/>
              <w:spacing w:line="280" w:lineRule="exact"/>
              <w:ind w:firstLine="420" w:firstLineChars="20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en-US" w:eastAsia="zh-CN"/>
              </w:rPr>
              <w:t xml:space="preserve"> </w:t>
            </w:r>
            <w:r>
              <w:rPr>
                <w:rFonts w:hint="eastAsia" w:ascii="仿宋" w:hAnsi="仿宋" w:eastAsia="仿宋" w:cs="仿宋"/>
                <w:color w:val="auto"/>
                <w:sz w:val="21"/>
                <w:szCs w:val="21"/>
                <w:highlight w:val="none"/>
                <w:shd w:val="clear" w:color="auto" w:fill="auto"/>
                <w:lang w:val="zh-CN" w:eastAsia="zh-CN"/>
              </w:rPr>
              <w:t>评</w:t>
            </w:r>
          </w:p>
          <w:p w14:paraId="61AD693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标 委</w:t>
            </w:r>
          </w:p>
          <w:p w14:paraId="60AE40D3">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员 会</w:t>
            </w:r>
          </w:p>
          <w:p w14:paraId="0CEA567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对 投</w:t>
            </w:r>
          </w:p>
          <w:p w14:paraId="1F69EDF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标 人</w:t>
            </w:r>
          </w:p>
          <w:p w14:paraId="13E422D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递 交</w:t>
            </w:r>
          </w:p>
          <w:p w14:paraId="7DE4FC9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的 技</w:t>
            </w:r>
          </w:p>
          <w:p w14:paraId="4A19045F">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术 方案 进</w:t>
            </w:r>
          </w:p>
          <w:p w14:paraId="3B7A05F6">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行 综</w:t>
            </w:r>
          </w:p>
          <w:p w14:paraId="663F70C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合 性</w:t>
            </w:r>
          </w:p>
          <w:p w14:paraId="06807E5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评审，</w:t>
            </w:r>
          </w:p>
          <w:p w14:paraId="5AE2064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综 合</w:t>
            </w:r>
          </w:p>
          <w:p w14:paraId="550E951E">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评 判</w:t>
            </w:r>
          </w:p>
          <w:p w14:paraId="0EBA8AE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是 否</w:t>
            </w:r>
          </w:p>
          <w:p w14:paraId="79AC5CF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满 足</w:t>
            </w:r>
          </w:p>
          <w:p w14:paraId="40A8151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本 工</w:t>
            </w:r>
          </w:p>
          <w:p w14:paraId="6AB5B66C">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程 需</w:t>
            </w:r>
          </w:p>
          <w:p w14:paraId="08D50EDB">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求：满</w:t>
            </w:r>
          </w:p>
          <w:p w14:paraId="0A047AE0">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足 / 不</w:t>
            </w:r>
          </w:p>
          <w:p w14:paraId="5EFB461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满足</w:t>
            </w:r>
          </w:p>
        </w:tc>
      </w:tr>
      <w:tr w14:paraId="3E5E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5031C4D2">
            <w:pPr>
              <w:widowControl/>
              <w:spacing w:line="300" w:lineRule="exact"/>
              <w:ind w:firstLine="210" w:firstLineChars="100"/>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18E060E1">
            <w:pPr>
              <w:jc w:val="left"/>
              <w:rPr>
                <w:rFonts w:hint="eastAsia" w:ascii="仿宋" w:hAnsi="仿宋" w:eastAsia="仿宋" w:cs="仿宋"/>
                <w:color w:val="auto"/>
                <w:sz w:val="21"/>
                <w:szCs w:val="21"/>
                <w:highlight w:val="none"/>
                <w:shd w:val="clear" w:color="auto" w:fill="auto"/>
                <w:lang w:val="en-US" w:eastAsia="zh-CN"/>
              </w:rPr>
            </w:pPr>
          </w:p>
        </w:tc>
        <w:tc>
          <w:tcPr>
            <w:tcW w:w="1598" w:type="dxa"/>
            <w:noWrap w:val="0"/>
            <w:vAlign w:val="top"/>
          </w:tcPr>
          <w:p w14:paraId="427F13D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施工方案与技术措施</w:t>
            </w:r>
          </w:p>
        </w:tc>
        <w:tc>
          <w:tcPr>
            <w:tcW w:w="5225" w:type="dxa"/>
            <w:noWrap w:val="0"/>
            <w:vAlign w:val="center"/>
          </w:tcPr>
          <w:p w14:paraId="4597C3F5">
            <w:pPr>
              <w:jc w:val="left"/>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针对本工程的施工内容编制具体施工方案及技术措施；各分部分项工程验收方案是否完善。根据项目特点结合施工现场情况，对易发生质量通病、易出现安全问题、施工难度大、技术含量高的分项工程应重点说明。工程所采用的主要施工方案和技术不得采用重庆市建设领域禁止、限制使用的落后技术。</w:t>
            </w:r>
          </w:p>
        </w:tc>
        <w:tc>
          <w:tcPr>
            <w:tcW w:w="760" w:type="dxa"/>
            <w:vMerge w:val="continue"/>
            <w:noWrap w:val="0"/>
            <w:vAlign w:val="center"/>
          </w:tcPr>
          <w:p w14:paraId="3CF72415">
            <w:pPr>
              <w:jc w:val="left"/>
              <w:rPr>
                <w:rFonts w:hint="eastAsia" w:ascii="仿宋" w:hAnsi="仿宋" w:eastAsia="仿宋" w:cs="仿宋"/>
                <w:color w:val="auto"/>
                <w:kern w:val="0"/>
                <w:sz w:val="21"/>
                <w:szCs w:val="21"/>
                <w:highlight w:val="none"/>
                <w:shd w:val="clear" w:color="auto" w:fill="auto"/>
              </w:rPr>
            </w:pPr>
          </w:p>
        </w:tc>
      </w:tr>
      <w:tr w14:paraId="17F27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2F0E5010">
            <w:pPr>
              <w:widowControl/>
              <w:spacing w:line="300" w:lineRule="exact"/>
              <w:ind w:firstLine="210" w:firstLineChars="100"/>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25E16DCB">
            <w:pPr>
              <w:jc w:val="left"/>
              <w:rPr>
                <w:rFonts w:hint="eastAsia" w:ascii="仿宋" w:hAnsi="仿宋" w:eastAsia="仿宋" w:cs="仿宋"/>
                <w:color w:val="auto"/>
                <w:sz w:val="21"/>
                <w:szCs w:val="21"/>
                <w:highlight w:val="none"/>
                <w:shd w:val="clear" w:color="auto" w:fill="auto"/>
                <w:lang w:val="en-US" w:eastAsia="zh-CN"/>
              </w:rPr>
            </w:pPr>
          </w:p>
        </w:tc>
        <w:tc>
          <w:tcPr>
            <w:tcW w:w="1598" w:type="dxa"/>
            <w:noWrap w:val="0"/>
            <w:vAlign w:val="top"/>
          </w:tcPr>
          <w:p w14:paraId="537C2408">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质量管理体系与措施</w:t>
            </w:r>
          </w:p>
        </w:tc>
        <w:tc>
          <w:tcPr>
            <w:tcW w:w="5225" w:type="dxa"/>
            <w:noWrap w:val="0"/>
            <w:vAlign w:val="center"/>
          </w:tcPr>
          <w:p w14:paraId="6B39592E">
            <w:pPr>
              <w:jc w:val="left"/>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有健全的工程质量管理方案，质量目标明确，明确具体、可行的质量管理制度，须至少包含质量目标、质量管理措施等具体要求；各阶段质量控制措施得当；提供具体的工作流程及方法、措施。</w:t>
            </w:r>
          </w:p>
        </w:tc>
        <w:tc>
          <w:tcPr>
            <w:tcW w:w="760" w:type="dxa"/>
            <w:vMerge w:val="continue"/>
            <w:noWrap w:val="0"/>
            <w:vAlign w:val="center"/>
          </w:tcPr>
          <w:p w14:paraId="08163F33">
            <w:pPr>
              <w:jc w:val="left"/>
              <w:rPr>
                <w:rFonts w:hint="eastAsia" w:ascii="仿宋" w:hAnsi="仿宋" w:eastAsia="仿宋" w:cs="仿宋"/>
                <w:color w:val="auto"/>
                <w:kern w:val="0"/>
                <w:sz w:val="21"/>
                <w:szCs w:val="21"/>
                <w:highlight w:val="none"/>
                <w:shd w:val="clear" w:color="auto" w:fill="auto"/>
              </w:rPr>
            </w:pPr>
          </w:p>
        </w:tc>
      </w:tr>
      <w:tr w14:paraId="6E518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0891829D">
            <w:pPr>
              <w:widowControl/>
              <w:spacing w:line="300" w:lineRule="exact"/>
              <w:ind w:firstLine="210" w:firstLineChars="100"/>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483FA1AA">
            <w:pPr>
              <w:jc w:val="left"/>
              <w:rPr>
                <w:rFonts w:hint="eastAsia" w:ascii="仿宋" w:hAnsi="仿宋" w:eastAsia="仿宋" w:cs="仿宋"/>
                <w:color w:val="auto"/>
                <w:sz w:val="21"/>
                <w:szCs w:val="21"/>
                <w:highlight w:val="none"/>
                <w:shd w:val="clear" w:color="auto" w:fill="auto"/>
                <w:lang w:val="en-US" w:eastAsia="zh-CN"/>
              </w:rPr>
            </w:pPr>
          </w:p>
        </w:tc>
        <w:tc>
          <w:tcPr>
            <w:tcW w:w="1598" w:type="dxa"/>
            <w:noWrap w:val="0"/>
            <w:vAlign w:val="top"/>
          </w:tcPr>
          <w:p w14:paraId="095060E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安全管理体系与措施</w:t>
            </w:r>
          </w:p>
        </w:tc>
        <w:tc>
          <w:tcPr>
            <w:tcW w:w="5225" w:type="dxa"/>
            <w:noWrap w:val="0"/>
            <w:vAlign w:val="center"/>
          </w:tcPr>
          <w:p w14:paraId="0E8E1EC5">
            <w:pPr>
              <w:jc w:val="left"/>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有可靠的施工安全管理体系且体系内分工明确；安全目标明确；结合工程实际情况，</w:t>
            </w:r>
            <w:r>
              <w:rPr>
                <w:rFonts w:hint="eastAsia" w:ascii="仿宋" w:hAnsi="仿宋" w:eastAsia="仿宋" w:cs="仿宋"/>
                <w:color w:val="auto"/>
                <w:sz w:val="21"/>
                <w:szCs w:val="21"/>
                <w:highlight w:val="none"/>
                <w:shd w:val="clear" w:color="auto" w:fill="auto"/>
                <w:lang w:val="zh-CN" w:eastAsia="zh-CN"/>
              </w:rPr>
              <w:t>收集施工现场的周边环境、地形地貌、交通情况、</w:t>
            </w:r>
            <w:r>
              <w:rPr>
                <w:rFonts w:hint="eastAsia" w:ascii="仿宋" w:hAnsi="仿宋" w:eastAsia="仿宋" w:cs="仿宋"/>
                <w:color w:val="auto"/>
                <w:sz w:val="21"/>
                <w:szCs w:val="21"/>
                <w:highlight w:val="none"/>
                <w:shd w:val="clear" w:color="auto" w:fill="auto"/>
                <w:lang w:val="en-US" w:eastAsia="zh-CN"/>
              </w:rPr>
              <w:t>图片</w:t>
            </w:r>
            <w:r>
              <w:rPr>
                <w:rFonts w:hint="eastAsia" w:ascii="仿宋" w:hAnsi="仿宋" w:eastAsia="仿宋" w:cs="仿宋"/>
                <w:color w:val="auto"/>
                <w:sz w:val="21"/>
                <w:szCs w:val="21"/>
                <w:highlight w:val="none"/>
                <w:shd w:val="clear" w:color="auto" w:fill="auto"/>
                <w:lang w:val="zh-CN" w:eastAsia="zh-CN"/>
              </w:rPr>
              <w:t>等</w:t>
            </w:r>
            <w:r>
              <w:rPr>
                <w:rFonts w:hint="eastAsia" w:ascii="仿宋" w:hAnsi="仿宋" w:eastAsia="仿宋" w:cs="仿宋"/>
                <w:color w:val="auto"/>
                <w:sz w:val="21"/>
                <w:szCs w:val="21"/>
                <w:highlight w:val="none"/>
                <w:shd w:val="clear" w:color="auto" w:fill="auto"/>
                <w:lang w:val="en-US" w:eastAsia="zh-CN"/>
              </w:rPr>
              <w:t>资料</w:t>
            </w:r>
            <w:r>
              <w:rPr>
                <w:rFonts w:hint="eastAsia" w:ascii="仿宋" w:hAnsi="仿宋" w:eastAsia="仿宋" w:cs="仿宋"/>
                <w:color w:val="auto"/>
                <w:sz w:val="21"/>
                <w:szCs w:val="21"/>
                <w:highlight w:val="none"/>
                <w:shd w:val="clear" w:color="auto" w:fill="auto"/>
                <w:lang w:val="zh-CN" w:eastAsia="zh-CN"/>
              </w:rPr>
              <w:t>，</w:t>
            </w:r>
            <w:r>
              <w:rPr>
                <w:rFonts w:hint="eastAsia" w:ascii="仿宋" w:hAnsi="仿宋" w:eastAsia="仿宋" w:cs="仿宋"/>
                <w:color w:val="auto"/>
                <w:kern w:val="0"/>
                <w:sz w:val="21"/>
                <w:szCs w:val="21"/>
                <w:highlight w:val="none"/>
                <w:shd w:val="clear" w:color="auto" w:fill="auto"/>
              </w:rPr>
              <w:t>建立完整安全目标，健全的施工管理组织机构，制定安全技术措施，明确安全生产责任制度；建立现场安全检查规范，并对安全事故的处理做出相应的规定。</w:t>
            </w:r>
          </w:p>
        </w:tc>
        <w:tc>
          <w:tcPr>
            <w:tcW w:w="760" w:type="dxa"/>
            <w:vMerge w:val="continue"/>
            <w:noWrap w:val="0"/>
            <w:vAlign w:val="center"/>
          </w:tcPr>
          <w:p w14:paraId="19160A3B">
            <w:pPr>
              <w:jc w:val="left"/>
              <w:rPr>
                <w:rFonts w:hint="eastAsia" w:ascii="仿宋" w:hAnsi="仿宋" w:eastAsia="仿宋" w:cs="仿宋"/>
                <w:color w:val="auto"/>
                <w:kern w:val="0"/>
                <w:sz w:val="21"/>
                <w:szCs w:val="21"/>
                <w:highlight w:val="none"/>
                <w:shd w:val="clear" w:color="auto" w:fill="auto"/>
              </w:rPr>
            </w:pPr>
          </w:p>
        </w:tc>
      </w:tr>
      <w:tr w14:paraId="53D2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34EDF12C">
            <w:pPr>
              <w:widowControl/>
              <w:spacing w:line="300" w:lineRule="exact"/>
              <w:ind w:firstLine="210" w:firstLineChars="100"/>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6C986E15">
            <w:pPr>
              <w:jc w:val="left"/>
              <w:rPr>
                <w:rFonts w:hint="eastAsia" w:ascii="仿宋" w:hAnsi="仿宋" w:eastAsia="仿宋" w:cs="仿宋"/>
                <w:color w:val="auto"/>
                <w:sz w:val="21"/>
                <w:szCs w:val="21"/>
                <w:highlight w:val="none"/>
                <w:shd w:val="clear" w:color="auto" w:fill="auto"/>
                <w:lang w:val="en-US" w:eastAsia="zh-CN"/>
              </w:rPr>
            </w:pPr>
          </w:p>
        </w:tc>
        <w:tc>
          <w:tcPr>
            <w:tcW w:w="1598" w:type="dxa"/>
            <w:noWrap w:val="0"/>
            <w:vAlign w:val="top"/>
          </w:tcPr>
          <w:p w14:paraId="75B6CB09">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环境保护管理体系措施</w:t>
            </w:r>
          </w:p>
        </w:tc>
        <w:tc>
          <w:tcPr>
            <w:tcW w:w="5225" w:type="dxa"/>
            <w:noWrap w:val="0"/>
            <w:vAlign w:val="center"/>
          </w:tcPr>
          <w:p w14:paraId="6383591E">
            <w:pPr>
              <w:jc w:val="left"/>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根据工程实际情况并结合本项目技术标准和要求，</w:t>
            </w:r>
            <w:r>
              <w:rPr>
                <w:rFonts w:hint="eastAsia" w:ascii="仿宋" w:hAnsi="仿宋" w:eastAsia="仿宋" w:cs="仿宋"/>
                <w:color w:val="auto"/>
                <w:sz w:val="21"/>
                <w:szCs w:val="21"/>
                <w:highlight w:val="none"/>
                <w:shd w:val="clear" w:color="auto" w:fill="auto"/>
                <w:lang w:val="zh-CN" w:eastAsia="zh-CN"/>
              </w:rPr>
              <w:t>收集施工现场的周边环境、地形地貌和交通情况等，</w:t>
            </w:r>
            <w:r>
              <w:rPr>
                <w:rFonts w:hint="eastAsia" w:ascii="仿宋" w:hAnsi="仿宋" w:eastAsia="仿宋" w:cs="仿宋"/>
                <w:color w:val="auto"/>
                <w:kern w:val="0"/>
                <w:sz w:val="21"/>
                <w:szCs w:val="21"/>
                <w:highlight w:val="none"/>
                <w:shd w:val="clear" w:color="auto" w:fill="auto"/>
              </w:rPr>
              <w:t>提供环境保护措施（包括但不限于控制噪声、扬尘、建筑垃圾、水土保持等）。围挡大门设置符合重庆市安全文明施工标准，提供围挡示意图；并附尺寸、材质、工艺等必要文字说明。</w:t>
            </w:r>
          </w:p>
        </w:tc>
        <w:tc>
          <w:tcPr>
            <w:tcW w:w="760" w:type="dxa"/>
            <w:vMerge w:val="continue"/>
            <w:noWrap w:val="0"/>
            <w:vAlign w:val="center"/>
          </w:tcPr>
          <w:p w14:paraId="7742BF04">
            <w:pPr>
              <w:jc w:val="left"/>
              <w:rPr>
                <w:rFonts w:hint="eastAsia" w:ascii="仿宋" w:hAnsi="仿宋" w:eastAsia="仿宋" w:cs="仿宋"/>
                <w:color w:val="auto"/>
                <w:kern w:val="0"/>
                <w:sz w:val="21"/>
                <w:szCs w:val="21"/>
                <w:highlight w:val="none"/>
                <w:shd w:val="clear" w:color="auto" w:fill="auto"/>
              </w:rPr>
            </w:pPr>
          </w:p>
        </w:tc>
      </w:tr>
      <w:tr w14:paraId="3504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4D09CA3D">
            <w:pPr>
              <w:widowControl/>
              <w:spacing w:line="300" w:lineRule="exact"/>
              <w:ind w:firstLine="210" w:firstLineChars="100"/>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3010F23F">
            <w:pPr>
              <w:jc w:val="left"/>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076FC0B1">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工程进度计划与措施</w:t>
            </w:r>
          </w:p>
        </w:tc>
        <w:tc>
          <w:tcPr>
            <w:tcW w:w="5225" w:type="dxa"/>
            <w:noWrap w:val="0"/>
            <w:vAlign w:val="center"/>
          </w:tcPr>
          <w:p w14:paraId="33679E30">
            <w:pPr>
              <w:jc w:val="left"/>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具备有效的网络进度计划、赶工方案，关键线路清晰、准确、完整，可操作性强，以横道图形式明确倒排工期计划，网络进度计划各关键节点、监测的工期是否切实可行，明确开、竣工日期，进度计划图须反应出与劳动力和费用等资源投入的对应情况，提供工期保障具体措施，保证措施可靠，控制措施得力。</w:t>
            </w:r>
          </w:p>
        </w:tc>
        <w:tc>
          <w:tcPr>
            <w:tcW w:w="760" w:type="dxa"/>
            <w:vMerge w:val="continue"/>
            <w:noWrap w:val="0"/>
            <w:vAlign w:val="center"/>
          </w:tcPr>
          <w:p w14:paraId="5338F06B">
            <w:pPr>
              <w:jc w:val="left"/>
              <w:rPr>
                <w:rFonts w:hint="eastAsia" w:ascii="仿宋" w:hAnsi="仿宋" w:eastAsia="仿宋" w:cs="仿宋"/>
                <w:color w:val="auto"/>
                <w:kern w:val="0"/>
                <w:sz w:val="21"/>
                <w:szCs w:val="21"/>
                <w:highlight w:val="none"/>
                <w:shd w:val="clear" w:color="auto" w:fill="auto"/>
              </w:rPr>
            </w:pPr>
          </w:p>
        </w:tc>
      </w:tr>
      <w:tr w14:paraId="352E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675" w:type="dxa"/>
            <w:vMerge w:val="continue"/>
            <w:noWrap w:val="0"/>
            <w:vAlign w:val="center"/>
          </w:tcPr>
          <w:p w14:paraId="767AB0F4">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372" w:type="dxa"/>
            <w:vMerge w:val="continue"/>
            <w:noWrap w:val="0"/>
            <w:vAlign w:val="center"/>
          </w:tcPr>
          <w:p w14:paraId="5164F9A7">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p>
        </w:tc>
        <w:tc>
          <w:tcPr>
            <w:tcW w:w="1598" w:type="dxa"/>
            <w:noWrap w:val="0"/>
            <w:vAlign w:val="center"/>
          </w:tcPr>
          <w:p w14:paraId="20C32C4D">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zh-CN" w:eastAsia="zh-CN"/>
              </w:rPr>
            </w:pPr>
            <w:r>
              <w:rPr>
                <w:rFonts w:hint="eastAsia" w:ascii="仿宋" w:hAnsi="仿宋" w:eastAsia="仿宋" w:cs="仿宋"/>
                <w:color w:val="auto"/>
                <w:sz w:val="21"/>
                <w:szCs w:val="21"/>
                <w:highlight w:val="none"/>
                <w:shd w:val="clear" w:color="auto" w:fill="auto"/>
                <w:lang w:val="zh-CN" w:eastAsia="zh-CN"/>
              </w:rPr>
              <w:t>资源配备计划</w:t>
            </w:r>
          </w:p>
        </w:tc>
        <w:tc>
          <w:tcPr>
            <w:tcW w:w="5225" w:type="dxa"/>
            <w:noWrap w:val="0"/>
            <w:vAlign w:val="center"/>
          </w:tcPr>
          <w:p w14:paraId="3F06C637">
            <w:pPr>
              <w:rPr>
                <w:rFonts w:hint="eastAsia" w:ascii="仿宋" w:hAnsi="仿宋" w:eastAsia="仿宋" w:cs="仿宋"/>
                <w:color w:val="auto"/>
                <w:kern w:val="0"/>
                <w:sz w:val="21"/>
                <w:szCs w:val="21"/>
                <w:highlight w:val="none"/>
                <w:shd w:val="clear" w:color="auto" w:fill="auto"/>
              </w:rPr>
            </w:pPr>
            <w:r>
              <w:rPr>
                <w:rFonts w:hint="eastAsia" w:ascii="仿宋" w:hAnsi="仿宋" w:eastAsia="仿宋" w:cs="仿宋"/>
                <w:color w:val="auto"/>
                <w:kern w:val="0"/>
                <w:sz w:val="21"/>
                <w:szCs w:val="21"/>
                <w:highlight w:val="none"/>
                <w:shd w:val="clear" w:color="auto" w:fill="auto"/>
              </w:rPr>
              <w:t>劳动力配置计划应根据施工进度计划、工程项目工程量,编制劳动力配置计划，应细化到专业工种；物资配置计划应根据施工进度计划编制，包括各施工阶段所需主要工程材料、设备的种类、数量及计划进场时间等。</w:t>
            </w:r>
          </w:p>
        </w:tc>
        <w:tc>
          <w:tcPr>
            <w:tcW w:w="760" w:type="dxa"/>
            <w:vMerge w:val="continue"/>
            <w:noWrap w:val="0"/>
            <w:vAlign w:val="center"/>
          </w:tcPr>
          <w:p w14:paraId="39427E59">
            <w:pPr>
              <w:rPr>
                <w:rFonts w:hint="eastAsia" w:ascii="仿宋" w:hAnsi="仿宋" w:eastAsia="仿宋" w:cs="仿宋"/>
                <w:color w:val="auto"/>
                <w:kern w:val="0"/>
                <w:sz w:val="21"/>
                <w:szCs w:val="21"/>
                <w:highlight w:val="none"/>
                <w:shd w:val="clear" w:color="auto" w:fill="auto"/>
              </w:rPr>
            </w:pPr>
          </w:p>
        </w:tc>
      </w:tr>
    </w:tbl>
    <w:p w14:paraId="30DB430E">
      <w:pPr>
        <w:spacing w:line="360" w:lineRule="auto"/>
        <w:ind w:firstLine="480" w:firstLineChars="200"/>
        <w:rPr>
          <w:rFonts w:hint="eastAsia" w:ascii="仿宋" w:hAnsi="仿宋" w:eastAsia="仿宋" w:cs="仿宋"/>
          <w:color w:val="auto"/>
          <w:kern w:val="2"/>
          <w:sz w:val="24"/>
          <w:szCs w:val="24"/>
          <w:highlight w:val="none"/>
          <w:lang w:val="en-US" w:eastAsia="zh-CN" w:bidi="ar-SA"/>
        </w:rPr>
      </w:pPr>
    </w:p>
    <w:p w14:paraId="7D078F60">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三）评审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58D32485">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四）评审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1BB227B2">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（五）在采购过程中采购的任何一方不得向他人透露与采购有关的技术资料、价格或其他信息。</w:t>
      </w:r>
    </w:p>
    <w:p w14:paraId="149F1C87">
      <w:pPr>
        <w:pStyle w:val="5"/>
        <w:bidi w:val="0"/>
        <w:rPr>
          <w:rFonts w:hint="eastAsia" w:ascii="仿宋" w:hAnsi="仿宋" w:eastAsia="仿宋" w:cs="仿宋"/>
          <w:color w:val="auto"/>
          <w:highlight w:val="none"/>
          <w:lang w:val="en-US" w:eastAsia="zh-CN"/>
        </w:rPr>
      </w:pPr>
      <w:bookmarkStart w:id="220" w:name="_Toc25609"/>
      <w:r>
        <w:rPr>
          <w:rFonts w:hint="eastAsia" w:ascii="仿宋" w:hAnsi="仿宋" w:eastAsia="仿宋" w:cs="仿宋"/>
          <w:color w:val="auto"/>
          <w:highlight w:val="none"/>
          <w:lang w:val="en-US" w:eastAsia="zh-CN"/>
        </w:rPr>
        <w:t>二、</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rFonts w:hint="eastAsia" w:ascii="仿宋" w:hAnsi="仿宋" w:eastAsia="仿宋" w:cs="仿宋"/>
          <w:color w:val="auto"/>
          <w:highlight w:val="none"/>
          <w:lang w:val="en-US" w:eastAsia="zh-CN"/>
        </w:rPr>
        <w:t>成交原则</w:t>
      </w:r>
      <w:bookmarkEnd w:id="220"/>
    </w:p>
    <w:p w14:paraId="315C1346">
      <w:pPr>
        <w:spacing w:line="360" w:lineRule="auto"/>
        <w:ind w:firstLine="480" w:firstLineChars="200"/>
        <w:rPr>
          <w:rFonts w:hint="eastAsia" w:ascii="仿宋" w:hAnsi="仿宋" w:eastAsia="仿宋" w:cs="仿宋"/>
          <w:color w:val="auto"/>
          <w:kern w:val="2"/>
          <w:sz w:val="24"/>
          <w:szCs w:val="24"/>
          <w:highlight w:val="none"/>
          <w:lang w:val="en-US" w:eastAsia="zh-CN" w:bidi="ar-SA"/>
        </w:rPr>
      </w:pPr>
      <w:bookmarkStart w:id="221" w:name="_Toc267320057"/>
      <w:bookmarkStart w:id="222" w:name="_Toc20800"/>
      <w:bookmarkStart w:id="223" w:name="_Toc20699"/>
      <w:bookmarkStart w:id="224" w:name="_Toc75793520"/>
      <w:bookmarkStart w:id="225" w:name="_Toc4511"/>
      <w:bookmarkStart w:id="226" w:name="_Toc1055"/>
      <w:bookmarkStart w:id="227" w:name="_Toc22772"/>
      <w:bookmarkStart w:id="228" w:name="_Toc25814"/>
      <w:bookmarkStart w:id="229" w:name="_Toc20354"/>
      <w:bookmarkStart w:id="230" w:name="_Toc15716"/>
      <w:bookmarkStart w:id="231" w:name="_Toc20875"/>
      <w:bookmarkStart w:id="232" w:name="_Toc17311"/>
      <w:bookmarkStart w:id="233" w:name="_Toc5799"/>
      <w:bookmarkStart w:id="234" w:name="_Toc6342"/>
      <w:bookmarkStart w:id="235" w:name="_Toc17116"/>
      <w:bookmarkStart w:id="236" w:name="_Toc19924"/>
      <w:r>
        <w:rPr>
          <w:rFonts w:hint="eastAsia" w:ascii="仿宋" w:hAnsi="仿宋" w:eastAsia="仿宋" w:cs="仿宋"/>
          <w:color w:val="auto"/>
          <w:kern w:val="2"/>
          <w:sz w:val="24"/>
          <w:szCs w:val="24"/>
          <w:highlight w:val="none"/>
          <w:lang w:val="en-US" w:eastAsia="zh-CN" w:bidi="ar-SA"/>
        </w:rPr>
        <w:t>（一）评审小组将依照本采购文件相关规定对技术（质量）和商务均能满足实质性响应要求的供应商所提交的报价按照由低到高的顺序提出3名以上成交候选人，并编写评审报告。</w:t>
      </w:r>
    </w:p>
    <w:p w14:paraId="7DD92534">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（二）若供应商的报价相同，按技术（质量）的优劣顺序排列；以上都相同的，按商务条款的优劣顺序排列；以上都相同的，由采购人以现场随机抽取方式排列。</w:t>
      </w:r>
    </w:p>
    <w:p w14:paraId="18F23589">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（三）成交价格=成交供应商的报价。</w:t>
      </w:r>
    </w:p>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14:paraId="3D59E012">
      <w:pPr>
        <w:pStyle w:val="5"/>
        <w:bidi w:val="0"/>
        <w:rPr>
          <w:rFonts w:hint="eastAsia" w:ascii="仿宋" w:hAnsi="仿宋" w:eastAsia="仿宋" w:cs="仿宋"/>
          <w:color w:val="auto"/>
          <w:highlight w:val="none"/>
          <w:lang w:val="en-US" w:eastAsia="zh-CN"/>
        </w:rPr>
      </w:pPr>
      <w:bookmarkStart w:id="237" w:name="_Toc26486"/>
      <w:bookmarkStart w:id="238" w:name="_Toc13848"/>
      <w:r>
        <w:rPr>
          <w:rFonts w:hint="eastAsia" w:ascii="仿宋" w:hAnsi="仿宋" w:eastAsia="仿宋" w:cs="仿宋"/>
          <w:color w:val="auto"/>
          <w:highlight w:val="none"/>
          <w:lang w:val="en-US" w:eastAsia="zh-CN"/>
        </w:rPr>
        <w:t>三、无效响应</w:t>
      </w:r>
      <w:bookmarkEnd w:id="237"/>
      <w:bookmarkEnd w:id="238"/>
    </w:p>
    <w:p w14:paraId="7AAC40D6">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供应商发生以下条款情况之一者，视为无效响应，其响应文件将被拒绝：</w:t>
      </w:r>
    </w:p>
    <w:p w14:paraId="59357BCA">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（一）供应商不符合规定的资格条件的；</w:t>
      </w:r>
    </w:p>
    <w:p w14:paraId="3BE60344">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（二）供应商未通过实质性响应审查的；</w:t>
      </w:r>
    </w:p>
    <w:p w14:paraId="450184DD">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（三）供应商所提交的响应文件不按“第七篇响应文件编制要求”规定签署或盖章的；</w:t>
      </w:r>
    </w:p>
    <w:p w14:paraId="74887EE8">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（四）供应商的报价超过采购预算或最高限价的；</w:t>
      </w:r>
    </w:p>
    <w:p w14:paraId="6D031CFB">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（五）单位负责人为同一人或者存在直接控股、管理关系的不同供应商，参加同一合同项（包）报价的；</w:t>
      </w:r>
    </w:p>
    <w:p w14:paraId="59345450">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（六）为采购项目提供整体设计、规范编制或者项目管理、监理、检测等服务的供应商，再参加该采购项目的其他采购活动的；</w:t>
      </w:r>
    </w:p>
    <w:p w14:paraId="2B9321CA">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（七）供应商的投标有效期不满足采购文件要求的；</w:t>
      </w:r>
    </w:p>
    <w:p w14:paraId="401E2B9D">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（八）供应商响应文件内容有与国家现行法律法规相违背的内容，或附有采购人无法接受的条件的。</w:t>
      </w:r>
    </w:p>
    <w:p w14:paraId="4FBD86C3">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（九）法律、法规和采购文件规定的其他无效情形的。</w:t>
      </w:r>
    </w:p>
    <w:p w14:paraId="28BCE972">
      <w:pPr>
        <w:pStyle w:val="5"/>
        <w:bidi w:val="0"/>
        <w:rPr>
          <w:rFonts w:hint="eastAsia" w:ascii="仿宋" w:hAnsi="仿宋" w:eastAsia="仿宋" w:cs="仿宋"/>
          <w:color w:val="auto"/>
          <w:highlight w:val="none"/>
          <w:lang w:val="en-US" w:eastAsia="zh-CN"/>
        </w:rPr>
      </w:pPr>
      <w:bookmarkStart w:id="239" w:name="_Toc12357"/>
      <w:bookmarkStart w:id="240" w:name="_Toc466546923"/>
      <w:bookmarkStart w:id="241" w:name="_Toc15724"/>
      <w:bookmarkStart w:id="242" w:name="_Toc5460"/>
      <w:bookmarkStart w:id="243" w:name="_Toc19027"/>
      <w:r>
        <w:rPr>
          <w:rFonts w:hint="eastAsia" w:ascii="仿宋" w:hAnsi="仿宋" w:eastAsia="仿宋" w:cs="仿宋"/>
          <w:color w:val="auto"/>
          <w:highlight w:val="none"/>
          <w:lang w:val="en-US" w:eastAsia="zh-CN"/>
        </w:rPr>
        <w:t>四、采购终止</w:t>
      </w:r>
      <w:bookmarkEnd w:id="239"/>
      <w:bookmarkEnd w:id="240"/>
      <w:bookmarkEnd w:id="241"/>
      <w:bookmarkEnd w:id="242"/>
      <w:bookmarkEnd w:id="243"/>
    </w:p>
    <w:p w14:paraId="4E915445">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出现下列情形之一的，采购人或者采购代理机构应当终止采购活动，发布项目终止公告并说明原因，重新开展采购活动：</w:t>
      </w:r>
    </w:p>
    <w:p w14:paraId="34692DB8">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（一）因情况变化，不再符合规定的采购方式适用情形的；</w:t>
      </w:r>
    </w:p>
    <w:p w14:paraId="2F8F9AED">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（二）出现影响采购公正的违法、违规行为的；</w:t>
      </w:r>
    </w:p>
    <w:p w14:paraId="6D441A40">
      <w:pPr>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（三）在采购过程中符合要求的供应商或者报价未超过采购预算的供应商不足3家的。</w:t>
      </w:r>
    </w:p>
    <w:p w14:paraId="09C28712">
      <w:pPr>
        <w:spacing w:line="360" w:lineRule="auto"/>
        <w:ind w:firstLine="240" w:firstLineChars="100"/>
        <w:rPr>
          <w:rFonts w:hint="eastAsia" w:ascii="仿宋" w:hAnsi="仿宋" w:eastAsia="仿宋" w:cs="仿宋"/>
          <w:color w:val="auto"/>
          <w:kern w:val="2"/>
          <w:sz w:val="24"/>
          <w:szCs w:val="24"/>
          <w:highlight w:val="none"/>
          <w:lang w:val="en-US" w:eastAsia="zh-CN" w:bidi="ar-SA"/>
        </w:rPr>
      </w:pPr>
    </w:p>
    <w:p w14:paraId="4CFD3A48">
      <w:pPr>
        <w:pStyle w:val="5"/>
        <w:spacing w:line="24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bookmarkStart w:id="244" w:name="_Toc25755"/>
      <w:bookmarkStart w:id="245" w:name="_Toc21000"/>
      <w:bookmarkStart w:id="246" w:name="_Toc22201"/>
      <w:bookmarkStart w:id="247" w:name="_Toc1982"/>
      <w:bookmarkStart w:id="248" w:name="_Toc12533"/>
      <w:bookmarkStart w:id="249" w:name="_Toc25962"/>
      <w:bookmarkStart w:id="250" w:name="_Toc75793523"/>
      <w:bookmarkStart w:id="251" w:name="_Toc29546"/>
      <w:bookmarkStart w:id="252" w:name="_Toc4735"/>
      <w:bookmarkStart w:id="253" w:name="_Toc18502"/>
      <w:bookmarkStart w:id="254" w:name="_Toc19831"/>
      <w:bookmarkStart w:id="255" w:name="_Toc21720"/>
      <w:bookmarkStart w:id="256" w:name="_Toc22256"/>
      <w:bookmarkStart w:id="257" w:name="_Toc5106"/>
      <w:bookmarkStart w:id="258" w:name="_Toc13159"/>
    </w:p>
    <w:p w14:paraId="6AAE4A9E">
      <w:pPr>
        <w:pStyle w:val="4"/>
        <w:spacing w:before="0" w:beforeLines="0" w:after="0" w:afterLines="0" w:line="360" w:lineRule="auto"/>
        <w:outlineLvl w:val="1"/>
        <w:rPr>
          <w:rFonts w:hint="eastAsia" w:ascii="仿宋" w:hAnsi="仿宋" w:eastAsia="仿宋" w:cs="仿宋"/>
          <w:b/>
          <w:color w:val="auto"/>
          <w:highlight w:val="none"/>
        </w:rPr>
      </w:pPr>
      <w:bookmarkStart w:id="259" w:name="_Toc18395"/>
      <w:r>
        <w:rPr>
          <w:rFonts w:hint="eastAsia" w:ascii="仿宋" w:hAnsi="仿宋" w:eastAsia="仿宋" w:cs="仿宋"/>
          <w:b/>
          <w:color w:val="auto"/>
          <w:highlight w:val="none"/>
        </w:rPr>
        <w:t xml:space="preserve">第五篇  </w:t>
      </w:r>
      <w:r>
        <w:rPr>
          <w:rFonts w:hint="eastAsia" w:ascii="仿宋" w:hAnsi="仿宋" w:eastAsia="仿宋" w:cs="仿宋"/>
          <w:b/>
          <w:color w:val="auto"/>
          <w:highlight w:val="none"/>
          <w:lang w:eastAsia="zh-CN"/>
        </w:rPr>
        <w:t>供应商</w:t>
      </w:r>
      <w:r>
        <w:rPr>
          <w:rFonts w:hint="eastAsia" w:ascii="仿宋" w:hAnsi="仿宋" w:eastAsia="仿宋" w:cs="仿宋"/>
          <w:b/>
          <w:color w:val="auto"/>
          <w:highlight w:val="none"/>
        </w:rPr>
        <w:t>须知</w:t>
      </w:r>
      <w:bookmarkEnd w:id="259"/>
    </w:p>
    <w:p w14:paraId="12B0DF32">
      <w:pPr>
        <w:pStyle w:val="5"/>
        <w:bidi w:val="0"/>
        <w:spacing w:line="360" w:lineRule="auto"/>
        <w:rPr>
          <w:rFonts w:hint="eastAsia" w:ascii="仿宋" w:hAnsi="仿宋" w:eastAsia="仿宋" w:cs="仿宋"/>
          <w:color w:val="auto"/>
          <w:highlight w:val="none"/>
          <w:lang w:eastAsia="zh-CN"/>
        </w:rPr>
      </w:pPr>
      <w:bookmarkStart w:id="260" w:name="_Toc1293"/>
      <w:bookmarkStart w:id="261" w:name="_Toc21575"/>
      <w:r>
        <w:rPr>
          <w:rFonts w:hint="eastAsia" w:ascii="仿宋" w:hAnsi="仿宋" w:eastAsia="仿宋" w:cs="仿宋"/>
          <w:color w:val="auto"/>
          <w:highlight w:val="none"/>
        </w:rPr>
        <w:t>一、</w:t>
      </w:r>
      <w:bookmarkEnd w:id="260"/>
      <w:r>
        <w:rPr>
          <w:rFonts w:hint="eastAsia" w:ascii="仿宋" w:hAnsi="仿宋" w:eastAsia="仿宋" w:cs="仿宋"/>
          <w:color w:val="auto"/>
          <w:highlight w:val="none"/>
          <w:lang w:eastAsia="zh-CN"/>
        </w:rPr>
        <w:t>供应商</w:t>
      </w:r>
      <w:bookmarkEnd w:id="261"/>
    </w:p>
    <w:p w14:paraId="00DCD9FF">
      <w:pPr>
        <w:snapToGrid w:val="0"/>
        <w:spacing w:line="360" w:lineRule="auto"/>
        <w:ind w:firstLine="480" w:firstLineChars="200"/>
        <w:outlineLvl w:val="1"/>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（一）</w:t>
      </w:r>
      <w:r>
        <w:rPr>
          <w:rFonts w:hint="eastAsia" w:ascii="仿宋" w:hAnsi="仿宋" w:eastAsia="仿宋" w:cs="仿宋"/>
          <w:color w:val="auto"/>
          <w:sz w:val="24"/>
          <w:highlight w:val="none"/>
          <w:lang w:eastAsia="zh-CN"/>
        </w:rPr>
        <w:t>供应商</w:t>
      </w:r>
    </w:p>
    <w:p w14:paraId="1B750A6E">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是指响应招标、参加投标竞争的法人、其他组织或者自然人。</w:t>
      </w:r>
    </w:p>
    <w:p w14:paraId="0B4B69E4">
      <w:pPr>
        <w:snapToGrid w:val="0"/>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（二）合格</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条件</w:t>
      </w:r>
    </w:p>
    <w:p w14:paraId="6684D6E7">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合格</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应完全符合</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第一篇中规定的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资格条件，并对</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作出实质性响应。</w:t>
      </w:r>
    </w:p>
    <w:p w14:paraId="1C3D32D2">
      <w:pPr>
        <w:snapToGrid w:val="0"/>
        <w:spacing w:line="360" w:lineRule="auto"/>
        <w:ind w:firstLine="480" w:firstLineChars="200"/>
        <w:outlineLvl w:val="1"/>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（三）</w:t>
      </w:r>
      <w:r>
        <w:rPr>
          <w:rFonts w:hint="eastAsia" w:ascii="仿宋" w:hAnsi="仿宋" w:eastAsia="仿宋" w:cs="仿宋"/>
          <w:color w:val="auto"/>
          <w:sz w:val="24"/>
          <w:szCs w:val="28"/>
          <w:highlight w:val="none"/>
          <w:lang w:eastAsia="zh-CN"/>
        </w:rPr>
        <w:t>供应商</w:t>
      </w:r>
      <w:r>
        <w:rPr>
          <w:rFonts w:hint="eastAsia" w:ascii="仿宋" w:hAnsi="仿宋" w:eastAsia="仿宋" w:cs="仿宋"/>
          <w:color w:val="auto"/>
          <w:sz w:val="24"/>
          <w:szCs w:val="28"/>
          <w:highlight w:val="none"/>
        </w:rPr>
        <w:t>的风险</w:t>
      </w:r>
    </w:p>
    <w:p w14:paraId="74FFD1A8">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没有按照</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要求提供全部资料，或者</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没有对</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在各方面作出实质性响应，可能导致投标被拒绝或评定为无效投标。</w:t>
      </w:r>
    </w:p>
    <w:p w14:paraId="4A207F70">
      <w:pPr>
        <w:snapToGrid w:val="0"/>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（四）法律责任</w:t>
      </w:r>
    </w:p>
    <w:p w14:paraId="3F8827B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违反《中华人民共和国政府采购法》、《中华人民共和国政府采购实施条例》等相关规定，将按规定追究</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法律责任。</w:t>
      </w:r>
    </w:p>
    <w:p w14:paraId="0EF774D5">
      <w:pPr>
        <w:pStyle w:val="5"/>
        <w:bidi w:val="0"/>
        <w:spacing w:line="360" w:lineRule="auto"/>
        <w:rPr>
          <w:rFonts w:hint="eastAsia" w:ascii="仿宋" w:hAnsi="仿宋" w:eastAsia="仿宋" w:cs="仿宋"/>
          <w:color w:val="auto"/>
          <w:highlight w:val="none"/>
          <w:lang w:eastAsia="zh-CN"/>
        </w:rPr>
      </w:pPr>
      <w:bookmarkStart w:id="262" w:name="_Toc20976"/>
      <w:bookmarkStart w:id="263" w:name="_Toc17638"/>
      <w:r>
        <w:rPr>
          <w:rFonts w:hint="eastAsia" w:ascii="仿宋" w:hAnsi="仿宋" w:eastAsia="仿宋" w:cs="仿宋"/>
          <w:color w:val="auto"/>
          <w:highlight w:val="none"/>
        </w:rPr>
        <w:t>二、</w:t>
      </w:r>
      <w:bookmarkEnd w:id="262"/>
      <w:r>
        <w:rPr>
          <w:rFonts w:hint="eastAsia" w:ascii="仿宋" w:hAnsi="仿宋" w:eastAsia="仿宋" w:cs="仿宋"/>
          <w:color w:val="auto"/>
          <w:highlight w:val="none"/>
          <w:lang w:eastAsia="zh-CN"/>
        </w:rPr>
        <w:t>采购文件</w:t>
      </w:r>
      <w:bookmarkEnd w:id="263"/>
    </w:p>
    <w:p w14:paraId="590AE3F7">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是</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编制</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的依据，是</w:t>
      </w:r>
      <w:r>
        <w:rPr>
          <w:rFonts w:hint="eastAsia" w:ascii="仿宋" w:hAnsi="仿宋" w:eastAsia="仿宋" w:cs="仿宋"/>
          <w:color w:val="auto"/>
          <w:sz w:val="24"/>
          <w:highlight w:val="none"/>
          <w:lang w:eastAsia="zh-CN"/>
        </w:rPr>
        <w:t>评审小组</w:t>
      </w:r>
      <w:r>
        <w:rPr>
          <w:rFonts w:hint="eastAsia" w:ascii="仿宋" w:hAnsi="仿宋" w:eastAsia="仿宋" w:cs="仿宋"/>
          <w:color w:val="auto"/>
          <w:sz w:val="24"/>
          <w:highlight w:val="none"/>
        </w:rPr>
        <w:t>评判依据和标准。</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也是采购人与中标人签订合同的基础。</w:t>
      </w:r>
    </w:p>
    <w:p w14:paraId="15BB86B9">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投标邀请书</w:t>
      </w:r>
      <w:r>
        <w:rPr>
          <w:rFonts w:hint="eastAsia" w:ascii="仿宋" w:hAnsi="仿宋" w:eastAsia="仿宋" w:cs="仿宋"/>
          <w:color w:val="auto"/>
          <w:sz w:val="24"/>
          <w:highlight w:val="none"/>
        </w:rPr>
        <w:t>、项目服务需求、项目商务要求、资格审查及评标办法、</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须知、合同范本、</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格式等七部分组成。</w:t>
      </w:r>
    </w:p>
    <w:p w14:paraId="1B934B6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szCs w:val="28"/>
          <w:highlight w:val="none"/>
        </w:rPr>
        <w:t>（二）</w:t>
      </w:r>
      <w:r>
        <w:rPr>
          <w:rFonts w:hint="eastAsia" w:ascii="仿宋" w:hAnsi="仿宋" w:eastAsia="仿宋" w:cs="仿宋"/>
          <w:color w:val="auto"/>
          <w:sz w:val="24"/>
          <w:highlight w:val="none"/>
        </w:rPr>
        <w:t>采购代理机构对</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所作的一切有效的书面通知、修改及补充，都是</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不可分割的部分。</w:t>
      </w:r>
    </w:p>
    <w:p w14:paraId="084F2A4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w:t>
      </w:r>
      <w:r>
        <w:rPr>
          <w:rFonts w:hint="eastAsia" w:ascii="仿宋" w:hAnsi="仿宋" w:eastAsia="仿宋" w:cs="仿宋"/>
          <w:color w:val="auto"/>
          <w:sz w:val="24"/>
          <w:szCs w:val="24"/>
          <w:highlight w:val="none"/>
        </w:rPr>
        <w:t>本项目的</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、澄清文件（如果有）一律在“行采家”平台（http://www.gec123.com）上发布，请各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注意下载；无论</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下载与否，均视同</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已知晓本项目</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、澄清文件的内容。</w:t>
      </w:r>
    </w:p>
    <w:p w14:paraId="08864E87">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（四）采购代理机构对已发出的</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需要进行修改的，一律在“行采家”平台（http://www.gec123.com）上发布，请各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注意下载。该修改的内容为</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的组成部分。无论</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下载与否，均视同</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已知晓本项目</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修改的内容。</w:t>
      </w:r>
    </w:p>
    <w:p w14:paraId="44827605">
      <w:pPr>
        <w:pStyle w:val="5"/>
        <w:bidi w:val="0"/>
        <w:spacing w:line="360" w:lineRule="auto"/>
        <w:rPr>
          <w:rFonts w:hint="eastAsia" w:ascii="仿宋" w:hAnsi="仿宋" w:eastAsia="仿宋" w:cs="仿宋"/>
          <w:b/>
          <w:color w:val="auto"/>
          <w:highlight w:val="none"/>
          <w:lang w:eastAsia="zh-CN"/>
        </w:rPr>
      </w:pPr>
      <w:bookmarkStart w:id="264" w:name="_Toc11266"/>
      <w:bookmarkStart w:id="265" w:name="_Toc659"/>
      <w:r>
        <w:rPr>
          <w:rFonts w:hint="eastAsia" w:ascii="仿宋" w:hAnsi="仿宋" w:eastAsia="仿宋" w:cs="仿宋"/>
          <w:color w:val="auto"/>
          <w:highlight w:val="none"/>
        </w:rPr>
        <w:t>三、</w:t>
      </w:r>
      <w:bookmarkEnd w:id="264"/>
      <w:r>
        <w:rPr>
          <w:rFonts w:hint="eastAsia" w:ascii="仿宋" w:hAnsi="仿宋" w:eastAsia="仿宋" w:cs="仿宋"/>
          <w:color w:val="auto"/>
          <w:highlight w:val="none"/>
          <w:lang w:eastAsia="zh-CN"/>
        </w:rPr>
        <w:t>响应文件</w:t>
      </w:r>
      <w:bookmarkEnd w:id="265"/>
    </w:p>
    <w:p w14:paraId="34B065F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应当按照</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的要求编制</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，并对</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提出的要求和条件作出实质性响应，</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原则上采用软面订本</w:t>
      </w:r>
      <w:r>
        <w:rPr>
          <w:rFonts w:hint="eastAsia" w:ascii="仿宋" w:hAnsi="仿宋" w:eastAsia="仿宋" w:cs="仿宋"/>
          <w:color w:val="auto"/>
          <w:sz w:val="24"/>
          <w:highlight w:val="none"/>
          <w:lang w:eastAsia="zh-CN"/>
        </w:rPr>
        <w:t>。</w:t>
      </w:r>
    </w:p>
    <w:p w14:paraId="5CCCEF52">
      <w:p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（一）</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组成</w:t>
      </w:r>
    </w:p>
    <w:p w14:paraId="3F196FE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由第七篇“</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格式”规定的部分和</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所作的一切有效补充、修改和承诺等文件组成，</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应按照第七篇“</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格式”规定的目录顺序组织编写和装订，否则有可能影响评委对</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的评审。</w:t>
      </w:r>
    </w:p>
    <w:p w14:paraId="252FCF10">
      <w:p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（二）联合投标</w:t>
      </w:r>
    </w:p>
    <w:p w14:paraId="45380A3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本项目不接受联合体参与投标。</w:t>
      </w:r>
    </w:p>
    <w:p w14:paraId="134D1F8A">
      <w:p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（三）投标有效期</w:t>
      </w:r>
    </w:p>
    <w:p w14:paraId="5380AF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投标有效期为投标截止日期后九十天内。</w:t>
      </w:r>
    </w:p>
    <w:p w14:paraId="23BDAC8F">
      <w:pPr>
        <w:snapToGrid w:val="0"/>
        <w:spacing w:line="360" w:lineRule="auto"/>
        <w:ind w:firstLine="480" w:firstLineChars="200"/>
        <w:outlineLvl w:val="1"/>
        <w:rPr>
          <w:rFonts w:hint="eastAsia" w:ascii="仿宋" w:hAnsi="仿宋" w:eastAsia="仿宋" w:cs="仿宋"/>
          <w:bCs/>
          <w:color w:val="auto"/>
          <w:sz w:val="24"/>
          <w:highlight w:val="none"/>
        </w:rPr>
      </w:pPr>
      <w:r>
        <w:rPr>
          <w:rFonts w:hint="eastAsia" w:ascii="仿宋" w:hAnsi="仿宋" w:eastAsia="仿宋" w:cs="仿宋"/>
          <w:color w:val="auto"/>
          <w:sz w:val="24"/>
          <w:highlight w:val="none"/>
        </w:rPr>
        <w:t>（四）</w:t>
      </w:r>
      <w:r>
        <w:rPr>
          <w:rFonts w:hint="eastAsia" w:ascii="仿宋" w:hAnsi="仿宋" w:eastAsia="仿宋" w:cs="仿宋"/>
          <w:bCs/>
          <w:color w:val="auto"/>
          <w:sz w:val="24"/>
          <w:highlight w:val="none"/>
          <w:lang w:eastAsia="zh-CN"/>
        </w:rPr>
        <w:t>响应文件</w:t>
      </w:r>
      <w:r>
        <w:rPr>
          <w:rFonts w:hint="eastAsia" w:ascii="仿宋" w:hAnsi="仿宋" w:eastAsia="仿宋" w:cs="仿宋"/>
          <w:bCs/>
          <w:color w:val="auto"/>
          <w:sz w:val="24"/>
          <w:highlight w:val="none"/>
        </w:rPr>
        <w:t>的份数和签署</w:t>
      </w:r>
    </w:p>
    <w:p w14:paraId="567CA2A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b/>
          <w:bCs/>
          <w:color w:val="auto"/>
          <w:sz w:val="24"/>
          <w:highlight w:val="none"/>
          <w:u w:val="single"/>
          <w:lang w:eastAsia="zh-CN"/>
        </w:rPr>
        <w:t>响应文件</w:t>
      </w:r>
      <w:r>
        <w:rPr>
          <w:rFonts w:hint="eastAsia" w:ascii="仿宋" w:hAnsi="仿宋" w:eastAsia="仿宋" w:cs="仿宋"/>
          <w:b/>
          <w:bCs/>
          <w:color w:val="auto"/>
          <w:sz w:val="24"/>
          <w:highlight w:val="none"/>
          <w:u w:val="single"/>
        </w:rPr>
        <w:t>一式</w:t>
      </w:r>
      <w:r>
        <w:rPr>
          <w:rFonts w:hint="eastAsia" w:ascii="仿宋" w:hAnsi="仿宋" w:eastAsia="仿宋" w:cs="仿宋"/>
          <w:b/>
          <w:bCs/>
          <w:color w:val="auto"/>
          <w:sz w:val="24"/>
          <w:highlight w:val="none"/>
          <w:u w:val="single"/>
          <w:lang w:val="en-US" w:eastAsia="zh-CN"/>
        </w:rPr>
        <w:t>三</w:t>
      </w:r>
      <w:r>
        <w:rPr>
          <w:rFonts w:hint="eastAsia" w:ascii="仿宋" w:hAnsi="仿宋" w:eastAsia="仿宋" w:cs="仿宋"/>
          <w:b/>
          <w:bCs/>
          <w:color w:val="auto"/>
          <w:sz w:val="24"/>
          <w:highlight w:val="none"/>
          <w:u w:val="single"/>
        </w:rPr>
        <w:t>份，其中正本一份，副本</w:t>
      </w:r>
      <w:r>
        <w:rPr>
          <w:rFonts w:hint="eastAsia" w:ascii="仿宋" w:hAnsi="仿宋" w:eastAsia="仿宋" w:cs="仿宋"/>
          <w:b/>
          <w:bCs/>
          <w:color w:val="auto"/>
          <w:sz w:val="24"/>
          <w:highlight w:val="none"/>
          <w:u w:val="single"/>
          <w:lang w:val="en-US" w:eastAsia="zh-CN"/>
        </w:rPr>
        <w:t>二</w:t>
      </w:r>
      <w:r>
        <w:rPr>
          <w:rFonts w:hint="eastAsia" w:ascii="仿宋" w:hAnsi="仿宋" w:eastAsia="仿宋" w:cs="仿宋"/>
          <w:b/>
          <w:bCs/>
          <w:color w:val="auto"/>
          <w:sz w:val="24"/>
          <w:highlight w:val="none"/>
          <w:u w:val="single"/>
        </w:rPr>
        <w:t>份</w:t>
      </w:r>
      <w:r>
        <w:rPr>
          <w:rFonts w:hint="eastAsia" w:ascii="仿宋" w:hAnsi="仿宋" w:eastAsia="仿宋" w:cs="仿宋"/>
          <w:b/>
          <w:bCs/>
          <w:color w:val="auto"/>
          <w:sz w:val="24"/>
          <w:highlight w:val="none"/>
          <w:u w:val="single"/>
          <w:lang w:eastAsia="zh-CN"/>
        </w:rPr>
        <w:t>。</w:t>
      </w:r>
      <w:r>
        <w:rPr>
          <w:rFonts w:hint="eastAsia" w:ascii="仿宋" w:hAnsi="仿宋" w:eastAsia="仿宋" w:cs="仿宋"/>
          <w:color w:val="auto"/>
          <w:sz w:val="24"/>
          <w:highlight w:val="none"/>
        </w:rPr>
        <w:t>每套</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须在封面清楚地标明“正本”“副本”，副本</w:t>
      </w:r>
      <w:r>
        <w:rPr>
          <w:rFonts w:hint="eastAsia" w:ascii="仿宋" w:hAnsi="仿宋" w:eastAsia="仿宋" w:cs="仿宋"/>
          <w:color w:val="auto"/>
          <w:sz w:val="24"/>
          <w:highlight w:val="none"/>
          <w:lang w:val="en-US" w:eastAsia="zh-CN"/>
        </w:rPr>
        <w:t>可</w:t>
      </w:r>
      <w:r>
        <w:rPr>
          <w:rFonts w:hint="eastAsia" w:ascii="仿宋" w:hAnsi="仿宋" w:eastAsia="仿宋" w:cs="仿宋"/>
          <w:color w:val="auto"/>
          <w:sz w:val="24"/>
          <w:highlight w:val="none"/>
        </w:rPr>
        <w:t>为正本的完整复印件，副本与正本不一致时以正本为准。</w:t>
      </w:r>
    </w:p>
    <w:p w14:paraId="52EF0E9E">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b/>
          <w:bCs/>
          <w:color w:val="auto"/>
          <w:sz w:val="24"/>
          <w:highlight w:val="none"/>
          <w:u w:val="single"/>
        </w:rPr>
        <w:t>在</w:t>
      </w:r>
      <w:r>
        <w:rPr>
          <w:rFonts w:hint="eastAsia" w:ascii="仿宋" w:hAnsi="仿宋" w:eastAsia="仿宋" w:cs="仿宋"/>
          <w:b/>
          <w:bCs/>
          <w:color w:val="auto"/>
          <w:sz w:val="24"/>
          <w:highlight w:val="none"/>
          <w:u w:val="single"/>
          <w:lang w:eastAsia="zh-CN"/>
        </w:rPr>
        <w:t>响应文件</w:t>
      </w:r>
      <w:r>
        <w:rPr>
          <w:rFonts w:hint="eastAsia" w:ascii="仿宋" w:hAnsi="仿宋" w:eastAsia="仿宋" w:cs="仿宋"/>
          <w:b/>
          <w:bCs/>
          <w:color w:val="auto"/>
          <w:sz w:val="24"/>
          <w:highlight w:val="none"/>
          <w:u w:val="single"/>
        </w:rPr>
        <w:t>正本中，</w:t>
      </w:r>
      <w:r>
        <w:rPr>
          <w:rFonts w:hint="eastAsia" w:ascii="仿宋" w:hAnsi="仿宋" w:eastAsia="仿宋" w:cs="仿宋"/>
          <w:b/>
          <w:bCs/>
          <w:color w:val="auto"/>
          <w:sz w:val="24"/>
          <w:highlight w:val="none"/>
          <w:u w:val="single"/>
          <w:lang w:eastAsia="zh-CN"/>
        </w:rPr>
        <w:t>采购文件</w:t>
      </w:r>
      <w:r>
        <w:rPr>
          <w:rFonts w:hint="eastAsia" w:ascii="仿宋" w:hAnsi="仿宋" w:eastAsia="仿宋" w:cs="仿宋"/>
          <w:b/>
          <w:bCs/>
          <w:color w:val="auto"/>
          <w:sz w:val="24"/>
          <w:highlight w:val="none"/>
          <w:u w:val="single"/>
        </w:rPr>
        <w:t>第七篇</w:t>
      </w:r>
      <w:r>
        <w:rPr>
          <w:rFonts w:hint="eastAsia" w:ascii="仿宋" w:hAnsi="仿宋" w:eastAsia="仿宋" w:cs="仿宋"/>
          <w:b/>
          <w:bCs/>
          <w:color w:val="auto"/>
          <w:sz w:val="24"/>
          <w:highlight w:val="none"/>
          <w:u w:val="single"/>
          <w:lang w:eastAsia="zh-CN"/>
        </w:rPr>
        <w:t>响应文件</w:t>
      </w:r>
      <w:r>
        <w:rPr>
          <w:rFonts w:hint="eastAsia" w:ascii="仿宋" w:hAnsi="仿宋" w:eastAsia="仿宋" w:cs="仿宋"/>
          <w:b/>
          <w:bCs/>
          <w:color w:val="auto"/>
          <w:sz w:val="24"/>
          <w:highlight w:val="none"/>
          <w:u w:val="single"/>
        </w:rPr>
        <w:t>格式中规定签字、盖章的地方必须按其规定签字、盖章。</w:t>
      </w:r>
    </w:p>
    <w:p w14:paraId="721D8D84">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3.若</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对</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的错处作必要修改，则应在修改处加盖</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公章或由</w:t>
      </w:r>
      <w:r>
        <w:rPr>
          <w:rFonts w:hint="eastAsia" w:ascii="仿宋" w:hAnsi="仿宋" w:eastAsia="仿宋" w:cs="仿宋"/>
          <w:color w:val="auto"/>
          <w:sz w:val="24"/>
          <w:szCs w:val="28"/>
          <w:highlight w:val="none"/>
        </w:rPr>
        <w:t>法定代表人</w:t>
      </w:r>
      <w:r>
        <w:rPr>
          <w:rFonts w:hint="eastAsia" w:ascii="仿宋" w:hAnsi="仿宋" w:eastAsia="仿宋" w:cs="仿宋"/>
          <w:color w:val="auto"/>
          <w:sz w:val="24"/>
          <w:highlight w:val="none"/>
        </w:rPr>
        <w:t>或</w:t>
      </w:r>
      <w:r>
        <w:rPr>
          <w:rFonts w:hint="eastAsia" w:ascii="仿宋" w:hAnsi="仿宋" w:eastAsia="仿宋" w:cs="仿宋"/>
          <w:color w:val="auto"/>
          <w:sz w:val="24"/>
          <w:szCs w:val="28"/>
          <w:highlight w:val="none"/>
        </w:rPr>
        <w:t>法定代表人</w:t>
      </w:r>
      <w:r>
        <w:rPr>
          <w:rFonts w:hint="eastAsia" w:ascii="仿宋" w:hAnsi="仿宋" w:eastAsia="仿宋" w:cs="仿宋"/>
          <w:color w:val="auto"/>
          <w:sz w:val="24"/>
          <w:highlight w:val="none"/>
        </w:rPr>
        <w:t>授权代表签字确认。</w:t>
      </w:r>
    </w:p>
    <w:p w14:paraId="7290BE74">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在投标截止时间前，可以对所递交的</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进行补充、修改或者撤回，并书面通知采购人或者采购代理机构。补充、修改的内容应当由采购人法定代表人（或其授权代表）或自然人（</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为自然人）签字确认或盖章并密封后，作为</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的组成部分。在评审过程中，应</w:t>
      </w:r>
      <w:r>
        <w:rPr>
          <w:rFonts w:hint="eastAsia" w:ascii="仿宋" w:hAnsi="仿宋" w:eastAsia="仿宋" w:cs="仿宋"/>
          <w:color w:val="auto"/>
          <w:sz w:val="24"/>
          <w:highlight w:val="none"/>
          <w:lang w:eastAsia="zh-CN"/>
        </w:rPr>
        <w:t>评审小组</w:t>
      </w:r>
      <w:r>
        <w:rPr>
          <w:rFonts w:hint="eastAsia" w:ascii="仿宋" w:hAnsi="仿宋" w:eastAsia="仿宋" w:cs="仿宋"/>
          <w:color w:val="auto"/>
          <w:sz w:val="24"/>
          <w:highlight w:val="none"/>
        </w:rPr>
        <w:t>的要求作出必要的澄清、说明或者补正的，按</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“第四篇二、评标方法（一）澄清有关问题”执行。</w:t>
      </w:r>
    </w:p>
    <w:p w14:paraId="608560A4">
      <w:pPr>
        <w:snapToGrid w:val="0"/>
        <w:spacing w:line="360" w:lineRule="auto"/>
        <w:ind w:firstLine="480" w:firstLineChars="200"/>
        <w:jc w:val="left"/>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5.电报、电话、传真形式的</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概不接受。</w:t>
      </w:r>
    </w:p>
    <w:p w14:paraId="7D121A23">
      <w:pPr>
        <w:snapToGrid w:val="0"/>
        <w:spacing w:line="360" w:lineRule="auto"/>
        <w:ind w:firstLine="480" w:firstLineChars="200"/>
        <w:jc w:val="left"/>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）投标报价</w:t>
      </w:r>
    </w:p>
    <w:p w14:paraId="4A1B76CA">
      <w:pPr>
        <w:snapToGrid w:val="0"/>
        <w:spacing w:line="360" w:lineRule="auto"/>
        <w:ind w:firstLine="480" w:firstLineChars="200"/>
        <w:jc w:val="left"/>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应严格按照“</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格式”中的格式填写报价。</w:t>
      </w:r>
    </w:p>
    <w:p w14:paraId="3353A34D">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的报价为一次性报价，即在投标有效期内投标价格固定不变。</w:t>
      </w:r>
    </w:p>
    <w:p w14:paraId="5B16A56A">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3.本项目只接受一个投标报价，有选择的或有条件的报价将不予接受。</w:t>
      </w:r>
    </w:p>
    <w:p w14:paraId="5E561880">
      <w:pPr>
        <w:snapToGrid w:val="0"/>
        <w:spacing w:line="360" w:lineRule="auto"/>
        <w:ind w:firstLine="480" w:firstLineChars="200"/>
        <w:jc w:val="left"/>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）修正错误</w:t>
      </w:r>
    </w:p>
    <w:p w14:paraId="2C878CC9">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若</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出现计算或表达上的错误，修正错误的原则如下：</w:t>
      </w:r>
    </w:p>
    <w:p w14:paraId="1568C6CB">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中</w:t>
      </w:r>
      <w:r>
        <w:rPr>
          <w:rFonts w:hint="eastAsia" w:ascii="仿宋" w:hAnsi="仿宋" w:eastAsia="仿宋" w:cs="仿宋"/>
          <w:color w:val="auto"/>
          <w:sz w:val="24"/>
          <w:highlight w:val="none"/>
          <w:lang w:eastAsia="zh-CN"/>
        </w:rPr>
        <w:t>报价函</w:t>
      </w:r>
      <w:r>
        <w:rPr>
          <w:rFonts w:hint="eastAsia" w:ascii="仿宋" w:hAnsi="仿宋" w:eastAsia="仿宋" w:cs="仿宋"/>
          <w:color w:val="auto"/>
          <w:sz w:val="24"/>
          <w:highlight w:val="none"/>
        </w:rPr>
        <w:t>内容与</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中</w:t>
      </w:r>
      <w:r>
        <w:rPr>
          <w:rFonts w:hint="eastAsia" w:ascii="仿宋" w:hAnsi="仿宋" w:eastAsia="仿宋" w:cs="仿宋"/>
          <w:color w:val="auto"/>
          <w:sz w:val="24"/>
          <w:highlight w:val="none"/>
          <w:lang w:eastAsia="zh-CN"/>
        </w:rPr>
        <w:t>报价明细表</w:t>
      </w:r>
      <w:r>
        <w:rPr>
          <w:rFonts w:hint="eastAsia" w:ascii="仿宋" w:hAnsi="仿宋" w:eastAsia="仿宋" w:cs="仿宋"/>
          <w:color w:val="auto"/>
          <w:sz w:val="24"/>
          <w:highlight w:val="none"/>
        </w:rPr>
        <w:t>不一致的，以</w:t>
      </w:r>
      <w:r>
        <w:rPr>
          <w:rFonts w:hint="eastAsia" w:ascii="仿宋" w:hAnsi="仿宋" w:eastAsia="仿宋" w:cs="仿宋"/>
          <w:color w:val="auto"/>
          <w:sz w:val="24"/>
          <w:highlight w:val="none"/>
          <w:lang w:eastAsia="zh-CN"/>
        </w:rPr>
        <w:t>报价函</w:t>
      </w:r>
      <w:r>
        <w:rPr>
          <w:rFonts w:hint="eastAsia" w:ascii="仿宋" w:hAnsi="仿宋" w:eastAsia="仿宋" w:cs="仿宋"/>
          <w:color w:val="auto"/>
          <w:sz w:val="24"/>
          <w:highlight w:val="none"/>
        </w:rPr>
        <w:t>为准；</w:t>
      </w:r>
    </w:p>
    <w:p w14:paraId="6E94DB10">
      <w:pPr>
        <w:snapToGrid w:val="0"/>
        <w:spacing w:line="360" w:lineRule="auto"/>
        <w:ind w:firstLine="480" w:firstLineChars="200"/>
        <w:jc w:val="left"/>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2.大写金额和小写金额不一致的，以大写金额为准；</w:t>
      </w:r>
    </w:p>
    <w:p w14:paraId="2BB959DE">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3.单价金额小数点或者百分比有明显错位的，以</w:t>
      </w:r>
      <w:r>
        <w:rPr>
          <w:rFonts w:hint="eastAsia" w:ascii="仿宋" w:hAnsi="仿宋" w:eastAsia="仿宋" w:cs="仿宋"/>
          <w:color w:val="auto"/>
          <w:sz w:val="24"/>
          <w:highlight w:val="none"/>
          <w:lang w:eastAsia="zh-CN"/>
        </w:rPr>
        <w:t>报价函</w:t>
      </w:r>
      <w:r>
        <w:rPr>
          <w:rFonts w:hint="eastAsia" w:ascii="仿宋" w:hAnsi="仿宋" w:eastAsia="仿宋" w:cs="仿宋"/>
          <w:color w:val="auto"/>
          <w:sz w:val="24"/>
          <w:highlight w:val="none"/>
        </w:rPr>
        <w:t>的总价为准，并修改单价；</w:t>
      </w:r>
    </w:p>
    <w:p w14:paraId="5A61095F">
      <w:pPr>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4.总价金额与按单价汇总金额不一致的，以单价金额计算结果为准。</w:t>
      </w:r>
    </w:p>
    <w:p w14:paraId="3167213D">
      <w:pPr>
        <w:snapToGrid w:val="0"/>
        <w:spacing w:line="360" w:lineRule="auto"/>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lang w:eastAsia="zh-CN"/>
        </w:rPr>
        <w:t>评审小组</w:t>
      </w:r>
      <w:r>
        <w:rPr>
          <w:rFonts w:hint="eastAsia" w:ascii="仿宋" w:hAnsi="仿宋" w:eastAsia="仿宋" w:cs="仿宋"/>
          <w:color w:val="auto"/>
          <w:sz w:val="24"/>
          <w:highlight w:val="none"/>
        </w:rPr>
        <w:t>按上述修正错误的原则及方法调整或修正</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投标报价，若同时出现两种以上不一致的，按照前款规定的顺序修正，</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同意并签字确认后，调整后的投标报价对</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具有约束作用。</w:t>
      </w:r>
      <w:r>
        <w:rPr>
          <w:rFonts w:hint="eastAsia" w:ascii="仿宋" w:hAnsi="仿宋" w:eastAsia="仿宋" w:cs="仿宋"/>
          <w:b/>
          <w:bCs/>
          <w:color w:val="auto"/>
          <w:sz w:val="24"/>
          <w:highlight w:val="none"/>
        </w:rPr>
        <w:t>如果</w:t>
      </w:r>
      <w:r>
        <w:rPr>
          <w:rFonts w:hint="eastAsia" w:ascii="仿宋" w:hAnsi="仿宋" w:eastAsia="仿宋" w:cs="仿宋"/>
          <w:b/>
          <w:bCs/>
          <w:color w:val="auto"/>
          <w:sz w:val="24"/>
          <w:highlight w:val="none"/>
          <w:lang w:eastAsia="zh-CN"/>
        </w:rPr>
        <w:t>供应商</w:t>
      </w:r>
      <w:r>
        <w:rPr>
          <w:rFonts w:hint="eastAsia" w:ascii="仿宋" w:hAnsi="仿宋" w:eastAsia="仿宋" w:cs="仿宋"/>
          <w:b/>
          <w:bCs/>
          <w:color w:val="auto"/>
          <w:sz w:val="24"/>
          <w:highlight w:val="none"/>
        </w:rPr>
        <w:t>不接受修正后的报价，则其投标将作为无效投标处理。</w:t>
      </w:r>
    </w:p>
    <w:p w14:paraId="0A6D1002">
      <w:pPr>
        <w:pStyle w:val="32"/>
        <w:numPr>
          <w:ilvl w:val="0"/>
          <w:numId w:val="18"/>
        </w:num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的递交</w:t>
      </w:r>
    </w:p>
    <w:p w14:paraId="362CF782">
      <w:pPr>
        <w:spacing w:line="40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1.供应商线上报名、报价时需上传</w:t>
      </w:r>
      <w:r>
        <w:rPr>
          <w:rFonts w:hint="eastAsia" w:ascii="仿宋" w:hAnsi="仿宋" w:eastAsia="仿宋" w:cs="仿宋"/>
          <w:color w:val="auto"/>
          <w:sz w:val="24"/>
          <w:szCs w:val="24"/>
          <w:highlight w:val="none"/>
          <w:lang w:val="en-US" w:eastAsia="zh-CN"/>
        </w:rPr>
        <w:t>签字</w:t>
      </w:r>
      <w:r>
        <w:rPr>
          <w:rFonts w:hint="eastAsia" w:ascii="仿宋" w:hAnsi="仿宋" w:eastAsia="仿宋" w:cs="仿宋"/>
          <w:color w:val="auto"/>
          <w:sz w:val="24"/>
          <w:szCs w:val="24"/>
          <w:highlight w:val="none"/>
        </w:rPr>
        <w:t>盖章后的PDF电子文档一份。</w:t>
      </w:r>
    </w:p>
    <w:p w14:paraId="21D57D09">
      <w:pPr>
        <w:spacing w:line="400" w:lineRule="exact"/>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2.采购人将以平台的线上资料作为评判依据，供应商纸质响应文件应与线上资料保持一致。</w:t>
      </w:r>
    </w:p>
    <w:p w14:paraId="2237516F">
      <w:pPr>
        <w:pStyle w:val="32"/>
        <w:numPr>
          <w:ilvl w:val="0"/>
          <w:numId w:val="0"/>
        </w:numPr>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3.供应商制作的响应文件电子文档，须按照要求制作，规定签字、盖章的地方必须按其规定签字、盖章，未按要求制作响应文件的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highlight w:val="none"/>
          <w:lang w:val="en-US" w:eastAsia="zh-CN"/>
        </w:rPr>
        <w:t>评标委员会将对供应商的响应文件作废标处理</w:t>
      </w:r>
      <w:r>
        <w:rPr>
          <w:rFonts w:hint="eastAsia" w:ascii="仿宋" w:hAnsi="仿宋" w:eastAsia="仿宋" w:cs="仿宋"/>
          <w:color w:val="auto"/>
          <w:sz w:val="24"/>
          <w:szCs w:val="24"/>
          <w:highlight w:val="none"/>
        </w:rPr>
        <w:t>。</w:t>
      </w:r>
    </w:p>
    <w:p w14:paraId="37E16FAF">
      <w:pPr>
        <w:pStyle w:val="32"/>
        <w:numPr>
          <w:ilvl w:val="0"/>
          <w:numId w:val="0"/>
        </w:numPr>
        <w:spacing w:line="360" w:lineRule="auto"/>
        <w:ind w:firstLine="240" w:firstLineChars="100"/>
        <w:outlineLvl w:val="1"/>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4.供应商须在评审时间前30分钟内提交纸质响应文件一正二副作为评审材料。（供应商线下提交的纸质响应文件应与行采家电子竞采上上传的PDF电子文档一致，如不一致，评标委员会将对供应商的响应文件作废标处理。）</w:t>
      </w:r>
    </w:p>
    <w:p w14:paraId="271E7F56">
      <w:pPr>
        <w:pStyle w:val="32"/>
        <w:spacing w:line="360" w:lineRule="auto"/>
        <w:ind w:firstLine="480" w:firstLineChars="200"/>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的密封与标记</w:t>
      </w:r>
    </w:p>
    <w:p w14:paraId="7EDCC6F7">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的正本、副本以及电子文档均应密封送达投标地点，应在封套上注明项目名称、</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名称。若正本、副本以及电子文档分别进行密封的，还应在封套上注明“正本”、“副本”、字样。</w:t>
      </w:r>
    </w:p>
    <w:p w14:paraId="10D81855">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.电报、电话、传真形式的</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概不接受。</w:t>
      </w:r>
    </w:p>
    <w:p w14:paraId="0CDB7CEC">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.如果未按上述规定进行密封和标记，采购代理机构对</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误投、丢失或提前拆封不负责任。</w:t>
      </w:r>
    </w:p>
    <w:p w14:paraId="24CF6201">
      <w:pPr>
        <w:pStyle w:val="5"/>
        <w:spacing w:line="360" w:lineRule="auto"/>
        <w:ind w:firstLine="482" w:firstLineChars="200"/>
        <w:outlineLvl w:val="0"/>
        <w:rPr>
          <w:rFonts w:hint="eastAsia" w:ascii="仿宋" w:hAnsi="仿宋" w:eastAsia="仿宋" w:cs="仿宋"/>
          <w:b/>
          <w:color w:val="auto"/>
          <w:sz w:val="24"/>
          <w:highlight w:val="none"/>
        </w:rPr>
      </w:pPr>
      <w:bookmarkStart w:id="266" w:name="_Toc26465"/>
      <w:bookmarkStart w:id="267" w:name="_Toc28040"/>
      <w:r>
        <w:rPr>
          <w:rFonts w:hint="eastAsia" w:ascii="仿宋" w:hAnsi="仿宋" w:eastAsia="仿宋" w:cs="仿宋"/>
          <w:b/>
          <w:color w:val="auto"/>
          <w:sz w:val="24"/>
          <w:highlight w:val="none"/>
        </w:rPr>
        <w:t>四、开标</w:t>
      </w:r>
      <w:bookmarkEnd w:id="266"/>
      <w:bookmarkEnd w:id="267"/>
    </w:p>
    <w:p w14:paraId="089FA7D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（一）开标应当在</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确定的时间和地点进行。</w:t>
      </w:r>
    </w:p>
    <w:p w14:paraId="276242D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（二）采购代理机构可视采购具体情况，延长投标截止时间和开标时间，并将变更时间书面通知所有</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收受人。</w:t>
      </w:r>
    </w:p>
    <w:p w14:paraId="52F51D06">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（四）开标时，由</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或者其推选的代表检查</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的密封情况；经确认无误后，由采购人或者采购代理机构工作人员当众拆封，宣布</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名称、投标价格和《开标一览表》规定的需要宣布的其他内容。</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不足三家的，不得开标。</w:t>
      </w:r>
    </w:p>
    <w:p w14:paraId="7BAFC2FC">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（五）未宣读的投标价格、价格折扣和</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允许提供的备选投标方案等实质性内容等，评标时不予承认。</w:t>
      </w:r>
    </w:p>
    <w:p w14:paraId="7AAF0AB3">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（六）开标过程应由采购人或采购代理机构指定专人负责记录，并存档备查。</w:t>
      </w:r>
    </w:p>
    <w:p w14:paraId="7BFD8783">
      <w:pPr>
        <w:pStyle w:val="32"/>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（七）</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未参加开标的，视同认可开标结果。</w:t>
      </w:r>
    </w:p>
    <w:p w14:paraId="2741B354">
      <w:pPr>
        <w:pStyle w:val="5"/>
        <w:spacing w:line="360" w:lineRule="auto"/>
        <w:ind w:firstLine="482" w:firstLineChars="200"/>
        <w:outlineLvl w:val="0"/>
        <w:rPr>
          <w:rFonts w:hint="eastAsia" w:ascii="仿宋" w:hAnsi="仿宋" w:eastAsia="仿宋" w:cs="仿宋"/>
          <w:b/>
          <w:color w:val="auto"/>
          <w:sz w:val="24"/>
          <w:highlight w:val="none"/>
        </w:rPr>
      </w:pPr>
      <w:bookmarkStart w:id="268" w:name="_Toc14884"/>
      <w:bookmarkStart w:id="269" w:name="_Toc17392"/>
      <w:r>
        <w:rPr>
          <w:rFonts w:hint="eastAsia" w:ascii="仿宋" w:hAnsi="仿宋" w:eastAsia="仿宋" w:cs="仿宋"/>
          <w:b/>
          <w:color w:val="auto"/>
          <w:sz w:val="24"/>
          <w:highlight w:val="none"/>
        </w:rPr>
        <w:t>五、评标</w:t>
      </w:r>
      <w:bookmarkEnd w:id="268"/>
      <w:bookmarkEnd w:id="269"/>
    </w:p>
    <w:p w14:paraId="46B6DC4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见“第四篇 资格审查和评标办法”内容。</w:t>
      </w:r>
    </w:p>
    <w:p w14:paraId="1624D281">
      <w:pPr>
        <w:pStyle w:val="5"/>
        <w:spacing w:line="360" w:lineRule="auto"/>
        <w:ind w:firstLine="482" w:firstLineChars="200"/>
        <w:outlineLvl w:val="0"/>
        <w:rPr>
          <w:rFonts w:hint="eastAsia" w:ascii="仿宋" w:hAnsi="仿宋" w:eastAsia="仿宋" w:cs="仿宋"/>
          <w:b/>
          <w:color w:val="auto"/>
          <w:sz w:val="24"/>
          <w:highlight w:val="none"/>
        </w:rPr>
      </w:pPr>
      <w:bookmarkStart w:id="270" w:name="_Toc28234"/>
      <w:bookmarkStart w:id="271" w:name="_Toc4411"/>
      <w:r>
        <w:rPr>
          <w:rFonts w:hint="eastAsia" w:ascii="仿宋" w:hAnsi="仿宋" w:eastAsia="仿宋" w:cs="仿宋"/>
          <w:b/>
          <w:color w:val="auto"/>
          <w:sz w:val="24"/>
          <w:highlight w:val="none"/>
        </w:rPr>
        <w:t>六、定标</w:t>
      </w:r>
      <w:bookmarkEnd w:id="270"/>
      <w:bookmarkEnd w:id="271"/>
    </w:p>
    <w:p w14:paraId="6354E8E1">
      <w:pPr>
        <w:snapToGrid w:val="0"/>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（一）定标原则</w:t>
      </w:r>
    </w:p>
    <w:p w14:paraId="0D4831D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采购人或其授权的</w:t>
      </w:r>
      <w:r>
        <w:rPr>
          <w:rFonts w:hint="eastAsia" w:ascii="仿宋" w:hAnsi="仿宋" w:eastAsia="仿宋" w:cs="仿宋"/>
          <w:color w:val="auto"/>
          <w:sz w:val="24"/>
          <w:highlight w:val="none"/>
          <w:lang w:eastAsia="zh-CN"/>
        </w:rPr>
        <w:t>评审小组</w:t>
      </w:r>
      <w:r>
        <w:rPr>
          <w:rFonts w:hint="eastAsia" w:ascii="仿宋" w:hAnsi="仿宋" w:eastAsia="仿宋" w:cs="仿宋"/>
          <w:color w:val="auto"/>
          <w:sz w:val="24"/>
          <w:highlight w:val="none"/>
        </w:rPr>
        <w:t>应按照评标报告中推荐的中标候选人排名顺序确定中标人。</w:t>
      </w:r>
    </w:p>
    <w:p w14:paraId="089141BC">
      <w:pPr>
        <w:pStyle w:val="32"/>
        <w:spacing w:line="360" w:lineRule="auto"/>
        <w:ind w:firstLine="480" w:firstLineChars="200"/>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（二）定标程序</w:t>
      </w:r>
    </w:p>
    <w:p w14:paraId="15F9DDE3">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1.采购代理机构应当在评标结束后2个工作日内将评标报告送采购人。</w:t>
      </w:r>
    </w:p>
    <w:p w14:paraId="5F49E343">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2.采购人应当自收到评标报告之日起5个工作日内按评标报告推荐的中标候选人顺序确定中标人。</w:t>
      </w:r>
    </w:p>
    <w:p w14:paraId="270A188E">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3.采购人或者采购代理机构应当自中标人确定之日起2个工作日内，在“行采家”平台（http://www.gec123.com）上公告中标结果。中标公告期限为1个工作日。</w:t>
      </w:r>
    </w:p>
    <w:p w14:paraId="7241C495">
      <w:pPr>
        <w:pStyle w:val="32"/>
        <w:spacing w:line="360" w:lineRule="auto"/>
        <w:ind w:firstLine="480" w:firstLineChars="200"/>
        <w:outlineLvl w:val="2"/>
        <w:rPr>
          <w:rFonts w:hint="eastAsia" w:ascii="仿宋" w:hAnsi="仿宋" w:eastAsia="仿宋" w:cs="仿宋"/>
          <w:color w:val="auto"/>
          <w:sz w:val="24"/>
          <w:highlight w:val="none"/>
        </w:rPr>
      </w:pPr>
      <w:r>
        <w:rPr>
          <w:rFonts w:hint="eastAsia" w:ascii="仿宋" w:hAnsi="仿宋" w:eastAsia="仿宋" w:cs="仿宋"/>
          <w:color w:val="auto"/>
          <w:sz w:val="24"/>
          <w:highlight w:val="none"/>
        </w:rPr>
        <w:t>4.中标人变更</w:t>
      </w:r>
    </w:p>
    <w:p w14:paraId="5F6B13BB">
      <w:pPr>
        <w:pStyle w:val="32"/>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中标人拒绝与采购人签订合同的，采购人可以按照评标报告推荐的中标候选人顺序，确定排名下一位的候选人为中标人，也可以重新开展招标活动。</w:t>
      </w:r>
    </w:p>
    <w:p w14:paraId="0F685F5A">
      <w:pPr>
        <w:pStyle w:val="5"/>
        <w:spacing w:line="360" w:lineRule="auto"/>
        <w:ind w:firstLine="482" w:firstLineChars="200"/>
        <w:outlineLvl w:val="0"/>
        <w:rPr>
          <w:rFonts w:hint="eastAsia" w:ascii="仿宋" w:hAnsi="仿宋" w:eastAsia="仿宋" w:cs="仿宋"/>
          <w:b/>
          <w:color w:val="auto"/>
          <w:sz w:val="24"/>
          <w:highlight w:val="none"/>
        </w:rPr>
      </w:pPr>
      <w:bookmarkStart w:id="272" w:name="_Toc31933"/>
      <w:bookmarkStart w:id="273" w:name="_Toc4993"/>
      <w:r>
        <w:rPr>
          <w:rFonts w:hint="eastAsia" w:ascii="仿宋" w:hAnsi="仿宋" w:eastAsia="仿宋" w:cs="仿宋"/>
          <w:b/>
          <w:color w:val="auto"/>
          <w:sz w:val="24"/>
          <w:highlight w:val="none"/>
        </w:rPr>
        <w:t>七、中标通知书</w:t>
      </w:r>
      <w:bookmarkEnd w:id="272"/>
      <w:bookmarkEnd w:id="273"/>
    </w:p>
    <w:p w14:paraId="3F80D122">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（一）采购人依法确定中标人后，采购代理机构以书面形式发出中标通知书。</w:t>
      </w:r>
    </w:p>
    <w:p w14:paraId="2F74E20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（二）中标通知书发出后，采购人改变中标结果，或者中标人放弃中标，应当承担相应的法律责任。</w:t>
      </w:r>
    </w:p>
    <w:p w14:paraId="3FE85695">
      <w:pPr>
        <w:pStyle w:val="5"/>
        <w:spacing w:line="360" w:lineRule="auto"/>
        <w:ind w:firstLine="482" w:firstLineChars="200"/>
        <w:outlineLvl w:val="0"/>
        <w:rPr>
          <w:rFonts w:hint="eastAsia" w:ascii="仿宋" w:hAnsi="仿宋" w:eastAsia="仿宋" w:cs="仿宋"/>
          <w:b/>
          <w:color w:val="auto"/>
          <w:sz w:val="24"/>
          <w:highlight w:val="none"/>
        </w:rPr>
      </w:pPr>
      <w:bookmarkStart w:id="274" w:name="_Toc12771"/>
      <w:bookmarkStart w:id="275" w:name="_Toc35"/>
      <w:r>
        <w:rPr>
          <w:rFonts w:hint="eastAsia" w:ascii="仿宋" w:hAnsi="仿宋" w:eastAsia="仿宋" w:cs="仿宋"/>
          <w:b/>
          <w:color w:val="auto"/>
          <w:sz w:val="24"/>
          <w:highlight w:val="none"/>
          <w:lang w:val="en-US" w:eastAsia="zh-CN"/>
        </w:rPr>
        <w:t>八</w:t>
      </w:r>
      <w:r>
        <w:rPr>
          <w:rFonts w:hint="eastAsia" w:ascii="仿宋" w:hAnsi="仿宋" w:eastAsia="仿宋" w:cs="仿宋"/>
          <w:b/>
          <w:color w:val="auto"/>
          <w:sz w:val="24"/>
          <w:highlight w:val="none"/>
        </w:rPr>
        <w:t>、采购代理服务费</w:t>
      </w:r>
      <w:bookmarkEnd w:id="274"/>
      <w:bookmarkEnd w:id="275"/>
    </w:p>
    <w:p w14:paraId="4BB466BA">
      <w:pPr>
        <w:snapToGrid w:val="0"/>
        <w:spacing w:line="360" w:lineRule="auto"/>
        <w:ind w:firstLine="480" w:firstLineChars="200"/>
        <w:rPr>
          <w:rFonts w:hint="eastAsia" w:ascii="仿宋" w:hAnsi="仿宋" w:eastAsia="仿宋" w:cs="仿宋"/>
          <w:color w:val="auto"/>
          <w:sz w:val="24"/>
          <w:highlight w:val="none"/>
          <w:lang w:eastAsia="zh-CN"/>
        </w:rPr>
      </w:pPr>
      <w:bookmarkStart w:id="276" w:name="_Toc22786"/>
      <w:r>
        <w:rPr>
          <w:rFonts w:hint="eastAsia" w:ascii="仿宋" w:hAnsi="仿宋" w:eastAsia="仿宋" w:cs="仿宋"/>
          <w:color w:val="auto"/>
          <w:sz w:val="24"/>
          <w:highlight w:val="none"/>
        </w:rPr>
        <w:t>本项目采购代理服务费为</w:t>
      </w:r>
      <w:r>
        <w:rPr>
          <w:rFonts w:hint="eastAsia" w:ascii="仿宋" w:hAnsi="仿宋" w:eastAsia="仿宋" w:cs="仿宋"/>
          <w:color w:val="auto"/>
          <w:sz w:val="24"/>
          <w:highlight w:val="none"/>
          <w:lang w:val="en-US" w:eastAsia="zh-CN"/>
        </w:rPr>
        <w:t xml:space="preserve"> </w:t>
      </w:r>
      <w:r>
        <w:rPr>
          <w:rFonts w:hint="eastAsia" w:ascii="仿宋" w:hAnsi="仿宋" w:eastAsia="仿宋" w:cs="仿宋"/>
          <w:b w:val="0"/>
          <w:bCs w:val="0"/>
          <w:i w:val="0"/>
          <w:iCs w:val="0"/>
          <w:color w:val="auto"/>
          <w:kern w:val="0"/>
          <w:sz w:val="24"/>
          <w:szCs w:val="24"/>
          <w:highlight w:val="none"/>
          <w:u w:val="none"/>
          <w:lang w:val="en-US" w:eastAsia="zh-CN" w:bidi="ar"/>
        </w:rPr>
        <w:t>7000.00</w:t>
      </w:r>
      <w:r>
        <w:rPr>
          <w:rFonts w:hint="eastAsia" w:ascii="仿宋" w:hAnsi="仿宋" w:eastAsia="仿宋" w:cs="仿宋"/>
          <w:color w:val="auto"/>
          <w:sz w:val="24"/>
          <w:highlight w:val="none"/>
          <w:lang w:val="en-US" w:eastAsia="zh-CN"/>
        </w:rPr>
        <w:t>元</w:t>
      </w:r>
      <w:r>
        <w:rPr>
          <w:rFonts w:hint="eastAsia" w:ascii="仿宋" w:hAnsi="仿宋" w:eastAsia="仿宋" w:cs="仿宋"/>
          <w:color w:val="auto"/>
          <w:sz w:val="24"/>
          <w:highlight w:val="none"/>
        </w:rPr>
        <w:t>，由成交供应商支付，即成交供应商在领取成交通知书之前以现金或转账形式一次性支付给代理机构</w:t>
      </w:r>
      <w:r>
        <w:rPr>
          <w:rFonts w:hint="eastAsia" w:ascii="仿宋" w:hAnsi="仿宋" w:eastAsia="仿宋" w:cs="仿宋"/>
          <w:color w:val="auto"/>
          <w:sz w:val="24"/>
          <w:highlight w:val="none"/>
          <w:lang w:eastAsia="zh-CN"/>
        </w:rPr>
        <w:t>。</w:t>
      </w:r>
    </w:p>
    <w:p w14:paraId="1A294E63">
      <w:pPr>
        <w:pStyle w:val="5"/>
        <w:spacing w:line="360" w:lineRule="auto"/>
        <w:ind w:firstLine="482" w:firstLineChars="200"/>
        <w:outlineLvl w:val="0"/>
        <w:rPr>
          <w:rFonts w:hint="eastAsia" w:ascii="仿宋" w:hAnsi="仿宋" w:eastAsia="仿宋" w:cs="仿宋"/>
          <w:b/>
          <w:color w:val="auto"/>
          <w:sz w:val="24"/>
          <w:highlight w:val="none"/>
        </w:rPr>
      </w:pPr>
      <w:bookmarkStart w:id="277" w:name="_Toc7007"/>
      <w:r>
        <w:rPr>
          <w:rFonts w:hint="eastAsia" w:ascii="仿宋" w:hAnsi="仿宋" w:eastAsia="仿宋" w:cs="仿宋"/>
          <w:b/>
          <w:color w:val="auto"/>
          <w:sz w:val="24"/>
          <w:highlight w:val="none"/>
          <w:lang w:val="en-US" w:eastAsia="zh-CN"/>
        </w:rPr>
        <w:t>九</w:t>
      </w:r>
      <w:r>
        <w:rPr>
          <w:rFonts w:hint="eastAsia" w:ascii="仿宋" w:hAnsi="仿宋" w:eastAsia="仿宋" w:cs="仿宋"/>
          <w:b/>
          <w:color w:val="auto"/>
          <w:sz w:val="24"/>
          <w:highlight w:val="none"/>
        </w:rPr>
        <w:t>、签订合同</w:t>
      </w:r>
      <w:bookmarkEnd w:id="276"/>
      <w:bookmarkEnd w:id="277"/>
    </w:p>
    <w:p w14:paraId="30DBFE7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（一）采购人应当自中标通知书发出之日起</w:t>
      </w: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十日内，按照</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和中标人</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的约定，与中标人签订书面合同。所签订的合同不得对</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及其附件和中标人</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作实质性修改。其他未尽事宜由采购人和中标人在采购合同中详细约定。</w:t>
      </w:r>
    </w:p>
    <w:p w14:paraId="661777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及其附件、中标人的</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及澄清文件等，均为签订采购合同的依据。</w:t>
      </w:r>
    </w:p>
    <w:p w14:paraId="3FE3669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（三）合同生效条款由供需双方约定，法律、行政法规规定应当办理批准、登记等手续后生效的合同，依照其规定。</w:t>
      </w:r>
    </w:p>
    <w:p w14:paraId="3514B7D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（四）采购人要求中标人提供履约保证金的，应当在</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中予以约定。中标人履约完毕后，采购人应按</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及合同的约定无息退还其履约保证金。</w:t>
      </w:r>
    </w:p>
    <w:p w14:paraId="53807621">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lang w:val="en-US" w:eastAsia="zh-CN"/>
        </w:rPr>
        <w:t>十、</w:t>
      </w:r>
      <w:r>
        <w:rPr>
          <w:rFonts w:hint="eastAsia" w:ascii="仿宋" w:hAnsi="仿宋" w:eastAsia="仿宋" w:cs="仿宋"/>
          <w:color w:val="auto"/>
          <w:sz w:val="24"/>
          <w:szCs w:val="22"/>
          <w:highlight w:val="none"/>
        </w:rPr>
        <w:t>履约保证金</w:t>
      </w:r>
    </w:p>
    <w:p w14:paraId="03C786E4">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1、履约担保的形式：银行转账或电汇或者金融机构、担保机构出具的保函；采用保函形式的，保函必须为不可撤销、不可转让且见索即付的独立保函</w:t>
      </w:r>
      <w:r>
        <w:rPr>
          <w:rFonts w:hint="eastAsia" w:ascii="仿宋" w:hAnsi="仿宋" w:eastAsia="仿宋" w:cs="仿宋"/>
          <w:color w:val="auto"/>
          <w:sz w:val="24"/>
          <w:szCs w:val="22"/>
          <w:highlight w:val="none"/>
          <w:lang w:eastAsia="zh-CN"/>
        </w:rPr>
        <w:t>；供应商采用银行转账方式递交</w:t>
      </w:r>
      <w:r>
        <w:rPr>
          <w:rFonts w:hint="eastAsia" w:ascii="仿宋" w:hAnsi="仿宋" w:eastAsia="仿宋" w:cs="仿宋"/>
          <w:color w:val="auto"/>
          <w:sz w:val="24"/>
          <w:szCs w:val="22"/>
          <w:highlight w:val="none"/>
          <w:lang w:val="en-US" w:eastAsia="zh-CN"/>
        </w:rPr>
        <w:t>履约</w:t>
      </w:r>
      <w:r>
        <w:rPr>
          <w:rFonts w:hint="eastAsia" w:ascii="仿宋" w:hAnsi="仿宋" w:eastAsia="仿宋" w:cs="仿宋"/>
          <w:color w:val="auto"/>
          <w:sz w:val="24"/>
          <w:szCs w:val="22"/>
          <w:highlight w:val="none"/>
          <w:lang w:eastAsia="zh-CN"/>
        </w:rPr>
        <w:t>保证金须从其基本账户将保证金汇至采购人指定账户，并注明“（项目名称）</w:t>
      </w:r>
      <w:r>
        <w:rPr>
          <w:rFonts w:hint="eastAsia" w:ascii="仿宋" w:hAnsi="仿宋" w:eastAsia="仿宋" w:cs="仿宋"/>
          <w:color w:val="auto"/>
          <w:sz w:val="24"/>
          <w:szCs w:val="22"/>
          <w:highlight w:val="none"/>
          <w:lang w:val="en-US" w:eastAsia="zh-CN"/>
        </w:rPr>
        <w:t>履约</w:t>
      </w:r>
      <w:r>
        <w:rPr>
          <w:rFonts w:hint="eastAsia" w:ascii="仿宋" w:hAnsi="仿宋" w:eastAsia="仿宋" w:cs="仿宋"/>
          <w:color w:val="auto"/>
          <w:sz w:val="24"/>
          <w:szCs w:val="22"/>
          <w:highlight w:val="none"/>
          <w:lang w:eastAsia="zh-CN"/>
        </w:rPr>
        <w:t>保证金”字样（项目名称可简写）</w:t>
      </w:r>
      <w:r>
        <w:rPr>
          <w:rFonts w:hint="eastAsia" w:ascii="仿宋" w:hAnsi="仿宋" w:eastAsia="仿宋" w:cs="仿宋"/>
          <w:color w:val="auto"/>
          <w:sz w:val="24"/>
          <w:szCs w:val="22"/>
          <w:highlight w:val="none"/>
        </w:rPr>
        <w:t>。</w:t>
      </w:r>
    </w:p>
    <w:p w14:paraId="531F6295">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2、履约担保的金额：成交金额的10</w:t>
      </w:r>
      <w:r>
        <w:rPr>
          <w:rFonts w:hint="eastAsia" w:ascii="仿宋" w:hAnsi="仿宋" w:eastAsia="仿宋" w:cs="仿宋"/>
          <w:color w:val="auto"/>
          <w:sz w:val="24"/>
          <w:szCs w:val="22"/>
          <w:highlight w:val="none"/>
          <w:lang w:val="en-US" w:eastAsia="zh-CN"/>
        </w:rPr>
        <w:t>%</w:t>
      </w:r>
      <w:r>
        <w:rPr>
          <w:rFonts w:hint="eastAsia" w:ascii="仿宋" w:hAnsi="仿宋" w:eastAsia="仿宋" w:cs="仿宋"/>
          <w:color w:val="auto"/>
          <w:sz w:val="24"/>
          <w:szCs w:val="22"/>
          <w:highlight w:val="none"/>
        </w:rPr>
        <w:t>。①红名单优惠：红名单中的中标人</w:t>
      </w:r>
      <w:r>
        <w:rPr>
          <w:rFonts w:hint="eastAsia" w:ascii="仿宋" w:hAnsi="仿宋" w:eastAsia="仿宋" w:cs="仿宋"/>
          <w:color w:val="auto"/>
          <w:sz w:val="24"/>
          <w:szCs w:val="22"/>
          <w:highlight w:val="none"/>
          <w:lang w:val="en-US" w:eastAsia="zh-CN"/>
        </w:rPr>
        <w:t>履约</w:t>
      </w:r>
      <w:r>
        <w:rPr>
          <w:rFonts w:hint="eastAsia" w:ascii="仿宋" w:hAnsi="仿宋" w:eastAsia="仿宋" w:cs="仿宋"/>
          <w:color w:val="auto"/>
          <w:sz w:val="24"/>
          <w:szCs w:val="22"/>
          <w:highlight w:val="none"/>
        </w:rPr>
        <w:t xml:space="preserve">担保金额为应提交金额的 </w:t>
      </w:r>
      <w:r>
        <w:rPr>
          <w:rFonts w:hint="eastAsia" w:ascii="仿宋" w:hAnsi="仿宋" w:eastAsia="仿宋" w:cs="仿宋"/>
          <w:color w:val="auto"/>
          <w:sz w:val="24"/>
          <w:szCs w:val="22"/>
          <w:highlight w:val="none"/>
          <w:lang w:val="en-US" w:eastAsia="zh-CN"/>
        </w:rPr>
        <w:t>50%</w:t>
      </w:r>
    </w:p>
    <w:p w14:paraId="13AEBA1A">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3、履约担保的提交时间：成交人应在收到成交通知书后</w:t>
      </w:r>
      <w:r>
        <w:rPr>
          <w:rFonts w:hint="eastAsia" w:ascii="仿宋" w:hAnsi="仿宋" w:eastAsia="仿宋" w:cs="仿宋"/>
          <w:color w:val="auto"/>
          <w:sz w:val="24"/>
          <w:szCs w:val="22"/>
          <w:highlight w:val="none"/>
          <w:lang w:val="en-US" w:eastAsia="zh-CN"/>
        </w:rPr>
        <w:t>15</w:t>
      </w:r>
      <w:r>
        <w:rPr>
          <w:rFonts w:hint="eastAsia" w:ascii="仿宋" w:hAnsi="仿宋" w:eastAsia="仿宋" w:cs="仿宋"/>
          <w:color w:val="auto"/>
          <w:sz w:val="24"/>
          <w:szCs w:val="22"/>
          <w:highlight w:val="none"/>
        </w:rPr>
        <w:t xml:space="preserve"> 日内，施工合同签订前提交履约担保，若未按时提交，则视为成交人放弃中标，</w:t>
      </w:r>
      <w:r>
        <w:rPr>
          <w:rFonts w:hint="eastAsia" w:ascii="仿宋" w:hAnsi="仿宋" w:eastAsia="仿宋" w:cs="仿宋"/>
          <w:color w:val="auto"/>
          <w:sz w:val="24"/>
          <w:szCs w:val="22"/>
          <w:highlight w:val="none"/>
          <w:lang w:eastAsia="zh-CN"/>
        </w:rPr>
        <w:t>由此给采购人带来的损失应当由</w:t>
      </w:r>
      <w:r>
        <w:rPr>
          <w:rFonts w:hint="eastAsia" w:ascii="仿宋" w:hAnsi="仿宋" w:eastAsia="仿宋" w:cs="仿宋"/>
          <w:color w:val="auto"/>
          <w:sz w:val="24"/>
          <w:szCs w:val="22"/>
          <w:highlight w:val="none"/>
        </w:rPr>
        <w:t>成交人予以赔偿。</w:t>
      </w:r>
    </w:p>
    <w:p w14:paraId="74920799">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4、履约担保的期限：自提交履约担保之日起至工程竣工验收合格之日止。</w:t>
      </w:r>
    </w:p>
    <w:p w14:paraId="4165CFFB">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5、履约担保的退还时间：工程竣工验收合格后14天内退还（不计息）。</w:t>
      </w:r>
    </w:p>
    <w:p w14:paraId="2358D440">
      <w:pPr>
        <w:spacing w:line="360" w:lineRule="auto"/>
        <w:ind w:firstLine="360" w:firstLineChars="150"/>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lang w:val="en-US" w:eastAsia="zh-CN"/>
        </w:rPr>
        <w:t>十一、低价风险金</w:t>
      </w:r>
    </w:p>
    <w:p w14:paraId="30C3E537">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承包人提供低价风险担保的情形：采用经评审的最低投标价法的项目</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投标报价低于最高限价85%时。</w:t>
      </w:r>
    </w:p>
    <w:p w14:paraId="1E17DEBD">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承包人提供低价风险担保的形式、金额及期限：</w:t>
      </w:r>
    </w:p>
    <w:p w14:paraId="42A41A5B">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（1）低价风险担保的形式：现金或</w:t>
      </w:r>
      <w:r>
        <w:rPr>
          <w:rFonts w:hint="eastAsia" w:ascii="仿宋" w:hAnsi="仿宋" w:eastAsia="仿宋" w:cs="仿宋"/>
          <w:color w:val="auto"/>
          <w:sz w:val="24"/>
          <w:szCs w:val="22"/>
          <w:highlight w:val="none"/>
          <w:lang w:eastAsia="zh-CN"/>
        </w:rPr>
        <w:t>银行保函或</w:t>
      </w:r>
      <w:r>
        <w:rPr>
          <w:rFonts w:hint="eastAsia" w:ascii="仿宋" w:hAnsi="仿宋" w:eastAsia="仿宋" w:cs="仿宋"/>
          <w:color w:val="auto"/>
          <w:sz w:val="24"/>
          <w:szCs w:val="22"/>
          <w:highlight w:val="none"/>
        </w:rPr>
        <w:t>现金+银行保函的组合；采用</w:t>
      </w:r>
      <w:r>
        <w:rPr>
          <w:rFonts w:hint="eastAsia" w:ascii="仿宋" w:hAnsi="仿宋" w:eastAsia="仿宋" w:cs="仿宋"/>
          <w:color w:val="auto"/>
          <w:sz w:val="24"/>
          <w:szCs w:val="22"/>
          <w:highlight w:val="none"/>
          <w:lang w:val="en-US" w:eastAsia="zh-CN"/>
        </w:rPr>
        <w:t>现金+</w:t>
      </w:r>
      <w:r>
        <w:rPr>
          <w:rFonts w:hint="eastAsia" w:ascii="仿宋" w:hAnsi="仿宋" w:eastAsia="仿宋" w:cs="仿宋"/>
          <w:color w:val="auto"/>
          <w:sz w:val="24"/>
          <w:szCs w:val="22"/>
          <w:highlight w:val="none"/>
        </w:rPr>
        <w:t>银行保函形式的，保函必须为不可撤销、不可转让且见索即付的独立保函。</w:t>
      </w:r>
    </w:p>
    <w:p w14:paraId="57670789">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（2）低价风险担保的金额：（最高限价×85%-中标价）×□1□2</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3，且最高不超过最高限价的85%</w:t>
      </w:r>
      <w:r>
        <w:rPr>
          <w:rFonts w:hint="eastAsia" w:ascii="仿宋" w:hAnsi="仿宋" w:eastAsia="仿宋" w:cs="仿宋"/>
          <w:color w:val="auto"/>
          <w:sz w:val="24"/>
          <w:szCs w:val="22"/>
          <w:highlight w:val="none"/>
          <w:lang w:eastAsia="zh-CN"/>
        </w:rPr>
        <w:t>。</w:t>
      </w:r>
      <w:r>
        <w:rPr>
          <w:rFonts w:hint="eastAsia" w:ascii="仿宋" w:hAnsi="仿宋" w:eastAsia="仿宋" w:cs="仿宋"/>
          <w:color w:val="auto"/>
          <w:sz w:val="24"/>
          <w:szCs w:val="22"/>
          <w:highlight w:val="none"/>
        </w:rPr>
        <w:t xml:space="preserve">①红名单优惠：红名单中的中标人低价风险担保金额为应提交金额的 </w:t>
      </w:r>
      <w:r>
        <w:rPr>
          <w:rFonts w:hint="eastAsia" w:ascii="仿宋" w:hAnsi="仿宋" w:eastAsia="仿宋" w:cs="仿宋"/>
          <w:color w:val="auto"/>
          <w:sz w:val="24"/>
          <w:szCs w:val="22"/>
          <w:highlight w:val="none"/>
          <w:lang w:val="en-US" w:eastAsia="zh-CN"/>
        </w:rPr>
        <w:t>50%</w:t>
      </w:r>
      <w:r>
        <w:rPr>
          <w:rFonts w:hint="eastAsia" w:ascii="仿宋" w:hAnsi="仿宋" w:eastAsia="仿宋" w:cs="仿宋"/>
          <w:color w:val="auto"/>
          <w:sz w:val="24"/>
          <w:szCs w:val="22"/>
          <w:highlight w:val="none"/>
        </w:rPr>
        <w:t xml:space="preserve"> ；</w:t>
      </w:r>
    </w:p>
    <w:p w14:paraId="1C8E60C5">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 xml:space="preserve">（3）低价风险担保的提交时间：从招标人中标通知书送达拟中标人之日起 </w:t>
      </w:r>
      <w:r>
        <w:rPr>
          <w:rFonts w:hint="eastAsia" w:ascii="仿宋" w:hAnsi="仿宋" w:eastAsia="仿宋" w:cs="仿宋"/>
          <w:color w:val="auto"/>
          <w:sz w:val="24"/>
          <w:szCs w:val="22"/>
          <w:highlight w:val="none"/>
          <w:lang w:val="en-US" w:eastAsia="zh-CN"/>
        </w:rPr>
        <w:t>15个</w:t>
      </w:r>
      <w:r>
        <w:rPr>
          <w:rFonts w:hint="eastAsia" w:ascii="仿宋" w:hAnsi="仿宋" w:eastAsia="仿宋" w:cs="仿宋"/>
          <w:color w:val="auto"/>
          <w:sz w:val="24"/>
          <w:szCs w:val="22"/>
          <w:highlight w:val="none"/>
        </w:rPr>
        <w:t>工作日内；</w:t>
      </w:r>
    </w:p>
    <w:p w14:paraId="22A510B5">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（4）低价风险担保的期限：自低价风险担保生效之日起至竣工验收合格之日止。</w:t>
      </w:r>
    </w:p>
    <w:p w14:paraId="1005EF25">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 xml:space="preserve">低价风险担保的退还时间：采用现金担保的，工程竣工验收合格后14天内退还，采用保函的，工程竣工验收合格后14天内退还。采用分段退还的，低价风险担保的退还时间及方式为：    </w:t>
      </w:r>
      <w:r>
        <w:rPr>
          <w:rFonts w:hint="eastAsia" w:ascii="仿宋" w:hAnsi="仿宋" w:eastAsia="仿宋" w:cs="仿宋"/>
          <w:color w:val="auto"/>
          <w:sz w:val="24"/>
          <w:szCs w:val="22"/>
          <w:highlight w:val="none"/>
          <w:lang w:val="en-US" w:eastAsia="zh-CN"/>
        </w:rPr>
        <w:t>/</w:t>
      </w:r>
      <w:r>
        <w:rPr>
          <w:rFonts w:hint="eastAsia" w:ascii="仿宋" w:hAnsi="仿宋" w:eastAsia="仿宋" w:cs="仿宋"/>
          <w:color w:val="auto"/>
          <w:sz w:val="24"/>
          <w:szCs w:val="22"/>
          <w:highlight w:val="none"/>
        </w:rPr>
        <w:t xml:space="preserve">    。</w:t>
      </w:r>
    </w:p>
    <w:p w14:paraId="64C93801">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（5）低价风险担保的扣减：</w:t>
      </w:r>
    </w:p>
    <w:p w14:paraId="145C99C4">
      <w:pPr>
        <w:spacing w:line="360" w:lineRule="auto"/>
        <w:ind w:firstLine="360" w:firstLineChars="150"/>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0FCE3F00">
      <w:pPr>
        <w:spacing w:line="360" w:lineRule="auto"/>
        <w:ind w:firstLine="360" w:firstLineChars="150"/>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rPr>
        <w:t>②承包人在工程施工期间或竣工验收时，工程质量不符合国家现行有关施工质量验收规范要求的，按低价风险担保金额的50～100%扣减，直至解除合同</w:t>
      </w:r>
      <w:r>
        <w:rPr>
          <w:rFonts w:hint="eastAsia" w:ascii="仿宋" w:hAnsi="仿宋" w:eastAsia="仿宋" w:cs="仿宋"/>
          <w:color w:val="auto"/>
          <w:sz w:val="24"/>
          <w:szCs w:val="22"/>
          <w:highlight w:val="none"/>
          <w:lang w:eastAsia="zh-CN"/>
        </w:rPr>
        <w:t>。</w:t>
      </w:r>
    </w:p>
    <w:p w14:paraId="4E1288EB">
      <w:pPr>
        <w:spacing w:line="360" w:lineRule="auto"/>
        <w:ind w:firstLine="360" w:firstLineChars="150"/>
        <w:rPr>
          <w:rFonts w:hint="eastAsia" w:ascii="仿宋" w:hAnsi="仿宋" w:eastAsia="仿宋" w:cs="仿宋"/>
          <w:color w:val="auto"/>
          <w:sz w:val="24"/>
          <w:szCs w:val="24"/>
          <w:highlight w:val="none"/>
          <w:lang w:eastAsia="zh-CN"/>
        </w:rPr>
      </w:pPr>
    </w:p>
    <w:p w14:paraId="4551326E">
      <w:pPr>
        <w:spacing w:line="360" w:lineRule="auto"/>
        <w:rPr>
          <w:rFonts w:hint="eastAsia" w:ascii="仿宋" w:hAnsi="仿宋" w:eastAsia="仿宋" w:cs="仿宋"/>
          <w:color w:val="auto"/>
          <w:highlight w:val="none"/>
          <w:lang w:eastAsia="zh-CN"/>
        </w:rPr>
      </w:pPr>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14:paraId="25F7C4D2">
      <w:pPr>
        <w:pStyle w:val="5"/>
        <w:numPr>
          <w:ilvl w:val="0"/>
          <w:numId w:val="19"/>
        </w:numPr>
        <w:spacing w:line="360" w:lineRule="auto"/>
        <w:jc w:val="center"/>
        <w:rPr>
          <w:rStyle w:val="71"/>
          <w:rFonts w:hint="eastAsia" w:ascii="仿宋" w:hAnsi="仿宋" w:eastAsia="仿宋" w:cs="仿宋"/>
          <w:color w:val="auto"/>
          <w:highlight w:val="none"/>
          <w:lang w:val="en-US" w:eastAsia="zh-CN"/>
        </w:rPr>
      </w:pPr>
      <w:r>
        <w:rPr>
          <w:rFonts w:hint="eastAsia" w:ascii="仿宋" w:hAnsi="仿宋" w:eastAsia="仿宋" w:cs="仿宋"/>
          <w:color w:val="auto"/>
          <w:sz w:val="28"/>
          <w:szCs w:val="28"/>
          <w:highlight w:val="none"/>
        </w:rPr>
        <w:br w:type="page"/>
      </w:r>
      <w:bookmarkStart w:id="278" w:name="_Toc7168"/>
      <w:bookmarkStart w:id="279" w:name="_Toc22709"/>
      <w:bookmarkStart w:id="280" w:name="_Toc532"/>
      <w:bookmarkStart w:id="281" w:name="_Toc10851"/>
      <w:bookmarkStart w:id="282" w:name="_Toc3208"/>
      <w:bookmarkStart w:id="283" w:name="_Toc24031"/>
      <w:bookmarkStart w:id="284" w:name="_Toc11006"/>
      <w:bookmarkStart w:id="285" w:name="_Toc75793538"/>
      <w:bookmarkStart w:id="286" w:name="_Toc4623"/>
      <w:bookmarkStart w:id="287" w:name="_Toc1900"/>
      <w:bookmarkStart w:id="288" w:name="_Toc285722713"/>
      <w:bookmarkStart w:id="289" w:name="_Toc6684"/>
      <w:bookmarkStart w:id="290" w:name="_Toc6201"/>
      <w:bookmarkStart w:id="291" w:name="_Toc10958"/>
      <w:bookmarkStart w:id="292" w:name="_Toc13103"/>
      <w:bookmarkStart w:id="293" w:name="_Toc277084871"/>
      <w:bookmarkStart w:id="294" w:name="_Toc14172"/>
      <w:bookmarkStart w:id="295" w:name="_Toc11820"/>
      <w:bookmarkStart w:id="296" w:name="_Toc14438"/>
      <w:r>
        <w:rPr>
          <w:rStyle w:val="71"/>
          <w:rFonts w:hint="eastAsia" w:ascii="仿宋" w:hAnsi="仿宋" w:eastAsia="仿宋" w:cs="仿宋"/>
          <w:color w:val="auto"/>
          <w:highlight w:val="none"/>
          <w:lang w:val="en-US" w:eastAsia="zh-CN"/>
        </w:rPr>
        <w:t>合同条款及格式</w:t>
      </w:r>
      <w:bookmarkEnd w:id="278"/>
      <w:bookmarkEnd w:id="279"/>
    </w:p>
    <w:p w14:paraId="4303C1FD">
      <w:pPr>
        <w:pStyle w:val="6"/>
        <w:jc w:val="both"/>
        <w:rPr>
          <w:rFonts w:hint="eastAsia" w:ascii="宋体" w:hAnsi="宋体"/>
          <w:color w:val="auto"/>
          <w:kern w:val="0"/>
          <w:sz w:val="21"/>
          <w:szCs w:val="21"/>
          <w:highlight w:val="none"/>
        </w:rPr>
      </w:pPr>
      <w:bookmarkStart w:id="297" w:name="_Toc23182"/>
      <w:bookmarkStart w:id="298" w:name="_Toc296890982"/>
      <w:bookmarkStart w:id="299" w:name="_Toc296503025"/>
      <w:bookmarkStart w:id="300" w:name="_Toc351203480"/>
    </w:p>
    <w:p w14:paraId="63668FAD">
      <w:pPr>
        <w:pStyle w:val="6"/>
        <w:jc w:val="both"/>
        <w:rPr>
          <w:rFonts w:hint="eastAsia" w:ascii="宋体" w:hAnsi="宋体"/>
          <w:color w:val="auto"/>
          <w:kern w:val="0"/>
          <w:sz w:val="21"/>
          <w:szCs w:val="21"/>
          <w:highlight w:val="none"/>
        </w:rPr>
      </w:pPr>
    </w:p>
    <w:p w14:paraId="6C38E675">
      <w:pPr>
        <w:pStyle w:val="6"/>
        <w:jc w:val="both"/>
        <w:rPr>
          <w:rFonts w:hint="eastAsia" w:ascii="宋体" w:hAnsi="宋体"/>
          <w:color w:val="auto"/>
          <w:kern w:val="0"/>
          <w:sz w:val="21"/>
          <w:szCs w:val="21"/>
          <w:highlight w:val="none"/>
        </w:rPr>
      </w:pPr>
    </w:p>
    <w:p w14:paraId="57949EDE">
      <w:pPr>
        <w:pStyle w:val="6"/>
        <w:jc w:val="both"/>
        <w:rPr>
          <w:rFonts w:hint="eastAsia" w:ascii="宋体" w:hAnsi="宋体"/>
          <w:color w:val="auto"/>
          <w:kern w:val="0"/>
          <w:sz w:val="21"/>
          <w:szCs w:val="21"/>
          <w:highlight w:val="none"/>
        </w:rPr>
      </w:pPr>
    </w:p>
    <w:p w14:paraId="69222C29">
      <w:pPr>
        <w:pStyle w:val="6"/>
        <w:jc w:val="both"/>
        <w:rPr>
          <w:rFonts w:hint="eastAsia" w:ascii="宋体" w:hAnsi="宋体"/>
          <w:color w:val="auto"/>
          <w:kern w:val="0"/>
          <w:sz w:val="21"/>
          <w:szCs w:val="21"/>
          <w:highlight w:val="none"/>
        </w:rPr>
      </w:pPr>
    </w:p>
    <w:p w14:paraId="738B0F3A">
      <w:pPr>
        <w:pStyle w:val="6"/>
        <w:jc w:val="both"/>
        <w:rPr>
          <w:rFonts w:hint="eastAsia" w:ascii="宋体" w:hAnsi="宋体"/>
          <w:color w:val="auto"/>
          <w:kern w:val="0"/>
          <w:sz w:val="21"/>
          <w:szCs w:val="21"/>
          <w:highlight w:val="none"/>
        </w:rPr>
      </w:pPr>
    </w:p>
    <w:p w14:paraId="4E3B506B">
      <w:pPr>
        <w:pStyle w:val="6"/>
        <w:jc w:val="both"/>
        <w:rPr>
          <w:rFonts w:hint="eastAsia" w:ascii="宋体" w:hAnsi="宋体"/>
          <w:color w:val="auto"/>
          <w:kern w:val="0"/>
          <w:sz w:val="21"/>
          <w:szCs w:val="21"/>
          <w:highlight w:val="none"/>
        </w:rPr>
      </w:pPr>
    </w:p>
    <w:p w14:paraId="05583944">
      <w:pPr>
        <w:pStyle w:val="6"/>
        <w:jc w:val="both"/>
        <w:rPr>
          <w:rFonts w:hint="eastAsia" w:ascii="宋体" w:hAnsi="宋体"/>
          <w:color w:val="auto"/>
          <w:kern w:val="0"/>
          <w:sz w:val="21"/>
          <w:szCs w:val="21"/>
          <w:highlight w:val="none"/>
        </w:rPr>
      </w:pPr>
    </w:p>
    <w:p w14:paraId="411BA209">
      <w:pPr>
        <w:pStyle w:val="6"/>
        <w:jc w:val="both"/>
        <w:rPr>
          <w:rFonts w:hint="eastAsia" w:ascii="宋体" w:hAnsi="宋体"/>
          <w:color w:val="auto"/>
          <w:kern w:val="0"/>
          <w:sz w:val="21"/>
          <w:szCs w:val="21"/>
          <w:highlight w:val="none"/>
        </w:rPr>
      </w:pPr>
    </w:p>
    <w:p w14:paraId="561BCDC5">
      <w:pPr>
        <w:pStyle w:val="6"/>
        <w:jc w:val="both"/>
        <w:rPr>
          <w:rFonts w:hint="eastAsia" w:ascii="宋体" w:hAnsi="宋体"/>
          <w:color w:val="auto"/>
          <w:kern w:val="0"/>
          <w:sz w:val="21"/>
          <w:szCs w:val="21"/>
          <w:highlight w:val="none"/>
        </w:rPr>
      </w:pPr>
    </w:p>
    <w:p w14:paraId="5E05267C">
      <w:pPr>
        <w:pStyle w:val="6"/>
        <w:jc w:val="both"/>
        <w:rPr>
          <w:rFonts w:hint="eastAsia" w:ascii="宋体" w:hAnsi="宋体"/>
          <w:color w:val="auto"/>
          <w:kern w:val="0"/>
          <w:sz w:val="21"/>
          <w:szCs w:val="21"/>
          <w:highlight w:val="none"/>
        </w:rPr>
      </w:pPr>
    </w:p>
    <w:p w14:paraId="49C3424C">
      <w:pPr>
        <w:pStyle w:val="6"/>
        <w:jc w:val="both"/>
        <w:rPr>
          <w:rFonts w:hint="eastAsia" w:ascii="宋体" w:hAnsi="宋体"/>
          <w:color w:val="auto"/>
          <w:kern w:val="0"/>
          <w:sz w:val="21"/>
          <w:szCs w:val="21"/>
          <w:highlight w:val="none"/>
        </w:rPr>
      </w:pPr>
    </w:p>
    <w:p w14:paraId="347A3593">
      <w:pPr>
        <w:pStyle w:val="6"/>
        <w:jc w:val="both"/>
        <w:rPr>
          <w:rFonts w:hint="eastAsia" w:ascii="宋体" w:hAnsi="宋体"/>
          <w:color w:val="auto"/>
          <w:kern w:val="0"/>
          <w:sz w:val="21"/>
          <w:szCs w:val="21"/>
          <w:highlight w:val="none"/>
        </w:rPr>
      </w:pPr>
    </w:p>
    <w:p w14:paraId="7878064A">
      <w:pPr>
        <w:pStyle w:val="6"/>
        <w:jc w:val="both"/>
        <w:rPr>
          <w:rFonts w:hint="eastAsia" w:ascii="宋体" w:hAnsi="宋体"/>
          <w:color w:val="auto"/>
          <w:kern w:val="0"/>
          <w:sz w:val="21"/>
          <w:szCs w:val="21"/>
          <w:highlight w:val="none"/>
        </w:rPr>
      </w:pPr>
    </w:p>
    <w:p w14:paraId="4F5796A0">
      <w:pPr>
        <w:pStyle w:val="6"/>
        <w:jc w:val="both"/>
        <w:rPr>
          <w:rFonts w:hint="eastAsia" w:ascii="宋体" w:hAnsi="宋体"/>
          <w:color w:val="auto"/>
          <w:kern w:val="0"/>
          <w:sz w:val="21"/>
          <w:szCs w:val="21"/>
          <w:highlight w:val="none"/>
        </w:rPr>
      </w:pPr>
    </w:p>
    <w:p w14:paraId="05649430">
      <w:pPr>
        <w:pStyle w:val="6"/>
        <w:jc w:val="both"/>
        <w:rPr>
          <w:rFonts w:hint="eastAsia" w:ascii="宋体" w:hAnsi="宋体"/>
          <w:color w:val="auto"/>
          <w:kern w:val="0"/>
          <w:sz w:val="21"/>
          <w:szCs w:val="21"/>
          <w:highlight w:val="none"/>
        </w:rPr>
      </w:pPr>
    </w:p>
    <w:p w14:paraId="2B805F13">
      <w:pPr>
        <w:pStyle w:val="6"/>
        <w:jc w:val="both"/>
        <w:rPr>
          <w:rFonts w:hint="eastAsia" w:ascii="宋体" w:hAnsi="宋体"/>
          <w:color w:val="auto"/>
          <w:kern w:val="0"/>
          <w:sz w:val="21"/>
          <w:szCs w:val="21"/>
          <w:highlight w:val="none"/>
        </w:rPr>
      </w:pPr>
    </w:p>
    <w:p w14:paraId="2D39FFD8">
      <w:pPr>
        <w:pStyle w:val="6"/>
        <w:jc w:val="both"/>
        <w:rPr>
          <w:rFonts w:hint="eastAsia" w:ascii="宋体" w:hAnsi="宋体"/>
          <w:color w:val="auto"/>
          <w:kern w:val="0"/>
          <w:sz w:val="21"/>
          <w:szCs w:val="21"/>
          <w:highlight w:val="none"/>
        </w:rPr>
      </w:pPr>
    </w:p>
    <w:p w14:paraId="578C1EF9">
      <w:pPr>
        <w:pStyle w:val="6"/>
        <w:jc w:val="both"/>
        <w:rPr>
          <w:rFonts w:hint="eastAsia" w:ascii="宋体" w:hAnsi="宋体"/>
          <w:color w:val="auto"/>
          <w:kern w:val="0"/>
          <w:sz w:val="21"/>
          <w:szCs w:val="21"/>
          <w:highlight w:val="none"/>
        </w:rPr>
      </w:pPr>
    </w:p>
    <w:bookmarkEnd w:id="297"/>
    <w:p w14:paraId="4B143A12">
      <w:pPr>
        <w:pStyle w:val="232"/>
        <w:rPr>
          <w:color w:val="auto"/>
          <w:sz w:val="28"/>
          <w:szCs w:val="28"/>
          <w:highlight w:val="none"/>
          <w:u w:val="single"/>
        </w:rPr>
        <w:sectPr>
          <w:headerReference r:id="rId7" w:type="default"/>
          <w:footerReference r:id="rId8" w:type="default"/>
          <w:type w:val="nextColumn"/>
          <w:pgSz w:w="11907" w:h="16840"/>
          <w:pgMar w:top="1134" w:right="1800" w:bottom="1134" w:left="1800" w:header="720" w:footer="720" w:gutter="0"/>
          <w:pgNumType w:fmt="decimal" w:start="4"/>
          <w:cols w:space="720" w:num="1"/>
          <w:docGrid w:linePitch="286" w:charSpace="0"/>
        </w:sectPr>
      </w:pPr>
    </w:p>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8"/>
    <w:bookmarkEnd w:id="299"/>
    <w:bookmarkEnd w:id="300"/>
    <w:p w14:paraId="2989CEBB">
      <w:pPr>
        <w:pStyle w:val="4"/>
        <w:jc w:val="both"/>
        <w:rPr>
          <w:rFonts w:hint="eastAsia" w:ascii="宋体" w:hAnsi="宋体" w:cs="宋体"/>
          <w:b w:val="0"/>
          <w:color w:val="auto"/>
          <w:sz w:val="28"/>
          <w:szCs w:val="28"/>
          <w:highlight w:val="none"/>
        </w:rPr>
      </w:pPr>
      <w:bookmarkStart w:id="301" w:name="_Toc6505"/>
      <w:bookmarkStart w:id="302" w:name="_Toc14325"/>
      <w:bookmarkStart w:id="303" w:name="_Toc8818"/>
      <w:bookmarkStart w:id="304" w:name="_Toc6992"/>
      <w:bookmarkStart w:id="305" w:name="_Toc8114"/>
      <w:bookmarkStart w:id="306" w:name="_Toc31517"/>
      <w:bookmarkStart w:id="307" w:name="_Toc25727"/>
      <w:bookmarkStart w:id="308" w:name="_Toc19519"/>
      <w:bookmarkStart w:id="309" w:name="_Toc75793539"/>
      <w:bookmarkStart w:id="310" w:name="_Toc22748"/>
      <w:bookmarkStart w:id="311" w:name="_Toc12202"/>
      <w:bookmarkStart w:id="312" w:name="_Toc12863"/>
      <w:bookmarkStart w:id="313" w:name="_Toc9843"/>
      <w:bookmarkStart w:id="314" w:name="_Toc8132"/>
      <w:bookmarkStart w:id="315" w:name="_Toc16203"/>
      <w:bookmarkStart w:id="316" w:name="_Toc14019"/>
      <w:bookmarkStart w:id="317" w:name="_Toc12355"/>
      <w:r>
        <w:rPr>
          <w:rFonts w:hint="eastAsia" w:ascii="宋体" w:hAnsi="宋体" w:cs="宋体"/>
          <w:b w:val="0"/>
          <w:color w:val="auto"/>
          <w:sz w:val="28"/>
          <w:szCs w:val="28"/>
          <w:highlight w:val="none"/>
        </w:rPr>
        <w:t>合同编号：</w:t>
      </w:r>
      <w:bookmarkEnd w:id="301"/>
    </w:p>
    <w:p w14:paraId="7A7FA1FF">
      <w:pPr>
        <w:rPr>
          <w:rFonts w:hint="eastAsia" w:ascii="宋体" w:hAnsi="宋体" w:cs="宋体"/>
          <w:color w:val="auto"/>
          <w:sz w:val="28"/>
          <w:szCs w:val="28"/>
          <w:highlight w:val="none"/>
        </w:rPr>
      </w:pPr>
      <w:r>
        <w:rPr>
          <w:rFonts w:hint="eastAsia" w:ascii="宋体" w:hAnsi="宋体" w:cs="宋体"/>
          <w:b/>
          <w:color w:val="auto"/>
          <w:kern w:val="44"/>
          <w:sz w:val="28"/>
          <w:szCs w:val="28"/>
          <w:highlight w:val="none"/>
        </w:rPr>
        <w:t xml:space="preserve">项目名称：   </w:t>
      </w:r>
    </w:p>
    <w:p w14:paraId="71A3DEBC">
      <w:pPr>
        <w:rPr>
          <w:rFonts w:hint="eastAsia" w:ascii="宋体" w:hAnsi="宋体" w:cs="宋体"/>
          <w:color w:val="auto"/>
          <w:sz w:val="28"/>
          <w:szCs w:val="28"/>
          <w:highlight w:val="none"/>
        </w:rPr>
      </w:pPr>
    </w:p>
    <w:p w14:paraId="7216506D">
      <w:pPr>
        <w:rPr>
          <w:rFonts w:hint="eastAsia" w:ascii="宋体" w:hAnsi="宋体" w:cs="宋体"/>
          <w:color w:val="auto"/>
          <w:sz w:val="28"/>
          <w:szCs w:val="28"/>
          <w:highlight w:val="none"/>
        </w:rPr>
      </w:pPr>
    </w:p>
    <w:p w14:paraId="76C29906">
      <w:pPr>
        <w:pStyle w:val="4"/>
        <w:ind w:firstLine="2069" w:firstLineChars="398"/>
        <w:jc w:val="both"/>
        <w:rPr>
          <w:rFonts w:hint="eastAsia" w:ascii="宋体" w:hAnsi="宋体" w:cs="宋体"/>
          <w:color w:val="auto"/>
          <w:sz w:val="52"/>
          <w:szCs w:val="52"/>
          <w:highlight w:val="none"/>
        </w:rPr>
      </w:pPr>
      <w:bookmarkStart w:id="318" w:name="_Toc487025778"/>
      <w:bookmarkStart w:id="319" w:name="_Toc25848"/>
      <w:bookmarkStart w:id="320" w:name="_Toc536106521"/>
      <w:r>
        <w:rPr>
          <w:rFonts w:hint="eastAsia" w:ascii="宋体" w:hAnsi="宋体" w:cs="宋体"/>
          <w:color w:val="auto"/>
          <w:sz w:val="52"/>
          <w:szCs w:val="52"/>
          <w:highlight w:val="none"/>
        </w:rPr>
        <w:t>建设工程项目施工合同</w:t>
      </w:r>
      <w:bookmarkEnd w:id="318"/>
      <w:bookmarkEnd w:id="319"/>
      <w:bookmarkEnd w:id="320"/>
    </w:p>
    <w:p w14:paraId="5F3192F9">
      <w:pPr>
        <w:jc w:val="center"/>
        <w:rPr>
          <w:rFonts w:hint="eastAsia" w:ascii="宋体" w:hAnsi="宋体" w:cs="宋体"/>
          <w:b/>
          <w:color w:val="auto"/>
          <w:sz w:val="28"/>
          <w:szCs w:val="28"/>
          <w:highlight w:val="none"/>
        </w:rPr>
      </w:pPr>
    </w:p>
    <w:p w14:paraId="29E6EB8B">
      <w:pPr>
        <w:jc w:val="center"/>
        <w:rPr>
          <w:rFonts w:hint="eastAsia" w:ascii="宋体" w:hAnsi="宋体" w:cs="宋体"/>
          <w:b/>
          <w:color w:val="auto"/>
          <w:sz w:val="28"/>
          <w:szCs w:val="28"/>
          <w:highlight w:val="none"/>
        </w:rPr>
      </w:pPr>
    </w:p>
    <w:p w14:paraId="72C7483E">
      <w:pPr>
        <w:jc w:val="center"/>
        <w:rPr>
          <w:rFonts w:hint="eastAsia" w:ascii="宋体" w:hAnsi="宋体" w:cs="宋体"/>
          <w:b/>
          <w:color w:val="auto"/>
          <w:sz w:val="28"/>
          <w:szCs w:val="28"/>
          <w:highlight w:val="none"/>
        </w:rPr>
      </w:pPr>
    </w:p>
    <w:p w14:paraId="380FE145">
      <w:pPr>
        <w:jc w:val="center"/>
        <w:rPr>
          <w:rFonts w:hint="eastAsia" w:ascii="宋体" w:hAnsi="宋体" w:cs="宋体"/>
          <w:b/>
          <w:color w:val="auto"/>
          <w:sz w:val="28"/>
          <w:szCs w:val="28"/>
          <w:highlight w:val="none"/>
        </w:rPr>
      </w:pPr>
    </w:p>
    <w:p w14:paraId="1EBA522E">
      <w:pPr>
        <w:jc w:val="center"/>
        <w:rPr>
          <w:rFonts w:hint="eastAsia" w:ascii="宋体" w:hAnsi="宋体" w:cs="宋体"/>
          <w:b/>
          <w:color w:val="auto"/>
          <w:sz w:val="28"/>
          <w:szCs w:val="28"/>
          <w:highlight w:val="none"/>
        </w:rPr>
      </w:pPr>
    </w:p>
    <w:p w14:paraId="4E689E41">
      <w:pPr>
        <w:jc w:val="center"/>
        <w:rPr>
          <w:rFonts w:hint="eastAsia" w:ascii="宋体" w:hAnsi="宋体" w:cs="宋体"/>
          <w:b/>
          <w:color w:val="auto"/>
          <w:sz w:val="28"/>
          <w:szCs w:val="28"/>
          <w:highlight w:val="none"/>
        </w:rPr>
      </w:pPr>
    </w:p>
    <w:p w14:paraId="16B71E1A">
      <w:pPr>
        <w:spacing w:line="320" w:lineRule="atLeast"/>
        <w:textAlignment w:val="center"/>
        <w:rPr>
          <w:rFonts w:hint="eastAsia" w:ascii="宋体" w:hAnsi="宋体" w:cs="宋体"/>
          <w:color w:val="auto"/>
          <w:spacing w:val="-20"/>
          <w:kern w:val="10"/>
          <w:sz w:val="28"/>
          <w:szCs w:val="28"/>
          <w:highlight w:val="none"/>
        </w:rPr>
      </w:pPr>
    </w:p>
    <w:p w14:paraId="235B5505">
      <w:pPr>
        <w:spacing w:line="320" w:lineRule="atLeast"/>
        <w:textAlignment w:val="center"/>
        <w:rPr>
          <w:rFonts w:hint="eastAsia" w:ascii="宋体" w:hAnsi="宋体" w:cs="宋体"/>
          <w:color w:val="auto"/>
          <w:spacing w:val="-20"/>
          <w:kern w:val="10"/>
          <w:sz w:val="28"/>
          <w:szCs w:val="28"/>
          <w:highlight w:val="none"/>
        </w:rPr>
      </w:pPr>
    </w:p>
    <w:p w14:paraId="4327F179">
      <w:pPr>
        <w:spacing w:line="320" w:lineRule="atLeast"/>
        <w:textAlignment w:val="center"/>
        <w:rPr>
          <w:rFonts w:hint="eastAsia" w:ascii="宋体" w:hAnsi="宋体" w:cs="宋体"/>
          <w:color w:val="auto"/>
          <w:spacing w:val="-20"/>
          <w:kern w:val="10"/>
          <w:sz w:val="28"/>
          <w:szCs w:val="28"/>
          <w:highlight w:val="none"/>
        </w:rPr>
      </w:pPr>
    </w:p>
    <w:p w14:paraId="7664A935">
      <w:pPr>
        <w:spacing w:line="320" w:lineRule="atLeast"/>
        <w:textAlignment w:val="center"/>
        <w:rPr>
          <w:rFonts w:hint="eastAsia" w:ascii="宋体" w:hAnsi="宋体" w:cs="宋体"/>
          <w:b/>
          <w:color w:val="auto"/>
          <w:spacing w:val="-20"/>
          <w:kern w:val="10"/>
          <w:sz w:val="32"/>
          <w:szCs w:val="32"/>
          <w:highlight w:val="none"/>
        </w:rPr>
      </w:pPr>
      <w:r>
        <w:rPr>
          <w:rFonts w:hint="eastAsia" w:ascii="宋体" w:hAnsi="宋体" w:cs="宋体"/>
          <w:b/>
          <w:color w:val="auto"/>
          <w:spacing w:val="-20"/>
          <w:kern w:val="10"/>
          <w:sz w:val="32"/>
          <w:szCs w:val="32"/>
          <w:highlight w:val="none"/>
        </w:rPr>
        <w:t xml:space="preserve">                         中华人民共和国建设部　　</w:t>
      </w:r>
    </w:p>
    <w:p w14:paraId="6208E3B0">
      <w:pPr>
        <w:spacing w:line="320" w:lineRule="atLeast"/>
        <w:jc w:val="center"/>
        <w:textAlignment w:val="center"/>
        <w:rPr>
          <w:rFonts w:hint="eastAsia" w:ascii="宋体" w:hAnsi="宋体" w:cs="宋体"/>
          <w:b/>
          <w:color w:val="auto"/>
          <w:spacing w:val="-20"/>
          <w:kern w:val="10"/>
          <w:sz w:val="32"/>
          <w:szCs w:val="32"/>
          <w:highlight w:val="none"/>
        </w:rPr>
      </w:pPr>
      <w:r>
        <w:rPr>
          <w:rFonts w:hint="eastAsia" w:ascii="宋体" w:hAnsi="宋体" w:cs="宋体"/>
          <w:b/>
          <w:color w:val="auto"/>
          <w:spacing w:val="-20"/>
          <w:kern w:val="10"/>
          <w:sz w:val="32"/>
          <w:szCs w:val="32"/>
          <w:highlight w:val="none"/>
        </w:rPr>
        <w:t xml:space="preserve">                                    制定</w:t>
      </w:r>
    </w:p>
    <w:p w14:paraId="4723900B">
      <w:pPr>
        <w:spacing w:line="320" w:lineRule="atLeast"/>
        <w:textAlignment w:val="center"/>
        <w:rPr>
          <w:rFonts w:hint="eastAsia" w:ascii="宋体" w:hAnsi="宋体" w:cs="宋体"/>
          <w:b/>
          <w:color w:val="auto"/>
          <w:spacing w:val="-20"/>
          <w:kern w:val="10"/>
          <w:sz w:val="32"/>
          <w:szCs w:val="32"/>
          <w:highlight w:val="none"/>
        </w:rPr>
      </w:pPr>
      <w:r>
        <w:rPr>
          <w:rFonts w:hint="eastAsia" w:ascii="宋体" w:hAnsi="宋体" w:cs="宋体"/>
          <w:b/>
          <w:color w:val="auto"/>
          <w:spacing w:val="-20"/>
          <w:kern w:val="10"/>
          <w:sz w:val="32"/>
          <w:szCs w:val="32"/>
          <w:highlight w:val="none"/>
        </w:rPr>
        <w:t xml:space="preserve">                         国家工商行政管理总局 </w:t>
      </w:r>
    </w:p>
    <w:p w14:paraId="314569C1">
      <w:pPr>
        <w:spacing w:line="320" w:lineRule="atLeast"/>
        <w:textAlignment w:val="center"/>
        <w:rPr>
          <w:rFonts w:hint="eastAsia" w:ascii="宋体" w:hAnsi="宋体" w:cs="宋体"/>
          <w:b/>
          <w:color w:val="auto"/>
          <w:spacing w:val="-20"/>
          <w:kern w:val="10"/>
          <w:sz w:val="32"/>
          <w:szCs w:val="32"/>
          <w:highlight w:val="none"/>
        </w:rPr>
      </w:pPr>
    </w:p>
    <w:p w14:paraId="7E766AFC">
      <w:pPr>
        <w:pStyle w:val="2"/>
        <w:rPr>
          <w:rFonts w:hint="eastAsia"/>
          <w:color w:val="auto"/>
          <w:highlight w:val="none"/>
        </w:rPr>
      </w:pPr>
    </w:p>
    <w:p w14:paraId="156D8A95">
      <w:pPr>
        <w:spacing w:line="320" w:lineRule="atLeast"/>
        <w:textAlignment w:val="center"/>
        <w:rPr>
          <w:rFonts w:hint="eastAsia" w:ascii="宋体" w:hAnsi="宋体" w:cs="宋体"/>
          <w:b/>
          <w:color w:val="auto"/>
          <w:spacing w:val="-20"/>
          <w:kern w:val="10"/>
          <w:sz w:val="32"/>
          <w:szCs w:val="32"/>
          <w:highlight w:val="none"/>
        </w:rPr>
      </w:pPr>
    </w:p>
    <w:p w14:paraId="5EAF0367">
      <w:pPr>
        <w:ind w:firstLine="883"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第一部分 合同协议书</w:t>
      </w:r>
    </w:p>
    <w:p w14:paraId="57FE5114">
      <w:pPr>
        <w:snapToGrid w:val="0"/>
        <w:spacing w:line="500" w:lineRule="exact"/>
        <w:rPr>
          <w:rFonts w:hint="eastAsia" w:ascii="宋体" w:hAnsi="宋体" w:cs="宋体"/>
          <w:b/>
          <w:color w:val="auto"/>
          <w:szCs w:val="21"/>
          <w:highlight w:val="none"/>
          <w:u w:val="single"/>
        </w:rPr>
      </w:pPr>
      <w:r>
        <w:rPr>
          <w:rFonts w:hint="eastAsia" w:ascii="宋体" w:hAnsi="宋体" w:cs="宋体"/>
          <w:b/>
          <w:color w:val="auto"/>
          <w:szCs w:val="21"/>
          <w:highlight w:val="none"/>
        </w:rPr>
        <w:t>发包人（全称）：</w:t>
      </w:r>
      <w:r>
        <w:rPr>
          <w:rFonts w:hint="eastAsia" w:ascii="宋体" w:hAnsi="宋体" w:cs="宋体"/>
          <w:b/>
          <w:color w:val="auto"/>
          <w:szCs w:val="21"/>
          <w:highlight w:val="none"/>
          <w:u w:val="single"/>
          <w:lang w:val="en-US" w:eastAsia="zh-CN"/>
        </w:rPr>
        <w:t xml:space="preserve">                      </w:t>
      </w:r>
      <w:r>
        <w:rPr>
          <w:rFonts w:hint="eastAsia" w:ascii="宋体" w:hAnsi="宋体" w:cs="宋体"/>
          <w:b/>
          <w:color w:val="auto"/>
          <w:szCs w:val="21"/>
          <w:highlight w:val="none"/>
          <w:u w:val="single"/>
        </w:rPr>
        <w:t xml:space="preserve">    </w:t>
      </w:r>
    </w:p>
    <w:p w14:paraId="2B53E4EB">
      <w:pPr>
        <w:snapToGrid w:val="0"/>
        <w:spacing w:line="500" w:lineRule="exact"/>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s="宋体"/>
          <w:b/>
          <w:color w:val="auto"/>
          <w:szCs w:val="21"/>
          <w:highlight w:val="none"/>
          <w:u w:val="single"/>
          <w:lang w:val="en-US" w:eastAsia="zh-CN"/>
        </w:rPr>
        <w:t xml:space="preserve">                  </w:t>
      </w:r>
      <w:r>
        <w:rPr>
          <w:rFonts w:hint="eastAsia" w:ascii="宋体" w:hAnsi="宋体" w:cs="宋体"/>
          <w:b/>
          <w:color w:val="auto"/>
          <w:szCs w:val="21"/>
          <w:highlight w:val="none"/>
          <w:u w:val="single"/>
        </w:rPr>
        <w:t xml:space="preserve">   </w:t>
      </w:r>
      <w:r>
        <w:rPr>
          <w:rFonts w:hint="eastAsia" w:ascii="宋体" w:hAnsi="宋体"/>
          <w:color w:val="auto"/>
          <w:szCs w:val="21"/>
          <w:highlight w:val="none"/>
          <w:u w:val="single"/>
        </w:rPr>
        <w:t xml:space="preserve">    </w:t>
      </w:r>
    </w:p>
    <w:p w14:paraId="39727BF7">
      <w:pPr>
        <w:spacing w:line="500" w:lineRule="exact"/>
        <w:ind w:firstLine="440" w:firstLineChars="200"/>
        <w:rPr>
          <w:rFonts w:ascii="宋体" w:hAnsi="宋体"/>
          <w:b/>
          <w:color w:val="auto"/>
          <w:sz w:val="22"/>
          <w:szCs w:val="18"/>
          <w:highlight w:val="none"/>
          <w:u w:val="single"/>
        </w:rPr>
      </w:pPr>
      <w:r>
        <w:rPr>
          <w:rFonts w:hint="eastAsia" w:ascii="宋体" w:hAnsi="宋体"/>
          <w:color w:val="auto"/>
          <w:sz w:val="22"/>
          <w:szCs w:val="18"/>
          <w:highlight w:val="none"/>
        </w:rPr>
        <w:t>根据《中华人民共和国民法典》、《中华人民共和国建筑法》及有关法律、法规规定，遵循平等、自愿、公平和诚实信用的原则，双方就</w:t>
      </w:r>
      <w:r>
        <w:rPr>
          <w:rFonts w:hint="eastAsia" w:ascii="宋体" w:hAnsi="宋体"/>
          <w:color w:val="auto"/>
          <w:sz w:val="22"/>
          <w:szCs w:val="18"/>
          <w:highlight w:val="none"/>
          <w:u w:val="single"/>
        </w:rPr>
        <w:t></w:t>
      </w:r>
      <w:r>
        <w:rPr>
          <w:rFonts w:hint="eastAsia" w:ascii="宋体" w:hAnsi="宋体"/>
          <w:color w:val="auto"/>
          <w:sz w:val="22"/>
          <w:szCs w:val="18"/>
          <w:highlight w:val="none"/>
          <w:u w:val="single"/>
          <w:lang w:val="en-US" w:eastAsia="zh-CN"/>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Style w:val="233"/>
          <w:rFonts w:hint="eastAsia" w:ascii="宋体" w:hAnsi="宋体"/>
          <w:color w:val="auto"/>
          <w:sz w:val="22"/>
          <w:szCs w:val="18"/>
          <w:highlight w:val="none"/>
          <w:u w:val="single"/>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工程施工及有关事项协商一致，共同达成如下协议：</w:t>
      </w:r>
    </w:p>
    <w:p w14:paraId="263B1410">
      <w:pPr>
        <w:pStyle w:val="7"/>
        <w:spacing w:before="0" w:after="0" w:line="500" w:lineRule="exact"/>
        <w:ind w:firstLine="422" w:firstLineChars="200"/>
        <w:rPr>
          <w:color w:val="auto"/>
          <w:sz w:val="21"/>
          <w:szCs w:val="21"/>
          <w:highlight w:val="none"/>
        </w:rPr>
      </w:pPr>
      <w:bookmarkStart w:id="321" w:name="_Toc351203481"/>
      <w:bookmarkStart w:id="322" w:name="_Toc532375573"/>
      <w:bookmarkStart w:id="323" w:name="_Toc532377166"/>
      <w:r>
        <w:rPr>
          <w:rFonts w:hint="eastAsia"/>
          <w:color w:val="auto"/>
          <w:sz w:val="21"/>
          <w:szCs w:val="21"/>
          <w:highlight w:val="none"/>
        </w:rPr>
        <w:t>工程概况</w:t>
      </w:r>
      <w:bookmarkEnd w:id="321"/>
      <w:bookmarkEnd w:id="322"/>
      <w:bookmarkEnd w:id="323"/>
    </w:p>
    <w:p w14:paraId="2E27CF4D">
      <w:pPr>
        <w:snapToGrid w:val="0"/>
        <w:spacing w:line="500" w:lineRule="exact"/>
        <w:ind w:firstLine="440" w:firstLineChars="200"/>
        <w:rPr>
          <w:rFonts w:ascii="宋体" w:hAnsi="宋体"/>
          <w:color w:val="auto"/>
          <w:sz w:val="22"/>
          <w:szCs w:val="18"/>
          <w:highlight w:val="none"/>
          <w:u w:val="single"/>
        </w:rPr>
      </w:pPr>
      <w:r>
        <w:rPr>
          <w:rFonts w:hint="eastAsia" w:ascii="宋体" w:hAnsi="宋体"/>
          <w:bCs/>
          <w:color w:val="auto"/>
          <w:sz w:val="22"/>
          <w:szCs w:val="18"/>
          <w:highlight w:val="none"/>
        </w:rPr>
        <w:t>1.工程名称</w:t>
      </w:r>
      <w:r>
        <w:rPr>
          <w:rFonts w:hint="eastAsia" w:ascii="宋体" w:hAnsi="宋体"/>
          <w:color w:val="auto"/>
          <w:sz w:val="22"/>
          <w:szCs w:val="18"/>
          <w:highlight w:val="none"/>
        </w:rPr>
        <w:t>：</w:t>
      </w:r>
      <w:r>
        <w:rPr>
          <w:rFonts w:hint="eastAsia" w:ascii="宋体" w:hAnsi="宋体"/>
          <w:color w:val="auto"/>
          <w:sz w:val="22"/>
          <w:szCs w:val="18"/>
          <w:highlight w:val="none"/>
          <w:u w:val="single"/>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w:t>
      </w:r>
    </w:p>
    <w:p w14:paraId="63F4F4BC">
      <w:pPr>
        <w:snapToGrid w:val="0"/>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2.工程地点：</w:t>
      </w:r>
      <w:r>
        <w:rPr>
          <w:rFonts w:hint="eastAsia" w:ascii="宋体" w:hAnsi="宋体"/>
          <w:color w:val="auto"/>
          <w:sz w:val="22"/>
          <w:szCs w:val="18"/>
          <w:highlight w:val="none"/>
          <w:u w:val="single"/>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Fonts w:hint="eastAsia" w:ascii="宋体" w:hAnsi="宋体"/>
          <w:color w:val="auto"/>
          <w:sz w:val="22"/>
          <w:szCs w:val="18"/>
          <w:highlight w:val="none"/>
          <w:u w:val="single"/>
        </w:rPr>
        <w:t xml:space="preserve"> </w:t>
      </w:r>
      <w:r>
        <w:rPr>
          <w:rStyle w:val="233"/>
          <w:rFonts w:hint="eastAsia" w:ascii="宋体" w:hAnsi="宋体"/>
          <w:color w:val="auto"/>
          <w:sz w:val="22"/>
          <w:szCs w:val="18"/>
          <w:highlight w:val="none"/>
          <w:u w:val="single"/>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w:t>
      </w:r>
    </w:p>
    <w:p w14:paraId="6D514EDD">
      <w:pPr>
        <w:snapToGrid w:val="0"/>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3.工程立项批准文号：</w:t>
      </w:r>
      <w:r>
        <w:rPr>
          <w:rFonts w:hint="eastAsia" w:ascii="宋体" w:hAnsi="宋体"/>
          <w:color w:val="auto"/>
          <w:sz w:val="22"/>
          <w:szCs w:val="18"/>
          <w:highlight w:val="none"/>
          <w:u w:val="single"/>
        </w:rPr>
        <w:t xml:space="preserve">             </w:t>
      </w:r>
      <w:r>
        <w:rPr>
          <w:rFonts w:hint="eastAsia" w:ascii="宋体" w:hAnsi="宋体"/>
          <w:bCs/>
          <w:color w:val="auto"/>
          <w:sz w:val="22"/>
          <w:szCs w:val="18"/>
          <w:highlight w:val="none"/>
        </w:rPr>
        <w:t>。</w:t>
      </w:r>
    </w:p>
    <w:p w14:paraId="2AA2EEB1">
      <w:pPr>
        <w:snapToGrid w:val="0"/>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4.资金来源：</w:t>
      </w:r>
      <w:r>
        <w:rPr>
          <w:rFonts w:hint="eastAsia" w:ascii="宋体" w:hAnsi="宋体"/>
          <w:color w:val="auto"/>
          <w:sz w:val="22"/>
          <w:szCs w:val="18"/>
          <w:highlight w:val="none"/>
          <w:u w:val="single"/>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w:t>
      </w:r>
    </w:p>
    <w:p w14:paraId="77123742">
      <w:pPr>
        <w:snapToGrid w:val="0"/>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5.工程内容：</w:t>
      </w:r>
      <w:r>
        <w:rPr>
          <w:rFonts w:hint="eastAsia" w:ascii="宋体" w:hAnsi="宋体"/>
          <w:color w:val="auto"/>
          <w:sz w:val="22"/>
          <w:szCs w:val="18"/>
          <w:highlight w:val="none"/>
          <w:u w:val="single"/>
        </w:rPr>
        <w:t xml:space="preserve"> </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Style w:val="233"/>
          <w:rFonts w:hint="eastAsia" w:ascii="宋体" w:hAnsi="宋体"/>
          <w:color w:val="auto"/>
          <w:sz w:val="22"/>
          <w:szCs w:val="18"/>
          <w:highlight w:val="none"/>
          <w:u w:val="single"/>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w:t>
      </w:r>
    </w:p>
    <w:p w14:paraId="789ED873">
      <w:pPr>
        <w:snapToGrid w:val="0"/>
        <w:spacing w:line="500" w:lineRule="exact"/>
        <w:ind w:firstLine="440" w:firstLineChars="200"/>
        <w:jc w:val="left"/>
        <w:rPr>
          <w:rFonts w:ascii="宋体" w:hAnsi="宋体"/>
          <w:bCs/>
          <w:color w:val="auto"/>
          <w:sz w:val="21"/>
          <w:szCs w:val="16"/>
          <w:highlight w:val="none"/>
        </w:rPr>
      </w:pPr>
      <w:r>
        <w:rPr>
          <w:rFonts w:hint="eastAsia" w:ascii="宋体" w:hAnsi="宋体"/>
          <w:bCs/>
          <w:color w:val="auto"/>
          <w:sz w:val="22"/>
          <w:szCs w:val="18"/>
          <w:highlight w:val="none"/>
        </w:rPr>
        <w:t>6.工程承包范围：</w:t>
      </w:r>
      <w:r>
        <w:rPr>
          <w:rFonts w:hint="eastAsia" w:ascii="宋体" w:hAnsi="宋体"/>
          <w:color w:val="auto"/>
          <w:sz w:val="22"/>
          <w:szCs w:val="18"/>
          <w:highlight w:val="none"/>
          <w:u w:val="single"/>
        </w:rPr>
        <w:t></w:t>
      </w:r>
      <w:r>
        <w:rPr>
          <w:rFonts w:hint="eastAsia" w:ascii="宋体" w:hAnsi="宋体" w:cs="宋体"/>
          <w:b/>
          <w:color w:val="auto"/>
          <w:sz w:val="22"/>
          <w:szCs w:val="18"/>
          <w:highlight w:val="none"/>
          <w:u w:val="single"/>
          <w:lang w:val="en-US" w:eastAsia="zh-CN"/>
        </w:rPr>
        <w:t xml:space="preserve">                  </w:t>
      </w:r>
      <w:r>
        <w:rPr>
          <w:rFonts w:hint="eastAsia" w:ascii="宋体" w:hAnsi="宋体" w:cs="宋体"/>
          <w:b/>
          <w:color w:val="auto"/>
          <w:sz w:val="22"/>
          <w:szCs w:val="18"/>
          <w:highlight w:val="none"/>
          <w:u w:val="single"/>
        </w:rPr>
        <w:t xml:space="preserve">   </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rPr>
        <w:t>。</w:t>
      </w:r>
    </w:p>
    <w:p w14:paraId="77FF3193">
      <w:pPr>
        <w:pStyle w:val="7"/>
        <w:spacing w:before="0" w:after="0" w:line="500" w:lineRule="exact"/>
        <w:ind w:firstLine="422" w:firstLineChars="200"/>
        <w:rPr>
          <w:color w:val="auto"/>
          <w:sz w:val="21"/>
          <w:szCs w:val="21"/>
          <w:highlight w:val="none"/>
        </w:rPr>
      </w:pPr>
      <w:bookmarkStart w:id="324" w:name="_Toc532377167"/>
      <w:bookmarkStart w:id="325" w:name="_Toc532375574"/>
      <w:bookmarkStart w:id="326" w:name="_Toc351203482"/>
      <w:r>
        <w:rPr>
          <w:rFonts w:hint="eastAsia"/>
          <w:color w:val="auto"/>
          <w:sz w:val="21"/>
          <w:szCs w:val="21"/>
          <w:highlight w:val="none"/>
        </w:rPr>
        <w:t>合同工期</w:t>
      </w:r>
      <w:bookmarkEnd w:id="324"/>
      <w:bookmarkEnd w:id="325"/>
      <w:bookmarkEnd w:id="326"/>
    </w:p>
    <w:p w14:paraId="5EF6E87D">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计划开工日期：</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年</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月</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日，实际开工日期以监理工程师签发的工程开工通知明确的开工日期为准。</w:t>
      </w:r>
    </w:p>
    <w:p w14:paraId="1992AD5C">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计划竣工日期：</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年</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月</w:t>
      </w:r>
      <w:r>
        <w:rPr>
          <w:rFonts w:hint="eastAsia" w:ascii="宋体" w:hAnsi="宋体"/>
          <w:bCs/>
          <w:color w:val="auto"/>
          <w:sz w:val="22"/>
          <w:szCs w:val="18"/>
          <w:highlight w:val="none"/>
          <w:u w:val="single"/>
        </w:rPr>
        <w:t></w:t>
      </w:r>
      <w:r>
        <w:rPr>
          <w:rFonts w:hint="eastAsia" w:ascii="宋体" w:hAnsi="宋体"/>
          <w:bCs/>
          <w:color w:val="auto"/>
          <w:sz w:val="22"/>
          <w:szCs w:val="18"/>
          <w:highlight w:val="none"/>
        </w:rPr>
        <w:t>日，实际竣工日期以工程竣工验收合格之日为准。</w:t>
      </w:r>
    </w:p>
    <w:p w14:paraId="1FC5D946">
      <w:pPr>
        <w:spacing w:line="500" w:lineRule="exact"/>
        <w:ind w:firstLine="440" w:firstLineChars="200"/>
        <w:rPr>
          <w:rFonts w:ascii="宋体" w:hAnsi="宋体"/>
          <w:color w:val="auto"/>
          <w:sz w:val="21"/>
          <w:szCs w:val="16"/>
          <w:highlight w:val="none"/>
        </w:rPr>
      </w:pPr>
      <w:r>
        <w:rPr>
          <w:rFonts w:hint="eastAsia" w:ascii="宋体" w:hAnsi="宋体"/>
          <w:bCs/>
          <w:color w:val="auto"/>
          <w:sz w:val="22"/>
          <w:szCs w:val="18"/>
          <w:highlight w:val="none"/>
        </w:rPr>
        <w:t>工期总日历天数</w:t>
      </w:r>
      <w:r>
        <w:rPr>
          <w:rFonts w:hint="eastAsia" w:ascii="宋体" w:hAnsi="宋体"/>
          <w:bCs/>
          <w:color w:val="auto"/>
          <w:sz w:val="22"/>
          <w:szCs w:val="18"/>
          <w:highlight w:val="none"/>
          <w:u w:val="single"/>
        </w:rPr>
        <w:t>  </w:t>
      </w:r>
      <w:r>
        <w:rPr>
          <w:rFonts w:hint="eastAsia" w:ascii="宋体" w:hAnsi="宋体"/>
          <w:bCs/>
          <w:color w:val="auto"/>
          <w:sz w:val="22"/>
          <w:szCs w:val="18"/>
          <w:highlight w:val="none"/>
        </w:rPr>
        <w:t>天。工期总日历天数与根据前述计划开竣工日期计算的工期天数不一</w:t>
      </w:r>
      <w:r>
        <w:rPr>
          <w:rFonts w:hint="eastAsia" w:ascii="宋体" w:hAnsi="宋体"/>
          <w:color w:val="auto"/>
          <w:sz w:val="22"/>
          <w:szCs w:val="18"/>
          <w:highlight w:val="none"/>
        </w:rPr>
        <w:t>致的，以工期总日历天数为准。</w:t>
      </w:r>
    </w:p>
    <w:p w14:paraId="34369680">
      <w:pPr>
        <w:pStyle w:val="7"/>
        <w:spacing w:before="0" w:after="0" w:line="500" w:lineRule="exact"/>
        <w:ind w:firstLine="422" w:firstLineChars="200"/>
        <w:rPr>
          <w:color w:val="auto"/>
          <w:sz w:val="21"/>
          <w:szCs w:val="21"/>
          <w:highlight w:val="none"/>
        </w:rPr>
      </w:pPr>
      <w:bookmarkStart w:id="327" w:name="_Toc532377168"/>
      <w:bookmarkStart w:id="328" w:name="_Toc351203483"/>
      <w:bookmarkStart w:id="329" w:name="_Toc532375575"/>
      <w:r>
        <w:rPr>
          <w:rFonts w:hint="eastAsia"/>
          <w:color w:val="auto"/>
          <w:sz w:val="21"/>
          <w:szCs w:val="21"/>
          <w:highlight w:val="none"/>
        </w:rPr>
        <w:t>质量标准</w:t>
      </w:r>
      <w:bookmarkEnd w:id="327"/>
      <w:bookmarkEnd w:id="328"/>
      <w:bookmarkEnd w:id="329"/>
    </w:p>
    <w:p w14:paraId="04F26662">
      <w:pPr>
        <w:snapToGrid w:val="0"/>
        <w:spacing w:line="500" w:lineRule="exact"/>
        <w:ind w:firstLine="440" w:firstLineChars="200"/>
        <w:rPr>
          <w:rFonts w:ascii="宋体" w:hAnsi="宋体"/>
          <w:color w:val="auto"/>
          <w:sz w:val="22"/>
          <w:szCs w:val="18"/>
          <w:highlight w:val="none"/>
        </w:rPr>
      </w:pPr>
      <w:r>
        <w:rPr>
          <w:rFonts w:hint="eastAsia" w:ascii="宋体" w:hAnsi="宋体"/>
          <w:color w:val="auto"/>
          <w:sz w:val="22"/>
          <w:szCs w:val="18"/>
          <w:highlight w:val="none"/>
        </w:rPr>
        <w:t>工程质量符合</w:t>
      </w:r>
      <w:r>
        <w:rPr>
          <w:rFonts w:hint="eastAsia" w:ascii="宋体" w:hAnsi="宋体"/>
          <w:color w:val="auto"/>
          <w:sz w:val="22"/>
          <w:szCs w:val="18"/>
          <w:highlight w:val="none"/>
          <w:u w:val="single"/>
        </w:rPr>
        <w:t>国家有关施工质量验收规范和标准要求，达到合格</w:t>
      </w:r>
      <w:r>
        <w:rPr>
          <w:rFonts w:hint="eastAsia" w:ascii="宋体" w:hAnsi="宋体"/>
          <w:color w:val="auto"/>
          <w:sz w:val="22"/>
          <w:szCs w:val="18"/>
          <w:highlight w:val="none"/>
        </w:rPr>
        <w:t>标准。</w:t>
      </w:r>
    </w:p>
    <w:p w14:paraId="479D89A8">
      <w:pPr>
        <w:pStyle w:val="7"/>
        <w:spacing w:before="0" w:after="0" w:line="500" w:lineRule="exact"/>
        <w:ind w:firstLine="422" w:firstLineChars="200"/>
        <w:rPr>
          <w:color w:val="auto"/>
          <w:sz w:val="21"/>
          <w:szCs w:val="21"/>
          <w:highlight w:val="none"/>
        </w:rPr>
      </w:pPr>
      <w:bookmarkStart w:id="330" w:name="_Toc351203484"/>
      <w:bookmarkStart w:id="331" w:name="_Toc532377169"/>
      <w:bookmarkStart w:id="332" w:name="_Toc532375576"/>
      <w:r>
        <w:rPr>
          <w:rFonts w:hint="eastAsia"/>
          <w:color w:val="auto"/>
          <w:sz w:val="21"/>
          <w:szCs w:val="21"/>
          <w:highlight w:val="none"/>
        </w:rPr>
        <w:t>签约合同价与合同价格形式</w:t>
      </w:r>
      <w:bookmarkEnd w:id="330"/>
      <w:bookmarkEnd w:id="331"/>
      <w:bookmarkEnd w:id="332"/>
      <w:r>
        <w:rPr>
          <w:rFonts w:hint="eastAsia"/>
          <w:color w:val="auto"/>
          <w:sz w:val="21"/>
          <w:szCs w:val="21"/>
          <w:highlight w:val="none"/>
        </w:rPr>
        <w:tab/>
      </w:r>
    </w:p>
    <w:p w14:paraId="26138784">
      <w:pPr>
        <w:spacing w:line="500" w:lineRule="exact"/>
        <w:ind w:firstLine="440" w:firstLineChars="200"/>
        <w:rPr>
          <w:rFonts w:hint="eastAsia" w:ascii="宋体" w:hAnsi="宋体"/>
          <w:color w:val="auto"/>
          <w:sz w:val="22"/>
          <w:szCs w:val="18"/>
          <w:highlight w:val="none"/>
        </w:rPr>
      </w:pPr>
      <w:r>
        <w:rPr>
          <w:rFonts w:hint="eastAsia" w:ascii="宋体" w:hAnsi="宋体"/>
          <w:color w:val="auto"/>
          <w:sz w:val="22"/>
          <w:szCs w:val="18"/>
          <w:highlight w:val="none"/>
        </w:rPr>
        <w:t>1.合同价与合同价格形式：采用工程量清单计价</w:t>
      </w:r>
    </w:p>
    <w:p w14:paraId="0D99A07B">
      <w:pPr>
        <w:spacing w:line="500" w:lineRule="exact"/>
        <w:ind w:firstLine="440" w:firstLineChars="200"/>
        <w:rPr>
          <w:rFonts w:ascii="宋体" w:hAnsi="宋体"/>
          <w:color w:val="auto"/>
          <w:sz w:val="22"/>
          <w:szCs w:val="18"/>
          <w:highlight w:val="none"/>
        </w:rPr>
      </w:pPr>
      <w:r>
        <w:rPr>
          <w:rFonts w:hint="eastAsia" w:ascii="宋体" w:hAnsi="宋体"/>
          <w:color w:val="auto"/>
          <w:sz w:val="22"/>
          <w:szCs w:val="18"/>
          <w:highlight w:val="none"/>
        </w:rPr>
        <w:t>2.签约合同价为：人民币（大写）</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u w:val="single"/>
          <w:lang w:val="en-US" w:eastAsia="zh-CN"/>
        </w:rPr>
        <w:t xml:space="preserve">     </w:t>
      </w:r>
      <w:r>
        <w:rPr>
          <w:rFonts w:hint="eastAsia" w:ascii="宋体" w:hAnsi="宋体"/>
          <w:color w:val="auto"/>
          <w:sz w:val="22"/>
          <w:szCs w:val="18"/>
          <w:highlight w:val="none"/>
          <w:u w:val="single"/>
        </w:rPr>
        <w:t xml:space="preserve">   </w:t>
      </w:r>
      <w:r>
        <w:rPr>
          <w:rFonts w:ascii="宋体" w:hAnsi="宋体"/>
          <w:color w:val="auto"/>
          <w:sz w:val="22"/>
          <w:szCs w:val="18"/>
          <w:highlight w:val="none"/>
        </w:rPr>
        <w:t>（¥</w:t>
      </w:r>
      <w:r>
        <w:rPr>
          <w:rFonts w:ascii="宋体" w:hAnsi="宋体"/>
          <w:color w:val="auto"/>
          <w:sz w:val="22"/>
          <w:szCs w:val="18"/>
          <w:highlight w:val="none"/>
          <w:u w:val="single"/>
        </w:rPr>
        <w:t xml:space="preserve">  </w:t>
      </w:r>
      <w:r>
        <w:rPr>
          <w:rFonts w:hint="eastAsia" w:ascii="宋体" w:hAnsi="宋体"/>
          <w:color w:val="auto"/>
          <w:sz w:val="22"/>
          <w:szCs w:val="18"/>
          <w:highlight w:val="none"/>
          <w:u w:val="single"/>
          <w:lang w:val="en-US" w:eastAsia="zh-CN"/>
        </w:rPr>
        <w:t xml:space="preserve">   </w:t>
      </w:r>
      <w:r>
        <w:rPr>
          <w:rFonts w:hint="eastAsia" w:ascii="宋体" w:hAnsi="宋体"/>
          <w:color w:val="auto"/>
          <w:sz w:val="22"/>
          <w:szCs w:val="18"/>
          <w:highlight w:val="none"/>
          <w:u w:val="single"/>
        </w:rPr>
        <w:t xml:space="preserve">  </w:t>
      </w:r>
      <w:r>
        <w:rPr>
          <w:rFonts w:ascii="宋体" w:hAnsi="宋体"/>
          <w:color w:val="auto"/>
          <w:sz w:val="22"/>
          <w:szCs w:val="18"/>
          <w:highlight w:val="none"/>
          <w:u w:val="single"/>
        </w:rPr>
        <w:t xml:space="preserve"> </w:t>
      </w:r>
      <w:r>
        <w:rPr>
          <w:rFonts w:ascii="宋体" w:hAnsi="宋体"/>
          <w:color w:val="auto"/>
          <w:sz w:val="22"/>
          <w:szCs w:val="18"/>
          <w:highlight w:val="none"/>
        </w:rPr>
        <w:t>元）</w:t>
      </w:r>
      <w:r>
        <w:rPr>
          <w:rFonts w:hint="eastAsia" w:ascii="宋体" w:hAnsi="宋体"/>
          <w:color w:val="auto"/>
          <w:sz w:val="22"/>
          <w:szCs w:val="18"/>
          <w:highlight w:val="none"/>
        </w:rPr>
        <w:t>；</w:t>
      </w:r>
    </w:p>
    <w:p w14:paraId="43CA0D09">
      <w:pPr>
        <w:snapToGrid w:val="0"/>
        <w:spacing w:line="500" w:lineRule="exact"/>
        <w:ind w:firstLine="440" w:firstLineChars="200"/>
        <w:rPr>
          <w:rFonts w:hint="eastAsia" w:ascii="宋体" w:hAnsi="宋体"/>
          <w:color w:val="auto"/>
          <w:sz w:val="21"/>
          <w:szCs w:val="16"/>
          <w:highlight w:val="none"/>
          <w:u w:val="single"/>
        </w:rPr>
      </w:pPr>
      <w:r>
        <w:rPr>
          <w:rFonts w:hint="eastAsia" w:ascii="宋体" w:hAnsi="宋体"/>
          <w:color w:val="auto"/>
          <w:sz w:val="22"/>
          <w:szCs w:val="18"/>
          <w:highlight w:val="none"/>
        </w:rPr>
        <w:t>其中：安全文明施工费：人民币（大写）</w:t>
      </w:r>
      <w:r>
        <w:rPr>
          <w:rFonts w:hint="eastAsia" w:ascii="宋体" w:hAnsi="宋体"/>
          <w:color w:val="auto"/>
          <w:sz w:val="22"/>
          <w:szCs w:val="18"/>
          <w:highlight w:val="none"/>
          <w:u w:val="single"/>
        </w:rPr>
        <w:t xml:space="preserve">  </w:t>
      </w:r>
      <w:r>
        <w:rPr>
          <w:rFonts w:hint="eastAsia" w:ascii="宋体" w:hAnsi="宋体"/>
          <w:color w:val="auto"/>
          <w:sz w:val="22"/>
          <w:szCs w:val="18"/>
          <w:highlight w:val="none"/>
          <w:u w:val="single"/>
          <w:lang w:val="en-US" w:eastAsia="zh-CN"/>
        </w:rPr>
        <w:t xml:space="preserve">          </w:t>
      </w:r>
      <w:r>
        <w:rPr>
          <w:rFonts w:hint="eastAsia" w:ascii="宋体" w:hAnsi="宋体"/>
          <w:color w:val="auto"/>
          <w:sz w:val="22"/>
          <w:szCs w:val="18"/>
          <w:highlight w:val="none"/>
          <w:u w:val="single"/>
        </w:rPr>
        <w:t xml:space="preserve">  （¥  </w:t>
      </w:r>
      <w:r>
        <w:rPr>
          <w:rFonts w:hint="eastAsia" w:ascii="宋体" w:hAnsi="宋体"/>
          <w:color w:val="auto"/>
          <w:sz w:val="22"/>
          <w:szCs w:val="18"/>
          <w:highlight w:val="none"/>
          <w:u w:val="single"/>
          <w:lang w:val="en-US" w:eastAsia="zh-CN"/>
        </w:rPr>
        <w:t xml:space="preserve">   </w:t>
      </w:r>
      <w:r>
        <w:rPr>
          <w:rFonts w:hint="eastAsia" w:ascii="宋体" w:hAnsi="宋体"/>
          <w:color w:val="auto"/>
          <w:sz w:val="22"/>
          <w:szCs w:val="18"/>
          <w:highlight w:val="none"/>
          <w:u w:val="single"/>
        </w:rPr>
        <w:t xml:space="preserve">  元）；</w:t>
      </w:r>
    </w:p>
    <w:p w14:paraId="6A43E287">
      <w:pPr>
        <w:pStyle w:val="7"/>
        <w:spacing w:before="0" w:after="0" w:line="500" w:lineRule="exact"/>
        <w:ind w:firstLine="422" w:firstLineChars="200"/>
        <w:rPr>
          <w:color w:val="auto"/>
          <w:sz w:val="21"/>
          <w:szCs w:val="21"/>
          <w:highlight w:val="none"/>
        </w:rPr>
      </w:pPr>
      <w:bookmarkStart w:id="333" w:name="_Toc532377171"/>
      <w:bookmarkStart w:id="334" w:name="_Toc351203486"/>
      <w:bookmarkStart w:id="335" w:name="_Toc532375578"/>
      <w:r>
        <w:rPr>
          <w:rFonts w:hint="eastAsia"/>
          <w:color w:val="auto"/>
          <w:sz w:val="21"/>
          <w:szCs w:val="21"/>
          <w:highlight w:val="none"/>
        </w:rPr>
        <w:t>合同文件构成</w:t>
      </w:r>
      <w:bookmarkEnd w:id="333"/>
      <w:bookmarkEnd w:id="334"/>
      <w:bookmarkEnd w:id="335"/>
    </w:p>
    <w:p w14:paraId="535AF805">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合同由以下文件构成：</w:t>
      </w:r>
    </w:p>
    <w:p w14:paraId="47C69766">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bookmarkStart w:id="336" w:name="_Toc532377172"/>
      <w:bookmarkStart w:id="337" w:name="_Toc532375579"/>
      <w:bookmarkStart w:id="338" w:name="_Toc351203487"/>
      <w:r>
        <w:rPr>
          <w:rFonts w:hint="eastAsia" w:ascii="宋体" w:hAnsi="宋体" w:eastAsia="宋体" w:cs="宋体"/>
          <w:b w:val="0"/>
          <w:bCs/>
          <w:color w:val="auto"/>
          <w:sz w:val="22"/>
          <w:szCs w:val="22"/>
          <w:highlight w:val="none"/>
        </w:rPr>
        <w:t>(1)合同协议书；</w:t>
      </w:r>
    </w:p>
    <w:p w14:paraId="6C6424EC">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(2)中标通知书；</w:t>
      </w:r>
    </w:p>
    <w:p w14:paraId="3D451C60">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(3)专用合同条款及附件；</w:t>
      </w:r>
    </w:p>
    <w:p w14:paraId="54B6E6E2">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(4)通用合同条款；</w:t>
      </w:r>
    </w:p>
    <w:p w14:paraId="26F364F5">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(5)技术标准和要求；</w:t>
      </w:r>
    </w:p>
    <w:p w14:paraId="3358905E">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(6)图纸（设计交底、图纸会审、设计变更通知、工程洽商或技术核定单等）；</w:t>
      </w:r>
    </w:p>
    <w:p w14:paraId="6D74134F">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(7)工程量清单；</w:t>
      </w:r>
    </w:p>
    <w:p w14:paraId="3A0FF63D">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(8)招标文件及经双方认可的其他合同文件。</w:t>
      </w:r>
    </w:p>
    <w:p w14:paraId="751F8A31">
      <w:pPr>
        <w:pStyle w:val="7"/>
        <w:numPr>
          <w:ilvl w:val="0"/>
          <w:numId w:val="0"/>
        </w:numPr>
        <w:spacing w:before="0" w:after="0" w:line="500" w:lineRule="exact"/>
        <w:ind w:leftChars="200"/>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在合同订立及履行过程中形成的与合同有关的文件均构成合同文件组成部分。</w:t>
      </w:r>
    </w:p>
    <w:p w14:paraId="176CDB2B">
      <w:pPr>
        <w:pStyle w:val="7"/>
        <w:numPr>
          <w:ilvl w:val="0"/>
          <w:numId w:val="0"/>
        </w:numPr>
        <w:spacing w:before="0" w:after="0" w:line="500" w:lineRule="exact"/>
        <w:ind w:left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2"/>
          <w:szCs w:val="22"/>
          <w:highlight w:val="none"/>
        </w:rPr>
        <w:t>上述各项合同文件包括合同当事人就该项合同文件所作出的补充和修改，属于同一类内容的文件，应以最新签署的为准。专用合同条款及其附件须经合同当事人签字盖章。</w:t>
      </w:r>
    </w:p>
    <w:p w14:paraId="5A7BECB3">
      <w:pPr>
        <w:pStyle w:val="7"/>
        <w:spacing w:before="0" w:after="0" w:line="500" w:lineRule="exact"/>
        <w:ind w:firstLine="422" w:firstLineChars="200"/>
        <w:rPr>
          <w:color w:val="auto"/>
          <w:sz w:val="21"/>
          <w:szCs w:val="21"/>
          <w:highlight w:val="none"/>
        </w:rPr>
      </w:pPr>
      <w:r>
        <w:rPr>
          <w:rFonts w:hint="eastAsia"/>
          <w:color w:val="auto"/>
          <w:sz w:val="21"/>
          <w:szCs w:val="21"/>
          <w:highlight w:val="none"/>
        </w:rPr>
        <w:t>承诺</w:t>
      </w:r>
      <w:bookmarkEnd w:id="336"/>
      <w:bookmarkEnd w:id="337"/>
      <w:bookmarkEnd w:id="338"/>
    </w:p>
    <w:p w14:paraId="10F00040">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1.发包人承诺按照法律规定履行项目审批手续、筹集工程建设资金并按照合同约定的期限和方式支付合同价款。</w:t>
      </w:r>
    </w:p>
    <w:p w14:paraId="3DAF0658">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2.</w:t>
      </w:r>
      <w:r>
        <w:rPr>
          <w:rFonts w:hint="eastAsia" w:ascii="宋体" w:hAnsi="宋体"/>
          <w:color w:val="auto"/>
          <w:sz w:val="22"/>
          <w:szCs w:val="18"/>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 w:val="22"/>
          <w:szCs w:val="18"/>
          <w:highlight w:val="none"/>
        </w:rPr>
        <w:t>。</w:t>
      </w:r>
    </w:p>
    <w:p w14:paraId="563EBA17">
      <w:pPr>
        <w:spacing w:line="500" w:lineRule="exact"/>
        <w:ind w:firstLine="440" w:firstLineChars="200"/>
        <w:rPr>
          <w:rFonts w:ascii="宋体" w:hAnsi="宋体"/>
          <w:bCs/>
          <w:color w:val="auto"/>
          <w:sz w:val="22"/>
          <w:szCs w:val="18"/>
          <w:highlight w:val="none"/>
        </w:rPr>
      </w:pPr>
      <w:r>
        <w:rPr>
          <w:rFonts w:hint="eastAsia" w:ascii="宋体" w:hAnsi="宋体"/>
          <w:bCs/>
          <w:color w:val="auto"/>
          <w:sz w:val="22"/>
          <w:szCs w:val="18"/>
          <w:highlight w:val="none"/>
        </w:rPr>
        <w:t>3.发包人和承包人通过招比选申请形式签订合同的，双方理解并承诺不再就同一工程另行签订与合同实质性内容相背离的协议。</w:t>
      </w:r>
    </w:p>
    <w:p w14:paraId="62AE023B">
      <w:pPr>
        <w:pStyle w:val="7"/>
        <w:spacing w:before="0" w:after="0" w:line="500" w:lineRule="exact"/>
        <w:ind w:firstLine="422" w:firstLineChars="200"/>
        <w:rPr>
          <w:color w:val="auto"/>
          <w:sz w:val="21"/>
          <w:szCs w:val="21"/>
          <w:highlight w:val="none"/>
        </w:rPr>
      </w:pPr>
      <w:bookmarkStart w:id="339" w:name="_Toc532377173"/>
      <w:bookmarkStart w:id="340" w:name="_Toc351203488"/>
      <w:bookmarkStart w:id="341" w:name="_Toc532375580"/>
      <w:r>
        <w:rPr>
          <w:rFonts w:hint="eastAsia"/>
          <w:color w:val="auto"/>
          <w:sz w:val="21"/>
          <w:szCs w:val="21"/>
          <w:highlight w:val="none"/>
        </w:rPr>
        <w:t>词语含义</w:t>
      </w:r>
      <w:bookmarkEnd w:id="339"/>
      <w:bookmarkEnd w:id="340"/>
      <w:bookmarkEnd w:id="341"/>
    </w:p>
    <w:p w14:paraId="7151C673">
      <w:pPr>
        <w:spacing w:line="500" w:lineRule="exact"/>
        <w:ind w:firstLine="440" w:firstLineChars="200"/>
        <w:rPr>
          <w:rFonts w:ascii="宋体" w:hAnsi="宋体"/>
          <w:bCs/>
          <w:color w:val="auto"/>
          <w:sz w:val="21"/>
          <w:szCs w:val="16"/>
          <w:highlight w:val="none"/>
        </w:rPr>
      </w:pPr>
      <w:r>
        <w:rPr>
          <w:rFonts w:hint="eastAsia" w:ascii="宋体" w:hAnsi="宋体"/>
          <w:bCs/>
          <w:color w:val="auto"/>
          <w:sz w:val="22"/>
          <w:szCs w:val="18"/>
          <w:highlight w:val="none"/>
        </w:rPr>
        <w:t>本协议书中词语含义与专用合同条款及通用合同条款中赋予的含义相同。</w:t>
      </w:r>
    </w:p>
    <w:p w14:paraId="67C30E93">
      <w:pPr>
        <w:pStyle w:val="7"/>
        <w:spacing w:before="0" w:after="0" w:line="500" w:lineRule="exact"/>
        <w:ind w:firstLine="422" w:firstLineChars="200"/>
        <w:rPr>
          <w:rFonts w:hint="eastAsia"/>
          <w:color w:val="auto"/>
          <w:sz w:val="21"/>
          <w:szCs w:val="21"/>
          <w:highlight w:val="none"/>
        </w:rPr>
      </w:pPr>
      <w:bookmarkStart w:id="342" w:name="_Toc532375581"/>
      <w:bookmarkStart w:id="343" w:name="_Toc532377174"/>
      <w:r>
        <w:rPr>
          <w:rFonts w:hint="eastAsia"/>
          <w:color w:val="auto"/>
          <w:sz w:val="21"/>
          <w:szCs w:val="21"/>
          <w:highlight w:val="none"/>
        </w:rPr>
        <w:t>签订时间</w:t>
      </w:r>
      <w:bookmarkEnd w:id="342"/>
      <w:bookmarkEnd w:id="343"/>
      <w:r>
        <w:rPr>
          <w:rFonts w:hint="eastAsia"/>
          <w:color w:val="auto"/>
          <w:sz w:val="21"/>
          <w:szCs w:val="21"/>
          <w:highlight w:val="none"/>
        </w:rPr>
        <w:t>及地点</w:t>
      </w:r>
    </w:p>
    <w:p w14:paraId="3FAFECE3">
      <w:pPr>
        <w:spacing w:line="500" w:lineRule="exact"/>
        <w:ind w:firstLine="440" w:firstLineChars="200"/>
        <w:rPr>
          <w:rFonts w:hint="eastAsia" w:ascii="宋体" w:hAnsi="宋体"/>
          <w:color w:val="auto"/>
          <w:szCs w:val="21"/>
          <w:highlight w:val="none"/>
        </w:rPr>
      </w:pPr>
      <w:r>
        <w:rPr>
          <w:rFonts w:hint="eastAsia" w:ascii="宋体" w:hAnsi="宋体"/>
          <w:bCs/>
          <w:color w:val="auto"/>
          <w:sz w:val="22"/>
          <w:szCs w:val="18"/>
          <w:highlight w:val="none"/>
        </w:rPr>
        <w:t>合同于</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u w:val="single"/>
          <w:lang w:val="en-US" w:eastAsia="zh-CN"/>
        </w:rPr>
        <w:t xml:space="preserve"> </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rPr>
        <w:t>年</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u w:val="single"/>
          <w:lang w:val="en-US" w:eastAsia="zh-CN"/>
        </w:rPr>
        <w:t xml:space="preserve"> </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rPr>
        <w:t>月</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rPr>
        <w:t>日在</w:t>
      </w:r>
      <w:r>
        <w:rPr>
          <w:rFonts w:hint="eastAsia" w:ascii="宋体" w:hAnsi="宋体"/>
          <w:bCs/>
          <w:color w:val="auto"/>
          <w:sz w:val="22"/>
          <w:szCs w:val="18"/>
          <w:highlight w:val="none"/>
          <w:u w:val="single"/>
        </w:rPr>
        <w:t xml:space="preserve">  </w:t>
      </w:r>
      <w:r>
        <w:rPr>
          <w:rFonts w:hint="eastAsia" w:ascii="宋体" w:hAnsi="宋体"/>
          <w:color w:val="auto"/>
          <w:sz w:val="22"/>
          <w:szCs w:val="18"/>
          <w:highlight w:val="none"/>
          <w:u w:val="single"/>
          <w:lang w:val="en-US" w:eastAsia="zh-CN"/>
        </w:rPr>
        <w:t xml:space="preserve">      </w:t>
      </w:r>
      <w:r>
        <w:rPr>
          <w:rFonts w:hint="eastAsia" w:ascii="宋体" w:hAnsi="宋体"/>
          <w:bCs/>
          <w:color w:val="auto"/>
          <w:sz w:val="22"/>
          <w:szCs w:val="18"/>
          <w:highlight w:val="none"/>
          <w:u w:val="single"/>
        </w:rPr>
        <w:t xml:space="preserve">  </w:t>
      </w:r>
      <w:r>
        <w:rPr>
          <w:rFonts w:hint="eastAsia" w:ascii="宋体" w:hAnsi="宋体"/>
          <w:bCs/>
          <w:color w:val="auto"/>
          <w:sz w:val="22"/>
          <w:szCs w:val="18"/>
          <w:highlight w:val="none"/>
        </w:rPr>
        <w:t>签订。</w:t>
      </w:r>
    </w:p>
    <w:p w14:paraId="7EF8A72F">
      <w:pPr>
        <w:pStyle w:val="7"/>
        <w:spacing w:before="0" w:after="0" w:line="500" w:lineRule="exact"/>
        <w:ind w:firstLine="422" w:firstLineChars="200"/>
        <w:rPr>
          <w:color w:val="auto"/>
          <w:sz w:val="21"/>
          <w:szCs w:val="21"/>
          <w:highlight w:val="none"/>
        </w:rPr>
      </w:pPr>
      <w:bookmarkStart w:id="344" w:name="_Toc351203491"/>
      <w:bookmarkStart w:id="345" w:name="_Toc532377176"/>
      <w:bookmarkStart w:id="346" w:name="_Toc532375583"/>
      <w:r>
        <w:rPr>
          <w:rFonts w:hint="eastAsia"/>
          <w:color w:val="auto"/>
          <w:sz w:val="21"/>
          <w:szCs w:val="21"/>
          <w:highlight w:val="none"/>
        </w:rPr>
        <w:t>补充协议</w:t>
      </w:r>
      <w:bookmarkEnd w:id="344"/>
      <w:bookmarkEnd w:id="345"/>
      <w:bookmarkEnd w:id="346"/>
    </w:p>
    <w:p w14:paraId="6B7D570E">
      <w:pPr>
        <w:spacing w:line="500" w:lineRule="exact"/>
        <w:ind w:firstLine="440" w:firstLineChars="200"/>
        <w:rPr>
          <w:rFonts w:ascii="宋体" w:hAnsi="宋体"/>
          <w:b/>
          <w:bCs/>
          <w:color w:val="auto"/>
          <w:sz w:val="21"/>
          <w:szCs w:val="16"/>
          <w:highlight w:val="none"/>
        </w:rPr>
      </w:pPr>
      <w:r>
        <w:rPr>
          <w:rFonts w:hint="eastAsia" w:ascii="宋体" w:hAnsi="宋体"/>
          <w:bCs/>
          <w:color w:val="auto"/>
          <w:sz w:val="22"/>
          <w:szCs w:val="18"/>
          <w:highlight w:val="none"/>
        </w:rPr>
        <w:t>合同未尽事宜，合同当事人另行签订补充协议，补充协议是合同的组成部分。</w:t>
      </w:r>
    </w:p>
    <w:p w14:paraId="4B1A1E15">
      <w:pPr>
        <w:pStyle w:val="7"/>
        <w:spacing w:before="0" w:after="0" w:line="500" w:lineRule="exact"/>
        <w:ind w:firstLine="422" w:firstLineChars="200"/>
        <w:rPr>
          <w:color w:val="auto"/>
          <w:sz w:val="21"/>
          <w:szCs w:val="21"/>
          <w:highlight w:val="none"/>
        </w:rPr>
      </w:pPr>
      <w:bookmarkStart w:id="347" w:name="_Toc532377177"/>
      <w:bookmarkStart w:id="348" w:name="_Toc532375584"/>
      <w:bookmarkStart w:id="349" w:name="_Toc351203492"/>
      <w:r>
        <w:rPr>
          <w:rFonts w:hint="eastAsia"/>
          <w:color w:val="auto"/>
          <w:sz w:val="21"/>
          <w:szCs w:val="21"/>
          <w:highlight w:val="none"/>
        </w:rPr>
        <w:t>合同生效</w:t>
      </w:r>
      <w:bookmarkEnd w:id="347"/>
      <w:bookmarkEnd w:id="348"/>
      <w:bookmarkEnd w:id="349"/>
    </w:p>
    <w:p w14:paraId="380A3F0C">
      <w:pPr>
        <w:adjustRightInd w:val="0"/>
        <w:snapToGrid w:val="0"/>
        <w:spacing w:line="360" w:lineRule="auto"/>
        <w:rPr>
          <w:rFonts w:hint="eastAsia" w:ascii="宋体" w:hAnsi="宋体"/>
          <w:color w:val="auto"/>
          <w:szCs w:val="21"/>
          <w:highlight w:val="none"/>
        </w:rPr>
      </w:pPr>
      <w:bookmarkStart w:id="350" w:name="_Toc532375585"/>
      <w:bookmarkStart w:id="351" w:name="_Toc532377178"/>
      <w:bookmarkStart w:id="352" w:name="_Toc351203493"/>
      <w:r>
        <w:rPr>
          <w:rFonts w:hint="eastAsia" w:ascii="宋体" w:hAnsi="宋体"/>
          <w:color w:val="auto"/>
          <w:szCs w:val="21"/>
          <w:highlight w:val="none"/>
        </w:rPr>
        <w:t xml:space="preserve">    </w:t>
      </w:r>
      <w:r>
        <w:rPr>
          <w:rFonts w:hint="eastAsia" w:ascii="宋体" w:hAnsi="宋体"/>
          <w:color w:val="auto"/>
          <w:sz w:val="22"/>
          <w:szCs w:val="18"/>
          <w:highlight w:val="none"/>
        </w:rPr>
        <w:t>双方签字盖章完善合同生效。</w:t>
      </w:r>
    </w:p>
    <w:p w14:paraId="4EB38235">
      <w:pPr>
        <w:pStyle w:val="7"/>
        <w:spacing w:before="0" w:after="0" w:line="500" w:lineRule="exact"/>
        <w:ind w:firstLine="422" w:firstLineChars="200"/>
        <w:rPr>
          <w:color w:val="auto"/>
          <w:sz w:val="21"/>
          <w:szCs w:val="21"/>
          <w:highlight w:val="none"/>
        </w:rPr>
      </w:pPr>
      <w:r>
        <w:rPr>
          <w:rFonts w:hint="eastAsia"/>
          <w:color w:val="auto"/>
          <w:sz w:val="21"/>
          <w:szCs w:val="21"/>
          <w:highlight w:val="none"/>
        </w:rPr>
        <w:t>合同份数</w:t>
      </w:r>
      <w:bookmarkEnd w:id="350"/>
      <w:bookmarkEnd w:id="351"/>
      <w:bookmarkEnd w:id="352"/>
    </w:p>
    <w:p w14:paraId="4650C0B6">
      <w:pPr>
        <w:adjustRightInd w:val="0"/>
        <w:spacing w:line="500" w:lineRule="exact"/>
        <w:ind w:firstLine="440" w:firstLineChars="200"/>
        <w:rPr>
          <w:rFonts w:hint="eastAsia" w:ascii="宋体" w:hAnsi="宋体"/>
          <w:snapToGrid w:val="0"/>
          <w:color w:val="auto"/>
          <w:kern w:val="0"/>
          <w:sz w:val="32"/>
          <w:szCs w:val="22"/>
          <w:highlight w:val="none"/>
        </w:rPr>
      </w:pPr>
      <w:bookmarkStart w:id="353" w:name="_Toc467689623"/>
      <w:r>
        <w:rPr>
          <w:rFonts w:hint="eastAsia" w:ascii="宋体" w:hAnsi="宋体"/>
          <w:snapToGrid w:val="0"/>
          <w:color w:val="auto"/>
          <w:kern w:val="0"/>
          <w:sz w:val="22"/>
          <w:szCs w:val="18"/>
          <w:highlight w:val="none"/>
        </w:rPr>
        <w:t>本合同一式</w:t>
      </w:r>
      <w:r>
        <w:rPr>
          <w:rFonts w:hint="eastAsia" w:ascii="宋体" w:hAnsi="宋体"/>
          <w:snapToGrid w:val="0"/>
          <w:color w:val="auto"/>
          <w:kern w:val="0"/>
          <w:sz w:val="22"/>
          <w:szCs w:val="18"/>
          <w:highlight w:val="none"/>
          <w:u w:val="single"/>
        </w:rPr>
        <w:t xml:space="preserve"> </w:t>
      </w:r>
      <w:r>
        <w:rPr>
          <w:rFonts w:hint="eastAsia" w:ascii="宋体" w:hAnsi="宋体"/>
          <w:snapToGrid w:val="0"/>
          <w:color w:val="auto"/>
          <w:kern w:val="0"/>
          <w:sz w:val="22"/>
          <w:szCs w:val="18"/>
          <w:highlight w:val="none"/>
          <w:u w:val="single"/>
          <w:lang w:val="en-US" w:eastAsia="zh-CN"/>
        </w:rPr>
        <w:t xml:space="preserve">  </w:t>
      </w:r>
      <w:r>
        <w:rPr>
          <w:rFonts w:hint="eastAsia" w:ascii="宋体" w:hAnsi="宋体"/>
          <w:snapToGrid w:val="0"/>
          <w:color w:val="auto"/>
          <w:kern w:val="0"/>
          <w:sz w:val="22"/>
          <w:szCs w:val="18"/>
          <w:highlight w:val="none"/>
          <w:u w:val="single"/>
        </w:rPr>
        <w:t xml:space="preserve"> </w:t>
      </w:r>
      <w:r>
        <w:rPr>
          <w:rFonts w:hint="eastAsia" w:ascii="宋体" w:hAnsi="宋体"/>
          <w:snapToGrid w:val="0"/>
          <w:color w:val="auto"/>
          <w:kern w:val="0"/>
          <w:sz w:val="22"/>
          <w:szCs w:val="18"/>
          <w:highlight w:val="none"/>
        </w:rPr>
        <w:t>份，双方各执</w:t>
      </w:r>
      <w:r>
        <w:rPr>
          <w:rFonts w:hint="eastAsia" w:ascii="宋体" w:hAnsi="宋体"/>
          <w:snapToGrid w:val="0"/>
          <w:color w:val="auto"/>
          <w:kern w:val="0"/>
          <w:sz w:val="22"/>
          <w:szCs w:val="18"/>
          <w:highlight w:val="none"/>
          <w:u w:val="single"/>
        </w:rPr>
        <w:t xml:space="preserve"> </w:t>
      </w:r>
      <w:r>
        <w:rPr>
          <w:rFonts w:hint="eastAsia" w:ascii="宋体" w:hAnsi="宋体"/>
          <w:snapToGrid w:val="0"/>
          <w:color w:val="auto"/>
          <w:kern w:val="0"/>
          <w:sz w:val="22"/>
          <w:szCs w:val="18"/>
          <w:highlight w:val="none"/>
          <w:u w:val="single"/>
          <w:lang w:val="en-US" w:eastAsia="zh-CN"/>
        </w:rPr>
        <w:t xml:space="preserve">  </w:t>
      </w:r>
      <w:r>
        <w:rPr>
          <w:rFonts w:hint="eastAsia" w:ascii="宋体" w:hAnsi="宋体"/>
          <w:snapToGrid w:val="0"/>
          <w:color w:val="auto"/>
          <w:kern w:val="0"/>
          <w:sz w:val="22"/>
          <w:szCs w:val="18"/>
          <w:highlight w:val="none"/>
        </w:rPr>
        <w:t xml:space="preserve"> 份，均具有同等法律效力。</w:t>
      </w:r>
    </w:p>
    <w:bookmarkEnd w:id="353"/>
    <w:p w14:paraId="56084606">
      <w:pPr>
        <w:adjustRightInd w:val="0"/>
        <w:snapToGrid w:val="0"/>
        <w:spacing w:line="360" w:lineRule="auto"/>
        <w:ind w:firstLine="320" w:firstLineChars="100"/>
        <w:rPr>
          <w:rFonts w:hint="eastAsia" w:ascii="宋体" w:hAnsi="宋体"/>
          <w:color w:val="auto"/>
          <w:sz w:val="32"/>
          <w:szCs w:val="22"/>
          <w:highlight w:val="none"/>
        </w:rPr>
      </w:pPr>
    </w:p>
    <w:p w14:paraId="0AEE73BF">
      <w:pPr>
        <w:adjustRightInd w:val="0"/>
        <w:snapToGrid w:val="0"/>
        <w:spacing w:line="360" w:lineRule="auto"/>
        <w:ind w:firstLine="440" w:firstLineChars="200"/>
        <w:rPr>
          <w:rFonts w:hint="eastAsia" w:ascii="宋体" w:hAnsi="宋体"/>
          <w:color w:val="auto"/>
          <w:sz w:val="22"/>
          <w:szCs w:val="18"/>
          <w:highlight w:val="none"/>
        </w:rPr>
      </w:pPr>
      <w:r>
        <w:rPr>
          <w:rFonts w:hint="eastAsia" w:ascii="宋体" w:hAnsi="宋体"/>
          <w:color w:val="auto"/>
          <w:sz w:val="22"/>
          <w:szCs w:val="18"/>
          <w:highlight w:val="none"/>
        </w:rPr>
        <w:t>发包人：(公章)                             承包人：(公章)</w:t>
      </w:r>
    </w:p>
    <w:p w14:paraId="6342C65D">
      <w:pPr>
        <w:adjustRightInd w:val="0"/>
        <w:snapToGrid w:val="0"/>
        <w:spacing w:line="360" w:lineRule="auto"/>
        <w:ind w:firstLine="440" w:firstLineChars="200"/>
        <w:rPr>
          <w:rFonts w:hint="eastAsia" w:ascii="宋体" w:hAnsi="宋体"/>
          <w:color w:val="auto"/>
          <w:sz w:val="22"/>
          <w:szCs w:val="18"/>
          <w:highlight w:val="none"/>
        </w:rPr>
      </w:pPr>
      <w:r>
        <w:rPr>
          <w:rFonts w:hint="eastAsia" w:ascii="宋体" w:hAnsi="宋体"/>
          <w:color w:val="auto"/>
          <w:sz w:val="22"/>
          <w:szCs w:val="18"/>
          <w:highlight w:val="none"/>
        </w:rPr>
        <w:t>法定代表人：                               法定代表人：</w:t>
      </w:r>
    </w:p>
    <w:p w14:paraId="7B4E56BA">
      <w:pPr>
        <w:adjustRightInd w:val="0"/>
        <w:snapToGrid w:val="0"/>
        <w:spacing w:line="360" w:lineRule="auto"/>
        <w:rPr>
          <w:rFonts w:hint="eastAsia" w:ascii="宋体" w:hAnsi="宋体"/>
          <w:color w:val="auto"/>
          <w:sz w:val="22"/>
          <w:szCs w:val="18"/>
          <w:highlight w:val="none"/>
        </w:rPr>
      </w:pPr>
      <w:r>
        <w:rPr>
          <w:rFonts w:hint="eastAsia" w:ascii="宋体" w:hAnsi="宋体"/>
          <w:color w:val="auto"/>
          <w:sz w:val="22"/>
          <w:szCs w:val="18"/>
          <w:highlight w:val="none"/>
        </w:rPr>
        <w:t xml:space="preserve">    或委托代理人：                             或委托代理人：</w:t>
      </w:r>
    </w:p>
    <w:p w14:paraId="203F3966">
      <w:pPr>
        <w:adjustRightInd w:val="0"/>
        <w:snapToGrid w:val="0"/>
        <w:spacing w:line="360" w:lineRule="auto"/>
        <w:rPr>
          <w:rFonts w:hint="eastAsia" w:ascii="宋体" w:hAnsi="宋体"/>
          <w:color w:val="auto"/>
          <w:sz w:val="22"/>
          <w:szCs w:val="18"/>
          <w:highlight w:val="none"/>
        </w:rPr>
      </w:pPr>
      <w:r>
        <w:rPr>
          <w:rFonts w:hint="eastAsia" w:ascii="宋体" w:hAnsi="宋体"/>
          <w:color w:val="auto"/>
          <w:sz w:val="22"/>
          <w:szCs w:val="18"/>
          <w:highlight w:val="none"/>
        </w:rPr>
        <w:t xml:space="preserve">    电  话：                                   电  话：</w:t>
      </w:r>
    </w:p>
    <w:p w14:paraId="5452AD6F">
      <w:pPr>
        <w:adjustRightInd w:val="0"/>
        <w:snapToGrid w:val="0"/>
        <w:spacing w:line="360" w:lineRule="auto"/>
        <w:rPr>
          <w:rFonts w:hint="eastAsia" w:ascii="宋体" w:hAnsi="宋体"/>
          <w:color w:val="auto"/>
          <w:sz w:val="22"/>
          <w:szCs w:val="18"/>
          <w:highlight w:val="none"/>
        </w:rPr>
      </w:pPr>
      <w:r>
        <w:rPr>
          <w:rFonts w:hint="eastAsia" w:ascii="仿宋" w:hAnsi="仿宋" w:eastAsia="仿宋" w:cs="宋体"/>
          <w:color w:val="auto"/>
          <w:sz w:val="22"/>
          <w:szCs w:val="18"/>
          <w:highlight w:val="none"/>
        </w:rPr>
        <w:t xml:space="preserve">  </w:t>
      </w:r>
      <w:r>
        <w:rPr>
          <w:rFonts w:hint="eastAsia" w:ascii="宋体" w:hAnsi="宋体"/>
          <w:color w:val="auto"/>
          <w:sz w:val="22"/>
          <w:szCs w:val="18"/>
          <w:highlight w:val="none"/>
        </w:rPr>
        <w:t xml:space="preserve">  开户银行：                                 开户银行：</w:t>
      </w:r>
    </w:p>
    <w:p w14:paraId="72788471">
      <w:pPr>
        <w:adjustRightInd w:val="0"/>
        <w:snapToGrid w:val="0"/>
        <w:spacing w:line="360" w:lineRule="auto"/>
        <w:rPr>
          <w:rFonts w:hint="eastAsia" w:ascii="宋体" w:hAnsi="宋体"/>
          <w:color w:val="auto"/>
          <w:sz w:val="22"/>
          <w:szCs w:val="18"/>
          <w:highlight w:val="none"/>
        </w:rPr>
      </w:pPr>
      <w:r>
        <w:rPr>
          <w:rFonts w:hint="eastAsia" w:ascii="宋体" w:hAnsi="宋体"/>
          <w:color w:val="auto"/>
          <w:sz w:val="22"/>
          <w:szCs w:val="18"/>
          <w:highlight w:val="none"/>
        </w:rPr>
        <w:t xml:space="preserve">    账  号：                                   账  号：</w:t>
      </w:r>
    </w:p>
    <w:p w14:paraId="295E2C4B">
      <w:pPr>
        <w:adjustRightInd w:val="0"/>
        <w:snapToGrid w:val="0"/>
        <w:spacing w:line="360" w:lineRule="auto"/>
        <w:rPr>
          <w:rFonts w:hint="eastAsia" w:ascii="宋体" w:hAnsi="宋体"/>
          <w:color w:val="auto"/>
          <w:sz w:val="22"/>
          <w:szCs w:val="18"/>
          <w:highlight w:val="none"/>
        </w:rPr>
      </w:pPr>
      <w:r>
        <w:rPr>
          <w:rFonts w:hint="eastAsia" w:ascii="宋体" w:hAnsi="宋体"/>
          <w:color w:val="auto"/>
          <w:sz w:val="22"/>
          <w:szCs w:val="18"/>
          <w:highlight w:val="none"/>
        </w:rPr>
        <w:t xml:space="preserve">    </w:t>
      </w:r>
    </w:p>
    <w:p w14:paraId="1FD6309A">
      <w:pPr>
        <w:adjustRightInd w:val="0"/>
        <w:snapToGrid w:val="0"/>
        <w:spacing w:line="360" w:lineRule="auto"/>
        <w:rPr>
          <w:rFonts w:hint="eastAsia" w:ascii="宋体" w:hAnsi="宋体"/>
          <w:color w:val="auto"/>
          <w:sz w:val="21"/>
          <w:szCs w:val="16"/>
          <w:highlight w:val="none"/>
        </w:rPr>
      </w:pPr>
      <w:r>
        <w:rPr>
          <w:rFonts w:hint="eastAsia" w:ascii="宋体" w:hAnsi="宋体"/>
          <w:color w:val="auto"/>
          <w:sz w:val="22"/>
          <w:szCs w:val="18"/>
          <w:highlight w:val="none"/>
        </w:rPr>
        <w:t>合同签订时间：    年   月   日</w:t>
      </w:r>
    </w:p>
    <w:p w14:paraId="6D64FFE0">
      <w:pPr>
        <w:pStyle w:val="6"/>
        <w:ind w:firstLine="103"/>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bookmarkStart w:id="354" w:name="_Toc351203494"/>
      <w:bookmarkStart w:id="355" w:name="_Toc536106534"/>
      <w:bookmarkStart w:id="356" w:name="_Toc15958"/>
      <w:r>
        <w:rPr>
          <w:rFonts w:hint="eastAsia" w:ascii="宋体" w:hAnsi="宋体" w:cs="宋体"/>
          <w:color w:val="auto"/>
          <w:sz w:val="44"/>
          <w:szCs w:val="44"/>
          <w:highlight w:val="none"/>
        </w:rPr>
        <w:t>第二部分 通用合同条款</w:t>
      </w:r>
      <w:bookmarkEnd w:id="354"/>
      <w:bookmarkEnd w:id="355"/>
      <w:bookmarkEnd w:id="356"/>
      <w:bookmarkStart w:id="357" w:name="_Toc337558727"/>
    </w:p>
    <w:bookmarkEnd w:id="357"/>
    <w:p w14:paraId="43C03A6A">
      <w:pPr>
        <w:spacing w:line="420" w:lineRule="exact"/>
        <w:ind w:firstLine="440" w:firstLineChars="200"/>
        <w:rPr>
          <w:rFonts w:hint="eastAsia" w:ascii="宋体" w:hAnsi="宋体" w:cs="宋体"/>
          <w:color w:val="auto"/>
          <w:kern w:val="0"/>
          <w:sz w:val="22"/>
          <w:szCs w:val="22"/>
          <w:highlight w:val="none"/>
        </w:rPr>
      </w:pPr>
      <w:bookmarkStart w:id="358" w:name="招标文件05章工程量清单"/>
      <w:bookmarkEnd w:id="358"/>
      <w:bookmarkStart w:id="359" w:name="_Toc532377320"/>
      <w:bookmarkStart w:id="360" w:name="_Toc529388290"/>
      <w:bookmarkStart w:id="361" w:name="_Toc532375607"/>
      <w:r>
        <w:rPr>
          <w:rFonts w:hint="eastAsia" w:ascii="宋体" w:hAnsi="宋体" w:cs="宋体"/>
          <w:color w:val="auto"/>
          <w:kern w:val="0"/>
          <w:sz w:val="22"/>
          <w:szCs w:val="22"/>
          <w:highlight w:val="none"/>
        </w:rPr>
        <w:t>通用</w:t>
      </w:r>
      <w:r>
        <w:rPr>
          <w:rFonts w:ascii="宋体" w:hAnsi="宋体" w:cs="宋体"/>
          <w:color w:val="auto"/>
          <w:kern w:val="0"/>
          <w:sz w:val="22"/>
          <w:szCs w:val="22"/>
          <w:highlight w:val="none"/>
        </w:rPr>
        <w:t>合同条款</w:t>
      </w:r>
      <w:r>
        <w:rPr>
          <w:rFonts w:hint="eastAsia" w:ascii="宋体" w:hAnsi="宋体" w:cs="宋体"/>
          <w:color w:val="auto"/>
          <w:kern w:val="0"/>
          <w:sz w:val="22"/>
          <w:szCs w:val="22"/>
          <w:highlight w:val="none"/>
        </w:rPr>
        <w:t>采用中华人民共和国住房和城乡建设部与中华人民共和国国家工商行政管理总局联合</w:t>
      </w:r>
      <w:r>
        <w:rPr>
          <w:rFonts w:ascii="宋体" w:hAnsi="宋体" w:cs="宋体"/>
          <w:color w:val="auto"/>
          <w:kern w:val="0"/>
          <w:sz w:val="22"/>
          <w:szCs w:val="22"/>
          <w:highlight w:val="none"/>
        </w:rPr>
        <w:t>制定的</w:t>
      </w:r>
      <w:r>
        <w:rPr>
          <w:rFonts w:hint="eastAsia" w:ascii="宋体" w:hAnsi="宋体" w:cs="宋体"/>
          <w:color w:val="auto"/>
          <w:kern w:val="0"/>
          <w:sz w:val="22"/>
          <w:szCs w:val="22"/>
          <w:highlight w:val="none"/>
        </w:rPr>
        <w:t>《建设工程施工合同（示范文本）》（GF-2017-0201）第二部分 通用</w:t>
      </w:r>
      <w:r>
        <w:rPr>
          <w:rFonts w:ascii="宋体" w:hAnsi="宋体" w:cs="宋体"/>
          <w:color w:val="auto"/>
          <w:kern w:val="0"/>
          <w:sz w:val="22"/>
          <w:szCs w:val="22"/>
          <w:highlight w:val="none"/>
        </w:rPr>
        <w:t>合同条款的</w:t>
      </w:r>
      <w:r>
        <w:rPr>
          <w:rFonts w:hint="eastAsia" w:ascii="宋体" w:hAnsi="宋体" w:cs="宋体"/>
          <w:color w:val="auto"/>
          <w:kern w:val="0"/>
          <w:sz w:val="22"/>
          <w:szCs w:val="22"/>
          <w:highlight w:val="none"/>
        </w:rPr>
        <w:t>内容（略）</w:t>
      </w:r>
      <w:r>
        <w:rPr>
          <w:rFonts w:ascii="宋体" w:hAnsi="宋体" w:cs="宋体"/>
          <w:color w:val="auto"/>
          <w:kern w:val="0"/>
          <w:sz w:val="22"/>
          <w:szCs w:val="22"/>
          <w:highlight w:val="none"/>
        </w:rPr>
        <w:t>。</w:t>
      </w:r>
    </w:p>
    <w:p w14:paraId="2B15FE15">
      <w:pPr>
        <w:spacing w:line="420" w:lineRule="exact"/>
        <w:ind w:firstLine="440" w:firstLineChars="200"/>
        <w:jc w:val="center"/>
        <w:rPr>
          <w:rFonts w:hint="eastAsia" w:ascii="宋体" w:hAnsi="宋体"/>
          <w:color w:val="auto"/>
          <w:sz w:val="22"/>
          <w:szCs w:val="22"/>
          <w:highlight w:val="none"/>
        </w:rPr>
      </w:pPr>
    </w:p>
    <w:p w14:paraId="05081A47">
      <w:pPr>
        <w:spacing w:line="420" w:lineRule="exact"/>
        <w:ind w:firstLine="440" w:firstLineChars="200"/>
        <w:jc w:val="center"/>
        <w:rPr>
          <w:rFonts w:hint="eastAsia" w:ascii="宋体" w:hAnsi="宋体"/>
          <w:color w:val="auto"/>
          <w:sz w:val="22"/>
          <w:szCs w:val="22"/>
          <w:highlight w:val="none"/>
        </w:rPr>
      </w:pPr>
    </w:p>
    <w:p w14:paraId="2648B495">
      <w:pPr>
        <w:spacing w:line="420" w:lineRule="exact"/>
        <w:ind w:firstLine="440" w:firstLineChars="200"/>
        <w:jc w:val="center"/>
        <w:rPr>
          <w:rFonts w:hint="eastAsia" w:ascii="宋体" w:hAnsi="宋体"/>
          <w:color w:val="auto"/>
          <w:sz w:val="22"/>
          <w:szCs w:val="22"/>
          <w:highlight w:val="none"/>
        </w:rPr>
      </w:pPr>
    </w:p>
    <w:p w14:paraId="22143B1F">
      <w:pPr>
        <w:spacing w:line="420" w:lineRule="exact"/>
        <w:ind w:firstLine="440" w:firstLineChars="200"/>
        <w:jc w:val="center"/>
        <w:rPr>
          <w:rFonts w:hint="eastAsia" w:ascii="宋体" w:hAnsi="宋体"/>
          <w:color w:val="auto"/>
          <w:sz w:val="22"/>
          <w:szCs w:val="22"/>
          <w:highlight w:val="none"/>
        </w:rPr>
      </w:pPr>
    </w:p>
    <w:p w14:paraId="4765DF4D">
      <w:pPr>
        <w:spacing w:line="420" w:lineRule="exact"/>
        <w:ind w:firstLine="440" w:firstLineChars="200"/>
        <w:jc w:val="center"/>
        <w:rPr>
          <w:rFonts w:hint="eastAsia" w:ascii="宋体" w:hAnsi="宋体"/>
          <w:color w:val="auto"/>
          <w:sz w:val="22"/>
          <w:szCs w:val="22"/>
          <w:highlight w:val="none"/>
        </w:rPr>
      </w:pPr>
    </w:p>
    <w:p w14:paraId="494F539D">
      <w:pPr>
        <w:spacing w:line="420" w:lineRule="exact"/>
        <w:ind w:firstLine="440" w:firstLineChars="200"/>
        <w:jc w:val="center"/>
        <w:rPr>
          <w:rFonts w:hint="eastAsia" w:ascii="宋体" w:hAnsi="宋体"/>
          <w:color w:val="auto"/>
          <w:sz w:val="22"/>
          <w:szCs w:val="22"/>
          <w:highlight w:val="none"/>
        </w:rPr>
      </w:pPr>
    </w:p>
    <w:p w14:paraId="363627B0">
      <w:pPr>
        <w:spacing w:line="420" w:lineRule="exact"/>
        <w:ind w:firstLine="440" w:firstLineChars="200"/>
        <w:jc w:val="center"/>
        <w:rPr>
          <w:rFonts w:hint="eastAsia" w:ascii="宋体" w:hAnsi="宋体"/>
          <w:color w:val="auto"/>
          <w:sz w:val="22"/>
          <w:szCs w:val="22"/>
          <w:highlight w:val="none"/>
        </w:rPr>
      </w:pPr>
    </w:p>
    <w:p w14:paraId="6F35AAD8">
      <w:pPr>
        <w:spacing w:line="420" w:lineRule="exact"/>
        <w:ind w:firstLine="440" w:firstLineChars="200"/>
        <w:jc w:val="center"/>
        <w:rPr>
          <w:rFonts w:hint="eastAsia" w:ascii="宋体" w:hAnsi="宋体"/>
          <w:color w:val="auto"/>
          <w:sz w:val="22"/>
          <w:szCs w:val="22"/>
          <w:highlight w:val="none"/>
        </w:rPr>
      </w:pPr>
    </w:p>
    <w:p w14:paraId="54FFBA92">
      <w:pPr>
        <w:spacing w:line="420" w:lineRule="exact"/>
        <w:ind w:firstLine="440" w:firstLineChars="200"/>
        <w:jc w:val="center"/>
        <w:rPr>
          <w:rFonts w:hint="eastAsia" w:ascii="宋体" w:hAnsi="宋体"/>
          <w:color w:val="auto"/>
          <w:sz w:val="22"/>
          <w:szCs w:val="22"/>
          <w:highlight w:val="none"/>
        </w:rPr>
      </w:pPr>
    </w:p>
    <w:p w14:paraId="04D08B58">
      <w:pPr>
        <w:spacing w:line="420" w:lineRule="exact"/>
        <w:ind w:firstLine="440" w:firstLineChars="200"/>
        <w:jc w:val="center"/>
        <w:rPr>
          <w:rFonts w:hint="eastAsia" w:ascii="宋体" w:hAnsi="宋体"/>
          <w:color w:val="auto"/>
          <w:sz w:val="22"/>
          <w:szCs w:val="22"/>
          <w:highlight w:val="none"/>
        </w:rPr>
      </w:pPr>
    </w:p>
    <w:p w14:paraId="2F9A70F7">
      <w:pPr>
        <w:spacing w:line="420" w:lineRule="exact"/>
        <w:ind w:firstLine="440" w:firstLineChars="200"/>
        <w:jc w:val="center"/>
        <w:rPr>
          <w:rFonts w:hint="eastAsia" w:ascii="宋体" w:hAnsi="宋体"/>
          <w:color w:val="auto"/>
          <w:sz w:val="22"/>
          <w:szCs w:val="22"/>
          <w:highlight w:val="none"/>
        </w:rPr>
      </w:pPr>
    </w:p>
    <w:p w14:paraId="7B0ADF5D">
      <w:pPr>
        <w:spacing w:line="420" w:lineRule="exact"/>
        <w:ind w:firstLine="440" w:firstLineChars="200"/>
        <w:jc w:val="center"/>
        <w:rPr>
          <w:rFonts w:hint="eastAsia" w:ascii="宋体" w:hAnsi="宋体"/>
          <w:color w:val="auto"/>
          <w:sz w:val="22"/>
          <w:szCs w:val="22"/>
          <w:highlight w:val="none"/>
        </w:rPr>
      </w:pPr>
    </w:p>
    <w:p w14:paraId="4D49BF92">
      <w:pPr>
        <w:spacing w:line="420" w:lineRule="exact"/>
        <w:ind w:firstLine="440" w:firstLineChars="200"/>
        <w:jc w:val="center"/>
        <w:rPr>
          <w:rFonts w:hint="eastAsia" w:ascii="宋体" w:hAnsi="宋体"/>
          <w:color w:val="auto"/>
          <w:sz w:val="22"/>
          <w:szCs w:val="22"/>
          <w:highlight w:val="none"/>
        </w:rPr>
      </w:pPr>
    </w:p>
    <w:p w14:paraId="3E8589D6">
      <w:pPr>
        <w:spacing w:line="420" w:lineRule="exact"/>
        <w:ind w:firstLine="440" w:firstLineChars="200"/>
        <w:jc w:val="center"/>
        <w:rPr>
          <w:rFonts w:hint="eastAsia" w:ascii="宋体" w:hAnsi="宋体"/>
          <w:color w:val="auto"/>
          <w:sz w:val="22"/>
          <w:szCs w:val="22"/>
          <w:highlight w:val="none"/>
        </w:rPr>
      </w:pPr>
    </w:p>
    <w:p w14:paraId="1430B96B">
      <w:pPr>
        <w:spacing w:line="420" w:lineRule="exact"/>
        <w:ind w:firstLine="440" w:firstLineChars="200"/>
        <w:jc w:val="center"/>
        <w:rPr>
          <w:rFonts w:hint="eastAsia" w:ascii="宋体" w:hAnsi="宋体"/>
          <w:color w:val="auto"/>
          <w:sz w:val="22"/>
          <w:szCs w:val="22"/>
          <w:highlight w:val="none"/>
        </w:rPr>
      </w:pPr>
    </w:p>
    <w:p w14:paraId="0EC04E59">
      <w:pPr>
        <w:spacing w:line="420" w:lineRule="exact"/>
        <w:ind w:firstLine="440" w:firstLineChars="200"/>
        <w:jc w:val="center"/>
        <w:rPr>
          <w:rFonts w:hint="eastAsia" w:ascii="宋体" w:hAnsi="宋体"/>
          <w:color w:val="auto"/>
          <w:sz w:val="22"/>
          <w:szCs w:val="22"/>
          <w:highlight w:val="none"/>
        </w:rPr>
      </w:pPr>
    </w:p>
    <w:p w14:paraId="2C6C3D73">
      <w:pPr>
        <w:spacing w:line="420" w:lineRule="exact"/>
        <w:ind w:firstLine="440" w:firstLineChars="200"/>
        <w:jc w:val="center"/>
        <w:rPr>
          <w:rFonts w:hint="eastAsia" w:ascii="宋体" w:hAnsi="宋体"/>
          <w:color w:val="auto"/>
          <w:sz w:val="22"/>
          <w:szCs w:val="22"/>
          <w:highlight w:val="none"/>
        </w:rPr>
      </w:pPr>
    </w:p>
    <w:p w14:paraId="2562DB98">
      <w:pPr>
        <w:spacing w:line="420" w:lineRule="exact"/>
        <w:ind w:firstLine="440" w:firstLineChars="200"/>
        <w:jc w:val="center"/>
        <w:rPr>
          <w:rFonts w:hint="eastAsia" w:ascii="宋体" w:hAnsi="宋体"/>
          <w:color w:val="auto"/>
          <w:sz w:val="22"/>
          <w:szCs w:val="22"/>
          <w:highlight w:val="none"/>
        </w:rPr>
      </w:pPr>
    </w:p>
    <w:p w14:paraId="57B34197">
      <w:pPr>
        <w:spacing w:line="420" w:lineRule="exact"/>
        <w:ind w:firstLine="440" w:firstLineChars="200"/>
        <w:jc w:val="center"/>
        <w:rPr>
          <w:rFonts w:hint="eastAsia" w:ascii="宋体" w:hAnsi="宋体"/>
          <w:color w:val="auto"/>
          <w:sz w:val="22"/>
          <w:szCs w:val="22"/>
          <w:highlight w:val="none"/>
        </w:rPr>
      </w:pPr>
    </w:p>
    <w:p w14:paraId="3AE6BA08">
      <w:pPr>
        <w:spacing w:line="420" w:lineRule="exact"/>
        <w:ind w:firstLine="440" w:firstLineChars="200"/>
        <w:jc w:val="center"/>
        <w:rPr>
          <w:rFonts w:hint="eastAsia" w:ascii="宋体" w:hAnsi="宋体"/>
          <w:color w:val="auto"/>
          <w:sz w:val="22"/>
          <w:szCs w:val="22"/>
          <w:highlight w:val="none"/>
        </w:rPr>
      </w:pPr>
    </w:p>
    <w:p w14:paraId="44FFCE25">
      <w:pPr>
        <w:spacing w:line="420" w:lineRule="exact"/>
        <w:ind w:firstLine="440" w:firstLineChars="200"/>
        <w:jc w:val="center"/>
        <w:rPr>
          <w:rFonts w:hint="eastAsia" w:ascii="宋体" w:hAnsi="宋体"/>
          <w:color w:val="auto"/>
          <w:sz w:val="22"/>
          <w:szCs w:val="22"/>
          <w:highlight w:val="none"/>
        </w:rPr>
      </w:pPr>
    </w:p>
    <w:p w14:paraId="3216224E">
      <w:pPr>
        <w:spacing w:line="420" w:lineRule="exact"/>
        <w:ind w:firstLine="440" w:firstLineChars="200"/>
        <w:jc w:val="center"/>
        <w:rPr>
          <w:rFonts w:hint="eastAsia" w:ascii="宋体" w:hAnsi="宋体"/>
          <w:color w:val="auto"/>
          <w:sz w:val="22"/>
          <w:szCs w:val="22"/>
          <w:highlight w:val="none"/>
        </w:rPr>
      </w:pPr>
    </w:p>
    <w:p w14:paraId="6811CA0F">
      <w:pPr>
        <w:spacing w:line="420" w:lineRule="exact"/>
        <w:ind w:firstLine="440" w:firstLineChars="200"/>
        <w:jc w:val="center"/>
        <w:rPr>
          <w:rFonts w:hint="eastAsia" w:ascii="宋体" w:hAnsi="宋体"/>
          <w:color w:val="auto"/>
          <w:sz w:val="22"/>
          <w:szCs w:val="22"/>
          <w:highlight w:val="none"/>
        </w:rPr>
      </w:pPr>
    </w:p>
    <w:p w14:paraId="23ED5775">
      <w:pPr>
        <w:spacing w:line="420" w:lineRule="exact"/>
        <w:ind w:firstLine="440" w:firstLineChars="200"/>
        <w:jc w:val="center"/>
        <w:rPr>
          <w:rFonts w:hint="eastAsia" w:ascii="宋体" w:hAnsi="宋体"/>
          <w:color w:val="auto"/>
          <w:sz w:val="22"/>
          <w:szCs w:val="22"/>
          <w:highlight w:val="none"/>
        </w:rPr>
      </w:pPr>
    </w:p>
    <w:p w14:paraId="4A00C5D2">
      <w:pPr>
        <w:spacing w:line="420" w:lineRule="exact"/>
        <w:ind w:firstLine="440" w:firstLineChars="200"/>
        <w:jc w:val="center"/>
        <w:rPr>
          <w:rFonts w:hint="eastAsia" w:ascii="宋体" w:hAnsi="宋体"/>
          <w:color w:val="auto"/>
          <w:sz w:val="22"/>
          <w:szCs w:val="22"/>
          <w:highlight w:val="none"/>
        </w:rPr>
      </w:pPr>
    </w:p>
    <w:p w14:paraId="42621E54">
      <w:pPr>
        <w:spacing w:line="420" w:lineRule="exact"/>
        <w:ind w:firstLine="440" w:firstLineChars="200"/>
        <w:jc w:val="center"/>
        <w:rPr>
          <w:rFonts w:hint="eastAsia" w:ascii="宋体" w:hAnsi="宋体"/>
          <w:color w:val="auto"/>
          <w:sz w:val="22"/>
          <w:szCs w:val="22"/>
          <w:highlight w:val="none"/>
        </w:rPr>
      </w:pPr>
    </w:p>
    <w:p w14:paraId="013434CA">
      <w:pPr>
        <w:spacing w:line="420" w:lineRule="exact"/>
        <w:jc w:val="both"/>
        <w:rPr>
          <w:rFonts w:hint="eastAsia" w:ascii="宋体" w:hAnsi="宋体"/>
          <w:color w:val="auto"/>
          <w:sz w:val="22"/>
          <w:szCs w:val="22"/>
          <w:highlight w:val="none"/>
        </w:rPr>
      </w:pPr>
    </w:p>
    <w:p w14:paraId="43486567">
      <w:pPr>
        <w:spacing w:line="420" w:lineRule="exact"/>
        <w:ind w:firstLine="440" w:firstLineChars="200"/>
        <w:jc w:val="center"/>
        <w:rPr>
          <w:rFonts w:hint="eastAsia" w:ascii="宋体" w:hAnsi="宋体"/>
          <w:color w:val="auto"/>
          <w:sz w:val="22"/>
          <w:szCs w:val="22"/>
          <w:highlight w:val="none"/>
        </w:rPr>
      </w:pPr>
    </w:p>
    <w:bookmarkEnd w:id="359"/>
    <w:bookmarkEnd w:id="360"/>
    <w:bookmarkEnd w:id="361"/>
    <w:p w14:paraId="64B18776">
      <w:pPr>
        <w:ind w:firstLine="442" w:firstLineChars="200"/>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第三部分  专用合同条款</w:t>
      </w:r>
    </w:p>
    <w:p w14:paraId="316E4EC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62" w:name="_Toc338072750"/>
      <w:bookmarkStart w:id="363" w:name="_Toc335394151"/>
      <w:bookmarkStart w:id="364" w:name="_Toc337569263"/>
      <w:r>
        <w:rPr>
          <w:rFonts w:hint="eastAsia" w:ascii="宋体" w:hAnsi="宋体" w:cs="宋体"/>
          <w:color w:val="auto"/>
          <w:sz w:val="22"/>
          <w:szCs w:val="22"/>
          <w:highlight w:val="none"/>
        </w:rPr>
        <w:t>1. 一般约定</w:t>
      </w:r>
      <w:bookmarkEnd w:id="362"/>
      <w:bookmarkEnd w:id="363"/>
      <w:bookmarkEnd w:id="364"/>
    </w:p>
    <w:p w14:paraId="231495E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65" w:name="_Toc337569264"/>
      <w:bookmarkStart w:id="366" w:name="_Toc338072751"/>
      <w:r>
        <w:rPr>
          <w:rFonts w:hint="eastAsia" w:ascii="宋体" w:hAnsi="宋体" w:cs="宋体"/>
          <w:color w:val="auto"/>
          <w:sz w:val="22"/>
          <w:szCs w:val="22"/>
          <w:highlight w:val="none"/>
        </w:rPr>
        <w:t>1.1  词语定义</w:t>
      </w:r>
      <w:bookmarkEnd w:id="365"/>
      <w:bookmarkEnd w:id="366"/>
    </w:p>
    <w:p w14:paraId="0E8EC73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  合同当事人和人员</w:t>
      </w:r>
    </w:p>
    <w:p w14:paraId="747060BB">
      <w:pPr>
        <w:keepNext w:val="0"/>
        <w:keepLines w:val="0"/>
        <w:pageBreakBefore w:val="0"/>
        <w:kinsoku/>
        <w:wordWrap/>
        <w:overflowPunct/>
        <w:topLinePunct w:val="0"/>
        <w:bidi w:val="0"/>
        <w:adjustRightInd w:val="0"/>
        <w:snapToGrid w:val="0"/>
        <w:spacing w:line="400" w:lineRule="exact"/>
        <w:ind w:firstLine="440" w:firstLineChars="200"/>
        <w:textAlignment w:val="auto"/>
        <w:rPr>
          <w:rFonts w:ascii="宋体" w:hAnsi="宋体" w:cs="宋体"/>
          <w:color w:val="auto"/>
          <w:sz w:val="22"/>
          <w:szCs w:val="22"/>
          <w:highlight w:val="none"/>
          <w:u w:val="single"/>
        </w:rPr>
      </w:pPr>
      <w:r>
        <w:rPr>
          <w:rFonts w:hint="eastAsia" w:ascii="宋体" w:hAnsi="宋体" w:cs="宋体"/>
          <w:color w:val="auto"/>
          <w:sz w:val="22"/>
          <w:szCs w:val="22"/>
          <w:highlight w:val="none"/>
        </w:rPr>
        <w:t>1.1.2.2  发包人：</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s="宋体"/>
          <w:b/>
          <w:color w:val="auto"/>
          <w:sz w:val="22"/>
          <w:szCs w:val="22"/>
          <w:highlight w:val="none"/>
          <w:u w:val="single"/>
          <w:lang w:val="en-US" w:eastAsia="zh-CN"/>
        </w:rPr>
        <w:t xml:space="preserve">                  </w:t>
      </w:r>
      <w:r>
        <w:rPr>
          <w:rFonts w:hint="eastAsia" w:ascii="宋体" w:hAnsi="宋体" w:cs="宋体"/>
          <w:b/>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u w:val="single"/>
        </w:rPr>
        <w:t xml:space="preserve">  </w:t>
      </w:r>
    </w:p>
    <w:p w14:paraId="49A797B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1.1.2.3  承包人：</w:t>
      </w:r>
      <w:r>
        <w:rPr>
          <w:rFonts w:hint="eastAsia" w:ascii="宋体" w:hAnsi="宋体" w:cs="宋体"/>
          <w:color w:val="auto"/>
          <w:sz w:val="22"/>
          <w:szCs w:val="22"/>
          <w:highlight w:val="none"/>
          <w:u w:val="single"/>
        </w:rPr>
        <w:t xml:space="preserve">   </w:t>
      </w:r>
      <w:r>
        <w:rPr>
          <w:rFonts w:hint="eastAsia" w:ascii="宋体" w:hAnsi="宋体" w:cs="宋体"/>
          <w:b/>
          <w:color w:val="auto"/>
          <w:sz w:val="22"/>
          <w:szCs w:val="22"/>
          <w:highlight w:val="none"/>
          <w:u w:val="single"/>
          <w:lang w:val="en-US" w:eastAsia="zh-CN"/>
        </w:rPr>
        <w:t xml:space="preserve">                  </w:t>
      </w:r>
      <w:r>
        <w:rPr>
          <w:rFonts w:hint="eastAsia" w:ascii="宋体" w:hAnsi="宋体" w:cs="宋体"/>
          <w:b/>
          <w:color w:val="auto"/>
          <w:sz w:val="22"/>
          <w:szCs w:val="22"/>
          <w:highlight w:val="none"/>
          <w:u w:val="single"/>
        </w:rPr>
        <w:t xml:space="preserve">   </w:t>
      </w:r>
      <w:r>
        <w:rPr>
          <w:rFonts w:hint="eastAsia" w:ascii="宋体" w:hAnsi="宋体" w:cs="宋体"/>
          <w:color w:val="auto"/>
          <w:sz w:val="22"/>
          <w:szCs w:val="22"/>
          <w:highlight w:val="none"/>
          <w:u w:val="single"/>
        </w:rPr>
        <w:t xml:space="preserve">      </w:t>
      </w:r>
    </w:p>
    <w:p w14:paraId="0E9E058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1.1.2.4  发包人现场代表：</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4FD36397">
      <w:pPr>
        <w:keepNext w:val="0"/>
        <w:keepLines w:val="0"/>
        <w:pageBreakBefore w:val="0"/>
        <w:tabs>
          <w:tab w:val="left" w:pos="7775"/>
        </w:tabs>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1.1.2.5  承包人项目经理：</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r>
        <w:rPr>
          <w:rFonts w:hint="eastAsia" w:ascii="宋体" w:hAnsi="宋体" w:cs="宋体"/>
          <w:color w:val="auto"/>
          <w:sz w:val="22"/>
          <w:szCs w:val="22"/>
          <w:highlight w:val="none"/>
        </w:rPr>
        <w:tab/>
      </w:r>
    </w:p>
    <w:p w14:paraId="7D7FDC8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1.1.2.6  监理单位：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p>
    <w:p w14:paraId="05FBA9E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1.1.2.7  总监理工程师：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p>
    <w:p w14:paraId="7C6B2AE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1.1.2.8  全过程造价控制审核单位：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p>
    <w:p w14:paraId="51B73C0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1.1.2.9  设计单位：</w:t>
      </w:r>
      <w:r>
        <w:rPr>
          <w:rFonts w:hint="eastAsia" w:ascii="宋体" w:hAnsi="宋体" w:cs="宋体"/>
          <w:color w:val="auto"/>
          <w:sz w:val="22"/>
          <w:szCs w:val="22"/>
          <w:highlight w:val="none"/>
          <w:u w:val="single"/>
        </w:rPr>
        <w:t xml:space="preserve"> </w:t>
      </w:r>
      <w:r>
        <w:rPr>
          <w:rFonts w:hint="eastAsia" w:ascii="宋体" w:hAnsi="宋体" w:cs="仿宋_GB2312"/>
          <w:color w:val="auto"/>
          <w:sz w:val="22"/>
          <w:szCs w:val="22"/>
          <w:highlight w:val="none"/>
          <w:u w:val="single"/>
        </w:rPr>
        <w:t xml:space="preserve">         </w:t>
      </w:r>
      <w:r>
        <w:rPr>
          <w:rFonts w:hint="eastAsia" w:ascii="宋体" w:hAnsi="宋体" w:cs="仿宋_GB2312"/>
          <w:color w:val="auto"/>
          <w:sz w:val="22"/>
          <w:szCs w:val="22"/>
          <w:highlight w:val="none"/>
          <w:u w:val="single"/>
          <w:lang w:val="en-US" w:eastAsia="zh-CN"/>
        </w:rPr>
        <w:t xml:space="preserve">      </w:t>
      </w:r>
      <w:r>
        <w:rPr>
          <w:rFonts w:hint="eastAsia" w:ascii="宋体" w:hAnsi="宋体" w:cs="仿宋_GB2312"/>
          <w:color w:val="auto"/>
          <w:sz w:val="22"/>
          <w:szCs w:val="22"/>
          <w:highlight w:val="none"/>
          <w:u w:val="single"/>
        </w:rPr>
        <w:t xml:space="preserve">          </w:t>
      </w:r>
      <w:r>
        <w:rPr>
          <w:rFonts w:hint="eastAsia" w:ascii="宋体" w:hAnsi="宋体" w:cs="宋体"/>
          <w:color w:val="auto"/>
          <w:sz w:val="22"/>
          <w:szCs w:val="22"/>
          <w:highlight w:val="none"/>
          <w:u w:val="single"/>
        </w:rPr>
        <w:t xml:space="preserve">  </w:t>
      </w:r>
    </w:p>
    <w:p w14:paraId="419CEDD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1.1.3  工程和设备</w:t>
      </w:r>
    </w:p>
    <w:p w14:paraId="550468A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1.1.3.2  永久工程：</w:t>
      </w:r>
      <w:r>
        <w:rPr>
          <w:rFonts w:hint="eastAsia" w:ascii="宋体" w:hAnsi="宋体" w:cs="宋体"/>
          <w:color w:val="auto"/>
          <w:sz w:val="22"/>
          <w:szCs w:val="22"/>
          <w:highlight w:val="none"/>
          <w:u w:val="single"/>
        </w:rPr>
        <w:t xml:space="preserve">按本合同通用条款 </w:t>
      </w:r>
    </w:p>
    <w:p w14:paraId="7655840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1.1.3.3  临时工程：</w:t>
      </w:r>
      <w:r>
        <w:rPr>
          <w:rFonts w:hint="eastAsia" w:ascii="宋体" w:hAnsi="宋体" w:cs="宋体"/>
          <w:color w:val="auto"/>
          <w:sz w:val="22"/>
          <w:szCs w:val="22"/>
          <w:highlight w:val="none"/>
          <w:u w:val="single"/>
        </w:rPr>
        <w:t xml:space="preserve">按本合同通用条款 </w:t>
      </w:r>
    </w:p>
    <w:p w14:paraId="7917A70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1.1.3.4  单位工程：</w:t>
      </w:r>
      <w:r>
        <w:rPr>
          <w:rFonts w:hint="eastAsia" w:ascii="宋体" w:hAnsi="宋体" w:cs="宋体"/>
          <w:color w:val="auto"/>
          <w:sz w:val="22"/>
          <w:szCs w:val="22"/>
          <w:highlight w:val="none"/>
          <w:u w:val="single"/>
        </w:rPr>
        <w:t xml:space="preserve">按本合同通用条款 </w:t>
      </w:r>
    </w:p>
    <w:p w14:paraId="50A5CC6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1.1.3.11  临时占地：</w:t>
      </w:r>
      <w:r>
        <w:rPr>
          <w:rFonts w:hint="eastAsia" w:ascii="宋体" w:hAnsi="宋体" w:cs="宋体"/>
          <w:color w:val="auto"/>
          <w:sz w:val="22"/>
          <w:szCs w:val="22"/>
          <w:highlight w:val="none"/>
          <w:u w:val="single"/>
        </w:rPr>
        <w:t>由承包人按照招标文件和根据现场实际情况决定，如果有，发生的费用由承包人自行承担。</w:t>
      </w:r>
    </w:p>
    <w:p w14:paraId="5059436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1.1.4  日期</w:t>
      </w:r>
    </w:p>
    <w:p w14:paraId="6AEA028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1.1.4.5 缺陷责任期（即质保期）：</w:t>
      </w:r>
      <w:r>
        <w:rPr>
          <w:rFonts w:hint="eastAsia" w:ascii="宋体" w:hAnsi="宋体" w:cs="宋体"/>
          <w:color w:val="auto"/>
          <w:sz w:val="22"/>
          <w:szCs w:val="22"/>
          <w:highlight w:val="none"/>
          <w:u w:val="single"/>
          <w:lang w:val="en-US" w:eastAsia="zh-CN"/>
        </w:rPr>
        <w:t>24</w:t>
      </w:r>
      <w:r>
        <w:rPr>
          <w:rFonts w:hint="eastAsia" w:ascii="宋体" w:hAnsi="宋体" w:cs="宋体"/>
          <w:color w:val="auto"/>
          <w:sz w:val="22"/>
          <w:szCs w:val="22"/>
          <w:highlight w:val="none"/>
          <w:u w:val="single"/>
        </w:rPr>
        <w:t xml:space="preserve">个月 </w:t>
      </w:r>
    </w:p>
    <w:p w14:paraId="4E731A6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67" w:name="_Toc337569265"/>
      <w:bookmarkStart w:id="368" w:name="_Toc338072752"/>
      <w:r>
        <w:rPr>
          <w:rFonts w:hint="eastAsia" w:ascii="宋体" w:hAnsi="宋体" w:cs="宋体"/>
          <w:color w:val="auto"/>
          <w:sz w:val="22"/>
          <w:szCs w:val="22"/>
          <w:highlight w:val="none"/>
        </w:rPr>
        <w:t>1.2  合同文件的优先顺序</w:t>
      </w:r>
      <w:bookmarkEnd w:id="367"/>
      <w:bookmarkEnd w:id="368"/>
    </w:p>
    <w:p w14:paraId="1F27A61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合同文件组成及解释顺序：</w:t>
      </w:r>
    </w:p>
    <w:p w14:paraId="74E00BEF">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(1)合同协议书；</w:t>
      </w:r>
    </w:p>
    <w:p w14:paraId="792CBB87">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(2)中标通知书；</w:t>
      </w:r>
    </w:p>
    <w:p w14:paraId="5C425C6C">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(3)投标函及投标函附录；</w:t>
      </w:r>
    </w:p>
    <w:p w14:paraId="13C89668">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(4)专用合同条款；</w:t>
      </w:r>
    </w:p>
    <w:p w14:paraId="62EC4026">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(5)通用合同条款；</w:t>
      </w:r>
    </w:p>
    <w:p w14:paraId="0E13EB54">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(6)技术标准和要求；</w:t>
      </w:r>
    </w:p>
    <w:p w14:paraId="581B20E7">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(7)图纸（设计交底、图纸会审、设计变更通知、工程洽商或技术核定单等）；</w:t>
      </w:r>
    </w:p>
    <w:p w14:paraId="7E643927">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(8)已标价工程量清单；</w:t>
      </w:r>
    </w:p>
    <w:p w14:paraId="6AF882BE">
      <w:pPr>
        <w:keepNext w:val="0"/>
        <w:keepLines w:val="0"/>
        <w:pageBreakBefore w:val="0"/>
        <w:kinsoku/>
        <w:wordWrap/>
        <w:overflowPunct/>
        <w:topLinePunct w:val="0"/>
        <w:bidi w:val="0"/>
        <w:adjustRightInd w:val="0"/>
        <w:snapToGrid w:val="0"/>
        <w:spacing w:line="400" w:lineRule="exact"/>
        <w:ind w:firstLine="407" w:firstLineChars="18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(9)招标文件及经双方认可的其他合同文件。</w:t>
      </w:r>
    </w:p>
    <w:p w14:paraId="5E432DB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双方有关工程的洽商、变更等书面协议或文件，经双方同意后视为本合同的组成部分。</w:t>
      </w:r>
    </w:p>
    <w:p w14:paraId="0543CB1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上述文件互相补充和解释，如有不明确或不一致之处，以本合同约定次序在先者为准。</w:t>
      </w:r>
    </w:p>
    <w:p w14:paraId="7F133DF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69" w:name="_Toc337569266"/>
      <w:bookmarkStart w:id="370" w:name="_Toc338072753"/>
      <w:r>
        <w:rPr>
          <w:rFonts w:hint="eastAsia" w:ascii="宋体" w:hAnsi="宋体" w:cs="宋体"/>
          <w:color w:val="auto"/>
          <w:sz w:val="22"/>
          <w:szCs w:val="22"/>
          <w:highlight w:val="none"/>
        </w:rPr>
        <w:t>1.3  合同生效的条件</w:t>
      </w:r>
      <w:bookmarkEnd w:id="369"/>
      <w:bookmarkEnd w:id="370"/>
    </w:p>
    <w:p w14:paraId="65B0260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双方签字盖章合同生效。</w:t>
      </w:r>
    </w:p>
    <w:p w14:paraId="4C8670B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  图纸和承包人文件</w:t>
      </w:r>
    </w:p>
    <w:p w14:paraId="2C8DF74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1.4.1  发包人提供图纸的期限、数量：开工前十天向承包人提供图纸贰套。</w:t>
      </w:r>
    </w:p>
    <w:p w14:paraId="2998090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1.4.2  承包人提供的文件范围：除通用条款要求外，还包括施工组织设计和进度计划文件（含电子文档）等。</w:t>
      </w:r>
    </w:p>
    <w:p w14:paraId="74C1135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1.4.3  监理人签发图纸修改的期限：</w:t>
      </w:r>
      <w:r>
        <w:rPr>
          <w:rFonts w:hint="eastAsia" w:ascii="宋体" w:hAnsi="宋体" w:cs="宋体"/>
          <w:color w:val="auto"/>
          <w:sz w:val="22"/>
          <w:szCs w:val="22"/>
          <w:highlight w:val="none"/>
          <w:u w:val="single"/>
        </w:rPr>
        <w:t>不少于该项工作施工前2天。</w:t>
      </w:r>
    </w:p>
    <w:p w14:paraId="4FA6363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  联络</w:t>
      </w:r>
    </w:p>
    <w:p w14:paraId="38CFD9A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1.5.1  联络送达的期限：与合同有关的通知、批准、证明、证书、指示、要求、请求、同意、意见、确定和决定以及相关各类文件等在正式签发后1天内送达有关接收人，并办理签收手续。</w:t>
      </w:r>
    </w:p>
    <w:p w14:paraId="36B9A95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  发包人义务</w:t>
      </w:r>
    </w:p>
    <w:p w14:paraId="604EAC0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2.1 按通用条款执行</w:t>
      </w:r>
    </w:p>
    <w:p w14:paraId="4F09D6F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2.2 提供施工场地</w:t>
      </w:r>
    </w:p>
    <w:p w14:paraId="64D10D3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发包人提供施工场地和有关资料的时间：</w:t>
      </w:r>
    </w:p>
    <w:p w14:paraId="690CEB6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（1）施工场地具备施工条件的要求及完成的时间：</w:t>
      </w:r>
      <w:r>
        <w:rPr>
          <w:rFonts w:hint="eastAsia" w:ascii="宋体" w:hAnsi="宋体" w:cs="宋体"/>
          <w:color w:val="auto"/>
          <w:sz w:val="22"/>
          <w:szCs w:val="22"/>
          <w:highlight w:val="none"/>
          <w:u w:val="single"/>
        </w:rPr>
        <w:t>工程开工前完成，满足施工要求。</w:t>
      </w:r>
      <w:r>
        <w:rPr>
          <w:rFonts w:hint="eastAsia" w:ascii="宋体" w:hAnsi="宋体" w:cs="宋体"/>
          <w:color w:val="auto"/>
          <w:sz w:val="22"/>
          <w:szCs w:val="22"/>
          <w:highlight w:val="none"/>
        </w:rPr>
        <w:t xml:space="preserve">                           </w:t>
      </w:r>
    </w:p>
    <w:p w14:paraId="363630C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（2）将施工所需的水、电接至施工场地的时间、地点和供应要求：</w:t>
      </w:r>
      <w:r>
        <w:rPr>
          <w:rFonts w:hint="eastAsia" w:ascii="宋体" w:hAnsi="宋体" w:cs="宋体"/>
          <w:color w:val="auto"/>
          <w:sz w:val="22"/>
          <w:szCs w:val="22"/>
          <w:highlight w:val="none"/>
          <w:u w:val="single"/>
        </w:rPr>
        <w:t>满足施工要求。</w:t>
      </w:r>
    </w:p>
    <w:p w14:paraId="3727CA2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（3）施工场地与公共道路的通道开通时间和要求：</w:t>
      </w:r>
      <w:r>
        <w:rPr>
          <w:rFonts w:hint="eastAsia" w:ascii="宋体" w:hAnsi="宋体" w:cs="宋体"/>
          <w:color w:val="auto"/>
          <w:sz w:val="22"/>
          <w:szCs w:val="22"/>
          <w:highlight w:val="none"/>
          <w:u w:val="single"/>
        </w:rPr>
        <w:t xml:space="preserve">满足施工要求 </w:t>
      </w:r>
      <w:r>
        <w:rPr>
          <w:rFonts w:hint="eastAsia" w:ascii="宋体" w:hAnsi="宋体" w:cs="宋体"/>
          <w:color w:val="auto"/>
          <w:sz w:val="22"/>
          <w:szCs w:val="22"/>
          <w:highlight w:val="none"/>
        </w:rPr>
        <w:t xml:space="preserve">                        </w:t>
      </w:r>
    </w:p>
    <w:p w14:paraId="2FF6935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（4）工程地质资料和地下管线资料的提供时间：</w:t>
      </w:r>
      <w:r>
        <w:rPr>
          <w:rFonts w:hint="eastAsia" w:ascii="宋体" w:hAnsi="宋体" w:cs="宋体"/>
          <w:color w:val="auto"/>
          <w:sz w:val="22"/>
          <w:szCs w:val="22"/>
          <w:highlight w:val="none"/>
          <w:u w:val="single"/>
        </w:rPr>
        <w:t xml:space="preserve"> 工程开工前提供。</w:t>
      </w:r>
      <w:r>
        <w:rPr>
          <w:rFonts w:hint="eastAsia" w:ascii="宋体" w:hAnsi="宋体" w:cs="宋体"/>
          <w:color w:val="auto"/>
          <w:sz w:val="22"/>
          <w:szCs w:val="22"/>
          <w:highlight w:val="none"/>
        </w:rPr>
        <w:t xml:space="preserve">                            </w:t>
      </w:r>
    </w:p>
    <w:p w14:paraId="0D490E4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（5）由发包人办理的施工所需证件、批件的名称和完成时间：</w:t>
      </w:r>
      <w:r>
        <w:rPr>
          <w:rFonts w:hint="eastAsia" w:ascii="宋体" w:hAnsi="宋体" w:cs="宋体"/>
          <w:color w:val="auto"/>
          <w:sz w:val="22"/>
          <w:szCs w:val="22"/>
          <w:highlight w:val="none"/>
          <w:u w:val="single"/>
        </w:rPr>
        <w:t xml:space="preserve"> 合同签订后，发包人按规定及时向有关部门缴清各自应缴纳的费用，承包人应积极配合发包人及时办理相关手续。</w:t>
      </w:r>
      <w:r>
        <w:rPr>
          <w:rFonts w:hint="eastAsia" w:ascii="宋体" w:hAnsi="宋体" w:cs="宋体"/>
          <w:color w:val="auto"/>
          <w:sz w:val="22"/>
          <w:szCs w:val="22"/>
          <w:highlight w:val="none"/>
        </w:rPr>
        <w:t xml:space="preserve">   </w:t>
      </w:r>
    </w:p>
    <w:p w14:paraId="0B4B9A5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（6）水准点与坐标控制点交验要求：</w:t>
      </w:r>
      <w:r>
        <w:rPr>
          <w:rFonts w:hint="eastAsia" w:ascii="宋体" w:hAnsi="宋体" w:cs="宋体"/>
          <w:color w:val="auto"/>
          <w:sz w:val="22"/>
          <w:szCs w:val="22"/>
          <w:highlight w:val="none"/>
          <w:u w:val="single"/>
        </w:rPr>
        <w:t>放线办理、现场交验、书面交接。</w:t>
      </w:r>
    </w:p>
    <w:p w14:paraId="0147434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（7）图纸会审和设计交底时间：</w:t>
      </w:r>
      <w:r>
        <w:rPr>
          <w:rFonts w:hint="eastAsia" w:ascii="宋体" w:hAnsi="宋体" w:cs="宋体"/>
          <w:color w:val="auto"/>
          <w:sz w:val="22"/>
          <w:szCs w:val="22"/>
          <w:highlight w:val="none"/>
          <w:u w:val="single"/>
        </w:rPr>
        <w:t xml:space="preserve"> 施工图提交后7日内。</w:t>
      </w:r>
    </w:p>
    <w:p w14:paraId="0E5A009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（8）协调处理施工场地周围地下管线和邻近建筑物、构筑物（含文物保护建筑）、古树名木的保护工作：</w:t>
      </w:r>
      <w:r>
        <w:rPr>
          <w:rFonts w:hint="eastAsia" w:ascii="宋体" w:hAnsi="宋体" w:cs="宋体"/>
          <w:color w:val="auto"/>
          <w:sz w:val="22"/>
          <w:szCs w:val="22"/>
          <w:highlight w:val="none"/>
          <w:u w:val="single"/>
        </w:rPr>
        <w:t xml:space="preserve"> 由承包人负责 ，费用按各自应承担的责任分担。 </w:t>
      </w:r>
    </w:p>
    <w:p w14:paraId="0DBC47E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  监理人</w:t>
      </w:r>
    </w:p>
    <w:p w14:paraId="27A2050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3.1  监理人的职责和权力</w:t>
      </w:r>
    </w:p>
    <w:p w14:paraId="6BFFC9E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3.1.1  须经发包人事先批准行使的权力：</w:t>
      </w:r>
      <w:r>
        <w:rPr>
          <w:rFonts w:hint="eastAsia" w:ascii="宋体" w:hAnsi="宋体" w:cs="宋体"/>
          <w:color w:val="auto"/>
          <w:sz w:val="22"/>
          <w:szCs w:val="22"/>
          <w:highlight w:val="none"/>
          <w:u w:val="single"/>
        </w:rPr>
        <w:t>工程开工、停工、复工令的签发需经发包人书面同意，工期延长、材料设备认质核价、工程变更、现场签证、价款调整、工程计量与支付、索赔及与工程造价价款相关事宜等需经发包人核定和批准。</w:t>
      </w:r>
    </w:p>
    <w:p w14:paraId="65297F7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3.1.2  监理人的职责：</w:t>
      </w:r>
      <w:r>
        <w:rPr>
          <w:rFonts w:hint="eastAsia" w:ascii="宋体" w:hAnsi="宋体" w:cs="宋体"/>
          <w:color w:val="auto"/>
          <w:sz w:val="22"/>
          <w:szCs w:val="22"/>
          <w:highlight w:val="none"/>
          <w:u w:val="single"/>
        </w:rPr>
        <w:t>监理人按照与发包人签订的《监理合同》对工程质量、工程进度、工程投资、施工安全进行控制，对合同和信息进行管理以及施工现场的协调。工程设计变更、工程造价的变更、工程延期等需经发包人核定。代表发包人对工程质量、进度、投资进行控制，对合同和信息进行管理，对安全生产、文明施工、环保和环卫进行监督，并对现场施工组织进行协调，详见发包人与监理人签订的监理合同。</w:t>
      </w:r>
    </w:p>
    <w:p w14:paraId="4700687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发包人在工程施工过程中，授权监理人报发包人认可后对承包人如下行为进行适当的经济处罚，并按违约责任处理。</w:t>
      </w:r>
    </w:p>
    <w:p w14:paraId="0619676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（1）质量行为不规范，且经现场监理人员提出后在限期内仍不整改的；</w:t>
      </w:r>
    </w:p>
    <w:p w14:paraId="2930B0C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（2）安全行为不规范，且经现场监理人员提出后在限期内仍不整改的；</w:t>
      </w:r>
    </w:p>
    <w:p w14:paraId="1F9DF15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具体的违约处理办法按本合同22.1条及其他相关条款的约定</w:t>
      </w:r>
    </w:p>
    <w:p w14:paraId="580415E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  承包人</w:t>
      </w:r>
    </w:p>
    <w:p w14:paraId="6DF09AB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  承包人的一般义务</w:t>
      </w:r>
    </w:p>
    <w:p w14:paraId="4E67809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4.1.1 项目经理：</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p>
    <w:p w14:paraId="4707FCE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4.1.2 为他人提供方便</w:t>
      </w:r>
    </w:p>
    <w:p w14:paraId="53762AC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承包人为他人提供条件的内容：</w:t>
      </w:r>
    </w:p>
    <w:p w14:paraId="63F4BC3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（1）承包人入场后7天内应按合同文件要求向发包人、监理人、跟踪审核单位、勘察设计单位等提供办公场地。</w:t>
      </w:r>
    </w:p>
    <w:p w14:paraId="6828544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（2） 承包人为他人提供便利条件可能发生费用的处理方法：</w:t>
      </w:r>
      <w:r>
        <w:rPr>
          <w:rFonts w:hint="eastAsia" w:ascii="宋体" w:hAnsi="宋体" w:cs="宋体"/>
          <w:color w:val="auto"/>
          <w:sz w:val="22"/>
          <w:szCs w:val="22"/>
          <w:highlight w:val="none"/>
          <w:u w:val="single"/>
        </w:rPr>
        <w:t>由承包人承担，由此所发生的费用已进入本合同价款内。</w:t>
      </w:r>
    </w:p>
    <w:p w14:paraId="533D1AE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4.1.3 工程的维护和照管</w:t>
      </w:r>
    </w:p>
    <w:p w14:paraId="4067F39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竣工验收前工程的维护和照管费用由承包人承担，由此所发生的费用已进入本合同价款内。</w:t>
      </w:r>
    </w:p>
    <w:p w14:paraId="453430F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4.1.4 其他义务</w:t>
      </w:r>
    </w:p>
    <w:p w14:paraId="5144127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按照国家有关安全生产、文明施工、环境保护的法律、行政法规、部门规章，以及重庆市有关安全生产、文明施工、环境保护的地方法规、条例和规章，并遵照《重庆市房屋建筑和市政基础设施工程现场文明施工标准》（渝建发〔2008〕169号）的规定进行工程安全生产、文明施工和环境保护。</w:t>
      </w:r>
    </w:p>
    <w:p w14:paraId="08C913F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负责对施工所产生的建筑和生活垃圾的外运和倾倒，并严格执行《重庆市人民政府关于对主城区易撒漏物质实行密闭运输的通告》（市政府令第164号）的规定，由此所发生的费用已计入本合同价款内。如果承包人不按上述规定执行，发包人有权按照市政府令第164号对承包人进行责任追究。</w:t>
      </w:r>
    </w:p>
    <w:p w14:paraId="1D57B9F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（3）根据工程需要，提供和维修非夜间和夜间施工使用的所有照明、围栏设施，并负责现场安全保卫。</w:t>
      </w:r>
    </w:p>
    <w:p w14:paraId="5139D18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（4）负责做好施工场地和周围地上及地下管线等设施、文物、邻近建筑物及构筑物（含文物保护建筑）、青苗、古树名木及施工所用市政设施（道路、桥梁、给排水管网等）等的保护工作。</w:t>
      </w:r>
    </w:p>
    <w:p w14:paraId="4DA47C4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（5）按重庆市政府有关主管部门（包括建设、市政、公安、消防、交通、环保等部门）的规定办理施工中所需相关手续（如临时用地和占道、交通转换和管制、爆破作业、夜间施工等）。</w:t>
      </w:r>
    </w:p>
    <w:p w14:paraId="789EBE6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（6）确保施工不影响工程沿线正常交通、生产和生活，确保正常教学秩序，保证师生安全。</w:t>
      </w:r>
    </w:p>
    <w:p w14:paraId="4B6E2FD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（7）负责施工期间因雨季原因需采取的排水和降水措施。            </w:t>
      </w:r>
    </w:p>
    <w:p w14:paraId="4C66C74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8）为了不受市网停电影响延误工期，因市网连续停电48小时内，承包人应自行预备柴油发电机组，自备发电机的功率应与工程需用电力负荷相适应，确保施工期间能正常使用，由此产生的费用由承包人承担。如因市政管网连续停水48小时内，由承包人自行租用水车购水或准备抽水设备和蓄水池，并考虑水压不足的加压措施，由此产生的费用由承包人承担。</w:t>
      </w:r>
    </w:p>
    <w:p w14:paraId="53F814F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4.1.5 承包人须无条件提交民工工资结清证明，不得影响发包人办理竣工验收备案。</w:t>
      </w:r>
    </w:p>
    <w:p w14:paraId="78C9899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71" w:name="_Toc337569268"/>
      <w:bookmarkStart w:id="372" w:name="_Toc338072755"/>
      <w:r>
        <w:rPr>
          <w:rFonts w:hint="eastAsia" w:ascii="宋体" w:hAnsi="宋体" w:cs="宋体"/>
          <w:color w:val="auto"/>
          <w:sz w:val="22"/>
          <w:szCs w:val="22"/>
          <w:highlight w:val="none"/>
        </w:rPr>
        <w:t>4.2 履约担保金</w:t>
      </w:r>
    </w:p>
    <w:p w14:paraId="03A8110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1、履约担保的形式：银行转账或电汇或者金融机构、担保机构出具的保函；采用保函形式的，保函必须为不可撤销、不可转让且见索即付的独立保函</w:t>
      </w:r>
      <w:r>
        <w:rPr>
          <w:rFonts w:hint="eastAsia" w:ascii="宋体" w:hAnsi="宋体" w:cs="宋体"/>
          <w:color w:val="auto"/>
          <w:sz w:val="22"/>
          <w:szCs w:val="22"/>
          <w:highlight w:val="none"/>
          <w:lang w:eastAsia="zh-CN"/>
        </w:rPr>
        <w:t>；供应商采用银行转账方式递交</w:t>
      </w:r>
      <w:r>
        <w:rPr>
          <w:rFonts w:hint="eastAsia" w:ascii="宋体" w:hAnsi="宋体" w:cs="宋体"/>
          <w:color w:val="auto"/>
          <w:sz w:val="22"/>
          <w:szCs w:val="22"/>
          <w:highlight w:val="none"/>
          <w:lang w:val="en-US" w:eastAsia="zh-CN"/>
        </w:rPr>
        <w:t>履约</w:t>
      </w:r>
      <w:r>
        <w:rPr>
          <w:rFonts w:hint="eastAsia" w:ascii="宋体" w:hAnsi="宋体" w:cs="宋体"/>
          <w:color w:val="auto"/>
          <w:sz w:val="22"/>
          <w:szCs w:val="22"/>
          <w:highlight w:val="none"/>
          <w:lang w:eastAsia="zh-CN"/>
        </w:rPr>
        <w:t>保证金须从其基本账户将保证金汇至采购人指定账户，并注明“（项目名称）</w:t>
      </w:r>
      <w:r>
        <w:rPr>
          <w:rFonts w:hint="eastAsia" w:ascii="宋体" w:hAnsi="宋体" w:cs="宋体"/>
          <w:color w:val="auto"/>
          <w:sz w:val="22"/>
          <w:szCs w:val="22"/>
          <w:highlight w:val="none"/>
          <w:lang w:val="en-US" w:eastAsia="zh-CN"/>
        </w:rPr>
        <w:t>履约</w:t>
      </w:r>
      <w:r>
        <w:rPr>
          <w:rFonts w:hint="eastAsia" w:ascii="宋体" w:hAnsi="宋体" w:cs="宋体"/>
          <w:color w:val="auto"/>
          <w:sz w:val="22"/>
          <w:szCs w:val="22"/>
          <w:highlight w:val="none"/>
          <w:lang w:eastAsia="zh-CN"/>
        </w:rPr>
        <w:t>保证金”字样（项目名称可简写）</w:t>
      </w:r>
      <w:r>
        <w:rPr>
          <w:rFonts w:hint="eastAsia" w:ascii="宋体" w:hAnsi="宋体" w:cs="宋体"/>
          <w:color w:val="auto"/>
          <w:sz w:val="22"/>
          <w:szCs w:val="22"/>
          <w:highlight w:val="none"/>
        </w:rPr>
        <w:t>。</w:t>
      </w:r>
    </w:p>
    <w:p w14:paraId="191B0B0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2、履约担保的金额：成交金额的10</w:t>
      </w:r>
      <w:r>
        <w:rPr>
          <w:rFonts w:hint="eastAsia" w:ascii="宋体" w:hAnsi="宋体" w:cs="宋体"/>
          <w:color w:val="auto"/>
          <w:sz w:val="22"/>
          <w:szCs w:val="22"/>
          <w:highlight w:val="none"/>
          <w:lang w:val="en-US" w:eastAsia="zh-CN"/>
        </w:rPr>
        <w:t>%</w:t>
      </w:r>
      <w:r>
        <w:rPr>
          <w:rFonts w:hint="eastAsia" w:ascii="宋体" w:hAnsi="宋体" w:cs="宋体"/>
          <w:color w:val="auto"/>
          <w:sz w:val="22"/>
          <w:szCs w:val="22"/>
          <w:highlight w:val="none"/>
        </w:rPr>
        <w:t>。①红名单优惠：红名单中的中标人</w:t>
      </w:r>
      <w:r>
        <w:rPr>
          <w:rFonts w:hint="eastAsia" w:ascii="宋体" w:hAnsi="宋体" w:cs="宋体"/>
          <w:color w:val="auto"/>
          <w:sz w:val="22"/>
          <w:szCs w:val="22"/>
          <w:highlight w:val="none"/>
          <w:lang w:val="en-US" w:eastAsia="zh-CN"/>
        </w:rPr>
        <w:t>履约</w:t>
      </w:r>
      <w:r>
        <w:rPr>
          <w:rFonts w:hint="eastAsia" w:ascii="宋体" w:hAnsi="宋体" w:cs="宋体"/>
          <w:color w:val="auto"/>
          <w:sz w:val="22"/>
          <w:szCs w:val="22"/>
          <w:highlight w:val="none"/>
        </w:rPr>
        <w:t xml:space="preserve">担保金额为应提交金额的 </w:t>
      </w:r>
      <w:r>
        <w:rPr>
          <w:rFonts w:hint="eastAsia" w:ascii="宋体" w:hAnsi="宋体" w:cs="宋体"/>
          <w:color w:val="auto"/>
          <w:sz w:val="22"/>
          <w:szCs w:val="22"/>
          <w:highlight w:val="none"/>
          <w:lang w:val="en-US" w:eastAsia="zh-CN"/>
        </w:rPr>
        <w:t>50%</w:t>
      </w:r>
    </w:p>
    <w:p w14:paraId="25FEAF0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3、履约担保的提交时间：成交人应在收到成交通知书后</w:t>
      </w:r>
      <w:r>
        <w:rPr>
          <w:rFonts w:hint="eastAsia" w:ascii="宋体" w:hAnsi="宋体" w:cs="宋体"/>
          <w:color w:val="auto"/>
          <w:sz w:val="22"/>
          <w:szCs w:val="22"/>
          <w:highlight w:val="none"/>
          <w:lang w:val="en-US" w:eastAsia="zh-CN"/>
        </w:rPr>
        <w:t>15</w:t>
      </w:r>
      <w:r>
        <w:rPr>
          <w:rFonts w:hint="eastAsia" w:ascii="宋体" w:hAnsi="宋体" w:cs="宋体"/>
          <w:color w:val="auto"/>
          <w:sz w:val="22"/>
          <w:szCs w:val="22"/>
          <w:highlight w:val="none"/>
        </w:rPr>
        <w:t xml:space="preserve"> 日内，施工合同签订前提交履约担保，若未按时提交，则视为成交人放弃中标，</w:t>
      </w:r>
      <w:r>
        <w:rPr>
          <w:rFonts w:hint="eastAsia" w:ascii="宋体" w:hAnsi="宋体" w:cs="宋体"/>
          <w:color w:val="auto"/>
          <w:sz w:val="22"/>
          <w:szCs w:val="22"/>
          <w:highlight w:val="none"/>
          <w:lang w:eastAsia="zh-CN"/>
        </w:rPr>
        <w:t>由此给采购人带来的损失应当由</w:t>
      </w:r>
      <w:r>
        <w:rPr>
          <w:rFonts w:hint="eastAsia" w:ascii="宋体" w:hAnsi="宋体" w:cs="宋体"/>
          <w:color w:val="auto"/>
          <w:sz w:val="22"/>
          <w:szCs w:val="22"/>
          <w:highlight w:val="none"/>
        </w:rPr>
        <w:t>成交人予以赔偿。</w:t>
      </w:r>
    </w:p>
    <w:p w14:paraId="4BFE5F2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4、履约担保的期限：自提交履约担保之日起至工程竣工验收合格之日止。</w:t>
      </w:r>
    </w:p>
    <w:p w14:paraId="75C081E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5、履约担保的退还时间：工程竣工验收合格后14天内退还（不计息）。</w:t>
      </w:r>
    </w:p>
    <w:p w14:paraId="1E86D7D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4.3低价风险金</w:t>
      </w:r>
    </w:p>
    <w:p w14:paraId="16906A3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承包人提供低价风险担保的形式、金额及期限：</w:t>
      </w:r>
    </w:p>
    <w:p w14:paraId="575AB69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4.3.1</w:t>
      </w:r>
      <w:r>
        <w:rPr>
          <w:rFonts w:hint="eastAsia" w:ascii="宋体" w:hAnsi="宋体" w:cs="宋体"/>
          <w:color w:val="auto"/>
          <w:sz w:val="22"/>
          <w:szCs w:val="22"/>
          <w:highlight w:val="none"/>
        </w:rPr>
        <w:t>低价风险担保的形式：现金或</w:t>
      </w:r>
      <w:r>
        <w:rPr>
          <w:rFonts w:hint="eastAsia" w:ascii="宋体" w:hAnsi="宋体" w:cs="宋体"/>
          <w:color w:val="auto"/>
          <w:sz w:val="22"/>
          <w:szCs w:val="22"/>
          <w:highlight w:val="none"/>
          <w:lang w:eastAsia="zh-CN"/>
        </w:rPr>
        <w:t>银行保函或</w:t>
      </w:r>
      <w:r>
        <w:rPr>
          <w:rFonts w:hint="eastAsia" w:ascii="宋体" w:hAnsi="宋体" w:cs="宋体"/>
          <w:color w:val="auto"/>
          <w:sz w:val="22"/>
          <w:szCs w:val="22"/>
          <w:highlight w:val="none"/>
        </w:rPr>
        <w:t>现金+银行保函的组合；采用</w:t>
      </w:r>
      <w:r>
        <w:rPr>
          <w:rFonts w:hint="eastAsia" w:ascii="宋体" w:hAnsi="宋体" w:cs="宋体"/>
          <w:color w:val="auto"/>
          <w:sz w:val="22"/>
          <w:szCs w:val="22"/>
          <w:highlight w:val="none"/>
          <w:lang w:val="en-US" w:eastAsia="zh-CN"/>
        </w:rPr>
        <w:t>现金+</w:t>
      </w:r>
      <w:r>
        <w:rPr>
          <w:rFonts w:hint="eastAsia" w:ascii="宋体" w:hAnsi="宋体" w:cs="宋体"/>
          <w:color w:val="auto"/>
          <w:sz w:val="22"/>
          <w:szCs w:val="22"/>
          <w:highlight w:val="none"/>
        </w:rPr>
        <w:t>银行保函形式的，保函必须为不可撤销、不可转让且见索即付的独立保函。</w:t>
      </w:r>
    </w:p>
    <w:p w14:paraId="0C29EFD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4.3.2</w:t>
      </w:r>
      <w:r>
        <w:rPr>
          <w:rFonts w:hint="eastAsia" w:ascii="宋体" w:hAnsi="宋体" w:cs="宋体"/>
          <w:color w:val="auto"/>
          <w:sz w:val="22"/>
          <w:szCs w:val="22"/>
          <w:highlight w:val="none"/>
        </w:rPr>
        <w:t>低价风险担保的金额：（最高限价×85%-中标价）×□1□2</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3，且最高不超过最高限价的85%</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 xml:space="preserve">①红名单优惠：红名单中的中标人低价风险担保金额为应提交金额的 </w:t>
      </w:r>
      <w:r>
        <w:rPr>
          <w:rFonts w:hint="eastAsia" w:ascii="宋体" w:hAnsi="宋体" w:cs="宋体"/>
          <w:color w:val="auto"/>
          <w:sz w:val="22"/>
          <w:szCs w:val="22"/>
          <w:highlight w:val="none"/>
          <w:lang w:val="en-US" w:eastAsia="zh-CN"/>
        </w:rPr>
        <w:t>50%</w:t>
      </w:r>
      <w:r>
        <w:rPr>
          <w:rFonts w:hint="eastAsia" w:ascii="宋体" w:hAnsi="宋体" w:cs="宋体"/>
          <w:color w:val="auto"/>
          <w:sz w:val="22"/>
          <w:szCs w:val="22"/>
          <w:highlight w:val="none"/>
        </w:rPr>
        <w:t xml:space="preserve"> ；</w:t>
      </w:r>
    </w:p>
    <w:p w14:paraId="002046A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4.3.3</w:t>
      </w:r>
      <w:r>
        <w:rPr>
          <w:rFonts w:hint="eastAsia" w:ascii="宋体" w:hAnsi="宋体" w:cs="宋体"/>
          <w:color w:val="auto"/>
          <w:sz w:val="22"/>
          <w:szCs w:val="22"/>
          <w:highlight w:val="none"/>
        </w:rPr>
        <w:t xml:space="preserve">低价风险担保的提交时间：从招标人中标通知书送达拟中标人之日起 </w:t>
      </w:r>
      <w:r>
        <w:rPr>
          <w:rFonts w:hint="eastAsia" w:ascii="宋体" w:hAnsi="宋体" w:cs="宋体"/>
          <w:color w:val="auto"/>
          <w:sz w:val="22"/>
          <w:szCs w:val="22"/>
          <w:highlight w:val="none"/>
          <w:lang w:val="en-US" w:eastAsia="zh-CN"/>
        </w:rPr>
        <w:t>15个</w:t>
      </w:r>
      <w:r>
        <w:rPr>
          <w:rFonts w:hint="eastAsia" w:ascii="宋体" w:hAnsi="宋体" w:cs="宋体"/>
          <w:color w:val="auto"/>
          <w:sz w:val="22"/>
          <w:szCs w:val="22"/>
          <w:highlight w:val="none"/>
        </w:rPr>
        <w:t>工作日内；</w:t>
      </w:r>
    </w:p>
    <w:p w14:paraId="368B489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4.3.4</w:t>
      </w:r>
      <w:r>
        <w:rPr>
          <w:rFonts w:hint="eastAsia" w:ascii="宋体" w:hAnsi="宋体" w:cs="宋体"/>
          <w:color w:val="auto"/>
          <w:sz w:val="22"/>
          <w:szCs w:val="22"/>
          <w:highlight w:val="none"/>
        </w:rPr>
        <w:t>低价风险担保的期限：自低价风险担保生效之日起至竣工验收合格之日止。</w:t>
      </w:r>
    </w:p>
    <w:p w14:paraId="08C06BB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低价风险担保的退还时间：采用现金担保的，工程竣工验收合格后14天内退还，采用保函的，工程竣工验收合格后14天内退还。采用分段退还的，低价风险担保的退还时间及方式为：    </w:t>
      </w:r>
      <w:r>
        <w:rPr>
          <w:rFonts w:hint="eastAsia" w:ascii="宋体" w:hAnsi="宋体" w:cs="宋体"/>
          <w:color w:val="auto"/>
          <w:sz w:val="22"/>
          <w:szCs w:val="22"/>
          <w:highlight w:val="none"/>
          <w:lang w:val="en-US" w:eastAsia="zh-CN"/>
        </w:rPr>
        <w:t>/</w:t>
      </w:r>
      <w:r>
        <w:rPr>
          <w:rFonts w:hint="eastAsia" w:ascii="宋体" w:hAnsi="宋体" w:cs="宋体"/>
          <w:color w:val="auto"/>
          <w:sz w:val="22"/>
          <w:szCs w:val="22"/>
          <w:highlight w:val="none"/>
        </w:rPr>
        <w:t xml:space="preserve">    。</w:t>
      </w:r>
    </w:p>
    <w:p w14:paraId="58A3B76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4.3.5</w:t>
      </w:r>
      <w:r>
        <w:rPr>
          <w:rFonts w:hint="eastAsia" w:ascii="宋体" w:hAnsi="宋体" w:cs="宋体"/>
          <w:color w:val="auto"/>
          <w:sz w:val="22"/>
          <w:szCs w:val="22"/>
          <w:highlight w:val="none"/>
        </w:rPr>
        <w:t>低价风险担保的扣减：</w:t>
      </w:r>
    </w:p>
    <w:p w14:paraId="432CB3B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16D764F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default" w:eastAsia="仿宋_GB2312"/>
          <w:color w:val="auto"/>
          <w:sz w:val="22"/>
          <w:szCs w:val="22"/>
          <w:highlight w:val="none"/>
          <w:lang w:val="en-US"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承包人在工程施工期间或竣工验收时，工程质量不符合国家现行有关施工质量验收规范要求的，按低价风险担保金额的50～100%扣减，直至解除合同</w:t>
      </w:r>
      <w:r>
        <w:rPr>
          <w:rFonts w:hint="eastAsia" w:ascii="宋体" w:hAnsi="宋体" w:cs="宋体"/>
          <w:color w:val="auto"/>
          <w:sz w:val="22"/>
          <w:szCs w:val="22"/>
          <w:highlight w:val="none"/>
          <w:lang w:eastAsia="zh-CN"/>
        </w:rPr>
        <w:t>。</w:t>
      </w:r>
    </w:p>
    <w:p w14:paraId="3CE5B55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 xml:space="preserve"> 分包</w:t>
      </w:r>
      <w:bookmarkEnd w:id="371"/>
      <w:bookmarkEnd w:id="372"/>
    </w:p>
    <w:p w14:paraId="2B1940C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.1  分包的内容</w:t>
      </w:r>
    </w:p>
    <w:p w14:paraId="55A7C76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当事人约定某些非主体、非关键性工作分包给第三人： 承包人不得将其承包的工程转包给第三者；如需分包，应按国家及重庆市的有关规定执行，并报监理人、发包人书面同意。</w:t>
      </w:r>
    </w:p>
    <w:p w14:paraId="58048A3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5</w:t>
      </w:r>
      <w:r>
        <w:rPr>
          <w:rFonts w:hint="eastAsia" w:ascii="宋体" w:hAnsi="宋体" w:cs="宋体"/>
          <w:color w:val="auto"/>
          <w:sz w:val="22"/>
          <w:szCs w:val="22"/>
          <w:highlight w:val="none"/>
        </w:rPr>
        <w:t>结算办法</w:t>
      </w:r>
    </w:p>
    <w:p w14:paraId="4B71617A">
      <w:pPr>
        <w:keepNext w:val="0"/>
        <w:keepLines w:val="0"/>
        <w:pageBreakBefore w:val="0"/>
        <w:kinsoku/>
        <w:wordWrap/>
        <w:overflowPunct/>
        <w:topLinePunct w:val="0"/>
        <w:bidi w:val="0"/>
        <w:spacing w:line="400" w:lineRule="exact"/>
        <w:ind w:firstLine="440" w:firstLineChars="200"/>
        <w:textAlignment w:val="auto"/>
        <w:outlineLvl w:val="1"/>
        <w:rPr>
          <w:rFonts w:hint="eastAsia" w:ascii="宋体" w:hAnsi="宋体" w:cs="宋体"/>
          <w:color w:val="auto"/>
          <w:sz w:val="22"/>
          <w:szCs w:val="22"/>
          <w:highlight w:val="none"/>
        </w:rPr>
      </w:pPr>
      <w:bookmarkStart w:id="373" w:name="_Toc338072756"/>
      <w:bookmarkStart w:id="374" w:name="_Toc337569269"/>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5</w:t>
      </w:r>
      <w:r>
        <w:rPr>
          <w:rFonts w:hint="eastAsia" w:ascii="宋体" w:hAnsi="宋体" w:cs="宋体"/>
          <w:color w:val="auto"/>
          <w:sz w:val="22"/>
          <w:szCs w:val="22"/>
          <w:highlight w:val="none"/>
        </w:rPr>
        <w:t>.1本工程结算办法：</w:t>
      </w:r>
    </w:p>
    <w:p w14:paraId="55C84FF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（1）按照《建设工程工程量清单计价规范》(GB50500-2013)、《重庆市建设工程工程量清单计价规则》（CQQDGZ-2013）的规定，采用工程量清单计价。</w:t>
      </w:r>
    </w:p>
    <w:p w14:paraId="53A2FBA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（2）《重庆市房屋修缮工程计价定额》2018、《重庆市房屋建筑与装饰工程计价定额》2018及相关配套文件。</w:t>
      </w:r>
    </w:p>
    <w:p w14:paraId="2E2E0C7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工程取费及税金按2018年《重庆市建设工程费用定额》、《重庆市城乡建设委员会关于建筑业营业税改征增值税调整建设工程计价依据的通知》（渝建发〔2016〕35号）计算，重庆市城乡建设委员会“关于适用增值税新税率调整建设工程计价依据的通知”（渝建【2019】143号）及相关配套文件。</w:t>
      </w:r>
    </w:p>
    <w:p w14:paraId="740E2B2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（4）人工工日单价按《重庆市工程造价信息》2024年第二季度进行调整。</w:t>
      </w:r>
    </w:p>
    <w:p w14:paraId="5AFAACC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（5）材料单价参照《重庆工程造价信息》2024年8期。</w:t>
      </w:r>
    </w:p>
    <w:p w14:paraId="0C0A5C5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（6）国家、行业和地方政府其他有关法律、法规和规定。</w:t>
      </w:r>
    </w:p>
    <w:p w14:paraId="70C3307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（7）《重庆市大足中学初中部2号教学楼拆除工程》建设项目实施方案图纸。</w:t>
      </w:r>
    </w:p>
    <w:p w14:paraId="5647D96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仿宋" w:hAnsi="仿宋" w:eastAsia="仿宋" w:cs="仿宋"/>
          <w:b w:val="0"/>
          <w:color w:val="auto"/>
          <w:kern w:val="2"/>
          <w:sz w:val="22"/>
          <w:szCs w:val="22"/>
          <w:highlight w:val="none"/>
          <w:lang w:val="en-US" w:eastAsia="zh-CN" w:bidi="ar-SA"/>
        </w:rPr>
      </w:pPr>
      <w:r>
        <w:rPr>
          <w:rFonts w:hint="eastAsia" w:ascii="宋体" w:hAnsi="宋体" w:cs="宋体"/>
          <w:color w:val="auto"/>
          <w:sz w:val="22"/>
          <w:szCs w:val="22"/>
          <w:highlight w:val="none"/>
          <w:lang w:val="en-US" w:eastAsia="zh-CN"/>
        </w:rPr>
        <w:t>（8）本项目结算最终以相关单位审定的金额为准。</w:t>
      </w:r>
    </w:p>
    <w:p w14:paraId="59D9822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6</w:t>
      </w:r>
      <w:r>
        <w:rPr>
          <w:rFonts w:hint="eastAsia" w:ascii="宋体" w:hAnsi="宋体" w:cs="宋体"/>
          <w:color w:val="auto"/>
          <w:sz w:val="22"/>
          <w:szCs w:val="22"/>
          <w:highlight w:val="none"/>
        </w:rPr>
        <w:t xml:space="preserve"> 承包人项目经理：</w:t>
      </w:r>
      <w:bookmarkEnd w:id="373"/>
      <w:bookmarkEnd w:id="374"/>
      <w:r>
        <w:rPr>
          <w:rFonts w:hint="eastAsia" w:ascii="宋体" w:hAnsi="宋体" w:cs="宋体"/>
          <w:color w:val="auto"/>
          <w:sz w:val="22"/>
          <w:szCs w:val="22"/>
          <w:highlight w:val="none"/>
        </w:rPr>
        <w:t xml:space="preserve">             </w:t>
      </w:r>
    </w:p>
    <w:p w14:paraId="5974B88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6</w:t>
      </w:r>
      <w:r>
        <w:rPr>
          <w:rFonts w:hint="eastAsia" w:ascii="宋体" w:hAnsi="宋体" w:cs="宋体"/>
          <w:color w:val="auto"/>
          <w:sz w:val="22"/>
          <w:szCs w:val="22"/>
          <w:highlight w:val="none"/>
        </w:rPr>
        <w:t>.1  项目经理不得兼任其他建设项目的项目经理或管理人员。</w:t>
      </w:r>
    </w:p>
    <w:p w14:paraId="4EFEA27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4.7 撤换承包人项目经理和其他人员</w:t>
      </w:r>
    </w:p>
    <w:p w14:paraId="01631CB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除通用合同条款规定外，如果项目经理和其他人员不积极配合监理人或发包人派驻工地人员的工作，或不常驻施工场地，或在工作中采取不合作态度等，监理人和发包人有权要求承包人无条件予以撤换。</w:t>
      </w:r>
    </w:p>
    <w:p w14:paraId="27183BE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75" w:name="_Toc338072757"/>
      <w:bookmarkStart w:id="376" w:name="_Toc337569270"/>
      <w:r>
        <w:rPr>
          <w:rFonts w:hint="eastAsia" w:ascii="宋体" w:hAnsi="宋体" w:cs="宋体"/>
          <w:color w:val="auto"/>
          <w:sz w:val="22"/>
          <w:szCs w:val="22"/>
          <w:highlight w:val="none"/>
        </w:rPr>
        <w:t>4.8 不利物质条件</w:t>
      </w:r>
      <w:bookmarkEnd w:id="375"/>
      <w:bookmarkEnd w:id="376"/>
    </w:p>
    <w:p w14:paraId="6F8AB13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4.8.1不利物质条件的范围：</w:t>
      </w:r>
      <w:r>
        <w:rPr>
          <w:rFonts w:hint="eastAsia" w:ascii="宋体" w:hAnsi="宋体" w:cs="宋体"/>
          <w:color w:val="auto"/>
          <w:sz w:val="22"/>
          <w:szCs w:val="22"/>
          <w:highlight w:val="none"/>
          <w:u w:val="single"/>
        </w:rPr>
        <w:t>按通用合同条款。</w:t>
      </w:r>
    </w:p>
    <w:p w14:paraId="72F02A7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77" w:name="_Toc338072758"/>
      <w:bookmarkStart w:id="378" w:name="_Toc335394152"/>
      <w:bookmarkStart w:id="379" w:name="_Toc337569271"/>
      <w:r>
        <w:rPr>
          <w:rFonts w:hint="eastAsia" w:ascii="宋体" w:hAnsi="宋体" w:cs="宋体"/>
          <w:color w:val="auto"/>
          <w:sz w:val="22"/>
          <w:szCs w:val="22"/>
          <w:highlight w:val="none"/>
        </w:rPr>
        <w:t>5.  材料和工程设备</w:t>
      </w:r>
      <w:bookmarkEnd w:id="377"/>
      <w:bookmarkEnd w:id="378"/>
      <w:bookmarkEnd w:id="379"/>
    </w:p>
    <w:p w14:paraId="3B03CFC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80" w:name="_Toc337569272"/>
      <w:bookmarkStart w:id="381" w:name="_Toc338072759"/>
      <w:r>
        <w:rPr>
          <w:rFonts w:hint="eastAsia" w:ascii="宋体" w:hAnsi="宋体" w:cs="宋体"/>
          <w:color w:val="auto"/>
          <w:sz w:val="22"/>
          <w:szCs w:val="22"/>
          <w:highlight w:val="none"/>
        </w:rPr>
        <w:t>5.1  承包人提供的材料和工程设备</w:t>
      </w:r>
      <w:bookmarkEnd w:id="380"/>
      <w:bookmarkEnd w:id="381"/>
    </w:p>
    <w:p w14:paraId="4F07222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5.1.1  承包人负责采购、运输和保管的材料、工程设备：按通用合同条款。</w:t>
      </w:r>
    </w:p>
    <w:p w14:paraId="74AB10C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5.1.2部分材料生产厂家（品牌）要求：</w:t>
      </w:r>
      <w:r>
        <w:rPr>
          <w:rFonts w:hint="eastAsia" w:ascii="宋体" w:hAnsi="宋体" w:cs="宋体"/>
          <w:color w:val="auto"/>
          <w:sz w:val="22"/>
          <w:szCs w:val="22"/>
          <w:highlight w:val="none"/>
          <w:u w:val="single"/>
        </w:rPr>
        <w:t>按通用合同条款。</w:t>
      </w:r>
    </w:p>
    <w:p w14:paraId="1F2C66D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5.1.3  承包人报送监理人审批的时间：</w:t>
      </w:r>
      <w:r>
        <w:rPr>
          <w:rFonts w:hint="eastAsia" w:ascii="宋体" w:hAnsi="宋体" w:cs="宋体"/>
          <w:color w:val="auto"/>
          <w:sz w:val="22"/>
          <w:szCs w:val="22"/>
          <w:highlight w:val="none"/>
          <w:u w:val="single"/>
        </w:rPr>
        <w:t xml:space="preserve"> 按材料及设备报批流程约定执行</w:t>
      </w:r>
    </w:p>
    <w:p w14:paraId="09171A3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82" w:name="_Toc335394153"/>
      <w:bookmarkStart w:id="383" w:name="_Toc337569273"/>
      <w:bookmarkStart w:id="384" w:name="_Toc338072760"/>
      <w:r>
        <w:rPr>
          <w:rFonts w:hint="eastAsia" w:ascii="宋体" w:hAnsi="宋体" w:cs="宋体"/>
          <w:color w:val="auto"/>
          <w:sz w:val="22"/>
          <w:szCs w:val="22"/>
          <w:highlight w:val="none"/>
        </w:rPr>
        <w:t>6.  施工设备和临时设施</w:t>
      </w:r>
      <w:bookmarkEnd w:id="382"/>
      <w:bookmarkEnd w:id="383"/>
      <w:bookmarkEnd w:id="384"/>
    </w:p>
    <w:p w14:paraId="0E76ED9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85" w:name="_Toc338072761"/>
      <w:bookmarkStart w:id="386" w:name="_Toc337569274"/>
      <w:r>
        <w:rPr>
          <w:rFonts w:hint="eastAsia" w:ascii="宋体" w:hAnsi="宋体" w:cs="宋体"/>
          <w:color w:val="auto"/>
          <w:sz w:val="22"/>
          <w:szCs w:val="22"/>
          <w:highlight w:val="none"/>
        </w:rPr>
        <w:t>6.1  承包人提供的施工设备和临时设施</w:t>
      </w:r>
      <w:bookmarkEnd w:id="385"/>
      <w:bookmarkEnd w:id="386"/>
    </w:p>
    <w:p w14:paraId="7D242A4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6.1.2  承包人承担修建临时设施费用的范围：施工现场临时设施的布置和搭设应满足工程实际需要，具体方案必须报总监理工程师批准、发包人认可并结合招标文件前附表须知。</w:t>
      </w:r>
    </w:p>
    <w:p w14:paraId="084EFBB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临时占地的申请：</w:t>
      </w:r>
      <w:r>
        <w:rPr>
          <w:rFonts w:hint="eastAsia" w:ascii="宋体" w:hAnsi="宋体" w:cs="宋体"/>
          <w:color w:val="auto"/>
          <w:sz w:val="22"/>
          <w:szCs w:val="22"/>
          <w:highlight w:val="none"/>
          <w:u w:val="single"/>
        </w:rPr>
        <w:t>如有需要，承包人自行办理。</w:t>
      </w:r>
    </w:p>
    <w:p w14:paraId="4904DD1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临时占地相关费用：</w:t>
      </w:r>
      <w:r>
        <w:rPr>
          <w:rFonts w:hint="eastAsia" w:ascii="宋体" w:hAnsi="宋体" w:cs="宋体"/>
          <w:color w:val="auto"/>
          <w:sz w:val="22"/>
          <w:szCs w:val="22"/>
          <w:highlight w:val="none"/>
          <w:u w:val="single"/>
        </w:rPr>
        <w:t>如有需要，承包自行承担。</w:t>
      </w:r>
    </w:p>
    <w:p w14:paraId="593C7C5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87" w:name="_Toc338072762"/>
      <w:bookmarkStart w:id="388" w:name="_Toc337569275"/>
      <w:r>
        <w:rPr>
          <w:rFonts w:hint="eastAsia" w:ascii="宋体" w:hAnsi="宋体" w:cs="宋体"/>
          <w:color w:val="auto"/>
          <w:sz w:val="22"/>
          <w:szCs w:val="22"/>
          <w:highlight w:val="none"/>
        </w:rPr>
        <w:t>6.2  发包人提供的施工设备和临时设施：</w:t>
      </w:r>
      <w:r>
        <w:rPr>
          <w:rFonts w:hint="eastAsia" w:ascii="宋体" w:hAnsi="宋体" w:cs="宋体"/>
          <w:color w:val="auto"/>
          <w:sz w:val="22"/>
          <w:szCs w:val="22"/>
          <w:highlight w:val="none"/>
          <w:u w:val="single"/>
        </w:rPr>
        <w:t>不提供</w:t>
      </w:r>
      <w:bookmarkEnd w:id="387"/>
      <w:bookmarkEnd w:id="388"/>
      <w:r>
        <w:rPr>
          <w:rFonts w:hint="eastAsia" w:ascii="宋体" w:hAnsi="宋体" w:cs="宋体"/>
          <w:color w:val="auto"/>
          <w:sz w:val="22"/>
          <w:szCs w:val="22"/>
          <w:highlight w:val="none"/>
          <w:u w:val="single"/>
        </w:rPr>
        <w:t>。</w:t>
      </w:r>
    </w:p>
    <w:p w14:paraId="0FE212D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89" w:name="_Toc337569276"/>
      <w:bookmarkStart w:id="390" w:name="_Toc335394154"/>
      <w:bookmarkStart w:id="391" w:name="_Toc338072763"/>
      <w:r>
        <w:rPr>
          <w:rFonts w:hint="eastAsia" w:ascii="宋体" w:hAnsi="宋体" w:cs="宋体"/>
          <w:color w:val="auto"/>
          <w:sz w:val="22"/>
          <w:szCs w:val="22"/>
          <w:highlight w:val="none"/>
        </w:rPr>
        <w:t>7.  交通运输</w:t>
      </w:r>
      <w:bookmarkEnd w:id="389"/>
      <w:bookmarkEnd w:id="390"/>
      <w:bookmarkEnd w:id="391"/>
    </w:p>
    <w:p w14:paraId="10109A7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92" w:name="_Toc338072764"/>
      <w:bookmarkStart w:id="393" w:name="_Toc337569277"/>
      <w:r>
        <w:rPr>
          <w:rFonts w:hint="eastAsia" w:ascii="宋体" w:hAnsi="宋体" w:cs="宋体"/>
          <w:color w:val="auto"/>
          <w:sz w:val="22"/>
          <w:szCs w:val="22"/>
          <w:highlight w:val="none"/>
        </w:rPr>
        <w:t>7.1  道路通行权和场外设施</w:t>
      </w:r>
      <w:bookmarkEnd w:id="392"/>
      <w:bookmarkEnd w:id="393"/>
    </w:p>
    <w:p w14:paraId="595CAE7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取得道路通行权、修建场外设施权的办理人：发包人、承包人共同协调。</w:t>
      </w:r>
    </w:p>
    <w:p w14:paraId="58F1C9C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94" w:name="_Toc338072765"/>
      <w:bookmarkStart w:id="395" w:name="_Toc337569278"/>
      <w:r>
        <w:rPr>
          <w:rFonts w:hint="eastAsia" w:ascii="宋体" w:hAnsi="宋体" w:cs="宋体"/>
          <w:color w:val="auto"/>
          <w:sz w:val="22"/>
          <w:szCs w:val="22"/>
          <w:highlight w:val="none"/>
        </w:rPr>
        <w:t>7.2  场内施工道路</w:t>
      </w:r>
      <w:bookmarkEnd w:id="394"/>
      <w:bookmarkEnd w:id="395"/>
    </w:p>
    <w:p w14:paraId="0F3244E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7.2.1  临时道路和交通设施的修建、维护、养护和管理人：</w:t>
      </w:r>
      <w:r>
        <w:rPr>
          <w:rFonts w:hint="eastAsia" w:ascii="宋体" w:hAnsi="宋体" w:cs="宋体"/>
          <w:color w:val="auto"/>
          <w:sz w:val="22"/>
          <w:szCs w:val="22"/>
          <w:highlight w:val="none"/>
          <w:u w:val="single"/>
        </w:rPr>
        <w:t>承包人。</w:t>
      </w:r>
    </w:p>
    <w:p w14:paraId="47BCDAE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7.2.2  临时道路和交通设施相关费用的承担：</w:t>
      </w:r>
      <w:r>
        <w:rPr>
          <w:rFonts w:hint="eastAsia" w:ascii="宋体" w:hAnsi="宋体" w:cs="宋体"/>
          <w:color w:val="auto"/>
          <w:sz w:val="22"/>
          <w:szCs w:val="22"/>
          <w:highlight w:val="none"/>
          <w:u w:val="single"/>
        </w:rPr>
        <w:t>承包人承担。</w:t>
      </w:r>
    </w:p>
    <w:p w14:paraId="2DD9EB1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7.3 超大件和超重件的运输</w:t>
      </w:r>
    </w:p>
    <w:p w14:paraId="382B348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 xml:space="preserve">    道路和桥梁临时加固改造费用和其他有关费用的承担：</w:t>
      </w:r>
      <w:r>
        <w:rPr>
          <w:rFonts w:hint="eastAsia" w:ascii="宋体" w:hAnsi="宋体" w:cs="宋体"/>
          <w:color w:val="auto"/>
          <w:sz w:val="22"/>
          <w:szCs w:val="22"/>
          <w:highlight w:val="none"/>
          <w:u w:val="single"/>
        </w:rPr>
        <w:t>承包人承担。</w:t>
      </w:r>
    </w:p>
    <w:p w14:paraId="3CC3EDE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96" w:name="_Toc337569279"/>
      <w:bookmarkStart w:id="397" w:name="_Toc338072766"/>
      <w:bookmarkStart w:id="398" w:name="_Toc335394155"/>
      <w:r>
        <w:rPr>
          <w:rFonts w:hint="eastAsia" w:ascii="宋体" w:hAnsi="宋体" w:cs="宋体"/>
          <w:color w:val="auto"/>
          <w:sz w:val="22"/>
          <w:szCs w:val="22"/>
          <w:highlight w:val="none"/>
        </w:rPr>
        <w:t>8.  测量放线</w:t>
      </w:r>
      <w:bookmarkEnd w:id="396"/>
      <w:bookmarkEnd w:id="397"/>
      <w:bookmarkEnd w:id="398"/>
    </w:p>
    <w:p w14:paraId="461C35D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399" w:name="_Toc337569280"/>
      <w:bookmarkStart w:id="400" w:name="_Toc338072767"/>
      <w:r>
        <w:rPr>
          <w:rFonts w:hint="eastAsia" w:ascii="宋体" w:hAnsi="宋体" w:cs="宋体"/>
          <w:color w:val="auto"/>
          <w:sz w:val="22"/>
          <w:szCs w:val="22"/>
          <w:highlight w:val="none"/>
        </w:rPr>
        <w:t>8.1  施工控制网</w:t>
      </w:r>
      <w:bookmarkEnd w:id="399"/>
      <w:bookmarkEnd w:id="400"/>
    </w:p>
    <w:p w14:paraId="699037D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bookmarkStart w:id="401" w:name="_Toc337569281"/>
      <w:bookmarkStart w:id="402" w:name="_Toc338072768"/>
      <w:r>
        <w:rPr>
          <w:rFonts w:hint="eastAsia" w:ascii="宋体" w:hAnsi="宋体" w:cs="宋体"/>
          <w:color w:val="auto"/>
          <w:sz w:val="22"/>
          <w:szCs w:val="22"/>
          <w:highlight w:val="none"/>
        </w:rPr>
        <w:t>8.1.1  发包人提供测量基准点、基准线和水准点的期限：</w:t>
      </w:r>
      <w:r>
        <w:rPr>
          <w:rFonts w:hint="eastAsia" w:ascii="宋体" w:hAnsi="宋体" w:cs="宋体"/>
          <w:color w:val="auto"/>
          <w:sz w:val="22"/>
          <w:szCs w:val="22"/>
          <w:highlight w:val="none"/>
          <w:u w:val="single"/>
        </w:rPr>
        <w:t xml:space="preserve"> </w:t>
      </w:r>
      <w:bookmarkEnd w:id="401"/>
      <w:bookmarkEnd w:id="402"/>
      <w:r>
        <w:rPr>
          <w:rFonts w:hint="eastAsia" w:ascii="宋体" w:hAnsi="宋体" w:cs="宋体"/>
          <w:color w:val="auto"/>
          <w:sz w:val="22"/>
          <w:szCs w:val="22"/>
          <w:highlight w:val="none"/>
          <w:u w:val="single"/>
        </w:rPr>
        <w:t xml:space="preserve">合同签订后3天内。 </w:t>
      </w:r>
    </w:p>
    <w:p w14:paraId="1063A3C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施工控制网的测设：</w:t>
      </w:r>
      <w:r>
        <w:rPr>
          <w:rFonts w:hint="eastAsia" w:ascii="宋体" w:hAnsi="宋体" w:cs="宋体"/>
          <w:color w:val="auto"/>
          <w:sz w:val="22"/>
          <w:szCs w:val="22"/>
          <w:highlight w:val="none"/>
          <w:u w:val="single"/>
        </w:rPr>
        <w:t>由承包人负责。</w:t>
      </w:r>
    </w:p>
    <w:p w14:paraId="2B275AB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 xml:space="preserve">    报监理人审批施工控制网资料的期限：</w:t>
      </w:r>
      <w:r>
        <w:rPr>
          <w:rFonts w:hint="eastAsia" w:ascii="宋体" w:hAnsi="宋体" w:cs="宋体"/>
          <w:color w:val="auto"/>
          <w:sz w:val="22"/>
          <w:szCs w:val="22"/>
          <w:highlight w:val="none"/>
          <w:u w:val="single"/>
        </w:rPr>
        <w:t>发出开工通知后7天内。</w:t>
      </w:r>
    </w:p>
    <w:p w14:paraId="34ED1E3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8.3  基准资料错误的责任：</w:t>
      </w:r>
      <w:r>
        <w:rPr>
          <w:rFonts w:hint="eastAsia" w:ascii="宋体" w:hAnsi="宋体" w:cs="宋体"/>
          <w:color w:val="auto"/>
          <w:sz w:val="22"/>
          <w:szCs w:val="22"/>
          <w:highlight w:val="none"/>
          <w:u w:val="single"/>
        </w:rPr>
        <w:t>按通用条款执行。</w:t>
      </w:r>
    </w:p>
    <w:p w14:paraId="1F848FB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03" w:name="_Toc335394156"/>
      <w:bookmarkStart w:id="404" w:name="_Toc338072769"/>
      <w:bookmarkStart w:id="405" w:name="_Toc337569282"/>
      <w:r>
        <w:rPr>
          <w:rFonts w:hint="eastAsia" w:ascii="宋体" w:hAnsi="宋体" w:cs="宋体"/>
          <w:color w:val="auto"/>
          <w:sz w:val="22"/>
          <w:szCs w:val="22"/>
          <w:highlight w:val="none"/>
        </w:rPr>
        <w:t>9.  施工安全、治安保卫和环境保护</w:t>
      </w:r>
      <w:bookmarkEnd w:id="403"/>
      <w:bookmarkEnd w:id="404"/>
      <w:bookmarkEnd w:id="405"/>
    </w:p>
    <w:p w14:paraId="3D335EA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9.1.4  发包人应按照《重庆市建设工程安全生产监督管理办法》（渝建发〔2008〕177号）、《重庆市房屋建筑和市政基础设施工程现场文明施工标准》（渝建发〔2008〕169号）等相关规定履行好发包人的施工安全责任。</w:t>
      </w:r>
    </w:p>
    <w:p w14:paraId="4CE2433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06" w:name="_Toc338072771"/>
      <w:bookmarkStart w:id="407" w:name="_Toc337569284"/>
      <w:r>
        <w:rPr>
          <w:rFonts w:hint="eastAsia" w:ascii="宋体" w:hAnsi="宋体" w:cs="宋体"/>
          <w:color w:val="auto"/>
          <w:sz w:val="22"/>
          <w:szCs w:val="22"/>
          <w:highlight w:val="none"/>
        </w:rPr>
        <w:t>9.2  承包人的施工安全责任</w:t>
      </w:r>
      <w:bookmarkEnd w:id="406"/>
      <w:bookmarkEnd w:id="407"/>
    </w:p>
    <w:p w14:paraId="1F31C88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9.2.1  报监理人审批的施工安全措施计划期限：</w:t>
      </w:r>
      <w:r>
        <w:rPr>
          <w:rFonts w:hint="eastAsia" w:ascii="宋体" w:hAnsi="宋体" w:cs="宋体"/>
          <w:color w:val="auto"/>
          <w:sz w:val="22"/>
          <w:szCs w:val="22"/>
          <w:highlight w:val="none"/>
          <w:u w:val="single"/>
        </w:rPr>
        <w:t>开工前3天。</w:t>
      </w:r>
    </w:p>
    <w:p w14:paraId="1DF13E0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9.2.2  承包人必须遵守安全生产法律、法规和规章的规定，应按规定制定严格的安全防护措施，保证工程安全生产，依法承担并履行好工程安全生产责任。如果造成安全事故，由承包人承担一切责任和经济损失。</w:t>
      </w:r>
    </w:p>
    <w:p w14:paraId="5332973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增加下列项：</w:t>
      </w:r>
    </w:p>
    <w:p w14:paraId="7028CD0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1、按国务院令第393号《建设工程安全生产管理条例》和《通用条款》第五条执行，并按渝建发【2010】158号文件执行。</w:t>
      </w:r>
    </w:p>
    <w:p w14:paraId="74750F6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2、承包人必须保证本工程施工现场的安全文明施工，达到安全文明施工合格工地的要求，且安全文明施工费均按合格标准支付。</w:t>
      </w:r>
    </w:p>
    <w:p w14:paraId="1243360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3、发包人按单位工程安全生产文明施工状况综合评定结果，如评定为不合格，承包人不得计取安全文明施工费，其已支付的安全文明施工费在结算价中扣除。</w:t>
      </w:r>
    </w:p>
    <w:p w14:paraId="715D42B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4、承包人应负责自身施工安全及对分包人的安全措施进行监督和管理，如因承包人原因发生安全责任事故，责任由承包人全部承担。</w:t>
      </w:r>
    </w:p>
    <w:p w14:paraId="39485D8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08" w:name="_Toc338072772"/>
      <w:bookmarkStart w:id="409" w:name="_Toc337569285"/>
      <w:r>
        <w:rPr>
          <w:rFonts w:hint="eastAsia" w:ascii="宋体" w:hAnsi="宋体" w:cs="宋体"/>
          <w:color w:val="auto"/>
          <w:sz w:val="22"/>
          <w:szCs w:val="22"/>
          <w:highlight w:val="none"/>
        </w:rPr>
        <w:t>9.3  治安保卫</w:t>
      </w:r>
      <w:bookmarkEnd w:id="408"/>
      <w:bookmarkEnd w:id="409"/>
    </w:p>
    <w:p w14:paraId="7A0FD9D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9.3.1  现场治安管理机构或联防组织的组建：由承包人负责并自行承担相应费用。</w:t>
      </w:r>
    </w:p>
    <w:p w14:paraId="4006FD1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9.3.2 施工场地治安管理计划和突发治安事件紧急预案的编制：由承包人编制，并由承包人承担施工现场安全保卫工作及非夜间施工照明安全保卫工作。</w:t>
      </w:r>
    </w:p>
    <w:p w14:paraId="0044491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 环境保护：</w:t>
      </w:r>
      <w:r>
        <w:rPr>
          <w:rFonts w:hint="eastAsia" w:ascii="宋体" w:hAnsi="宋体" w:cs="宋体"/>
          <w:color w:val="auto"/>
          <w:sz w:val="22"/>
          <w:szCs w:val="22"/>
          <w:highlight w:val="none"/>
          <w:u w:val="single"/>
        </w:rPr>
        <w:t>按通用条款执行。</w:t>
      </w:r>
    </w:p>
    <w:p w14:paraId="50AE859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增加下列项：</w:t>
      </w:r>
    </w:p>
    <w:p w14:paraId="006ACEB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9.4.1 承包人应按照《房屋建筑和市政基础设施工程施工扬尘控制工作方案》（渝建发〔2009〕13号）、《重庆市房屋建筑和市政基础设施工程现场文明施工标准》（渝建发〔2008〕169号）等相关规定履行好施工扬尘控制、文明施工等责任。如违反规定，违约金等费用由承包人承担。</w:t>
      </w:r>
    </w:p>
    <w:p w14:paraId="07CF6D7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9.4.2承包人需办理的有关施工场地交通、环卫和施工噪音管理等手续，应符合国家相关规定，并自行承担其费用。</w:t>
      </w:r>
    </w:p>
    <w:p w14:paraId="16AF587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9.4.3对施工中的地上地下建筑物（构筑物）管线、电力设施等应按有关规定加强监控测量和保护，相应的费用或因保护不当造成的损失及法律责任由承包人承担。</w:t>
      </w:r>
    </w:p>
    <w:p w14:paraId="6201C05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9.4.4环境保护工作由承包人全权负责，执行国家和重庆相关规定。施工现场内不得随地抛洒剩饭及生活垃圾等，更不能将其随意倒至施工区外，施工区内不得随处大小便。做到工完场地清。</w:t>
      </w:r>
    </w:p>
    <w:p w14:paraId="4E63C7C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9.4.5承包人的施工机械设备进场前，应做好清洁、保养和维护工作。出场车辆应有专人打扫、清洗。有密封要求的按规定必须达到。</w:t>
      </w:r>
    </w:p>
    <w:p w14:paraId="615CF07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9.4.6承包人在施工期间必须保证周边单位的正常工作及居民的正常生活，尽量减少粉尘、噪声、振动等污染的扰民。必须按市委、市人大、市政府及有关部门的临时要求，调整作业方式，调整作业时间，停止高粉尘、高噪音作业或爆破作业等，由此产生的工期延误及费用索赔等将不获批准。</w:t>
      </w:r>
    </w:p>
    <w:p w14:paraId="31D5485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9.4.7保证周围建(构)筑物、地下及地上管线、地下人防等设施安全。</w:t>
      </w:r>
    </w:p>
    <w:p w14:paraId="4765561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9.4.8做到进入现场的施工和作业人员统一着装，配证上岗，文明施工。</w:t>
      </w:r>
    </w:p>
    <w:p w14:paraId="60CF5C9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9.4.9按规定做好施工区域封闭及场地硬化工作，施工围墙(围挡)等维护设施应安全、美观、耐久，非施工相关人员不许入内。</w:t>
      </w:r>
    </w:p>
    <w:p w14:paraId="47D6402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10.  进度计划</w:t>
      </w:r>
    </w:p>
    <w:p w14:paraId="26B93F2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10" w:name="_Toc337569286"/>
      <w:bookmarkStart w:id="411" w:name="_Toc338072773"/>
      <w:r>
        <w:rPr>
          <w:rFonts w:hint="eastAsia" w:ascii="宋体" w:hAnsi="宋体" w:cs="宋体"/>
          <w:color w:val="auto"/>
          <w:sz w:val="22"/>
          <w:szCs w:val="22"/>
          <w:highlight w:val="none"/>
        </w:rPr>
        <w:t>10.1  合同进度计划</w:t>
      </w:r>
      <w:bookmarkEnd w:id="410"/>
      <w:bookmarkEnd w:id="411"/>
    </w:p>
    <w:p w14:paraId="156AF38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承包人编制施工方案的内容：</w:t>
      </w:r>
      <w:r>
        <w:rPr>
          <w:rFonts w:hint="eastAsia" w:ascii="宋体" w:hAnsi="宋体" w:cs="宋体"/>
          <w:color w:val="auto"/>
          <w:sz w:val="22"/>
          <w:szCs w:val="22"/>
          <w:highlight w:val="none"/>
          <w:u w:val="single"/>
        </w:rPr>
        <w:t>承包人应根据施工内容及各个工程的实际情况编制总体工程和各分部分项工程施工方案。</w:t>
      </w:r>
    </w:p>
    <w:p w14:paraId="4AFE440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承包人报送施工进度计划和施工方案的期限：</w:t>
      </w:r>
      <w:r>
        <w:rPr>
          <w:rFonts w:hint="eastAsia" w:ascii="宋体" w:hAnsi="宋体" w:cs="宋体"/>
          <w:color w:val="auto"/>
          <w:sz w:val="22"/>
          <w:szCs w:val="22"/>
          <w:highlight w:val="none"/>
          <w:u w:val="single"/>
        </w:rPr>
        <w:t>合同签订后7天内提供。</w:t>
      </w:r>
    </w:p>
    <w:p w14:paraId="337A300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监理人和发包人批复施工进度计划和施工方案的期限：</w:t>
      </w:r>
      <w:r>
        <w:rPr>
          <w:rFonts w:hint="eastAsia" w:ascii="宋体" w:hAnsi="宋体" w:cs="宋体"/>
          <w:color w:val="auto"/>
          <w:sz w:val="22"/>
          <w:szCs w:val="22"/>
          <w:highlight w:val="none"/>
          <w:u w:val="single"/>
        </w:rPr>
        <w:t>监理人及发包人收到施工组织设计和进度计划后7天内审查确认。</w:t>
      </w:r>
    </w:p>
    <w:p w14:paraId="568C009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12" w:name="_Toc337569287"/>
      <w:bookmarkStart w:id="413" w:name="_Toc338072774"/>
      <w:bookmarkStart w:id="414" w:name="_Toc335394157"/>
      <w:r>
        <w:rPr>
          <w:rFonts w:hint="eastAsia" w:ascii="宋体" w:hAnsi="宋体" w:cs="宋体"/>
          <w:color w:val="auto"/>
          <w:sz w:val="22"/>
          <w:szCs w:val="22"/>
          <w:highlight w:val="none"/>
        </w:rPr>
        <w:t xml:space="preserve">11.  </w:t>
      </w:r>
      <w:bookmarkEnd w:id="412"/>
      <w:bookmarkEnd w:id="413"/>
      <w:bookmarkEnd w:id="414"/>
      <w:r>
        <w:rPr>
          <w:rFonts w:hint="eastAsia" w:ascii="宋体" w:hAnsi="宋体" w:cs="宋体"/>
          <w:color w:val="auto"/>
          <w:sz w:val="22"/>
          <w:szCs w:val="22"/>
          <w:highlight w:val="none"/>
        </w:rPr>
        <w:t>工期</w:t>
      </w:r>
    </w:p>
    <w:p w14:paraId="2C5A12A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工期：</w:t>
      </w:r>
      <w:r>
        <w:rPr>
          <w:rFonts w:hint="eastAsia" w:ascii="宋体" w:hAnsi="宋体" w:cs="宋体"/>
          <w:color w:val="auto"/>
          <w:sz w:val="22"/>
          <w:szCs w:val="22"/>
          <w:highlight w:val="none"/>
          <w:u w:val="single"/>
          <w:lang w:val="en-US" w:eastAsia="zh-CN"/>
        </w:rPr>
        <w:t>30日历天</w:t>
      </w:r>
    </w:p>
    <w:p w14:paraId="418EF0E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15" w:name="_Toc338072775"/>
      <w:bookmarkStart w:id="416" w:name="_Toc337569288"/>
      <w:r>
        <w:rPr>
          <w:rFonts w:hint="eastAsia" w:ascii="宋体" w:hAnsi="宋体" w:cs="宋体"/>
          <w:color w:val="auto"/>
          <w:sz w:val="22"/>
          <w:szCs w:val="22"/>
          <w:highlight w:val="none"/>
        </w:rPr>
        <w:t>11.1  异常恶劣的气候条件</w:t>
      </w:r>
      <w:bookmarkEnd w:id="415"/>
      <w:bookmarkEnd w:id="416"/>
    </w:p>
    <w:p w14:paraId="5C5A749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异常恶劣的气候条件的范围：</w:t>
      </w:r>
      <w:r>
        <w:rPr>
          <w:rFonts w:hint="eastAsia" w:ascii="宋体" w:hAnsi="宋体" w:cs="宋体"/>
          <w:color w:val="auto"/>
          <w:sz w:val="22"/>
          <w:szCs w:val="22"/>
          <w:highlight w:val="none"/>
          <w:u w:val="single"/>
        </w:rPr>
        <w:t>如发生50年一遇的自然灾害（如台风、雪灾、洪水、高温等），以政府相关部门发布的信息资料为准。出现异常恶劣的气候条件，承包人可要求发包人延长工期，但发包人不支持因此而产生的费用索赔。</w:t>
      </w:r>
    </w:p>
    <w:p w14:paraId="02573A2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  承包人的工期延误</w:t>
      </w:r>
    </w:p>
    <w:p w14:paraId="6B5360F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11.2.1逾期竣工违约金的计算方法：</w:t>
      </w:r>
      <w:r>
        <w:rPr>
          <w:rFonts w:hint="eastAsia" w:ascii="宋体" w:hAnsi="宋体" w:cs="宋体"/>
          <w:color w:val="auto"/>
          <w:sz w:val="22"/>
          <w:szCs w:val="22"/>
          <w:highlight w:val="none"/>
          <w:u w:val="single"/>
        </w:rPr>
        <w:t>工期每延误一天承包方支付违约金500元，如承包人延误工期超过30天，视为通用条款22.1.1（6）款情形发生，则按通用条款22条之相关约定办理。</w:t>
      </w:r>
    </w:p>
    <w:p w14:paraId="3E58692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11.2.2除不可抗力外，因承包人原因致使节点工期和总进度达不到经承、发包双方认定的施工进度计划的要求时，则视为承包人违约。</w:t>
      </w:r>
    </w:p>
    <w:p w14:paraId="4BCB029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11.2.3  节点工期控制：</w:t>
      </w:r>
      <w:r>
        <w:rPr>
          <w:rFonts w:hint="eastAsia" w:ascii="宋体" w:hAnsi="宋体" w:cs="宋体"/>
          <w:color w:val="auto"/>
          <w:sz w:val="22"/>
          <w:szCs w:val="22"/>
          <w:highlight w:val="none"/>
          <w:u w:val="single"/>
        </w:rPr>
        <w:t>承包方结合工程实际与工期要求编制的计划工期，须报监理机构审核，发包方认可。</w:t>
      </w:r>
      <w:r>
        <w:rPr>
          <w:rFonts w:hint="eastAsia" w:ascii="宋体" w:hAnsi="宋体" w:cs="宋体"/>
          <w:color w:val="auto"/>
          <w:sz w:val="22"/>
          <w:szCs w:val="22"/>
          <w:highlight w:val="none"/>
        </w:rPr>
        <w:t xml:space="preserve">       </w:t>
      </w:r>
    </w:p>
    <w:p w14:paraId="176B4F4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11.2.4  逾期竣工违约金的限额：</w:t>
      </w:r>
      <w:r>
        <w:rPr>
          <w:rFonts w:hint="eastAsia" w:ascii="宋体" w:hAnsi="宋体" w:cs="宋体"/>
          <w:color w:val="auto"/>
          <w:sz w:val="22"/>
          <w:szCs w:val="22"/>
          <w:highlight w:val="none"/>
          <w:u w:val="single"/>
        </w:rPr>
        <w:t>违约造成的损失赔偿金按实计算。</w:t>
      </w:r>
    </w:p>
    <w:p w14:paraId="036ACF9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11.2.5  因承包人原因造成工期延误，发包人有权终止合同，按进度款作为结算款，扣除履约保证金，并赔偿发包人一切经济损失。</w:t>
      </w:r>
    </w:p>
    <w:p w14:paraId="7F42EA1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17" w:name="_Toc338072776"/>
      <w:bookmarkStart w:id="418" w:name="_Toc337569289"/>
      <w:r>
        <w:rPr>
          <w:rFonts w:hint="eastAsia" w:ascii="宋体" w:hAnsi="宋体" w:cs="宋体"/>
          <w:color w:val="auto"/>
          <w:sz w:val="22"/>
          <w:szCs w:val="22"/>
          <w:highlight w:val="none"/>
        </w:rPr>
        <w:t>11.3  工期提前</w:t>
      </w:r>
      <w:bookmarkEnd w:id="417"/>
      <w:bookmarkEnd w:id="418"/>
    </w:p>
    <w:p w14:paraId="5A85ADD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提前竣工的奖励办法：</w:t>
      </w:r>
      <w:r>
        <w:rPr>
          <w:rFonts w:hint="eastAsia" w:ascii="宋体" w:hAnsi="宋体" w:cs="宋体"/>
          <w:color w:val="auto"/>
          <w:sz w:val="22"/>
          <w:szCs w:val="22"/>
          <w:highlight w:val="none"/>
          <w:u w:val="single"/>
        </w:rPr>
        <w:t xml:space="preserve"> 无。</w:t>
      </w:r>
    </w:p>
    <w:p w14:paraId="087668C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12.  暂停施工</w:t>
      </w:r>
    </w:p>
    <w:p w14:paraId="52054FE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19" w:name="_Toc338072777"/>
      <w:bookmarkStart w:id="420" w:name="_Toc337569290"/>
      <w:r>
        <w:rPr>
          <w:rFonts w:hint="eastAsia" w:ascii="宋体" w:hAnsi="宋体" w:cs="宋体"/>
          <w:color w:val="auto"/>
          <w:sz w:val="22"/>
          <w:szCs w:val="22"/>
          <w:highlight w:val="none"/>
        </w:rPr>
        <w:t>12.1  承包人暂停施工的责任</w:t>
      </w:r>
      <w:bookmarkEnd w:id="419"/>
      <w:bookmarkEnd w:id="420"/>
    </w:p>
    <w:p w14:paraId="33F3FD2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承包人承担暂停施工责任的其他情形：法律、法规约定的由承包人承担暂停施工责任的其他情形。</w:t>
      </w:r>
    </w:p>
    <w:p w14:paraId="5D889B9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21" w:name="_Toc338072778"/>
      <w:bookmarkStart w:id="422" w:name="_Toc337569291"/>
      <w:r>
        <w:rPr>
          <w:rFonts w:hint="eastAsia" w:ascii="宋体" w:hAnsi="宋体" w:cs="宋体"/>
          <w:color w:val="auto"/>
          <w:sz w:val="22"/>
          <w:szCs w:val="22"/>
          <w:highlight w:val="none"/>
        </w:rPr>
        <w:t>12.2  发包人暂停施工的责任</w:t>
      </w:r>
      <w:bookmarkEnd w:id="421"/>
      <w:bookmarkEnd w:id="422"/>
    </w:p>
    <w:p w14:paraId="2185D0E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由于发包人原因引起的暂停施工(须发包人确认的书面文字资料为准)造成工期延误的，承包人有权要求发包人延长工期，但不得要求费用索赔。</w:t>
      </w:r>
    </w:p>
    <w:p w14:paraId="13708DF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13.  工程质量</w:t>
      </w:r>
    </w:p>
    <w:p w14:paraId="55D7888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23" w:name="_Toc337569292"/>
      <w:bookmarkStart w:id="424" w:name="_Toc338072779"/>
      <w:r>
        <w:rPr>
          <w:rFonts w:hint="eastAsia" w:ascii="宋体" w:hAnsi="宋体" w:cs="宋体"/>
          <w:color w:val="auto"/>
          <w:sz w:val="22"/>
          <w:szCs w:val="22"/>
          <w:highlight w:val="none"/>
        </w:rPr>
        <w:t>13.1  工程质量要求：达到国家、行业和重庆市有关施工质量验收规范、技术规范、技术标准、规程、文件等相关规定及工程施工图设计文件要求，并一次性验收合格。</w:t>
      </w:r>
      <w:bookmarkEnd w:id="423"/>
      <w:bookmarkEnd w:id="424"/>
    </w:p>
    <w:p w14:paraId="580469B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13.1.1  发包人、监理和承包人在工程建设中，应执行以下规定：</w:t>
      </w:r>
    </w:p>
    <w:p w14:paraId="03D146A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（1）《民用建筑工程节能质量监督管理办法》（建质[2006]192号）；</w:t>
      </w:r>
    </w:p>
    <w:p w14:paraId="53842B3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（2）《重庆市建筑节能条例》（重庆市人大[2007]第34号公告）；</w:t>
      </w:r>
    </w:p>
    <w:p w14:paraId="5FD2E08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（3）《重庆市建设工程十项施工质量通病防治要点》（渝建发[2004]172号）；</w:t>
      </w:r>
    </w:p>
    <w:p w14:paraId="2401143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（4）《重庆市住宅工程质量分户检验管理办法（试行）》（渝建发[2007]199号）；</w:t>
      </w:r>
    </w:p>
    <w:p w14:paraId="29E11B0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（5）《重庆市建设委员会关于规范住宅工程初装饰竣工验收的通知》（渝建发[2007]226号）；</w:t>
      </w:r>
    </w:p>
    <w:p w14:paraId="71E5C7B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（6）《建设部关于贯彻执行工程勘察设计及施工质量验收规范若干问题的通知》（建标[2002]212号）；</w:t>
      </w:r>
    </w:p>
    <w:p w14:paraId="2DB6BB3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（7）《重庆市建设委员会关于发布&lt;建筑工程施工质量验收规范用表（建筑节能分部工程）&gt;和&lt;建设工程技术用表（建筑节能工程）&gt;的通知》（渝建发[2008]76号）；</w:t>
      </w:r>
    </w:p>
    <w:p w14:paraId="78726AD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13.1.2  发包人、监理人和承包人在工程建设中，应执行重庆市建筑工程相关地方标准。</w:t>
      </w:r>
    </w:p>
    <w:p w14:paraId="196147A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25" w:name="_Toc337569293"/>
      <w:bookmarkStart w:id="426" w:name="_Toc338072780"/>
      <w:r>
        <w:rPr>
          <w:rFonts w:hint="eastAsia" w:ascii="宋体" w:hAnsi="宋体" w:cs="宋体"/>
          <w:color w:val="auto"/>
          <w:sz w:val="22"/>
          <w:szCs w:val="22"/>
          <w:highlight w:val="none"/>
        </w:rPr>
        <w:t>13.2  承包人的质量检查</w:t>
      </w:r>
      <w:bookmarkEnd w:id="425"/>
      <w:bookmarkEnd w:id="426"/>
    </w:p>
    <w:p w14:paraId="4C02ACC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 xml:space="preserve">承包人提交工程质量保证措施文件的期限： </w:t>
      </w:r>
      <w:r>
        <w:rPr>
          <w:rFonts w:hint="eastAsia" w:ascii="宋体" w:hAnsi="宋体" w:cs="宋体"/>
          <w:color w:val="auto"/>
          <w:sz w:val="22"/>
          <w:szCs w:val="22"/>
          <w:highlight w:val="none"/>
          <w:u w:val="single"/>
        </w:rPr>
        <w:t>与施工组织设计和进度计划同时提交。</w:t>
      </w:r>
    </w:p>
    <w:p w14:paraId="4806723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13.5  工程隐蔽部位覆盖前的检查</w:t>
      </w:r>
    </w:p>
    <w:p w14:paraId="65EE74C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13.5.1 通知监理人检查的期限：</w:t>
      </w:r>
      <w:r>
        <w:rPr>
          <w:rFonts w:hint="eastAsia" w:ascii="宋体" w:hAnsi="宋体" w:cs="宋体"/>
          <w:color w:val="auto"/>
          <w:sz w:val="22"/>
          <w:szCs w:val="22"/>
          <w:highlight w:val="none"/>
          <w:u w:val="single"/>
        </w:rPr>
        <w:t>承包人应提前24小时书面通知监理人进行工程隐蔽部位的检查。</w:t>
      </w:r>
    </w:p>
    <w:p w14:paraId="60472D0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 试验和检验</w:t>
      </w:r>
    </w:p>
    <w:p w14:paraId="7F169EF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根据《重庆市城乡建设委员会关于加强我市建设工程质量检测委托管理的通知》渝建[2015]420号文件规定执行。</w:t>
      </w:r>
    </w:p>
    <w:p w14:paraId="566B4DF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15.变更</w:t>
      </w:r>
    </w:p>
    <w:p w14:paraId="40C0F2B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b/>
          <w:bCs/>
          <w:color w:val="auto"/>
          <w:sz w:val="22"/>
          <w:szCs w:val="22"/>
          <w:highlight w:val="none"/>
        </w:rPr>
      </w:pPr>
      <w:r>
        <w:rPr>
          <w:rFonts w:hint="eastAsia" w:ascii="宋体" w:hAnsi="宋体" w:cs="宋体"/>
          <w:color w:val="auto"/>
          <w:sz w:val="22"/>
          <w:szCs w:val="22"/>
          <w:highlight w:val="none"/>
        </w:rPr>
        <w:t>所有工程变更、价款变更只有经发包人书面同意后才能实施，通用条款中监理人变更的权利由发包人享有。</w:t>
      </w:r>
    </w:p>
    <w:p w14:paraId="786435B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27" w:name="_Toc338072781"/>
      <w:bookmarkStart w:id="428" w:name="_Toc337569294"/>
      <w:r>
        <w:rPr>
          <w:rFonts w:hint="eastAsia" w:ascii="宋体" w:hAnsi="宋体" w:cs="宋体"/>
          <w:color w:val="auto"/>
          <w:sz w:val="22"/>
          <w:szCs w:val="22"/>
          <w:highlight w:val="none"/>
        </w:rPr>
        <w:t>15.1 变更的范围和内容：</w:t>
      </w:r>
      <w:bookmarkEnd w:id="427"/>
      <w:bookmarkEnd w:id="428"/>
    </w:p>
    <w:p w14:paraId="7FF907D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非发包人自身原因改变合同中任何一项工作的施工时间或改变已批准的施工工艺或顺序不属于变更范围。</w:t>
      </w:r>
    </w:p>
    <w:p w14:paraId="0475197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15.2   变更权</w:t>
      </w:r>
    </w:p>
    <w:p w14:paraId="6EFEAF8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工程设计变更、工程造价的变更经发包人审批同意后才能实施，否则由此造成的各种费用增加及损失由承包人承担。</w:t>
      </w:r>
    </w:p>
    <w:p w14:paraId="248B979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29" w:name="_Toc338072782"/>
      <w:bookmarkStart w:id="430" w:name="_Toc337569295"/>
      <w:r>
        <w:rPr>
          <w:rFonts w:hint="eastAsia" w:ascii="宋体" w:hAnsi="宋体" w:cs="宋体"/>
          <w:color w:val="auto"/>
          <w:sz w:val="22"/>
          <w:szCs w:val="22"/>
          <w:highlight w:val="none"/>
        </w:rPr>
        <w:t>15.3  变更程序</w:t>
      </w:r>
      <w:bookmarkEnd w:id="429"/>
      <w:bookmarkEnd w:id="430"/>
    </w:p>
    <w:p w14:paraId="69624F3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15.3.1  变更的提出：</w:t>
      </w:r>
    </w:p>
    <w:p w14:paraId="7C2990E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除执行通用条款15.3.1约定之外，当变更实施方案由承包人提出时，承包人在报送变更的同时必须提交变更对比预算书。</w:t>
      </w:r>
    </w:p>
    <w:p w14:paraId="7946330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15.3.2变更估价</w:t>
      </w:r>
    </w:p>
    <w:p w14:paraId="5A5F154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（1）属于设计变更的项目，则由成交供应商按照《建设工程工程量清单计价规范》(GB50500-2013)、《重庆市建设工程工程量清单计价规则》（CQQDGZ-2013）的规定，采用工程量清单计价。</w:t>
      </w:r>
    </w:p>
    <w:p w14:paraId="2D2C89F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（2）《重庆市房屋修缮工程计价定额》2018、《重庆市房屋建筑与装饰工程计价定额》2018及相关配套文件。</w:t>
      </w:r>
    </w:p>
    <w:p w14:paraId="33C9D8F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工程取费及税金按2018年《重庆市建设工程费用定额》、《重庆市城乡建设委员会关于建筑业营业税改征增值税调整建设工程计价依据的通知》（渝建发〔2016〕35号）计算，重庆市城乡建设委员会“关于适用增值税新税率调整建设工程计价依据的通知”（渝建【2019】143号）及相关配套文件。</w:t>
      </w:r>
    </w:p>
    <w:p w14:paraId="2EE06EA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（4）人工工日单价按《重庆市工程造价信息》2024年第二季度进行调整。</w:t>
      </w:r>
    </w:p>
    <w:p w14:paraId="42A4F27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（5）材料单价参照《重庆工程造价信息》2024年8期。</w:t>
      </w:r>
    </w:p>
    <w:p w14:paraId="29D868E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（6）国家、行业和地方政府其他有关法律、法规和规定。</w:t>
      </w:r>
    </w:p>
    <w:p w14:paraId="5957CE0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（7）《重庆市大足中学初中部2号教学楼拆除工程》建设项目实施方案图纸。</w:t>
      </w:r>
    </w:p>
    <w:p w14:paraId="622BFF0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（8）本项目结算最终以相关单位审定的金额为准。</w:t>
      </w:r>
    </w:p>
    <w:p w14:paraId="4FC435E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15.3.3  变更指示</w:t>
      </w:r>
    </w:p>
    <w:p w14:paraId="082E5A6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施工中发生工程变更，承包人应按照经发包人认可由监理人发出的变更指示执行。</w:t>
      </w:r>
    </w:p>
    <w:p w14:paraId="12C743F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15.3.4  变更及签证的有效性</w:t>
      </w:r>
    </w:p>
    <w:p w14:paraId="192D782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 对承包人提出的洽商或技术核定单，应经监理人、全过程造价审核单位、设计单位的项目负责人书面同意并盖章，报发包人审批后实施。如涉及合同价格变更的，由全过程造价审核单位提出价格变更估算报告，作为洽商或技术核定单附件报发包人审批。</w:t>
      </w:r>
    </w:p>
    <w:p w14:paraId="5CBC3CF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（2）洽商或技术核定单如涉及现场收方的，需由发包人、监理人、全过程造价审核单位、承包人共同在现场收方并签字确认。</w:t>
      </w:r>
    </w:p>
    <w:p w14:paraId="7FB35F7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（3）现场收方资料在整理后形成正式收方单、参加收方的各方项目负责人应在正式收方单上签字，并附上音像资料。</w:t>
      </w:r>
    </w:p>
    <w:p w14:paraId="5987066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（4）承包人正式收方单形成后应向发包人提交报价资料，发包人在收到承包人提交的正式报价资料后进行审批。</w:t>
      </w:r>
    </w:p>
    <w:p w14:paraId="21E4E89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31" w:name="_Toc337569296"/>
      <w:bookmarkStart w:id="432" w:name="_Toc338072783"/>
      <w:r>
        <w:rPr>
          <w:rFonts w:hint="eastAsia" w:ascii="宋体" w:hAnsi="宋体" w:cs="宋体"/>
          <w:color w:val="auto"/>
          <w:sz w:val="22"/>
          <w:szCs w:val="22"/>
          <w:highlight w:val="none"/>
        </w:rPr>
        <w:t>15.4 变更的计价原则</w:t>
      </w:r>
      <w:bookmarkEnd w:id="431"/>
      <w:bookmarkEnd w:id="432"/>
    </w:p>
    <w:p w14:paraId="0FEAD75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按专用合同条款4.4条相应条款执行。</w:t>
      </w:r>
    </w:p>
    <w:p w14:paraId="09DF5EB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33" w:name="_Toc337569297"/>
      <w:bookmarkStart w:id="434" w:name="_Toc338072784"/>
      <w:r>
        <w:rPr>
          <w:rFonts w:hint="eastAsia" w:ascii="宋体" w:hAnsi="宋体" w:cs="宋体"/>
          <w:color w:val="auto"/>
          <w:sz w:val="22"/>
          <w:szCs w:val="22"/>
          <w:highlight w:val="none"/>
        </w:rPr>
        <w:t>15.5  承包人的合理化建议</w:t>
      </w:r>
      <w:bookmarkEnd w:id="433"/>
      <w:bookmarkEnd w:id="434"/>
    </w:p>
    <w:p w14:paraId="3C1BE45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15.5.1  对承包人提出合理化建议的奖励方法：</w:t>
      </w:r>
      <w:r>
        <w:rPr>
          <w:rFonts w:hint="eastAsia" w:ascii="宋体" w:hAnsi="宋体" w:cs="宋体"/>
          <w:color w:val="auto"/>
          <w:sz w:val="22"/>
          <w:szCs w:val="22"/>
          <w:highlight w:val="none"/>
          <w:u w:val="single"/>
        </w:rPr>
        <w:t xml:space="preserve">无 </w:t>
      </w:r>
    </w:p>
    <w:p w14:paraId="71B3942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15.6  暂列金、暂估价</w:t>
      </w:r>
    </w:p>
    <w:p w14:paraId="59CDE4B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15.6.1  发包人、承包人在采用招标方式选择供应商或分包人时的权利与义务：</w:t>
      </w:r>
      <w:r>
        <w:rPr>
          <w:rFonts w:hint="eastAsia" w:ascii="宋体" w:hAnsi="宋体" w:cs="宋体"/>
          <w:color w:val="auto"/>
          <w:sz w:val="22"/>
          <w:szCs w:val="22"/>
          <w:highlight w:val="none"/>
          <w:u w:val="single"/>
        </w:rPr>
        <w:t xml:space="preserve"> 按通用条款执行。</w:t>
      </w:r>
    </w:p>
    <w:p w14:paraId="178A60E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15.6.2不属于依法必须招标的暂估价工程最终价格的估价人：</w:t>
      </w:r>
      <w:r>
        <w:rPr>
          <w:rFonts w:hint="eastAsia" w:ascii="宋体" w:hAnsi="宋体" w:cs="宋体"/>
          <w:color w:val="auto"/>
          <w:sz w:val="22"/>
          <w:szCs w:val="22"/>
          <w:highlight w:val="none"/>
          <w:u w:val="single"/>
        </w:rPr>
        <w:t>发包人。</w:t>
      </w:r>
    </w:p>
    <w:p w14:paraId="6D274996">
      <w:pPr>
        <w:pStyle w:val="53"/>
        <w:keepNext w:val="0"/>
        <w:keepLines w:val="0"/>
        <w:pageBreakBefore w:val="0"/>
        <w:kinsoku/>
        <w:wordWrap/>
        <w:overflowPunct/>
        <w:topLinePunct w:val="0"/>
        <w:bidi w:val="0"/>
        <w:adjustRightInd w:val="0"/>
        <w:snapToGrid w:val="0"/>
        <w:spacing w:line="400" w:lineRule="exact"/>
        <w:textAlignment w:val="auto"/>
        <w:rPr>
          <w:color w:val="auto"/>
          <w:sz w:val="22"/>
          <w:szCs w:val="22"/>
          <w:highlight w:val="none"/>
        </w:rPr>
      </w:pPr>
      <w:r>
        <w:rPr>
          <w:color w:val="auto"/>
          <w:sz w:val="22"/>
          <w:szCs w:val="22"/>
          <w:highlight w:val="none"/>
        </w:rPr>
        <w:t xml:space="preserve">    </w:t>
      </w:r>
      <w:r>
        <w:rPr>
          <w:color w:val="auto"/>
          <w:kern w:val="2"/>
          <w:sz w:val="22"/>
          <w:szCs w:val="22"/>
          <w:highlight w:val="none"/>
        </w:rPr>
        <w:t>15.6.3 暂列金额、暂估价项目达到必须招标标准的，必须依法进行招投标选择承包单位。</w:t>
      </w:r>
    </w:p>
    <w:p w14:paraId="6F5976D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35" w:name="_Toc337569298"/>
      <w:bookmarkStart w:id="436" w:name="_Toc335394158"/>
      <w:bookmarkStart w:id="437" w:name="_Toc338072785"/>
      <w:r>
        <w:rPr>
          <w:rFonts w:hint="eastAsia" w:ascii="宋体" w:hAnsi="宋体" w:cs="宋体"/>
          <w:color w:val="auto"/>
          <w:sz w:val="22"/>
          <w:szCs w:val="22"/>
          <w:highlight w:val="none"/>
        </w:rPr>
        <w:t>16．价格调整</w:t>
      </w:r>
      <w:bookmarkEnd w:id="435"/>
      <w:bookmarkEnd w:id="436"/>
      <w:bookmarkEnd w:id="437"/>
    </w:p>
    <w:p w14:paraId="128B13E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eastAsia="宋体" w:cs="宋体"/>
          <w:color w:val="auto"/>
          <w:sz w:val="22"/>
          <w:szCs w:val="22"/>
          <w:highlight w:val="none"/>
          <w:u w:val="single"/>
          <w:lang w:eastAsia="zh-CN"/>
        </w:rPr>
      </w:pPr>
      <w:bookmarkStart w:id="438" w:name="_Toc337569299"/>
      <w:bookmarkStart w:id="439" w:name="_Toc338072786"/>
      <w:r>
        <w:rPr>
          <w:rFonts w:hint="eastAsia" w:ascii="宋体" w:hAnsi="宋体" w:cs="宋体"/>
          <w:color w:val="auto"/>
          <w:sz w:val="22"/>
          <w:szCs w:val="22"/>
          <w:highlight w:val="none"/>
        </w:rPr>
        <w:t>16.1  物价波动引起的价格调整方法：</w:t>
      </w:r>
      <w:bookmarkEnd w:id="438"/>
      <w:bookmarkEnd w:id="439"/>
      <w:r>
        <w:rPr>
          <w:rFonts w:hint="eastAsia" w:ascii="宋体" w:hAnsi="宋体" w:cs="宋体"/>
          <w:color w:val="auto"/>
          <w:sz w:val="22"/>
          <w:szCs w:val="22"/>
          <w:highlight w:val="none"/>
          <w:u w:val="single"/>
          <w:lang w:val="en-US" w:eastAsia="zh-CN"/>
        </w:rPr>
        <w:t>不调整</w:t>
      </w:r>
    </w:p>
    <w:p w14:paraId="7479E2D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  计量与支付</w:t>
      </w:r>
    </w:p>
    <w:p w14:paraId="3D54ECD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40" w:name="_Toc338072787"/>
      <w:bookmarkStart w:id="441" w:name="_Toc337569300"/>
      <w:r>
        <w:rPr>
          <w:rFonts w:hint="eastAsia" w:ascii="宋体" w:hAnsi="宋体" w:cs="宋体"/>
          <w:color w:val="auto"/>
          <w:sz w:val="22"/>
          <w:szCs w:val="22"/>
          <w:highlight w:val="none"/>
        </w:rPr>
        <w:t>17.1  计量</w:t>
      </w:r>
      <w:bookmarkEnd w:id="440"/>
      <w:bookmarkEnd w:id="441"/>
    </w:p>
    <w:p w14:paraId="7ABF3FA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17.1.1  计量周期</w:t>
      </w:r>
    </w:p>
    <w:p w14:paraId="0288602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本合同的计量周期：单价子目按月计量 ；总价子目按该项实施进度计量。</w:t>
      </w:r>
    </w:p>
    <w:p w14:paraId="7DB6802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17.1.2 总价子目的计量</w:t>
      </w:r>
    </w:p>
    <w:p w14:paraId="44ADB37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总价子目的计量方法：</w:t>
      </w:r>
      <w:r>
        <w:rPr>
          <w:rFonts w:hint="eastAsia" w:ascii="宋体" w:hAnsi="宋体" w:cs="宋体"/>
          <w:color w:val="auto"/>
          <w:sz w:val="22"/>
          <w:szCs w:val="22"/>
          <w:highlight w:val="none"/>
          <w:u w:val="single"/>
        </w:rPr>
        <w:t xml:space="preserve"> 总价子目按该项实施进度计量。</w:t>
      </w:r>
    </w:p>
    <w:p w14:paraId="0D89ABA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17.2  预付款</w:t>
      </w:r>
    </w:p>
    <w:p w14:paraId="7419BAF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17.2.1  预付款</w:t>
      </w:r>
    </w:p>
    <w:p w14:paraId="7415754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预付款额度和预付方法：</w:t>
      </w:r>
      <w:r>
        <w:rPr>
          <w:rFonts w:hint="eastAsia" w:ascii="宋体" w:hAnsi="宋体" w:cs="宋体"/>
          <w:color w:val="auto"/>
          <w:sz w:val="22"/>
          <w:szCs w:val="22"/>
          <w:highlight w:val="none"/>
          <w:u w:val="single"/>
        </w:rPr>
        <w:t xml:space="preserve"> 不采用 。</w:t>
      </w:r>
    </w:p>
    <w:p w14:paraId="4189541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17.2.2  预付款保函</w:t>
      </w:r>
    </w:p>
    <w:p w14:paraId="43DD3D2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预付款保函的提交时间：</w:t>
      </w:r>
      <w:r>
        <w:rPr>
          <w:rFonts w:hint="eastAsia" w:ascii="宋体" w:hAnsi="宋体" w:cs="宋体"/>
          <w:color w:val="auto"/>
          <w:sz w:val="22"/>
          <w:szCs w:val="22"/>
          <w:highlight w:val="none"/>
          <w:u w:val="single"/>
        </w:rPr>
        <w:t xml:space="preserve"> 不采用。</w:t>
      </w:r>
    </w:p>
    <w:p w14:paraId="5ADCB15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17.2.3  预付款的扣回与还清</w:t>
      </w:r>
    </w:p>
    <w:p w14:paraId="47B2D49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预付款的扣回办法：</w:t>
      </w:r>
      <w:r>
        <w:rPr>
          <w:rFonts w:hint="eastAsia" w:ascii="宋体" w:hAnsi="宋体" w:cs="宋体"/>
          <w:color w:val="auto"/>
          <w:sz w:val="22"/>
          <w:szCs w:val="22"/>
          <w:highlight w:val="none"/>
          <w:u w:val="single"/>
        </w:rPr>
        <w:t xml:space="preserve"> 不采用。</w:t>
      </w:r>
    </w:p>
    <w:p w14:paraId="3CD3175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42" w:name="_Toc338072788"/>
      <w:bookmarkStart w:id="443" w:name="_Toc337569301"/>
      <w:r>
        <w:rPr>
          <w:rFonts w:hint="eastAsia" w:ascii="宋体" w:hAnsi="宋体" w:cs="宋体"/>
          <w:color w:val="auto"/>
          <w:sz w:val="22"/>
          <w:szCs w:val="22"/>
          <w:highlight w:val="none"/>
        </w:rPr>
        <w:t>17.3  进度款</w:t>
      </w:r>
      <w:bookmarkEnd w:id="442"/>
      <w:bookmarkEnd w:id="443"/>
      <w:r>
        <w:rPr>
          <w:rFonts w:hint="eastAsia" w:ascii="宋体" w:hAnsi="宋体" w:cs="宋体"/>
          <w:color w:val="auto"/>
          <w:sz w:val="22"/>
          <w:szCs w:val="22"/>
          <w:highlight w:val="none"/>
        </w:rPr>
        <w:t xml:space="preserve">： </w:t>
      </w:r>
      <w:r>
        <w:rPr>
          <w:rFonts w:hint="eastAsia" w:ascii="宋体" w:hAnsi="宋体" w:cs="宋体"/>
          <w:color w:val="auto"/>
          <w:sz w:val="22"/>
          <w:szCs w:val="22"/>
          <w:highlight w:val="none"/>
          <w:u w:val="single"/>
        </w:rPr>
        <w:t xml:space="preserve"> 采用  </w:t>
      </w:r>
    </w:p>
    <w:p w14:paraId="4044FAB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17.4  质量保证金</w:t>
      </w:r>
    </w:p>
    <w:p w14:paraId="7A5B1E4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17.4.1  质量保证金的金额或比例：</w:t>
      </w:r>
      <w:r>
        <w:rPr>
          <w:rFonts w:hint="eastAsia" w:ascii="宋体" w:hAnsi="宋体" w:cs="宋体"/>
          <w:color w:val="auto"/>
          <w:sz w:val="22"/>
          <w:szCs w:val="22"/>
          <w:highlight w:val="none"/>
          <w:u w:val="single"/>
        </w:rPr>
        <w:t>工程结算审定后价款的3%。</w:t>
      </w:r>
    </w:p>
    <w:p w14:paraId="409CE7F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质量保证金的扣留方法：</w:t>
      </w:r>
      <w:r>
        <w:rPr>
          <w:rFonts w:hint="eastAsia" w:ascii="宋体" w:hAnsi="宋体" w:cs="宋体"/>
          <w:color w:val="auto"/>
          <w:sz w:val="22"/>
          <w:szCs w:val="22"/>
          <w:highlight w:val="none"/>
          <w:u w:val="single"/>
        </w:rPr>
        <w:t>发包人在工程结算价款中扣留。</w:t>
      </w:r>
    </w:p>
    <w:p w14:paraId="0070DCC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质量保证金的退还方法：</w:t>
      </w:r>
      <w:r>
        <w:rPr>
          <w:rFonts w:hint="eastAsia" w:ascii="宋体" w:hAnsi="宋体" w:cs="宋体"/>
          <w:color w:val="auto"/>
          <w:sz w:val="22"/>
          <w:szCs w:val="22"/>
          <w:highlight w:val="none"/>
          <w:u w:val="single"/>
        </w:rPr>
        <w:t>工程竣工验收合格之日起，质保期满无息退还质保金，保修期间承包人如未履行相应保修义务，发包人有权延迟或拒绝退还质保金。</w:t>
      </w:r>
    </w:p>
    <w:p w14:paraId="05592AD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17.4.2  如果发包人扣留的质量保证金不足以抵减因承包人原因产生维修费的、或不足以抵减因承包人原因给发包人造成损失的，承包人必须承担不足部分的赔偿责任。</w:t>
      </w:r>
    </w:p>
    <w:p w14:paraId="6F92845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44" w:name="_Toc338072789"/>
      <w:bookmarkStart w:id="445" w:name="_Toc337569302"/>
      <w:r>
        <w:rPr>
          <w:rFonts w:hint="eastAsia" w:ascii="宋体" w:hAnsi="宋体" w:cs="宋体"/>
          <w:color w:val="auto"/>
          <w:sz w:val="22"/>
          <w:szCs w:val="22"/>
          <w:highlight w:val="none"/>
        </w:rPr>
        <w:t>17.5  竣工结算</w:t>
      </w:r>
      <w:bookmarkEnd w:id="444"/>
      <w:bookmarkEnd w:id="445"/>
    </w:p>
    <w:p w14:paraId="059A0581">
      <w:pPr>
        <w:keepNext w:val="0"/>
        <w:keepLines w:val="0"/>
        <w:pageBreakBefore w:val="0"/>
        <w:kinsoku/>
        <w:wordWrap/>
        <w:overflowPunct/>
        <w:topLinePunct w:val="0"/>
        <w:bidi w:val="0"/>
        <w:adjustRightInd w:val="0"/>
        <w:snapToGrid w:val="0"/>
        <w:spacing w:line="40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17.5.1  竣工结算必须通过审计，承包人应对结算资料（含结算金额）的真实性和准确性负责，结算资料交发包人审核确认。</w:t>
      </w:r>
    </w:p>
    <w:p w14:paraId="420C068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17.5.2 竣工付款申请单</w:t>
      </w:r>
    </w:p>
    <w:p w14:paraId="03B7732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竣工付款申请单的份数和提交期限：</w:t>
      </w:r>
    </w:p>
    <w:p w14:paraId="59BD935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工程竣工报告批准后，承包人应在30天内以书面方式向发包人代表提出结算报告以及完整的结算资料，并提交全套竣工结算资料扫描件电子档，申请办理竣工结算。</w:t>
      </w:r>
    </w:p>
    <w:p w14:paraId="1D2575D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竣工付款申请单的内容：如竣工结算合同总价、已支付的工程价、应扣留的质量保证金、应支付的竣工付款金额等。</w:t>
      </w:r>
    </w:p>
    <w:p w14:paraId="5CB7CA8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17.5.3竣工结算的付款方式：</w:t>
      </w:r>
    </w:p>
    <w:p w14:paraId="17F76DF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46" w:name="_Toc335394159"/>
      <w:bookmarkStart w:id="447" w:name="_Toc337569303"/>
      <w:bookmarkStart w:id="448" w:name="_Toc338072790"/>
      <w:r>
        <w:rPr>
          <w:rFonts w:hint="eastAsia" w:ascii="宋体" w:hAnsi="宋体" w:cs="宋体"/>
          <w:color w:val="auto"/>
          <w:sz w:val="22"/>
          <w:szCs w:val="22"/>
          <w:highlight w:val="none"/>
        </w:rPr>
        <w:t xml:space="preserve">  发包人以转账汇款方式支付工程款（进度款）</w:t>
      </w:r>
    </w:p>
    <w:p w14:paraId="272B3E57">
      <w:pPr>
        <w:keepNext w:val="0"/>
        <w:keepLines w:val="0"/>
        <w:pageBreakBefore w:val="0"/>
        <w:kinsoku/>
        <w:wordWrap/>
        <w:overflowPunct/>
        <w:topLinePunct w:val="0"/>
        <w:autoSpaceDE w:val="0"/>
        <w:autoSpaceDN w:val="0"/>
        <w:bidi w:val="0"/>
        <w:adjustRightInd w:val="0"/>
        <w:snapToGrid w:val="0"/>
        <w:spacing w:line="400" w:lineRule="exact"/>
        <w:ind w:firstLine="440" w:firstLineChars="200"/>
        <w:jc w:val="left"/>
        <w:textAlignment w:val="auto"/>
        <w:rPr>
          <w:rFonts w:hint="eastAsia" w:ascii="宋体" w:hAnsi="宋体" w:cs="宋体"/>
          <w:color w:val="auto"/>
          <w:sz w:val="22"/>
          <w:szCs w:val="22"/>
          <w:highlight w:val="none"/>
          <w:lang w:val="zh-CN"/>
        </w:rPr>
      </w:pPr>
      <w:r>
        <w:rPr>
          <w:rFonts w:hint="eastAsia" w:ascii="宋体" w:hAnsi="宋体" w:cs="宋体"/>
          <w:color w:val="auto"/>
          <w:sz w:val="22"/>
          <w:szCs w:val="22"/>
          <w:highlight w:val="none"/>
          <w:lang w:val="zh-CN"/>
        </w:rPr>
        <w:t>本工程不支付预付款；根据专项资金实际到位情况，工程完工结算后支付合同价的60%，审计完成支付至审定（若遇国审或二审，最终审定金额按国审或二审为准）金额的97%，支付工程款视业主上级补助资金到位情况而定，如资金未到位，工程款拨付时间则顺延，不计息。余下3%作为质保金，质保期满后无息付清（质保期,24个月）；每次拨款中标单位须开具相应金额建安增值税发票。</w:t>
      </w:r>
    </w:p>
    <w:p w14:paraId="21A761D2">
      <w:pPr>
        <w:keepNext w:val="0"/>
        <w:keepLines w:val="0"/>
        <w:pageBreakBefore w:val="0"/>
        <w:kinsoku/>
        <w:wordWrap/>
        <w:overflowPunct/>
        <w:topLinePunct w:val="0"/>
        <w:autoSpaceDE w:val="0"/>
        <w:autoSpaceDN w:val="0"/>
        <w:bidi w:val="0"/>
        <w:adjustRightInd w:val="0"/>
        <w:snapToGrid w:val="0"/>
        <w:spacing w:line="400" w:lineRule="exact"/>
        <w:ind w:firstLine="440" w:firstLineChars="200"/>
        <w:jc w:val="left"/>
        <w:textAlignment w:val="auto"/>
        <w:rPr>
          <w:rFonts w:hint="eastAsia" w:ascii="宋体" w:hAnsi="宋体" w:cs="宋体"/>
          <w:color w:val="auto"/>
          <w:sz w:val="22"/>
          <w:szCs w:val="22"/>
          <w:highlight w:val="none"/>
        </w:rPr>
      </w:pPr>
      <w:r>
        <w:rPr>
          <w:rFonts w:hint="eastAsia" w:ascii="宋体" w:hAnsi="宋体"/>
          <w:color w:val="auto"/>
          <w:kern w:val="0"/>
          <w:sz w:val="22"/>
          <w:szCs w:val="22"/>
          <w:highlight w:val="none"/>
        </w:rPr>
        <w:t>18.</w:t>
      </w:r>
      <w:r>
        <w:rPr>
          <w:rFonts w:hint="eastAsia" w:ascii="宋体" w:hAnsi="宋体" w:cs="宋体"/>
          <w:color w:val="auto"/>
          <w:sz w:val="22"/>
          <w:szCs w:val="22"/>
          <w:highlight w:val="none"/>
        </w:rPr>
        <w:t>竣工验收</w:t>
      </w:r>
      <w:bookmarkEnd w:id="446"/>
      <w:bookmarkEnd w:id="447"/>
      <w:bookmarkEnd w:id="448"/>
      <w:r>
        <w:rPr>
          <w:rFonts w:hint="eastAsia" w:ascii="宋体" w:hAnsi="宋体" w:cs="宋体"/>
          <w:color w:val="auto"/>
          <w:sz w:val="22"/>
          <w:szCs w:val="22"/>
          <w:highlight w:val="none"/>
        </w:rPr>
        <w:t xml:space="preserve">                                            </w:t>
      </w:r>
    </w:p>
    <w:p w14:paraId="09FA308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49" w:name="_Toc338072791"/>
      <w:bookmarkStart w:id="450" w:name="_Toc337569304"/>
      <w:r>
        <w:rPr>
          <w:rFonts w:hint="eastAsia" w:ascii="宋体" w:hAnsi="宋体" w:cs="宋体"/>
          <w:color w:val="auto"/>
          <w:sz w:val="22"/>
          <w:szCs w:val="22"/>
          <w:highlight w:val="none"/>
        </w:rPr>
        <w:t>18.1  竣工验收申请报告</w:t>
      </w:r>
      <w:bookmarkEnd w:id="449"/>
      <w:bookmarkEnd w:id="450"/>
    </w:p>
    <w:p w14:paraId="06A7B99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竣工资料内容：</w:t>
      </w:r>
      <w:r>
        <w:rPr>
          <w:rFonts w:hint="eastAsia" w:ascii="宋体" w:hAnsi="宋体" w:cs="宋体"/>
          <w:color w:val="auto"/>
          <w:sz w:val="22"/>
          <w:szCs w:val="22"/>
          <w:highlight w:val="none"/>
          <w:u w:val="single"/>
        </w:rPr>
        <w:t>按重庆市城建档案馆的要求执行竣工图和工程竣工技术档案。</w:t>
      </w:r>
    </w:p>
    <w:p w14:paraId="58B3ACE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竣工资料份数：工程具备竣工验收条件时，承包人应向发包人提供经档案馆验收合格的完整的竣工档案资料、竣工验收报告和竣工图三 套（含相应的电子文档），承包人所提供的上述资料须经重庆市城建档案馆档案专项验收合格并出具相应的档案验收意见书，以上所有费用由承包人承担。</w:t>
      </w:r>
    </w:p>
    <w:p w14:paraId="273AD63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51" w:name="_Toc337569305"/>
      <w:bookmarkStart w:id="452" w:name="_Toc338072792"/>
      <w:r>
        <w:rPr>
          <w:rFonts w:hint="eastAsia" w:ascii="宋体" w:hAnsi="宋体" w:cs="宋体"/>
          <w:color w:val="auto"/>
          <w:sz w:val="22"/>
          <w:szCs w:val="22"/>
          <w:highlight w:val="none"/>
        </w:rPr>
        <w:t>18.2  验收</w:t>
      </w:r>
      <w:bookmarkEnd w:id="451"/>
      <w:bookmarkEnd w:id="452"/>
    </w:p>
    <w:p w14:paraId="38F5056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18.2.1 实际竣工日期：</w:t>
      </w:r>
      <w:r>
        <w:rPr>
          <w:rFonts w:hint="eastAsia" w:ascii="宋体" w:hAnsi="宋体" w:cs="宋体"/>
          <w:color w:val="auto"/>
          <w:sz w:val="22"/>
          <w:szCs w:val="22"/>
          <w:highlight w:val="none"/>
          <w:u w:val="single"/>
        </w:rPr>
        <w:t>以验收合格日为准。</w:t>
      </w:r>
    </w:p>
    <w:p w14:paraId="4AFAFAF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53" w:name="_Toc338072793"/>
      <w:bookmarkStart w:id="454" w:name="_Toc337569306"/>
      <w:r>
        <w:rPr>
          <w:rFonts w:hint="eastAsia" w:ascii="宋体" w:hAnsi="宋体" w:cs="宋体"/>
          <w:color w:val="auto"/>
          <w:sz w:val="22"/>
          <w:szCs w:val="22"/>
          <w:highlight w:val="none"/>
        </w:rPr>
        <w:t>18.3  施工期运行</w:t>
      </w:r>
      <w:bookmarkEnd w:id="453"/>
      <w:bookmarkEnd w:id="454"/>
    </w:p>
    <w:p w14:paraId="0EEC941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18.3.1  需要施工期运行单位工程或工程设备：</w:t>
      </w:r>
      <w:r>
        <w:rPr>
          <w:rFonts w:hint="eastAsia" w:ascii="宋体" w:hAnsi="宋体" w:cs="宋体"/>
          <w:color w:val="auto"/>
          <w:sz w:val="22"/>
          <w:szCs w:val="22"/>
          <w:highlight w:val="none"/>
          <w:u w:val="single"/>
        </w:rPr>
        <w:t xml:space="preserve"> 无。</w:t>
      </w:r>
    </w:p>
    <w:p w14:paraId="1170493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55" w:name="_Toc338072794"/>
      <w:bookmarkStart w:id="456" w:name="_Toc337569307"/>
      <w:r>
        <w:rPr>
          <w:rFonts w:hint="eastAsia" w:ascii="宋体" w:hAnsi="宋体" w:cs="宋体"/>
          <w:color w:val="auto"/>
          <w:sz w:val="22"/>
          <w:szCs w:val="22"/>
          <w:highlight w:val="none"/>
        </w:rPr>
        <w:t>18.6  试运行</w:t>
      </w:r>
      <w:bookmarkEnd w:id="455"/>
      <w:bookmarkEnd w:id="456"/>
    </w:p>
    <w:p w14:paraId="080DEE5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18.6.1  试运行的组织及费用承担：</w:t>
      </w:r>
      <w:r>
        <w:rPr>
          <w:rFonts w:hint="eastAsia" w:ascii="宋体" w:hAnsi="宋体" w:cs="宋体"/>
          <w:color w:val="auto"/>
          <w:sz w:val="22"/>
          <w:szCs w:val="22"/>
          <w:highlight w:val="none"/>
          <w:u w:val="single"/>
        </w:rPr>
        <w:t>承包人。</w:t>
      </w:r>
    </w:p>
    <w:p w14:paraId="3F5E520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57" w:name="_Toc337569308"/>
      <w:bookmarkStart w:id="458" w:name="_Toc338072795"/>
      <w:r>
        <w:rPr>
          <w:rFonts w:hint="eastAsia" w:ascii="宋体" w:hAnsi="宋体" w:cs="宋体"/>
          <w:color w:val="auto"/>
          <w:sz w:val="22"/>
          <w:szCs w:val="22"/>
          <w:highlight w:val="none"/>
        </w:rPr>
        <w:t>18.7  竣工清场</w:t>
      </w:r>
      <w:bookmarkEnd w:id="457"/>
      <w:bookmarkEnd w:id="458"/>
    </w:p>
    <w:p w14:paraId="17E0FF6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bookmarkStart w:id="459" w:name="_Toc337569309"/>
      <w:bookmarkStart w:id="460" w:name="_Toc338072796"/>
      <w:r>
        <w:rPr>
          <w:rFonts w:hint="eastAsia" w:ascii="宋体" w:hAnsi="宋体" w:cs="宋体"/>
          <w:color w:val="auto"/>
          <w:sz w:val="22"/>
          <w:szCs w:val="22"/>
          <w:highlight w:val="none"/>
        </w:rPr>
        <w:t>竣工清场：</w:t>
      </w:r>
      <w:r>
        <w:rPr>
          <w:rFonts w:hint="eastAsia" w:ascii="宋体" w:hAnsi="宋体" w:cs="宋体"/>
          <w:color w:val="auto"/>
          <w:sz w:val="22"/>
          <w:szCs w:val="22"/>
          <w:highlight w:val="none"/>
          <w:u w:val="single"/>
        </w:rPr>
        <w:t>按通用条款执行。</w:t>
      </w:r>
      <w:bookmarkEnd w:id="459"/>
      <w:bookmarkEnd w:id="460"/>
    </w:p>
    <w:p w14:paraId="407CC9B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61" w:name="_Toc338072797"/>
      <w:bookmarkStart w:id="462" w:name="_Toc337569310"/>
      <w:r>
        <w:rPr>
          <w:rFonts w:hint="eastAsia" w:ascii="宋体" w:hAnsi="宋体" w:cs="宋体"/>
          <w:color w:val="auto"/>
          <w:sz w:val="22"/>
          <w:szCs w:val="22"/>
          <w:highlight w:val="none"/>
        </w:rPr>
        <w:t>18.8  施工队伍的撤离</w:t>
      </w:r>
      <w:bookmarkEnd w:id="461"/>
      <w:bookmarkEnd w:id="462"/>
    </w:p>
    <w:p w14:paraId="7FA861A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 xml:space="preserve">施工人员、施工设备及其临时工程撤离的要求： </w:t>
      </w:r>
      <w:r>
        <w:rPr>
          <w:rFonts w:hint="eastAsia" w:ascii="宋体" w:hAnsi="宋体" w:cs="宋体"/>
          <w:color w:val="auto"/>
          <w:sz w:val="22"/>
          <w:szCs w:val="22"/>
          <w:highlight w:val="none"/>
          <w:u w:val="single"/>
        </w:rPr>
        <w:t xml:space="preserve"> 验收合格一个月内撤离。</w:t>
      </w:r>
    </w:p>
    <w:p w14:paraId="75DEB0F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63" w:name="_Toc338072798"/>
      <w:bookmarkStart w:id="464" w:name="_Toc335394160"/>
      <w:bookmarkStart w:id="465" w:name="_Toc337569311"/>
      <w:r>
        <w:rPr>
          <w:rFonts w:hint="eastAsia" w:ascii="宋体" w:hAnsi="宋体" w:cs="宋体"/>
          <w:color w:val="auto"/>
          <w:sz w:val="22"/>
          <w:szCs w:val="22"/>
          <w:highlight w:val="none"/>
        </w:rPr>
        <w:t>19.  缺陷责任与保修责任</w:t>
      </w:r>
      <w:bookmarkEnd w:id="463"/>
      <w:bookmarkEnd w:id="464"/>
      <w:bookmarkEnd w:id="465"/>
    </w:p>
    <w:p w14:paraId="268AC2B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66" w:name="_Toc337569312"/>
      <w:bookmarkStart w:id="467" w:name="_Toc338072799"/>
      <w:r>
        <w:rPr>
          <w:rFonts w:hint="eastAsia" w:ascii="宋体" w:hAnsi="宋体" w:cs="宋体"/>
          <w:color w:val="auto"/>
          <w:sz w:val="22"/>
          <w:szCs w:val="22"/>
          <w:highlight w:val="none"/>
        </w:rPr>
        <w:t>19.1  保修责任</w:t>
      </w:r>
      <w:bookmarkEnd w:id="466"/>
      <w:bookmarkEnd w:id="467"/>
    </w:p>
    <w:p w14:paraId="32836E9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工程质量保修范围、期限和责任：</w:t>
      </w:r>
      <w:r>
        <w:rPr>
          <w:rFonts w:hint="eastAsia" w:ascii="宋体" w:hAnsi="宋体" w:cs="宋体"/>
          <w:color w:val="auto"/>
          <w:sz w:val="22"/>
          <w:szCs w:val="22"/>
          <w:highlight w:val="none"/>
          <w:u w:val="single"/>
        </w:rPr>
        <w:t>以工程质量保修书为准。</w:t>
      </w:r>
    </w:p>
    <w:p w14:paraId="6AD67F3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68" w:name="_Toc338072800"/>
      <w:bookmarkStart w:id="469" w:name="_Toc335394161"/>
      <w:bookmarkStart w:id="470" w:name="_Toc337569313"/>
      <w:r>
        <w:rPr>
          <w:rFonts w:hint="eastAsia" w:ascii="宋体" w:hAnsi="宋体" w:cs="宋体"/>
          <w:color w:val="auto"/>
          <w:sz w:val="22"/>
          <w:szCs w:val="22"/>
          <w:highlight w:val="none"/>
        </w:rPr>
        <w:t>20.  保险</w:t>
      </w:r>
      <w:bookmarkEnd w:id="468"/>
      <w:bookmarkEnd w:id="469"/>
      <w:bookmarkEnd w:id="470"/>
    </w:p>
    <w:p w14:paraId="7021539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71" w:name="_Toc338072801"/>
      <w:bookmarkStart w:id="472" w:name="_Toc337569314"/>
      <w:r>
        <w:rPr>
          <w:rFonts w:hint="eastAsia" w:ascii="宋体" w:hAnsi="宋体" w:cs="宋体"/>
          <w:color w:val="auto"/>
          <w:sz w:val="22"/>
          <w:szCs w:val="22"/>
          <w:highlight w:val="none"/>
        </w:rPr>
        <w:t>20.1  工程保险</w:t>
      </w:r>
      <w:bookmarkEnd w:id="471"/>
      <w:bookmarkEnd w:id="472"/>
    </w:p>
    <w:p w14:paraId="33767AE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投保人：</w:t>
      </w:r>
      <w:r>
        <w:rPr>
          <w:rFonts w:hint="eastAsia" w:ascii="宋体" w:hAnsi="宋体" w:cs="宋体"/>
          <w:color w:val="auto"/>
          <w:sz w:val="22"/>
          <w:szCs w:val="22"/>
          <w:highlight w:val="none"/>
          <w:u w:val="single"/>
        </w:rPr>
        <w:t xml:space="preserve">  按通用条款执行。      </w:t>
      </w:r>
    </w:p>
    <w:p w14:paraId="408B18F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投保内容：</w:t>
      </w:r>
      <w:r>
        <w:rPr>
          <w:rFonts w:hint="eastAsia" w:ascii="宋体" w:hAnsi="宋体" w:cs="宋体"/>
          <w:color w:val="auto"/>
          <w:sz w:val="22"/>
          <w:szCs w:val="22"/>
          <w:highlight w:val="none"/>
          <w:u w:val="single"/>
        </w:rPr>
        <w:t xml:space="preserve">   按通用条款执行。   </w:t>
      </w:r>
    </w:p>
    <w:p w14:paraId="24D5F87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保险金额、保险费率和保险期限：保险费率和保险期限：</w:t>
      </w:r>
      <w:r>
        <w:rPr>
          <w:rFonts w:hint="eastAsia" w:ascii="宋体" w:hAnsi="宋体" w:cs="宋体"/>
          <w:color w:val="auto"/>
          <w:sz w:val="22"/>
          <w:szCs w:val="22"/>
          <w:highlight w:val="none"/>
          <w:u w:val="single"/>
        </w:rPr>
        <w:t>按通用条款执行。</w:t>
      </w:r>
    </w:p>
    <w:p w14:paraId="6C17D89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73" w:name="_Toc337569315"/>
      <w:bookmarkStart w:id="474" w:name="_Toc338072802"/>
      <w:r>
        <w:rPr>
          <w:rFonts w:hint="eastAsia" w:ascii="宋体" w:hAnsi="宋体" w:cs="宋体"/>
          <w:color w:val="auto"/>
          <w:sz w:val="22"/>
          <w:szCs w:val="22"/>
          <w:highlight w:val="none"/>
        </w:rPr>
        <w:t>20.2  第三者责任险</w:t>
      </w:r>
      <w:bookmarkEnd w:id="473"/>
      <w:bookmarkEnd w:id="474"/>
    </w:p>
    <w:p w14:paraId="3DE155D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bookmarkStart w:id="475" w:name="_Toc337569316"/>
      <w:bookmarkStart w:id="476" w:name="_Toc338072803"/>
      <w:r>
        <w:rPr>
          <w:rFonts w:hint="eastAsia" w:ascii="宋体" w:hAnsi="宋体" w:cs="宋体"/>
          <w:color w:val="auto"/>
          <w:sz w:val="22"/>
          <w:szCs w:val="22"/>
          <w:highlight w:val="none"/>
        </w:rPr>
        <w:t>第三者责任险的保险费率：</w:t>
      </w:r>
      <w:r>
        <w:rPr>
          <w:rFonts w:hint="eastAsia" w:ascii="宋体" w:hAnsi="宋体" w:cs="宋体"/>
          <w:color w:val="auto"/>
          <w:sz w:val="22"/>
          <w:szCs w:val="22"/>
          <w:highlight w:val="none"/>
          <w:u w:val="single"/>
        </w:rPr>
        <w:t>按通用条款执行。</w:t>
      </w:r>
      <w:bookmarkEnd w:id="475"/>
      <w:bookmarkEnd w:id="476"/>
    </w:p>
    <w:p w14:paraId="29D863B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第三者责任险的保险金额：</w:t>
      </w:r>
      <w:r>
        <w:rPr>
          <w:rFonts w:hint="eastAsia" w:ascii="宋体" w:hAnsi="宋体" w:cs="宋体"/>
          <w:color w:val="auto"/>
          <w:sz w:val="22"/>
          <w:szCs w:val="22"/>
          <w:highlight w:val="none"/>
          <w:u w:val="single"/>
        </w:rPr>
        <w:t>按通用条款执行。</w:t>
      </w:r>
    </w:p>
    <w:p w14:paraId="2CDA669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77" w:name="_Toc338072804"/>
      <w:bookmarkStart w:id="478" w:name="_Toc337569317"/>
      <w:r>
        <w:rPr>
          <w:rFonts w:hint="eastAsia" w:ascii="宋体" w:hAnsi="宋体" w:cs="宋体"/>
          <w:color w:val="auto"/>
          <w:sz w:val="22"/>
          <w:szCs w:val="22"/>
          <w:highlight w:val="none"/>
        </w:rPr>
        <w:t>20.3  其他保险</w:t>
      </w:r>
      <w:bookmarkEnd w:id="477"/>
      <w:bookmarkEnd w:id="478"/>
    </w:p>
    <w:p w14:paraId="48D4F0B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按通用条款执行，承包人自行办理。</w:t>
      </w:r>
      <w:bookmarkStart w:id="479" w:name="_Toc338072807"/>
      <w:bookmarkStart w:id="480" w:name="_Toc337569320"/>
      <w:bookmarkStart w:id="481" w:name="_Toc335394163"/>
    </w:p>
    <w:p w14:paraId="719DFAE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21.   不可抗力</w:t>
      </w:r>
      <w:bookmarkEnd w:id="479"/>
      <w:bookmarkEnd w:id="480"/>
      <w:bookmarkEnd w:id="481"/>
      <w:bookmarkStart w:id="482" w:name="_Toc338072808"/>
      <w:bookmarkStart w:id="483" w:name="_Toc337569321"/>
    </w:p>
    <w:p w14:paraId="0FC425D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21.1  不可抗力的确认</w:t>
      </w:r>
      <w:bookmarkEnd w:id="482"/>
      <w:bookmarkEnd w:id="483"/>
      <w:bookmarkStart w:id="484" w:name="_Toc338072809"/>
      <w:bookmarkStart w:id="485" w:name="_Toc337569322"/>
    </w:p>
    <w:p w14:paraId="74535D8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不可抗力的范围：除通用合同条款外，发生50年一遇的自然灾害（如台风、雪灾、洪水、高温），但该部分承包方必须提供正式的气象依据予以证明。</w:t>
      </w:r>
      <w:bookmarkEnd w:id="484"/>
      <w:bookmarkEnd w:id="485"/>
    </w:p>
    <w:p w14:paraId="0FC5955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86" w:name="_Toc338072810"/>
      <w:bookmarkStart w:id="487" w:name="_Toc337569323"/>
      <w:r>
        <w:rPr>
          <w:rFonts w:hint="eastAsia" w:ascii="宋体" w:hAnsi="宋体" w:cs="宋体"/>
          <w:color w:val="auto"/>
          <w:sz w:val="22"/>
          <w:szCs w:val="22"/>
          <w:highlight w:val="none"/>
        </w:rPr>
        <w:t>21.2  不可抗力后果及其处理</w:t>
      </w:r>
      <w:bookmarkEnd w:id="486"/>
      <w:bookmarkEnd w:id="487"/>
    </w:p>
    <w:p w14:paraId="78D6BD5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21.2.1  不可抗力造成损害的责任</w:t>
      </w:r>
    </w:p>
    <w:p w14:paraId="0D0E94F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不可抗力导致的人员伤亡、财产损失、费用增加和(或)工期延误由合同双方按以下方法承担：</w:t>
      </w:r>
      <w:r>
        <w:rPr>
          <w:rFonts w:hint="eastAsia" w:ascii="宋体" w:hAnsi="宋体" w:cs="宋体"/>
          <w:color w:val="auto"/>
          <w:sz w:val="22"/>
          <w:szCs w:val="22"/>
          <w:highlight w:val="none"/>
          <w:u w:val="single"/>
        </w:rPr>
        <w:t>按通用条款执行。</w:t>
      </w:r>
    </w:p>
    <w:p w14:paraId="58515A8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22  违约</w:t>
      </w:r>
    </w:p>
    <w:p w14:paraId="5F996FB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22．1  承包人违约</w:t>
      </w:r>
    </w:p>
    <w:p w14:paraId="4339F153">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对承包人其他违约情况的处理:</w:t>
      </w:r>
    </w:p>
    <w:p w14:paraId="24DC80E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承包人未按国家、行业和重庆市有关施工质量验收规范、技术规范、技术标准和规程、《工程建设标准强制性条文》及施工图纸(含设计变更和工程洽商或技术核定单)的要求进行施工，或偷工减料、弄虚作假的，监理人和发包人有权对承包人处以500元/次违约金。</w:t>
      </w:r>
    </w:p>
    <w:p w14:paraId="0CF3A225">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如果因承包人的原因工程质量达不到合同协议书第三条约定的质量标准，承包人在通用合同条款第22.1.2（2）目约定的指定期限内不进行整改或经整改后仍不能达到要求的，发包人有权单方解除合同，并按通用合同条款第22.1.3项、第22.1.4项和第22.1.5项的约定进行处理。</w:t>
      </w:r>
    </w:p>
    <w:p w14:paraId="0483903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因承包人原因，未按经监理人和发包人批准的进度计划组织施工，实际进度比进度计划滞后30天以上的；或承包人在执行本合同过程中，安全生产、文明施工、环保或环卫不能满足国家、重庆市和本合同有关规定要求的，承包人在通用合同条款第22.1.2（2）目约定的指定期限内不进行整改或经整改仍不能达到本合同要求的。监理人和发包人有权对承包人处以 500元/次违约金。</w:t>
      </w:r>
    </w:p>
    <w:p w14:paraId="2B6C53D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（4）承包人违反国家和重庆市安全生产、文明施工、环保及环卫有关规定的，除按相关规定进行处罚外，监理人和发包人有权对承包人处500元/次违约金，同时承包人必须按监理人或发包人的要求立即进行整改。</w:t>
      </w:r>
    </w:p>
    <w:p w14:paraId="3710B60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承包人未根据通用合同条款第4.7款的约定按发包人和监理人的要求及时无条件撤换承包人项目经理和其他人员的；或项目经理或主要管理人员和技术骨干长期不驻现场的；或未按第通用合同条款4.5.1款的约定项目经理兼任其他项目的项目经理或管理人员的按相应规定处罚。如果项目经理或主要管理人员未征得监理人或发包人书面同意，擅自脱岗的，监理人和发包人有权对承包人处以500元/次违约金。</w:t>
      </w:r>
    </w:p>
    <w:p w14:paraId="1E57A82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（6）承包人向监理人和发包人提供的所有工程资料和数据必须真实可靠。经检查发现承包人有弄虚作假的，监理人和发包人有权对承包人处以500元/次违约金。</w:t>
      </w:r>
    </w:p>
    <w:p w14:paraId="23E694D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（7）承包人在工程收方中采用欺骗手段或弄虚作假的，监理人和发包人有权对承包人处以1000元/次违约金。</w:t>
      </w:r>
    </w:p>
    <w:p w14:paraId="5E724C1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（8）承包人未经发包人书面同意将本工程转包、同意第三者挂靠承揽本工程、进行分包的，一经发现，发包人将处以本工程承包人预算价总额1%的违约金，并无条件改正，工期不得顺延，且发包人有权解除合同。</w:t>
      </w:r>
    </w:p>
    <w:p w14:paraId="6126A93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承包人不能因为任何原因拖欠农民工工资、拖欠供货商货款，由此引发的任何责任由承包人全部承担；出现拖欠农民工工资行为、拖欠供货商货款，发包人有权从承包人工程进度款中或履约保证金扣减直接支付给农民工或供货商。</w:t>
      </w:r>
    </w:p>
    <w:p w14:paraId="4828659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（10）未经发包人书面同意，承包人不得随意更改招标文件及合同约定的材料设备的规格型号、技术指标、质量标准，否则监理人和发包人有权处以承包人1000元/次违约金，同时承包人应限期进行整改。</w:t>
      </w:r>
    </w:p>
    <w:p w14:paraId="3151B200">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承包人在施工中没有领会施工图设内容或不明确施工要求而又不向发包人、设计人求证明确，致使施工不能达到设计目标及发包人要求的，发包人有权要求承包人返工并由承包人承担返工损失，工期不得顺延。</w:t>
      </w:r>
    </w:p>
    <w:p w14:paraId="1381F58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（12）承包人未严格按照发包人提供的施工图要求以及国家、地方现行规范要求的工程质量标准施工，处以1000元/次违约金，且承包人必须按照发包人要求的时间进行整改。</w:t>
      </w:r>
    </w:p>
    <w:p w14:paraId="6284666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13）承包人派驻现场的项目经理与主要管理人员必须与投标时一致，未经发包人书面同意更换项目经理或主要管理人员，发包人将对承包人处以500元/人次违约金（以监理人书面通知为准），承包人派往施工现场的项目经理、技术负责人每周在现场的时间不少于5天。</w:t>
      </w:r>
    </w:p>
    <w:p w14:paraId="4EE690A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（14）承包人的工程资料必须与工程进度同步，发包人随时抽查。承包人所提供工程资料未与工程进度同步，处以500元/次违约金。</w:t>
      </w:r>
    </w:p>
    <w:p w14:paraId="1C3357C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22.2未尽事宜</w:t>
      </w:r>
    </w:p>
    <w:p w14:paraId="673A1C9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承包人必须接受发包人工程管理办法的约定，违约金缴纳金额以专用合同条款为准，专用合同条款未包含的内容。</w:t>
      </w:r>
    </w:p>
    <w:p w14:paraId="67B74A5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bookmarkStart w:id="488" w:name="_Toc338072812"/>
      <w:bookmarkStart w:id="489" w:name="_Toc337569325"/>
      <w:r>
        <w:rPr>
          <w:rFonts w:hint="eastAsia" w:ascii="宋体" w:hAnsi="宋体" w:cs="宋体"/>
          <w:color w:val="auto"/>
          <w:sz w:val="22"/>
          <w:szCs w:val="22"/>
          <w:highlight w:val="none"/>
        </w:rPr>
        <w:t>24.1  争议的解决方式</w:t>
      </w:r>
      <w:bookmarkEnd w:id="488"/>
      <w:bookmarkEnd w:id="489"/>
    </w:p>
    <w:p w14:paraId="7B6DFEDF">
      <w:pPr>
        <w:keepNext w:val="0"/>
        <w:keepLines w:val="0"/>
        <w:pageBreakBefore w:val="0"/>
        <w:kinsoku/>
        <w:wordWrap/>
        <w:overflowPunct/>
        <w:topLinePunct w:val="0"/>
        <w:bidi w:val="0"/>
        <w:adjustRightInd w:val="0"/>
        <w:snapToGrid w:val="0"/>
        <w:spacing w:line="400" w:lineRule="exact"/>
        <w:ind w:firstLine="435"/>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争议的解决方式：本合同在履行过程中发生的争议，由双方当事人协商解决，也可由当地建设行政主管部门调解，协商或调解不成时，向重庆市仲裁委员会大足仲裁院申请仲裁；</w:t>
      </w:r>
    </w:p>
    <w:p w14:paraId="46FD164B">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  合同其它约定：关于建设工程资料的收集、编制、立卷、归档的约定（注：以下约定与本合同针对该内容约定有冲突时，按以下约定执行）。</w:t>
      </w:r>
    </w:p>
    <w:p w14:paraId="5480D0B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25.1、承包方至少配备 1 名具备资质的资料员驻守工地现场办公，经发包方、监理单位确认，指定为驻工地资料员。驻工地资料员应当相对稳定，未经发包方书面同意不得擅自更换或撤离资料员。</w:t>
      </w:r>
    </w:p>
    <w:p w14:paraId="7176200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25.2、承包方必须保证所有原材料、半成品、成品的质量保证资料真实有效，试验及时到位并建立试验台账，所有资料应与工程进度同步进行，不得因材料实验、资料的原因影响材料的使用及工程进度。</w:t>
      </w:r>
    </w:p>
    <w:p w14:paraId="661039B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25.3、承包方应按发包方要求参加发包方、监理单位召开的各种例会、技术方案、施工方案会，涉及工程变更部分，承包方应按照发包方规定编制相关文件资料，承包方不得采取事后补资料的办法确认变更，否则监理、发包方有权拒绝签认，由此造成的损失由承包方自行承担，同时给发包方造成的损失由承包方进行赔赏。</w:t>
      </w:r>
    </w:p>
    <w:p w14:paraId="01D340D4">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25.4、承包方应建立项目的工程量清单台账、工程变更台账，每月【20】日前报送经监理、发包方等审核合格工程量的计量支付报表。</w:t>
      </w:r>
    </w:p>
    <w:p w14:paraId="1270EF46">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25.5、承包方应遵守国家、地区、各部门及发包方规定的单位工程、分部工程、分项工程（检验批）的施工报批程序，报批时应完善相关工程单位的各项资料。</w:t>
      </w:r>
    </w:p>
    <w:p w14:paraId="19BDFFE7">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25.6、承包方应严格执行国家、地区相关规范及规定，认真落实资料收集整理、归档的相关制度及发包方的规定和要求，按照本合同的约定完善资料的编制整理，满足归档移交要求并及时移交归档。</w:t>
      </w:r>
    </w:p>
    <w:p w14:paraId="63AC6758">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25.7承包方违反专用合同条款25条约定的违约责任： </w:t>
      </w:r>
    </w:p>
    <w:p w14:paraId="72600ABA">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 擅自更换或撤离驻工地资料员每人（次），承包方应支付违约金500.00元/次。</w:t>
      </w:r>
    </w:p>
    <w:p w14:paraId="3E5BF0B9">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承包方必须根据工程的进度同步编制、整理其相关资料（包括实验、检测等），发包方、监理单位有权随时检查，如发现资料或其他实验资料未按工程进度及时编制整理，每次应支付违约金500.00元，分部工程验收因资料原因不能及时验收时，每次支付违约金500.00元，且所造成的重复验收费用由承包方承担；</w:t>
      </w:r>
    </w:p>
    <w:p w14:paraId="2A349FA1">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如承包方未按规范规定做齐所有相关实验或存在弄虚作假的行为，一经发现，发包方有权要求承包方支付违约金。实际每项少做或少送一次样品实验，按实验室单项试验费双倍扣回并支付违约金500.00元/次，并视问题的严重程度保留追究承包方责任的权利；</w:t>
      </w:r>
    </w:p>
    <w:p w14:paraId="3EEAF9A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（4）、承包方应对所有资料的时效性、准确性、完整性负责。由于承包方资料不准确、及时、完整，影响发包方工程进度或者工程验收，发包方有权直接在应付未付款中扣除 1 %作为违约金，违约金不足以弥补发包方损失的，发包方可继续向承包方追偿。</w:t>
      </w:r>
    </w:p>
    <w:p w14:paraId="4974CFA4">
      <w:pPr>
        <w:keepNext w:val="0"/>
        <w:keepLines w:val="0"/>
        <w:pageBreakBefore w:val="0"/>
        <w:kinsoku/>
        <w:wordWrap/>
        <w:overflowPunct/>
        <w:topLinePunct w:val="0"/>
        <w:bidi w:val="0"/>
        <w:adjustRightInd w:val="0"/>
        <w:snapToGrid w:val="0"/>
        <w:spacing w:line="400" w:lineRule="exact"/>
        <w:ind w:firstLine="110" w:firstLineChars="5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（5）、承包方应当及时整改发包方、监理单位在监督管理过程中提出的整改要求，若承包方未在发包方要求的合理期限内有效整改，发包方有权拒绝计量支付及相关验收，所造成损失，由承包方承担。</w:t>
      </w:r>
    </w:p>
    <w:p w14:paraId="1B08F218">
      <w:pPr>
        <w:keepNext w:val="0"/>
        <w:keepLines w:val="0"/>
        <w:pageBreakBefore w:val="0"/>
        <w:kinsoku/>
        <w:wordWrap/>
        <w:overflowPunct/>
        <w:topLinePunct w:val="0"/>
        <w:bidi w:val="0"/>
        <w:adjustRightInd w:val="0"/>
        <w:snapToGrid w:val="0"/>
        <w:spacing w:line="400" w:lineRule="exact"/>
        <w:ind w:firstLine="550" w:firstLineChars="250"/>
        <w:textAlignment w:val="auto"/>
        <w:rPr>
          <w:rFonts w:hint="eastAsia" w:ascii="宋体" w:hAnsi="宋体" w:cs="宋体"/>
          <w:color w:val="auto"/>
          <w:sz w:val="22"/>
          <w:szCs w:val="22"/>
          <w:highlight w:val="none"/>
        </w:rPr>
      </w:pPr>
    </w:p>
    <w:p w14:paraId="531298C9">
      <w:pPr>
        <w:keepNext w:val="0"/>
        <w:keepLines w:val="0"/>
        <w:pageBreakBefore w:val="0"/>
        <w:kinsoku/>
        <w:wordWrap/>
        <w:overflowPunct/>
        <w:topLinePunct w:val="0"/>
        <w:bidi w:val="0"/>
        <w:adjustRightInd w:val="0"/>
        <w:snapToGrid w:val="0"/>
        <w:spacing w:line="400" w:lineRule="exact"/>
        <w:ind w:firstLine="550" w:firstLineChars="250"/>
        <w:textAlignment w:val="auto"/>
        <w:rPr>
          <w:rFonts w:hint="eastAsia" w:ascii="宋体" w:hAnsi="宋体" w:cs="宋体"/>
          <w:color w:val="auto"/>
          <w:sz w:val="22"/>
          <w:szCs w:val="22"/>
          <w:highlight w:val="none"/>
        </w:rPr>
      </w:pPr>
    </w:p>
    <w:p w14:paraId="71C37F30">
      <w:pPr>
        <w:keepNext w:val="0"/>
        <w:keepLines w:val="0"/>
        <w:pageBreakBefore w:val="0"/>
        <w:kinsoku/>
        <w:wordWrap/>
        <w:overflowPunct/>
        <w:topLinePunct w:val="0"/>
        <w:bidi w:val="0"/>
        <w:adjustRightInd w:val="0"/>
        <w:snapToGrid w:val="0"/>
        <w:spacing w:line="400" w:lineRule="exact"/>
        <w:ind w:firstLine="550" w:firstLineChars="250"/>
        <w:textAlignment w:val="auto"/>
        <w:rPr>
          <w:rFonts w:hint="eastAsia" w:ascii="宋体" w:hAnsi="宋体" w:cs="宋体"/>
          <w:color w:val="auto"/>
          <w:sz w:val="22"/>
          <w:szCs w:val="22"/>
          <w:highlight w:val="none"/>
        </w:rPr>
      </w:pPr>
    </w:p>
    <w:p w14:paraId="12D9EC4A">
      <w:pPr>
        <w:keepNext w:val="0"/>
        <w:keepLines w:val="0"/>
        <w:pageBreakBefore w:val="0"/>
        <w:kinsoku/>
        <w:wordWrap/>
        <w:overflowPunct/>
        <w:topLinePunct w:val="0"/>
        <w:bidi w:val="0"/>
        <w:adjustRightInd w:val="0"/>
        <w:snapToGrid w:val="0"/>
        <w:spacing w:line="400" w:lineRule="exact"/>
        <w:ind w:firstLine="550" w:firstLineChars="25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发包人（盖章）：                              承包人（盖章）： </w:t>
      </w:r>
    </w:p>
    <w:p w14:paraId="5581576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法定代表人:                                  法定代表人: </w:t>
      </w:r>
    </w:p>
    <w:p w14:paraId="2BB46D1D">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或授权委托人:                                或授权委托人:</w:t>
      </w:r>
    </w:p>
    <w:p w14:paraId="34F5FDEC">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电 话 ：                                     电 话 ： </w:t>
      </w:r>
    </w:p>
    <w:p w14:paraId="3FD2B8D6">
      <w:pPr>
        <w:keepNext w:val="0"/>
        <w:keepLines w:val="0"/>
        <w:pageBreakBefore w:val="0"/>
        <w:kinsoku/>
        <w:wordWrap/>
        <w:overflowPunct/>
        <w:topLinePunct w:val="0"/>
        <w:bidi w:val="0"/>
        <w:adjustRightInd w:val="0"/>
        <w:snapToGrid w:val="0"/>
        <w:spacing w:line="400" w:lineRule="exact"/>
        <w:ind w:firstLine="550" w:firstLineChars="25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地 址：                                      地 址： </w:t>
      </w:r>
    </w:p>
    <w:p w14:paraId="2467D532">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开户银行：                                   开户银行： </w:t>
      </w:r>
    </w:p>
    <w:p w14:paraId="39BD44EF">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帐号：                                       帐号： </w:t>
      </w:r>
    </w:p>
    <w:p w14:paraId="182A74AE">
      <w:pPr>
        <w:keepNext w:val="0"/>
        <w:keepLines w:val="0"/>
        <w:pageBreakBefore w:val="0"/>
        <w:kinsoku/>
        <w:wordWrap/>
        <w:overflowPunct/>
        <w:topLinePunct w:val="0"/>
        <w:bidi w:val="0"/>
        <w:adjustRightInd w:val="0"/>
        <w:snapToGri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合同签订日期：     年   月   日</w:t>
      </w:r>
    </w:p>
    <w:p w14:paraId="5191F362">
      <w:pPr>
        <w:keepNext w:val="0"/>
        <w:keepLines w:val="0"/>
        <w:pageBreakBefore w:val="0"/>
        <w:kinsoku/>
        <w:wordWrap/>
        <w:overflowPunct/>
        <w:topLinePunct w:val="0"/>
        <w:bidi w:val="0"/>
        <w:adjustRightInd w:val="0"/>
        <w:snapToGrid w:val="0"/>
        <w:spacing w:line="400" w:lineRule="exact"/>
        <w:textAlignment w:val="auto"/>
        <w:rPr>
          <w:rFonts w:hint="eastAsia" w:ascii="宋体" w:hAnsi="宋体" w:cs="宋体"/>
          <w:color w:val="auto"/>
          <w:sz w:val="22"/>
          <w:szCs w:val="22"/>
          <w:highlight w:val="none"/>
        </w:rPr>
      </w:pPr>
      <w:r>
        <w:rPr>
          <w:rFonts w:ascii="宋体" w:hAnsi="宋体" w:cs="宋体"/>
          <w:color w:val="auto"/>
          <w:sz w:val="22"/>
          <w:szCs w:val="22"/>
          <w:highlight w:val="none"/>
        </w:rPr>
        <w:br w:type="page"/>
      </w:r>
      <w:r>
        <w:rPr>
          <w:rFonts w:hint="eastAsia" w:ascii="宋体" w:hAnsi="宋体" w:cs="宋体"/>
          <w:color w:val="auto"/>
          <w:sz w:val="22"/>
          <w:szCs w:val="22"/>
          <w:highlight w:val="none"/>
        </w:rPr>
        <w:t>附件一：</w:t>
      </w:r>
    </w:p>
    <w:p w14:paraId="73E78874">
      <w:pPr>
        <w:ind w:firstLine="442" w:firstLineChars="200"/>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工程质量保修书</w:t>
      </w:r>
    </w:p>
    <w:p w14:paraId="2B439A8F">
      <w:pPr>
        <w:ind w:firstLine="440" w:firstLineChars="200"/>
        <w:rPr>
          <w:rFonts w:hint="eastAsia" w:ascii="宋体" w:hAnsi="宋体" w:cs="宋体"/>
          <w:color w:val="auto"/>
          <w:sz w:val="22"/>
          <w:szCs w:val="22"/>
          <w:highlight w:val="none"/>
        </w:rPr>
      </w:pPr>
    </w:p>
    <w:p w14:paraId="575A1D2C">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发包人（全称）：</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5B0EA318">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承包人（全称）：</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bCs/>
          <w:color w:val="auto"/>
          <w:sz w:val="22"/>
          <w:szCs w:val="22"/>
          <w:highlight w:val="none"/>
          <w:u w:val="single"/>
          <w:lang w:val="en-US" w:eastAsia="zh-CN"/>
        </w:rPr>
        <w:t xml:space="preserve">                  </w:t>
      </w:r>
      <w:r>
        <w:rPr>
          <w:rFonts w:hint="eastAsia" w:ascii="宋体" w:hAnsi="宋体"/>
          <w:bCs/>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71897E2E">
      <w:pPr>
        <w:pStyle w:val="2"/>
        <w:ind w:firstLine="210"/>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发包人和承包人根据《中华人民共和国建筑法》和《建设工程质量管理条例》，经协商一致就</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工程名称）</w:t>
      </w:r>
      <w:r>
        <w:rPr>
          <w:rFonts w:hint="eastAsia" w:ascii="宋体" w:hAnsi="宋体" w:cs="宋体"/>
          <w:color w:val="auto"/>
          <w:sz w:val="22"/>
          <w:szCs w:val="22"/>
          <w:highlight w:val="none"/>
        </w:rPr>
        <w:t>签订工程质量保修书。</w:t>
      </w:r>
    </w:p>
    <w:p w14:paraId="1EFA20C0">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一、工程质量保修范围和内容</w:t>
      </w:r>
    </w:p>
    <w:p w14:paraId="055469FE">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承包人在质量保修期内，按照有关法律规定和合同约定，承担工程质量保修责任。</w:t>
      </w:r>
    </w:p>
    <w:p w14:paraId="3102154E">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质量保修范围包括</w:t>
      </w:r>
      <w:r>
        <w:rPr>
          <w:rFonts w:hint="eastAsia" w:ascii="宋体" w:hAnsi="宋体" w:cs="宋体"/>
          <w:color w:val="auto"/>
          <w:sz w:val="22"/>
          <w:szCs w:val="22"/>
          <w:highlight w:val="none"/>
          <w:u w:val="single"/>
        </w:rPr>
        <w:t>施工图所示及合同内所有内容。</w:t>
      </w:r>
    </w:p>
    <w:p w14:paraId="01B472F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二、质量保修期</w:t>
      </w:r>
    </w:p>
    <w:p w14:paraId="5D41180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根据《建设工程质量管理条例》及有关规定，工程的质量保修期如下：</w:t>
      </w:r>
    </w:p>
    <w:p w14:paraId="7A63A350">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1．项目保修期限约定：按《建设工程质量管理条例》执行。</w:t>
      </w:r>
    </w:p>
    <w:p w14:paraId="7F06E5B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2. 质量保修期自工程竣工验收合格之日起计算。</w:t>
      </w:r>
    </w:p>
    <w:p w14:paraId="48A62E8C">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三、质量保修责任</w:t>
      </w:r>
    </w:p>
    <w:p w14:paraId="553EB3B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1．属于保修范围和内容的项目，承包人应在接到修理通知之日后7天内派人修理。承包人不在约定期限内派人修理，发包人可委托其他人员修理，所发生的一切费用（按实际发生费用×120%）无须经承包人认可，从质量保修金内扣除。所留质量保修金不足以支付维修费的，承包人须补足余额。</w:t>
      </w:r>
    </w:p>
    <w:p w14:paraId="5F1A307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2．发生须紧急抢修事故，承包人接到事故通知后，应立即到达事故现场抢修。非承包人施工质量引起的事故，抢修费用由发包人承担。</w:t>
      </w:r>
    </w:p>
    <w:p w14:paraId="5E05AFD0">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3．在国家规定的工程合理使用期限内，承包人确保基础设施工程、地基基础工程和主体结构的质量。对于涉及结构安全的质量问题，应当按照《房屋建筑工程质量保修办法》的规定，立即向当地建设行政主管部门（或市政行政主管部门）报告，采取安全防范措施；由原设计单位或者具有相应资质等级的设计单位提出保修方案，承包人实施保修。因承包人原因致使工程在合理使用期限内造成人身和财产损害的，承包人应承担损害赔偿责任。</w:t>
      </w:r>
    </w:p>
    <w:p w14:paraId="6CB4BEDB">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四、质量保修金的支付</w:t>
      </w:r>
    </w:p>
    <w:p w14:paraId="41B9C4F2">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本工程约定的工程质量保修金为施工合同结算价款的3%，质量保修金不计利息。</w:t>
      </w:r>
    </w:p>
    <w:p w14:paraId="125C792B">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五、质量保修金的返还</w:t>
      </w:r>
    </w:p>
    <w:p w14:paraId="528843DE">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u w:val="single"/>
        </w:rPr>
        <w:t>工程竣工验收合格之日起，质保期满</w:t>
      </w:r>
      <w:r>
        <w:rPr>
          <w:rFonts w:hint="eastAsia" w:ascii="宋体" w:hAnsi="宋体" w:cs="宋体"/>
          <w:color w:val="auto"/>
          <w:sz w:val="22"/>
          <w:szCs w:val="22"/>
          <w:highlight w:val="none"/>
          <w:u w:val="single"/>
          <w:lang w:val="en-US" w:eastAsia="zh-CN"/>
        </w:rPr>
        <w:t>2</w:t>
      </w:r>
      <w:r>
        <w:rPr>
          <w:rFonts w:hint="eastAsia" w:ascii="宋体" w:hAnsi="宋体" w:cs="宋体"/>
          <w:color w:val="auto"/>
          <w:sz w:val="22"/>
          <w:szCs w:val="22"/>
          <w:highlight w:val="none"/>
          <w:u w:val="single"/>
        </w:rPr>
        <w:t>年无息退还质保金，保修期间承包人如未履行相应保修义务，发包人有权延迟或拒绝退还质保金。</w:t>
      </w:r>
    </w:p>
    <w:p w14:paraId="3FF295CF">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六、其他</w:t>
      </w:r>
    </w:p>
    <w:p w14:paraId="0428D5F4">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双方约定的其他工程质量保修事项：</w:t>
      </w:r>
    </w:p>
    <w:p w14:paraId="038B5790">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1、在约定的质量保修期，包括延长的期限终止后 30天内，由监理人向承包人出具经发包人签认的缺陷责任期终止证书。</w:t>
      </w:r>
    </w:p>
    <w:p w14:paraId="3125D5A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2、缺陷责任期终止证书签发后，承包人可向监理人提交最终结清申请单，并提供相关证明材料，申请到期应返还承包人剩余的质量保证金金额。</w:t>
      </w:r>
    </w:p>
    <w:p w14:paraId="30E2C20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3、监理人收到承包人提交的最终结清申请单后的 30  天内，提出发包人应支付给承包人的价款，送发包人审核并抄送承包人。发包人应在收到后 30 天内审核完毕，并由监理人向承包人出具经发包人签认的最终结清证书。</w:t>
      </w:r>
    </w:p>
    <w:p w14:paraId="3AE3E769">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4、发包人应在监理人出具最终结清证书后的1年内，将应支付款支付给承包人。质量保证金无银行利率。质量保证金的付清不能免除承包人在上述质量保修期内须承担的所有责任和义务。</w:t>
      </w:r>
    </w:p>
    <w:p w14:paraId="1FCD1DB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5、约定的质量保修期满时，承包人没有完成缺陷责任的，发包人有权扣留与未履行责任剩余工作所需金额相应的质量保证金余额，并有权要求延长质量保修期，直至完成剩余工作为止。</w:t>
      </w:r>
    </w:p>
    <w:p w14:paraId="0031D3E6">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6、工程竣工后，承包人应主动每月回访一次，每次必须签署保修回访单，否则，发包人有权不退回质量保证金。</w:t>
      </w:r>
    </w:p>
    <w:p w14:paraId="47378DB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本工程质量保修书作为施工合同的附件，由发包人、承包人双方签字盖公章后生效，全部保修期结束并结算完毕后失效。</w:t>
      </w:r>
    </w:p>
    <w:p w14:paraId="6D5DB391">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0D7AB729">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02CA845B">
      <w:pPr>
        <w:adjustRightInd w:val="0"/>
        <w:snapToGrid w:val="0"/>
        <w:spacing w:line="360" w:lineRule="auto"/>
        <w:ind w:firstLine="440" w:firstLineChars="200"/>
        <w:rPr>
          <w:rFonts w:hint="eastAsia" w:ascii="宋体" w:hAnsi="宋体" w:cs="宋体"/>
          <w:color w:val="auto"/>
          <w:sz w:val="22"/>
          <w:szCs w:val="22"/>
          <w:highlight w:val="none"/>
        </w:rPr>
      </w:pPr>
    </w:p>
    <w:p w14:paraId="5DDBF44C">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发包人（公章）：                        承包人（公章）：</w:t>
      </w:r>
    </w:p>
    <w:p w14:paraId="36B17332">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3CB7503">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法定代表人：                           法定代表人：</w:t>
      </w:r>
    </w:p>
    <w:p w14:paraId="46970DC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0C5230F0">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或授权委托人：                         或授权委托人：</w:t>
      </w:r>
    </w:p>
    <w:p w14:paraId="4D5D76AA">
      <w:pPr>
        <w:adjustRightInd w:val="0"/>
        <w:snapToGrid w:val="0"/>
        <w:spacing w:line="360" w:lineRule="auto"/>
        <w:ind w:firstLine="440" w:firstLineChars="200"/>
        <w:rPr>
          <w:rFonts w:hint="eastAsia" w:ascii="宋体" w:hAnsi="宋体" w:cs="宋体"/>
          <w:color w:val="auto"/>
          <w:sz w:val="22"/>
          <w:szCs w:val="22"/>
          <w:highlight w:val="none"/>
        </w:rPr>
      </w:pPr>
    </w:p>
    <w:p w14:paraId="050D4055">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电   话 ：                             电     话 ： </w:t>
      </w:r>
    </w:p>
    <w:p w14:paraId="1FD410D6">
      <w:pPr>
        <w:adjustRightInd w:val="0"/>
        <w:snapToGrid w:val="0"/>
        <w:spacing w:line="360" w:lineRule="auto"/>
        <w:ind w:firstLine="440" w:firstLineChars="200"/>
        <w:rPr>
          <w:rFonts w:hint="eastAsia" w:ascii="宋体" w:hAnsi="宋体" w:cs="宋体"/>
          <w:color w:val="auto"/>
          <w:sz w:val="22"/>
          <w:szCs w:val="22"/>
          <w:highlight w:val="none"/>
        </w:rPr>
      </w:pPr>
    </w:p>
    <w:p w14:paraId="1A8C4F62">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签订日期： </w:t>
      </w:r>
    </w:p>
    <w:p w14:paraId="5D5A3233">
      <w:pPr>
        <w:ind w:firstLine="440" w:firstLineChars="200"/>
        <w:rPr>
          <w:rFonts w:hint="eastAsia" w:ascii="宋体" w:hAnsi="宋体" w:cs="宋体"/>
          <w:color w:val="auto"/>
          <w:sz w:val="22"/>
          <w:szCs w:val="22"/>
          <w:highlight w:val="none"/>
        </w:rPr>
      </w:pPr>
    </w:p>
    <w:p w14:paraId="0BAD19C3">
      <w:pPr>
        <w:ind w:firstLine="440" w:firstLineChars="200"/>
        <w:rPr>
          <w:rFonts w:hint="eastAsia" w:ascii="宋体" w:hAnsi="宋体" w:cs="宋体"/>
          <w:color w:val="auto"/>
          <w:sz w:val="22"/>
          <w:szCs w:val="22"/>
          <w:highlight w:val="none"/>
        </w:rPr>
      </w:pPr>
    </w:p>
    <w:p w14:paraId="3DA621A7">
      <w:pPr>
        <w:ind w:firstLine="440" w:firstLineChars="200"/>
        <w:rPr>
          <w:rFonts w:hint="eastAsia" w:ascii="宋体" w:hAnsi="宋体" w:cs="宋体"/>
          <w:color w:val="auto"/>
          <w:sz w:val="22"/>
          <w:szCs w:val="22"/>
          <w:highlight w:val="none"/>
        </w:rPr>
      </w:pPr>
    </w:p>
    <w:p w14:paraId="530EAEC3">
      <w:pPr>
        <w:rPr>
          <w:rFonts w:hint="eastAsia" w:ascii="宋体" w:hAnsi="宋体" w:cs="宋体"/>
          <w:color w:val="auto"/>
          <w:sz w:val="22"/>
          <w:szCs w:val="22"/>
          <w:highlight w:val="none"/>
        </w:rPr>
      </w:pPr>
    </w:p>
    <w:p w14:paraId="2B5D9086">
      <w:pPr>
        <w:rPr>
          <w:rFonts w:hint="eastAsia" w:ascii="宋体" w:hAnsi="宋体" w:cs="宋体"/>
          <w:color w:val="auto"/>
          <w:sz w:val="22"/>
          <w:szCs w:val="22"/>
          <w:highlight w:val="none"/>
        </w:rPr>
      </w:pPr>
    </w:p>
    <w:p w14:paraId="57815D42">
      <w:pPr>
        <w:pStyle w:val="2"/>
        <w:rPr>
          <w:rFonts w:hint="eastAsia" w:ascii="宋体" w:hAnsi="宋体" w:cs="宋体"/>
          <w:color w:val="auto"/>
          <w:sz w:val="22"/>
          <w:szCs w:val="22"/>
          <w:highlight w:val="none"/>
        </w:rPr>
      </w:pPr>
    </w:p>
    <w:p w14:paraId="61296E19">
      <w:pPr>
        <w:rPr>
          <w:rFonts w:hint="eastAsia" w:ascii="宋体" w:hAnsi="宋体" w:cs="宋体"/>
          <w:color w:val="auto"/>
          <w:sz w:val="22"/>
          <w:szCs w:val="22"/>
          <w:highlight w:val="none"/>
        </w:rPr>
      </w:pPr>
    </w:p>
    <w:p w14:paraId="2BEB45E8">
      <w:pPr>
        <w:pStyle w:val="2"/>
        <w:rPr>
          <w:rFonts w:hint="eastAsia" w:ascii="宋体" w:hAnsi="宋体" w:cs="宋体"/>
          <w:color w:val="auto"/>
          <w:sz w:val="22"/>
          <w:szCs w:val="22"/>
          <w:highlight w:val="none"/>
        </w:rPr>
      </w:pPr>
    </w:p>
    <w:p w14:paraId="53A66379">
      <w:pPr>
        <w:rPr>
          <w:rFonts w:hint="eastAsia" w:ascii="宋体" w:hAnsi="宋体" w:cs="宋体"/>
          <w:color w:val="auto"/>
          <w:sz w:val="22"/>
          <w:szCs w:val="22"/>
          <w:highlight w:val="none"/>
        </w:rPr>
      </w:pPr>
      <w:r>
        <w:rPr>
          <w:rFonts w:hint="eastAsia" w:ascii="宋体" w:hAnsi="宋体" w:cs="宋体"/>
          <w:color w:val="auto"/>
          <w:sz w:val="22"/>
          <w:szCs w:val="22"/>
          <w:highlight w:val="none"/>
        </w:rPr>
        <w:t>附件二：</w:t>
      </w:r>
    </w:p>
    <w:p w14:paraId="3EDD0992">
      <w:pPr>
        <w:ind w:firstLine="442" w:firstLineChars="200"/>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安全生产合同</w:t>
      </w:r>
    </w:p>
    <w:p w14:paraId="6CCCE754">
      <w:pPr>
        <w:rPr>
          <w:rFonts w:hint="eastAsia" w:ascii="宋体" w:hAnsi="宋体" w:cs="宋体"/>
          <w:color w:val="auto"/>
          <w:sz w:val="22"/>
          <w:szCs w:val="22"/>
          <w:highlight w:val="none"/>
        </w:rPr>
      </w:pPr>
    </w:p>
    <w:p w14:paraId="669A9125">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ascii="宋体" w:hAnsi="宋体" w:cs="宋体"/>
          <w:color w:val="auto"/>
          <w:sz w:val="22"/>
          <w:szCs w:val="22"/>
          <w:highlight w:val="none"/>
          <w:u w:val="single"/>
        </w:rPr>
      </w:pPr>
      <w:r>
        <w:rPr>
          <w:rFonts w:hint="eastAsia" w:ascii="宋体" w:hAnsi="宋体" w:cs="宋体"/>
          <w:color w:val="auto"/>
          <w:sz w:val="22"/>
          <w:szCs w:val="22"/>
          <w:highlight w:val="none"/>
        </w:rPr>
        <w:t>发包人（全称）：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p>
    <w:p w14:paraId="5050AB10">
      <w:pPr>
        <w:keepNext w:val="0"/>
        <w:keepLines w:val="0"/>
        <w:pageBreakBefore w:val="0"/>
        <w:widowControl w:val="0"/>
        <w:kinsoku/>
        <w:wordWrap/>
        <w:overflowPunct/>
        <w:topLinePunct w:val="0"/>
        <w:autoSpaceDE/>
        <w:autoSpaceDN/>
        <w:bidi w:val="0"/>
        <w:adjustRightInd w:val="0"/>
        <w:snapToGrid w:val="0"/>
        <w:spacing w:line="460" w:lineRule="exact"/>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承包人（全称）：</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bCs/>
          <w:color w:val="auto"/>
          <w:sz w:val="22"/>
          <w:szCs w:val="22"/>
          <w:highlight w:val="none"/>
          <w:u w:val="single"/>
          <w:lang w:val="en-US" w:eastAsia="zh-CN"/>
        </w:rPr>
        <w:t xml:space="preserve">                        </w:t>
      </w:r>
      <w:r>
        <w:rPr>
          <w:rFonts w:hint="eastAsia" w:ascii="宋体" w:hAnsi="宋体"/>
          <w:color w:val="auto"/>
          <w:sz w:val="22"/>
          <w:szCs w:val="22"/>
          <w:highlight w:val="none"/>
          <w:u w:val="single"/>
        </w:rPr>
        <w:t xml:space="preserve">          </w:t>
      </w:r>
    </w:p>
    <w:p w14:paraId="4922DF93">
      <w:pPr>
        <w:pStyle w:val="2"/>
        <w:keepNext w:val="0"/>
        <w:keepLines w:val="0"/>
        <w:pageBreakBefore w:val="0"/>
        <w:widowControl w:val="0"/>
        <w:kinsoku/>
        <w:wordWrap/>
        <w:overflowPunct/>
        <w:topLinePunct w:val="0"/>
        <w:autoSpaceDE/>
        <w:autoSpaceDN/>
        <w:bidi w:val="0"/>
        <w:spacing w:line="460" w:lineRule="exact"/>
        <w:ind w:firstLine="210"/>
        <w:jc w:val="left"/>
        <w:textAlignment w:val="auto"/>
        <w:rPr>
          <w:rFonts w:hint="eastAsia" w:hAnsi="宋体" w:cs="MingLiU"/>
          <w:color w:val="auto"/>
          <w:w w:val="99"/>
          <w:kern w:val="0"/>
          <w:sz w:val="22"/>
          <w:szCs w:val="22"/>
          <w:highlight w:val="none"/>
        </w:rPr>
      </w:pPr>
      <w:r>
        <w:rPr>
          <w:rFonts w:hint="eastAsia" w:ascii="宋体" w:hAnsi="宋体" w:cs="宋体"/>
          <w:color w:val="auto"/>
          <w:sz w:val="22"/>
          <w:szCs w:val="22"/>
          <w:highlight w:val="none"/>
        </w:rPr>
        <w:t>为在</w:t>
      </w:r>
      <w:r>
        <w:rPr>
          <w:rFonts w:hint="eastAsia" w:ascii="宋体" w:hAnsi="宋体" w:cs="宋体"/>
          <w:color w:val="auto"/>
          <w:sz w:val="22"/>
          <w:szCs w:val="22"/>
          <w:highlight w:val="none"/>
          <w:u w:val="single"/>
        </w:rPr>
        <w:t xml:space="preserve">  </w:t>
      </w:r>
      <w:r>
        <w:rPr>
          <w:rFonts w:hint="eastAsia" w:ascii="宋体" w:hAnsi="宋体"/>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（项目名称）</w:t>
      </w:r>
      <w:r>
        <w:rPr>
          <w:rFonts w:hint="eastAsia" w:ascii="宋体" w:hAnsi="宋体" w:cs="宋体"/>
          <w:color w:val="auto"/>
          <w:sz w:val="22"/>
          <w:szCs w:val="22"/>
          <w:highlight w:val="none"/>
        </w:rPr>
        <w:t>合同的实施过程中创造安全、高效的施工环境切实搞好本项目的安全管理工作，本项目发包人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与承包人</w:t>
      </w:r>
      <w:r>
        <w:rPr>
          <w:rFonts w:hint="eastAsia" w:ascii="宋体" w:hAnsi="宋体" w:cs="宋体"/>
          <w:color w:val="auto"/>
          <w:sz w:val="22"/>
          <w:szCs w:val="22"/>
          <w:highlight w:val="none"/>
          <w:u w:val="single"/>
        </w:rPr>
        <w:t xml:space="preserve"> </w:t>
      </w:r>
      <w:r>
        <w:rPr>
          <w:rFonts w:hint="eastAsia" w:ascii="宋体" w:hAnsi="宋体"/>
          <w:bCs/>
          <w:color w:val="auto"/>
          <w:sz w:val="22"/>
          <w:szCs w:val="22"/>
          <w:highlight w:val="none"/>
          <w:u w:val="single"/>
          <w:lang w:val="en-US" w:eastAsia="zh-CN"/>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特此签订安全生产合同。</w:t>
      </w:r>
    </w:p>
    <w:p w14:paraId="11BF6E42">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一、发包人职责</w:t>
      </w:r>
    </w:p>
    <w:p w14:paraId="14589A24">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1、严格遵守国家有关安全生产的法律法规，认真执行工程承包合同中的有关安全要求。</w:t>
      </w:r>
    </w:p>
    <w:p w14:paraId="617E80F1">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2、按照“安全第一、预防为主”和坚持“管生产必须管安全”的原则进行安全生产管理，做到生产与安全工作同时计划、布置、检查、总结和评比。</w:t>
      </w:r>
    </w:p>
    <w:p w14:paraId="4D208CE1">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3、重要的安全设施必须坚持与主体工程“三同时”的原则，即：同时设计、审批，同时施工，同时验收，投人使用。</w:t>
      </w:r>
    </w:p>
    <w:p w14:paraId="028D5A0A">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4、定期召开安全生产调度会，及时传达中央及地方有关安全生产的精神。</w:t>
      </w:r>
    </w:p>
    <w:p w14:paraId="31B5DDC9">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5、组织对承包人施工现场安全生产检查，监督承包人及时处理发现的各种安全隐患。</w:t>
      </w:r>
    </w:p>
    <w:p w14:paraId="3A02BA0E">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二、承包人职责</w:t>
      </w:r>
    </w:p>
    <w:p w14:paraId="2B04C1A9">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1、严格遵守国家有关安全生产的法律法规有关安全生产的规定，认真执行工程承包合同中的有关安全要求。</w:t>
      </w:r>
    </w:p>
    <w:p w14:paraId="2DF3D016">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施工作业人员，必须熟悉和遵守本条款的各项规定，做到生产与安全工作同时计划、布置、检查、总结和评比。</w:t>
      </w:r>
    </w:p>
    <w:p w14:paraId="63FD4F67">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承办人应定期进行防火、防盗、防爆炸、防事故为重点的安全教育和遵纪守法教育，增强安全防范意识和遵纪守法意识。</w:t>
      </w:r>
    </w:p>
    <w:p w14:paraId="409B6CA5">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建立健全安全生产责任制。从派往项目实施的项目经理到施工作业人员（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14:paraId="5AC090FA">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应在施工开始前，根据建设工程的性质、规模和特点，配备规定数量的专职安全管理员，佩戴明显安全标志，并明确施工安全管理的具体职责范围。在进场3天内将安全管理机构、专职、兼职安全员名单报发包人备案。</w:t>
      </w:r>
    </w:p>
    <w:p w14:paraId="2EDC9059">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在编制施工组织设计时，应根据建设工程的性质、规模、特点以及施工现场的环境条件，制定和组织落实专项的施工安全技术措施，并向所有施工人员进行安全技术交底；在施工过程中，根据施工组织的设计和施工进度，向不同工种的施工人员进行专项的安全技术交底。施工安全技术措施应符合有关的国家标准、行业标准或地方标准。</w:t>
      </w:r>
    </w:p>
    <w:p w14:paraId="50269881">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每天24小时必须有安全值班人员，要求安全值班人员对各自负责区域范围进行安全检查，做好安全检查记录，发现安全事故隐患以及违反施工安全技术标准或安全操作规程的行为，应及时予以制止或纠正，及时消除各种安全隐患、漏洞，并随时接受发包人的监督检查。</w:t>
      </w:r>
    </w:p>
    <w:p w14:paraId="1CCFA3DF">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施工单位住地禁止留宿外人。</w:t>
      </w:r>
    </w:p>
    <w:p w14:paraId="5D9797EB">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4、承包人在任何时候都应采取各种合理的预防措施，防止其员工发生任何违法、违禁、暴力或妨碍治安的行为。</w:t>
      </w:r>
    </w:p>
    <w:p w14:paraId="450BF35A">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5、承包人应建立、健全对施工人员的日常安全教育、技术培训和考核的制度，并严格组织实施。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23082F54">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B4AAD88">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7、承包人应及时提供施工安全所必须的，符合规定标准的劳动防护用品。操作人员上岗，必须按规定穿戴防护用品。施工负责人和安全检查员应随时检查劳动防护用品的穿戴情况，不按规定穿戴防护用品的人员不得上岗。</w:t>
      </w:r>
    </w:p>
    <w:p w14:paraId="6BF83430">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8、所有施工机具设备、电气设备设施和高空作业的设备设施均应定期检查，并有安全员的签字记录，保证其经常处于完好状态；不合格的机具、设备和劳动保护用品严禁使用、安装。</w:t>
      </w:r>
    </w:p>
    <w:p w14:paraId="63EE825E">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9、施工中采用新技术、新工艺、新设备、新材料时，必须制定相应的安全技术措施，施工现场必须具有相关的安全标志牌。</w:t>
      </w:r>
    </w:p>
    <w:p w14:paraId="38C78DCF">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10、承包人应按照有关的国家标准、行业标准或者地方标准，在施工现场设置安全防护设施，并达到下列要求：</w:t>
      </w:r>
    </w:p>
    <w:p w14:paraId="18B36D39">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(1)根据建设工程的施工进度，及时调整和完善安全防护设施以及标志牌、标语等。</w:t>
      </w:r>
    </w:p>
    <w:p w14:paraId="58523F57">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(2)在施工现场的事故易发区域，设置专项的安全防护设施，并设立醒目的警示标志。</w:t>
      </w:r>
    </w:p>
    <w:p w14:paraId="6027A438">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(3)根据季节或者天气特点，设置或者调整专项的安全防护设施，并进行相关的安全检查。</w:t>
      </w:r>
    </w:p>
    <w:p w14:paraId="01935FD1">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（4）建设工程涉及到公共安全，施工单位应按照有关规定，进行全封闭施工，在施工现场周围设置专门的公共安全防护设施。</w:t>
      </w:r>
    </w:p>
    <w:p w14:paraId="3A18E57F">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11、承包人应遵守施工现场电气安全保护和防火安全的有关规定，并达到下列要求：</w:t>
      </w:r>
    </w:p>
    <w:p w14:paraId="4F9214D7">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(一)保持变配电设施和输配电线路处于安全、可靠的可使用状态。</w:t>
      </w:r>
    </w:p>
    <w:p w14:paraId="2D1B400F">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(二)确保用火作业符合消防技术标准和规范，并保证消防设施的完好、有效。</w:t>
      </w:r>
    </w:p>
    <w:p w14:paraId="461AB8C1">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12、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0CF24CDD">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三、施工安全责任</w:t>
      </w:r>
    </w:p>
    <w:p w14:paraId="008E1706">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承包人负责本单位承担的施工范围内全部的安全管理工作，并承担该区域范围内发生的一切安全责任事故的处理和全部经济法律责任，处理安全责任事故所产生的一切费用均由承包人承担。</w:t>
      </w:r>
    </w:p>
    <w:p w14:paraId="258D9FCB">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如若发包人对安全事故进行了赔偿，则发包人有权直接从承包人工程款中扣除用以抵偿发包人，若工程款不够抵偿部分，发包人仍有权向承包人追偿。</w:t>
      </w:r>
    </w:p>
    <w:p w14:paraId="2FF9BDCD">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四、其他</w:t>
      </w:r>
    </w:p>
    <w:p w14:paraId="53E57B8B">
      <w:pPr>
        <w:keepNext w:val="0"/>
        <w:keepLines w:val="0"/>
        <w:pageBreakBefore w:val="0"/>
        <w:widowControl w:val="0"/>
        <w:kinsoku/>
        <w:wordWrap/>
        <w:overflowPunct/>
        <w:topLinePunct w:val="0"/>
        <w:autoSpaceDE/>
        <w:autoSpaceDN/>
        <w:bidi w:val="0"/>
        <w:adjustRightInd w:val="0"/>
        <w:snapToGrid w:val="0"/>
        <w:spacing w:line="46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本安全生产合同为施工合同的附件，由发包人、承包人双方签字盖公章后生效。</w:t>
      </w:r>
    </w:p>
    <w:p w14:paraId="4A7945C2">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2224DF15">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发包人（公章）：                         承包人（公章）：</w:t>
      </w:r>
    </w:p>
    <w:p w14:paraId="7C3EA189">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C7D2187">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法定代表人：                            法定代表人：</w:t>
      </w:r>
    </w:p>
    <w:p w14:paraId="024ACEF0">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p>
    <w:p w14:paraId="4A0C2FA8">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或授权委托人：                          或授权委托人：</w:t>
      </w:r>
    </w:p>
    <w:p w14:paraId="5EDC7F6D">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p>
    <w:p w14:paraId="094C3DAB">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电   话 ：                              电     话 ： </w:t>
      </w:r>
    </w:p>
    <w:p w14:paraId="0D677766">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pPr>
    </w:p>
    <w:p w14:paraId="05FE22F4">
      <w:pPr>
        <w:keepNext w:val="0"/>
        <w:keepLines w:val="0"/>
        <w:pageBreakBefore w:val="0"/>
        <w:widowControl w:val="0"/>
        <w:kinsoku/>
        <w:wordWrap/>
        <w:overflowPunct/>
        <w:topLinePunct w:val="0"/>
        <w:autoSpaceDE/>
        <w:autoSpaceDN/>
        <w:bidi w:val="0"/>
        <w:adjustRightInd w:val="0"/>
        <w:snapToGrid w:val="0"/>
        <w:spacing w:line="500" w:lineRule="exact"/>
        <w:ind w:firstLine="440" w:firstLineChars="200"/>
        <w:textAlignment w:val="auto"/>
        <w:rPr>
          <w:rFonts w:hint="eastAsia" w:ascii="宋体" w:hAnsi="宋体" w:cs="宋体"/>
          <w:color w:val="auto"/>
          <w:sz w:val="22"/>
          <w:szCs w:val="22"/>
          <w:highlight w:val="none"/>
        </w:rPr>
        <w:sectPr>
          <w:footerReference r:id="rId9" w:type="default"/>
          <w:type w:val="nextColumn"/>
          <w:pgSz w:w="11906" w:h="16838"/>
          <w:pgMar w:top="1440" w:right="1080" w:bottom="1440" w:left="1080" w:header="720" w:footer="720" w:gutter="0"/>
          <w:pgNumType w:fmt="decimal" w:start="24"/>
          <w:cols w:space="720" w:num="1"/>
          <w:docGrid w:type="lines" w:linePitch="312" w:charSpace="0"/>
        </w:sectPr>
      </w:pPr>
      <w:r>
        <w:rPr>
          <w:rFonts w:hint="eastAsia" w:ascii="宋体" w:hAnsi="宋体" w:cs="宋体"/>
          <w:color w:val="auto"/>
          <w:sz w:val="22"/>
          <w:szCs w:val="22"/>
          <w:highlight w:val="none"/>
        </w:rPr>
        <w:t xml:space="preserve">   签订日期：</w:t>
      </w:r>
    </w:p>
    <w:p w14:paraId="0959FD0E">
      <w:pPr>
        <w:rPr>
          <w:rFonts w:hint="eastAsia" w:ascii="宋体" w:hAnsi="宋体" w:cs="宋体"/>
          <w:color w:val="auto"/>
          <w:sz w:val="22"/>
          <w:szCs w:val="22"/>
          <w:highlight w:val="none"/>
        </w:rPr>
      </w:pPr>
      <w:r>
        <w:rPr>
          <w:rFonts w:hint="eastAsia" w:ascii="宋体" w:hAnsi="宋体" w:cs="宋体"/>
          <w:color w:val="auto"/>
          <w:sz w:val="22"/>
          <w:szCs w:val="22"/>
          <w:highlight w:val="none"/>
        </w:rPr>
        <w:t>附件三：</w:t>
      </w:r>
    </w:p>
    <w:p w14:paraId="4C3EE21F">
      <w:pPr>
        <w:ind w:firstLine="442" w:firstLineChars="200"/>
        <w:jc w:val="center"/>
        <w:rPr>
          <w:rFonts w:hint="eastAsia" w:ascii="宋体" w:hAnsi="宋体" w:cs="宋体"/>
          <w:b/>
          <w:color w:val="auto"/>
          <w:sz w:val="22"/>
          <w:szCs w:val="22"/>
          <w:highlight w:val="none"/>
        </w:rPr>
      </w:pPr>
      <w:r>
        <w:rPr>
          <w:rFonts w:hint="eastAsia" w:ascii="宋体" w:hAnsi="宋体" w:cs="宋体"/>
          <w:b/>
          <w:color w:val="auto"/>
          <w:sz w:val="22"/>
          <w:szCs w:val="22"/>
          <w:highlight w:val="none"/>
        </w:rPr>
        <w:t>建设工程廉政责任书</w:t>
      </w:r>
    </w:p>
    <w:p w14:paraId="5DB62FDC">
      <w:pPr>
        <w:ind w:firstLine="442" w:firstLineChars="200"/>
        <w:jc w:val="center"/>
        <w:rPr>
          <w:rFonts w:hint="eastAsia" w:ascii="宋体" w:hAnsi="宋体" w:cs="宋体"/>
          <w:b/>
          <w:color w:val="auto"/>
          <w:sz w:val="22"/>
          <w:szCs w:val="22"/>
          <w:highlight w:val="none"/>
        </w:rPr>
      </w:pPr>
    </w:p>
    <w:p w14:paraId="003246A6">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发包人（全称）：</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u w:val="single"/>
        </w:rPr>
        <w:t xml:space="preserve">    </w:t>
      </w:r>
    </w:p>
    <w:p w14:paraId="030DBF58">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承包人 (全称）：</w:t>
      </w:r>
      <w:r>
        <w:rPr>
          <w:rFonts w:hint="eastAsia" w:ascii="宋体" w:hAnsi="宋体" w:cs="宋体"/>
          <w:color w:val="auto"/>
          <w:sz w:val="22"/>
          <w:szCs w:val="22"/>
          <w:highlight w:val="none"/>
          <w:u w:val="single"/>
        </w:rPr>
        <w:t xml:space="preserve"> </w:t>
      </w:r>
      <w:r>
        <w:rPr>
          <w:rFonts w:hint="eastAsia" w:ascii="宋体" w:hAnsi="宋体"/>
          <w:bCs/>
          <w:color w:val="auto"/>
          <w:sz w:val="22"/>
          <w:szCs w:val="22"/>
          <w:highlight w:val="none"/>
          <w:u w:val="single"/>
          <w:lang w:val="en-US" w:eastAsia="zh-CN"/>
        </w:rPr>
        <w:t xml:space="preserve">                </w:t>
      </w:r>
      <w:r>
        <w:rPr>
          <w:rFonts w:hint="eastAsia" w:ascii="宋体" w:hAnsi="宋体" w:cs="宋体"/>
          <w:bCs/>
          <w:color w:val="auto"/>
          <w:sz w:val="22"/>
          <w:szCs w:val="22"/>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01D70A01">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7D917912">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一、双方的责任</w:t>
      </w:r>
    </w:p>
    <w:p w14:paraId="6C9539B6">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1.1 应严格遵守国家关于建设工程的有关法律、法规，相关政策，以及廉政建设的各项规定。</w:t>
      </w:r>
    </w:p>
    <w:p w14:paraId="651E4F26">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1.2 严格执行建设工程合同文件，自觉按合同办事。</w:t>
      </w:r>
    </w:p>
    <w:p w14:paraId="5C57338B">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1.3 各项活动必须坚持公开、公平、公正、诚信、透明的原则(除法律法规另有规定者外)，不得为获取不正当的利益，损害国家、集体和对方利益，不得违反建设工程管理的规章制度。</w:t>
      </w:r>
    </w:p>
    <w:p w14:paraId="3D8DF27E">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1.4 发现对方在业务活动中有违规、违纪、违法行为的，应及时提醒对方，情节严重的，应向其上级主管部门或纪检监察、司法等有关机关举报。　　</w:t>
      </w:r>
    </w:p>
    <w:p w14:paraId="25D6574F">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二、发包人责任</w:t>
      </w:r>
    </w:p>
    <w:p w14:paraId="3DB785F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发包人的领导和从事该建设工程项目的工作人员，在工程建设的事前、事中、事后应遵守以下规定：</w:t>
      </w:r>
    </w:p>
    <w:p w14:paraId="10661F76">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2.1 不得向承包人和相关单位索要或接受回扣、礼金、有价证券、贵重物品和好处费、感谢费等。</w:t>
      </w:r>
    </w:p>
    <w:p w14:paraId="08849A6C">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2.2 不得在承包人和相关单位报销任何应由发包人或个人支付的费用。</w:t>
      </w:r>
    </w:p>
    <w:p w14:paraId="0AB3D2D7">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2.3 不得要求、暗示或接受承包人和相关单位为个人装修住房、婚丧嫁娶、配偶子女的工作安排以及出国(境)、旅游等提供方便。</w:t>
      </w:r>
    </w:p>
    <w:p w14:paraId="3938CB8A">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2.4 不得参加有可能影响公正执行公务的承包人和相关单位的宴请、健身、娱乐等活动。</w:t>
      </w:r>
    </w:p>
    <w:p w14:paraId="590242B8">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2.5 不得向承包人和相关单位介绍或为配偶、子女、亲属参与同发包人工程建设管理合同有关的业务活动；不得以任何理由要求承包人和相关单位使用某种产品、材料和设备。　　</w:t>
      </w:r>
    </w:p>
    <w:p w14:paraId="78F778E8">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三、承包人责任</w:t>
      </w:r>
    </w:p>
    <w:p w14:paraId="7DE23B19">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应与发包人保持正常的业务交往，按照有关法律法规和程序开展业务工作，严格执行工程建设的有关方针、政策，执行工程建设强制性标准，并遵守以下规定：</w:t>
      </w:r>
    </w:p>
    <w:p w14:paraId="477D6E6D">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3.1 不得以任何理由向发包人及其工作人员索要、接受或赠送礼金、有价证券、贵重物品及回扣、好处费、感谢费等。</w:t>
      </w:r>
    </w:p>
    <w:p w14:paraId="2A1003FC">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3.2 不得以任何理由为发包人和相关单位报销应由对方或个人支付的费用。</w:t>
      </w:r>
    </w:p>
    <w:p w14:paraId="2C47654E">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3.3 不得接受或暗示为发包人、相关单位或个人装修住房、婚丧嫁娶、配偶子女的工作安排以及出国(境)、旅游等提供方便。</w:t>
      </w:r>
    </w:p>
    <w:p w14:paraId="79E31BEF">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3.4 不得以任何理由为发包人、相关单位或个人组织有可能影响公正执行公务的宴请、健身、娱乐等活动。　　</w:t>
      </w:r>
    </w:p>
    <w:p w14:paraId="0BB011BC">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四、违约责任</w:t>
      </w:r>
    </w:p>
    <w:p w14:paraId="0F7948BD">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4.1 发包人工作人员有违反本责任书第一、二条责任行为的，依据有关法律、法规给予处理；涉嫌犯罪的，移交司法机关追究刑事责任；给承包人单位造成经济损失的，应予以赔偿。</w:t>
      </w:r>
    </w:p>
    <w:p w14:paraId="7EED2226">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4.2 承包人工作人员有违反本责任书第一、三条责任行为的，依据有关法律法规处理；涉嫌犯罪的，移交司法机关追究刑事责任；给发包人单位造成经济损失的，应予以赔偿。</w:t>
      </w:r>
    </w:p>
    <w:p w14:paraId="685420D6">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4.3 本责任书作为建设工程合同的组成部分，与建设工程合同具有同等法律效力。经双方签署后立即生效。　　</w:t>
      </w:r>
    </w:p>
    <w:p w14:paraId="29A15BF0">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五、责任书有效期</w:t>
      </w:r>
    </w:p>
    <w:p w14:paraId="7CCBAE54">
      <w:pPr>
        <w:adjustRightInd w:val="0"/>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本责任书的有效期为双方签署之日起至该工程项目竣工验收合格时止。</w:t>
      </w:r>
    </w:p>
    <w:p w14:paraId="149D713D">
      <w:pPr>
        <w:adjustRightInd w:val="0"/>
        <w:snapToGrid w:val="0"/>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六、责任书份数</w:t>
      </w:r>
    </w:p>
    <w:p w14:paraId="208A0E11">
      <w:pPr>
        <w:pStyle w:val="2"/>
        <w:ind w:firstLine="210"/>
        <w:jc w:val="left"/>
        <w:rPr>
          <w:rFonts w:hint="eastAsia" w:hAnsi="宋体" w:cs="MingLiU"/>
          <w:color w:val="auto"/>
          <w:w w:val="99"/>
          <w:kern w:val="0"/>
          <w:sz w:val="22"/>
          <w:szCs w:val="22"/>
          <w:highlight w:val="none"/>
        </w:rPr>
      </w:pPr>
      <w:r>
        <w:rPr>
          <w:rFonts w:hint="eastAsia" w:ascii="宋体" w:hAnsi="宋体" w:cs="宋体"/>
          <w:color w:val="auto"/>
          <w:sz w:val="22"/>
          <w:szCs w:val="22"/>
          <w:highlight w:val="none"/>
        </w:rPr>
        <w:t>本责任书为</w:t>
      </w:r>
      <w:r>
        <w:rPr>
          <w:rFonts w:hint="eastAsia" w:ascii="宋体" w:hAnsi="宋体" w:cs="宋体"/>
          <w:color w:val="auto"/>
          <w:sz w:val="22"/>
          <w:szCs w:val="22"/>
          <w:highlight w:val="none"/>
          <w:u w:val="single"/>
        </w:rPr>
        <w:t xml:space="preserve">  </w:t>
      </w:r>
      <w:r>
        <w:rPr>
          <w:rFonts w:hint="eastAsia" w:ascii="宋体" w:hAnsi="宋体" w:cs="宋体"/>
          <w:bCs/>
          <w:color w:val="auto"/>
          <w:kern w:val="44"/>
          <w:sz w:val="22"/>
          <w:szCs w:val="22"/>
          <w:highlight w:val="none"/>
          <w:u w:val="single"/>
          <w:lang w:val="en-US" w:eastAsia="zh-CN"/>
        </w:rPr>
        <w:t xml:space="preserve">              </w:t>
      </w:r>
      <w:r>
        <w:rPr>
          <w:rFonts w:hint="eastAsia" w:ascii="宋体" w:hAnsi="宋体" w:cs="宋体"/>
          <w:bCs/>
          <w:color w:val="auto"/>
          <w:sz w:val="22"/>
          <w:szCs w:val="22"/>
          <w:highlight w:val="none"/>
          <w:u w:val="single"/>
        </w:rPr>
        <w:t xml:space="preserve">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施工合同的附件，由发包人、承包人双方签字盖公章后生效。</w:t>
      </w:r>
    </w:p>
    <w:p w14:paraId="50DF1992">
      <w:pPr>
        <w:adjustRightInd w:val="0"/>
        <w:snapToGrid w:val="0"/>
        <w:spacing w:line="360" w:lineRule="auto"/>
        <w:rPr>
          <w:rFonts w:hint="eastAsia" w:ascii="宋体" w:hAnsi="宋体" w:cs="宋体"/>
          <w:sz w:val="22"/>
          <w:szCs w:val="22"/>
        </w:rPr>
      </w:pPr>
    </w:p>
    <w:p w14:paraId="733119D3">
      <w:pPr>
        <w:adjustRightInd w:val="0"/>
        <w:snapToGrid w:val="0"/>
        <w:spacing w:line="360" w:lineRule="auto"/>
        <w:rPr>
          <w:rFonts w:hint="eastAsia" w:ascii="宋体" w:hAnsi="宋体" w:cs="宋体"/>
          <w:sz w:val="22"/>
          <w:szCs w:val="22"/>
        </w:rPr>
      </w:pPr>
      <w:r>
        <w:rPr>
          <w:rFonts w:hint="eastAsia" w:ascii="宋体" w:hAnsi="宋体" w:cs="宋体"/>
          <w:sz w:val="22"/>
          <w:szCs w:val="22"/>
        </w:rPr>
        <w:t xml:space="preserve">    </w:t>
      </w:r>
    </w:p>
    <w:p w14:paraId="585FAAEC">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发包人：(公章)　　                      承包人： (公章)　　　　　　</w:t>
      </w:r>
    </w:p>
    <w:p w14:paraId="005840FA">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 xml:space="preserve">法定代表人：                            法定代表人：      </w:t>
      </w:r>
    </w:p>
    <w:p w14:paraId="0FFEC85A">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或其委托代理人：　　　          　      或其委托代理人：</w:t>
      </w:r>
    </w:p>
    <w:p w14:paraId="31AF7F47">
      <w:pPr>
        <w:adjustRightInd w:val="0"/>
        <w:snapToGrid w:val="0"/>
        <w:spacing w:line="360" w:lineRule="auto"/>
        <w:ind w:firstLine="440" w:firstLineChars="200"/>
        <w:rPr>
          <w:rFonts w:hint="eastAsia" w:ascii="宋体" w:hAnsi="宋体" w:cs="宋体"/>
          <w:sz w:val="22"/>
          <w:szCs w:val="22"/>
        </w:rPr>
      </w:pPr>
    </w:p>
    <w:p w14:paraId="0B03240B">
      <w:pPr>
        <w:adjustRightInd w:val="0"/>
        <w:snapToGrid w:val="0"/>
        <w:spacing w:line="360" w:lineRule="auto"/>
        <w:ind w:firstLine="440" w:firstLineChars="200"/>
        <w:rPr>
          <w:rFonts w:hint="eastAsia" w:ascii="宋体" w:hAnsi="宋体" w:cs="宋体"/>
          <w:sz w:val="22"/>
          <w:szCs w:val="22"/>
        </w:rPr>
      </w:pPr>
      <w:r>
        <w:rPr>
          <w:rFonts w:hint="eastAsia" w:ascii="宋体" w:hAnsi="宋体" w:cs="宋体"/>
          <w:sz w:val="22"/>
          <w:szCs w:val="22"/>
        </w:rPr>
        <w:t>签订时间：</w:t>
      </w:r>
    </w:p>
    <w:p w14:paraId="51496502">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3D75AF4A">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396C4600">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7BA410F2">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6E5B3420">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7A47612C">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49EF567D">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249621BB">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58063727">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19C2405F">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3F5248AD">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7603E01F">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4BA9DDED">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73E1D198">
      <w:pPr>
        <w:spacing w:line="360" w:lineRule="auto"/>
        <w:ind w:firstLine="562" w:firstLineChars="200"/>
        <w:jc w:val="center"/>
        <w:rPr>
          <w:rFonts w:hint="eastAsia" w:ascii="仿宋" w:hAnsi="仿宋" w:eastAsia="仿宋" w:cs="仿宋"/>
          <w:b/>
          <w:bCs/>
          <w:color w:val="auto"/>
          <w:kern w:val="2"/>
          <w:sz w:val="28"/>
          <w:szCs w:val="21"/>
          <w:highlight w:val="none"/>
          <w:lang w:val="en-US" w:eastAsia="zh-CN" w:bidi="ar-SA"/>
        </w:rPr>
      </w:pPr>
    </w:p>
    <w:p w14:paraId="4278D78F">
      <w:pPr>
        <w:spacing w:line="360" w:lineRule="auto"/>
        <w:ind w:firstLine="1044" w:firstLineChars="200"/>
        <w:jc w:val="both"/>
        <w:rPr>
          <w:rFonts w:hint="eastAsia" w:ascii="仿宋" w:hAnsi="仿宋" w:eastAsia="仿宋" w:cs="仿宋"/>
          <w:b/>
          <w:bCs/>
          <w:color w:val="auto"/>
          <w:kern w:val="2"/>
          <w:sz w:val="52"/>
          <w:szCs w:val="52"/>
          <w:highlight w:val="none"/>
          <w:lang w:val="en-US" w:eastAsia="zh-CN" w:bidi="ar-SA"/>
        </w:rPr>
      </w:pPr>
    </w:p>
    <w:p w14:paraId="594F2033">
      <w:pPr>
        <w:spacing w:line="360" w:lineRule="auto"/>
        <w:ind w:firstLine="1044" w:firstLineChars="200"/>
        <w:jc w:val="both"/>
        <w:rPr>
          <w:rFonts w:hint="eastAsia" w:ascii="仿宋" w:hAnsi="仿宋" w:eastAsia="仿宋" w:cs="仿宋"/>
          <w:color w:val="auto"/>
          <w:kern w:val="2"/>
          <w:sz w:val="52"/>
          <w:szCs w:val="52"/>
          <w:highlight w:val="none"/>
          <w:lang w:val="en-US" w:eastAsia="zh-CN" w:bidi="ar-SA"/>
        </w:rPr>
      </w:pPr>
      <w:r>
        <w:rPr>
          <w:rFonts w:hint="eastAsia" w:ascii="仿宋" w:hAnsi="仿宋" w:eastAsia="仿宋" w:cs="仿宋"/>
          <w:b/>
          <w:bCs/>
          <w:color w:val="auto"/>
          <w:kern w:val="2"/>
          <w:sz w:val="52"/>
          <w:szCs w:val="52"/>
          <w:highlight w:val="none"/>
          <w:lang w:val="en-US" w:eastAsia="zh-CN" w:bidi="ar-SA"/>
        </w:rPr>
        <w:t xml:space="preserve">第七篇  </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Pr>
          <w:rFonts w:hint="eastAsia" w:ascii="仿宋" w:hAnsi="仿宋" w:eastAsia="仿宋" w:cs="仿宋"/>
          <w:b/>
          <w:bCs/>
          <w:color w:val="auto"/>
          <w:kern w:val="2"/>
          <w:sz w:val="52"/>
          <w:szCs w:val="52"/>
          <w:highlight w:val="none"/>
          <w:lang w:val="en-US" w:eastAsia="zh-CN" w:bidi="ar-SA"/>
        </w:rPr>
        <w:t>响应文件格式要求</w:t>
      </w:r>
      <w:bookmarkEnd w:id="317"/>
    </w:p>
    <w:p w14:paraId="77C3B87A">
      <w:pPr>
        <w:rPr>
          <w:rFonts w:hint="eastAsia" w:ascii="仿宋" w:hAnsi="仿宋" w:eastAsia="仿宋" w:cs="仿宋"/>
          <w:color w:val="auto"/>
          <w:highlight w:val="none"/>
        </w:rPr>
      </w:pPr>
      <w:bookmarkStart w:id="490" w:name="_Toc26171"/>
      <w:bookmarkStart w:id="491" w:name="_Toc342913419"/>
      <w:bookmarkStart w:id="492" w:name="_Toc480979018"/>
      <w:bookmarkStart w:id="493" w:name="_Toc283382454"/>
      <w:bookmarkStart w:id="494" w:name="_Toc485108796"/>
      <w:bookmarkStart w:id="495" w:name="_Toc12789073"/>
      <w:bookmarkStart w:id="496" w:name="_Toc313008356"/>
      <w:bookmarkStart w:id="497" w:name="_Toc313888360"/>
    </w:p>
    <w:p w14:paraId="7A4CFB1D">
      <w:pPr>
        <w:rPr>
          <w:rFonts w:hint="eastAsia" w:ascii="仿宋" w:hAnsi="仿宋" w:eastAsia="仿宋" w:cs="仿宋"/>
          <w:color w:val="auto"/>
          <w:highlight w:val="none"/>
        </w:rPr>
      </w:pPr>
    </w:p>
    <w:p w14:paraId="4C4B4549">
      <w:pPr>
        <w:spacing w:line="360" w:lineRule="auto"/>
        <w:ind w:firstLine="560"/>
        <w:rPr>
          <w:rStyle w:val="63"/>
          <w:rFonts w:hint="eastAsia" w:ascii="仿宋" w:hAnsi="仿宋" w:eastAsia="仿宋" w:cs="仿宋"/>
          <w:b w:val="0"/>
          <w:bCs/>
          <w:sz w:val="28"/>
          <w:szCs w:val="28"/>
        </w:rPr>
      </w:pPr>
      <w:r>
        <w:rPr>
          <w:rFonts w:hint="eastAsia" w:ascii="仿宋" w:hAnsi="仿宋" w:eastAsia="仿宋" w:cs="仿宋"/>
          <w:color w:val="auto"/>
          <w:highlight w:val="none"/>
        </w:rPr>
        <w:br w:type="page"/>
      </w:r>
      <w:bookmarkStart w:id="498" w:name="_Toc102726962"/>
      <w:bookmarkStart w:id="499" w:name="_Toc22301"/>
      <w:bookmarkStart w:id="500" w:name="_Toc106034808"/>
      <w:bookmarkStart w:id="501" w:name="_Toc26343"/>
      <w:bookmarkStart w:id="502" w:name="_Toc30982"/>
      <w:bookmarkStart w:id="503" w:name="_Toc4721"/>
      <w:bookmarkStart w:id="504" w:name="_Toc65660379"/>
      <w:bookmarkStart w:id="505" w:name="_Toc14244"/>
      <w:bookmarkStart w:id="506" w:name="_Toc7624"/>
      <w:bookmarkStart w:id="507" w:name="_Toc110444024"/>
      <w:r>
        <w:rPr>
          <w:rStyle w:val="63"/>
          <w:rFonts w:hint="eastAsia" w:ascii="仿宋" w:hAnsi="仿宋" w:eastAsia="仿宋" w:cs="仿宋"/>
          <w:b w:val="0"/>
          <w:bCs/>
          <w:sz w:val="28"/>
          <w:szCs w:val="28"/>
        </w:rPr>
        <w:t xml:space="preserve">项目名称：  </w:t>
      </w:r>
    </w:p>
    <w:p w14:paraId="63A48DA5">
      <w:pPr>
        <w:spacing w:line="360" w:lineRule="auto"/>
        <w:ind w:firstLine="560"/>
        <w:rPr>
          <w:rStyle w:val="63"/>
          <w:rFonts w:hint="eastAsia" w:ascii="仿宋" w:hAnsi="仿宋" w:eastAsia="仿宋" w:cs="仿宋"/>
          <w:b w:val="0"/>
          <w:bCs/>
          <w:sz w:val="28"/>
          <w:szCs w:val="28"/>
        </w:rPr>
      </w:pPr>
      <w:r>
        <w:rPr>
          <w:rStyle w:val="63"/>
          <w:rFonts w:hint="eastAsia" w:ascii="仿宋" w:hAnsi="仿宋" w:eastAsia="仿宋" w:cs="仿宋"/>
          <w:b w:val="0"/>
          <w:bCs/>
          <w:sz w:val="28"/>
          <w:szCs w:val="28"/>
          <w:lang w:val="en-US" w:eastAsia="zh-CN"/>
        </w:rPr>
        <w:t>项目编号：</w:t>
      </w:r>
      <w:r>
        <w:rPr>
          <w:rStyle w:val="63"/>
          <w:rFonts w:hint="eastAsia" w:ascii="仿宋" w:hAnsi="仿宋" w:eastAsia="仿宋" w:cs="仿宋"/>
          <w:b w:val="0"/>
          <w:bCs/>
          <w:sz w:val="28"/>
          <w:szCs w:val="28"/>
        </w:rPr>
        <w:t xml:space="preserve">                               </w:t>
      </w:r>
    </w:p>
    <w:p w14:paraId="40DBB334">
      <w:pPr>
        <w:spacing w:line="360" w:lineRule="auto"/>
        <w:ind w:firstLine="560"/>
        <w:rPr>
          <w:rStyle w:val="63"/>
          <w:rFonts w:hint="eastAsia" w:ascii="仿宋" w:hAnsi="仿宋" w:eastAsia="仿宋" w:cs="仿宋"/>
          <w:sz w:val="28"/>
          <w:szCs w:val="28"/>
          <w:u w:val="single"/>
        </w:rPr>
      </w:pPr>
      <w:r>
        <w:rPr>
          <w:rStyle w:val="63"/>
          <w:rFonts w:hint="eastAsia" w:ascii="仿宋" w:hAnsi="仿宋" w:eastAsia="仿宋" w:cs="仿宋"/>
          <w:b w:val="0"/>
          <w:bCs/>
          <w:sz w:val="28"/>
          <w:szCs w:val="28"/>
        </w:rPr>
        <w:t xml:space="preserve">                                  </w:t>
      </w:r>
      <w:r>
        <w:rPr>
          <w:rStyle w:val="63"/>
          <w:rFonts w:hint="eastAsia" w:ascii="仿宋" w:hAnsi="仿宋" w:eastAsia="仿宋" w:cs="仿宋"/>
          <w:sz w:val="28"/>
          <w:szCs w:val="28"/>
        </w:rPr>
        <w:t xml:space="preserve">       </w:t>
      </w:r>
    </w:p>
    <w:p w14:paraId="25C5E507">
      <w:pPr>
        <w:spacing w:line="360" w:lineRule="auto"/>
        <w:ind w:firstLine="723"/>
        <w:jc w:val="center"/>
        <w:rPr>
          <w:rStyle w:val="63"/>
          <w:rFonts w:hint="eastAsia" w:ascii="仿宋" w:hAnsi="仿宋" w:eastAsia="仿宋" w:cs="仿宋"/>
          <w:sz w:val="28"/>
          <w:szCs w:val="28"/>
        </w:rPr>
      </w:pPr>
      <w:r>
        <w:rPr>
          <w:rStyle w:val="63"/>
          <w:rFonts w:hint="eastAsia" w:ascii="仿宋" w:hAnsi="仿宋" w:eastAsia="仿宋" w:cs="仿宋"/>
          <w:sz w:val="28"/>
          <w:szCs w:val="28"/>
        </w:rPr>
        <w:t xml:space="preserve"> </w:t>
      </w:r>
    </w:p>
    <w:p w14:paraId="061708B3">
      <w:pPr>
        <w:pStyle w:val="224"/>
        <w:spacing w:before="0" w:after="0"/>
        <w:ind w:firstLine="480"/>
        <w:rPr>
          <w:rFonts w:hint="eastAsia" w:ascii="仿宋" w:hAnsi="仿宋" w:eastAsia="仿宋" w:cs="仿宋"/>
          <w:sz w:val="28"/>
          <w:szCs w:val="28"/>
        </w:rPr>
      </w:pPr>
    </w:p>
    <w:p w14:paraId="3C19B98A">
      <w:pPr>
        <w:pStyle w:val="224"/>
        <w:keepNext w:val="0"/>
        <w:keepLines w:val="0"/>
        <w:pageBreakBefore w:val="0"/>
        <w:kinsoku/>
        <w:topLinePunct w:val="0"/>
        <w:bidi w:val="0"/>
        <w:adjustRightInd/>
        <w:snapToGrid/>
        <w:spacing w:before="0" w:after="0" w:line="1200" w:lineRule="exact"/>
        <w:ind w:firstLine="480"/>
        <w:jc w:val="center"/>
        <w:textAlignment w:val="auto"/>
        <w:rPr>
          <w:rFonts w:hint="eastAsia" w:ascii="仿宋" w:hAnsi="仿宋" w:eastAsia="仿宋" w:cs="仿宋"/>
          <w:sz w:val="84"/>
          <w:szCs w:val="84"/>
        </w:rPr>
      </w:pPr>
    </w:p>
    <w:p w14:paraId="5F5F7BD8">
      <w:pPr>
        <w:keepNext w:val="0"/>
        <w:keepLines w:val="0"/>
        <w:pageBreakBefore w:val="0"/>
        <w:kinsoku/>
        <w:wordWrap w:val="0"/>
        <w:topLinePunct w:val="0"/>
        <w:bidi w:val="0"/>
        <w:adjustRightInd/>
        <w:snapToGrid/>
        <w:spacing w:line="1200" w:lineRule="exact"/>
        <w:ind w:firstLine="480"/>
        <w:jc w:val="center"/>
        <w:textAlignment w:val="auto"/>
        <w:rPr>
          <w:rFonts w:hint="eastAsia" w:ascii="仿宋" w:hAnsi="仿宋" w:eastAsia="仿宋" w:cs="仿宋"/>
          <w:color w:val="auto"/>
          <w:sz w:val="84"/>
          <w:szCs w:val="84"/>
          <w:highlight w:val="none"/>
        </w:rPr>
      </w:pPr>
      <w:r>
        <w:rPr>
          <w:rFonts w:hint="eastAsia" w:ascii="仿宋" w:hAnsi="仿宋" w:eastAsia="仿宋" w:cs="仿宋"/>
          <w:color w:val="auto"/>
          <w:sz w:val="84"/>
          <w:szCs w:val="84"/>
          <w:highlight w:val="none"/>
        </w:rPr>
        <w:t>响 应 文 件</w:t>
      </w:r>
    </w:p>
    <w:p w14:paraId="0C2F36D0">
      <w:pPr>
        <w:pStyle w:val="36"/>
        <w:spacing w:line="360" w:lineRule="auto"/>
        <w:ind w:firstLine="1440"/>
        <w:rPr>
          <w:rFonts w:hint="eastAsia" w:ascii="仿宋" w:hAnsi="仿宋" w:eastAsia="仿宋" w:cs="仿宋"/>
          <w:sz w:val="28"/>
          <w:szCs w:val="28"/>
        </w:rPr>
      </w:pPr>
    </w:p>
    <w:p w14:paraId="477212E1">
      <w:pPr>
        <w:spacing w:line="360" w:lineRule="auto"/>
        <w:ind w:firstLine="560"/>
        <w:jc w:val="center"/>
        <w:rPr>
          <w:rFonts w:hint="eastAsia" w:ascii="仿宋" w:hAnsi="仿宋" w:eastAsia="仿宋" w:cs="仿宋"/>
          <w:sz w:val="28"/>
          <w:szCs w:val="28"/>
        </w:rPr>
      </w:pPr>
    </w:p>
    <w:p w14:paraId="5DBCB827">
      <w:pPr>
        <w:spacing w:line="360" w:lineRule="auto"/>
        <w:ind w:firstLine="640"/>
        <w:jc w:val="center"/>
        <w:rPr>
          <w:rFonts w:hint="eastAsia" w:ascii="仿宋" w:hAnsi="仿宋" w:eastAsia="仿宋" w:cs="仿宋"/>
          <w:sz w:val="48"/>
          <w:szCs w:val="48"/>
        </w:rPr>
      </w:pPr>
      <w:r>
        <w:rPr>
          <w:rFonts w:hint="eastAsia" w:ascii="仿宋" w:hAnsi="仿宋" w:eastAsia="仿宋" w:cs="仿宋"/>
          <w:sz w:val="48"/>
          <w:szCs w:val="48"/>
        </w:rPr>
        <w:t>（正本/副本）</w:t>
      </w:r>
    </w:p>
    <w:p w14:paraId="4418233E">
      <w:pPr>
        <w:spacing w:line="360" w:lineRule="auto"/>
        <w:ind w:firstLine="360"/>
        <w:jc w:val="center"/>
        <w:rPr>
          <w:rFonts w:hint="eastAsia" w:ascii="仿宋" w:hAnsi="仿宋" w:eastAsia="仿宋" w:cs="仿宋"/>
          <w:sz w:val="28"/>
          <w:szCs w:val="28"/>
        </w:rPr>
      </w:pPr>
    </w:p>
    <w:p w14:paraId="1149CA61">
      <w:pPr>
        <w:spacing w:line="360" w:lineRule="auto"/>
        <w:ind w:firstLine="360"/>
        <w:jc w:val="center"/>
        <w:rPr>
          <w:rFonts w:hint="eastAsia" w:ascii="仿宋" w:hAnsi="仿宋" w:eastAsia="仿宋" w:cs="仿宋"/>
          <w:sz w:val="28"/>
          <w:szCs w:val="28"/>
        </w:rPr>
      </w:pPr>
    </w:p>
    <w:p w14:paraId="6B8D3180">
      <w:pPr>
        <w:spacing w:line="360" w:lineRule="auto"/>
        <w:ind w:firstLine="360"/>
        <w:jc w:val="center"/>
        <w:rPr>
          <w:rFonts w:hint="eastAsia" w:ascii="仿宋" w:hAnsi="仿宋" w:eastAsia="仿宋" w:cs="仿宋"/>
          <w:sz w:val="28"/>
          <w:szCs w:val="28"/>
        </w:rPr>
      </w:pPr>
    </w:p>
    <w:p w14:paraId="111A66AD">
      <w:pPr>
        <w:spacing w:line="360" w:lineRule="auto"/>
        <w:ind w:firstLine="360"/>
        <w:jc w:val="center"/>
        <w:rPr>
          <w:rFonts w:hint="eastAsia" w:ascii="仿宋" w:hAnsi="仿宋" w:eastAsia="仿宋" w:cs="仿宋"/>
          <w:sz w:val="28"/>
          <w:szCs w:val="28"/>
        </w:rPr>
      </w:pPr>
    </w:p>
    <w:p w14:paraId="42F37AEE">
      <w:pPr>
        <w:spacing w:line="360" w:lineRule="auto"/>
        <w:ind w:firstLine="360"/>
        <w:jc w:val="center"/>
        <w:rPr>
          <w:rFonts w:hint="eastAsia" w:ascii="仿宋" w:hAnsi="仿宋" w:eastAsia="仿宋" w:cs="仿宋"/>
          <w:sz w:val="28"/>
          <w:szCs w:val="28"/>
        </w:rPr>
      </w:pPr>
    </w:p>
    <w:p w14:paraId="55A2C082">
      <w:pPr>
        <w:spacing w:line="360" w:lineRule="auto"/>
        <w:ind w:firstLine="360"/>
        <w:jc w:val="center"/>
        <w:rPr>
          <w:rFonts w:hint="eastAsia" w:ascii="仿宋" w:hAnsi="仿宋" w:eastAsia="仿宋" w:cs="仿宋"/>
          <w:sz w:val="28"/>
          <w:szCs w:val="28"/>
        </w:rPr>
      </w:pPr>
    </w:p>
    <w:p w14:paraId="1E9468D0">
      <w:pPr>
        <w:spacing w:line="360" w:lineRule="auto"/>
        <w:ind w:firstLine="360"/>
        <w:jc w:val="center"/>
        <w:rPr>
          <w:rFonts w:hint="eastAsia" w:ascii="仿宋" w:hAnsi="仿宋" w:eastAsia="仿宋" w:cs="仿宋"/>
          <w:sz w:val="28"/>
          <w:szCs w:val="28"/>
        </w:rPr>
      </w:pPr>
    </w:p>
    <w:p w14:paraId="78E4E37C">
      <w:pPr>
        <w:spacing w:line="360" w:lineRule="auto"/>
        <w:ind w:firstLine="480"/>
        <w:jc w:val="center"/>
        <w:rPr>
          <w:rFonts w:hint="eastAsia" w:ascii="仿宋" w:hAnsi="仿宋" w:eastAsia="仿宋" w:cs="仿宋"/>
          <w:sz w:val="28"/>
          <w:szCs w:val="28"/>
        </w:rPr>
      </w:pPr>
    </w:p>
    <w:p w14:paraId="58F27989">
      <w:pPr>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t xml:space="preserve"> 供应商名称：</w:t>
      </w:r>
      <w:r>
        <w:rPr>
          <w:rFonts w:hint="eastAsia" w:ascii="仿宋" w:hAnsi="仿宋" w:eastAsia="仿宋" w:cs="仿宋"/>
          <w:sz w:val="28"/>
          <w:szCs w:val="28"/>
          <w:u w:val="single"/>
        </w:rPr>
        <w:t xml:space="preserve">                       </w:t>
      </w:r>
      <w:r>
        <w:rPr>
          <w:rFonts w:hint="eastAsia" w:ascii="仿宋" w:hAnsi="仿宋" w:eastAsia="仿宋" w:cs="仿宋"/>
          <w:sz w:val="28"/>
          <w:szCs w:val="28"/>
        </w:rPr>
        <w:t>(盖单位法人章)</w:t>
      </w:r>
    </w:p>
    <w:p w14:paraId="7037F1A4">
      <w:pPr>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rPr>
        <w:t>法定代表人或其委托代理人：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rPr>
        <w:t>(签字)</w:t>
      </w:r>
    </w:p>
    <w:p w14:paraId="1A2C7162">
      <w:pPr>
        <w:spacing w:line="360" w:lineRule="auto"/>
        <w:ind w:firstLine="480"/>
        <w:jc w:val="center"/>
        <w:rPr>
          <w:rFonts w:hint="eastAsia" w:ascii="仿宋" w:hAnsi="仿宋" w:eastAsia="仿宋" w:cs="仿宋"/>
          <w:sz w:val="28"/>
          <w:szCs w:val="28"/>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40BF45FA">
      <w:pPr>
        <w:pStyle w:val="5"/>
        <w:adjustRightInd w:val="0"/>
        <w:snapToGrid w:val="0"/>
        <w:spacing w:before="0" w:after="0" w:line="400" w:lineRule="exact"/>
        <w:outlineLvl w:val="0"/>
        <w:rPr>
          <w:rFonts w:hint="eastAsia" w:ascii="仿宋" w:hAnsi="仿宋" w:eastAsia="仿宋" w:cs="仿宋"/>
          <w:color w:val="auto"/>
          <w:kern w:val="2"/>
          <w:sz w:val="24"/>
          <w:highlight w:val="none"/>
          <w:lang w:val="en-US" w:eastAsia="zh-CN" w:bidi="ar-SA"/>
        </w:rPr>
      </w:pPr>
      <w:r>
        <w:rPr>
          <w:rFonts w:hint="eastAsia" w:ascii="宋体" w:hAnsi="宋体" w:eastAsia="宋体" w:cs="宋体"/>
          <w:szCs w:val="28"/>
        </w:rPr>
        <w:br w:type="page"/>
      </w:r>
      <w:bookmarkEnd w:id="498"/>
      <w:bookmarkEnd w:id="499"/>
      <w:bookmarkStart w:id="508" w:name="_Toc11971"/>
      <w:r>
        <w:rPr>
          <w:rFonts w:hint="eastAsia" w:ascii="仿宋" w:hAnsi="仿宋" w:eastAsia="仿宋" w:cs="仿宋"/>
          <w:color w:val="auto"/>
          <w:kern w:val="2"/>
          <w:sz w:val="24"/>
          <w:highlight w:val="none"/>
          <w:lang w:val="en-US" w:eastAsia="zh-CN" w:bidi="ar-SA"/>
        </w:rPr>
        <w:t>一、经济部分</w:t>
      </w:r>
      <w:bookmarkEnd w:id="500"/>
      <w:bookmarkEnd w:id="501"/>
      <w:bookmarkEnd w:id="502"/>
      <w:bookmarkEnd w:id="503"/>
      <w:bookmarkEnd w:id="504"/>
      <w:bookmarkEnd w:id="505"/>
      <w:bookmarkEnd w:id="506"/>
      <w:bookmarkEnd w:id="507"/>
      <w:bookmarkEnd w:id="508"/>
    </w:p>
    <w:p w14:paraId="26625387">
      <w:pPr>
        <w:spacing w:line="400" w:lineRule="exact"/>
        <w:ind w:firstLine="480" w:firstLineChars="200"/>
        <w:outlineLvl w:val="1"/>
        <w:rPr>
          <w:rFonts w:hint="eastAsia" w:ascii="仿宋" w:hAnsi="仿宋" w:eastAsia="仿宋" w:cs="仿宋"/>
          <w:color w:val="auto"/>
          <w:kern w:val="2"/>
          <w:sz w:val="24"/>
          <w:highlight w:val="none"/>
          <w:lang w:val="en-US" w:eastAsia="zh-CN" w:bidi="ar-SA"/>
        </w:rPr>
      </w:pPr>
      <w:bookmarkStart w:id="509" w:name="_Toc29149"/>
      <w:bookmarkStart w:id="510" w:name="_Toc110444025"/>
      <w:bookmarkStart w:id="511" w:name="_Toc24389"/>
      <w:r>
        <w:rPr>
          <w:rFonts w:hint="eastAsia" w:ascii="仿宋" w:hAnsi="仿宋" w:eastAsia="仿宋" w:cs="仿宋"/>
          <w:color w:val="auto"/>
          <w:kern w:val="2"/>
          <w:sz w:val="24"/>
          <w:highlight w:val="none"/>
          <w:lang w:val="en-US" w:eastAsia="zh-CN" w:bidi="ar-SA"/>
        </w:rPr>
        <w:t>（一）报价函</w:t>
      </w:r>
      <w:bookmarkEnd w:id="509"/>
      <w:bookmarkEnd w:id="510"/>
      <w:bookmarkEnd w:id="511"/>
    </w:p>
    <w:p w14:paraId="617FE3F9">
      <w:pPr>
        <w:tabs>
          <w:tab w:val="left" w:pos="6300"/>
        </w:tabs>
        <w:snapToGrid w:val="0"/>
        <w:spacing w:line="312" w:lineRule="auto"/>
        <w:ind w:firstLine="480" w:firstLineChars="200"/>
        <w:jc w:val="center"/>
        <w:rPr>
          <w:rFonts w:hint="eastAsia" w:ascii="仿宋" w:hAnsi="仿宋" w:eastAsia="仿宋" w:cs="仿宋"/>
          <w:color w:val="auto"/>
          <w:kern w:val="2"/>
          <w:sz w:val="24"/>
          <w:highlight w:val="none"/>
          <w:lang w:val="en-US" w:eastAsia="zh-CN" w:bidi="ar-SA"/>
        </w:rPr>
      </w:pPr>
    </w:p>
    <w:p w14:paraId="17C4A647">
      <w:pPr>
        <w:tabs>
          <w:tab w:val="left" w:pos="6300"/>
        </w:tabs>
        <w:snapToGrid w:val="0"/>
        <w:spacing w:line="312" w:lineRule="auto"/>
        <w:ind w:firstLine="480" w:firstLineChars="200"/>
        <w:jc w:val="center"/>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报价函</w:t>
      </w:r>
    </w:p>
    <w:p w14:paraId="6F1DC870">
      <w:pPr>
        <w:tabs>
          <w:tab w:val="left" w:pos="6300"/>
        </w:tabs>
        <w:snapToGrid w:val="0"/>
        <w:spacing w:line="312" w:lineRule="auto"/>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（采购人名称）：</w:t>
      </w:r>
    </w:p>
    <w:p w14:paraId="052ED682">
      <w:pPr>
        <w:pStyle w:val="3"/>
        <w:rPr>
          <w:rFonts w:hint="eastAsia" w:ascii="仿宋" w:hAnsi="仿宋" w:eastAsia="仿宋" w:cs="仿宋"/>
          <w:color w:val="auto"/>
          <w:kern w:val="2"/>
          <w:sz w:val="24"/>
          <w:highlight w:val="none"/>
          <w:lang w:val="en-US" w:eastAsia="zh-CN" w:bidi="ar-SA"/>
        </w:rPr>
      </w:pPr>
    </w:p>
    <w:p w14:paraId="0CD48AE9">
      <w:pPr>
        <w:tabs>
          <w:tab w:val="left" w:pos="6300"/>
        </w:tabs>
        <w:snapToGrid w:val="0"/>
        <w:spacing w:line="312" w:lineRule="auto"/>
        <w:ind w:left="238" w:leftChars="85" w:firstLine="240" w:firstLineChars="10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我方收到</w:t>
      </w:r>
      <w:r>
        <w:rPr>
          <w:rFonts w:hint="eastAsia" w:ascii="仿宋" w:hAnsi="仿宋" w:eastAsia="仿宋" w:cs="仿宋"/>
          <w:kern w:val="2"/>
          <w:sz w:val="24"/>
          <w:highlight w:val="none"/>
          <w:u w:val="single"/>
          <w:lang w:val="en-US" w:eastAsia="zh-CN" w:bidi="ar-SA"/>
        </w:rPr>
        <w:t>____________________________</w:t>
      </w:r>
      <w:r>
        <w:rPr>
          <w:rFonts w:hint="eastAsia" w:ascii="仿宋" w:hAnsi="仿宋" w:eastAsia="仿宋" w:cs="仿宋"/>
          <w:kern w:val="2"/>
          <w:sz w:val="24"/>
          <w:highlight w:val="none"/>
          <w:lang w:val="en-US" w:eastAsia="zh-CN" w:bidi="ar-SA"/>
        </w:rPr>
        <w:t>（项目名称）的竞争性比选文件，经详细研究，决定参加该项目的报价。</w:t>
      </w:r>
    </w:p>
    <w:p w14:paraId="245524AD">
      <w:pPr>
        <w:numPr>
          <w:ilvl w:val="0"/>
          <w:numId w:val="20"/>
        </w:numPr>
        <w:tabs>
          <w:tab w:val="left" w:pos="6300"/>
        </w:tabs>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愿意按照</w:t>
      </w:r>
      <w:r>
        <w:rPr>
          <w:rFonts w:hint="eastAsia" w:ascii="仿宋" w:hAnsi="仿宋" w:eastAsia="仿宋" w:cs="仿宋"/>
          <w:color w:val="auto"/>
          <w:sz w:val="24"/>
          <w:szCs w:val="24"/>
          <w:highlight w:val="none"/>
          <w:lang w:eastAsia="zh-CN"/>
        </w:rPr>
        <w:t>采购</w:t>
      </w:r>
      <w:r>
        <w:rPr>
          <w:rFonts w:hint="eastAsia" w:ascii="仿宋" w:hAnsi="仿宋" w:eastAsia="仿宋" w:cs="仿宋"/>
          <w:color w:val="auto"/>
          <w:sz w:val="24"/>
          <w:szCs w:val="24"/>
          <w:highlight w:val="none"/>
        </w:rPr>
        <w:t>文件中的一切要求，提供本项目的</w:t>
      </w:r>
      <w:r>
        <w:rPr>
          <w:rFonts w:hint="eastAsia" w:ascii="仿宋" w:hAnsi="仿宋" w:eastAsia="仿宋" w:cs="仿宋"/>
          <w:color w:val="auto"/>
          <w:sz w:val="24"/>
          <w:szCs w:val="24"/>
          <w:highlight w:val="none"/>
          <w:lang w:val="en-US" w:eastAsia="zh-CN"/>
        </w:rPr>
        <w:t>包括并不限于的</w:t>
      </w:r>
      <w:r>
        <w:rPr>
          <w:rFonts w:hint="eastAsia" w:ascii="仿宋" w:hAnsi="仿宋" w:eastAsia="仿宋" w:cs="仿宋"/>
          <w:color w:val="auto"/>
          <w:sz w:val="24"/>
          <w:szCs w:val="24"/>
          <w:highlight w:val="none"/>
          <w:lang w:eastAsia="zh-CN"/>
        </w:rPr>
        <w:t>施工</w:t>
      </w:r>
      <w:r>
        <w:rPr>
          <w:rFonts w:hint="eastAsia" w:ascii="仿宋" w:hAnsi="仿宋" w:eastAsia="仿宋" w:cs="仿宋"/>
          <w:color w:val="auto"/>
          <w:sz w:val="24"/>
          <w:szCs w:val="24"/>
          <w:highlight w:val="none"/>
        </w:rPr>
        <w:t>服务，报价为人民币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000000"/>
          <w:sz w:val="24"/>
          <w:szCs w:val="24"/>
          <w:highlight w:val="none"/>
          <w:lang w:eastAsia="zh-CN"/>
        </w:rPr>
        <w:t>该工程的</w:t>
      </w:r>
      <w:r>
        <w:rPr>
          <w:rFonts w:hint="eastAsia" w:ascii="仿宋" w:hAnsi="仿宋" w:eastAsia="仿宋" w:cs="仿宋"/>
          <w:color w:val="000000"/>
          <w:sz w:val="24"/>
          <w:szCs w:val="24"/>
          <w:highlight w:val="none"/>
          <w:lang w:val="en-US" w:eastAsia="zh-CN"/>
        </w:rPr>
        <w:t>项目经理</w:t>
      </w:r>
      <w:r>
        <w:rPr>
          <w:rFonts w:hint="eastAsia" w:ascii="仿宋" w:hAnsi="仿宋" w:eastAsia="仿宋" w:cs="仿宋"/>
          <w:color w:val="000000"/>
          <w:sz w:val="24"/>
          <w:szCs w:val="24"/>
          <w:highlight w:val="none"/>
          <w:lang w:eastAsia="zh-CN"/>
        </w:rPr>
        <w:t>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 xml:space="preserve"> （名称及身份证号码）；工期：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；工程质量要求：</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auto"/>
          <w:sz w:val="24"/>
          <w:szCs w:val="24"/>
          <w:highlight w:val="none"/>
          <w:lang w:val="en-US" w:eastAsia="zh-CN"/>
        </w:rPr>
        <w:t xml:space="preserve">                           </w:t>
      </w:r>
    </w:p>
    <w:p w14:paraId="60EB666C">
      <w:pPr>
        <w:numPr>
          <w:ilvl w:val="0"/>
          <w:numId w:val="20"/>
        </w:numPr>
        <w:tabs>
          <w:tab w:val="left" w:pos="6300"/>
        </w:tabs>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我方现提交的响应文件为：响应文件</w:t>
      </w:r>
      <w:r>
        <w:rPr>
          <w:rFonts w:hint="eastAsia" w:ascii="仿宋" w:hAnsi="仿宋" w:eastAsia="仿宋" w:cs="仿宋"/>
          <w:color w:val="auto"/>
          <w:sz w:val="24"/>
          <w:szCs w:val="24"/>
          <w:highlight w:val="none"/>
          <w:lang w:eastAsia="zh-CN"/>
        </w:rPr>
        <w:t>纸质档</w:t>
      </w:r>
      <w:r>
        <w:rPr>
          <w:rFonts w:hint="eastAsia" w:ascii="仿宋" w:hAnsi="仿宋" w:eastAsia="仿宋" w:cs="仿宋"/>
          <w:color w:val="auto"/>
          <w:sz w:val="24"/>
          <w:szCs w:val="24"/>
          <w:highlight w:val="none"/>
        </w:rPr>
        <w:t>正本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val="en-US" w:eastAsia="zh-CN"/>
        </w:rPr>
        <w:t>,副本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份。</w:t>
      </w:r>
    </w:p>
    <w:p w14:paraId="2529990E">
      <w:pPr>
        <w:tabs>
          <w:tab w:val="left" w:pos="6300"/>
        </w:tabs>
        <w:snapToGrid w:val="0"/>
        <w:spacing w:line="312" w:lineRule="auto"/>
        <w:ind w:firstLine="480" w:firstLineChars="20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3.我方承诺：本次报价的有效期为提交响应文件截止时间起90天。</w:t>
      </w:r>
    </w:p>
    <w:p w14:paraId="434CDF4B">
      <w:pPr>
        <w:tabs>
          <w:tab w:val="left" w:pos="6300"/>
        </w:tabs>
        <w:snapToGrid w:val="0"/>
        <w:spacing w:line="312" w:lineRule="auto"/>
        <w:ind w:firstLine="57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4、我方完全理解和接受贵方比选采购文件的一切规定和要求及评审办法。</w:t>
      </w:r>
    </w:p>
    <w:p w14:paraId="13FB353B">
      <w:pPr>
        <w:tabs>
          <w:tab w:val="left" w:pos="6300"/>
        </w:tabs>
        <w:snapToGrid w:val="0"/>
        <w:spacing w:line="312" w:lineRule="auto"/>
        <w:ind w:firstLine="57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5、在整个采购过程中，我方若有违规行为，接受相关处罚。</w:t>
      </w:r>
    </w:p>
    <w:p w14:paraId="352C8FFB">
      <w:pPr>
        <w:tabs>
          <w:tab w:val="left" w:pos="6300"/>
        </w:tabs>
        <w:snapToGrid w:val="0"/>
        <w:spacing w:line="312" w:lineRule="auto"/>
        <w:ind w:firstLine="57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6、我方若中选，将按照采购结果签订合同，并且严格履行合同义务。本承诺函将成为合同不可分割的一部分，与合同具有同等的法律效力。</w:t>
      </w:r>
    </w:p>
    <w:p w14:paraId="25861066">
      <w:pPr>
        <w:tabs>
          <w:tab w:val="left" w:pos="6300"/>
        </w:tabs>
        <w:snapToGrid w:val="0"/>
        <w:spacing w:line="312" w:lineRule="auto"/>
        <w:ind w:firstLine="57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7、我方理解，最低报价不是成交的唯一条件。</w:t>
      </w:r>
    </w:p>
    <w:p w14:paraId="65F09EBE">
      <w:pPr>
        <w:tabs>
          <w:tab w:val="left" w:pos="6300"/>
        </w:tabs>
        <w:snapToGrid w:val="0"/>
        <w:spacing w:line="312" w:lineRule="auto"/>
        <w:ind w:firstLine="570"/>
        <w:rPr>
          <w:rFonts w:hint="eastAsia" w:ascii="仿宋" w:hAnsi="仿宋" w:eastAsia="仿宋" w:cs="仿宋"/>
          <w:kern w:val="2"/>
          <w:sz w:val="24"/>
          <w:highlight w:val="none"/>
          <w:lang w:val="en-US" w:eastAsia="zh-CN" w:bidi="ar-SA"/>
        </w:rPr>
      </w:pPr>
    </w:p>
    <w:p w14:paraId="7C38E079">
      <w:pPr>
        <w:ind w:firstLine="6720" w:firstLineChars="2800"/>
        <w:rPr>
          <w:rFonts w:hint="eastAsia" w:ascii="仿宋" w:hAnsi="仿宋" w:eastAsia="仿宋" w:cs="仿宋"/>
          <w:kern w:val="2"/>
          <w:sz w:val="24"/>
          <w:highlight w:val="none"/>
          <w:lang w:val="en-US" w:eastAsia="zh-CN" w:bidi="ar-SA"/>
        </w:rPr>
      </w:pPr>
      <w:r>
        <w:rPr>
          <w:rFonts w:hint="eastAsia" w:ascii="仿宋" w:hAnsi="仿宋" w:eastAsia="仿宋" w:cs="仿宋"/>
          <w:kern w:val="2"/>
          <w:sz w:val="24"/>
          <w:highlight w:val="none"/>
          <w:lang w:val="en-US" w:eastAsia="zh-CN" w:bidi="ar-SA"/>
        </w:rPr>
        <w:t xml:space="preserve"> 供应商名称（公章）：</w:t>
      </w:r>
    </w:p>
    <w:p w14:paraId="6CE007BD">
      <w:pPr>
        <w:rPr>
          <w:rFonts w:hint="eastAsia" w:ascii="仿宋" w:hAnsi="仿宋" w:eastAsia="仿宋" w:cs="仿宋"/>
          <w:kern w:val="2"/>
          <w:sz w:val="24"/>
          <w:highlight w:val="none"/>
          <w:lang w:val="en-US" w:eastAsia="zh-CN" w:bidi="ar-SA"/>
        </w:rPr>
        <w:sectPr>
          <w:footerReference r:id="rId10" w:type="default"/>
          <w:type w:val="nextColumn"/>
          <w:pgSz w:w="11907" w:h="16840"/>
          <w:pgMar w:top="1134" w:right="1191" w:bottom="1134" w:left="1304" w:header="851" w:footer="992" w:gutter="0"/>
          <w:pgNumType w:fmt="decimal" w:start="50"/>
          <w:cols w:space="720" w:num="1"/>
          <w:docGrid w:linePitch="380" w:charSpace="-5735"/>
        </w:sectPr>
      </w:pPr>
      <w:r>
        <w:rPr>
          <w:rFonts w:hint="eastAsia" w:ascii="仿宋" w:hAnsi="仿宋" w:eastAsia="仿宋" w:cs="仿宋"/>
          <w:kern w:val="2"/>
          <w:sz w:val="24"/>
          <w:highlight w:val="none"/>
          <w:lang w:val="en-US" w:eastAsia="zh-CN" w:bidi="ar-SA"/>
        </w:rPr>
        <w:t xml:space="preserve">                                                           年   月   日</w:t>
      </w:r>
    </w:p>
    <w:bookmarkEnd w:id="490"/>
    <w:bookmarkEnd w:id="491"/>
    <w:bookmarkEnd w:id="492"/>
    <w:bookmarkEnd w:id="493"/>
    <w:bookmarkEnd w:id="494"/>
    <w:bookmarkEnd w:id="495"/>
    <w:bookmarkEnd w:id="496"/>
    <w:bookmarkEnd w:id="497"/>
    <w:p w14:paraId="398A575F">
      <w:pPr>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lang w:eastAsia="zh-CN"/>
        </w:rPr>
        <w:t>（二）</w:t>
      </w:r>
      <w:r>
        <w:rPr>
          <w:rFonts w:hint="eastAsia" w:ascii="仿宋" w:hAnsi="仿宋" w:eastAsia="仿宋" w:cs="仿宋"/>
          <w:color w:val="auto"/>
          <w:highlight w:val="none"/>
          <w:lang w:val="en-US" w:eastAsia="zh-CN"/>
        </w:rPr>
        <w:t>分项报价表明细</w:t>
      </w:r>
    </w:p>
    <w:p w14:paraId="18573CAC">
      <w:pPr>
        <w:pStyle w:val="36"/>
        <w:numPr>
          <w:ilvl w:val="0"/>
          <w:numId w:val="0"/>
        </w:numPr>
        <w:spacing w:line="360" w:lineRule="auto"/>
        <w:ind w:left="753" w:left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（供应商提供已标价工程量清单）</w:t>
      </w:r>
    </w:p>
    <w:p w14:paraId="635D520E">
      <w:pPr>
        <w:spacing w:line="400" w:lineRule="exact"/>
        <w:outlineLvl w:val="9"/>
        <w:rPr>
          <w:rFonts w:hint="eastAsia" w:ascii="仿宋" w:hAnsi="仿宋" w:eastAsia="仿宋" w:cs="仿宋"/>
          <w:sz w:val="24"/>
          <w:szCs w:val="24"/>
          <w:highlight w:val="none"/>
        </w:rPr>
      </w:pPr>
    </w:p>
    <w:p w14:paraId="3EA5F1D2">
      <w:pPr>
        <w:widowControl w:val="0"/>
        <w:snapToGrid w:val="0"/>
        <w:spacing w:line="312" w:lineRule="auto"/>
        <w:ind w:firstLine="0" w:firstLine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注：本表可根据项目实际情况调整，并逐页盖章。</w:t>
      </w:r>
    </w:p>
    <w:p w14:paraId="5E80847C">
      <w:pPr>
        <w:spacing w:line="312" w:lineRule="auto"/>
        <w:ind w:firstLine="0" w:firstLineChars="0"/>
        <w:rPr>
          <w:rFonts w:hint="eastAsia" w:ascii="仿宋" w:hAnsi="仿宋" w:eastAsia="仿宋" w:cs="仿宋"/>
          <w:b/>
          <w:color w:val="auto"/>
          <w:highlight w:val="none"/>
          <w:shd w:val="clear" w:color="auto" w:fill="auto"/>
        </w:rPr>
      </w:pPr>
      <w:r>
        <w:rPr>
          <w:rFonts w:hint="eastAsia" w:ascii="仿宋" w:hAnsi="仿宋" w:eastAsia="仿宋" w:cs="仿宋"/>
          <w:sz w:val="24"/>
          <w:szCs w:val="24"/>
          <w:highlight w:val="none"/>
        </w:rPr>
        <w:br w:type="page"/>
      </w:r>
      <w:r>
        <w:rPr>
          <w:rFonts w:hint="eastAsia" w:ascii="仿宋" w:hAnsi="仿宋" w:eastAsia="仿宋" w:cs="仿宋"/>
          <w:b/>
          <w:color w:val="auto"/>
          <w:highlight w:val="none"/>
          <w:shd w:val="clear" w:color="auto" w:fill="auto"/>
        </w:rPr>
        <w:t>二、资格条件及其他</w:t>
      </w:r>
    </w:p>
    <w:p w14:paraId="606232C0">
      <w:pPr>
        <w:widowControl w:val="0"/>
        <w:spacing w:line="312" w:lineRule="auto"/>
        <w:ind w:firstLine="0" w:firstLineChars="0"/>
        <w:jc w:val="center"/>
        <w:rPr>
          <w:rFonts w:hint="eastAsia" w:ascii="仿宋" w:hAnsi="仿宋" w:eastAsia="仿宋" w:cs="仿宋"/>
          <w:color w:val="auto"/>
          <w:highlight w:val="none"/>
          <w:u w:val="single"/>
          <w:shd w:val="clear" w:color="auto" w:fill="auto"/>
        </w:rPr>
      </w:pPr>
      <w:r>
        <w:rPr>
          <w:rFonts w:hint="eastAsia" w:ascii="仿宋" w:hAnsi="仿宋" w:eastAsia="仿宋" w:cs="仿宋"/>
          <w:color w:val="auto"/>
          <w:highlight w:val="none"/>
          <w:u w:val="single"/>
          <w:shd w:val="clear" w:color="auto" w:fill="auto"/>
        </w:rPr>
        <w:t>按照</w:t>
      </w:r>
      <w:r>
        <w:rPr>
          <w:rFonts w:hint="eastAsia" w:ascii="仿宋" w:hAnsi="仿宋" w:eastAsia="仿宋" w:cs="仿宋"/>
          <w:color w:val="auto"/>
          <w:highlight w:val="none"/>
          <w:u w:val="single"/>
          <w:shd w:val="clear" w:color="auto" w:fill="auto"/>
          <w:lang w:eastAsia="zh-CN"/>
        </w:rPr>
        <w:t>采购文件</w:t>
      </w:r>
      <w:r>
        <w:rPr>
          <w:rFonts w:hint="eastAsia" w:ascii="仿宋" w:hAnsi="仿宋" w:eastAsia="仿宋" w:cs="仿宋"/>
          <w:color w:val="auto"/>
          <w:highlight w:val="none"/>
          <w:u w:val="single"/>
          <w:shd w:val="clear" w:color="auto" w:fill="auto"/>
        </w:rPr>
        <w:t>要求提供复印件加盖公章</w:t>
      </w:r>
    </w:p>
    <w:p w14:paraId="78274AD0">
      <w:pPr>
        <w:widowControl w:val="0"/>
        <w:spacing w:line="240" w:lineRule="auto"/>
        <w:ind w:firstLine="0" w:firstLineChars="0"/>
        <w:jc w:val="both"/>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br w:type="page"/>
      </w:r>
    </w:p>
    <w:p w14:paraId="43FB9A44">
      <w:pPr>
        <w:widowControl w:val="0"/>
        <w:spacing w:line="240" w:lineRule="auto"/>
        <w:ind w:firstLine="0" w:firstLineChars="0"/>
        <w:jc w:val="both"/>
        <w:rPr>
          <w:rFonts w:hint="eastAsia" w:ascii="仿宋" w:hAnsi="仿宋" w:eastAsia="仿宋" w:cs="仿宋"/>
          <w:b/>
          <w:color w:val="auto"/>
          <w:highlight w:val="none"/>
          <w:shd w:val="clear" w:color="auto" w:fill="auto"/>
        </w:rPr>
      </w:pPr>
      <w:r>
        <w:rPr>
          <w:rFonts w:hint="eastAsia" w:ascii="仿宋" w:hAnsi="仿宋" w:eastAsia="仿宋" w:cs="仿宋"/>
          <w:b/>
          <w:color w:val="auto"/>
          <w:highlight w:val="none"/>
          <w:shd w:val="clear" w:color="auto" w:fill="auto"/>
        </w:rPr>
        <w:t>三、法定代表人身份证明书</w:t>
      </w:r>
    </w:p>
    <w:p w14:paraId="344FD482">
      <w:pPr>
        <w:keepNext/>
        <w:keepLines/>
        <w:widowControl w:val="0"/>
        <w:spacing w:before="260" w:after="260" w:line="240" w:lineRule="auto"/>
        <w:ind w:firstLine="40"/>
        <w:jc w:val="both"/>
        <w:outlineLvl w:val="2"/>
        <w:rPr>
          <w:rFonts w:hint="eastAsia" w:ascii="仿宋" w:hAnsi="仿宋" w:eastAsia="仿宋" w:cs="仿宋"/>
          <w:b/>
          <w:color w:val="auto"/>
          <w:sz w:val="2"/>
          <w:szCs w:val="2"/>
          <w:highlight w:val="none"/>
          <w:shd w:val="clear" w:color="auto" w:fill="auto"/>
        </w:rPr>
      </w:pPr>
    </w:p>
    <w:p w14:paraId="7927D40F">
      <w:pPr>
        <w:widowControl w:val="0"/>
        <w:tabs>
          <w:tab w:val="left" w:pos="6300"/>
        </w:tabs>
        <w:snapToGrid w:val="0"/>
        <w:spacing w:line="500" w:lineRule="exact"/>
        <w:ind w:firstLine="480" w:firstLineChars="0"/>
        <w:jc w:val="center"/>
        <w:rPr>
          <w:rFonts w:hint="eastAsia" w:ascii="仿宋" w:hAnsi="仿宋" w:eastAsia="仿宋" w:cs="仿宋"/>
          <w:color w:val="auto"/>
          <w:sz w:val="28"/>
          <w:szCs w:val="20"/>
          <w:highlight w:val="none"/>
          <w:shd w:val="clear" w:color="auto" w:fill="auto"/>
        </w:rPr>
      </w:pPr>
      <w:r>
        <w:rPr>
          <w:rFonts w:hint="eastAsia" w:ascii="仿宋" w:hAnsi="仿宋" w:eastAsia="仿宋" w:cs="仿宋"/>
          <w:b/>
          <w:bCs/>
          <w:color w:val="auto"/>
          <w:highlight w:val="none"/>
          <w:shd w:val="clear" w:color="auto" w:fill="auto"/>
        </w:rPr>
        <w:t>法定代表人身份证明书</w:t>
      </w:r>
    </w:p>
    <w:p w14:paraId="45E74E1F">
      <w:pPr>
        <w:widowControl w:val="0"/>
        <w:tabs>
          <w:tab w:val="left" w:pos="6300"/>
        </w:tabs>
        <w:snapToGrid w:val="0"/>
        <w:spacing w:line="312" w:lineRule="auto"/>
        <w:ind w:firstLine="480"/>
        <w:jc w:val="both"/>
        <w:rPr>
          <w:rFonts w:hint="eastAsia" w:ascii="仿宋" w:hAnsi="仿宋" w:eastAsia="仿宋" w:cs="仿宋"/>
          <w:color w:val="auto"/>
          <w:highlight w:val="none"/>
          <w:shd w:val="clear" w:color="auto" w:fill="auto"/>
        </w:rPr>
      </w:pPr>
    </w:p>
    <w:p w14:paraId="022FBBE2">
      <w:pPr>
        <w:ind w:firstLine="480"/>
        <w:rPr>
          <w:rFonts w:hint="eastAsia" w:ascii="仿宋" w:hAnsi="仿宋" w:eastAsia="仿宋" w:cs="仿宋"/>
          <w:color w:val="auto"/>
          <w:highlight w:val="none"/>
          <w:u w:val="single"/>
          <w:shd w:val="clear" w:color="auto" w:fill="auto"/>
        </w:rPr>
      </w:pPr>
      <w:r>
        <w:rPr>
          <w:rFonts w:hint="eastAsia" w:ascii="仿宋" w:hAnsi="仿宋" w:eastAsia="仿宋" w:cs="仿宋"/>
          <w:color w:val="auto"/>
          <w:highlight w:val="none"/>
          <w:shd w:val="clear" w:color="auto" w:fill="auto"/>
        </w:rPr>
        <w:t>项目名称：</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 xml:space="preserve">                                               </w:t>
      </w:r>
    </w:p>
    <w:p w14:paraId="016564C0">
      <w:pPr>
        <w:pStyle w:val="228"/>
        <w:ind w:firstLine="480"/>
        <w:rPr>
          <w:rFonts w:hint="eastAsia" w:ascii="仿宋" w:hAnsi="仿宋" w:eastAsia="仿宋" w:cs="仿宋"/>
          <w:color w:val="auto"/>
          <w:highlight w:val="none"/>
          <w:shd w:val="clear" w:color="auto" w:fill="auto"/>
        </w:rPr>
      </w:pPr>
    </w:p>
    <w:p w14:paraId="1355517E">
      <w:pPr>
        <w:pStyle w:val="226"/>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致：</w:t>
      </w:r>
      <w:r>
        <w:rPr>
          <w:rFonts w:hint="eastAsia" w:ascii="仿宋" w:hAnsi="仿宋" w:eastAsia="仿宋" w:cs="仿宋"/>
          <w:color w:val="auto"/>
          <w:highlight w:val="none"/>
          <w:u w:val="single"/>
          <w:shd w:val="clear" w:color="auto" w:fill="auto"/>
        </w:rPr>
        <w:t>_________________</w:t>
      </w:r>
      <w:r>
        <w:rPr>
          <w:rFonts w:hint="eastAsia" w:ascii="仿宋" w:hAnsi="仿宋" w:eastAsia="仿宋" w:cs="仿宋"/>
          <w:color w:val="auto"/>
          <w:highlight w:val="none"/>
          <w:shd w:val="clear" w:color="auto" w:fill="auto"/>
        </w:rPr>
        <w:t>（采购人名称）：</w:t>
      </w:r>
    </w:p>
    <w:p w14:paraId="3E85F065">
      <w:pPr>
        <w:pStyle w:val="228"/>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（法定代表人姓名）在</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（供应商名称）任</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（职务名称）职务，是（供应商名称）</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 xml:space="preserve"> 的法定代表人。</w:t>
      </w:r>
    </w:p>
    <w:p w14:paraId="446FB18A">
      <w:pPr>
        <w:pStyle w:val="228"/>
        <w:ind w:firstLine="480"/>
        <w:rPr>
          <w:rFonts w:hint="eastAsia" w:ascii="仿宋" w:hAnsi="仿宋" w:eastAsia="仿宋" w:cs="仿宋"/>
          <w:color w:val="auto"/>
          <w:highlight w:val="none"/>
          <w:shd w:val="clear" w:color="auto" w:fill="auto"/>
        </w:rPr>
      </w:pPr>
    </w:p>
    <w:p w14:paraId="43E11FFA">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特此证明。</w:t>
      </w:r>
    </w:p>
    <w:p w14:paraId="510D697C">
      <w:pPr>
        <w:ind w:firstLine="480"/>
        <w:rPr>
          <w:rFonts w:hint="eastAsia" w:ascii="仿宋" w:hAnsi="仿宋" w:eastAsia="仿宋" w:cs="仿宋"/>
          <w:color w:val="auto"/>
          <w:highlight w:val="none"/>
          <w:shd w:val="clear" w:color="auto" w:fill="auto"/>
        </w:rPr>
      </w:pPr>
    </w:p>
    <w:p w14:paraId="4C3DF443">
      <w:pPr>
        <w:ind w:firstLine="480"/>
        <w:rPr>
          <w:rFonts w:hint="eastAsia" w:ascii="仿宋" w:hAnsi="仿宋" w:eastAsia="仿宋" w:cs="仿宋"/>
          <w:color w:val="auto"/>
          <w:highlight w:val="none"/>
          <w:shd w:val="clear" w:color="auto" w:fill="auto"/>
        </w:rPr>
      </w:pPr>
    </w:p>
    <w:p w14:paraId="318921FE">
      <w:pPr>
        <w:ind w:firstLine="480"/>
        <w:rPr>
          <w:rFonts w:hint="eastAsia" w:ascii="仿宋" w:hAnsi="仿宋" w:eastAsia="仿宋" w:cs="仿宋"/>
          <w:color w:val="auto"/>
          <w:highlight w:val="none"/>
          <w:shd w:val="clear" w:color="auto" w:fill="auto"/>
        </w:rPr>
      </w:pPr>
    </w:p>
    <w:p w14:paraId="5E7C9CEB">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（供应商公章）</w:t>
      </w:r>
    </w:p>
    <w:p w14:paraId="57CC2ADE">
      <w:pPr>
        <w:ind w:firstLine="480"/>
        <w:rPr>
          <w:rFonts w:hint="eastAsia" w:ascii="仿宋" w:hAnsi="仿宋" w:eastAsia="仿宋" w:cs="仿宋"/>
          <w:color w:val="auto"/>
          <w:highlight w:val="none"/>
          <w:shd w:val="clear" w:color="auto" w:fill="auto"/>
        </w:rPr>
      </w:pPr>
    </w:p>
    <w:p w14:paraId="36017394">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年   月   日</w:t>
      </w:r>
    </w:p>
    <w:p w14:paraId="3BBCA365">
      <w:pPr>
        <w:tabs>
          <w:tab w:val="left" w:pos="6300"/>
        </w:tabs>
        <w:snapToGrid w:val="0"/>
        <w:spacing w:line="500" w:lineRule="exact"/>
        <w:ind w:firstLine="480"/>
        <w:rPr>
          <w:rFonts w:hint="eastAsia" w:ascii="仿宋" w:hAnsi="仿宋" w:eastAsia="仿宋" w:cs="仿宋"/>
          <w:color w:val="auto"/>
          <w:highlight w:val="none"/>
          <w:shd w:val="clear" w:color="auto" w:fill="auto"/>
        </w:rPr>
      </w:pPr>
    </w:p>
    <w:p w14:paraId="4EAD26EF">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（附：法定代表人身份证正反面复印件）</w:t>
      </w:r>
    </w:p>
    <w:p w14:paraId="095C1E92">
      <w:pPr>
        <w:widowControl w:val="0"/>
        <w:spacing w:line="240" w:lineRule="auto"/>
        <w:ind w:firstLine="0" w:firstLineChars="0"/>
        <w:jc w:val="both"/>
        <w:rPr>
          <w:rFonts w:hint="eastAsia" w:ascii="仿宋" w:hAnsi="仿宋" w:eastAsia="仿宋" w:cs="仿宋"/>
          <w:b/>
          <w:bCs/>
          <w:color w:val="auto"/>
          <w:highlight w:val="none"/>
          <w:shd w:val="clear" w:color="auto" w:fill="auto"/>
        </w:rPr>
      </w:pPr>
      <w:r>
        <w:rPr>
          <w:rFonts w:hint="eastAsia" w:ascii="仿宋" w:hAnsi="仿宋" w:eastAsia="仿宋" w:cs="仿宋"/>
          <w:b/>
          <w:bCs/>
          <w:color w:val="auto"/>
          <w:highlight w:val="none"/>
          <w:shd w:val="clear" w:color="auto" w:fill="auto"/>
        </w:rPr>
        <w:br w:type="page"/>
      </w:r>
    </w:p>
    <w:p w14:paraId="566AEA2B">
      <w:pPr>
        <w:spacing w:line="312" w:lineRule="auto"/>
        <w:ind w:firstLine="0" w:firstLineChars="0"/>
        <w:rPr>
          <w:rFonts w:hint="eastAsia" w:ascii="仿宋" w:hAnsi="仿宋" w:eastAsia="仿宋" w:cs="仿宋"/>
          <w:b/>
          <w:color w:val="auto"/>
          <w:highlight w:val="none"/>
          <w:shd w:val="clear" w:color="auto" w:fill="auto"/>
        </w:rPr>
      </w:pPr>
      <w:r>
        <w:rPr>
          <w:rFonts w:hint="eastAsia" w:ascii="仿宋" w:hAnsi="仿宋" w:eastAsia="仿宋" w:cs="仿宋"/>
          <w:b/>
          <w:color w:val="auto"/>
          <w:highlight w:val="none"/>
          <w:shd w:val="clear" w:color="auto" w:fill="auto"/>
        </w:rPr>
        <w:t>四、法定代表人授权委托书</w:t>
      </w:r>
    </w:p>
    <w:p w14:paraId="29560BEA">
      <w:pPr>
        <w:widowControl w:val="0"/>
        <w:tabs>
          <w:tab w:val="left" w:pos="6300"/>
        </w:tabs>
        <w:snapToGrid w:val="0"/>
        <w:spacing w:line="312" w:lineRule="auto"/>
        <w:ind w:firstLine="0" w:firstLineChars="0"/>
        <w:jc w:val="center"/>
        <w:rPr>
          <w:rFonts w:hint="eastAsia" w:ascii="仿宋" w:hAnsi="仿宋" w:eastAsia="仿宋" w:cs="仿宋"/>
          <w:color w:val="auto"/>
          <w:highlight w:val="none"/>
          <w:shd w:val="clear" w:color="auto" w:fill="auto"/>
        </w:rPr>
      </w:pPr>
    </w:p>
    <w:p w14:paraId="57A8AF3A">
      <w:pPr>
        <w:pStyle w:val="7"/>
        <w:numPr>
          <w:ilvl w:val="0"/>
          <w:numId w:val="0"/>
        </w:numPr>
        <w:spacing w:before="32" w:after="32"/>
        <w:ind w:left="947" w:leftChars="0" w:firstLine="843" w:firstLineChars="300"/>
        <w:jc w:val="both"/>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法定代表人授权委托书</w:t>
      </w:r>
    </w:p>
    <w:p w14:paraId="3D271E9E">
      <w:pPr>
        <w:snapToGrid w:val="0"/>
        <w:ind w:firstLine="600"/>
        <w:rPr>
          <w:rFonts w:hint="eastAsia" w:ascii="仿宋" w:hAnsi="仿宋" w:eastAsia="仿宋" w:cs="仿宋"/>
          <w:color w:val="auto"/>
          <w:sz w:val="30"/>
          <w:szCs w:val="30"/>
          <w:highlight w:val="none"/>
          <w:shd w:val="clear" w:color="auto" w:fill="auto"/>
        </w:rPr>
      </w:pPr>
      <w:r>
        <w:rPr>
          <w:rFonts w:hint="eastAsia" w:ascii="仿宋" w:hAnsi="仿宋" w:eastAsia="仿宋" w:cs="仿宋"/>
          <w:color w:val="auto"/>
          <w:sz w:val="30"/>
          <w:szCs w:val="30"/>
          <w:highlight w:val="none"/>
          <w:shd w:val="clear" w:color="auto" w:fill="auto"/>
        </w:rPr>
        <w:t xml:space="preserve">    </w:t>
      </w:r>
    </w:p>
    <w:p w14:paraId="3D9EC3C0">
      <w:pPr>
        <w:ind w:firstLine="480"/>
        <w:rPr>
          <w:rFonts w:hint="eastAsia" w:ascii="仿宋" w:hAnsi="仿宋" w:eastAsia="仿宋" w:cs="仿宋"/>
          <w:color w:val="auto"/>
          <w:highlight w:val="none"/>
          <w:u w:val="single"/>
          <w:shd w:val="clear" w:color="auto" w:fill="auto"/>
        </w:rPr>
      </w:pPr>
      <w:r>
        <w:rPr>
          <w:rFonts w:hint="eastAsia" w:ascii="仿宋" w:hAnsi="仿宋" w:eastAsia="仿宋" w:cs="仿宋"/>
          <w:color w:val="auto"/>
          <w:highlight w:val="none"/>
          <w:shd w:val="clear" w:color="auto" w:fill="auto"/>
        </w:rPr>
        <w:t>项目名称：</w:t>
      </w:r>
      <w:r>
        <w:rPr>
          <w:rFonts w:hint="eastAsia" w:ascii="仿宋" w:hAnsi="仿宋" w:eastAsia="仿宋" w:cs="仿宋"/>
          <w:color w:val="auto"/>
          <w:highlight w:val="none"/>
          <w:u w:val="single"/>
          <w:shd w:val="clear" w:color="auto" w:fill="auto"/>
        </w:rPr>
        <w:t xml:space="preserve">                                         </w:t>
      </w:r>
    </w:p>
    <w:p w14:paraId="01664A03">
      <w:pPr>
        <w:ind w:firstLine="480"/>
        <w:rPr>
          <w:rFonts w:hint="eastAsia" w:ascii="仿宋" w:hAnsi="仿宋" w:eastAsia="仿宋" w:cs="仿宋"/>
          <w:color w:val="auto"/>
          <w:highlight w:val="none"/>
          <w:shd w:val="clear" w:color="auto" w:fill="auto"/>
        </w:rPr>
      </w:pPr>
    </w:p>
    <w:p w14:paraId="1DE15824">
      <w:pPr>
        <w:pStyle w:val="226"/>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致：</w:t>
      </w:r>
      <w:r>
        <w:rPr>
          <w:rFonts w:hint="eastAsia" w:ascii="仿宋" w:hAnsi="仿宋" w:eastAsia="仿宋" w:cs="仿宋"/>
          <w:color w:val="auto"/>
          <w:highlight w:val="none"/>
          <w:u w:val="single"/>
          <w:shd w:val="clear" w:color="auto" w:fill="auto"/>
        </w:rPr>
        <w:t>_________________</w:t>
      </w:r>
      <w:r>
        <w:rPr>
          <w:rFonts w:hint="eastAsia" w:ascii="仿宋" w:hAnsi="仿宋" w:eastAsia="仿宋" w:cs="仿宋"/>
          <w:color w:val="auto"/>
          <w:highlight w:val="none"/>
          <w:shd w:val="clear" w:color="auto" w:fill="auto"/>
        </w:rPr>
        <w:t>（采购人名称）：</w:t>
      </w:r>
    </w:p>
    <w:p w14:paraId="18EF59F2">
      <w:pPr>
        <w:pStyle w:val="226"/>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shd w:val="clear" w:color="auto" w:fill="auto"/>
          <w:lang w:eastAsia="zh-CN"/>
        </w:rPr>
        <w:t>供应商</w:t>
      </w:r>
      <w:r>
        <w:rPr>
          <w:rFonts w:hint="eastAsia" w:ascii="仿宋" w:hAnsi="仿宋" w:eastAsia="仿宋" w:cs="仿宋"/>
          <w:color w:val="auto"/>
          <w:highlight w:val="none"/>
          <w:shd w:val="clear" w:color="auto" w:fill="auto"/>
        </w:rPr>
        <w:t>法定代表人名称）是</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shd w:val="clear" w:color="auto" w:fill="auto"/>
          <w:lang w:eastAsia="zh-CN"/>
        </w:rPr>
        <w:t>供应商</w:t>
      </w:r>
      <w:r>
        <w:rPr>
          <w:rFonts w:hint="eastAsia" w:ascii="仿宋" w:hAnsi="仿宋" w:eastAsia="仿宋" w:cs="仿宋"/>
          <w:color w:val="auto"/>
          <w:highlight w:val="none"/>
          <w:shd w:val="clear" w:color="auto" w:fill="auto"/>
        </w:rPr>
        <w:t>名称）的法定代表人，特授权</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（被授权人姓名及身份证代码）电话</w:t>
      </w:r>
      <w:r>
        <w:rPr>
          <w:rFonts w:hint="eastAsia" w:ascii="仿宋" w:hAnsi="仿宋" w:eastAsia="仿宋" w:cs="仿宋"/>
          <w:color w:val="auto"/>
          <w:highlight w:val="none"/>
          <w:u w:val="single"/>
          <w:shd w:val="clear" w:color="auto" w:fill="auto"/>
        </w:rPr>
        <w:t xml:space="preserve">             </w:t>
      </w:r>
      <w:r>
        <w:rPr>
          <w:rFonts w:hint="eastAsia" w:ascii="仿宋" w:hAnsi="仿宋" w:eastAsia="仿宋" w:cs="仿宋"/>
          <w:color w:val="auto"/>
          <w:highlight w:val="none"/>
          <w:shd w:val="clear" w:color="auto" w:fill="auto"/>
        </w:rPr>
        <w:t>代表我单位全权办理上述项目的投标、</w:t>
      </w:r>
      <w:r>
        <w:rPr>
          <w:rFonts w:hint="eastAsia" w:ascii="仿宋" w:hAnsi="仿宋" w:eastAsia="仿宋" w:cs="仿宋"/>
          <w:color w:val="auto"/>
          <w:highlight w:val="none"/>
          <w:shd w:val="clear" w:color="auto" w:fill="auto"/>
          <w:lang w:eastAsia="zh-CN"/>
        </w:rPr>
        <w:t>开标</w:t>
      </w:r>
      <w:r>
        <w:rPr>
          <w:rFonts w:hint="eastAsia" w:ascii="仿宋" w:hAnsi="仿宋" w:eastAsia="仿宋" w:cs="仿宋"/>
          <w:color w:val="auto"/>
          <w:highlight w:val="none"/>
          <w:shd w:val="clear" w:color="auto" w:fill="auto"/>
        </w:rPr>
        <w:t>、签约等具体工作，并签署全部有关文件、协议及合同。</w:t>
      </w:r>
    </w:p>
    <w:p w14:paraId="40CFF4FD">
      <w:pPr>
        <w:pStyle w:val="226"/>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我单位对被授权人的签名负全部责任。</w:t>
      </w:r>
    </w:p>
    <w:p w14:paraId="0A47C5BF">
      <w:pPr>
        <w:pStyle w:val="226"/>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在撤销授权的书面通知以前，本授权书一直有效。被授权人在授权书有效期内签署的所有文件不因授权的撤销而失效。</w:t>
      </w:r>
    </w:p>
    <w:p w14:paraId="59C7B87C">
      <w:pPr>
        <w:pStyle w:val="226"/>
        <w:ind w:left="480" w:hanging="480"/>
        <w:rPr>
          <w:rFonts w:hint="eastAsia" w:ascii="仿宋" w:hAnsi="仿宋" w:eastAsia="仿宋" w:cs="仿宋"/>
          <w:color w:val="auto"/>
          <w:highlight w:val="none"/>
          <w:shd w:val="clear" w:color="auto" w:fill="auto"/>
        </w:rPr>
      </w:pPr>
    </w:p>
    <w:p w14:paraId="6CEF6F3E">
      <w:pPr>
        <w:pStyle w:val="226"/>
        <w:ind w:left="560" w:leftChars="20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被授权人：                                 </w:t>
      </w:r>
      <w:r>
        <w:rPr>
          <w:rFonts w:hint="eastAsia" w:ascii="仿宋" w:hAnsi="仿宋" w:eastAsia="仿宋" w:cs="仿宋"/>
          <w:color w:val="auto"/>
          <w:highlight w:val="none"/>
          <w:shd w:val="clear" w:color="auto" w:fill="auto"/>
          <w:lang w:eastAsia="zh-CN"/>
        </w:rPr>
        <w:t>供应商</w:t>
      </w:r>
      <w:r>
        <w:rPr>
          <w:rFonts w:hint="eastAsia" w:ascii="仿宋" w:hAnsi="仿宋" w:eastAsia="仿宋" w:cs="仿宋"/>
          <w:color w:val="auto"/>
          <w:highlight w:val="none"/>
          <w:shd w:val="clear" w:color="auto" w:fill="auto"/>
        </w:rPr>
        <w:t>法定代表人：</w:t>
      </w:r>
    </w:p>
    <w:p w14:paraId="1255A9B6">
      <w:pPr>
        <w:pStyle w:val="226"/>
        <w:ind w:left="480" w:hanging="480"/>
        <w:rPr>
          <w:rFonts w:hint="eastAsia" w:ascii="仿宋" w:hAnsi="仿宋" w:eastAsia="仿宋" w:cs="仿宋"/>
          <w:color w:val="auto"/>
          <w:szCs w:val="28"/>
          <w:highlight w:val="none"/>
          <w:shd w:val="clear" w:color="auto" w:fill="auto"/>
        </w:rPr>
      </w:pPr>
      <w:r>
        <w:rPr>
          <w:rFonts w:hint="eastAsia" w:ascii="仿宋" w:hAnsi="仿宋" w:eastAsia="仿宋" w:cs="仿宋"/>
          <w:color w:val="auto"/>
          <w:szCs w:val="28"/>
          <w:highlight w:val="none"/>
          <w:shd w:val="clear" w:color="auto" w:fill="auto"/>
        </w:rPr>
        <w:t xml:space="preserve">     （签字或盖章）                                （签字或盖章）</w:t>
      </w:r>
    </w:p>
    <w:p w14:paraId="56B45D64">
      <w:pPr>
        <w:ind w:firstLine="480"/>
        <w:rPr>
          <w:rFonts w:hint="eastAsia" w:ascii="仿宋" w:hAnsi="仿宋" w:eastAsia="仿宋" w:cs="仿宋"/>
          <w:color w:val="auto"/>
          <w:highlight w:val="none"/>
          <w:shd w:val="clear" w:color="auto" w:fill="auto"/>
        </w:rPr>
      </w:pPr>
    </w:p>
    <w:p w14:paraId="296A0785">
      <w:pPr>
        <w:ind w:firstLine="480"/>
        <w:rPr>
          <w:rFonts w:hint="eastAsia" w:ascii="仿宋" w:hAnsi="仿宋" w:eastAsia="仿宋" w:cs="仿宋"/>
          <w:color w:val="auto"/>
          <w:szCs w:val="28"/>
          <w:highlight w:val="none"/>
          <w:shd w:val="clear" w:color="auto" w:fill="auto"/>
        </w:rPr>
      </w:pPr>
      <w:r>
        <w:rPr>
          <w:rFonts w:hint="eastAsia" w:ascii="仿宋" w:hAnsi="仿宋" w:eastAsia="仿宋" w:cs="仿宋"/>
          <w:color w:val="auto"/>
          <w:szCs w:val="28"/>
          <w:highlight w:val="none"/>
          <w:shd w:val="clear" w:color="auto" w:fill="auto"/>
        </w:rPr>
        <w:t>（附：被授权人身份证正反面复印件）</w:t>
      </w:r>
    </w:p>
    <w:p w14:paraId="5BFE12B3">
      <w:pPr>
        <w:ind w:firstLine="480"/>
        <w:rPr>
          <w:rFonts w:hint="eastAsia" w:ascii="仿宋" w:hAnsi="仿宋" w:eastAsia="仿宋" w:cs="仿宋"/>
          <w:color w:val="auto"/>
          <w:highlight w:val="none"/>
          <w:shd w:val="clear" w:color="auto" w:fill="auto"/>
        </w:rPr>
      </w:pPr>
    </w:p>
    <w:p w14:paraId="0E02535B">
      <w:pPr>
        <w:ind w:firstLine="480"/>
        <w:rPr>
          <w:rFonts w:hint="eastAsia" w:ascii="仿宋" w:hAnsi="仿宋" w:eastAsia="仿宋" w:cs="仿宋"/>
          <w:color w:val="auto"/>
          <w:highlight w:val="none"/>
          <w:shd w:val="clear" w:color="auto" w:fill="auto"/>
        </w:rPr>
      </w:pPr>
    </w:p>
    <w:p w14:paraId="5300D44D">
      <w:pPr>
        <w:ind w:firstLine="480"/>
        <w:rPr>
          <w:rFonts w:hint="eastAsia" w:ascii="仿宋" w:hAnsi="仿宋" w:eastAsia="仿宋" w:cs="仿宋"/>
          <w:color w:val="auto"/>
          <w:highlight w:val="none"/>
          <w:shd w:val="clear" w:color="auto" w:fill="auto"/>
        </w:rPr>
      </w:pPr>
    </w:p>
    <w:p w14:paraId="40C3A909">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w:t>
      </w:r>
    </w:p>
    <w:p w14:paraId="3E8C4179">
      <w:pPr>
        <w:ind w:firstLine="480"/>
        <w:rPr>
          <w:rFonts w:hint="eastAsia" w:ascii="仿宋" w:hAnsi="仿宋" w:eastAsia="仿宋" w:cs="仿宋"/>
          <w:color w:val="auto"/>
          <w:highlight w:val="none"/>
          <w:shd w:val="clear" w:color="auto" w:fill="auto"/>
        </w:rPr>
      </w:pPr>
    </w:p>
    <w:p w14:paraId="21D7D3AB">
      <w:pPr>
        <w:ind w:firstLine="480"/>
        <w:rPr>
          <w:rFonts w:hint="eastAsia" w:ascii="仿宋" w:hAnsi="仿宋" w:eastAsia="仿宋" w:cs="仿宋"/>
          <w:color w:val="auto"/>
          <w:highlight w:val="none"/>
          <w:shd w:val="clear" w:color="auto" w:fill="auto"/>
        </w:rPr>
      </w:pPr>
    </w:p>
    <w:p w14:paraId="41A68AB6">
      <w:pPr>
        <w:ind w:firstLine="480"/>
        <w:rPr>
          <w:rFonts w:hint="eastAsia" w:ascii="仿宋" w:hAnsi="仿宋" w:eastAsia="仿宋" w:cs="仿宋"/>
          <w:color w:val="auto"/>
          <w:highlight w:val="none"/>
          <w:shd w:val="clear" w:color="auto" w:fill="auto"/>
        </w:rPr>
      </w:pPr>
    </w:p>
    <w:p w14:paraId="07AFB8E3">
      <w:pPr>
        <w:ind w:firstLine="7140" w:firstLineChars="255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shd w:val="clear" w:color="auto" w:fill="auto"/>
          <w:lang w:eastAsia="zh-CN"/>
        </w:rPr>
        <w:t>供应商公章</w:t>
      </w:r>
      <w:r>
        <w:rPr>
          <w:rFonts w:hint="eastAsia" w:ascii="仿宋" w:hAnsi="仿宋" w:eastAsia="仿宋" w:cs="仿宋"/>
          <w:color w:val="auto"/>
          <w:highlight w:val="none"/>
          <w:shd w:val="clear" w:color="auto" w:fill="auto"/>
        </w:rPr>
        <w:t>）</w:t>
      </w:r>
    </w:p>
    <w:p w14:paraId="57D3ABC6">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年   月   日</w:t>
      </w:r>
    </w:p>
    <w:p w14:paraId="3C484687">
      <w:pPr>
        <w:widowControl w:val="0"/>
        <w:tabs>
          <w:tab w:val="left" w:pos="6300"/>
        </w:tabs>
        <w:snapToGrid w:val="0"/>
        <w:spacing w:line="312" w:lineRule="auto"/>
        <w:ind w:right="480" w:firstLine="570" w:firstLineChars="0"/>
        <w:jc w:val="right"/>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w:t>
      </w:r>
    </w:p>
    <w:p w14:paraId="6FDE4B30">
      <w:pPr>
        <w:widowControl w:val="0"/>
        <w:tabs>
          <w:tab w:val="left" w:pos="6300"/>
        </w:tabs>
        <w:snapToGrid w:val="0"/>
        <w:spacing w:line="312" w:lineRule="auto"/>
        <w:ind w:right="480" w:firstLine="570" w:firstLineChars="0"/>
        <w:jc w:val="right"/>
        <w:rPr>
          <w:rFonts w:hint="eastAsia" w:ascii="仿宋" w:hAnsi="仿宋" w:eastAsia="仿宋" w:cs="仿宋"/>
          <w:color w:val="auto"/>
          <w:highlight w:val="none"/>
          <w:shd w:val="clear" w:color="auto" w:fill="auto"/>
        </w:rPr>
      </w:pPr>
    </w:p>
    <w:p w14:paraId="0577FB32">
      <w:pPr>
        <w:spacing w:line="312" w:lineRule="auto"/>
        <w:ind w:firstLine="0" w:firstLineChars="0"/>
        <w:rPr>
          <w:rFonts w:hint="eastAsia" w:ascii="仿宋" w:hAnsi="仿宋" w:eastAsia="仿宋" w:cs="仿宋"/>
          <w:b/>
          <w:color w:val="auto"/>
          <w:highlight w:val="none"/>
          <w:shd w:val="clear" w:color="auto" w:fill="auto"/>
        </w:rPr>
      </w:pPr>
      <w:bookmarkStart w:id="512" w:name="_Toc16943"/>
    </w:p>
    <w:p w14:paraId="5B499B93">
      <w:pPr>
        <w:widowControl w:val="0"/>
        <w:spacing w:line="280" w:lineRule="exact"/>
        <w:ind w:firstLine="0" w:firstLineChars="0"/>
        <w:jc w:val="both"/>
        <w:rPr>
          <w:rFonts w:hint="eastAsia" w:ascii="仿宋" w:hAnsi="仿宋" w:eastAsia="仿宋" w:cs="仿宋"/>
          <w:color w:val="auto"/>
          <w:sz w:val="21"/>
          <w:szCs w:val="21"/>
          <w:highlight w:val="none"/>
          <w:shd w:val="clear" w:color="auto" w:fill="auto"/>
          <w:lang w:val="en-US" w:eastAsia="zh-CN"/>
        </w:rPr>
      </w:pPr>
      <w:r>
        <w:rPr>
          <w:rFonts w:hint="eastAsia" w:ascii="仿宋" w:hAnsi="仿宋" w:eastAsia="仿宋" w:cs="仿宋"/>
          <w:b/>
          <w:color w:val="auto"/>
          <w:highlight w:val="none"/>
          <w:shd w:val="clear" w:color="auto" w:fill="auto"/>
        </w:rPr>
        <w:t>五、</w:t>
      </w:r>
      <w:bookmarkEnd w:id="512"/>
      <w:r>
        <w:rPr>
          <w:rFonts w:hint="eastAsia" w:ascii="仿宋" w:hAnsi="仿宋" w:eastAsia="仿宋" w:cs="仿宋"/>
          <w:b/>
          <w:color w:val="auto"/>
          <w:highlight w:val="none"/>
          <w:shd w:val="clear" w:color="auto" w:fill="auto"/>
          <w:lang w:val="en-US" w:eastAsia="zh-CN"/>
        </w:rPr>
        <w:t>基本资格条件承诺函</w:t>
      </w:r>
    </w:p>
    <w:p w14:paraId="17D63DDE">
      <w:pPr>
        <w:spacing w:line="312" w:lineRule="auto"/>
        <w:ind w:firstLine="0" w:firstLineChars="0"/>
        <w:rPr>
          <w:rFonts w:hint="eastAsia" w:ascii="仿宋" w:hAnsi="仿宋" w:eastAsia="仿宋" w:cs="仿宋"/>
          <w:b/>
          <w:color w:val="auto"/>
          <w:highlight w:val="none"/>
          <w:shd w:val="clear" w:color="auto" w:fill="auto"/>
        </w:rPr>
      </w:pPr>
    </w:p>
    <w:p w14:paraId="2D65B716">
      <w:pPr>
        <w:tabs>
          <w:tab w:val="left" w:pos="6300"/>
        </w:tabs>
        <w:snapToGrid w:val="0"/>
        <w:spacing w:line="500" w:lineRule="exact"/>
        <w:ind w:firstLine="480"/>
        <w:rPr>
          <w:rFonts w:hint="eastAsia" w:ascii="仿宋" w:hAnsi="仿宋" w:eastAsia="仿宋" w:cs="仿宋"/>
          <w:color w:val="auto"/>
          <w:highlight w:val="none"/>
          <w:shd w:val="clear" w:color="auto" w:fill="auto"/>
        </w:rPr>
      </w:pPr>
    </w:p>
    <w:p w14:paraId="6FB7D3BD">
      <w:pPr>
        <w:pStyle w:val="228"/>
        <w:ind w:firstLine="480"/>
        <w:rPr>
          <w:rFonts w:hint="eastAsia" w:ascii="仿宋" w:hAnsi="仿宋" w:eastAsia="仿宋" w:cs="仿宋"/>
          <w:color w:val="auto"/>
          <w:highlight w:val="none"/>
          <w:u w:val="single"/>
          <w:shd w:val="clear" w:color="auto" w:fill="auto"/>
        </w:rPr>
      </w:pPr>
      <w:r>
        <w:rPr>
          <w:rFonts w:hint="eastAsia" w:ascii="仿宋" w:hAnsi="仿宋" w:eastAsia="仿宋" w:cs="仿宋"/>
          <w:color w:val="auto"/>
          <w:szCs w:val="28"/>
          <w:highlight w:val="none"/>
          <w:shd w:val="clear" w:color="auto" w:fill="auto"/>
        </w:rPr>
        <w:t>项目名称</w:t>
      </w: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u w:val="single"/>
          <w:shd w:val="clear" w:color="auto" w:fill="auto"/>
        </w:rPr>
        <w:t xml:space="preserve">                                                </w:t>
      </w:r>
    </w:p>
    <w:p w14:paraId="27032EBA">
      <w:pPr>
        <w:pStyle w:val="228"/>
        <w:ind w:firstLine="480"/>
        <w:rPr>
          <w:rFonts w:hint="eastAsia" w:ascii="仿宋" w:hAnsi="仿宋" w:eastAsia="仿宋" w:cs="仿宋"/>
          <w:color w:val="auto"/>
          <w:highlight w:val="none"/>
          <w:shd w:val="clear" w:color="auto" w:fill="auto"/>
        </w:rPr>
      </w:pPr>
    </w:p>
    <w:p w14:paraId="68A614D2">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致</w:t>
      </w:r>
      <w:r>
        <w:rPr>
          <w:rFonts w:hint="eastAsia" w:ascii="仿宋" w:hAnsi="仿宋" w:eastAsia="仿宋" w:cs="仿宋"/>
          <w:color w:val="auto"/>
          <w:sz w:val="24"/>
          <w:highlight w:val="none"/>
          <w:u w:val="single"/>
          <w:shd w:val="clear" w:color="auto" w:fill="auto"/>
        </w:rPr>
        <w:t xml:space="preserve">                   </w:t>
      </w:r>
      <w:r>
        <w:rPr>
          <w:rFonts w:hint="eastAsia" w:ascii="仿宋" w:hAnsi="仿宋" w:eastAsia="仿宋" w:cs="仿宋"/>
          <w:color w:val="auto"/>
          <w:sz w:val="24"/>
          <w:highlight w:val="none"/>
          <w:shd w:val="clear" w:color="auto" w:fill="auto"/>
        </w:rPr>
        <w:t>（代理机构名称）：</w:t>
      </w:r>
    </w:p>
    <w:p w14:paraId="163BFEA3">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 xml:space="preserve"> </w:t>
      </w:r>
      <w:r>
        <w:rPr>
          <w:rFonts w:hint="eastAsia" w:ascii="仿宋" w:hAnsi="仿宋" w:eastAsia="仿宋" w:cs="仿宋"/>
          <w:color w:val="auto"/>
          <w:sz w:val="24"/>
          <w:highlight w:val="none"/>
          <w:u w:val="single"/>
          <w:shd w:val="clear" w:color="auto" w:fill="auto"/>
        </w:rPr>
        <w:t xml:space="preserve">                     </w:t>
      </w:r>
      <w:r>
        <w:rPr>
          <w:rFonts w:hint="eastAsia" w:ascii="仿宋" w:hAnsi="仿宋" w:eastAsia="仿宋" w:cs="仿宋"/>
          <w:color w:val="auto"/>
          <w:sz w:val="24"/>
          <w:highlight w:val="none"/>
          <w:shd w:val="clear" w:color="auto" w:fill="auto"/>
        </w:rPr>
        <w:t>（</w:t>
      </w:r>
      <w:r>
        <w:rPr>
          <w:rFonts w:hint="eastAsia" w:ascii="仿宋" w:hAnsi="仿宋" w:eastAsia="仿宋" w:cs="仿宋"/>
          <w:color w:val="auto"/>
          <w:sz w:val="24"/>
          <w:highlight w:val="none"/>
          <w:shd w:val="clear" w:color="auto" w:fill="auto"/>
          <w:lang w:eastAsia="zh-CN"/>
        </w:rPr>
        <w:t>供应商</w:t>
      </w:r>
      <w:r>
        <w:rPr>
          <w:rFonts w:hint="eastAsia" w:ascii="仿宋" w:hAnsi="仿宋" w:eastAsia="仿宋" w:cs="仿宋"/>
          <w:color w:val="auto"/>
          <w:sz w:val="24"/>
          <w:highlight w:val="none"/>
          <w:shd w:val="clear" w:color="auto" w:fill="auto"/>
        </w:rPr>
        <w:t>名称）郑重承诺：</w:t>
      </w:r>
    </w:p>
    <w:p w14:paraId="1851A8B8">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1.我方具有良好的商业信誉和健全的财务会计制度，具有履行合同所必需的设备和专业技术能力，具</w:t>
      </w:r>
      <w:r>
        <w:rPr>
          <w:rFonts w:hint="eastAsia" w:ascii="仿宋" w:hAnsi="仿宋" w:eastAsia="仿宋" w:cs="仿宋"/>
          <w:color w:val="auto"/>
          <w:sz w:val="24"/>
          <w:highlight w:val="none"/>
          <w:shd w:val="clear" w:color="auto" w:fill="auto"/>
          <w:lang w:val="zh-CN"/>
        </w:rPr>
        <w:t>有依法缴纳税收和社会保障金的良好记录</w:t>
      </w:r>
      <w:r>
        <w:rPr>
          <w:rFonts w:hint="eastAsia" w:ascii="仿宋" w:hAnsi="仿宋" w:eastAsia="仿宋" w:cs="仿宋"/>
          <w:color w:val="auto"/>
          <w:sz w:val="24"/>
          <w:highlight w:val="none"/>
          <w:shd w:val="clear" w:color="auto" w:fill="auto"/>
        </w:rPr>
        <w:t>，参加本项目采购活动前三年内无重大违法活动记录。</w:t>
      </w:r>
    </w:p>
    <w:p w14:paraId="115BBE2C">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2.我方未列入在信用中国网站（www.creditchina.gov.cn）“失信被执行人”、“重大税收违法案件当事人名单”中，也未列入中国政府采购网（www.ccgp.gov.cn）“政府采购严重违法失信行为记录名单”中。</w:t>
      </w:r>
    </w:p>
    <w:p w14:paraId="0DDC071D">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3.我方在采购项目评审（评标）环节结束后，随时接受采购人、采购代理机构的检查验证，配合提供相关证明材料，证明符合</w:t>
      </w:r>
      <w:r>
        <w:rPr>
          <w:rFonts w:hint="eastAsia" w:ascii="仿宋" w:hAnsi="仿宋" w:eastAsia="仿宋" w:cs="仿宋"/>
          <w:color w:val="auto"/>
          <w:sz w:val="24"/>
          <w:highlight w:val="none"/>
          <w:shd w:val="clear" w:color="auto" w:fill="auto"/>
          <w:lang w:eastAsia="zh-CN"/>
        </w:rPr>
        <w:t>比选采购文件</w:t>
      </w:r>
      <w:r>
        <w:rPr>
          <w:rFonts w:hint="eastAsia" w:ascii="仿宋" w:hAnsi="仿宋" w:eastAsia="仿宋" w:cs="仿宋"/>
          <w:color w:val="auto"/>
          <w:sz w:val="24"/>
          <w:highlight w:val="none"/>
          <w:shd w:val="clear" w:color="auto" w:fill="auto"/>
        </w:rPr>
        <w:t>规定的</w:t>
      </w:r>
      <w:r>
        <w:rPr>
          <w:rFonts w:hint="eastAsia" w:ascii="仿宋" w:hAnsi="仿宋" w:eastAsia="仿宋" w:cs="仿宋"/>
          <w:color w:val="auto"/>
          <w:sz w:val="24"/>
          <w:highlight w:val="none"/>
          <w:shd w:val="clear" w:color="auto" w:fill="auto"/>
          <w:lang w:eastAsia="zh-CN"/>
        </w:rPr>
        <w:t>供应商</w:t>
      </w:r>
      <w:r>
        <w:rPr>
          <w:rFonts w:hint="eastAsia" w:ascii="仿宋" w:hAnsi="仿宋" w:eastAsia="仿宋" w:cs="仿宋"/>
          <w:color w:val="auto"/>
          <w:sz w:val="24"/>
          <w:highlight w:val="none"/>
          <w:shd w:val="clear" w:color="auto" w:fill="auto"/>
        </w:rPr>
        <w:t>基本资格条件。</w:t>
      </w:r>
    </w:p>
    <w:p w14:paraId="1AD469C5">
      <w:pPr>
        <w:tabs>
          <w:tab w:val="left" w:pos="6300"/>
        </w:tabs>
        <w:snapToGrid w:val="0"/>
        <w:spacing w:line="500" w:lineRule="exact"/>
        <w:ind w:firstLine="480" w:firstLineChars="200"/>
        <w:rPr>
          <w:rFonts w:hint="eastAsia" w:ascii="仿宋" w:hAnsi="仿宋" w:eastAsia="仿宋" w:cs="仿宋"/>
          <w:color w:val="auto"/>
          <w:sz w:val="24"/>
          <w:highlight w:val="none"/>
          <w:shd w:val="clear" w:color="auto" w:fill="auto"/>
        </w:rPr>
      </w:pPr>
      <w:r>
        <w:rPr>
          <w:rFonts w:hint="eastAsia" w:ascii="仿宋" w:hAnsi="仿宋" w:eastAsia="仿宋" w:cs="仿宋"/>
          <w:color w:val="auto"/>
          <w:sz w:val="24"/>
          <w:highlight w:val="none"/>
          <w:shd w:val="clear" w:color="auto" w:fill="auto"/>
        </w:rPr>
        <w:t>我方对以上承诺负全部法律责任。</w:t>
      </w:r>
    </w:p>
    <w:p w14:paraId="1C058550">
      <w:pPr>
        <w:tabs>
          <w:tab w:val="left" w:pos="6300"/>
        </w:tabs>
        <w:snapToGrid w:val="0"/>
        <w:spacing w:line="500" w:lineRule="exact"/>
        <w:ind w:firstLine="480" w:firstLineChars="200"/>
        <w:rPr>
          <w:rFonts w:hint="eastAsia" w:ascii="仿宋" w:hAnsi="仿宋" w:eastAsia="仿宋" w:cs="仿宋"/>
          <w:color w:val="auto"/>
          <w:highlight w:val="none"/>
          <w:shd w:val="clear" w:color="auto" w:fill="auto"/>
        </w:rPr>
      </w:pPr>
      <w:r>
        <w:rPr>
          <w:rFonts w:hint="eastAsia" w:ascii="仿宋" w:hAnsi="仿宋" w:eastAsia="仿宋" w:cs="仿宋"/>
          <w:color w:val="auto"/>
          <w:sz w:val="24"/>
          <w:highlight w:val="none"/>
          <w:shd w:val="clear" w:color="auto" w:fill="auto"/>
        </w:rPr>
        <w:t>特此承诺</w:t>
      </w:r>
      <w:r>
        <w:rPr>
          <w:rFonts w:hint="eastAsia" w:ascii="仿宋" w:hAnsi="仿宋" w:eastAsia="仿宋" w:cs="仿宋"/>
          <w:color w:val="auto"/>
          <w:highlight w:val="none"/>
          <w:shd w:val="clear" w:color="auto" w:fill="auto"/>
        </w:rPr>
        <w:t>。</w:t>
      </w:r>
    </w:p>
    <w:p w14:paraId="009C19A9">
      <w:pPr>
        <w:ind w:firstLine="480"/>
        <w:rPr>
          <w:rFonts w:hint="eastAsia" w:ascii="仿宋" w:hAnsi="仿宋" w:eastAsia="仿宋" w:cs="仿宋"/>
          <w:color w:val="auto"/>
          <w:highlight w:val="none"/>
          <w:shd w:val="clear" w:color="auto" w:fill="auto"/>
        </w:rPr>
      </w:pPr>
    </w:p>
    <w:p w14:paraId="78AA7CD5">
      <w:pPr>
        <w:ind w:firstLine="480"/>
        <w:rPr>
          <w:rFonts w:hint="eastAsia" w:ascii="仿宋" w:hAnsi="仿宋" w:eastAsia="仿宋" w:cs="仿宋"/>
          <w:color w:val="auto"/>
          <w:highlight w:val="none"/>
          <w:shd w:val="clear" w:color="auto" w:fill="auto"/>
        </w:rPr>
      </w:pPr>
    </w:p>
    <w:p w14:paraId="0201763D">
      <w:pPr>
        <w:ind w:firstLine="480"/>
        <w:rPr>
          <w:rFonts w:hint="eastAsia" w:ascii="仿宋" w:hAnsi="仿宋" w:eastAsia="仿宋" w:cs="仿宋"/>
          <w:color w:val="auto"/>
          <w:highlight w:val="none"/>
          <w:shd w:val="clear" w:color="auto" w:fill="auto"/>
        </w:rPr>
      </w:pPr>
    </w:p>
    <w:p w14:paraId="19316EA6">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w:t>
      </w:r>
      <w:r>
        <w:rPr>
          <w:rFonts w:hint="eastAsia" w:ascii="仿宋" w:hAnsi="仿宋" w:eastAsia="仿宋" w:cs="仿宋"/>
          <w:color w:val="auto"/>
          <w:highlight w:val="none"/>
          <w:shd w:val="clear" w:color="auto" w:fill="auto"/>
          <w:lang w:eastAsia="zh-CN"/>
        </w:rPr>
        <w:t>供应商公章</w:t>
      </w:r>
      <w:r>
        <w:rPr>
          <w:rFonts w:hint="eastAsia" w:ascii="仿宋" w:hAnsi="仿宋" w:eastAsia="仿宋" w:cs="仿宋"/>
          <w:color w:val="auto"/>
          <w:highlight w:val="none"/>
          <w:shd w:val="clear" w:color="auto" w:fill="auto"/>
        </w:rPr>
        <w:t>）</w:t>
      </w:r>
    </w:p>
    <w:p w14:paraId="293150E5">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年   月   日</w:t>
      </w:r>
    </w:p>
    <w:p w14:paraId="1D9D6CB7">
      <w:pPr>
        <w:widowControl w:val="0"/>
        <w:tabs>
          <w:tab w:val="left" w:pos="6300"/>
        </w:tabs>
        <w:snapToGrid w:val="0"/>
        <w:spacing w:line="312" w:lineRule="auto"/>
        <w:ind w:firstLine="0" w:firstLineChars="0"/>
        <w:jc w:val="both"/>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br w:type="page"/>
      </w:r>
      <w:bookmarkStart w:id="513" w:name="_Toc9726"/>
    </w:p>
    <w:p w14:paraId="25529C02">
      <w:pPr>
        <w:widowControl w:val="0"/>
        <w:tabs>
          <w:tab w:val="left" w:pos="6300"/>
        </w:tabs>
        <w:snapToGrid w:val="0"/>
        <w:spacing w:line="312" w:lineRule="auto"/>
        <w:ind w:firstLine="0" w:firstLineChars="0"/>
        <w:jc w:val="both"/>
        <w:rPr>
          <w:rFonts w:hint="eastAsia" w:ascii="仿宋" w:hAnsi="仿宋" w:eastAsia="仿宋" w:cs="仿宋"/>
          <w:b/>
          <w:color w:val="auto"/>
          <w:highlight w:val="none"/>
          <w:shd w:val="clear" w:color="auto" w:fill="auto"/>
        </w:rPr>
      </w:pPr>
      <w:r>
        <w:rPr>
          <w:rFonts w:hint="eastAsia" w:ascii="仿宋" w:hAnsi="仿宋" w:eastAsia="仿宋" w:cs="仿宋"/>
          <w:b/>
          <w:color w:val="auto"/>
          <w:highlight w:val="none"/>
          <w:shd w:val="clear" w:color="auto" w:fill="auto"/>
        </w:rPr>
        <w:t>六、技术条款差异表</w:t>
      </w:r>
      <w:bookmarkEnd w:id="513"/>
    </w:p>
    <w:p w14:paraId="7CB6ED42">
      <w:pPr>
        <w:pStyle w:val="7"/>
        <w:numPr>
          <w:ilvl w:val="0"/>
          <w:numId w:val="0"/>
        </w:numPr>
        <w:spacing w:before="32" w:after="32"/>
        <w:ind w:left="947" w:leftChars="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技术条款差异表</w:t>
      </w:r>
    </w:p>
    <w:p w14:paraId="7E60A2B2">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项目名称：</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2289"/>
        <w:gridCol w:w="2840"/>
        <w:gridCol w:w="1646"/>
      </w:tblGrid>
      <w:tr w14:paraId="778C2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0" w:type="dxa"/>
            <w:noWrap w:val="0"/>
            <w:vAlign w:val="center"/>
          </w:tcPr>
          <w:p w14:paraId="58DF7E4A">
            <w:pPr>
              <w:widowControl w:val="0"/>
              <w:tabs>
                <w:tab w:val="left" w:pos="6300"/>
              </w:tabs>
              <w:spacing w:line="280" w:lineRule="exact"/>
              <w:ind w:firstLine="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序号</w:t>
            </w:r>
          </w:p>
        </w:tc>
        <w:tc>
          <w:tcPr>
            <w:tcW w:w="2289" w:type="dxa"/>
            <w:noWrap w:val="0"/>
            <w:vAlign w:val="center"/>
          </w:tcPr>
          <w:p w14:paraId="07EA7C1C">
            <w:pPr>
              <w:widowControl w:val="0"/>
              <w:tabs>
                <w:tab w:val="left" w:pos="6300"/>
              </w:tabs>
              <w:spacing w:line="280" w:lineRule="exact"/>
              <w:ind w:firstLine="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采购技术要求</w:t>
            </w:r>
          </w:p>
        </w:tc>
        <w:tc>
          <w:tcPr>
            <w:tcW w:w="2840" w:type="dxa"/>
            <w:noWrap w:val="0"/>
            <w:vAlign w:val="center"/>
          </w:tcPr>
          <w:p w14:paraId="6F1E79C2">
            <w:pPr>
              <w:widowControl w:val="0"/>
              <w:tabs>
                <w:tab w:val="left" w:pos="6300"/>
              </w:tabs>
              <w:spacing w:line="280" w:lineRule="exact"/>
              <w:ind w:firstLine="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响应技术应答</w:t>
            </w:r>
          </w:p>
        </w:tc>
        <w:tc>
          <w:tcPr>
            <w:tcW w:w="1646" w:type="dxa"/>
            <w:noWrap w:val="0"/>
            <w:vAlign w:val="center"/>
          </w:tcPr>
          <w:p w14:paraId="09F7DD57">
            <w:pPr>
              <w:widowControl w:val="0"/>
              <w:tabs>
                <w:tab w:val="left" w:pos="6300"/>
              </w:tabs>
              <w:spacing w:line="280" w:lineRule="exact"/>
              <w:ind w:firstLine="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差异说明</w:t>
            </w:r>
          </w:p>
        </w:tc>
      </w:tr>
      <w:tr w14:paraId="449F7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5E68EF9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7BA909B3">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732C0AF7">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468A5CD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716D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5DE95560">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0238312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7E94E90E">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33784B19">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53E4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10B56F84">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7C163985">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60564E6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229DF5E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048F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793C241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491EB926">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75A93B8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4296D5A9">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4D56A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0A5B7E63">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759E118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25072F33">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5A408A24">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588C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394BF596">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76A8F9B0">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5F3F4760">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49224E5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06FC9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7519901D">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4CB47C1D">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2E3ED7B4">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06E6EA1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6849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3F13147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790B2AE6">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5E076AA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6559272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6000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365060D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3A4F34BA">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71F2381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4B8E7A77">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5D2B1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2DC182A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1B05E06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24F7609F">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5BEBE874">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2B38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90" w:type="dxa"/>
            <w:noWrap w:val="0"/>
            <w:vAlign w:val="center"/>
          </w:tcPr>
          <w:p w14:paraId="6C5F51A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289" w:type="dxa"/>
            <w:noWrap w:val="0"/>
            <w:vAlign w:val="center"/>
          </w:tcPr>
          <w:p w14:paraId="111EF465">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840" w:type="dxa"/>
            <w:noWrap w:val="0"/>
            <w:vAlign w:val="center"/>
          </w:tcPr>
          <w:p w14:paraId="65D446A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46" w:type="dxa"/>
            <w:noWrap w:val="0"/>
            <w:vAlign w:val="center"/>
          </w:tcPr>
          <w:p w14:paraId="7A3FD39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bl>
    <w:p w14:paraId="4CFA1FD1">
      <w:pPr>
        <w:pStyle w:val="226"/>
        <w:ind w:firstLine="600" w:firstLineChars="25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lang w:eastAsia="zh-CN"/>
        </w:rPr>
        <w:t>供应商</w:t>
      </w:r>
      <w:r>
        <w:rPr>
          <w:rFonts w:hint="eastAsia" w:ascii="仿宋" w:hAnsi="仿宋" w:eastAsia="仿宋" w:cs="仿宋"/>
          <w:color w:val="auto"/>
          <w:highlight w:val="none"/>
          <w:shd w:val="clear" w:color="auto" w:fill="auto"/>
        </w:rPr>
        <w:t xml:space="preserve">：                                      法定代表人或授权代表： </w:t>
      </w:r>
    </w:p>
    <w:p w14:paraId="6D5455BA">
      <w:pPr>
        <w:pStyle w:val="226"/>
        <w:ind w:firstLine="240" w:firstLineChars="10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shd w:val="clear" w:color="auto" w:fill="auto"/>
          <w:lang w:eastAsia="zh-CN"/>
        </w:rPr>
        <w:t>供应商公章</w:t>
      </w:r>
      <w:r>
        <w:rPr>
          <w:rFonts w:hint="eastAsia" w:ascii="仿宋" w:hAnsi="仿宋" w:eastAsia="仿宋" w:cs="仿宋"/>
          <w:color w:val="auto"/>
          <w:highlight w:val="none"/>
          <w:shd w:val="clear" w:color="auto" w:fill="auto"/>
        </w:rPr>
        <w:t>）                                      （签字或盖章）</w:t>
      </w:r>
    </w:p>
    <w:p w14:paraId="1CCD6694">
      <w:pPr>
        <w:pStyle w:val="226"/>
        <w:ind w:left="480" w:hanging="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年     月     日</w:t>
      </w:r>
    </w:p>
    <w:p w14:paraId="4AA581B9">
      <w:pPr>
        <w:pStyle w:val="226"/>
        <w:ind w:left="560" w:leftChars="20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注：</w:t>
      </w:r>
    </w:p>
    <w:p w14:paraId="7034077A">
      <w:pPr>
        <w:ind w:firstLine="48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1、本表即为对本项目“二、项目技术要求”所列技术要求进行比较和响应；</w:t>
      </w:r>
    </w:p>
    <w:p w14:paraId="40E0FADB">
      <w:pPr>
        <w:ind w:firstLine="48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2、该表必须按照采购文件要求如实填写，根据响应情况在“差异说明”项填写正偏离或负偏离及详细偏离情况，完全符合的填写“无差异”；</w:t>
      </w:r>
    </w:p>
    <w:p w14:paraId="4D420EAB">
      <w:pPr>
        <w:ind w:firstLine="48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3、该表可扩展，并逐页签字或盖章</w:t>
      </w:r>
    </w:p>
    <w:p w14:paraId="04413071">
      <w:pPr>
        <w:ind w:firstLine="48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4、可附相关技术支撑材料。（格式自定）</w:t>
      </w:r>
    </w:p>
    <w:p w14:paraId="18138A54">
      <w:pPr>
        <w:ind w:firstLine="480"/>
        <w:rPr>
          <w:rFonts w:hint="eastAsia" w:ascii="仿宋" w:hAnsi="仿宋" w:eastAsia="仿宋" w:cs="仿宋"/>
          <w:b w:val="0"/>
          <w:color w:val="auto"/>
          <w:kern w:val="2"/>
          <w:sz w:val="24"/>
          <w:szCs w:val="24"/>
          <w:highlight w:val="none"/>
          <w:shd w:val="clear" w:color="auto" w:fill="auto"/>
          <w:lang w:val="en-US" w:eastAsia="zh-CN" w:bidi="ar-SA"/>
        </w:rPr>
      </w:pPr>
      <w:r>
        <w:rPr>
          <w:rFonts w:hint="eastAsia" w:ascii="仿宋" w:hAnsi="仿宋" w:eastAsia="仿宋" w:cs="仿宋"/>
          <w:b w:val="0"/>
          <w:color w:val="auto"/>
          <w:kern w:val="2"/>
          <w:sz w:val="24"/>
          <w:szCs w:val="24"/>
          <w:highlight w:val="none"/>
          <w:shd w:val="clear" w:color="auto" w:fill="auto"/>
          <w:lang w:val="en-US" w:eastAsia="zh-CN" w:bidi="ar-SA"/>
        </w:rPr>
        <w:t>5、若“响应情况”栏中仅填写“无偏离”或“有偏离”等内容而未作实质性参数描述，该供应商将失去成为成交供应商的资格，仅保留其合格供应商的身份。</w:t>
      </w:r>
    </w:p>
    <w:p w14:paraId="23CFA870">
      <w:pPr>
        <w:pStyle w:val="6"/>
        <w:spacing w:before="65" w:after="65"/>
        <w:ind w:firstLine="182"/>
        <w:rPr>
          <w:rFonts w:hint="eastAsia" w:ascii="仿宋" w:hAnsi="仿宋" w:eastAsia="仿宋" w:cs="仿宋"/>
          <w:b w:val="0"/>
          <w:color w:val="auto"/>
          <w:kern w:val="2"/>
          <w:sz w:val="24"/>
          <w:szCs w:val="24"/>
          <w:highlight w:val="none"/>
          <w:shd w:val="clear" w:color="auto" w:fill="auto"/>
          <w:lang w:val="en-US" w:eastAsia="zh-CN" w:bidi="ar-SA"/>
        </w:rPr>
      </w:pPr>
    </w:p>
    <w:p w14:paraId="18F3B8FB">
      <w:pPr>
        <w:pStyle w:val="6"/>
        <w:spacing w:before="65" w:after="65"/>
        <w:ind w:firstLine="182"/>
        <w:jc w:val="left"/>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highlight w:val="none"/>
          <w:shd w:val="clear" w:color="auto" w:fill="auto"/>
        </w:rPr>
        <w:br w:type="page"/>
      </w:r>
      <w:bookmarkStart w:id="514" w:name="_Toc4879"/>
      <w:r>
        <w:rPr>
          <w:rFonts w:hint="eastAsia" w:ascii="仿宋" w:hAnsi="仿宋" w:eastAsia="仿宋" w:cs="仿宋"/>
          <w:color w:val="auto"/>
          <w:sz w:val="24"/>
          <w:szCs w:val="24"/>
          <w:highlight w:val="none"/>
          <w:shd w:val="clear" w:color="auto" w:fill="auto"/>
        </w:rPr>
        <w:t>七、商务条款差异表</w:t>
      </w:r>
      <w:bookmarkEnd w:id="514"/>
    </w:p>
    <w:p w14:paraId="53F3D593">
      <w:pPr>
        <w:pStyle w:val="7"/>
        <w:numPr>
          <w:ilvl w:val="0"/>
          <w:numId w:val="0"/>
        </w:numPr>
        <w:spacing w:before="32" w:after="32"/>
        <w:ind w:left="947" w:leftChars="0"/>
        <w:jc w:val="center"/>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商务条款差异表</w:t>
      </w:r>
    </w:p>
    <w:p w14:paraId="6CACAE2A">
      <w:pPr>
        <w:ind w:firstLine="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项目名称：</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2338"/>
        <w:gridCol w:w="2902"/>
        <w:gridCol w:w="1680"/>
      </w:tblGrid>
      <w:tr w14:paraId="22E3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07" w:type="dxa"/>
            <w:noWrap w:val="0"/>
            <w:vAlign w:val="center"/>
          </w:tcPr>
          <w:p w14:paraId="19AF96E6">
            <w:pPr>
              <w:widowControl w:val="0"/>
              <w:tabs>
                <w:tab w:val="left" w:pos="6300"/>
              </w:tabs>
              <w:spacing w:line="280" w:lineRule="exact"/>
              <w:ind w:firstLine="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序号</w:t>
            </w:r>
          </w:p>
        </w:tc>
        <w:tc>
          <w:tcPr>
            <w:tcW w:w="2338" w:type="dxa"/>
            <w:noWrap w:val="0"/>
            <w:vAlign w:val="center"/>
          </w:tcPr>
          <w:p w14:paraId="3A2698C1">
            <w:pPr>
              <w:widowControl w:val="0"/>
              <w:tabs>
                <w:tab w:val="left" w:pos="6300"/>
              </w:tabs>
              <w:spacing w:line="280" w:lineRule="exact"/>
              <w:ind w:firstLine="42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采购商务要求</w:t>
            </w:r>
          </w:p>
        </w:tc>
        <w:tc>
          <w:tcPr>
            <w:tcW w:w="2902" w:type="dxa"/>
            <w:noWrap w:val="0"/>
            <w:vAlign w:val="center"/>
          </w:tcPr>
          <w:p w14:paraId="708ECBD7">
            <w:pPr>
              <w:widowControl w:val="0"/>
              <w:tabs>
                <w:tab w:val="left" w:pos="6300"/>
              </w:tabs>
              <w:spacing w:line="280" w:lineRule="exact"/>
              <w:ind w:firstLine="42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响应商务应答</w:t>
            </w:r>
          </w:p>
        </w:tc>
        <w:tc>
          <w:tcPr>
            <w:tcW w:w="1680" w:type="dxa"/>
            <w:noWrap w:val="0"/>
            <w:vAlign w:val="center"/>
          </w:tcPr>
          <w:p w14:paraId="4CB7670A">
            <w:pPr>
              <w:widowControl w:val="0"/>
              <w:tabs>
                <w:tab w:val="left" w:pos="6300"/>
              </w:tabs>
              <w:spacing w:line="280" w:lineRule="exact"/>
              <w:ind w:firstLine="210" w:firstLineChars="0"/>
              <w:jc w:val="center"/>
              <w:rPr>
                <w:rFonts w:hint="eastAsia" w:ascii="仿宋" w:hAnsi="仿宋" w:eastAsia="仿宋" w:cs="仿宋"/>
                <w:color w:val="auto"/>
                <w:sz w:val="22"/>
                <w:szCs w:val="22"/>
                <w:highlight w:val="none"/>
                <w:shd w:val="clear" w:color="auto" w:fill="auto"/>
              </w:rPr>
            </w:pPr>
            <w:r>
              <w:rPr>
                <w:rFonts w:hint="eastAsia" w:ascii="仿宋" w:hAnsi="仿宋" w:eastAsia="仿宋" w:cs="仿宋"/>
                <w:color w:val="auto"/>
                <w:sz w:val="22"/>
                <w:szCs w:val="22"/>
                <w:highlight w:val="none"/>
                <w:shd w:val="clear" w:color="auto" w:fill="auto"/>
              </w:rPr>
              <w:t>差异说明</w:t>
            </w:r>
          </w:p>
        </w:tc>
      </w:tr>
      <w:tr w14:paraId="4BB8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76ED2643">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1D4091E2">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3425CB6B">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5C17CC6C">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2398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4DAFDF7F">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5E758655">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18612EDD">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0B35D2CB">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01455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1AB56BF1">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23DDA157">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2E7C04E7">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546DACC3">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3EE4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63A5B562">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53FC0068">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79E7E9F7">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25A53E55">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366A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7309F69B">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7759869D">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1424A044">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3483560E">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35B4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3FD51039">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2311EA95">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6C6C2839">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4824E67C">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51E31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1788128A">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60E57C16">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1235BAFA">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2713959F">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r>
      <w:tr w14:paraId="087B9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7D556A8E">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0AD3BC78">
            <w:pPr>
              <w:widowControl w:val="0"/>
              <w:tabs>
                <w:tab w:val="left" w:pos="6300"/>
              </w:tabs>
              <w:spacing w:line="280" w:lineRule="exact"/>
              <w:ind w:firstLine="42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19BB97F1">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72EB1053">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06DB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4FA9A72A">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41128E98">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57B74676">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3BB37097">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698D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4963CE6D">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5686B3CD">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23D14350">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47C5A4E0">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r w14:paraId="0767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07" w:type="dxa"/>
            <w:noWrap w:val="0"/>
            <w:vAlign w:val="center"/>
          </w:tcPr>
          <w:p w14:paraId="2A85CE62">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338" w:type="dxa"/>
            <w:noWrap w:val="0"/>
            <w:vAlign w:val="center"/>
          </w:tcPr>
          <w:p w14:paraId="08D33BB9">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2902" w:type="dxa"/>
            <w:noWrap w:val="0"/>
            <w:vAlign w:val="center"/>
          </w:tcPr>
          <w:p w14:paraId="46080DF3">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c>
          <w:tcPr>
            <w:tcW w:w="1680" w:type="dxa"/>
            <w:noWrap w:val="0"/>
            <w:vAlign w:val="center"/>
          </w:tcPr>
          <w:p w14:paraId="1ED8437B">
            <w:pPr>
              <w:widowControl w:val="0"/>
              <w:tabs>
                <w:tab w:val="left" w:pos="6300"/>
              </w:tabs>
              <w:spacing w:line="280" w:lineRule="exact"/>
              <w:ind w:firstLine="0" w:firstLineChars="0"/>
              <w:jc w:val="center"/>
              <w:rPr>
                <w:rFonts w:hint="eastAsia" w:ascii="仿宋" w:hAnsi="仿宋" w:eastAsia="仿宋" w:cs="仿宋"/>
                <w:color w:val="auto"/>
                <w:sz w:val="21"/>
                <w:szCs w:val="21"/>
                <w:highlight w:val="none"/>
                <w:shd w:val="clear" w:color="auto" w:fill="auto"/>
              </w:rPr>
            </w:pPr>
          </w:p>
        </w:tc>
      </w:tr>
    </w:tbl>
    <w:p w14:paraId="572677E6">
      <w:pPr>
        <w:pStyle w:val="226"/>
        <w:ind w:firstLine="480" w:firstLineChars="20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lang w:eastAsia="zh-CN"/>
        </w:rPr>
        <w:t>供应商</w:t>
      </w:r>
      <w:r>
        <w:rPr>
          <w:rFonts w:hint="eastAsia" w:ascii="仿宋" w:hAnsi="仿宋" w:eastAsia="仿宋" w:cs="仿宋"/>
          <w:color w:val="auto"/>
          <w:highlight w:val="none"/>
          <w:shd w:val="clear" w:color="auto" w:fill="auto"/>
        </w:rPr>
        <w:t xml:space="preserve">：                                  法定代表人或授权代表： </w:t>
      </w:r>
    </w:p>
    <w:p w14:paraId="31D1F953">
      <w:pPr>
        <w:pStyle w:val="226"/>
        <w:ind w:firstLine="240" w:firstLineChars="10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w:t>
      </w:r>
      <w:r>
        <w:rPr>
          <w:rFonts w:hint="eastAsia" w:ascii="仿宋" w:hAnsi="仿宋" w:eastAsia="仿宋" w:cs="仿宋"/>
          <w:color w:val="auto"/>
          <w:highlight w:val="none"/>
          <w:shd w:val="clear" w:color="auto" w:fill="auto"/>
          <w:lang w:eastAsia="zh-CN"/>
        </w:rPr>
        <w:t>供应商公章</w:t>
      </w:r>
      <w:r>
        <w:rPr>
          <w:rFonts w:hint="eastAsia" w:ascii="仿宋" w:hAnsi="仿宋" w:eastAsia="仿宋" w:cs="仿宋"/>
          <w:color w:val="auto"/>
          <w:highlight w:val="none"/>
          <w:shd w:val="clear" w:color="auto" w:fill="auto"/>
        </w:rPr>
        <w:t>）                                  （签字或盖章）</w:t>
      </w:r>
    </w:p>
    <w:p w14:paraId="5E15454E">
      <w:pPr>
        <w:pStyle w:val="226"/>
        <w:ind w:left="480" w:hanging="480"/>
        <w:rPr>
          <w:rFonts w:hint="eastAsia" w:ascii="仿宋" w:hAnsi="仿宋" w:eastAsia="仿宋" w:cs="仿宋"/>
          <w:color w:val="auto"/>
          <w:highlight w:val="none"/>
          <w:shd w:val="clear" w:color="auto" w:fill="auto"/>
        </w:rPr>
      </w:pPr>
      <w:r>
        <w:rPr>
          <w:rFonts w:hint="eastAsia" w:ascii="仿宋" w:hAnsi="仿宋" w:eastAsia="仿宋" w:cs="仿宋"/>
          <w:color w:val="auto"/>
          <w:highlight w:val="none"/>
          <w:shd w:val="clear" w:color="auto" w:fill="auto"/>
        </w:rPr>
        <w:t xml:space="preserve">                                                年     月     日</w:t>
      </w:r>
    </w:p>
    <w:p w14:paraId="79D37360">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注：</w:t>
      </w:r>
    </w:p>
    <w:p w14:paraId="0A89DB06">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1、本表即为对本项目“</w:t>
      </w:r>
      <w:r>
        <w:rPr>
          <w:rFonts w:hint="eastAsia" w:ascii="仿宋" w:hAnsi="仿宋" w:eastAsia="仿宋" w:cs="仿宋"/>
          <w:color w:val="auto"/>
          <w:highlight w:val="none"/>
          <w:shd w:val="clear" w:color="auto" w:fill="auto"/>
          <w:lang w:val="en-US" w:eastAsia="zh-CN"/>
        </w:rPr>
        <w:t>三</w:t>
      </w:r>
      <w:r>
        <w:rPr>
          <w:rFonts w:hint="eastAsia" w:ascii="仿宋" w:hAnsi="仿宋" w:eastAsia="仿宋" w:cs="仿宋"/>
          <w:color w:val="auto"/>
          <w:highlight w:val="none"/>
          <w:shd w:val="clear" w:color="auto" w:fill="auto"/>
          <w:lang w:eastAsia="zh-CN"/>
        </w:rPr>
        <w:t>、项目商务要求”所列商务要求进行比较和响应；</w:t>
      </w:r>
    </w:p>
    <w:p w14:paraId="575A781F">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2、该表必须按照</w:t>
      </w:r>
      <w:r>
        <w:rPr>
          <w:rFonts w:hint="eastAsia" w:ascii="仿宋" w:hAnsi="仿宋" w:eastAsia="仿宋" w:cs="仿宋"/>
          <w:color w:val="auto"/>
          <w:highlight w:val="none"/>
          <w:shd w:val="clear" w:color="auto" w:fill="auto"/>
          <w:lang w:val="en-US" w:eastAsia="zh-CN"/>
        </w:rPr>
        <w:t>采购文件</w:t>
      </w:r>
      <w:r>
        <w:rPr>
          <w:rFonts w:hint="eastAsia" w:ascii="仿宋" w:hAnsi="仿宋" w:eastAsia="仿宋" w:cs="仿宋"/>
          <w:color w:val="auto"/>
          <w:highlight w:val="none"/>
          <w:shd w:val="clear" w:color="auto" w:fill="auto"/>
          <w:lang w:eastAsia="zh-CN"/>
        </w:rPr>
        <w:t>要求如实填写，根据响应情况在“差异说明”项填写正偏离或负偏离及详细偏离情况，完全符合的填写“无差异”；</w:t>
      </w:r>
    </w:p>
    <w:p w14:paraId="0AAD180B">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3、该表可扩展，并逐页签字或盖章</w:t>
      </w:r>
    </w:p>
    <w:p w14:paraId="69DE0522">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4.可附相关支撑材料。（格式自定）</w:t>
      </w:r>
    </w:p>
    <w:p w14:paraId="3F986EF0">
      <w:pPr>
        <w:pStyle w:val="226"/>
        <w:spacing w:line="240" w:lineRule="auto"/>
        <w:ind w:firstLine="240" w:firstLineChars="100"/>
        <w:rPr>
          <w:rFonts w:hint="eastAsia" w:ascii="仿宋" w:hAnsi="仿宋" w:eastAsia="仿宋" w:cs="仿宋"/>
          <w:color w:val="auto"/>
          <w:highlight w:val="none"/>
          <w:shd w:val="clear" w:color="auto" w:fill="auto"/>
          <w:lang w:eastAsia="zh-CN"/>
        </w:rPr>
      </w:pPr>
      <w:r>
        <w:rPr>
          <w:rFonts w:hint="eastAsia" w:ascii="仿宋" w:hAnsi="仿宋" w:eastAsia="仿宋" w:cs="仿宋"/>
          <w:color w:val="auto"/>
          <w:highlight w:val="none"/>
          <w:shd w:val="clear" w:color="auto" w:fill="auto"/>
          <w:lang w:eastAsia="zh-CN"/>
        </w:rPr>
        <w:t>5.若“响应情况”栏中仅填写“无偏离”或“有偏离”等内容而未作实质性描述，该供应商将失去成为成交供应商的资格，仅保留其合格供应商的身份。</w:t>
      </w:r>
    </w:p>
    <w:p w14:paraId="2CFBB306">
      <w:pPr>
        <w:keepNext/>
        <w:keepLines/>
        <w:widowControl w:val="0"/>
        <w:spacing w:line="312" w:lineRule="auto"/>
        <w:ind w:firstLine="0" w:firstLineChars="0"/>
        <w:jc w:val="both"/>
        <w:outlineLvl w:val="2"/>
        <w:rPr>
          <w:rFonts w:hint="eastAsia" w:ascii="仿宋" w:hAnsi="仿宋" w:eastAsia="仿宋" w:cs="仿宋"/>
          <w:b/>
          <w:color w:val="auto"/>
          <w:highlight w:val="none"/>
          <w:shd w:val="clear" w:color="auto" w:fill="auto"/>
        </w:rPr>
      </w:pPr>
    </w:p>
    <w:p w14:paraId="2EF2450A">
      <w:pPr>
        <w:pStyle w:val="36"/>
        <w:rPr>
          <w:rFonts w:hint="eastAsia"/>
        </w:rPr>
      </w:pPr>
    </w:p>
    <w:p w14:paraId="6671DC8D">
      <w:pPr>
        <w:keepNext/>
        <w:keepLines/>
        <w:widowControl w:val="0"/>
        <w:spacing w:line="312" w:lineRule="auto"/>
        <w:ind w:firstLine="0" w:firstLineChars="0"/>
        <w:jc w:val="both"/>
        <w:outlineLvl w:val="2"/>
        <w:rPr>
          <w:rFonts w:hint="eastAsia" w:ascii="仿宋" w:hAnsi="仿宋" w:eastAsia="仿宋" w:cs="仿宋"/>
          <w:b/>
          <w:color w:val="auto"/>
          <w:sz w:val="28"/>
          <w:szCs w:val="28"/>
          <w:highlight w:val="none"/>
          <w:shd w:val="clear" w:color="auto" w:fill="auto"/>
        </w:rPr>
      </w:pPr>
      <w:r>
        <w:rPr>
          <w:rFonts w:hint="eastAsia" w:ascii="仿宋" w:hAnsi="仿宋" w:eastAsia="仿宋" w:cs="仿宋"/>
          <w:b/>
          <w:color w:val="auto"/>
          <w:highlight w:val="none"/>
          <w:shd w:val="clear" w:color="auto" w:fill="auto"/>
          <w:lang w:val="en-US" w:eastAsia="zh-CN"/>
        </w:rPr>
        <w:t>八</w:t>
      </w:r>
      <w:r>
        <w:rPr>
          <w:rFonts w:hint="eastAsia" w:ascii="仿宋" w:hAnsi="仿宋" w:eastAsia="仿宋" w:cs="仿宋"/>
          <w:b/>
          <w:color w:val="auto"/>
          <w:highlight w:val="none"/>
          <w:shd w:val="clear" w:color="auto" w:fill="auto"/>
        </w:rPr>
        <w:t>、其他应提供的资料</w:t>
      </w:r>
    </w:p>
    <w:p w14:paraId="732443D7">
      <w:pPr>
        <w:widowControl w:val="0"/>
        <w:spacing w:line="240" w:lineRule="auto"/>
        <w:ind w:firstLine="0" w:firstLineChars="0"/>
        <w:jc w:val="both"/>
        <w:rPr>
          <w:rFonts w:hint="eastAsia" w:ascii="仿宋" w:hAnsi="仿宋" w:eastAsia="仿宋" w:cs="仿宋"/>
          <w:color w:val="auto"/>
          <w:sz w:val="28"/>
          <w:szCs w:val="20"/>
          <w:highlight w:val="none"/>
          <w:shd w:val="clear" w:color="auto" w:fill="auto"/>
        </w:rPr>
      </w:pPr>
    </w:p>
    <w:p w14:paraId="7F271442">
      <w:pPr>
        <w:widowControl w:val="0"/>
        <w:tabs>
          <w:tab w:val="left" w:pos="6300"/>
        </w:tabs>
        <w:snapToGrid w:val="0"/>
        <w:spacing w:line="312" w:lineRule="auto"/>
        <w:ind w:firstLine="0" w:firstLineChars="0"/>
        <w:jc w:val="both"/>
        <w:rPr>
          <w:rFonts w:hint="eastAsia" w:ascii="仿宋" w:hAnsi="仿宋" w:eastAsia="仿宋" w:cs="仿宋"/>
          <w:b/>
          <w:bCs/>
          <w:color w:val="auto"/>
          <w:highlight w:val="none"/>
          <w:shd w:val="clear" w:color="auto" w:fill="auto"/>
        </w:rPr>
      </w:pPr>
    </w:p>
    <w:p w14:paraId="56D0CD74">
      <w:pPr>
        <w:spacing w:line="400" w:lineRule="exact"/>
        <w:outlineLvl w:val="1"/>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（一）其他与项目有关的资料（自附）</w:t>
      </w:r>
    </w:p>
    <w:p w14:paraId="178AED37">
      <w:pPr>
        <w:widowControl w:val="0"/>
        <w:tabs>
          <w:tab w:val="left" w:pos="6300"/>
        </w:tabs>
        <w:snapToGrid w:val="0"/>
        <w:spacing w:line="312" w:lineRule="auto"/>
        <w:ind w:firstLine="0" w:firstLineChars="0"/>
        <w:jc w:val="both"/>
        <w:rPr>
          <w:rFonts w:hint="eastAsia" w:ascii="仿宋" w:hAnsi="仿宋" w:eastAsia="仿宋" w:cs="仿宋"/>
          <w:b/>
          <w:bCs/>
          <w:color w:val="auto"/>
          <w:highlight w:val="none"/>
          <w:shd w:val="clear" w:color="auto" w:fill="auto"/>
        </w:rPr>
      </w:pPr>
    </w:p>
    <w:p w14:paraId="7BA1965A">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1AB7CD13">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25E820E1">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6DF4A814">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1A7A39D6">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38567E6B">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D3E0794">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FC0AB0C">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02AE709F">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5B99D758">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55C7AAA">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67BE5940">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D6056DC">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16ED8AD9">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F9EE879">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25D4CF95">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7671421B">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AF98D43">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726F70AE">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6F927FCD">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21C90F4A">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4302C0D6">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66422908">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032BDBCA">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2204A68E">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57C2036A">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p w14:paraId="77C294C9">
      <w:pPr>
        <w:spacing w:line="240" w:lineRule="auto"/>
        <w:ind w:firstLine="720"/>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6"/>
          <w:szCs w:val="36"/>
          <w:highlight w:val="none"/>
        </w:rPr>
        <w:t>附件</w:t>
      </w:r>
      <w:r>
        <w:rPr>
          <w:rFonts w:hint="eastAsia" w:ascii="仿宋" w:hAnsi="仿宋" w:eastAsia="仿宋" w:cs="仿宋"/>
          <w:color w:val="auto"/>
          <w:sz w:val="36"/>
          <w:szCs w:val="36"/>
          <w:highlight w:val="none"/>
          <w:lang w:val="en-US" w:eastAsia="zh-CN"/>
        </w:rPr>
        <w:t>一</w:t>
      </w:r>
      <w:r>
        <w:rPr>
          <w:rFonts w:hint="eastAsia" w:ascii="仿宋" w:hAnsi="仿宋" w:eastAsia="仿宋" w:cs="仿宋"/>
          <w:color w:val="auto"/>
          <w:sz w:val="36"/>
          <w:szCs w:val="36"/>
          <w:highlight w:val="none"/>
        </w:rPr>
        <w:t>：</w:t>
      </w:r>
      <w:r>
        <w:rPr>
          <w:rFonts w:hint="eastAsia" w:ascii="仿宋" w:hAnsi="仿宋" w:eastAsia="仿宋" w:cs="仿宋"/>
          <w:color w:val="auto"/>
          <w:sz w:val="36"/>
          <w:szCs w:val="36"/>
          <w:highlight w:val="none"/>
          <w:lang w:val="en-US" w:eastAsia="zh-CN"/>
        </w:rPr>
        <w:t>重庆弘标建设工程管理有限公司发售登记</w:t>
      </w:r>
      <w:r>
        <w:rPr>
          <w:rFonts w:hint="eastAsia" w:ascii="仿宋" w:hAnsi="仿宋" w:eastAsia="仿宋" w:cs="仿宋"/>
          <w:color w:val="auto"/>
          <w:sz w:val="36"/>
          <w:szCs w:val="36"/>
          <w:highlight w:val="none"/>
        </w:rPr>
        <w:t>表</w:t>
      </w:r>
    </w:p>
    <w:tbl>
      <w:tblPr>
        <w:tblStyle w:val="6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2"/>
        <w:gridCol w:w="2391"/>
        <w:gridCol w:w="1051"/>
        <w:gridCol w:w="3965"/>
      </w:tblGrid>
      <w:tr w14:paraId="788608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832" w:type="dxa"/>
            <w:noWrap w:val="0"/>
            <w:vAlign w:val="center"/>
          </w:tcPr>
          <w:p w14:paraId="65CD4E50">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项目号</w:t>
            </w:r>
          </w:p>
        </w:tc>
        <w:tc>
          <w:tcPr>
            <w:tcW w:w="7407" w:type="dxa"/>
            <w:gridSpan w:val="3"/>
            <w:noWrap w:val="0"/>
            <w:vAlign w:val="center"/>
          </w:tcPr>
          <w:p w14:paraId="09C84205">
            <w:pPr>
              <w:ind w:firstLine="0" w:firstLineChars="0"/>
              <w:jc w:val="center"/>
              <w:rPr>
                <w:rFonts w:hint="eastAsia" w:ascii="仿宋" w:hAnsi="仿宋" w:eastAsia="仿宋" w:cs="仿宋"/>
                <w:color w:val="auto"/>
                <w:sz w:val="30"/>
                <w:szCs w:val="30"/>
                <w:highlight w:val="none"/>
              </w:rPr>
            </w:pPr>
          </w:p>
        </w:tc>
      </w:tr>
      <w:tr w14:paraId="2C97E4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832" w:type="dxa"/>
            <w:noWrap w:val="0"/>
            <w:vAlign w:val="center"/>
          </w:tcPr>
          <w:p w14:paraId="66B1681F">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7407" w:type="dxa"/>
            <w:gridSpan w:val="3"/>
            <w:noWrap w:val="0"/>
            <w:vAlign w:val="center"/>
          </w:tcPr>
          <w:p w14:paraId="0BF0B0B9">
            <w:pPr>
              <w:ind w:firstLine="0" w:firstLineChars="0"/>
              <w:jc w:val="center"/>
              <w:rPr>
                <w:rFonts w:hint="eastAsia" w:ascii="仿宋" w:hAnsi="仿宋" w:eastAsia="仿宋" w:cs="仿宋"/>
                <w:color w:val="auto"/>
                <w:sz w:val="30"/>
                <w:szCs w:val="30"/>
                <w:highlight w:val="none"/>
              </w:rPr>
            </w:pPr>
          </w:p>
        </w:tc>
      </w:tr>
      <w:tr w14:paraId="68BFDF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832" w:type="dxa"/>
            <w:noWrap w:val="0"/>
            <w:vAlign w:val="center"/>
          </w:tcPr>
          <w:p w14:paraId="3E145A48">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供应商名称</w:t>
            </w:r>
          </w:p>
        </w:tc>
        <w:tc>
          <w:tcPr>
            <w:tcW w:w="7407" w:type="dxa"/>
            <w:gridSpan w:val="3"/>
            <w:noWrap w:val="0"/>
            <w:vAlign w:val="center"/>
          </w:tcPr>
          <w:p w14:paraId="59E653E2">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（供应商公章）</w:t>
            </w:r>
          </w:p>
        </w:tc>
      </w:tr>
      <w:tr w14:paraId="0D14A8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32" w:type="dxa"/>
            <w:noWrap w:val="0"/>
            <w:vAlign w:val="center"/>
          </w:tcPr>
          <w:p w14:paraId="365B4C83">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w:t>
            </w:r>
          </w:p>
        </w:tc>
        <w:tc>
          <w:tcPr>
            <w:tcW w:w="2391" w:type="dxa"/>
            <w:noWrap w:val="0"/>
            <w:vAlign w:val="center"/>
          </w:tcPr>
          <w:p w14:paraId="306DD166">
            <w:pPr>
              <w:ind w:firstLine="0" w:firstLineChars="0"/>
              <w:jc w:val="center"/>
              <w:rPr>
                <w:rFonts w:hint="eastAsia" w:ascii="仿宋" w:hAnsi="仿宋" w:eastAsia="仿宋" w:cs="仿宋"/>
                <w:color w:val="auto"/>
                <w:sz w:val="30"/>
                <w:szCs w:val="30"/>
                <w:highlight w:val="none"/>
              </w:rPr>
            </w:pPr>
          </w:p>
        </w:tc>
        <w:tc>
          <w:tcPr>
            <w:tcW w:w="1051" w:type="dxa"/>
            <w:noWrap w:val="0"/>
            <w:vAlign w:val="center"/>
          </w:tcPr>
          <w:p w14:paraId="46E3343B">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手机</w:t>
            </w:r>
          </w:p>
        </w:tc>
        <w:tc>
          <w:tcPr>
            <w:tcW w:w="3965" w:type="dxa"/>
            <w:noWrap w:val="0"/>
            <w:vAlign w:val="center"/>
          </w:tcPr>
          <w:p w14:paraId="33090EAA">
            <w:pPr>
              <w:ind w:firstLine="0" w:firstLineChars="0"/>
              <w:jc w:val="center"/>
              <w:rPr>
                <w:rFonts w:hint="eastAsia" w:ascii="仿宋" w:hAnsi="仿宋" w:eastAsia="仿宋" w:cs="仿宋"/>
                <w:color w:val="auto"/>
                <w:sz w:val="30"/>
                <w:szCs w:val="30"/>
                <w:highlight w:val="none"/>
              </w:rPr>
            </w:pPr>
          </w:p>
        </w:tc>
      </w:tr>
      <w:tr w14:paraId="1B2CDF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1832" w:type="dxa"/>
            <w:noWrap w:val="0"/>
            <w:vAlign w:val="center"/>
          </w:tcPr>
          <w:p w14:paraId="5BB0614E">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办公电话</w:t>
            </w:r>
          </w:p>
        </w:tc>
        <w:tc>
          <w:tcPr>
            <w:tcW w:w="2391" w:type="dxa"/>
            <w:noWrap w:val="0"/>
            <w:vAlign w:val="center"/>
          </w:tcPr>
          <w:p w14:paraId="012D5121">
            <w:pPr>
              <w:ind w:firstLine="0" w:firstLineChars="0"/>
              <w:jc w:val="center"/>
              <w:rPr>
                <w:rFonts w:hint="eastAsia" w:ascii="仿宋" w:hAnsi="仿宋" w:eastAsia="仿宋" w:cs="仿宋"/>
                <w:color w:val="auto"/>
                <w:sz w:val="30"/>
                <w:szCs w:val="30"/>
                <w:highlight w:val="none"/>
              </w:rPr>
            </w:pPr>
          </w:p>
        </w:tc>
        <w:tc>
          <w:tcPr>
            <w:tcW w:w="1051" w:type="dxa"/>
            <w:noWrap w:val="0"/>
            <w:vAlign w:val="center"/>
          </w:tcPr>
          <w:p w14:paraId="1AE9FFF8">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传真</w:t>
            </w:r>
          </w:p>
        </w:tc>
        <w:tc>
          <w:tcPr>
            <w:tcW w:w="3965" w:type="dxa"/>
            <w:noWrap w:val="0"/>
            <w:vAlign w:val="center"/>
          </w:tcPr>
          <w:p w14:paraId="4A1A264F">
            <w:pPr>
              <w:ind w:firstLine="0" w:firstLineChars="0"/>
              <w:jc w:val="center"/>
              <w:rPr>
                <w:rFonts w:hint="eastAsia" w:ascii="仿宋" w:hAnsi="仿宋" w:eastAsia="仿宋" w:cs="仿宋"/>
                <w:color w:val="auto"/>
                <w:sz w:val="30"/>
                <w:szCs w:val="30"/>
                <w:highlight w:val="none"/>
              </w:rPr>
            </w:pPr>
          </w:p>
        </w:tc>
      </w:tr>
      <w:tr w14:paraId="62E8F9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832" w:type="dxa"/>
            <w:noWrap w:val="0"/>
            <w:vAlign w:val="center"/>
          </w:tcPr>
          <w:p w14:paraId="442B71D3">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E-mail</w:t>
            </w:r>
          </w:p>
        </w:tc>
        <w:tc>
          <w:tcPr>
            <w:tcW w:w="7407" w:type="dxa"/>
            <w:gridSpan w:val="3"/>
            <w:noWrap w:val="0"/>
            <w:vAlign w:val="center"/>
          </w:tcPr>
          <w:p w14:paraId="3E0CD3E7">
            <w:pPr>
              <w:ind w:firstLine="0" w:firstLineChars="0"/>
              <w:jc w:val="center"/>
              <w:rPr>
                <w:rFonts w:hint="eastAsia" w:ascii="仿宋" w:hAnsi="仿宋" w:eastAsia="仿宋" w:cs="仿宋"/>
                <w:color w:val="auto"/>
                <w:sz w:val="30"/>
                <w:szCs w:val="30"/>
                <w:highlight w:val="none"/>
              </w:rPr>
            </w:pPr>
          </w:p>
        </w:tc>
      </w:tr>
      <w:tr w14:paraId="72E70C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32" w:type="dxa"/>
            <w:noWrap w:val="0"/>
            <w:vAlign w:val="center"/>
          </w:tcPr>
          <w:p w14:paraId="6FCE9727">
            <w:pPr>
              <w:ind w:firstLine="0" w:firstLineChars="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单位地址</w:t>
            </w:r>
          </w:p>
        </w:tc>
        <w:tc>
          <w:tcPr>
            <w:tcW w:w="7407" w:type="dxa"/>
            <w:gridSpan w:val="3"/>
            <w:noWrap w:val="0"/>
            <w:vAlign w:val="center"/>
          </w:tcPr>
          <w:p w14:paraId="588D2BC5">
            <w:pPr>
              <w:ind w:firstLine="0" w:firstLineChars="0"/>
              <w:jc w:val="center"/>
              <w:rPr>
                <w:rFonts w:hint="eastAsia" w:ascii="仿宋" w:hAnsi="仿宋" w:eastAsia="仿宋" w:cs="仿宋"/>
                <w:color w:val="auto"/>
                <w:sz w:val="30"/>
                <w:szCs w:val="30"/>
                <w:highlight w:val="none"/>
              </w:rPr>
            </w:pPr>
          </w:p>
        </w:tc>
      </w:tr>
    </w:tbl>
    <w:p w14:paraId="4F4A36D6">
      <w:pPr>
        <w:spacing w:line="360" w:lineRule="auto"/>
        <w:ind w:firstLine="48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报名费</w:t>
      </w:r>
      <w:r>
        <w:rPr>
          <w:rFonts w:hint="eastAsia" w:ascii="仿宋" w:hAnsi="仿宋" w:eastAsia="仿宋" w:cs="仿宋"/>
          <w:color w:val="auto"/>
          <w:sz w:val="30"/>
          <w:szCs w:val="30"/>
          <w:highlight w:val="none"/>
          <w:lang w:val="en-US" w:eastAsia="zh-CN"/>
        </w:rPr>
        <w:t>500</w:t>
      </w:r>
      <w:r>
        <w:rPr>
          <w:rFonts w:hint="eastAsia" w:ascii="仿宋" w:hAnsi="仿宋" w:eastAsia="仿宋" w:cs="仿宋"/>
          <w:color w:val="auto"/>
          <w:sz w:val="30"/>
          <w:szCs w:val="30"/>
          <w:highlight w:val="none"/>
        </w:rPr>
        <w:t>元/份       代理机构：</w:t>
      </w:r>
      <w:r>
        <w:rPr>
          <w:rFonts w:hint="eastAsia" w:ascii="仿宋" w:hAnsi="仿宋" w:eastAsia="仿宋" w:cs="仿宋"/>
          <w:color w:val="auto"/>
          <w:sz w:val="30"/>
          <w:szCs w:val="30"/>
          <w:highlight w:val="none"/>
          <w:lang w:val="en-US" w:eastAsia="zh-CN"/>
        </w:rPr>
        <w:t>重庆弘标建设工程管理有限公司</w:t>
      </w:r>
      <w:r>
        <w:rPr>
          <w:rFonts w:hint="eastAsia" w:ascii="仿宋" w:hAnsi="仿宋" w:eastAsia="仿宋" w:cs="仿宋"/>
          <w:color w:val="auto"/>
          <w:sz w:val="30"/>
          <w:szCs w:val="30"/>
          <w:highlight w:val="none"/>
        </w:rPr>
        <w:t xml:space="preserve">   </w:t>
      </w:r>
    </w:p>
    <w:p w14:paraId="7837B8AA">
      <w:pPr>
        <w:spacing w:line="360" w:lineRule="auto"/>
        <w:ind w:firstLine="480"/>
        <w:rPr>
          <w:rFonts w:hint="eastAsia" w:ascii="仿宋" w:hAnsi="仿宋" w:eastAsia="仿宋" w:cs="仿宋"/>
          <w:color w:val="auto"/>
          <w:sz w:val="30"/>
          <w:szCs w:val="30"/>
          <w:highlight w:val="none"/>
        </w:rPr>
      </w:pPr>
    </w:p>
    <w:p w14:paraId="7A756CE3">
      <w:pPr>
        <w:spacing w:line="360" w:lineRule="auto"/>
        <w:ind w:firstLine="480"/>
        <w:rPr>
          <w:rFonts w:hint="eastAsia" w:ascii="仿宋" w:hAnsi="仿宋" w:eastAsia="仿宋" w:cs="仿宋"/>
          <w:color w:val="auto"/>
          <w:sz w:val="30"/>
          <w:szCs w:val="30"/>
          <w:highlight w:val="none"/>
        </w:rPr>
      </w:pPr>
    </w:p>
    <w:p w14:paraId="3B35FBBD">
      <w:pPr>
        <w:spacing w:line="360" w:lineRule="auto"/>
        <w:ind w:firstLine="48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相关说明：</w:t>
      </w:r>
    </w:p>
    <w:p w14:paraId="0DBA40CA">
      <w:pPr>
        <w:keepNext w:val="0"/>
        <w:keepLines w:val="0"/>
        <w:pageBreakBefore w:val="0"/>
        <w:widowControl/>
        <w:kinsoku/>
        <w:overflowPunct/>
        <w:topLinePunct w:val="0"/>
        <w:autoSpaceDE/>
        <w:autoSpaceDN/>
        <w:bidi w:val="0"/>
        <w:adjustRightInd/>
        <w:snapToGrid/>
        <w:spacing w:line="40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1.现场报名</w:t>
      </w:r>
    </w:p>
    <w:p w14:paraId="6E876C52">
      <w:pPr>
        <w:keepNext w:val="0"/>
        <w:keepLines w:val="0"/>
        <w:pageBreakBefore w:val="0"/>
        <w:widowControl/>
        <w:kinsoku/>
        <w:overflowPunct/>
        <w:topLinePunct w:val="0"/>
        <w:autoSpaceDE/>
        <w:autoSpaceDN/>
        <w:bidi w:val="0"/>
        <w:adjustRightInd/>
        <w:snapToGrid/>
        <w:spacing w:line="400" w:lineRule="exact"/>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供应商需在规定的报名时间内（工作日：每天上午9：00-12:00时，下午14：00-17：00时），到重庆弘标建设工程管理有限公司缴纳报名费。地址：同投标地点一致；供应商在缴纳报名费后，请将《重庆弘标建设工程管理有限公司发售登记表》（加盖供应商公章）递交至代理公司工作人员。</w:t>
      </w:r>
    </w:p>
    <w:p w14:paraId="19F4C4F9">
      <w:pPr>
        <w:tabs>
          <w:tab w:val="left" w:pos="5760"/>
        </w:tabs>
        <w:autoSpaceDE w:val="0"/>
        <w:autoSpaceDN w:val="0"/>
        <w:adjustRightInd w:val="0"/>
        <w:spacing w:line="360" w:lineRule="auto"/>
        <w:jc w:val="left"/>
        <w:rPr>
          <w:rFonts w:hint="eastAsia" w:ascii="仿宋" w:hAnsi="仿宋" w:eastAsia="仿宋" w:cs="仿宋"/>
          <w:color w:val="auto"/>
          <w:sz w:val="24"/>
          <w:szCs w:val="24"/>
          <w:highlight w:val="none"/>
        </w:rPr>
      </w:pPr>
    </w:p>
    <w:sectPr>
      <w:headerReference r:id="rId11" w:type="default"/>
      <w:footerReference r:id="rId12" w:type="default"/>
      <w:type w:val="nextColumn"/>
      <w:pgSz w:w="11907" w:h="16840"/>
      <w:pgMar w:top="1134" w:right="1191" w:bottom="1134" w:left="1304" w:header="964" w:footer="992" w:gutter="0"/>
      <w:pgNumType w:fmt="decimal"/>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rial Unicode MS">
    <w:altName w:val="宋体"/>
    <w:panose1 w:val="020B0604020202020204"/>
    <w:charset w:val="86"/>
    <w:family w:val="roman"/>
    <w:pitch w:val="default"/>
    <w:sig w:usb0="00000000" w:usb1="00000000" w:usb2="0000003F" w:usb3="00000000" w:csb0="603F01FF" w:csb1="FFFF0000"/>
  </w:font>
  <w:font w:name="_x000B__x000C_">
    <w:altName w:val="Times New Roman"/>
    <w:panose1 w:val="00000000000000000000"/>
    <w:charset w:val="00"/>
    <w:family w:val="roman"/>
    <w:pitch w:val="default"/>
    <w:sig w:usb0="00000000" w:usb1="00000000" w:usb2="00000000" w:usb3="00000000" w:csb0="00000001" w:csb1="00000000"/>
  </w:font>
  <w:font w:name="文鼎粗黑">
    <w:altName w:val="黑体"/>
    <w:panose1 w:val="020B0609010101010101"/>
    <w:charset w:val="86"/>
    <w:family w:val="modern"/>
    <w:pitch w:val="default"/>
    <w:sig w:usb0="00000000" w:usb1="00000000" w:usb2="00000010" w:usb3="00000000" w:csb0="00040000" w:csb1="00000000"/>
  </w:font>
  <w:font w:name="昆仑楷体">
    <w:altName w:val="宋体"/>
    <w:panose1 w:val="0201060900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方正黑体_GBK">
    <w:panose1 w:val="03000509000000000000"/>
    <w:charset w:val="86"/>
    <w:family w:val="script"/>
    <w:pitch w:val="default"/>
    <w:sig w:usb0="00000001" w:usb1="080E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D9370">
    <w:pPr>
      <w:pStyle w:val="3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1FC902">
                          <w:pPr>
                            <w:pStyle w:val="3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1FC902">
                    <w:pPr>
                      <w:pStyle w:val="3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7173">
    <w:pPr>
      <w:pStyle w:val="37"/>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696042">
                          <w:pPr>
                            <w:pStyle w:val="3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696042">
                    <w:pPr>
                      <w:pStyle w:val="3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4B9EB">
    <w:pPr>
      <w:pStyle w:val="3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9B6BC1">
                          <w:pPr>
                            <w:pStyle w:val="3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89B6BC1">
                    <w:pPr>
                      <w:pStyle w:val="37"/>
                    </w:pPr>
                    <w:r>
                      <w:fldChar w:fldCharType="begin"/>
                    </w:r>
                    <w:r>
                      <w:instrText xml:space="preserve"> PAGE  \* MERGEFORMAT </w:instrText>
                    </w:r>
                    <w:r>
                      <w:fldChar w:fldCharType="separate"/>
                    </w:r>
                    <w:r>
                      <w:t>- 1 -</w:t>
                    </w:r>
                    <w:r>
                      <w:fldChar w:fldCharType="end"/>
                    </w:r>
                  </w:p>
                </w:txbxContent>
              </v:textbox>
            </v:shape>
          </w:pict>
        </mc:Fallback>
      </mc:AlternateContent>
    </w:r>
  </w:p>
  <w:p w14:paraId="23296605">
    <w:pPr>
      <w:pStyle w:val="37"/>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8E3D1">
    <w:pPr>
      <w:pStyle w:val="3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13B57">
                          <w:pPr>
                            <w:pStyle w:val="3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D013B57">
                    <w:pPr>
                      <w:pStyle w:val="37"/>
                    </w:pPr>
                    <w:r>
                      <w:fldChar w:fldCharType="begin"/>
                    </w:r>
                    <w:r>
                      <w:instrText xml:space="preserve"> PAGE  \* MERGEFORMAT </w:instrText>
                    </w:r>
                    <w:r>
                      <w:fldChar w:fldCharType="separate"/>
                    </w:r>
                    <w:r>
                      <w:t>- 1 -</w:t>
                    </w:r>
                    <w:r>
                      <w:fldChar w:fldCharType="end"/>
                    </w:r>
                  </w:p>
                </w:txbxContent>
              </v:textbox>
            </v:shape>
          </w:pict>
        </mc:Fallback>
      </mc:AlternateContent>
    </w:r>
  </w:p>
  <w:p w14:paraId="1CF78305">
    <w:pPr>
      <w:pStyle w:val="3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F07A4">
    <w:pPr>
      <w:pStyle w:val="37"/>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4C0AF3">
                          <w:pPr>
                            <w:pStyle w:val="3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D4C0AF3">
                    <w:pPr>
                      <w:pStyle w:val="37"/>
                    </w:pPr>
                    <w:r>
                      <w:fldChar w:fldCharType="begin"/>
                    </w:r>
                    <w:r>
                      <w:instrText xml:space="preserve"> PAGE  \* MERGEFORMAT </w:instrText>
                    </w:r>
                    <w:r>
                      <w:fldChar w:fldCharType="separate"/>
                    </w:r>
                    <w:r>
                      <w:t>- 1 -</w:t>
                    </w:r>
                    <w:r>
                      <w:fldChar w:fldCharType="end"/>
                    </w:r>
                  </w:p>
                </w:txbxContent>
              </v:textbox>
            </v:shape>
          </w:pict>
        </mc:Fallback>
      </mc:AlternateContent>
    </w:r>
  </w:p>
  <w:p w14:paraId="6CC5CBDD">
    <w:pPr>
      <w:pStyle w:val="37"/>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30207">
    <w:pPr>
      <w:pStyle w:val="3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4DA1CA">
                          <w:pPr>
                            <w:pStyle w:val="37"/>
                          </w:pPr>
                          <w:r>
                            <w:fldChar w:fldCharType="begin"/>
                          </w:r>
                          <w:r>
                            <w:instrText xml:space="preserve"> PAGE  \* MERGEFORMAT </w:instrText>
                          </w:r>
                          <w:r>
                            <w:fldChar w:fldCharType="separate"/>
                          </w:r>
                          <w:r>
                            <w:t>- 7 -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74DA1CA">
                    <w:pPr>
                      <w:pStyle w:val="37"/>
                    </w:pPr>
                    <w:r>
                      <w:fldChar w:fldCharType="begin"/>
                    </w:r>
                    <w:r>
                      <w:instrText xml:space="preserve"> PAGE  \* MERGEFORMAT </w:instrText>
                    </w:r>
                    <w:r>
                      <w:fldChar w:fldCharType="separate"/>
                    </w:r>
                    <w:r>
                      <w:t>- 7 -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3A999">
    <w:pPr>
      <w:pStyle w:val="38"/>
      <w:pBdr>
        <w:bottom w:val="none" w:color="auto" w:sz="0" w:space="1"/>
      </w:pBdr>
      <w:ind w:left="0" w:leftChars="0" w:firstLine="0" w:firstLineChars="0"/>
      <w:jc w:val="both"/>
      <w:rPr>
        <w:rFonts w:hAnsi="Times New Roman" w:cs="Times New Roman"/>
      </w:rPr>
    </w:pPr>
  </w:p>
  <w:p w14:paraId="67ACC4D5">
    <w:pPr>
      <w:pStyle w:val="38"/>
      <w:pBdr>
        <w:bottom w:val="none" w:color="auto" w:sz="0" w:space="1"/>
      </w:pBdr>
      <w:rPr>
        <w:rFonts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9036C">
    <w:pPr>
      <w:pStyle w:val="38"/>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EB8B8">
    <w:pPr>
      <w:pStyle w:val="3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21A5F">
    <w:pPr>
      <w:pStyle w:val="38"/>
      <w:pBdr>
        <w:bottom w:val="none" w:color="auto" w:sz="0" w:space="1"/>
      </w:pBdr>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A87D"/>
    <w:multiLevelType w:val="singleLevel"/>
    <w:tmpl w:val="8E88A87D"/>
    <w:lvl w:ilvl="0" w:tentative="0">
      <w:start w:val="1"/>
      <w:numFmt w:val="decimal"/>
      <w:suff w:val="nothing"/>
      <w:lvlText w:val="%1、"/>
      <w:lvlJc w:val="left"/>
    </w:lvl>
  </w:abstractNum>
  <w:abstractNum w:abstractNumId="1">
    <w:nsid w:val="C45A734A"/>
    <w:multiLevelType w:val="singleLevel"/>
    <w:tmpl w:val="C45A734A"/>
    <w:lvl w:ilvl="0" w:tentative="0">
      <w:start w:val="6"/>
      <w:numFmt w:val="chineseCounting"/>
      <w:suff w:val="space"/>
      <w:lvlText w:val="第%1篇"/>
      <w:lvlJc w:val="left"/>
      <w:rPr>
        <w:rFonts w:hint="eastAsia"/>
      </w:rPr>
    </w:lvl>
  </w:abstractNum>
  <w:abstractNum w:abstractNumId="2">
    <w:nsid w:val="CC286061"/>
    <w:multiLevelType w:val="singleLevel"/>
    <w:tmpl w:val="CC286061"/>
    <w:lvl w:ilvl="0" w:tentative="0">
      <w:start w:val="7"/>
      <w:numFmt w:val="chineseCounting"/>
      <w:suff w:val="nothing"/>
      <w:lvlText w:val="（%1）"/>
      <w:lvlJc w:val="left"/>
      <w:rPr>
        <w:rFonts w:hint="eastAsia"/>
      </w:rPr>
    </w:lvl>
  </w:abstractNum>
  <w:abstractNum w:abstractNumId="3">
    <w:nsid w:val="00000003"/>
    <w:multiLevelType w:val="singleLevel"/>
    <w:tmpl w:val="00000003"/>
    <w:lvl w:ilvl="0" w:tentative="0">
      <w:start w:val="1"/>
      <w:numFmt w:val="decimal"/>
      <w:pStyle w:val="15"/>
      <w:lvlText w:val="%1."/>
      <w:lvlJc w:val="left"/>
      <w:pPr>
        <w:tabs>
          <w:tab w:val="left" w:pos="780"/>
        </w:tabs>
        <w:ind w:left="780" w:hanging="360"/>
      </w:pPr>
    </w:lvl>
  </w:abstractNum>
  <w:abstractNum w:abstractNumId="4">
    <w:nsid w:val="00000005"/>
    <w:multiLevelType w:val="multilevel"/>
    <w:tmpl w:val="00000005"/>
    <w:lvl w:ilvl="0" w:tentative="0">
      <w:start w:val="1"/>
      <w:numFmt w:val="bullet"/>
      <w:pStyle w:val="132"/>
      <w:lvlText w:val=""/>
      <w:lvlJc w:val="left"/>
      <w:pPr>
        <w:tabs>
          <w:tab w:val="left" w:pos="980"/>
        </w:tabs>
        <w:ind w:left="980" w:hanging="360"/>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5">
    <w:nsid w:val="00000006"/>
    <w:multiLevelType w:val="singleLevel"/>
    <w:tmpl w:val="00000006"/>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6">
    <w:nsid w:val="00000007"/>
    <w:multiLevelType w:val="multilevel"/>
    <w:tmpl w:val="00000007"/>
    <w:lvl w:ilvl="0" w:tentative="0">
      <w:start w:val="1"/>
      <w:numFmt w:val="bullet"/>
      <w:pStyle w:val="141"/>
      <w:lvlText w:val=""/>
      <w:lvlJc w:val="left"/>
      <w:pPr>
        <w:tabs>
          <w:tab w:val="left" w:pos="987"/>
        </w:tabs>
        <w:ind w:left="987"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eastAsia"/>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0000008"/>
    <w:multiLevelType w:val="multilevel"/>
    <w:tmpl w:val="00000008"/>
    <w:lvl w:ilvl="0" w:tentative="0">
      <w:start w:val="1"/>
      <w:numFmt w:val="chineseCountingThousand"/>
      <w:pStyle w:val="7"/>
      <w:lvlText w:val="%1、"/>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0000009"/>
    <w:multiLevelType w:val="multilevel"/>
    <w:tmpl w:val="00000009"/>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189"/>
      <w:suff w:val="nothing"/>
      <w:lvlText w:val="%1.%2　"/>
      <w:lvlJc w:val="left"/>
      <w:pPr>
        <w:ind w:left="2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000000A"/>
    <w:multiLevelType w:val="multilevel"/>
    <w:tmpl w:val="0000000A"/>
    <w:lvl w:ilvl="0" w:tentative="0">
      <w:start w:val="8"/>
      <w:numFmt w:val="decimal"/>
      <w:pStyle w:val="188"/>
      <w:lvlText w:val="%1."/>
      <w:lvlJc w:val="left"/>
      <w:pPr>
        <w:tabs>
          <w:tab w:val="left" w:pos="425"/>
        </w:tabs>
        <w:ind w:left="425" w:hanging="425"/>
      </w:pPr>
      <w:rPr>
        <w:rFonts w:hint="eastAsia"/>
      </w:rPr>
    </w:lvl>
    <w:lvl w:ilvl="1" w:tentative="0">
      <w:start w:val="1"/>
      <w:numFmt w:val="decimal"/>
      <w:lvlText w:val="%1.%2."/>
      <w:lvlJc w:val="left"/>
      <w:pPr>
        <w:tabs>
          <w:tab w:val="left" w:pos="747"/>
        </w:tabs>
        <w:ind w:left="747" w:hanging="567"/>
      </w:pPr>
      <w:rPr>
        <w:rFonts w:hint="eastAsia"/>
      </w:rPr>
    </w:lvl>
    <w:lvl w:ilvl="2" w:tentative="0">
      <w:start w:val="1"/>
      <w:numFmt w:val="decimal"/>
      <w:pStyle w:val="119"/>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00000012"/>
    <w:multiLevelType w:val="singleLevel"/>
    <w:tmpl w:val="00000012"/>
    <w:lvl w:ilvl="0" w:tentative="0">
      <w:start w:val="1"/>
      <w:numFmt w:val="bullet"/>
      <w:pStyle w:val="29"/>
      <w:lvlText w:val=""/>
      <w:lvlJc w:val="left"/>
      <w:pPr>
        <w:tabs>
          <w:tab w:val="left" w:pos="780"/>
        </w:tabs>
        <w:ind w:left="780" w:hanging="360"/>
      </w:pPr>
      <w:rPr>
        <w:rFonts w:hint="default" w:ascii="Wingdings" w:hAnsi="Wingdings"/>
      </w:rPr>
    </w:lvl>
  </w:abstractNum>
  <w:abstractNum w:abstractNumId="11">
    <w:nsid w:val="00000013"/>
    <w:multiLevelType w:val="multilevel"/>
    <w:tmpl w:val="00000013"/>
    <w:lvl w:ilvl="0" w:tentative="0">
      <w:start w:val="1"/>
      <w:numFmt w:val="bullet"/>
      <w:pStyle w:val="109"/>
      <w:lvlText w:val=""/>
      <w:lvlJc w:val="left"/>
      <w:pPr>
        <w:tabs>
          <w:tab w:val="left" w:pos="1644"/>
        </w:tabs>
        <w:ind w:left="1644" w:hanging="510"/>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color w:val="auto"/>
        <w:sz w:val="13"/>
        <w:u w:val="none"/>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00000015"/>
    <w:multiLevelType w:val="multilevel"/>
    <w:tmpl w:val="00000015"/>
    <w:lvl w:ilvl="0" w:tentative="0">
      <w:start w:val="1"/>
      <w:numFmt w:val="decimal"/>
      <w:pStyle w:val="203"/>
      <w:lvlText w:val="(%1)"/>
      <w:lvlJc w:val="left"/>
      <w:pPr>
        <w:tabs>
          <w:tab w:val="left" w:pos="397"/>
        </w:tabs>
        <w:ind w:left="397" w:hanging="397"/>
      </w:pPr>
      <w:rPr>
        <w:rFonts w:hint="default" w:ascii="Arial" w:hAnsi="Arial" w:eastAsia="宋体"/>
        <w:b w:val="0"/>
        <w:i w:val="0"/>
        <w:color w:val="auto"/>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0000016"/>
    <w:multiLevelType w:val="singleLevel"/>
    <w:tmpl w:val="00000016"/>
    <w:lvl w:ilvl="0" w:tentative="0">
      <w:start w:val="1"/>
      <w:numFmt w:val="bullet"/>
      <w:pStyle w:val="127"/>
      <w:lvlText w:val=""/>
      <w:lvlJc w:val="left"/>
      <w:pPr>
        <w:tabs>
          <w:tab w:val="left" w:pos="360"/>
        </w:tabs>
        <w:ind w:left="360" w:hanging="360"/>
      </w:pPr>
      <w:rPr>
        <w:rFonts w:hint="default" w:ascii="Wingdings" w:hAnsi="Wingdings"/>
      </w:rPr>
    </w:lvl>
  </w:abstractNum>
  <w:abstractNum w:abstractNumId="14">
    <w:nsid w:val="00000017"/>
    <w:multiLevelType w:val="singleLevel"/>
    <w:tmpl w:val="00000017"/>
    <w:lvl w:ilvl="0" w:tentative="0">
      <w:start w:val="1"/>
      <w:numFmt w:val="bullet"/>
      <w:pStyle w:val="23"/>
      <w:lvlText w:val=""/>
      <w:lvlJc w:val="left"/>
      <w:pPr>
        <w:tabs>
          <w:tab w:val="left" w:pos="1200"/>
        </w:tabs>
        <w:ind w:left="1200" w:hanging="360"/>
      </w:pPr>
      <w:rPr>
        <w:rFonts w:hint="default" w:ascii="Wingdings" w:hAnsi="Wingdings"/>
      </w:rPr>
    </w:lvl>
  </w:abstractNum>
  <w:abstractNum w:abstractNumId="15">
    <w:nsid w:val="00000019"/>
    <w:multiLevelType w:val="singleLevel"/>
    <w:tmpl w:val="00000019"/>
    <w:lvl w:ilvl="0" w:tentative="0">
      <w:start w:val="1"/>
      <w:numFmt w:val="decimal"/>
      <w:pStyle w:val="104"/>
      <w:lvlText w:val="%1)"/>
      <w:lvlJc w:val="left"/>
      <w:pPr>
        <w:tabs>
          <w:tab w:val="left" w:pos="425"/>
        </w:tabs>
        <w:ind w:left="425" w:hanging="425"/>
      </w:pPr>
      <w:rPr>
        <w:rFonts w:hint="eastAsia"/>
      </w:rPr>
    </w:lvl>
  </w:abstractNum>
  <w:abstractNum w:abstractNumId="16">
    <w:nsid w:val="0000001A"/>
    <w:multiLevelType w:val="multilevel"/>
    <w:tmpl w:val="0000001A"/>
    <w:lvl w:ilvl="0" w:tentative="0">
      <w:start w:val="1"/>
      <w:numFmt w:val="decimal"/>
      <w:pStyle w:val="157"/>
      <w:lvlText w:val="（%1）"/>
      <w:lvlJc w:val="left"/>
      <w:pPr>
        <w:tabs>
          <w:tab w:val="left" w:pos="1230"/>
        </w:tabs>
        <w:ind w:left="0" w:firstLine="510"/>
      </w:pPr>
      <w:rPr>
        <w:rFonts w:hint="default" w:ascii="Arial" w:hAnsi="Arial"/>
        <w:b w:val="0"/>
        <w:i w:val="0"/>
        <w:sz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0000001D"/>
    <w:multiLevelType w:val="multilevel"/>
    <w:tmpl w:val="0000001D"/>
    <w:lvl w:ilvl="0" w:tentative="0">
      <w:start w:val="1"/>
      <w:numFmt w:val="chineseCountingThousand"/>
      <w:pStyle w:val="162"/>
      <w:lvlText w:val="%1、"/>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1D3B1C2F"/>
    <w:multiLevelType w:val="singleLevel"/>
    <w:tmpl w:val="1D3B1C2F"/>
    <w:lvl w:ilvl="0" w:tentative="0">
      <w:start w:val="3"/>
      <w:numFmt w:val="decimal"/>
      <w:suff w:val="nothing"/>
      <w:lvlText w:val="%1、"/>
      <w:lvlJc w:val="left"/>
      <w:pPr>
        <w:ind w:left="480" w:leftChars="0" w:firstLine="0" w:firstLineChars="0"/>
      </w:pPr>
    </w:lvl>
  </w:abstractNum>
  <w:abstractNum w:abstractNumId="19">
    <w:nsid w:val="207E8D45"/>
    <w:multiLevelType w:val="singleLevel"/>
    <w:tmpl w:val="207E8D45"/>
    <w:lvl w:ilvl="0" w:tentative="0">
      <w:start w:val="1"/>
      <w:numFmt w:val="chineseCounting"/>
      <w:suff w:val="nothing"/>
      <w:lvlText w:val="%1、"/>
      <w:lvlJc w:val="left"/>
      <w:rPr>
        <w:rFonts w:hint="eastAsia"/>
      </w:rPr>
    </w:lvl>
  </w:abstractNum>
  <w:num w:numId="1">
    <w:abstractNumId w:val="7"/>
  </w:num>
  <w:num w:numId="2">
    <w:abstractNumId w:val="3"/>
  </w:num>
  <w:num w:numId="3">
    <w:abstractNumId w:val="5"/>
  </w:num>
  <w:num w:numId="4">
    <w:abstractNumId w:val="14"/>
  </w:num>
  <w:num w:numId="5">
    <w:abstractNumId w:val="10"/>
  </w:num>
  <w:num w:numId="6">
    <w:abstractNumId w:val="15"/>
  </w:num>
  <w:num w:numId="7">
    <w:abstractNumId w:val="11"/>
  </w:num>
  <w:num w:numId="8">
    <w:abstractNumId w:val="9"/>
  </w:num>
  <w:num w:numId="9">
    <w:abstractNumId w:val="13"/>
  </w:num>
  <w:num w:numId="10">
    <w:abstractNumId w:val="4"/>
  </w:num>
  <w:num w:numId="11">
    <w:abstractNumId w:val="6"/>
  </w:num>
  <w:num w:numId="12">
    <w:abstractNumId w:val="16"/>
  </w:num>
  <w:num w:numId="13">
    <w:abstractNumId w:val="17"/>
  </w:num>
  <w:num w:numId="14">
    <w:abstractNumId w:val="8"/>
  </w:num>
  <w:num w:numId="15">
    <w:abstractNumId w:val="12"/>
  </w:num>
  <w:num w:numId="16">
    <w:abstractNumId w:val="18"/>
  </w:num>
  <w:num w:numId="17">
    <w:abstractNumId w:val="19"/>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0"/>
  <w:hyphenationZone w:val="360"/>
  <w:drawingGridHorizontalSpacing w:val="140"/>
  <w:drawingGridVerticalSpacing w:val="381"/>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Y2VkMjc2N2ZiZjlhODFmYTI3MzQ3NGVkZTQ1MzcifQ=="/>
  </w:docVars>
  <w:rsids>
    <w:rsidRoot w:val="00172A27"/>
    <w:rsid w:val="000009FD"/>
    <w:rsid w:val="00000ED2"/>
    <w:rsid w:val="00003684"/>
    <w:rsid w:val="000072F0"/>
    <w:rsid w:val="00010A9A"/>
    <w:rsid w:val="000110F0"/>
    <w:rsid w:val="00011AF1"/>
    <w:rsid w:val="00012203"/>
    <w:rsid w:val="00012ACA"/>
    <w:rsid w:val="0002138B"/>
    <w:rsid w:val="00021946"/>
    <w:rsid w:val="00024DB8"/>
    <w:rsid w:val="000266A1"/>
    <w:rsid w:val="0003075E"/>
    <w:rsid w:val="00030782"/>
    <w:rsid w:val="0003282A"/>
    <w:rsid w:val="00034A67"/>
    <w:rsid w:val="0003767C"/>
    <w:rsid w:val="000376BA"/>
    <w:rsid w:val="00037FAD"/>
    <w:rsid w:val="000408C5"/>
    <w:rsid w:val="000420C0"/>
    <w:rsid w:val="00042250"/>
    <w:rsid w:val="00043311"/>
    <w:rsid w:val="000440AD"/>
    <w:rsid w:val="00047144"/>
    <w:rsid w:val="0005078E"/>
    <w:rsid w:val="00056058"/>
    <w:rsid w:val="00057565"/>
    <w:rsid w:val="00060807"/>
    <w:rsid w:val="00060F9F"/>
    <w:rsid w:val="00064EA7"/>
    <w:rsid w:val="0006572E"/>
    <w:rsid w:val="00075252"/>
    <w:rsid w:val="00075520"/>
    <w:rsid w:val="00075BA6"/>
    <w:rsid w:val="00082AC9"/>
    <w:rsid w:val="000857DB"/>
    <w:rsid w:val="000879D1"/>
    <w:rsid w:val="00087E2A"/>
    <w:rsid w:val="000908E7"/>
    <w:rsid w:val="0009136B"/>
    <w:rsid w:val="000946BD"/>
    <w:rsid w:val="00094D91"/>
    <w:rsid w:val="00094FBF"/>
    <w:rsid w:val="000A2FB3"/>
    <w:rsid w:val="000A3ABD"/>
    <w:rsid w:val="000A4BD7"/>
    <w:rsid w:val="000A5589"/>
    <w:rsid w:val="000A5751"/>
    <w:rsid w:val="000A7D62"/>
    <w:rsid w:val="000B2716"/>
    <w:rsid w:val="000B7271"/>
    <w:rsid w:val="000B7BBF"/>
    <w:rsid w:val="000C06D1"/>
    <w:rsid w:val="000C0F7C"/>
    <w:rsid w:val="000C2017"/>
    <w:rsid w:val="000C211D"/>
    <w:rsid w:val="000C2606"/>
    <w:rsid w:val="000C2A90"/>
    <w:rsid w:val="000C345B"/>
    <w:rsid w:val="000C47BC"/>
    <w:rsid w:val="000C59C5"/>
    <w:rsid w:val="000C6075"/>
    <w:rsid w:val="000C6371"/>
    <w:rsid w:val="000C7F1A"/>
    <w:rsid w:val="000D568F"/>
    <w:rsid w:val="000D7645"/>
    <w:rsid w:val="000E1B32"/>
    <w:rsid w:val="000E32C9"/>
    <w:rsid w:val="000E43DC"/>
    <w:rsid w:val="000E491B"/>
    <w:rsid w:val="000E4AA8"/>
    <w:rsid w:val="000E52BD"/>
    <w:rsid w:val="000E6091"/>
    <w:rsid w:val="000E6331"/>
    <w:rsid w:val="000F16AA"/>
    <w:rsid w:val="000F176A"/>
    <w:rsid w:val="000F2213"/>
    <w:rsid w:val="000F30CC"/>
    <w:rsid w:val="000F391C"/>
    <w:rsid w:val="000F482B"/>
    <w:rsid w:val="000F4BEC"/>
    <w:rsid w:val="000F5FF0"/>
    <w:rsid w:val="001001A5"/>
    <w:rsid w:val="001035DF"/>
    <w:rsid w:val="00104A22"/>
    <w:rsid w:val="00104C5C"/>
    <w:rsid w:val="00107F21"/>
    <w:rsid w:val="001103D7"/>
    <w:rsid w:val="00110AA3"/>
    <w:rsid w:val="00111819"/>
    <w:rsid w:val="0011194D"/>
    <w:rsid w:val="00112524"/>
    <w:rsid w:val="001125BF"/>
    <w:rsid w:val="00112BB6"/>
    <w:rsid w:val="00113FC9"/>
    <w:rsid w:val="00121660"/>
    <w:rsid w:val="0012297F"/>
    <w:rsid w:val="00122FAE"/>
    <w:rsid w:val="00124B08"/>
    <w:rsid w:val="00124E2D"/>
    <w:rsid w:val="001250D0"/>
    <w:rsid w:val="001254D3"/>
    <w:rsid w:val="00125E3E"/>
    <w:rsid w:val="001329C4"/>
    <w:rsid w:val="00132AB5"/>
    <w:rsid w:val="00135250"/>
    <w:rsid w:val="0014045A"/>
    <w:rsid w:val="001407F6"/>
    <w:rsid w:val="00143D04"/>
    <w:rsid w:val="00143E2B"/>
    <w:rsid w:val="00144040"/>
    <w:rsid w:val="0015271E"/>
    <w:rsid w:val="001528E5"/>
    <w:rsid w:val="00155351"/>
    <w:rsid w:val="001554C7"/>
    <w:rsid w:val="001578C2"/>
    <w:rsid w:val="00157C05"/>
    <w:rsid w:val="00161645"/>
    <w:rsid w:val="0016239E"/>
    <w:rsid w:val="00163AC1"/>
    <w:rsid w:val="00164405"/>
    <w:rsid w:val="00165AD0"/>
    <w:rsid w:val="00170376"/>
    <w:rsid w:val="0017268B"/>
    <w:rsid w:val="00173AC9"/>
    <w:rsid w:val="00174F15"/>
    <w:rsid w:val="00176391"/>
    <w:rsid w:val="001767A8"/>
    <w:rsid w:val="00176960"/>
    <w:rsid w:val="0018194D"/>
    <w:rsid w:val="00183E69"/>
    <w:rsid w:val="00183EEB"/>
    <w:rsid w:val="001864B0"/>
    <w:rsid w:val="00186A28"/>
    <w:rsid w:val="00187F68"/>
    <w:rsid w:val="00191EDB"/>
    <w:rsid w:val="00192A3E"/>
    <w:rsid w:val="00193AEC"/>
    <w:rsid w:val="00194E17"/>
    <w:rsid w:val="001960BE"/>
    <w:rsid w:val="001961B5"/>
    <w:rsid w:val="00197352"/>
    <w:rsid w:val="00197B98"/>
    <w:rsid w:val="001A0940"/>
    <w:rsid w:val="001A126D"/>
    <w:rsid w:val="001A648A"/>
    <w:rsid w:val="001A6B5A"/>
    <w:rsid w:val="001B0FEE"/>
    <w:rsid w:val="001B4A20"/>
    <w:rsid w:val="001B539D"/>
    <w:rsid w:val="001B53C1"/>
    <w:rsid w:val="001C08B0"/>
    <w:rsid w:val="001C2080"/>
    <w:rsid w:val="001C3A07"/>
    <w:rsid w:val="001C54FE"/>
    <w:rsid w:val="001C6A1E"/>
    <w:rsid w:val="001D1258"/>
    <w:rsid w:val="001D1F52"/>
    <w:rsid w:val="001D3224"/>
    <w:rsid w:val="001D365F"/>
    <w:rsid w:val="001D3B7E"/>
    <w:rsid w:val="001D5461"/>
    <w:rsid w:val="001D7E51"/>
    <w:rsid w:val="001E2993"/>
    <w:rsid w:val="001E2F12"/>
    <w:rsid w:val="001E4F32"/>
    <w:rsid w:val="001E6382"/>
    <w:rsid w:val="001E6909"/>
    <w:rsid w:val="001F07F7"/>
    <w:rsid w:val="001F2CAB"/>
    <w:rsid w:val="001F381D"/>
    <w:rsid w:val="001F4FBB"/>
    <w:rsid w:val="001F60B4"/>
    <w:rsid w:val="001F6C1F"/>
    <w:rsid w:val="001F707E"/>
    <w:rsid w:val="002037CF"/>
    <w:rsid w:val="002101B3"/>
    <w:rsid w:val="002121D4"/>
    <w:rsid w:val="002129E3"/>
    <w:rsid w:val="00216844"/>
    <w:rsid w:val="00217474"/>
    <w:rsid w:val="00217C0F"/>
    <w:rsid w:val="002201C0"/>
    <w:rsid w:val="00220225"/>
    <w:rsid w:val="002208C1"/>
    <w:rsid w:val="002213BF"/>
    <w:rsid w:val="00223B03"/>
    <w:rsid w:val="0022640C"/>
    <w:rsid w:val="0022711C"/>
    <w:rsid w:val="00227651"/>
    <w:rsid w:val="00230CE6"/>
    <w:rsid w:val="00233395"/>
    <w:rsid w:val="00233AFE"/>
    <w:rsid w:val="0023537E"/>
    <w:rsid w:val="00236969"/>
    <w:rsid w:val="00236E09"/>
    <w:rsid w:val="00237468"/>
    <w:rsid w:val="00237C42"/>
    <w:rsid w:val="002435D0"/>
    <w:rsid w:val="00243F8F"/>
    <w:rsid w:val="00245D2A"/>
    <w:rsid w:val="00246B99"/>
    <w:rsid w:val="002474A9"/>
    <w:rsid w:val="00251AB6"/>
    <w:rsid w:val="00251E45"/>
    <w:rsid w:val="00252167"/>
    <w:rsid w:val="00252999"/>
    <w:rsid w:val="0025308A"/>
    <w:rsid w:val="00255D5D"/>
    <w:rsid w:val="0025601D"/>
    <w:rsid w:val="00257FF1"/>
    <w:rsid w:val="00261D69"/>
    <w:rsid w:val="00262267"/>
    <w:rsid w:val="00262F6F"/>
    <w:rsid w:val="00263F00"/>
    <w:rsid w:val="002648D2"/>
    <w:rsid w:val="00264A68"/>
    <w:rsid w:val="00265244"/>
    <w:rsid w:val="00265E5D"/>
    <w:rsid w:val="002665F5"/>
    <w:rsid w:val="00266BCA"/>
    <w:rsid w:val="002709B3"/>
    <w:rsid w:val="00270B2B"/>
    <w:rsid w:val="0027580D"/>
    <w:rsid w:val="00275F04"/>
    <w:rsid w:val="0028066C"/>
    <w:rsid w:val="00282E57"/>
    <w:rsid w:val="002833CF"/>
    <w:rsid w:val="00283675"/>
    <w:rsid w:val="00286D19"/>
    <w:rsid w:val="0029020D"/>
    <w:rsid w:val="0029022C"/>
    <w:rsid w:val="002911BF"/>
    <w:rsid w:val="002919F0"/>
    <w:rsid w:val="00293471"/>
    <w:rsid w:val="00294C77"/>
    <w:rsid w:val="00297B69"/>
    <w:rsid w:val="002A0397"/>
    <w:rsid w:val="002A0576"/>
    <w:rsid w:val="002A5490"/>
    <w:rsid w:val="002B02CF"/>
    <w:rsid w:val="002B26F0"/>
    <w:rsid w:val="002B31D4"/>
    <w:rsid w:val="002B370E"/>
    <w:rsid w:val="002B375E"/>
    <w:rsid w:val="002B5876"/>
    <w:rsid w:val="002B65F8"/>
    <w:rsid w:val="002C0316"/>
    <w:rsid w:val="002C1045"/>
    <w:rsid w:val="002C10FD"/>
    <w:rsid w:val="002C1B7A"/>
    <w:rsid w:val="002C5B74"/>
    <w:rsid w:val="002C6836"/>
    <w:rsid w:val="002C7F2B"/>
    <w:rsid w:val="002D2F75"/>
    <w:rsid w:val="002D5FAF"/>
    <w:rsid w:val="002E0FB6"/>
    <w:rsid w:val="002E1597"/>
    <w:rsid w:val="002E2816"/>
    <w:rsid w:val="002E3949"/>
    <w:rsid w:val="002E41DF"/>
    <w:rsid w:val="002E53CD"/>
    <w:rsid w:val="002E6DFA"/>
    <w:rsid w:val="002E7A5C"/>
    <w:rsid w:val="002F1086"/>
    <w:rsid w:val="002F1557"/>
    <w:rsid w:val="002F4D62"/>
    <w:rsid w:val="002F5812"/>
    <w:rsid w:val="002F5EEF"/>
    <w:rsid w:val="002F62E5"/>
    <w:rsid w:val="003017D2"/>
    <w:rsid w:val="003055FB"/>
    <w:rsid w:val="00305F51"/>
    <w:rsid w:val="00306F4B"/>
    <w:rsid w:val="003075D9"/>
    <w:rsid w:val="003078AE"/>
    <w:rsid w:val="003131E0"/>
    <w:rsid w:val="00313530"/>
    <w:rsid w:val="00314EC1"/>
    <w:rsid w:val="00316847"/>
    <w:rsid w:val="00316C9A"/>
    <w:rsid w:val="003177D5"/>
    <w:rsid w:val="00317BBE"/>
    <w:rsid w:val="00321104"/>
    <w:rsid w:val="003220FF"/>
    <w:rsid w:val="003231A8"/>
    <w:rsid w:val="00325F74"/>
    <w:rsid w:val="00326131"/>
    <w:rsid w:val="00331597"/>
    <w:rsid w:val="00331AC1"/>
    <w:rsid w:val="00333506"/>
    <w:rsid w:val="00333E00"/>
    <w:rsid w:val="003340BB"/>
    <w:rsid w:val="00336B9E"/>
    <w:rsid w:val="00341803"/>
    <w:rsid w:val="00341CD5"/>
    <w:rsid w:val="003431D8"/>
    <w:rsid w:val="00343E1C"/>
    <w:rsid w:val="00344FF3"/>
    <w:rsid w:val="003454D6"/>
    <w:rsid w:val="0034652F"/>
    <w:rsid w:val="00347CE1"/>
    <w:rsid w:val="00350F6A"/>
    <w:rsid w:val="0035195C"/>
    <w:rsid w:val="00351A45"/>
    <w:rsid w:val="003540FC"/>
    <w:rsid w:val="00356617"/>
    <w:rsid w:val="0035698B"/>
    <w:rsid w:val="00357783"/>
    <w:rsid w:val="00357E3E"/>
    <w:rsid w:val="003607B2"/>
    <w:rsid w:val="003624B7"/>
    <w:rsid w:val="00362CFA"/>
    <w:rsid w:val="003657B2"/>
    <w:rsid w:val="00370BF4"/>
    <w:rsid w:val="0037133A"/>
    <w:rsid w:val="0037169E"/>
    <w:rsid w:val="00372DC7"/>
    <w:rsid w:val="003754CD"/>
    <w:rsid w:val="00375B89"/>
    <w:rsid w:val="00375E24"/>
    <w:rsid w:val="00381F76"/>
    <w:rsid w:val="00383C9F"/>
    <w:rsid w:val="003846F7"/>
    <w:rsid w:val="00385D17"/>
    <w:rsid w:val="0038635F"/>
    <w:rsid w:val="00387CE1"/>
    <w:rsid w:val="003902F6"/>
    <w:rsid w:val="003968A8"/>
    <w:rsid w:val="003A3CD7"/>
    <w:rsid w:val="003A4636"/>
    <w:rsid w:val="003A6A32"/>
    <w:rsid w:val="003A7D0A"/>
    <w:rsid w:val="003A7E30"/>
    <w:rsid w:val="003B01D1"/>
    <w:rsid w:val="003B2994"/>
    <w:rsid w:val="003B35D0"/>
    <w:rsid w:val="003B3C4B"/>
    <w:rsid w:val="003B6297"/>
    <w:rsid w:val="003C21D1"/>
    <w:rsid w:val="003C3995"/>
    <w:rsid w:val="003D00D2"/>
    <w:rsid w:val="003D0992"/>
    <w:rsid w:val="003D1370"/>
    <w:rsid w:val="003D1857"/>
    <w:rsid w:val="003D1F45"/>
    <w:rsid w:val="003D6FF0"/>
    <w:rsid w:val="003D7BDE"/>
    <w:rsid w:val="003E39B8"/>
    <w:rsid w:val="003E4DEA"/>
    <w:rsid w:val="003E5E95"/>
    <w:rsid w:val="003E61EF"/>
    <w:rsid w:val="003E699F"/>
    <w:rsid w:val="003F2CFF"/>
    <w:rsid w:val="003F417C"/>
    <w:rsid w:val="003F5BC7"/>
    <w:rsid w:val="003F5F2A"/>
    <w:rsid w:val="003F6A6B"/>
    <w:rsid w:val="003F71C9"/>
    <w:rsid w:val="003F7807"/>
    <w:rsid w:val="0040154D"/>
    <w:rsid w:val="00402B2B"/>
    <w:rsid w:val="00404747"/>
    <w:rsid w:val="0040799A"/>
    <w:rsid w:val="00410665"/>
    <w:rsid w:val="00410D92"/>
    <w:rsid w:val="00411390"/>
    <w:rsid w:val="00411C41"/>
    <w:rsid w:val="00412646"/>
    <w:rsid w:val="004157DD"/>
    <w:rsid w:val="00415899"/>
    <w:rsid w:val="004203D9"/>
    <w:rsid w:val="00420FC9"/>
    <w:rsid w:val="00421FE4"/>
    <w:rsid w:val="00422693"/>
    <w:rsid w:val="00422860"/>
    <w:rsid w:val="004250FD"/>
    <w:rsid w:val="00425882"/>
    <w:rsid w:val="00425B08"/>
    <w:rsid w:val="00430330"/>
    <w:rsid w:val="004303EC"/>
    <w:rsid w:val="004308A2"/>
    <w:rsid w:val="0043144E"/>
    <w:rsid w:val="0043419B"/>
    <w:rsid w:val="004344E7"/>
    <w:rsid w:val="004408D3"/>
    <w:rsid w:val="0044180D"/>
    <w:rsid w:val="00442474"/>
    <w:rsid w:val="0044361E"/>
    <w:rsid w:val="00444A06"/>
    <w:rsid w:val="00445158"/>
    <w:rsid w:val="00446B28"/>
    <w:rsid w:val="004517B3"/>
    <w:rsid w:val="0045181E"/>
    <w:rsid w:val="00454511"/>
    <w:rsid w:val="004558F5"/>
    <w:rsid w:val="0045590E"/>
    <w:rsid w:val="0045600B"/>
    <w:rsid w:val="00462D63"/>
    <w:rsid w:val="004668A0"/>
    <w:rsid w:val="00466D5A"/>
    <w:rsid w:val="004717A8"/>
    <w:rsid w:val="00475385"/>
    <w:rsid w:val="00475457"/>
    <w:rsid w:val="0047562B"/>
    <w:rsid w:val="00477B69"/>
    <w:rsid w:val="00480379"/>
    <w:rsid w:val="0048396B"/>
    <w:rsid w:val="00484E7B"/>
    <w:rsid w:val="00485174"/>
    <w:rsid w:val="004867C3"/>
    <w:rsid w:val="00486EC6"/>
    <w:rsid w:val="00487CDA"/>
    <w:rsid w:val="004915E3"/>
    <w:rsid w:val="00491AED"/>
    <w:rsid w:val="004933EB"/>
    <w:rsid w:val="004971EC"/>
    <w:rsid w:val="004978F0"/>
    <w:rsid w:val="00497DFC"/>
    <w:rsid w:val="004A0052"/>
    <w:rsid w:val="004A08CE"/>
    <w:rsid w:val="004A2306"/>
    <w:rsid w:val="004A263F"/>
    <w:rsid w:val="004A5230"/>
    <w:rsid w:val="004A7303"/>
    <w:rsid w:val="004B1497"/>
    <w:rsid w:val="004B159F"/>
    <w:rsid w:val="004B1F0B"/>
    <w:rsid w:val="004B2831"/>
    <w:rsid w:val="004B4916"/>
    <w:rsid w:val="004B4921"/>
    <w:rsid w:val="004B537E"/>
    <w:rsid w:val="004B6210"/>
    <w:rsid w:val="004B69BC"/>
    <w:rsid w:val="004B6CA6"/>
    <w:rsid w:val="004B7FE0"/>
    <w:rsid w:val="004C1305"/>
    <w:rsid w:val="004C133A"/>
    <w:rsid w:val="004C1FC5"/>
    <w:rsid w:val="004C2A6E"/>
    <w:rsid w:val="004C39A0"/>
    <w:rsid w:val="004C4F96"/>
    <w:rsid w:val="004D009E"/>
    <w:rsid w:val="004D154F"/>
    <w:rsid w:val="004D2588"/>
    <w:rsid w:val="004D32AF"/>
    <w:rsid w:val="004D433B"/>
    <w:rsid w:val="004D5994"/>
    <w:rsid w:val="004E0781"/>
    <w:rsid w:val="004E257E"/>
    <w:rsid w:val="004E32CB"/>
    <w:rsid w:val="004E3BD5"/>
    <w:rsid w:val="004E5C25"/>
    <w:rsid w:val="004F2721"/>
    <w:rsid w:val="004F2BA7"/>
    <w:rsid w:val="004F434B"/>
    <w:rsid w:val="00500E9B"/>
    <w:rsid w:val="005016D9"/>
    <w:rsid w:val="00501938"/>
    <w:rsid w:val="00501BE2"/>
    <w:rsid w:val="0050253D"/>
    <w:rsid w:val="00502629"/>
    <w:rsid w:val="00503149"/>
    <w:rsid w:val="00505C2A"/>
    <w:rsid w:val="0051021B"/>
    <w:rsid w:val="005102E2"/>
    <w:rsid w:val="00512491"/>
    <w:rsid w:val="00512C2F"/>
    <w:rsid w:val="00513CBD"/>
    <w:rsid w:val="005148B8"/>
    <w:rsid w:val="00514B93"/>
    <w:rsid w:val="00515415"/>
    <w:rsid w:val="005168BD"/>
    <w:rsid w:val="00516C3E"/>
    <w:rsid w:val="00516FFD"/>
    <w:rsid w:val="00521137"/>
    <w:rsid w:val="00521C37"/>
    <w:rsid w:val="00521ED6"/>
    <w:rsid w:val="00524547"/>
    <w:rsid w:val="00525E4A"/>
    <w:rsid w:val="00526C0A"/>
    <w:rsid w:val="00527955"/>
    <w:rsid w:val="005310E4"/>
    <w:rsid w:val="00531EB9"/>
    <w:rsid w:val="0053343F"/>
    <w:rsid w:val="00533F51"/>
    <w:rsid w:val="00536251"/>
    <w:rsid w:val="005375CE"/>
    <w:rsid w:val="005378DE"/>
    <w:rsid w:val="00537C42"/>
    <w:rsid w:val="00537C5E"/>
    <w:rsid w:val="005406AC"/>
    <w:rsid w:val="00541231"/>
    <w:rsid w:val="005429C0"/>
    <w:rsid w:val="00542E0D"/>
    <w:rsid w:val="0054483D"/>
    <w:rsid w:val="00546C36"/>
    <w:rsid w:val="00550DF3"/>
    <w:rsid w:val="0055311C"/>
    <w:rsid w:val="005577EB"/>
    <w:rsid w:val="00557AA1"/>
    <w:rsid w:val="005645D3"/>
    <w:rsid w:val="005663BA"/>
    <w:rsid w:val="00566CBB"/>
    <w:rsid w:val="005731EA"/>
    <w:rsid w:val="00580C31"/>
    <w:rsid w:val="00583A49"/>
    <w:rsid w:val="00586F11"/>
    <w:rsid w:val="005870EE"/>
    <w:rsid w:val="00587496"/>
    <w:rsid w:val="005908C3"/>
    <w:rsid w:val="005943B0"/>
    <w:rsid w:val="005963E8"/>
    <w:rsid w:val="005A18A4"/>
    <w:rsid w:val="005A4766"/>
    <w:rsid w:val="005A5A61"/>
    <w:rsid w:val="005A6846"/>
    <w:rsid w:val="005A6D8B"/>
    <w:rsid w:val="005A7181"/>
    <w:rsid w:val="005A76E5"/>
    <w:rsid w:val="005A7E4B"/>
    <w:rsid w:val="005B0FA4"/>
    <w:rsid w:val="005B1105"/>
    <w:rsid w:val="005B1829"/>
    <w:rsid w:val="005B5D00"/>
    <w:rsid w:val="005C00AC"/>
    <w:rsid w:val="005C215F"/>
    <w:rsid w:val="005C42CA"/>
    <w:rsid w:val="005C4345"/>
    <w:rsid w:val="005C43DA"/>
    <w:rsid w:val="005C466D"/>
    <w:rsid w:val="005C789B"/>
    <w:rsid w:val="005D135A"/>
    <w:rsid w:val="005D2F52"/>
    <w:rsid w:val="005D46F6"/>
    <w:rsid w:val="005D4E6B"/>
    <w:rsid w:val="005E117E"/>
    <w:rsid w:val="005E12B4"/>
    <w:rsid w:val="005E150E"/>
    <w:rsid w:val="005E3225"/>
    <w:rsid w:val="005E7B12"/>
    <w:rsid w:val="005F0E8B"/>
    <w:rsid w:val="005F3BA0"/>
    <w:rsid w:val="005F3D7A"/>
    <w:rsid w:val="005F5262"/>
    <w:rsid w:val="005F65A7"/>
    <w:rsid w:val="00600DF2"/>
    <w:rsid w:val="00601283"/>
    <w:rsid w:val="006016E0"/>
    <w:rsid w:val="006041BB"/>
    <w:rsid w:val="0060469C"/>
    <w:rsid w:val="00606612"/>
    <w:rsid w:val="006069DE"/>
    <w:rsid w:val="00607BFD"/>
    <w:rsid w:val="00612D7E"/>
    <w:rsid w:val="00616EC6"/>
    <w:rsid w:val="00622BA2"/>
    <w:rsid w:val="00623C53"/>
    <w:rsid w:val="00633632"/>
    <w:rsid w:val="006341BD"/>
    <w:rsid w:val="00634482"/>
    <w:rsid w:val="006347BE"/>
    <w:rsid w:val="006356C4"/>
    <w:rsid w:val="00636A59"/>
    <w:rsid w:val="00636C1F"/>
    <w:rsid w:val="00641FD5"/>
    <w:rsid w:val="0064263E"/>
    <w:rsid w:val="0064298F"/>
    <w:rsid w:val="006452D5"/>
    <w:rsid w:val="006456C7"/>
    <w:rsid w:val="0064587D"/>
    <w:rsid w:val="006523A9"/>
    <w:rsid w:val="00653FC4"/>
    <w:rsid w:val="00655645"/>
    <w:rsid w:val="006558D7"/>
    <w:rsid w:val="00655CB3"/>
    <w:rsid w:val="00662357"/>
    <w:rsid w:val="00664D6E"/>
    <w:rsid w:val="006661A4"/>
    <w:rsid w:val="0066764A"/>
    <w:rsid w:val="00675735"/>
    <w:rsid w:val="00675E52"/>
    <w:rsid w:val="00680072"/>
    <w:rsid w:val="006800A2"/>
    <w:rsid w:val="00680CC4"/>
    <w:rsid w:val="00680EEC"/>
    <w:rsid w:val="0068128E"/>
    <w:rsid w:val="00682704"/>
    <w:rsid w:val="0068367F"/>
    <w:rsid w:val="00683887"/>
    <w:rsid w:val="00683DDF"/>
    <w:rsid w:val="00687999"/>
    <w:rsid w:val="00687CA2"/>
    <w:rsid w:val="00692203"/>
    <w:rsid w:val="00692295"/>
    <w:rsid w:val="00692FA7"/>
    <w:rsid w:val="00695D30"/>
    <w:rsid w:val="00696EEA"/>
    <w:rsid w:val="00696FEF"/>
    <w:rsid w:val="006A0741"/>
    <w:rsid w:val="006A0B45"/>
    <w:rsid w:val="006A2E67"/>
    <w:rsid w:val="006A3BB4"/>
    <w:rsid w:val="006A3DC1"/>
    <w:rsid w:val="006A5644"/>
    <w:rsid w:val="006A71EB"/>
    <w:rsid w:val="006B5846"/>
    <w:rsid w:val="006B5B45"/>
    <w:rsid w:val="006C1EAB"/>
    <w:rsid w:val="006C302B"/>
    <w:rsid w:val="006C32BC"/>
    <w:rsid w:val="006C4663"/>
    <w:rsid w:val="006C4830"/>
    <w:rsid w:val="006C4988"/>
    <w:rsid w:val="006C4D2A"/>
    <w:rsid w:val="006C6F73"/>
    <w:rsid w:val="006C790A"/>
    <w:rsid w:val="006C7F40"/>
    <w:rsid w:val="006D3608"/>
    <w:rsid w:val="006D560A"/>
    <w:rsid w:val="006D5E9A"/>
    <w:rsid w:val="006D7125"/>
    <w:rsid w:val="006D7B83"/>
    <w:rsid w:val="006E016E"/>
    <w:rsid w:val="006E1173"/>
    <w:rsid w:val="006E1550"/>
    <w:rsid w:val="006E2F2B"/>
    <w:rsid w:val="006E4563"/>
    <w:rsid w:val="006E5465"/>
    <w:rsid w:val="006F1A60"/>
    <w:rsid w:val="006F24AE"/>
    <w:rsid w:val="006F2F80"/>
    <w:rsid w:val="006F7B0F"/>
    <w:rsid w:val="007016FA"/>
    <w:rsid w:val="00701C96"/>
    <w:rsid w:val="00701E8B"/>
    <w:rsid w:val="007070E3"/>
    <w:rsid w:val="00707567"/>
    <w:rsid w:val="00707D15"/>
    <w:rsid w:val="007101F0"/>
    <w:rsid w:val="00711349"/>
    <w:rsid w:val="007125F7"/>
    <w:rsid w:val="00712A8E"/>
    <w:rsid w:val="00712CA6"/>
    <w:rsid w:val="007201FE"/>
    <w:rsid w:val="00721A8E"/>
    <w:rsid w:val="007249AB"/>
    <w:rsid w:val="00726CCC"/>
    <w:rsid w:val="00727554"/>
    <w:rsid w:val="00727725"/>
    <w:rsid w:val="00730AB1"/>
    <w:rsid w:val="00731E6E"/>
    <w:rsid w:val="0073357F"/>
    <w:rsid w:val="00733B6B"/>
    <w:rsid w:val="00733D19"/>
    <w:rsid w:val="00735BA5"/>
    <w:rsid w:val="007430D5"/>
    <w:rsid w:val="007440E6"/>
    <w:rsid w:val="007445DB"/>
    <w:rsid w:val="00746361"/>
    <w:rsid w:val="00751B58"/>
    <w:rsid w:val="007570BB"/>
    <w:rsid w:val="00757139"/>
    <w:rsid w:val="00757B02"/>
    <w:rsid w:val="00757D5E"/>
    <w:rsid w:val="007613AA"/>
    <w:rsid w:val="0076140A"/>
    <w:rsid w:val="007615A8"/>
    <w:rsid w:val="00761E7F"/>
    <w:rsid w:val="007629D1"/>
    <w:rsid w:val="00762A6E"/>
    <w:rsid w:val="00762B56"/>
    <w:rsid w:val="0076380F"/>
    <w:rsid w:val="007641FC"/>
    <w:rsid w:val="00772A80"/>
    <w:rsid w:val="0077586D"/>
    <w:rsid w:val="007762EB"/>
    <w:rsid w:val="007766FA"/>
    <w:rsid w:val="00776803"/>
    <w:rsid w:val="00780465"/>
    <w:rsid w:val="00781400"/>
    <w:rsid w:val="00781E90"/>
    <w:rsid w:val="007843B7"/>
    <w:rsid w:val="007849C7"/>
    <w:rsid w:val="007856C6"/>
    <w:rsid w:val="007859FF"/>
    <w:rsid w:val="0078768E"/>
    <w:rsid w:val="0079150F"/>
    <w:rsid w:val="00792A70"/>
    <w:rsid w:val="00793B9D"/>
    <w:rsid w:val="007953B5"/>
    <w:rsid w:val="00795641"/>
    <w:rsid w:val="00795A90"/>
    <w:rsid w:val="00796EBA"/>
    <w:rsid w:val="007977A7"/>
    <w:rsid w:val="007A1958"/>
    <w:rsid w:val="007A1D16"/>
    <w:rsid w:val="007A3596"/>
    <w:rsid w:val="007A4884"/>
    <w:rsid w:val="007A4D8F"/>
    <w:rsid w:val="007A6915"/>
    <w:rsid w:val="007A6D2B"/>
    <w:rsid w:val="007A718A"/>
    <w:rsid w:val="007A7855"/>
    <w:rsid w:val="007B08DC"/>
    <w:rsid w:val="007B12C5"/>
    <w:rsid w:val="007B1BA5"/>
    <w:rsid w:val="007B2AB1"/>
    <w:rsid w:val="007B2F46"/>
    <w:rsid w:val="007B346A"/>
    <w:rsid w:val="007B35CD"/>
    <w:rsid w:val="007B5F41"/>
    <w:rsid w:val="007B6CDF"/>
    <w:rsid w:val="007C0815"/>
    <w:rsid w:val="007C7FA8"/>
    <w:rsid w:val="007D0A31"/>
    <w:rsid w:val="007D24C3"/>
    <w:rsid w:val="007D37E0"/>
    <w:rsid w:val="007D4361"/>
    <w:rsid w:val="007D5328"/>
    <w:rsid w:val="007D7A74"/>
    <w:rsid w:val="007E0353"/>
    <w:rsid w:val="007E0429"/>
    <w:rsid w:val="007E0FF7"/>
    <w:rsid w:val="007E2F17"/>
    <w:rsid w:val="007E3F23"/>
    <w:rsid w:val="007E5B91"/>
    <w:rsid w:val="007E5CB9"/>
    <w:rsid w:val="007E7604"/>
    <w:rsid w:val="007F13DC"/>
    <w:rsid w:val="007F2B6C"/>
    <w:rsid w:val="007F31E8"/>
    <w:rsid w:val="007F396F"/>
    <w:rsid w:val="007F3ED7"/>
    <w:rsid w:val="007F4318"/>
    <w:rsid w:val="007F6762"/>
    <w:rsid w:val="007F6E1F"/>
    <w:rsid w:val="00800A7E"/>
    <w:rsid w:val="00805E84"/>
    <w:rsid w:val="00805F43"/>
    <w:rsid w:val="00806E8B"/>
    <w:rsid w:val="00810596"/>
    <w:rsid w:val="00810FFE"/>
    <w:rsid w:val="008124F0"/>
    <w:rsid w:val="00813DB9"/>
    <w:rsid w:val="00813DCB"/>
    <w:rsid w:val="0082083A"/>
    <w:rsid w:val="0082125B"/>
    <w:rsid w:val="00822DF5"/>
    <w:rsid w:val="00823323"/>
    <w:rsid w:val="0082401D"/>
    <w:rsid w:val="008243F8"/>
    <w:rsid w:val="00825E3B"/>
    <w:rsid w:val="0082654D"/>
    <w:rsid w:val="008266E0"/>
    <w:rsid w:val="00830EE4"/>
    <w:rsid w:val="00831DEF"/>
    <w:rsid w:val="00836907"/>
    <w:rsid w:val="00841A10"/>
    <w:rsid w:val="0084235F"/>
    <w:rsid w:val="00843954"/>
    <w:rsid w:val="008467BB"/>
    <w:rsid w:val="00846FC1"/>
    <w:rsid w:val="00847436"/>
    <w:rsid w:val="00850495"/>
    <w:rsid w:val="00851796"/>
    <w:rsid w:val="00852CCF"/>
    <w:rsid w:val="0085343B"/>
    <w:rsid w:val="008565D1"/>
    <w:rsid w:val="0086075E"/>
    <w:rsid w:val="0086079C"/>
    <w:rsid w:val="00860B96"/>
    <w:rsid w:val="00860FA0"/>
    <w:rsid w:val="00872CE0"/>
    <w:rsid w:val="00873855"/>
    <w:rsid w:val="00873C76"/>
    <w:rsid w:val="00875591"/>
    <w:rsid w:val="00877B25"/>
    <w:rsid w:val="008805E7"/>
    <w:rsid w:val="00881ED8"/>
    <w:rsid w:val="00882D14"/>
    <w:rsid w:val="008852B8"/>
    <w:rsid w:val="00885CBF"/>
    <w:rsid w:val="0088661C"/>
    <w:rsid w:val="0088675E"/>
    <w:rsid w:val="00886B1B"/>
    <w:rsid w:val="00887F44"/>
    <w:rsid w:val="00890DD2"/>
    <w:rsid w:val="008922A1"/>
    <w:rsid w:val="008A056B"/>
    <w:rsid w:val="008A08B7"/>
    <w:rsid w:val="008A0CD5"/>
    <w:rsid w:val="008A0CEB"/>
    <w:rsid w:val="008A1349"/>
    <w:rsid w:val="008A3D3C"/>
    <w:rsid w:val="008A680F"/>
    <w:rsid w:val="008A6DB1"/>
    <w:rsid w:val="008B347B"/>
    <w:rsid w:val="008B3CF6"/>
    <w:rsid w:val="008B73D9"/>
    <w:rsid w:val="008C0317"/>
    <w:rsid w:val="008C1A74"/>
    <w:rsid w:val="008C2124"/>
    <w:rsid w:val="008C4238"/>
    <w:rsid w:val="008C54D0"/>
    <w:rsid w:val="008C5917"/>
    <w:rsid w:val="008C6391"/>
    <w:rsid w:val="008D29B0"/>
    <w:rsid w:val="008D2CD8"/>
    <w:rsid w:val="008D2FB6"/>
    <w:rsid w:val="008D4BC1"/>
    <w:rsid w:val="008D5D99"/>
    <w:rsid w:val="008D6FBF"/>
    <w:rsid w:val="008D7515"/>
    <w:rsid w:val="008E19F1"/>
    <w:rsid w:val="008E4A4A"/>
    <w:rsid w:val="008F04E8"/>
    <w:rsid w:val="008F0CB3"/>
    <w:rsid w:val="008F1AA0"/>
    <w:rsid w:val="008F3BCA"/>
    <w:rsid w:val="008F5420"/>
    <w:rsid w:val="008F6B0B"/>
    <w:rsid w:val="008F7FC7"/>
    <w:rsid w:val="00902DB9"/>
    <w:rsid w:val="0090359C"/>
    <w:rsid w:val="00905B73"/>
    <w:rsid w:val="009060B1"/>
    <w:rsid w:val="00906A06"/>
    <w:rsid w:val="00906CF9"/>
    <w:rsid w:val="00906DCF"/>
    <w:rsid w:val="009075E7"/>
    <w:rsid w:val="00907D95"/>
    <w:rsid w:val="009111F7"/>
    <w:rsid w:val="00914050"/>
    <w:rsid w:val="00917164"/>
    <w:rsid w:val="0091768E"/>
    <w:rsid w:val="00917A39"/>
    <w:rsid w:val="00920905"/>
    <w:rsid w:val="0092098F"/>
    <w:rsid w:val="00923C4C"/>
    <w:rsid w:val="0092759C"/>
    <w:rsid w:val="00927881"/>
    <w:rsid w:val="00932194"/>
    <w:rsid w:val="00932299"/>
    <w:rsid w:val="00935773"/>
    <w:rsid w:val="00936515"/>
    <w:rsid w:val="00936BAD"/>
    <w:rsid w:val="0093772E"/>
    <w:rsid w:val="00937DE9"/>
    <w:rsid w:val="00940E4C"/>
    <w:rsid w:val="009431CE"/>
    <w:rsid w:val="009444C8"/>
    <w:rsid w:val="00944EDB"/>
    <w:rsid w:val="00946ECC"/>
    <w:rsid w:val="00947D6F"/>
    <w:rsid w:val="009510D2"/>
    <w:rsid w:val="00951A22"/>
    <w:rsid w:val="00952A37"/>
    <w:rsid w:val="0095360A"/>
    <w:rsid w:val="00953E22"/>
    <w:rsid w:val="00954432"/>
    <w:rsid w:val="00954627"/>
    <w:rsid w:val="00955FF1"/>
    <w:rsid w:val="009604A2"/>
    <w:rsid w:val="0096296D"/>
    <w:rsid w:val="00963A1D"/>
    <w:rsid w:val="00964F91"/>
    <w:rsid w:val="00965D3C"/>
    <w:rsid w:val="009704E8"/>
    <w:rsid w:val="00970DDF"/>
    <w:rsid w:val="00970F1E"/>
    <w:rsid w:val="00972165"/>
    <w:rsid w:val="0097237A"/>
    <w:rsid w:val="00974407"/>
    <w:rsid w:val="00976C9F"/>
    <w:rsid w:val="00977EA2"/>
    <w:rsid w:val="00981174"/>
    <w:rsid w:val="009815D1"/>
    <w:rsid w:val="009847F2"/>
    <w:rsid w:val="009858E4"/>
    <w:rsid w:val="00986FC8"/>
    <w:rsid w:val="0099205D"/>
    <w:rsid w:val="009925D3"/>
    <w:rsid w:val="009931BD"/>
    <w:rsid w:val="0099391B"/>
    <w:rsid w:val="00993E75"/>
    <w:rsid w:val="009961AF"/>
    <w:rsid w:val="00997ED7"/>
    <w:rsid w:val="009A1782"/>
    <w:rsid w:val="009A19B4"/>
    <w:rsid w:val="009A2F0C"/>
    <w:rsid w:val="009A559F"/>
    <w:rsid w:val="009A7CB1"/>
    <w:rsid w:val="009B01ED"/>
    <w:rsid w:val="009B45E1"/>
    <w:rsid w:val="009B6FBD"/>
    <w:rsid w:val="009B7144"/>
    <w:rsid w:val="009C33FD"/>
    <w:rsid w:val="009C6566"/>
    <w:rsid w:val="009C7E5E"/>
    <w:rsid w:val="009D2DB8"/>
    <w:rsid w:val="009D3468"/>
    <w:rsid w:val="009D3B7C"/>
    <w:rsid w:val="009D3E23"/>
    <w:rsid w:val="009E310B"/>
    <w:rsid w:val="009E4142"/>
    <w:rsid w:val="009E57FA"/>
    <w:rsid w:val="009E6755"/>
    <w:rsid w:val="009E7274"/>
    <w:rsid w:val="009F0877"/>
    <w:rsid w:val="009F0EF5"/>
    <w:rsid w:val="009F2E9F"/>
    <w:rsid w:val="009F3F85"/>
    <w:rsid w:val="009F481A"/>
    <w:rsid w:val="009F54AB"/>
    <w:rsid w:val="00A00F85"/>
    <w:rsid w:val="00A05776"/>
    <w:rsid w:val="00A07FD5"/>
    <w:rsid w:val="00A13A4E"/>
    <w:rsid w:val="00A173AB"/>
    <w:rsid w:val="00A216BD"/>
    <w:rsid w:val="00A22FA7"/>
    <w:rsid w:val="00A25999"/>
    <w:rsid w:val="00A2600F"/>
    <w:rsid w:val="00A26A5F"/>
    <w:rsid w:val="00A26C9F"/>
    <w:rsid w:val="00A27800"/>
    <w:rsid w:val="00A31F76"/>
    <w:rsid w:val="00A320B9"/>
    <w:rsid w:val="00A331D1"/>
    <w:rsid w:val="00A33344"/>
    <w:rsid w:val="00A336ED"/>
    <w:rsid w:val="00A33DAC"/>
    <w:rsid w:val="00A348D5"/>
    <w:rsid w:val="00A349F0"/>
    <w:rsid w:val="00A34F48"/>
    <w:rsid w:val="00A36EAF"/>
    <w:rsid w:val="00A42D9F"/>
    <w:rsid w:val="00A43B02"/>
    <w:rsid w:val="00A43BFA"/>
    <w:rsid w:val="00A44428"/>
    <w:rsid w:val="00A44532"/>
    <w:rsid w:val="00A44F37"/>
    <w:rsid w:val="00A52466"/>
    <w:rsid w:val="00A52485"/>
    <w:rsid w:val="00A52858"/>
    <w:rsid w:val="00A60309"/>
    <w:rsid w:val="00A6188F"/>
    <w:rsid w:val="00A646A6"/>
    <w:rsid w:val="00A64C89"/>
    <w:rsid w:val="00A66086"/>
    <w:rsid w:val="00A70CFF"/>
    <w:rsid w:val="00A70ECB"/>
    <w:rsid w:val="00A715A9"/>
    <w:rsid w:val="00A7491D"/>
    <w:rsid w:val="00A7593E"/>
    <w:rsid w:val="00A76E93"/>
    <w:rsid w:val="00A770E3"/>
    <w:rsid w:val="00A80C44"/>
    <w:rsid w:val="00A80F41"/>
    <w:rsid w:val="00A84CC4"/>
    <w:rsid w:val="00A85534"/>
    <w:rsid w:val="00A85AFE"/>
    <w:rsid w:val="00A87965"/>
    <w:rsid w:val="00A926AD"/>
    <w:rsid w:val="00A9327B"/>
    <w:rsid w:val="00A96FAC"/>
    <w:rsid w:val="00A97379"/>
    <w:rsid w:val="00AA135C"/>
    <w:rsid w:val="00AA1511"/>
    <w:rsid w:val="00AA178F"/>
    <w:rsid w:val="00AA29D5"/>
    <w:rsid w:val="00AA3559"/>
    <w:rsid w:val="00AA3A39"/>
    <w:rsid w:val="00AA3DB5"/>
    <w:rsid w:val="00AA3EA9"/>
    <w:rsid w:val="00AA5FAE"/>
    <w:rsid w:val="00AA695F"/>
    <w:rsid w:val="00AA7A5C"/>
    <w:rsid w:val="00AB14D0"/>
    <w:rsid w:val="00AB2CBD"/>
    <w:rsid w:val="00AB3539"/>
    <w:rsid w:val="00AB3AD7"/>
    <w:rsid w:val="00AB3FB5"/>
    <w:rsid w:val="00AB43B6"/>
    <w:rsid w:val="00AB49FE"/>
    <w:rsid w:val="00AB5BF1"/>
    <w:rsid w:val="00AB65A4"/>
    <w:rsid w:val="00AB6BE9"/>
    <w:rsid w:val="00AC0D4B"/>
    <w:rsid w:val="00AC34CB"/>
    <w:rsid w:val="00AC4D6E"/>
    <w:rsid w:val="00AC5DAD"/>
    <w:rsid w:val="00AC76E8"/>
    <w:rsid w:val="00AC7E13"/>
    <w:rsid w:val="00AD13BD"/>
    <w:rsid w:val="00AD3BF0"/>
    <w:rsid w:val="00AD5E85"/>
    <w:rsid w:val="00AE009D"/>
    <w:rsid w:val="00AE242B"/>
    <w:rsid w:val="00AE317A"/>
    <w:rsid w:val="00AE3828"/>
    <w:rsid w:val="00AE5610"/>
    <w:rsid w:val="00AE6D6B"/>
    <w:rsid w:val="00AE7E8A"/>
    <w:rsid w:val="00AF0EB0"/>
    <w:rsid w:val="00AF34DE"/>
    <w:rsid w:val="00AF54C3"/>
    <w:rsid w:val="00AF6446"/>
    <w:rsid w:val="00AF6737"/>
    <w:rsid w:val="00AF6910"/>
    <w:rsid w:val="00AF7733"/>
    <w:rsid w:val="00B0025D"/>
    <w:rsid w:val="00B00575"/>
    <w:rsid w:val="00B00DDD"/>
    <w:rsid w:val="00B01DC4"/>
    <w:rsid w:val="00B03427"/>
    <w:rsid w:val="00B10447"/>
    <w:rsid w:val="00B1258F"/>
    <w:rsid w:val="00B15773"/>
    <w:rsid w:val="00B17150"/>
    <w:rsid w:val="00B20D2D"/>
    <w:rsid w:val="00B20DE3"/>
    <w:rsid w:val="00B22041"/>
    <w:rsid w:val="00B24A51"/>
    <w:rsid w:val="00B31094"/>
    <w:rsid w:val="00B332F8"/>
    <w:rsid w:val="00B40E48"/>
    <w:rsid w:val="00B42056"/>
    <w:rsid w:val="00B44B63"/>
    <w:rsid w:val="00B4651A"/>
    <w:rsid w:val="00B46AE5"/>
    <w:rsid w:val="00B47211"/>
    <w:rsid w:val="00B477F3"/>
    <w:rsid w:val="00B479A2"/>
    <w:rsid w:val="00B47AB6"/>
    <w:rsid w:val="00B47EE6"/>
    <w:rsid w:val="00B50086"/>
    <w:rsid w:val="00B50125"/>
    <w:rsid w:val="00B52479"/>
    <w:rsid w:val="00B54805"/>
    <w:rsid w:val="00B54C95"/>
    <w:rsid w:val="00B55FC2"/>
    <w:rsid w:val="00B57186"/>
    <w:rsid w:val="00B57EE1"/>
    <w:rsid w:val="00B60E89"/>
    <w:rsid w:val="00B61D5E"/>
    <w:rsid w:val="00B6252D"/>
    <w:rsid w:val="00B66F07"/>
    <w:rsid w:val="00B70BAA"/>
    <w:rsid w:val="00B718DB"/>
    <w:rsid w:val="00B7368D"/>
    <w:rsid w:val="00B744BA"/>
    <w:rsid w:val="00B74E30"/>
    <w:rsid w:val="00B76B18"/>
    <w:rsid w:val="00B816BC"/>
    <w:rsid w:val="00B82429"/>
    <w:rsid w:val="00B82C14"/>
    <w:rsid w:val="00B83E7A"/>
    <w:rsid w:val="00B86553"/>
    <w:rsid w:val="00B92BBF"/>
    <w:rsid w:val="00B92E0E"/>
    <w:rsid w:val="00B931E9"/>
    <w:rsid w:val="00B9347F"/>
    <w:rsid w:val="00B94513"/>
    <w:rsid w:val="00B94DDB"/>
    <w:rsid w:val="00B95CBD"/>
    <w:rsid w:val="00B964E1"/>
    <w:rsid w:val="00B966B5"/>
    <w:rsid w:val="00B972D6"/>
    <w:rsid w:val="00BA0493"/>
    <w:rsid w:val="00BA22E6"/>
    <w:rsid w:val="00BA2364"/>
    <w:rsid w:val="00BA23A2"/>
    <w:rsid w:val="00BA33A9"/>
    <w:rsid w:val="00BA4C26"/>
    <w:rsid w:val="00BA4E65"/>
    <w:rsid w:val="00BA6068"/>
    <w:rsid w:val="00BB33E0"/>
    <w:rsid w:val="00BB7EE0"/>
    <w:rsid w:val="00BC1092"/>
    <w:rsid w:val="00BC1F99"/>
    <w:rsid w:val="00BC2045"/>
    <w:rsid w:val="00BC4871"/>
    <w:rsid w:val="00BC4D5D"/>
    <w:rsid w:val="00BC7CD5"/>
    <w:rsid w:val="00BD1012"/>
    <w:rsid w:val="00BD2884"/>
    <w:rsid w:val="00BD39A0"/>
    <w:rsid w:val="00BD4EB2"/>
    <w:rsid w:val="00BD5097"/>
    <w:rsid w:val="00BD5761"/>
    <w:rsid w:val="00BD6D76"/>
    <w:rsid w:val="00BD7D77"/>
    <w:rsid w:val="00BE1321"/>
    <w:rsid w:val="00BE1950"/>
    <w:rsid w:val="00BE1DD6"/>
    <w:rsid w:val="00BE200A"/>
    <w:rsid w:val="00BE3C20"/>
    <w:rsid w:val="00BE4B8F"/>
    <w:rsid w:val="00BE7797"/>
    <w:rsid w:val="00BE7B06"/>
    <w:rsid w:val="00BF155C"/>
    <w:rsid w:val="00BF17DF"/>
    <w:rsid w:val="00BF312A"/>
    <w:rsid w:val="00BF4212"/>
    <w:rsid w:val="00C0541C"/>
    <w:rsid w:val="00C06066"/>
    <w:rsid w:val="00C067F0"/>
    <w:rsid w:val="00C10672"/>
    <w:rsid w:val="00C11047"/>
    <w:rsid w:val="00C11DF3"/>
    <w:rsid w:val="00C11EC1"/>
    <w:rsid w:val="00C12450"/>
    <w:rsid w:val="00C143C7"/>
    <w:rsid w:val="00C15C6F"/>
    <w:rsid w:val="00C165A1"/>
    <w:rsid w:val="00C22FB5"/>
    <w:rsid w:val="00C23C59"/>
    <w:rsid w:val="00C2583F"/>
    <w:rsid w:val="00C31834"/>
    <w:rsid w:val="00C33173"/>
    <w:rsid w:val="00C33D5D"/>
    <w:rsid w:val="00C35F43"/>
    <w:rsid w:val="00C36A5C"/>
    <w:rsid w:val="00C36D39"/>
    <w:rsid w:val="00C423BA"/>
    <w:rsid w:val="00C45ACD"/>
    <w:rsid w:val="00C46ED6"/>
    <w:rsid w:val="00C50D1D"/>
    <w:rsid w:val="00C53C69"/>
    <w:rsid w:val="00C54522"/>
    <w:rsid w:val="00C55164"/>
    <w:rsid w:val="00C558E6"/>
    <w:rsid w:val="00C56A16"/>
    <w:rsid w:val="00C56F90"/>
    <w:rsid w:val="00C62071"/>
    <w:rsid w:val="00C62A1C"/>
    <w:rsid w:val="00C63015"/>
    <w:rsid w:val="00C6671D"/>
    <w:rsid w:val="00C66820"/>
    <w:rsid w:val="00C71166"/>
    <w:rsid w:val="00C71788"/>
    <w:rsid w:val="00C73510"/>
    <w:rsid w:val="00C74BE1"/>
    <w:rsid w:val="00C74BE4"/>
    <w:rsid w:val="00C76777"/>
    <w:rsid w:val="00C778A3"/>
    <w:rsid w:val="00C7796A"/>
    <w:rsid w:val="00C815BF"/>
    <w:rsid w:val="00C826B3"/>
    <w:rsid w:val="00C82BDF"/>
    <w:rsid w:val="00C82C04"/>
    <w:rsid w:val="00C83DBD"/>
    <w:rsid w:val="00C85D31"/>
    <w:rsid w:val="00C870F5"/>
    <w:rsid w:val="00C92399"/>
    <w:rsid w:val="00C92F37"/>
    <w:rsid w:val="00C95622"/>
    <w:rsid w:val="00C96695"/>
    <w:rsid w:val="00C96B99"/>
    <w:rsid w:val="00C975D7"/>
    <w:rsid w:val="00CA1E5E"/>
    <w:rsid w:val="00CA35F2"/>
    <w:rsid w:val="00CA44E8"/>
    <w:rsid w:val="00CA4768"/>
    <w:rsid w:val="00CA5C13"/>
    <w:rsid w:val="00CB0593"/>
    <w:rsid w:val="00CB06D1"/>
    <w:rsid w:val="00CB1039"/>
    <w:rsid w:val="00CB1B17"/>
    <w:rsid w:val="00CB2295"/>
    <w:rsid w:val="00CB3AC8"/>
    <w:rsid w:val="00CB6218"/>
    <w:rsid w:val="00CC416B"/>
    <w:rsid w:val="00CC658E"/>
    <w:rsid w:val="00CD07B0"/>
    <w:rsid w:val="00CD0F11"/>
    <w:rsid w:val="00CD27D6"/>
    <w:rsid w:val="00CD4831"/>
    <w:rsid w:val="00CD5E38"/>
    <w:rsid w:val="00CE0795"/>
    <w:rsid w:val="00CE4627"/>
    <w:rsid w:val="00CE5393"/>
    <w:rsid w:val="00CE69EB"/>
    <w:rsid w:val="00CE6A29"/>
    <w:rsid w:val="00CE7EBD"/>
    <w:rsid w:val="00CF77A4"/>
    <w:rsid w:val="00CF7D09"/>
    <w:rsid w:val="00D00074"/>
    <w:rsid w:val="00D004DE"/>
    <w:rsid w:val="00D00769"/>
    <w:rsid w:val="00D0392A"/>
    <w:rsid w:val="00D0447F"/>
    <w:rsid w:val="00D054B6"/>
    <w:rsid w:val="00D104E4"/>
    <w:rsid w:val="00D175E6"/>
    <w:rsid w:val="00D20D73"/>
    <w:rsid w:val="00D21407"/>
    <w:rsid w:val="00D23720"/>
    <w:rsid w:val="00D2387A"/>
    <w:rsid w:val="00D24053"/>
    <w:rsid w:val="00D24863"/>
    <w:rsid w:val="00D25D38"/>
    <w:rsid w:val="00D26392"/>
    <w:rsid w:val="00D27B9A"/>
    <w:rsid w:val="00D31CAF"/>
    <w:rsid w:val="00D32E09"/>
    <w:rsid w:val="00D33903"/>
    <w:rsid w:val="00D33981"/>
    <w:rsid w:val="00D408A2"/>
    <w:rsid w:val="00D40C2F"/>
    <w:rsid w:val="00D40ED4"/>
    <w:rsid w:val="00D46AA8"/>
    <w:rsid w:val="00D521D5"/>
    <w:rsid w:val="00D52469"/>
    <w:rsid w:val="00D5598F"/>
    <w:rsid w:val="00D56691"/>
    <w:rsid w:val="00D5688F"/>
    <w:rsid w:val="00D57697"/>
    <w:rsid w:val="00D57A8C"/>
    <w:rsid w:val="00D61D7B"/>
    <w:rsid w:val="00D6264F"/>
    <w:rsid w:val="00D629C4"/>
    <w:rsid w:val="00D655D1"/>
    <w:rsid w:val="00D6744A"/>
    <w:rsid w:val="00D70362"/>
    <w:rsid w:val="00D70C99"/>
    <w:rsid w:val="00D72022"/>
    <w:rsid w:val="00D725D5"/>
    <w:rsid w:val="00D72A76"/>
    <w:rsid w:val="00D75720"/>
    <w:rsid w:val="00D771DD"/>
    <w:rsid w:val="00D805F6"/>
    <w:rsid w:val="00D81485"/>
    <w:rsid w:val="00D84383"/>
    <w:rsid w:val="00D937BB"/>
    <w:rsid w:val="00D93E8A"/>
    <w:rsid w:val="00D95EF5"/>
    <w:rsid w:val="00D96D4D"/>
    <w:rsid w:val="00D9797E"/>
    <w:rsid w:val="00DA1045"/>
    <w:rsid w:val="00DA23F0"/>
    <w:rsid w:val="00DA255D"/>
    <w:rsid w:val="00DA4329"/>
    <w:rsid w:val="00DA46EA"/>
    <w:rsid w:val="00DA473D"/>
    <w:rsid w:val="00DA5311"/>
    <w:rsid w:val="00DA5EE0"/>
    <w:rsid w:val="00DA65D9"/>
    <w:rsid w:val="00DB120C"/>
    <w:rsid w:val="00DB142F"/>
    <w:rsid w:val="00DB1DD6"/>
    <w:rsid w:val="00DB361F"/>
    <w:rsid w:val="00DB367D"/>
    <w:rsid w:val="00DB4665"/>
    <w:rsid w:val="00DB5171"/>
    <w:rsid w:val="00DB54D4"/>
    <w:rsid w:val="00DB5600"/>
    <w:rsid w:val="00DB7523"/>
    <w:rsid w:val="00DB7DF8"/>
    <w:rsid w:val="00DC16CA"/>
    <w:rsid w:val="00DC2DE1"/>
    <w:rsid w:val="00DC663A"/>
    <w:rsid w:val="00DC6E9C"/>
    <w:rsid w:val="00DC6F45"/>
    <w:rsid w:val="00DD0496"/>
    <w:rsid w:val="00DD0884"/>
    <w:rsid w:val="00DD10E8"/>
    <w:rsid w:val="00DD16EF"/>
    <w:rsid w:val="00DD3DE2"/>
    <w:rsid w:val="00DE13C5"/>
    <w:rsid w:val="00DE2684"/>
    <w:rsid w:val="00DE4196"/>
    <w:rsid w:val="00DE4E0A"/>
    <w:rsid w:val="00DE63D8"/>
    <w:rsid w:val="00DE699A"/>
    <w:rsid w:val="00DF1F97"/>
    <w:rsid w:val="00DF461B"/>
    <w:rsid w:val="00DF4719"/>
    <w:rsid w:val="00E0288B"/>
    <w:rsid w:val="00E03578"/>
    <w:rsid w:val="00E0374D"/>
    <w:rsid w:val="00E03A0F"/>
    <w:rsid w:val="00E059BE"/>
    <w:rsid w:val="00E070B4"/>
    <w:rsid w:val="00E1047D"/>
    <w:rsid w:val="00E12C8D"/>
    <w:rsid w:val="00E15AE5"/>
    <w:rsid w:val="00E209E7"/>
    <w:rsid w:val="00E20B5E"/>
    <w:rsid w:val="00E271CA"/>
    <w:rsid w:val="00E306E5"/>
    <w:rsid w:val="00E30B66"/>
    <w:rsid w:val="00E3738C"/>
    <w:rsid w:val="00E3776E"/>
    <w:rsid w:val="00E37AF0"/>
    <w:rsid w:val="00E411B5"/>
    <w:rsid w:val="00E45EEC"/>
    <w:rsid w:val="00E46CA0"/>
    <w:rsid w:val="00E4796E"/>
    <w:rsid w:val="00E54008"/>
    <w:rsid w:val="00E60816"/>
    <w:rsid w:val="00E60B6E"/>
    <w:rsid w:val="00E61E33"/>
    <w:rsid w:val="00E626F9"/>
    <w:rsid w:val="00E63F89"/>
    <w:rsid w:val="00E665AA"/>
    <w:rsid w:val="00E70EA9"/>
    <w:rsid w:val="00E72280"/>
    <w:rsid w:val="00E74456"/>
    <w:rsid w:val="00E8293A"/>
    <w:rsid w:val="00E82AAD"/>
    <w:rsid w:val="00E84777"/>
    <w:rsid w:val="00E91361"/>
    <w:rsid w:val="00E92712"/>
    <w:rsid w:val="00E934D8"/>
    <w:rsid w:val="00E93790"/>
    <w:rsid w:val="00E948F6"/>
    <w:rsid w:val="00E94985"/>
    <w:rsid w:val="00E952C0"/>
    <w:rsid w:val="00E9551F"/>
    <w:rsid w:val="00E95955"/>
    <w:rsid w:val="00EA09A7"/>
    <w:rsid w:val="00EA229F"/>
    <w:rsid w:val="00EA5253"/>
    <w:rsid w:val="00EA6C9A"/>
    <w:rsid w:val="00EB0239"/>
    <w:rsid w:val="00EB0DCB"/>
    <w:rsid w:val="00EB5698"/>
    <w:rsid w:val="00EB640D"/>
    <w:rsid w:val="00EC272E"/>
    <w:rsid w:val="00EC4FAB"/>
    <w:rsid w:val="00EC531F"/>
    <w:rsid w:val="00EC53CC"/>
    <w:rsid w:val="00EC667E"/>
    <w:rsid w:val="00EC6822"/>
    <w:rsid w:val="00ED17A2"/>
    <w:rsid w:val="00ED27C8"/>
    <w:rsid w:val="00ED4DE3"/>
    <w:rsid w:val="00ED51FD"/>
    <w:rsid w:val="00ED53B5"/>
    <w:rsid w:val="00EE3A96"/>
    <w:rsid w:val="00EE4B26"/>
    <w:rsid w:val="00EE50D3"/>
    <w:rsid w:val="00EE6FB0"/>
    <w:rsid w:val="00EE719A"/>
    <w:rsid w:val="00EF0CCD"/>
    <w:rsid w:val="00EF1FD9"/>
    <w:rsid w:val="00EF28AC"/>
    <w:rsid w:val="00EF316B"/>
    <w:rsid w:val="00EF7D65"/>
    <w:rsid w:val="00F028F2"/>
    <w:rsid w:val="00F03B5D"/>
    <w:rsid w:val="00F06FCC"/>
    <w:rsid w:val="00F07437"/>
    <w:rsid w:val="00F07AB9"/>
    <w:rsid w:val="00F11682"/>
    <w:rsid w:val="00F15861"/>
    <w:rsid w:val="00F15A69"/>
    <w:rsid w:val="00F15DD7"/>
    <w:rsid w:val="00F170A4"/>
    <w:rsid w:val="00F277B7"/>
    <w:rsid w:val="00F3034F"/>
    <w:rsid w:val="00F30399"/>
    <w:rsid w:val="00F30D73"/>
    <w:rsid w:val="00F311D0"/>
    <w:rsid w:val="00F32025"/>
    <w:rsid w:val="00F32AF2"/>
    <w:rsid w:val="00F32D08"/>
    <w:rsid w:val="00F32D45"/>
    <w:rsid w:val="00F40CE1"/>
    <w:rsid w:val="00F419E7"/>
    <w:rsid w:val="00F428FB"/>
    <w:rsid w:val="00F44B47"/>
    <w:rsid w:val="00F47D12"/>
    <w:rsid w:val="00F5023C"/>
    <w:rsid w:val="00F5045C"/>
    <w:rsid w:val="00F5092F"/>
    <w:rsid w:val="00F50EB8"/>
    <w:rsid w:val="00F51255"/>
    <w:rsid w:val="00F52093"/>
    <w:rsid w:val="00F53286"/>
    <w:rsid w:val="00F5378F"/>
    <w:rsid w:val="00F54177"/>
    <w:rsid w:val="00F556EF"/>
    <w:rsid w:val="00F5685E"/>
    <w:rsid w:val="00F60E28"/>
    <w:rsid w:val="00F626E3"/>
    <w:rsid w:val="00F633B4"/>
    <w:rsid w:val="00F65063"/>
    <w:rsid w:val="00F65F16"/>
    <w:rsid w:val="00F7103B"/>
    <w:rsid w:val="00F73901"/>
    <w:rsid w:val="00F753A8"/>
    <w:rsid w:val="00F76CFF"/>
    <w:rsid w:val="00F76D1C"/>
    <w:rsid w:val="00F7735B"/>
    <w:rsid w:val="00F805EB"/>
    <w:rsid w:val="00F830A4"/>
    <w:rsid w:val="00F83430"/>
    <w:rsid w:val="00F8738A"/>
    <w:rsid w:val="00F908B9"/>
    <w:rsid w:val="00F91743"/>
    <w:rsid w:val="00F91748"/>
    <w:rsid w:val="00F923B8"/>
    <w:rsid w:val="00F92421"/>
    <w:rsid w:val="00F94DDA"/>
    <w:rsid w:val="00F967AF"/>
    <w:rsid w:val="00F97F8F"/>
    <w:rsid w:val="00FA2BEF"/>
    <w:rsid w:val="00FA3477"/>
    <w:rsid w:val="00FA422E"/>
    <w:rsid w:val="00FA53AB"/>
    <w:rsid w:val="00FA5A32"/>
    <w:rsid w:val="00FA65AC"/>
    <w:rsid w:val="00FA72B1"/>
    <w:rsid w:val="00FA78AB"/>
    <w:rsid w:val="00FB26B3"/>
    <w:rsid w:val="00FB501D"/>
    <w:rsid w:val="00FB74BD"/>
    <w:rsid w:val="00FB7965"/>
    <w:rsid w:val="00FC00B9"/>
    <w:rsid w:val="00FC059C"/>
    <w:rsid w:val="00FC10F7"/>
    <w:rsid w:val="00FC21FA"/>
    <w:rsid w:val="00FC25CF"/>
    <w:rsid w:val="00FC35DC"/>
    <w:rsid w:val="00FC44EC"/>
    <w:rsid w:val="00FC6A7B"/>
    <w:rsid w:val="00FD07BB"/>
    <w:rsid w:val="00FD38A4"/>
    <w:rsid w:val="00FD3C88"/>
    <w:rsid w:val="00FD4E11"/>
    <w:rsid w:val="00FD5C43"/>
    <w:rsid w:val="00FD5F25"/>
    <w:rsid w:val="00FD6C3E"/>
    <w:rsid w:val="00FE21C0"/>
    <w:rsid w:val="00FE5B17"/>
    <w:rsid w:val="00FE76ED"/>
    <w:rsid w:val="00FF0245"/>
    <w:rsid w:val="00FF0FD8"/>
    <w:rsid w:val="00FF19E5"/>
    <w:rsid w:val="00FF2D68"/>
    <w:rsid w:val="00FF4EB9"/>
    <w:rsid w:val="00FF6A3A"/>
    <w:rsid w:val="00FF7EB1"/>
    <w:rsid w:val="00FF7ECD"/>
    <w:rsid w:val="01341807"/>
    <w:rsid w:val="01362446"/>
    <w:rsid w:val="015C2B0C"/>
    <w:rsid w:val="01973B44"/>
    <w:rsid w:val="019A6605"/>
    <w:rsid w:val="01B464A4"/>
    <w:rsid w:val="01F114A6"/>
    <w:rsid w:val="0222758A"/>
    <w:rsid w:val="0241242E"/>
    <w:rsid w:val="02781BC8"/>
    <w:rsid w:val="02810A7C"/>
    <w:rsid w:val="02897931"/>
    <w:rsid w:val="0298635C"/>
    <w:rsid w:val="02B80282"/>
    <w:rsid w:val="02DA63DE"/>
    <w:rsid w:val="02DF4B4E"/>
    <w:rsid w:val="03195159"/>
    <w:rsid w:val="031E451D"/>
    <w:rsid w:val="03743A18"/>
    <w:rsid w:val="03864EFF"/>
    <w:rsid w:val="039E565E"/>
    <w:rsid w:val="03A74512"/>
    <w:rsid w:val="03C10F15"/>
    <w:rsid w:val="03C230FA"/>
    <w:rsid w:val="03C926DB"/>
    <w:rsid w:val="03CC3F79"/>
    <w:rsid w:val="03CE2543"/>
    <w:rsid w:val="03D80B70"/>
    <w:rsid w:val="03E56DE9"/>
    <w:rsid w:val="040A12FA"/>
    <w:rsid w:val="04115E30"/>
    <w:rsid w:val="041A5BA7"/>
    <w:rsid w:val="04642403"/>
    <w:rsid w:val="04787C5D"/>
    <w:rsid w:val="0482288A"/>
    <w:rsid w:val="04842AA6"/>
    <w:rsid w:val="04904FA7"/>
    <w:rsid w:val="04912ACD"/>
    <w:rsid w:val="04974587"/>
    <w:rsid w:val="04BA3BA2"/>
    <w:rsid w:val="04D255BF"/>
    <w:rsid w:val="04D34972"/>
    <w:rsid w:val="04E2157A"/>
    <w:rsid w:val="04FE3055"/>
    <w:rsid w:val="0506370D"/>
    <w:rsid w:val="05151950"/>
    <w:rsid w:val="051A6F66"/>
    <w:rsid w:val="053E0EA6"/>
    <w:rsid w:val="059211F2"/>
    <w:rsid w:val="059646F9"/>
    <w:rsid w:val="05A56B6B"/>
    <w:rsid w:val="05EB4C61"/>
    <w:rsid w:val="05F544FC"/>
    <w:rsid w:val="06035C4C"/>
    <w:rsid w:val="060743F1"/>
    <w:rsid w:val="0611789E"/>
    <w:rsid w:val="06176B60"/>
    <w:rsid w:val="062E7AE7"/>
    <w:rsid w:val="064028B9"/>
    <w:rsid w:val="06473D8B"/>
    <w:rsid w:val="06562220"/>
    <w:rsid w:val="067304F4"/>
    <w:rsid w:val="068C5C42"/>
    <w:rsid w:val="06911C3B"/>
    <w:rsid w:val="06C70A27"/>
    <w:rsid w:val="06CC603E"/>
    <w:rsid w:val="06DF181C"/>
    <w:rsid w:val="06F7130D"/>
    <w:rsid w:val="06FC2DC7"/>
    <w:rsid w:val="070D6D82"/>
    <w:rsid w:val="0710194F"/>
    <w:rsid w:val="072645C7"/>
    <w:rsid w:val="072D2F81"/>
    <w:rsid w:val="07373DFF"/>
    <w:rsid w:val="07464042"/>
    <w:rsid w:val="07755771"/>
    <w:rsid w:val="07B45BAE"/>
    <w:rsid w:val="07BE62CF"/>
    <w:rsid w:val="07C94DF8"/>
    <w:rsid w:val="07DA5D7D"/>
    <w:rsid w:val="07EF46DA"/>
    <w:rsid w:val="07FE5059"/>
    <w:rsid w:val="083B453C"/>
    <w:rsid w:val="083E11BD"/>
    <w:rsid w:val="08420CAE"/>
    <w:rsid w:val="08430582"/>
    <w:rsid w:val="08471E20"/>
    <w:rsid w:val="084A5DB4"/>
    <w:rsid w:val="08544830"/>
    <w:rsid w:val="086C1887"/>
    <w:rsid w:val="086D0D2A"/>
    <w:rsid w:val="089046C9"/>
    <w:rsid w:val="08C94F2B"/>
    <w:rsid w:val="08C96827"/>
    <w:rsid w:val="08CF1E16"/>
    <w:rsid w:val="08E21B49"/>
    <w:rsid w:val="08F23F7E"/>
    <w:rsid w:val="09047D11"/>
    <w:rsid w:val="09271C52"/>
    <w:rsid w:val="093F6F9B"/>
    <w:rsid w:val="097053A7"/>
    <w:rsid w:val="09800E33"/>
    <w:rsid w:val="098B0432"/>
    <w:rsid w:val="09A01E43"/>
    <w:rsid w:val="09AA18C7"/>
    <w:rsid w:val="09AA4D5C"/>
    <w:rsid w:val="09B554AF"/>
    <w:rsid w:val="09B841FD"/>
    <w:rsid w:val="09D364EF"/>
    <w:rsid w:val="09DE7F72"/>
    <w:rsid w:val="0A1C108A"/>
    <w:rsid w:val="0A582D29"/>
    <w:rsid w:val="0A8C0583"/>
    <w:rsid w:val="0AA277E2"/>
    <w:rsid w:val="0AD83100"/>
    <w:rsid w:val="0AE20526"/>
    <w:rsid w:val="0AEF054D"/>
    <w:rsid w:val="0B00701F"/>
    <w:rsid w:val="0B093D05"/>
    <w:rsid w:val="0B0B182B"/>
    <w:rsid w:val="0B0C55A3"/>
    <w:rsid w:val="0B183F48"/>
    <w:rsid w:val="0B41524D"/>
    <w:rsid w:val="0B446AEB"/>
    <w:rsid w:val="0B7C44D7"/>
    <w:rsid w:val="0B8415DD"/>
    <w:rsid w:val="0B923CFA"/>
    <w:rsid w:val="0B934506"/>
    <w:rsid w:val="0BB21CA6"/>
    <w:rsid w:val="0BC1085D"/>
    <w:rsid w:val="0BD30523"/>
    <w:rsid w:val="0C012D92"/>
    <w:rsid w:val="0C0F534B"/>
    <w:rsid w:val="0C111B5B"/>
    <w:rsid w:val="0C1A2799"/>
    <w:rsid w:val="0C3E7B22"/>
    <w:rsid w:val="0C7156BE"/>
    <w:rsid w:val="0C725932"/>
    <w:rsid w:val="0C7B02EA"/>
    <w:rsid w:val="0C940524"/>
    <w:rsid w:val="0CA75583"/>
    <w:rsid w:val="0CB169C3"/>
    <w:rsid w:val="0CB5212B"/>
    <w:rsid w:val="0CC872A8"/>
    <w:rsid w:val="0CCD48BE"/>
    <w:rsid w:val="0CD81CF7"/>
    <w:rsid w:val="0CD93263"/>
    <w:rsid w:val="0CE9794A"/>
    <w:rsid w:val="0CF56B83"/>
    <w:rsid w:val="0CFA1B57"/>
    <w:rsid w:val="0CFF0F1B"/>
    <w:rsid w:val="0D35493D"/>
    <w:rsid w:val="0D4E59FF"/>
    <w:rsid w:val="0D7C6A10"/>
    <w:rsid w:val="0D7D0092"/>
    <w:rsid w:val="0D815DD4"/>
    <w:rsid w:val="0DA27AF9"/>
    <w:rsid w:val="0DAD6E75"/>
    <w:rsid w:val="0DCB34F3"/>
    <w:rsid w:val="0DCB704F"/>
    <w:rsid w:val="0DCD726B"/>
    <w:rsid w:val="0DE7665F"/>
    <w:rsid w:val="0DEE7D03"/>
    <w:rsid w:val="0E3746E5"/>
    <w:rsid w:val="0E430BBB"/>
    <w:rsid w:val="0E45343B"/>
    <w:rsid w:val="0E9438E5"/>
    <w:rsid w:val="0EAE0E4B"/>
    <w:rsid w:val="0EBE0962"/>
    <w:rsid w:val="0F050673"/>
    <w:rsid w:val="0F0A3BA7"/>
    <w:rsid w:val="0F130CAE"/>
    <w:rsid w:val="0F1A028E"/>
    <w:rsid w:val="0F340C24"/>
    <w:rsid w:val="0F691AC7"/>
    <w:rsid w:val="0F735BF1"/>
    <w:rsid w:val="0F896E1A"/>
    <w:rsid w:val="0F8C0A60"/>
    <w:rsid w:val="0FB6788B"/>
    <w:rsid w:val="0FCA0C38"/>
    <w:rsid w:val="0FCB77DB"/>
    <w:rsid w:val="0FDF1793"/>
    <w:rsid w:val="10142F30"/>
    <w:rsid w:val="10345380"/>
    <w:rsid w:val="10392996"/>
    <w:rsid w:val="104650B3"/>
    <w:rsid w:val="108005C5"/>
    <w:rsid w:val="109C2F25"/>
    <w:rsid w:val="10BC5375"/>
    <w:rsid w:val="10F7015B"/>
    <w:rsid w:val="10FD1C16"/>
    <w:rsid w:val="110D100D"/>
    <w:rsid w:val="11513D10"/>
    <w:rsid w:val="117532E4"/>
    <w:rsid w:val="11763776"/>
    <w:rsid w:val="11917D9D"/>
    <w:rsid w:val="11A02710"/>
    <w:rsid w:val="11A62C72"/>
    <w:rsid w:val="123C676E"/>
    <w:rsid w:val="124A70DD"/>
    <w:rsid w:val="124B20F2"/>
    <w:rsid w:val="124D2729"/>
    <w:rsid w:val="12791770"/>
    <w:rsid w:val="127C4DBC"/>
    <w:rsid w:val="129E4D32"/>
    <w:rsid w:val="12A460C1"/>
    <w:rsid w:val="12B502CE"/>
    <w:rsid w:val="12DC585B"/>
    <w:rsid w:val="12F62DC0"/>
    <w:rsid w:val="13217712"/>
    <w:rsid w:val="1331304A"/>
    <w:rsid w:val="134C0C32"/>
    <w:rsid w:val="1374247B"/>
    <w:rsid w:val="137F2DB6"/>
    <w:rsid w:val="13857F2F"/>
    <w:rsid w:val="138C102F"/>
    <w:rsid w:val="13985C26"/>
    <w:rsid w:val="139D62CF"/>
    <w:rsid w:val="13A20852"/>
    <w:rsid w:val="13A91BE1"/>
    <w:rsid w:val="13C87418"/>
    <w:rsid w:val="13D11138"/>
    <w:rsid w:val="13DC0939"/>
    <w:rsid w:val="13F60B9E"/>
    <w:rsid w:val="14076907"/>
    <w:rsid w:val="14180B15"/>
    <w:rsid w:val="14353475"/>
    <w:rsid w:val="14385EE1"/>
    <w:rsid w:val="145E1537"/>
    <w:rsid w:val="145E5D92"/>
    <w:rsid w:val="14861F22"/>
    <w:rsid w:val="14887A48"/>
    <w:rsid w:val="14B20F69"/>
    <w:rsid w:val="14B46A8F"/>
    <w:rsid w:val="14C33176"/>
    <w:rsid w:val="14C34F24"/>
    <w:rsid w:val="14E629C1"/>
    <w:rsid w:val="14EF1875"/>
    <w:rsid w:val="14F74BCE"/>
    <w:rsid w:val="151A266A"/>
    <w:rsid w:val="155362A8"/>
    <w:rsid w:val="155D099A"/>
    <w:rsid w:val="155E4C4D"/>
    <w:rsid w:val="1569714A"/>
    <w:rsid w:val="15763AC2"/>
    <w:rsid w:val="15882F8B"/>
    <w:rsid w:val="158D108E"/>
    <w:rsid w:val="15B35F47"/>
    <w:rsid w:val="15B62657"/>
    <w:rsid w:val="15BC400E"/>
    <w:rsid w:val="15DD2016"/>
    <w:rsid w:val="160B6B83"/>
    <w:rsid w:val="163D4862"/>
    <w:rsid w:val="16631EEF"/>
    <w:rsid w:val="16693194"/>
    <w:rsid w:val="167C3A26"/>
    <w:rsid w:val="168B3731"/>
    <w:rsid w:val="16A03266"/>
    <w:rsid w:val="16A42B33"/>
    <w:rsid w:val="16CD3E38"/>
    <w:rsid w:val="16E456A1"/>
    <w:rsid w:val="170D695F"/>
    <w:rsid w:val="17173305"/>
    <w:rsid w:val="172D0D7B"/>
    <w:rsid w:val="175E3CFF"/>
    <w:rsid w:val="17650515"/>
    <w:rsid w:val="176C18A3"/>
    <w:rsid w:val="17877128"/>
    <w:rsid w:val="17AA5F28"/>
    <w:rsid w:val="17B44FF8"/>
    <w:rsid w:val="17FC075F"/>
    <w:rsid w:val="1807337A"/>
    <w:rsid w:val="180A5FEA"/>
    <w:rsid w:val="18226406"/>
    <w:rsid w:val="18300B23"/>
    <w:rsid w:val="18574301"/>
    <w:rsid w:val="186407CC"/>
    <w:rsid w:val="1864257A"/>
    <w:rsid w:val="187C5B16"/>
    <w:rsid w:val="188D1AD1"/>
    <w:rsid w:val="18AE7C99"/>
    <w:rsid w:val="18D63C9D"/>
    <w:rsid w:val="18E27EA6"/>
    <w:rsid w:val="18EB4A4A"/>
    <w:rsid w:val="18EF1C7A"/>
    <w:rsid w:val="1901601B"/>
    <w:rsid w:val="19094ED0"/>
    <w:rsid w:val="191000FC"/>
    <w:rsid w:val="1912263B"/>
    <w:rsid w:val="19153875"/>
    <w:rsid w:val="193602F3"/>
    <w:rsid w:val="19375EE1"/>
    <w:rsid w:val="19622F5E"/>
    <w:rsid w:val="196F567B"/>
    <w:rsid w:val="197E141A"/>
    <w:rsid w:val="198729C4"/>
    <w:rsid w:val="19A846E9"/>
    <w:rsid w:val="19C57049"/>
    <w:rsid w:val="19C92FDD"/>
    <w:rsid w:val="19CA1C19"/>
    <w:rsid w:val="19CC6629"/>
    <w:rsid w:val="19D07257"/>
    <w:rsid w:val="19D448CA"/>
    <w:rsid w:val="19E9731E"/>
    <w:rsid w:val="19EE5FA2"/>
    <w:rsid w:val="1A224B4E"/>
    <w:rsid w:val="1A2E2355"/>
    <w:rsid w:val="1A4C776A"/>
    <w:rsid w:val="1A5A1E87"/>
    <w:rsid w:val="1A772A39"/>
    <w:rsid w:val="1A954C6D"/>
    <w:rsid w:val="1A9A04D5"/>
    <w:rsid w:val="1A9F5AEC"/>
    <w:rsid w:val="1AB43762"/>
    <w:rsid w:val="1AD5150D"/>
    <w:rsid w:val="1ADC512F"/>
    <w:rsid w:val="1AE50086"/>
    <w:rsid w:val="1AE71241"/>
    <w:rsid w:val="1AE87493"/>
    <w:rsid w:val="1AED28BA"/>
    <w:rsid w:val="1AFE6224"/>
    <w:rsid w:val="1B193AF0"/>
    <w:rsid w:val="1BB06255"/>
    <w:rsid w:val="1BBF288F"/>
    <w:rsid w:val="1BC02864"/>
    <w:rsid w:val="1BCA4DEA"/>
    <w:rsid w:val="1BD66E45"/>
    <w:rsid w:val="1BF14125"/>
    <w:rsid w:val="1BF97C50"/>
    <w:rsid w:val="1C057BD0"/>
    <w:rsid w:val="1C1B3898"/>
    <w:rsid w:val="1C4050AC"/>
    <w:rsid w:val="1C5E7E41"/>
    <w:rsid w:val="1C76287C"/>
    <w:rsid w:val="1C84143D"/>
    <w:rsid w:val="1C9C6787"/>
    <w:rsid w:val="1CAC44F0"/>
    <w:rsid w:val="1CAF497B"/>
    <w:rsid w:val="1CC56F05"/>
    <w:rsid w:val="1CE26164"/>
    <w:rsid w:val="1CEB14BC"/>
    <w:rsid w:val="1CFE7CD4"/>
    <w:rsid w:val="1D65301C"/>
    <w:rsid w:val="1D74500E"/>
    <w:rsid w:val="1DB21FDA"/>
    <w:rsid w:val="1DB811DA"/>
    <w:rsid w:val="1DD12460"/>
    <w:rsid w:val="1DFC3255"/>
    <w:rsid w:val="1E041AD4"/>
    <w:rsid w:val="1E0E4B68"/>
    <w:rsid w:val="1E2B3003"/>
    <w:rsid w:val="1E3E475D"/>
    <w:rsid w:val="1E40188A"/>
    <w:rsid w:val="1E432C32"/>
    <w:rsid w:val="1E4B0BCA"/>
    <w:rsid w:val="1E5170FD"/>
    <w:rsid w:val="1E831280"/>
    <w:rsid w:val="1E854FF8"/>
    <w:rsid w:val="1E894AE9"/>
    <w:rsid w:val="1EB83620"/>
    <w:rsid w:val="1EBB4EBE"/>
    <w:rsid w:val="1ED1023E"/>
    <w:rsid w:val="1ED57D2E"/>
    <w:rsid w:val="1EF65EF6"/>
    <w:rsid w:val="1EFF4DAB"/>
    <w:rsid w:val="1F0665C8"/>
    <w:rsid w:val="1F507D96"/>
    <w:rsid w:val="1F512EC7"/>
    <w:rsid w:val="1F5A6485"/>
    <w:rsid w:val="1F5D7D23"/>
    <w:rsid w:val="1F7F7C9A"/>
    <w:rsid w:val="1F833C2E"/>
    <w:rsid w:val="1FA31BDA"/>
    <w:rsid w:val="1FC81641"/>
    <w:rsid w:val="1FD9525B"/>
    <w:rsid w:val="1FE50445"/>
    <w:rsid w:val="1FF22B62"/>
    <w:rsid w:val="20012DA5"/>
    <w:rsid w:val="201605FE"/>
    <w:rsid w:val="20286583"/>
    <w:rsid w:val="202F7912"/>
    <w:rsid w:val="20315438"/>
    <w:rsid w:val="203E1903"/>
    <w:rsid w:val="20593E41"/>
    <w:rsid w:val="20784E15"/>
    <w:rsid w:val="209D0D1F"/>
    <w:rsid w:val="20A0611A"/>
    <w:rsid w:val="20A57BD4"/>
    <w:rsid w:val="20AC0F62"/>
    <w:rsid w:val="20AF50AD"/>
    <w:rsid w:val="20B916C0"/>
    <w:rsid w:val="20D55FD7"/>
    <w:rsid w:val="20E34258"/>
    <w:rsid w:val="20E95D13"/>
    <w:rsid w:val="21036D49"/>
    <w:rsid w:val="2107263D"/>
    <w:rsid w:val="21225225"/>
    <w:rsid w:val="212E5E1B"/>
    <w:rsid w:val="213F67F2"/>
    <w:rsid w:val="21442F49"/>
    <w:rsid w:val="215F3D05"/>
    <w:rsid w:val="2164183D"/>
    <w:rsid w:val="217355DC"/>
    <w:rsid w:val="21AA36F4"/>
    <w:rsid w:val="21B24356"/>
    <w:rsid w:val="21D342CD"/>
    <w:rsid w:val="21DC7625"/>
    <w:rsid w:val="21EA1D42"/>
    <w:rsid w:val="21EE1107"/>
    <w:rsid w:val="222F1E4B"/>
    <w:rsid w:val="2230171F"/>
    <w:rsid w:val="22393550"/>
    <w:rsid w:val="22421B7E"/>
    <w:rsid w:val="226338A3"/>
    <w:rsid w:val="226A4C31"/>
    <w:rsid w:val="22861FD0"/>
    <w:rsid w:val="228939A2"/>
    <w:rsid w:val="228C4BA7"/>
    <w:rsid w:val="229920C2"/>
    <w:rsid w:val="22BD1205"/>
    <w:rsid w:val="22C97BAA"/>
    <w:rsid w:val="22E83DA8"/>
    <w:rsid w:val="22F8048F"/>
    <w:rsid w:val="231F42C2"/>
    <w:rsid w:val="23270D74"/>
    <w:rsid w:val="23474F72"/>
    <w:rsid w:val="23530719"/>
    <w:rsid w:val="23807ADE"/>
    <w:rsid w:val="23812232"/>
    <w:rsid w:val="23887A65"/>
    <w:rsid w:val="23894DE5"/>
    <w:rsid w:val="2389558B"/>
    <w:rsid w:val="239113CE"/>
    <w:rsid w:val="23AD1279"/>
    <w:rsid w:val="23AE6D9F"/>
    <w:rsid w:val="23C6233B"/>
    <w:rsid w:val="23F34EA3"/>
    <w:rsid w:val="24030E99"/>
    <w:rsid w:val="24073FFF"/>
    <w:rsid w:val="24111308"/>
    <w:rsid w:val="2446347C"/>
    <w:rsid w:val="2446522A"/>
    <w:rsid w:val="24773635"/>
    <w:rsid w:val="24A85EE5"/>
    <w:rsid w:val="24A93B72"/>
    <w:rsid w:val="24B2466D"/>
    <w:rsid w:val="24B959FC"/>
    <w:rsid w:val="24BB79C6"/>
    <w:rsid w:val="24DB4426"/>
    <w:rsid w:val="250C1FD0"/>
    <w:rsid w:val="252F3F10"/>
    <w:rsid w:val="255B2F57"/>
    <w:rsid w:val="2561056D"/>
    <w:rsid w:val="25627E42"/>
    <w:rsid w:val="256966EC"/>
    <w:rsid w:val="25943BF5"/>
    <w:rsid w:val="259A0FCB"/>
    <w:rsid w:val="25B14925"/>
    <w:rsid w:val="25C1725E"/>
    <w:rsid w:val="25C94365"/>
    <w:rsid w:val="25F80363"/>
    <w:rsid w:val="261C6242"/>
    <w:rsid w:val="263E440B"/>
    <w:rsid w:val="2652435A"/>
    <w:rsid w:val="26926505"/>
    <w:rsid w:val="26A5092E"/>
    <w:rsid w:val="26B66697"/>
    <w:rsid w:val="26CA2142"/>
    <w:rsid w:val="26DE799C"/>
    <w:rsid w:val="26FD5D0B"/>
    <w:rsid w:val="270642B1"/>
    <w:rsid w:val="271635D9"/>
    <w:rsid w:val="27537217"/>
    <w:rsid w:val="275B2D9A"/>
    <w:rsid w:val="27765E26"/>
    <w:rsid w:val="277A3B68"/>
    <w:rsid w:val="27840543"/>
    <w:rsid w:val="278E26E1"/>
    <w:rsid w:val="279B3ADF"/>
    <w:rsid w:val="27B30E28"/>
    <w:rsid w:val="27C272BD"/>
    <w:rsid w:val="27C60B5C"/>
    <w:rsid w:val="27E233D1"/>
    <w:rsid w:val="27F37477"/>
    <w:rsid w:val="27F76F67"/>
    <w:rsid w:val="281C4C20"/>
    <w:rsid w:val="28213FE4"/>
    <w:rsid w:val="28302479"/>
    <w:rsid w:val="284B1061"/>
    <w:rsid w:val="285070E1"/>
    <w:rsid w:val="286D7229"/>
    <w:rsid w:val="28A54C15"/>
    <w:rsid w:val="28C17575"/>
    <w:rsid w:val="28E53263"/>
    <w:rsid w:val="28E84B02"/>
    <w:rsid w:val="28F12430"/>
    <w:rsid w:val="29262A2B"/>
    <w:rsid w:val="2940493E"/>
    <w:rsid w:val="294A68B7"/>
    <w:rsid w:val="29526B24"/>
    <w:rsid w:val="29812FA2"/>
    <w:rsid w:val="2984482A"/>
    <w:rsid w:val="298A5BB9"/>
    <w:rsid w:val="299B1B74"/>
    <w:rsid w:val="29A35058"/>
    <w:rsid w:val="29AD25A1"/>
    <w:rsid w:val="29AE5D4B"/>
    <w:rsid w:val="29B175E9"/>
    <w:rsid w:val="29F3375E"/>
    <w:rsid w:val="29F85218"/>
    <w:rsid w:val="2A063491"/>
    <w:rsid w:val="2A083415"/>
    <w:rsid w:val="2A2034DD"/>
    <w:rsid w:val="2A2953D2"/>
    <w:rsid w:val="2A6603D4"/>
    <w:rsid w:val="2A944F41"/>
    <w:rsid w:val="2A954815"/>
    <w:rsid w:val="2A997A21"/>
    <w:rsid w:val="2AC739F8"/>
    <w:rsid w:val="2B0379D1"/>
    <w:rsid w:val="2B0F6376"/>
    <w:rsid w:val="2B151B38"/>
    <w:rsid w:val="2B181A4E"/>
    <w:rsid w:val="2B22254D"/>
    <w:rsid w:val="2B386ED4"/>
    <w:rsid w:val="2B3C2EE3"/>
    <w:rsid w:val="2B6F5066"/>
    <w:rsid w:val="2B762899"/>
    <w:rsid w:val="2B7A2B6D"/>
    <w:rsid w:val="2BB539CA"/>
    <w:rsid w:val="2BD733B6"/>
    <w:rsid w:val="2BF832AE"/>
    <w:rsid w:val="2BF862C5"/>
    <w:rsid w:val="2C02237E"/>
    <w:rsid w:val="2C136339"/>
    <w:rsid w:val="2C1856FE"/>
    <w:rsid w:val="2C194BB5"/>
    <w:rsid w:val="2C2E2E86"/>
    <w:rsid w:val="2C332538"/>
    <w:rsid w:val="2C4320AD"/>
    <w:rsid w:val="2C471B3F"/>
    <w:rsid w:val="2C477D91"/>
    <w:rsid w:val="2C5D5807"/>
    <w:rsid w:val="2C6709DA"/>
    <w:rsid w:val="2C695F59"/>
    <w:rsid w:val="2C7A1F15"/>
    <w:rsid w:val="2C7B0AC6"/>
    <w:rsid w:val="2C94477C"/>
    <w:rsid w:val="2C994916"/>
    <w:rsid w:val="2CBE62A5"/>
    <w:rsid w:val="2CDB00D8"/>
    <w:rsid w:val="2CEB4BC0"/>
    <w:rsid w:val="2CF717B7"/>
    <w:rsid w:val="2CFD72A7"/>
    <w:rsid w:val="2D0363AE"/>
    <w:rsid w:val="2D340F41"/>
    <w:rsid w:val="2D3447B9"/>
    <w:rsid w:val="2D387C93"/>
    <w:rsid w:val="2D4C25AF"/>
    <w:rsid w:val="2D4C2D34"/>
    <w:rsid w:val="2D510EC7"/>
    <w:rsid w:val="2D6F75A0"/>
    <w:rsid w:val="2D8236BB"/>
    <w:rsid w:val="2D937732"/>
    <w:rsid w:val="2D962D7E"/>
    <w:rsid w:val="2DB80F46"/>
    <w:rsid w:val="2DC773DC"/>
    <w:rsid w:val="2DD815E9"/>
    <w:rsid w:val="2DD86D16"/>
    <w:rsid w:val="2E112405"/>
    <w:rsid w:val="2E114AFB"/>
    <w:rsid w:val="2E3B533C"/>
    <w:rsid w:val="2E496043"/>
    <w:rsid w:val="2E5B0F11"/>
    <w:rsid w:val="2E687169"/>
    <w:rsid w:val="2E8452CD"/>
    <w:rsid w:val="2E961766"/>
    <w:rsid w:val="2ED67D10"/>
    <w:rsid w:val="2EE713B8"/>
    <w:rsid w:val="2EF4287F"/>
    <w:rsid w:val="2EF97A69"/>
    <w:rsid w:val="2EFF6701"/>
    <w:rsid w:val="2F11372D"/>
    <w:rsid w:val="2F1E15A0"/>
    <w:rsid w:val="2F4D1ED1"/>
    <w:rsid w:val="2F4F2898"/>
    <w:rsid w:val="2F5B62FF"/>
    <w:rsid w:val="2F8C4439"/>
    <w:rsid w:val="2F8F3F29"/>
    <w:rsid w:val="2F9B0B20"/>
    <w:rsid w:val="2FAC6889"/>
    <w:rsid w:val="2FD15864"/>
    <w:rsid w:val="2FDD2EE6"/>
    <w:rsid w:val="300435BF"/>
    <w:rsid w:val="30275F10"/>
    <w:rsid w:val="307979DE"/>
    <w:rsid w:val="3082583C"/>
    <w:rsid w:val="308A649E"/>
    <w:rsid w:val="309537C1"/>
    <w:rsid w:val="30992AF0"/>
    <w:rsid w:val="30F2476F"/>
    <w:rsid w:val="30F304E8"/>
    <w:rsid w:val="31186444"/>
    <w:rsid w:val="312C144B"/>
    <w:rsid w:val="31402948"/>
    <w:rsid w:val="314825E1"/>
    <w:rsid w:val="316915C7"/>
    <w:rsid w:val="3178194A"/>
    <w:rsid w:val="3183186B"/>
    <w:rsid w:val="318F172B"/>
    <w:rsid w:val="31A17F44"/>
    <w:rsid w:val="31C14142"/>
    <w:rsid w:val="31C30701"/>
    <w:rsid w:val="31CC0D19"/>
    <w:rsid w:val="31ED3189"/>
    <w:rsid w:val="32161A2F"/>
    <w:rsid w:val="321F7222"/>
    <w:rsid w:val="32222E32"/>
    <w:rsid w:val="323A4620"/>
    <w:rsid w:val="32672F3B"/>
    <w:rsid w:val="32847649"/>
    <w:rsid w:val="329B4993"/>
    <w:rsid w:val="32AC3044"/>
    <w:rsid w:val="32BD0DAD"/>
    <w:rsid w:val="32D85BE7"/>
    <w:rsid w:val="32E4458C"/>
    <w:rsid w:val="32EA5B01"/>
    <w:rsid w:val="32EC50D1"/>
    <w:rsid w:val="32F32D69"/>
    <w:rsid w:val="330E33B7"/>
    <w:rsid w:val="331D35FA"/>
    <w:rsid w:val="331F55C4"/>
    <w:rsid w:val="333D5A4A"/>
    <w:rsid w:val="338143E2"/>
    <w:rsid w:val="339A10EE"/>
    <w:rsid w:val="33D60378"/>
    <w:rsid w:val="33D7637B"/>
    <w:rsid w:val="33DB598F"/>
    <w:rsid w:val="33E51771"/>
    <w:rsid w:val="340A1DD0"/>
    <w:rsid w:val="340C5B48"/>
    <w:rsid w:val="34134822"/>
    <w:rsid w:val="341D7D55"/>
    <w:rsid w:val="34211F6F"/>
    <w:rsid w:val="343609D9"/>
    <w:rsid w:val="344838C6"/>
    <w:rsid w:val="34607C42"/>
    <w:rsid w:val="346C2A8B"/>
    <w:rsid w:val="347656B7"/>
    <w:rsid w:val="349B3370"/>
    <w:rsid w:val="34AC732B"/>
    <w:rsid w:val="34B54432"/>
    <w:rsid w:val="34B87A7E"/>
    <w:rsid w:val="34D16D92"/>
    <w:rsid w:val="34D35E87"/>
    <w:rsid w:val="34EF321A"/>
    <w:rsid w:val="350408C0"/>
    <w:rsid w:val="351132A0"/>
    <w:rsid w:val="35374E47"/>
    <w:rsid w:val="354D6418"/>
    <w:rsid w:val="355A0B35"/>
    <w:rsid w:val="355E0625"/>
    <w:rsid w:val="357716E7"/>
    <w:rsid w:val="358D457B"/>
    <w:rsid w:val="358D4A67"/>
    <w:rsid w:val="359027A9"/>
    <w:rsid w:val="35B02548"/>
    <w:rsid w:val="35CF32D1"/>
    <w:rsid w:val="35DA6E13"/>
    <w:rsid w:val="35DB6085"/>
    <w:rsid w:val="35E328D9"/>
    <w:rsid w:val="35E36D7D"/>
    <w:rsid w:val="35F42D38"/>
    <w:rsid w:val="360867E3"/>
    <w:rsid w:val="3619279E"/>
    <w:rsid w:val="361B5455"/>
    <w:rsid w:val="36203B2D"/>
    <w:rsid w:val="3621224A"/>
    <w:rsid w:val="36237179"/>
    <w:rsid w:val="362C7D17"/>
    <w:rsid w:val="363650FE"/>
    <w:rsid w:val="364C4922"/>
    <w:rsid w:val="36566AEC"/>
    <w:rsid w:val="36633218"/>
    <w:rsid w:val="3679148F"/>
    <w:rsid w:val="368220F2"/>
    <w:rsid w:val="368D02EB"/>
    <w:rsid w:val="36993F4C"/>
    <w:rsid w:val="36F17277"/>
    <w:rsid w:val="36FA3E2C"/>
    <w:rsid w:val="371371EE"/>
    <w:rsid w:val="37225683"/>
    <w:rsid w:val="37227431"/>
    <w:rsid w:val="372C02AF"/>
    <w:rsid w:val="376E73E8"/>
    <w:rsid w:val="377063EE"/>
    <w:rsid w:val="37A8206E"/>
    <w:rsid w:val="37B41627"/>
    <w:rsid w:val="37C404E8"/>
    <w:rsid w:val="37D22C05"/>
    <w:rsid w:val="37FD1C9D"/>
    <w:rsid w:val="381256F7"/>
    <w:rsid w:val="381E6D69"/>
    <w:rsid w:val="38305B7D"/>
    <w:rsid w:val="384855BD"/>
    <w:rsid w:val="385775AE"/>
    <w:rsid w:val="38A703B1"/>
    <w:rsid w:val="38AF2A5C"/>
    <w:rsid w:val="38CF35E8"/>
    <w:rsid w:val="38D10E11"/>
    <w:rsid w:val="39137979"/>
    <w:rsid w:val="39311BAD"/>
    <w:rsid w:val="39400042"/>
    <w:rsid w:val="39602492"/>
    <w:rsid w:val="39792378"/>
    <w:rsid w:val="39861EF9"/>
    <w:rsid w:val="39BF540B"/>
    <w:rsid w:val="39FD2DAF"/>
    <w:rsid w:val="3A1F344D"/>
    <w:rsid w:val="3A5F0EF9"/>
    <w:rsid w:val="3A920D71"/>
    <w:rsid w:val="3A922B1F"/>
    <w:rsid w:val="3A9B19D4"/>
    <w:rsid w:val="3AAC3BE1"/>
    <w:rsid w:val="3AB94550"/>
    <w:rsid w:val="3ABE37BD"/>
    <w:rsid w:val="3AE113B1"/>
    <w:rsid w:val="3B1672AC"/>
    <w:rsid w:val="3B3836C7"/>
    <w:rsid w:val="3B392B26"/>
    <w:rsid w:val="3B393738"/>
    <w:rsid w:val="3B423A2A"/>
    <w:rsid w:val="3B626996"/>
    <w:rsid w:val="3B84690C"/>
    <w:rsid w:val="3B954FF7"/>
    <w:rsid w:val="3BA64AD4"/>
    <w:rsid w:val="3BAE2B3E"/>
    <w:rsid w:val="3C0E61D6"/>
    <w:rsid w:val="3C241E9D"/>
    <w:rsid w:val="3C3107DE"/>
    <w:rsid w:val="3C7A386B"/>
    <w:rsid w:val="3C7C5835"/>
    <w:rsid w:val="3C7C75E3"/>
    <w:rsid w:val="3CA8662A"/>
    <w:rsid w:val="3CB7686D"/>
    <w:rsid w:val="3CC03910"/>
    <w:rsid w:val="3CD967E3"/>
    <w:rsid w:val="3CE13130"/>
    <w:rsid w:val="3CED6733"/>
    <w:rsid w:val="3D071CAB"/>
    <w:rsid w:val="3D204412"/>
    <w:rsid w:val="3D363C36"/>
    <w:rsid w:val="3D4307CD"/>
    <w:rsid w:val="3D821B44"/>
    <w:rsid w:val="3D89645B"/>
    <w:rsid w:val="3D8D3E1A"/>
    <w:rsid w:val="3DAB4624"/>
    <w:rsid w:val="3DB42DAD"/>
    <w:rsid w:val="3DCD6E6B"/>
    <w:rsid w:val="3DFF2539"/>
    <w:rsid w:val="3E0A1E11"/>
    <w:rsid w:val="3E1D2E8C"/>
    <w:rsid w:val="3E217CF7"/>
    <w:rsid w:val="3E224500"/>
    <w:rsid w:val="3E3A6D60"/>
    <w:rsid w:val="3E546D12"/>
    <w:rsid w:val="3E7C7D6E"/>
    <w:rsid w:val="3E9A001E"/>
    <w:rsid w:val="3EA01CAF"/>
    <w:rsid w:val="3EC904E1"/>
    <w:rsid w:val="3EE55913"/>
    <w:rsid w:val="3EEA2F2A"/>
    <w:rsid w:val="3EEA4CD8"/>
    <w:rsid w:val="3F424126"/>
    <w:rsid w:val="3F4C14EF"/>
    <w:rsid w:val="3F514D57"/>
    <w:rsid w:val="3F8A0269"/>
    <w:rsid w:val="3FBF7490"/>
    <w:rsid w:val="3FD20CE1"/>
    <w:rsid w:val="3FF57DD8"/>
    <w:rsid w:val="40054FC4"/>
    <w:rsid w:val="40161AFD"/>
    <w:rsid w:val="404448BC"/>
    <w:rsid w:val="40AB66E9"/>
    <w:rsid w:val="40C57034"/>
    <w:rsid w:val="40D55514"/>
    <w:rsid w:val="40F276D3"/>
    <w:rsid w:val="40FE0F0E"/>
    <w:rsid w:val="411249BA"/>
    <w:rsid w:val="413466DE"/>
    <w:rsid w:val="41384D9B"/>
    <w:rsid w:val="416F5968"/>
    <w:rsid w:val="41990C37"/>
    <w:rsid w:val="41AF3FB7"/>
    <w:rsid w:val="41CC2DBB"/>
    <w:rsid w:val="41CE6B33"/>
    <w:rsid w:val="42024A2E"/>
    <w:rsid w:val="422B3D00"/>
    <w:rsid w:val="42310E70"/>
    <w:rsid w:val="424554D5"/>
    <w:rsid w:val="424D66F6"/>
    <w:rsid w:val="4255177A"/>
    <w:rsid w:val="425863FC"/>
    <w:rsid w:val="42864D18"/>
    <w:rsid w:val="42C250AD"/>
    <w:rsid w:val="42C5077A"/>
    <w:rsid w:val="42D27F5D"/>
    <w:rsid w:val="42D71F86"/>
    <w:rsid w:val="42EB57F3"/>
    <w:rsid w:val="4303280C"/>
    <w:rsid w:val="430B16C1"/>
    <w:rsid w:val="431A1904"/>
    <w:rsid w:val="43244531"/>
    <w:rsid w:val="434059E8"/>
    <w:rsid w:val="43461CAB"/>
    <w:rsid w:val="434D3A87"/>
    <w:rsid w:val="436314FD"/>
    <w:rsid w:val="43761230"/>
    <w:rsid w:val="43770B04"/>
    <w:rsid w:val="437E0267"/>
    <w:rsid w:val="43821950"/>
    <w:rsid w:val="43876C92"/>
    <w:rsid w:val="43963680"/>
    <w:rsid w:val="43993170"/>
    <w:rsid w:val="43BE4985"/>
    <w:rsid w:val="43CA332A"/>
    <w:rsid w:val="43E731C5"/>
    <w:rsid w:val="43EC14F2"/>
    <w:rsid w:val="43FA3C0F"/>
    <w:rsid w:val="440700DA"/>
    <w:rsid w:val="441D78FE"/>
    <w:rsid w:val="441F3676"/>
    <w:rsid w:val="442F2A94"/>
    <w:rsid w:val="443D3AFC"/>
    <w:rsid w:val="445B0426"/>
    <w:rsid w:val="446452AC"/>
    <w:rsid w:val="44810A2A"/>
    <w:rsid w:val="448A44A5"/>
    <w:rsid w:val="449556E6"/>
    <w:rsid w:val="44A01C25"/>
    <w:rsid w:val="44AE49FA"/>
    <w:rsid w:val="44B23116"/>
    <w:rsid w:val="44B518E4"/>
    <w:rsid w:val="44BA5961"/>
    <w:rsid w:val="44C47D79"/>
    <w:rsid w:val="44C85ABB"/>
    <w:rsid w:val="44CE0BF8"/>
    <w:rsid w:val="44D0671E"/>
    <w:rsid w:val="44D3620E"/>
    <w:rsid w:val="44ED471A"/>
    <w:rsid w:val="44ED72D0"/>
    <w:rsid w:val="44F13834"/>
    <w:rsid w:val="44F7014F"/>
    <w:rsid w:val="44FF7003"/>
    <w:rsid w:val="45060392"/>
    <w:rsid w:val="450B59A8"/>
    <w:rsid w:val="45124F88"/>
    <w:rsid w:val="453D673E"/>
    <w:rsid w:val="455F7AA2"/>
    <w:rsid w:val="45806396"/>
    <w:rsid w:val="458A2D7F"/>
    <w:rsid w:val="458B7560"/>
    <w:rsid w:val="459736E0"/>
    <w:rsid w:val="45A1630C"/>
    <w:rsid w:val="45A32084"/>
    <w:rsid w:val="45AF0A29"/>
    <w:rsid w:val="45B7168C"/>
    <w:rsid w:val="45C1250B"/>
    <w:rsid w:val="45D36916"/>
    <w:rsid w:val="45DD2FDA"/>
    <w:rsid w:val="46472A10"/>
    <w:rsid w:val="46843C64"/>
    <w:rsid w:val="46A41C10"/>
    <w:rsid w:val="46E666DE"/>
    <w:rsid w:val="46E93AC7"/>
    <w:rsid w:val="46F26E20"/>
    <w:rsid w:val="46FC7C9E"/>
    <w:rsid w:val="470B57F8"/>
    <w:rsid w:val="471E29FF"/>
    <w:rsid w:val="47243D6E"/>
    <w:rsid w:val="472471F5"/>
    <w:rsid w:val="472745EF"/>
    <w:rsid w:val="473236C0"/>
    <w:rsid w:val="4739668B"/>
    <w:rsid w:val="4740402F"/>
    <w:rsid w:val="474358CD"/>
    <w:rsid w:val="474678E7"/>
    <w:rsid w:val="475C24EB"/>
    <w:rsid w:val="475C7DB9"/>
    <w:rsid w:val="477F61D9"/>
    <w:rsid w:val="47953C4F"/>
    <w:rsid w:val="47961EA1"/>
    <w:rsid w:val="47A44213"/>
    <w:rsid w:val="47A91720"/>
    <w:rsid w:val="47AA76FA"/>
    <w:rsid w:val="47B40579"/>
    <w:rsid w:val="47DC362C"/>
    <w:rsid w:val="47FA5867"/>
    <w:rsid w:val="47FF1B47"/>
    <w:rsid w:val="480B0368"/>
    <w:rsid w:val="4817039A"/>
    <w:rsid w:val="48484514"/>
    <w:rsid w:val="48547666"/>
    <w:rsid w:val="488B70C7"/>
    <w:rsid w:val="489F1C54"/>
    <w:rsid w:val="48D80297"/>
    <w:rsid w:val="48EC3D42"/>
    <w:rsid w:val="491259A6"/>
    <w:rsid w:val="49180694"/>
    <w:rsid w:val="491D6606"/>
    <w:rsid w:val="49296D45"/>
    <w:rsid w:val="49400C45"/>
    <w:rsid w:val="49506F34"/>
    <w:rsid w:val="497C0C22"/>
    <w:rsid w:val="49BE7DC6"/>
    <w:rsid w:val="49BF4FB3"/>
    <w:rsid w:val="49C83E68"/>
    <w:rsid w:val="49D61A36"/>
    <w:rsid w:val="49DE368B"/>
    <w:rsid w:val="4A030C7A"/>
    <w:rsid w:val="4A0A0924"/>
    <w:rsid w:val="4A0F5F3A"/>
    <w:rsid w:val="4A2614A0"/>
    <w:rsid w:val="4A3B6D2F"/>
    <w:rsid w:val="4A4060F4"/>
    <w:rsid w:val="4A464412"/>
    <w:rsid w:val="4A6A7B82"/>
    <w:rsid w:val="4A7144FF"/>
    <w:rsid w:val="4A7364C9"/>
    <w:rsid w:val="4A7D10F6"/>
    <w:rsid w:val="4A8061D0"/>
    <w:rsid w:val="4A834C0C"/>
    <w:rsid w:val="4A8F4985"/>
    <w:rsid w:val="4A987CDE"/>
    <w:rsid w:val="4AA07A42"/>
    <w:rsid w:val="4ABE229A"/>
    <w:rsid w:val="4AC705C3"/>
    <w:rsid w:val="4AD112BC"/>
    <w:rsid w:val="4ADA27FE"/>
    <w:rsid w:val="4ADA6548"/>
    <w:rsid w:val="4ADD3943"/>
    <w:rsid w:val="4AE90539"/>
    <w:rsid w:val="4AF91B85"/>
    <w:rsid w:val="4AFC64BF"/>
    <w:rsid w:val="4B313C8F"/>
    <w:rsid w:val="4B3D2633"/>
    <w:rsid w:val="4B6909DA"/>
    <w:rsid w:val="4B6C0C65"/>
    <w:rsid w:val="4B8D0681"/>
    <w:rsid w:val="4B995CE0"/>
    <w:rsid w:val="4BA356C8"/>
    <w:rsid w:val="4BB5666E"/>
    <w:rsid w:val="4BCD1C09"/>
    <w:rsid w:val="4BD905AE"/>
    <w:rsid w:val="4BDF36EB"/>
    <w:rsid w:val="4BF953A4"/>
    <w:rsid w:val="4C0F3FD0"/>
    <w:rsid w:val="4C2B277A"/>
    <w:rsid w:val="4C2C4B82"/>
    <w:rsid w:val="4C2F6420"/>
    <w:rsid w:val="4C5C1AED"/>
    <w:rsid w:val="4CA06E6A"/>
    <w:rsid w:val="4CAF7561"/>
    <w:rsid w:val="4CBD1C7E"/>
    <w:rsid w:val="4CD927C4"/>
    <w:rsid w:val="4CE90CC5"/>
    <w:rsid w:val="4CED1DD3"/>
    <w:rsid w:val="4CEF795D"/>
    <w:rsid w:val="4CFE5DF2"/>
    <w:rsid w:val="4D027691"/>
    <w:rsid w:val="4D137AF0"/>
    <w:rsid w:val="4D195D2A"/>
    <w:rsid w:val="4D1A70D0"/>
    <w:rsid w:val="4D2211D8"/>
    <w:rsid w:val="4D42093A"/>
    <w:rsid w:val="4D673998"/>
    <w:rsid w:val="4DEB281B"/>
    <w:rsid w:val="4E3A59BC"/>
    <w:rsid w:val="4E451F2B"/>
    <w:rsid w:val="4E4E3531"/>
    <w:rsid w:val="4E5959D6"/>
    <w:rsid w:val="4E65437B"/>
    <w:rsid w:val="4E6B74B7"/>
    <w:rsid w:val="4E6C395B"/>
    <w:rsid w:val="4E9764FE"/>
    <w:rsid w:val="4EA2112B"/>
    <w:rsid w:val="4EAD7AD0"/>
    <w:rsid w:val="4ED92673"/>
    <w:rsid w:val="4F204746"/>
    <w:rsid w:val="4F2730B0"/>
    <w:rsid w:val="4F304989"/>
    <w:rsid w:val="4F41314E"/>
    <w:rsid w:val="4F6E54B1"/>
    <w:rsid w:val="4F702FD7"/>
    <w:rsid w:val="4FBC621D"/>
    <w:rsid w:val="50047BC4"/>
    <w:rsid w:val="507210BD"/>
    <w:rsid w:val="50812FC2"/>
    <w:rsid w:val="508A631B"/>
    <w:rsid w:val="5099030C"/>
    <w:rsid w:val="50A078EC"/>
    <w:rsid w:val="50B341F7"/>
    <w:rsid w:val="50C335DB"/>
    <w:rsid w:val="50D36CAA"/>
    <w:rsid w:val="50DD469C"/>
    <w:rsid w:val="50F67349"/>
    <w:rsid w:val="5139389D"/>
    <w:rsid w:val="5153495F"/>
    <w:rsid w:val="51622D02"/>
    <w:rsid w:val="516A3A56"/>
    <w:rsid w:val="51883842"/>
    <w:rsid w:val="518B234A"/>
    <w:rsid w:val="519318B8"/>
    <w:rsid w:val="51937451"/>
    <w:rsid w:val="51A45CFD"/>
    <w:rsid w:val="51C4585C"/>
    <w:rsid w:val="51C67325"/>
    <w:rsid w:val="51D05FAF"/>
    <w:rsid w:val="51E11F6A"/>
    <w:rsid w:val="51E952C3"/>
    <w:rsid w:val="520774F7"/>
    <w:rsid w:val="522D51B0"/>
    <w:rsid w:val="525A7F6F"/>
    <w:rsid w:val="526134F3"/>
    <w:rsid w:val="526931B9"/>
    <w:rsid w:val="52905E25"/>
    <w:rsid w:val="529451C4"/>
    <w:rsid w:val="529C40E3"/>
    <w:rsid w:val="52C8312A"/>
    <w:rsid w:val="52CF44B9"/>
    <w:rsid w:val="530107CC"/>
    <w:rsid w:val="53025ED5"/>
    <w:rsid w:val="5302663C"/>
    <w:rsid w:val="5305612D"/>
    <w:rsid w:val="53185E60"/>
    <w:rsid w:val="534357AA"/>
    <w:rsid w:val="53514ECE"/>
    <w:rsid w:val="5362532D"/>
    <w:rsid w:val="53815038"/>
    <w:rsid w:val="539B77BD"/>
    <w:rsid w:val="53B042EA"/>
    <w:rsid w:val="53BB67EB"/>
    <w:rsid w:val="53C9715A"/>
    <w:rsid w:val="53F51CFD"/>
    <w:rsid w:val="53FA7313"/>
    <w:rsid w:val="54244390"/>
    <w:rsid w:val="54370568"/>
    <w:rsid w:val="543958AF"/>
    <w:rsid w:val="545A6004"/>
    <w:rsid w:val="545C3B2A"/>
    <w:rsid w:val="54684BC5"/>
    <w:rsid w:val="54A1259F"/>
    <w:rsid w:val="54EA382C"/>
    <w:rsid w:val="551951A3"/>
    <w:rsid w:val="555E38D2"/>
    <w:rsid w:val="55676C2B"/>
    <w:rsid w:val="55735DDC"/>
    <w:rsid w:val="55AF2380"/>
    <w:rsid w:val="55B41744"/>
    <w:rsid w:val="55CF47D0"/>
    <w:rsid w:val="562E599A"/>
    <w:rsid w:val="56335624"/>
    <w:rsid w:val="567D422C"/>
    <w:rsid w:val="56B45E9F"/>
    <w:rsid w:val="56B85264"/>
    <w:rsid w:val="56DC3AF1"/>
    <w:rsid w:val="56E21092"/>
    <w:rsid w:val="57236B1A"/>
    <w:rsid w:val="573967DC"/>
    <w:rsid w:val="574134AB"/>
    <w:rsid w:val="575017EB"/>
    <w:rsid w:val="57AF22B0"/>
    <w:rsid w:val="57AF48B9"/>
    <w:rsid w:val="57BB500C"/>
    <w:rsid w:val="57CC7219"/>
    <w:rsid w:val="57CE11E3"/>
    <w:rsid w:val="57D460CD"/>
    <w:rsid w:val="57D55747"/>
    <w:rsid w:val="57DA75C4"/>
    <w:rsid w:val="57EE53E1"/>
    <w:rsid w:val="5809221B"/>
    <w:rsid w:val="581F37ED"/>
    <w:rsid w:val="582E4F8E"/>
    <w:rsid w:val="58381CA0"/>
    <w:rsid w:val="587D49B7"/>
    <w:rsid w:val="58823D7B"/>
    <w:rsid w:val="588D4BFA"/>
    <w:rsid w:val="589870FB"/>
    <w:rsid w:val="58D2085F"/>
    <w:rsid w:val="58D7052F"/>
    <w:rsid w:val="58DB77F6"/>
    <w:rsid w:val="58E014AC"/>
    <w:rsid w:val="58F93A92"/>
    <w:rsid w:val="58FA6008"/>
    <w:rsid w:val="58FB7309"/>
    <w:rsid w:val="590454E8"/>
    <w:rsid w:val="59050C34"/>
    <w:rsid w:val="5928261F"/>
    <w:rsid w:val="59381673"/>
    <w:rsid w:val="594114A7"/>
    <w:rsid w:val="598558D1"/>
    <w:rsid w:val="59BE2F36"/>
    <w:rsid w:val="5A36306F"/>
    <w:rsid w:val="5A455061"/>
    <w:rsid w:val="5A5A147A"/>
    <w:rsid w:val="5A736072"/>
    <w:rsid w:val="5A955FE8"/>
    <w:rsid w:val="5AC27BA3"/>
    <w:rsid w:val="5AC72DBB"/>
    <w:rsid w:val="5AC9641E"/>
    <w:rsid w:val="5ACB1A0A"/>
    <w:rsid w:val="5AD20FEA"/>
    <w:rsid w:val="5AE91E90"/>
    <w:rsid w:val="5AFA409D"/>
    <w:rsid w:val="5B171764"/>
    <w:rsid w:val="5B4E79DC"/>
    <w:rsid w:val="5B6F05E7"/>
    <w:rsid w:val="5BB701E0"/>
    <w:rsid w:val="5BC70423"/>
    <w:rsid w:val="5BFE7BBD"/>
    <w:rsid w:val="5C1318BA"/>
    <w:rsid w:val="5C2A2760"/>
    <w:rsid w:val="5C5B6DBD"/>
    <w:rsid w:val="5C69772C"/>
    <w:rsid w:val="5C6E4D42"/>
    <w:rsid w:val="5C862E2F"/>
    <w:rsid w:val="5C8E7193"/>
    <w:rsid w:val="5CB12E81"/>
    <w:rsid w:val="5CCA1DF3"/>
    <w:rsid w:val="5CD916E6"/>
    <w:rsid w:val="5CDB3A5A"/>
    <w:rsid w:val="5CE13766"/>
    <w:rsid w:val="5CEE378D"/>
    <w:rsid w:val="5CF35248"/>
    <w:rsid w:val="5D0016B7"/>
    <w:rsid w:val="5D1F7DEB"/>
    <w:rsid w:val="5D303DA6"/>
    <w:rsid w:val="5D487342"/>
    <w:rsid w:val="5D663C6C"/>
    <w:rsid w:val="5D9E6F62"/>
    <w:rsid w:val="5DA0481A"/>
    <w:rsid w:val="5DA622BA"/>
    <w:rsid w:val="5DAA4E8C"/>
    <w:rsid w:val="5DAF73C1"/>
    <w:rsid w:val="5DB70023"/>
    <w:rsid w:val="5DC1697B"/>
    <w:rsid w:val="5DE73612"/>
    <w:rsid w:val="5E055233"/>
    <w:rsid w:val="5E06456C"/>
    <w:rsid w:val="5E0F1C0D"/>
    <w:rsid w:val="5E90073D"/>
    <w:rsid w:val="5EA54320"/>
    <w:rsid w:val="5ECE3876"/>
    <w:rsid w:val="5F08322C"/>
    <w:rsid w:val="5F097171"/>
    <w:rsid w:val="5F1C0A86"/>
    <w:rsid w:val="5F337B7D"/>
    <w:rsid w:val="5F3F6522"/>
    <w:rsid w:val="5F434264"/>
    <w:rsid w:val="5F584042"/>
    <w:rsid w:val="5F5C5326"/>
    <w:rsid w:val="5F5F4E16"/>
    <w:rsid w:val="5F685A79"/>
    <w:rsid w:val="5F720D05"/>
    <w:rsid w:val="5F7A755A"/>
    <w:rsid w:val="5FA0342D"/>
    <w:rsid w:val="5FA8056B"/>
    <w:rsid w:val="5FB23198"/>
    <w:rsid w:val="60121E89"/>
    <w:rsid w:val="6058457E"/>
    <w:rsid w:val="60780305"/>
    <w:rsid w:val="608E7761"/>
    <w:rsid w:val="609B00D0"/>
    <w:rsid w:val="60A472FD"/>
    <w:rsid w:val="60B30F76"/>
    <w:rsid w:val="60B63FB4"/>
    <w:rsid w:val="60BB4A03"/>
    <w:rsid w:val="60DA29A7"/>
    <w:rsid w:val="611539DF"/>
    <w:rsid w:val="61271B17"/>
    <w:rsid w:val="613E52EB"/>
    <w:rsid w:val="6166423A"/>
    <w:rsid w:val="61881C02"/>
    <w:rsid w:val="61AF3E33"/>
    <w:rsid w:val="61C45ABA"/>
    <w:rsid w:val="61CB0541"/>
    <w:rsid w:val="61CD3451"/>
    <w:rsid w:val="61D54F1C"/>
    <w:rsid w:val="61EE2C12"/>
    <w:rsid w:val="620B5A44"/>
    <w:rsid w:val="621C6FEF"/>
    <w:rsid w:val="621F43E9"/>
    <w:rsid w:val="62214605"/>
    <w:rsid w:val="62344338"/>
    <w:rsid w:val="624F4CCE"/>
    <w:rsid w:val="62500A46"/>
    <w:rsid w:val="62562501"/>
    <w:rsid w:val="625E3163"/>
    <w:rsid w:val="626B762E"/>
    <w:rsid w:val="627961EF"/>
    <w:rsid w:val="628A3F58"/>
    <w:rsid w:val="628C74D7"/>
    <w:rsid w:val="629D3C8C"/>
    <w:rsid w:val="62A21FF1"/>
    <w:rsid w:val="62D81168"/>
    <w:rsid w:val="62F85366"/>
    <w:rsid w:val="62FF66F4"/>
    <w:rsid w:val="630C48EC"/>
    <w:rsid w:val="633C6ADE"/>
    <w:rsid w:val="63520F1A"/>
    <w:rsid w:val="635B76A3"/>
    <w:rsid w:val="63671A75"/>
    <w:rsid w:val="63870498"/>
    <w:rsid w:val="63952BB5"/>
    <w:rsid w:val="63957059"/>
    <w:rsid w:val="63B07D2A"/>
    <w:rsid w:val="63D133A8"/>
    <w:rsid w:val="63DA0F0F"/>
    <w:rsid w:val="63E453B6"/>
    <w:rsid w:val="63FB59C5"/>
    <w:rsid w:val="64214F93"/>
    <w:rsid w:val="64354398"/>
    <w:rsid w:val="6459716B"/>
    <w:rsid w:val="64642182"/>
    <w:rsid w:val="648C045C"/>
    <w:rsid w:val="64D248F0"/>
    <w:rsid w:val="64D96253"/>
    <w:rsid w:val="64F34037"/>
    <w:rsid w:val="65044496"/>
    <w:rsid w:val="6537195E"/>
    <w:rsid w:val="653C55F0"/>
    <w:rsid w:val="654F4FE5"/>
    <w:rsid w:val="65516FAF"/>
    <w:rsid w:val="655E16AA"/>
    <w:rsid w:val="656071F2"/>
    <w:rsid w:val="65622F6B"/>
    <w:rsid w:val="65A6425C"/>
    <w:rsid w:val="65BD4645"/>
    <w:rsid w:val="65C9123C"/>
    <w:rsid w:val="65D5198E"/>
    <w:rsid w:val="65E16737"/>
    <w:rsid w:val="661324B7"/>
    <w:rsid w:val="662446C4"/>
    <w:rsid w:val="66332254"/>
    <w:rsid w:val="66410DD2"/>
    <w:rsid w:val="664545A7"/>
    <w:rsid w:val="6654299D"/>
    <w:rsid w:val="66891737"/>
    <w:rsid w:val="66E856F1"/>
    <w:rsid w:val="66FD119D"/>
    <w:rsid w:val="671309C0"/>
    <w:rsid w:val="671E0561"/>
    <w:rsid w:val="6740552D"/>
    <w:rsid w:val="67542D87"/>
    <w:rsid w:val="67636FCF"/>
    <w:rsid w:val="6784541A"/>
    <w:rsid w:val="679F2254"/>
    <w:rsid w:val="67AC671F"/>
    <w:rsid w:val="67DA7730"/>
    <w:rsid w:val="67EA6081"/>
    <w:rsid w:val="67EB5E06"/>
    <w:rsid w:val="682676EC"/>
    <w:rsid w:val="68273FF7"/>
    <w:rsid w:val="68773BBF"/>
    <w:rsid w:val="688558EE"/>
    <w:rsid w:val="688F051A"/>
    <w:rsid w:val="68B55CD6"/>
    <w:rsid w:val="68C4098D"/>
    <w:rsid w:val="68DB3760"/>
    <w:rsid w:val="68EE53C3"/>
    <w:rsid w:val="68F4037D"/>
    <w:rsid w:val="690D6FEC"/>
    <w:rsid w:val="692C7B17"/>
    <w:rsid w:val="69643755"/>
    <w:rsid w:val="696E0130"/>
    <w:rsid w:val="69872FA0"/>
    <w:rsid w:val="69B3188B"/>
    <w:rsid w:val="69BF35F2"/>
    <w:rsid w:val="69E214AB"/>
    <w:rsid w:val="69E77EE2"/>
    <w:rsid w:val="69F148BD"/>
    <w:rsid w:val="6A130CD7"/>
    <w:rsid w:val="6A3F1ACC"/>
    <w:rsid w:val="6A46342B"/>
    <w:rsid w:val="6A4B7D7B"/>
    <w:rsid w:val="6A4D243B"/>
    <w:rsid w:val="6A523D66"/>
    <w:rsid w:val="6A550E7D"/>
    <w:rsid w:val="6A630508"/>
    <w:rsid w:val="6A682BE6"/>
    <w:rsid w:val="6A6D73D5"/>
    <w:rsid w:val="6AA10091"/>
    <w:rsid w:val="6AA560DB"/>
    <w:rsid w:val="6AB9187F"/>
    <w:rsid w:val="6AC124E1"/>
    <w:rsid w:val="6ACA27C5"/>
    <w:rsid w:val="6AD93CCF"/>
    <w:rsid w:val="6AE306AA"/>
    <w:rsid w:val="6AED777A"/>
    <w:rsid w:val="6AF560F4"/>
    <w:rsid w:val="6AFE295E"/>
    <w:rsid w:val="6B087B15"/>
    <w:rsid w:val="6B1C3BBC"/>
    <w:rsid w:val="6B482C03"/>
    <w:rsid w:val="6B5275DD"/>
    <w:rsid w:val="6B96571C"/>
    <w:rsid w:val="6BA77929"/>
    <w:rsid w:val="6BB87D88"/>
    <w:rsid w:val="6BBA58AE"/>
    <w:rsid w:val="6BC16BAF"/>
    <w:rsid w:val="6BC40333"/>
    <w:rsid w:val="6BEF307E"/>
    <w:rsid w:val="6BF3491C"/>
    <w:rsid w:val="6BF677F3"/>
    <w:rsid w:val="6C081FC1"/>
    <w:rsid w:val="6C360CAD"/>
    <w:rsid w:val="6C4E4249"/>
    <w:rsid w:val="6C553829"/>
    <w:rsid w:val="6C5630FD"/>
    <w:rsid w:val="6C7D68DC"/>
    <w:rsid w:val="6C89702F"/>
    <w:rsid w:val="6CB77C09"/>
    <w:rsid w:val="6CE90A98"/>
    <w:rsid w:val="6CF9240B"/>
    <w:rsid w:val="6D48513C"/>
    <w:rsid w:val="6D5B6C1D"/>
    <w:rsid w:val="6D6476CF"/>
    <w:rsid w:val="6DA4643F"/>
    <w:rsid w:val="6DA5433C"/>
    <w:rsid w:val="6DA95E85"/>
    <w:rsid w:val="6DEC6BCD"/>
    <w:rsid w:val="6E050C20"/>
    <w:rsid w:val="6E1119D2"/>
    <w:rsid w:val="6E1F40EF"/>
    <w:rsid w:val="6E30412A"/>
    <w:rsid w:val="6E471F4D"/>
    <w:rsid w:val="6E600263"/>
    <w:rsid w:val="6E625D89"/>
    <w:rsid w:val="6E6506EE"/>
    <w:rsid w:val="6E6D5914"/>
    <w:rsid w:val="6E6E472E"/>
    <w:rsid w:val="6E8862B4"/>
    <w:rsid w:val="6E891670"/>
    <w:rsid w:val="6E9C129B"/>
    <w:rsid w:val="6EA61570"/>
    <w:rsid w:val="6ECB03FB"/>
    <w:rsid w:val="6ED30A35"/>
    <w:rsid w:val="6EDA6095"/>
    <w:rsid w:val="6EF2535F"/>
    <w:rsid w:val="6EF530A1"/>
    <w:rsid w:val="6F12155D"/>
    <w:rsid w:val="6F2D6397"/>
    <w:rsid w:val="6F305E87"/>
    <w:rsid w:val="6F3977C0"/>
    <w:rsid w:val="6F3A0AB4"/>
    <w:rsid w:val="6F410095"/>
    <w:rsid w:val="6F450F10"/>
    <w:rsid w:val="6F4F0424"/>
    <w:rsid w:val="6F5A1441"/>
    <w:rsid w:val="6F6049BF"/>
    <w:rsid w:val="6F675D4D"/>
    <w:rsid w:val="6F6D49E6"/>
    <w:rsid w:val="6F997ED1"/>
    <w:rsid w:val="6FB05AD0"/>
    <w:rsid w:val="6FB70357"/>
    <w:rsid w:val="6FB978CB"/>
    <w:rsid w:val="6FC52A74"/>
    <w:rsid w:val="6FE0340A"/>
    <w:rsid w:val="6FEF093F"/>
    <w:rsid w:val="7000707A"/>
    <w:rsid w:val="70031153"/>
    <w:rsid w:val="70082909"/>
    <w:rsid w:val="70180DF5"/>
    <w:rsid w:val="70310109"/>
    <w:rsid w:val="705931BC"/>
    <w:rsid w:val="70650803"/>
    <w:rsid w:val="70C525FF"/>
    <w:rsid w:val="70C90342"/>
    <w:rsid w:val="70CE3BAA"/>
    <w:rsid w:val="70D50F7E"/>
    <w:rsid w:val="70F250FA"/>
    <w:rsid w:val="70F57389"/>
    <w:rsid w:val="71035FB5"/>
    <w:rsid w:val="71341C5F"/>
    <w:rsid w:val="7137174F"/>
    <w:rsid w:val="713B0076"/>
    <w:rsid w:val="713C6D66"/>
    <w:rsid w:val="7148395C"/>
    <w:rsid w:val="71663DE2"/>
    <w:rsid w:val="717604C9"/>
    <w:rsid w:val="71834994"/>
    <w:rsid w:val="718D136F"/>
    <w:rsid w:val="71B20DD6"/>
    <w:rsid w:val="71BB412E"/>
    <w:rsid w:val="71C85AF3"/>
    <w:rsid w:val="72022824"/>
    <w:rsid w:val="72023B0B"/>
    <w:rsid w:val="72111FA0"/>
    <w:rsid w:val="72161069"/>
    <w:rsid w:val="72281098"/>
    <w:rsid w:val="72327200"/>
    <w:rsid w:val="724F0D1A"/>
    <w:rsid w:val="727C3822"/>
    <w:rsid w:val="729E4478"/>
    <w:rsid w:val="72AA7CFF"/>
    <w:rsid w:val="72BB3CBA"/>
    <w:rsid w:val="72CE7E91"/>
    <w:rsid w:val="72E476B5"/>
    <w:rsid w:val="72ED450E"/>
    <w:rsid w:val="72F571CC"/>
    <w:rsid w:val="731C6E4F"/>
    <w:rsid w:val="73247AB1"/>
    <w:rsid w:val="732775A1"/>
    <w:rsid w:val="73351CBE"/>
    <w:rsid w:val="733F0D8F"/>
    <w:rsid w:val="734B5EE5"/>
    <w:rsid w:val="734E5E3C"/>
    <w:rsid w:val="734F0FD2"/>
    <w:rsid w:val="73577E87"/>
    <w:rsid w:val="735A34D3"/>
    <w:rsid w:val="735F08EC"/>
    <w:rsid w:val="73636FEB"/>
    <w:rsid w:val="736A5E0C"/>
    <w:rsid w:val="737E3665"/>
    <w:rsid w:val="737F2F3A"/>
    <w:rsid w:val="738549F4"/>
    <w:rsid w:val="73880040"/>
    <w:rsid w:val="738B18DE"/>
    <w:rsid w:val="73A40BF2"/>
    <w:rsid w:val="73B36974"/>
    <w:rsid w:val="73B52DFF"/>
    <w:rsid w:val="73DC4C50"/>
    <w:rsid w:val="73F648AF"/>
    <w:rsid w:val="73F8607C"/>
    <w:rsid w:val="740022CC"/>
    <w:rsid w:val="74257F85"/>
    <w:rsid w:val="74463A57"/>
    <w:rsid w:val="746E36DA"/>
    <w:rsid w:val="74836A59"/>
    <w:rsid w:val="748D1686"/>
    <w:rsid w:val="749C0F67"/>
    <w:rsid w:val="74B530B7"/>
    <w:rsid w:val="74C07CAE"/>
    <w:rsid w:val="74E253FA"/>
    <w:rsid w:val="74EC45FF"/>
    <w:rsid w:val="751735CE"/>
    <w:rsid w:val="751A73BE"/>
    <w:rsid w:val="7548217D"/>
    <w:rsid w:val="755723C0"/>
    <w:rsid w:val="75720710"/>
    <w:rsid w:val="757A60AE"/>
    <w:rsid w:val="75BA46FD"/>
    <w:rsid w:val="75C630A2"/>
    <w:rsid w:val="75C86E1A"/>
    <w:rsid w:val="75E1612D"/>
    <w:rsid w:val="75F776FF"/>
    <w:rsid w:val="760D2FC2"/>
    <w:rsid w:val="761107C1"/>
    <w:rsid w:val="76404C02"/>
    <w:rsid w:val="764364A0"/>
    <w:rsid w:val="764566BC"/>
    <w:rsid w:val="765608C9"/>
    <w:rsid w:val="76746FA2"/>
    <w:rsid w:val="769048B8"/>
    <w:rsid w:val="76B949B4"/>
    <w:rsid w:val="76BB279C"/>
    <w:rsid w:val="76F13039"/>
    <w:rsid w:val="77200C8C"/>
    <w:rsid w:val="77287243"/>
    <w:rsid w:val="77383B2B"/>
    <w:rsid w:val="773D7394"/>
    <w:rsid w:val="77416534"/>
    <w:rsid w:val="776112D4"/>
    <w:rsid w:val="777728A5"/>
    <w:rsid w:val="77882D05"/>
    <w:rsid w:val="778925D9"/>
    <w:rsid w:val="77955421"/>
    <w:rsid w:val="77B67B60"/>
    <w:rsid w:val="77B77146"/>
    <w:rsid w:val="77B92418"/>
    <w:rsid w:val="77BC650A"/>
    <w:rsid w:val="77BD67D0"/>
    <w:rsid w:val="77C41863"/>
    <w:rsid w:val="77C47AB5"/>
    <w:rsid w:val="77CA50CB"/>
    <w:rsid w:val="77FC724F"/>
    <w:rsid w:val="7802352D"/>
    <w:rsid w:val="78133E0A"/>
    <w:rsid w:val="78151B0D"/>
    <w:rsid w:val="7826607A"/>
    <w:rsid w:val="783E7867"/>
    <w:rsid w:val="784C3D32"/>
    <w:rsid w:val="7855070D"/>
    <w:rsid w:val="786848E4"/>
    <w:rsid w:val="786A240A"/>
    <w:rsid w:val="7881167C"/>
    <w:rsid w:val="7893266F"/>
    <w:rsid w:val="789D27E0"/>
    <w:rsid w:val="78A3591C"/>
    <w:rsid w:val="78A6284A"/>
    <w:rsid w:val="78D519BC"/>
    <w:rsid w:val="79183C14"/>
    <w:rsid w:val="79294073"/>
    <w:rsid w:val="79312F28"/>
    <w:rsid w:val="79354B87"/>
    <w:rsid w:val="794C38BE"/>
    <w:rsid w:val="79711956"/>
    <w:rsid w:val="79AC0800"/>
    <w:rsid w:val="79C542E2"/>
    <w:rsid w:val="7A01043A"/>
    <w:rsid w:val="7A0348C4"/>
    <w:rsid w:val="7A0B3779"/>
    <w:rsid w:val="7A3031E0"/>
    <w:rsid w:val="7A431165"/>
    <w:rsid w:val="7A756E44"/>
    <w:rsid w:val="7A804167"/>
    <w:rsid w:val="7A8760AF"/>
    <w:rsid w:val="7AB23BF5"/>
    <w:rsid w:val="7AF40B71"/>
    <w:rsid w:val="7AF55C68"/>
    <w:rsid w:val="7B0A57DF"/>
    <w:rsid w:val="7B0C77A9"/>
    <w:rsid w:val="7B1B79EC"/>
    <w:rsid w:val="7B1D6C7F"/>
    <w:rsid w:val="7B334D35"/>
    <w:rsid w:val="7B494559"/>
    <w:rsid w:val="7B615D46"/>
    <w:rsid w:val="7B66335D"/>
    <w:rsid w:val="7B6A2721"/>
    <w:rsid w:val="7B6F725E"/>
    <w:rsid w:val="7B7D2454"/>
    <w:rsid w:val="7BAA404C"/>
    <w:rsid w:val="7BB35E76"/>
    <w:rsid w:val="7BBA5BAA"/>
    <w:rsid w:val="7BC40083"/>
    <w:rsid w:val="7BDC3B39"/>
    <w:rsid w:val="7BE44282"/>
    <w:rsid w:val="7C305719"/>
    <w:rsid w:val="7C4B2553"/>
    <w:rsid w:val="7C5B064D"/>
    <w:rsid w:val="7C5E5DE2"/>
    <w:rsid w:val="7C745605"/>
    <w:rsid w:val="7CAF4890"/>
    <w:rsid w:val="7CAF663E"/>
    <w:rsid w:val="7CB9763A"/>
    <w:rsid w:val="7CD24A22"/>
    <w:rsid w:val="7CF44998"/>
    <w:rsid w:val="7CFA10AF"/>
    <w:rsid w:val="7D6733BC"/>
    <w:rsid w:val="7D821FA4"/>
    <w:rsid w:val="7D8253F9"/>
    <w:rsid w:val="7D83519D"/>
    <w:rsid w:val="7D91104F"/>
    <w:rsid w:val="7DC9119F"/>
    <w:rsid w:val="7DEE6AE3"/>
    <w:rsid w:val="7E0B01EB"/>
    <w:rsid w:val="7E0E3838"/>
    <w:rsid w:val="7E254A57"/>
    <w:rsid w:val="7E332273"/>
    <w:rsid w:val="7EA146AC"/>
    <w:rsid w:val="7EE2719E"/>
    <w:rsid w:val="7EF32997"/>
    <w:rsid w:val="7F08297D"/>
    <w:rsid w:val="7F087642"/>
    <w:rsid w:val="7F1B445E"/>
    <w:rsid w:val="7F201A75"/>
    <w:rsid w:val="7F5436D8"/>
    <w:rsid w:val="7F547970"/>
    <w:rsid w:val="7F763505"/>
    <w:rsid w:val="7F7818B1"/>
    <w:rsid w:val="7F8F1EB3"/>
    <w:rsid w:val="7F9A1827"/>
    <w:rsid w:val="7F9F0C78"/>
    <w:rsid w:val="7FAE5313"/>
    <w:rsid w:val="7FD0349B"/>
    <w:rsid w:val="7FE664E1"/>
    <w:rsid w:val="7FE9630A"/>
    <w:rsid w:val="7FFF168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4">
    <w:name w:val="heading 1"/>
    <w:basedOn w:val="1"/>
    <w:next w:val="1"/>
    <w:link w:val="71"/>
    <w:qFormat/>
    <w:uiPriority w:val="0"/>
    <w:pPr>
      <w:keepNext/>
      <w:tabs>
        <w:tab w:val="left" w:pos="3360"/>
      </w:tabs>
      <w:snapToGrid w:val="0"/>
      <w:spacing w:before="312" w:beforeLines="100" w:beforeAutospacing="0" w:after="156" w:afterLines="50" w:afterAutospacing="0" w:line="800" w:lineRule="atLeast"/>
      <w:jc w:val="center"/>
      <w:outlineLvl w:val="0"/>
    </w:pPr>
    <w:rPr>
      <w:rFonts w:eastAsia="黑体"/>
      <w:sz w:val="44"/>
    </w:rPr>
  </w:style>
  <w:style w:type="paragraph" w:styleId="5">
    <w:name w:val="heading 2"/>
    <w:basedOn w:val="1"/>
    <w:next w:val="1"/>
    <w:link w:val="72"/>
    <w:qFormat/>
    <w:uiPriority w:val="0"/>
    <w:pPr>
      <w:keepNext/>
      <w:keepLines/>
      <w:adjustRightInd w:val="0"/>
      <w:snapToGrid w:val="0"/>
      <w:spacing w:line="360" w:lineRule="auto"/>
      <w:outlineLvl w:val="1"/>
    </w:pPr>
    <w:rPr>
      <w:rFonts w:ascii="宋体" w:hAnsi="宋体" w:eastAsia="宋体"/>
      <w:b/>
    </w:rPr>
  </w:style>
  <w:style w:type="paragraph" w:styleId="6">
    <w:name w:val="heading 3"/>
    <w:basedOn w:val="1"/>
    <w:next w:val="1"/>
    <w:link w:val="73"/>
    <w:qFormat/>
    <w:uiPriority w:val="0"/>
    <w:pPr>
      <w:keepNext/>
      <w:keepLines/>
      <w:spacing w:before="260" w:beforeLines="0" w:beforeAutospacing="0" w:after="260" w:afterLines="0" w:afterAutospacing="0" w:line="413" w:lineRule="auto"/>
      <w:jc w:val="center"/>
      <w:outlineLvl w:val="2"/>
    </w:pPr>
    <w:rPr>
      <w:b/>
      <w:sz w:val="44"/>
    </w:rPr>
  </w:style>
  <w:style w:type="paragraph" w:styleId="7">
    <w:name w:val="heading 4"/>
    <w:basedOn w:val="1"/>
    <w:next w:val="1"/>
    <w:qFormat/>
    <w:uiPriority w:val="0"/>
    <w:pPr>
      <w:keepNext/>
      <w:keepLines/>
      <w:numPr>
        <w:ilvl w:val="0"/>
        <w:numId w:val="1"/>
      </w:numPr>
      <w:spacing w:before="560" w:beforeLines="0" w:after="290" w:afterLines="0" w:line="377" w:lineRule="auto"/>
      <w:outlineLvl w:val="3"/>
    </w:pPr>
    <w:rPr>
      <w:rFonts w:ascii="Arial" w:hAnsi="Arial" w:eastAsia="黑体"/>
      <w:b/>
    </w:rPr>
  </w:style>
  <w:style w:type="paragraph" w:styleId="8">
    <w:name w:val="heading 5"/>
    <w:basedOn w:val="1"/>
    <w:next w:val="1"/>
    <w:qFormat/>
    <w:uiPriority w:val="0"/>
    <w:pPr>
      <w:keepNext/>
      <w:keepLines/>
      <w:tabs>
        <w:tab w:val="left" w:pos="2551"/>
      </w:tabs>
      <w:spacing w:before="280" w:beforeLines="0" w:beforeAutospacing="0" w:after="290" w:afterLines="0" w:afterAutospacing="0" w:line="372" w:lineRule="auto"/>
      <w:ind w:left="2551" w:hanging="850"/>
      <w:outlineLvl w:val="4"/>
    </w:pPr>
    <w:rPr>
      <w:b/>
    </w:rPr>
  </w:style>
  <w:style w:type="paragraph" w:styleId="9">
    <w:name w:val="heading 6"/>
    <w:basedOn w:val="1"/>
    <w:next w:val="1"/>
    <w:qFormat/>
    <w:uiPriority w:val="0"/>
    <w:pPr>
      <w:keepNext/>
      <w:keepLines/>
      <w:tabs>
        <w:tab w:val="left" w:pos="1152"/>
      </w:tabs>
      <w:adjustRightInd w:val="0"/>
      <w:snapToGrid w:val="0"/>
      <w:spacing w:before="240" w:beforeLines="0" w:beforeAutospacing="0" w:after="64" w:afterLines="0" w:afterAutospacing="0" w:line="317" w:lineRule="auto"/>
      <w:ind w:left="1152" w:hanging="1152"/>
      <w:outlineLvl w:val="5"/>
    </w:pPr>
    <w:rPr>
      <w:rFonts w:ascii="Arial" w:hAnsi="Arial" w:eastAsia="黑体"/>
      <w:b/>
      <w:sz w:val="24"/>
    </w:rPr>
  </w:style>
  <w:style w:type="paragraph" w:styleId="10">
    <w:name w:val="heading 7"/>
    <w:basedOn w:val="1"/>
    <w:next w:val="1"/>
    <w:qFormat/>
    <w:uiPriority w:val="0"/>
    <w:pPr>
      <w:keepNext/>
      <w:keepLines/>
      <w:tabs>
        <w:tab w:val="left" w:pos="1296"/>
      </w:tabs>
      <w:adjustRightInd w:val="0"/>
      <w:snapToGrid w:val="0"/>
      <w:spacing w:before="240" w:beforeLines="0" w:beforeAutospacing="0" w:after="64" w:afterLines="0" w:afterAutospacing="0" w:line="317" w:lineRule="auto"/>
      <w:ind w:left="1296" w:hanging="1296"/>
      <w:outlineLvl w:val="6"/>
    </w:pPr>
    <w:rPr>
      <w:rFonts w:ascii="Arial" w:hAnsi="Arial" w:eastAsia="黑体"/>
      <w:b/>
      <w:sz w:val="24"/>
    </w:rPr>
  </w:style>
  <w:style w:type="paragraph" w:styleId="11">
    <w:name w:val="heading 8"/>
    <w:basedOn w:val="1"/>
    <w:next w:val="1"/>
    <w:qFormat/>
    <w:uiPriority w:val="0"/>
    <w:pPr>
      <w:keepNext/>
      <w:keepLines/>
      <w:tabs>
        <w:tab w:val="left" w:pos="1440"/>
      </w:tabs>
      <w:adjustRightInd w:val="0"/>
      <w:snapToGrid w:val="0"/>
      <w:spacing w:before="240" w:beforeLines="0" w:beforeAutospacing="0" w:after="64" w:afterLines="0" w:afterAutospacing="0" w:line="317" w:lineRule="auto"/>
      <w:ind w:left="1440" w:hanging="1440"/>
      <w:outlineLvl w:val="7"/>
    </w:pPr>
    <w:rPr>
      <w:rFonts w:ascii="Arial" w:hAnsi="Arial" w:eastAsia="黑体"/>
      <w:b/>
      <w:sz w:val="24"/>
    </w:rPr>
  </w:style>
  <w:style w:type="paragraph" w:styleId="12">
    <w:name w:val="heading 9"/>
    <w:basedOn w:val="1"/>
    <w:next w:val="1"/>
    <w:qFormat/>
    <w:uiPriority w:val="0"/>
    <w:pPr>
      <w:keepNext/>
      <w:keepLines/>
      <w:tabs>
        <w:tab w:val="left" w:pos="1584"/>
      </w:tabs>
      <w:adjustRightInd w:val="0"/>
      <w:snapToGrid w:val="0"/>
      <w:spacing w:before="240" w:beforeLines="0" w:beforeAutospacing="0" w:after="64" w:afterLines="0" w:afterAutospacing="0" w:line="317" w:lineRule="auto"/>
      <w:ind w:left="1584" w:hanging="1584"/>
      <w:outlineLvl w:val="8"/>
    </w:pPr>
    <w:rPr>
      <w:rFonts w:ascii="Arial" w:hAnsi="Arial" w:eastAsia="黑体"/>
      <w:b/>
      <w:sz w:val="24"/>
    </w:rPr>
  </w:style>
  <w:style w:type="character" w:default="1" w:styleId="62">
    <w:name w:val="Default Paragraph Font"/>
    <w:qFormat/>
    <w:uiPriority w:val="0"/>
  </w:style>
  <w:style w:type="table" w:default="1" w:styleId="60">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line="360" w:lineRule="auto"/>
      <w:ind w:firstLine="420"/>
    </w:pPr>
    <w:rPr>
      <w:rFonts w:ascii="宋体" w:hAnsi="宋体"/>
      <w:sz w:val="24"/>
    </w:rPr>
  </w:style>
  <w:style w:type="paragraph" w:styleId="3">
    <w:name w:val="Body Text"/>
    <w:basedOn w:val="1"/>
    <w:next w:val="1"/>
    <w:qFormat/>
    <w:uiPriority w:val="0"/>
    <w:rPr>
      <w:rFonts w:ascii="仿宋_GB2312" w:eastAsia="仿宋_GB2312"/>
      <w:kern w:val="2"/>
      <w:sz w:val="32"/>
    </w:rPr>
  </w:style>
  <w:style w:type="paragraph" w:styleId="13">
    <w:name w:val="List 3"/>
    <w:basedOn w:val="1"/>
    <w:qFormat/>
    <w:uiPriority w:val="0"/>
    <w:pPr>
      <w:adjustRightInd w:val="0"/>
      <w:snapToGrid w:val="0"/>
      <w:spacing w:line="360" w:lineRule="auto"/>
      <w:ind w:left="100" w:leftChars="400" w:hanging="200" w:hangingChars="200"/>
    </w:pPr>
    <w:rPr>
      <w:sz w:val="24"/>
    </w:rPr>
  </w:style>
  <w:style w:type="paragraph" w:styleId="14">
    <w:name w:val="toc 7"/>
    <w:basedOn w:val="1"/>
    <w:next w:val="1"/>
    <w:qFormat/>
    <w:uiPriority w:val="0"/>
    <w:pPr>
      <w:ind w:left="2520" w:leftChars="1200"/>
    </w:pPr>
  </w:style>
  <w:style w:type="paragraph" w:styleId="15">
    <w:name w:val="List Number 2"/>
    <w:basedOn w:val="1"/>
    <w:qFormat/>
    <w:uiPriority w:val="0"/>
    <w:pPr>
      <w:numPr>
        <w:ilvl w:val="0"/>
        <w:numId w:val="2"/>
      </w:numPr>
      <w:spacing w:line="360" w:lineRule="auto"/>
    </w:pPr>
    <w:rPr>
      <w:sz w:val="24"/>
    </w:rPr>
  </w:style>
  <w:style w:type="paragraph" w:styleId="16">
    <w:name w:val="List Bullet 4"/>
    <w:basedOn w:val="1"/>
    <w:qFormat/>
    <w:uiPriority w:val="0"/>
    <w:pPr>
      <w:widowControl/>
      <w:numPr>
        <w:ilvl w:val="0"/>
        <w:numId w:val="3"/>
      </w:numPr>
      <w:tabs>
        <w:tab w:val="left" w:pos="1134"/>
        <w:tab w:val="clear" w:pos="1620"/>
      </w:tabs>
      <w:adjustRightInd w:val="0"/>
      <w:snapToGrid w:val="0"/>
      <w:spacing w:before="120" w:beforeLines="0" w:line="280" w:lineRule="atLeast"/>
      <w:ind w:left="1418" w:hanging="284"/>
      <w:jc w:val="left"/>
    </w:pPr>
    <w:rPr>
      <w:rFonts w:ascii="宋体"/>
      <w:kern w:val="0"/>
      <w:sz w:val="22"/>
    </w:rPr>
  </w:style>
  <w:style w:type="paragraph" w:styleId="17">
    <w:name w:val="Normal Indent"/>
    <w:basedOn w:val="1"/>
    <w:qFormat/>
    <w:uiPriority w:val="0"/>
    <w:pPr>
      <w:adjustRightInd w:val="0"/>
      <w:snapToGrid w:val="0"/>
      <w:spacing w:line="360" w:lineRule="auto"/>
      <w:ind w:firstLine="420"/>
    </w:pPr>
    <w:rPr>
      <w:sz w:val="24"/>
    </w:rPr>
  </w:style>
  <w:style w:type="paragraph" w:styleId="18">
    <w:name w:val="caption"/>
    <w:basedOn w:val="1"/>
    <w:next w:val="1"/>
    <w:qFormat/>
    <w:uiPriority w:val="0"/>
    <w:pPr>
      <w:widowControl/>
      <w:tabs>
        <w:tab w:val="left" w:pos="1134"/>
      </w:tabs>
      <w:adjustRightInd w:val="0"/>
      <w:snapToGrid w:val="0"/>
      <w:spacing w:line="280" w:lineRule="atLeast"/>
      <w:jc w:val="left"/>
    </w:pPr>
    <w:rPr>
      <w:rFonts w:eastAsia="PMingLiU"/>
      <w:b/>
      <w:kern w:val="0"/>
      <w:sz w:val="24"/>
      <w:lang w:eastAsia="zh-TW"/>
    </w:rPr>
  </w:style>
  <w:style w:type="paragraph" w:styleId="19">
    <w:name w:val="Document Map"/>
    <w:basedOn w:val="1"/>
    <w:qFormat/>
    <w:uiPriority w:val="0"/>
    <w:pPr>
      <w:shd w:val="clear" w:color="auto" w:fill="000080"/>
    </w:pPr>
  </w:style>
  <w:style w:type="paragraph" w:styleId="20">
    <w:name w:val="toa heading"/>
    <w:basedOn w:val="1"/>
    <w:next w:val="1"/>
    <w:qFormat/>
    <w:uiPriority w:val="0"/>
    <w:pPr>
      <w:spacing w:before="120" w:beforeLines="0" w:beforeAutospacing="0"/>
    </w:pPr>
    <w:rPr>
      <w:rFonts w:ascii="Arial" w:hAnsi="Arial"/>
      <w:sz w:val="24"/>
    </w:rPr>
  </w:style>
  <w:style w:type="paragraph" w:styleId="21">
    <w:name w:val="annotation text"/>
    <w:basedOn w:val="1"/>
    <w:link w:val="74"/>
    <w:qFormat/>
    <w:uiPriority w:val="0"/>
    <w:pPr>
      <w:widowControl/>
      <w:tabs>
        <w:tab w:val="left" w:pos="1134"/>
      </w:tabs>
      <w:adjustRightInd w:val="0"/>
      <w:snapToGrid w:val="0"/>
      <w:spacing w:line="280" w:lineRule="atLeast"/>
      <w:jc w:val="left"/>
    </w:pPr>
    <w:rPr>
      <w:rFonts w:eastAsia="PMingLiU"/>
      <w:kern w:val="0"/>
      <w:sz w:val="24"/>
      <w:lang w:eastAsia="zh-TW"/>
    </w:rPr>
  </w:style>
  <w:style w:type="paragraph" w:styleId="22">
    <w:name w:val="Body Text 3"/>
    <w:basedOn w:val="1"/>
    <w:qFormat/>
    <w:uiPriority w:val="0"/>
    <w:pPr>
      <w:adjustRightInd w:val="0"/>
      <w:snapToGrid w:val="0"/>
      <w:spacing w:after="120" w:afterLines="0" w:afterAutospacing="0" w:line="360" w:lineRule="auto"/>
    </w:pPr>
    <w:rPr>
      <w:sz w:val="16"/>
    </w:rPr>
  </w:style>
  <w:style w:type="paragraph" w:styleId="23">
    <w:name w:val="List Bullet 3"/>
    <w:basedOn w:val="1"/>
    <w:qFormat/>
    <w:uiPriority w:val="0"/>
    <w:pPr>
      <w:numPr>
        <w:ilvl w:val="0"/>
        <w:numId w:val="4"/>
      </w:numPr>
      <w:adjustRightInd w:val="0"/>
      <w:snapToGrid w:val="0"/>
      <w:spacing w:line="360" w:lineRule="auto"/>
    </w:pPr>
    <w:rPr>
      <w:sz w:val="24"/>
    </w:rPr>
  </w:style>
  <w:style w:type="paragraph" w:styleId="24">
    <w:name w:val="Body Text Indent"/>
    <w:basedOn w:val="1"/>
    <w:next w:val="25"/>
    <w:qFormat/>
    <w:uiPriority w:val="0"/>
    <w:pPr>
      <w:spacing w:line="700" w:lineRule="exact"/>
      <w:ind w:left="960"/>
    </w:pPr>
    <w:rPr>
      <w:sz w:val="44"/>
    </w:rPr>
  </w:style>
  <w:style w:type="paragraph" w:styleId="25">
    <w:name w:val="envelope return"/>
    <w:basedOn w:val="1"/>
    <w:semiHidden/>
    <w:qFormat/>
    <w:uiPriority w:val="0"/>
    <w:pPr>
      <w:snapToGrid w:val="0"/>
    </w:pPr>
    <w:rPr>
      <w:rFonts w:ascii="Arial" w:hAnsi="Arial" w:cs="Arial"/>
    </w:rPr>
  </w:style>
  <w:style w:type="paragraph" w:styleId="26">
    <w:name w:val="List Number 3"/>
    <w:basedOn w:val="1"/>
    <w:qFormat/>
    <w:uiPriority w:val="0"/>
    <w:pPr>
      <w:tabs>
        <w:tab w:val="left" w:pos="2120"/>
      </w:tabs>
      <w:adjustRightInd w:val="0"/>
      <w:snapToGrid w:val="0"/>
      <w:spacing w:line="360" w:lineRule="auto"/>
      <w:ind w:left="2120" w:hanging="720"/>
    </w:pPr>
    <w:rPr>
      <w:sz w:val="24"/>
    </w:rPr>
  </w:style>
  <w:style w:type="paragraph" w:styleId="27">
    <w:name w:val="List 2"/>
    <w:basedOn w:val="1"/>
    <w:qFormat/>
    <w:uiPriority w:val="0"/>
    <w:pPr>
      <w:adjustRightInd w:val="0"/>
      <w:snapToGrid w:val="0"/>
      <w:spacing w:line="360" w:lineRule="auto"/>
      <w:ind w:left="100" w:leftChars="200" w:hanging="200" w:hangingChars="200"/>
    </w:pPr>
    <w:rPr>
      <w:sz w:val="24"/>
    </w:rPr>
  </w:style>
  <w:style w:type="paragraph" w:styleId="28">
    <w:name w:val="List Continue"/>
    <w:basedOn w:val="1"/>
    <w:qFormat/>
    <w:uiPriority w:val="0"/>
    <w:pPr>
      <w:adjustRightInd w:val="0"/>
      <w:snapToGrid w:val="0"/>
      <w:spacing w:after="120" w:afterLines="0" w:afterAutospacing="0" w:line="360" w:lineRule="auto"/>
      <w:ind w:left="420" w:leftChars="200"/>
    </w:pPr>
    <w:rPr>
      <w:sz w:val="24"/>
    </w:rPr>
  </w:style>
  <w:style w:type="paragraph" w:styleId="29">
    <w:name w:val="List Bullet 2"/>
    <w:basedOn w:val="1"/>
    <w:qFormat/>
    <w:uiPriority w:val="0"/>
    <w:pPr>
      <w:numPr>
        <w:ilvl w:val="0"/>
        <w:numId w:val="5"/>
      </w:numPr>
      <w:adjustRightInd w:val="0"/>
      <w:snapToGrid w:val="0"/>
      <w:spacing w:line="360" w:lineRule="auto"/>
    </w:pPr>
    <w:rPr>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ind w:left="840" w:leftChars="400"/>
    </w:pPr>
  </w:style>
  <w:style w:type="paragraph" w:styleId="32">
    <w:name w:val="Plain Text"/>
    <w:basedOn w:val="1"/>
    <w:qFormat/>
    <w:uiPriority w:val="0"/>
    <w:pPr>
      <w:adjustRightInd w:val="0"/>
      <w:snapToGrid w:val="0"/>
      <w:spacing w:line="360" w:lineRule="auto"/>
    </w:pPr>
    <w:rPr>
      <w:rFonts w:ascii="宋体" w:hAnsi="Courier New"/>
      <w:sz w:val="21"/>
    </w:rPr>
  </w:style>
  <w:style w:type="paragraph" w:styleId="33">
    <w:name w:val="toc 8"/>
    <w:basedOn w:val="1"/>
    <w:next w:val="1"/>
    <w:qFormat/>
    <w:uiPriority w:val="0"/>
    <w:pPr>
      <w:ind w:left="2940" w:leftChars="1400"/>
    </w:pPr>
  </w:style>
  <w:style w:type="paragraph" w:styleId="34">
    <w:name w:val="Date"/>
    <w:basedOn w:val="1"/>
    <w:next w:val="1"/>
    <w:link w:val="75"/>
    <w:qFormat/>
    <w:uiPriority w:val="0"/>
  </w:style>
  <w:style w:type="paragraph" w:styleId="35">
    <w:name w:val="Body Text Indent 2"/>
    <w:basedOn w:val="1"/>
    <w:qFormat/>
    <w:uiPriority w:val="0"/>
    <w:pPr>
      <w:snapToGrid w:val="0"/>
      <w:spacing w:line="440" w:lineRule="atLeast"/>
      <w:ind w:firstLine="570"/>
    </w:pPr>
    <w:rPr>
      <w:rFonts w:ascii="宋体"/>
    </w:rPr>
  </w:style>
  <w:style w:type="paragraph" w:styleId="36">
    <w:name w:val="Balloon Text"/>
    <w:basedOn w:val="1"/>
    <w:qFormat/>
    <w:uiPriority w:val="0"/>
    <w:rPr>
      <w:sz w:val="18"/>
    </w:rPr>
  </w:style>
  <w:style w:type="paragraph" w:styleId="37">
    <w:name w:val="footer"/>
    <w:basedOn w:val="1"/>
    <w:qFormat/>
    <w:uiPriority w:val="0"/>
    <w:pPr>
      <w:tabs>
        <w:tab w:val="center" w:pos="4153"/>
        <w:tab w:val="right" w:pos="8306"/>
      </w:tabs>
      <w:snapToGrid w:val="0"/>
      <w:jc w:val="left"/>
    </w:pPr>
    <w:rPr>
      <w:rFonts w:eastAsia="宋体"/>
      <w:kern w:val="2"/>
      <w:sz w:val="18"/>
      <w:lang w:val="en-US" w:eastAsia="zh-CN"/>
    </w:rPr>
  </w:style>
  <w:style w:type="paragraph" w:styleId="38">
    <w:name w:val="header"/>
    <w:basedOn w:val="1"/>
    <w:qFormat/>
    <w:uiPriority w:val="0"/>
    <w:pPr>
      <w:pBdr>
        <w:bottom w:val="single" w:color="auto" w:sz="6" w:space="1"/>
      </w:pBdr>
      <w:tabs>
        <w:tab w:val="center" w:pos="4153"/>
        <w:tab w:val="right" w:pos="8306"/>
      </w:tabs>
      <w:snapToGrid w:val="0"/>
      <w:jc w:val="center"/>
    </w:pPr>
    <w:rPr>
      <w:rFonts w:eastAsia="宋体"/>
      <w:kern w:val="2"/>
      <w:sz w:val="18"/>
      <w:lang w:val="en-US" w:eastAsia="zh-CN"/>
    </w:rPr>
  </w:style>
  <w:style w:type="paragraph" w:styleId="39">
    <w:name w:val="toc 1"/>
    <w:basedOn w:val="1"/>
    <w:next w:val="1"/>
    <w:qFormat/>
    <w:uiPriority w:val="39"/>
    <w:pPr>
      <w:tabs>
        <w:tab w:val="left" w:pos="1260"/>
        <w:tab w:val="left" w:pos="1685"/>
        <w:tab w:val="right" w:leader="dot" w:pos="8400"/>
      </w:tabs>
      <w:spacing w:line="320" w:lineRule="exact"/>
      <w:ind w:firstLine="280" w:firstLineChars="100"/>
    </w:pPr>
    <w:rPr>
      <w:rFonts w:ascii="Times New Roman" w:hAnsi="Times New Roman" w:eastAsia="宋体"/>
      <w:b/>
    </w:rPr>
  </w:style>
  <w:style w:type="paragraph" w:styleId="40">
    <w:name w:val="List Continue 4"/>
    <w:basedOn w:val="1"/>
    <w:qFormat/>
    <w:uiPriority w:val="0"/>
    <w:pPr>
      <w:adjustRightInd w:val="0"/>
      <w:snapToGrid w:val="0"/>
      <w:spacing w:after="120" w:afterLines="0" w:afterAutospacing="0" w:line="360" w:lineRule="auto"/>
      <w:ind w:left="1680" w:leftChars="800"/>
    </w:pPr>
    <w:rPr>
      <w:sz w:val="24"/>
    </w:rPr>
  </w:style>
  <w:style w:type="paragraph" w:styleId="41">
    <w:name w:val="toc 4"/>
    <w:basedOn w:val="1"/>
    <w:next w:val="1"/>
    <w:qFormat/>
    <w:uiPriority w:val="0"/>
    <w:pPr>
      <w:ind w:left="1260" w:leftChars="600"/>
    </w:pPr>
  </w:style>
  <w:style w:type="paragraph" w:styleId="42">
    <w:name w:val="List"/>
    <w:basedOn w:val="1"/>
    <w:semiHidden/>
    <w:qFormat/>
    <w:uiPriority w:val="0"/>
    <w:pPr>
      <w:ind w:left="200" w:hanging="200" w:hangingChars="200"/>
    </w:pPr>
  </w:style>
  <w:style w:type="paragraph" w:styleId="43">
    <w:name w:val="footnote text"/>
    <w:basedOn w:val="1"/>
    <w:qFormat/>
    <w:uiPriority w:val="0"/>
    <w:pPr>
      <w:spacing w:line="360" w:lineRule="auto"/>
    </w:pPr>
    <w:rPr>
      <w:sz w:val="18"/>
    </w:rPr>
  </w:style>
  <w:style w:type="paragraph" w:styleId="44">
    <w:name w:val="toc 6"/>
    <w:basedOn w:val="1"/>
    <w:next w:val="1"/>
    <w:qFormat/>
    <w:uiPriority w:val="0"/>
    <w:pPr>
      <w:ind w:left="2100" w:leftChars="1000"/>
    </w:pPr>
  </w:style>
  <w:style w:type="paragraph" w:styleId="45">
    <w:name w:val="List 5"/>
    <w:basedOn w:val="1"/>
    <w:qFormat/>
    <w:uiPriority w:val="0"/>
    <w:pPr>
      <w:adjustRightInd w:val="0"/>
      <w:snapToGrid w:val="0"/>
      <w:spacing w:line="360" w:lineRule="auto"/>
      <w:ind w:left="100" w:leftChars="800" w:hanging="200" w:hangingChars="200"/>
    </w:pPr>
    <w:rPr>
      <w:sz w:val="24"/>
    </w:rPr>
  </w:style>
  <w:style w:type="paragraph" w:styleId="46">
    <w:name w:val="Body Text Indent 3"/>
    <w:basedOn w:val="1"/>
    <w:qFormat/>
    <w:uiPriority w:val="0"/>
    <w:pPr>
      <w:spacing w:line="360" w:lineRule="auto"/>
      <w:ind w:firstLine="632"/>
    </w:pPr>
    <w:rPr>
      <w:rFonts w:ascii="黑体" w:eastAsia="黑体"/>
    </w:rPr>
  </w:style>
  <w:style w:type="paragraph" w:styleId="47">
    <w:name w:val="table of figures"/>
    <w:basedOn w:val="1"/>
    <w:next w:val="1"/>
    <w:qFormat/>
    <w:uiPriority w:val="0"/>
    <w:pPr>
      <w:tabs>
        <w:tab w:val="right" w:leader="dot" w:pos="8640"/>
      </w:tabs>
      <w:spacing w:line="360" w:lineRule="auto"/>
      <w:ind w:left="400" w:hanging="400"/>
    </w:pPr>
    <w:rPr>
      <w:sz w:val="24"/>
    </w:rPr>
  </w:style>
  <w:style w:type="paragraph" w:styleId="48">
    <w:name w:val="toc 2"/>
    <w:basedOn w:val="1"/>
    <w:next w:val="1"/>
    <w:qFormat/>
    <w:uiPriority w:val="39"/>
    <w:pPr>
      <w:tabs>
        <w:tab w:val="right" w:leader="dot" w:pos="8400"/>
      </w:tabs>
      <w:spacing w:line="440" w:lineRule="exact"/>
      <w:ind w:left="280" w:leftChars="100" w:rightChars="-91"/>
    </w:pPr>
  </w:style>
  <w:style w:type="paragraph" w:styleId="49">
    <w:name w:val="toc 9"/>
    <w:basedOn w:val="1"/>
    <w:next w:val="1"/>
    <w:qFormat/>
    <w:uiPriority w:val="0"/>
    <w:pPr>
      <w:ind w:left="3360" w:leftChars="1600"/>
    </w:pPr>
  </w:style>
  <w:style w:type="paragraph" w:styleId="50">
    <w:name w:val="Body Text 2"/>
    <w:basedOn w:val="1"/>
    <w:qFormat/>
    <w:uiPriority w:val="0"/>
    <w:pPr>
      <w:adjustRightInd w:val="0"/>
      <w:snapToGrid w:val="0"/>
      <w:spacing w:after="120" w:afterLines="0" w:afterAutospacing="0" w:line="480" w:lineRule="auto"/>
    </w:pPr>
    <w:rPr>
      <w:sz w:val="24"/>
    </w:rPr>
  </w:style>
  <w:style w:type="paragraph" w:styleId="51">
    <w:name w:val="List 4"/>
    <w:basedOn w:val="1"/>
    <w:qFormat/>
    <w:uiPriority w:val="0"/>
    <w:pPr>
      <w:adjustRightInd w:val="0"/>
      <w:snapToGrid w:val="0"/>
      <w:spacing w:line="360" w:lineRule="auto"/>
      <w:ind w:left="100" w:leftChars="600" w:hanging="200" w:hangingChars="200"/>
    </w:pPr>
    <w:rPr>
      <w:sz w:val="24"/>
    </w:rPr>
  </w:style>
  <w:style w:type="paragraph" w:styleId="52">
    <w:name w:val="List Continue 2"/>
    <w:basedOn w:val="1"/>
    <w:qFormat/>
    <w:uiPriority w:val="0"/>
    <w:pPr>
      <w:adjustRightInd w:val="0"/>
      <w:snapToGrid w:val="0"/>
      <w:spacing w:after="120" w:afterLines="0" w:afterAutospacing="0" w:line="360" w:lineRule="auto"/>
      <w:ind w:left="840" w:leftChars="400"/>
    </w:pPr>
    <w:rPr>
      <w:sz w:val="24"/>
    </w:rPr>
  </w:style>
  <w:style w:type="paragraph" w:styleId="5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000000"/>
      <w:kern w:val="0"/>
      <w:sz w:val="24"/>
    </w:rPr>
  </w:style>
  <w:style w:type="paragraph" w:styleId="54">
    <w:name w:val="Normal (Web)"/>
    <w:basedOn w:val="1"/>
    <w:qFormat/>
    <w:uiPriority w:val="0"/>
    <w:pPr>
      <w:widowControl/>
      <w:spacing w:before="100" w:beforeLines="0" w:beforeAutospacing="1" w:after="100" w:afterLines="0" w:afterAutospacing="1"/>
      <w:jc w:val="left"/>
    </w:pPr>
    <w:rPr>
      <w:rFonts w:ascii="Arial Unicode MS" w:hAnsi="Arial Unicode MS" w:eastAsia="Arial Unicode MS"/>
      <w:kern w:val="0"/>
      <w:sz w:val="24"/>
    </w:rPr>
  </w:style>
  <w:style w:type="paragraph" w:styleId="55">
    <w:name w:val="List Continue 3"/>
    <w:basedOn w:val="1"/>
    <w:qFormat/>
    <w:uiPriority w:val="0"/>
    <w:pPr>
      <w:adjustRightInd w:val="0"/>
      <w:snapToGrid w:val="0"/>
      <w:spacing w:after="120" w:afterLines="0" w:afterAutospacing="0" w:line="360" w:lineRule="auto"/>
      <w:ind w:left="1260" w:leftChars="600"/>
    </w:pPr>
    <w:rPr>
      <w:sz w:val="24"/>
    </w:rPr>
  </w:style>
  <w:style w:type="paragraph" w:styleId="56">
    <w:name w:val="index 1"/>
    <w:basedOn w:val="1"/>
    <w:next w:val="1"/>
    <w:qFormat/>
    <w:uiPriority w:val="0"/>
    <w:pPr>
      <w:adjustRightInd w:val="0"/>
      <w:spacing w:line="240" w:lineRule="atLeast"/>
      <w:textAlignment w:val="baseline"/>
    </w:pPr>
    <w:rPr>
      <w:rFonts w:ascii="宋体"/>
      <w:kern w:val="0"/>
      <w:sz w:val="21"/>
    </w:rPr>
  </w:style>
  <w:style w:type="paragraph" w:styleId="57">
    <w:name w:val="Title"/>
    <w:basedOn w:val="1"/>
    <w:qFormat/>
    <w:uiPriority w:val="0"/>
    <w:pPr>
      <w:widowControl/>
      <w:spacing w:after="240" w:afterLines="0" w:afterAutospacing="0" w:line="360" w:lineRule="auto"/>
      <w:jc w:val="center"/>
    </w:pPr>
    <w:rPr>
      <w:rFonts w:ascii="Arial" w:hAnsi="Arial" w:eastAsia="宋体"/>
      <w:b/>
      <w:smallCaps/>
      <w:kern w:val="28"/>
      <w:sz w:val="36"/>
      <w:lang w:val="en-US" w:eastAsia="en-US"/>
    </w:rPr>
  </w:style>
  <w:style w:type="paragraph" w:styleId="58">
    <w:name w:val="annotation subject"/>
    <w:basedOn w:val="21"/>
    <w:next w:val="21"/>
    <w:qFormat/>
    <w:uiPriority w:val="0"/>
    <w:pPr>
      <w:widowControl w:val="0"/>
      <w:tabs>
        <w:tab w:val="clear" w:pos="1134"/>
      </w:tabs>
      <w:adjustRightInd/>
      <w:snapToGrid/>
      <w:spacing w:line="240" w:lineRule="auto"/>
    </w:pPr>
    <w:rPr>
      <w:rFonts w:eastAsia="宋体"/>
      <w:b/>
      <w:kern w:val="2"/>
      <w:sz w:val="21"/>
      <w:lang w:val="en-US" w:eastAsia="zh-CN"/>
    </w:rPr>
  </w:style>
  <w:style w:type="paragraph" w:styleId="59">
    <w:name w:val="Body Text First Indent 2"/>
    <w:basedOn w:val="24"/>
    <w:qFormat/>
    <w:uiPriority w:val="0"/>
    <w:pPr>
      <w:spacing w:after="120" w:afterLines="0" w:afterAutospacing="0" w:line="240" w:lineRule="auto"/>
      <w:ind w:left="420" w:leftChars="200" w:firstLine="420" w:firstLineChars="200"/>
    </w:pPr>
    <w:rPr>
      <w:sz w:val="21"/>
    </w:rPr>
  </w:style>
  <w:style w:type="table" w:styleId="61">
    <w:name w:val="Table Grid"/>
    <w:basedOn w:val="6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22"/>
    <w:rPr>
      <w:b/>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Emphasis"/>
    <w:qFormat/>
    <w:uiPriority w:val="0"/>
    <w:rPr>
      <w:i/>
    </w:rPr>
  </w:style>
  <w:style w:type="character" w:styleId="67">
    <w:name w:val="Hyperlink"/>
    <w:qFormat/>
    <w:uiPriority w:val="99"/>
    <w:rPr>
      <w:color w:val="0000FF"/>
      <w:u w:val="single"/>
    </w:rPr>
  </w:style>
  <w:style w:type="character" w:styleId="68">
    <w:name w:val="annotation reference"/>
    <w:qFormat/>
    <w:uiPriority w:val="0"/>
    <w:rPr>
      <w:sz w:val="21"/>
    </w:rPr>
  </w:style>
  <w:style w:type="character" w:styleId="69">
    <w:name w:val="footnote reference"/>
    <w:qFormat/>
    <w:uiPriority w:val="0"/>
    <w:rPr>
      <w:position w:val="6"/>
      <w:sz w:val="14"/>
      <w:vertAlign w:val="superscript"/>
    </w:rPr>
  </w:style>
  <w:style w:type="paragraph" w:customStyle="1" w:styleId="70">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character" w:customStyle="1" w:styleId="71">
    <w:name w:val="标题 1 Char"/>
    <w:link w:val="4"/>
    <w:qFormat/>
    <w:uiPriority w:val="0"/>
    <w:rPr>
      <w:rFonts w:eastAsia="黑体"/>
      <w:sz w:val="44"/>
    </w:rPr>
  </w:style>
  <w:style w:type="character" w:customStyle="1" w:styleId="72">
    <w:name w:val="标题 2 Char"/>
    <w:link w:val="5"/>
    <w:qFormat/>
    <w:uiPriority w:val="0"/>
    <w:rPr>
      <w:rFonts w:ascii="宋体" w:hAnsi="宋体" w:eastAsia="宋体"/>
      <w:b/>
      <w:kern w:val="2"/>
      <w:sz w:val="28"/>
    </w:rPr>
  </w:style>
  <w:style w:type="character" w:customStyle="1" w:styleId="73">
    <w:name w:val="标题 3 Char"/>
    <w:basedOn w:val="62"/>
    <w:link w:val="6"/>
    <w:qFormat/>
    <w:uiPriority w:val="0"/>
    <w:rPr>
      <w:b/>
      <w:sz w:val="44"/>
    </w:rPr>
  </w:style>
  <w:style w:type="character" w:customStyle="1" w:styleId="74">
    <w:name w:val="批注文字 Char"/>
    <w:link w:val="21"/>
    <w:qFormat/>
    <w:uiPriority w:val="0"/>
    <w:rPr>
      <w:rFonts w:eastAsia="PMingLiU"/>
      <w:sz w:val="24"/>
      <w:lang w:eastAsia="zh-TW"/>
    </w:rPr>
  </w:style>
  <w:style w:type="character" w:customStyle="1" w:styleId="75">
    <w:name w:val="日期 Char"/>
    <w:link w:val="34"/>
    <w:qFormat/>
    <w:uiPriority w:val="0"/>
    <w:rPr>
      <w:kern w:val="2"/>
      <w:sz w:val="28"/>
    </w:rPr>
  </w:style>
  <w:style w:type="paragraph" w:customStyle="1" w:styleId="76">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character" w:customStyle="1" w:styleId="77">
    <w:name w:val="正文 + 三号 Char"/>
    <w:qFormat/>
    <w:uiPriority w:val="0"/>
    <w:rPr>
      <w:rFonts w:eastAsia="宋体"/>
      <w:kern w:val="2"/>
      <w:sz w:val="21"/>
      <w:lang w:val="en-US" w:eastAsia="zh-CN"/>
    </w:rPr>
  </w:style>
  <w:style w:type="character" w:customStyle="1" w:styleId="78">
    <w:name w:val="content-white1"/>
    <w:qFormat/>
    <w:uiPriority w:val="0"/>
    <w:rPr>
      <w:rFonts w:ascii="_x000B__x000C_" w:hAnsi="_x000B__x000C_"/>
      <w:color w:val="auto"/>
      <w:sz w:val="18"/>
      <w:u w:val="none"/>
    </w:rPr>
  </w:style>
  <w:style w:type="character" w:customStyle="1" w:styleId="79">
    <w:name w:val=" Char Char"/>
    <w:qFormat/>
    <w:uiPriority w:val="0"/>
    <w:rPr>
      <w:rFonts w:ascii="宋体" w:hAnsi="宋体" w:eastAsia="宋体"/>
      <w:kern w:val="2"/>
      <w:sz w:val="24"/>
      <w:lang w:val="en-US" w:eastAsia="zh-CN" w:bidi="ar-SA"/>
    </w:rPr>
  </w:style>
  <w:style w:type="character" w:customStyle="1" w:styleId="80">
    <w:name w:val=" Char Char5"/>
    <w:qFormat/>
    <w:uiPriority w:val="0"/>
    <w:rPr>
      <w:rFonts w:ascii="Arial" w:hAnsi="Arial" w:eastAsia="宋体"/>
      <w:b/>
      <w:smallCaps/>
      <w:kern w:val="28"/>
      <w:sz w:val="36"/>
      <w:lang w:val="en-US" w:eastAsia="en-US"/>
    </w:rPr>
  </w:style>
  <w:style w:type="character" w:customStyle="1" w:styleId="81">
    <w:name w:val=" Char Char4"/>
    <w:qFormat/>
    <w:uiPriority w:val="0"/>
    <w:rPr>
      <w:rFonts w:eastAsia="宋体"/>
      <w:b/>
      <w:kern w:val="2"/>
      <w:sz w:val="21"/>
      <w:lang w:val="en-US" w:eastAsia="zh-CN"/>
    </w:rPr>
  </w:style>
  <w:style w:type="character" w:customStyle="1" w:styleId="82">
    <w:name w:val="样式 宋体"/>
    <w:qFormat/>
    <w:uiPriority w:val="0"/>
    <w:rPr>
      <w:rFonts w:ascii="宋体" w:hAnsi="宋体" w:eastAsia="宋体"/>
      <w:sz w:val="28"/>
    </w:rPr>
  </w:style>
  <w:style w:type="character" w:customStyle="1" w:styleId="83">
    <w:name w:val=" Char Char7"/>
    <w:qFormat/>
    <w:uiPriority w:val="0"/>
    <w:rPr>
      <w:rFonts w:ascii="宋体" w:hAnsi="宋体" w:eastAsia="宋体"/>
      <w:kern w:val="2"/>
      <w:sz w:val="28"/>
    </w:rPr>
  </w:style>
  <w:style w:type="character" w:customStyle="1" w:styleId="84">
    <w:name w:val=" Char Char6"/>
    <w:qFormat/>
    <w:uiPriority w:val="0"/>
    <w:rPr>
      <w:rFonts w:ascii="仿宋_GB2312" w:eastAsia="仿宋_GB2312"/>
      <w:kern w:val="2"/>
      <w:sz w:val="32"/>
    </w:rPr>
  </w:style>
  <w:style w:type="character" w:customStyle="1" w:styleId="85">
    <w:name w:val=" Char Char2"/>
    <w:qFormat/>
    <w:uiPriority w:val="0"/>
    <w:rPr>
      <w:rFonts w:eastAsia="宋体"/>
      <w:kern w:val="2"/>
      <w:sz w:val="18"/>
      <w:lang w:val="en-US" w:eastAsia="zh-CN"/>
    </w:rPr>
  </w:style>
  <w:style w:type="character" w:customStyle="1" w:styleId="86">
    <w:name w:val="font1"/>
    <w:qFormat/>
    <w:uiPriority w:val="0"/>
    <w:rPr>
      <w:color w:val="000000"/>
      <w:sz w:val="18"/>
    </w:rPr>
  </w:style>
  <w:style w:type="character" w:customStyle="1" w:styleId="87">
    <w:name w:val="小 Char"/>
    <w:qFormat/>
    <w:uiPriority w:val="0"/>
    <w:rPr>
      <w:rFonts w:ascii="宋体" w:hAnsi="Courier New" w:eastAsia="宋体"/>
      <w:kern w:val="2"/>
      <w:sz w:val="21"/>
      <w:lang w:val="en-US" w:eastAsia="zh-CN" w:bidi="ar-SA"/>
    </w:rPr>
  </w:style>
  <w:style w:type="character" w:customStyle="1" w:styleId="88">
    <w:name w:val="v151"/>
    <w:qFormat/>
    <w:uiPriority w:val="0"/>
    <w:rPr>
      <w:sz w:val="18"/>
    </w:rPr>
  </w:style>
  <w:style w:type="character" w:customStyle="1" w:styleId="89">
    <w:name w:val="Table Text Char Char Char Char"/>
    <w:qFormat/>
    <w:uiPriority w:val="0"/>
    <w:rPr>
      <w:rFonts w:ascii="Arial" w:hAnsi="Arial"/>
      <w:kern w:val="2"/>
      <w:sz w:val="18"/>
      <w:lang w:val="en-US" w:eastAsia="zh-CN" w:bidi="ar-SA"/>
    </w:rPr>
  </w:style>
  <w:style w:type="character" w:customStyle="1" w:styleId="90">
    <w:name w:val="Table Text Char1 Char"/>
    <w:qFormat/>
    <w:uiPriority w:val="0"/>
    <w:rPr>
      <w:rFonts w:ascii="Arial" w:hAnsi="Arial"/>
      <w:kern w:val="2"/>
      <w:sz w:val="18"/>
      <w:lang w:val="en-US" w:eastAsia="zh-CN" w:bidi="ar-SA"/>
    </w:rPr>
  </w:style>
  <w:style w:type="character" w:customStyle="1" w:styleId="91">
    <w:name w:val="Table Text Char"/>
    <w:qFormat/>
    <w:uiPriority w:val="0"/>
    <w:rPr>
      <w:rFonts w:ascii="Arial" w:hAnsi="Arial"/>
      <w:kern w:val="2"/>
      <w:sz w:val="18"/>
      <w:lang w:val="en-US" w:eastAsia="zh-CN" w:bidi="ar-SA"/>
    </w:rPr>
  </w:style>
  <w:style w:type="character" w:customStyle="1" w:styleId="92">
    <w:name w:val="文字 Char"/>
    <w:link w:val="93"/>
    <w:qFormat/>
    <w:uiPriority w:val="0"/>
    <w:rPr>
      <w:rFonts w:ascii="宋体" w:eastAsia="宋体"/>
      <w:kern w:val="2"/>
      <w:sz w:val="28"/>
      <w:lang w:val="en-US" w:eastAsia="zh-CN" w:bidi="ar-SA"/>
    </w:rPr>
  </w:style>
  <w:style w:type="paragraph" w:customStyle="1" w:styleId="93">
    <w:name w:val="文字"/>
    <w:basedOn w:val="1"/>
    <w:link w:val="92"/>
    <w:qFormat/>
    <w:uiPriority w:val="0"/>
    <w:pPr>
      <w:tabs>
        <w:tab w:val="left" w:pos="8520"/>
      </w:tabs>
      <w:spacing w:line="312" w:lineRule="auto"/>
      <w:ind w:right="-210" w:firstLine="556"/>
    </w:pPr>
    <w:rPr>
      <w:rFonts w:ascii="宋体"/>
    </w:rPr>
  </w:style>
  <w:style w:type="character" w:customStyle="1" w:styleId="94">
    <w:name w:val="标书正文:  0.74 厘米 Char1"/>
    <w:qFormat/>
    <w:uiPriority w:val="0"/>
    <w:rPr>
      <w:rFonts w:eastAsia="宋体"/>
      <w:kern w:val="2"/>
      <w:sz w:val="24"/>
      <w:lang w:val="en-US" w:eastAsia="zh-CN"/>
    </w:rPr>
  </w:style>
  <w:style w:type="character" w:customStyle="1" w:styleId="95">
    <w:name w:val="crowed11"/>
    <w:qFormat/>
    <w:uiPriority w:val="0"/>
    <w:rPr>
      <w:rFonts w:hint="default" w:ascii="_x000B__x000C_" w:hAnsi="_x000B__x000C_"/>
      <w:sz w:val="24"/>
    </w:rPr>
  </w:style>
  <w:style w:type="character" w:customStyle="1" w:styleId="96">
    <w:name w:val="Table Heading Char Char"/>
    <w:qFormat/>
    <w:uiPriority w:val="0"/>
    <w:rPr>
      <w:rFonts w:ascii="Arial" w:hAnsi="Arial" w:eastAsia="黑体"/>
      <w:kern w:val="2"/>
      <w:sz w:val="18"/>
      <w:lang w:val="en-US" w:eastAsia="zh-CN"/>
    </w:rPr>
  </w:style>
  <w:style w:type="character" w:customStyle="1" w:styleId="97">
    <w:name w:val="未命名11"/>
    <w:qFormat/>
    <w:uiPriority w:val="0"/>
    <w:rPr>
      <w:color w:val="77FFFF"/>
      <w:sz w:val="24"/>
    </w:rPr>
  </w:style>
  <w:style w:type="character" w:customStyle="1" w:styleId="98">
    <w:name w:val=" Char Char3"/>
    <w:qFormat/>
    <w:uiPriority w:val="0"/>
    <w:rPr>
      <w:rFonts w:eastAsia="宋体"/>
      <w:kern w:val="2"/>
      <w:sz w:val="18"/>
      <w:lang w:val="en-US" w:eastAsia="zh-CN"/>
    </w:rPr>
  </w:style>
  <w:style w:type="character" w:customStyle="1" w:styleId="99">
    <w:name w:val="top-det1"/>
    <w:qFormat/>
    <w:uiPriority w:val="0"/>
    <w:rPr>
      <w:b/>
      <w:color w:val="000000"/>
    </w:rPr>
  </w:style>
  <w:style w:type="paragraph" w:customStyle="1" w:styleId="100">
    <w:name w:val="小标题 1"/>
    <w:basedOn w:val="1"/>
    <w:qFormat/>
    <w:uiPriority w:val="0"/>
    <w:pPr>
      <w:autoSpaceDE w:val="0"/>
      <w:autoSpaceDN w:val="0"/>
      <w:adjustRightInd w:val="0"/>
      <w:spacing w:line="360" w:lineRule="atLeast"/>
    </w:pPr>
    <w:rPr>
      <w:rFonts w:ascii="文鼎粗黑" w:eastAsia="文鼎粗黑"/>
      <w:kern w:val="0"/>
      <w:sz w:val="22"/>
    </w:rPr>
  </w:style>
  <w:style w:type="paragraph" w:customStyle="1" w:styleId="101">
    <w:name w:val="样式 标题 1章标题Heading 0Section HeadPIM 1H1h11st levell11H1..."/>
    <w:basedOn w:val="4"/>
    <w:qFormat/>
    <w:uiPriority w:val="0"/>
    <w:pPr>
      <w:keepLines/>
      <w:pageBreakBefore/>
      <w:tabs>
        <w:tab w:val="left" w:pos="432"/>
        <w:tab w:val="clear" w:pos="3360"/>
      </w:tabs>
      <w:autoSpaceDE w:val="0"/>
      <w:autoSpaceDN w:val="0"/>
      <w:adjustRightInd w:val="0"/>
      <w:spacing w:before="340" w:beforeLines="0" w:beforeAutospacing="0" w:after="330" w:afterLines="0" w:afterAutospacing="0" w:line="578" w:lineRule="atLeast"/>
      <w:jc w:val="both"/>
      <w:textAlignment w:val="bottom"/>
    </w:pPr>
    <w:rPr>
      <w:rFonts w:ascii="宋体" w:hAnsi="宋体"/>
      <w:b/>
      <w:kern w:val="44"/>
      <w:sz w:val="36"/>
    </w:rPr>
  </w:style>
  <w:style w:type="paragraph" w:customStyle="1" w:styleId="102">
    <w:name w:val="xl23"/>
    <w:basedOn w:val="1"/>
    <w:qFormat/>
    <w:uiPriority w:val="0"/>
    <w:pPr>
      <w:widowControl/>
      <w:spacing w:before="100" w:beforeLines="0" w:beforeAutospacing="1" w:after="100" w:afterLines="0" w:afterAutospacing="1" w:line="360" w:lineRule="auto"/>
      <w:textAlignment w:val="top"/>
    </w:pPr>
    <w:rPr>
      <w:kern w:val="0"/>
      <w:sz w:val="24"/>
    </w:rPr>
  </w:style>
  <w:style w:type="paragraph" w:customStyle="1" w:styleId="103">
    <w:name w:val="Item Step"/>
    <w:qFormat/>
    <w:uiPriority w:val="0"/>
    <w:pPr>
      <w:tabs>
        <w:tab w:val="left" w:pos="1644"/>
      </w:tabs>
      <w:ind w:left="1644" w:hanging="510"/>
      <w:outlineLvl w:val="4"/>
    </w:pPr>
    <w:rPr>
      <w:rFonts w:ascii="Arial" w:hAnsi="Arial" w:eastAsia="宋体" w:cs="Times New Roman"/>
      <w:sz w:val="21"/>
      <w:lang w:val="en-US" w:eastAsia="zh-CN" w:bidi="ar-SA"/>
    </w:rPr>
  </w:style>
  <w:style w:type="paragraph" w:customStyle="1" w:styleId="104">
    <w:name w:val="操作步骤"/>
    <w:basedOn w:val="1"/>
    <w:qFormat/>
    <w:uiPriority w:val="0"/>
    <w:pPr>
      <w:numPr>
        <w:ilvl w:val="0"/>
        <w:numId w:val="6"/>
      </w:numPr>
      <w:autoSpaceDE w:val="0"/>
      <w:autoSpaceDN w:val="0"/>
      <w:adjustRightInd w:val="0"/>
      <w:snapToGrid w:val="0"/>
      <w:spacing w:line="40" w:lineRule="atLeast"/>
      <w:textAlignment w:val="bottom"/>
    </w:pPr>
    <w:rPr>
      <w:rFonts w:ascii="昆仑楷体" w:eastAsia="楷体_GB2312"/>
      <w:kern w:val="0"/>
      <w:sz w:val="21"/>
    </w:rPr>
  </w:style>
  <w:style w:type="paragraph" w:customStyle="1" w:styleId="105">
    <w:name w:val="标题3——2"/>
    <w:basedOn w:val="6"/>
    <w:next w:val="2"/>
    <w:qFormat/>
    <w:uiPriority w:val="0"/>
    <w:pPr>
      <w:tabs>
        <w:tab w:val="left" w:pos="1280"/>
        <w:tab w:val="right" w:leader="dot" w:pos="8777"/>
      </w:tabs>
      <w:spacing w:before="312" w:beforeLines="100" w:beforeAutospacing="0" w:after="0" w:afterLines="0" w:afterAutospacing="0" w:line="240" w:lineRule="auto"/>
      <w:ind w:left="851" w:hanging="851"/>
      <w:jc w:val="both"/>
      <w:outlineLvl w:val="9"/>
    </w:pPr>
    <w:rPr>
      <w:rFonts w:ascii="黑体" w:hAnsi="宋体" w:eastAsia="黑体"/>
      <w:sz w:val="30"/>
    </w:rPr>
  </w:style>
  <w:style w:type="paragraph" w:customStyle="1" w:styleId="106">
    <w:name w:val=" Char Char1"/>
    <w:basedOn w:val="1"/>
    <w:qFormat/>
    <w:uiPriority w:val="0"/>
    <w:pPr>
      <w:widowControl/>
      <w:spacing w:after="160" w:afterLines="0" w:afterAutospacing="0" w:line="240" w:lineRule="exact"/>
      <w:jc w:val="left"/>
    </w:pPr>
    <w:rPr>
      <w:rFonts w:ascii="Verdana" w:hAnsi="Verdana"/>
      <w:kern w:val="0"/>
      <w:sz w:val="20"/>
      <w:lang w:eastAsia="en-US"/>
    </w:rPr>
  </w:style>
  <w:style w:type="paragraph" w:customStyle="1" w:styleId="107">
    <w:name w:val="正文（首行不缩进）"/>
    <w:basedOn w:val="1"/>
    <w:qFormat/>
    <w:uiPriority w:val="0"/>
    <w:pPr>
      <w:autoSpaceDE w:val="0"/>
      <w:autoSpaceDN w:val="0"/>
      <w:adjustRightInd w:val="0"/>
      <w:spacing w:line="360" w:lineRule="auto"/>
      <w:jc w:val="left"/>
    </w:pPr>
    <w:rPr>
      <w:kern w:val="0"/>
      <w:sz w:val="21"/>
    </w:rPr>
  </w:style>
  <w:style w:type="paragraph" w:customStyle="1" w:styleId="108">
    <w:name w:val="1.正文"/>
    <w:basedOn w:val="1"/>
    <w:qFormat/>
    <w:uiPriority w:val="0"/>
    <w:pPr>
      <w:spacing w:line="360" w:lineRule="auto"/>
      <w:ind w:left="540" w:leftChars="225" w:firstLine="540" w:firstLineChars="225"/>
    </w:pPr>
    <w:rPr>
      <w:sz w:val="24"/>
    </w:rPr>
  </w:style>
  <w:style w:type="paragraph" w:customStyle="1" w:styleId="109">
    <w:name w:val="Item List"/>
    <w:qFormat/>
    <w:uiPriority w:val="0"/>
    <w:pPr>
      <w:numPr>
        <w:ilvl w:val="0"/>
        <w:numId w:val="7"/>
      </w:numPr>
      <w:spacing w:line="300" w:lineRule="auto"/>
      <w:jc w:val="both"/>
    </w:pPr>
    <w:rPr>
      <w:rFonts w:ascii="Arial" w:hAnsi="Arial" w:eastAsia="宋体" w:cs="Times New Roman"/>
      <w:sz w:val="21"/>
      <w:lang w:val="en-US" w:eastAsia="zh-CN" w:bidi="ar-SA"/>
    </w:rPr>
  </w:style>
  <w:style w:type="paragraph" w:customStyle="1" w:styleId="110">
    <w:name w:val="附录2"/>
    <w:basedOn w:val="1"/>
    <w:next w:val="1"/>
    <w:qFormat/>
    <w:uiPriority w:val="0"/>
    <w:pPr>
      <w:tabs>
        <w:tab w:val="left" w:pos="420"/>
        <w:tab w:val="left" w:pos="624"/>
      </w:tabs>
      <w:ind w:left="420" w:hanging="420"/>
      <w:outlineLvl w:val="1"/>
    </w:pPr>
    <w:rPr>
      <w:rFonts w:ascii="黑体" w:hAnsi="黑体" w:eastAsia="黑体"/>
      <w:b/>
      <w:sz w:val="32"/>
    </w:rPr>
  </w:style>
  <w:style w:type="paragraph" w:customStyle="1" w:styleId="111">
    <w:name w:val="Title - Revision"/>
    <w:basedOn w:val="57"/>
    <w:qFormat/>
    <w:uiPriority w:val="0"/>
    <w:pPr>
      <w:spacing w:before="720" w:beforeLines="0" w:beforeAutospacing="0"/>
    </w:pPr>
  </w:style>
  <w:style w:type="paragraph" w:customStyle="1" w:styleId="112">
    <w:name w:val="样式 宋体 五号 两端对齐 行距: 单倍行距"/>
    <w:basedOn w:val="1"/>
    <w:qFormat/>
    <w:uiPriority w:val="0"/>
    <w:pPr>
      <w:adjustRightInd w:val="0"/>
      <w:textAlignment w:val="baseline"/>
    </w:pPr>
    <w:rPr>
      <w:rFonts w:ascii="宋体" w:hAnsi="宋体"/>
      <w:kern w:val="0"/>
      <w:sz w:val="21"/>
    </w:rPr>
  </w:style>
  <w:style w:type="paragraph" w:customStyle="1" w:styleId="113">
    <w:name w:val="图片文字"/>
    <w:basedOn w:val="1"/>
    <w:qFormat/>
    <w:uiPriority w:val="0"/>
    <w:pPr>
      <w:spacing w:line="240" w:lineRule="atLeast"/>
      <w:jc w:val="center"/>
    </w:pPr>
    <w:rPr>
      <w:sz w:val="21"/>
    </w:rPr>
  </w:style>
  <w:style w:type="paragraph" w:customStyle="1" w:styleId="114">
    <w:name w:val="Table Contents"/>
    <w:basedOn w:val="3"/>
    <w:qFormat/>
    <w:uiPriority w:val="0"/>
    <w:pPr>
      <w:suppressAutoHyphens/>
      <w:jc w:val="left"/>
    </w:pPr>
    <w:rPr>
      <w:rFonts w:ascii="Times New Roman" w:eastAsia="Times New Roman"/>
      <w:kern w:val="0"/>
      <w:sz w:val="24"/>
    </w:rPr>
  </w:style>
  <w:style w:type="paragraph" w:customStyle="1" w:styleId="115">
    <w:name w:val="表格文本"/>
    <w:qFormat/>
    <w:uiPriority w:val="0"/>
    <w:pPr>
      <w:tabs>
        <w:tab w:val="decimal" w:pos="0"/>
      </w:tabs>
    </w:pPr>
    <w:rPr>
      <w:rFonts w:ascii="Arial" w:hAnsi="Arial" w:eastAsia="宋体" w:cs="Times New Roman"/>
      <w:sz w:val="21"/>
      <w:lang w:val="en-US" w:eastAsia="zh-CN" w:bidi="ar-SA"/>
    </w:rPr>
  </w:style>
  <w:style w:type="paragraph" w:customStyle="1" w:styleId="116">
    <w:name w:val="style1"/>
    <w:basedOn w:val="1"/>
    <w:qFormat/>
    <w:uiPriority w:val="0"/>
    <w:pPr>
      <w:widowControl/>
      <w:spacing w:before="100" w:beforeLines="0" w:beforeAutospacing="1" w:after="100" w:afterLines="0" w:afterAutospacing="1"/>
      <w:jc w:val="left"/>
    </w:pPr>
    <w:rPr>
      <w:rFonts w:ascii="宋体" w:hAnsi="宋体"/>
      <w:kern w:val="0"/>
      <w:sz w:val="21"/>
    </w:rPr>
  </w:style>
  <w:style w:type="paragraph" w:customStyle="1" w:styleId="117">
    <w:name w:val=" Char Char1 Char Char Char Char Char Char Char Char Char Char Char Char Char Char"/>
    <w:basedOn w:val="1"/>
    <w:qFormat/>
    <w:uiPriority w:val="0"/>
    <w:pPr>
      <w:widowControl/>
      <w:spacing w:after="160" w:afterLines="0" w:afterAutospacing="0" w:line="240" w:lineRule="exact"/>
      <w:jc w:val="left"/>
    </w:pPr>
    <w:rPr>
      <w:rFonts w:ascii="Verdana" w:hAnsi="Verdana"/>
      <w:kern w:val="0"/>
      <w:sz w:val="20"/>
      <w:lang w:eastAsia="en-US"/>
    </w:rPr>
  </w:style>
  <w:style w:type="paragraph" w:customStyle="1" w:styleId="118">
    <w:name w:val="xl27"/>
    <w:basedOn w:val="1"/>
    <w:qFormat/>
    <w:uiPriority w:val="0"/>
    <w:pPr>
      <w:widowControl/>
      <w:pBdr>
        <w:left w:val="single" w:color="auto" w:sz="8" w:space="0"/>
        <w:bottom w:val="single" w:color="auto" w:sz="4" w:space="0"/>
        <w:right w:val="single" w:color="auto" w:sz="4" w:space="0"/>
      </w:pBdr>
      <w:spacing w:before="100" w:beforeLines="0" w:beforeAutospacing="1" w:after="100" w:afterLines="0" w:afterAutospacing="1"/>
      <w:jc w:val="center"/>
      <w:textAlignment w:val="center"/>
    </w:pPr>
    <w:rPr>
      <w:rFonts w:ascii="宋体" w:hAnsi="宋体"/>
      <w:kern w:val="0"/>
      <w:sz w:val="21"/>
    </w:rPr>
  </w:style>
  <w:style w:type="paragraph" w:customStyle="1" w:styleId="119">
    <w:name w:val="Style Heading 3h3Heading 3 - oldLevel 3 HeadH3level_3PIM 3se..."/>
    <w:basedOn w:val="6"/>
    <w:qFormat/>
    <w:uiPriority w:val="0"/>
    <w:pPr>
      <w:numPr>
        <w:ilvl w:val="2"/>
        <w:numId w:val="8"/>
      </w:numPr>
      <w:jc w:val="both"/>
    </w:pPr>
    <w:rPr>
      <w:sz w:val="32"/>
    </w:rPr>
  </w:style>
  <w:style w:type="paragraph" w:customStyle="1" w:styleId="120">
    <w:name w:val="样式3"/>
    <w:basedOn w:val="4"/>
    <w:next w:val="4"/>
    <w:qFormat/>
    <w:uiPriority w:val="0"/>
    <w:pPr>
      <w:keepLines/>
      <w:tabs>
        <w:tab w:val="clear" w:pos="3360"/>
      </w:tabs>
      <w:adjustRightInd w:val="0"/>
      <w:spacing w:before="340" w:beforeLines="0" w:beforeAutospacing="0" w:after="330" w:afterLines="0" w:afterAutospacing="0" w:line="576" w:lineRule="auto"/>
      <w:jc w:val="both"/>
    </w:pPr>
    <w:rPr>
      <w:b/>
      <w:kern w:val="44"/>
    </w:rPr>
  </w:style>
  <w:style w:type="paragraph" w:customStyle="1" w:styleId="121">
    <w:name w:val="Table Text Char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122">
    <w:name w:val="标题2"/>
    <w:basedOn w:val="5"/>
    <w:qFormat/>
    <w:uiPriority w:val="0"/>
    <w:pPr>
      <w:keepNext w:val="0"/>
      <w:keepLines w:val="0"/>
      <w:snapToGrid w:val="0"/>
      <w:spacing w:before="0" w:beforeLines="0" w:beforeAutospacing="0" w:after="0" w:afterLines="0" w:afterAutospacing="0"/>
      <w:ind w:firstLine="574" w:firstLineChars="196"/>
      <w:outlineLvl w:val="9"/>
    </w:pPr>
    <w:rPr>
      <w:b w:val="0"/>
      <w:spacing w:val="6"/>
      <w:u w:val="single"/>
    </w:rPr>
  </w:style>
  <w:style w:type="paragraph" w:customStyle="1" w:styleId="123">
    <w:name w:val="首行缩进"/>
    <w:basedOn w:val="1"/>
    <w:qFormat/>
    <w:uiPriority w:val="0"/>
    <w:pPr>
      <w:spacing w:line="360" w:lineRule="auto"/>
      <w:ind w:firstLine="420" w:firstLineChars="200"/>
    </w:pPr>
    <w:rPr>
      <w:sz w:val="21"/>
    </w:rPr>
  </w:style>
  <w:style w:type="paragraph" w:customStyle="1" w:styleId="124">
    <w:name w:val="标准正文"/>
    <w:basedOn w:val="24"/>
    <w:qFormat/>
    <w:uiPriority w:val="0"/>
    <w:pPr>
      <w:spacing w:before="60" w:beforeLines="0" w:beforeAutospacing="0" w:after="60" w:afterLines="0" w:afterAutospacing="0" w:line="360" w:lineRule="auto"/>
      <w:ind w:left="0" w:firstLine="482"/>
    </w:pPr>
    <w:rPr>
      <w:rFonts w:ascii="Arial" w:hAnsi="Arial"/>
      <w:sz w:val="24"/>
    </w:rPr>
  </w:style>
  <w:style w:type="paragraph" w:customStyle="1" w:styleId="125">
    <w:name w:val="表格内文字"/>
    <w:basedOn w:val="32"/>
    <w:qFormat/>
    <w:uiPriority w:val="0"/>
    <w:pPr>
      <w:snapToGrid/>
      <w:spacing w:line="240" w:lineRule="auto"/>
    </w:pPr>
    <w:rPr>
      <w:color w:val="000000"/>
      <w:lang w:val="en-GB"/>
    </w:rPr>
  </w:style>
  <w:style w:type="paragraph" w:customStyle="1" w:styleId="126">
    <w:name w:val="标书正文:  0.74 厘米"/>
    <w:basedOn w:val="1"/>
    <w:qFormat/>
    <w:uiPriority w:val="0"/>
    <w:pPr>
      <w:snapToGrid w:val="0"/>
      <w:spacing w:line="360" w:lineRule="auto"/>
      <w:ind w:firstLine="420"/>
    </w:pPr>
    <w:rPr>
      <w:rFonts w:eastAsia="宋体"/>
      <w:kern w:val="2"/>
      <w:sz w:val="24"/>
      <w:lang w:val="en-US" w:eastAsia="zh-CN"/>
    </w:rPr>
  </w:style>
  <w:style w:type="paragraph" w:customStyle="1" w:styleId="127">
    <w:name w:val="表号"/>
    <w:basedOn w:val="1"/>
    <w:qFormat/>
    <w:uiPriority w:val="0"/>
    <w:pPr>
      <w:numPr>
        <w:ilvl w:val="0"/>
        <w:numId w:val="9"/>
      </w:numPr>
      <w:tabs>
        <w:tab w:val="left" w:pos="648"/>
        <w:tab w:val="clear" w:pos="360"/>
      </w:tabs>
      <w:autoSpaceDE w:val="0"/>
      <w:autoSpaceDN w:val="0"/>
      <w:adjustRightInd w:val="0"/>
      <w:spacing w:before="210" w:beforeLines="0" w:after="210" w:afterLines="0"/>
      <w:ind w:left="425" w:hanging="137"/>
      <w:jc w:val="center"/>
    </w:pPr>
    <w:rPr>
      <w:kern w:val="0"/>
      <w:sz w:val="21"/>
      <w:lang w:eastAsia="en-US"/>
    </w:rPr>
  </w:style>
  <w:style w:type="paragraph" w:customStyle="1" w:styleId="128">
    <w:name w:val="样式 标题 6第五层条 + 三号 段前: 0.5 行"/>
    <w:basedOn w:val="9"/>
    <w:qFormat/>
    <w:uiPriority w:val="0"/>
    <w:pPr>
      <w:widowControl/>
      <w:numPr>
        <w:ilvl w:val="5"/>
        <w:numId w:val="0"/>
      </w:numPr>
      <w:adjustRightInd/>
      <w:snapToGrid/>
      <w:spacing w:before="156" w:beforeLines="50" w:beforeAutospacing="0"/>
      <w:ind w:left="1152" w:hanging="1152"/>
      <w:jc w:val="left"/>
    </w:pPr>
    <w:rPr>
      <w:snapToGrid w:val="0"/>
      <w:kern w:val="24"/>
      <w:sz w:val="28"/>
    </w:rPr>
  </w:style>
  <w:style w:type="paragraph" w:customStyle="1" w:styleId="129">
    <w:name w:val="缺省文本"/>
    <w:basedOn w:val="1"/>
    <w:qFormat/>
    <w:uiPriority w:val="0"/>
    <w:pPr>
      <w:tabs>
        <w:tab w:val="left" w:pos="1260"/>
      </w:tabs>
      <w:autoSpaceDE w:val="0"/>
      <w:autoSpaceDN w:val="0"/>
      <w:adjustRightInd w:val="0"/>
      <w:spacing w:line="360" w:lineRule="auto"/>
      <w:jc w:val="left"/>
    </w:pPr>
    <w:rPr>
      <w:kern w:val="0"/>
      <w:sz w:val="24"/>
    </w:rPr>
  </w:style>
  <w:style w:type="paragraph" w:customStyle="1" w:styleId="130">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131">
    <w:name w:val="关键词"/>
    <w:basedOn w:val="1"/>
    <w:next w:val="1"/>
    <w:qFormat/>
    <w:uiPriority w:val="0"/>
    <w:pPr>
      <w:spacing w:line="360" w:lineRule="auto"/>
    </w:pPr>
    <w:rPr>
      <w:rFonts w:eastAsia="黑体"/>
      <w:sz w:val="20"/>
    </w:rPr>
  </w:style>
  <w:style w:type="paragraph" w:customStyle="1" w:styleId="132">
    <w:name w:val="列表项目"/>
    <w:basedOn w:val="1"/>
    <w:qFormat/>
    <w:uiPriority w:val="0"/>
    <w:pPr>
      <w:numPr>
        <w:ilvl w:val="0"/>
        <w:numId w:val="10"/>
      </w:numPr>
      <w:tabs>
        <w:tab w:val="left" w:pos="420"/>
        <w:tab w:val="clear" w:pos="980"/>
      </w:tabs>
      <w:spacing w:line="288" w:lineRule="auto"/>
      <w:ind w:left="840" w:leftChars="200" w:hanging="420" w:hangingChars="200"/>
    </w:pPr>
    <w:rPr>
      <w:sz w:val="21"/>
    </w:rPr>
  </w:style>
  <w:style w:type="paragraph" w:customStyle="1" w:styleId="133">
    <w:name w:val=" Char Char Char Char Char Char Char"/>
    <w:basedOn w:val="1"/>
    <w:qFormat/>
    <w:uiPriority w:val="0"/>
    <w:pPr>
      <w:widowControl/>
      <w:spacing w:after="160" w:afterLines="0" w:line="240" w:lineRule="exact"/>
      <w:jc w:val="left"/>
    </w:pPr>
    <w:rPr>
      <w:rFonts w:ascii="Verdana" w:hAnsi="Verdana" w:eastAsia="仿宋_GB2312"/>
      <w:kern w:val="0"/>
      <w:sz w:val="24"/>
      <w:lang w:eastAsia="en-US"/>
    </w:rPr>
  </w:style>
  <w:style w:type="paragraph" w:customStyle="1" w:styleId="134">
    <w:name w:val="content"/>
    <w:basedOn w:val="1"/>
    <w:qFormat/>
    <w:uiPriority w:val="0"/>
    <w:pPr>
      <w:widowControl/>
      <w:spacing w:before="100" w:beforeLines="0" w:beforeAutospacing="1" w:after="100" w:afterLines="0" w:afterAutospacing="1" w:line="280" w:lineRule="atLeast"/>
      <w:ind w:firstLine="375"/>
      <w:jc w:val="left"/>
    </w:pPr>
    <w:rPr>
      <w:rFonts w:ascii="宋体" w:hAnsi="宋体"/>
      <w:color w:val="000000"/>
      <w:kern w:val="0"/>
      <w:sz w:val="18"/>
    </w:rPr>
  </w:style>
  <w:style w:type="paragraph" w:customStyle="1" w:styleId="135">
    <w:name w:val="00"/>
    <w:basedOn w:val="1"/>
    <w:qFormat/>
    <w:uiPriority w:val="0"/>
    <w:pPr>
      <w:autoSpaceDE w:val="0"/>
      <w:autoSpaceDN w:val="0"/>
      <w:adjustRightInd w:val="0"/>
      <w:jc w:val="left"/>
    </w:pPr>
    <w:rPr>
      <w:rFonts w:ascii="黑体" w:eastAsia="黑体"/>
      <w:b/>
      <w:kern w:val="0"/>
      <w:sz w:val="20"/>
    </w:rPr>
  </w:style>
  <w:style w:type="paragraph" w:customStyle="1" w:styleId="136">
    <w:name w:val="正文字缩2字"/>
    <w:basedOn w:val="1"/>
    <w:qFormat/>
    <w:uiPriority w:val="0"/>
    <w:pPr>
      <w:spacing w:before="60" w:beforeLines="0" w:beforeAutospacing="0" w:after="60" w:afterLines="0" w:afterAutospacing="0" w:line="360" w:lineRule="auto"/>
      <w:ind w:left="200" w:leftChars="200" w:firstLine="200" w:firstLineChars="200"/>
    </w:pPr>
    <w:rPr>
      <w:sz w:val="24"/>
    </w:rPr>
  </w:style>
  <w:style w:type="paragraph" w:customStyle="1" w:styleId="137">
    <w:name w:val="bt"/>
    <w:basedOn w:val="1"/>
    <w:next w:val="3"/>
    <w:qFormat/>
    <w:uiPriority w:val="0"/>
    <w:pPr>
      <w:numPr>
        <w:ilvl w:val="0"/>
        <w:numId w:val="0"/>
      </w:numPr>
      <w:overflowPunct w:val="0"/>
      <w:autoSpaceDE w:val="0"/>
      <w:autoSpaceDN w:val="0"/>
      <w:adjustRightInd w:val="0"/>
      <w:snapToGrid w:val="0"/>
      <w:spacing w:before="100" w:beforeLines="0" w:beforeAutospacing="0" w:after="100" w:afterLines="0" w:afterAutospacing="0" w:line="240" w:lineRule="atLeast"/>
      <w:ind w:left="2880" w:hanging="360"/>
      <w:textAlignment w:val="baseline"/>
    </w:pPr>
    <w:rPr>
      <w:rFonts w:ascii="宋体"/>
      <w:kern w:val="0"/>
      <w:sz w:val="20"/>
    </w:rPr>
  </w:style>
  <w:style w:type="paragraph" w:customStyle="1" w:styleId="138">
    <w:name w:val="正文1"/>
    <w:basedOn w:val="1"/>
    <w:qFormat/>
    <w:uiPriority w:val="0"/>
    <w:pPr>
      <w:spacing w:line="300" w:lineRule="auto"/>
      <w:ind w:firstLine="200" w:firstLineChars="200"/>
    </w:pPr>
    <w:rPr>
      <w:sz w:val="24"/>
    </w:rPr>
  </w:style>
  <w:style w:type="paragraph" w:customStyle="1" w:styleId="139">
    <w:name w:val="标题无"/>
    <w:basedOn w:val="1"/>
    <w:qFormat/>
    <w:uiPriority w:val="0"/>
    <w:pPr>
      <w:spacing w:line="360" w:lineRule="auto"/>
    </w:pPr>
    <w:rPr>
      <w:sz w:val="24"/>
    </w:rPr>
  </w:style>
  <w:style w:type="paragraph" w:customStyle="1" w:styleId="140">
    <w:name w:val="正文4"/>
    <w:basedOn w:val="1"/>
    <w:qFormat/>
    <w:uiPriority w:val="0"/>
    <w:pPr>
      <w:tabs>
        <w:tab w:val="left" w:pos="1275"/>
      </w:tabs>
      <w:spacing w:before="60" w:beforeLines="0" w:beforeAutospacing="0" w:after="60" w:afterLines="0" w:afterAutospacing="0" w:line="360" w:lineRule="auto"/>
      <w:ind w:left="820" w:leftChars="400" w:hanging="705"/>
    </w:pPr>
    <w:rPr>
      <w:sz w:val="24"/>
    </w:rPr>
  </w:style>
  <w:style w:type="paragraph" w:customStyle="1" w:styleId="141">
    <w:name w:val="样式 正文首行缩进 2 + 首行缩进:  2 字符"/>
    <w:basedOn w:val="1"/>
    <w:qFormat/>
    <w:uiPriority w:val="0"/>
    <w:pPr>
      <w:numPr>
        <w:ilvl w:val="0"/>
        <w:numId w:val="11"/>
      </w:numPr>
      <w:adjustRightInd w:val="0"/>
      <w:snapToGrid w:val="0"/>
      <w:spacing w:line="360" w:lineRule="auto"/>
    </w:pPr>
    <w:rPr>
      <w:rFonts w:ascii="Arial" w:hAnsi="Arial"/>
      <w:b/>
      <w:sz w:val="24"/>
    </w:rPr>
  </w:style>
  <w:style w:type="paragraph" w:customStyle="1" w:styleId="142">
    <w:name w:val="xl53"/>
    <w:basedOn w:val="1"/>
    <w:qFormat/>
    <w:uiPriority w:val="0"/>
    <w:pPr>
      <w:widowControl/>
      <w:pBdr>
        <w:left w:val="single" w:color="auto" w:sz="4" w:space="0"/>
        <w:bottom w:val="single" w:color="auto" w:sz="4" w:space="0"/>
      </w:pBdr>
      <w:spacing w:before="100" w:beforeLines="0" w:beforeAutospacing="1" w:after="100" w:afterLines="0" w:afterAutospacing="1"/>
      <w:jc w:val="center"/>
      <w:textAlignment w:val="center"/>
    </w:pPr>
    <w:rPr>
      <w:rFonts w:ascii="宋体" w:hAnsi="宋体"/>
      <w:kern w:val="0"/>
      <w:sz w:val="24"/>
    </w:rPr>
  </w:style>
  <w:style w:type="paragraph" w:customStyle="1" w:styleId="143">
    <w:name w:val="Body Text 2"/>
    <w:basedOn w:val="1"/>
    <w:qFormat/>
    <w:uiPriority w:val="0"/>
    <w:pPr>
      <w:adjustRightInd w:val="0"/>
      <w:spacing w:before="120" w:beforeLines="0" w:beforeAutospacing="0" w:line="360" w:lineRule="auto"/>
      <w:ind w:firstLine="480"/>
      <w:textAlignment w:val="baseline"/>
    </w:pPr>
    <w:rPr>
      <w:sz w:val="24"/>
    </w:rPr>
  </w:style>
  <w:style w:type="paragraph" w:customStyle="1" w:styleId="144">
    <w:name w:val=" Char"/>
    <w:basedOn w:val="1"/>
    <w:qFormat/>
    <w:uiPriority w:val="0"/>
    <w:pPr>
      <w:spacing w:line="240" w:lineRule="atLeast"/>
      <w:ind w:left="420" w:firstLine="420"/>
    </w:pPr>
    <w:rPr>
      <w:kern w:val="0"/>
      <w:sz w:val="21"/>
    </w:rPr>
  </w:style>
  <w:style w:type="paragraph" w:customStyle="1" w:styleId="145">
    <w:name w:val="_Style 142"/>
    <w:qFormat/>
    <w:uiPriority w:val="0"/>
    <w:rPr>
      <w:rFonts w:ascii="Times New Roman" w:hAnsi="Times New Roman" w:eastAsia="宋体" w:cs="Times New Roman"/>
      <w:kern w:val="2"/>
      <w:sz w:val="21"/>
      <w:lang w:val="en-US" w:eastAsia="zh-CN" w:bidi="ar-SA"/>
    </w:rPr>
  </w:style>
  <w:style w:type="paragraph" w:customStyle="1" w:styleId="146">
    <w:name w:val="文章正文"/>
    <w:basedOn w:val="1"/>
    <w:qFormat/>
    <w:uiPriority w:val="0"/>
    <w:pPr>
      <w:ind w:firstLine="560" w:firstLineChars="200"/>
    </w:pPr>
    <w:rPr>
      <w:rFonts w:ascii="仿宋_GB2312" w:hAnsi="宋体" w:eastAsia="仿宋_GB2312"/>
      <w:color w:val="000000"/>
    </w:rPr>
  </w:style>
  <w:style w:type="paragraph" w:customStyle="1" w:styleId="147">
    <w:name w:val="Figure Description"/>
    <w:next w:val="1"/>
    <w:qFormat/>
    <w:uiPriority w:val="0"/>
    <w:pPr>
      <w:snapToGrid w:val="0"/>
      <w:spacing w:before="80" w:after="320"/>
      <w:ind w:left="1134"/>
      <w:jc w:val="center"/>
    </w:pPr>
    <w:rPr>
      <w:rFonts w:ascii="Arial" w:hAnsi="Arial" w:eastAsia="黑体" w:cs="Times New Roman"/>
      <w:sz w:val="18"/>
      <w:lang w:val="en-US" w:eastAsia="zh-CN" w:bidi="ar-SA"/>
    </w:rPr>
  </w:style>
  <w:style w:type="paragraph" w:customStyle="1" w:styleId="148">
    <w:name w:val="Table Text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149">
    <w:name w:val="编号正文"/>
    <w:basedOn w:val="150"/>
    <w:qFormat/>
    <w:uiPriority w:val="0"/>
    <w:pPr>
      <w:snapToGrid/>
      <w:spacing w:line="360" w:lineRule="auto"/>
      <w:ind w:left="1407" w:hanging="1047"/>
      <w:jc w:val="left"/>
    </w:pPr>
    <w:rPr>
      <w:rFonts w:eastAsia="仿宋_GB2312"/>
    </w:rPr>
  </w:style>
  <w:style w:type="paragraph" w:customStyle="1" w:styleId="150">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151">
    <w:name w:val=" Char Char Char Char Char Char1 Char"/>
    <w:basedOn w:val="1"/>
    <w:qFormat/>
    <w:uiPriority w:val="0"/>
    <w:pPr>
      <w:widowControl/>
      <w:spacing w:after="160" w:afterLines="0" w:afterAutospacing="0" w:line="240" w:lineRule="exact"/>
      <w:jc w:val="left"/>
    </w:pPr>
    <w:rPr>
      <w:rFonts w:ascii="Verdana" w:hAnsi="Verdana"/>
      <w:kern w:val="0"/>
      <w:sz w:val="21"/>
      <w:lang w:eastAsia="en-US"/>
    </w:rPr>
  </w:style>
  <w:style w:type="paragraph" w:customStyle="1" w:styleId="152">
    <w:name w:val="样式 首行缩进:  0.74 厘米"/>
    <w:basedOn w:val="1"/>
    <w:qFormat/>
    <w:uiPriority w:val="0"/>
    <w:pPr>
      <w:spacing w:line="360" w:lineRule="auto"/>
      <w:ind w:firstLine="420"/>
    </w:pPr>
    <w:rPr>
      <w:sz w:val="24"/>
    </w:rPr>
  </w:style>
  <w:style w:type="paragraph" w:customStyle="1" w:styleId="153">
    <w:name w:val="摘要"/>
    <w:basedOn w:val="1"/>
    <w:next w:val="5"/>
    <w:qFormat/>
    <w:uiPriority w:val="0"/>
    <w:pPr>
      <w:spacing w:line="360" w:lineRule="auto"/>
    </w:pPr>
    <w:rPr>
      <w:rFonts w:eastAsia="黑体"/>
      <w:sz w:val="20"/>
    </w:rPr>
  </w:style>
  <w:style w:type="paragraph" w:customStyle="1" w:styleId="154">
    <w:name w:val="样式 宋体 五号 行距: 单倍行距"/>
    <w:basedOn w:val="1"/>
    <w:qFormat/>
    <w:uiPriority w:val="0"/>
    <w:pPr>
      <w:adjustRightInd w:val="0"/>
      <w:jc w:val="left"/>
    </w:pPr>
    <w:rPr>
      <w:rFonts w:ascii="宋体" w:hAnsi="宋体"/>
      <w:kern w:val="0"/>
      <w:sz w:val="21"/>
    </w:rPr>
  </w:style>
  <w:style w:type="paragraph" w:customStyle="1" w:styleId="155">
    <w:name w:val="样式 行距: 1.5 倍行距1"/>
    <w:basedOn w:val="1"/>
    <w:qFormat/>
    <w:uiPriority w:val="0"/>
    <w:pPr>
      <w:snapToGrid w:val="0"/>
    </w:pPr>
    <w:rPr>
      <w:sz w:val="21"/>
    </w:rPr>
  </w:style>
  <w:style w:type="paragraph" w:customStyle="1" w:styleId="156">
    <w:name w:val="附录4"/>
    <w:basedOn w:val="1"/>
    <w:next w:val="1"/>
    <w:qFormat/>
    <w:uiPriority w:val="0"/>
    <w:pPr>
      <w:widowControl/>
      <w:numPr>
        <w:ilvl w:val="3"/>
        <w:numId w:val="0"/>
      </w:numPr>
      <w:tabs>
        <w:tab w:val="left" w:pos="1134"/>
      </w:tabs>
      <w:spacing w:line="300" w:lineRule="auto"/>
      <w:ind w:left="1361" w:hanging="1361"/>
      <w:outlineLvl w:val="3"/>
    </w:pPr>
    <w:rPr>
      <w:rFonts w:ascii="Arial" w:hAnsi="Arial" w:eastAsia="黑体"/>
      <w:kern w:val="0"/>
    </w:rPr>
  </w:style>
  <w:style w:type="paragraph" w:customStyle="1" w:styleId="157">
    <w:name w:val="样式 样式 首行缩进:  2 字符 + 首行缩进:  2 字符"/>
    <w:basedOn w:val="1"/>
    <w:qFormat/>
    <w:uiPriority w:val="0"/>
    <w:pPr>
      <w:numPr>
        <w:ilvl w:val="0"/>
        <w:numId w:val="12"/>
      </w:numPr>
      <w:tabs>
        <w:tab w:val="clear" w:pos="1230"/>
      </w:tabs>
      <w:spacing w:line="360" w:lineRule="auto"/>
      <w:ind w:firstLine="480" w:firstLineChars="200"/>
    </w:pPr>
    <w:rPr>
      <w:sz w:val="24"/>
    </w:rPr>
  </w:style>
  <w:style w:type="paragraph" w:customStyle="1" w:styleId="158">
    <w:name w:val="样式 正文缩进正文（首行缩进两字）表正文正文非缩进特点标题4段1 + 首行缩进:  2 字符"/>
    <w:basedOn w:val="17"/>
    <w:qFormat/>
    <w:uiPriority w:val="0"/>
    <w:pPr>
      <w:ind w:firstLine="480" w:firstLineChars="200"/>
    </w:pPr>
  </w:style>
  <w:style w:type="paragraph" w:customStyle="1" w:styleId="159">
    <w:name w:val="表格1"/>
    <w:basedOn w:val="1"/>
    <w:next w:val="1"/>
    <w:qFormat/>
    <w:uiPriority w:val="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160">
    <w:name w:val="Table Text Char1"/>
    <w:qFormat/>
    <w:uiPriority w:val="0"/>
    <w:pPr>
      <w:snapToGrid w:val="0"/>
      <w:spacing w:before="80" w:after="80"/>
    </w:pPr>
    <w:rPr>
      <w:rFonts w:ascii="Arial" w:hAnsi="Arial" w:eastAsia="宋体" w:cs="Times New Roman"/>
      <w:kern w:val="2"/>
      <w:sz w:val="18"/>
      <w:lang w:val="en-US" w:eastAsia="zh-CN" w:bidi="ar-SA"/>
    </w:rPr>
  </w:style>
  <w:style w:type="paragraph" w:customStyle="1" w:styleId="161">
    <w:name w:val=" Char Char Char"/>
    <w:basedOn w:val="1"/>
    <w:qFormat/>
    <w:uiPriority w:val="0"/>
    <w:rPr>
      <w:rFonts w:ascii="Tahoma" w:hAnsi="Tahoma"/>
      <w:sz w:val="24"/>
    </w:rPr>
  </w:style>
  <w:style w:type="paragraph" w:customStyle="1" w:styleId="162">
    <w:name w:val="样式2"/>
    <w:basedOn w:val="7"/>
    <w:qFormat/>
    <w:uiPriority w:val="0"/>
    <w:pPr>
      <w:numPr>
        <w:ilvl w:val="0"/>
        <w:numId w:val="13"/>
      </w:numPr>
      <w:spacing w:line="400" w:lineRule="exact"/>
      <w:jc w:val="center"/>
      <w:outlineLvl w:val="0"/>
    </w:pPr>
    <w:rPr>
      <w:b w:val="0"/>
      <w:sz w:val="44"/>
    </w:rPr>
  </w:style>
  <w:style w:type="paragraph" w:customStyle="1" w:styleId="163">
    <w:name w:val="Char Char Char Char"/>
    <w:basedOn w:val="1"/>
    <w:qFormat/>
    <w:uiPriority w:val="0"/>
    <w:pPr>
      <w:pageBreakBefore/>
      <w:widowControl/>
      <w:spacing w:after="160" w:afterLines="0" w:line="240" w:lineRule="exact"/>
      <w:jc w:val="left"/>
    </w:pPr>
    <w:rPr>
      <w:rFonts w:ascii="Verdana" w:hAnsi="Verdana"/>
      <w:kern w:val="0"/>
      <w:sz w:val="20"/>
      <w:lang w:eastAsia="en-US"/>
    </w:rPr>
  </w:style>
  <w:style w:type="paragraph" w:customStyle="1" w:styleId="164">
    <w:name w:val=" Char Char 字元 字元 字元 Char Char Char Char"/>
    <w:basedOn w:val="1"/>
    <w:qFormat/>
    <w:uiPriority w:val="0"/>
    <w:pPr>
      <w:adjustRightInd w:val="0"/>
      <w:spacing w:line="360" w:lineRule="auto"/>
    </w:pPr>
    <w:rPr>
      <w:kern w:val="0"/>
      <w:sz w:val="24"/>
    </w:rPr>
  </w:style>
  <w:style w:type="paragraph" w:customStyle="1" w:styleId="165">
    <w:name w:val="项目"/>
    <w:basedOn w:val="1"/>
    <w:qFormat/>
    <w:uiPriority w:val="0"/>
    <w:pPr>
      <w:tabs>
        <w:tab w:val="left" w:pos="1280"/>
      </w:tabs>
      <w:spacing w:before="120" w:beforeLines="0" w:beforeAutospacing="0" w:after="120" w:afterLines="0" w:afterAutospacing="0" w:line="360" w:lineRule="auto"/>
      <w:ind w:left="-7" w:firstLine="567"/>
      <w:jc w:val="left"/>
      <w:textAlignment w:val="baseline"/>
    </w:pPr>
    <w:rPr>
      <w:rFonts w:ascii="宋体"/>
      <w:kern w:val="0"/>
      <w:sz w:val="24"/>
    </w:rPr>
  </w:style>
  <w:style w:type="paragraph" w:customStyle="1" w:styleId="166">
    <w:name w:val="正文格式 Char"/>
    <w:basedOn w:val="1"/>
    <w:qFormat/>
    <w:uiPriority w:val="0"/>
    <w:pPr>
      <w:widowControl/>
      <w:adjustRightInd w:val="0"/>
      <w:spacing w:line="440" w:lineRule="atLeast"/>
      <w:ind w:firstLine="510"/>
      <w:textAlignment w:val="baseline"/>
    </w:pPr>
    <w:rPr>
      <w:kern w:val="0"/>
      <w:sz w:val="24"/>
    </w:rPr>
  </w:style>
  <w:style w:type="paragraph" w:customStyle="1" w:styleId="167">
    <w:name w:val=" Char1"/>
    <w:basedOn w:val="1"/>
    <w:qFormat/>
    <w:uiPriority w:val="0"/>
    <w:rPr>
      <w:sz w:val="21"/>
    </w:rPr>
  </w:style>
  <w:style w:type="paragraph" w:customStyle="1" w:styleId="168">
    <w:name w:val="附录1"/>
    <w:basedOn w:val="1"/>
    <w:next w:val="1"/>
    <w:qFormat/>
    <w:uiPriority w:val="0"/>
    <w:pPr>
      <w:tabs>
        <w:tab w:val="left" w:pos="1304"/>
      </w:tabs>
      <w:ind w:left="425" w:hanging="425"/>
      <w:outlineLvl w:val="0"/>
    </w:pPr>
    <w:rPr>
      <w:rFonts w:ascii="黑体" w:hAnsi="黑体" w:eastAsia="黑体"/>
      <w:b/>
      <w:sz w:val="44"/>
    </w:rPr>
  </w:style>
  <w:style w:type="paragraph" w:customStyle="1" w:styleId="169">
    <w:name w:val="表头文本"/>
    <w:qFormat/>
    <w:uiPriority w:val="0"/>
    <w:pPr>
      <w:jc w:val="center"/>
    </w:pPr>
    <w:rPr>
      <w:rFonts w:ascii="Arial" w:hAnsi="Arial" w:eastAsia="宋体" w:cs="Times New Roman"/>
      <w:b/>
      <w:sz w:val="21"/>
      <w:lang w:val="en-US" w:eastAsia="zh-CN" w:bidi="ar-SA"/>
    </w:rPr>
  </w:style>
  <w:style w:type="paragraph" w:customStyle="1" w:styleId="170">
    <w:name w:val="Table Description"/>
    <w:next w:val="1"/>
    <w:qFormat/>
    <w:uiPriority w:val="0"/>
    <w:pPr>
      <w:keepNext/>
      <w:snapToGrid w:val="0"/>
      <w:spacing w:before="160" w:after="80"/>
      <w:ind w:left="1134"/>
      <w:jc w:val="center"/>
    </w:pPr>
    <w:rPr>
      <w:rFonts w:ascii="Arial" w:hAnsi="Arial" w:eastAsia="黑体" w:cs="Times New Roman"/>
      <w:sz w:val="18"/>
      <w:lang w:val="en-US" w:eastAsia="zh-CN" w:bidi="ar-SA"/>
    </w:rPr>
  </w:style>
  <w:style w:type="paragraph" w:customStyle="1" w:styleId="171">
    <w:name w:val="内容标题"/>
    <w:basedOn w:val="19"/>
    <w:qFormat/>
    <w:uiPriority w:val="0"/>
    <w:rPr>
      <w:rFonts w:ascii="Tahoma" w:hAnsi="Tahoma"/>
      <w:sz w:val="24"/>
    </w:rPr>
  </w:style>
  <w:style w:type="paragraph" w:customStyle="1" w:styleId="172">
    <w:name w:val="表头样式"/>
    <w:basedOn w:val="1"/>
    <w:qFormat/>
    <w:uiPriority w:val="0"/>
    <w:pPr>
      <w:autoSpaceDE w:val="0"/>
      <w:autoSpaceDN w:val="0"/>
      <w:adjustRightInd w:val="0"/>
      <w:spacing w:line="360" w:lineRule="auto"/>
      <w:jc w:val="left"/>
    </w:pPr>
    <w:rPr>
      <w:b/>
      <w:kern w:val="0"/>
      <w:sz w:val="21"/>
    </w:rPr>
  </w:style>
  <w:style w:type="paragraph" w:customStyle="1" w:styleId="173">
    <w:name w:val="1"/>
    <w:basedOn w:val="1"/>
    <w:qFormat/>
    <w:uiPriority w:val="0"/>
    <w:rPr>
      <w:rFonts w:ascii="Tahoma" w:hAnsi="Tahoma"/>
      <w:sz w:val="24"/>
    </w:rPr>
  </w:style>
  <w:style w:type="paragraph" w:customStyle="1" w:styleId="174">
    <w:name w:val="IN Step"/>
    <w:basedOn w:val="1"/>
    <w:qFormat/>
    <w:uiPriority w:val="0"/>
    <w:pPr>
      <w:keepLines/>
      <w:widowControl/>
      <w:tabs>
        <w:tab w:val="left" w:pos="1134"/>
      </w:tabs>
      <w:spacing w:before="80" w:beforeLines="0" w:beforeAutospacing="0" w:after="80" w:afterLines="0" w:afterAutospacing="0" w:line="300" w:lineRule="auto"/>
      <w:ind w:left="1134" w:hanging="907"/>
      <w:outlineLvl w:val="8"/>
    </w:pPr>
    <w:rPr>
      <w:rFonts w:ascii="Arial" w:hAnsi="Arial"/>
      <w:kern w:val="0"/>
      <w:sz w:val="21"/>
    </w:rPr>
  </w:style>
  <w:style w:type="paragraph" w:customStyle="1" w:styleId="175">
    <w:name w:val="简单回函地址"/>
    <w:basedOn w:val="1"/>
    <w:qFormat/>
    <w:uiPriority w:val="0"/>
    <w:pPr>
      <w:adjustRightInd w:val="0"/>
      <w:snapToGrid w:val="0"/>
      <w:spacing w:line="360" w:lineRule="auto"/>
    </w:pPr>
    <w:rPr>
      <w:sz w:val="24"/>
    </w:rPr>
  </w:style>
  <w:style w:type="paragraph" w:customStyle="1" w:styleId="176">
    <w:name w:val="正文 + 三号"/>
    <w:basedOn w:val="1"/>
    <w:qFormat/>
    <w:uiPriority w:val="0"/>
    <w:rPr>
      <w:rFonts w:eastAsia="宋体"/>
      <w:kern w:val="2"/>
      <w:sz w:val="21"/>
      <w:lang w:val="en-US" w:eastAsia="zh-CN"/>
    </w:rPr>
  </w:style>
  <w:style w:type="paragraph" w:customStyle="1" w:styleId="177">
    <w:name w:val="图标"/>
    <w:basedOn w:val="1"/>
    <w:next w:val="1"/>
    <w:qFormat/>
    <w:uiPriority w:val="0"/>
    <w:pPr>
      <w:tabs>
        <w:tab w:val="left" w:pos="420"/>
        <w:tab w:val="left" w:pos="567"/>
        <w:tab w:val="left" w:pos="720"/>
      </w:tabs>
      <w:autoSpaceDE w:val="0"/>
      <w:autoSpaceDN w:val="0"/>
      <w:adjustRightInd w:val="0"/>
      <w:snapToGrid w:val="0"/>
      <w:spacing w:before="120" w:beforeLines="0" w:beforeAutospacing="0" w:after="120" w:afterLines="0" w:afterAutospacing="0" w:line="320" w:lineRule="atLeast"/>
      <w:ind w:left="420" w:hanging="420"/>
      <w:jc w:val="center"/>
      <w:textAlignment w:val="baseline"/>
    </w:pPr>
    <w:rPr>
      <w:rFonts w:eastAsia="仿宋_GB2312"/>
      <w:kern w:val="0"/>
      <w:sz w:val="24"/>
    </w:rPr>
  </w:style>
  <w:style w:type="paragraph" w:customStyle="1" w:styleId="178">
    <w:name w:val="标题5"/>
    <w:basedOn w:val="1"/>
    <w:qFormat/>
    <w:uiPriority w:val="0"/>
    <w:pPr>
      <w:tabs>
        <w:tab w:val="left" w:pos="0"/>
      </w:tabs>
      <w:autoSpaceDE w:val="0"/>
      <w:autoSpaceDN w:val="0"/>
      <w:adjustRightInd w:val="0"/>
      <w:snapToGrid w:val="0"/>
      <w:spacing w:line="320" w:lineRule="atLeast"/>
    </w:pPr>
    <w:rPr>
      <w:rFonts w:ascii="宋体"/>
      <w:kern w:val="0"/>
      <w:sz w:val="21"/>
    </w:rPr>
  </w:style>
  <w:style w:type="paragraph" w:customStyle="1" w:styleId="179">
    <w:name w:val="默认段落字体 Para Char Char Char Char Char Char Char"/>
    <w:basedOn w:val="1"/>
    <w:qFormat/>
    <w:uiPriority w:val="0"/>
    <w:rPr>
      <w:rFonts w:ascii="Tahoma" w:hAnsi="Tahoma"/>
      <w:sz w:val="24"/>
    </w:rPr>
  </w:style>
  <w:style w:type="paragraph" w:customStyle="1" w:styleId="180">
    <w:name w:val="正文表格"/>
    <w:basedOn w:val="1"/>
    <w:qFormat/>
    <w:uiPriority w:val="0"/>
    <w:pPr>
      <w:adjustRightInd w:val="0"/>
      <w:spacing w:before="40" w:beforeLines="0" w:beforeAutospacing="0" w:after="40" w:afterLines="0" w:afterAutospacing="0"/>
    </w:pPr>
    <w:rPr>
      <w:sz w:val="24"/>
    </w:rPr>
  </w:style>
  <w:style w:type="paragraph" w:customStyle="1" w:styleId="181">
    <w:name w:val="附录3"/>
    <w:basedOn w:val="1"/>
    <w:next w:val="1"/>
    <w:qFormat/>
    <w:uiPriority w:val="0"/>
    <w:pPr>
      <w:numPr>
        <w:ilvl w:val="2"/>
        <w:numId w:val="0"/>
      </w:numPr>
      <w:tabs>
        <w:tab w:val="left" w:pos="851"/>
      </w:tabs>
      <w:ind w:left="425" w:hanging="425"/>
      <w:outlineLvl w:val="2"/>
    </w:pPr>
    <w:rPr>
      <w:rFonts w:eastAsia="黑体"/>
      <w:b/>
      <w:sz w:val="32"/>
    </w:rPr>
  </w:style>
  <w:style w:type="paragraph" w:customStyle="1" w:styleId="182">
    <w:name w:val="图例"/>
    <w:basedOn w:val="1"/>
    <w:qFormat/>
    <w:uiPriority w:val="0"/>
    <w:pPr>
      <w:spacing w:before="120" w:beforeLines="0" w:beforeAutospacing="0" w:after="120" w:afterLines="0" w:afterAutospacing="0" w:line="360" w:lineRule="auto"/>
      <w:jc w:val="center"/>
    </w:pPr>
    <w:rPr>
      <w:rFonts w:eastAsia="仿宋_GB2312"/>
      <w:b/>
      <w:sz w:val="24"/>
    </w:rPr>
  </w:style>
  <w:style w:type="paragraph" w:customStyle="1" w:styleId="183">
    <w:name w:val="Title - Date"/>
    <w:basedOn w:val="57"/>
    <w:next w:val="1"/>
    <w:qFormat/>
    <w:uiPriority w:val="0"/>
    <w:pPr>
      <w:spacing w:before="240" w:beforeLines="0" w:beforeAutospacing="0" w:after="720" w:afterLines="0" w:afterAutospacing="0"/>
    </w:pPr>
    <w:rPr>
      <w:sz w:val="28"/>
    </w:rPr>
  </w:style>
  <w:style w:type="paragraph" w:customStyle="1" w:styleId="184">
    <w:name w:val="样式 样式 正文首行缩进 2 + 左  0 字符 + 首行缩进:  2.57 字符"/>
    <w:basedOn w:val="1"/>
    <w:next w:val="1"/>
    <w:qFormat/>
    <w:uiPriority w:val="0"/>
    <w:pPr>
      <w:adjustRightInd w:val="0"/>
      <w:snapToGrid w:val="0"/>
      <w:spacing w:after="120" w:afterLines="0" w:afterAutospacing="0"/>
      <w:ind w:firstLine="540" w:firstLineChars="257"/>
    </w:pPr>
    <w:rPr>
      <w:sz w:val="21"/>
    </w:rPr>
  </w:style>
  <w:style w:type="paragraph" w:customStyle="1" w:styleId="185">
    <w:name w:val="Table Heading"/>
    <w:qFormat/>
    <w:uiPriority w:val="0"/>
    <w:pPr>
      <w:keepNext/>
      <w:snapToGrid w:val="0"/>
      <w:spacing w:before="80" w:after="80"/>
      <w:jc w:val="center"/>
    </w:pPr>
    <w:rPr>
      <w:rFonts w:ascii="Arial" w:hAnsi="Arial" w:eastAsia="黑体" w:cs="Times New Roman"/>
      <w:sz w:val="18"/>
      <w:lang w:val="en-US" w:eastAsia="zh-CN" w:bidi="ar-SA"/>
    </w:rPr>
  </w:style>
  <w:style w:type="paragraph" w:customStyle="1" w:styleId="186">
    <w:name w:val="文档正文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187">
    <w:name w:val="_"/>
    <w:basedOn w:val="1"/>
    <w:qFormat/>
    <w:uiPriority w:val="0"/>
    <w:pPr>
      <w:adjustRightInd w:val="0"/>
      <w:spacing w:line="360" w:lineRule="auto"/>
      <w:ind w:left="480" w:firstLine="200" w:firstLineChars="200"/>
      <w:textAlignment w:val="baseline"/>
    </w:pPr>
    <w:rPr>
      <w:kern w:val="0"/>
      <w:sz w:val="24"/>
    </w:rPr>
  </w:style>
  <w:style w:type="paragraph" w:customStyle="1" w:styleId="188">
    <w:name w:val=" Char Char Char Char Char"/>
    <w:basedOn w:val="1"/>
    <w:qFormat/>
    <w:uiPriority w:val="0"/>
    <w:pPr>
      <w:numPr>
        <w:ilvl w:val="0"/>
        <w:numId w:val="8"/>
      </w:numPr>
    </w:pPr>
    <w:rPr>
      <w:rFonts w:ascii="Tahoma" w:hAnsi="Tahoma"/>
      <w:sz w:val="24"/>
    </w:rPr>
  </w:style>
  <w:style w:type="paragraph" w:customStyle="1" w:styleId="189">
    <w:name w:val="章标题"/>
    <w:next w:val="1"/>
    <w:qFormat/>
    <w:uiPriority w:val="0"/>
    <w:pPr>
      <w:numPr>
        <w:ilvl w:val="1"/>
        <w:numId w:val="14"/>
      </w:numPr>
      <w:spacing w:before="156" w:beforeLines="50" w:after="156" w:afterLines="50"/>
      <w:ind w:left="0"/>
      <w:jc w:val="both"/>
      <w:outlineLvl w:val="1"/>
    </w:pPr>
    <w:rPr>
      <w:rFonts w:ascii="黑体" w:hAnsi="Times New Roman" w:eastAsia="黑体" w:cs="Times New Roman"/>
      <w:sz w:val="24"/>
      <w:lang w:val="en-US" w:eastAsia="zh-CN" w:bidi="ar-SA"/>
    </w:rPr>
  </w:style>
  <w:style w:type="paragraph" w:customStyle="1" w:styleId="190">
    <w:name w:val=" Char1 Char Char Char"/>
    <w:basedOn w:val="1"/>
    <w:qFormat/>
    <w:uiPriority w:val="0"/>
    <w:rPr>
      <w:rFonts w:ascii="Tahoma" w:hAnsi="Tahoma"/>
      <w:sz w:val="24"/>
    </w:rPr>
  </w:style>
  <w:style w:type="paragraph" w:customStyle="1" w:styleId="191">
    <w:name w:val="样式 标题 1 + 居中 段前: 6 磅 段后: 6 磅 行距: 1.5 倍行距"/>
    <w:basedOn w:val="4"/>
    <w:qFormat/>
    <w:uiPriority w:val="0"/>
    <w:pPr>
      <w:keepLines/>
      <w:tabs>
        <w:tab w:val="clear" w:pos="3360"/>
      </w:tabs>
      <w:adjustRightInd w:val="0"/>
      <w:spacing w:before="120" w:beforeLines="0" w:beforeAutospacing="0" w:line="360" w:lineRule="auto"/>
    </w:pPr>
    <w:rPr>
      <w:rFonts w:eastAsia="宋体"/>
      <w:b/>
      <w:kern w:val="44"/>
      <w:sz w:val="32"/>
    </w:rPr>
  </w:style>
  <w:style w:type="paragraph" w:customStyle="1" w:styleId="192">
    <w:name w:val="样式4"/>
    <w:basedOn w:val="7"/>
    <w:qFormat/>
    <w:uiPriority w:val="0"/>
    <w:pPr>
      <w:numPr>
        <w:ilvl w:val="0"/>
        <w:numId w:val="0"/>
      </w:numPr>
      <w:adjustRightInd w:val="0"/>
      <w:snapToGrid w:val="0"/>
      <w:spacing w:before="280" w:beforeLines="0" w:beforeAutospacing="0" w:line="372" w:lineRule="auto"/>
    </w:pPr>
  </w:style>
  <w:style w:type="paragraph" w:customStyle="1" w:styleId="193">
    <w:name w:val="普通正文"/>
    <w:basedOn w:val="1"/>
    <w:qFormat/>
    <w:uiPriority w:val="0"/>
    <w:pPr>
      <w:adjustRightInd w:val="0"/>
      <w:spacing w:before="120" w:beforeLines="0" w:beforeAutospacing="0" w:after="120" w:afterLines="0" w:afterAutospacing="0" w:line="360" w:lineRule="auto"/>
      <w:ind w:firstLine="480"/>
      <w:jc w:val="left"/>
      <w:textAlignment w:val="baseline"/>
    </w:pPr>
    <w:rPr>
      <w:rFonts w:ascii="Arial" w:hAnsi="Arial"/>
      <w:kern w:val="0"/>
      <w:sz w:val="24"/>
    </w:rPr>
  </w:style>
  <w:style w:type="paragraph" w:customStyle="1" w:styleId="194">
    <w:name w:val="CSS1级正文 Char"/>
    <w:basedOn w:val="3"/>
    <w:qFormat/>
    <w:uiPriority w:val="0"/>
    <w:pPr>
      <w:adjustRightInd w:val="0"/>
      <w:snapToGrid w:val="0"/>
      <w:spacing w:line="360" w:lineRule="auto"/>
      <w:ind w:firstLine="480"/>
    </w:pPr>
    <w:rPr>
      <w:rFonts w:ascii="Times New Roman" w:eastAsia="宋体"/>
      <w:sz w:val="24"/>
    </w:rPr>
  </w:style>
  <w:style w:type="paragraph" w:customStyle="1" w:styleId="195">
    <w:name w:val="文档正文 Char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196">
    <w:name w:val="段落正文"/>
    <w:basedOn w:val="1"/>
    <w:qFormat/>
    <w:uiPriority w:val="0"/>
    <w:pPr>
      <w:spacing w:before="156" w:beforeLines="50" w:beforeAutospacing="0" w:line="360" w:lineRule="auto"/>
      <w:ind w:firstLine="200" w:firstLineChars="200"/>
    </w:pPr>
    <w:rPr>
      <w:spacing w:val="2"/>
      <w:sz w:val="24"/>
    </w:rPr>
  </w:style>
  <w:style w:type="paragraph" w:customStyle="1" w:styleId="197">
    <w:name w:val=" Char Char Char Char Char Char Char Char Char Char Char Char Char"/>
    <w:basedOn w:val="1"/>
    <w:qFormat/>
    <w:uiPriority w:val="0"/>
    <w:pPr>
      <w:widowControl/>
      <w:spacing w:after="160" w:afterLines="0" w:afterAutospacing="0" w:line="240" w:lineRule="exact"/>
      <w:jc w:val="left"/>
    </w:pPr>
    <w:rPr>
      <w:rFonts w:ascii="Verdana" w:hAnsi="Verdana" w:eastAsia="仿宋_GB2312"/>
      <w:kern w:val="0"/>
      <w:sz w:val="24"/>
      <w:lang w:eastAsia="en-US"/>
    </w:rPr>
  </w:style>
  <w:style w:type="paragraph" w:customStyle="1" w:styleId="198">
    <w:name w:val="Char"/>
    <w:basedOn w:val="1"/>
    <w:qFormat/>
    <w:uiPriority w:val="0"/>
    <w:pPr>
      <w:widowControl/>
      <w:spacing w:line="400" w:lineRule="exact"/>
      <w:jc w:val="center"/>
    </w:pPr>
    <w:rPr>
      <w:sz w:val="24"/>
    </w:rPr>
  </w:style>
  <w:style w:type="paragraph" w:customStyle="1" w:styleId="199">
    <w:name w:val="Pull Quote"/>
    <w:basedOn w:val="1"/>
    <w:qFormat/>
    <w:uiPriority w:val="0"/>
    <w:pPr>
      <w:pBdr>
        <w:top w:val="single" w:color="auto" w:sz="18" w:space="12"/>
        <w:left w:val="single" w:color="FFFFFF" w:sz="6" w:space="12"/>
        <w:bottom w:val="single" w:color="auto" w:sz="6" w:space="12"/>
        <w:right w:val="single" w:color="FFFFFF" w:sz="6" w:space="12"/>
      </w:pBdr>
      <w:shd w:val="pct10" w:color="auto" w:fill="auto"/>
      <w:spacing w:before="120" w:beforeLines="0" w:beforeAutospacing="0" w:after="240" w:afterLines="0" w:afterAutospacing="0" w:line="288" w:lineRule="auto"/>
      <w:ind w:left="144" w:right="144"/>
      <w:jc w:val="center"/>
    </w:pPr>
    <w:rPr>
      <w:b/>
      <w:i/>
      <w:sz w:val="24"/>
    </w:rPr>
  </w:style>
  <w:style w:type="paragraph" w:customStyle="1" w:styleId="200">
    <w:name w:val="Body Text Indent 2"/>
    <w:basedOn w:val="1"/>
    <w:qFormat/>
    <w:uiPriority w:val="0"/>
    <w:pPr>
      <w:adjustRightInd w:val="0"/>
      <w:spacing w:before="120" w:beforeLines="0" w:beforeAutospacing="0"/>
      <w:ind w:firstLine="420"/>
      <w:textAlignment w:val="baseline"/>
    </w:pPr>
    <w:rPr>
      <w:sz w:val="24"/>
    </w:rPr>
  </w:style>
  <w:style w:type="paragraph" w:customStyle="1" w:styleId="201">
    <w:name w:val="没有缩进（为图形使用）"/>
    <w:basedOn w:val="1"/>
    <w:qFormat/>
    <w:uiPriority w:val="0"/>
    <w:pPr>
      <w:spacing w:before="120" w:beforeLines="0" w:beforeAutospacing="0" w:after="120" w:afterLines="0" w:afterAutospacing="0" w:line="360" w:lineRule="auto"/>
    </w:pPr>
    <w:rPr>
      <w:sz w:val="24"/>
    </w:rPr>
  </w:style>
  <w:style w:type="paragraph" w:customStyle="1" w:styleId="202">
    <w:name w:val="xl40"/>
    <w:basedOn w:val="1"/>
    <w:qFormat/>
    <w:uiPriority w:val="0"/>
    <w:pPr>
      <w:widowControl/>
      <w:pBdr>
        <w:left w:val="single" w:color="auto" w:sz="4" w:space="0"/>
        <w:right w:val="single" w:color="auto" w:sz="4" w:space="0"/>
      </w:pBdr>
      <w:spacing w:before="100" w:beforeLines="0" w:beforeAutospacing="1" w:after="100" w:afterLines="0" w:afterAutospacing="1"/>
      <w:jc w:val="center"/>
    </w:pPr>
    <w:rPr>
      <w:rFonts w:ascii="宋体" w:hAnsi="宋体"/>
      <w:kern w:val="0"/>
      <w:sz w:val="24"/>
    </w:rPr>
  </w:style>
  <w:style w:type="paragraph" w:customStyle="1" w:styleId="203">
    <w:name w:val="Item Step in Table"/>
    <w:qFormat/>
    <w:uiPriority w:val="0"/>
    <w:pPr>
      <w:numPr>
        <w:ilvl w:val="0"/>
        <w:numId w:val="15"/>
      </w:numPr>
      <w:spacing w:before="40" w:after="40"/>
      <w:jc w:val="both"/>
    </w:pPr>
    <w:rPr>
      <w:rFonts w:ascii="Arial" w:hAnsi="Arial" w:eastAsia="宋体" w:cs="Times New Roman"/>
      <w:sz w:val="18"/>
      <w:lang w:val="en-US" w:eastAsia="zh-CN" w:bidi="ar-SA"/>
    </w:rPr>
  </w:style>
  <w:style w:type="paragraph" w:customStyle="1" w:styleId="204">
    <w:name w:val="Char1 Char Char Char"/>
    <w:basedOn w:val="1"/>
    <w:qFormat/>
    <w:uiPriority w:val="0"/>
    <w:rPr>
      <w:rFonts w:ascii="Tahoma" w:hAnsi="Tahoma"/>
      <w:sz w:val="21"/>
    </w:rPr>
  </w:style>
  <w:style w:type="paragraph" w:customStyle="1" w:styleId="205">
    <w:name w:val="Char Char Char Char Char Char Char"/>
    <w:basedOn w:val="19"/>
    <w:qFormat/>
    <w:uiPriority w:val="0"/>
    <w:rPr>
      <w:rFonts w:ascii="宋体" w:hAnsi="Tahoma"/>
    </w:rPr>
  </w:style>
  <w:style w:type="paragraph" w:customStyle="1" w:styleId="206">
    <w:name w:val="tabletext"/>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207">
    <w:name w:val="样式1"/>
    <w:basedOn w:val="7"/>
    <w:qFormat/>
    <w:uiPriority w:val="0"/>
    <w:pPr>
      <w:spacing w:before="500" w:beforeLines="0" w:after="260" w:afterLines="0" w:line="560" w:lineRule="atLeast"/>
    </w:pPr>
  </w:style>
  <w:style w:type="paragraph" w:customStyle="1" w:styleId="208">
    <w:name w:val="二级列表"/>
    <w:basedOn w:val="196"/>
    <w:next w:val="196"/>
    <w:qFormat/>
    <w:uiPriority w:val="0"/>
    <w:pPr>
      <w:tabs>
        <w:tab w:val="left" w:pos="2120"/>
      </w:tabs>
      <w:ind w:firstLine="0" w:firstLineChars="0"/>
    </w:pPr>
    <w:rPr>
      <w:b/>
    </w:rPr>
  </w:style>
  <w:style w:type="paragraph" w:customStyle="1" w:styleId="209">
    <w:name w:val="可研正文"/>
    <w:basedOn w:val="3"/>
    <w:qFormat/>
    <w:uiPriority w:val="0"/>
    <w:pPr>
      <w:adjustRightInd w:val="0"/>
      <w:snapToGrid w:val="0"/>
      <w:spacing w:line="440" w:lineRule="exact"/>
      <w:ind w:firstLine="567"/>
    </w:pPr>
    <w:rPr>
      <w:sz w:val="28"/>
    </w:rPr>
  </w:style>
  <w:style w:type="paragraph" w:customStyle="1" w:styleId="210">
    <w:name w:val="默认段落字体 Para Char Char Char Char Char Char Char Char Char1 Char Char Char Char"/>
    <w:basedOn w:val="1"/>
    <w:qFormat/>
    <w:uiPriority w:val="0"/>
    <w:rPr>
      <w:rFonts w:ascii="Tahoma" w:hAnsi="Tahoma"/>
      <w:sz w:val="24"/>
    </w:rPr>
  </w:style>
  <w:style w:type="paragraph" w:customStyle="1" w:styleId="211">
    <w:name w:val=" Char Char1 Char"/>
    <w:basedOn w:val="1"/>
    <w:qFormat/>
    <w:uiPriority w:val="0"/>
    <w:rPr>
      <w:rFonts w:ascii="Tahoma" w:hAnsi="Tahoma"/>
      <w:sz w:val="24"/>
      <w:szCs w:val="24"/>
    </w:rPr>
  </w:style>
  <w:style w:type="paragraph" w:customStyle="1" w:styleId="212">
    <w:name w:val="Char Char1 Char Char Char Char Char Char Char Char"/>
    <w:basedOn w:val="1"/>
    <w:qFormat/>
    <w:uiPriority w:val="0"/>
    <w:pPr>
      <w:widowControl/>
      <w:spacing w:after="160" w:afterLines="0" w:line="240" w:lineRule="exact"/>
      <w:jc w:val="left"/>
    </w:pPr>
    <w:rPr>
      <w:rFonts w:ascii="Verdana" w:hAnsi="Verdana"/>
      <w:kern w:val="0"/>
      <w:sz w:val="20"/>
      <w:lang w:eastAsia="en-US"/>
    </w:rPr>
  </w:style>
  <w:style w:type="paragraph" w:customStyle="1" w:styleId="213">
    <w:name w:val="Note"/>
    <w:basedOn w:val="1"/>
    <w:qFormat/>
    <w:uiPriority w:val="0"/>
    <w:pPr>
      <w:pBdr>
        <w:top w:val="single" w:color="auto" w:sz="12" w:space="3"/>
        <w:bottom w:val="single" w:color="auto" w:sz="12" w:space="3"/>
      </w:pBdr>
      <w:spacing w:line="360" w:lineRule="auto"/>
    </w:pPr>
    <w:rPr>
      <w:sz w:val="24"/>
    </w:rPr>
  </w:style>
  <w:style w:type="paragraph" w:customStyle="1" w:styleId="214">
    <w:name w:val="文本1"/>
    <w:basedOn w:val="1"/>
    <w:qFormat/>
    <w:uiPriority w:val="0"/>
    <w:pPr>
      <w:adjustRightInd w:val="0"/>
      <w:spacing w:line="312" w:lineRule="atLeast"/>
      <w:jc w:val="center"/>
      <w:textAlignment w:val="baseline"/>
    </w:pPr>
    <w:rPr>
      <w:kern w:val="0"/>
      <w:sz w:val="18"/>
    </w:rPr>
  </w:style>
  <w:style w:type="paragraph" w:customStyle="1" w:styleId="215">
    <w:name w:val="Table Text"/>
    <w:qFormat/>
    <w:uiPriority w:val="0"/>
    <w:pPr>
      <w:snapToGrid w:val="0"/>
      <w:spacing w:before="80" w:after="80"/>
    </w:pPr>
    <w:rPr>
      <w:rFonts w:ascii="Arial" w:hAnsi="Arial" w:eastAsia="宋体" w:cs="Times New Roman"/>
      <w:kern w:val="2"/>
      <w:sz w:val="18"/>
      <w:lang w:val="en-US" w:eastAsia="zh-CN" w:bidi="ar-SA"/>
    </w:rPr>
  </w:style>
  <w:style w:type="paragraph" w:customStyle="1" w:styleId="216">
    <w:name w:val="文本框样式1"/>
    <w:basedOn w:val="1"/>
    <w:qFormat/>
    <w:uiPriority w:val="0"/>
    <w:pPr>
      <w:adjustRightInd w:val="0"/>
      <w:snapToGrid w:val="0"/>
      <w:spacing w:before="60" w:beforeLines="0" w:beforeAutospacing="0" w:line="180" w:lineRule="exact"/>
      <w:jc w:val="center"/>
    </w:pPr>
    <w:rPr>
      <w:sz w:val="21"/>
    </w:rPr>
  </w:style>
  <w:style w:type="paragraph" w:customStyle="1" w:styleId="217">
    <w:name w:val="AA Numbering"/>
    <w:basedOn w:val="1"/>
    <w:qFormat/>
    <w:uiPriority w:val="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218">
    <w:name w:val="样式1xz"/>
    <w:basedOn w:val="1"/>
    <w:qFormat/>
    <w:uiPriority w:val="0"/>
    <w:pPr>
      <w:tabs>
        <w:tab w:val="left" w:pos="1050"/>
        <w:tab w:val="right" w:leader="dot" w:pos="8296"/>
      </w:tabs>
    </w:pPr>
    <w:rPr>
      <w:caps/>
      <w:spacing w:val="20"/>
      <w:sz w:val="24"/>
    </w:rPr>
  </w:style>
  <w:style w:type="paragraph" w:customStyle="1" w:styleId="219">
    <w:name w:val="IN Feature"/>
    <w:next w:val="174"/>
    <w:qFormat/>
    <w:uiPriority w:val="0"/>
    <w:pPr>
      <w:keepNext/>
      <w:keepLines/>
      <w:spacing w:before="240" w:after="240"/>
      <w:outlineLvl w:val="7"/>
    </w:pPr>
    <w:rPr>
      <w:rFonts w:ascii="Arial" w:hAnsi="Arial" w:eastAsia="黑体" w:cs="Times New Roman"/>
      <w:sz w:val="21"/>
      <w:lang w:val="en-US" w:eastAsia="zh-CN" w:bidi="ar-SA"/>
    </w:rPr>
  </w:style>
  <w:style w:type="paragraph" w:customStyle="1" w:styleId="220">
    <w:name w:val="首行缩进 1"/>
    <w:basedOn w:val="1"/>
    <w:qFormat/>
    <w:uiPriority w:val="0"/>
    <w:pPr>
      <w:spacing w:after="120" w:afterLines="0" w:afterAutospacing="0" w:line="360" w:lineRule="auto"/>
      <w:ind w:firstLine="200" w:firstLineChars="200"/>
    </w:pPr>
    <w:rPr>
      <w:sz w:val="24"/>
    </w:rPr>
  </w:style>
  <w:style w:type="paragraph" w:customStyle="1" w:styleId="221">
    <w:name w:val="表文字"/>
    <w:qFormat/>
    <w:uiPriority w:val="0"/>
    <w:rPr>
      <w:rFonts w:ascii="宋体" w:hAnsi="Times New Roman" w:eastAsia="宋体" w:cs="Times New Roman"/>
      <w:kern w:val="2"/>
      <w:lang w:val="en-US" w:eastAsia="zh-CN" w:bidi="ar-SA"/>
    </w:rPr>
  </w:style>
  <w:style w:type="character" w:customStyle="1" w:styleId="222">
    <w:name w:val="批注文字 Char1"/>
    <w:qFormat/>
    <w:uiPriority w:val="0"/>
    <w:rPr>
      <w:rFonts w:eastAsia="PMingLiU"/>
      <w:sz w:val="24"/>
      <w:lang w:eastAsia="zh-TW"/>
    </w:rPr>
  </w:style>
  <w:style w:type="paragraph" w:customStyle="1" w:styleId="223">
    <w:name w:val="正文 A"/>
    <w:qFormat/>
    <w:uiPriority w:val="0"/>
    <w:pPr>
      <w:widowControl w:val="0"/>
      <w:jc w:val="both"/>
    </w:pPr>
    <w:rPr>
      <w:rFonts w:ascii="Calibri" w:hAnsi="Calibri" w:eastAsia="Times New Roman" w:cs="Times New Roman"/>
      <w:color w:val="000000"/>
      <w:kern w:val="2"/>
      <w:sz w:val="28"/>
      <w:szCs w:val="28"/>
      <w:u w:val="none" w:color="000000"/>
      <w:lang w:val="en-US" w:eastAsia="zh-CN" w:bidi="ar-SA"/>
    </w:rPr>
  </w:style>
  <w:style w:type="paragraph" w:customStyle="1" w:styleId="224">
    <w:name w:val="电建正文"/>
    <w:basedOn w:val="225"/>
    <w:qFormat/>
    <w:uiPriority w:val="0"/>
    <w:pPr>
      <w:tabs>
        <w:tab w:val="left" w:pos="720"/>
      </w:tabs>
      <w:spacing w:line="360" w:lineRule="auto"/>
      <w:ind w:firstLine="200" w:firstLineChars="200"/>
    </w:pPr>
    <w:rPr>
      <w:rFonts w:ascii="Tahoma" w:hAnsi="Tahoma"/>
      <w:sz w:val="24"/>
    </w:rPr>
  </w:style>
  <w:style w:type="paragraph" w:customStyle="1" w:styleId="225">
    <w:name w:val="List First"/>
    <w:basedOn w:val="42"/>
    <w:next w:val="42"/>
    <w:qFormat/>
    <w:uiPriority w:val="0"/>
    <w:pPr>
      <w:widowControl/>
      <w:tabs>
        <w:tab w:val="left" w:pos="720"/>
      </w:tabs>
      <w:overflowPunct w:val="0"/>
      <w:autoSpaceDE w:val="0"/>
      <w:autoSpaceDN w:val="0"/>
      <w:spacing w:before="80" w:after="80"/>
      <w:ind w:left="0"/>
      <w:jc w:val="left"/>
    </w:pPr>
    <w:rPr>
      <w:rFonts w:ascii="Times New Roman" w:hAnsi="Times New Roman"/>
      <w:kern w:val="0"/>
      <w:sz w:val="20"/>
    </w:rPr>
  </w:style>
  <w:style w:type="paragraph" w:customStyle="1" w:styleId="226">
    <w:name w:val="授权书和信息卡行距"/>
    <w:qFormat/>
    <w:uiPriority w:val="0"/>
    <w:pPr>
      <w:spacing w:line="560" w:lineRule="exact"/>
    </w:pPr>
    <w:rPr>
      <w:rFonts w:ascii="Times New Roman" w:hAnsi="Times New Roman" w:eastAsia="仿宋_GB2312" w:cs="Times New Roman"/>
      <w:kern w:val="2"/>
      <w:sz w:val="24"/>
      <w:szCs w:val="24"/>
      <w:lang w:val="en-US" w:eastAsia="zh-CN" w:bidi="ar-SA"/>
    </w:rPr>
  </w:style>
  <w:style w:type="character" w:customStyle="1" w:styleId="227">
    <w:name w:val="16"/>
    <w:qFormat/>
    <w:uiPriority w:val="0"/>
    <w:rPr>
      <w:rFonts w:hint="eastAsia" w:ascii="宋体" w:hAnsi="宋体" w:eastAsia="Times New Roman"/>
      <w:spacing w:val="0"/>
      <w:sz w:val="20"/>
      <w:szCs w:val="20"/>
      <w:shd w:val="clear" w:color="auto" w:fill="FFFFFF"/>
    </w:rPr>
  </w:style>
  <w:style w:type="paragraph" w:customStyle="1" w:styleId="228">
    <w:name w:val="身份证明授权委托投标函等行距"/>
    <w:qFormat/>
    <w:uiPriority w:val="0"/>
    <w:pPr>
      <w:spacing w:line="560" w:lineRule="exact"/>
      <w:ind w:firstLine="200" w:firstLineChars="200"/>
    </w:pPr>
    <w:rPr>
      <w:rFonts w:ascii="Times New Roman" w:hAnsi="Times New Roman" w:eastAsia="仿宋_GB2312" w:cs="Times New Roman"/>
      <w:kern w:val="2"/>
      <w:sz w:val="24"/>
      <w:szCs w:val="24"/>
      <w:lang w:val="en-US" w:eastAsia="zh-CN" w:bidi="ar-SA"/>
    </w:rPr>
  </w:style>
  <w:style w:type="paragraph" w:customStyle="1" w:styleId="229">
    <w:name w:val="正文（GB2312加粗）"/>
    <w:qFormat/>
    <w:uiPriority w:val="0"/>
    <w:pPr>
      <w:ind w:firstLine="200" w:firstLineChars="200"/>
    </w:pPr>
    <w:rPr>
      <w:rFonts w:ascii="Times New Roman" w:hAnsi="Times New Roman" w:eastAsia="仿宋_GB2312" w:cs="Times New Roman"/>
      <w:b/>
      <w:kern w:val="2"/>
      <w:sz w:val="24"/>
      <w:szCs w:val="24"/>
      <w:lang w:val="en-US" w:eastAsia="zh-CN" w:bidi="ar-SA"/>
    </w:rPr>
  </w:style>
  <w:style w:type="paragraph" w:customStyle="1" w:styleId="230">
    <w:name w:val="附件"/>
    <w:next w:val="1"/>
    <w:qFormat/>
    <w:uiPriority w:val="0"/>
    <w:pPr>
      <w:tabs>
        <w:tab w:val="right" w:leader="dot" w:pos="9402"/>
      </w:tabs>
      <w:spacing w:line="400" w:lineRule="exact"/>
      <w:jc w:val="center"/>
      <w:outlineLvl w:val="0"/>
    </w:pPr>
    <w:rPr>
      <w:rFonts w:ascii="Times New Roman" w:hAnsi="Times New Roman" w:eastAsia="方正黑体_GBK" w:cs="Times New Roman"/>
      <w:b/>
      <w:bCs/>
      <w:smallCaps/>
      <w:kern w:val="2"/>
      <w:sz w:val="28"/>
      <w:lang w:val="en-US" w:eastAsia="zh-CN" w:bidi="ar-SA"/>
    </w:rPr>
  </w:style>
  <w:style w:type="paragraph" w:customStyle="1" w:styleId="231">
    <w:name w:val="保证金信息卡行距及首行不空格"/>
    <w:qFormat/>
    <w:uiPriority w:val="0"/>
    <w:pPr>
      <w:spacing w:line="560" w:lineRule="exact"/>
    </w:pPr>
    <w:rPr>
      <w:rFonts w:ascii="黑体" w:hAnsi="宋体" w:eastAsia="仿宋_GB2312" w:cs="Times New Roman"/>
      <w:kern w:val="2"/>
      <w:sz w:val="24"/>
      <w:szCs w:val="90"/>
      <w:lang w:val="en-US" w:eastAsia="zh-CN" w:bidi="ar-SA"/>
    </w:rPr>
  </w:style>
  <w:style w:type="paragraph" w:customStyle="1" w:styleId="232">
    <w:name w:val="No Spacing"/>
    <w:basedOn w:val="1"/>
    <w:qFormat/>
    <w:uiPriority w:val="0"/>
    <w:pPr>
      <w:spacing w:after="0" w:line="400" w:lineRule="exact"/>
    </w:pPr>
    <w:rPr>
      <w:rFonts w:ascii="Times New Roman" w:hAnsi="Times New Roman" w:eastAsia="宋体" w:cs="Times New Roman"/>
      <w:sz w:val="24"/>
    </w:rPr>
  </w:style>
  <w:style w:type="character" w:customStyle="1" w:styleId="233">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62</Pages>
  <Words>6610</Words>
  <Characters>7041</Characters>
  <Lines>184</Lines>
  <Paragraphs>51</Paragraphs>
  <TotalTime>595</TotalTime>
  <ScaleCrop>false</ScaleCrop>
  <LinksUpToDate>false</LinksUpToDate>
  <CharactersWithSpaces>7220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2022-09-28T02:42:00Z</dcterms:created>
  <dc:creator>admin</dc:creator>
  <cp:lastModifiedBy>邹邹</cp:lastModifiedBy>
  <cp:lastPrinted>2024-08-15T06:05:00Z</cp:lastPrinted>
  <dcterms:modified xsi:type="dcterms:W3CDTF">2025-06-13T09:50:46Z</dcterms:modified>
  <dc:title>货物</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9FA813D83E964C9DB36972495F012474_13</vt:lpwstr>
  </property>
  <property fmtid="{D5CDD505-2E9C-101B-9397-08002B2CF9AE}" pid="4" name="KSOTemplateDocerSaveRecord">
    <vt:lpwstr>eyJoZGlkIjoiZjNlMTQ3NGY3YzE3NTNmNzZmNzFiZTRkNzg5OTE2MmMiLCJ1c2VySWQiOiIxNDg2NjgwNTAyIn0=</vt:lpwstr>
  </property>
</Properties>
</file>