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664CF">
      <w:pPr>
        <w:spacing w:line="360" w:lineRule="auto"/>
        <w:jc w:val="center"/>
        <w:rPr>
          <w:rFonts w:hint="eastAsia" w:ascii="黑体" w:hAnsi="黑体" w:eastAsia="黑体" w:cs="黑体"/>
          <w:b/>
          <w:color w:val="auto"/>
          <w:spacing w:val="60"/>
          <w:sz w:val="72"/>
          <w:szCs w:val="72"/>
          <w:highlight w:val="none"/>
        </w:rPr>
      </w:pPr>
      <w:r>
        <w:rPr>
          <w:rFonts w:hint="eastAsia" w:ascii="黑体" w:hAnsi="黑体" w:eastAsia="黑体" w:cs="黑体"/>
          <w:b/>
          <w:color w:val="auto"/>
          <w:sz w:val="32"/>
          <w:szCs w:val="32"/>
          <w:highlight w:val="none"/>
        </w:rPr>
        <w:t>项目名称：</w:t>
      </w:r>
      <w:r>
        <w:rPr>
          <w:rFonts w:hint="eastAsia" w:ascii="黑体" w:hAnsi="黑体" w:eastAsia="黑体" w:cs="黑体"/>
          <w:b/>
          <w:color w:val="auto"/>
          <w:sz w:val="32"/>
          <w:szCs w:val="32"/>
          <w:highlight w:val="none"/>
          <w:lang w:val="en-US" w:eastAsia="zh-CN"/>
        </w:rPr>
        <w:t>重庆市南岸区珊瑚长嘉汇小学校物业服务采购</w:t>
      </w:r>
    </w:p>
    <w:p w14:paraId="4EF0073B">
      <w:pPr>
        <w:pStyle w:val="8"/>
        <w:jc w:val="center"/>
        <w:rPr>
          <w:rFonts w:hint="eastAsia" w:ascii="黑体" w:hAnsi="黑体" w:eastAsia="黑体" w:cs="黑体"/>
          <w:b/>
          <w:color w:val="auto"/>
          <w:sz w:val="72"/>
          <w:szCs w:val="72"/>
          <w:highlight w:val="none"/>
          <w:lang w:val="en-US" w:eastAsia="zh-CN"/>
        </w:rPr>
      </w:pPr>
    </w:p>
    <w:p w14:paraId="792DFF9B">
      <w:pPr>
        <w:pStyle w:val="8"/>
        <w:jc w:val="center"/>
        <w:rPr>
          <w:rFonts w:hint="eastAsia" w:ascii="黑体" w:hAnsi="黑体" w:eastAsia="黑体" w:cs="黑体"/>
          <w:b/>
          <w:color w:val="auto"/>
          <w:sz w:val="72"/>
          <w:szCs w:val="72"/>
          <w:highlight w:val="none"/>
          <w:lang w:val="en-US" w:eastAsia="zh-CN"/>
        </w:rPr>
      </w:pPr>
    </w:p>
    <w:p w14:paraId="2BB42353">
      <w:pPr>
        <w:pStyle w:val="8"/>
        <w:jc w:val="center"/>
        <w:rPr>
          <w:rFonts w:hint="eastAsia" w:ascii="黑体" w:hAnsi="黑体" w:eastAsia="黑体" w:cs="黑体"/>
          <w:b/>
          <w:color w:val="auto"/>
          <w:sz w:val="72"/>
          <w:szCs w:val="72"/>
          <w:highlight w:val="none"/>
          <w:lang w:val="en-US" w:eastAsia="zh-CN"/>
        </w:rPr>
      </w:pPr>
    </w:p>
    <w:p w14:paraId="7E05BF18">
      <w:pPr>
        <w:pStyle w:val="8"/>
        <w:jc w:val="center"/>
        <w:rPr>
          <w:rFonts w:hint="eastAsia" w:ascii="黑体" w:hAnsi="黑体" w:eastAsia="黑体" w:cs="黑体"/>
          <w:b/>
          <w:color w:val="auto"/>
          <w:sz w:val="72"/>
          <w:szCs w:val="72"/>
          <w:highlight w:val="none"/>
          <w:lang w:val="en-US" w:eastAsia="zh-CN"/>
        </w:rPr>
      </w:pPr>
    </w:p>
    <w:p w14:paraId="1B4610E2">
      <w:pPr>
        <w:pStyle w:val="8"/>
        <w:jc w:val="center"/>
        <w:rPr>
          <w:rFonts w:hint="eastAsia" w:ascii="黑体" w:hAnsi="黑体" w:eastAsia="黑体" w:cs="黑体"/>
          <w:b/>
          <w:color w:val="auto"/>
          <w:sz w:val="72"/>
          <w:szCs w:val="72"/>
          <w:highlight w:val="none"/>
          <w:lang w:val="en-US" w:eastAsia="zh-CN"/>
        </w:rPr>
      </w:pPr>
    </w:p>
    <w:p w14:paraId="75F85710">
      <w:pPr>
        <w:pStyle w:val="8"/>
        <w:jc w:val="center"/>
        <w:rPr>
          <w:rFonts w:hint="default" w:ascii="黑体" w:hAnsi="黑体" w:eastAsia="黑体" w:cs="黑体"/>
          <w:b/>
          <w:color w:val="auto"/>
          <w:sz w:val="72"/>
          <w:szCs w:val="72"/>
          <w:highlight w:val="none"/>
          <w:lang w:val="en-US" w:eastAsia="zh-CN"/>
        </w:rPr>
      </w:pPr>
      <w:r>
        <w:rPr>
          <w:rFonts w:hint="eastAsia" w:ascii="黑体" w:hAnsi="黑体" w:eastAsia="黑体" w:cs="黑体"/>
          <w:b/>
          <w:color w:val="auto"/>
          <w:sz w:val="72"/>
          <w:szCs w:val="72"/>
          <w:highlight w:val="none"/>
          <w:lang w:val="en-US" w:eastAsia="zh-CN"/>
        </w:rPr>
        <w:t>竞争性磋商文件</w:t>
      </w:r>
    </w:p>
    <w:p w14:paraId="6DCD0F4F">
      <w:pPr>
        <w:spacing w:line="360" w:lineRule="auto"/>
        <w:jc w:val="left"/>
        <w:rPr>
          <w:rFonts w:hint="eastAsia" w:ascii="黑体" w:hAnsi="黑体" w:eastAsia="黑体" w:cs="黑体"/>
          <w:b/>
          <w:color w:val="auto"/>
          <w:sz w:val="32"/>
          <w:szCs w:val="32"/>
          <w:highlight w:val="none"/>
          <w:lang w:eastAsia="zh-CN"/>
        </w:rPr>
      </w:pPr>
    </w:p>
    <w:p w14:paraId="01EA5917">
      <w:pPr>
        <w:spacing w:line="360" w:lineRule="auto"/>
        <w:jc w:val="left"/>
        <w:rPr>
          <w:rFonts w:hint="eastAsia" w:ascii="黑体" w:hAnsi="黑体" w:eastAsia="黑体" w:cs="黑体"/>
          <w:b/>
          <w:color w:val="auto"/>
          <w:sz w:val="32"/>
          <w:szCs w:val="32"/>
          <w:highlight w:val="none"/>
        </w:rPr>
      </w:pPr>
    </w:p>
    <w:p w14:paraId="1F9872E9">
      <w:pPr>
        <w:keepNext w:val="0"/>
        <w:keepLines w:val="0"/>
        <w:pageBreakBefore w:val="0"/>
        <w:widowControl w:val="0"/>
        <w:kinsoku/>
        <w:wordWrap/>
        <w:overflowPunct/>
        <w:topLinePunct w:val="0"/>
        <w:autoSpaceDE/>
        <w:autoSpaceDN/>
        <w:bidi w:val="0"/>
        <w:adjustRightInd/>
        <w:snapToGrid/>
        <w:spacing w:line="360" w:lineRule="auto"/>
        <w:ind w:left="-280" w:leftChars="-100"/>
        <w:jc w:val="left"/>
        <w:textAlignment w:val="auto"/>
        <w:rPr>
          <w:rFonts w:hint="eastAsia" w:ascii="黑体" w:hAnsi="黑体" w:eastAsia="黑体" w:cs="黑体"/>
          <w:b/>
          <w:color w:val="auto"/>
          <w:sz w:val="32"/>
          <w:szCs w:val="32"/>
          <w:highlight w:val="none"/>
          <w:lang w:val="en-US" w:eastAsia="zh-CN"/>
        </w:rPr>
      </w:pPr>
    </w:p>
    <w:p w14:paraId="1E2BCB2C">
      <w:pPr>
        <w:pStyle w:val="8"/>
        <w:rPr>
          <w:rFonts w:hint="eastAsia" w:ascii="黑体" w:hAnsi="黑体" w:eastAsia="黑体" w:cs="黑体"/>
          <w:color w:val="auto"/>
          <w:highlight w:val="none"/>
          <w:lang w:eastAsia="zh-CN"/>
        </w:rPr>
      </w:pPr>
    </w:p>
    <w:p w14:paraId="4D7EB53B">
      <w:pPr>
        <w:pStyle w:val="8"/>
        <w:rPr>
          <w:rFonts w:hint="eastAsia" w:ascii="黑体" w:hAnsi="黑体" w:eastAsia="黑体" w:cs="黑体"/>
          <w:color w:val="auto"/>
          <w:highlight w:val="none"/>
        </w:rPr>
      </w:pPr>
    </w:p>
    <w:p w14:paraId="22DE5236">
      <w:pPr>
        <w:pStyle w:val="8"/>
        <w:rPr>
          <w:rFonts w:hint="eastAsia" w:ascii="黑体" w:hAnsi="黑体" w:eastAsia="黑体" w:cs="黑体"/>
          <w:b/>
          <w:color w:val="auto"/>
          <w:sz w:val="36"/>
          <w:szCs w:val="36"/>
          <w:highlight w:val="none"/>
        </w:rPr>
      </w:pPr>
    </w:p>
    <w:p w14:paraId="0B13F4F3">
      <w:pPr>
        <w:pStyle w:val="8"/>
        <w:rPr>
          <w:rFonts w:hint="eastAsia" w:ascii="黑体" w:hAnsi="黑体" w:eastAsia="黑体" w:cs="黑体"/>
          <w:b/>
          <w:color w:val="auto"/>
          <w:sz w:val="36"/>
          <w:szCs w:val="36"/>
          <w:highlight w:val="none"/>
        </w:rPr>
      </w:pPr>
    </w:p>
    <w:p w14:paraId="62BFB48A">
      <w:pPr>
        <w:pStyle w:val="8"/>
        <w:rPr>
          <w:rFonts w:hint="eastAsia" w:ascii="黑体" w:hAnsi="黑体" w:eastAsia="黑体" w:cs="黑体"/>
          <w:b/>
          <w:color w:val="auto"/>
          <w:sz w:val="36"/>
          <w:szCs w:val="36"/>
          <w:highlight w:val="none"/>
        </w:rPr>
      </w:pPr>
    </w:p>
    <w:p w14:paraId="523BC80E">
      <w:pP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采</w:t>
      </w:r>
      <w:r>
        <w:rPr>
          <w:rFonts w:hint="eastAsia" w:ascii="黑体" w:hAnsi="黑体" w:eastAsia="黑体" w:cs="黑体"/>
          <w:b/>
          <w:color w:val="auto"/>
          <w:sz w:val="32"/>
          <w:szCs w:val="32"/>
          <w:highlight w:val="none"/>
        </w:rPr>
        <w:t xml:space="preserve">   </w:t>
      </w:r>
      <w:r>
        <w:rPr>
          <w:rFonts w:hint="eastAsia" w:ascii="黑体" w:hAnsi="黑体" w:eastAsia="黑体" w:cs="黑体"/>
          <w:b/>
          <w:color w:val="auto"/>
          <w:sz w:val="32"/>
          <w:szCs w:val="32"/>
          <w:highlight w:val="none"/>
          <w:lang w:val="en-US" w:eastAsia="zh-CN"/>
        </w:rPr>
        <w:t>购</w:t>
      </w:r>
      <w:r>
        <w:rPr>
          <w:rFonts w:hint="eastAsia" w:ascii="黑体" w:hAnsi="黑体" w:eastAsia="黑体" w:cs="黑体"/>
          <w:b/>
          <w:color w:val="auto"/>
          <w:sz w:val="32"/>
          <w:szCs w:val="32"/>
          <w:highlight w:val="none"/>
        </w:rPr>
        <w:t xml:space="preserve"> </w:t>
      </w:r>
      <w:r>
        <w:rPr>
          <w:rFonts w:hint="eastAsia" w:ascii="黑体" w:hAnsi="黑体" w:eastAsia="黑体" w:cs="黑体"/>
          <w:b/>
          <w:color w:val="auto"/>
          <w:sz w:val="32"/>
          <w:szCs w:val="32"/>
          <w:highlight w:val="none"/>
          <w:lang w:val="en-US" w:eastAsia="zh-CN"/>
        </w:rPr>
        <w:t xml:space="preserve"> </w:t>
      </w:r>
      <w:r>
        <w:rPr>
          <w:rFonts w:hint="eastAsia" w:ascii="黑体" w:hAnsi="黑体" w:eastAsia="黑体" w:cs="黑体"/>
          <w:b/>
          <w:color w:val="auto"/>
          <w:sz w:val="32"/>
          <w:szCs w:val="32"/>
          <w:highlight w:val="none"/>
        </w:rPr>
        <w:t xml:space="preserve"> 人：</w:t>
      </w:r>
      <w:r>
        <w:rPr>
          <w:rFonts w:hint="eastAsia" w:ascii="黑体" w:hAnsi="黑体" w:eastAsia="黑体" w:cs="黑体"/>
          <w:b/>
          <w:bCs/>
          <w:color w:val="auto"/>
          <w:sz w:val="32"/>
          <w:szCs w:val="32"/>
          <w:highlight w:val="none"/>
          <w:u w:val="single"/>
          <w:lang w:eastAsia="zh-CN"/>
        </w:rPr>
        <w:t>重庆市南岸区珊瑚长嘉汇小学校</w:t>
      </w:r>
      <w:r>
        <w:rPr>
          <w:rFonts w:hint="eastAsia" w:ascii="黑体" w:hAnsi="黑体" w:eastAsia="黑体" w:cs="黑体"/>
          <w:b/>
          <w:color w:val="auto"/>
          <w:sz w:val="32"/>
          <w:szCs w:val="32"/>
          <w:highlight w:val="none"/>
        </w:rPr>
        <w:t>（盖章）</w:t>
      </w:r>
    </w:p>
    <w:p w14:paraId="2D5EA412">
      <w:pPr>
        <w:pStyle w:val="4"/>
        <w:rPr>
          <w:rFonts w:hint="eastAsia" w:ascii="黑体" w:hAnsi="黑体" w:eastAsia="黑体" w:cs="黑体"/>
          <w:color w:val="auto"/>
          <w:highlight w:val="none"/>
        </w:rPr>
      </w:pPr>
    </w:p>
    <w:p w14:paraId="50A47A3F">
      <w:pPr>
        <w:spacing w:line="360" w:lineRule="auto"/>
        <w:ind w:right="-720" w:rightChars="-257"/>
        <w:rPr>
          <w:rFonts w:hint="eastAsia" w:ascii="黑体" w:hAnsi="黑体" w:eastAsia="黑体" w:cs="黑体"/>
          <w:b/>
          <w:color w:val="auto"/>
          <w:sz w:val="32"/>
          <w:szCs w:val="32"/>
          <w:highlight w:val="none"/>
          <w:u w:val="single"/>
        </w:rPr>
      </w:pPr>
      <w:r>
        <w:rPr>
          <w:rFonts w:hint="eastAsia" w:ascii="黑体" w:hAnsi="黑体" w:eastAsia="黑体" w:cs="黑体"/>
          <w:b/>
          <w:color w:val="auto"/>
          <w:sz w:val="32"/>
          <w:szCs w:val="32"/>
          <w:highlight w:val="none"/>
          <w:lang w:eastAsia="zh-CN"/>
        </w:rPr>
        <w:t>采购代理机构</w:t>
      </w:r>
      <w:r>
        <w:rPr>
          <w:rFonts w:hint="eastAsia" w:ascii="黑体" w:hAnsi="黑体" w:eastAsia="黑体" w:cs="黑体"/>
          <w:b/>
          <w:color w:val="auto"/>
          <w:sz w:val="32"/>
          <w:szCs w:val="32"/>
          <w:highlight w:val="none"/>
        </w:rPr>
        <w:t>：</w:t>
      </w:r>
      <w:r>
        <w:rPr>
          <w:rFonts w:hint="eastAsia" w:ascii="黑体" w:hAnsi="黑体" w:eastAsia="黑体" w:cs="黑体"/>
          <w:b/>
          <w:bCs/>
          <w:color w:val="auto"/>
          <w:sz w:val="32"/>
          <w:szCs w:val="32"/>
          <w:highlight w:val="none"/>
          <w:u w:val="single"/>
          <w:lang w:eastAsia="zh-CN"/>
        </w:rPr>
        <w:t>重庆腾锐阳工程项目管理有限公司</w:t>
      </w:r>
      <w:r>
        <w:rPr>
          <w:rFonts w:hint="eastAsia" w:ascii="黑体" w:hAnsi="黑体" w:eastAsia="黑体" w:cs="黑体"/>
          <w:b/>
          <w:color w:val="auto"/>
          <w:sz w:val="32"/>
          <w:szCs w:val="32"/>
          <w:highlight w:val="none"/>
        </w:rPr>
        <w:t>（盖章）</w:t>
      </w:r>
    </w:p>
    <w:p w14:paraId="40FF9FBE">
      <w:pPr>
        <w:pStyle w:val="8"/>
        <w:rPr>
          <w:rFonts w:hint="eastAsia" w:ascii="黑体" w:hAnsi="黑体" w:eastAsia="黑体" w:cs="黑体"/>
          <w:color w:val="auto"/>
          <w:highlight w:val="none"/>
        </w:rPr>
      </w:pPr>
    </w:p>
    <w:p w14:paraId="32B5A20F">
      <w:pPr>
        <w:spacing w:line="360" w:lineRule="auto"/>
        <w:jc w:val="center"/>
        <w:rPr>
          <w:rFonts w:hint="eastAsia" w:ascii="黑体" w:hAnsi="黑体" w:eastAsia="黑体" w:cs="黑体"/>
          <w:b/>
          <w:color w:val="auto"/>
          <w:kern w:val="0"/>
          <w:position w:val="-2"/>
          <w:sz w:val="32"/>
          <w:szCs w:val="32"/>
          <w:highlight w:val="none"/>
        </w:rPr>
        <w:sectPr>
          <w:headerReference r:id="rId3" w:type="default"/>
          <w:pgSz w:w="11907" w:h="16839"/>
          <w:pgMar w:top="1440" w:right="1800" w:bottom="1440" w:left="1800" w:header="720" w:footer="720" w:gutter="0"/>
          <w:pgNumType w:fmt="decimal"/>
          <w:cols w:space="720" w:num="1"/>
        </w:sectPr>
      </w:pPr>
      <w:r>
        <w:rPr>
          <w:rFonts w:hint="eastAsia" w:ascii="黑体" w:hAnsi="黑体" w:eastAsia="黑体" w:cs="黑体"/>
          <w:b/>
          <w:color w:val="auto"/>
          <w:sz w:val="32"/>
          <w:szCs w:val="32"/>
          <w:highlight w:val="none"/>
        </w:rPr>
        <w:t>二</w:t>
      </w:r>
      <w:r>
        <w:rPr>
          <w:rFonts w:hint="eastAsia" w:ascii="黑体" w:hAnsi="黑体" w:eastAsia="黑体" w:cs="黑体"/>
          <w:bCs/>
          <w:color w:val="auto"/>
          <w:sz w:val="32"/>
          <w:szCs w:val="32"/>
          <w:highlight w:val="none"/>
        </w:rPr>
        <w:t>〇</w:t>
      </w:r>
      <w:r>
        <w:rPr>
          <w:rFonts w:hint="eastAsia" w:ascii="黑体" w:hAnsi="黑体" w:eastAsia="黑体" w:cs="黑体"/>
          <w:b/>
          <w:color w:val="auto"/>
          <w:sz w:val="32"/>
          <w:szCs w:val="32"/>
          <w:highlight w:val="none"/>
        </w:rPr>
        <w:t>二</w:t>
      </w:r>
      <w:r>
        <w:rPr>
          <w:rFonts w:hint="eastAsia" w:ascii="黑体" w:hAnsi="黑体" w:eastAsia="黑体" w:cs="黑体"/>
          <w:b/>
          <w:color w:val="auto"/>
          <w:sz w:val="32"/>
          <w:szCs w:val="32"/>
          <w:highlight w:val="none"/>
          <w:lang w:val="en-US" w:eastAsia="zh-CN"/>
        </w:rPr>
        <w:t>五</w:t>
      </w:r>
      <w:r>
        <w:rPr>
          <w:rFonts w:hint="eastAsia" w:ascii="黑体" w:hAnsi="黑体" w:eastAsia="黑体" w:cs="黑体"/>
          <w:b/>
          <w:color w:val="auto"/>
          <w:sz w:val="32"/>
          <w:szCs w:val="32"/>
          <w:highlight w:val="none"/>
        </w:rPr>
        <w:t>年</w:t>
      </w:r>
      <w:r>
        <w:rPr>
          <w:rFonts w:hint="eastAsia" w:ascii="黑体" w:hAnsi="黑体" w:eastAsia="黑体" w:cs="黑体"/>
          <w:b/>
          <w:color w:val="auto"/>
          <w:sz w:val="32"/>
          <w:szCs w:val="32"/>
          <w:highlight w:val="none"/>
          <w:lang w:val="en-US" w:eastAsia="zh-CN"/>
        </w:rPr>
        <w:t>七</w:t>
      </w:r>
      <w:r>
        <w:rPr>
          <w:rFonts w:hint="eastAsia" w:ascii="黑体" w:hAnsi="黑体" w:eastAsia="黑体" w:cs="黑体"/>
          <w:b/>
          <w:color w:val="auto"/>
          <w:sz w:val="32"/>
          <w:szCs w:val="32"/>
          <w:highlight w:val="none"/>
        </w:rPr>
        <w:t>月</w:t>
      </w:r>
    </w:p>
    <w:p w14:paraId="31C8E691">
      <w:pPr>
        <w:jc w:val="center"/>
        <w:rPr>
          <w:rFonts w:hint="eastAsia" w:ascii="黑体" w:hAnsi="黑体" w:eastAsia="黑体" w:cs="黑体"/>
          <w:b/>
          <w:bCs/>
          <w:color w:val="auto"/>
          <w:sz w:val="32"/>
          <w:szCs w:val="32"/>
          <w:highlight w:val="none"/>
        </w:rPr>
      </w:pPr>
    </w:p>
    <w:p w14:paraId="03DF459C">
      <w:pPr>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目 录</w:t>
      </w:r>
    </w:p>
    <w:p w14:paraId="2CEB29BB">
      <w:pPr>
        <w:pStyle w:val="8"/>
        <w:rPr>
          <w:rFonts w:hint="eastAsia" w:ascii="黑体" w:hAnsi="黑体" w:eastAsia="黑体" w:cs="黑体"/>
          <w:color w:val="auto"/>
          <w:highlight w:val="none"/>
        </w:rPr>
      </w:pPr>
    </w:p>
    <w:p w14:paraId="4C908F57">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color w:val="auto"/>
          <w:sz w:val="24"/>
          <w:szCs w:val="24"/>
          <w:highlight w:val="none"/>
        </w:rPr>
        <w:instrText xml:space="preserve">TOC \o "1-2" \h \u </w:instrText>
      </w:r>
      <w:r>
        <w:rPr>
          <w:rFonts w:hint="eastAsia" w:ascii="黑体" w:hAnsi="黑体" w:eastAsia="黑体" w:cs="黑体"/>
          <w:b/>
          <w:bCs/>
          <w:color w:val="auto"/>
          <w:sz w:val="24"/>
          <w:szCs w:val="24"/>
          <w:highlight w:val="none"/>
        </w:rPr>
        <w:fldChar w:fldCharType="separate"/>
      </w: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_Toc3873 </w:instrText>
      </w:r>
      <w:r>
        <w:rPr>
          <w:rFonts w:hint="eastAsia" w:ascii="黑体" w:hAnsi="黑体" w:eastAsia="黑体" w:cs="黑体"/>
          <w:bCs/>
          <w:szCs w:val="24"/>
          <w:highlight w:val="none"/>
        </w:rPr>
        <w:fldChar w:fldCharType="separate"/>
      </w:r>
      <w:r>
        <w:rPr>
          <w:rFonts w:hint="eastAsia" w:ascii="黑体" w:hAnsi="黑体" w:eastAsia="黑体" w:cs="黑体"/>
          <w:bCs/>
          <w:szCs w:val="32"/>
          <w:highlight w:val="none"/>
        </w:rPr>
        <w:t xml:space="preserve">第一篇  </w:t>
      </w:r>
      <w:r>
        <w:rPr>
          <w:rFonts w:hint="eastAsia" w:ascii="黑体" w:hAnsi="黑体" w:eastAsia="黑体" w:cs="黑体"/>
          <w:bCs/>
          <w:szCs w:val="32"/>
          <w:highlight w:val="none"/>
          <w:lang w:val="en-US" w:eastAsia="zh-CN"/>
        </w:rPr>
        <w:t>采购邀请书</w:t>
      </w:r>
      <w:r>
        <w:tab/>
      </w:r>
      <w:r>
        <w:fldChar w:fldCharType="begin"/>
      </w:r>
      <w:r>
        <w:instrText xml:space="preserve"> PAGEREF _Toc3873 \h </w:instrText>
      </w:r>
      <w:r>
        <w:fldChar w:fldCharType="separate"/>
      </w:r>
      <w:r>
        <w:t>1</w:t>
      </w:r>
      <w:r>
        <w:fldChar w:fldCharType="end"/>
      </w:r>
      <w:r>
        <w:rPr>
          <w:rFonts w:hint="eastAsia" w:ascii="黑体" w:hAnsi="黑体" w:eastAsia="黑体" w:cs="黑体"/>
          <w:bCs/>
          <w:color w:val="auto"/>
          <w:szCs w:val="24"/>
          <w:highlight w:val="none"/>
        </w:rPr>
        <w:fldChar w:fldCharType="end"/>
      </w:r>
    </w:p>
    <w:p w14:paraId="65DF866C">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_Toc7217 </w:instrText>
      </w:r>
      <w:r>
        <w:rPr>
          <w:rFonts w:hint="eastAsia" w:ascii="黑体" w:hAnsi="黑体" w:eastAsia="黑体" w:cs="黑体"/>
          <w:bCs/>
          <w:szCs w:val="24"/>
          <w:highlight w:val="none"/>
        </w:rPr>
        <w:fldChar w:fldCharType="separate"/>
      </w:r>
      <w:r>
        <w:rPr>
          <w:rFonts w:hint="eastAsia" w:ascii="黑体" w:hAnsi="黑体" w:eastAsia="黑体" w:cs="黑体"/>
          <w:bCs/>
          <w:szCs w:val="32"/>
          <w:highlight w:val="none"/>
        </w:rPr>
        <w:t xml:space="preserve">第二篇  </w:t>
      </w:r>
      <w:r>
        <w:rPr>
          <w:rFonts w:hint="eastAsia" w:ascii="黑体" w:hAnsi="黑体" w:eastAsia="黑体" w:cs="黑体"/>
          <w:bCs/>
          <w:szCs w:val="32"/>
          <w:highlight w:val="none"/>
          <w:lang w:val="en-US" w:eastAsia="zh-CN"/>
        </w:rPr>
        <w:t>项目服务需求</w:t>
      </w:r>
      <w:r>
        <w:tab/>
      </w:r>
      <w:r>
        <w:fldChar w:fldCharType="begin"/>
      </w:r>
      <w:r>
        <w:instrText xml:space="preserve"> PAGEREF _Toc7217 \h </w:instrText>
      </w:r>
      <w:r>
        <w:fldChar w:fldCharType="separate"/>
      </w:r>
      <w:r>
        <w:t>4</w:t>
      </w:r>
      <w:r>
        <w:fldChar w:fldCharType="end"/>
      </w:r>
      <w:r>
        <w:rPr>
          <w:rFonts w:hint="eastAsia" w:ascii="黑体" w:hAnsi="黑体" w:eastAsia="黑体" w:cs="黑体"/>
          <w:bCs/>
          <w:color w:val="auto"/>
          <w:szCs w:val="24"/>
          <w:highlight w:val="none"/>
        </w:rPr>
        <w:fldChar w:fldCharType="end"/>
      </w:r>
    </w:p>
    <w:p w14:paraId="00DA9646">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_Toc5713 </w:instrText>
      </w:r>
      <w:r>
        <w:rPr>
          <w:rFonts w:hint="eastAsia" w:ascii="黑体" w:hAnsi="黑体" w:eastAsia="黑体" w:cs="黑体"/>
          <w:bCs/>
          <w:szCs w:val="24"/>
          <w:highlight w:val="none"/>
        </w:rPr>
        <w:fldChar w:fldCharType="separate"/>
      </w:r>
      <w:r>
        <w:rPr>
          <w:rFonts w:hint="eastAsia" w:ascii="黑体" w:hAnsi="黑体" w:eastAsia="黑体" w:cs="黑体"/>
          <w:szCs w:val="32"/>
          <w:highlight w:val="none"/>
        </w:rPr>
        <w:t xml:space="preserve">第三篇  </w:t>
      </w:r>
      <w:r>
        <w:rPr>
          <w:rFonts w:hint="eastAsia" w:ascii="黑体" w:hAnsi="黑体" w:eastAsia="黑体" w:cs="黑体"/>
          <w:szCs w:val="32"/>
          <w:highlight w:val="none"/>
          <w:lang w:eastAsia="zh-CN"/>
        </w:rPr>
        <w:t>项目商务要求</w:t>
      </w:r>
      <w:r>
        <w:tab/>
      </w:r>
      <w:r>
        <w:fldChar w:fldCharType="begin"/>
      </w:r>
      <w:r>
        <w:instrText xml:space="preserve"> PAGEREF _Toc5713 \h </w:instrText>
      </w:r>
      <w:r>
        <w:fldChar w:fldCharType="separate"/>
      </w:r>
      <w:r>
        <w:t>9</w:t>
      </w:r>
      <w:r>
        <w:fldChar w:fldCharType="end"/>
      </w:r>
      <w:r>
        <w:rPr>
          <w:rFonts w:hint="eastAsia" w:ascii="黑体" w:hAnsi="黑体" w:eastAsia="黑体" w:cs="黑体"/>
          <w:bCs/>
          <w:color w:val="auto"/>
          <w:szCs w:val="24"/>
          <w:highlight w:val="none"/>
        </w:rPr>
        <w:fldChar w:fldCharType="end"/>
      </w:r>
    </w:p>
    <w:p w14:paraId="460E90BA">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_Toc2052 </w:instrText>
      </w:r>
      <w:r>
        <w:rPr>
          <w:rFonts w:hint="eastAsia" w:ascii="黑体" w:hAnsi="黑体" w:eastAsia="黑体" w:cs="黑体"/>
          <w:bCs/>
          <w:szCs w:val="24"/>
          <w:highlight w:val="none"/>
        </w:rPr>
        <w:fldChar w:fldCharType="separate"/>
      </w:r>
      <w:r>
        <w:rPr>
          <w:rFonts w:hint="eastAsia" w:ascii="黑体" w:hAnsi="黑体" w:eastAsia="黑体" w:cs="黑体"/>
          <w:szCs w:val="32"/>
        </w:rPr>
        <w:t xml:space="preserve">第四篇 </w:t>
      </w:r>
      <w:r>
        <w:rPr>
          <w:rFonts w:hint="eastAsia" w:ascii="黑体" w:hAnsi="黑体" w:eastAsia="黑体" w:cs="黑体"/>
          <w:szCs w:val="32"/>
          <w:highlight w:val="none"/>
          <w:lang w:val="en-US" w:eastAsia="zh-CN"/>
        </w:rPr>
        <w:t>磋商程序及方法、评审标准、无效响应和采购终止</w:t>
      </w:r>
      <w:r>
        <w:tab/>
      </w:r>
      <w:r>
        <w:fldChar w:fldCharType="begin"/>
      </w:r>
      <w:r>
        <w:instrText xml:space="preserve"> PAGEREF _Toc2052 \h </w:instrText>
      </w:r>
      <w:r>
        <w:fldChar w:fldCharType="separate"/>
      </w:r>
      <w:r>
        <w:t>14</w:t>
      </w:r>
      <w:r>
        <w:fldChar w:fldCharType="end"/>
      </w:r>
      <w:r>
        <w:rPr>
          <w:rFonts w:hint="eastAsia" w:ascii="黑体" w:hAnsi="黑体" w:eastAsia="黑体" w:cs="黑体"/>
          <w:bCs/>
          <w:color w:val="auto"/>
          <w:szCs w:val="24"/>
          <w:highlight w:val="none"/>
        </w:rPr>
        <w:fldChar w:fldCharType="end"/>
      </w:r>
    </w:p>
    <w:p w14:paraId="2E435711">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_Toc3337 </w:instrText>
      </w:r>
      <w:r>
        <w:rPr>
          <w:rFonts w:hint="eastAsia" w:ascii="黑体" w:hAnsi="黑体" w:eastAsia="黑体" w:cs="黑体"/>
          <w:bCs/>
          <w:szCs w:val="24"/>
          <w:highlight w:val="none"/>
        </w:rPr>
        <w:fldChar w:fldCharType="separate"/>
      </w:r>
      <w:r>
        <w:rPr>
          <w:rFonts w:hint="eastAsia" w:ascii="黑体" w:hAnsi="黑体" w:eastAsia="黑体" w:cs="黑体"/>
          <w:szCs w:val="32"/>
        </w:rPr>
        <w:t xml:space="preserve">第五篇 </w:t>
      </w:r>
      <w:r>
        <w:rPr>
          <w:rFonts w:hint="eastAsia" w:ascii="黑体" w:hAnsi="黑体" w:eastAsia="黑体" w:cs="黑体"/>
          <w:szCs w:val="32"/>
          <w:highlight w:val="none"/>
          <w:lang w:eastAsia="zh-CN"/>
        </w:rPr>
        <w:t>供应商</w:t>
      </w:r>
      <w:r>
        <w:rPr>
          <w:rFonts w:hint="eastAsia" w:ascii="黑体" w:hAnsi="黑体" w:eastAsia="黑体" w:cs="黑体"/>
          <w:szCs w:val="32"/>
          <w:highlight w:val="none"/>
        </w:rPr>
        <w:t>须知</w:t>
      </w:r>
      <w:r>
        <w:tab/>
      </w:r>
      <w:r>
        <w:fldChar w:fldCharType="begin"/>
      </w:r>
      <w:r>
        <w:instrText xml:space="preserve"> PAGEREF _Toc3337 \h </w:instrText>
      </w:r>
      <w:r>
        <w:fldChar w:fldCharType="separate"/>
      </w:r>
      <w:r>
        <w:t>20</w:t>
      </w:r>
      <w:r>
        <w:fldChar w:fldCharType="end"/>
      </w:r>
      <w:r>
        <w:rPr>
          <w:rFonts w:hint="eastAsia" w:ascii="黑体" w:hAnsi="黑体" w:eastAsia="黑体" w:cs="黑体"/>
          <w:bCs/>
          <w:color w:val="auto"/>
          <w:szCs w:val="24"/>
          <w:highlight w:val="none"/>
        </w:rPr>
        <w:fldChar w:fldCharType="end"/>
      </w:r>
    </w:p>
    <w:p w14:paraId="0EEDEF0B">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_Toc10756 </w:instrText>
      </w:r>
      <w:r>
        <w:rPr>
          <w:rFonts w:hint="eastAsia" w:ascii="黑体" w:hAnsi="黑体" w:eastAsia="黑体" w:cs="黑体"/>
          <w:bCs/>
          <w:szCs w:val="24"/>
          <w:highlight w:val="none"/>
        </w:rPr>
        <w:fldChar w:fldCharType="separate"/>
      </w:r>
      <w:r>
        <w:rPr>
          <w:rFonts w:hint="eastAsia" w:ascii="黑体" w:hAnsi="黑体" w:eastAsia="黑体" w:cs="黑体"/>
          <w:szCs w:val="15"/>
        </w:rPr>
        <w:t xml:space="preserve">第六篇 </w:t>
      </w:r>
      <w:r>
        <w:rPr>
          <w:rFonts w:hint="eastAsia" w:ascii="黑体" w:hAnsi="黑体" w:eastAsia="黑体" w:cs="黑体"/>
          <w:szCs w:val="32"/>
          <w:highlight w:val="none"/>
        </w:rPr>
        <w:t>合同条款及格式</w:t>
      </w:r>
      <w:r>
        <w:tab/>
      </w:r>
      <w:r>
        <w:fldChar w:fldCharType="begin"/>
      </w:r>
      <w:r>
        <w:instrText xml:space="preserve"> PAGEREF _Toc10756 \h </w:instrText>
      </w:r>
      <w:r>
        <w:fldChar w:fldCharType="separate"/>
      </w:r>
      <w:r>
        <w:t>24</w:t>
      </w:r>
      <w:r>
        <w:fldChar w:fldCharType="end"/>
      </w:r>
      <w:r>
        <w:rPr>
          <w:rFonts w:hint="eastAsia" w:ascii="黑体" w:hAnsi="黑体" w:eastAsia="黑体" w:cs="黑体"/>
          <w:bCs/>
          <w:color w:val="auto"/>
          <w:szCs w:val="24"/>
          <w:highlight w:val="none"/>
        </w:rPr>
        <w:fldChar w:fldCharType="end"/>
      </w:r>
    </w:p>
    <w:p w14:paraId="29CA1A41">
      <w:pPr>
        <w:pStyle w:val="15"/>
        <w:keepNext w:val="0"/>
        <w:keepLines w:val="0"/>
        <w:pageBreakBefore w:val="0"/>
        <w:widowControl w:val="0"/>
        <w:tabs>
          <w:tab w:val="right" w:leader="dot" w:pos="8307"/>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auto"/>
          <w:szCs w:val="24"/>
          <w:highlight w:val="none"/>
        </w:rPr>
        <w:fldChar w:fldCharType="begin"/>
      </w:r>
      <w:r>
        <w:rPr>
          <w:rFonts w:hint="eastAsia" w:ascii="黑体" w:hAnsi="黑体" w:eastAsia="黑体" w:cs="黑体"/>
          <w:bCs/>
          <w:szCs w:val="24"/>
          <w:highlight w:val="none"/>
        </w:rPr>
        <w:instrText xml:space="preserve"> HYPERLINK \l _Toc12201 </w:instrText>
      </w:r>
      <w:r>
        <w:rPr>
          <w:rFonts w:hint="eastAsia" w:ascii="黑体" w:hAnsi="黑体" w:eastAsia="黑体" w:cs="黑体"/>
          <w:bCs/>
          <w:szCs w:val="24"/>
          <w:highlight w:val="none"/>
        </w:rPr>
        <w:fldChar w:fldCharType="separate"/>
      </w:r>
      <w:r>
        <w:rPr>
          <w:rFonts w:hint="eastAsia" w:ascii="黑体" w:hAnsi="黑体" w:eastAsia="黑体" w:cs="黑体"/>
          <w:szCs w:val="15"/>
          <w:highlight w:val="none"/>
        </w:rPr>
        <w:t>第</w:t>
      </w:r>
      <w:r>
        <w:rPr>
          <w:rFonts w:hint="eastAsia" w:ascii="黑体" w:hAnsi="黑体" w:eastAsia="黑体" w:cs="黑体"/>
          <w:szCs w:val="15"/>
          <w:highlight w:val="none"/>
          <w:lang w:val="en-US" w:eastAsia="zh-CN"/>
        </w:rPr>
        <w:t>七</w:t>
      </w:r>
      <w:r>
        <w:rPr>
          <w:rFonts w:hint="eastAsia" w:ascii="黑体" w:hAnsi="黑体" w:eastAsia="黑体" w:cs="黑体"/>
          <w:szCs w:val="15"/>
          <w:highlight w:val="none"/>
        </w:rPr>
        <w:t xml:space="preserve">篇  </w:t>
      </w:r>
      <w:r>
        <w:rPr>
          <w:rFonts w:hint="eastAsia" w:ascii="黑体" w:hAnsi="黑体" w:eastAsia="黑体" w:cs="黑体"/>
          <w:szCs w:val="15"/>
          <w:highlight w:val="none"/>
          <w:lang w:eastAsia="zh-CN"/>
        </w:rPr>
        <w:t>响应文件</w:t>
      </w:r>
      <w:r>
        <w:rPr>
          <w:rFonts w:hint="eastAsia" w:ascii="黑体" w:hAnsi="黑体" w:eastAsia="黑体" w:cs="黑体"/>
          <w:szCs w:val="15"/>
          <w:highlight w:val="none"/>
        </w:rPr>
        <w:t>格式</w:t>
      </w:r>
      <w:r>
        <w:tab/>
      </w:r>
      <w:r>
        <w:fldChar w:fldCharType="begin"/>
      </w:r>
      <w:r>
        <w:instrText xml:space="preserve"> PAGEREF _Toc12201 \h </w:instrText>
      </w:r>
      <w:r>
        <w:fldChar w:fldCharType="separate"/>
      </w:r>
      <w:r>
        <w:t>25</w:t>
      </w:r>
      <w:r>
        <w:fldChar w:fldCharType="end"/>
      </w:r>
      <w:r>
        <w:rPr>
          <w:rFonts w:hint="eastAsia" w:ascii="黑体" w:hAnsi="黑体" w:eastAsia="黑体" w:cs="黑体"/>
          <w:bCs/>
          <w:color w:val="auto"/>
          <w:szCs w:val="24"/>
          <w:highlight w:val="none"/>
        </w:rPr>
        <w:fldChar w:fldCharType="end"/>
      </w:r>
    </w:p>
    <w:p w14:paraId="025D8F70">
      <w:pPr>
        <w:pStyle w:val="15"/>
        <w:tabs>
          <w:tab w:val="right" w:leader="dot" w:pos="8307"/>
        </w:tabs>
      </w:pPr>
    </w:p>
    <w:p w14:paraId="05AE3B7E">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r>
        <w:rPr>
          <w:rFonts w:hint="eastAsia" w:ascii="黑体" w:hAnsi="黑体" w:eastAsia="黑体" w:cs="黑体"/>
          <w:bCs/>
          <w:color w:val="auto"/>
          <w:szCs w:val="24"/>
          <w:highlight w:val="none"/>
        </w:rPr>
        <w:fldChar w:fldCharType="end"/>
      </w:r>
    </w:p>
    <w:p w14:paraId="7A74ECEB">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p>
    <w:p w14:paraId="160A7257">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p>
    <w:p w14:paraId="2DA8C840">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p>
    <w:p w14:paraId="2F2D2E91">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p>
    <w:p w14:paraId="331E82E4">
      <w:pPr>
        <w:pStyle w:val="32"/>
        <w:tabs>
          <w:tab w:val="right" w:leader="dot" w:pos="9412"/>
        </w:tabs>
        <w:spacing w:line="360" w:lineRule="auto"/>
        <w:ind w:left="560"/>
        <w:jc w:val="center"/>
        <w:rPr>
          <w:rFonts w:hint="eastAsia" w:ascii="黑体" w:hAnsi="黑体" w:eastAsia="黑体" w:cs="黑体"/>
          <w:b/>
          <w:bCs/>
          <w:color w:val="auto"/>
          <w:sz w:val="32"/>
          <w:szCs w:val="15"/>
          <w:highlight w:val="none"/>
        </w:rPr>
      </w:pPr>
    </w:p>
    <w:p w14:paraId="2BBA9EAD">
      <w:pPr>
        <w:pStyle w:val="32"/>
        <w:tabs>
          <w:tab w:val="right" w:leader="dot" w:pos="9412"/>
        </w:tabs>
        <w:spacing w:line="360" w:lineRule="auto"/>
        <w:ind w:left="0" w:leftChars="0" w:right="-470" w:rightChars="-168"/>
        <w:jc w:val="both"/>
        <w:outlineLvl w:val="0"/>
        <w:rPr>
          <w:rFonts w:hint="eastAsia" w:ascii="黑体" w:hAnsi="黑体" w:eastAsia="黑体" w:cs="黑体"/>
          <w:b/>
          <w:bCs/>
          <w:color w:val="auto"/>
          <w:sz w:val="32"/>
          <w:szCs w:val="32"/>
          <w:highlight w:val="none"/>
        </w:rPr>
        <w:sectPr>
          <w:headerReference r:id="rId4" w:type="default"/>
          <w:footerReference r:id="rId5" w:type="default"/>
          <w:pgSz w:w="11907" w:h="16840"/>
          <w:pgMar w:top="1440" w:right="1800" w:bottom="1440" w:left="1800" w:header="851" w:footer="992" w:gutter="0"/>
          <w:pgNumType w:fmt="decimal" w:start="1"/>
          <w:cols w:space="720" w:num="1"/>
          <w:docGrid w:linePitch="380" w:charSpace="-5735"/>
        </w:sectPr>
      </w:pPr>
    </w:p>
    <w:p w14:paraId="7797DB5A">
      <w:pPr>
        <w:pStyle w:val="32"/>
        <w:tabs>
          <w:tab w:val="right" w:leader="dot" w:pos="9412"/>
        </w:tabs>
        <w:spacing w:line="420" w:lineRule="exact"/>
        <w:ind w:left="0" w:leftChars="0" w:right="-470" w:rightChars="-168"/>
        <w:jc w:val="center"/>
        <w:outlineLvl w:val="0"/>
        <w:rPr>
          <w:rFonts w:hint="eastAsia" w:ascii="黑体" w:hAnsi="黑体" w:eastAsia="黑体" w:cs="黑体"/>
          <w:b/>
          <w:bCs/>
          <w:color w:val="auto"/>
          <w:sz w:val="32"/>
          <w:szCs w:val="32"/>
          <w:highlight w:val="none"/>
          <w:lang w:val="en-US"/>
        </w:rPr>
      </w:pPr>
      <w:bookmarkStart w:id="0" w:name="_Toc3873"/>
      <w:r>
        <w:rPr>
          <w:rFonts w:hint="eastAsia" w:ascii="黑体" w:hAnsi="黑体" w:eastAsia="黑体" w:cs="黑体"/>
          <w:b/>
          <w:bCs/>
          <w:color w:val="auto"/>
          <w:sz w:val="32"/>
          <w:szCs w:val="32"/>
          <w:highlight w:val="none"/>
        </w:rPr>
        <w:t xml:space="preserve">第一篇  </w:t>
      </w:r>
      <w:r>
        <w:rPr>
          <w:rFonts w:hint="eastAsia" w:ascii="黑体" w:hAnsi="黑体" w:eastAsia="黑体" w:cs="黑体"/>
          <w:b/>
          <w:bCs/>
          <w:color w:val="auto"/>
          <w:sz w:val="32"/>
          <w:szCs w:val="32"/>
          <w:highlight w:val="none"/>
          <w:lang w:val="en-US" w:eastAsia="zh-CN"/>
        </w:rPr>
        <w:t>采购邀请书</w:t>
      </w:r>
      <w:bookmarkEnd w:id="0"/>
    </w:p>
    <w:p w14:paraId="285817EE">
      <w:pPr>
        <w:spacing w:line="420" w:lineRule="exact"/>
        <w:ind w:right="-512" w:rightChars="-183" w:firstLine="360" w:firstLineChars="15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zh-CN"/>
        </w:rPr>
        <w:t>重庆腾锐阳工程项目管理有限公司（以下简称：采购代理机构）接受重庆市南岸区珊瑚长嘉汇小学校（以下简称：采购人）的委托，对重庆市南岸区珊瑚长嘉汇小学校物业服务采购进行采购。欢迎有资格的供应商前来参与</w:t>
      </w:r>
      <w:r>
        <w:rPr>
          <w:rFonts w:hint="eastAsia" w:ascii="黑体" w:hAnsi="黑体" w:eastAsia="黑体" w:cs="黑体"/>
          <w:color w:val="auto"/>
          <w:kern w:val="0"/>
          <w:sz w:val="24"/>
          <w:szCs w:val="24"/>
          <w:highlight w:val="none"/>
          <w:lang w:val="en-US" w:eastAsia="zh-CN"/>
        </w:rPr>
        <w:t>投标</w:t>
      </w:r>
      <w:r>
        <w:rPr>
          <w:rFonts w:hint="eastAsia" w:ascii="黑体" w:hAnsi="黑体" w:eastAsia="黑体" w:cs="黑体"/>
          <w:color w:val="auto"/>
          <w:kern w:val="0"/>
          <w:sz w:val="24"/>
          <w:szCs w:val="24"/>
          <w:highlight w:val="none"/>
        </w:rPr>
        <w:t>。</w:t>
      </w:r>
    </w:p>
    <w:p w14:paraId="3B103A1F">
      <w:pPr>
        <w:spacing w:line="420" w:lineRule="exact"/>
        <w:ind w:right="-470" w:rightChars="-168"/>
        <w:outlineLvl w:val="1"/>
        <w:rPr>
          <w:rFonts w:hint="eastAsia" w:ascii="黑体" w:hAnsi="黑体" w:eastAsia="黑体" w:cs="黑体"/>
          <w:b/>
          <w:bCs/>
          <w:color w:val="auto"/>
          <w:sz w:val="24"/>
          <w:szCs w:val="24"/>
          <w:highlight w:val="none"/>
        </w:rPr>
      </w:pPr>
      <w:bookmarkStart w:id="1" w:name="_Toc13457"/>
      <w:bookmarkStart w:id="2" w:name="_Toc2393"/>
      <w:r>
        <w:rPr>
          <w:rFonts w:hint="eastAsia" w:ascii="黑体" w:hAnsi="黑体" w:eastAsia="黑体" w:cs="黑体"/>
          <w:b/>
          <w:bCs/>
          <w:color w:val="auto"/>
          <w:sz w:val="24"/>
          <w:szCs w:val="24"/>
          <w:highlight w:val="none"/>
        </w:rPr>
        <w:t>一、</w:t>
      </w:r>
      <w:r>
        <w:rPr>
          <w:rFonts w:hint="eastAsia" w:ascii="黑体" w:hAnsi="黑体" w:eastAsia="黑体" w:cs="黑体"/>
          <w:b/>
          <w:bCs/>
          <w:color w:val="auto"/>
          <w:sz w:val="24"/>
          <w:szCs w:val="24"/>
          <w:highlight w:val="none"/>
          <w:lang w:val="en-US" w:eastAsia="zh-CN"/>
        </w:rPr>
        <w:t>竞争性磋商</w:t>
      </w:r>
      <w:r>
        <w:rPr>
          <w:rFonts w:hint="eastAsia" w:ascii="黑体" w:hAnsi="黑体" w:eastAsia="黑体" w:cs="黑体"/>
          <w:b/>
          <w:bCs/>
          <w:color w:val="auto"/>
          <w:sz w:val="24"/>
          <w:szCs w:val="24"/>
          <w:highlight w:val="none"/>
        </w:rPr>
        <w:t>内容</w:t>
      </w:r>
      <w:bookmarkEnd w:id="1"/>
      <w:bookmarkEnd w:id="2"/>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2139"/>
        <w:gridCol w:w="1874"/>
        <w:gridCol w:w="2151"/>
      </w:tblGrid>
      <w:tr w14:paraId="6734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78" w:type="dxa"/>
            <w:vAlign w:val="center"/>
          </w:tcPr>
          <w:p w14:paraId="4DD0F3A7">
            <w:pPr>
              <w:spacing w:line="420" w:lineRule="exac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项目名称</w:t>
            </w:r>
          </w:p>
        </w:tc>
        <w:tc>
          <w:tcPr>
            <w:tcW w:w="2139" w:type="dxa"/>
            <w:vAlign w:val="center"/>
          </w:tcPr>
          <w:p w14:paraId="38070A03">
            <w:pPr>
              <w:spacing w:line="420" w:lineRule="exact"/>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最高限价（元）</w:t>
            </w:r>
          </w:p>
        </w:tc>
        <w:tc>
          <w:tcPr>
            <w:tcW w:w="1874" w:type="dxa"/>
            <w:vAlign w:val="center"/>
          </w:tcPr>
          <w:p w14:paraId="2ACC6FE6">
            <w:pPr>
              <w:pStyle w:val="9"/>
              <w:spacing w:line="240" w:lineRule="auto"/>
              <w:ind w:left="0" w:leftChars="0"/>
              <w:jc w:val="center"/>
              <w:outlineLvl w:val="0"/>
              <w:rPr>
                <w:rFonts w:hint="eastAsia" w:ascii="黑体" w:hAnsi="黑体" w:eastAsia="黑体" w:cs="黑体"/>
                <w:b w:val="0"/>
                <w:bCs/>
                <w:color w:val="auto"/>
                <w:kern w:val="2"/>
                <w:sz w:val="24"/>
                <w:szCs w:val="24"/>
                <w:highlight w:val="none"/>
                <w:lang w:val="en-US" w:eastAsia="zh-CN" w:bidi="ar-SA"/>
              </w:rPr>
            </w:pPr>
            <w:bookmarkStart w:id="3" w:name="_Toc32092"/>
            <w:bookmarkStart w:id="4" w:name="_Toc27344"/>
            <w:r>
              <w:rPr>
                <w:rFonts w:hint="eastAsia" w:ascii="黑体" w:hAnsi="黑体" w:eastAsia="黑体" w:cs="黑体"/>
                <w:b w:val="0"/>
                <w:bCs/>
                <w:color w:val="auto"/>
                <w:kern w:val="2"/>
                <w:sz w:val="24"/>
                <w:szCs w:val="24"/>
                <w:highlight w:val="none"/>
                <w:lang w:val="en-US" w:eastAsia="zh-CN" w:bidi="ar-SA"/>
              </w:rPr>
              <w:t>成交供应商数量（名）</w:t>
            </w:r>
            <w:bookmarkEnd w:id="3"/>
            <w:bookmarkEnd w:id="4"/>
          </w:p>
        </w:tc>
        <w:tc>
          <w:tcPr>
            <w:tcW w:w="2151" w:type="dxa"/>
            <w:vAlign w:val="center"/>
          </w:tcPr>
          <w:p w14:paraId="24234B53">
            <w:pPr>
              <w:pStyle w:val="9"/>
              <w:spacing w:line="240" w:lineRule="auto"/>
              <w:ind w:left="0" w:leftChars="0"/>
              <w:jc w:val="center"/>
              <w:outlineLvl w:val="0"/>
              <w:rPr>
                <w:rFonts w:hint="eastAsia" w:ascii="黑体" w:hAnsi="黑体" w:eastAsia="黑体" w:cs="黑体"/>
                <w:b w:val="0"/>
                <w:bCs/>
                <w:color w:val="auto"/>
                <w:kern w:val="2"/>
                <w:sz w:val="24"/>
                <w:szCs w:val="24"/>
                <w:highlight w:val="none"/>
                <w:lang w:val="en-US" w:eastAsia="zh-CN" w:bidi="ar-SA"/>
              </w:rPr>
            </w:pPr>
            <w:r>
              <w:rPr>
                <w:rFonts w:hint="eastAsia" w:ascii="黑体" w:hAnsi="黑体" w:eastAsia="黑体" w:cs="黑体"/>
                <w:b w:val="0"/>
                <w:bCs/>
                <w:color w:val="auto"/>
                <w:kern w:val="2"/>
                <w:sz w:val="24"/>
                <w:szCs w:val="24"/>
                <w:highlight w:val="none"/>
                <w:lang w:val="en-US" w:eastAsia="zh-CN" w:bidi="ar-SA"/>
              </w:rPr>
              <w:t>采购标的对应的中小企业划分标准所属行业</w:t>
            </w:r>
          </w:p>
        </w:tc>
      </w:tr>
      <w:tr w14:paraId="4777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678" w:type="dxa"/>
            <w:vAlign w:val="center"/>
          </w:tcPr>
          <w:p w14:paraId="2CF42DC2">
            <w:pPr>
              <w:spacing w:line="420" w:lineRule="exact"/>
              <w:jc w:val="center"/>
              <w:rPr>
                <w:rFonts w:hint="eastAsia" w:ascii="黑体" w:hAnsi="黑体" w:eastAsia="黑体" w:cs="黑体"/>
                <w:b w:val="0"/>
                <w:bCs/>
                <w:snapToGrid w:val="0"/>
                <w:color w:val="auto"/>
                <w:kern w:val="0"/>
                <w:sz w:val="24"/>
                <w:szCs w:val="24"/>
                <w:highlight w:val="none"/>
                <w:lang w:eastAsia="zh-CN"/>
              </w:rPr>
            </w:pPr>
            <w:r>
              <w:rPr>
                <w:rFonts w:hint="eastAsia" w:ascii="黑体" w:hAnsi="黑体" w:eastAsia="黑体" w:cs="黑体"/>
                <w:b w:val="0"/>
                <w:bCs/>
                <w:color w:val="auto"/>
                <w:sz w:val="24"/>
                <w:szCs w:val="24"/>
                <w:highlight w:val="none"/>
                <w:lang w:eastAsia="zh-CN"/>
              </w:rPr>
              <w:t>重庆市南岸区珊瑚长嘉汇小学校物业服务采购</w:t>
            </w:r>
          </w:p>
        </w:tc>
        <w:tc>
          <w:tcPr>
            <w:tcW w:w="2139" w:type="dxa"/>
            <w:vAlign w:val="center"/>
          </w:tcPr>
          <w:p w14:paraId="4729DE63">
            <w:pPr>
              <w:spacing w:line="420" w:lineRule="exact"/>
              <w:jc w:val="center"/>
              <w:rPr>
                <w:rFonts w:hint="default" w:ascii="黑体" w:hAnsi="黑体" w:eastAsia="黑体" w:cs="黑体"/>
                <w:b w:val="0"/>
                <w:bCs/>
                <w:color w:val="auto"/>
                <w:sz w:val="24"/>
                <w:szCs w:val="24"/>
                <w:highlight w:val="none"/>
                <w:lang w:val="en-US" w:eastAsia="zh-CN"/>
              </w:rPr>
            </w:pPr>
            <w:r>
              <w:rPr>
                <w:rFonts w:hint="default" w:ascii="黑体" w:hAnsi="黑体" w:eastAsia="黑体" w:cs="黑体"/>
                <w:b w:val="0"/>
                <w:bCs/>
                <w:color w:val="auto"/>
                <w:sz w:val="24"/>
                <w:szCs w:val="24"/>
                <w:highlight w:val="none"/>
                <w:lang w:val="en-US" w:eastAsia="zh-CN"/>
              </w:rPr>
              <w:t>16</w:t>
            </w:r>
            <w:r>
              <w:rPr>
                <w:rFonts w:hint="eastAsia" w:ascii="黑体" w:hAnsi="黑体" w:eastAsia="黑体" w:cs="黑体"/>
                <w:b w:val="0"/>
                <w:bCs/>
                <w:color w:val="auto"/>
                <w:sz w:val="24"/>
                <w:szCs w:val="24"/>
                <w:highlight w:val="none"/>
                <w:lang w:val="en-US" w:eastAsia="zh-CN"/>
              </w:rPr>
              <w:t>20</w:t>
            </w:r>
            <w:r>
              <w:rPr>
                <w:rFonts w:hint="default" w:ascii="黑体" w:hAnsi="黑体" w:eastAsia="黑体" w:cs="黑体"/>
                <w:b w:val="0"/>
                <w:bCs/>
                <w:color w:val="auto"/>
                <w:sz w:val="24"/>
                <w:szCs w:val="24"/>
                <w:highlight w:val="none"/>
                <w:lang w:val="en-US" w:eastAsia="zh-CN"/>
              </w:rPr>
              <w:t>00</w:t>
            </w:r>
            <w:r>
              <w:rPr>
                <w:rFonts w:hint="eastAsia" w:ascii="黑体" w:hAnsi="黑体" w:eastAsia="黑体" w:cs="黑体"/>
                <w:b w:val="0"/>
                <w:bCs/>
                <w:color w:val="auto"/>
                <w:sz w:val="24"/>
                <w:szCs w:val="24"/>
                <w:highlight w:val="none"/>
                <w:lang w:val="en-US" w:eastAsia="zh-CN"/>
              </w:rPr>
              <w:t>.00</w:t>
            </w:r>
          </w:p>
        </w:tc>
        <w:tc>
          <w:tcPr>
            <w:tcW w:w="1874" w:type="dxa"/>
            <w:vAlign w:val="center"/>
          </w:tcPr>
          <w:p w14:paraId="2792026F">
            <w:pPr>
              <w:spacing w:line="420" w:lineRule="exac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1</w:t>
            </w:r>
          </w:p>
        </w:tc>
        <w:tc>
          <w:tcPr>
            <w:tcW w:w="2151" w:type="dxa"/>
            <w:vAlign w:val="center"/>
          </w:tcPr>
          <w:p w14:paraId="2FF089B2">
            <w:pPr>
              <w:pStyle w:val="9"/>
              <w:spacing w:line="240" w:lineRule="auto"/>
              <w:ind w:left="0" w:leftChars="0"/>
              <w:jc w:val="center"/>
              <w:outlineLvl w:val="0"/>
              <w:rPr>
                <w:rFonts w:hint="eastAsia" w:ascii="黑体" w:hAnsi="黑体" w:eastAsia="黑体" w:cs="黑体"/>
                <w:b w:val="0"/>
                <w:bCs/>
                <w:color w:val="auto"/>
                <w:kern w:val="2"/>
                <w:sz w:val="24"/>
                <w:szCs w:val="24"/>
                <w:highlight w:val="none"/>
                <w:lang w:val="en-US" w:eastAsia="zh-CN" w:bidi="ar-SA"/>
              </w:rPr>
            </w:pPr>
            <w:r>
              <w:rPr>
                <w:rFonts w:hint="eastAsia" w:ascii="黑体" w:hAnsi="黑体" w:eastAsia="黑体" w:cs="黑体"/>
                <w:b w:val="0"/>
                <w:bCs/>
                <w:color w:val="auto"/>
                <w:kern w:val="2"/>
                <w:sz w:val="24"/>
                <w:szCs w:val="24"/>
                <w:highlight w:val="none"/>
                <w:lang w:val="en-US" w:eastAsia="zh-CN" w:bidi="ar-SA"/>
              </w:rPr>
              <w:t>物业管理</w:t>
            </w:r>
          </w:p>
        </w:tc>
      </w:tr>
    </w:tbl>
    <w:p w14:paraId="440F8DE5">
      <w:pPr>
        <w:pStyle w:val="29"/>
        <w:rPr>
          <w:rFonts w:hint="eastAsia" w:ascii="黑体" w:hAnsi="黑体" w:eastAsia="黑体" w:cs="黑体"/>
          <w:color w:val="auto"/>
          <w:highlight w:val="none"/>
        </w:rPr>
      </w:pPr>
    </w:p>
    <w:p w14:paraId="4DA81998">
      <w:pPr>
        <w:spacing w:line="420" w:lineRule="exact"/>
        <w:ind w:right="-470" w:rightChars="-168"/>
        <w:outlineLvl w:val="1"/>
        <w:rPr>
          <w:rFonts w:hint="eastAsia" w:ascii="黑体" w:hAnsi="黑体" w:eastAsia="黑体" w:cs="黑体"/>
          <w:b/>
          <w:bCs/>
          <w:color w:val="auto"/>
          <w:sz w:val="24"/>
          <w:szCs w:val="24"/>
          <w:highlight w:val="none"/>
        </w:rPr>
      </w:pPr>
      <w:bookmarkStart w:id="5" w:name="_Toc3707"/>
      <w:bookmarkStart w:id="6" w:name="_Toc15867"/>
      <w:bookmarkStart w:id="7" w:name="_Toc5531"/>
      <w:bookmarkStart w:id="8" w:name="_Toc20469"/>
      <w:r>
        <w:rPr>
          <w:rFonts w:hint="eastAsia" w:ascii="黑体" w:hAnsi="黑体" w:eastAsia="黑体" w:cs="黑体"/>
          <w:b/>
          <w:bCs/>
          <w:color w:val="auto"/>
          <w:sz w:val="24"/>
          <w:szCs w:val="24"/>
          <w:highlight w:val="none"/>
        </w:rPr>
        <w:t>二、资金来源</w:t>
      </w:r>
      <w:bookmarkEnd w:id="5"/>
      <w:bookmarkEnd w:id="6"/>
    </w:p>
    <w:p w14:paraId="6E3B69FD">
      <w:pPr>
        <w:spacing w:line="420" w:lineRule="exact"/>
        <w:ind w:right="-470" w:rightChars="-168" w:firstLine="480" w:firstLineChars="200"/>
        <w:outlineLvl w:val="1"/>
        <w:rPr>
          <w:rFonts w:hint="eastAsia" w:ascii="黑体" w:hAnsi="黑体" w:eastAsia="黑体" w:cs="黑体"/>
          <w:b w:val="0"/>
          <w:bCs w:val="0"/>
          <w:color w:val="auto"/>
          <w:sz w:val="24"/>
          <w:szCs w:val="24"/>
          <w:highlight w:val="none"/>
        </w:rPr>
      </w:pPr>
      <w:bookmarkStart w:id="9" w:name="_Toc25748"/>
      <w:bookmarkStart w:id="10" w:name="_Toc26121"/>
      <w:r>
        <w:rPr>
          <w:rFonts w:hint="eastAsia" w:ascii="黑体" w:hAnsi="黑体" w:eastAsia="黑体" w:cs="黑体"/>
          <w:b w:val="0"/>
          <w:bCs w:val="0"/>
          <w:color w:val="auto"/>
          <w:sz w:val="24"/>
          <w:szCs w:val="24"/>
          <w:highlight w:val="none"/>
        </w:rPr>
        <w:t>公用经费，预算金额为</w:t>
      </w:r>
      <w:r>
        <w:rPr>
          <w:rFonts w:hint="eastAsia" w:ascii="黑体" w:hAnsi="黑体" w:eastAsia="黑体" w:cs="黑体"/>
          <w:b w:val="0"/>
          <w:bCs w:val="0"/>
          <w:color w:val="auto"/>
          <w:sz w:val="24"/>
          <w:szCs w:val="24"/>
          <w:highlight w:val="none"/>
          <w:lang w:val="en-US" w:eastAsia="zh-CN"/>
        </w:rPr>
        <w:t>162000.00</w:t>
      </w:r>
      <w:r>
        <w:rPr>
          <w:rFonts w:hint="eastAsia" w:ascii="黑体" w:hAnsi="黑体" w:eastAsia="黑体" w:cs="黑体"/>
          <w:b w:val="0"/>
          <w:bCs w:val="0"/>
          <w:color w:val="auto"/>
          <w:sz w:val="24"/>
          <w:szCs w:val="24"/>
          <w:highlight w:val="none"/>
        </w:rPr>
        <w:t>元。</w:t>
      </w:r>
      <w:bookmarkEnd w:id="9"/>
      <w:bookmarkEnd w:id="10"/>
    </w:p>
    <w:p w14:paraId="0998A109">
      <w:pPr>
        <w:pStyle w:val="3"/>
        <w:spacing w:line="500" w:lineRule="exact"/>
        <w:rPr>
          <w:rFonts w:hint="eastAsia" w:ascii="黑体" w:hAnsi="黑体" w:eastAsia="黑体" w:cs="黑体"/>
          <w:b w:val="0"/>
          <w:color w:val="auto"/>
          <w:sz w:val="24"/>
          <w:highlight w:val="none"/>
        </w:rPr>
      </w:pPr>
      <w:bookmarkStart w:id="11" w:name="_Toc493506280"/>
      <w:bookmarkStart w:id="12" w:name="_Toc27852"/>
      <w:bookmarkStart w:id="13" w:name="_Toc5339"/>
      <w:r>
        <w:rPr>
          <w:rFonts w:hint="eastAsia" w:ascii="黑体" w:hAnsi="黑体" w:eastAsia="黑体" w:cs="黑体"/>
          <w:b/>
          <w:bCs/>
          <w:color w:val="auto"/>
          <w:sz w:val="24"/>
          <w:highlight w:val="none"/>
        </w:rPr>
        <w:t>三、</w:t>
      </w:r>
      <w:bookmarkEnd w:id="11"/>
      <w:r>
        <w:rPr>
          <w:rFonts w:hint="eastAsia" w:ascii="黑体" w:hAnsi="黑体" w:eastAsia="黑体" w:cs="黑体"/>
          <w:b/>
          <w:bCs/>
          <w:color w:val="auto"/>
          <w:sz w:val="24"/>
          <w:highlight w:val="none"/>
          <w:lang w:eastAsia="zh-CN"/>
        </w:rPr>
        <w:t>供应商</w:t>
      </w:r>
      <w:r>
        <w:rPr>
          <w:rFonts w:hint="eastAsia" w:ascii="黑体" w:hAnsi="黑体" w:eastAsia="黑体" w:cs="黑体"/>
          <w:b/>
          <w:bCs/>
          <w:color w:val="auto"/>
          <w:sz w:val="24"/>
          <w:highlight w:val="none"/>
        </w:rPr>
        <w:t>资格要求</w:t>
      </w:r>
      <w:bookmarkEnd w:id="12"/>
      <w:bookmarkEnd w:id="13"/>
    </w:p>
    <w:p w14:paraId="5C58F251">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235FFD5E">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（一）基本资格条件</w:t>
      </w:r>
    </w:p>
    <w:p w14:paraId="79A1818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1、具有独立承担民事责任的能力；</w:t>
      </w:r>
    </w:p>
    <w:p w14:paraId="797991CE">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2、具有良好的商业信誉和健全的财务会计制度；</w:t>
      </w:r>
    </w:p>
    <w:p w14:paraId="307D286E">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14:paraId="49C2F06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4、有依法缴纳税收和社会保障资金的良好记录；</w:t>
      </w:r>
    </w:p>
    <w:p w14:paraId="40937667">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14:paraId="58B021C4">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6、法律、行政法规规定的其他条件。</w:t>
      </w:r>
    </w:p>
    <w:p w14:paraId="6BE2838D">
      <w:pPr>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二）落实政府采购政策需满足的资格要求：本项目专门面向中小企业采购，供应商应为中小微企业或监狱企业或残疾人福利性单位。（提供中小企业声明函或提供监狱企业证明文件或残疾人福利性单位声明函）。</w:t>
      </w:r>
    </w:p>
    <w:p w14:paraId="5BA0FB47">
      <w:pPr>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kern w:val="2"/>
          <w:sz w:val="24"/>
          <w:szCs w:val="24"/>
          <w:highlight w:val="none"/>
          <w:lang w:val="en-US" w:eastAsia="zh-CN" w:bidi="ar-SA"/>
        </w:rPr>
        <w:t>（三）本项目</w:t>
      </w:r>
      <w:r>
        <w:rPr>
          <w:rFonts w:hint="eastAsia" w:ascii="黑体" w:hAnsi="黑体" w:eastAsia="黑体" w:cs="黑体"/>
          <w:color w:val="auto"/>
          <w:sz w:val="24"/>
          <w:szCs w:val="24"/>
          <w:highlight w:val="none"/>
        </w:rPr>
        <w:t>的特定资格要求</w:t>
      </w:r>
      <w:r>
        <w:rPr>
          <w:rFonts w:hint="eastAsia" w:ascii="黑体" w:hAnsi="黑体" w:eastAsia="黑体" w:cs="黑体"/>
          <w:color w:val="auto"/>
          <w:sz w:val="24"/>
          <w:szCs w:val="24"/>
          <w:highlight w:val="none"/>
          <w:lang w:eastAsia="zh-CN"/>
        </w:rPr>
        <w:t>：无</w:t>
      </w:r>
    </w:p>
    <w:bookmarkEnd w:id="7"/>
    <w:bookmarkEnd w:id="8"/>
    <w:p w14:paraId="6F9D5CBE">
      <w:pPr>
        <w:pStyle w:val="8"/>
        <w:spacing w:after="120" w:line="420" w:lineRule="exact"/>
        <w:ind w:right="-470" w:rightChars="-168"/>
        <w:jc w:val="left"/>
        <w:outlineLvl w:val="1"/>
        <w:rPr>
          <w:rFonts w:hint="default" w:ascii="黑体" w:hAnsi="黑体" w:eastAsia="黑体" w:cs="黑体"/>
          <w:b/>
          <w:bCs/>
          <w:color w:val="auto"/>
          <w:kern w:val="0"/>
          <w:sz w:val="24"/>
          <w:szCs w:val="24"/>
          <w:highlight w:val="none"/>
          <w:lang w:val="en-US" w:eastAsia="zh-CN"/>
        </w:rPr>
      </w:pPr>
      <w:bookmarkStart w:id="14" w:name="_Toc611"/>
      <w:bookmarkStart w:id="15" w:name="_Toc12376_WPSOffice_Level2"/>
      <w:bookmarkStart w:id="16" w:name="_Toc15554_WPSOffice_Level2"/>
      <w:bookmarkStart w:id="17" w:name="_Toc13254_WPSOffice_Level2"/>
      <w:bookmarkStart w:id="18" w:name="_Toc28089_WPSOffice_Level2"/>
      <w:bookmarkStart w:id="19" w:name="_Toc31876_WPSOffice_Level2"/>
      <w:bookmarkStart w:id="20" w:name="_Toc373860293"/>
      <w:bookmarkStart w:id="21" w:name="_Toc29980"/>
      <w:bookmarkStart w:id="22" w:name="_Toc4270_WPSOffice_Level2"/>
      <w:bookmarkStart w:id="23" w:name="_Toc2044"/>
      <w:bookmarkStart w:id="24" w:name="_Toc12306_WPSOffice_Level2"/>
      <w:bookmarkStart w:id="25" w:name="_Toc21394"/>
      <w:bookmarkStart w:id="26" w:name="_Toc1707"/>
      <w:bookmarkStart w:id="27" w:name="_Toc317775178"/>
      <w:r>
        <w:rPr>
          <w:rFonts w:hint="eastAsia" w:ascii="黑体" w:hAnsi="黑体" w:eastAsia="黑体" w:cs="黑体"/>
          <w:b/>
          <w:bCs/>
          <w:color w:val="auto"/>
          <w:kern w:val="0"/>
          <w:sz w:val="24"/>
          <w:szCs w:val="24"/>
          <w:highlight w:val="none"/>
        </w:rPr>
        <w:t>四、</w:t>
      </w:r>
      <w:bookmarkEnd w:id="14"/>
      <w:bookmarkEnd w:id="15"/>
      <w:bookmarkEnd w:id="16"/>
      <w:bookmarkEnd w:id="17"/>
      <w:bookmarkEnd w:id="18"/>
      <w:bookmarkEnd w:id="19"/>
      <w:bookmarkEnd w:id="20"/>
      <w:bookmarkEnd w:id="21"/>
      <w:bookmarkEnd w:id="22"/>
      <w:bookmarkEnd w:id="23"/>
      <w:bookmarkEnd w:id="24"/>
      <w:bookmarkEnd w:id="25"/>
      <w:bookmarkStart w:id="28" w:name="_Toc15376_WPSOffice_Level2"/>
      <w:bookmarkStart w:id="29" w:name="_Toc25555_WPSOffice_Level2"/>
      <w:bookmarkStart w:id="30" w:name="_Toc14450_WPSOffice_Level2"/>
      <w:bookmarkStart w:id="31" w:name="_Toc20059"/>
      <w:bookmarkStart w:id="32" w:name="_Toc7302_WPSOffice_Level2"/>
      <w:r>
        <w:rPr>
          <w:rFonts w:hint="eastAsia" w:ascii="黑体" w:hAnsi="黑体" w:eastAsia="黑体" w:cs="黑体"/>
          <w:b/>
          <w:bCs/>
          <w:color w:val="auto"/>
          <w:kern w:val="0"/>
          <w:sz w:val="24"/>
          <w:szCs w:val="24"/>
          <w:highlight w:val="none"/>
          <w:lang w:val="en-US" w:eastAsia="zh-CN"/>
        </w:rPr>
        <w:t>磋商的有关说明</w:t>
      </w:r>
      <w:bookmarkEnd w:id="26"/>
    </w:p>
    <w:p w14:paraId="060E6D47">
      <w:pPr>
        <w:spacing w:line="440" w:lineRule="exact"/>
        <w:ind w:firstLine="480" w:firstLineChars="200"/>
        <w:rPr>
          <w:rFonts w:hint="eastAsia" w:ascii="黑体" w:hAnsi="黑体" w:eastAsia="黑体" w:cs="黑体"/>
          <w:color w:val="auto"/>
          <w:sz w:val="24"/>
          <w:szCs w:val="24"/>
          <w:highlight w:val="none"/>
          <w:lang w:val="en-US" w:eastAsia="zh-CN"/>
        </w:rPr>
      </w:pPr>
      <w:bookmarkStart w:id="33" w:name="_Toc15298"/>
      <w:r>
        <w:rPr>
          <w:rFonts w:hint="eastAsia" w:ascii="黑体" w:hAnsi="黑体" w:eastAsia="黑体" w:cs="黑体"/>
          <w:color w:val="auto"/>
          <w:sz w:val="24"/>
          <w:szCs w:val="24"/>
          <w:highlight w:val="none"/>
          <w:lang w:val="en-US" w:eastAsia="zh-CN"/>
        </w:rPr>
        <w:t>1.凡有意参加投标的供应商，请在“行采家（https://www.gec123.com/）网上下载本项目采购文件以及补遗等响应文件递交截止时间前公布的所有项目资料，无论供应商下载与否，均视为已全部知晓有关采购过程及全部内容。</w:t>
      </w:r>
    </w:p>
    <w:p w14:paraId="0E37DD1D">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2.网上采购报名</w:t>
      </w:r>
    </w:p>
    <w:p w14:paraId="277CB4B6">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（1）供应商在2025年8月1日17：00前将《项目报名登记表》（加盖供应商公章）扫描后发送至指定邮箱：1341535808@qq.com，其报名才被接收。</w:t>
      </w:r>
    </w:p>
    <w:p w14:paraId="0C9E824C">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（2）工本费：人民币500元/份（售后不退），由供应商在现场投标时将纸质响应文件和工本费一并递交。</w:t>
      </w:r>
    </w:p>
    <w:p w14:paraId="055F210A">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3.纸质文件的递交</w:t>
      </w:r>
    </w:p>
    <w:p w14:paraId="1AF82EB9">
      <w:pPr>
        <w:pStyle w:val="28"/>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（1）响应文件递交地点：重庆腾锐阳工程项目管理有限公司会议室（重庆市南岸区南城大道199号17-1会议室）</w:t>
      </w:r>
    </w:p>
    <w:p w14:paraId="216D6946">
      <w:pPr>
        <w:pStyle w:val="28"/>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（2）响应文件递交时间：2025年8月4日14:30-15:00</w:t>
      </w:r>
    </w:p>
    <w:p w14:paraId="3ECCAA4C">
      <w:pPr>
        <w:pStyle w:val="28"/>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（3）响应文件递交截止时间：2025年8月4日15:00</w:t>
      </w:r>
    </w:p>
    <w:p w14:paraId="1A053F6C">
      <w:pPr>
        <w:pStyle w:val="28"/>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4.开标时间：2025年8月4日15:00</w:t>
      </w:r>
    </w:p>
    <w:p w14:paraId="64F87A96">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5.现场递交纸质响应文件一式三份，其中正本一份，副本二份，副本可为正本的复印件。如纸质响应文件正本与副本不一致，以正本为准。</w:t>
      </w:r>
    </w:p>
    <w:p w14:paraId="1B5D97B7">
      <w:pPr>
        <w:spacing w:line="440" w:lineRule="exact"/>
        <w:ind w:firstLine="480" w:firstLineChars="200"/>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6.供应商应在规定的时间内现场递交纸质响应文件，否则按无效投标处理。</w:t>
      </w:r>
    </w:p>
    <w:p w14:paraId="45761A8E">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7.供应商制作的响应文件，须按照要求制作，规定签字、盖章的地方必须按其规定签字、盖章，未按要求制作响应文件的进行废标处理。</w:t>
      </w:r>
    </w:p>
    <w:p w14:paraId="1D1389DE">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8.本项目不接受联合体参与采购。</w:t>
      </w:r>
    </w:p>
    <w:p w14:paraId="41E63699">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9.本项目不组织踏勘，供应商可自行踏勘现场，并对因踏勘现场而造成的死亡、人身伤害、财产损失和产生的费用等承担全部责任。</w:t>
      </w:r>
    </w:p>
    <w:p w14:paraId="3758199A">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10.单位负责人为同一人或者存在直接控股、管理关系的不同供应商，不得参加同一合同项下的政府采购活动，否则均为无效响应。</w:t>
      </w:r>
    </w:p>
    <w:p w14:paraId="5210FF30">
      <w:pPr>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11.无论投标结果如何，供应商参与本项目的所有费用均自行承担。</w:t>
      </w:r>
    </w:p>
    <w:bookmarkEnd w:id="27"/>
    <w:bookmarkEnd w:id="28"/>
    <w:bookmarkEnd w:id="29"/>
    <w:bookmarkEnd w:id="30"/>
    <w:bookmarkEnd w:id="31"/>
    <w:bookmarkEnd w:id="32"/>
    <w:bookmarkEnd w:id="33"/>
    <w:p w14:paraId="0EDC54A7">
      <w:pPr>
        <w:spacing w:line="440" w:lineRule="exact"/>
        <w:outlineLvl w:val="1"/>
        <w:rPr>
          <w:rFonts w:hint="eastAsia" w:ascii="黑体" w:hAnsi="黑体" w:eastAsia="黑体" w:cs="黑体"/>
          <w:b/>
          <w:bCs/>
          <w:color w:val="auto"/>
          <w:sz w:val="24"/>
          <w:szCs w:val="24"/>
          <w:highlight w:val="none"/>
        </w:rPr>
      </w:pPr>
      <w:bookmarkStart w:id="34" w:name="_Toc4006"/>
      <w:bookmarkStart w:id="35" w:name="_Toc26914"/>
      <w:bookmarkStart w:id="36" w:name="_Toc28108"/>
      <w:bookmarkStart w:id="37" w:name="_Toc5873"/>
      <w:bookmarkStart w:id="38" w:name="_Toc488590004"/>
      <w:bookmarkStart w:id="39" w:name="_Toc387664716"/>
      <w:bookmarkStart w:id="40" w:name="_Toc488589478"/>
      <w:bookmarkStart w:id="41" w:name="_Toc488589574"/>
      <w:bookmarkStart w:id="42" w:name="_Toc383071240"/>
      <w:bookmarkStart w:id="43" w:name="_Toc8407_WPSOffice_Level2"/>
      <w:bookmarkStart w:id="44" w:name="_Toc1311_WPSOffice_Level2"/>
      <w:bookmarkStart w:id="45" w:name="_Toc25119"/>
      <w:bookmarkStart w:id="46" w:name="_Toc1346_WPSOffice_Level2"/>
      <w:bookmarkStart w:id="47" w:name="_Toc23844_WPSOffice_Level2"/>
      <w:bookmarkStart w:id="48" w:name="_Toc28625_WPSOffice_Level2"/>
      <w:bookmarkStart w:id="49" w:name="_Toc28085_WPSOffice_Level2"/>
      <w:bookmarkStart w:id="50" w:name="_Toc4973_WPSOffice_Level2"/>
      <w:r>
        <w:rPr>
          <w:rFonts w:hint="eastAsia" w:ascii="黑体" w:hAnsi="黑体" w:eastAsia="黑体" w:cs="黑体"/>
          <w:b/>
          <w:bCs/>
          <w:color w:val="auto"/>
          <w:sz w:val="24"/>
          <w:szCs w:val="24"/>
          <w:highlight w:val="none"/>
          <w:lang w:val="en-US" w:eastAsia="zh-CN"/>
        </w:rPr>
        <w:t>五、</w:t>
      </w:r>
      <w:bookmarkEnd w:id="34"/>
      <w:bookmarkEnd w:id="35"/>
      <w:r>
        <w:rPr>
          <w:rFonts w:hint="eastAsia" w:ascii="黑体" w:hAnsi="黑体" w:eastAsia="黑体" w:cs="黑体"/>
          <w:b/>
          <w:bCs/>
          <w:color w:val="auto"/>
          <w:sz w:val="24"/>
          <w:szCs w:val="24"/>
          <w:highlight w:val="none"/>
        </w:rPr>
        <w:t>采购项目需落实的政府采购政策</w:t>
      </w:r>
      <w:bookmarkEnd w:id="36"/>
    </w:p>
    <w:p w14:paraId="7C0F3D9D">
      <w:pPr>
        <w:snapToGrid w:val="0"/>
        <w:spacing w:line="440" w:lineRule="exact"/>
        <w:ind w:firstLine="360" w:firstLineChars="15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1、按照《财政部生态环境部关于印发环境标志产品政府采购品目清单的通知》（财库〔2019〕18号）和《财政部 发展改革委关于印发节能产品政府采购品目清单的通知》（财库〔2019〕19号）的规定，落实国家节能环保政策。</w:t>
      </w:r>
    </w:p>
    <w:p w14:paraId="3437CCAD">
      <w:pPr>
        <w:snapToGrid w:val="0"/>
        <w:spacing w:line="440" w:lineRule="exact"/>
        <w:ind w:firstLine="360" w:firstLineChars="15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2、按照财政部、工业和信息化部关于印发《政府采购促进中小企业发展管理办法》的通知（财库〔2020〕46号）的规定，落实促进中小企业发展政策。</w:t>
      </w:r>
    </w:p>
    <w:p w14:paraId="06FC2E18">
      <w:pPr>
        <w:snapToGrid w:val="0"/>
        <w:spacing w:line="440" w:lineRule="exact"/>
        <w:ind w:firstLine="360" w:firstLineChars="15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3、按照《财政部、司法部关于政府采购支持监狱企业发展有关问题的通知》（财库〔2014〕68号）的规定，落实支持监狱企业发展政策。</w:t>
      </w:r>
    </w:p>
    <w:p w14:paraId="796E6336">
      <w:pPr>
        <w:snapToGrid w:val="0"/>
        <w:spacing w:line="440" w:lineRule="exact"/>
        <w:ind w:firstLine="360" w:firstLineChars="1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4、按照《三部门联合发布关于促进残疾人就业政府采购政策的通知》（财库〔2017〕141号）的规定，落实支持残疾人福利性单位发展政策。</w:t>
      </w:r>
    </w:p>
    <w:p w14:paraId="1CF847D4">
      <w:pPr>
        <w:spacing w:line="420" w:lineRule="exact"/>
        <w:rPr>
          <w:rFonts w:hint="eastAsia" w:ascii="黑体" w:hAnsi="黑体" w:eastAsia="黑体" w:cs="黑体"/>
          <w:b/>
          <w:bCs/>
          <w:color w:val="auto"/>
          <w:kern w:val="0"/>
          <w:sz w:val="24"/>
          <w:szCs w:val="24"/>
          <w:highlight w:val="none"/>
        </w:rPr>
      </w:pPr>
      <w:bookmarkStart w:id="51" w:name="_Toc1413"/>
      <w:bookmarkStart w:id="52" w:name="_Toc13693"/>
      <w:bookmarkStart w:id="53" w:name="_Toc7327"/>
      <w:r>
        <w:rPr>
          <w:rFonts w:hint="eastAsia" w:ascii="黑体" w:hAnsi="黑体" w:eastAsia="黑体" w:cs="黑体"/>
          <w:b/>
          <w:bCs/>
          <w:color w:val="auto"/>
          <w:sz w:val="24"/>
          <w:szCs w:val="24"/>
          <w:highlight w:val="none"/>
          <w:lang w:val="en-US" w:eastAsia="zh-CN"/>
        </w:rPr>
        <w:t>六、</w:t>
      </w:r>
      <w:bookmarkEnd w:id="37"/>
      <w:bookmarkEnd w:id="38"/>
      <w:bookmarkEnd w:id="39"/>
      <w:bookmarkEnd w:id="40"/>
      <w:bookmarkEnd w:id="41"/>
      <w:bookmarkEnd w:id="42"/>
      <w:bookmarkEnd w:id="51"/>
      <w:bookmarkEnd w:id="52"/>
      <w:bookmarkEnd w:id="53"/>
      <w:r>
        <w:rPr>
          <w:rFonts w:hint="eastAsia" w:ascii="黑体" w:hAnsi="黑体" w:eastAsia="黑体" w:cs="黑体"/>
          <w:b/>
          <w:bCs/>
          <w:color w:val="auto"/>
          <w:kern w:val="0"/>
          <w:sz w:val="24"/>
          <w:szCs w:val="24"/>
          <w:highlight w:val="none"/>
        </w:rPr>
        <w:t>联系方式</w:t>
      </w:r>
      <w:bookmarkEnd w:id="43"/>
      <w:bookmarkEnd w:id="44"/>
      <w:bookmarkEnd w:id="45"/>
      <w:bookmarkEnd w:id="46"/>
      <w:bookmarkEnd w:id="47"/>
      <w:bookmarkEnd w:id="48"/>
      <w:bookmarkEnd w:id="49"/>
      <w:bookmarkEnd w:id="50"/>
    </w:p>
    <w:p w14:paraId="3E294583">
      <w:pPr>
        <w:snapToGrid w:val="0"/>
        <w:spacing w:line="440" w:lineRule="exact"/>
        <w:ind w:firstLine="480" w:firstLineChars="200"/>
        <w:rPr>
          <w:rFonts w:hint="eastAsia" w:ascii="黑体" w:hAnsi="黑体" w:eastAsia="黑体" w:cs="黑体"/>
          <w:color w:val="auto"/>
          <w:sz w:val="24"/>
          <w:szCs w:val="24"/>
          <w:highlight w:val="none"/>
          <w:lang w:val="en-US" w:eastAsia="zh-CN"/>
        </w:rPr>
      </w:pPr>
      <w:bookmarkStart w:id="54" w:name="_Toc102227313"/>
      <w:r>
        <w:rPr>
          <w:rFonts w:hint="eastAsia" w:ascii="黑体" w:hAnsi="黑体" w:eastAsia="黑体" w:cs="黑体"/>
          <w:color w:val="auto"/>
          <w:sz w:val="24"/>
          <w:szCs w:val="24"/>
          <w:highlight w:val="none"/>
          <w:lang w:eastAsia="zh-CN"/>
        </w:rPr>
        <w:t>采购人：</w:t>
      </w:r>
      <w:r>
        <w:rPr>
          <w:rFonts w:hint="eastAsia" w:ascii="黑体" w:hAnsi="黑体" w:eastAsia="黑体" w:cs="黑体"/>
          <w:color w:val="auto"/>
          <w:sz w:val="24"/>
          <w:szCs w:val="24"/>
          <w:highlight w:val="none"/>
          <w:lang w:val="en-US" w:eastAsia="zh-CN"/>
        </w:rPr>
        <w:t xml:space="preserve">重庆市南岸区珊瑚长嘉汇小学校 </w:t>
      </w:r>
    </w:p>
    <w:p w14:paraId="31DB1F25">
      <w:pPr>
        <w:snapToGrid w:val="0"/>
        <w:spacing w:line="440" w:lineRule="exact"/>
        <w:ind w:firstLine="480" w:firstLineChars="200"/>
        <w:rPr>
          <w:rFonts w:hint="eastAsia" w:ascii="黑体" w:hAnsi="黑体" w:eastAsia="黑体" w:cs="黑体"/>
          <w:color w:val="auto"/>
          <w:sz w:val="24"/>
          <w:szCs w:val="24"/>
          <w:highlight w:val="none"/>
          <w:lang w:val="en-US" w:eastAsia="zh-Hans"/>
        </w:rPr>
      </w:pPr>
      <w:r>
        <w:rPr>
          <w:rFonts w:hint="eastAsia" w:ascii="黑体" w:hAnsi="黑体" w:eastAsia="黑体" w:cs="黑体"/>
          <w:color w:val="auto"/>
          <w:sz w:val="24"/>
          <w:szCs w:val="24"/>
          <w:highlight w:val="none"/>
          <w:lang w:val="en-US" w:eastAsia="zh-CN"/>
        </w:rPr>
        <w:t>联系人：文</w:t>
      </w:r>
      <w:r>
        <w:rPr>
          <w:rFonts w:hint="eastAsia" w:ascii="黑体" w:hAnsi="黑体" w:eastAsia="黑体" w:cs="黑体"/>
          <w:color w:val="auto"/>
          <w:sz w:val="24"/>
          <w:szCs w:val="24"/>
          <w:highlight w:val="none"/>
          <w:lang w:val="en-US" w:eastAsia="zh-Hans"/>
        </w:rPr>
        <w:t>老师</w:t>
      </w:r>
    </w:p>
    <w:p w14:paraId="2F1B67DD">
      <w:pPr>
        <w:snapToGrid w:val="0"/>
        <w:spacing w:line="440" w:lineRule="exact"/>
        <w:ind w:firstLine="480" w:firstLineChars="200"/>
        <w:rPr>
          <w:rFonts w:hint="eastAsia" w:ascii="黑体" w:hAnsi="黑体" w:eastAsia="黑体" w:cs="黑体"/>
          <w:color w:val="auto"/>
          <w:sz w:val="24"/>
          <w:szCs w:val="24"/>
          <w:highlight w:val="yellow"/>
          <w:lang w:val="en-US" w:eastAsia="zh-CN"/>
        </w:rPr>
      </w:pPr>
      <w:r>
        <w:rPr>
          <w:rFonts w:hint="eastAsia" w:ascii="黑体" w:hAnsi="黑体" w:eastAsia="黑体" w:cs="黑体"/>
          <w:color w:val="auto"/>
          <w:sz w:val="24"/>
          <w:szCs w:val="24"/>
          <w:highlight w:val="none"/>
          <w:lang w:val="en-US" w:eastAsia="zh-CN"/>
        </w:rPr>
        <w:t>电  话：023-62814046</w:t>
      </w:r>
    </w:p>
    <w:p w14:paraId="279490F2">
      <w:pPr>
        <w:snapToGrid w:val="0"/>
        <w:spacing w:line="440" w:lineRule="exact"/>
        <w:ind w:firstLine="480" w:firstLineChars="200"/>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  址：重庆市南岸区弹子石红展路 2 号</w:t>
      </w:r>
    </w:p>
    <w:p w14:paraId="02546F98">
      <w:pPr>
        <w:snapToGrid w:val="0"/>
        <w:spacing w:line="440" w:lineRule="exact"/>
        <w:ind w:firstLine="480" w:firstLineChars="200"/>
        <w:rPr>
          <w:rFonts w:hint="eastAsia" w:ascii="黑体" w:hAnsi="黑体" w:eastAsia="黑体" w:cs="黑体"/>
          <w:color w:val="auto"/>
          <w:sz w:val="24"/>
          <w:szCs w:val="24"/>
          <w:highlight w:val="none"/>
          <w:lang w:val="en-US" w:eastAsia="zh-CN"/>
        </w:rPr>
      </w:pPr>
    </w:p>
    <w:p w14:paraId="14FE3BEB">
      <w:pPr>
        <w:snapToGrid w:val="0"/>
        <w:spacing w:line="44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采购代理机构</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重庆腾锐阳工程项目管理有限公司</w:t>
      </w:r>
    </w:p>
    <w:p w14:paraId="7416CC0F">
      <w:pPr>
        <w:snapToGrid w:val="0"/>
        <w:spacing w:line="44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刘老师</w:t>
      </w:r>
    </w:p>
    <w:p w14:paraId="18155DA8">
      <w:pPr>
        <w:snapToGrid w:val="0"/>
        <w:spacing w:line="440" w:lineRule="exact"/>
        <w:ind w:firstLine="480" w:firstLineChars="200"/>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话：023-</w:t>
      </w:r>
      <w:r>
        <w:rPr>
          <w:rFonts w:hint="eastAsia" w:ascii="黑体" w:hAnsi="黑体" w:eastAsia="黑体" w:cs="黑体"/>
          <w:color w:val="auto"/>
          <w:sz w:val="24"/>
          <w:szCs w:val="24"/>
          <w:highlight w:val="none"/>
          <w:lang w:val="en-US" w:eastAsia="zh-CN"/>
        </w:rPr>
        <w:t>62876939</w:t>
      </w:r>
    </w:p>
    <w:p w14:paraId="64B0F7B8">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址：重庆市南岸区南城大道199号17-1</w:t>
      </w:r>
    </w:p>
    <w:p w14:paraId="13EF7618">
      <w:pPr>
        <w:snapToGrid w:val="0"/>
        <w:spacing w:line="440" w:lineRule="exact"/>
        <w:rPr>
          <w:rFonts w:hint="eastAsia" w:ascii="黑体" w:hAnsi="黑体" w:eastAsia="黑体" w:cs="黑体"/>
          <w:b/>
          <w:color w:val="auto"/>
          <w:sz w:val="24"/>
          <w:szCs w:val="24"/>
          <w:highlight w:val="none"/>
        </w:rPr>
      </w:pPr>
    </w:p>
    <w:p w14:paraId="41B36050">
      <w:pPr>
        <w:pStyle w:val="29"/>
        <w:rPr>
          <w:rFonts w:hint="eastAsia" w:ascii="黑体" w:hAnsi="黑体" w:eastAsia="黑体" w:cs="黑体"/>
          <w:b/>
          <w:color w:val="auto"/>
          <w:sz w:val="24"/>
          <w:szCs w:val="24"/>
          <w:highlight w:val="none"/>
        </w:rPr>
      </w:pPr>
    </w:p>
    <w:p w14:paraId="2DA51110">
      <w:pPr>
        <w:rPr>
          <w:rFonts w:hint="eastAsia" w:ascii="黑体" w:hAnsi="黑体" w:eastAsia="黑体" w:cs="黑体"/>
          <w:b/>
          <w:color w:val="auto"/>
          <w:sz w:val="24"/>
          <w:szCs w:val="24"/>
          <w:highlight w:val="none"/>
        </w:rPr>
      </w:pPr>
    </w:p>
    <w:p w14:paraId="442E7C90">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br w:type="page"/>
      </w:r>
    </w:p>
    <w:p w14:paraId="20BC44E5">
      <w:pPr>
        <w:pStyle w:val="32"/>
        <w:tabs>
          <w:tab w:val="right" w:leader="dot" w:pos="9412"/>
        </w:tabs>
        <w:spacing w:line="440" w:lineRule="exact"/>
        <w:ind w:left="0" w:leftChars="0" w:right="-470" w:rightChars="-168"/>
        <w:jc w:val="center"/>
        <w:outlineLvl w:val="0"/>
        <w:rPr>
          <w:rFonts w:hint="eastAsia" w:ascii="黑体" w:hAnsi="黑体" w:eastAsia="黑体" w:cs="黑体"/>
          <w:b/>
          <w:bCs/>
          <w:color w:val="auto"/>
          <w:sz w:val="32"/>
          <w:szCs w:val="32"/>
          <w:highlight w:val="none"/>
        </w:rPr>
      </w:pPr>
      <w:bookmarkStart w:id="55" w:name="_Toc7217"/>
      <w:r>
        <w:rPr>
          <w:rFonts w:hint="eastAsia" w:ascii="黑体" w:hAnsi="黑体" w:eastAsia="黑体" w:cs="黑体"/>
          <w:b/>
          <w:bCs/>
          <w:color w:val="auto"/>
          <w:sz w:val="32"/>
          <w:szCs w:val="32"/>
          <w:highlight w:val="none"/>
        </w:rPr>
        <w:t xml:space="preserve">第二篇  </w:t>
      </w:r>
      <w:bookmarkEnd w:id="54"/>
      <w:r>
        <w:rPr>
          <w:rFonts w:hint="eastAsia" w:ascii="黑体" w:hAnsi="黑体" w:eastAsia="黑体" w:cs="黑体"/>
          <w:b/>
          <w:bCs/>
          <w:color w:val="auto"/>
          <w:sz w:val="32"/>
          <w:szCs w:val="32"/>
          <w:highlight w:val="none"/>
          <w:lang w:val="en-US" w:eastAsia="zh-CN"/>
        </w:rPr>
        <w:t>项目服务需求</w:t>
      </w:r>
      <w:bookmarkEnd w:id="55"/>
    </w:p>
    <w:p w14:paraId="0A9B4220">
      <w:pPr>
        <w:pStyle w:val="8"/>
        <w:spacing w:after="120" w:line="440" w:lineRule="exact"/>
        <w:ind w:right="-470" w:rightChars="-168"/>
        <w:jc w:val="left"/>
        <w:outlineLvl w:val="1"/>
        <w:rPr>
          <w:rFonts w:hint="eastAsia" w:ascii="黑体" w:hAnsi="黑体" w:eastAsia="黑体" w:cs="黑体"/>
          <w:b/>
          <w:bCs/>
          <w:color w:val="auto"/>
          <w:kern w:val="0"/>
          <w:sz w:val="24"/>
          <w:szCs w:val="24"/>
          <w:highlight w:val="none"/>
          <w:lang w:val="en-US" w:eastAsia="zh-CN"/>
        </w:rPr>
      </w:pPr>
      <w:bookmarkStart w:id="56" w:name="_Toc21496"/>
      <w:bookmarkStart w:id="57" w:name="_Toc3910"/>
      <w:r>
        <w:rPr>
          <w:rFonts w:hint="eastAsia" w:ascii="黑体" w:hAnsi="黑体" w:eastAsia="黑体" w:cs="黑体"/>
          <w:b/>
          <w:bCs/>
          <w:color w:val="auto"/>
          <w:kern w:val="0"/>
          <w:sz w:val="24"/>
          <w:szCs w:val="24"/>
          <w:highlight w:val="none"/>
        </w:rPr>
        <w:t>一、服务</w:t>
      </w:r>
      <w:bookmarkEnd w:id="56"/>
      <w:r>
        <w:rPr>
          <w:rFonts w:hint="eastAsia" w:ascii="黑体" w:hAnsi="黑体" w:eastAsia="黑体" w:cs="黑体"/>
          <w:b/>
          <w:bCs/>
          <w:color w:val="auto"/>
          <w:kern w:val="0"/>
          <w:sz w:val="24"/>
          <w:szCs w:val="24"/>
          <w:highlight w:val="none"/>
          <w:lang w:val="en-US" w:eastAsia="zh-CN"/>
        </w:rPr>
        <w:t>范围</w:t>
      </w:r>
      <w:bookmarkEnd w:id="57"/>
    </w:p>
    <w:p w14:paraId="51810B1C">
      <w:pPr>
        <w:pStyle w:val="8"/>
        <w:spacing w:after="120" w:line="440" w:lineRule="exact"/>
        <w:ind w:right="-470" w:rightChars="-168" w:firstLine="720" w:firstLineChars="300"/>
        <w:jc w:val="left"/>
        <w:outlineLvl w:val="1"/>
        <w:rPr>
          <w:rFonts w:hint="eastAsia" w:ascii="黑体" w:hAnsi="黑体" w:eastAsia="黑体" w:cs="黑体"/>
          <w:b w:val="0"/>
          <w:bCs w:val="0"/>
          <w:color w:val="auto"/>
          <w:kern w:val="0"/>
          <w:sz w:val="24"/>
          <w:szCs w:val="24"/>
          <w:highlight w:val="none"/>
          <w:lang w:val="en-US" w:eastAsia="zh-CN"/>
        </w:rPr>
      </w:pPr>
      <w:bookmarkStart w:id="58" w:name="_Toc24281"/>
      <w:bookmarkStart w:id="59" w:name="_Toc27236"/>
      <w:r>
        <w:rPr>
          <w:rFonts w:hint="eastAsia" w:ascii="黑体" w:hAnsi="黑体" w:eastAsia="黑体" w:cs="黑体"/>
          <w:b w:val="0"/>
          <w:bCs w:val="0"/>
          <w:color w:val="auto"/>
          <w:kern w:val="0"/>
          <w:sz w:val="24"/>
          <w:szCs w:val="24"/>
          <w:highlight w:val="none"/>
          <w:lang w:val="en-US" w:eastAsia="zh-CN"/>
        </w:rPr>
        <w:t>重庆市南岸区珊瑚长嘉汇小学校占地17334平方米，建筑面积14882.14平方米，学校物业保洁面积20977.78平方米（其中室内面积9411.63平方米，室外11566.15平方米）；绿化面积2451.86平方米。</w:t>
      </w:r>
      <w:bookmarkEnd w:id="58"/>
      <w:bookmarkEnd w:id="59"/>
    </w:p>
    <w:p w14:paraId="289233C5">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60" w:name="_Toc15130"/>
      <w:bookmarkStart w:id="61" w:name="_Toc7670"/>
      <w:r>
        <w:rPr>
          <w:rFonts w:hint="eastAsia" w:ascii="黑体" w:hAnsi="黑体" w:eastAsia="黑体" w:cs="黑体"/>
          <w:b w:val="0"/>
          <w:bCs w:val="0"/>
          <w:color w:val="auto"/>
          <w:kern w:val="0"/>
          <w:sz w:val="24"/>
          <w:szCs w:val="24"/>
          <w:highlight w:val="none"/>
          <w:lang w:val="en-US" w:eastAsia="zh-CN"/>
        </w:rPr>
        <w:t>服务范围：为采购人提供专业化、标准化的物业管理服务，包括但不限于：校内日常保洁清洁、绿化管护、垃圾转运服务等物业服务内容。</w:t>
      </w:r>
      <w:bookmarkEnd w:id="60"/>
    </w:p>
    <w:p w14:paraId="06D6F89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bookmarkStart w:id="62" w:name="_Toc13597"/>
      <w:r>
        <w:rPr>
          <w:rFonts w:hint="eastAsia" w:ascii="黑体" w:hAnsi="黑体" w:eastAsia="黑体" w:cs="黑体"/>
          <w:b w:val="0"/>
          <w:bCs w:val="0"/>
          <w:color w:val="auto"/>
          <w:kern w:val="0"/>
          <w:sz w:val="24"/>
          <w:szCs w:val="24"/>
          <w:highlight w:val="none"/>
          <w:lang w:val="en-US" w:eastAsia="zh-CN"/>
        </w:rPr>
        <w:t>服务标准：执行国家相关标准、行业标准、地方标准或规范（有强制性标准的执行强制性标准，若无则统一执行最新相关标准、规范）。</w:t>
      </w:r>
      <w:bookmarkEnd w:id="62"/>
    </w:p>
    <w:bookmarkEnd w:id="61"/>
    <w:p w14:paraId="1E1068B4">
      <w:pPr>
        <w:pStyle w:val="8"/>
        <w:numPr>
          <w:ilvl w:val="0"/>
          <w:numId w:val="0"/>
        </w:numPr>
        <w:spacing w:after="120" w:line="440" w:lineRule="exact"/>
        <w:ind w:right="-470" w:rightChars="-168"/>
        <w:jc w:val="left"/>
        <w:outlineLvl w:val="1"/>
        <w:rPr>
          <w:rFonts w:hint="eastAsia" w:ascii="黑体" w:hAnsi="黑体" w:eastAsia="黑体" w:cs="黑体"/>
          <w:b/>
          <w:bCs/>
          <w:color w:val="auto"/>
          <w:kern w:val="0"/>
          <w:sz w:val="24"/>
          <w:szCs w:val="24"/>
          <w:highlight w:val="none"/>
          <w:lang w:val="en-US" w:eastAsia="zh-CN"/>
        </w:rPr>
      </w:pPr>
      <w:bookmarkStart w:id="63" w:name="_Toc10075"/>
      <w:bookmarkStart w:id="64" w:name="_Toc18903"/>
      <w:bookmarkStart w:id="65" w:name="_Toc10143"/>
      <w:bookmarkStart w:id="66" w:name="_Toc32262"/>
      <w:bookmarkStart w:id="67" w:name="_Toc17674"/>
      <w:bookmarkStart w:id="68" w:name="_Toc23975"/>
      <w:bookmarkStart w:id="69" w:name="_Toc26434"/>
      <w:bookmarkStart w:id="70" w:name="_Toc14706"/>
      <w:bookmarkStart w:id="71" w:name="_Toc15696"/>
      <w:bookmarkStart w:id="72" w:name="_Toc11585"/>
      <w:bookmarkStart w:id="73" w:name="_Toc5535"/>
      <w:bookmarkStart w:id="74" w:name="_Toc7792"/>
      <w:bookmarkStart w:id="75" w:name="_Toc18800"/>
      <w:bookmarkStart w:id="76" w:name="_Toc26453"/>
      <w:bookmarkStart w:id="77" w:name="_Toc75793506"/>
      <w:bookmarkStart w:id="78" w:name="_Toc28205"/>
      <w:bookmarkStart w:id="79" w:name="_Toc5751"/>
      <w:bookmarkStart w:id="80" w:name="_Toc12568"/>
      <w:bookmarkStart w:id="81" w:name="_Toc106030507"/>
      <w:bookmarkStart w:id="82" w:name="_Toc26249"/>
      <w:r>
        <w:rPr>
          <w:rFonts w:hint="eastAsia" w:ascii="黑体" w:hAnsi="黑体" w:eastAsia="黑体" w:cs="黑体"/>
          <w:b/>
          <w:bCs/>
          <w:color w:val="auto"/>
          <w:kern w:val="0"/>
          <w:sz w:val="24"/>
          <w:szCs w:val="24"/>
          <w:lang w:val="en-US" w:eastAsia="zh-CN" w:bidi="ar-SA"/>
        </w:rPr>
        <w:t>二、</w:t>
      </w:r>
      <w:r>
        <w:rPr>
          <w:rFonts w:hint="eastAsia" w:ascii="黑体" w:hAnsi="黑体" w:eastAsia="黑体" w:cs="黑体"/>
          <w:b/>
          <w:bCs/>
          <w:color w:val="auto"/>
          <w:kern w:val="0"/>
          <w:sz w:val="24"/>
          <w:szCs w:val="24"/>
          <w:highlight w:val="none"/>
          <w:lang w:val="en-US" w:eastAsia="zh-CN"/>
        </w:rPr>
        <w:t>保洁服务</w:t>
      </w:r>
      <w:bookmarkEnd w:id="63"/>
    </w:p>
    <w:p w14:paraId="0E52AEA8">
      <w:pPr>
        <w:pStyle w:val="8"/>
        <w:numPr>
          <w:ilvl w:val="0"/>
          <w:numId w:val="2"/>
        </w:numPr>
        <w:spacing w:after="120" w:line="440" w:lineRule="exact"/>
        <w:ind w:left="240" w:leftChars="0" w:right="-470" w:rightChars="-168" w:firstLine="0" w:firstLineChars="0"/>
        <w:jc w:val="left"/>
        <w:outlineLvl w:val="1"/>
        <w:rPr>
          <w:rFonts w:hint="eastAsia" w:ascii="黑体" w:hAnsi="黑体" w:eastAsia="黑体" w:cs="黑体"/>
          <w:b w:val="0"/>
          <w:bCs w:val="0"/>
          <w:color w:val="auto"/>
          <w:kern w:val="0"/>
          <w:sz w:val="24"/>
          <w:szCs w:val="24"/>
          <w:highlight w:val="none"/>
        </w:rPr>
      </w:pPr>
      <w:bookmarkStart w:id="83" w:name="_Toc28317"/>
      <w:r>
        <w:rPr>
          <w:rFonts w:hint="eastAsia" w:ascii="黑体" w:hAnsi="黑体" w:eastAsia="黑体" w:cs="黑体"/>
          <w:b w:val="0"/>
          <w:bCs w:val="0"/>
          <w:color w:val="auto"/>
          <w:kern w:val="0"/>
          <w:sz w:val="24"/>
          <w:szCs w:val="24"/>
          <w:highlight w:val="none"/>
        </w:rPr>
        <w:t>保洁服务</w:t>
      </w:r>
      <w:r>
        <w:rPr>
          <w:rFonts w:hint="eastAsia" w:ascii="黑体" w:hAnsi="黑体" w:eastAsia="黑体" w:cs="黑体"/>
          <w:b w:val="0"/>
          <w:bCs w:val="0"/>
          <w:color w:val="auto"/>
          <w:kern w:val="0"/>
          <w:sz w:val="24"/>
          <w:szCs w:val="24"/>
          <w:highlight w:val="none"/>
          <w:lang w:val="en-US" w:eastAsia="zh-CN"/>
        </w:rPr>
        <w:t>标准机内容</w:t>
      </w:r>
      <w:bookmarkEnd w:id="83"/>
    </w:p>
    <w:p w14:paraId="5B4862D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84" w:name="_Toc8374"/>
      <w:r>
        <w:rPr>
          <w:rFonts w:hint="eastAsia" w:ascii="黑体" w:hAnsi="黑体" w:eastAsia="黑体" w:cs="黑体"/>
          <w:b w:val="0"/>
          <w:bCs w:val="0"/>
          <w:color w:val="auto"/>
          <w:kern w:val="0"/>
          <w:sz w:val="24"/>
          <w:szCs w:val="24"/>
          <w:highlight w:val="none"/>
          <w:lang w:val="en-US" w:eastAsia="zh-CN" w:bidi="ar-SA"/>
        </w:rPr>
        <w:t>1、</w:t>
      </w:r>
      <w:r>
        <w:rPr>
          <w:rFonts w:hint="eastAsia" w:ascii="黑体" w:hAnsi="黑体" w:eastAsia="黑体" w:cs="黑体"/>
          <w:b w:val="0"/>
          <w:bCs w:val="0"/>
          <w:color w:val="auto"/>
          <w:kern w:val="0"/>
          <w:sz w:val="24"/>
          <w:szCs w:val="24"/>
          <w:highlight w:val="none"/>
        </w:rPr>
        <w:t>本项目范围内的楼道、梯步、扶手公共区域地面梯级洁净、无垃圾;楼梯扶手护栏干净，无灰尘;各梯间、场馆、通道壁面及玻璃、天花板无蜘蛛网、灰尘。</w:t>
      </w:r>
      <w:bookmarkEnd w:id="84"/>
      <w:r>
        <w:rPr>
          <w:rFonts w:hint="eastAsia" w:ascii="黑体" w:hAnsi="黑体" w:eastAsia="黑体" w:cs="黑体"/>
          <w:b w:val="0"/>
          <w:bCs w:val="0"/>
          <w:color w:val="auto"/>
          <w:kern w:val="0"/>
          <w:sz w:val="24"/>
          <w:szCs w:val="24"/>
          <w:highlight w:val="none"/>
        </w:rPr>
        <w:t xml:space="preserve"> </w:t>
      </w:r>
    </w:p>
    <w:p w14:paraId="4D65A6D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85" w:name="_Toc11967"/>
      <w:r>
        <w:rPr>
          <w:rFonts w:hint="eastAsia" w:ascii="黑体" w:hAnsi="黑体" w:eastAsia="黑体" w:cs="黑体"/>
          <w:b w:val="0"/>
          <w:bCs w:val="0"/>
          <w:color w:val="auto"/>
          <w:kern w:val="0"/>
          <w:sz w:val="24"/>
          <w:szCs w:val="24"/>
          <w:highlight w:val="none"/>
          <w:lang w:val="en-US" w:eastAsia="zh-CN" w:bidi="ar-SA"/>
        </w:rPr>
        <w:t>2、</w:t>
      </w:r>
      <w:r>
        <w:rPr>
          <w:rFonts w:hint="eastAsia" w:ascii="黑体" w:hAnsi="黑体" w:eastAsia="黑体" w:cs="黑体"/>
          <w:b w:val="0"/>
          <w:bCs w:val="0"/>
          <w:color w:val="auto"/>
          <w:kern w:val="0"/>
          <w:sz w:val="24"/>
          <w:szCs w:val="24"/>
          <w:highlight w:val="none"/>
        </w:rPr>
        <w:t>项目范围内的清洁卫生、日常保洁，确保地面见本色，无污渍、无烟蒂、无痰迹、无垃圾、无落叶；楼栋区域的其他部位，如墙面、垃圾桶、栏杆等保持光亮整洁，做到无污渍、无痰渍、无积灰；天花板、吊顶无蛛丝。楼层通道、消防通道干净、无灰尘、无白色垃圾、无烟头、无蜘蛛网；花台、绿化带、运动场，做到无果皮纸屑、无烟头痰迹、无杂物、无死角、无树挂、线挂垃圾。</w:t>
      </w:r>
      <w:bookmarkEnd w:id="85"/>
    </w:p>
    <w:p w14:paraId="4811FFD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bidi="ar-SA"/>
        </w:rPr>
      </w:pPr>
      <w:bookmarkStart w:id="86" w:name="_Toc9174"/>
      <w:r>
        <w:rPr>
          <w:rFonts w:hint="eastAsia" w:ascii="黑体" w:hAnsi="黑体" w:eastAsia="黑体" w:cs="黑体"/>
          <w:b w:val="0"/>
          <w:bCs w:val="0"/>
          <w:color w:val="auto"/>
          <w:kern w:val="0"/>
          <w:sz w:val="24"/>
          <w:szCs w:val="24"/>
          <w:highlight w:val="none"/>
          <w:lang w:val="en-US" w:eastAsia="zh-CN" w:bidi="ar-SA"/>
        </w:rPr>
        <w:t>3、学校所有室外公共区域：室外运动场、校园道路、建筑墙面、室外停车场、操场、标识、垃圾站、绿化区等。</w:t>
      </w:r>
      <w:bookmarkEnd w:id="86"/>
    </w:p>
    <w:p w14:paraId="7F058AD0">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87" w:name="_Toc625"/>
      <w:r>
        <w:rPr>
          <w:rFonts w:hint="eastAsia" w:ascii="黑体" w:hAnsi="黑体" w:eastAsia="黑体" w:cs="黑体"/>
          <w:b w:val="0"/>
          <w:bCs w:val="0"/>
          <w:color w:val="auto"/>
          <w:kern w:val="0"/>
          <w:sz w:val="24"/>
          <w:szCs w:val="24"/>
          <w:highlight w:val="none"/>
          <w:lang w:val="en-US" w:eastAsia="zh-CN"/>
        </w:rPr>
        <w:t>4、学校所有室内区域：教室、办公室、会议室、大厅、过道、楼梯间及扶手（含转角处窗户及扶手、墙体台面）、卫生间、体育馆、室内停车场等。</w:t>
      </w:r>
      <w:bookmarkEnd w:id="87"/>
    </w:p>
    <w:p w14:paraId="0906911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88" w:name="_Toc6832"/>
      <w:r>
        <w:rPr>
          <w:rFonts w:hint="eastAsia" w:ascii="黑体" w:hAnsi="黑体" w:eastAsia="黑体" w:cs="黑体"/>
          <w:b w:val="0"/>
          <w:bCs w:val="0"/>
          <w:color w:val="auto"/>
          <w:kern w:val="0"/>
          <w:sz w:val="24"/>
          <w:szCs w:val="24"/>
          <w:highlight w:val="none"/>
          <w:lang w:val="en-US" w:eastAsia="zh-CN"/>
        </w:rPr>
        <w:t>5、</w:t>
      </w:r>
      <w:r>
        <w:rPr>
          <w:rFonts w:hint="eastAsia" w:ascii="黑体" w:hAnsi="黑体" w:eastAsia="黑体" w:cs="黑体"/>
          <w:b w:val="0"/>
          <w:bCs w:val="0"/>
          <w:color w:val="auto"/>
          <w:kern w:val="0"/>
          <w:sz w:val="24"/>
          <w:szCs w:val="24"/>
          <w:highlight w:val="none"/>
        </w:rPr>
        <w:t>校园内各建筑物周围场坝、散水、明（暗）沟及等结构设施。</w:t>
      </w:r>
      <w:bookmarkEnd w:id="88"/>
    </w:p>
    <w:p w14:paraId="49230BB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89" w:name="_Toc11441"/>
      <w:r>
        <w:rPr>
          <w:rFonts w:hint="eastAsia" w:ascii="黑体" w:hAnsi="黑体" w:eastAsia="黑体" w:cs="黑体"/>
          <w:b w:val="0"/>
          <w:bCs w:val="0"/>
          <w:color w:val="auto"/>
          <w:kern w:val="0"/>
          <w:sz w:val="24"/>
          <w:szCs w:val="24"/>
          <w:highlight w:val="none"/>
          <w:lang w:val="en-US" w:eastAsia="zh-CN"/>
        </w:rPr>
        <w:t>6、</w:t>
      </w:r>
      <w:r>
        <w:rPr>
          <w:rFonts w:hint="eastAsia" w:ascii="黑体" w:hAnsi="黑体" w:eastAsia="黑体" w:cs="黑体"/>
          <w:b w:val="0"/>
          <w:bCs w:val="0"/>
          <w:color w:val="auto"/>
          <w:kern w:val="0"/>
          <w:sz w:val="24"/>
          <w:szCs w:val="24"/>
          <w:highlight w:val="none"/>
        </w:rPr>
        <w:t>校园内各公共设施设备：垃圾（桶）箱、路灯、休闲座椅、公示栏、标识标牌等。</w:t>
      </w:r>
      <w:bookmarkEnd w:id="89"/>
    </w:p>
    <w:p w14:paraId="7A07437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0" w:name="_Toc16806"/>
      <w:r>
        <w:rPr>
          <w:rFonts w:hint="eastAsia" w:ascii="黑体" w:hAnsi="黑体" w:eastAsia="黑体" w:cs="黑体"/>
          <w:b w:val="0"/>
          <w:bCs w:val="0"/>
          <w:color w:val="auto"/>
          <w:kern w:val="0"/>
          <w:sz w:val="24"/>
          <w:szCs w:val="24"/>
          <w:highlight w:val="none"/>
          <w:lang w:val="en-US" w:eastAsia="zh-CN"/>
        </w:rPr>
        <w:t>7、</w:t>
      </w:r>
      <w:r>
        <w:rPr>
          <w:rFonts w:hint="eastAsia" w:ascii="黑体" w:hAnsi="黑体" w:eastAsia="黑体" w:cs="黑体"/>
          <w:b w:val="0"/>
          <w:bCs w:val="0"/>
          <w:color w:val="auto"/>
          <w:kern w:val="0"/>
          <w:sz w:val="24"/>
          <w:szCs w:val="24"/>
          <w:highlight w:val="none"/>
        </w:rPr>
        <w:t>校园内所有玻璃的定期（每期开学前）清洁，包含公共区域（廊道、楼梯间等）、学生教室、教师办公室、功能室、门房等。</w:t>
      </w:r>
      <w:bookmarkEnd w:id="90"/>
    </w:p>
    <w:p w14:paraId="7109042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1" w:name="_Toc20556"/>
      <w:r>
        <w:rPr>
          <w:rFonts w:hint="eastAsia" w:ascii="黑体" w:hAnsi="黑体" w:eastAsia="黑体" w:cs="黑体"/>
          <w:b w:val="0"/>
          <w:bCs w:val="0"/>
          <w:color w:val="auto"/>
          <w:kern w:val="0"/>
          <w:sz w:val="24"/>
          <w:szCs w:val="24"/>
          <w:highlight w:val="none"/>
          <w:lang w:val="en-US" w:eastAsia="zh-CN"/>
        </w:rPr>
        <w:t>8、</w:t>
      </w:r>
      <w:r>
        <w:rPr>
          <w:rFonts w:hint="eastAsia" w:ascii="黑体" w:hAnsi="黑体" w:eastAsia="黑体" w:cs="黑体"/>
          <w:b w:val="0"/>
          <w:bCs w:val="0"/>
          <w:color w:val="auto"/>
          <w:kern w:val="0"/>
          <w:sz w:val="24"/>
          <w:szCs w:val="24"/>
          <w:highlight w:val="none"/>
        </w:rPr>
        <w:t>校大门、人行道、主通道、停车场每学期冲洗不少于1次，做到路沿石立面、边角基本无泥迹，人行道无积水积泥和油渍、无积水，目视100米内无杂物（包括纸屑杂物）</w:t>
      </w:r>
      <w:bookmarkEnd w:id="91"/>
    </w:p>
    <w:p w14:paraId="70B0BBB0">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2" w:name="_Toc28792"/>
      <w:r>
        <w:rPr>
          <w:rFonts w:hint="eastAsia" w:ascii="黑体" w:hAnsi="黑体" w:eastAsia="黑体" w:cs="黑体"/>
          <w:b w:val="0"/>
          <w:bCs w:val="0"/>
          <w:color w:val="auto"/>
          <w:kern w:val="0"/>
          <w:sz w:val="24"/>
          <w:szCs w:val="24"/>
          <w:highlight w:val="none"/>
          <w:lang w:val="en-US" w:eastAsia="zh-CN"/>
        </w:rPr>
        <w:t>9</w:t>
      </w:r>
      <w:r>
        <w:rPr>
          <w:rFonts w:hint="eastAsia" w:ascii="黑体" w:hAnsi="黑体" w:eastAsia="黑体" w:cs="黑体"/>
          <w:b w:val="0"/>
          <w:bCs w:val="0"/>
          <w:color w:val="auto"/>
          <w:kern w:val="0"/>
          <w:sz w:val="24"/>
          <w:szCs w:val="24"/>
          <w:highlight w:val="none"/>
        </w:rPr>
        <w:t>、楼内空气保持清洁、畅通。夏季按要求对校园必要部位喷洒杀虫剂，保障安全。办公楼办公区域做到无蝇、无蚊、无虫，达到消杀效果。如遇流行性传染疾病，按要求进行环境消毒。</w:t>
      </w:r>
      <w:bookmarkEnd w:id="92"/>
    </w:p>
    <w:p w14:paraId="2285554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3" w:name="_Toc19846"/>
      <w:r>
        <w:rPr>
          <w:rFonts w:hint="eastAsia" w:ascii="黑体" w:hAnsi="黑体" w:eastAsia="黑体" w:cs="黑体"/>
          <w:b w:val="0"/>
          <w:bCs w:val="0"/>
          <w:color w:val="auto"/>
          <w:kern w:val="0"/>
          <w:sz w:val="24"/>
          <w:szCs w:val="24"/>
          <w:highlight w:val="none"/>
          <w:lang w:val="en-US" w:eastAsia="zh-CN"/>
        </w:rPr>
        <w:t>10</w:t>
      </w:r>
      <w:r>
        <w:rPr>
          <w:rFonts w:hint="eastAsia" w:ascii="黑体" w:hAnsi="黑体" w:eastAsia="黑体" w:cs="黑体"/>
          <w:b w:val="0"/>
          <w:bCs w:val="0"/>
          <w:color w:val="auto"/>
          <w:kern w:val="0"/>
          <w:sz w:val="24"/>
          <w:szCs w:val="24"/>
          <w:highlight w:val="none"/>
        </w:rPr>
        <w:t>、楼梯台阶的拖洗保养，扶手、保持工作区域清洁。</w:t>
      </w:r>
      <w:bookmarkEnd w:id="93"/>
    </w:p>
    <w:p w14:paraId="71A3853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94" w:name="_Toc22490"/>
      <w:r>
        <w:rPr>
          <w:rFonts w:hint="eastAsia" w:ascii="黑体" w:hAnsi="黑体" w:eastAsia="黑体" w:cs="黑体"/>
          <w:b w:val="0"/>
          <w:bCs w:val="0"/>
          <w:color w:val="auto"/>
          <w:kern w:val="0"/>
          <w:sz w:val="24"/>
          <w:szCs w:val="24"/>
          <w:highlight w:val="none"/>
          <w:lang w:val="en-US" w:eastAsia="zh-CN"/>
        </w:rPr>
        <w:t>11</w:t>
      </w:r>
      <w:r>
        <w:rPr>
          <w:rFonts w:hint="eastAsia" w:ascii="黑体" w:hAnsi="黑体" w:eastAsia="黑体" w:cs="黑体"/>
          <w:b w:val="0"/>
          <w:bCs w:val="0"/>
          <w:color w:val="auto"/>
          <w:kern w:val="0"/>
          <w:sz w:val="24"/>
          <w:szCs w:val="24"/>
          <w:highlight w:val="none"/>
        </w:rPr>
        <w:t>、垃圾箱的清洁管理。每天对校内每个垃圾箱体至少进行一次垃圾袋更换，对每个垃圾桶做到随时倾倒，不能满溢；保证垃圾存放容器周围干净，无堆积物，无污渍，无痰迹，无尘土；垃圾桶毎周至少清洗一次（脏随时清洗），丟失损坏要及时告知管理人员进行维修、更换；每次垃圾桶倾倒垃圾后要放垃圾袋；按学校要求做好垃圾分类工作，负责相应资料的收集、组卷，接受相关部门的检查并合格。</w:t>
      </w:r>
      <w:bookmarkEnd w:id="94"/>
      <w:r>
        <w:rPr>
          <w:rFonts w:hint="eastAsia" w:ascii="黑体" w:hAnsi="黑体" w:eastAsia="黑体" w:cs="黑体"/>
          <w:b w:val="0"/>
          <w:bCs w:val="0"/>
          <w:color w:val="auto"/>
          <w:kern w:val="0"/>
          <w:sz w:val="24"/>
          <w:szCs w:val="24"/>
          <w:highlight w:val="none"/>
        </w:rPr>
        <w:t xml:space="preserve"> </w:t>
      </w:r>
      <w:r>
        <w:rPr>
          <w:rFonts w:hint="eastAsia" w:ascii="黑体" w:hAnsi="黑体" w:eastAsia="黑体" w:cs="黑体"/>
          <w:b w:val="0"/>
          <w:bCs w:val="0"/>
          <w:color w:val="auto"/>
          <w:kern w:val="0"/>
          <w:sz w:val="24"/>
          <w:szCs w:val="24"/>
          <w:highlight w:val="none"/>
          <w:lang w:val="en-US" w:eastAsia="zh-CN"/>
        </w:rPr>
        <w:t xml:space="preserve"> </w:t>
      </w:r>
    </w:p>
    <w:p w14:paraId="5E3359E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95" w:name="_Toc1492"/>
      <w:r>
        <w:rPr>
          <w:rFonts w:hint="eastAsia" w:ascii="黑体" w:hAnsi="黑体" w:eastAsia="黑体" w:cs="黑体"/>
          <w:b w:val="0"/>
          <w:bCs w:val="0"/>
          <w:color w:val="auto"/>
          <w:kern w:val="0"/>
          <w:sz w:val="24"/>
          <w:szCs w:val="24"/>
          <w:highlight w:val="none"/>
          <w:lang w:val="en-US" w:eastAsia="zh-CN"/>
        </w:rPr>
        <w:t>12、负责将区域内生活垃圾（不含建筑装修垃圾、食堂餐饮垃圾）清运到学校内指定垃圾中转站，在垃圾清运过程中，严禁在校园内除垃圾中转站以外的任何地方分检。清运过程中严禁产生二次污染，如有发生，及时进行清理。</w:t>
      </w:r>
      <w:bookmarkEnd w:id="95"/>
    </w:p>
    <w:p w14:paraId="1E5EB508">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6" w:name="_Toc16562"/>
      <w:r>
        <w:rPr>
          <w:rFonts w:hint="eastAsia" w:ascii="黑体" w:hAnsi="黑体" w:eastAsia="黑体" w:cs="黑体"/>
          <w:b w:val="0"/>
          <w:bCs w:val="0"/>
          <w:color w:val="auto"/>
          <w:kern w:val="0"/>
          <w:sz w:val="24"/>
          <w:szCs w:val="24"/>
          <w:highlight w:val="none"/>
          <w:lang w:val="en-US" w:eastAsia="zh-CN"/>
        </w:rPr>
        <w:t>13</w:t>
      </w:r>
      <w:r>
        <w:rPr>
          <w:rFonts w:hint="eastAsia" w:ascii="黑体" w:hAnsi="黑体" w:eastAsia="黑体" w:cs="黑体"/>
          <w:b w:val="0"/>
          <w:bCs w:val="0"/>
          <w:color w:val="auto"/>
          <w:kern w:val="0"/>
          <w:sz w:val="24"/>
          <w:szCs w:val="24"/>
          <w:highlight w:val="none"/>
        </w:rPr>
        <w:t>、校园所属的边坡护坎。做到及时清除所有边坡的生活垃圾、树枝落叶、建筑装修垃圾丟弃物等，确保边坡干净整洁，无卫生死角。</w:t>
      </w:r>
      <w:bookmarkEnd w:id="96"/>
      <w:r>
        <w:rPr>
          <w:rFonts w:hint="eastAsia" w:ascii="黑体" w:hAnsi="黑体" w:eastAsia="黑体" w:cs="黑体"/>
          <w:b w:val="0"/>
          <w:bCs w:val="0"/>
          <w:color w:val="auto"/>
          <w:kern w:val="0"/>
          <w:sz w:val="24"/>
          <w:szCs w:val="24"/>
          <w:highlight w:val="none"/>
        </w:rPr>
        <w:t xml:space="preserve"> </w:t>
      </w:r>
    </w:p>
    <w:p w14:paraId="4F4B2BE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97" w:name="_Toc32423"/>
      <w:r>
        <w:rPr>
          <w:rFonts w:hint="eastAsia" w:ascii="黑体" w:hAnsi="黑体" w:eastAsia="黑体" w:cs="黑体"/>
          <w:b w:val="0"/>
          <w:bCs w:val="0"/>
          <w:color w:val="auto"/>
          <w:kern w:val="0"/>
          <w:sz w:val="24"/>
          <w:szCs w:val="24"/>
          <w:highlight w:val="none"/>
          <w:lang w:val="en-US" w:eastAsia="zh-CN"/>
        </w:rPr>
        <w:t>14</w:t>
      </w:r>
      <w:r>
        <w:rPr>
          <w:rFonts w:hint="eastAsia" w:ascii="黑体" w:hAnsi="黑体" w:eastAsia="黑体" w:cs="黑体"/>
          <w:b w:val="0"/>
          <w:bCs w:val="0"/>
          <w:color w:val="auto"/>
          <w:kern w:val="0"/>
          <w:sz w:val="24"/>
          <w:szCs w:val="24"/>
          <w:highlight w:val="none"/>
        </w:rPr>
        <w:t>、公共洗手间地面干净光亮、无异味、无积水、无污渍、无杂物；墙面瓷片、门、窗无明显灰尘，便器无污渍；天花、灯具目视无明显灰尘；玻璃、镜面光亮、无灰尘、无水迹、无手印。</w:t>
      </w:r>
      <w:bookmarkEnd w:id="97"/>
    </w:p>
    <w:p w14:paraId="54351E49">
      <w:pPr>
        <w:pStyle w:val="3"/>
        <w:ind w:firstLine="480" w:firstLineChars="200"/>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 xml:space="preserve">  </w:t>
      </w:r>
      <w:bookmarkStart w:id="98" w:name="_Toc582"/>
      <w:r>
        <w:rPr>
          <w:rFonts w:hint="eastAsia" w:ascii="黑体" w:hAnsi="黑体" w:cs="黑体"/>
          <w:b w:val="0"/>
          <w:bCs w:val="0"/>
          <w:color w:val="auto"/>
          <w:kern w:val="0"/>
          <w:sz w:val="24"/>
          <w:szCs w:val="24"/>
          <w:highlight w:val="none"/>
          <w:lang w:val="en-US" w:eastAsia="zh-CN"/>
        </w:rPr>
        <w:t>15</w:t>
      </w:r>
      <w:r>
        <w:rPr>
          <w:rFonts w:hint="eastAsia" w:ascii="黑体" w:hAnsi="黑体" w:eastAsia="黑体" w:cs="黑体"/>
          <w:b w:val="0"/>
          <w:bCs w:val="0"/>
          <w:color w:val="auto"/>
          <w:kern w:val="0"/>
          <w:sz w:val="24"/>
          <w:szCs w:val="24"/>
          <w:highlight w:val="none"/>
        </w:rPr>
        <w:t>、绿化带、雨水排水沟等内无明显积水，无杂物。</w:t>
      </w:r>
      <w:bookmarkEnd w:id="98"/>
    </w:p>
    <w:p w14:paraId="2B3502E1">
      <w:pPr>
        <w:pStyle w:val="3"/>
        <w:ind w:firstLine="480" w:firstLineChars="200"/>
        <w:rPr>
          <w:rFonts w:hint="eastAsia" w:ascii="黑体" w:hAnsi="黑体" w:eastAsia="黑体" w:cs="黑体"/>
          <w:b w:val="0"/>
          <w:bCs w:val="0"/>
          <w:color w:val="auto"/>
          <w:kern w:val="0"/>
          <w:sz w:val="24"/>
          <w:szCs w:val="24"/>
          <w:highlight w:val="none"/>
          <w:lang w:eastAsia="zh-CN"/>
        </w:rPr>
      </w:pPr>
      <w:r>
        <w:rPr>
          <w:rFonts w:hint="eastAsia" w:ascii="黑体" w:hAnsi="黑体" w:eastAsia="黑体" w:cs="黑体"/>
          <w:b w:val="0"/>
          <w:bCs w:val="0"/>
          <w:color w:val="auto"/>
          <w:kern w:val="0"/>
          <w:sz w:val="24"/>
          <w:szCs w:val="24"/>
          <w:highlight w:val="none"/>
        </w:rPr>
        <w:t xml:space="preserve">  </w:t>
      </w:r>
      <w:bookmarkStart w:id="99" w:name="_Toc25439"/>
      <w:r>
        <w:rPr>
          <w:rFonts w:hint="eastAsia" w:ascii="黑体" w:hAnsi="黑体" w:eastAsia="黑体" w:cs="黑体"/>
          <w:b w:val="0"/>
          <w:bCs w:val="0"/>
          <w:color w:val="auto"/>
          <w:kern w:val="0"/>
          <w:sz w:val="24"/>
          <w:szCs w:val="24"/>
          <w:highlight w:val="none"/>
          <w:lang w:val="en-US" w:eastAsia="zh-CN"/>
        </w:rPr>
        <w:t>1</w:t>
      </w:r>
      <w:r>
        <w:rPr>
          <w:rFonts w:hint="eastAsia" w:ascii="黑体" w:hAnsi="黑体" w:cs="黑体"/>
          <w:b w:val="0"/>
          <w:bCs w:val="0"/>
          <w:color w:val="auto"/>
          <w:kern w:val="0"/>
          <w:sz w:val="24"/>
          <w:szCs w:val="24"/>
          <w:highlight w:val="none"/>
          <w:lang w:val="en-US" w:eastAsia="zh-CN"/>
        </w:rPr>
        <w:t>6</w:t>
      </w:r>
      <w:r>
        <w:rPr>
          <w:rFonts w:hint="eastAsia" w:ascii="黑体" w:hAnsi="黑体" w:eastAsia="黑体" w:cs="黑体"/>
          <w:b w:val="0"/>
          <w:bCs w:val="0"/>
          <w:color w:val="auto"/>
          <w:kern w:val="0"/>
          <w:sz w:val="24"/>
          <w:szCs w:val="24"/>
          <w:highlight w:val="none"/>
        </w:rPr>
        <w:t>、</w:t>
      </w:r>
      <w:r>
        <w:rPr>
          <w:rFonts w:hint="eastAsia" w:ascii="黑体" w:hAnsi="黑体" w:cs="黑体"/>
          <w:b w:val="0"/>
          <w:bCs w:val="0"/>
          <w:color w:val="auto"/>
          <w:kern w:val="0"/>
          <w:sz w:val="24"/>
          <w:szCs w:val="24"/>
          <w:highlight w:val="none"/>
          <w:lang w:val="en-US" w:eastAsia="zh-CN"/>
        </w:rPr>
        <w:t>按采购人要求完成</w:t>
      </w:r>
      <w:r>
        <w:rPr>
          <w:rFonts w:hint="eastAsia" w:ascii="黑体" w:hAnsi="黑体" w:eastAsia="黑体" w:cs="黑体"/>
          <w:b w:val="0"/>
          <w:bCs w:val="0"/>
          <w:color w:val="auto"/>
          <w:kern w:val="0"/>
          <w:sz w:val="24"/>
          <w:szCs w:val="24"/>
          <w:highlight w:val="none"/>
        </w:rPr>
        <w:t>课桌桌椅搬动</w:t>
      </w:r>
      <w:r>
        <w:rPr>
          <w:rFonts w:hint="eastAsia" w:ascii="黑体" w:hAnsi="黑体" w:cs="黑体"/>
          <w:b w:val="0"/>
          <w:bCs w:val="0"/>
          <w:color w:val="auto"/>
          <w:kern w:val="0"/>
          <w:sz w:val="24"/>
          <w:szCs w:val="24"/>
          <w:highlight w:val="none"/>
          <w:lang w:eastAsia="zh-CN"/>
        </w:rPr>
        <w:t>。</w:t>
      </w:r>
      <w:bookmarkEnd w:id="99"/>
    </w:p>
    <w:p w14:paraId="49A94BC3">
      <w:pPr>
        <w:pStyle w:val="3"/>
        <w:ind w:firstLine="720" w:firstLineChars="300"/>
        <w:rPr>
          <w:rFonts w:hint="eastAsia" w:ascii="黑体" w:hAnsi="黑体" w:eastAsia="黑体" w:cs="黑体"/>
          <w:b w:val="0"/>
          <w:bCs w:val="0"/>
          <w:color w:val="auto"/>
          <w:kern w:val="0"/>
          <w:sz w:val="24"/>
          <w:szCs w:val="24"/>
          <w:highlight w:val="none"/>
        </w:rPr>
      </w:pPr>
      <w:bookmarkStart w:id="100" w:name="_Toc20198"/>
      <w:r>
        <w:rPr>
          <w:rFonts w:hint="eastAsia" w:ascii="黑体" w:hAnsi="黑体" w:cs="黑体"/>
          <w:b w:val="0"/>
          <w:bCs w:val="0"/>
          <w:color w:val="auto"/>
          <w:kern w:val="0"/>
          <w:sz w:val="24"/>
          <w:szCs w:val="24"/>
          <w:highlight w:val="none"/>
          <w:lang w:val="en-US" w:eastAsia="zh-CN"/>
        </w:rPr>
        <w:t>17、</w:t>
      </w:r>
      <w:r>
        <w:rPr>
          <w:rFonts w:hint="eastAsia" w:ascii="黑体" w:hAnsi="黑体" w:eastAsia="黑体" w:cs="黑体"/>
          <w:b w:val="0"/>
          <w:bCs w:val="0"/>
          <w:color w:val="auto"/>
          <w:kern w:val="0"/>
          <w:sz w:val="24"/>
          <w:szCs w:val="24"/>
          <w:highlight w:val="none"/>
        </w:rPr>
        <w:t>完成上级工作要求的相关任务。接受相关部门的检查并合格。</w:t>
      </w:r>
      <w:bookmarkEnd w:id="100"/>
    </w:p>
    <w:p w14:paraId="6EA738BF">
      <w:pPr>
        <w:pStyle w:val="3"/>
        <w:ind w:firstLine="480" w:firstLineChars="200"/>
        <w:rPr>
          <w:rFonts w:hint="eastAsia" w:ascii="黑体" w:hAnsi="黑体" w:cs="黑体"/>
          <w:b w:val="0"/>
          <w:bCs w:val="0"/>
          <w:color w:val="auto"/>
          <w:kern w:val="0"/>
          <w:sz w:val="24"/>
          <w:szCs w:val="24"/>
          <w:highlight w:val="none"/>
          <w:lang w:val="en-US" w:eastAsia="zh-CN"/>
        </w:rPr>
      </w:pPr>
      <w:bookmarkStart w:id="101" w:name="_Toc10189"/>
      <w:r>
        <w:rPr>
          <w:rFonts w:hint="eastAsia" w:ascii="黑体" w:hAnsi="黑体" w:cs="黑体"/>
          <w:b w:val="0"/>
          <w:bCs w:val="0"/>
          <w:color w:val="auto"/>
          <w:kern w:val="0"/>
          <w:sz w:val="24"/>
          <w:szCs w:val="24"/>
          <w:highlight w:val="none"/>
          <w:lang w:eastAsia="zh-CN"/>
        </w:rPr>
        <w:t>（</w:t>
      </w:r>
      <w:r>
        <w:rPr>
          <w:rFonts w:hint="eastAsia" w:ascii="黑体" w:hAnsi="黑体" w:cs="黑体"/>
          <w:b w:val="0"/>
          <w:bCs w:val="0"/>
          <w:color w:val="auto"/>
          <w:kern w:val="0"/>
          <w:sz w:val="24"/>
          <w:szCs w:val="24"/>
          <w:highlight w:val="none"/>
          <w:lang w:val="en-US" w:eastAsia="zh-CN"/>
        </w:rPr>
        <w:t>二</w:t>
      </w:r>
      <w:r>
        <w:rPr>
          <w:rFonts w:hint="eastAsia" w:ascii="黑体" w:hAnsi="黑体" w:cs="黑体"/>
          <w:b w:val="0"/>
          <w:bCs w:val="0"/>
          <w:color w:val="auto"/>
          <w:kern w:val="0"/>
          <w:sz w:val="24"/>
          <w:szCs w:val="24"/>
          <w:highlight w:val="none"/>
          <w:lang w:eastAsia="zh-CN"/>
        </w:rPr>
        <w:t>）</w:t>
      </w:r>
      <w:r>
        <w:rPr>
          <w:rFonts w:hint="eastAsia" w:ascii="黑体" w:hAnsi="黑体" w:cs="黑体"/>
          <w:b w:val="0"/>
          <w:bCs w:val="0"/>
          <w:color w:val="auto"/>
          <w:kern w:val="0"/>
          <w:sz w:val="24"/>
          <w:szCs w:val="24"/>
          <w:highlight w:val="none"/>
          <w:lang w:val="en-US" w:eastAsia="zh-CN"/>
        </w:rPr>
        <w:t>保洁方式及频次</w:t>
      </w:r>
      <w:bookmarkEnd w:id="101"/>
    </w:p>
    <w:tbl>
      <w:tblPr>
        <w:tblStyle w:val="22"/>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23"/>
        <w:gridCol w:w="1785"/>
        <w:gridCol w:w="3921"/>
      </w:tblGrid>
      <w:tr w14:paraId="50E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697B296">
            <w:pPr>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02837B0">
            <w:pPr>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项    目</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F0A3EE9">
            <w:pPr>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保洁方式</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6E64002A">
            <w:pPr>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保洁频次</w:t>
            </w:r>
          </w:p>
        </w:tc>
      </w:tr>
      <w:tr w14:paraId="075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63D7F56">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B8B5C6A">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地面</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69B8D3A">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清扫、尘推、点拖</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5E122348">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每天清扫2次</w:t>
            </w:r>
          </w:p>
          <w:p w14:paraId="69DE72AD">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每天拖地1次</w:t>
            </w:r>
          </w:p>
          <w:p w14:paraId="766D260A">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随时保持干净整洁</w:t>
            </w:r>
          </w:p>
        </w:tc>
      </w:tr>
      <w:tr w14:paraId="189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56296EB">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D8F36A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墙面</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4907421">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54C6F6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每月1次</w:t>
            </w:r>
            <w:r>
              <w:rPr>
                <w:rFonts w:hint="eastAsia" w:ascii="黑体" w:hAnsi="黑体" w:eastAsia="黑体" w:cs="黑体"/>
                <w:color w:val="auto"/>
                <w:sz w:val="24"/>
                <w:szCs w:val="24"/>
                <w:highlight w:val="none"/>
                <w:lang w:val="en-US" w:eastAsia="zh-CN"/>
              </w:rPr>
              <w:t xml:space="preserve"> ，随时保持干净整洁</w:t>
            </w:r>
          </w:p>
        </w:tc>
      </w:tr>
      <w:tr w14:paraId="6184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B69EB81">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9190353">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桌椅、沙发</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A7BED29">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12506CE4">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随时保持干净整洁</w:t>
            </w:r>
          </w:p>
        </w:tc>
      </w:tr>
      <w:tr w14:paraId="672C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9A5F92F">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B73FFE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家具、电器设施</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EC9A7E9">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261CF60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每日1次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4480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63EE14CC">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w:t>
            </w:r>
          </w:p>
        </w:tc>
        <w:tc>
          <w:tcPr>
            <w:tcW w:w="2223" w:type="dxa"/>
            <w:vMerge w:val="restart"/>
            <w:tcBorders>
              <w:top w:val="single" w:color="auto" w:sz="4" w:space="0"/>
              <w:left w:val="single" w:color="auto" w:sz="4" w:space="0"/>
              <w:right w:val="single" w:color="auto" w:sz="4" w:space="0"/>
            </w:tcBorders>
            <w:noWrap w:val="0"/>
            <w:vAlign w:val="center"/>
          </w:tcPr>
          <w:p w14:paraId="6B9D64C6">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各类指示牌</w:t>
            </w:r>
          </w:p>
          <w:p w14:paraId="6176A70C">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通风口、天花顶</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C156305">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5910EFD0">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r>
              <w:rPr>
                <w:rFonts w:hint="eastAsia" w:ascii="黑体" w:hAnsi="黑体" w:eastAsia="黑体" w:cs="黑体"/>
                <w:color w:val="auto"/>
                <w:sz w:val="24"/>
                <w:szCs w:val="24"/>
                <w:highlight w:val="none"/>
                <w:lang w:eastAsia="zh-CN"/>
              </w:rPr>
              <w:t>，</w:t>
            </w:r>
          </w:p>
        </w:tc>
      </w:tr>
      <w:tr w14:paraId="10ED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5F502FFA">
            <w:pPr>
              <w:adjustRightInd w:val="0"/>
              <w:snapToGrid w:val="0"/>
              <w:spacing w:line="400" w:lineRule="exact"/>
              <w:jc w:val="center"/>
              <w:rPr>
                <w:rFonts w:hint="eastAsia" w:ascii="黑体" w:hAnsi="黑体" w:eastAsia="黑体" w:cs="黑体"/>
                <w:color w:val="auto"/>
                <w:sz w:val="24"/>
                <w:szCs w:val="24"/>
                <w:highlight w:val="none"/>
              </w:rPr>
            </w:pPr>
          </w:p>
        </w:tc>
        <w:tc>
          <w:tcPr>
            <w:tcW w:w="2223" w:type="dxa"/>
            <w:vMerge w:val="continue"/>
            <w:tcBorders>
              <w:left w:val="single" w:color="auto" w:sz="4" w:space="0"/>
              <w:bottom w:val="single" w:color="auto" w:sz="4" w:space="0"/>
              <w:right w:val="single" w:color="auto" w:sz="4" w:space="0"/>
            </w:tcBorders>
            <w:noWrap w:val="0"/>
            <w:vAlign w:val="center"/>
          </w:tcPr>
          <w:p w14:paraId="2B1DCE7C">
            <w:pPr>
              <w:adjustRightInd w:val="0"/>
              <w:snapToGrid w:val="0"/>
              <w:spacing w:line="400" w:lineRule="exact"/>
              <w:rPr>
                <w:rFonts w:hint="eastAsia" w:ascii="黑体" w:hAnsi="黑体" w:eastAsia="黑体" w:cs="黑体"/>
                <w:color w:val="auto"/>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F001C28">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打蜘蛛网</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62DA3B05">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每月1次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5397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37849A8">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D4C2A06">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门岗</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8C40363">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6E91E2D3">
            <w:pPr>
              <w:adjustRightInd w:val="0"/>
              <w:snapToGrid w:val="0"/>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每两周1次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4F8E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E5D5ADF">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187828F1">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门窗(窗框、窗台、门把手)</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C567A76">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790104D3">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57B8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CD1605E">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F6B3FF7">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大厅及门窗玻璃</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CC7C119">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5007625F">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每月1次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4CF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F074325">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9</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403C7B1">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楼内管道</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438082E">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除尘</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4C36D041">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每月1次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2A5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B568C4F">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10</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B6D8A3B">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大厅防滑及防滑垫</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5B57B4E">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抹净，拖干或机器风吹</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691ED59">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根据需要随时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466E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1828E35">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11</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2633FAA0">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物品整理</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FABB423">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清理</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77D54F85">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每日1次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3397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D9D4D3B">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12</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046E615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护栏、通道扶手</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49A4D5">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619FDC04">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1FD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2650B24">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13</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0CF1BBF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室外设施</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E3E9C53">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A4619DD">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3EC4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EDE924">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14</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9151BFA">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开放天台</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08883A4">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清扫</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D3C6F65">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1CB8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7A3C170">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15</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7B946B3">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踢脚线</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290D672">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35E0B28">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每月2次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145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B683E04">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16</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CBDA6F4">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指示牌、悬挂牌</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96175D2">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擦拭</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3668A2B1">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341B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4A36D50">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17</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08393894">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消防器材</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F8950BB">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2D835063">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0B40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4AD71DED">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18</w:t>
            </w:r>
          </w:p>
        </w:tc>
        <w:tc>
          <w:tcPr>
            <w:tcW w:w="2223" w:type="dxa"/>
            <w:vMerge w:val="restart"/>
            <w:tcBorders>
              <w:top w:val="single" w:color="auto" w:sz="4" w:space="0"/>
              <w:left w:val="single" w:color="auto" w:sz="4" w:space="0"/>
              <w:right w:val="single" w:color="auto" w:sz="4" w:space="0"/>
            </w:tcBorders>
            <w:noWrap w:val="0"/>
            <w:vAlign w:val="center"/>
          </w:tcPr>
          <w:p w14:paraId="6FC22DB1">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垃圾桶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果皮箱</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77D45B0">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清收</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1FEB8F62">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kern w:val="2"/>
                <w:sz w:val="24"/>
                <w:szCs w:val="24"/>
                <w:highlight w:val="none"/>
                <w:lang w:val="en-US" w:eastAsia="zh-CN" w:bidi="ar-SA"/>
              </w:rPr>
              <w:t>每天1次，</w:t>
            </w:r>
            <w:r>
              <w:rPr>
                <w:rFonts w:hint="eastAsia" w:ascii="黑体" w:hAnsi="黑体" w:eastAsia="黑体" w:cs="黑体"/>
                <w:color w:val="auto"/>
                <w:sz w:val="24"/>
                <w:szCs w:val="24"/>
                <w:highlight w:val="none"/>
                <w:lang w:val="en-US" w:eastAsia="zh-CN"/>
              </w:rPr>
              <w:t>随时保持干净整洁</w:t>
            </w:r>
          </w:p>
        </w:tc>
      </w:tr>
      <w:tr w14:paraId="649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2EC7AE7D">
            <w:pPr>
              <w:adjustRightInd w:val="0"/>
              <w:snapToGrid w:val="0"/>
              <w:spacing w:line="400" w:lineRule="exact"/>
              <w:jc w:val="center"/>
              <w:rPr>
                <w:rFonts w:hint="eastAsia" w:ascii="黑体" w:hAnsi="黑体" w:eastAsia="黑体" w:cs="黑体"/>
                <w:color w:val="auto"/>
                <w:sz w:val="24"/>
                <w:szCs w:val="24"/>
                <w:highlight w:val="none"/>
              </w:rPr>
            </w:pPr>
          </w:p>
        </w:tc>
        <w:tc>
          <w:tcPr>
            <w:tcW w:w="2223" w:type="dxa"/>
            <w:vMerge w:val="continue"/>
            <w:tcBorders>
              <w:left w:val="single" w:color="auto" w:sz="4" w:space="0"/>
              <w:bottom w:val="single" w:color="auto" w:sz="4" w:space="0"/>
              <w:right w:val="single" w:color="auto" w:sz="4" w:space="0"/>
            </w:tcBorders>
            <w:noWrap w:val="0"/>
            <w:vAlign w:val="center"/>
          </w:tcPr>
          <w:p w14:paraId="354E374C">
            <w:pPr>
              <w:adjustRightInd w:val="0"/>
              <w:snapToGrid w:val="0"/>
              <w:spacing w:line="400" w:lineRule="exact"/>
              <w:rPr>
                <w:rFonts w:hint="eastAsia" w:ascii="黑体" w:hAnsi="黑体" w:eastAsia="黑体" w:cs="黑体"/>
                <w:color w:val="auto"/>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94AA671">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AAB1B3D">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每周1次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1B3C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F4DF049">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19</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F0704A5">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各类张贴物</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57727D5">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清除</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7084E1EB">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小广告及时清除</w:t>
            </w:r>
          </w:p>
        </w:tc>
      </w:tr>
      <w:tr w14:paraId="4D2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FD576D2">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20</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E554C81">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电梯</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D36F6AC">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清扫</w:t>
            </w:r>
          </w:p>
          <w:p w14:paraId="587B4B57">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352D35DD">
            <w:pPr>
              <w:adjustRightInd w:val="0"/>
              <w:snapToGrid w:val="0"/>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每日不低于1次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55C4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9F846C4">
            <w:pPr>
              <w:adjustRightInd w:val="0"/>
              <w:snapToGrid w:val="0"/>
              <w:spacing w:line="4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21</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4242DF7">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电器开关</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DADC9DA">
            <w:pPr>
              <w:adjustRightInd w:val="0"/>
              <w:snapToGrid w:val="0"/>
              <w:spacing w:line="4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0E2EBE9B">
            <w:pPr>
              <w:adjustRightInd w:val="0"/>
              <w:snapToGrid w:val="0"/>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至少</w:t>
            </w:r>
            <w:r>
              <w:rPr>
                <w:rFonts w:hint="eastAsia" w:ascii="黑体" w:hAnsi="黑体" w:eastAsia="黑体" w:cs="黑体"/>
                <w:color w:val="auto"/>
                <w:sz w:val="24"/>
                <w:szCs w:val="24"/>
                <w:highlight w:val="none"/>
              </w:rPr>
              <w:t>每</w:t>
            </w:r>
            <w:r>
              <w:rPr>
                <w:rFonts w:hint="eastAsia" w:ascii="黑体" w:hAnsi="黑体" w:eastAsia="黑体" w:cs="黑体"/>
                <w:color w:val="auto"/>
                <w:sz w:val="24"/>
                <w:szCs w:val="24"/>
                <w:highlight w:val="none"/>
                <w:lang w:val="en-US" w:eastAsia="zh-CN"/>
              </w:rPr>
              <w:t>周</w:t>
            </w:r>
            <w:r>
              <w:rPr>
                <w:rFonts w:hint="eastAsia" w:ascii="黑体" w:hAnsi="黑体" w:eastAsia="黑体" w:cs="黑体"/>
                <w:color w:val="auto"/>
                <w:sz w:val="24"/>
                <w:szCs w:val="24"/>
                <w:highlight w:val="none"/>
              </w:rPr>
              <w:t>1次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随时保持干净整洁</w:t>
            </w:r>
          </w:p>
        </w:tc>
      </w:tr>
      <w:tr w14:paraId="4D5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A0F7E5B">
            <w:pPr>
              <w:adjustRightInd w:val="0"/>
              <w:snapToGrid w:val="0"/>
              <w:spacing w:line="400" w:lineRule="exact"/>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22</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10925EB5">
            <w:pPr>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卫生间清洁</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B2D3B46">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清扫</w:t>
            </w:r>
          </w:p>
          <w:p w14:paraId="41F64357">
            <w:pPr>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抹净</w:t>
            </w:r>
          </w:p>
        </w:tc>
        <w:tc>
          <w:tcPr>
            <w:tcW w:w="3921" w:type="dxa"/>
            <w:tcBorders>
              <w:top w:val="single" w:color="auto" w:sz="4" w:space="0"/>
              <w:left w:val="single" w:color="auto" w:sz="4" w:space="0"/>
              <w:bottom w:val="single" w:color="auto" w:sz="4" w:space="0"/>
              <w:right w:val="single" w:color="auto" w:sz="4" w:space="0"/>
            </w:tcBorders>
            <w:noWrap w:val="0"/>
            <w:vAlign w:val="center"/>
          </w:tcPr>
          <w:p w14:paraId="3A6948CF">
            <w:pPr>
              <w:adjustRightInd w:val="0"/>
              <w:snapToGrid w:val="0"/>
              <w:spacing w:line="40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随时保持卫生间清洁无异味、无污渍，定期检查并及时补充清洁用品。</w:t>
            </w:r>
          </w:p>
        </w:tc>
      </w:tr>
    </w:tbl>
    <w:p w14:paraId="512C769E">
      <w:pPr>
        <w:pStyle w:val="8"/>
        <w:numPr>
          <w:ilvl w:val="0"/>
          <w:numId w:val="0"/>
        </w:numPr>
        <w:spacing w:after="120" w:line="440" w:lineRule="exact"/>
        <w:ind w:right="-470" w:rightChars="-168"/>
        <w:jc w:val="left"/>
        <w:outlineLvl w:val="1"/>
        <w:rPr>
          <w:rFonts w:hint="eastAsia" w:ascii="黑体" w:hAnsi="黑体" w:eastAsia="黑体" w:cs="黑体"/>
          <w:b/>
          <w:bCs/>
          <w:color w:val="auto"/>
          <w:kern w:val="0"/>
          <w:sz w:val="24"/>
          <w:szCs w:val="24"/>
          <w:highlight w:val="none"/>
          <w:lang w:val="en-US" w:eastAsia="zh-CN"/>
        </w:rPr>
      </w:pPr>
      <w:bookmarkStart w:id="102" w:name="_Toc13012"/>
      <w:r>
        <w:rPr>
          <w:rFonts w:hint="eastAsia" w:ascii="黑体" w:hAnsi="黑体" w:eastAsia="黑体" w:cs="黑体"/>
          <w:b/>
          <w:bCs/>
          <w:color w:val="auto"/>
          <w:kern w:val="0"/>
          <w:sz w:val="24"/>
          <w:szCs w:val="24"/>
          <w:lang w:val="en-US" w:eastAsia="zh-CN" w:bidi="ar-SA"/>
        </w:rPr>
        <w:t>三、</w:t>
      </w:r>
      <w:r>
        <w:rPr>
          <w:rFonts w:hint="eastAsia" w:ascii="黑体" w:hAnsi="黑体" w:eastAsia="黑体" w:cs="黑体"/>
          <w:b/>
          <w:bCs/>
          <w:color w:val="auto"/>
          <w:kern w:val="0"/>
          <w:sz w:val="24"/>
          <w:szCs w:val="24"/>
          <w:highlight w:val="none"/>
          <w:lang w:val="en-US" w:eastAsia="zh-CN"/>
        </w:rPr>
        <w:t>绿化服务</w:t>
      </w:r>
      <w:bookmarkEnd w:id="102"/>
    </w:p>
    <w:p w14:paraId="64D7346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val="0"/>
          <w:color w:val="auto"/>
          <w:kern w:val="0"/>
          <w:sz w:val="24"/>
          <w:szCs w:val="24"/>
          <w:highlight w:val="none"/>
          <w:lang w:val="en-US" w:eastAsia="zh-CN"/>
        </w:rPr>
      </w:pPr>
      <w:bookmarkStart w:id="103" w:name="_Toc22525"/>
      <w:r>
        <w:rPr>
          <w:rFonts w:hint="eastAsia" w:ascii="黑体" w:hAnsi="黑体" w:eastAsia="黑体" w:cs="黑体"/>
          <w:b w:val="0"/>
          <w:bCs w:val="0"/>
          <w:color w:val="auto"/>
          <w:kern w:val="0"/>
          <w:sz w:val="24"/>
          <w:szCs w:val="24"/>
          <w:highlight w:val="none"/>
          <w:lang w:eastAsia="zh-CN"/>
        </w:rPr>
        <w:t>（</w:t>
      </w:r>
      <w:r>
        <w:rPr>
          <w:rFonts w:hint="eastAsia" w:ascii="黑体" w:hAnsi="黑体" w:eastAsia="黑体" w:cs="黑体"/>
          <w:b w:val="0"/>
          <w:bCs w:val="0"/>
          <w:color w:val="auto"/>
          <w:kern w:val="0"/>
          <w:sz w:val="24"/>
          <w:szCs w:val="24"/>
          <w:highlight w:val="none"/>
          <w:lang w:val="en-US" w:eastAsia="zh-CN"/>
        </w:rPr>
        <w:t>一</w:t>
      </w:r>
      <w:r>
        <w:rPr>
          <w:rFonts w:hint="eastAsia" w:ascii="黑体" w:hAnsi="黑体" w:eastAsia="黑体" w:cs="黑体"/>
          <w:b w:val="0"/>
          <w:bCs w:val="0"/>
          <w:color w:val="auto"/>
          <w:kern w:val="0"/>
          <w:sz w:val="24"/>
          <w:szCs w:val="24"/>
          <w:highlight w:val="none"/>
          <w:lang w:eastAsia="zh-CN"/>
        </w:rPr>
        <w:t>）</w:t>
      </w:r>
      <w:r>
        <w:rPr>
          <w:rFonts w:hint="eastAsia" w:ascii="黑体" w:hAnsi="黑体" w:eastAsia="黑体" w:cs="黑体"/>
          <w:b w:val="0"/>
          <w:bCs w:val="0"/>
          <w:color w:val="auto"/>
          <w:kern w:val="0"/>
          <w:sz w:val="24"/>
          <w:szCs w:val="24"/>
          <w:highlight w:val="none"/>
          <w:lang w:val="en-US" w:eastAsia="zh-CN"/>
        </w:rPr>
        <w:t>服务标准及要求</w:t>
      </w:r>
      <w:bookmarkEnd w:id="103"/>
    </w:p>
    <w:p w14:paraId="027D707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104" w:name="_Toc16246"/>
      <w:r>
        <w:rPr>
          <w:rFonts w:hint="eastAsia" w:ascii="黑体" w:hAnsi="黑体" w:eastAsia="黑体" w:cs="黑体"/>
          <w:b w:val="0"/>
          <w:bCs w:val="0"/>
          <w:color w:val="auto"/>
          <w:kern w:val="0"/>
          <w:sz w:val="24"/>
          <w:szCs w:val="24"/>
          <w:highlight w:val="none"/>
        </w:rPr>
        <w:t>1、对校区范围内的绿化用地、设施等进行有效管理、维护和保养，保持学校清新宜人的生态环境，并做到：树灌木完整，长势茂盛，无枯枝死杈，无病虫害，树林无钉枪捆绑；绿篱、绿地、人行道树下无杂草、杂物，无堆物料。</w:t>
      </w:r>
      <w:bookmarkEnd w:id="104"/>
    </w:p>
    <w:p w14:paraId="41EBDEB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105" w:name="_Toc18206"/>
      <w:r>
        <w:rPr>
          <w:rFonts w:hint="eastAsia" w:ascii="黑体" w:hAnsi="黑体" w:eastAsia="黑体" w:cs="黑体"/>
          <w:b w:val="0"/>
          <w:bCs w:val="0"/>
          <w:color w:val="auto"/>
          <w:kern w:val="0"/>
          <w:sz w:val="24"/>
          <w:szCs w:val="24"/>
          <w:highlight w:val="none"/>
        </w:rPr>
        <w:t>2、校园植物修建造型应符合学校要求。</w:t>
      </w:r>
      <w:r>
        <w:rPr>
          <w:rFonts w:hint="eastAsia" w:ascii="黑体" w:hAnsi="黑体" w:eastAsia="黑体" w:cs="黑体"/>
          <w:b w:val="0"/>
          <w:bCs w:val="0"/>
          <w:color w:val="auto"/>
          <w:kern w:val="0"/>
          <w:sz w:val="24"/>
          <w:szCs w:val="24"/>
          <w:highlight w:val="none"/>
          <w:lang w:val="en-US" w:eastAsia="zh-CN"/>
        </w:rPr>
        <w:t>保证</w:t>
      </w:r>
      <w:r>
        <w:rPr>
          <w:rFonts w:hint="eastAsia" w:ascii="黑体" w:hAnsi="黑体" w:eastAsia="黑体" w:cs="黑体"/>
          <w:b w:val="0"/>
          <w:bCs w:val="0"/>
          <w:color w:val="auto"/>
          <w:kern w:val="0"/>
          <w:sz w:val="24"/>
          <w:szCs w:val="24"/>
          <w:highlight w:val="none"/>
        </w:rPr>
        <w:t>花草树木生长正常，修剪及时，叶面干净，具有光泽，无积尘，无枯枝败叶，无病虫害，无杂草；盆器及托盘完好干净，托盘无积土。</w:t>
      </w:r>
      <w:bookmarkEnd w:id="105"/>
    </w:p>
    <w:p w14:paraId="70BB7AD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06" w:name="_Toc27931"/>
      <w:r>
        <w:rPr>
          <w:rFonts w:hint="eastAsia" w:ascii="黑体" w:hAnsi="黑体" w:eastAsia="黑体" w:cs="黑体"/>
          <w:b w:val="0"/>
          <w:bCs w:val="0"/>
          <w:color w:val="auto"/>
          <w:kern w:val="0"/>
          <w:sz w:val="24"/>
          <w:szCs w:val="24"/>
          <w:highlight w:val="none"/>
          <w:lang w:val="en-US" w:eastAsia="zh-CN"/>
        </w:rPr>
        <w:t>3、花坛内各种植物存活率90％。绿地设施及硬质景观完好无损。植物群落完整，层次丰富，黄土不外露，有整体的观赏效果。植物季相分明，生长茂盛。</w:t>
      </w:r>
      <w:bookmarkEnd w:id="106"/>
    </w:p>
    <w:p w14:paraId="009E83B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val="0"/>
          <w:color w:val="auto"/>
          <w:kern w:val="0"/>
          <w:sz w:val="24"/>
          <w:szCs w:val="24"/>
          <w:highlight w:val="none"/>
          <w:lang w:val="en-US" w:eastAsia="zh-CN"/>
        </w:rPr>
      </w:pPr>
      <w:bookmarkStart w:id="107" w:name="_Toc7864"/>
      <w:r>
        <w:rPr>
          <w:rFonts w:hint="eastAsia" w:ascii="黑体" w:hAnsi="黑体" w:eastAsia="黑体" w:cs="黑体"/>
          <w:b w:val="0"/>
          <w:bCs w:val="0"/>
          <w:color w:val="auto"/>
          <w:kern w:val="0"/>
          <w:sz w:val="24"/>
          <w:szCs w:val="24"/>
          <w:highlight w:val="none"/>
          <w:lang w:val="en-US" w:eastAsia="zh-CN"/>
        </w:rPr>
        <w:t>4、草坪保持平整，修剪后高度不超8厘米，草屑及时清理。</w:t>
      </w:r>
      <w:bookmarkEnd w:id="107"/>
    </w:p>
    <w:p w14:paraId="78B6CE4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08" w:name="_Toc20436"/>
      <w:r>
        <w:rPr>
          <w:rFonts w:hint="eastAsia" w:ascii="黑体" w:hAnsi="黑体" w:eastAsia="黑体" w:cs="黑体"/>
          <w:b w:val="0"/>
          <w:bCs w:val="0"/>
          <w:color w:val="auto"/>
          <w:kern w:val="0"/>
          <w:sz w:val="24"/>
          <w:szCs w:val="24"/>
          <w:highlight w:val="none"/>
          <w:lang w:val="en-US" w:eastAsia="zh-CN"/>
        </w:rPr>
        <w:t>5、绿地内立视应无明显杂草、枯叶，土壤疏松通透；植物枝叶无虫害咬口、排泄物、无悬挂或依附在植物上的虫茧、休眠虫体及越冬虫蛹；绿地内无垃圾，乔木无树挂；绿地无破坏、践踏及随意占用现象。</w:t>
      </w:r>
      <w:bookmarkEnd w:id="108"/>
    </w:p>
    <w:p w14:paraId="389F5708">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val="0"/>
          <w:color w:val="auto"/>
          <w:kern w:val="0"/>
          <w:sz w:val="24"/>
          <w:szCs w:val="24"/>
          <w:highlight w:val="none"/>
          <w:lang w:val="en-US" w:eastAsia="zh-CN"/>
        </w:rPr>
      </w:pPr>
      <w:bookmarkStart w:id="109" w:name="_Toc6297"/>
      <w:r>
        <w:rPr>
          <w:rFonts w:hint="eastAsia" w:ascii="黑体" w:hAnsi="黑体" w:eastAsia="黑体" w:cs="黑体"/>
          <w:b w:val="0"/>
          <w:bCs w:val="0"/>
          <w:color w:val="auto"/>
          <w:kern w:val="0"/>
          <w:sz w:val="24"/>
          <w:szCs w:val="24"/>
          <w:highlight w:val="none"/>
          <w:lang w:val="en-US" w:eastAsia="zh-CN"/>
        </w:rPr>
        <w:t>6、室内时花、苗木、盆栽及室内摆花等应按时浇水养护，清理、擦拭，保证其鲜亮、造型美观、无枯枝败叶。</w:t>
      </w:r>
      <w:bookmarkEnd w:id="109"/>
    </w:p>
    <w:p w14:paraId="4027452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0" w:name="_Toc24627"/>
      <w:r>
        <w:rPr>
          <w:rFonts w:hint="eastAsia" w:ascii="黑体" w:hAnsi="黑体" w:eastAsia="黑体" w:cs="黑体"/>
          <w:b w:val="0"/>
          <w:bCs w:val="0"/>
          <w:color w:val="auto"/>
          <w:kern w:val="0"/>
          <w:sz w:val="24"/>
          <w:szCs w:val="24"/>
          <w:highlight w:val="none"/>
          <w:lang w:val="en-US" w:eastAsia="zh-CN"/>
        </w:rPr>
        <w:t>7、认真按园林维护质量标准履行合同，遵守采购人的各项规章制度。</w:t>
      </w:r>
      <w:bookmarkEnd w:id="110"/>
    </w:p>
    <w:p w14:paraId="7D157DB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1" w:name="_Toc16666"/>
      <w:r>
        <w:rPr>
          <w:rFonts w:hint="eastAsia" w:ascii="黑体" w:hAnsi="黑体" w:eastAsia="黑体" w:cs="黑体"/>
          <w:b w:val="0"/>
          <w:bCs w:val="0"/>
          <w:color w:val="auto"/>
          <w:kern w:val="0"/>
          <w:sz w:val="24"/>
          <w:szCs w:val="24"/>
          <w:highlight w:val="none"/>
          <w:lang w:val="en-US" w:eastAsia="zh-CN"/>
        </w:rPr>
        <w:t>8、管护区域内的植物如出现因管理维护原因导致苗木枯萎、死亡和损坏，应按同等规格和数量进行补栽种，采购人不承担任何费用。</w:t>
      </w:r>
      <w:bookmarkEnd w:id="111"/>
    </w:p>
    <w:p w14:paraId="753AE51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2" w:name="_Toc24305"/>
      <w:r>
        <w:rPr>
          <w:rFonts w:hint="eastAsia" w:ascii="黑体" w:hAnsi="黑体" w:eastAsia="黑体" w:cs="黑体"/>
          <w:b w:val="0"/>
          <w:bCs w:val="0"/>
          <w:color w:val="auto"/>
          <w:kern w:val="0"/>
          <w:sz w:val="24"/>
          <w:szCs w:val="24"/>
          <w:highlight w:val="none"/>
          <w:lang w:val="en-US" w:eastAsia="zh-CN"/>
        </w:rPr>
        <w:t>9、负责绿地的清洁卫生，园林维护所产生的垃圾及时运输到校内垃圾场，对修剪的植物残枝必须在24时内清运到本校的垃圾场，绿地内严禁堆放与园林绿化无关的物品。</w:t>
      </w:r>
      <w:bookmarkEnd w:id="112"/>
    </w:p>
    <w:p w14:paraId="032FA10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3" w:name="_Toc19635"/>
      <w:r>
        <w:rPr>
          <w:rFonts w:hint="eastAsia" w:ascii="黑体" w:hAnsi="黑体" w:eastAsia="黑体" w:cs="黑体"/>
          <w:b w:val="0"/>
          <w:bCs w:val="0"/>
          <w:color w:val="auto"/>
          <w:kern w:val="0"/>
          <w:sz w:val="24"/>
          <w:szCs w:val="24"/>
          <w:highlight w:val="none"/>
          <w:lang w:val="en-US" w:eastAsia="zh-CN"/>
        </w:rPr>
        <w:t>10、提供绿化维护所需工具、药品。</w:t>
      </w:r>
      <w:bookmarkEnd w:id="113"/>
    </w:p>
    <w:p w14:paraId="06F9CFA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4" w:name="_Toc21191"/>
      <w:r>
        <w:rPr>
          <w:rFonts w:hint="eastAsia" w:ascii="黑体" w:hAnsi="黑体" w:eastAsia="黑体" w:cs="黑体"/>
          <w:b w:val="0"/>
          <w:bCs w:val="0"/>
          <w:color w:val="auto"/>
          <w:kern w:val="0"/>
          <w:sz w:val="24"/>
          <w:szCs w:val="24"/>
          <w:highlight w:val="none"/>
          <w:lang w:val="en-US" w:eastAsia="zh-CN"/>
        </w:rPr>
        <w:t>11、定期对校内进行防虫防害打药，主要区域植物无病虫害现象，其它区域正常防治。</w:t>
      </w:r>
      <w:bookmarkEnd w:id="114"/>
    </w:p>
    <w:p w14:paraId="1F450CB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5" w:name="_Toc8944"/>
      <w:r>
        <w:rPr>
          <w:rFonts w:hint="eastAsia" w:ascii="黑体" w:hAnsi="黑体" w:eastAsia="黑体" w:cs="黑体"/>
          <w:b w:val="0"/>
          <w:bCs w:val="0"/>
          <w:color w:val="auto"/>
          <w:kern w:val="0"/>
          <w:sz w:val="24"/>
          <w:szCs w:val="24"/>
          <w:highlight w:val="none"/>
          <w:lang w:val="en-US" w:eastAsia="zh-CN"/>
        </w:rPr>
        <w:t>12、定期清理绿化垃圾、修理断枝、适时巡查安全隐患等。</w:t>
      </w:r>
      <w:bookmarkEnd w:id="115"/>
    </w:p>
    <w:p w14:paraId="6AF6063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val="0"/>
          <w:color w:val="auto"/>
          <w:kern w:val="0"/>
          <w:sz w:val="24"/>
          <w:szCs w:val="24"/>
          <w:highlight w:val="none"/>
          <w:lang w:val="en-US" w:eastAsia="zh-CN"/>
        </w:rPr>
      </w:pPr>
      <w:bookmarkStart w:id="116" w:name="_Toc23033"/>
      <w:r>
        <w:rPr>
          <w:rFonts w:hint="eastAsia" w:ascii="黑体" w:hAnsi="黑体" w:eastAsia="黑体" w:cs="黑体"/>
          <w:b w:val="0"/>
          <w:bCs w:val="0"/>
          <w:color w:val="auto"/>
          <w:kern w:val="0"/>
          <w:sz w:val="24"/>
          <w:szCs w:val="24"/>
          <w:highlight w:val="none"/>
          <w:lang w:val="en-US" w:eastAsia="zh-CN"/>
        </w:rPr>
        <w:t>13、修剪、堆放的枯枝落叶等园林垃圾的清理、外运处置等。</w:t>
      </w:r>
      <w:bookmarkEnd w:id="116"/>
    </w:p>
    <w:p w14:paraId="3EDDB669">
      <w:pPr>
        <w:pStyle w:val="8"/>
        <w:numPr>
          <w:ilvl w:val="0"/>
          <w:numId w:val="0"/>
        </w:numPr>
        <w:spacing w:after="120" w:line="440" w:lineRule="exact"/>
        <w:ind w:right="-470" w:rightChars="-168"/>
        <w:jc w:val="left"/>
        <w:outlineLvl w:val="1"/>
        <w:rPr>
          <w:rFonts w:hint="default" w:ascii="黑体" w:hAnsi="黑体" w:eastAsia="黑体" w:cs="黑体"/>
          <w:b/>
          <w:bCs/>
          <w:color w:val="auto"/>
          <w:kern w:val="0"/>
          <w:sz w:val="24"/>
          <w:szCs w:val="24"/>
          <w:lang w:val="en-US" w:eastAsia="zh-CN" w:bidi="ar-SA"/>
        </w:rPr>
      </w:pPr>
      <w:bookmarkStart w:id="117" w:name="_Toc4674"/>
      <w:r>
        <w:rPr>
          <w:rFonts w:hint="eastAsia" w:ascii="黑体" w:hAnsi="黑体" w:eastAsia="黑体" w:cs="黑体"/>
          <w:b/>
          <w:bCs/>
          <w:color w:val="auto"/>
          <w:kern w:val="0"/>
          <w:sz w:val="24"/>
          <w:szCs w:val="24"/>
          <w:lang w:val="en-US" w:eastAsia="zh-CN" w:bidi="ar-SA"/>
        </w:rPr>
        <w:t>五、岗位人员设置及时间安排</w:t>
      </w:r>
      <w:bookmarkEnd w:id="117"/>
    </w:p>
    <w:p w14:paraId="7057A8D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（一）岗位人员设置</w:t>
      </w:r>
    </w:p>
    <w:p w14:paraId="1831BA2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1、保洁及绿化：不少于3人</w:t>
      </w:r>
    </w:p>
    <w:p w14:paraId="3DA79EA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2、用工人员男性不超过65岁，女性不超过60岁，无犯罪记录，身体健康。形象气质好，工作能力强。</w:t>
      </w:r>
    </w:p>
    <w:p w14:paraId="4089959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3、供应商应确保</w:t>
      </w:r>
      <w:r>
        <w:rPr>
          <w:rFonts w:hint="eastAsia" w:ascii="黑体" w:hAnsi="黑体" w:eastAsia="黑体" w:cs="黑体"/>
          <w:b w:val="0"/>
          <w:bCs w:val="0"/>
          <w:color w:val="auto"/>
          <w:kern w:val="0"/>
          <w:sz w:val="24"/>
          <w:szCs w:val="24"/>
          <w:highlight w:val="none"/>
          <w:lang w:val="zh-CN" w:eastAsia="zh-CN"/>
        </w:rPr>
        <w:t>人员稳定，人员如有变动须经</w:t>
      </w:r>
      <w:r>
        <w:rPr>
          <w:rFonts w:hint="eastAsia" w:ascii="黑体" w:hAnsi="黑体" w:eastAsia="黑体" w:cs="黑体"/>
          <w:b w:val="0"/>
          <w:bCs w:val="0"/>
          <w:color w:val="auto"/>
          <w:kern w:val="0"/>
          <w:sz w:val="24"/>
          <w:szCs w:val="24"/>
          <w:highlight w:val="none"/>
          <w:lang w:val="en-US" w:eastAsia="zh-CN"/>
        </w:rPr>
        <w:t>采购人</w:t>
      </w:r>
      <w:r>
        <w:rPr>
          <w:rFonts w:hint="eastAsia" w:ascii="黑体" w:hAnsi="黑体" w:eastAsia="黑体" w:cs="黑体"/>
          <w:b w:val="0"/>
          <w:bCs w:val="0"/>
          <w:color w:val="auto"/>
          <w:kern w:val="0"/>
          <w:sz w:val="24"/>
          <w:szCs w:val="24"/>
          <w:highlight w:val="none"/>
          <w:lang w:val="zh-CN" w:eastAsia="zh-CN"/>
        </w:rPr>
        <w:t>审核同意。</w:t>
      </w:r>
    </w:p>
    <w:p w14:paraId="77E847D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4.寒暑假轮休方案由成交供应商根据学校实际情况制订并经过学校相关职能部门同意后执行。</w:t>
      </w:r>
      <w:bookmarkStart w:id="366" w:name="_GoBack"/>
      <w:bookmarkEnd w:id="366"/>
    </w:p>
    <w:p w14:paraId="706F8EC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5.任务接待及应急处置：若有重要接待和检查，采购人有权安排一切工作事务，成交方必须无条件服从和支持，每次根据实际情况协调和调派相应人员及设备进行支援。</w:t>
      </w:r>
    </w:p>
    <w:p w14:paraId="33AA0B9F">
      <w:pPr>
        <w:rPr>
          <w:rFonts w:hint="eastAsia" w:eastAsia="黑体"/>
          <w:lang w:val="en-US" w:eastAsia="zh-CN"/>
        </w:rPr>
      </w:pPr>
    </w:p>
    <w:p w14:paraId="431E156F">
      <w:pPr>
        <w:pStyle w:val="3"/>
        <w:ind w:firstLine="480" w:firstLineChars="200"/>
        <w:rPr>
          <w:rFonts w:hint="eastAsia" w:ascii="黑体" w:hAnsi="黑体" w:eastAsia="黑体" w:cs="黑体"/>
          <w:b w:val="0"/>
          <w:bCs w:val="0"/>
          <w:color w:val="auto"/>
          <w:kern w:val="0"/>
          <w:sz w:val="24"/>
          <w:szCs w:val="24"/>
          <w:highlight w:val="none"/>
        </w:rPr>
      </w:pPr>
      <w:bookmarkStart w:id="118" w:name="_Toc26359"/>
      <w:r>
        <w:rPr>
          <w:rFonts w:hint="eastAsia" w:ascii="黑体" w:hAnsi="黑体" w:eastAsia="黑体" w:cs="黑体"/>
          <w:b w:val="0"/>
          <w:bCs w:val="0"/>
          <w:color w:val="auto"/>
          <w:kern w:val="0"/>
          <w:sz w:val="24"/>
          <w:szCs w:val="24"/>
          <w:highlight w:val="none"/>
          <w:lang w:eastAsia="zh-CN"/>
        </w:rPr>
        <w:t>（</w:t>
      </w:r>
      <w:r>
        <w:rPr>
          <w:rFonts w:hint="eastAsia" w:ascii="黑体" w:hAnsi="黑体" w:eastAsia="黑体" w:cs="黑体"/>
          <w:b w:val="0"/>
          <w:bCs w:val="0"/>
          <w:color w:val="auto"/>
          <w:kern w:val="0"/>
          <w:sz w:val="24"/>
          <w:szCs w:val="24"/>
          <w:highlight w:val="none"/>
          <w:lang w:val="en-US" w:eastAsia="zh-CN"/>
        </w:rPr>
        <w:t>四</w:t>
      </w:r>
      <w:r>
        <w:rPr>
          <w:rFonts w:hint="eastAsia" w:ascii="黑体" w:hAnsi="黑体" w:eastAsia="黑体" w:cs="黑体"/>
          <w:b w:val="0"/>
          <w:bCs w:val="0"/>
          <w:color w:val="auto"/>
          <w:kern w:val="0"/>
          <w:sz w:val="24"/>
          <w:szCs w:val="24"/>
          <w:highlight w:val="none"/>
          <w:lang w:eastAsia="zh-CN"/>
        </w:rPr>
        <w:t>）</w:t>
      </w:r>
      <w:r>
        <w:rPr>
          <w:rFonts w:hint="eastAsia" w:ascii="黑体" w:hAnsi="黑体" w:eastAsia="黑体" w:cs="黑体"/>
          <w:b w:val="0"/>
          <w:bCs w:val="0"/>
          <w:color w:val="auto"/>
          <w:kern w:val="0"/>
          <w:sz w:val="24"/>
          <w:szCs w:val="24"/>
          <w:highlight w:val="none"/>
        </w:rPr>
        <w:t>保洁</w:t>
      </w:r>
      <w:r>
        <w:rPr>
          <w:rFonts w:hint="eastAsia" w:ascii="黑体" w:hAnsi="黑体" w:cs="黑体"/>
          <w:b w:val="0"/>
          <w:bCs w:val="0"/>
          <w:color w:val="auto"/>
          <w:kern w:val="0"/>
          <w:sz w:val="24"/>
          <w:szCs w:val="24"/>
          <w:highlight w:val="none"/>
          <w:lang w:val="en-US" w:eastAsia="zh-CN"/>
        </w:rPr>
        <w:t>及绿化</w:t>
      </w:r>
      <w:r>
        <w:rPr>
          <w:rFonts w:hint="eastAsia" w:ascii="黑体" w:hAnsi="黑体" w:eastAsia="黑体" w:cs="黑体"/>
          <w:b w:val="0"/>
          <w:bCs w:val="0"/>
          <w:color w:val="auto"/>
          <w:kern w:val="0"/>
          <w:sz w:val="24"/>
          <w:szCs w:val="24"/>
          <w:highlight w:val="none"/>
        </w:rPr>
        <w:t>时间：学校上班时间(白天)</w:t>
      </w:r>
      <w:bookmarkEnd w:id="118"/>
    </w:p>
    <w:p w14:paraId="40B01C1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lang w:val="en-US" w:eastAsia="zh-CN"/>
        </w:rPr>
      </w:pPr>
      <w:bookmarkStart w:id="119" w:name="_Toc14454"/>
      <w:r>
        <w:rPr>
          <w:rFonts w:hint="eastAsia" w:ascii="黑体" w:hAnsi="黑体" w:eastAsia="黑体" w:cs="黑体"/>
          <w:b w:val="0"/>
          <w:bCs w:val="0"/>
          <w:color w:val="auto"/>
          <w:kern w:val="0"/>
          <w:sz w:val="24"/>
          <w:szCs w:val="24"/>
          <w:highlight w:val="none"/>
        </w:rPr>
        <w:t>1、</w:t>
      </w:r>
      <w:r>
        <w:rPr>
          <w:rFonts w:hint="eastAsia" w:ascii="黑体" w:hAnsi="黑体" w:eastAsia="黑体" w:cs="黑体"/>
          <w:b w:val="0"/>
          <w:bCs w:val="0"/>
          <w:color w:val="auto"/>
          <w:kern w:val="0"/>
          <w:sz w:val="24"/>
          <w:szCs w:val="24"/>
          <w:highlight w:val="none"/>
          <w:lang w:val="en-US" w:eastAsia="zh-CN"/>
        </w:rPr>
        <w:t>时间安排</w:t>
      </w:r>
      <w:r>
        <w:rPr>
          <w:rFonts w:hint="eastAsia" w:ascii="黑体" w:hAnsi="黑体" w:eastAsia="黑体" w:cs="黑体"/>
          <w:b w:val="0"/>
          <w:bCs w:val="0"/>
          <w:color w:val="auto"/>
          <w:kern w:val="0"/>
          <w:sz w:val="24"/>
          <w:szCs w:val="24"/>
          <w:highlight w:val="none"/>
        </w:rPr>
        <w:t>：早晨</w:t>
      </w:r>
      <w:r>
        <w:rPr>
          <w:rFonts w:hint="eastAsia" w:ascii="黑体" w:hAnsi="黑体" w:eastAsia="黑体" w:cs="黑体"/>
          <w:b w:val="0"/>
          <w:bCs w:val="0"/>
          <w:color w:val="auto"/>
          <w:kern w:val="0"/>
          <w:sz w:val="24"/>
          <w:szCs w:val="24"/>
          <w:highlight w:val="none"/>
          <w:lang w:val="en-US" w:eastAsia="zh-CN"/>
        </w:rPr>
        <w:t>7</w:t>
      </w:r>
      <w:r>
        <w:rPr>
          <w:rFonts w:hint="eastAsia" w:ascii="黑体" w:hAnsi="黑体" w:eastAsia="黑体" w:cs="黑体"/>
          <w:b w:val="0"/>
          <w:bCs w:val="0"/>
          <w:color w:val="auto"/>
          <w:kern w:val="0"/>
          <w:sz w:val="24"/>
          <w:szCs w:val="24"/>
          <w:highlight w:val="none"/>
        </w:rPr>
        <w:t>：</w:t>
      </w:r>
      <w:r>
        <w:rPr>
          <w:rFonts w:hint="eastAsia" w:ascii="黑体" w:hAnsi="黑体" w:eastAsia="黑体" w:cs="黑体"/>
          <w:b w:val="0"/>
          <w:bCs w:val="0"/>
          <w:color w:val="auto"/>
          <w:kern w:val="0"/>
          <w:sz w:val="24"/>
          <w:szCs w:val="24"/>
          <w:highlight w:val="none"/>
          <w:lang w:val="en-US" w:eastAsia="zh-CN"/>
        </w:rPr>
        <w:t>0</w:t>
      </w:r>
      <w:r>
        <w:rPr>
          <w:rFonts w:hint="eastAsia" w:ascii="黑体" w:hAnsi="黑体" w:eastAsia="黑体" w:cs="黑体"/>
          <w:b w:val="0"/>
          <w:bCs w:val="0"/>
          <w:color w:val="auto"/>
          <w:kern w:val="0"/>
          <w:sz w:val="24"/>
          <w:szCs w:val="24"/>
          <w:highlight w:val="none"/>
        </w:rPr>
        <w:t>0一12:00    下午13:30一</w:t>
      </w:r>
      <w:r>
        <w:rPr>
          <w:rFonts w:hint="eastAsia" w:ascii="黑体" w:hAnsi="黑体" w:eastAsia="黑体" w:cs="黑体"/>
          <w:b w:val="0"/>
          <w:bCs w:val="0"/>
          <w:color w:val="auto"/>
          <w:kern w:val="0"/>
          <w:sz w:val="24"/>
          <w:szCs w:val="24"/>
          <w:highlight w:val="none"/>
          <w:lang w:val="en-US" w:eastAsia="zh-CN"/>
        </w:rPr>
        <w:t>18</w:t>
      </w:r>
      <w:r>
        <w:rPr>
          <w:rFonts w:hint="eastAsia" w:ascii="黑体" w:hAnsi="黑体" w:eastAsia="黑体" w:cs="黑体"/>
          <w:b w:val="0"/>
          <w:bCs w:val="0"/>
          <w:color w:val="auto"/>
          <w:kern w:val="0"/>
          <w:sz w:val="24"/>
          <w:szCs w:val="24"/>
          <w:highlight w:val="none"/>
        </w:rPr>
        <w:t>:</w:t>
      </w:r>
      <w:r>
        <w:rPr>
          <w:rFonts w:hint="eastAsia" w:ascii="黑体" w:hAnsi="黑体" w:eastAsia="黑体" w:cs="黑体"/>
          <w:b w:val="0"/>
          <w:bCs w:val="0"/>
          <w:color w:val="auto"/>
          <w:kern w:val="0"/>
          <w:sz w:val="24"/>
          <w:szCs w:val="24"/>
          <w:highlight w:val="none"/>
          <w:lang w:val="en-US" w:eastAsia="zh-CN"/>
        </w:rPr>
        <w:t>00</w:t>
      </w:r>
      <w:bookmarkEnd w:id="119"/>
    </w:p>
    <w:p w14:paraId="1C7F3F08">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val="0"/>
          <w:color w:val="auto"/>
          <w:kern w:val="0"/>
          <w:sz w:val="24"/>
          <w:szCs w:val="24"/>
          <w:highlight w:val="none"/>
        </w:rPr>
      </w:pPr>
      <w:bookmarkStart w:id="120" w:name="_Toc16174"/>
      <w:r>
        <w:rPr>
          <w:rFonts w:hint="eastAsia" w:ascii="黑体" w:hAnsi="黑体" w:eastAsia="黑体" w:cs="黑体"/>
          <w:b w:val="0"/>
          <w:bCs w:val="0"/>
          <w:color w:val="auto"/>
          <w:kern w:val="0"/>
          <w:sz w:val="24"/>
          <w:szCs w:val="24"/>
          <w:highlight w:val="none"/>
        </w:rPr>
        <w:t>2、学校放假期间需安排人员值班。</w:t>
      </w:r>
      <w:bookmarkEnd w:id="120"/>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6DCD9D60">
      <w:pPr>
        <w:pStyle w:val="8"/>
        <w:numPr>
          <w:ilvl w:val="0"/>
          <w:numId w:val="0"/>
        </w:numPr>
        <w:spacing w:after="120" w:line="440" w:lineRule="exact"/>
        <w:ind w:right="-470" w:rightChars="-168"/>
        <w:jc w:val="left"/>
        <w:outlineLvl w:val="1"/>
        <w:rPr>
          <w:rFonts w:hint="eastAsia" w:ascii="黑体" w:hAnsi="黑体" w:eastAsia="黑体" w:cs="黑体"/>
          <w:b/>
          <w:bCs/>
          <w:color w:val="auto"/>
          <w:kern w:val="0"/>
          <w:sz w:val="24"/>
          <w:szCs w:val="24"/>
          <w:lang w:val="en-US" w:eastAsia="zh-CN" w:bidi="ar-SA"/>
        </w:rPr>
      </w:pPr>
      <w:bookmarkStart w:id="121" w:name="_Toc23831"/>
      <w:bookmarkStart w:id="122" w:name="_Toc16690"/>
      <w:bookmarkStart w:id="123" w:name="_Toc6068"/>
      <w:r>
        <w:rPr>
          <w:rFonts w:hint="eastAsia" w:ascii="黑体" w:hAnsi="黑体" w:eastAsia="黑体" w:cs="黑体"/>
          <w:b/>
          <w:bCs/>
          <w:color w:val="auto"/>
          <w:kern w:val="0"/>
          <w:sz w:val="24"/>
          <w:szCs w:val="24"/>
          <w:lang w:val="en-US" w:eastAsia="zh-CN" w:bidi="ar-SA"/>
        </w:rPr>
        <w:t>六、服务耗材</w:t>
      </w:r>
      <w:bookmarkEnd w:id="121"/>
    </w:p>
    <w:p w14:paraId="4107E89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color w:val="auto"/>
          <w:sz w:val="24"/>
          <w:szCs w:val="24"/>
          <w:highlight w:val="none"/>
          <w:lang w:val="zh-CN" w:eastAsia="zh-CN"/>
        </w:rPr>
      </w:pPr>
      <w:bookmarkStart w:id="124" w:name="_Toc16924"/>
      <w:r>
        <w:rPr>
          <w:rFonts w:hint="eastAsia" w:ascii="黑体" w:hAnsi="黑体" w:eastAsia="黑体" w:cs="黑体"/>
          <w:b w:val="0"/>
          <w:bCs/>
          <w:color w:val="auto"/>
          <w:sz w:val="24"/>
          <w:szCs w:val="24"/>
          <w:highlight w:val="none"/>
          <w:lang w:val="en-US" w:eastAsia="zh-CN"/>
        </w:rPr>
        <w:t>1、日常作业工具</w:t>
      </w:r>
      <w:r>
        <w:rPr>
          <w:rFonts w:hint="eastAsia" w:ascii="黑体" w:hAnsi="黑体" w:eastAsia="黑体" w:cs="黑体"/>
          <w:b w:val="0"/>
          <w:bCs/>
          <w:color w:val="auto"/>
          <w:sz w:val="24"/>
          <w:szCs w:val="24"/>
          <w:highlight w:val="none"/>
          <w:lang w:val="zh-CN" w:eastAsia="zh-CN"/>
        </w:rPr>
        <w:t>（包括但不限于）笤帚扫把、拖把、水管、尘推、芳香球、</w:t>
      </w:r>
      <w:r>
        <w:rPr>
          <w:rFonts w:hint="eastAsia" w:ascii="黑体" w:hAnsi="黑体" w:eastAsia="黑体" w:cs="黑体"/>
          <w:b w:val="0"/>
          <w:bCs/>
          <w:color w:val="auto"/>
          <w:sz w:val="24"/>
          <w:szCs w:val="24"/>
          <w:highlight w:val="none"/>
          <w:lang w:val="en-US" w:eastAsia="zh-CN"/>
        </w:rPr>
        <w:t>除草剂、园林剪刀、草坪修剪机</w:t>
      </w:r>
      <w:r>
        <w:rPr>
          <w:rFonts w:hint="eastAsia" w:ascii="黑体" w:hAnsi="黑体" w:eastAsia="黑体" w:cs="黑体"/>
          <w:b w:val="0"/>
          <w:bCs/>
          <w:color w:val="auto"/>
          <w:sz w:val="24"/>
          <w:szCs w:val="24"/>
          <w:highlight w:val="none"/>
          <w:lang w:val="zh-CN" w:eastAsia="zh-CN"/>
        </w:rPr>
        <w:t>等</w:t>
      </w:r>
      <w:r>
        <w:rPr>
          <w:rFonts w:hint="eastAsia" w:ascii="黑体" w:hAnsi="黑体" w:eastAsia="黑体" w:cs="黑体"/>
          <w:b w:val="0"/>
          <w:bCs/>
          <w:color w:val="auto"/>
          <w:sz w:val="24"/>
          <w:szCs w:val="24"/>
          <w:highlight w:val="none"/>
          <w:lang w:val="en-US" w:eastAsia="zh-CN"/>
        </w:rPr>
        <w:t>日常作业工具</w:t>
      </w:r>
      <w:r>
        <w:rPr>
          <w:rFonts w:hint="eastAsia" w:ascii="黑体" w:hAnsi="黑体" w:eastAsia="黑体" w:cs="黑体"/>
          <w:b w:val="0"/>
          <w:bCs/>
          <w:color w:val="auto"/>
          <w:sz w:val="24"/>
          <w:szCs w:val="24"/>
          <w:highlight w:val="none"/>
          <w:lang w:val="zh-CN" w:eastAsia="zh-CN"/>
        </w:rPr>
        <w:t>均由</w:t>
      </w:r>
      <w:r>
        <w:rPr>
          <w:rFonts w:hint="eastAsia" w:ascii="黑体" w:hAnsi="黑体" w:eastAsia="黑体" w:cs="黑体"/>
          <w:b w:val="0"/>
          <w:bCs/>
          <w:color w:val="auto"/>
          <w:sz w:val="24"/>
          <w:szCs w:val="24"/>
          <w:highlight w:val="none"/>
          <w:lang w:val="en-US" w:eastAsia="zh-CN"/>
        </w:rPr>
        <w:t>成交供应商自行</w:t>
      </w:r>
      <w:r>
        <w:rPr>
          <w:rFonts w:hint="eastAsia" w:ascii="黑体" w:hAnsi="黑体" w:eastAsia="黑体" w:cs="黑体"/>
          <w:b w:val="0"/>
          <w:bCs/>
          <w:color w:val="auto"/>
          <w:sz w:val="24"/>
          <w:szCs w:val="24"/>
          <w:highlight w:val="none"/>
          <w:lang w:val="zh-CN" w:eastAsia="zh-CN"/>
        </w:rPr>
        <w:t>提供。</w:t>
      </w:r>
      <w:bookmarkEnd w:id="124"/>
    </w:p>
    <w:p w14:paraId="657F6EA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default" w:ascii="黑体" w:hAnsi="黑体" w:eastAsia="黑体" w:cs="黑体"/>
          <w:b w:val="0"/>
          <w:bCs/>
          <w:color w:val="auto"/>
          <w:sz w:val="24"/>
          <w:szCs w:val="24"/>
          <w:highlight w:val="none"/>
          <w:lang w:val="en-US" w:eastAsia="zh-CN"/>
        </w:rPr>
      </w:pPr>
      <w:bookmarkStart w:id="125" w:name="_Toc6146"/>
      <w:r>
        <w:rPr>
          <w:rFonts w:hint="eastAsia" w:ascii="黑体" w:hAnsi="黑体" w:eastAsia="黑体" w:cs="黑体"/>
          <w:b w:val="0"/>
          <w:bCs/>
          <w:color w:val="auto"/>
          <w:sz w:val="24"/>
          <w:szCs w:val="24"/>
          <w:highlight w:val="none"/>
          <w:lang w:val="en-US" w:eastAsia="zh-CN"/>
        </w:rPr>
        <w:t>2、日常作业耗材</w:t>
      </w:r>
      <w:r>
        <w:rPr>
          <w:rFonts w:hint="eastAsia" w:ascii="黑体" w:hAnsi="黑体" w:eastAsia="黑体" w:cs="黑体"/>
          <w:b w:val="0"/>
          <w:bCs/>
          <w:color w:val="auto"/>
          <w:sz w:val="24"/>
          <w:szCs w:val="24"/>
          <w:highlight w:val="none"/>
          <w:lang w:val="zh-CN" w:eastAsia="zh-CN"/>
        </w:rPr>
        <w:t>（包括但不限于）垃圾袋、洁厕剂、清洁剂</w:t>
      </w:r>
      <w:r>
        <w:rPr>
          <w:rFonts w:hint="eastAsia" w:ascii="黑体" w:hAnsi="黑体" w:eastAsia="黑体" w:cs="黑体"/>
          <w:b w:val="0"/>
          <w:bCs/>
          <w:color w:val="auto"/>
          <w:sz w:val="24"/>
          <w:szCs w:val="24"/>
          <w:highlight w:val="none"/>
          <w:lang w:val="en-US" w:eastAsia="zh-CN"/>
        </w:rPr>
        <w:t>等日常作业耗材由采购人提供</w:t>
      </w:r>
      <w:bookmarkEnd w:id="125"/>
    </w:p>
    <w:p w14:paraId="6533FB7F">
      <w:pPr>
        <w:pStyle w:val="8"/>
        <w:numPr>
          <w:ilvl w:val="0"/>
          <w:numId w:val="0"/>
        </w:numPr>
        <w:spacing w:after="120" w:line="440" w:lineRule="exact"/>
        <w:ind w:right="-470" w:rightChars="-168"/>
        <w:jc w:val="left"/>
        <w:outlineLvl w:val="1"/>
        <w:rPr>
          <w:rFonts w:hint="eastAsia" w:ascii="黑体" w:hAnsi="黑体" w:eastAsia="黑体" w:cs="黑体"/>
          <w:b/>
          <w:bCs/>
          <w:color w:val="auto"/>
          <w:kern w:val="0"/>
          <w:sz w:val="24"/>
          <w:szCs w:val="24"/>
          <w:lang w:val="en-US" w:eastAsia="zh-CN" w:bidi="ar-SA"/>
        </w:rPr>
      </w:pPr>
      <w:bookmarkStart w:id="126" w:name="_Toc993"/>
      <w:r>
        <w:rPr>
          <w:rFonts w:hint="eastAsia" w:ascii="黑体" w:hAnsi="黑体" w:eastAsia="黑体" w:cs="黑体"/>
          <w:b/>
          <w:bCs/>
          <w:color w:val="auto"/>
          <w:kern w:val="0"/>
          <w:sz w:val="24"/>
          <w:szCs w:val="24"/>
          <w:lang w:val="en-US" w:eastAsia="zh-CN" w:bidi="ar-SA"/>
        </w:rPr>
        <w:t>七、现场踏勘</w:t>
      </w:r>
      <w:bookmarkEnd w:id="122"/>
      <w:bookmarkEnd w:id="123"/>
      <w:bookmarkEnd w:id="126"/>
      <w:bookmarkStart w:id="127" w:name="_Toc28065"/>
    </w:p>
    <w:p w14:paraId="4FED0E4E">
      <w:pPr>
        <w:pStyle w:val="8"/>
        <w:keepNext w:val="0"/>
        <w:keepLines w:val="0"/>
        <w:pageBreakBefore w:val="0"/>
        <w:widowControl w:val="0"/>
        <w:numPr>
          <w:ilvl w:val="0"/>
          <w:numId w:val="0"/>
        </w:numPr>
        <w:kinsoku/>
        <w:wordWrap/>
        <w:overflowPunct/>
        <w:topLinePunct w:val="0"/>
        <w:autoSpaceDE/>
        <w:autoSpaceDN/>
        <w:bidi w:val="0"/>
        <w:adjustRightInd/>
        <w:snapToGrid/>
        <w:spacing w:after="120" w:line="440" w:lineRule="exact"/>
        <w:ind w:left="238" w:leftChars="0" w:right="-470" w:rightChars="-168" w:firstLine="480" w:firstLineChars="200"/>
        <w:jc w:val="left"/>
        <w:textAlignment w:val="auto"/>
        <w:outlineLvl w:val="1"/>
        <w:rPr>
          <w:rFonts w:hint="eastAsia" w:ascii="黑体" w:hAnsi="黑体" w:eastAsia="黑体" w:cs="黑体"/>
          <w:b w:val="0"/>
          <w:bCs/>
          <w:color w:val="auto"/>
          <w:sz w:val="24"/>
          <w:szCs w:val="24"/>
          <w:highlight w:val="none"/>
          <w:lang w:val="en-US" w:eastAsia="zh-CN"/>
        </w:rPr>
      </w:pPr>
      <w:bookmarkStart w:id="128" w:name="_Toc16955"/>
      <w:r>
        <w:rPr>
          <w:rFonts w:hint="eastAsia" w:ascii="黑体" w:hAnsi="黑体" w:eastAsia="黑体" w:cs="黑体"/>
          <w:b w:val="0"/>
          <w:bCs/>
          <w:color w:val="auto"/>
          <w:sz w:val="24"/>
          <w:szCs w:val="24"/>
          <w:highlight w:val="none"/>
          <w:lang w:val="en-US" w:eastAsia="zh-CN"/>
        </w:rPr>
        <w:t>采购人不组织各供应商进行现场踏勘，由各供应商自行踏勘以充分了解项目情况、环境、设施、运输距离、安全及任何其它足以影响报价和方案编制的情况，无论供应商是否踏勘过现场，均被认为在递交响应文件之前已经踏勘现场，对本合同项目的责任、风险和义务已经十分了解，并在其投标文件中已充分考虑了现场和环境条件。</w:t>
      </w:r>
      <w:bookmarkEnd w:id="127"/>
      <w:bookmarkEnd w:id="128"/>
    </w:p>
    <w:p w14:paraId="4097CCF1">
      <w:pPr>
        <w:pStyle w:val="3"/>
        <w:spacing w:line="440" w:lineRule="exact"/>
        <w:ind w:firstLine="480" w:firstLineChars="200"/>
        <w:rPr>
          <w:rFonts w:hint="eastAsia" w:ascii="黑体" w:hAnsi="黑体" w:eastAsia="黑体" w:cs="黑体"/>
          <w:b w:val="0"/>
          <w:bCs/>
          <w:color w:val="auto"/>
          <w:sz w:val="24"/>
          <w:szCs w:val="24"/>
          <w:highlight w:val="none"/>
          <w:lang w:val="en-US" w:eastAsia="zh-CN"/>
        </w:rPr>
      </w:pPr>
      <w:bookmarkStart w:id="129" w:name="_Toc24889"/>
      <w:bookmarkStart w:id="130" w:name="_Toc14171"/>
      <w:r>
        <w:rPr>
          <w:rFonts w:hint="eastAsia" w:ascii="黑体" w:hAnsi="黑体" w:eastAsia="黑体" w:cs="黑体"/>
          <w:b w:val="0"/>
          <w:bCs/>
          <w:color w:val="auto"/>
          <w:sz w:val="24"/>
          <w:szCs w:val="24"/>
          <w:highlight w:val="none"/>
          <w:lang w:val="en-US" w:eastAsia="zh-CN"/>
        </w:rPr>
        <w:t>供应商自行现场踏勘所发生的费用由供应商承担，并自行负责在踏勘现场中所发生的人员伤亡和财产损失。</w:t>
      </w:r>
      <w:bookmarkEnd w:id="129"/>
      <w:bookmarkEnd w:id="130"/>
    </w:p>
    <w:p w14:paraId="42165328">
      <w:pPr>
        <w:ind w:firstLine="643" w:firstLineChars="200"/>
        <w:rPr>
          <w:rStyle w:val="33"/>
          <w:rFonts w:hint="eastAsia" w:ascii="黑体" w:hAnsi="黑体" w:eastAsia="黑体" w:cs="黑体"/>
          <w:color w:val="auto"/>
          <w:sz w:val="32"/>
          <w:szCs w:val="32"/>
          <w:highlight w:val="none"/>
        </w:rPr>
      </w:pPr>
      <w:r>
        <w:rPr>
          <w:rStyle w:val="33"/>
          <w:rFonts w:hint="eastAsia" w:ascii="黑体" w:hAnsi="黑体" w:eastAsia="黑体" w:cs="黑体"/>
          <w:color w:val="auto"/>
          <w:sz w:val="32"/>
          <w:szCs w:val="32"/>
          <w:highlight w:val="none"/>
        </w:rPr>
        <w:br w:type="page"/>
      </w:r>
    </w:p>
    <w:p w14:paraId="4E4322FE">
      <w:pPr>
        <w:jc w:val="center"/>
        <w:rPr>
          <w:rStyle w:val="33"/>
          <w:rFonts w:hint="eastAsia" w:ascii="黑体" w:hAnsi="黑体" w:eastAsia="黑体" w:cs="黑体"/>
          <w:color w:val="auto"/>
          <w:sz w:val="32"/>
          <w:szCs w:val="32"/>
          <w:highlight w:val="none"/>
          <w:lang w:eastAsia="zh-CN"/>
        </w:rPr>
      </w:pPr>
      <w:bookmarkStart w:id="131" w:name="_Toc5713"/>
      <w:r>
        <w:rPr>
          <w:rStyle w:val="33"/>
          <w:rFonts w:hint="eastAsia" w:ascii="黑体" w:hAnsi="黑体" w:eastAsia="黑体" w:cs="黑体"/>
          <w:color w:val="auto"/>
          <w:sz w:val="32"/>
          <w:szCs w:val="32"/>
          <w:highlight w:val="none"/>
        </w:rPr>
        <w:t xml:space="preserve">第三篇  </w:t>
      </w:r>
      <w:bookmarkStart w:id="132" w:name="_Toc12789058"/>
      <w:r>
        <w:rPr>
          <w:rStyle w:val="33"/>
          <w:rFonts w:hint="eastAsia" w:ascii="黑体" w:hAnsi="黑体" w:eastAsia="黑体" w:cs="黑体"/>
          <w:color w:val="auto"/>
          <w:sz w:val="32"/>
          <w:szCs w:val="32"/>
          <w:highlight w:val="none"/>
          <w:lang w:eastAsia="zh-CN"/>
        </w:rPr>
        <w:t>项目商务要求</w:t>
      </w:r>
    </w:p>
    <w:bookmarkEnd w:id="131"/>
    <w:p w14:paraId="4495858E">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2" w:firstLineChars="200"/>
        <w:jc w:val="left"/>
        <w:textAlignment w:val="auto"/>
        <w:rPr>
          <w:rFonts w:hint="eastAsia" w:ascii="黑体" w:hAnsi="黑体" w:eastAsia="黑体" w:cs="黑体"/>
          <w:b/>
          <w:bCs/>
          <w:color w:val="auto"/>
          <w:kern w:val="0"/>
          <w:sz w:val="24"/>
          <w:szCs w:val="24"/>
          <w:highlight w:val="none"/>
          <w:lang w:val="en-US" w:eastAsia="zh-CN"/>
        </w:rPr>
      </w:pPr>
      <w:bookmarkStart w:id="133" w:name="_Toc3636"/>
      <w:bookmarkStart w:id="134" w:name="_Toc8819"/>
      <w:bookmarkStart w:id="135" w:name="_Toc27997_WPSOffice_Level2"/>
      <w:bookmarkStart w:id="136" w:name="_Toc3682_WPSOffice_Level2"/>
      <w:bookmarkStart w:id="137" w:name="_Toc14423"/>
      <w:bookmarkStart w:id="138" w:name="_Toc6150_WPSOffice_Level2"/>
      <w:bookmarkStart w:id="139" w:name="_Toc2840_WPSOffice_Level2"/>
      <w:bookmarkStart w:id="140" w:name="_Toc4794_WPSOffice_Level2"/>
      <w:bookmarkStart w:id="141" w:name="_Toc24356_WPSOffice_Level2"/>
      <w:bookmarkStart w:id="142" w:name="_Toc14404_WPSOffice_Level2"/>
      <w:r>
        <w:rPr>
          <w:rFonts w:hint="eastAsia" w:ascii="黑体" w:hAnsi="黑体" w:eastAsia="黑体" w:cs="黑体"/>
          <w:b/>
          <w:bCs/>
          <w:color w:val="auto"/>
          <w:kern w:val="0"/>
          <w:sz w:val="24"/>
          <w:szCs w:val="24"/>
          <w:highlight w:val="none"/>
          <w:lang w:val="en-US" w:eastAsia="zh-CN"/>
        </w:rPr>
        <w:t>一、服务期限、服务地点及验收方式</w:t>
      </w:r>
    </w:p>
    <w:p w14:paraId="4ABFB052">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（一）服务期限：本项目服务期1年，采购人定期会对成交供应商的服务情况进行考核，如考核不合格（＜80分），采购人有权单方面解除合同。</w:t>
      </w:r>
    </w:p>
    <w:p w14:paraId="7CD2C2E6">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（二）服务地点：采购人指定地点。</w:t>
      </w:r>
    </w:p>
    <w:p w14:paraId="598B8421">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（三）验收方式</w:t>
      </w:r>
    </w:p>
    <w:p w14:paraId="62D13321">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1、采购人组织相关人员对物业公司在本项目工作实际到场工作人员、物品配置等进行核实，并在项目实施过程中对项目实施情况进行不定期考核（考核标准在合同另行约定）。</w:t>
      </w:r>
    </w:p>
    <w:p w14:paraId="6DCBB63D">
      <w:pPr>
        <w:pStyle w:val="8"/>
        <w:keepNext w:val="0"/>
        <w:keepLines w:val="0"/>
        <w:pageBreakBefore w:val="0"/>
        <w:widowControl w:val="0"/>
        <w:kinsoku/>
        <w:wordWrap/>
        <w:overflowPunct/>
        <w:topLinePunct w:val="0"/>
        <w:autoSpaceDE/>
        <w:autoSpaceDN/>
        <w:bidi w:val="0"/>
        <w:adjustRightInd/>
        <w:snapToGrid/>
        <w:spacing w:after="120" w:line="420" w:lineRule="exact"/>
        <w:ind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2、验收标准按照国家及行业相关标准及采购文件和采购合同规定的内容进行验收，如验收达不到规定要求，对采购方造成一定的影响，供应商承担一切责任，并赔偿所造成的损失。</w:t>
      </w:r>
    </w:p>
    <w:bookmarkEnd w:id="133"/>
    <w:bookmarkEnd w:id="134"/>
    <w:bookmarkEnd w:id="135"/>
    <w:bookmarkEnd w:id="136"/>
    <w:bookmarkEnd w:id="137"/>
    <w:bookmarkEnd w:id="138"/>
    <w:bookmarkEnd w:id="139"/>
    <w:bookmarkEnd w:id="140"/>
    <w:bookmarkEnd w:id="141"/>
    <w:bookmarkEnd w:id="142"/>
    <w:p w14:paraId="283468EB">
      <w:pPr>
        <w:spacing w:line="360" w:lineRule="auto"/>
        <w:ind w:right="-470" w:rightChars="-168" w:firstLine="482" w:firstLineChars="200"/>
        <w:outlineLvl w:val="1"/>
        <w:rPr>
          <w:rFonts w:hint="eastAsia" w:ascii="黑体" w:hAnsi="黑体" w:eastAsia="黑体" w:cs="黑体"/>
          <w:b/>
          <w:bCs/>
          <w:color w:val="auto"/>
          <w:sz w:val="24"/>
          <w:szCs w:val="24"/>
          <w:highlight w:val="none"/>
        </w:rPr>
      </w:pPr>
      <w:bookmarkStart w:id="143" w:name="_Toc8261"/>
      <w:bookmarkStart w:id="144" w:name="_Toc15036"/>
      <w:r>
        <w:rPr>
          <w:rFonts w:hint="eastAsia" w:ascii="黑体" w:hAnsi="黑体" w:eastAsia="黑体" w:cs="黑体"/>
          <w:b/>
          <w:bCs/>
          <w:color w:val="auto"/>
          <w:sz w:val="24"/>
          <w:szCs w:val="24"/>
          <w:highlight w:val="none"/>
        </w:rPr>
        <w:t>二、报价要求</w:t>
      </w:r>
      <w:bookmarkEnd w:id="143"/>
      <w:bookmarkEnd w:id="144"/>
    </w:p>
    <w:p w14:paraId="52C91F67">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rPr>
      </w:pPr>
      <w:bookmarkStart w:id="145" w:name="_Toc10337"/>
      <w:bookmarkStart w:id="146" w:name="_Toc3015_WPSOffice_Level2"/>
      <w:bookmarkStart w:id="147" w:name="_Toc9134_WPSOffice_Level2"/>
      <w:bookmarkStart w:id="148" w:name="_Toc1259_WPSOffice_Level2"/>
      <w:bookmarkStart w:id="149" w:name="_Toc11274_WPSOffice_Level2"/>
      <w:bookmarkStart w:id="150" w:name="_Toc4834"/>
      <w:bookmarkStart w:id="151" w:name="_Toc7676_WPSOffice_Level2"/>
      <w:bookmarkStart w:id="152" w:name="_Toc20977"/>
      <w:bookmarkStart w:id="153" w:name="_Toc1795_WPSOffice_Level2"/>
      <w:bookmarkStart w:id="154" w:name="_Toc8945_WPSOffice_Level2"/>
      <w:bookmarkStart w:id="155" w:name="_Toc19914"/>
      <w:r>
        <w:rPr>
          <w:rFonts w:hint="eastAsia" w:ascii="黑体" w:hAnsi="黑体" w:eastAsia="黑体" w:cs="黑体"/>
          <w:color w:val="auto"/>
          <w:kern w:val="0"/>
          <w:sz w:val="24"/>
          <w:szCs w:val="24"/>
          <w:highlight w:val="none"/>
        </w:rPr>
        <w:t>本次报价须为人民币报价，报价包括但不限于：人工费（包含基本工资、岗位工资、节假日加班、奖金等所有费用、五险等国家规定福利费（含社保、医保等五保合一费用）、企业管理费、易损易耗费（易耗工具费用）、设施设备费用、日常运行和维护费用（包括设施、设备电池费用）、物业人员制服及劳保费用、清洁耗材、清洁剂、病虫害防治、垃圾清运费、安全措施费、交通组织费、办公费、利润、物业企业法定税费、税金、风险、以及政策性文件规定所有费用以及合同明示或暗示的应由供应商承担的一切责任、义务和风险费用，采购人除此以外不支付其它费用。因供应商自身原因造成漏报、少报皆由供应商自行承担责任，采购人不另行支付中标价以外的任何费用。</w:t>
      </w:r>
      <w:bookmarkEnd w:id="145"/>
    </w:p>
    <w:bookmarkEnd w:id="146"/>
    <w:bookmarkEnd w:id="147"/>
    <w:bookmarkEnd w:id="148"/>
    <w:bookmarkEnd w:id="149"/>
    <w:bookmarkEnd w:id="150"/>
    <w:bookmarkEnd w:id="151"/>
    <w:bookmarkEnd w:id="152"/>
    <w:bookmarkEnd w:id="153"/>
    <w:bookmarkEnd w:id="154"/>
    <w:bookmarkEnd w:id="155"/>
    <w:p w14:paraId="525EFCB9">
      <w:pPr>
        <w:pStyle w:val="8"/>
        <w:spacing w:line="360" w:lineRule="auto"/>
        <w:ind w:right="-470" w:rightChars="-168" w:firstLine="482" w:firstLineChars="200"/>
        <w:jc w:val="left"/>
        <w:outlineLvl w:val="1"/>
        <w:rPr>
          <w:rFonts w:hint="eastAsia" w:ascii="黑体" w:hAnsi="黑体" w:eastAsia="黑体" w:cs="黑体"/>
          <w:b/>
          <w:bCs/>
          <w:color w:val="auto"/>
          <w:kern w:val="0"/>
          <w:sz w:val="24"/>
          <w:szCs w:val="24"/>
          <w:highlight w:val="none"/>
        </w:rPr>
      </w:pPr>
      <w:bookmarkStart w:id="156" w:name="_Toc30993"/>
      <w:bookmarkStart w:id="157" w:name="_Toc2596"/>
      <w:r>
        <w:rPr>
          <w:rFonts w:hint="eastAsia" w:ascii="黑体" w:hAnsi="黑体" w:eastAsia="黑体" w:cs="黑体"/>
          <w:b/>
          <w:bCs/>
          <w:color w:val="auto"/>
          <w:kern w:val="0"/>
          <w:sz w:val="24"/>
          <w:szCs w:val="24"/>
          <w:highlight w:val="none"/>
        </w:rPr>
        <w:t>三、</w:t>
      </w:r>
      <w:r>
        <w:rPr>
          <w:rFonts w:hint="eastAsia" w:ascii="黑体" w:hAnsi="黑体" w:eastAsia="黑体" w:cs="黑体"/>
          <w:b/>
          <w:color w:val="auto"/>
          <w:sz w:val="24"/>
          <w:szCs w:val="24"/>
          <w:highlight w:val="none"/>
        </w:rPr>
        <w:t>质量保证及售后服务</w:t>
      </w:r>
      <w:bookmarkEnd w:id="156"/>
      <w:bookmarkEnd w:id="157"/>
    </w:p>
    <w:p w14:paraId="155192F1">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lang w:eastAsia="zh-CN"/>
        </w:rPr>
      </w:pPr>
      <w:bookmarkStart w:id="158" w:name="_Toc29511"/>
      <w:bookmarkStart w:id="159" w:name="_Toc31531"/>
      <w:r>
        <w:rPr>
          <w:rFonts w:hint="eastAsia" w:ascii="黑体" w:hAnsi="黑体" w:eastAsia="黑体" w:cs="黑体"/>
          <w:color w:val="auto"/>
          <w:kern w:val="0"/>
          <w:sz w:val="24"/>
          <w:szCs w:val="24"/>
          <w:highlight w:val="none"/>
          <w:lang w:eastAsia="zh-CN"/>
        </w:rPr>
        <w:t>1.采购人有需求，必须快速响应（具体响应时间按采购人通知要求）。师生投诉响应时间不超过1小时，投诉处理不超过24小时。</w:t>
      </w:r>
      <w:bookmarkEnd w:id="158"/>
      <w:bookmarkEnd w:id="159"/>
    </w:p>
    <w:p w14:paraId="678536C2">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lang w:eastAsia="zh-CN"/>
        </w:rPr>
      </w:pPr>
      <w:bookmarkStart w:id="160" w:name="_Toc21079"/>
      <w:bookmarkStart w:id="161" w:name="_Toc19151"/>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lang w:eastAsia="zh-CN"/>
        </w:rPr>
        <w:t>.配合学校做好智能化管理工作。配合做好创文创卫等其他工作。</w:t>
      </w:r>
      <w:bookmarkEnd w:id="160"/>
      <w:bookmarkEnd w:id="161"/>
    </w:p>
    <w:p w14:paraId="6E9D6640">
      <w:pPr>
        <w:pStyle w:val="8"/>
        <w:spacing w:line="360" w:lineRule="auto"/>
        <w:ind w:right="-470" w:rightChars="-168" w:firstLine="482" w:firstLineChars="200"/>
        <w:jc w:val="left"/>
        <w:outlineLvl w:val="1"/>
        <w:rPr>
          <w:rFonts w:hint="eastAsia" w:ascii="黑体" w:hAnsi="黑体" w:eastAsia="黑体" w:cs="黑体"/>
          <w:b/>
          <w:bCs/>
          <w:color w:val="auto"/>
          <w:kern w:val="0"/>
          <w:sz w:val="24"/>
          <w:szCs w:val="24"/>
          <w:highlight w:val="none"/>
        </w:rPr>
      </w:pPr>
      <w:bookmarkStart w:id="162" w:name="_Toc2991"/>
      <w:bookmarkStart w:id="163" w:name="_Toc700"/>
      <w:r>
        <w:rPr>
          <w:rFonts w:hint="eastAsia" w:ascii="黑体" w:hAnsi="黑体" w:eastAsia="黑体" w:cs="黑体"/>
          <w:b/>
          <w:bCs/>
          <w:color w:val="auto"/>
          <w:kern w:val="0"/>
          <w:sz w:val="24"/>
          <w:szCs w:val="24"/>
          <w:highlight w:val="none"/>
        </w:rPr>
        <w:t>四、付款方式</w:t>
      </w:r>
      <w:bookmarkEnd w:id="162"/>
      <w:bookmarkEnd w:id="163"/>
    </w:p>
    <w:p w14:paraId="4C301B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lang w:val="zh-CN" w:eastAsia="zh-CN"/>
        </w:rPr>
        <w:t>）付款进度：按月支付，合同生效后，采购人每月根据考核结果，于次</w:t>
      </w:r>
      <w:r>
        <w:rPr>
          <w:rFonts w:hint="eastAsia" w:ascii="黑体" w:hAnsi="黑体" w:eastAsia="黑体" w:cs="黑体"/>
          <w:color w:val="auto"/>
          <w:sz w:val="24"/>
          <w:szCs w:val="24"/>
          <w:highlight w:val="none"/>
          <w:lang w:val="en-US" w:eastAsia="zh-CN"/>
        </w:rPr>
        <w:t>月</w:t>
      </w:r>
      <w:r>
        <w:rPr>
          <w:rFonts w:hint="eastAsia" w:ascii="黑体" w:hAnsi="黑体" w:eastAsia="黑体" w:cs="黑体"/>
          <w:color w:val="auto"/>
          <w:sz w:val="24"/>
          <w:szCs w:val="24"/>
          <w:highlight w:val="none"/>
          <w:lang w:val="zh-CN" w:eastAsia="zh-CN"/>
        </w:rPr>
        <w:t>支付给</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lang w:val="zh-CN" w:eastAsia="zh-CN"/>
        </w:rPr>
        <w:t>上月物业管理服务价款，</w:t>
      </w:r>
      <w:r>
        <w:rPr>
          <w:rFonts w:hint="eastAsia" w:ascii="黑体" w:hAnsi="黑体" w:eastAsia="黑体" w:cs="黑体"/>
          <w:color w:val="auto"/>
          <w:sz w:val="24"/>
          <w:szCs w:val="24"/>
          <w:highlight w:val="none"/>
          <w:lang w:val="en-US" w:eastAsia="zh-CN"/>
        </w:rPr>
        <w:t>若遇不可抗力可</w:t>
      </w:r>
      <w:r>
        <w:rPr>
          <w:rFonts w:hint="eastAsia" w:ascii="黑体" w:hAnsi="黑体" w:eastAsia="黑体" w:cs="黑体"/>
          <w:color w:val="auto"/>
          <w:sz w:val="24"/>
          <w:szCs w:val="24"/>
          <w:highlight w:val="none"/>
          <w:lang w:val="zh-CN" w:eastAsia="zh-CN"/>
        </w:rPr>
        <w:t>拖延支付相关服务款项。</w:t>
      </w:r>
      <w:r>
        <w:rPr>
          <w:rFonts w:hint="eastAsia" w:ascii="黑体" w:hAnsi="黑体" w:eastAsia="黑体" w:cs="黑体"/>
          <w:color w:val="auto"/>
          <w:sz w:val="24"/>
          <w:szCs w:val="24"/>
          <w:highlight w:val="none"/>
          <w:lang w:val="en-US" w:eastAsia="zh-CN"/>
        </w:rPr>
        <w:t>成交供应商须</w:t>
      </w:r>
      <w:r>
        <w:rPr>
          <w:rFonts w:hint="eastAsia" w:ascii="黑体" w:hAnsi="黑体" w:eastAsia="黑体" w:cs="黑体"/>
          <w:color w:val="auto"/>
          <w:sz w:val="24"/>
          <w:szCs w:val="24"/>
          <w:highlight w:val="none"/>
          <w:lang w:val="zh-CN" w:eastAsia="zh-CN"/>
        </w:rPr>
        <w:t>向采购人开具</w:t>
      </w:r>
      <w:r>
        <w:rPr>
          <w:rFonts w:hint="eastAsia" w:ascii="黑体" w:hAnsi="黑体" w:eastAsia="黑体" w:cs="黑体"/>
          <w:color w:val="auto"/>
          <w:sz w:val="24"/>
          <w:szCs w:val="24"/>
          <w:highlight w:val="none"/>
          <w:lang w:val="en-US" w:eastAsia="zh-CN"/>
        </w:rPr>
        <w:t>足额</w:t>
      </w:r>
      <w:r>
        <w:rPr>
          <w:rFonts w:hint="eastAsia" w:ascii="黑体" w:hAnsi="黑体" w:eastAsia="黑体" w:cs="黑体"/>
          <w:color w:val="auto"/>
          <w:sz w:val="24"/>
          <w:szCs w:val="24"/>
          <w:highlight w:val="none"/>
          <w:lang w:val="zh-CN" w:eastAsia="zh-CN"/>
        </w:rPr>
        <w:t>发票。</w:t>
      </w:r>
    </w:p>
    <w:p w14:paraId="7289B3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val="zh-CN" w:eastAsia="zh-CN"/>
        </w:rPr>
        <w:t>）付款方式：按合同总金额平均分配到合同服务期内的每个月，由采购人进行服务考核（</w:t>
      </w:r>
      <w:r>
        <w:rPr>
          <w:rFonts w:hint="eastAsia" w:ascii="黑体" w:hAnsi="黑体" w:eastAsia="黑体" w:cs="黑体"/>
          <w:color w:val="auto"/>
          <w:sz w:val="24"/>
          <w:szCs w:val="24"/>
          <w:highlight w:val="none"/>
          <w:lang w:val="en-US" w:eastAsia="zh-CN"/>
        </w:rPr>
        <w:t>考核评分细则如下</w:t>
      </w:r>
      <w:r>
        <w:rPr>
          <w:rFonts w:hint="eastAsia" w:ascii="黑体" w:hAnsi="黑体" w:eastAsia="黑体" w:cs="黑体"/>
          <w:color w:val="auto"/>
          <w:sz w:val="24"/>
          <w:szCs w:val="24"/>
          <w:highlight w:val="none"/>
          <w:lang w:val="zh-CN" w:eastAsia="zh-CN"/>
        </w:rPr>
        <w:t>），按月进度付款（合同金额/12月-当月考核扣款），合同生效后，采购人每月根据考核结果，于次月通过转账方式支付给</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lang w:val="zh-CN" w:eastAsia="zh-CN"/>
        </w:rPr>
        <w:t>上月服务费用，</w:t>
      </w:r>
      <w:r>
        <w:rPr>
          <w:rFonts w:hint="eastAsia" w:ascii="黑体" w:hAnsi="黑体" w:eastAsia="黑体" w:cs="黑体"/>
          <w:color w:val="auto"/>
          <w:sz w:val="24"/>
          <w:szCs w:val="24"/>
          <w:highlight w:val="none"/>
          <w:lang w:val="en-US" w:eastAsia="zh-CN"/>
        </w:rPr>
        <w:t>若遇不可抗力可</w:t>
      </w:r>
      <w:r>
        <w:rPr>
          <w:rFonts w:hint="eastAsia" w:ascii="黑体" w:hAnsi="黑体" w:eastAsia="黑体" w:cs="黑体"/>
          <w:color w:val="auto"/>
          <w:sz w:val="24"/>
          <w:szCs w:val="24"/>
          <w:highlight w:val="none"/>
          <w:lang w:val="zh-CN" w:eastAsia="zh-CN"/>
        </w:rPr>
        <w:t>拖延支付相关服务款项。</w:t>
      </w:r>
    </w:p>
    <w:p w14:paraId="74F1B6C8">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（三）采购人</w:t>
      </w:r>
      <w:r>
        <w:rPr>
          <w:rFonts w:hint="eastAsia" w:ascii="黑体" w:hAnsi="黑体" w:eastAsia="黑体" w:cs="黑体"/>
          <w:color w:val="auto"/>
          <w:sz w:val="24"/>
          <w:szCs w:val="24"/>
          <w:highlight w:val="none"/>
        </w:rPr>
        <w:t>每次检查后将按</w:t>
      </w:r>
      <w:r>
        <w:rPr>
          <w:rFonts w:hint="eastAsia" w:ascii="黑体" w:hAnsi="黑体" w:eastAsia="黑体" w:cs="黑体"/>
          <w:color w:val="auto"/>
          <w:sz w:val="24"/>
          <w:szCs w:val="24"/>
          <w:highlight w:val="none"/>
          <w:lang w:val="en-US" w:eastAsia="zh-CN"/>
        </w:rPr>
        <w:t>评分细则</w:t>
      </w:r>
      <w:r>
        <w:rPr>
          <w:rFonts w:hint="eastAsia" w:ascii="黑体" w:hAnsi="黑体" w:eastAsia="黑体" w:cs="黑体"/>
          <w:color w:val="auto"/>
          <w:sz w:val="24"/>
          <w:szCs w:val="24"/>
          <w:highlight w:val="none"/>
        </w:rPr>
        <w:t>为</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rPr>
        <w:t>打出分数。以</w:t>
      </w:r>
      <w:r>
        <w:rPr>
          <w:rFonts w:hint="eastAsia" w:ascii="黑体" w:hAnsi="黑体" w:eastAsia="黑体" w:cs="黑体"/>
          <w:color w:val="auto"/>
          <w:sz w:val="24"/>
          <w:szCs w:val="24"/>
          <w:highlight w:val="none"/>
          <w:lang w:val="en-US" w:eastAsia="zh-CN"/>
        </w:rPr>
        <w:t>100</w:t>
      </w:r>
      <w:r>
        <w:rPr>
          <w:rFonts w:hint="eastAsia" w:ascii="黑体" w:hAnsi="黑体" w:eastAsia="黑体" w:cs="黑体"/>
          <w:color w:val="auto"/>
          <w:sz w:val="24"/>
          <w:szCs w:val="24"/>
          <w:highlight w:val="none"/>
        </w:rPr>
        <w:t>分为基础分，总得分低于90分，每少1分扣</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00元当月服务费，</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rPr>
        <w:t>将出具书面通知书告知</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rPr>
        <w:t>进行整改，若</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rPr>
        <w:t>整改无效，则</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rPr>
        <w:t>可拒付当月物业费。总得分低于80分的</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则考核不及格，</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rPr>
        <w:t>可单方面终止合同并拒付物业费。</w:t>
      </w:r>
    </w:p>
    <w:p w14:paraId="7ABE897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如</w:t>
      </w:r>
      <w:r>
        <w:rPr>
          <w:rFonts w:hint="eastAsia" w:ascii="黑体" w:hAnsi="黑体" w:eastAsia="黑体" w:cs="黑体"/>
          <w:color w:val="auto"/>
          <w:sz w:val="24"/>
          <w:szCs w:val="24"/>
          <w:highlight w:val="none"/>
          <w:lang w:val="en-US" w:eastAsia="zh-CN"/>
        </w:rPr>
        <w:t>成交供应商</w:t>
      </w:r>
      <w:r>
        <w:rPr>
          <w:rFonts w:hint="eastAsia" w:ascii="黑体" w:hAnsi="黑体" w:eastAsia="黑体" w:cs="黑体"/>
          <w:color w:val="auto"/>
          <w:sz w:val="24"/>
          <w:szCs w:val="24"/>
          <w:highlight w:val="none"/>
        </w:rPr>
        <w:t>的得分为85分，则当月服务费扣减金额=（90分-85分）×</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00元。</w:t>
      </w:r>
      <w:bookmarkStart w:id="164" w:name="_Toc3691"/>
    </w:p>
    <w:p w14:paraId="389ACCB4">
      <w:pPr>
        <w:keepNext w:val="0"/>
        <w:keepLines w:val="0"/>
        <w:pageBreakBefore w:val="0"/>
        <w:widowControl w:val="0"/>
        <w:kinsoku/>
        <w:wordWrap/>
        <w:overflowPunct/>
        <w:topLinePunct w:val="0"/>
        <w:autoSpaceDE/>
        <w:autoSpaceDN/>
        <w:bidi w:val="0"/>
        <w:adjustRightInd/>
        <w:spacing w:line="360" w:lineRule="auto"/>
        <w:ind w:firstLine="653" w:firstLineChars="271"/>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除上述各项外，因物管服务工作失职导致</w:t>
      </w:r>
      <w:r>
        <w:rPr>
          <w:rFonts w:hint="eastAsia" w:ascii="黑体" w:hAnsi="黑体" w:eastAsia="黑体" w:cs="黑体"/>
          <w:b/>
          <w:bCs/>
          <w:color w:val="auto"/>
          <w:sz w:val="24"/>
          <w:szCs w:val="24"/>
          <w:highlight w:val="none"/>
          <w:lang w:val="en-US" w:eastAsia="zh-CN"/>
        </w:rPr>
        <w:t>采购人校内</w:t>
      </w:r>
      <w:r>
        <w:rPr>
          <w:rFonts w:hint="eastAsia" w:ascii="黑体" w:hAnsi="黑体" w:eastAsia="黑体" w:cs="黑体"/>
          <w:b/>
          <w:bCs/>
          <w:color w:val="auto"/>
          <w:sz w:val="24"/>
          <w:szCs w:val="24"/>
          <w:highlight w:val="none"/>
        </w:rPr>
        <w:t>出现安全事件，一切责任及费用则由</w:t>
      </w:r>
      <w:r>
        <w:rPr>
          <w:rFonts w:hint="eastAsia" w:ascii="黑体" w:hAnsi="黑体" w:eastAsia="黑体" w:cs="黑体"/>
          <w:b/>
          <w:bCs/>
          <w:color w:val="auto"/>
          <w:sz w:val="24"/>
          <w:szCs w:val="24"/>
          <w:highlight w:val="none"/>
          <w:lang w:val="en-US" w:eastAsia="zh-CN"/>
        </w:rPr>
        <w:t>成交供应商</w:t>
      </w:r>
      <w:r>
        <w:rPr>
          <w:rFonts w:hint="eastAsia" w:ascii="黑体" w:hAnsi="黑体" w:eastAsia="黑体" w:cs="黑体"/>
          <w:b/>
          <w:bCs/>
          <w:color w:val="auto"/>
          <w:sz w:val="24"/>
          <w:szCs w:val="24"/>
          <w:highlight w:val="none"/>
        </w:rPr>
        <w:t>承担，并扣当月10%的服务费。</w:t>
      </w:r>
      <w:bookmarkEnd w:id="164"/>
    </w:p>
    <w:p w14:paraId="3A6734DE">
      <w:pPr>
        <w:keepNext w:val="0"/>
        <w:keepLines w:val="0"/>
        <w:widowControl w:val="0"/>
        <w:suppressLineNumbers w:val="0"/>
        <w:spacing w:before="0" w:beforeAutospacing="0" w:after="0" w:afterAutospacing="0"/>
        <w:ind w:left="0" w:right="0"/>
        <w:jc w:val="center"/>
        <w:rPr>
          <w:rFonts w:hint="eastAsia" w:ascii="黑体" w:hAnsi="黑体" w:eastAsia="黑体" w:cs="黑体"/>
          <w:b/>
          <w:bCs/>
          <w:color w:val="auto"/>
          <w:kern w:val="2"/>
          <w:sz w:val="36"/>
          <w:szCs w:val="36"/>
          <w:highlight w:val="none"/>
        </w:rPr>
      </w:pPr>
      <w:r>
        <w:rPr>
          <w:rFonts w:hint="eastAsia" w:ascii="黑体" w:hAnsi="黑体" w:eastAsia="黑体" w:cs="黑体"/>
          <w:b/>
          <w:bCs/>
          <w:color w:val="auto"/>
          <w:kern w:val="2"/>
          <w:sz w:val="36"/>
          <w:szCs w:val="36"/>
          <w:highlight w:val="none"/>
          <w:lang w:val="en-US" w:eastAsia="zh-CN" w:bidi="ar"/>
        </w:rPr>
        <w:t>物业考核评分细则</w:t>
      </w:r>
    </w:p>
    <w:tbl>
      <w:tblPr>
        <w:tblStyle w:val="23"/>
        <w:tblpPr w:leftFromText="180" w:rightFromText="180" w:vertAnchor="text" w:horzAnchor="page" w:tblpX="960" w:tblpY="623"/>
        <w:tblOverlap w:val="never"/>
        <w:tblW w:w="10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595"/>
        <w:gridCol w:w="5346"/>
        <w:gridCol w:w="2604"/>
      </w:tblGrid>
      <w:tr w14:paraId="5E87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46" w:type="dxa"/>
            <w:noWrap w:val="0"/>
            <w:vAlign w:val="center"/>
          </w:tcPr>
          <w:p w14:paraId="0C3525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考核指标</w:t>
            </w:r>
          </w:p>
        </w:tc>
        <w:tc>
          <w:tcPr>
            <w:tcW w:w="1595" w:type="dxa"/>
            <w:noWrap w:val="0"/>
            <w:vAlign w:val="center"/>
          </w:tcPr>
          <w:p w14:paraId="73106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考核内容</w:t>
            </w:r>
          </w:p>
        </w:tc>
        <w:tc>
          <w:tcPr>
            <w:tcW w:w="5346" w:type="dxa"/>
            <w:noWrap w:val="0"/>
            <w:vAlign w:val="center"/>
          </w:tcPr>
          <w:p w14:paraId="39C990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考核细则</w:t>
            </w:r>
          </w:p>
        </w:tc>
        <w:tc>
          <w:tcPr>
            <w:tcW w:w="2604" w:type="dxa"/>
            <w:noWrap w:val="0"/>
            <w:vAlign w:val="center"/>
          </w:tcPr>
          <w:p w14:paraId="7B55EB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评分标准</w:t>
            </w:r>
          </w:p>
        </w:tc>
      </w:tr>
      <w:tr w14:paraId="5AB2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restart"/>
            <w:noWrap w:val="0"/>
            <w:vAlign w:val="center"/>
          </w:tcPr>
          <w:p w14:paraId="08AE4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综合管理</w:t>
            </w:r>
          </w:p>
        </w:tc>
        <w:tc>
          <w:tcPr>
            <w:tcW w:w="1595" w:type="dxa"/>
            <w:noWrap w:val="0"/>
            <w:vAlign w:val="center"/>
          </w:tcPr>
          <w:p w14:paraId="1CB476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着装管理</w:t>
            </w:r>
          </w:p>
        </w:tc>
        <w:tc>
          <w:tcPr>
            <w:tcW w:w="5346" w:type="dxa"/>
            <w:noWrap w:val="0"/>
            <w:vAlign w:val="center"/>
          </w:tcPr>
          <w:p w14:paraId="731807B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从业人员仪表整洁，着装统一，挂牌服务；按规定使用文明用语，言行规范文明礼貌。</w:t>
            </w:r>
          </w:p>
        </w:tc>
        <w:tc>
          <w:tcPr>
            <w:tcW w:w="2604" w:type="dxa"/>
            <w:noWrap w:val="0"/>
            <w:vAlign w:val="center"/>
          </w:tcPr>
          <w:p w14:paraId="13DB9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598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7E1287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61A53C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投诉回访处理</w:t>
            </w:r>
          </w:p>
        </w:tc>
        <w:tc>
          <w:tcPr>
            <w:tcW w:w="5346" w:type="dxa"/>
            <w:noWrap w:val="0"/>
            <w:vAlign w:val="center"/>
          </w:tcPr>
          <w:p w14:paraId="48995FD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公示服务公开电话，有高效的投诉、回访处理机制，有专门的投诉、回访处理记录。</w:t>
            </w:r>
          </w:p>
        </w:tc>
        <w:tc>
          <w:tcPr>
            <w:tcW w:w="2604" w:type="dxa"/>
            <w:noWrap w:val="0"/>
            <w:vAlign w:val="center"/>
          </w:tcPr>
          <w:p w14:paraId="4BC424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30F1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555D4F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2EDBFD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其他</w:t>
            </w:r>
          </w:p>
        </w:tc>
        <w:tc>
          <w:tcPr>
            <w:tcW w:w="5346" w:type="dxa"/>
            <w:noWrap w:val="0"/>
            <w:vAlign w:val="center"/>
          </w:tcPr>
          <w:p w14:paraId="05394C2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本项目员工均不得从事为本项目服务以外的其他工作。</w:t>
            </w:r>
          </w:p>
        </w:tc>
        <w:tc>
          <w:tcPr>
            <w:tcW w:w="2604" w:type="dxa"/>
            <w:noWrap w:val="0"/>
            <w:vAlign w:val="center"/>
          </w:tcPr>
          <w:p w14:paraId="61C696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5845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restart"/>
            <w:noWrap w:val="0"/>
            <w:vAlign w:val="center"/>
          </w:tcPr>
          <w:p w14:paraId="3DB8DD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校园保洁</w:t>
            </w:r>
          </w:p>
        </w:tc>
        <w:tc>
          <w:tcPr>
            <w:tcW w:w="1595" w:type="dxa"/>
            <w:noWrap w:val="0"/>
            <w:vAlign w:val="center"/>
          </w:tcPr>
          <w:p w14:paraId="72942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服务态度</w:t>
            </w:r>
          </w:p>
        </w:tc>
        <w:tc>
          <w:tcPr>
            <w:tcW w:w="5346" w:type="dxa"/>
            <w:noWrap w:val="0"/>
            <w:vAlign w:val="center"/>
          </w:tcPr>
          <w:p w14:paraId="73DEDC6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保洁人员每天按时到岗，服从学校安排</w:t>
            </w:r>
          </w:p>
        </w:tc>
        <w:tc>
          <w:tcPr>
            <w:tcW w:w="2604" w:type="dxa"/>
            <w:noWrap w:val="0"/>
            <w:vAlign w:val="center"/>
          </w:tcPr>
          <w:p w14:paraId="1A1A5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226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5D6BE7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0BA79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服务质量</w:t>
            </w:r>
          </w:p>
        </w:tc>
        <w:tc>
          <w:tcPr>
            <w:tcW w:w="5346" w:type="dxa"/>
            <w:noWrap w:val="0"/>
            <w:vAlign w:val="center"/>
          </w:tcPr>
          <w:p w14:paraId="3F32B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kern w:val="2"/>
                <w:sz w:val="22"/>
                <w:szCs w:val="16"/>
                <w:vertAlign w:val="baseline"/>
                <w:lang w:val="en-US" w:eastAsia="zh-CN" w:bidi="ar-SA"/>
              </w:rPr>
              <w:t>1.</w:t>
            </w:r>
            <w:r>
              <w:rPr>
                <w:rFonts w:hint="eastAsia" w:ascii="黑体" w:hAnsi="黑体" w:eastAsia="黑体" w:cs="黑体"/>
                <w:color w:val="auto"/>
                <w:sz w:val="22"/>
                <w:szCs w:val="16"/>
                <w:highlight w:val="none"/>
                <w:vertAlign w:val="baseline"/>
                <w:lang w:val="en-US" w:eastAsia="zh-CN"/>
              </w:rPr>
              <w:t>保洁时操作安全、规范，爱护校园内各项设施设备，保洁过程中不得影响学生学习和教师办公。</w:t>
            </w:r>
          </w:p>
          <w:p w14:paraId="0D7F7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kern w:val="2"/>
                <w:sz w:val="22"/>
                <w:szCs w:val="16"/>
                <w:vertAlign w:val="baseline"/>
                <w:lang w:val="en-US" w:eastAsia="zh-CN" w:bidi="ar-SA"/>
              </w:rPr>
              <w:t>2.</w:t>
            </w:r>
            <w:r>
              <w:rPr>
                <w:rFonts w:hint="eastAsia" w:ascii="黑体" w:hAnsi="黑体" w:eastAsia="黑体" w:cs="黑体"/>
                <w:color w:val="auto"/>
                <w:sz w:val="22"/>
                <w:szCs w:val="16"/>
                <w:highlight w:val="none"/>
                <w:vertAlign w:val="baseline"/>
                <w:lang w:val="en-US" w:eastAsia="zh-CN"/>
              </w:rPr>
              <w:t>适时、及时、准时进行校园保洁服务，确保校园干净、整洁，舒适，</w:t>
            </w:r>
          </w:p>
          <w:p w14:paraId="6AD4E50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3.保洁过程中注意节约用水、用电。</w:t>
            </w:r>
          </w:p>
          <w:p w14:paraId="1F796D7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4.按指定地点分类安放废弃物并及时进行垃圾清运。</w:t>
            </w:r>
          </w:p>
          <w:p w14:paraId="52DD31F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5.物业服务区域范围内整洁卫生。制定科学完善的人员区域配置及工作排班表，明确区域工作标准。</w:t>
            </w:r>
          </w:p>
          <w:p w14:paraId="5F648AD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6.卫生间门窗、镜面、地（墙）面、设施、标志、器皿等干净整洁，无水渍、无皂迹、无集垢(尘)、无堵塞、无杂物；垃圾不超过容器2/3。</w:t>
            </w:r>
          </w:p>
          <w:p w14:paraId="616490B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7.公区及重要性房间干净整洁，地面、家具、电器、器皿、设施等无水渍、无皂迹、无集垢(尘)、无堵塞、无杂物；垃圾不超过容器1/2。</w:t>
            </w:r>
          </w:p>
          <w:p w14:paraId="681F8A1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8.每日处理电梯轿厢内地面杂物，保持电梯地面、壁、门无污渍，每周对电梯门槽彻底清洗。</w:t>
            </w:r>
          </w:p>
          <w:p w14:paraId="76CB32A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9.每日对办公楼范围内的外围区域的日常清扫、保洁（含绿化区域内道路、围墙外立面等）。无杂物、无积水、无污渍。</w:t>
            </w:r>
          </w:p>
          <w:p w14:paraId="12B1DDF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10.各楼层公共卫生间洗手台、蹲便池、洗刷干净无污渍，无异味，无积水，镜面保持光亮。</w:t>
            </w:r>
          </w:p>
          <w:p w14:paraId="405DA8A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11.会议室、职工活动室、排版室、扫描场、考场、道闸及伸缩门、门岗等公共区域每日循环进行保洁和整理。无水渍、无皂迹、无集垢(尘)、无杂物；</w:t>
            </w:r>
          </w:p>
          <w:p w14:paraId="0FAFA91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12.每天定时对项目区域内产生的垃圾进行分类收集、清运至指定位置。联系垃圾转运单位完成清运垃圾。垃圾转运点每日清洁，无积水、污渍。因物业管理督办不力造成积存，由物业负责清运。</w:t>
            </w:r>
          </w:p>
          <w:p w14:paraId="1756B9F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13.采购人指定的其他保洁服务内容</w:t>
            </w:r>
          </w:p>
        </w:tc>
        <w:tc>
          <w:tcPr>
            <w:tcW w:w="2604" w:type="dxa"/>
            <w:noWrap w:val="0"/>
            <w:vAlign w:val="center"/>
          </w:tcPr>
          <w:p w14:paraId="4B916E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5CC0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296B9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148F8E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日程安排</w:t>
            </w:r>
          </w:p>
        </w:tc>
        <w:tc>
          <w:tcPr>
            <w:tcW w:w="5346" w:type="dxa"/>
            <w:noWrap w:val="0"/>
            <w:vAlign w:val="center"/>
          </w:tcPr>
          <w:p w14:paraId="62C5099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有完善的月度、季度、年度专项保洁工作计划和实施进度方案。有保洁项目日志表、定期消杀工作日志表、垃圾分类日志表等</w:t>
            </w:r>
          </w:p>
        </w:tc>
        <w:tc>
          <w:tcPr>
            <w:tcW w:w="2604" w:type="dxa"/>
            <w:noWrap w:val="0"/>
            <w:vAlign w:val="center"/>
          </w:tcPr>
          <w:p w14:paraId="7EE360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6F57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restart"/>
            <w:noWrap w:val="0"/>
            <w:vAlign w:val="center"/>
          </w:tcPr>
          <w:p w14:paraId="1FD33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绿化管护</w:t>
            </w:r>
          </w:p>
        </w:tc>
        <w:tc>
          <w:tcPr>
            <w:tcW w:w="1595" w:type="dxa"/>
            <w:noWrap w:val="0"/>
            <w:vAlign w:val="center"/>
          </w:tcPr>
          <w:p w14:paraId="4E04D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2"/>
                <w:szCs w:val="16"/>
                <w:highlight w:val="none"/>
                <w:vertAlign w:val="baseline"/>
                <w:lang w:val="en-US" w:eastAsia="zh-CN" w:bidi="ar-SA"/>
              </w:rPr>
            </w:pPr>
            <w:r>
              <w:rPr>
                <w:rFonts w:hint="eastAsia" w:ascii="黑体" w:hAnsi="黑体" w:eastAsia="黑体" w:cs="黑体"/>
                <w:color w:val="auto"/>
                <w:sz w:val="22"/>
                <w:szCs w:val="16"/>
                <w:highlight w:val="none"/>
                <w:vertAlign w:val="baseline"/>
                <w:lang w:val="en-US" w:eastAsia="zh-CN"/>
              </w:rPr>
              <w:t>服务态度</w:t>
            </w:r>
          </w:p>
        </w:tc>
        <w:tc>
          <w:tcPr>
            <w:tcW w:w="5346" w:type="dxa"/>
            <w:noWrap w:val="0"/>
            <w:vAlign w:val="center"/>
          </w:tcPr>
          <w:p w14:paraId="474C316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kern w:val="2"/>
                <w:sz w:val="22"/>
                <w:szCs w:val="16"/>
                <w:highlight w:val="none"/>
                <w:vertAlign w:val="baseline"/>
                <w:lang w:val="en-US" w:eastAsia="zh-CN" w:bidi="ar-SA"/>
              </w:rPr>
            </w:pPr>
            <w:r>
              <w:rPr>
                <w:rFonts w:hint="eastAsia" w:ascii="黑体" w:hAnsi="黑体" w:eastAsia="黑体" w:cs="黑体"/>
                <w:color w:val="auto"/>
                <w:sz w:val="22"/>
                <w:szCs w:val="16"/>
                <w:highlight w:val="none"/>
                <w:vertAlign w:val="baseline"/>
                <w:lang w:val="en-US" w:eastAsia="zh-CN"/>
              </w:rPr>
              <w:t>管护人员每天按时到岗，股从学校安排</w:t>
            </w:r>
          </w:p>
        </w:tc>
        <w:tc>
          <w:tcPr>
            <w:tcW w:w="2604" w:type="dxa"/>
            <w:noWrap w:val="0"/>
            <w:vAlign w:val="center"/>
          </w:tcPr>
          <w:p w14:paraId="447CD1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4B2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4F2B0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68DE54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人员管理</w:t>
            </w:r>
          </w:p>
        </w:tc>
        <w:tc>
          <w:tcPr>
            <w:tcW w:w="5346" w:type="dxa"/>
            <w:noWrap w:val="0"/>
            <w:vAlign w:val="center"/>
          </w:tcPr>
          <w:p w14:paraId="76D7B18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物业管理区域绿化有专业人员管理。</w:t>
            </w:r>
          </w:p>
        </w:tc>
        <w:tc>
          <w:tcPr>
            <w:tcW w:w="2604" w:type="dxa"/>
            <w:noWrap w:val="0"/>
            <w:vAlign w:val="center"/>
          </w:tcPr>
          <w:p w14:paraId="3B976E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发现一次不符合扣0.5分</w:t>
            </w:r>
          </w:p>
        </w:tc>
      </w:tr>
      <w:tr w14:paraId="741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57F6A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0D6F68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服务质量</w:t>
            </w:r>
          </w:p>
        </w:tc>
        <w:tc>
          <w:tcPr>
            <w:tcW w:w="5346" w:type="dxa"/>
            <w:noWrap w:val="0"/>
            <w:vAlign w:val="center"/>
          </w:tcPr>
          <w:p w14:paraId="0F44E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1.及时进行浇水、施肥、松土、防病、治病、防虫、治虫整枝、修剪、造型、补种、清除杂草及绿化区域的清洁卫生等，确保校园内花草树木长势良好，并然有序、美观大方，无明显病虫害发生、无明显裸土、无明显杂草、无明显枯枝黄叶，栽植地或株下无明显垃圾。</w:t>
            </w:r>
          </w:p>
          <w:p w14:paraId="3370FB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2.定期对校内水体水质进行物理、化学、微生物等方法的综合治理，确保校园水体干净卫生。</w:t>
            </w:r>
          </w:p>
          <w:p w14:paraId="5F853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3.定期清理绿化垃圾、修理断枝并及时外运处置;适时巡查井及时消除断、枯枝掉落或树木倒伏形成的安全隐患等。</w:t>
            </w:r>
          </w:p>
          <w:p w14:paraId="2AE79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4.根据气候和季节变化，适时组织浇灌、施肥、松土、补栽补种及病虫害防治。</w:t>
            </w:r>
          </w:p>
          <w:p w14:paraId="6A86A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5.绿化地设有宣传牌，提示爱护花木草坪。</w:t>
            </w:r>
          </w:p>
          <w:p w14:paraId="08062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6.采购人指定的其他绿化管护服务内容。</w:t>
            </w:r>
          </w:p>
        </w:tc>
        <w:tc>
          <w:tcPr>
            <w:tcW w:w="2604" w:type="dxa"/>
            <w:noWrap w:val="0"/>
            <w:vAlign w:val="center"/>
          </w:tcPr>
          <w:p w14:paraId="17173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2048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restart"/>
            <w:noWrap w:val="0"/>
            <w:vAlign w:val="center"/>
          </w:tcPr>
          <w:p w14:paraId="01C8E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管理人员</w:t>
            </w:r>
          </w:p>
        </w:tc>
        <w:tc>
          <w:tcPr>
            <w:tcW w:w="1595" w:type="dxa"/>
            <w:noWrap w:val="0"/>
            <w:vAlign w:val="center"/>
          </w:tcPr>
          <w:p w14:paraId="162226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服务态度</w:t>
            </w:r>
          </w:p>
        </w:tc>
        <w:tc>
          <w:tcPr>
            <w:tcW w:w="5346" w:type="dxa"/>
            <w:noWrap w:val="0"/>
            <w:vAlign w:val="center"/>
          </w:tcPr>
          <w:p w14:paraId="4C5D7F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 xml:space="preserve">   服从学校安排，及时到岗到位，日常沟通交流顺畅。</w:t>
            </w:r>
          </w:p>
        </w:tc>
        <w:tc>
          <w:tcPr>
            <w:tcW w:w="2604" w:type="dxa"/>
            <w:noWrap w:val="0"/>
            <w:vAlign w:val="center"/>
          </w:tcPr>
          <w:p w14:paraId="18E63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64B6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Merge w:val="continue"/>
            <w:noWrap w:val="0"/>
            <w:vAlign w:val="center"/>
          </w:tcPr>
          <w:p w14:paraId="523B7D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p>
        </w:tc>
        <w:tc>
          <w:tcPr>
            <w:tcW w:w="1595" w:type="dxa"/>
            <w:noWrap w:val="0"/>
            <w:vAlign w:val="center"/>
          </w:tcPr>
          <w:p w14:paraId="44488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服务质量</w:t>
            </w:r>
          </w:p>
        </w:tc>
        <w:tc>
          <w:tcPr>
            <w:tcW w:w="5346" w:type="dxa"/>
            <w:noWrap w:val="0"/>
            <w:vAlign w:val="center"/>
          </w:tcPr>
          <w:p w14:paraId="7E4A68A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对校园保洁、绿化管护人员统筹安排科学合理，协调得当。</w:t>
            </w:r>
          </w:p>
        </w:tc>
        <w:tc>
          <w:tcPr>
            <w:tcW w:w="2604" w:type="dxa"/>
            <w:noWrap w:val="0"/>
            <w:vAlign w:val="center"/>
          </w:tcPr>
          <w:p w14:paraId="7B9A94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4132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noWrap w:val="0"/>
            <w:vAlign w:val="center"/>
          </w:tcPr>
          <w:p w14:paraId="0DAEB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整体效果</w:t>
            </w:r>
          </w:p>
        </w:tc>
        <w:tc>
          <w:tcPr>
            <w:tcW w:w="1595" w:type="dxa"/>
            <w:noWrap w:val="0"/>
            <w:vAlign w:val="center"/>
          </w:tcPr>
          <w:p w14:paraId="36DCB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服务质量</w:t>
            </w:r>
          </w:p>
        </w:tc>
        <w:tc>
          <w:tcPr>
            <w:tcW w:w="5346" w:type="dxa"/>
            <w:noWrap w:val="0"/>
            <w:vAlign w:val="center"/>
          </w:tcPr>
          <w:p w14:paraId="388EA52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校园干净整洁、美观大方等各项设施设备运行正常，为学校提供安全、舒适的教育教学环境。</w:t>
            </w:r>
          </w:p>
        </w:tc>
        <w:tc>
          <w:tcPr>
            <w:tcW w:w="2604" w:type="dxa"/>
            <w:noWrap w:val="0"/>
            <w:vAlign w:val="center"/>
          </w:tcPr>
          <w:p w14:paraId="70C281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发现一处不符合扣0.5分</w:t>
            </w:r>
          </w:p>
        </w:tc>
      </w:tr>
      <w:tr w14:paraId="2E4D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noWrap w:val="0"/>
            <w:vAlign w:val="center"/>
          </w:tcPr>
          <w:p w14:paraId="69708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其他</w:t>
            </w:r>
          </w:p>
        </w:tc>
        <w:tc>
          <w:tcPr>
            <w:tcW w:w="1595" w:type="dxa"/>
            <w:noWrap w:val="0"/>
            <w:vAlign w:val="center"/>
          </w:tcPr>
          <w:p w14:paraId="59D50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投诉</w:t>
            </w:r>
          </w:p>
        </w:tc>
        <w:tc>
          <w:tcPr>
            <w:tcW w:w="5346" w:type="dxa"/>
            <w:noWrap w:val="0"/>
            <w:vAlign w:val="center"/>
          </w:tcPr>
          <w:p w14:paraId="2B51E01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因物业服务质量差，未达到采购人要求，被有效投诉的等。</w:t>
            </w:r>
          </w:p>
        </w:tc>
        <w:tc>
          <w:tcPr>
            <w:tcW w:w="2604" w:type="dxa"/>
            <w:noWrap w:val="0"/>
            <w:vAlign w:val="center"/>
          </w:tcPr>
          <w:p w14:paraId="20009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2"/>
                <w:szCs w:val="16"/>
                <w:highlight w:val="none"/>
                <w:vertAlign w:val="baseline"/>
                <w:lang w:val="en-US" w:eastAsia="zh-CN"/>
              </w:rPr>
            </w:pPr>
            <w:r>
              <w:rPr>
                <w:rFonts w:hint="eastAsia" w:ascii="黑体" w:hAnsi="黑体" w:eastAsia="黑体" w:cs="黑体"/>
                <w:color w:val="auto"/>
                <w:sz w:val="22"/>
                <w:szCs w:val="16"/>
                <w:highlight w:val="none"/>
                <w:vertAlign w:val="baseline"/>
                <w:lang w:val="en-US" w:eastAsia="zh-CN"/>
              </w:rPr>
              <w:t>发现一处不符合扣或投诉1分</w:t>
            </w:r>
          </w:p>
        </w:tc>
      </w:tr>
    </w:tbl>
    <w:p w14:paraId="61DD167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备注：每月考核基础分为100分，以下扣分项有一处不符扣掉相应分数，月底累计总扣分数得出本月考核分。</w:t>
      </w:r>
    </w:p>
    <w:p w14:paraId="797683C5">
      <w:pPr>
        <w:pStyle w:val="8"/>
        <w:spacing w:line="360" w:lineRule="auto"/>
        <w:ind w:right="-470" w:rightChars="-168" w:firstLine="480" w:firstLineChars="200"/>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①：成交供应商未按照要求配置人员数量的，采购人有权每月按照月成交薪酬总额÷应配人数×“缺岗人数×缺岗天数”的标准，予以扣除服务费。未按照资质要求配备人员的，成交供应商必须更换，更换期间每月按照月成交薪酬总额÷应配人数×不符合要求人数×50%的标准扣除服务费用。</w:t>
      </w:r>
    </w:p>
    <w:p w14:paraId="14A3635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签订合同前采购人可根据实际需求补充完善本考核细则标准。</w:t>
      </w:r>
    </w:p>
    <w:p w14:paraId="706A1AB5">
      <w:pPr>
        <w:pStyle w:val="8"/>
        <w:numPr>
          <w:ilvl w:val="0"/>
          <w:numId w:val="3"/>
        </w:numPr>
        <w:spacing w:line="360" w:lineRule="auto"/>
        <w:ind w:right="-470" w:rightChars="-168" w:firstLine="482" w:firstLineChars="200"/>
        <w:jc w:val="left"/>
        <w:outlineLvl w:val="1"/>
        <w:rPr>
          <w:rFonts w:hint="eastAsia" w:ascii="黑体" w:hAnsi="黑体" w:eastAsia="黑体" w:cs="黑体"/>
          <w:b/>
          <w:bCs/>
          <w:color w:val="auto"/>
          <w:kern w:val="0"/>
          <w:sz w:val="24"/>
          <w:szCs w:val="24"/>
          <w:highlight w:val="none"/>
          <w:lang w:val="en-US" w:eastAsia="zh-CN"/>
        </w:rPr>
      </w:pPr>
      <w:bookmarkStart w:id="165" w:name="_Toc11355"/>
      <w:bookmarkStart w:id="166" w:name="_Toc9556"/>
      <w:bookmarkStart w:id="167" w:name="_Toc9944_WPSOffice_Level2"/>
      <w:bookmarkStart w:id="168" w:name="_Toc16621"/>
      <w:bookmarkStart w:id="169" w:name="_Toc15926_WPSOffice_Level2"/>
      <w:bookmarkStart w:id="170" w:name="_Toc12672"/>
      <w:bookmarkStart w:id="171" w:name="_Toc344475123"/>
      <w:bookmarkStart w:id="172" w:name="_Toc31166"/>
      <w:bookmarkStart w:id="173" w:name="_Toc24378_WPSOffice_Level2"/>
      <w:bookmarkStart w:id="174" w:name="_Toc31463_WPSOffice_Level2"/>
      <w:bookmarkStart w:id="175" w:name="_Toc14695_WPSOffice_Level2"/>
      <w:bookmarkStart w:id="176" w:name="_Toc11340_WPSOffice_Level2"/>
      <w:bookmarkStart w:id="177" w:name="_Toc17137_WPSOffice_Level2"/>
      <w:r>
        <w:rPr>
          <w:rFonts w:hint="eastAsia" w:ascii="黑体" w:hAnsi="黑体" w:eastAsia="黑体" w:cs="黑体"/>
          <w:b/>
          <w:bCs/>
          <w:color w:val="auto"/>
          <w:kern w:val="0"/>
          <w:sz w:val="24"/>
          <w:szCs w:val="24"/>
          <w:highlight w:val="none"/>
          <w:lang w:val="en-US" w:eastAsia="zh-CN"/>
        </w:rPr>
        <w:t>履约保证金</w:t>
      </w:r>
      <w:bookmarkEnd w:id="165"/>
    </w:p>
    <w:p w14:paraId="354E4359">
      <w:pPr>
        <w:pStyle w:val="8"/>
        <w:spacing w:line="360" w:lineRule="auto"/>
        <w:ind w:right="-470" w:rightChars="-168" w:firstLine="480" w:firstLineChars="200"/>
        <w:jc w:val="left"/>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1、成交在领取中标通知书后10日内，签订合同前向采购人缴纳成交金额的5%作为履约保证金（以支票、汇票、本票或者金融机构、担保机构出具的保函等非现金形式提交），成交供应商若未按时缴纳履约保证金，则失去成为成交供应商资格。</w:t>
      </w:r>
    </w:p>
    <w:p w14:paraId="3C94BDB6">
      <w:pPr>
        <w:pStyle w:val="8"/>
        <w:spacing w:line="360" w:lineRule="auto"/>
        <w:ind w:right="-470" w:rightChars="-168" w:firstLine="480" w:firstLineChars="200"/>
        <w:jc w:val="left"/>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2、服务期满后，履约保证金由采购人在3个工作日内无息退还。</w:t>
      </w:r>
    </w:p>
    <w:p w14:paraId="30C3180A">
      <w:pPr>
        <w:pStyle w:val="8"/>
        <w:spacing w:line="360" w:lineRule="auto"/>
        <w:ind w:right="-470" w:rightChars="-168" w:firstLine="480" w:firstLineChars="200"/>
        <w:jc w:val="left"/>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3、成交供应商在其服务期内，按照竞采文件和合同约定质量要求履行。服务中的一切风险均由成交供应商独自承担责任。</w:t>
      </w:r>
    </w:p>
    <w:p w14:paraId="6C60C6D4">
      <w:pPr>
        <w:pStyle w:val="8"/>
        <w:spacing w:line="360" w:lineRule="auto"/>
        <w:ind w:right="-470" w:rightChars="-168" w:firstLine="482" w:firstLineChars="200"/>
        <w:jc w:val="left"/>
        <w:outlineLvl w:val="1"/>
        <w:rPr>
          <w:rFonts w:hint="eastAsia" w:ascii="黑体" w:hAnsi="黑体" w:eastAsia="黑体" w:cs="黑体"/>
          <w:b/>
          <w:bCs/>
          <w:color w:val="auto"/>
          <w:kern w:val="0"/>
          <w:sz w:val="24"/>
          <w:szCs w:val="24"/>
          <w:highlight w:val="none"/>
        </w:rPr>
      </w:pPr>
      <w:bookmarkStart w:id="178" w:name="_Toc10619"/>
      <w:r>
        <w:rPr>
          <w:rFonts w:hint="eastAsia" w:ascii="黑体" w:hAnsi="黑体" w:eastAsia="黑体" w:cs="黑体"/>
          <w:b/>
          <w:bCs/>
          <w:color w:val="auto"/>
          <w:sz w:val="24"/>
          <w:szCs w:val="24"/>
          <w:highlight w:val="none"/>
          <w:lang w:val="en-US" w:eastAsia="zh-CN"/>
        </w:rPr>
        <w:t>六、</w:t>
      </w:r>
      <w:r>
        <w:rPr>
          <w:rFonts w:hint="eastAsia" w:ascii="黑体" w:hAnsi="黑体" w:eastAsia="黑体" w:cs="黑体"/>
          <w:b/>
          <w:bCs/>
          <w:color w:val="auto"/>
          <w:kern w:val="0"/>
          <w:sz w:val="24"/>
          <w:szCs w:val="24"/>
          <w:highlight w:val="none"/>
        </w:rPr>
        <w:t>知识产权</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7174B835">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rPr>
      </w:pPr>
      <w:bookmarkStart w:id="179" w:name="_Toc14737"/>
      <w:bookmarkStart w:id="180" w:name="_Toc29525"/>
      <w:r>
        <w:rPr>
          <w:rFonts w:hint="eastAsia" w:ascii="黑体" w:hAnsi="黑体" w:eastAsia="黑体" w:cs="黑体"/>
          <w:color w:val="auto"/>
          <w:kern w:val="0"/>
          <w:sz w:val="24"/>
          <w:szCs w:val="24"/>
          <w:highlight w:val="none"/>
          <w:lang w:eastAsia="zh-CN"/>
        </w:rPr>
        <w:t>采购人</w:t>
      </w:r>
      <w:r>
        <w:rPr>
          <w:rFonts w:hint="eastAsia" w:ascii="黑体" w:hAnsi="黑体" w:eastAsia="黑体" w:cs="黑体"/>
          <w:color w:val="auto"/>
          <w:kern w:val="0"/>
          <w:sz w:val="24"/>
          <w:szCs w:val="24"/>
          <w:highlight w:val="none"/>
        </w:rPr>
        <w:t>在中华人民共和国境内使用</w:t>
      </w:r>
      <w:r>
        <w:rPr>
          <w:rFonts w:hint="eastAsia" w:ascii="黑体" w:hAnsi="黑体" w:eastAsia="黑体" w:cs="黑体"/>
          <w:color w:val="auto"/>
          <w:kern w:val="0"/>
          <w:sz w:val="24"/>
          <w:szCs w:val="24"/>
          <w:highlight w:val="none"/>
          <w:lang w:eastAsia="zh-CN"/>
        </w:rPr>
        <w:t>成交供应商</w:t>
      </w:r>
      <w:r>
        <w:rPr>
          <w:rFonts w:hint="eastAsia" w:ascii="黑体" w:hAnsi="黑体" w:eastAsia="黑体" w:cs="黑体"/>
          <w:color w:val="auto"/>
          <w:kern w:val="0"/>
          <w:sz w:val="24"/>
          <w:szCs w:val="24"/>
          <w:highlight w:val="none"/>
        </w:rPr>
        <w:t>提供的设计成果时免受第三方提出的侵犯其专利权或其它知识产权的起诉。如果第三方提出侵权指控，</w:t>
      </w:r>
      <w:r>
        <w:rPr>
          <w:rFonts w:hint="eastAsia" w:ascii="黑体" w:hAnsi="黑体" w:eastAsia="黑体" w:cs="黑体"/>
          <w:color w:val="auto"/>
          <w:kern w:val="0"/>
          <w:sz w:val="24"/>
          <w:szCs w:val="24"/>
          <w:highlight w:val="none"/>
          <w:lang w:eastAsia="zh-CN"/>
        </w:rPr>
        <w:t>成交供应商</w:t>
      </w:r>
      <w:r>
        <w:rPr>
          <w:rFonts w:hint="eastAsia" w:ascii="黑体" w:hAnsi="黑体" w:eastAsia="黑体" w:cs="黑体"/>
          <w:color w:val="auto"/>
          <w:kern w:val="0"/>
          <w:sz w:val="24"/>
          <w:szCs w:val="24"/>
          <w:highlight w:val="none"/>
        </w:rPr>
        <w:t>应承担由此而引起的一切法律责任和费用。</w:t>
      </w:r>
      <w:bookmarkEnd w:id="132"/>
      <w:bookmarkEnd w:id="179"/>
      <w:bookmarkEnd w:id="180"/>
      <w:bookmarkStart w:id="181" w:name="_Hlt168477487"/>
      <w:bookmarkEnd w:id="181"/>
      <w:bookmarkStart w:id="182" w:name="_Hlt168477484"/>
      <w:bookmarkEnd w:id="182"/>
      <w:bookmarkStart w:id="183" w:name="_Toc16217_WPSOffice_Level2"/>
      <w:bookmarkStart w:id="184" w:name="_Toc15252_WPSOffice_Level2"/>
      <w:bookmarkStart w:id="185" w:name="_Toc10968_WPSOffice_Level2"/>
      <w:bookmarkStart w:id="186" w:name="_Toc17108"/>
      <w:bookmarkStart w:id="187" w:name="_Toc472_WPSOffice_Level2"/>
      <w:bookmarkStart w:id="188" w:name="_Toc17502"/>
      <w:bookmarkStart w:id="189" w:name="_Toc13538_WPSOffice_Level2"/>
      <w:bookmarkStart w:id="190" w:name="_Toc9237_WPSOffice_Level2"/>
      <w:bookmarkStart w:id="191" w:name="_Toc825"/>
      <w:bookmarkStart w:id="192" w:name="_Toc12972_WPSOffice_Level2"/>
      <w:bookmarkStart w:id="193" w:name="_Toc22054"/>
      <w:bookmarkStart w:id="194" w:name="_Toc12789072"/>
    </w:p>
    <w:p w14:paraId="3EAE50DF">
      <w:pPr>
        <w:pStyle w:val="3"/>
        <w:ind w:firstLine="482" w:firstLineChars="200"/>
        <w:rPr>
          <w:rFonts w:hint="eastAsia" w:ascii="黑体" w:hAnsi="黑体" w:eastAsia="黑体" w:cs="黑体"/>
          <w:color w:val="auto"/>
          <w:kern w:val="0"/>
          <w:sz w:val="24"/>
          <w:szCs w:val="24"/>
          <w:highlight w:val="none"/>
        </w:rPr>
      </w:pPr>
      <w:bookmarkStart w:id="195" w:name="_Toc27637"/>
      <w:bookmarkStart w:id="196" w:name="_Toc31803"/>
      <w:bookmarkStart w:id="197" w:name="_Toc20435"/>
      <w:bookmarkStart w:id="198" w:name="_Toc5038"/>
      <w:bookmarkStart w:id="199" w:name="_Toc1949"/>
      <w:bookmarkStart w:id="200" w:name="_Toc106030515"/>
      <w:bookmarkStart w:id="201" w:name="_Toc10982"/>
      <w:bookmarkStart w:id="202" w:name="_Toc7629"/>
      <w:bookmarkStart w:id="203" w:name="_Toc26926"/>
      <w:bookmarkStart w:id="204" w:name="_Toc75793514"/>
      <w:bookmarkStart w:id="205" w:name="_Toc20088"/>
      <w:bookmarkStart w:id="206" w:name="_Toc4784"/>
      <w:bookmarkStart w:id="207" w:name="_Toc26257"/>
      <w:bookmarkStart w:id="208" w:name="_Toc15109"/>
      <w:bookmarkStart w:id="209" w:name="_Toc1026"/>
      <w:bookmarkStart w:id="210" w:name="_Toc15548"/>
      <w:bookmarkStart w:id="211" w:name="_Toc267320053"/>
      <w:bookmarkStart w:id="212" w:name="_Toc15159"/>
      <w:bookmarkStart w:id="213" w:name="_Toc29615"/>
      <w:bookmarkStart w:id="214" w:name="_Toc17381"/>
      <w:bookmarkStart w:id="215" w:name="_Toc21152"/>
      <w:r>
        <w:rPr>
          <w:rFonts w:hint="eastAsia" w:ascii="黑体" w:hAnsi="黑体" w:cs="黑体"/>
          <w:b/>
          <w:color w:val="auto"/>
          <w:sz w:val="24"/>
          <w:szCs w:val="24"/>
          <w:highlight w:val="none"/>
          <w:lang w:val="en-US" w:eastAsia="zh-CN"/>
        </w:rPr>
        <w:t>七</w:t>
      </w:r>
      <w:r>
        <w:rPr>
          <w:rFonts w:hint="eastAsia" w:ascii="黑体" w:hAnsi="黑体" w:eastAsia="黑体" w:cs="黑体"/>
          <w:b/>
          <w:color w:val="auto"/>
          <w:sz w:val="24"/>
          <w:szCs w:val="24"/>
          <w:highlight w:val="none"/>
        </w:rPr>
        <w:t>、</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6" w:name="_Toc6385"/>
      <w:bookmarkStart w:id="217" w:name="_Toc17569"/>
      <w:bookmarkStart w:id="218" w:name="_Toc28758"/>
      <w:bookmarkStart w:id="219" w:name="_Toc25606"/>
      <w:bookmarkStart w:id="220" w:name="_Toc30515"/>
      <w:bookmarkStart w:id="221" w:name="_Toc75793516"/>
      <w:bookmarkStart w:id="222" w:name="_Toc14923"/>
      <w:bookmarkStart w:id="223" w:name="_Toc1138"/>
      <w:bookmarkStart w:id="224" w:name="_Toc29763"/>
      <w:bookmarkStart w:id="225" w:name="_Toc4353"/>
      <w:bookmarkStart w:id="226" w:name="_Toc19675"/>
      <w:bookmarkStart w:id="227" w:name="_Toc529"/>
      <w:bookmarkStart w:id="228" w:name="_Toc23858"/>
      <w:bookmarkStart w:id="229" w:name="_Toc27175"/>
      <w:bookmarkStart w:id="230" w:name="_Toc6099"/>
      <w:bookmarkStart w:id="231" w:name="_Toc10406"/>
      <w:bookmarkStart w:id="232" w:name="_Toc18613"/>
      <w:bookmarkStart w:id="233" w:name="_Toc106030517"/>
      <w:r>
        <w:rPr>
          <w:rFonts w:hint="eastAsia" w:ascii="黑体" w:hAnsi="黑体" w:eastAsia="黑体" w:cs="黑体"/>
          <w:b/>
          <w:color w:val="auto"/>
          <w:sz w:val="24"/>
          <w:szCs w:val="24"/>
          <w:highlight w:val="none"/>
        </w:rPr>
        <w:t>其他商务要求内容</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B91A88A">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rPr>
      </w:pPr>
      <w:bookmarkStart w:id="234" w:name="_Toc19561"/>
      <w:bookmarkStart w:id="235" w:name="_Toc16453"/>
      <w:r>
        <w:rPr>
          <w:rFonts w:hint="eastAsia" w:ascii="黑体" w:hAnsi="黑体" w:eastAsia="黑体" w:cs="黑体"/>
          <w:color w:val="auto"/>
          <w:kern w:val="0"/>
          <w:sz w:val="24"/>
          <w:szCs w:val="24"/>
          <w:highlight w:val="none"/>
        </w:rPr>
        <w:t>（一）</w:t>
      </w:r>
      <w:r>
        <w:rPr>
          <w:rFonts w:hint="eastAsia" w:ascii="黑体" w:hAnsi="黑体" w:eastAsia="黑体" w:cs="黑体"/>
          <w:color w:val="auto"/>
          <w:kern w:val="0"/>
          <w:sz w:val="24"/>
          <w:szCs w:val="24"/>
          <w:highlight w:val="none"/>
          <w:lang w:val="en-US" w:eastAsia="zh-CN"/>
        </w:rPr>
        <w:t>供应商</w:t>
      </w:r>
      <w:r>
        <w:rPr>
          <w:rFonts w:hint="eastAsia" w:ascii="黑体" w:hAnsi="黑体" w:eastAsia="黑体" w:cs="黑体"/>
          <w:color w:val="auto"/>
          <w:kern w:val="0"/>
          <w:sz w:val="24"/>
          <w:szCs w:val="24"/>
          <w:highlight w:val="none"/>
        </w:rPr>
        <w:t>必须在</w:t>
      </w:r>
      <w:r>
        <w:rPr>
          <w:rFonts w:hint="eastAsia" w:ascii="黑体" w:hAnsi="黑体" w:eastAsia="黑体" w:cs="黑体"/>
          <w:color w:val="auto"/>
          <w:kern w:val="0"/>
          <w:sz w:val="24"/>
          <w:szCs w:val="24"/>
          <w:highlight w:val="none"/>
          <w:lang w:val="en-US" w:eastAsia="zh-CN"/>
        </w:rPr>
        <w:t>响应</w:t>
      </w:r>
      <w:r>
        <w:rPr>
          <w:rFonts w:hint="eastAsia" w:ascii="黑体" w:hAnsi="黑体" w:eastAsia="黑体" w:cs="黑体"/>
          <w:color w:val="auto"/>
          <w:kern w:val="0"/>
          <w:sz w:val="24"/>
          <w:szCs w:val="24"/>
          <w:highlight w:val="none"/>
        </w:rPr>
        <w:t>文件中对以上条款和服务承诺明确列出，承诺内容必须达到本篇及</w:t>
      </w:r>
      <w:r>
        <w:rPr>
          <w:rFonts w:hint="eastAsia" w:ascii="黑体" w:hAnsi="黑体" w:eastAsia="黑体" w:cs="黑体"/>
          <w:color w:val="auto"/>
          <w:kern w:val="0"/>
          <w:sz w:val="24"/>
          <w:szCs w:val="24"/>
          <w:highlight w:val="none"/>
          <w:lang w:val="en-US" w:eastAsia="zh-CN"/>
        </w:rPr>
        <w:t>采购</w:t>
      </w:r>
      <w:r>
        <w:rPr>
          <w:rFonts w:hint="eastAsia" w:ascii="黑体" w:hAnsi="黑体" w:eastAsia="黑体" w:cs="黑体"/>
          <w:color w:val="auto"/>
          <w:kern w:val="0"/>
          <w:sz w:val="24"/>
          <w:szCs w:val="24"/>
          <w:highlight w:val="none"/>
        </w:rPr>
        <w:t>文件其他条款的要求。</w:t>
      </w:r>
      <w:bookmarkEnd w:id="234"/>
      <w:bookmarkEnd w:id="235"/>
    </w:p>
    <w:p w14:paraId="6FF44785">
      <w:pPr>
        <w:pStyle w:val="8"/>
        <w:spacing w:line="360" w:lineRule="auto"/>
        <w:ind w:right="-470" w:rightChars="-168" w:firstLine="480" w:firstLineChars="200"/>
        <w:jc w:val="left"/>
        <w:outlineLvl w:val="1"/>
        <w:rPr>
          <w:rFonts w:hint="eastAsia" w:ascii="黑体" w:hAnsi="黑体" w:eastAsia="黑体" w:cs="黑体"/>
          <w:color w:val="auto"/>
          <w:kern w:val="0"/>
          <w:sz w:val="24"/>
          <w:szCs w:val="24"/>
          <w:highlight w:val="none"/>
        </w:rPr>
      </w:pPr>
      <w:bookmarkStart w:id="236" w:name="_Toc27997"/>
      <w:bookmarkStart w:id="237" w:name="_Toc20645"/>
      <w:r>
        <w:rPr>
          <w:rFonts w:hint="eastAsia" w:ascii="黑体" w:hAnsi="黑体" w:eastAsia="黑体" w:cs="黑体"/>
          <w:color w:val="auto"/>
          <w:kern w:val="0"/>
          <w:sz w:val="24"/>
          <w:szCs w:val="24"/>
          <w:highlight w:val="none"/>
        </w:rPr>
        <w:t>（二）其他未尽事宜由供需双方在采购合同中详细约定。</w:t>
      </w:r>
      <w:bookmarkEnd w:id="236"/>
      <w:bookmarkEnd w:id="237"/>
    </w:p>
    <w:bookmarkEnd w:id="183"/>
    <w:bookmarkEnd w:id="184"/>
    <w:bookmarkEnd w:id="185"/>
    <w:bookmarkEnd w:id="186"/>
    <w:bookmarkEnd w:id="187"/>
    <w:bookmarkEnd w:id="188"/>
    <w:bookmarkEnd w:id="189"/>
    <w:bookmarkEnd w:id="190"/>
    <w:bookmarkEnd w:id="191"/>
    <w:bookmarkEnd w:id="192"/>
    <w:p w14:paraId="6977E320">
      <w:pPr>
        <w:pStyle w:val="8"/>
        <w:spacing w:line="360" w:lineRule="auto"/>
        <w:ind w:right="-470" w:rightChars="-168" w:firstLine="640" w:firstLineChars="200"/>
        <w:jc w:val="left"/>
        <w:rPr>
          <w:rFonts w:hint="eastAsia" w:ascii="黑体" w:hAnsi="黑体" w:eastAsia="黑体" w:cs="黑体"/>
          <w:b/>
          <w:color w:val="auto"/>
          <w:sz w:val="21"/>
          <w:szCs w:val="21"/>
          <w:highlight w:val="none"/>
        </w:rPr>
      </w:pPr>
      <w:r>
        <w:rPr>
          <w:rFonts w:hint="eastAsia" w:ascii="黑体" w:hAnsi="黑体" w:eastAsia="黑体" w:cs="黑体"/>
          <w:color w:val="auto"/>
          <w:highlight w:val="none"/>
        </w:rPr>
        <w:br w:type="page"/>
      </w:r>
    </w:p>
    <w:bookmarkEnd w:id="193"/>
    <w:p w14:paraId="453FF3CA">
      <w:pPr>
        <w:pStyle w:val="2"/>
        <w:numPr>
          <w:ilvl w:val="0"/>
          <w:numId w:val="4"/>
        </w:numPr>
        <w:spacing w:line="360" w:lineRule="auto"/>
        <w:jc w:val="center"/>
        <w:rPr>
          <w:rFonts w:hint="eastAsia" w:ascii="黑体" w:hAnsi="黑体" w:eastAsia="黑体" w:cs="黑体"/>
          <w:color w:val="auto"/>
          <w:sz w:val="32"/>
          <w:szCs w:val="32"/>
          <w:highlight w:val="none"/>
        </w:rPr>
      </w:pPr>
      <w:bookmarkStart w:id="238" w:name="招标文件06章图纸01"/>
      <w:bookmarkEnd w:id="238"/>
      <w:bookmarkStart w:id="239" w:name="招标文件05章工程量清单01"/>
      <w:bookmarkEnd w:id="239"/>
      <w:bookmarkStart w:id="240" w:name="招标文件06章图纸02"/>
      <w:bookmarkEnd w:id="240"/>
      <w:bookmarkStart w:id="241" w:name="_Toc2052"/>
      <w:bookmarkStart w:id="242" w:name="_Toc305056096"/>
      <w:bookmarkStart w:id="243" w:name="_Toc291153585"/>
      <w:bookmarkStart w:id="244" w:name="_Toc224103483"/>
      <w:r>
        <w:rPr>
          <w:rFonts w:hint="eastAsia" w:ascii="黑体" w:hAnsi="黑体" w:eastAsia="黑体" w:cs="黑体"/>
          <w:color w:val="auto"/>
          <w:sz w:val="32"/>
          <w:szCs w:val="32"/>
          <w:highlight w:val="none"/>
          <w:lang w:val="en-US" w:eastAsia="zh-CN"/>
        </w:rPr>
        <w:t>磋商程序及方法、评审标准、无效响应和采购终止</w:t>
      </w:r>
      <w:bookmarkEnd w:id="241"/>
    </w:p>
    <w:p w14:paraId="701E5BF9">
      <w:pPr>
        <w:pStyle w:val="3"/>
        <w:widowControl/>
        <w:spacing w:before="312" w:line="360" w:lineRule="auto"/>
        <w:ind w:firstLine="482" w:firstLineChars="200"/>
        <w:rPr>
          <w:rFonts w:hint="eastAsia" w:ascii="黑体" w:hAnsi="黑体" w:eastAsia="黑体" w:cs="黑体"/>
          <w:color w:val="auto"/>
          <w:sz w:val="24"/>
          <w:szCs w:val="24"/>
          <w:highlight w:val="none"/>
        </w:rPr>
      </w:pPr>
      <w:bookmarkStart w:id="245" w:name="_Toc1594"/>
      <w:r>
        <w:rPr>
          <w:rFonts w:hint="eastAsia" w:ascii="黑体" w:hAnsi="黑体" w:eastAsia="黑体" w:cs="黑体"/>
          <w:color w:val="auto"/>
          <w:sz w:val="24"/>
          <w:szCs w:val="24"/>
          <w:highlight w:val="none"/>
        </w:rPr>
        <w:t>一、磋商程序及方法</w:t>
      </w:r>
      <w:bookmarkEnd w:id="245"/>
    </w:p>
    <w:p w14:paraId="7115EEC3">
      <w:pPr>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F82B7F3">
      <w:pPr>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（二）磋商小组对各供应商的资格条件、响应文件的有效性、完整性和响应程度进行审查。各供应商只有在完全符合要求的前提下，才能参与正式磋商。 </w:t>
      </w:r>
    </w:p>
    <w:p w14:paraId="4A04BF06">
      <w:pPr>
        <w:snapToGrid w:val="0"/>
        <w:spacing w:line="360" w:lineRule="auto"/>
        <w:ind w:firstLine="480" w:firstLineChars="200"/>
        <w:rPr>
          <w:rFonts w:hint="eastAsia" w:ascii="黑体" w:hAnsi="黑体" w:eastAsia="黑体" w:cs="黑体"/>
          <w:kern w:val="0"/>
          <w:sz w:val="24"/>
          <w:szCs w:val="24"/>
        </w:rPr>
      </w:pPr>
      <w:bookmarkStart w:id="246" w:name="_Toc26930"/>
      <w:bookmarkStart w:id="247" w:name="_Toc352"/>
      <w:r>
        <w:rPr>
          <w:rFonts w:hint="eastAsia" w:ascii="黑体" w:hAnsi="黑体" w:eastAsia="黑体" w:cs="黑体"/>
          <w:sz w:val="24"/>
          <w:szCs w:val="24"/>
        </w:rPr>
        <w:t>1.</w:t>
      </w:r>
      <w:r>
        <w:rPr>
          <w:rFonts w:hint="eastAsia" w:ascii="黑体" w:hAnsi="黑体" w:eastAsia="黑体" w:cs="黑体"/>
          <w:kern w:val="0"/>
          <w:sz w:val="24"/>
          <w:szCs w:val="24"/>
        </w:rPr>
        <w:t>资格性审查。依据法律法规和竞争性磋商文件的规定，对响应文件中的资格证明等进行审查，以确定供应商是否具备磋商资格。资格性审查资料表如下：</w:t>
      </w:r>
    </w:p>
    <w:tbl>
      <w:tblPr>
        <w:tblStyle w:val="22"/>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298"/>
      </w:tblGrid>
      <w:tr w14:paraId="6CFE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304DAD8">
            <w:pPr>
              <w:spacing w:line="360" w:lineRule="auto"/>
              <w:jc w:val="center"/>
              <w:rPr>
                <w:rFonts w:hint="eastAsia" w:ascii="黑体" w:hAnsi="黑体" w:eastAsia="黑体" w:cs="黑体"/>
                <w:b/>
                <w:kern w:val="0"/>
                <w:sz w:val="24"/>
                <w:szCs w:val="24"/>
              </w:rPr>
            </w:pPr>
            <w:r>
              <w:rPr>
                <w:rFonts w:hint="eastAsia" w:ascii="黑体" w:hAnsi="黑体" w:eastAsia="黑体" w:cs="黑体"/>
                <w:b/>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75218A3">
            <w:pPr>
              <w:spacing w:line="360" w:lineRule="auto"/>
              <w:jc w:val="center"/>
              <w:rPr>
                <w:rFonts w:hint="eastAsia" w:ascii="黑体" w:hAnsi="黑体" w:eastAsia="黑体" w:cs="黑体"/>
                <w:b/>
                <w:kern w:val="0"/>
                <w:sz w:val="24"/>
                <w:szCs w:val="24"/>
              </w:rPr>
            </w:pPr>
            <w:r>
              <w:rPr>
                <w:rFonts w:hint="eastAsia" w:ascii="黑体" w:hAnsi="黑体" w:eastAsia="黑体" w:cs="黑体"/>
                <w:b/>
                <w:kern w:val="0"/>
                <w:sz w:val="24"/>
                <w:szCs w:val="24"/>
              </w:rPr>
              <w:t>检查因素</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7F797DC1">
            <w:pPr>
              <w:spacing w:line="360" w:lineRule="auto"/>
              <w:jc w:val="center"/>
              <w:rPr>
                <w:rFonts w:hint="eastAsia" w:ascii="黑体" w:hAnsi="黑体" w:eastAsia="黑体" w:cs="黑体"/>
                <w:b/>
                <w:kern w:val="0"/>
                <w:sz w:val="24"/>
                <w:szCs w:val="24"/>
              </w:rPr>
            </w:pPr>
            <w:r>
              <w:rPr>
                <w:rFonts w:hint="eastAsia" w:ascii="黑体" w:hAnsi="黑体" w:eastAsia="黑体" w:cs="黑体"/>
                <w:b/>
                <w:kern w:val="0"/>
                <w:sz w:val="24"/>
                <w:szCs w:val="24"/>
              </w:rPr>
              <w:t>检查内容</w:t>
            </w:r>
          </w:p>
        </w:tc>
      </w:tr>
      <w:tr w14:paraId="42ED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44CAD9C">
            <w:pPr>
              <w:spacing w:line="360" w:lineRule="auto"/>
              <w:jc w:val="center"/>
              <w:rPr>
                <w:rFonts w:hint="eastAsia" w:ascii="黑体" w:hAnsi="黑体" w:eastAsia="黑体" w:cs="黑体"/>
                <w:sz w:val="24"/>
                <w:szCs w:val="24"/>
              </w:rPr>
            </w:pPr>
            <w:r>
              <w:rPr>
                <w:rFonts w:hint="eastAsia" w:ascii="黑体" w:hAnsi="黑体" w:eastAsia="黑体" w:cs="黑体"/>
                <w:sz w:val="24"/>
                <w:szCs w:val="24"/>
              </w:rPr>
              <w:t>（一）</w:t>
            </w:r>
          </w:p>
        </w:tc>
        <w:tc>
          <w:tcPr>
            <w:tcW w:w="709" w:type="dxa"/>
            <w:vMerge w:val="restart"/>
            <w:noWrap w:val="0"/>
            <w:vAlign w:val="center"/>
          </w:tcPr>
          <w:p w14:paraId="0BB481B4">
            <w:pPr>
              <w:spacing w:line="360" w:lineRule="auto"/>
              <w:rPr>
                <w:rFonts w:hint="eastAsia" w:ascii="黑体" w:hAnsi="黑体" w:eastAsia="黑体" w:cs="黑体"/>
                <w:sz w:val="24"/>
                <w:szCs w:val="24"/>
                <w:lang w:val="zh-CN"/>
              </w:rPr>
            </w:pPr>
            <w:r>
              <w:rPr>
                <w:rFonts w:hint="eastAsia" w:ascii="黑体" w:hAnsi="黑体" w:eastAsia="黑体" w:cs="黑体"/>
                <w:sz w:val="24"/>
                <w:szCs w:val="24"/>
                <w:lang w:val="zh-CN"/>
              </w:rPr>
              <w:t>《中华人民共和国政府采购法》第二十二条规定</w:t>
            </w:r>
          </w:p>
        </w:tc>
        <w:tc>
          <w:tcPr>
            <w:tcW w:w="3118" w:type="dxa"/>
            <w:noWrap w:val="0"/>
            <w:vAlign w:val="center"/>
          </w:tcPr>
          <w:p w14:paraId="7AEECA48">
            <w:pPr>
              <w:spacing w:line="360" w:lineRule="auto"/>
              <w:rPr>
                <w:rFonts w:hint="eastAsia" w:ascii="黑体" w:hAnsi="黑体" w:eastAsia="黑体" w:cs="黑体"/>
                <w:sz w:val="24"/>
                <w:szCs w:val="24"/>
              </w:rPr>
            </w:pPr>
            <w:r>
              <w:rPr>
                <w:rFonts w:hint="eastAsia" w:ascii="黑体" w:hAnsi="黑体" w:eastAsia="黑体" w:cs="黑体"/>
                <w:sz w:val="24"/>
                <w:szCs w:val="24"/>
              </w:rPr>
              <w:t>1.具有独立承担民事责任的能力</w:t>
            </w:r>
          </w:p>
        </w:tc>
        <w:tc>
          <w:tcPr>
            <w:tcW w:w="4298" w:type="dxa"/>
            <w:noWrap w:val="0"/>
            <w:vAlign w:val="center"/>
          </w:tcPr>
          <w:p w14:paraId="56A51844">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1.供应商法人营业执照（副本）或事业单位法人证书（副本）或个体工商户营业执照或有效的自然人身份证明或社会团体法人登记证书（提供复印件）。 </w:t>
            </w:r>
          </w:p>
          <w:p w14:paraId="3BC713CC">
            <w:pPr>
              <w:spacing w:line="360" w:lineRule="auto"/>
              <w:rPr>
                <w:rFonts w:hint="eastAsia" w:ascii="黑体" w:hAnsi="黑体" w:eastAsia="黑体" w:cs="黑体"/>
                <w:sz w:val="24"/>
                <w:szCs w:val="24"/>
              </w:rPr>
            </w:pPr>
            <w:r>
              <w:rPr>
                <w:rFonts w:hint="eastAsia" w:ascii="黑体" w:hAnsi="黑体" w:eastAsia="黑体" w:cs="黑体"/>
                <w:sz w:val="24"/>
                <w:szCs w:val="24"/>
              </w:rPr>
              <w:t>2.供应商法定代表人身份证明和法定代表人授权代表委托书。</w:t>
            </w:r>
          </w:p>
        </w:tc>
      </w:tr>
      <w:tr w14:paraId="58B0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C12A8D3">
            <w:pPr>
              <w:spacing w:line="360" w:lineRule="auto"/>
              <w:jc w:val="center"/>
              <w:rPr>
                <w:rFonts w:hint="eastAsia" w:ascii="黑体" w:hAnsi="黑体" w:eastAsia="黑体" w:cs="黑体"/>
                <w:sz w:val="24"/>
                <w:szCs w:val="24"/>
              </w:rPr>
            </w:pPr>
          </w:p>
        </w:tc>
        <w:tc>
          <w:tcPr>
            <w:tcW w:w="709" w:type="dxa"/>
            <w:vMerge w:val="continue"/>
            <w:noWrap w:val="0"/>
            <w:vAlign w:val="center"/>
          </w:tcPr>
          <w:p w14:paraId="226D9B37">
            <w:pPr>
              <w:spacing w:line="360" w:lineRule="auto"/>
              <w:rPr>
                <w:rFonts w:hint="eastAsia" w:ascii="黑体" w:hAnsi="黑体" w:eastAsia="黑体" w:cs="黑体"/>
                <w:sz w:val="24"/>
                <w:szCs w:val="24"/>
                <w:lang w:val="zh-CN"/>
              </w:rPr>
            </w:pPr>
          </w:p>
        </w:tc>
        <w:tc>
          <w:tcPr>
            <w:tcW w:w="3118" w:type="dxa"/>
            <w:noWrap w:val="0"/>
            <w:vAlign w:val="center"/>
          </w:tcPr>
          <w:p w14:paraId="51C9895E">
            <w:pPr>
              <w:spacing w:line="360" w:lineRule="auto"/>
              <w:rPr>
                <w:rFonts w:hint="eastAsia" w:ascii="黑体" w:hAnsi="黑体" w:eastAsia="黑体" w:cs="黑体"/>
                <w:sz w:val="24"/>
                <w:szCs w:val="24"/>
              </w:rPr>
            </w:pPr>
            <w:r>
              <w:rPr>
                <w:rFonts w:hint="eastAsia" w:ascii="黑体" w:hAnsi="黑体" w:eastAsia="黑体" w:cs="黑体"/>
                <w:sz w:val="24"/>
                <w:szCs w:val="24"/>
                <w:lang w:val="zh-CN"/>
              </w:rPr>
              <w:t>2.</w:t>
            </w:r>
            <w:r>
              <w:rPr>
                <w:rFonts w:hint="eastAsia" w:ascii="黑体" w:hAnsi="黑体" w:eastAsia="黑体" w:cs="黑体"/>
                <w:sz w:val="24"/>
                <w:szCs w:val="24"/>
              </w:rPr>
              <w:t>具有良好的商业信誉和健全的财务会计制度</w:t>
            </w:r>
          </w:p>
        </w:tc>
        <w:tc>
          <w:tcPr>
            <w:tcW w:w="4298" w:type="dxa"/>
            <w:vMerge w:val="restart"/>
            <w:noWrap w:val="0"/>
            <w:vAlign w:val="center"/>
          </w:tcPr>
          <w:p w14:paraId="45A7B8D3">
            <w:pPr>
              <w:spacing w:line="360" w:lineRule="auto"/>
              <w:rPr>
                <w:rFonts w:hint="eastAsia" w:ascii="黑体" w:hAnsi="黑体" w:eastAsia="黑体" w:cs="黑体"/>
                <w:b/>
                <w:sz w:val="24"/>
                <w:szCs w:val="24"/>
              </w:rPr>
            </w:pPr>
            <w:r>
              <w:rPr>
                <w:rFonts w:hint="eastAsia" w:ascii="黑体" w:hAnsi="黑体" w:eastAsia="黑体" w:cs="黑体"/>
                <w:sz w:val="24"/>
                <w:szCs w:val="24"/>
              </w:rPr>
              <w:t>供应商提供“基本资格条件承诺函”（格式详见第七篇）</w:t>
            </w:r>
          </w:p>
        </w:tc>
      </w:tr>
      <w:tr w14:paraId="493F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0B4CC6">
            <w:pPr>
              <w:spacing w:line="360" w:lineRule="auto"/>
              <w:jc w:val="center"/>
              <w:rPr>
                <w:rFonts w:hint="eastAsia" w:ascii="黑体" w:hAnsi="黑体" w:eastAsia="黑体" w:cs="黑体"/>
                <w:sz w:val="24"/>
                <w:szCs w:val="24"/>
              </w:rPr>
            </w:pPr>
          </w:p>
        </w:tc>
        <w:tc>
          <w:tcPr>
            <w:tcW w:w="709" w:type="dxa"/>
            <w:vMerge w:val="continue"/>
            <w:noWrap w:val="0"/>
            <w:vAlign w:val="center"/>
          </w:tcPr>
          <w:p w14:paraId="6DE65E04">
            <w:pPr>
              <w:spacing w:line="360" w:lineRule="auto"/>
              <w:rPr>
                <w:rFonts w:hint="eastAsia" w:ascii="黑体" w:hAnsi="黑体" w:eastAsia="黑体" w:cs="黑体"/>
                <w:sz w:val="24"/>
                <w:szCs w:val="24"/>
                <w:lang w:val="zh-CN"/>
              </w:rPr>
            </w:pPr>
          </w:p>
        </w:tc>
        <w:tc>
          <w:tcPr>
            <w:tcW w:w="3118" w:type="dxa"/>
            <w:noWrap w:val="0"/>
            <w:vAlign w:val="center"/>
          </w:tcPr>
          <w:p w14:paraId="56513DB2">
            <w:pPr>
              <w:spacing w:line="360" w:lineRule="auto"/>
              <w:rPr>
                <w:rFonts w:hint="eastAsia" w:ascii="黑体" w:hAnsi="黑体" w:eastAsia="黑体" w:cs="黑体"/>
                <w:sz w:val="24"/>
                <w:szCs w:val="24"/>
                <w:lang w:val="zh-CN"/>
              </w:rPr>
            </w:pPr>
            <w:r>
              <w:rPr>
                <w:rFonts w:hint="eastAsia" w:ascii="黑体" w:hAnsi="黑体" w:eastAsia="黑体" w:cs="黑体"/>
                <w:sz w:val="24"/>
                <w:szCs w:val="24"/>
                <w:lang w:val="zh-CN"/>
              </w:rPr>
              <w:t>3.具有履行合同所必需的设备和专业技术能力</w:t>
            </w:r>
          </w:p>
        </w:tc>
        <w:tc>
          <w:tcPr>
            <w:tcW w:w="4298" w:type="dxa"/>
            <w:vMerge w:val="continue"/>
            <w:noWrap w:val="0"/>
            <w:vAlign w:val="center"/>
          </w:tcPr>
          <w:p w14:paraId="36361DE3">
            <w:pPr>
              <w:spacing w:line="360" w:lineRule="auto"/>
              <w:rPr>
                <w:rFonts w:hint="eastAsia" w:ascii="黑体" w:hAnsi="黑体" w:eastAsia="黑体" w:cs="黑体"/>
                <w:sz w:val="24"/>
                <w:szCs w:val="24"/>
              </w:rPr>
            </w:pPr>
          </w:p>
        </w:tc>
      </w:tr>
      <w:tr w14:paraId="5EC9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CE01E2A">
            <w:pPr>
              <w:spacing w:line="360" w:lineRule="auto"/>
              <w:jc w:val="center"/>
              <w:rPr>
                <w:rFonts w:hint="eastAsia" w:ascii="黑体" w:hAnsi="黑体" w:eastAsia="黑体" w:cs="黑体"/>
                <w:sz w:val="24"/>
                <w:szCs w:val="24"/>
              </w:rPr>
            </w:pPr>
          </w:p>
        </w:tc>
        <w:tc>
          <w:tcPr>
            <w:tcW w:w="709" w:type="dxa"/>
            <w:vMerge w:val="continue"/>
            <w:noWrap w:val="0"/>
            <w:vAlign w:val="center"/>
          </w:tcPr>
          <w:p w14:paraId="72A6C69D">
            <w:pPr>
              <w:spacing w:line="360" w:lineRule="auto"/>
              <w:rPr>
                <w:rFonts w:hint="eastAsia" w:ascii="黑体" w:hAnsi="黑体" w:eastAsia="黑体" w:cs="黑体"/>
                <w:sz w:val="24"/>
                <w:szCs w:val="24"/>
                <w:lang w:val="zh-CN"/>
              </w:rPr>
            </w:pPr>
          </w:p>
        </w:tc>
        <w:tc>
          <w:tcPr>
            <w:tcW w:w="3118" w:type="dxa"/>
            <w:noWrap w:val="0"/>
            <w:vAlign w:val="center"/>
          </w:tcPr>
          <w:p w14:paraId="57ACE06D">
            <w:pPr>
              <w:spacing w:line="360" w:lineRule="auto"/>
              <w:rPr>
                <w:rFonts w:hint="eastAsia" w:ascii="黑体" w:hAnsi="黑体" w:eastAsia="黑体" w:cs="黑体"/>
                <w:sz w:val="24"/>
                <w:szCs w:val="24"/>
                <w:lang w:val="zh-CN"/>
              </w:rPr>
            </w:pPr>
            <w:r>
              <w:rPr>
                <w:rFonts w:hint="eastAsia" w:ascii="黑体" w:hAnsi="黑体" w:eastAsia="黑体" w:cs="黑体"/>
                <w:sz w:val="24"/>
                <w:szCs w:val="24"/>
                <w:lang w:val="zh-CN"/>
              </w:rPr>
              <w:t>4.有依法缴纳税收和社会保障金的良好记录</w:t>
            </w:r>
          </w:p>
        </w:tc>
        <w:tc>
          <w:tcPr>
            <w:tcW w:w="4298" w:type="dxa"/>
            <w:vMerge w:val="continue"/>
            <w:noWrap w:val="0"/>
            <w:vAlign w:val="center"/>
          </w:tcPr>
          <w:p w14:paraId="34978D2A">
            <w:pPr>
              <w:spacing w:line="360" w:lineRule="auto"/>
              <w:rPr>
                <w:rFonts w:hint="eastAsia" w:ascii="黑体" w:hAnsi="黑体" w:eastAsia="黑体" w:cs="黑体"/>
                <w:sz w:val="24"/>
                <w:szCs w:val="24"/>
              </w:rPr>
            </w:pPr>
          </w:p>
        </w:tc>
      </w:tr>
      <w:tr w14:paraId="7171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D96CCBA">
            <w:pPr>
              <w:spacing w:line="360" w:lineRule="auto"/>
              <w:jc w:val="center"/>
              <w:rPr>
                <w:rFonts w:hint="eastAsia" w:ascii="黑体" w:hAnsi="黑体" w:eastAsia="黑体" w:cs="黑体"/>
                <w:sz w:val="24"/>
                <w:szCs w:val="24"/>
              </w:rPr>
            </w:pPr>
          </w:p>
        </w:tc>
        <w:tc>
          <w:tcPr>
            <w:tcW w:w="709" w:type="dxa"/>
            <w:vMerge w:val="continue"/>
            <w:noWrap w:val="0"/>
            <w:vAlign w:val="center"/>
          </w:tcPr>
          <w:p w14:paraId="28D15FEE">
            <w:pPr>
              <w:spacing w:line="360" w:lineRule="auto"/>
              <w:rPr>
                <w:rFonts w:hint="eastAsia" w:ascii="黑体" w:hAnsi="黑体" w:eastAsia="黑体" w:cs="黑体"/>
                <w:sz w:val="24"/>
                <w:szCs w:val="24"/>
                <w:lang w:val="zh-CN"/>
              </w:rPr>
            </w:pPr>
          </w:p>
        </w:tc>
        <w:tc>
          <w:tcPr>
            <w:tcW w:w="3118" w:type="dxa"/>
            <w:noWrap w:val="0"/>
            <w:vAlign w:val="center"/>
          </w:tcPr>
          <w:p w14:paraId="231479BA">
            <w:pPr>
              <w:spacing w:line="360" w:lineRule="auto"/>
              <w:rPr>
                <w:rFonts w:hint="eastAsia" w:ascii="黑体" w:hAnsi="黑体" w:eastAsia="黑体" w:cs="黑体"/>
                <w:sz w:val="24"/>
                <w:szCs w:val="24"/>
                <w:lang w:val="zh-CN"/>
              </w:rPr>
            </w:pPr>
            <w:r>
              <w:rPr>
                <w:rFonts w:hint="eastAsia" w:ascii="黑体" w:hAnsi="黑体" w:eastAsia="黑体" w:cs="黑体"/>
                <w:sz w:val="24"/>
                <w:szCs w:val="24"/>
              </w:rPr>
              <w:t>5.参加政府采购活动前三年内，在经营活动中没有重大违法记录</w:t>
            </w:r>
          </w:p>
        </w:tc>
        <w:tc>
          <w:tcPr>
            <w:tcW w:w="4298" w:type="dxa"/>
            <w:vMerge w:val="continue"/>
            <w:noWrap w:val="0"/>
            <w:vAlign w:val="center"/>
          </w:tcPr>
          <w:p w14:paraId="171765A5">
            <w:pPr>
              <w:spacing w:line="360" w:lineRule="auto"/>
              <w:rPr>
                <w:rFonts w:hint="eastAsia" w:ascii="黑体" w:hAnsi="黑体" w:eastAsia="黑体" w:cs="黑体"/>
                <w:b/>
                <w:sz w:val="24"/>
                <w:szCs w:val="24"/>
              </w:rPr>
            </w:pPr>
          </w:p>
        </w:tc>
      </w:tr>
      <w:tr w14:paraId="3EF2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0EBE983">
            <w:pPr>
              <w:spacing w:line="360" w:lineRule="auto"/>
              <w:jc w:val="center"/>
              <w:rPr>
                <w:rFonts w:hint="eastAsia" w:ascii="黑体" w:hAnsi="黑体" w:eastAsia="黑体" w:cs="黑体"/>
                <w:sz w:val="24"/>
                <w:szCs w:val="24"/>
              </w:rPr>
            </w:pPr>
          </w:p>
        </w:tc>
        <w:tc>
          <w:tcPr>
            <w:tcW w:w="709" w:type="dxa"/>
            <w:vMerge w:val="continue"/>
            <w:noWrap w:val="0"/>
            <w:vAlign w:val="center"/>
          </w:tcPr>
          <w:p w14:paraId="47A1973B">
            <w:pPr>
              <w:spacing w:line="360" w:lineRule="auto"/>
              <w:rPr>
                <w:rFonts w:hint="eastAsia" w:ascii="黑体" w:hAnsi="黑体" w:eastAsia="黑体" w:cs="黑体"/>
                <w:sz w:val="24"/>
                <w:szCs w:val="24"/>
              </w:rPr>
            </w:pPr>
          </w:p>
        </w:tc>
        <w:tc>
          <w:tcPr>
            <w:tcW w:w="3118" w:type="dxa"/>
            <w:noWrap w:val="0"/>
            <w:vAlign w:val="center"/>
          </w:tcPr>
          <w:p w14:paraId="035DF925">
            <w:pPr>
              <w:spacing w:line="360" w:lineRule="auto"/>
              <w:rPr>
                <w:rFonts w:hint="eastAsia" w:ascii="黑体" w:hAnsi="黑体" w:eastAsia="黑体" w:cs="黑体"/>
                <w:sz w:val="24"/>
                <w:szCs w:val="24"/>
              </w:rPr>
            </w:pPr>
            <w:r>
              <w:rPr>
                <w:rFonts w:hint="eastAsia" w:ascii="黑体" w:hAnsi="黑体" w:eastAsia="黑体" w:cs="黑体"/>
                <w:sz w:val="24"/>
                <w:szCs w:val="24"/>
              </w:rPr>
              <w:t>6.法律、行政法规规定的其他条件</w:t>
            </w:r>
          </w:p>
        </w:tc>
        <w:tc>
          <w:tcPr>
            <w:tcW w:w="4298" w:type="dxa"/>
            <w:noWrap w:val="0"/>
            <w:vAlign w:val="center"/>
          </w:tcPr>
          <w:p w14:paraId="0E3EED69">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w:t>
            </w:r>
          </w:p>
        </w:tc>
      </w:tr>
      <w:tr w14:paraId="67FB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1FE6E97">
            <w:pPr>
              <w:spacing w:line="360" w:lineRule="auto"/>
              <w:jc w:val="center"/>
              <w:rPr>
                <w:rFonts w:hint="eastAsia" w:ascii="黑体" w:hAnsi="黑体" w:eastAsia="黑体" w:cs="黑体"/>
                <w:sz w:val="24"/>
                <w:szCs w:val="24"/>
              </w:rPr>
            </w:pPr>
          </w:p>
        </w:tc>
        <w:tc>
          <w:tcPr>
            <w:tcW w:w="709" w:type="dxa"/>
            <w:vMerge w:val="continue"/>
            <w:noWrap w:val="0"/>
            <w:vAlign w:val="center"/>
          </w:tcPr>
          <w:p w14:paraId="0D7B563F">
            <w:pPr>
              <w:spacing w:line="360" w:lineRule="auto"/>
              <w:rPr>
                <w:rFonts w:hint="eastAsia" w:ascii="黑体" w:hAnsi="黑体" w:eastAsia="黑体" w:cs="黑体"/>
                <w:sz w:val="24"/>
                <w:szCs w:val="24"/>
              </w:rPr>
            </w:pPr>
          </w:p>
        </w:tc>
        <w:tc>
          <w:tcPr>
            <w:tcW w:w="3118" w:type="dxa"/>
            <w:noWrap w:val="0"/>
            <w:vAlign w:val="center"/>
          </w:tcPr>
          <w:p w14:paraId="69E9F88B">
            <w:pPr>
              <w:spacing w:line="360" w:lineRule="auto"/>
              <w:rPr>
                <w:rFonts w:hint="eastAsia" w:ascii="黑体" w:hAnsi="黑体" w:eastAsia="黑体" w:cs="黑体"/>
                <w:sz w:val="24"/>
                <w:szCs w:val="24"/>
              </w:rPr>
            </w:pPr>
            <w:r>
              <w:rPr>
                <w:rFonts w:hint="eastAsia" w:ascii="黑体" w:hAnsi="黑体" w:eastAsia="黑体" w:cs="黑体"/>
                <w:sz w:val="24"/>
                <w:szCs w:val="24"/>
              </w:rPr>
              <w:t>7.本项目的特定资格要求</w:t>
            </w:r>
          </w:p>
        </w:tc>
        <w:tc>
          <w:tcPr>
            <w:tcW w:w="4298" w:type="dxa"/>
            <w:noWrap w:val="0"/>
            <w:vAlign w:val="center"/>
          </w:tcPr>
          <w:p w14:paraId="4596627E">
            <w:pPr>
              <w:spacing w:line="360" w:lineRule="auto"/>
              <w:rPr>
                <w:rFonts w:hint="eastAsia" w:ascii="黑体" w:hAnsi="黑体" w:eastAsia="黑体" w:cs="黑体"/>
                <w:sz w:val="24"/>
                <w:szCs w:val="24"/>
              </w:rPr>
            </w:pPr>
            <w:r>
              <w:rPr>
                <w:rFonts w:hint="eastAsia" w:ascii="黑体" w:hAnsi="黑体" w:eastAsia="黑体" w:cs="黑体"/>
                <w:sz w:val="24"/>
                <w:szCs w:val="24"/>
              </w:rPr>
              <w:t>按“第一篇</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三、供应商资格要求（三）本项目的特定资格要求”的要求提交。</w:t>
            </w:r>
          </w:p>
        </w:tc>
      </w:tr>
      <w:tr w14:paraId="091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C94581">
            <w:pPr>
              <w:spacing w:line="360" w:lineRule="auto"/>
              <w:jc w:val="center"/>
              <w:rPr>
                <w:rFonts w:hint="eastAsia" w:ascii="黑体" w:hAnsi="黑体" w:eastAsia="黑体" w:cs="黑体"/>
                <w:sz w:val="24"/>
                <w:szCs w:val="24"/>
              </w:rPr>
            </w:pPr>
            <w:r>
              <w:rPr>
                <w:rFonts w:hint="eastAsia" w:ascii="黑体" w:hAnsi="黑体" w:eastAsia="黑体" w:cs="黑体"/>
                <w:sz w:val="24"/>
                <w:szCs w:val="24"/>
              </w:rPr>
              <w:t>（二）</w:t>
            </w:r>
          </w:p>
        </w:tc>
        <w:tc>
          <w:tcPr>
            <w:tcW w:w="3827" w:type="dxa"/>
            <w:gridSpan w:val="2"/>
            <w:noWrap w:val="0"/>
            <w:vAlign w:val="center"/>
          </w:tcPr>
          <w:p w14:paraId="3EDAA616">
            <w:pPr>
              <w:spacing w:line="360" w:lineRule="auto"/>
              <w:rPr>
                <w:rFonts w:hint="eastAsia" w:ascii="黑体" w:hAnsi="黑体" w:eastAsia="黑体" w:cs="黑体"/>
                <w:sz w:val="24"/>
                <w:szCs w:val="24"/>
              </w:rPr>
            </w:pPr>
            <w:r>
              <w:rPr>
                <w:rFonts w:hint="eastAsia" w:ascii="黑体" w:hAnsi="黑体" w:eastAsia="黑体" w:cs="黑体"/>
                <w:sz w:val="24"/>
                <w:szCs w:val="24"/>
                <w:lang w:eastAsia="zh-CN"/>
              </w:rPr>
              <w:t>参照</w:t>
            </w:r>
            <w:r>
              <w:rPr>
                <w:rFonts w:hint="eastAsia" w:ascii="黑体" w:hAnsi="黑体" w:eastAsia="黑体" w:cs="黑体"/>
                <w:sz w:val="24"/>
                <w:szCs w:val="24"/>
              </w:rPr>
              <w:t>落实政府采购政策需满足的资格要求</w:t>
            </w:r>
          </w:p>
        </w:tc>
        <w:tc>
          <w:tcPr>
            <w:tcW w:w="4298" w:type="dxa"/>
            <w:noWrap w:val="0"/>
            <w:vAlign w:val="center"/>
          </w:tcPr>
          <w:p w14:paraId="15729439">
            <w:pPr>
              <w:spacing w:line="360" w:lineRule="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按“第一篇 三、供应商资格要求（二）</w:t>
            </w:r>
            <w:r>
              <w:rPr>
                <w:rFonts w:hint="eastAsia" w:ascii="黑体" w:hAnsi="黑体" w:eastAsia="黑体" w:cs="黑体"/>
                <w:color w:val="auto"/>
                <w:sz w:val="24"/>
                <w:szCs w:val="24"/>
                <w:highlight w:val="none"/>
              </w:rPr>
              <w:t>落实政府采购政策需满足的资格要求</w:t>
            </w:r>
            <w:r>
              <w:rPr>
                <w:rFonts w:hint="eastAsia" w:ascii="黑体" w:hAnsi="黑体" w:eastAsia="黑体" w:cs="黑体"/>
                <w:sz w:val="24"/>
                <w:szCs w:val="24"/>
                <w:lang w:val="en-US" w:eastAsia="zh-CN"/>
              </w:rPr>
              <w:t>”的要求提交。</w:t>
            </w:r>
          </w:p>
        </w:tc>
      </w:tr>
      <w:bookmarkEnd w:id="246"/>
      <w:bookmarkEnd w:id="247"/>
    </w:tbl>
    <w:p w14:paraId="2C711416">
      <w:pPr>
        <w:spacing w:line="360" w:lineRule="auto"/>
        <w:ind w:firstLine="420"/>
        <w:rPr>
          <w:rFonts w:hint="eastAsia" w:ascii="黑体" w:hAnsi="黑体" w:eastAsia="黑体" w:cs="黑体"/>
          <w:color w:val="auto"/>
          <w:sz w:val="24"/>
          <w:szCs w:val="24"/>
          <w:highlight w:val="none"/>
        </w:rPr>
      </w:pPr>
      <w:bookmarkStart w:id="248" w:name="_Toc8164"/>
      <w:r>
        <w:rPr>
          <w:rFonts w:hint="eastAsia" w:ascii="黑体" w:hAnsi="黑体" w:eastAsia="黑体" w:cs="黑体"/>
          <w:color w:val="auto"/>
          <w:sz w:val="24"/>
          <w:szCs w:val="24"/>
          <w:highlight w:val="none"/>
        </w:rPr>
        <w:t>注：</w:t>
      </w:r>
    </w:p>
    <w:p w14:paraId="4998D780">
      <w:pPr>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eq \o\ac(○,1)</w:instrTex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黑体" w:hAnsi="黑体" w:eastAsia="黑体" w:cs="黑体"/>
          <w:color w:val="auto"/>
          <w:sz w:val="24"/>
          <w:szCs w:val="24"/>
          <w:highlight w:val="none"/>
          <w:lang w:eastAsia="zh-CN"/>
        </w:rPr>
        <w:t>参</w:t>
      </w:r>
      <w:r>
        <w:rPr>
          <w:rFonts w:hint="eastAsia" w:ascii="黑体" w:hAnsi="黑体" w:eastAsia="黑体" w:cs="黑体"/>
          <w:color w:val="auto"/>
          <w:sz w:val="24"/>
          <w:szCs w:val="24"/>
          <w:highlight w:val="none"/>
        </w:rPr>
        <w:t>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3D3903B">
      <w:pPr>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符合性审查。依据竞争性磋商文件的规定，从响应文件的有效性、完整性和对竞争性磋商文件的响应程度进行审查，以确定是否对竞争性磋商文件的实质性要求作出响应。符合性审查资料表如下：</w:t>
      </w:r>
    </w:p>
    <w:bookmarkEnd w:id="248"/>
    <w:tbl>
      <w:tblPr>
        <w:tblStyle w:val="2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0"/>
        <w:gridCol w:w="1974"/>
        <w:gridCol w:w="4653"/>
      </w:tblGrid>
      <w:tr w14:paraId="17B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099B06D">
            <w:pPr>
              <w:jc w:val="center"/>
              <w:rPr>
                <w:rFonts w:hint="eastAsia" w:ascii="黑体" w:hAnsi="黑体" w:eastAsia="黑体" w:cs="黑体"/>
                <w:b/>
                <w:kern w:val="0"/>
                <w:sz w:val="24"/>
                <w:szCs w:val="24"/>
              </w:rPr>
            </w:pPr>
            <w:bookmarkStart w:id="249" w:name="_Toc29970"/>
            <w:bookmarkStart w:id="250" w:name="_Toc27741"/>
            <w:r>
              <w:rPr>
                <w:rFonts w:hint="eastAsia" w:ascii="黑体" w:hAnsi="黑体" w:eastAsia="黑体" w:cs="黑体"/>
                <w:b/>
                <w:kern w:val="0"/>
                <w:sz w:val="24"/>
                <w:szCs w:val="24"/>
              </w:rPr>
              <w:t>序号</w:t>
            </w:r>
          </w:p>
        </w:tc>
        <w:tc>
          <w:tcPr>
            <w:tcW w:w="3544" w:type="dxa"/>
            <w:gridSpan w:val="2"/>
            <w:vAlign w:val="center"/>
          </w:tcPr>
          <w:p w14:paraId="0324AFA2">
            <w:pPr>
              <w:jc w:val="center"/>
              <w:rPr>
                <w:rFonts w:hint="eastAsia" w:ascii="黑体" w:hAnsi="黑体" w:eastAsia="黑体" w:cs="黑体"/>
                <w:b/>
                <w:kern w:val="0"/>
                <w:sz w:val="24"/>
                <w:szCs w:val="24"/>
              </w:rPr>
            </w:pPr>
            <w:r>
              <w:rPr>
                <w:rFonts w:hint="eastAsia" w:ascii="黑体" w:hAnsi="黑体" w:eastAsia="黑体" w:cs="黑体"/>
                <w:b/>
                <w:kern w:val="0"/>
                <w:sz w:val="24"/>
                <w:szCs w:val="24"/>
              </w:rPr>
              <w:t>评审因素</w:t>
            </w:r>
          </w:p>
        </w:tc>
        <w:tc>
          <w:tcPr>
            <w:tcW w:w="4653" w:type="dxa"/>
            <w:vAlign w:val="center"/>
          </w:tcPr>
          <w:p w14:paraId="014D1629">
            <w:pPr>
              <w:jc w:val="center"/>
              <w:rPr>
                <w:rFonts w:hint="eastAsia" w:ascii="黑体" w:hAnsi="黑体" w:eastAsia="黑体" w:cs="黑体"/>
                <w:b/>
                <w:kern w:val="0"/>
                <w:sz w:val="24"/>
                <w:szCs w:val="24"/>
              </w:rPr>
            </w:pPr>
            <w:r>
              <w:rPr>
                <w:rFonts w:hint="eastAsia" w:ascii="黑体" w:hAnsi="黑体" w:eastAsia="黑体" w:cs="黑体"/>
                <w:b/>
                <w:kern w:val="0"/>
                <w:sz w:val="24"/>
                <w:szCs w:val="24"/>
              </w:rPr>
              <w:t>评审标准</w:t>
            </w:r>
          </w:p>
        </w:tc>
      </w:tr>
      <w:tr w14:paraId="63F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88F8543">
            <w:pPr>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1570" w:type="dxa"/>
            <w:vMerge w:val="restart"/>
            <w:vAlign w:val="center"/>
          </w:tcPr>
          <w:p w14:paraId="0A87AE9A">
            <w:pPr>
              <w:rPr>
                <w:rFonts w:hint="eastAsia" w:ascii="黑体" w:hAnsi="黑体" w:eastAsia="黑体" w:cs="黑体"/>
                <w:kern w:val="0"/>
                <w:sz w:val="24"/>
                <w:szCs w:val="24"/>
              </w:rPr>
            </w:pPr>
            <w:r>
              <w:rPr>
                <w:rFonts w:hint="eastAsia" w:ascii="黑体" w:hAnsi="黑体" w:eastAsia="黑体" w:cs="黑体"/>
                <w:kern w:val="0"/>
                <w:sz w:val="24"/>
                <w:szCs w:val="24"/>
              </w:rPr>
              <w:t>有效性审查</w:t>
            </w:r>
          </w:p>
        </w:tc>
        <w:tc>
          <w:tcPr>
            <w:tcW w:w="1974" w:type="dxa"/>
            <w:vAlign w:val="center"/>
          </w:tcPr>
          <w:p w14:paraId="12D3DBFC">
            <w:pPr>
              <w:rPr>
                <w:rFonts w:hint="eastAsia" w:ascii="黑体" w:hAnsi="黑体" w:eastAsia="黑体" w:cs="黑体"/>
                <w:kern w:val="0"/>
                <w:sz w:val="24"/>
                <w:szCs w:val="24"/>
              </w:rPr>
            </w:pPr>
            <w:r>
              <w:rPr>
                <w:rFonts w:hint="eastAsia" w:ascii="黑体" w:hAnsi="黑体" w:eastAsia="黑体" w:cs="黑体"/>
                <w:sz w:val="24"/>
                <w:szCs w:val="24"/>
              </w:rPr>
              <w:t>响应文件签署或盖章</w:t>
            </w:r>
          </w:p>
        </w:tc>
        <w:tc>
          <w:tcPr>
            <w:tcW w:w="4653" w:type="dxa"/>
            <w:vAlign w:val="center"/>
          </w:tcPr>
          <w:p w14:paraId="7AFD14D6">
            <w:pPr>
              <w:rPr>
                <w:rFonts w:hint="eastAsia" w:ascii="黑体" w:hAnsi="黑体" w:eastAsia="黑体" w:cs="黑体"/>
                <w:kern w:val="0"/>
                <w:sz w:val="24"/>
                <w:szCs w:val="24"/>
              </w:rPr>
            </w:pPr>
            <w:r>
              <w:rPr>
                <w:rFonts w:hint="eastAsia" w:ascii="黑体" w:hAnsi="黑体" w:eastAsia="黑体" w:cs="黑体"/>
                <w:sz w:val="24"/>
                <w:szCs w:val="24"/>
              </w:rPr>
              <w:t>按竞争性磋商文件“第七篇响应文件编制要求”要求签署或盖章。</w:t>
            </w:r>
          </w:p>
        </w:tc>
      </w:tr>
      <w:tr w14:paraId="52F9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7EB3036">
            <w:pPr>
              <w:jc w:val="center"/>
              <w:rPr>
                <w:rFonts w:hint="eastAsia" w:ascii="黑体" w:hAnsi="黑体" w:eastAsia="黑体" w:cs="黑体"/>
                <w:kern w:val="0"/>
                <w:sz w:val="24"/>
                <w:szCs w:val="24"/>
              </w:rPr>
            </w:pPr>
          </w:p>
        </w:tc>
        <w:tc>
          <w:tcPr>
            <w:tcW w:w="1570" w:type="dxa"/>
            <w:vMerge w:val="continue"/>
            <w:vAlign w:val="center"/>
          </w:tcPr>
          <w:p w14:paraId="3B0CC71C">
            <w:pPr>
              <w:rPr>
                <w:rFonts w:hint="eastAsia" w:ascii="黑体" w:hAnsi="黑体" w:eastAsia="黑体" w:cs="黑体"/>
                <w:kern w:val="0"/>
                <w:sz w:val="24"/>
                <w:szCs w:val="24"/>
              </w:rPr>
            </w:pPr>
          </w:p>
        </w:tc>
        <w:tc>
          <w:tcPr>
            <w:tcW w:w="1974" w:type="dxa"/>
            <w:vAlign w:val="center"/>
          </w:tcPr>
          <w:p w14:paraId="1763E218">
            <w:pPr>
              <w:rPr>
                <w:rFonts w:hint="eastAsia" w:ascii="黑体" w:hAnsi="黑体" w:eastAsia="黑体" w:cs="黑体"/>
                <w:sz w:val="24"/>
                <w:szCs w:val="24"/>
              </w:rPr>
            </w:pPr>
            <w:r>
              <w:rPr>
                <w:rFonts w:hint="eastAsia" w:ascii="黑体" w:hAnsi="黑体" w:eastAsia="黑体" w:cs="黑体"/>
                <w:sz w:val="24"/>
                <w:szCs w:val="24"/>
              </w:rPr>
              <w:t>法定代表人身份证明及授权委托书</w:t>
            </w:r>
          </w:p>
        </w:tc>
        <w:tc>
          <w:tcPr>
            <w:tcW w:w="4653" w:type="dxa"/>
            <w:vAlign w:val="center"/>
          </w:tcPr>
          <w:p w14:paraId="04F0DCBC">
            <w:pPr>
              <w:rPr>
                <w:rFonts w:hint="eastAsia" w:ascii="黑体" w:hAnsi="黑体" w:eastAsia="黑体" w:cs="黑体"/>
                <w:sz w:val="24"/>
                <w:szCs w:val="24"/>
              </w:rPr>
            </w:pPr>
            <w:r>
              <w:rPr>
                <w:rFonts w:hint="eastAsia" w:ascii="黑体" w:hAnsi="黑体" w:eastAsia="黑体" w:cs="黑体"/>
                <w:sz w:val="24"/>
                <w:szCs w:val="24"/>
              </w:rPr>
              <w:t>法定代表人身份证明及授权委托书有效，符合竞争性磋商文件规定的格式，签署或盖章齐全。</w:t>
            </w:r>
          </w:p>
        </w:tc>
      </w:tr>
      <w:tr w14:paraId="6615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089E24F">
            <w:pPr>
              <w:jc w:val="center"/>
              <w:rPr>
                <w:rFonts w:hint="eastAsia" w:ascii="黑体" w:hAnsi="黑体" w:eastAsia="黑体" w:cs="黑体"/>
                <w:kern w:val="0"/>
                <w:sz w:val="24"/>
                <w:szCs w:val="24"/>
              </w:rPr>
            </w:pPr>
          </w:p>
        </w:tc>
        <w:tc>
          <w:tcPr>
            <w:tcW w:w="1570" w:type="dxa"/>
            <w:vMerge w:val="continue"/>
            <w:vAlign w:val="center"/>
          </w:tcPr>
          <w:p w14:paraId="588C97D0">
            <w:pPr>
              <w:rPr>
                <w:rFonts w:hint="eastAsia" w:ascii="黑体" w:hAnsi="黑体" w:eastAsia="黑体" w:cs="黑体"/>
                <w:kern w:val="0"/>
                <w:sz w:val="24"/>
                <w:szCs w:val="24"/>
              </w:rPr>
            </w:pPr>
          </w:p>
        </w:tc>
        <w:tc>
          <w:tcPr>
            <w:tcW w:w="1974" w:type="dxa"/>
            <w:vAlign w:val="center"/>
          </w:tcPr>
          <w:p w14:paraId="643F9FF9">
            <w:pPr>
              <w:rPr>
                <w:rFonts w:hint="eastAsia" w:ascii="黑体" w:hAnsi="黑体" w:eastAsia="黑体" w:cs="黑体"/>
                <w:sz w:val="24"/>
                <w:szCs w:val="24"/>
                <w:lang w:val="zh-CN"/>
              </w:rPr>
            </w:pPr>
            <w:r>
              <w:rPr>
                <w:rFonts w:hint="eastAsia" w:ascii="黑体" w:hAnsi="黑体" w:eastAsia="黑体" w:cs="黑体"/>
                <w:sz w:val="24"/>
                <w:szCs w:val="24"/>
              </w:rPr>
              <w:t>响应</w:t>
            </w:r>
            <w:r>
              <w:rPr>
                <w:rFonts w:hint="eastAsia" w:ascii="黑体" w:hAnsi="黑体" w:eastAsia="黑体" w:cs="黑体"/>
                <w:sz w:val="24"/>
                <w:szCs w:val="24"/>
                <w:lang w:val="zh-CN"/>
              </w:rPr>
              <w:t>方案</w:t>
            </w:r>
          </w:p>
        </w:tc>
        <w:tc>
          <w:tcPr>
            <w:tcW w:w="4653" w:type="dxa"/>
            <w:vAlign w:val="center"/>
          </w:tcPr>
          <w:p w14:paraId="01C74595">
            <w:pPr>
              <w:rPr>
                <w:rFonts w:hint="eastAsia" w:ascii="黑体" w:hAnsi="黑体" w:eastAsia="黑体" w:cs="黑体"/>
                <w:kern w:val="0"/>
                <w:sz w:val="24"/>
                <w:szCs w:val="24"/>
              </w:rPr>
            </w:pPr>
            <w:r>
              <w:rPr>
                <w:rFonts w:hint="eastAsia" w:ascii="黑体" w:hAnsi="黑体" w:eastAsia="黑体" w:cs="黑体"/>
                <w:sz w:val="24"/>
                <w:szCs w:val="24"/>
                <w:lang w:val="zh-CN"/>
              </w:rPr>
              <w:t>每个包只能有一个</w:t>
            </w:r>
            <w:r>
              <w:rPr>
                <w:rFonts w:hint="eastAsia" w:ascii="黑体" w:hAnsi="黑体" w:eastAsia="黑体" w:cs="黑体"/>
                <w:sz w:val="24"/>
                <w:szCs w:val="24"/>
              </w:rPr>
              <w:t>响应</w:t>
            </w:r>
            <w:r>
              <w:rPr>
                <w:rFonts w:hint="eastAsia" w:ascii="黑体" w:hAnsi="黑体" w:eastAsia="黑体" w:cs="黑体"/>
                <w:sz w:val="24"/>
                <w:szCs w:val="24"/>
                <w:lang w:val="zh-CN"/>
              </w:rPr>
              <w:t>方案。</w:t>
            </w:r>
          </w:p>
        </w:tc>
      </w:tr>
      <w:tr w14:paraId="4AC5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C8CCBFE">
            <w:pPr>
              <w:jc w:val="center"/>
              <w:rPr>
                <w:rFonts w:hint="eastAsia" w:ascii="黑体" w:hAnsi="黑体" w:eastAsia="黑体" w:cs="黑体"/>
                <w:kern w:val="0"/>
                <w:sz w:val="24"/>
                <w:szCs w:val="24"/>
              </w:rPr>
            </w:pPr>
          </w:p>
        </w:tc>
        <w:tc>
          <w:tcPr>
            <w:tcW w:w="1570" w:type="dxa"/>
            <w:vMerge w:val="continue"/>
            <w:vAlign w:val="center"/>
          </w:tcPr>
          <w:p w14:paraId="68C7791F">
            <w:pPr>
              <w:rPr>
                <w:rFonts w:hint="eastAsia" w:ascii="黑体" w:hAnsi="黑体" w:eastAsia="黑体" w:cs="黑体"/>
                <w:kern w:val="0"/>
                <w:sz w:val="24"/>
                <w:szCs w:val="24"/>
              </w:rPr>
            </w:pPr>
          </w:p>
        </w:tc>
        <w:tc>
          <w:tcPr>
            <w:tcW w:w="1974" w:type="dxa"/>
            <w:vAlign w:val="center"/>
          </w:tcPr>
          <w:p w14:paraId="437B3666">
            <w:pPr>
              <w:rPr>
                <w:rFonts w:hint="eastAsia" w:ascii="黑体" w:hAnsi="黑体" w:eastAsia="黑体" w:cs="黑体"/>
                <w:sz w:val="24"/>
                <w:szCs w:val="24"/>
                <w:lang w:val="zh-CN"/>
              </w:rPr>
            </w:pPr>
            <w:r>
              <w:rPr>
                <w:rFonts w:hint="eastAsia" w:ascii="黑体" w:hAnsi="黑体" w:eastAsia="黑体" w:cs="黑体"/>
                <w:sz w:val="24"/>
                <w:szCs w:val="24"/>
              </w:rPr>
              <w:t>报价唯一</w:t>
            </w:r>
          </w:p>
        </w:tc>
        <w:tc>
          <w:tcPr>
            <w:tcW w:w="4653" w:type="dxa"/>
            <w:vAlign w:val="center"/>
          </w:tcPr>
          <w:p w14:paraId="544DA52E">
            <w:pPr>
              <w:rPr>
                <w:rFonts w:hint="eastAsia" w:ascii="黑体" w:hAnsi="黑体" w:eastAsia="黑体" w:cs="黑体"/>
                <w:kern w:val="0"/>
                <w:sz w:val="24"/>
                <w:szCs w:val="24"/>
              </w:rPr>
            </w:pPr>
            <w:r>
              <w:rPr>
                <w:rFonts w:hint="eastAsia" w:ascii="黑体" w:hAnsi="黑体" w:eastAsia="黑体" w:cs="黑体"/>
                <w:sz w:val="24"/>
                <w:szCs w:val="24"/>
              </w:rPr>
              <w:t>只能有一个有效报价，不得提交选择性报价。</w:t>
            </w:r>
          </w:p>
        </w:tc>
      </w:tr>
      <w:tr w14:paraId="0A75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D47E48C">
            <w:pPr>
              <w:jc w:val="center"/>
              <w:rPr>
                <w:rFonts w:hint="eastAsia" w:ascii="黑体" w:hAnsi="黑体" w:eastAsia="黑体" w:cs="黑体"/>
                <w:kern w:val="0"/>
                <w:sz w:val="24"/>
                <w:szCs w:val="24"/>
              </w:rPr>
            </w:pPr>
            <w:r>
              <w:rPr>
                <w:rFonts w:hint="eastAsia" w:ascii="黑体" w:hAnsi="黑体" w:eastAsia="黑体" w:cs="黑体"/>
                <w:kern w:val="0"/>
                <w:sz w:val="24"/>
                <w:szCs w:val="24"/>
              </w:rPr>
              <w:t>2</w:t>
            </w:r>
          </w:p>
        </w:tc>
        <w:tc>
          <w:tcPr>
            <w:tcW w:w="1570" w:type="dxa"/>
            <w:vAlign w:val="center"/>
          </w:tcPr>
          <w:p w14:paraId="63C6683D">
            <w:pPr>
              <w:rPr>
                <w:rFonts w:hint="eastAsia" w:ascii="黑体" w:hAnsi="黑体" w:eastAsia="黑体" w:cs="黑体"/>
                <w:kern w:val="0"/>
                <w:sz w:val="24"/>
                <w:szCs w:val="24"/>
              </w:rPr>
            </w:pPr>
            <w:r>
              <w:rPr>
                <w:rFonts w:hint="eastAsia" w:ascii="黑体" w:hAnsi="黑体" w:eastAsia="黑体" w:cs="黑体"/>
                <w:kern w:val="0"/>
                <w:sz w:val="24"/>
                <w:szCs w:val="24"/>
              </w:rPr>
              <w:t>完整性审查</w:t>
            </w:r>
          </w:p>
        </w:tc>
        <w:tc>
          <w:tcPr>
            <w:tcW w:w="1974" w:type="dxa"/>
            <w:vAlign w:val="center"/>
          </w:tcPr>
          <w:p w14:paraId="570F2F30">
            <w:pPr>
              <w:rPr>
                <w:rFonts w:hint="eastAsia" w:ascii="黑体" w:hAnsi="黑体" w:eastAsia="黑体" w:cs="黑体"/>
                <w:kern w:val="0"/>
                <w:sz w:val="24"/>
                <w:szCs w:val="24"/>
              </w:rPr>
            </w:pPr>
            <w:r>
              <w:rPr>
                <w:rFonts w:hint="eastAsia" w:ascii="黑体" w:hAnsi="黑体" w:eastAsia="黑体" w:cs="黑体"/>
                <w:sz w:val="24"/>
                <w:szCs w:val="24"/>
              </w:rPr>
              <w:t>响应</w:t>
            </w:r>
            <w:r>
              <w:rPr>
                <w:rFonts w:hint="eastAsia" w:ascii="黑体" w:hAnsi="黑体" w:eastAsia="黑体" w:cs="黑体"/>
                <w:sz w:val="24"/>
                <w:szCs w:val="24"/>
                <w:lang w:val="zh-CN"/>
              </w:rPr>
              <w:t>文件份数</w:t>
            </w:r>
          </w:p>
        </w:tc>
        <w:tc>
          <w:tcPr>
            <w:tcW w:w="4653" w:type="dxa"/>
            <w:vAlign w:val="center"/>
          </w:tcPr>
          <w:p w14:paraId="71D6CD7A">
            <w:pPr>
              <w:rPr>
                <w:rFonts w:hint="eastAsia" w:ascii="黑体" w:hAnsi="黑体" w:eastAsia="黑体" w:cs="黑体"/>
                <w:kern w:val="0"/>
                <w:sz w:val="24"/>
                <w:szCs w:val="24"/>
              </w:rPr>
            </w:pPr>
            <w:r>
              <w:rPr>
                <w:rFonts w:hint="eastAsia" w:ascii="黑体" w:hAnsi="黑体" w:eastAsia="黑体" w:cs="黑体"/>
                <w:sz w:val="24"/>
                <w:szCs w:val="24"/>
              </w:rPr>
              <w:t>响应</w:t>
            </w:r>
            <w:r>
              <w:rPr>
                <w:rFonts w:hint="eastAsia" w:ascii="黑体" w:hAnsi="黑体" w:eastAsia="黑体" w:cs="黑体"/>
                <w:sz w:val="24"/>
                <w:szCs w:val="24"/>
                <w:lang w:val="zh-CN"/>
              </w:rPr>
              <w:t>文件份数</w:t>
            </w:r>
          </w:p>
        </w:tc>
      </w:tr>
      <w:tr w14:paraId="3314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restart"/>
            <w:vAlign w:val="center"/>
          </w:tcPr>
          <w:p w14:paraId="7A055D28">
            <w:pPr>
              <w:jc w:val="center"/>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1570" w:type="dxa"/>
            <w:vMerge w:val="restart"/>
            <w:vAlign w:val="center"/>
          </w:tcPr>
          <w:p w14:paraId="5A00B5FE">
            <w:pPr>
              <w:rPr>
                <w:rFonts w:hint="eastAsia" w:ascii="黑体" w:hAnsi="黑体" w:eastAsia="黑体" w:cs="黑体"/>
                <w:sz w:val="24"/>
                <w:szCs w:val="24"/>
                <w:lang w:val="zh-CN"/>
              </w:rPr>
            </w:pPr>
            <w:r>
              <w:rPr>
                <w:rFonts w:hint="eastAsia" w:ascii="黑体" w:hAnsi="黑体" w:eastAsia="黑体" w:cs="黑体"/>
                <w:kern w:val="0"/>
                <w:sz w:val="24"/>
                <w:szCs w:val="24"/>
              </w:rPr>
              <w:t>响应程度审查</w:t>
            </w:r>
          </w:p>
        </w:tc>
        <w:tc>
          <w:tcPr>
            <w:tcW w:w="1974" w:type="dxa"/>
            <w:vAlign w:val="center"/>
          </w:tcPr>
          <w:p w14:paraId="64042CF0">
            <w:pPr>
              <w:rPr>
                <w:rFonts w:hint="eastAsia" w:ascii="黑体" w:hAnsi="黑体" w:eastAsia="黑体" w:cs="黑体"/>
                <w:kern w:val="0"/>
                <w:sz w:val="24"/>
                <w:szCs w:val="24"/>
              </w:rPr>
            </w:pPr>
            <w:r>
              <w:rPr>
                <w:rFonts w:hint="eastAsia" w:ascii="黑体" w:hAnsi="黑体" w:eastAsia="黑体" w:cs="黑体"/>
                <w:kern w:val="0"/>
                <w:sz w:val="24"/>
                <w:szCs w:val="24"/>
              </w:rPr>
              <w:t>实质性响应</w:t>
            </w:r>
          </w:p>
        </w:tc>
        <w:tc>
          <w:tcPr>
            <w:tcW w:w="4653" w:type="dxa"/>
            <w:vAlign w:val="center"/>
          </w:tcPr>
          <w:p w14:paraId="543E5FB2">
            <w:pPr>
              <w:pStyle w:val="11"/>
              <w:rPr>
                <w:rFonts w:hint="eastAsia" w:ascii="黑体" w:hAnsi="黑体" w:eastAsia="黑体" w:cs="黑体"/>
                <w:kern w:val="0"/>
                <w:sz w:val="24"/>
                <w:szCs w:val="24"/>
              </w:rPr>
            </w:pPr>
            <w:r>
              <w:rPr>
                <w:rFonts w:hint="eastAsia" w:ascii="黑体" w:hAnsi="黑体" w:eastAsia="黑体" w:cs="黑体"/>
                <w:kern w:val="0"/>
                <w:sz w:val="24"/>
                <w:szCs w:val="24"/>
              </w:rPr>
              <w:t>竞争性磋商文件第二篇、第三篇全部内容。</w:t>
            </w:r>
          </w:p>
        </w:tc>
      </w:tr>
      <w:tr w14:paraId="5788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F2FD35B">
            <w:pPr>
              <w:jc w:val="center"/>
              <w:rPr>
                <w:rFonts w:hint="eastAsia" w:ascii="黑体" w:hAnsi="黑体" w:eastAsia="黑体" w:cs="黑体"/>
                <w:kern w:val="0"/>
                <w:sz w:val="24"/>
                <w:szCs w:val="24"/>
              </w:rPr>
            </w:pPr>
          </w:p>
        </w:tc>
        <w:tc>
          <w:tcPr>
            <w:tcW w:w="1570" w:type="dxa"/>
            <w:vMerge w:val="continue"/>
            <w:vAlign w:val="center"/>
          </w:tcPr>
          <w:p w14:paraId="7804BDA1">
            <w:pPr>
              <w:rPr>
                <w:rFonts w:hint="eastAsia" w:ascii="黑体" w:hAnsi="黑体" w:eastAsia="黑体" w:cs="黑体"/>
                <w:sz w:val="24"/>
                <w:szCs w:val="24"/>
                <w:lang w:val="zh-CN"/>
              </w:rPr>
            </w:pPr>
          </w:p>
        </w:tc>
        <w:tc>
          <w:tcPr>
            <w:tcW w:w="1974" w:type="dxa"/>
            <w:vAlign w:val="center"/>
          </w:tcPr>
          <w:p w14:paraId="76DEC573">
            <w:pPr>
              <w:rPr>
                <w:rFonts w:hint="eastAsia" w:ascii="黑体" w:hAnsi="黑体" w:eastAsia="黑体" w:cs="黑体"/>
                <w:kern w:val="0"/>
                <w:sz w:val="24"/>
                <w:szCs w:val="24"/>
              </w:rPr>
            </w:pPr>
            <w:r>
              <w:rPr>
                <w:rFonts w:hint="eastAsia" w:ascii="黑体" w:hAnsi="黑体" w:eastAsia="黑体" w:cs="黑体"/>
                <w:kern w:val="0"/>
                <w:sz w:val="24"/>
                <w:szCs w:val="24"/>
              </w:rPr>
              <w:t>磋商有效期</w:t>
            </w:r>
          </w:p>
        </w:tc>
        <w:tc>
          <w:tcPr>
            <w:tcW w:w="4653" w:type="dxa"/>
            <w:vAlign w:val="center"/>
          </w:tcPr>
          <w:p w14:paraId="57371A96">
            <w:pPr>
              <w:rPr>
                <w:rFonts w:hint="eastAsia" w:ascii="黑体" w:hAnsi="黑体" w:eastAsia="黑体" w:cs="黑体"/>
                <w:kern w:val="0"/>
                <w:sz w:val="24"/>
                <w:szCs w:val="24"/>
              </w:rPr>
            </w:pPr>
            <w:r>
              <w:rPr>
                <w:rFonts w:hint="eastAsia" w:ascii="黑体" w:hAnsi="黑体" w:eastAsia="黑体" w:cs="黑体"/>
                <w:kern w:val="0"/>
                <w:sz w:val="24"/>
                <w:szCs w:val="24"/>
              </w:rPr>
              <w:t>响应文件及有关承诺文件有效期为提交响应文件截止时间起90天。</w:t>
            </w:r>
          </w:p>
        </w:tc>
      </w:tr>
    </w:tbl>
    <w:p w14:paraId="4A65EEE4">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3.在采购过程中符合要求的供应商只有2家的，竞争性磋商采购活动可以继续进行。</w:t>
      </w:r>
    </w:p>
    <w:p w14:paraId="447DD5AE">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AA0E51">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1474FB6">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（五）在磋商过程中磋商的任何一方不得向他人透露与磋商有关的服务资料、价格或其他信息。</w:t>
      </w:r>
    </w:p>
    <w:p w14:paraId="6DFBF32C">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54C2DF1">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（七）供应商在磋商时作出的所有书面承诺须由法定代表人（或其授权代表）或自然人（供应商为自然人）签署。</w:t>
      </w:r>
    </w:p>
    <w:p w14:paraId="3616C446">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D58FD6F">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02303F3F">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竞争性磋商文件中对该种情况的处理方式予以明确。）</w:t>
      </w:r>
    </w:p>
    <w:bookmarkEnd w:id="249"/>
    <w:bookmarkEnd w:id="250"/>
    <w:p w14:paraId="570D0A16">
      <w:pPr>
        <w:rPr>
          <w:rFonts w:hint="eastAsia" w:ascii="黑体" w:hAnsi="黑体" w:eastAsia="黑体" w:cs="黑体"/>
          <w:b/>
          <w:bCs/>
          <w:color w:val="auto"/>
          <w:szCs w:val="24"/>
          <w:highlight w:val="none"/>
        </w:rPr>
      </w:pPr>
      <w:bookmarkStart w:id="251" w:name="_Toc26868"/>
      <w:bookmarkStart w:id="252" w:name="_Toc320957568"/>
      <w:bookmarkStart w:id="253" w:name="_Toc332030363"/>
      <w:bookmarkStart w:id="254" w:name="_Toc282463376"/>
      <w:bookmarkStart w:id="255" w:name="_Toc257799465"/>
      <w:bookmarkStart w:id="256" w:name="_Toc20941"/>
      <w:bookmarkStart w:id="257" w:name="_Toc4063"/>
      <w:bookmarkStart w:id="258" w:name="_Toc408214603"/>
      <w:bookmarkStart w:id="259" w:name="_Toc28904"/>
      <w:bookmarkStart w:id="260" w:name="_Toc255759376"/>
      <w:bookmarkStart w:id="261" w:name="_Toc332030364"/>
      <w:bookmarkStart w:id="262" w:name="_Toc320957570"/>
      <w:r>
        <w:rPr>
          <w:rFonts w:hint="eastAsia" w:ascii="黑体" w:hAnsi="黑体" w:eastAsia="黑体" w:cs="黑体"/>
          <w:b/>
          <w:bCs/>
          <w:color w:val="auto"/>
          <w:sz w:val="24"/>
          <w:szCs w:val="24"/>
          <w:highlight w:val="none"/>
          <w:lang w:val="en-US" w:eastAsia="zh-CN"/>
        </w:rPr>
        <w:t>二、</w:t>
      </w:r>
      <w:r>
        <w:rPr>
          <w:rFonts w:hint="eastAsia" w:ascii="黑体" w:hAnsi="黑体" w:eastAsia="黑体" w:cs="黑体"/>
          <w:b/>
          <w:bCs/>
          <w:color w:val="auto"/>
          <w:sz w:val="24"/>
          <w:szCs w:val="24"/>
          <w:highlight w:val="none"/>
        </w:rPr>
        <w:t>评分标准</w:t>
      </w:r>
      <w:bookmarkEnd w:id="251"/>
      <w:bookmarkEnd w:id="252"/>
      <w:bookmarkEnd w:id="253"/>
      <w:bookmarkEnd w:id="254"/>
      <w:bookmarkEnd w:id="255"/>
      <w:bookmarkEnd w:id="256"/>
      <w:bookmarkEnd w:id="257"/>
      <w:bookmarkEnd w:id="258"/>
      <w:bookmarkEnd w:id="259"/>
      <w:bookmarkEnd w:id="260"/>
      <w:bookmarkStart w:id="263" w:name="_Toc282463378"/>
      <w:bookmarkEnd w:id="263"/>
      <w:bookmarkStart w:id="264" w:name="_Toc408214605"/>
      <w:bookmarkEnd w:id="264"/>
      <w:bookmarkStart w:id="265" w:name="_Toc250888915"/>
      <w:bookmarkEnd w:id="265"/>
      <w:bookmarkStart w:id="266" w:name="_Toc14865"/>
    </w:p>
    <w:tbl>
      <w:tblPr>
        <w:tblStyle w:val="22"/>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21"/>
        <w:gridCol w:w="1507"/>
        <w:gridCol w:w="4832"/>
        <w:gridCol w:w="1940"/>
      </w:tblGrid>
      <w:tr w14:paraId="708C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Align w:val="center"/>
          </w:tcPr>
          <w:p w14:paraId="5E6F117A">
            <w:pPr>
              <w:pStyle w:val="36"/>
              <w:spacing w:before="0" w:after="0" w:line="240" w:lineRule="atLeast"/>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序号</w:t>
            </w:r>
          </w:p>
        </w:tc>
        <w:tc>
          <w:tcPr>
            <w:tcW w:w="1321" w:type="dxa"/>
            <w:vAlign w:val="center"/>
          </w:tcPr>
          <w:p w14:paraId="1BB07F59">
            <w:pPr>
              <w:pStyle w:val="36"/>
              <w:spacing w:before="0" w:after="0" w:line="240" w:lineRule="atLeas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评分因素及权重</w:t>
            </w:r>
          </w:p>
        </w:tc>
        <w:tc>
          <w:tcPr>
            <w:tcW w:w="1507" w:type="dxa"/>
            <w:vAlign w:val="center"/>
          </w:tcPr>
          <w:p w14:paraId="4DFB5CCB">
            <w:pPr>
              <w:pStyle w:val="36"/>
              <w:spacing w:before="0" w:after="0" w:line="240" w:lineRule="atLeas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分值</w:t>
            </w:r>
          </w:p>
        </w:tc>
        <w:tc>
          <w:tcPr>
            <w:tcW w:w="4832" w:type="dxa"/>
            <w:vAlign w:val="center"/>
          </w:tcPr>
          <w:p w14:paraId="441944E2">
            <w:pPr>
              <w:pStyle w:val="36"/>
              <w:spacing w:before="0" w:after="0" w:line="240" w:lineRule="atLeast"/>
              <w:ind w:firstLine="42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评分标准</w:t>
            </w:r>
          </w:p>
        </w:tc>
        <w:tc>
          <w:tcPr>
            <w:tcW w:w="1940" w:type="dxa"/>
            <w:vAlign w:val="center"/>
          </w:tcPr>
          <w:p w14:paraId="54400D73">
            <w:pPr>
              <w:pStyle w:val="36"/>
              <w:spacing w:before="0" w:after="0" w:line="240" w:lineRule="atLeas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w:t>
            </w:r>
          </w:p>
        </w:tc>
      </w:tr>
      <w:tr w14:paraId="1FA6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583" w:type="dxa"/>
            <w:vAlign w:val="center"/>
          </w:tcPr>
          <w:p w14:paraId="2B481351">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p>
        </w:tc>
        <w:tc>
          <w:tcPr>
            <w:tcW w:w="1321" w:type="dxa"/>
            <w:vAlign w:val="center"/>
          </w:tcPr>
          <w:p w14:paraId="30A59DAF">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磋商</w:t>
            </w:r>
          </w:p>
          <w:p w14:paraId="57010FA0">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报价</w:t>
            </w:r>
          </w:p>
          <w:p w14:paraId="336219F7">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25</w:t>
            </w:r>
            <w:r>
              <w:rPr>
                <w:rFonts w:hint="eastAsia" w:ascii="黑体" w:hAnsi="黑体" w:eastAsia="黑体" w:cs="黑体"/>
                <w:color w:val="auto"/>
                <w:sz w:val="24"/>
                <w:szCs w:val="24"/>
                <w:highlight w:val="none"/>
              </w:rPr>
              <w:t>分）</w:t>
            </w:r>
          </w:p>
          <w:p w14:paraId="41314FED">
            <w:pPr>
              <w:jc w:val="center"/>
              <w:rPr>
                <w:rFonts w:hint="eastAsia" w:ascii="黑体" w:hAnsi="黑体" w:eastAsia="黑体" w:cs="黑体"/>
                <w:color w:val="auto"/>
                <w:highlight w:val="none"/>
              </w:rPr>
            </w:pPr>
            <w:r>
              <w:rPr>
                <w:rFonts w:hint="eastAsia" w:ascii="黑体" w:hAnsi="黑体" w:eastAsia="黑体" w:cs="黑体"/>
                <w:color w:val="auto"/>
                <w:sz w:val="24"/>
                <w:szCs w:val="24"/>
                <w:highlight w:val="none"/>
              </w:rPr>
              <w:t>A</w:t>
            </w:r>
          </w:p>
        </w:tc>
        <w:tc>
          <w:tcPr>
            <w:tcW w:w="1507" w:type="dxa"/>
            <w:vAlign w:val="center"/>
          </w:tcPr>
          <w:p w14:paraId="2F00FC25">
            <w:pPr>
              <w:spacing w:line="240" w:lineRule="atLeast"/>
              <w:jc w:val="center"/>
              <w:rPr>
                <w:rFonts w:hint="eastAsia" w:ascii="黑体" w:hAnsi="黑体" w:eastAsia="黑体" w:cs="黑体"/>
                <w:color w:val="auto"/>
                <w:szCs w:val="21"/>
                <w:highlight w:val="none"/>
              </w:rPr>
            </w:pPr>
            <w:r>
              <w:rPr>
                <w:rFonts w:hint="eastAsia" w:ascii="黑体" w:hAnsi="黑体" w:eastAsia="黑体" w:cs="黑体"/>
                <w:color w:val="auto"/>
                <w:sz w:val="24"/>
                <w:highlight w:val="none"/>
                <w:lang w:val="en-US" w:eastAsia="zh-CN"/>
              </w:rPr>
              <w:t>25</w:t>
            </w:r>
            <w:r>
              <w:rPr>
                <w:rFonts w:hint="eastAsia" w:ascii="黑体" w:hAnsi="黑体" w:eastAsia="黑体" w:cs="黑体"/>
                <w:color w:val="auto"/>
                <w:sz w:val="24"/>
                <w:highlight w:val="none"/>
              </w:rPr>
              <w:t>分</w:t>
            </w:r>
          </w:p>
        </w:tc>
        <w:tc>
          <w:tcPr>
            <w:tcW w:w="4832" w:type="dxa"/>
            <w:vAlign w:val="center"/>
          </w:tcPr>
          <w:p w14:paraId="46E2A966">
            <w:pPr>
              <w:spacing w:line="240" w:lineRule="atLeast"/>
              <w:ind w:firstLine="480" w:firstLineChars="200"/>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满足磋商文件要求且最后报价最低的供应商的价格为磋商基准价，其价格分为满分。其他供应商的价格分统一按照下列公式计算：</w:t>
            </w:r>
          </w:p>
          <w:p w14:paraId="15018A5E">
            <w:pPr>
              <w:spacing w:line="240" w:lineRule="atLeast"/>
              <w:ind w:firstLine="480" w:firstLineChars="200"/>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磋商报价得分=（磋商基准价/最后磋商报价）×价格权值×100</w:t>
            </w:r>
          </w:p>
        </w:tc>
        <w:tc>
          <w:tcPr>
            <w:tcW w:w="1940" w:type="dxa"/>
            <w:vAlign w:val="center"/>
          </w:tcPr>
          <w:p w14:paraId="7694E2BD">
            <w:pPr>
              <w:spacing w:line="240" w:lineRule="atLeast"/>
              <w:jc w:val="left"/>
              <w:rPr>
                <w:rFonts w:hint="default" w:ascii="黑体" w:hAnsi="黑体" w:eastAsia="黑体" w:cs="黑体"/>
                <w:color w:val="auto"/>
                <w:sz w:val="24"/>
                <w:szCs w:val="24"/>
                <w:highlight w:val="none"/>
                <w:lang w:val="en-US" w:eastAsia="zh-CN"/>
              </w:rPr>
            </w:pPr>
            <w:r>
              <w:rPr>
                <w:rFonts w:hint="default" w:ascii="黑体" w:hAnsi="黑体" w:eastAsia="黑体" w:cs="黑体"/>
                <w:color w:val="auto"/>
                <w:sz w:val="24"/>
                <w:szCs w:val="24"/>
                <w:highlight w:val="none"/>
                <w:lang w:val="en-US" w:eastAsia="zh-CN"/>
              </w:rPr>
              <w:t>1、本项目专门面向中小微企业采购，不再执行报价扣除。</w:t>
            </w:r>
          </w:p>
          <w:p w14:paraId="21C1C78B">
            <w:pPr>
              <w:spacing w:line="240" w:lineRule="atLeast"/>
              <w:jc w:val="left"/>
              <w:rPr>
                <w:rFonts w:hint="default" w:ascii="黑体" w:hAnsi="黑体" w:eastAsia="黑体" w:cs="黑体"/>
                <w:color w:val="auto"/>
                <w:szCs w:val="21"/>
                <w:highlight w:val="none"/>
                <w:lang w:val="en-US" w:eastAsia="zh-CN"/>
              </w:rPr>
            </w:pPr>
            <w:r>
              <w:rPr>
                <w:rFonts w:hint="default" w:ascii="黑体" w:hAnsi="黑体" w:eastAsia="黑体" w:cs="黑体"/>
                <w:color w:val="auto"/>
                <w:sz w:val="24"/>
                <w:szCs w:val="24"/>
                <w:highlight w:val="none"/>
                <w:lang w:val="en-US" w:eastAsia="zh-CN"/>
              </w:rPr>
              <w:t>2、监狱企业、残疾人福利性单位视同小型、微型企业。</w:t>
            </w:r>
          </w:p>
        </w:tc>
      </w:tr>
      <w:tr w14:paraId="54AF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583" w:type="dxa"/>
            <w:vMerge w:val="restart"/>
            <w:tcBorders>
              <w:left w:val="single" w:color="auto" w:sz="4" w:space="0"/>
              <w:right w:val="single" w:color="auto" w:sz="4" w:space="0"/>
            </w:tcBorders>
            <w:vAlign w:val="center"/>
          </w:tcPr>
          <w:p w14:paraId="7CC29CEA">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p>
        </w:tc>
        <w:tc>
          <w:tcPr>
            <w:tcW w:w="1321" w:type="dxa"/>
            <w:vMerge w:val="restart"/>
            <w:tcBorders>
              <w:left w:val="single" w:color="auto" w:sz="4" w:space="0"/>
              <w:right w:val="single" w:color="auto" w:sz="4" w:space="0"/>
            </w:tcBorders>
            <w:vAlign w:val="center"/>
          </w:tcPr>
          <w:p w14:paraId="6026FD94">
            <w:pP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服务</w:t>
            </w:r>
          </w:p>
          <w:p w14:paraId="6C7FCC5D">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部分</w:t>
            </w:r>
          </w:p>
          <w:p w14:paraId="745653FD">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60</w:t>
            </w:r>
            <w:r>
              <w:rPr>
                <w:rFonts w:hint="eastAsia" w:ascii="黑体" w:hAnsi="黑体" w:eastAsia="黑体" w:cs="黑体"/>
                <w:color w:val="auto"/>
                <w:sz w:val="24"/>
                <w:szCs w:val="24"/>
                <w:highlight w:val="none"/>
              </w:rPr>
              <w:t>分）</w:t>
            </w:r>
          </w:p>
          <w:p w14:paraId="3704293D">
            <w:pPr>
              <w:jc w:val="center"/>
              <w:rPr>
                <w:rFonts w:hint="eastAsia" w:ascii="黑体" w:hAnsi="黑体" w:eastAsia="黑体" w:cs="黑体"/>
                <w:color w:val="auto"/>
                <w:highlight w:val="none"/>
              </w:rPr>
            </w:pPr>
            <w:r>
              <w:rPr>
                <w:rFonts w:hint="eastAsia" w:ascii="黑体" w:hAnsi="黑体" w:eastAsia="黑体" w:cs="黑体"/>
                <w:color w:val="auto"/>
                <w:sz w:val="24"/>
                <w:szCs w:val="24"/>
                <w:highlight w:val="none"/>
              </w:rPr>
              <w:t>B</w:t>
            </w:r>
          </w:p>
        </w:tc>
        <w:tc>
          <w:tcPr>
            <w:tcW w:w="1507" w:type="dxa"/>
            <w:tcBorders>
              <w:left w:val="single" w:color="auto" w:sz="4" w:space="0"/>
            </w:tcBorders>
            <w:vAlign w:val="center"/>
          </w:tcPr>
          <w:p w14:paraId="3B4BB244">
            <w:pPr>
              <w:kinsoku/>
              <w:wordWrap/>
              <w:overflowPunct/>
              <w:topLinePunct w:val="0"/>
              <w:autoSpaceDE/>
              <w:autoSpaceDN/>
              <w:bidi w:val="0"/>
              <w:snapToGrid w:val="0"/>
              <w:spacing w:line="24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整体服务方案</w:t>
            </w:r>
          </w:p>
          <w:p w14:paraId="4DB925D1">
            <w:pPr>
              <w:kinsoku/>
              <w:wordWrap/>
              <w:overflowPunct/>
              <w:topLinePunct w:val="0"/>
              <w:autoSpaceDE/>
              <w:autoSpaceDN/>
              <w:bidi w:val="0"/>
              <w:snapToGrid w:val="0"/>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15分</w:t>
            </w:r>
            <w:r>
              <w:rPr>
                <w:rFonts w:hint="eastAsia" w:ascii="黑体" w:hAnsi="黑体" w:eastAsia="黑体" w:cs="黑体"/>
                <w:color w:val="auto"/>
                <w:sz w:val="24"/>
                <w:szCs w:val="24"/>
                <w:highlight w:val="none"/>
                <w:lang w:eastAsia="zh-CN"/>
              </w:rPr>
              <w:t>）</w:t>
            </w:r>
          </w:p>
        </w:tc>
        <w:tc>
          <w:tcPr>
            <w:tcW w:w="4832" w:type="dxa"/>
            <w:tcBorders>
              <w:right w:val="single" w:color="auto" w:sz="4" w:space="0"/>
            </w:tcBorders>
            <w:vAlign w:val="center"/>
          </w:tcPr>
          <w:p w14:paraId="0464AA95">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供应商针对本项目制定整体方案，方案应包含但不限于：针对本项目的服务思路、管理措施、服务理念、针对本项目的特点分析。根据各供应商提供的方案进行评审。</w:t>
            </w:r>
          </w:p>
          <w:p w14:paraId="6E3E3CAF">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内容不存在瑕疵得15分；</w:t>
            </w:r>
          </w:p>
          <w:p w14:paraId="4390D29B">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内容存在1处瑕疵得10分；</w:t>
            </w:r>
          </w:p>
          <w:p w14:paraId="4C910563">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内容存在2处瑕疵得5分；</w:t>
            </w:r>
          </w:p>
          <w:p w14:paraId="3D72DACF">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内容存在3处瑕疵得1分；</w:t>
            </w:r>
          </w:p>
          <w:p w14:paraId="12F43307">
            <w:pPr>
              <w:kinsoku/>
              <w:wordWrap/>
              <w:overflowPunct/>
              <w:topLinePunct w:val="0"/>
              <w:autoSpaceDE/>
              <w:autoSpaceDN/>
              <w:bidi w:val="0"/>
              <w:snapToGrid w:val="0"/>
              <w:spacing w:line="24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内容存在4处及以上瑕疵或未提供的得0分。</w:t>
            </w:r>
          </w:p>
        </w:tc>
        <w:tc>
          <w:tcPr>
            <w:tcW w:w="1940" w:type="dxa"/>
            <w:vMerge w:val="restart"/>
            <w:tcBorders>
              <w:left w:val="single" w:color="auto" w:sz="4" w:space="0"/>
              <w:right w:val="single" w:color="auto" w:sz="4" w:space="0"/>
            </w:tcBorders>
            <w:vAlign w:val="center"/>
          </w:tcPr>
          <w:p w14:paraId="1DF6B1AA">
            <w:pPr>
              <w:spacing w:line="24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w:t>
            </w:r>
          </w:p>
          <w:p w14:paraId="417DFA75">
            <w:pPr>
              <w:spacing w:line="24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评审委员</w:t>
            </w:r>
            <w:r>
              <w:rPr>
                <w:rFonts w:hint="eastAsia" w:ascii="黑体" w:hAnsi="黑体" w:eastAsia="黑体" w:cs="黑体"/>
                <w:color w:val="auto"/>
                <w:sz w:val="24"/>
                <w:szCs w:val="24"/>
                <w:highlight w:val="none"/>
              </w:rPr>
              <w:t>会按</w:t>
            </w:r>
            <w:r>
              <w:rPr>
                <w:rFonts w:hint="eastAsia" w:ascii="黑体" w:hAnsi="黑体" w:eastAsia="黑体" w:cs="黑体"/>
                <w:color w:val="auto"/>
                <w:sz w:val="24"/>
                <w:szCs w:val="24"/>
                <w:highlight w:val="none"/>
                <w:lang w:eastAsia="zh-CN"/>
              </w:rPr>
              <w:t>服务部分</w:t>
            </w:r>
            <w:r>
              <w:rPr>
                <w:rFonts w:hint="eastAsia" w:ascii="黑体" w:hAnsi="黑体" w:eastAsia="黑体" w:cs="黑体"/>
                <w:color w:val="auto"/>
                <w:sz w:val="24"/>
                <w:szCs w:val="24"/>
                <w:highlight w:val="none"/>
              </w:rPr>
              <w:t>各评审因素设定的分值评分。</w:t>
            </w:r>
          </w:p>
          <w:p w14:paraId="447F26F4">
            <w:pPr>
              <w:spacing w:line="24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（2）所有评委打分取算术平均值为该</w:t>
            </w:r>
            <w:r>
              <w:rPr>
                <w:rFonts w:hint="eastAsia" w:ascii="黑体" w:hAnsi="黑体" w:eastAsia="黑体" w:cs="黑体"/>
                <w:color w:val="auto"/>
                <w:sz w:val="24"/>
                <w:szCs w:val="24"/>
                <w:highlight w:val="none"/>
                <w:lang w:eastAsia="zh-CN"/>
              </w:rPr>
              <w:t>供应商服务部分</w:t>
            </w:r>
            <w:r>
              <w:rPr>
                <w:rFonts w:hint="eastAsia" w:ascii="黑体" w:hAnsi="黑体" w:eastAsia="黑体" w:cs="黑体"/>
                <w:color w:val="auto"/>
                <w:sz w:val="24"/>
                <w:szCs w:val="24"/>
                <w:highlight w:val="none"/>
              </w:rPr>
              <w:t>得分。</w:t>
            </w:r>
          </w:p>
          <w:p w14:paraId="4628566B">
            <w:pPr>
              <w:spacing w:line="24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val="en-US" w:eastAsia="zh-CN"/>
              </w:rPr>
              <w:t>服务</w:t>
            </w:r>
            <w:r>
              <w:rPr>
                <w:rFonts w:hint="eastAsia" w:ascii="黑体" w:hAnsi="黑体" w:eastAsia="黑体" w:cs="黑体"/>
                <w:color w:val="auto"/>
                <w:sz w:val="24"/>
                <w:szCs w:val="24"/>
                <w:highlight w:val="none"/>
              </w:rPr>
              <w:t>部分得分的最终结果取小数点后两位，第三位四舍五入。</w:t>
            </w:r>
          </w:p>
          <w:p w14:paraId="698B5306">
            <w:pPr>
              <w:spacing w:line="240" w:lineRule="atLeast"/>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供应商所提供的服务方案原则上不超过100页。</w:t>
            </w:r>
          </w:p>
        </w:tc>
      </w:tr>
      <w:tr w14:paraId="07B9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83" w:type="dxa"/>
            <w:vMerge w:val="continue"/>
            <w:tcBorders>
              <w:left w:val="single" w:color="auto" w:sz="4" w:space="0"/>
              <w:right w:val="single" w:color="auto" w:sz="4" w:space="0"/>
            </w:tcBorders>
            <w:vAlign w:val="center"/>
          </w:tcPr>
          <w:p w14:paraId="74224771">
            <w:pPr>
              <w:ind w:firstLine="480"/>
              <w:rPr>
                <w:rFonts w:hint="eastAsia" w:ascii="黑体" w:hAnsi="黑体" w:eastAsia="黑体" w:cs="黑体"/>
                <w:color w:val="auto"/>
                <w:sz w:val="24"/>
                <w:highlight w:val="none"/>
              </w:rPr>
            </w:pPr>
          </w:p>
        </w:tc>
        <w:tc>
          <w:tcPr>
            <w:tcW w:w="1321" w:type="dxa"/>
            <w:vMerge w:val="continue"/>
            <w:tcBorders>
              <w:left w:val="single" w:color="auto" w:sz="4" w:space="0"/>
              <w:right w:val="single" w:color="auto" w:sz="4" w:space="0"/>
            </w:tcBorders>
            <w:vAlign w:val="center"/>
          </w:tcPr>
          <w:p w14:paraId="572EBBFE">
            <w:pPr>
              <w:spacing w:line="240" w:lineRule="exact"/>
              <w:ind w:firstLine="420"/>
              <w:rPr>
                <w:rFonts w:hint="eastAsia" w:ascii="黑体" w:hAnsi="黑体" w:eastAsia="黑体" w:cs="黑体"/>
                <w:color w:val="auto"/>
                <w:szCs w:val="21"/>
                <w:highlight w:val="none"/>
              </w:rPr>
            </w:pPr>
          </w:p>
        </w:tc>
        <w:tc>
          <w:tcPr>
            <w:tcW w:w="1507" w:type="dxa"/>
            <w:tcBorders>
              <w:left w:val="single" w:color="auto" w:sz="4" w:space="0"/>
            </w:tcBorders>
            <w:vAlign w:val="center"/>
          </w:tcPr>
          <w:p w14:paraId="56FA24C9">
            <w:pPr>
              <w:ind w:firstLine="28"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组织机构设置与人员配置</w:t>
            </w:r>
          </w:p>
          <w:p w14:paraId="6C2F783A">
            <w:pPr>
              <w:ind w:firstLine="28"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分)</w:t>
            </w:r>
          </w:p>
        </w:tc>
        <w:tc>
          <w:tcPr>
            <w:tcW w:w="4832" w:type="dxa"/>
            <w:tcBorders>
              <w:right w:val="single" w:color="auto" w:sz="4" w:space="0"/>
            </w:tcBorders>
            <w:vAlign w:val="center"/>
          </w:tcPr>
          <w:p w14:paraId="792B8A8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供应商针对本项目制定人员配置方案，方案应包含但不限于：每个岗位的工资标准、人数、职责范围及班次、组织架构、人员培训方案等。根据各供应商提供的方案进行评审。</w:t>
            </w:r>
          </w:p>
          <w:p w14:paraId="616D6D1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内容不存在瑕疵得15分；</w:t>
            </w:r>
          </w:p>
          <w:p w14:paraId="3CA03044">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内容存在1处瑕疵得10分；</w:t>
            </w:r>
          </w:p>
          <w:p w14:paraId="741F1861">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内容存在2处瑕疵得5分；</w:t>
            </w:r>
          </w:p>
          <w:p w14:paraId="5DBA8C85">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内容存在3处瑕疵得1分；</w:t>
            </w:r>
          </w:p>
          <w:p w14:paraId="397CDE3E">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内容存在4处及以上瑕疵或未提供的得0分。</w:t>
            </w:r>
          </w:p>
        </w:tc>
        <w:tc>
          <w:tcPr>
            <w:tcW w:w="1940" w:type="dxa"/>
            <w:vMerge w:val="continue"/>
            <w:tcBorders>
              <w:left w:val="single" w:color="auto" w:sz="4" w:space="0"/>
              <w:right w:val="single" w:color="auto" w:sz="4" w:space="0"/>
            </w:tcBorders>
            <w:vAlign w:val="center"/>
          </w:tcPr>
          <w:p w14:paraId="0C309CE8">
            <w:pPr>
              <w:spacing w:line="240" w:lineRule="atLeast"/>
              <w:jc w:val="left"/>
              <w:rPr>
                <w:rFonts w:hint="eastAsia" w:ascii="黑体" w:hAnsi="黑体" w:eastAsia="黑体" w:cs="黑体"/>
                <w:color w:val="auto"/>
                <w:sz w:val="24"/>
                <w:szCs w:val="24"/>
                <w:highlight w:val="none"/>
                <w:lang w:eastAsia="zh-CN"/>
              </w:rPr>
            </w:pPr>
          </w:p>
        </w:tc>
      </w:tr>
      <w:tr w14:paraId="0403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83" w:type="dxa"/>
            <w:vMerge w:val="continue"/>
            <w:tcBorders>
              <w:left w:val="single" w:color="auto" w:sz="4" w:space="0"/>
              <w:right w:val="single" w:color="auto" w:sz="4" w:space="0"/>
            </w:tcBorders>
            <w:vAlign w:val="center"/>
          </w:tcPr>
          <w:p w14:paraId="3EB3432A">
            <w:pPr>
              <w:ind w:firstLine="480"/>
              <w:rPr>
                <w:rFonts w:hint="eastAsia" w:ascii="黑体" w:hAnsi="黑体" w:eastAsia="黑体" w:cs="黑体"/>
                <w:color w:val="auto"/>
                <w:sz w:val="24"/>
                <w:highlight w:val="none"/>
              </w:rPr>
            </w:pPr>
          </w:p>
        </w:tc>
        <w:tc>
          <w:tcPr>
            <w:tcW w:w="1321" w:type="dxa"/>
            <w:vMerge w:val="continue"/>
            <w:tcBorders>
              <w:left w:val="single" w:color="auto" w:sz="4" w:space="0"/>
              <w:right w:val="single" w:color="auto" w:sz="4" w:space="0"/>
            </w:tcBorders>
            <w:vAlign w:val="center"/>
          </w:tcPr>
          <w:p w14:paraId="2F15D3BD">
            <w:pPr>
              <w:spacing w:line="240" w:lineRule="exact"/>
              <w:ind w:firstLine="420"/>
              <w:rPr>
                <w:rFonts w:hint="eastAsia" w:ascii="黑体" w:hAnsi="黑体" w:eastAsia="黑体" w:cs="黑体"/>
                <w:color w:val="auto"/>
                <w:szCs w:val="21"/>
                <w:highlight w:val="none"/>
              </w:rPr>
            </w:pPr>
          </w:p>
        </w:tc>
        <w:tc>
          <w:tcPr>
            <w:tcW w:w="1507" w:type="dxa"/>
            <w:tcBorders>
              <w:left w:val="single" w:color="auto" w:sz="4" w:space="0"/>
            </w:tcBorders>
            <w:vAlign w:val="center"/>
          </w:tcPr>
          <w:p w14:paraId="242CDE42">
            <w:pPr>
              <w:ind w:firstLine="28"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保洁、绿化</w:t>
            </w:r>
            <w:r>
              <w:rPr>
                <w:rFonts w:hint="eastAsia" w:ascii="黑体" w:hAnsi="黑体" w:eastAsia="黑体" w:cs="黑体"/>
                <w:color w:val="auto"/>
                <w:sz w:val="24"/>
                <w:szCs w:val="24"/>
                <w:highlight w:val="none"/>
              </w:rPr>
              <w:t>服务方案</w:t>
            </w:r>
          </w:p>
          <w:p w14:paraId="718AE366">
            <w:pPr>
              <w:ind w:firstLine="28"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分）</w:t>
            </w:r>
          </w:p>
        </w:tc>
        <w:tc>
          <w:tcPr>
            <w:tcW w:w="4832" w:type="dxa"/>
            <w:tcBorders>
              <w:right w:val="single" w:color="auto" w:sz="4" w:space="0"/>
            </w:tcBorders>
            <w:vAlign w:val="center"/>
          </w:tcPr>
          <w:p w14:paraId="6A00E72D">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供应商针对本项目制定保洁、绿化</w:t>
            </w:r>
            <w:r>
              <w:rPr>
                <w:rFonts w:hint="eastAsia" w:ascii="黑体" w:hAnsi="黑体" w:eastAsia="黑体" w:cs="黑体"/>
                <w:color w:val="auto"/>
                <w:sz w:val="24"/>
                <w:szCs w:val="24"/>
                <w:highlight w:val="none"/>
              </w:rPr>
              <w:t>服务方案</w:t>
            </w:r>
            <w:r>
              <w:rPr>
                <w:rFonts w:hint="eastAsia" w:ascii="黑体" w:hAnsi="黑体" w:eastAsia="黑体" w:cs="黑体"/>
                <w:color w:val="auto"/>
                <w:sz w:val="24"/>
                <w:szCs w:val="24"/>
                <w:highlight w:val="none"/>
                <w:lang w:val="en-US" w:eastAsia="zh-CN"/>
              </w:rPr>
              <w:t>，方案应包含但不限于：不同区域时段的保洁方案措施、绿化管理方案措施方案措施等。据各供应商提供的方案进行评审。</w:t>
            </w:r>
          </w:p>
          <w:p w14:paraId="45290A2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内容不存在瑕疵得15分；</w:t>
            </w:r>
          </w:p>
          <w:p w14:paraId="0C63B18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内容存在1处瑕疵得10分；</w:t>
            </w:r>
          </w:p>
          <w:p w14:paraId="71E28555">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内容存在2处瑕疵得5分；</w:t>
            </w:r>
          </w:p>
          <w:p w14:paraId="6A03BA01">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内容存在3处瑕疵得1分；</w:t>
            </w:r>
          </w:p>
          <w:p w14:paraId="45AF28C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内容存在4处及以上瑕疵或未提供的得0分。</w:t>
            </w:r>
          </w:p>
        </w:tc>
        <w:tc>
          <w:tcPr>
            <w:tcW w:w="1940" w:type="dxa"/>
            <w:vMerge w:val="continue"/>
            <w:tcBorders>
              <w:left w:val="single" w:color="auto" w:sz="4" w:space="0"/>
              <w:right w:val="single" w:color="auto" w:sz="4" w:space="0"/>
            </w:tcBorders>
            <w:vAlign w:val="center"/>
          </w:tcPr>
          <w:p w14:paraId="70180EA7">
            <w:pPr>
              <w:spacing w:line="240" w:lineRule="atLeast"/>
              <w:jc w:val="both"/>
              <w:rPr>
                <w:rFonts w:hint="eastAsia" w:ascii="黑体" w:hAnsi="黑体" w:eastAsia="黑体" w:cs="黑体"/>
                <w:color w:val="auto"/>
                <w:sz w:val="24"/>
                <w:szCs w:val="24"/>
                <w:highlight w:val="none"/>
                <w:lang w:eastAsia="zh-CN"/>
              </w:rPr>
            </w:pPr>
          </w:p>
        </w:tc>
      </w:tr>
      <w:tr w14:paraId="4090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83" w:type="dxa"/>
            <w:vMerge w:val="continue"/>
            <w:tcBorders>
              <w:left w:val="single" w:color="auto" w:sz="4" w:space="0"/>
              <w:right w:val="single" w:color="auto" w:sz="4" w:space="0"/>
            </w:tcBorders>
            <w:vAlign w:val="center"/>
          </w:tcPr>
          <w:p w14:paraId="7684731D">
            <w:pPr>
              <w:ind w:firstLine="480"/>
              <w:rPr>
                <w:rFonts w:hint="eastAsia" w:ascii="黑体" w:hAnsi="黑体" w:eastAsia="黑体" w:cs="黑体"/>
                <w:color w:val="auto"/>
                <w:sz w:val="24"/>
                <w:highlight w:val="none"/>
              </w:rPr>
            </w:pPr>
          </w:p>
        </w:tc>
        <w:tc>
          <w:tcPr>
            <w:tcW w:w="1321" w:type="dxa"/>
            <w:vMerge w:val="continue"/>
            <w:tcBorders>
              <w:left w:val="single" w:color="auto" w:sz="4" w:space="0"/>
              <w:right w:val="single" w:color="auto" w:sz="4" w:space="0"/>
            </w:tcBorders>
            <w:vAlign w:val="center"/>
          </w:tcPr>
          <w:p w14:paraId="3EEAAFE8">
            <w:pPr>
              <w:spacing w:line="240" w:lineRule="exact"/>
              <w:ind w:firstLine="420"/>
              <w:rPr>
                <w:rFonts w:hint="eastAsia" w:ascii="黑体" w:hAnsi="黑体" w:eastAsia="黑体" w:cs="黑体"/>
                <w:color w:val="auto"/>
                <w:szCs w:val="21"/>
                <w:highlight w:val="none"/>
              </w:rPr>
            </w:pPr>
          </w:p>
        </w:tc>
        <w:tc>
          <w:tcPr>
            <w:tcW w:w="1507" w:type="dxa"/>
            <w:tcBorders>
              <w:left w:val="single" w:color="auto" w:sz="4" w:space="0"/>
            </w:tcBorders>
            <w:vAlign w:val="center"/>
          </w:tcPr>
          <w:p w14:paraId="70432410">
            <w:pPr>
              <w:ind w:firstLine="28"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应急处理方案</w:t>
            </w:r>
          </w:p>
          <w:p w14:paraId="1DF521D8">
            <w:pPr>
              <w:ind w:firstLine="28"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（15分）</w:t>
            </w:r>
          </w:p>
        </w:tc>
        <w:tc>
          <w:tcPr>
            <w:tcW w:w="4832" w:type="dxa"/>
            <w:tcBorders>
              <w:right w:val="single" w:color="auto" w:sz="4" w:space="0"/>
            </w:tcBorders>
            <w:vAlign w:val="center"/>
          </w:tcPr>
          <w:p w14:paraId="6C7A0C5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由针对本项目的应急处理方案，包括但不限于断水、断电的应急处理方案、火灾事故处理方案、高空坠物应急方案等。评委根据各供应商提供方案进、行评审。</w:t>
            </w:r>
          </w:p>
          <w:p w14:paraId="6B25439C">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内容不存在瑕疵得15分；</w:t>
            </w:r>
          </w:p>
          <w:p w14:paraId="6127BE0B">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内容存在1处瑕疵得10分；</w:t>
            </w:r>
          </w:p>
          <w:p w14:paraId="5F735290">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内容存在2处瑕疵得5分；</w:t>
            </w:r>
          </w:p>
          <w:p w14:paraId="7FA1422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内容存在3处瑕疵得1分；</w:t>
            </w:r>
          </w:p>
          <w:p w14:paraId="11A25974">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内容存在4处及以上瑕疵或未提供的得0分。</w:t>
            </w:r>
          </w:p>
        </w:tc>
        <w:tc>
          <w:tcPr>
            <w:tcW w:w="1940" w:type="dxa"/>
            <w:vMerge w:val="continue"/>
            <w:tcBorders>
              <w:left w:val="single" w:color="auto" w:sz="4" w:space="0"/>
              <w:right w:val="single" w:color="auto" w:sz="4" w:space="0"/>
            </w:tcBorders>
            <w:vAlign w:val="center"/>
          </w:tcPr>
          <w:p w14:paraId="2744EBB8">
            <w:pPr>
              <w:spacing w:line="240" w:lineRule="atLeast"/>
              <w:jc w:val="left"/>
              <w:rPr>
                <w:rFonts w:hint="eastAsia" w:ascii="黑体" w:hAnsi="黑体" w:eastAsia="黑体" w:cs="黑体"/>
                <w:color w:val="auto"/>
                <w:sz w:val="24"/>
                <w:szCs w:val="24"/>
                <w:highlight w:val="none"/>
                <w:lang w:eastAsia="zh-CN"/>
              </w:rPr>
            </w:pPr>
          </w:p>
        </w:tc>
      </w:tr>
      <w:tr w14:paraId="065B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3" w:type="dxa"/>
            <w:vMerge w:val="continue"/>
            <w:tcBorders>
              <w:left w:val="single" w:color="auto" w:sz="4" w:space="0"/>
              <w:right w:val="single" w:color="auto" w:sz="4" w:space="0"/>
            </w:tcBorders>
            <w:vAlign w:val="center"/>
          </w:tcPr>
          <w:p w14:paraId="0F8C0F23">
            <w:pPr>
              <w:ind w:firstLine="480"/>
              <w:rPr>
                <w:rFonts w:hint="eastAsia" w:ascii="黑体" w:hAnsi="黑体" w:eastAsia="黑体" w:cs="黑体"/>
                <w:color w:val="auto"/>
                <w:sz w:val="24"/>
                <w:highlight w:val="none"/>
              </w:rPr>
            </w:pPr>
          </w:p>
        </w:tc>
        <w:tc>
          <w:tcPr>
            <w:tcW w:w="1321" w:type="dxa"/>
            <w:vMerge w:val="continue"/>
            <w:tcBorders>
              <w:left w:val="single" w:color="auto" w:sz="4" w:space="0"/>
              <w:right w:val="single" w:color="auto" w:sz="4" w:space="0"/>
            </w:tcBorders>
            <w:vAlign w:val="center"/>
          </w:tcPr>
          <w:p w14:paraId="75376EC5">
            <w:pPr>
              <w:spacing w:line="240" w:lineRule="exact"/>
              <w:ind w:firstLine="420"/>
              <w:rPr>
                <w:rFonts w:hint="eastAsia" w:ascii="黑体" w:hAnsi="黑体" w:eastAsia="黑体" w:cs="黑体"/>
                <w:color w:val="auto"/>
                <w:szCs w:val="21"/>
                <w:highlight w:val="none"/>
              </w:rPr>
            </w:pPr>
          </w:p>
        </w:tc>
        <w:tc>
          <w:tcPr>
            <w:tcW w:w="8279" w:type="dxa"/>
            <w:gridSpan w:val="3"/>
            <w:tcBorders>
              <w:left w:val="single" w:color="auto" w:sz="4" w:space="0"/>
              <w:right w:val="single" w:color="auto" w:sz="4" w:space="0"/>
            </w:tcBorders>
            <w:vAlign w:val="center"/>
          </w:tcPr>
          <w:p w14:paraId="2876FE0A">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注：本项内容中所称的“瑕疵”：</w:t>
            </w:r>
          </w:p>
          <w:p w14:paraId="56551A40">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①要素欠缺、仅有标题而无实质意义叙述内容、内容表述不完整、缺少关键分析点；</w:t>
            </w:r>
          </w:p>
          <w:p w14:paraId="4A714267">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②缺乏科学合理性，存在逻辑漏洞、常识错误；</w:t>
            </w:r>
          </w:p>
          <w:p w14:paraId="68D94E41">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③方案内容表述前后矛盾、无连贯性；</w:t>
            </w:r>
          </w:p>
          <w:p w14:paraId="3654CDCA">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④内容空泛，无具体实施方法或内容；</w:t>
            </w:r>
          </w:p>
          <w:p w14:paraId="0D0DD938">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⑤方案不适用本项目特性、非专门针对本项目制定、方案相关内容不利于项目目标实现；</w:t>
            </w:r>
          </w:p>
          <w:p w14:paraId="64C13D03">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⑥方案内容中包含其他项目名称，或出现与本项目不相关的其他内容；</w:t>
            </w:r>
          </w:p>
          <w:p w14:paraId="44D4FAB9">
            <w:pPr>
              <w:spacing w:line="32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⑦现有技术条件下不可能实现目标。</w:t>
            </w:r>
          </w:p>
          <w:p w14:paraId="42F9B54A">
            <w:pPr>
              <w:spacing w:line="320" w:lineRule="exact"/>
              <w:ind w:firstLine="480" w:firstLineChars="200"/>
              <w:rPr>
                <w:rFonts w:hint="eastAsia" w:ascii="黑体" w:hAnsi="黑体" w:eastAsia="黑体" w:cs="黑体"/>
                <w:b/>
                <w:bCs/>
                <w:color w:val="auto"/>
                <w:highlight w:val="none"/>
                <w:lang w:val="en-US" w:eastAsia="zh-CN"/>
              </w:rPr>
            </w:pPr>
            <w:r>
              <w:rPr>
                <w:rFonts w:hint="eastAsia" w:ascii="黑体" w:hAnsi="黑体" w:eastAsia="黑体" w:cs="黑体"/>
                <w:color w:val="auto"/>
                <w:sz w:val="24"/>
                <w:szCs w:val="24"/>
                <w:highlight w:val="none"/>
                <w:lang w:val="en-US" w:eastAsia="zh-CN"/>
              </w:rPr>
              <w:t>上述任意一种情形为1处瑕疵。</w:t>
            </w:r>
          </w:p>
        </w:tc>
      </w:tr>
      <w:tr w14:paraId="1997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3" w:type="dxa"/>
            <w:tcBorders>
              <w:left w:val="single" w:color="auto" w:sz="4" w:space="0"/>
              <w:right w:val="single" w:color="auto" w:sz="4" w:space="0"/>
            </w:tcBorders>
            <w:vAlign w:val="center"/>
          </w:tcPr>
          <w:p w14:paraId="3188F58E">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3</w:t>
            </w:r>
          </w:p>
        </w:tc>
        <w:tc>
          <w:tcPr>
            <w:tcW w:w="1321" w:type="dxa"/>
            <w:tcBorders>
              <w:left w:val="single" w:color="auto" w:sz="4" w:space="0"/>
              <w:right w:val="single" w:color="auto" w:sz="4" w:space="0"/>
            </w:tcBorders>
            <w:vAlign w:val="center"/>
          </w:tcPr>
          <w:p w14:paraId="082286CA">
            <w:pPr>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w:t>
            </w:r>
          </w:p>
          <w:p w14:paraId="099A4678">
            <w:pPr>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部分</w:t>
            </w:r>
          </w:p>
          <w:p w14:paraId="4A0267A7">
            <w:pPr>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分）</w:t>
            </w:r>
          </w:p>
          <w:p w14:paraId="3F438486">
            <w:pPr>
              <w:spacing w:line="240" w:lineRule="atLeast"/>
              <w:jc w:val="center"/>
              <w:rPr>
                <w:rFonts w:hint="eastAsia" w:ascii="黑体" w:hAnsi="黑体" w:eastAsia="黑体" w:cs="黑体"/>
                <w:color w:val="auto"/>
                <w:highlight w:val="none"/>
              </w:rPr>
            </w:pPr>
            <w:r>
              <w:rPr>
                <w:rFonts w:hint="eastAsia" w:ascii="黑体" w:hAnsi="黑体" w:eastAsia="黑体" w:cs="黑体"/>
                <w:color w:val="auto"/>
                <w:sz w:val="24"/>
                <w:szCs w:val="24"/>
                <w:highlight w:val="none"/>
              </w:rPr>
              <w:t>C</w:t>
            </w:r>
          </w:p>
        </w:tc>
        <w:tc>
          <w:tcPr>
            <w:tcW w:w="1507" w:type="dxa"/>
            <w:tcBorders>
              <w:left w:val="single" w:color="auto" w:sz="4" w:space="0"/>
            </w:tcBorders>
            <w:vAlign w:val="center"/>
          </w:tcPr>
          <w:p w14:paraId="0127024B">
            <w:pPr>
              <w:spacing w:line="240" w:lineRule="atLeast"/>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企业</w:t>
            </w:r>
            <w:r>
              <w:rPr>
                <w:rFonts w:hint="eastAsia" w:ascii="黑体" w:hAnsi="黑体" w:eastAsia="黑体" w:cs="黑体"/>
                <w:color w:val="auto"/>
                <w:sz w:val="24"/>
                <w:szCs w:val="24"/>
                <w:highlight w:val="none"/>
                <w:lang w:val="en-US" w:eastAsia="zh-CN"/>
              </w:rPr>
              <w:t>实力</w:t>
            </w:r>
          </w:p>
          <w:p w14:paraId="59CBDCE5">
            <w:pPr>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分）</w:t>
            </w:r>
          </w:p>
        </w:tc>
        <w:tc>
          <w:tcPr>
            <w:tcW w:w="4832" w:type="dxa"/>
            <w:tcBorders>
              <w:right w:val="single" w:color="auto" w:sz="4" w:space="0"/>
            </w:tcBorders>
            <w:vAlign w:val="center"/>
          </w:tcPr>
          <w:p w14:paraId="3573FC80">
            <w:pPr>
              <w:spacing w:line="32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供应商自2022年1月1日起（以合同签订时间为准）承担过类似业绩</w:t>
            </w:r>
            <w:r>
              <w:rPr>
                <w:rFonts w:hint="eastAsia" w:ascii="黑体" w:hAnsi="黑体" w:eastAsia="黑体" w:cs="黑体"/>
                <w:color w:val="auto"/>
                <w:sz w:val="24"/>
                <w:szCs w:val="24"/>
                <w:highlight w:val="none"/>
              </w:rPr>
              <w:t>，每提供一个业绩得</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分</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本项</w:t>
            </w:r>
            <w:r>
              <w:rPr>
                <w:rFonts w:hint="eastAsia" w:ascii="黑体" w:hAnsi="黑体" w:eastAsia="黑体" w:cs="黑体"/>
                <w:color w:val="auto"/>
                <w:sz w:val="24"/>
                <w:szCs w:val="24"/>
                <w:highlight w:val="none"/>
              </w:rPr>
              <w:t>最高得</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分。</w:t>
            </w:r>
          </w:p>
          <w:p w14:paraId="6924042F">
            <w:pPr>
              <w:spacing w:line="320" w:lineRule="exact"/>
              <w:ind w:firstLine="480" w:firstLineChars="200"/>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注：类似业绩指合同服务内容中包含物业或保洁或绿化。</w:t>
            </w:r>
          </w:p>
        </w:tc>
        <w:tc>
          <w:tcPr>
            <w:tcW w:w="1940" w:type="dxa"/>
            <w:tcBorders>
              <w:left w:val="single" w:color="auto" w:sz="4" w:space="0"/>
              <w:right w:val="single" w:color="auto" w:sz="4" w:space="0"/>
            </w:tcBorders>
            <w:vAlign w:val="center"/>
          </w:tcPr>
          <w:p w14:paraId="17AED091">
            <w:pPr>
              <w:spacing w:line="24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供应商须提供业绩的合同协议书复印件并加盖供应商鲜章</w:t>
            </w:r>
          </w:p>
        </w:tc>
      </w:tr>
      <w:tr w14:paraId="256F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411" w:type="dxa"/>
            <w:gridSpan w:val="3"/>
            <w:tcBorders>
              <w:left w:val="single" w:color="auto" w:sz="4" w:space="0"/>
            </w:tcBorders>
            <w:vAlign w:val="center"/>
          </w:tcPr>
          <w:p w14:paraId="1ED80430">
            <w:pPr>
              <w:spacing w:line="24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得分</w:t>
            </w:r>
          </w:p>
        </w:tc>
        <w:tc>
          <w:tcPr>
            <w:tcW w:w="6772" w:type="dxa"/>
            <w:gridSpan w:val="2"/>
            <w:tcBorders>
              <w:right w:val="single" w:color="auto" w:sz="4" w:space="0"/>
            </w:tcBorders>
            <w:vAlign w:val="center"/>
          </w:tcPr>
          <w:p w14:paraId="319299E0">
            <w:pPr>
              <w:spacing w:line="240" w:lineRule="atLeas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得分=A+B+C</w:t>
            </w:r>
          </w:p>
        </w:tc>
      </w:tr>
      <w:bookmarkEnd w:id="261"/>
      <w:bookmarkEnd w:id="262"/>
      <w:bookmarkEnd w:id="266"/>
    </w:tbl>
    <w:p w14:paraId="0BBF3E72">
      <w:pPr>
        <w:keepNext/>
        <w:keepLines/>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黑体" w:hAnsi="黑体" w:eastAsia="黑体" w:cs="黑体"/>
          <w:b/>
          <w:color w:val="auto"/>
          <w:kern w:val="0"/>
          <w:sz w:val="24"/>
          <w:szCs w:val="24"/>
          <w:highlight w:val="none"/>
          <w:lang w:val="en-US" w:eastAsia="zh-CN" w:bidi="ar-SA"/>
        </w:rPr>
      </w:pPr>
      <w:bookmarkStart w:id="267" w:name="_Toc20013"/>
      <w:bookmarkStart w:id="268" w:name="_Toc17625"/>
      <w:r>
        <w:rPr>
          <w:rFonts w:hint="eastAsia" w:ascii="黑体" w:hAnsi="黑体" w:eastAsia="黑体" w:cs="黑体"/>
          <w:b/>
          <w:color w:val="auto"/>
          <w:kern w:val="0"/>
          <w:sz w:val="24"/>
          <w:szCs w:val="24"/>
          <w:highlight w:val="none"/>
          <w:lang w:val="en-US" w:eastAsia="zh-CN" w:bidi="ar-SA"/>
        </w:rPr>
        <w:t>三、无效响应</w:t>
      </w:r>
      <w:bookmarkEnd w:id="267"/>
      <w:bookmarkEnd w:id="268"/>
    </w:p>
    <w:p w14:paraId="35C0D41C">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供应商发生以下条款情况之一者，视为无效响应，其响应文件将被拒绝：</w:t>
      </w:r>
    </w:p>
    <w:p w14:paraId="1CE64DCF">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（一）供应商不符合规定的资格条件的；</w:t>
      </w:r>
    </w:p>
    <w:p w14:paraId="2E62B33E">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（二）供应商的法定代表人（或其授权代表）或自然人未参加磋商；</w:t>
      </w:r>
    </w:p>
    <w:p w14:paraId="1004F199">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（三）供应商所提交的响应文件不按“第七篇响应文件编制要求”要求签署或盖章；</w:t>
      </w:r>
    </w:p>
    <w:p w14:paraId="532C3840">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（四）供应商的最后报价超过采购预算或最高限价的；</w:t>
      </w:r>
    </w:p>
    <w:p w14:paraId="52D6FAC2">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（五）法定代表人为同一个人的两个及两个以上法人，母公司、全资子公司及其控股公司，在同一包采购中同时参与磋商；</w:t>
      </w:r>
    </w:p>
    <w:p w14:paraId="2C19E6B9">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（六）单位负责人为同一人或者存在直接控股、管理关系的不同供应商，参加同一合同项下的政府采购活动的；</w:t>
      </w:r>
    </w:p>
    <w:p w14:paraId="112C9309">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（七）为采购项目提供整体设计、规范编制或者项目管理、监理、检测等服务的供应商，再参加该采购项目的其他采购活动；</w:t>
      </w:r>
    </w:p>
    <w:p w14:paraId="3D55692C">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（八）供应商磋商有效期不满足竞争性磋商文件要求的；</w:t>
      </w:r>
    </w:p>
    <w:p w14:paraId="57BE2C1C">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（九）供应商响应文件内容有与国家现行法律法规相违背的内容，或附有采购人无法接受的条件；</w:t>
      </w:r>
    </w:p>
    <w:p w14:paraId="5246BF9B">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（十）法律、法规和竞争性磋商文件规定的其他无效情形。</w:t>
      </w:r>
    </w:p>
    <w:p w14:paraId="77B0AF49">
      <w:pPr>
        <w:keepNext/>
        <w:keepLines/>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黑体" w:hAnsi="黑体" w:eastAsia="黑体" w:cs="黑体"/>
          <w:b/>
          <w:color w:val="auto"/>
          <w:kern w:val="0"/>
          <w:sz w:val="24"/>
          <w:szCs w:val="24"/>
          <w:highlight w:val="none"/>
          <w:lang w:val="en-US" w:eastAsia="zh-CN" w:bidi="ar-SA"/>
        </w:rPr>
      </w:pPr>
      <w:bookmarkStart w:id="269" w:name="_Toc76462336"/>
      <w:bookmarkStart w:id="270" w:name="_Toc106030891"/>
      <w:bookmarkStart w:id="271" w:name="_Toc25293"/>
      <w:bookmarkStart w:id="272" w:name="_Toc9509"/>
      <w:r>
        <w:rPr>
          <w:rFonts w:hint="eastAsia" w:ascii="黑体" w:hAnsi="黑体" w:eastAsia="黑体" w:cs="黑体"/>
          <w:b/>
          <w:color w:val="auto"/>
          <w:kern w:val="0"/>
          <w:sz w:val="24"/>
          <w:szCs w:val="24"/>
          <w:highlight w:val="none"/>
          <w:lang w:val="en-US" w:eastAsia="zh-CN" w:bidi="ar-SA"/>
        </w:rPr>
        <w:t>四、采购终止</w:t>
      </w:r>
      <w:bookmarkEnd w:id="269"/>
      <w:bookmarkEnd w:id="270"/>
      <w:bookmarkEnd w:id="271"/>
      <w:bookmarkEnd w:id="272"/>
    </w:p>
    <w:p w14:paraId="5ABF9EDB">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出现下列情形之一的，采购人或者采购代理机构应当终止竞争性磋商采购活动，发布项目终止公告并说明原因，重新开展采购活动：</w:t>
      </w:r>
    </w:p>
    <w:p w14:paraId="6A0D465A">
      <w:pPr>
        <w:snapToGrid w:val="0"/>
        <w:spacing w:line="360" w:lineRule="auto"/>
        <w:ind w:firstLine="465"/>
        <w:rPr>
          <w:rFonts w:hint="eastAsia" w:ascii="黑体" w:hAnsi="黑体" w:eastAsia="黑体" w:cs="黑体"/>
          <w:sz w:val="24"/>
          <w:szCs w:val="24"/>
        </w:rPr>
      </w:pPr>
      <w:r>
        <w:rPr>
          <w:rFonts w:hint="eastAsia" w:ascii="黑体" w:hAnsi="黑体" w:eastAsia="黑体" w:cs="黑体"/>
          <w:sz w:val="24"/>
          <w:szCs w:val="24"/>
        </w:rPr>
        <w:t>（一）因情况变化，不再符合规定的竞争性磋商采购方式适用情形的；</w:t>
      </w:r>
    </w:p>
    <w:p w14:paraId="6482C72D">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（二）出现影响采购公正的违法、违规行为的；</w:t>
      </w:r>
    </w:p>
    <w:p w14:paraId="2EC5484B">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（三）通过资格性及符合性审查的供应商不足</w:t>
      </w:r>
      <w:r>
        <w:rPr>
          <w:rFonts w:hint="eastAsia" w:ascii="黑体" w:hAnsi="黑体" w:eastAsia="黑体" w:cs="黑体"/>
          <w:sz w:val="24"/>
          <w:szCs w:val="24"/>
          <w:lang w:val="en-US" w:eastAsia="zh-CN"/>
        </w:rPr>
        <w:t>三</w:t>
      </w:r>
      <w:r>
        <w:rPr>
          <w:rFonts w:hint="eastAsia" w:ascii="黑体" w:hAnsi="黑体" w:eastAsia="黑体" w:cs="黑体"/>
          <w:sz w:val="24"/>
          <w:szCs w:val="24"/>
          <w:lang w:eastAsia="zh-CN"/>
        </w:rPr>
        <w:t>家的。</w:t>
      </w:r>
    </w:p>
    <w:p w14:paraId="7B545BF9">
      <w:pPr>
        <w:rPr>
          <w:rFonts w:hint="eastAsia" w:ascii="黑体" w:hAnsi="黑体" w:eastAsia="黑体" w:cs="黑体"/>
          <w:color w:val="auto"/>
          <w:sz w:val="32"/>
          <w:szCs w:val="32"/>
          <w:highlight w:val="none"/>
        </w:rPr>
      </w:pPr>
    </w:p>
    <w:p w14:paraId="02BB0BD4">
      <w:pPr>
        <w:rPr>
          <w:rFonts w:hint="eastAsia" w:ascii="黑体" w:hAnsi="黑体" w:eastAsia="黑体" w:cs="黑体"/>
          <w:color w:val="auto"/>
          <w:sz w:val="32"/>
          <w:szCs w:val="32"/>
          <w:highlight w:val="none"/>
        </w:rPr>
      </w:pPr>
    </w:p>
    <w:p w14:paraId="7D4628D1">
      <w:pPr>
        <w:pStyle w:val="4"/>
        <w:rPr>
          <w:rFonts w:hint="eastAsia" w:ascii="黑体" w:hAnsi="黑体" w:eastAsia="黑体" w:cs="黑体"/>
          <w:color w:val="auto"/>
          <w:sz w:val="32"/>
          <w:szCs w:val="32"/>
          <w:highlight w:val="none"/>
        </w:rPr>
        <w:sectPr>
          <w:headerReference r:id="rId6" w:type="default"/>
          <w:footerReference r:id="rId7" w:type="default"/>
          <w:pgSz w:w="11907" w:h="16840"/>
          <w:pgMar w:top="1440" w:right="1800" w:bottom="1440" w:left="1800" w:header="851" w:footer="992" w:gutter="0"/>
          <w:pgNumType w:fmt="decimal" w:start="1"/>
          <w:cols w:space="720" w:num="1"/>
          <w:docGrid w:linePitch="380" w:charSpace="-5735"/>
        </w:sectPr>
      </w:pPr>
    </w:p>
    <w:p w14:paraId="588577C3">
      <w:pPr>
        <w:pStyle w:val="2"/>
        <w:numPr>
          <w:ilvl w:val="0"/>
          <w:numId w:val="4"/>
        </w:numPr>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bookmarkStart w:id="273" w:name="_Toc3337"/>
      <w:r>
        <w:rPr>
          <w:rFonts w:hint="eastAsia" w:ascii="黑体" w:hAnsi="黑体" w:eastAsia="黑体" w:cs="黑体"/>
          <w:color w:val="auto"/>
          <w:sz w:val="32"/>
          <w:szCs w:val="32"/>
          <w:highlight w:val="none"/>
          <w:lang w:eastAsia="zh-CN"/>
        </w:rPr>
        <w:t>供应商</w:t>
      </w:r>
      <w:r>
        <w:rPr>
          <w:rFonts w:hint="eastAsia" w:ascii="黑体" w:hAnsi="黑体" w:eastAsia="黑体" w:cs="黑体"/>
          <w:color w:val="auto"/>
          <w:sz w:val="32"/>
          <w:szCs w:val="32"/>
          <w:highlight w:val="none"/>
        </w:rPr>
        <w:t>须知</w:t>
      </w:r>
      <w:bookmarkEnd w:id="273"/>
    </w:p>
    <w:p w14:paraId="0CFE426D">
      <w:pPr>
        <w:pStyle w:val="4"/>
        <w:kinsoku/>
        <w:wordWrap/>
        <w:overflowPunct/>
        <w:topLinePunct w:val="0"/>
        <w:autoSpaceDE/>
        <w:autoSpaceDN/>
        <w:bidi w:val="0"/>
        <w:spacing w:before="0" w:after="0" w:line="360" w:lineRule="auto"/>
        <w:rPr>
          <w:rFonts w:hint="eastAsia" w:ascii="黑体" w:hAnsi="黑体" w:eastAsia="黑体" w:cs="黑体"/>
          <w:sz w:val="24"/>
          <w:szCs w:val="24"/>
          <w:highlight w:val="none"/>
        </w:rPr>
      </w:pPr>
      <w:bookmarkStart w:id="274" w:name="_Toc342913389"/>
      <w:bookmarkStart w:id="275" w:name="_Toc30110"/>
      <w:bookmarkStart w:id="276" w:name="_Toc1498"/>
      <w:r>
        <w:rPr>
          <w:rFonts w:hint="eastAsia" w:ascii="黑体" w:hAnsi="黑体" w:eastAsia="黑体" w:cs="黑体"/>
          <w:sz w:val="24"/>
          <w:szCs w:val="24"/>
          <w:highlight w:val="none"/>
        </w:rPr>
        <w:t>一、磋商</w:t>
      </w:r>
      <w:bookmarkEnd w:id="274"/>
      <w:r>
        <w:rPr>
          <w:rFonts w:hint="eastAsia" w:ascii="黑体" w:hAnsi="黑体" w:eastAsia="黑体" w:cs="黑体"/>
          <w:sz w:val="24"/>
          <w:szCs w:val="24"/>
          <w:highlight w:val="none"/>
        </w:rPr>
        <w:t>费用</w:t>
      </w:r>
      <w:bookmarkEnd w:id="275"/>
      <w:bookmarkEnd w:id="276"/>
    </w:p>
    <w:p w14:paraId="454175DC">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参与磋商的供应商应承担其编制响应文件与递交响应文件所涉及的一切费用，不论磋商结果如何，采购人在任何情况下无义务也无责任承担这些费用。</w:t>
      </w:r>
    </w:p>
    <w:p w14:paraId="2073BAA5">
      <w:pPr>
        <w:pStyle w:val="4"/>
        <w:tabs>
          <w:tab w:val="left" w:pos="2640"/>
        </w:tabs>
        <w:kinsoku/>
        <w:wordWrap/>
        <w:overflowPunct/>
        <w:topLinePunct w:val="0"/>
        <w:autoSpaceDE/>
        <w:autoSpaceDN/>
        <w:bidi w:val="0"/>
        <w:spacing w:before="0" w:after="0" w:line="360" w:lineRule="auto"/>
        <w:rPr>
          <w:rFonts w:hint="eastAsia" w:ascii="黑体" w:hAnsi="黑体" w:eastAsia="黑体" w:cs="黑体"/>
          <w:b w:val="0"/>
          <w:kern w:val="2"/>
          <w:sz w:val="24"/>
          <w:szCs w:val="24"/>
          <w:highlight w:val="none"/>
          <w:lang w:val="en-US" w:eastAsia="zh-CN" w:bidi="ar-SA"/>
        </w:rPr>
      </w:pPr>
      <w:bookmarkStart w:id="277" w:name="_Toc499216297"/>
      <w:bookmarkStart w:id="278" w:name="_Toc342913391"/>
      <w:bookmarkStart w:id="279" w:name="_Toc17668"/>
      <w:bookmarkStart w:id="280" w:name="_Toc499131167"/>
      <w:r>
        <w:rPr>
          <w:rFonts w:hint="eastAsia" w:ascii="黑体" w:hAnsi="黑体" w:eastAsia="黑体" w:cs="黑体"/>
          <w:sz w:val="24"/>
          <w:szCs w:val="24"/>
          <w:highlight w:val="none"/>
        </w:rPr>
        <w:t>二、竞争性磋商文件</w:t>
      </w:r>
      <w:bookmarkEnd w:id="277"/>
      <w:bookmarkEnd w:id="278"/>
      <w:bookmarkEnd w:id="279"/>
      <w:bookmarkEnd w:id="280"/>
    </w:p>
    <w:p w14:paraId="73B41D9B">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（一）竞争性磋商文件由采购邀请书、项目服务需求、项目商务需求、磋商程序及方法、评审标准、无效响应和采购终止、供应商须知、采购合同、响应文件编制要求七部分组成。</w:t>
      </w:r>
    </w:p>
    <w:p w14:paraId="775CAD3A">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（二）采购人所作的一切有效的书面通知、修改及补充，都是竞争性磋商文件不可分割的部分。</w:t>
      </w:r>
    </w:p>
    <w:p w14:paraId="12CF1861">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（三）竞争性磋商文件的解释</w:t>
      </w:r>
    </w:p>
    <w:p w14:paraId="5DA7DC7C">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3144686">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（四）本竞争性磋商文件中，磋商小组根据与供应商进行磋商可能实质性变动的内容为竞争性磋商文件第</w:t>
      </w:r>
      <w:r>
        <w:rPr>
          <w:rFonts w:hint="eastAsia" w:ascii="黑体" w:hAnsi="黑体" w:eastAsia="黑体" w:cs="黑体"/>
          <w:sz w:val="24"/>
          <w:szCs w:val="24"/>
          <w:highlight w:val="none"/>
          <w:lang w:val="en-US" w:eastAsia="zh-CN"/>
        </w:rPr>
        <w:t>二</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三</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六</w:t>
      </w:r>
      <w:r>
        <w:rPr>
          <w:rFonts w:hint="eastAsia" w:ascii="黑体" w:hAnsi="黑体" w:eastAsia="黑体" w:cs="黑体"/>
          <w:sz w:val="24"/>
          <w:szCs w:val="24"/>
          <w:highlight w:val="none"/>
        </w:rPr>
        <w:t>篇全部内容。</w:t>
      </w:r>
    </w:p>
    <w:p w14:paraId="74EBF872">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sz w:val="24"/>
          <w:szCs w:val="24"/>
          <w:highlight w:val="none"/>
        </w:rPr>
        <w:t>（五）评审的依据为竞争性磋商文件和响应文件（含有效的书面承诺）。磋商小组判断响应文件对竞争性磋商文件的响应，仅基于响应文件本身而不靠外部证据。</w:t>
      </w:r>
    </w:p>
    <w:p w14:paraId="4F368FEE">
      <w:pPr>
        <w:pStyle w:val="4"/>
        <w:kinsoku/>
        <w:wordWrap/>
        <w:overflowPunct/>
        <w:topLinePunct w:val="0"/>
        <w:autoSpaceDE/>
        <w:autoSpaceDN/>
        <w:bidi w:val="0"/>
        <w:spacing w:before="0" w:after="0" w:line="360" w:lineRule="auto"/>
        <w:rPr>
          <w:rFonts w:hint="eastAsia" w:ascii="黑体" w:hAnsi="黑体" w:eastAsia="黑体" w:cs="黑体"/>
          <w:sz w:val="24"/>
          <w:szCs w:val="24"/>
          <w:highlight w:val="none"/>
        </w:rPr>
      </w:pPr>
      <w:bookmarkStart w:id="281" w:name="_Toc15974"/>
      <w:bookmarkStart w:id="282" w:name="_Toc499131168"/>
      <w:bookmarkStart w:id="283" w:name="_Toc179714297"/>
      <w:bookmarkStart w:id="284" w:name="_Toc6931"/>
      <w:bookmarkStart w:id="285" w:name="_Toc499216298"/>
      <w:bookmarkStart w:id="286" w:name="_Toc102227318"/>
      <w:bookmarkStart w:id="287" w:name="_Toc342913392"/>
      <w:r>
        <w:rPr>
          <w:rFonts w:hint="eastAsia" w:ascii="黑体" w:hAnsi="黑体" w:eastAsia="黑体" w:cs="黑体"/>
          <w:sz w:val="24"/>
          <w:szCs w:val="24"/>
          <w:highlight w:val="none"/>
        </w:rPr>
        <w:t>三、磋商要求</w:t>
      </w:r>
      <w:bookmarkEnd w:id="281"/>
      <w:bookmarkEnd w:id="282"/>
      <w:bookmarkEnd w:id="283"/>
      <w:bookmarkEnd w:id="284"/>
      <w:bookmarkEnd w:id="285"/>
      <w:bookmarkEnd w:id="286"/>
      <w:bookmarkEnd w:id="287"/>
    </w:p>
    <w:p w14:paraId="4F1B9583">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（一）响应文件</w:t>
      </w:r>
    </w:p>
    <w:p w14:paraId="5EAFD80A">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1.供应商应当按照竞争性磋商文件的要求编制响应文件，并对竞争性磋商文件提出的要求和条件作出实质性响应，响应文件原则上采用软面订本，同时应编制完整的页码、目录。</w:t>
      </w:r>
    </w:p>
    <w:p w14:paraId="2447F92A">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2.响应文件组成</w:t>
      </w:r>
    </w:p>
    <w:p w14:paraId="14D2994C">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157B2B5">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（二）联合体</w:t>
      </w:r>
    </w:p>
    <w:p w14:paraId="1E976CF1">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本项目不接受联合体参与磋商</w:t>
      </w:r>
    </w:p>
    <w:p w14:paraId="727498BC">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（三）磋商有效期：响应文件及有关承诺文件有效期为提交响应文件截止时间起90天。</w:t>
      </w:r>
    </w:p>
    <w:p w14:paraId="4794EF9E">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（四）修正错误</w:t>
      </w:r>
    </w:p>
    <w:p w14:paraId="02A16BAA">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1.若供应商所递交的响应文件或最后报价中的价格出现大写金额和小写金额不一致的错误，以大写金额修正为准。</w:t>
      </w:r>
    </w:p>
    <w:p w14:paraId="05741E61">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5C643A1D">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（五）提交响应文件的份数和签署</w:t>
      </w:r>
    </w:p>
    <w:p w14:paraId="4CFB4475">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1.纸质响应文件一式三份，其中正本一份，副本二份；副本可为正本的复印件，应与正本一致，如出现不一致情况以正本为准。</w:t>
      </w:r>
    </w:p>
    <w:p w14:paraId="139833A9">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2.响应文件按竞争性磋商文件“第七篇响应文件编制要求”要求签署或盖章。</w:t>
      </w:r>
    </w:p>
    <w:p w14:paraId="44103DA6">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（六）响应文件的递交</w:t>
      </w:r>
    </w:p>
    <w:p w14:paraId="36EFD24E">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响应文件的正本、副本均应密封送达磋商地点，应在封套上注明磋商项目名称、供应商名称。若正本、副本分别进行密封的，还应在封套上注明“正本”、“副本”字样。</w:t>
      </w:r>
    </w:p>
    <w:p w14:paraId="48E2D19E">
      <w:pPr>
        <w:snapToGrid w:val="0"/>
        <w:spacing w:line="360" w:lineRule="auto"/>
        <w:ind w:firstLine="480" w:firstLineChars="200"/>
        <w:rPr>
          <w:rFonts w:hint="eastAsia" w:ascii="黑体" w:hAnsi="黑体" w:eastAsia="黑体" w:cs="黑体"/>
          <w:b w:val="0"/>
          <w:kern w:val="2"/>
          <w:sz w:val="24"/>
          <w:szCs w:val="24"/>
          <w:highlight w:val="none"/>
          <w:lang w:val="en-US" w:eastAsia="zh-CN" w:bidi="ar-SA"/>
        </w:rPr>
      </w:pPr>
      <w:r>
        <w:rPr>
          <w:rFonts w:hint="eastAsia" w:ascii="黑体" w:hAnsi="黑体" w:eastAsia="黑体" w:cs="黑体"/>
          <w:b w:val="0"/>
          <w:kern w:val="2"/>
          <w:sz w:val="24"/>
          <w:szCs w:val="24"/>
          <w:highlight w:val="none"/>
          <w:lang w:val="en-US" w:eastAsia="zh-CN" w:bidi="ar-SA"/>
        </w:rPr>
        <w:t>（七）供应商参与人员</w:t>
      </w:r>
    </w:p>
    <w:p w14:paraId="157BF0C5">
      <w:pPr>
        <w:pageBreakBefore w:val="0"/>
        <w:widowControl w:val="0"/>
        <w:kinsoku/>
        <w:overflowPunct/>
        <w:topLinePunct w:val="0"/>
        <w:bidi w:val="0"/>
        <w:snapToGrid w:val="0"/>
        <w:spacing w:line="360" w:lineRule="auto"/>
        <w:ind w:firstLine="56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b w:val="0"/>
          <w:kern w:val="2"/>
          <w:sz w:val="24"/>
          <w:szCs w:val="24"/>
          <w:highlight w:val="none"/>
          <w:lang w:val="en-US" w:eastAsia="zh-CN" w:bidi="ar-SA"/>
        </w:rPr>
        <w:t>各个供应商应当派1-2名代表参与磋商，至少1人应为法定代表人（或其授权代表）或自然人（供应商为自然人）。</w:t>
      </w:r>
    </w:p>
    <w:p w14:paraId="0B289E25">
      <w:pPr>
        <w:pStyle w:val="4"/>
        <w:kinsoku/>
        <w:wordWrap/>
        <w:overflowPunct/>
        <w:topLinePunct w:val="0"/>
        <w:autoSpaceDE/>
        <w:autoSpaceDN/>
        <w:bidi w:val="0"/>
        <w:spacing w:before="0" w:after="0" w:line="360" w:lineRule="auto"/>
        <w:rPr>
          <w:rFonts w:hint="eastAsia" w:ascii="黑体" w:hAnsi="黑体" w:eastAsia="黑体" w:cs="黑体"/>
          <w:sz w:val="24"/>
          <w:szCs w:val="24"/>
          <w:highlight w:val="none"/>
        </w:rPr>
      </w:pPr>
      <w:bookmarkStart w:id="288" w:name="_Toc1458"/>
      <w:bookmarkStart w:id="289" w:name="_Toc493506311"/>
      <w:bookmarkStart w:id="290" w:name="_Toc19183"/>
      <w:r>
        <w:rPr>
          <w:rFonts w:hint="eastAsia" w:ascii="黑体" w:hAnsi="黑体" w:eastAsia="黑体" w:cs="黑体"/>
          <w:sz w:val="24"/>
          <w:szCs w:val="24"/>
          <w:highlight w:val="none"/>
        </w:rPr>
        <w:t>四、成交供应商的确认和变更</w:t>
      </w:r>
      <w:bookmarkEnd w:id="288"/>
    </w:p>
    <w:p w14:paraId="6770D439">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（一）成交供应商的确认</w:t>
      </w:r>
    </w:p>
    <w:p w14:paraId="1D104ED0">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E452F57">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（二）成交供应商的变更</w:t>
      </w:r>
    </w:p>
    <w:p w14:paraId="53C080E2">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成交供应商拒绝与采购人签订合同的，采购人可以按照评标报告推荐的成交候选供应商顺序，确定排名下一位的候选人为成交供应商，也可以重新开展采购活动。</w:t>
      </w:r>
    </w:p>
    <w:p w14:paraId="548316E0">
      <w:pPr>
        <w:pStyle w:val="4"/>
        <w:kinsoku/>
        <w:wordWrap/>
        <w:overflowPunct/>
        <w:topLinePunct w:val="0"/>
        <w:autoSpaceDE/>
        <w:autoSpaceDN/>
        <w:bidi w:val="0"/>
        <w:spacing w:before="0" w:after="0" w:line="360" w:lineRule="auto"/>
        <w:rPr>
          <w:rFonts w:hint="eastAsia" w:ascii="黑体" w:hAnsi="黑体" w:eastAsia="黑体" w:cs="黑体"/>
          <w:sz w:val="24"/>
          <w:szCs w:val="24"/>
          <w:highlight w:val="none"/>
        </w:rPr>
      </w:pPr>
      <w:bookmarkStart w:id="291" w:name="_Toc5863"/>
      <w:bookmarkStart w:id="292" w:name="_Toc102227321"/>
      <w:bookmarkStart w:id="293" w:name="_Toc499131170"/>
      <w:bookmarkStart w:id="294" w:name="_Toc342913395"/>
      <w:bookmarkStart w:id="295" w:name="_Toc2879"/>
      <w:bookmarkStart w:id="296" w:name="_Toc499216300"/>
      <w:r>
        <w:rPr>
          <w:rFonts w:hint="eastAsia" w:ascii="黑体" w:hAnsi="黑体" w:eastAsia="黑体" w:cs="黑体"/>
          <w:sz w:val="24"/>
          <w:szCs w:val="24"/>
          <w:highlight w:val="none"/>
        </w:rPr>
        <w:t>五、成交通知</w:t>
      </w:r>
      <w:bookmarkEnd w:id="291"/>
      <w:bookmarkEnd w:id="292"/>
      <w:bookmarkEnd w:id="293"/>
      <w:bookmarkEnd w:id="294"/>
      <w:bookmarkEnd w:id="295"/>
      <w:bookmarkEnd w:id="296"/>
    </w:p>
    <w:p w14:paraId="4F692C00">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（一）成交供应商确定后，采购代理机构将在行采家（https://www.gec123.com/）上发布成交结果公告。</w:t>
      </w:r>
    </w:p>
    <w:p w14:paraId="27B2E25D">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（二）结果公告发出同时，采购代理机构将以书面形式发出《成交通知书》。《成交通知书》一经发出即发生法律效力。</w:t>
      </w:r>
    </w:p>
    <w:p w14:paraId="3B5DEC22">
      <w:pPr>
        <w:pStyle w:val="63"/>
        <w:kinsoku/>
        <w:wordWrap/>
        <w:overflowPunct/>
        <w:topLinePunct w:val="0"/>
        <w:autoSpaceDE/>
        <w:autoSpaceDN/>
        <w:bidi w:val="0"/>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（三）《成交通知书》将作为签订合同的依据。</w:t>
      </w:r>
    </w:p>
    <w:p w14:paraId="26100BB4">
      <w:pPr>
        <w:pStyle w:val="3"/>
        <w:spacing w:line="400" w:lineRule="exact"/>
        <w:rPr>
          <w:rFonts w:hint="eastAsia" w:ascii="黑体" w:hAnsi="黑体" w:eastAsia="黑体" w:cs="黑体"/>
          <w:b/>
          <w:bCs/>
          <w:color w:val="auto"/>
          <w:sz w:val="24"/>
          <w:highlight w:val="none"/>
          <w:lang w:val="en-US" w:eastAsia="zh-CN"/>
        </w:rPr>
      </w:pPr>
      <w:bookmarkStart w:id="297" w:name="_Toc28793"/>
      <w:r>
        <w:rPr>
          <w:rFonts w:hint="eastAsia" w:ascii="黑体" w:hAnsi="黑体" w:eastAsia="黑体" w:cs="黑体"/>
          <w:b/>
          <w:bCs/>
          <w:color w:val="auto"/>
          <w:sz w:val="24"/>
          <w:highlight w:val="none"/>
          <w:lang w:val="en-US" w:eastAsia="zh-CN"/>
        </w:rPr>
        <w:t>六</w:t>
      </w:r>
      <w:r>
        <w:rPr>
          <w:rFonts w:hint="eastAsia" w:ascii="黑体" w:hAnsi="黑体" w:eastAsia="黑体" w:cs="黑体"/>
          <w:b/>
          <w:bCs/>
          <w:color w:val="auto"/>
          <w:sz w:val="24"/>
          <w:highlight w:val="none"/>
        </w:rPr>
        <w:t>、</w:t>
      </w:r>
      <w:bookmarkEnd w:id="289"/>
      <w:r>
        <w:rPr>
          <w:rFonts w:hint="eastAsia" w:ascii="黑体" w:hAnsi="黑体" w:eastAsia="黑体" w:cs="黑体"/>
          <w:b/>
          <w:bCs/>
          <w:color w:val="auto"/>
          <w:sz w:val="24"/>
          <w:highlight w:val="none"/>
          <w:lang w:val="en-US" w:eastAsia="zh-CN"/>
        </w:rPr>
        <w:t>关于质疑</w:t>
      </w:r>
      <w:bookmarkEnd w:id="290"/>
      <w:bookmarkEnd w:id="297"/>
    </w:p>
    <w:p w14:paraId="20A0FF36">
      <w:pPr>
        <w:snapToGrid w:val="0"/>
        <w:spacing w:line="400" w:lineRule="exact"/>
        <w:ind w:firstLine="480" w:firstLineChars="200"/>
        <w:rPr>
          <w:rFonts w:hint="eastAsia" w:ascii="黑体" w:hAnsi="黑体" w:eastAsia="黑体" w:cs="黑体"/>
          <w:color w:val="auto"/>
          <w:sz w:val="24"/>
          <w:highlight w:val="none"/>
        </w:rPr>
      </w:pPr>
      <w:bookmarkStart w:id="298" w:name="_Toc493506312"/>
      <w:r>
        <w:rPr>
          <w:rFonts w:hint="eastAsia" w:ascii="黑体" w:hAnsi="黑体" w:eastAsia="黑体" w:cs="黑体"/>
          <w:color w:val="auto"/>
          <w:sz w:val="24"/>
          <w:highlight w:val="none"/>
        </w:rPr>
        <w:t>1、质疑内容、时限：</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对</w:t>
      </w:r>
      <w:r>
        <w:rPr>
          <w:rFonts w:hint="eastAsia" w:ascii="黑体" w:hAnsi="黑体" w:eastAsia="黑体" w:cs="黑体"/>
          <w:color w:val="auto"/>
          <w:sz w:val="24"/>
          <w:highlight w:val="none"/>
          <w:lang w:val="en-US" w:eastAsia="zh-CN"/>
        </w:rPr>
        <w:t>成交</w:t>
      </w:r>
      <w:r>
        <w:rPr>
          <w:rFonts w:hint="eastAsia" w:ascii="黑体" w:hAnsi="黑体" w:eastAsia="黑体" w:cs="黑体"/>
          <w:color w:val="auto"/>
          <w:sz w:val="24"/>
          <w:highlight w:val="none"/>
        </w:rPr>
        <w:t>结果有异议的，应当在</w:t>
      </w:r>
      <w:r>
        <w:rPr>
          <w:rFonts w:hint="eastAsia" w:ascii="黑体" w:hAnsi="黑体" w:eastAsia="黑体" w:cs="黑体"/>
          <w:color w:val="auto"/>
          <w:sz w:val="24"/>
          <w:highlight w:val="none"/>
          <w:lang w:val="en-US" w:eastAsia="zh-CN"/>
        </w:rPr>
        <w:t>成交</w:t>
      </w:r>
      <w:r>
        <w:rPr>
          <w:rFonts w:hint="eastAsia" w:ascii="黑体" w:hAnsi="黑体" w:eastAsia="黑体" w:cs="黑体"/>
          <w:color w:val="auto"/>
          <w:sz w:val="24"/>
          <w:highlight w:val="none"/>
        </w:rPr>
        <w:t>结果公示期内以书面形式向</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提出质疑，并附相关证明材料。</w:t>
      </w:r>
    </w:p>
    <w:p w14:paraId="1BDC7B4C">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2、质疑答复</w:t>
      </w:r>
    </w:p>
    <w:p w14:paraId="7CBE4EF7">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在收到</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书面质疑后七个工作日内，对质疑内容作出答复</w:t>
      </w:r>
    </w:p>
    <w:p w14:paraId="00D138B2">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3、不予受理或暂缓受理</w:t>
      </w:r>
    </w:p>
    <w:p w14:paraId="76015B01">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（1）质疑有下列情形之一的，不予受理：</w:t>
      </w:r>
    </w:p>
    <w:p w14:paraId="1E463E9E">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1.1质疑</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参与了</w:t>
      </w:r>
      <w:r>
        <w:rPr>
          <w:rFonts w:hint="eastAsia" w:ascii="黑体" w:hAnsi="黑体" w:eastAsia="黑体" w:cs="黑体"/>
          <w:color w:val="auto"/>
          <w:sz w:val="24"/>
          <w:highlight w:val="none"/>
          <w:lang w:val="en-US" w:eastAsia="zh-CN"/>
        </w:rPr>
        <w:t>采购</w:t>
      </w:r>
      <w:r>
        <w:rPr>
          <w:rFonts w:hint="eastAsia" w:ascii="黑体" w:hAnsi="黑体" w:eastAsia="黑体" w:cs="黑体"/>
          <w:color w:val="auto"/>
          <w:sz w:val="24"/>
          <w:highlight w:val="none"/>
        </w:rPr>
        <w:t>活动后，再对</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内容提出质疑的；</w:t>
      </w:r>
    </w:p>
    <w:p w14:paraId="07BBCC47">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1.2质疑超过有效期的；</w:t>
      </w:r>
    </w:p>
    <w:p w14:paraId="3CC59E3E">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1.3对同一事项重复质疑的。</w:t>
      </w:r>
    </w:p>
    <w:p w14:paraId="4F8D2F63">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（2）质疑有下列情形之一的，应暂不受理并告知</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补充材料。</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及时补充材料的，应予受理；逾期未补充的，不予受理：</w:t>
      </w:r>
    </w:p>
    <w:p w14:paraId="54314CA9">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2.1质疑书格式和内容不符合国家或重庆市相关规定的；</w:t>
      </w:r>
    </w:p>
    <w:p w14:paraId="12EB9727">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2.2质疑书提供的依据或证明材料不全的；</w:t>
      </w:r>
    </w:p>
    <w:p w14:paraId="697A6D1D">
      <w:pPr>
        <w:snapToGrid w:val="0"/>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2.3质疑书副本数量不足的。</w:t>
      </w:r>
    </w:p>
    <w:p w14:paraId="6FE8F65A">
      <w:pPr>
        <w:snapToGrid w:val="0"/>
        <w:spacing w:line="400" w:lineRule="exac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lang w:val="en-US" w:eastAsia="zh-CN"/>
        </w:rPr>
        <w:t>七</w:t>
      </w:r>
      <w:r>
        <w:rPr>
          <w:rFonts w:hint="eastAsia" w:ascii="黑体" w:hAnsi="黑体" w:eastAsia="黑体" w:cs="黑体"/>
          <w:b/>
          <w:bCs/>
          <w:color w:val="auto"/>
          <w:sz w:val="24"/>
          <w:highlight w:val="none"/>
        </w:rPr>
        <w:t>、</w:t>
      </w:r>
      <w:bookmarkEnd w:id="298"/>
      <w:bookmarkStart w:id="299" w:name="_Toc493506313"/>
      <w:r>
        <w:rPr>
          <w:rFonts w:hint="eastAsia" w:ascii="黑体" w:hAnsi="黑体" w:eastAsia="黑体" w:cs="黑体"/>
          <w:b/>
          <w:bCs/>
          <w:color w:val="auto"/>
          <w:sz w:val="24"/>
          <w:highlight w:val="none"/>
        </w:rPr>
        <w:t>签订合同</w:t>
      </w:r>
      <w:bookmarkEnd w:id="299"/>
    </w:p>
    <w:p w14:paraId="20BD941C">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应当自</w:t>
      </w:r>
      <w:r>
        <w:rPr>
          <w:rFonts w:hint="eastAsia" w:ascii="黑体" w:hAnsi="黑体" w:eastAsia="黑体" w:cs="黑体"/>
          <w:color w:val="auto"/>
          <w:sz w:val="24"/>
          <w:highlight w:val="none"/>
          <w:lang w:val="en-US" w:eastAsia="zh-CN"/>
        </w:rPr>
        <w:t>成交</w:t>
      </w:r>
      <w:r>
        <w:rPr>
          <w:rFonts w:hint="eastAsia" w:ascii="黑体" w:hAnsi="黑体" w:eastAsia="黑体" w:cs="黑体"/>
          <w:color w:val="auto"/>
          <w:sz w:val="24"/>
          <w:highlight w:val="none"/>
        </w:rPr>
        <w:t>通知书发出之日起</w:t>
      </w:r>
      <w:r>
        <w:rPr>
          <w:rFonts w:hint="eastAsia" w:ascii="黑体" w:hAnsi="黑体" w:eastAsia="黑体" w:cs="黑体"/>
          <w:color w:val="auto"/>
          <w:sz w:val="24"/>
          <w:highlight w:val="none"/>
          <w:lang w:val="en-US" w:eastAsia="zh-CN"/>
        </w:rPr>
        <w:t>二</w:t>
      </w:r>
      <w:r>
        <w:rPr>
          <w:rFonts w:hint="eastAsia" w:ascii="黑体" w:hAnsi="黑体" w:eastAsia="黑体" w:cs="黑体"/>
          <w:color w:val="auto"/>
          <w:sz w:val="24"/>
          <w:highlight w:val="none"/>
        </w:rPr>
        <w:t>十日内，按照</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和</w:t>
      </w:r>
      <w:r>
        <w:rPr>
          <w:rFonts w:hint="eastAsia" w:ascii="黑体" w:hAnsi="黑体" w:eastAsia="黑体" w:cs="黑体"/>
          <w:color w:val="auto"/>
          <w:sz w:val="24"/>
          <w:highlight w:val="none"/>
          <w:lang w:eastAsia="zh-CN"/>
        </w:rPr>
        <w:t>成交供应商响应文件</w:t>
      </w:r>
      <w:r>
        <w:rPr>
          <w:rFonts w:hint="eastAsia" w:ascii="黑体" w:hAnsi="黑体" w:eastAsia="黑体" w:cs="黑体"/>
          <w:color w:val="auto"/>
          <w:sz w:val="24"/>
          <w:highlight w:val="none"/>
        </w:rPr>
        <w:t>的约定，与</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签订书面合同。所签订的合同不得对</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和</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的</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作实质性修改。</w:t>
      </w:r>
    </w:p>
    <w:p w14:paraId="5EFEF855">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的</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及澄清文件等，均为签订合同的依据。</w:t>
      </w:r>
    </w:p>
    <w:p w14:paraId="4ADD4478">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3、合同生效条款由</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和</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双方约定，法律、行政法规规定应当办理批准、登记等手续后生效的合同，依照其规定。</w:t>
      </w:r>
    </w:p>
    <w:p w14:paraId="0C36685F">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4、合同原则上应按照《合同法》签订，相关单位要求适用合同通用格式版本的，应按其要求另行签订其他合同。</w:t>
      </w:r>
    </w:p>
    <w:p w14:paraId="4CC9F02B">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要求</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提供履约保证金的，应当在</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中予以约定。</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履约完毕后，</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应按</w:t>
      </w:r>
      <w:r>
        <w:rPr>
          <w:rFonts w:hint="eastAsia" w:ascii="黑体" w:hAnsi="黑体" w:eastAsia="黑体" w:cs="黑体"/>
          <w:color w:val="auto"/>
          <w:sz w:val="24"/>
          <w:highlight w:val="none"/>
          <w:lang w:eastAsia="zh-CN"/>
        </w:rPr>
        <w:t>采购文件</w:t>
      </w:r>
      <w:r>
        <w:rPr>
          <w:rFonts w:hint="eastAsia" w:ascii="黑体" w:hAnsi="黑体" w:eastAsia="黑体" w:cs="黑体"/>
          <w:color w:val="auto"/>
          <w:sz w:val="24"/>
          <w:highlight w:val="none"/>
        </w:rPr>
        <w:t>的规定退还其履约保证金。</w:t>
      </w:r>
    </w:p>
    <w:p w14:paraId="0BBE8815">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6、除不可抗力等因素外，</w:t>
      </w:r>
      <w:r>
        <w:rPr>
          <w:rFonts w:hint="eastAsia" w:ascii="黑体" w:hAnsi="黑体" w:eastAsia="黑体" w:cs="黑体"/>
          <w:color w:val="auto"/>
          <w:sz w:val="24"/>
          <w:highlight w:val="none"/>
          <w:lang w:val="en-US" w:eastAsia="zh-CN"/>
        </w:rPr>
        <w:t>成交</w:t>
      </w:r>
      <w:r>
        <w:rPr>
          <w:rFonts w:hint="eastAsia" w:ascii="黑体" w:hAnsi="黑体" w:eastAsia="黑体" w:cs="黑体"/>
          <w:color w:val="auto"/>
          <w:sz w:val="24"/>
          <w:highlight w:val="none"/>
        </w:rPr>
        <w:t>通知书发出后，</w:t>
      </w:r>
      <w:r>
        <w:rPr>
          <w:rFonts w:hint="eastAsia" w:ascii="黑体" w:hAnsi="黑体" w:eastAsia="黑体" w:cs="黑体"/>
          <w:color w:val="auto"/>
          <w:sz w:val="24"/>
          <w:highlight w:val="none"/>
          <w:lang w:eastAsia="zh-CN"/>
        </w:rPr>
        <w:t>采购人</w:t>
      </w:r>
      <w:r>
        <w:rPr>
          <w:rFonts w:hint="eastAsia" w:ascii="黑体" w:hAnsi="黑体" w:eastAsia="黑体" w:cs="黑体"/>
          <w:color w:val="auto"/>
          <w:sz w:val="24"/>
          <w:highlight w:val="none"/>
        </w:rPr>
        <w:t>改变成交结果，或者</w:t>
      </w:r>
      <w:r>
        <w:rPr>
          <w:rFonts w:hint="eastAsia" w:ascii="黑体" w:hAnsi="黑体" w:eastAsia="黑体" w:cs="黑体"/>
          <w:color w:val="auto"/>
          <w:sz w:val="24"/>
          <w:highlight w:val="none"/>
          <w:lang w:eastAsia="zh-CN"/>
        </w:rPr>
        <w:t>成交供应商</w:t>
      </w:r>
      <w:r>
        <w:rPr>
          <w:rFonts w:hint="eastAsia" w:ascii="黑体" w:hAnsi="黑体" w:eastAsia="黑体" w:cs="黑体"/>
          <w:color w:val="auto"/>
          <w:sz w:val="24"/>
          <w:highlight w:val="none"/>
        </w:rPr>
        <w:t>拒绝签订合同的，应当承担相应的法律责任。</w:t>
      </w:r>
    </w:p>
    <w:p w14:paraId="31DD7547">
      <w:pPr>
        <w:snapToGrid w:val="0"/>
        <w:spacing w:line="400" w:lineRule="exact"/>
        <w:rPr>
          <w:rFonts w:hint="eastAsia" w:ascii="黑体" w:hAnsi="黑体" w:eastAsia="黑体" w:cs="黑体"/>
          <w:b/>
          <w:bCs/>
          <w:color w:val="auto"/>
          <w:sz w:val="24"/>
          <w:highlight w:val="none"/>
        </w:rPr>
      </w:pPr>
      <w:bookmarkStart w:id="300" w:name="_Toc88204102"/>
      <w:bookmarkStart w:id="301" w:name="_Toc5605"/>
      <w:bookmarkStart w:id="302" w:name="_Toc100761339"/>
      <w:bookmarkStart w:id="303" w:name="_Toc95742589"/>
      <w:r>
        <w:rPr>
          <w:rFonts w:hint="eastAsia" w:ascii="黑体" w:hAnsi="黑体" w:eastAsia="黑体" w:cs="黑体"/>
          <w:b/>
          <w:bCs/>
          <w:color w:val="auto"/>
          <w:sz w:val="24"/>
          <w:highlight w:val="none"/>
          <w:lang w:val="en-US" w:eastAsia="zh-CN"/>
        </w:rPr>
        <w:t>八</w:t>
      </w:r>
      <w:r>
        <w:rPr>
          <w:rFonts w:hint="eastAsia" w:ascii="黑体" w:hAnsi="黑体" w:eastAsia="黑体" w:cs="黑体"/>
          <w:b/>
          <w:bCs/>
          <w:color w:val="auto"/>
          <w:sz w:val="24"/>
          <w:highlight w:val="none"/>
        </w:rPr>
        <w:t>、采购代理服务费用</w:t>
      </w:r>
      <w:bookmarkEnd w:id="300"/>
      <w:bookmarkEnd w:id="301"/>
      <w:bookmarkEnd w:id="302"/>
      <w:bookmarkEnd w:id="303"/>
    </w:p>
    <w:p w14:paraId="338C36E5">
      <w:pPr>
        <w:spacing w:line="400" w:lineRule="exact"/>
        <w:ind w:firstLine="480" w:firstLineChars="200"/>
        <w:rPr>
          <w:rFonts w:hint="eastAsia" w:ascii="黑体" w:hAnsi="黑体" w:eastAsia="黑体" w:cs="黑体"/>
          <w:color w:val="auto"/>
          <w:sz w:val="24"/>
          <w:highlight w:val="none"/>
        </w:rPr>
        <w:sectPr>
          <w:pgSz w:w="11907" w:h="16840"/>
          <w:pgMar w:top="1440" w:right="1800" w:bottom="1440" w:left="1800" w:header="851" w:footer="992" w:gutter="0"/>
          <w:pgNumType w:fmt="decimal"/>
          <w:cols w:space="720" w:num="1"/>
          <w:docGrid w:linePitch="380" w:charSpace="-5735"/>
        </w:sectPr>
      </w:pPr>
      <w:r>
        <w:rPr>
          <w:rFonts w:hint="eastAsia" w:ascii="黑体" w:hAnsi="黑体" w:eastAsia="黑体" w:cs="黑体"/>
          <w:color w:val="auto"/>
          <w:sz w:val="24"/>
          <w:highlight w:val="none"/>
          <w:lang w:val="en-US" w:eastAsia="zh-CN"/>
        </w:rPr>
        <w:t>本项目的招标代理费中标金额为基数，按照发改价格〔2011〕534 号文收费标准的规定计算，不足3000.00元，按3000.00元收取，由成交供应商在领取成交通知书前一次性支付</w:t>
      </w:r>
      <w:r>
        <w:rPr>
          <w:rFonts w:hint="eastAsia" w:ascii="黑体" w:hAnsi="黑体" w:eastAsia="黑体" w:cs="黑体"/>
          <w:color w:val="auto"/>
          <w:sz w:val="24"/>
          <w:highlight w:val="none"/>
        </w:rPr>
        <w:t>。</w:t>
      </w:r>
    </w:p>
    <w:p w14:paraId="58599BB4">
      <w:pPr>
        <w:pStyle w:val="2"/>
        <w:numPr>
          <w:ilvl w:val="0"/>
          <w:numId w:val="4"/>
        </w:numPr>
        <w:ind w:left="0" w:leftChars="0" w:firstLine="0" w:firstLineChars="0"/>
        <w:jc w:val="center"/>
        <w:rPr>
          <w:rStyle w:val="33"/>
          <w:rFonts w:hint="eastAsia" w:ascii="黑体" w:hAnsi="黑体" w:eastAsia="黑体" w:cs="黑体"/>
          <w:b/>
          <w:color w:val="auto"/>
          <w:sz w:val="32"/>
          <w:szCs w:val="15"/>
          <w:highlight w:val="none"/>
        </w:rPr>
      </w:pPr>
      <w:r>
        <w:rPr>
          <w:rFonts w:hint="eastAsia" w:ascii="黑体" w:hAnsi="黑体" w:eastAsia="黑体" w:cs="黑体"/>
          <w:color w:val="auto"/>
          <w:sz w:val="32"/>
          <w:szCs w:val="32"/>
          <w:highlight w:val="none"/>
        </w:rPr>
        <w:t xml:space="preserve"> </w:t>
      </w:r>
      <w:bookmarkStart w:id="304" w:name="_Toc10756"/>
      <w:r>
        <w:rPr>
          <w:rFonts w:hint="eastAsia" w:ascii="黑体" w:hAnsi="黑体" w:eastAsia="黑体" w:cs="黑体"/>
          <w:color w:val="auto"/>
          <w:sz w:val="32"/>
          <w:szCs w:val="32"/>
          <w:highlight w:val="none"/>
        </w:rPr>
        <w:t>合同条款及格式</w:t>
      </w:r>
      <w:bookmarkEnd w:id="242"/>
      <w:bookmarkEnd w:id="243"/>
      <w:bookmarkEnd w:id="244"/>
      <w:bookmarkEnd w:id="304"/>
      <w:bookmarkStart w:id="305" w:name="_Toc501641423"/>
    </w:p>
    <w:p w14:paraId="083D0E4E">
      <w:pPr>
        <w:pStyle w:val="2"/>
        <w:tabs>
          <w:tab w:val="left" w:pos="3360"/>
        </w:tabs>
        <w:spacing w:before="0" w:beforeLines="0" w:after="0" w:afterLines="0" w:line="360" w:lineRule="auto"/>
        <w:jc w:val="center"/>
        <w:rPr>
          <w:rStyle w:val="61"/>
          <w:rFonts w:hint="eastAsia" w:ascii="黑体" w:hAnsi="黑体" w:eastAsia="黑体" w:cs="黑体"/>
          <w:b w:val="0"/>
          <w:bCs/>
          <w:sz w:val="24"/>
          <w:szCs w:val="24"/>
        </w:rPr>
      </w:pPr>
      <w:bookmarkStart w:id="306" w:name="_Toc12159"/>
      <w:r>
        <w:rPr>
          <w:rFonts w:hint="eastAsia" w:ascii="黑体" w:hAnsi="黑体" w:eastAsia="黑体" w:cs="黑体"/>
          <w:b/>
          <w:sz w:val="24"/>
          <w:szCs w:val="24"/>
        </w:rPr>
        <w:t>采购合同（参考）</w:t>
      </w:r>
      <w:bookmarkEnd w:id="306"/>
    </w:p>
    <w:p w14:paraId="521AE26E">
      <w:pPr>
        <w:spacing w:line="500" w:lineRule="exact"/>
        <w:jc w:val="center"/>
        <w:rPr>
          <w:rFonts w:hint="eastAsia" w:ascii="黑体" w:hAnsi="黑体" w:eastAsia="黑体" w:cs="黑体"/>
          <w:b/>
          <w:sz w:val="36"/>
          <w:szCs w:val="16"/>
        </w:rPr>
      </w:pPr>
      <w:r>
        <w:rPr>
          <w:rFonts w:hint="eastAsia" w:ascii="黑体" w:hAnsi="黑体" w:eastAsia="黑体" w:cs="黑体"/>
          <w:b/>
          <w:sz w:val="36"/>
          <w:szCs w:val="16"/>
        </w:rPr>
        <w:t>重庆市政府采购合同</w:t>
      </w:r>
    </w:p>
    <w:p w14:paraId="5EA4C90F">
      <w:pPr>
        <w:spacing w:line="500" w:lineRule="exact"/>
        <w:jc w:val="center"/>
        <w:rPr>
          <w:rFonts w:hint="eastAsia" w:ascii="黑体" w:hAnsi="黑体" w:eastAsia="黑体" w:cs="黑体"/>
          <w:sz w:val="22"/>
          <w:szCs w:val="16"/>
        </w:rPr>
      </w:pPr>
      <w:r>
        <w:rPr>
          <w:rFonts w:hint="eastAsia" w:ascii="黑体" w:hAnsi="黑体" w:eastAsia="黑体" w:cs="黑体"/>
          <w:sz w:val="22"/>
          <w:szCs w:val="16"/>
        </w:rPr>
        <w:t>（项目号：     ）</w:t>
      </w:r>
    </w:p>
    <w:p w14:paraId="5326199C">
      <w:pPr>
        <w:spacing w:line="500" w:lineRule="exact"/>
        <w:rPr>
          <w:rFonts w:hint="eastAsia" w:ascii="黑体" w:hAnsi="黑体" w:eastAsia="黑体" w:cs="黑体"/>
          <w:sz w:val="24"/>
          <w:szCs w:val="24"/>
        </w:rPr>
      </w:pPr>
      <w:r>
        <w:rPr>
          <w:rFonts w:hint="eastAsia" w:ascii="黑体" w:hAnsi="黑体" w:eastAsia="黑体" w:cs="黑体"/>
          <w:sz w:val="24"/>
          <w:szCs w:val="24"/>
        </w:rPr>
        <w:t>甲方（需方）：_________________      计价单位：____________</w:t>
      </w:r>
    </w:p>
    <w:p w14:paraId="4A332E93">
      <w:pPr>
        <w:spacing w:line="500" w:lineRule="exact"/>
        <w:rPr>
          <w:rFonts w:hint="eastAsia" w:ascii="黑体" w:hAnsi="黑体" w:eastAsia="黑体" w:cs="黑体"/>
          <w:sz w:val="24"/>
          <w:szCs w:val="24"/>
        </w:rPr>
      </w:pPr>
      <w:r>
        <w:rPr>
          <w:rFonts w:hint="eastAsia" w:ascii="黑体" w:hAnsi="黑体" w:eastAsia="黑体" w:cs="黑体"/>
          <w:sz w:val="24"/>
          <w:szCs w:val="24"/>
        </w:rPr>
        <w:t>乙方（供方）：______________</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___      计量单位：_____________</w:t>
      </w:r>
    </w:p>
    <w:p w14:paraId="48371B4C">
      <w:pPr>
        <w:spacing w:line="500" w:lineRule="exact"/>
        <w:rPr>
          <w:rFonts w:hint="eastAsia" w:ascii="黑体" w:hAnsi="黑体" w:eastAsia="黑体" w:cs="黑体"/>
          <w:sz w:val="24"/>
          <w:szCs w:val="24"/>
        </w:rPr>
      </w:pPr>
      <w:r>
        <w:rPr>
          <w:rFonts w:hint="eastAsia" w:ascii="黑体" w:hAnsi="黑体" w:eastAsia="黑体" w:cs="黑体"/>
          <w:sz w:val="24"/>
          <w:szCs w:val="24"/>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399"/>
        <w:gridCol w:w="984"/>
        <w:gridCol w:w="589"/>
        <w:gridCol w:w="709"/>
        <w:gridCol w:w="1134"/>
        <w:gridCol w:w="1559"/>
        <w:gridCol w:w="1567"/>
      </w:tblGrid>
      <w:tr w14:paraId="27F1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noWrap w:val="0"/>
            <w:vAlign w:val="center"/>
          </w:tcPr>
          <w:p w14:paraId="650D2D4A">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399" w:type="dxa"/>
            <w:noWrap w:val="0"/>
            <w:vAlign w:val="center"/>
          </w:tcPr>
          <w:p w14:paraId="0ECBBB70">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服务内容</w:t>
            </w:r>
          </w:p>
        </w:tc>
        <w:tc>
          <w:tcPr>
            <w:tcW w:w="984" w:type="dxa"/>
            <w:noWrap w:val="0"/>
            <w:vAlign w:val="center"/>
          </w:tcPr>
          <w:p w14:paraId="44C0CDA8">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数量</w:t>
            </w:r>
          </w:p>
        </w:tc>
        <w:tc>
          <w:tcPr>
            <w:tcW w:w="1298" w:type="dxa"/>
            <w:gridSpan w:val="2"/>
            <w:noWrap w:val="0"/>
            <w:vAlign w:val="center"/>
          </w:tcPr>
          <w:p w14:paraId="7BC5E5EA">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综合单价</w:t>
            </w:r>
          </w:p>
        </w:tc>
        <w:tc>
          <w:tcPr>
            <w:tcW w:w="1134" w:type="dxa"/>
            <w:noWrap w:val="0"/>
            <w:vAlign w:val="center"/>
          </w:tcPr>
          <w:p w14:paraId="41CB5411">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总价</w:t>
            </w:r>
          </w:p>
        </w:tc>
        <w:tc>
          <w:tcPr>
            <w:tcW w:w="1559" w:type="dxa"/>
            <w:noWrap w:val="0"/>
            <w:vAlign w:val="center"/>
          </w:tcPr>
          <w:p w14:paraId="33F5C412">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服务期</w:t>
            </w:r>
          </w:p>
        </w:tc>
        <w:tc>
          <w:tcPr>
            <w:tcW w:w="1567" w:type="dxa"/>
            <w:noWrap w:val="0"/>
            <w:vAlign w:val="center"/>
          </w:tcPr>
          <w:p w14:paraId="7CB48A1B">
            <w:pPr>
              <w:spacing w:line="240" w:lineRule="atLeast"/>
              <w:jc w:val="center"/>
              <w:rPr>
                <w:rFonts w:hint="eastAsia" w:ascii="黑体" w:hAnsi="黑体" w:eastAsia="黑体" w:cs="黑体"/>
                <w:sz w:val="24"/>
                <w:szCs w:val="24"/>
              </w:rPr>
            </w:pPr>
            <w:r>
              <w:rPr>
                <w:rFonts w:hint="eastAsia" w:ascii="黑体" w:hAnsi="黑体" w:eastAsia="黑体" w:cs="黑体"/>
                <w:sz w:val="24"/>
                <w:szCs w:val="24"/>
              </w:rPr>
              <w:t>服务地点</w:t>
            </w:r>
          </w:p>
        </w:tc>
      </w:tr>
      <w:tr w14:paraId="32D8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restart"/>
            <w:noWrap w:val="0"/>
            <w:vAlign w:val="center"/>
          </w:tcPr>
          <w:p w14:paraId="6B09B484">
            <w:pPr>
              <w:spacing w:line="240" w:lineRule="atLeast"/>
              <w:jc w:val="center"/>
              <w:rPr>
                <w:rFonts w:hint="eastAsia" w:ascii="黑体" w:hAnsi="黑体" w:eastAsia="黑体" w:cs="黑体"/>
                <w:sz w:val="24"/>
                <w:szCs w:val="24"/>
              </w:rPr>
            </w:pPr>
          </w:p>
        </w:tc>
        <w:tc>
          <w:tcPr>
            <w:tcW w:w="1399" w:type="dxa"/>
            <w:noWrap w:val="0"/>
            <w:vAlign w:val="center"/>
          </w:tcPr>
          <w:p w14:paraId="30E4BFF0">
            <w:pPr>
              <w:spacing w:line="240" w:lineRule="atLeast"/>
              <w:jc w:val="center"/>
              <w:rPr>
                <w:rFonts w:hint="eastAsia" w:ascii="黑体" w:hAnsi="黑体" w:eastAsia="黑体" w:cs="黑体"/>
                <w:sz w:val="24"/>
                <w:szCs w:val="24"/>
              </w:rPr>
            </w:pPr>
          </w:p>
        </w:tc>
        <w:tc>
          <w:tcPr>
            <w:tcW w:w="984" w:type="dxa"/>
            <w:noWrap w:val="0"/>
            <w:vAlign w:val="center"/>
          </w:tcPr>
          <w:p w14:paraId="3B6CF051">
            <w:pPr>
              <w:spacing w:line="240" w:lineRule="atLeast"/>
              <w:jc w:val="center"/>
              <w:rPr>
                <w:rFonts w:hint="eastAsia" w:ascii="黑体" w:hAnsi="黑体" w:eastAsia="黑体" w:cs="黑体"/>
                <w:sz w:val="24"/>
                <w:szCs w:val="24"/>
              </w:rPr>
            </w:pPr>
          </w:p>
        </w:tc>
        <w:tc>
          <w:tcPr>
            <w:tcW w:w="1298" w:type="dxa"/>
            <w:gridSpan w:val="2"/>
            <w:noWrap w:val="0"/>
            <w:vAlign w:val="center"/>
          </w:tcPr>
          <w:p w14:paraId="4BCC7500">
            <w:pPr>
              <w:spacing w:line="240" w:lineRule="atLeast"/>
              <w:jc w:val="center"/>
              <w:rPr>
                <w:rFonts w:hint="eastAsia" w:ascii="黑体" w:hAnsi="黑体" w:eastAsia="黑体" w:cs="黑体"/>
                <w:sz w:val="24"/>
                <w:szCs w:val="24"/>
              </w:rPr>
            </w:pPr>
          </w:p>
        </w:tc>
        <w:tc>
          <w:tcPr>
            <w:tcW w:w="1134" w:type="dxa"/>
            <w:noWrap w:val="0"/>
            <w:vAlign w:val="center"/>
          </w:tcPr>
          <w:p w14:paraId="7665F227">
            <w:pPr>
              <w:spacing w:line="240" w:lineRule="atLeast"/>
              <w:jc w:val="center"/>
              <w:rPr>
                <w:rFonts w:hint="eastAsia" w:ascii="黑体" w:hAnsi="黑体" w:eastAsia="黑体" w:cs="黑体"/>
                <w:sz w:val="24"/>
                <w:szCs w:val="24"/>
              </w:rPr>
            </w:pPr>
          </w:p>
        </w:tc>
        <w:tc>
          <w:tcPr>
            <w:tcW w:w="1559" w:type="dxa"/>
            <w:noWrap w:val="0"/>
            <w:vAlign w:val="center"/>
          </w:tcPr>
          <w:p w14:paraId="4E5A5D3A">
            <w:pPr>
              <w:spacing w:line="240" w:lineRule="atLeast"/>
              <w:jc w:val="center"/>
              <w:rPr>
                <w:rFonts w:hint="eastAsia" w:ascii="黑体" w:hAnsi="黑体" w:eastAsia="黑体" w:cs="黑体"/>
                <w:sz w:val="24"/>
                <w:szCs w:val="24"/>
              </w:rPr>
            </w:pPr>
          </w:p>
        </w:tc>
        <w:tc>
          <w:tcPr>
            <w:tcW w:w="1567" w:type="dxa"/>
            <w:noWrap w:val="0"/>
            <w:vAlign w:val="center"/>
          </w:tcPr>
          <w:p w14:paraId="05C2A8FA">
            <w:pPr>
              <w:spacing w:line="240" w:lineRule="atLeast"/>
              <w:jc w:val="center"/>
              <w:rPr>
                <w:rFonts w:hint="eastAsia" w:ascii="黑体" w:hAnsi="黑体" w:eastAsia="黑体" w:cs="黑体"/>
                <w:sz w:val="24"/>
                <w:szCs w:val="24"/>
              </w:rPr>
            </w:pPr>
          </w:p>
        </w:tc>
      </w:tr>
      <w:tr w14:paraId="067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noWrap w:val="0"/>
            <w:vAlign w:val="center"/>
          </w:tcPr>
          <w:p w14:paraId="40E7CD0F">
            <w:pPr>
              <w:spacing w:line="240" w:lineRule="atLeast"/>
              <w:jc w:val="center"/>
              <w:rPr>
                <w:rFonts w:hint="eastAsia" w:ascii="黑体" w:hAnsi="黑体" w:eastAsia="黑体" w:cs="黑体"/>
                <w:sz w:val="24"/>
                <w:szCs w:val="24"/>
              </w:rPr>
            </w:pPr>
          </w:p>
        </w:tc>
        <w:tc>
          <w:tcPr>
            <w:tcW w:w="1399" w:type="dxa"/>
            <w:noWrap w:val="0"/>
            <w:vAlign w:val="center"/>
          </w:tcPr>
          <w:p w14:paraId="59BF8C7C">
            <w:pPr>
              <w:spacing w:line="240" w:lineRule="atLeast"/>
              <w:jc w:val="center"/>
              <w:rPr>
                <w:rFonts w:hint="eastAsia" w:ascii="黑体" w:hAnsi="黑体" w:eastAsia="黑体" w:cs="黑体"/>
                <w:sz w:val="24"/>
                <w:szCs w:val="24"/>
              </w:rPr>
            </w:pPr>
          </w:p>
        </w:tc>
        <w:tc>
          <w:tcPr>
            <w:tcW w:w="984" w:type="dxa"/>
            <w:noWrap w:val="0"/>
            <w:vAlign w:val="center"/>
          </w:tcPr>
          <w:p w14:paraId="695DBB8F">
            <w:pPr>
              <w:spacing w:line="240" w:lineRule="atLeast"/>
              <w:jc w:val="center"/>
              <w:rPr>
                <w:rFonts w:hint="eastAsia" w:ascii="黑体" w:hAnsi="黑体" w:eastAsia="黑体" w:cs="黑体"/>
                <w:sz w:val="24"/>
                <w:szCs w:val="24"/>
              </w:rPr>
            </w:pPr>
          </w:p>
        </w:tc>
        <w:tc>
          <w:tcPr>
            <w:tcW w:w="1298" w:type="dxa"/>
            <w:gridSpan w:val="2"/>
            <w:noWrap w:val="0"/>
            <w:vAlign w:val="center"/>
          </w:tcPr>
          <w:p w14:paraId="1E9021C9">
            <w:pPr>
              <w:spacing w:line="240" w:lineRule="atLeast"/>
              <w:jc w:val="center"/>
              <w:rPr>
                <w:rFonts w:hint="eastAsia" w:ascii="黑体" w:hAnsi="黑体" w:eastAsia="黑体" w:cs="黑体"/>
                <w:sz w:val="24"/>
                <w:szCs w:val="24"/>
              </w:rPr>
            </w:pPr>
          </w:p>
        </w:tc>
        <w:tc>
          <w:tcPr>
            <w:tcW w:w="1134" w:type="dxa"/>
            <w:noWrap w:val="0"/>
            <w:vAlign w:val="center"/>
          </w:tcPr>
          <w:p w14:paraId="71FA53A4">
            <w:pPr>
              <w:spacing w:line="240" w:lineRule="atLeast"/>
              <w:jc w:val="center"/>
              <w:rPr>
                <w:rFonts w:hint="eastAsia" w:ascii="黑体" w:hAnsi="黑体" w:eastAsia="黑体" w:cs="黑体"/>
                <w:sz w:val="24"/>
                <w:szCs w:val="24"/>
              </w:rPr>
            </w:pPr>
          </w:p>
        </w:tc>
        <w:tc>
          <w:tcPr>
            <w:tcW w:w="1559" w:type="dxa"/>
            <w:noWrap w:val="0"/>
            <w:vAlign w:val="center"/>
          </w:tcPr>
          <w:p w14:paraId="794F2240">
            <w:pPr>
              <w:spacing w:line="240" w:lineRule="atLeast"/>
              <w:jc w:val="center"/>
              <w:rPr>
                <w:rFonts w:hint="eastAsia" w:ascii="黑体" w:hAnsi="黑体" w:eastAsia="黑体" w:cs="黑体"/>
                <w:sz w:val="24"/>
                <w:szCs w:val="24"/>
              </w:rPr>
            </w:pPr>
          </w:p>
        </w:tc>
        <w:tc>
          <w:tcPr>
            <w:tcW w:w="1567" w:type="dxa"/>
            <w:noWrap w:val="0"/>
            <w:vAlign w:val="center"/>
          </w:tcPr>
          <w:p w14:paraId="7B804741">
            <w:pPr>
              <w:spacing w:line="240" w:lineRule="atLeast"/>
              <w:jc w:val="center"/>
              <w:rPr>
                <w:rFonts w:hint="eastAsia" w:ascii="黑体" w:hAnsi="黑体" w:eastAsia="黑体" w:cs="黑体"/>
                <w:sz w:val="24"/>
                <w:szCs w:val="24"/>
              </w:rPr>
            </w:pPr>
          </w:p>
        </w:tc>
      </w:tr>
      <w:tr w14:paraId="0600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center"/>
          </w:tcPr>
          <w:p w14:paraId="2F6AA8AF">
            <w:pPr>
              <w:spacing w:line="240" w:lineRule="atLeast"/>
              <w:rPr>
                <w:rFonts w:hint="eastAsia" w:ascii="黑体" w:hAnsi="黑体" w:eastAsia="黑体" w:cs="黑体"/>
                <w:sz w:val="24"/>
                <w:szCs w:val="24"/>
              </w:rPr>
            </w:pPr>
            <w:r>
              <w:rPr>
                <w:rFonts w:hint="eastAsia" w:ascii="黑体" w:hAnsi="黑体" w:eastAsia="黑体" w:cs="黑体"/>
                <w:sz w:val="24"/>
                <w:szCs w:val="24"/>
              </w:rPr>
              <w:t>合计人民币（小写）：</w:t>
            </w:r>
          </w:p>
        </w:tc>
      </w:tr>
      <w:tr w14:paraId="38F4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center"/>
          </w:tcPr>
          <w:p w14:paraId="33452911">
            <w:pPr>
              <w:spacing w:line="240" w:lineRule="atLeast"/>
              <w:rPr>
                <w:rFonts w:hint="eastAsia" w:ascii="黑体" w:hAnsi="黑体" w:eastAsia="黑体" w:cs="黑体"/>
                <w:sz w:val="24"/>
                <w:szCs w:val="24"/>
              </w:rPr>
            </w:pPr>
            <w:r>
              <w:rPr>
                <w:rFonts w:hint="eastAsia" w:ascii="黑体" w:hAnsi="黑体" w:eastAsia="黑体" w:cs="黑体"/>
                <w:sz w:val="24"/>
                <w:szCs w:val="24"/>
              </w:rPr>
              <w:t>合计人民币（大写）：</w:t>
            </w:r>
          </w:p>
        </w:tc>
      </w:tr>
      <w:tr w14:paraId="4657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13" w:type="dxa"/>
            <w:gridSpan w:val="8"/>
            <w:noWrap w:val="0"/>
            <w:vAlign w:val="top"/>
          </w:tcPr>
          <w:p w14:paraId="41345665">
            <w:pPr>
              <w:spacing w:line="240" w:lineRule="atLeast"/>
              <w:rPr>
                <w:rFonts w:hint="eastAsia" w:ascii="黑体" w:hAnsi="黑体" w:eastAsia="黑体" w:cs="黑体"/>
                <w:sz w:val="24"/>
                <w:szCs w:val="24"/>
              </w:rPr>
            </w:pPr>
            <w:r>
              <w:rPr>
                <w:rFonts w:hint="eastAsia" w:ascii="黑体" w:hAnsi="黑体" w:eastAsia="黑体" w:cs="黑体"/>
                <w:sz w:val="24"/>
                <w:szCs w:val="24"/>
              </w:rPr>
              <w:t>一、服务要求</w:t>
            </w:r>
          </w:p>
        </w:tc>
      </w:tr>
      <w:tr w14:paraId="5E31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13" w:type="dxa"/>
            <w:gridSpan w:val="8"/>
            <w:noWrap w:val="0"/>
            <w:vAlign w:val="top"/>
          </w:tcPr>
          <w:p w14:paraId="400DB1BE">
            <w:pPr>
              <w:spacing w:line="240" w:lineRule="atLeast"/>
              <w:rPr>
                <w:rFonts w:hint="eastAsia" w:ascii="黑体" w:hAnsi="黑体" w:eastAsia="黑体" w:cs="黑体"/>
                <w:sz w:val="24"/>
                <w:szCs w:val="24"/>
              </w:rPr>
            </w:pPr>
            <w:r>
              <w:rPr>
                <w:rFonts w:hint="eastAsia" w:ascii="黑体" w:hAnsi="黑体" w:eastAsia="黑体" w:cs="黑体"/>
                <w:sz w:val="24"/>
                <w:szCs w:val="24"/>
              </w:rPr>
              <w:t>二、服务时间、地点等：</w:t>
            </w:r>
          </w:p>
        </w:tc>
      </w:tr>
      <w:tr w14:paraId="7480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613" w:type="dxa"/>
            <w:gridSpan w:val="8"/>
            <w:noWrap w:val="0"/>
            <w:vAlign w:val="top"/>
          </w:tcPr>
          <w:p w14:paraId="6C745FC5">
            <w:pPr>
              <w:spacing w:line="240" w:lineRule="atLeast"/>
              <w:rPr>
                <w:rFonts w:hint="eastAsia" w:ascii="黑体" w:hAnsi="黑体" w:eastAsia="黑体" w:cs="黑体"/>
                <w:sz w:val="24"/>
                <w:szCs w:val="24"/>
              </w:rPr>
            </w:pPr>
            <w:r>
              <w:rPr>
                <w:rFonts w:hint="eastAsia" w:ascii="黑体" w:hAnsi="黑体" w:eastAsia="黑体" w:cs="黑体"/>
                <w:sz w:val="24"/>
                <w:szCs w:val="24"/>
              </w:rPr>
              <w:t>三、服务方式：</w:t>
            </w:r>
          </w:p>
        </w:tc>
      </w:tr>
      <w:tr w14:paraId="35DC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13" w:type="dxa"/>
            <w:gridSpan w:val="8"/>
            <w:noWrap w:val="0"/>
            <w:vAlign w:val="top"/>
          </w:tcPr>
          <w:p w14:paraId="5437F0E7">
            <w:pPr>
              <w:spacing w:line="240" w:lineRule="atLeast"/>
              <w:rPr>
                <w:rFonts w:hint="eastAsia" w:ascii="黑体" w:hAnsi="黑体" w:eastAsia="黑体" w:cs="黑体"/>
                <w:sz w:val="24"/>
                <w:szCs w:val="24"/>
              </w:rPr>
            </w:pPr>
            <w:r>
              <w:rPr>
                <w:rFonts w:hint="eastAsia" w:ascii="黑体" w:hAnsi="黑体" w:eastAsia="黑体" w:cs="黑体"/>
                <w:sz w:val="24"/>
                <w:szCs w:val="24"/>
              </w:rPr>
              <w:t>四、验收标准、方法：</w:t>
            </w:r>
          </w:p>
        </w:tc>
      </w:tr>
      <w:tr w14:paraId="7426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13" w:type="dxa"/>
            <w:gridSpan w:val="8"/>
            <w:noWrap w:val="0"/>
            <w:vAlign w:val="top"/>
          </w:tcPr>
          <w:p w14:paraId="577560A5">
            <w:pPr>
              <w:spacing w:line="240" w:lineRule="atLeast"/>
              <w:rPr>
                <w:rFonts w:hint="eastAsia" w:ascii="黑体" w:hAnsi="黑体" w:eastAsia="黑体" w:cs="黑体"/>
                <w:sz w:val="24"/>
                <w:szCs w:val="24"/>
              </w:rPr>
            </w:pPr>
            <w:r>
              <w:rPr>
                <w:rFonts w:hint="eastAsia" w:ascii="黑体" w:hAnsi="黑体" w:eastAsia="黑体" w:cs="黑体"/>
                <w:sz w:val="24"/>
                <w:szCs w:val="24"/>
              </w:rPr>
              <w:t>五、付款方式：</w:t>
            </w:r>
          </w:p>
        </w:tc>
      </w:tr>
      <w:tr w14:paraId="555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13" w:type="dxa"/>
            <w:gridSpan w:val="8"/>
            <w:noWrap w:val="0"/>
            <w:vAlign w:val="top"/>
          </w:tcPr>
          <w:p w14:paraId="74B7D77F">
            <w:pPr>
              <w:spacing w:line="240" w:lineRule="atLeast"/>
              <w:rPr>
                <w:rFonts w:hint="eastAsia" w:ascii="黑体" w:hAnsi="黑体" w:eastAsia="黑体" w:cs="黑体"/>
                <w:sz w:val="24"/>
                <w:szCs w:val="24"/>
              </w:rPr>
            </w:pPr>
            <w:r>
              <w:rPr>
                <w:rFonts w:hint="eastAsia" w:ascii="黑体" w:hAnsi="黑体" w:eastAsia="黑体" w:cs="黑体"/>
                <w:sz w:val="24"/>
                <w:szCs w:val="24"/>
              </w:rPr>
              <w:t>六、违约责任：</w:t>
            </w:r>
          </w:p>
          <w:p w14:paraId="7C89801D">
            <w:pPr>
              <w:spacing w:line="240" w:lineRule="atLeast"/>
              <w:rPr>
                <w:rFonts w:hint="eastAsia" w:ascii="黑体" w:hAnsi="黑体" w:eastAsia="黑体" w:cs="黑体"/>
                <w:sz w:val="24"/>
                <w:szCs w:val="24"/>
              </w:rPr>
            </w:pPr>
            <w:r>
              <w:rPr>
                <w:rFonts w:hint="eastAsia" w:ascii="黑体" w:hAnsi="黑体" w:eastAsia="黑体" w:cs="黑体"/>
                <w:sz w:val="24"/>
                <w:szCs w:val="24"/>
              </w:rPr>
              <w:t>按《民法典》、《中华人民共和国政府采购法》执行，或按双方约定。(采购人应按项目实际情况完整填写)</w:t>
            </w:r>
          </w:p>
        </w:tc>
      </w:tr>
      <w:tr w14:paraId="3CDF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13" w:type="dxa"/>
            <w:gridSpan w:val="8"/>
            <w:noWrap w:val="0"/>
            <w:vAlign w:val="top"/>
          </w:tcPr>
          <w:p w14:paraId="128A5766">
            <w:pPr>
              <w:spacing w:line="240" w:lineRule="atLeast"/>
              <w:rPr>
                <w:rFonts w:hint="eastAsia" w:ascii="黑体" w:hAnsi="黑体" w:eastAsia="黑体" w:cs="黑体"/>
                <w:sz w:val="24"/>
                <w:szCs w:val="24"/>
              </w:rPr>
            </w:pPr>
            <w:r>
              <w:rPr>
                <w:rFonts w:hint="eastAsia" w:ascii="黑体" w:hAnsi="黑体" w:eastAsia="黑体" w:cs="黑体"/>
                <w:sz w:val="24"/>
                <w:szCs w:val="24"/>
              </w:rPr>
              <w:t>七、其他约定事项：</w:t>
            </w:r>
          </w:p>
          <w:p w14:paraId="7B175692">
            <w:pPr>
              <w:spacing w:line="240" w:lineRule="atLeast"/>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val="en-US" w:eastAsia="zh-CN"/>
              </w:rPr>
              <w:t>采购</w:t>
            </w:r>
            <w:r>
              <w:rPr>
                <w:rFonts w:hint="eastAsia" w:ascii="黑体" w:hAnsi="黑体" w:eastAsia="黑体" w:cs="黑体"/>
                <w:sz w:val="24"/>
                <w:szCs w:val="24"/>
              </w:rPr>
              <w:t>文件及其补遗文件、</w:t>
            </w:r>
            <w:r>
              <w:rPr>
                <w:rFonts w:hint="eastAsia" w:ascii="黑体" w:hAnsi="黑体" w:eastAsia="黑体" w:cs="黑体"/>
                <w:sz w:val="24"/>
                <w:szCs w:val="24"/>
                <w:lang w:eastAsia="zh-CN"/>
              </w:rPr>
              <w:t>响应文件</w:t>
            </w:r>
            <w:r>
              <w:rPr>
                <w:rFonts w:hint="eastAsia" w:ascii="黑体" w:hAnsi="黑体" w:eastAsia="黑体" w:cs="黑体"/>
                <w:sz w:val="24"/>
                <w:szCs w:val="24"/>
              </w:rPr>
              <w:t>和承诺是本合同不可分割的部分。</w:t>
            </w:r>
          </w:p>
          <w:p w14:paraId="773FF484">
            <w:pPr>
              <w:spacing w:line="240" w:lineRule="atLeast"/>
              <w:rPr>
                <w:rFonts w:hint="eastAsia" w:ascii="黑体" w:hAnsi="黑体" w:eastAsia="黑体" w:cs="黑体"/>
                <w:sz w:val="24"/>
                <w:szCs w:val="24"/>
              </w:rPr>
            </w:pPr>
            <w:r>
              <w:rPr>
                <w:rFonts w:hint="eastAsia" w:ascii="黑体" w:hAnsi="黑体" w:eastAsia="黑体" w:cs="黑体"/>
                <w:sz w:val="24"/>
                <w:szCs w:val="24"/>
              </w:rPr>
              <w:t>2.本合同如发生争议由双方协商解决，协商不成向项目所在地人民法院提请诉讼。</w:t>
            </w:r>
          </w:p>
          <w:p w14:paraId="78B92B90">
            <w:pPr>
              <w:spacing w:line="240" w:lineRule="atLeast"/>
              <w:rPr>
                <w:rFonts w:hint="eastAsia" w:ascii="黑体" w:hAnsi="黑体" w:eastAsia="黑体" w:cs="黑体"/>
                <w:sz w:val="24"/>
                <w:szCs w:val="24"/>
              </w:rPr>
            </w:pPr>
            <w:r>
              <w:rPr>
                <w:rFonts w:hint="eastAsia" w:ascii="黑体" w:hAnsi="黑体" w:eastAsia="黑体" w:cs="黑体"/>
                <w:sz w:val="24"/>
                <w:szCs w:val="24"/>
              </w:rPr>
              <w:t>3.本合同一式__份， 需方__份，供方__份具备同等法律效力。</w:t>
            </w:r>
          </w:p>
          <w:p w14:paraId="4DC61285">
            <w:pPr>
              <w:spacing w:line="240" w:lineRule="atLeast"/>
              <w:rPr>
                <w:rFonts w:hint="eastAsia" w:ascii="黑体" w:hAnsi="黑体" w:eastAsia="黑体" w:cs="黑体"/>
                <w:sz w:val="24"/>
                <w:szCs w:val="24"/>
              </w:rPr>
            </w:pPr>
            <w:r>
              <w:rPr>
                <w:rFonts w:hint="eastAsia" w:ascii="黑体" w:hAnsi="黑体" w:eastAsia="黑体" w:cs="黑体"/>
                <w:sz w:val="24"/>
                <w:szCs w:val="24"/>
              </w:rPr>
              <w:t>4.其他：</w:t>
            </w:r>
          </w:p>
        </w:tc>
      </w:tr>
      <w:tr w14:paraId="421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0258ECF1">
            <w:pPr>
              <w:spacing w:line="240" w:lineRule="atLeast"/>
              <w:rPr>
                <w:rFonts w:hint="eastAsia" w:ascii="黑体" w:hAnsi="黑体" w:eastAsia="黑体" w:cs="黑体"/>
                <w:sz w:val="24"/>
                <w:szCs w:val="24"/>
              </w:rPr>
            </w:pPr>
            <w:r>
              <w:rPr>
                <w:rFonts w:hint="eastAsia" w:ascii="黑体" w:hAnsi="黑体" w:eastAsia="黑体" w:cs="黑体"/>
                <w:sz w:val="24"/>
                <w:szCs w:val="24"/>
              </w:rPr>
              <w:t>需方：</w:t>
            </w:r>
          </w:p>
          <w:p w14:paraId="2C13133E">
            <w:pPr>
              <w:spacing w:line="240" w:lineRule="atLeast"/>
              <w:rPr>
                <w:rFonts w:hint="eastAsia" w:ascii="黑体" w:hAnsi="黑体" w:eastAsia="黑体" w:cs="黑体"/>
                <w:sz w:val="24"/>
                <w:szCs w:val="24"/>
              </w:rPr>
            </w:pPr>
            <w:r>
              <w:rPr>
                <w:rFonts w:hint="eastAsia" w:ascii="黑体" w:hAnsi="黑体" w:eastAsia="黑体" w:cs="黑体"/>
                <w:sz w:val="24"/>
                <w:szCs w:val="24"/>
              </w:rPr>
              <w:t>地址：</w:t>
            </w:r>
          </w:p>
          <w:p w14:paraId="23B8B1B4">
            <w:pPr>
              <w:spacing w:line="240" w:lineRule="atLeast"/>
              <w:rPr>
                <w:rFonts w:hint="eastAsia" w:ascii="黑体" w:hAnsi="黑体" w:eastAsia="黑体" w:cs="黑体"/>
                <w:sz w:val="24"/>
                <w:szCs w:val="24"/>
              </w:rPr>
            </w:pPr>
            <w:r>
              <w:rPr>
                <w:rFonts w:hint="eastAsia" w:ascii="黑体" w:hAnsi="黑体" w:eastAsia="黑体" w:cs="黑体"/>
                <w:sz w:val="24"/>
                <w:szCs w:val="24"/>
              </w:rPr>
              <w:t>联系电话：</w:t>
            </w:r>
          </w:p>
          <w:p w14:paraId="737A4DD5">
            <w:pPr>
              <w:spacing w:line="240" w:lineRule="atLeast"/>
              <w:rPr>
                <w:rFonts w:hint="eastAsia" w:ascii="黑体" w:hAnsi="黑体" w:eastAsia="黑体" w:cs="黑体"/>
                <w:sz w:val="24"/>
                <w:szCs w:val="24"/>
              </w:rPr>
            </w:pPr>
            <w:r>
              <w:rPr>
                <w:rFonts w:hint="eastAsia" w:ascii="黑体" w:hAnsi="黑体" w:eastAsia="黑体" w:cs="黑体"/>
                <w:sz w:val="24"/>
                <w:szCs w:val="24"/>
              </w:rPr>
              <w:t>授权代表：</w:t>
            </w:r>
          </w:p>
        </w:tc>
        <w:tc>
          <w:tcPr>
            <w:tcW w:w="4969" w:type="dxa"/>
            <w:gridSpan w:val="4"/>
            <w:noWrap w:val="0"/>
            <w:vAlign w:val="top"/>
          </w:tcPr>
          <w:p w14:paraId="59E6A13E">
            <w:pPr>
              <w:spacing w:line="240" w:lineRule="atLeast"/>
              <w:rPr>
                <w:rFonts w:hint="eastAsia" w:ascii="黑体" w:hAnsi="黑体" w:eastAsia="黑体" w:cs="黑体"/>
                <w:sz w:val="24"/>
                <w:szCs w:val="24"/>
              </w:rPr>
            </w:pPr>
            <w:r>
              <w:rPr>
                <w:rFonts w:hint="eastAsia" w:ascii="黑体" w:hAnsi="黑体" w:eastAsia="黑体" w:cs="黑体"/>
                <w:sz w:val="24"/>
                <w:szCs w:val="24"/>
              </w:rPr>
              <w:t>供方：</w:t>
            </w:r>
          </w:p>
          <w:p w14:paraId="6E29553C">
            <w:pPr>
              <w:spacing w:line="240" w:lineRule="atLeast"/>
              <w:rPr>
                <w:rFonts w:hint="eastAsia" w:ascii="黑体" w:hAnsi="黑体" w:eastAsia="黑体" w:cs="黑体"/>
                <w:sz w:val="24"/>
                <w:szCs w:val="24"/>
              </w:rPr>
            </w:pPr>
            <w:r>
              <w:rPr>
                <w:rFonts w:hint="eastAsia" w:ascii="黑体" w:hAnsi="黑体" w:eastAsia="黑体" w:cs="黑体"/>
                <w:sz w:val="24"/>
                <w:szCs w:val="24"/>
              </w:rPr>
              <w:t>地址：</w:t>
            </w:r>
          </w:p>
          <w:p w14:paraId="6D06C2A1">
            <w:pPr>
              <w:spacing w:line="240" w:lineRule="atLeast"/>
              <w:rPr>
                <w:rFonts w:hint="eastAsia" w:ascii="黑体" w:hAnsi="黑体" w:eastAsia="黑体" w:cs="黑体"/>
                <w:sz w:val="24"/>
                <w:szCs w:val="24"/>
              </w:rPr>
            </w:pPr>
            <w:r>
              <w:rPr>
                <w:rFonts w:hint="eastAsia" w:ascii="黑体" w:hAnsi="黑体" w:eastAsia="黑体" w:cs="黑体"/>
                <w:sz w:val="24"/>
                <w:szCs w:val="24"/>
              </w:rPr>
              <w:t>电话：</w:t>
            </w:r>
          </w:p>
          <w:p w14:paraId="549D9D50">
            <w:pPr>
              <w:spacing w:line="240" w:lineRule="atLeast"/>
              <w:rPr>
                <w:rFonts w:hint="eastAsia" w:ascii="黑体" w:hAnsi="黑体" w:eastAsia="黑体" w:cs="黑体"/>
                <w:sz w:val="24"/>
                <w:szCs w:val="24"/>
              </w:rPr>
            </w:pPr>
            <w:r>
              <w:rPr>
                <w:rFonts w:hint="eastAsia" w:ascii="黑体" w:hAnsi="黑体" w:eastAsia="黑体" w:cs="黑体"/>
                <w:sz w:val="24"/>
                <w:szCs w:val="24"/>
              </w:rPr>
              <w:t>传真：</w:t>
            </w:r>
          </w:p>
          <w:p w14:paraId="2918238C">
            <w:pPr>
              <w:spacing w:line="240" w:lineRule="atLeast"/>
              <w:rPr>
                <w:rFonts w:hint="eastAsia" w:ascii="黑体" w:hAnsi="黑体" w:eastAsia="黑体" w:cs="黑体"/>
                <w:sz w:val="24"/>
                <w:szCs w:val="24"/>
              </w:rPr>
            </w:pPr>
            <w:r>
              <w:rPr>
                <w:rFonts w:hint="eastAsia" w:ascii="黑体" w:hAnsi="黑体" w:eastAsia="黑体" w:cs="黑体"/>
                <w:sz w:val="24"/>
                <w:szCs w:val="24"/>
              </w:rPr>
              <w:t>开户银行：</w:t>
            </w:r>
          </w:p>
          <w:p w14:paraId="3C713710">
            <w:pPr>
              <w:spacing w:line="240" w:lineRule="atLeast"/>
              <w:rPr>
                <w:rFonts w:hint="eastAsia" w:ascii="黑体" w:hAnsi="黑体" w:eastAsia="黑体" w:cs="黑体"/>
                <w:sz w:val="24"/>
                <w:szCs w:val="24"/>
              </w:rPr>
            </w:pPr>
            <w:r>
              <w:rPr>
                <w:rFonts w:hint="eastAsia" w:ascii="黑体" w:hAnsi="黑体" w:eastAsia="黑体" w:cs="黑体"/>
                <w:sz w:val="24"/>
                <w:szCs w:val="24"/>
              </w:rPr>
              <w:t>账号：</w:t>
            </w:r>
          </w:p>
          <w:p w14:paraId="3FBDB914">
            <w:pPr>
              <w:spacing w:line="240" w:lineRule="atLeast"/>
              <w:rPr>
                <w:rFonts w:hint="eastAsia" w:ascii="黑体" w:hAnsi="黑体" w:eastAsia="黑体" w:cs="黑体"/>
                <w:sz w:val="24"/>
                <w:szCs w:val="24"/>
              </w:rPr>
            </w:pPr>
            <w:r>
              <w:rPr>
                <w:rFonts w:hint="eastAsia" w:ascii="黑体" w:hAnsi="黑体" w:eastAsia="黑体" w:cs="黑体"/>
                <w:sz w:val="24"/>
                <w:szCs w:val="24"/>
              </w:rPr>
              <w:t>授权代表：</w:t>
            </w:r>
          </w:p>
          <w:p w14:paraId="10B8BECD">
            <w:pPr>
              <w:widowControl/>
              <w:spacing w:line="240" w:lineRule="atLeast"/>
              <w:jc w:val="left"/>
              <w:rPr>
                <w:rFonts w:hint="eastAsia" w:ascii="黑体" w:hAnsi="黑体" w:eastAsia="黑体" w:cs="黑体"/>
                <w:sz w:val="24"/>
                <w:szCs w:val="24"/>
              </w:rPr>
            </w:pPr>
            <w:r>
              <w:rPr>
                <w:rFonts w:hint="eastAsia" w:ascii="黑体" w:hAnsi="黑体" w:eastAsia="黑体" w:cs="黑体"/>
                <w:sz w:val="24"/>
                <w:szCs w:val="24"/>
              </w:rPr>
              <w:t>（本栏请用计算机打印以便于准确付款）</w:t>
            </w:r>
          </w:p>
        </w:tc>
      </w:tr>
      <w:tr w14:paraId="6EC8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top"/>
          </w:tcPr>
          <w:p w14:paraId="67771B40">
            <w:pPr>
              <w:spacing w:line="240" w:lineRule="atLeast"/>
              <w:rPr>
                <w:rFonts w:hint="eastAsia" w:ascii="黑体" w:hAnsi="黑体" w:eastAsia="黑体" w:cs="黑体"/>
                <w:sz w:val="24"/>
                <w:szCs w:val="24"/>
              </w:rPr>
            </w:pPr>
            <w:r>
              <w:rPr>
                <w:rFonts w:hint="eastAsia" w:ascii="黑体" w:hAnsi="黑体" w:eastAsia="黑体" w:cs="黑体"/>
                <w:sz w:val="24"/>
                <w:szCs w:val="24"/>
              </w:rPr>
              <w:t>备注：</w:t>
            </w:r>
          </w:p>
        </w:tc>
      </w:tr>
    </w:tbl>
    <w:p w14:paraId="72799D36">
      <w:pPr>
        <w:rPr>
          <w:rFonts w:hint="eastAsia" w:ascii="黑体" w:hAnsi="黑体" w:eastAsia="黑体" w:cs="黑体"/>
          <w:sz w:val="24"/>
          <w:szCs w:val="24"/>
        </w:rPr>
      </w:pPr>
      <w:r>
        <w:rPr>
          <w:rFonts w:hint="eastAsia" w:ascii="黑体" w:hAnsi="黑体" w:eastAsia="黑体" w:cs="黑体"/>
          <w:sz w:val="24"/>
          <w:szCs w:val="24"/>
        </w:rPr>
        <w:t>签约时间：           年   月   日      签约地点：</w:t>
      </w:r>
    </w:p>
    <w:p w14:paraId="052AEDE3">
      <w:pPr>
        <w:spacing w:line="400" w:lineRule="exact"/>
        <w:ind w:firstLine="480" w:firstLineChars="200"/>
        <w:jc w:val="center"/>
        <w:rPr>
          <w:rFonts w:hint="eastAsia" w:ascii="黑体" w:hAnsi="黑体" w:eastAsia="黑体" w:cs="黑体"/>
          <w:color w:val="auto"/>
          <w:sz w:val="22"/>
          <w:szCs w:val="18"/>
          <w:highlight w:val="none"/>
        </w:rPr>
        <w:sectPr>
          <w:footerReference r:id="rId8" w:type="default"/>
          <w:pgSz w:w="11907" w:h="16840"/>
          <w:pgMar w:top="1134" w:right="1191" w:bottom="1134" w:left="1304" w:header="964" w:footer="992" w:gutter="0"/>
          <w:pgNumType w:fmt="decimal"/>
          <w:cols w:space="720" w:num="1"/>
          <w:docGrid w:linePitch="312" w:charSpace="0"/>
        </w:sectPr>
      </w:pPr>
      <w:r>
        <w:rPr>
          <w:rFonts w:hint="eastAsia" w:ascii="黑体" w:hAnsi="黑体" w:eastAsia="黑体" w:cs="黑体"/>
          <w:sz w:val="24"/>
          <w:szCs w:val="24"/>
        </w:rPr>
        <w:t>注：具体合同内容以甲乙双方实际签订为准</w:t>
      </w:r>
      <w:r>
        <w:rPr>
          <w:rFonts w:hint="eastAsia" w:ascii="黑体" w:hAnsi="黑体" w:eastAsia="黑体" w:cs="黑体"/>
          <w:sz w:val="24"/>
          <w:szCs w:val="24"/>
          <w:lang w:eastAsia="zh-CN"/>
        </w:rPr>
        <w:t>。</w:t>
      </w:r>
    </w:p>
    <w:bookmarkEnd w:id="305"/>
    <w:p w14:paraId="20D92EFC">
      <w:pPr>
        <w:rPr>
          <w:rFonts w:hint="eastAsia" w:ascii="黑体" w:hAnsi="黑体" w:eastAsia="黑体" w:cs="黑体"/>
          <w:color w:val="auto"/>
          <w:highlight w:val="none"/>
        </w:rPr>
      </w:pPr>
    </w:p>
    <w:p w14:paraId="47DC828F">
      <w:pPr>
        <w:pStyle w:val="2"/>
        <w:jc w:val="center"/>
        <w:rPr>
          <w:rFonts w:hint="eastAsia" w:ascii="黑体" w:hAnsi="黑体" w:eastAsia="黑体" w:cs="黑体"/>
          <w:color w:val="auto"/>
          <w:sz w:val="32"/>
          <w:szCs w:val="15"/>
          <w:highlight w:val="none"/>
        </w:rPr>
      </w:pPr>
      <w:bookmarkStart w:id="307" w:name="_Toc12201"/>
      <w:r>
        <w:rPr>
          <w:rFonts w:hint="eastAsia" w:ascii="黑体" w:hAnsi="黑体" w:eastAsia="黑体" w:cs="黑体"/>
          <w:color w:val="auto"/>
          <w:sz w:val="32"/>
          <w:szCs w:val="15"/>
          <w:highlight w:val="none"/>
        </w:rPr>
        <w:t>第</w:t>
      </w:r>
      <w:r>
        <w:rPr>
          <w:rFonts w:hint="eastAsia" w:ascii="黑体" w:hAnsi="黑体" w:eastAsia="黑体" w:cs="黑体"/>
          <w:color w:val="auto"/>
          <w:sz w:val="32"/>
          <w:szCs w:val="15"/>
          <w:highlight w:val="none"/>
          <w:lang w:val="en-US" w:eastAsia="zh-CN"/>
        </w:rPr>
        <w:t>七</w:t>
      </w:r>
      <w:r>
        <w:rPr>
          <w:rFonts w:hint="eastAsia" w:ascii="黑体" w:hAnsi="黑体" w:eastAsia="黑体" w:cs="黑体"/>
          <w:color w:val="auto"/>
          <w:sz w:val="32"/>
          <w:szCs w:val="15"/>
          <w:highlight w:val="none"/>
        </w:rPr>
        <w:t xml:space="preserve">篇  </w:t>
      </w:r>
      <w:r>
        <w:rPr>
          <w:rFonts w:hint="eastAsia" w:ascii="黑体" w:hAnsi="黑体" w:eastAsia="黑体" w:cs="黑体"/>
          <w:color w:val="auto"/>
          <w:sz w:val="32"/>
          <w:szCs w:val="15"/>
          <w:highlight w:val="none"/>
          <w:lang w:eastAsia="zh-CN"/>
        </w:rPr>
        <w:t>响应文件</w:t>
      </w:r>
      <w:r>
        <w:rPr>
          <w:rFonts w:hint="eastAsia" w:ascii="黑体" w:hAnsi="黑体" w:eastAsia="黑体" w:cs="黑体"/>
          <w:color w:val="auto"/>
          <w:sz w:val="32"/>
          <w:szCs w:val="15"/>
          <w:highlight w:val="none"/>
        </w:rPr>
        <w:t>格式</w:t>
      </w:r>
      <w:bookmarkEnd w:id="194"/>
      <w:bookmarkEnd w:id="307"/>
    </w:p>
    <w:p w14:paraId="79514E76">
      <w:pPr>
        <w:snapToGrid w:val="0"/>
        <w:spacing w:line="440" w:lineRule="exact"/>
        <w:ind w:firstLine="482" w:firstLineChars="200"/>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一、经济</w:t>
      </w:r>
      <w:r>
        <w:rPr>
          <w:rFonts w:hint="eastAsia" w:ascii="黑体" w:hAnsi="黑体" w:eastAsia="黑体" w:cs="黑体"/>
          <w:b/>
          <w:color w:val="auto"/>
          <w:sz w:val="24"/>
          <w:szCs w:val="24"/>
          <w:highlight w:val="none"/>
          <w:lang w:val="en-US" w:eastAsia="zh-CN"/>
        </w:rPr>
        <w:t>部分</w:t>
      </w:r>
    </w:p>
    <w:p w14:paraId="5FA160B2">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（一）竞争性磋商报价函</w:t>
      </w:r>
    </w:p>
    <w:p w14:paraId="1857FD2D">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（二）明细报价表</w:t>
      </w:r>
    </w:p>
    <w:p w14:paraId="50AC7CB4">
      <w:pPr>
        <w:snapToGrid w:val="0"/>
        <w:spacing w:line="440" w:lineRule="exact"/>
        <w:ind w:firstLine="482" w:firstLineChars="200"/>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二、</w:t>
      </w:r>
      <w:r>
        <w:rPr>
          <w:rFonts w:hint="eastAsia" w:ascii="黑体" w:hAnsi="黑体" w:eastAsia="黑体" w:cs="黑体"/>
          <w:b/>
          <w:color w:val="auto"/>
          <w:sz w:val="24"/>
          <w:szCs w:val="24"/>
          <w:highlight w:val="none"/>
          <w:lang w:eastAsia="zh-CN"/>
        </w:rPr>
        <w:t>服务部分</w:t>
      </w:r>
    </w:p>
    <w:p w14:paraId="59805347">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8"/>
          <w:highlight w:val="none"/>
        </w:rPr>
        <w:t>服务条款差异表</w:t>
      </w:r>
    </w:p>
    <w:p w14:paraId="53D79BE0">
      <w:pPr>
        <w:snapToGrid w:val="0"/>
        <w:spacing w:line="44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8"/>
          <w:highlight w:val="none"/>
        </w:rPr>
        <w:t>其他服务资料</w:t>
      </w:r>
    </w:p>
    <w:p w14:paraId="6F8F93FE">
      <w:pPr>
        <w:snapToGrid w:val="0"/>
        <w:spacing w:line="440" w:lineRule="exact"/>
        <w:ind w:firstLine="482" w:firstLineChars="200"/>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三、商务</w:t>
      </w:r>
      <w:r>
        <w:rPr>
          <w:rFonts w:hint="eastAsia" w:ascii="黑体" w:hAnsi="黑体" w:eastAsia="黑体" w:cs="黑体"/>
          <w:b/>
          <w:color w:val="auto"/>
          <w:sz w:val="24"/>
          <w:szCs w:val="24"/>
          <w:highlight w:val="none"/>
          <w:lang w:val="en-US" w:eastAsia="zh-CN"/>
        </w:rPr>
        <w:t>部分</w:t>
      </w:r>
    </w:p>
    <w:p w14:paraId="7E53ABF5">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商务条款差异表（格式）</w:t>
      </w:r>
    </w:p>
    <w:p w14:paraId="0C33FE23">
      <w:pPr>
        <w:snapToGrid w:val="0"/>
        <w:spacing w:line="44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（二）其他商务资料</w:t>
      </w:r>
    </w:p>
    <w:p w14:paraId="7EEC29BB">
      <w:pPr>
        <w:snapToGrid w:val="0"/>
        <w:spacing w:line="440" w:lineRule="exact"/>
        <w:ind w:firstLine="482" w:firstLineChars="200"/>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lang w:val="en-US" w:eastAsia="zh-CN"/>
        </w:rPr>
        <w:t>四</w:t>
      </w:r>
      <w:r>
        <w:rPr>
          <w:rFonts w:hint="eastAsia" w:ascii="黑体" w:hAnsi="黑体" w:eastAsia="黑体" w:cs="黑体"/>
          <w:b/>
          <w:color w:val="auto"/>
          <w:sz w:val="24"/>
          <w:szCs w:val="24"/>
          <w:highlight w:val="none"/>
        </w:rPr>
        <w:t>、资格</w:t>
      </w:r>
      <w:r>
        <w:rPr>
          <w:rFonts w:hint="eastAsia" w:ascii="黑体" w:hAnsi="黑体" w:eastAsia="黑体" w:cs="黑体"/>
          <w:b/>
          <w:bCs/>
          <w:color w:val="auto"/>
          <w:sz w:val="24"/>
          <w:szCs w:val="24"/>
          <w:highlight w:val="none"/>
          <w:lang w:val="en-US" w:eastAsia="zh-CN"/>
        </w:rPr>
        <w:t>部分</w:t>
      </w:r>
    </w:p>
    <w:p w14:paraId="3F6062B0">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（一）法人营业执照（副本）或事业单位法人证书（副本）或个体工商户营业执照或有效的自然人身份证明或社会团体法人登记证书复印件</w:t>
      </w:r>
    </w:p>
    <w:p w14:paraId="6239EB46">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（二）法定代表人身份证明书（格式）</w:t>
      </w:r>
    </w:p>
    <w:p w14:paraId="0D31732B">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（三）法定代表人授权委托书（格式）</w:t>
      </w:r>
    </w:p>
    <w:p w14:paraId="1103D4D0">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（四）基本资格条件承诺函（格式）</w:t>
      </w:r>
    </w:p>
    <w:p w14:paraId="59626411">
      <w:pPr>
        <w:snapToGrid w:val="0"/>
        <w:spacing w:line="440" w:lineRule="exact"/>
        <w:ind w:firstLine="482" w:firstLineChars="200"/>
        <w:rPr>
          <w:rFonts w:hint="eastAsia" w:ascii="黑体" w:hAnsi="黑体" w:eastAsia="黑体" w:cs="黑体"/>
          <w:b/>
          <w:color w:val="auto"/>
          <w:sz w:val="24"/>
          <w:szCs w:val="24"/>
          <w:highlight w:val="none"/>
        </w:rPr>
      </w:pPr>
      <w:bookmarkStart w:id="308" w:name="_Toc32117"/>
      <w:r>
        <w:rPr>
          <w:rFonts w:hint="eastAsia" w:ascii="黑体" w:hAnsi="黑体" w:eastAsia="黑体" w:cs="黑体"/>
          <w:b/>
          <w:color w:val="auto"/>
          <w:sz w:val="24"/>
          <w:szCs w:val="24"/>
          <w:highlight w:val="none"/>
        </w:rPr>
        <w:t>五、其他应提供的资料</w:t>
      </w:r>
      <w:bookmarkEnd w:id="308"/>
    </w:p>
    <w:p w14:paraId="4C29298A">
      <w:pPr>
        <w:snapToGrid w:val="0"/>
        <w:spacing w:line="440" w:lineRule="exact"/>
        <w:ind w:firstLine="480" w:firstLineChars="200"/>
        <w:rPr>
          <w:rFonts w:hint="eastAsia" w:ascii="黑体" w:hAnsi="黑体" w:eastAsia="黑体" w:cs="黑体"/>
          <w:color w:val="auto"/>
          <w:sz w:val="24"/>
          <w:szCs w:val="24"/>
          <w:highlight w:val="none"/>
          <w:lang w:eastAsia="zh-CN"/>
        </w:rPr>
      </w:pPr>
      <w:bookmarkStart w:id="309" w:name="_Toc19112"/>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lang w:eastAsia="zh-CN"/>
        </w:rPr>
        <w:t>）</w:t>
      </w:r>
      <w:r>
        <w:rPr>
          <w:rFonts w:hint="eastAsia" w:ascii="黑体" w:hAnsi="黑体" w:eastAsia="黑体" w:cs="黑体"/>
          <w:sz w:val="24"/>
          <w:szCs w:val="24"/>
        </w:rPr>
        <w:t>中小企业声明函、监狱企业证明文件、残疾人福利性单位声明函</w:t>
      </w:r>
    </w:p>
    <w:p w14:paraId="66CDE660">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）其他与项目有关的资料（自附）</w:t>
      </w:r>
      <w:bookmarkEnd w:id="309"/>
    </w:p>
    <w:p w14:paraId="33674EB4">
      <w:pPr>
        <w:snapToGrid w:val="0"/>
        <w:spacing w:line="440" w:lineRule="exact"/>
        <w:ind w:firstLine="480" w:firstLineChars="200"/>
        <w:rPr>
          <w:rFonts w:hint="eastAsia" w:ascii="黑体" w:hAnsi="黑体" w:eastAsia="黑体" w:cs="黑体"/>
          <w:color w:val="auto"/>
          <w:sz w:val="24"/>
          <w:szCs w:val="24"/>
          <w:highlight w:val="none"/>
        </w:rPr>
      </w:pPr>
    </w:p>
    <w:p w14:paraId="6079DE74">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color w:val="auto"/>
          <w:sz w:val="24"/>
          <w:szCs w:val="24"/>
          <w:highlight w:val="none"/>
          <w:bdr w:val="single" w:color="auto" w:sz="4" w:space="0"/>
        </w:rPr>
      </w:pPr>
    </w:p>
    <w:p w14:paraId="7507701C">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color w:val="auto"/>
          <w:sz w:val="24"/>
          <w:szCs w:val="24"/>
          <w:highlight w:val="none"/>
          <w:bdr w:val="single" w:color="auto" w:sz="4" w:space="0"/>
        </w:rPr>
      </w:pPr>
    </w:p>
    <w:p w14:paraId="00275D1B">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color w:val="auto"/>
          <w:sz w:val="24"/>
          <w:szCs w:val="24"/>
          <w:highlight w:val="none"/>
          <w:bdr w:val="single" w:color="auto" w:sz="4" w:space="0"/>
        </w:rPr>
      </w:pPr>
      <w:r>
        <w:rPr>
          <w:rFonts w:hint="eastAsia" w:ascii="黑体" w:hAnsi="黑体" w:eastAsia="黑体" w:cs="黑体"/>
          <w:color w:val="auto"/>
          <w:sz w:val="24"/>
          <w:szCs w:val="24"/>
          <w:highlight w:val="none"/>
          <w:bdr w:val="single" w:color="auto" w:sz="4" w:space="0"/>
        </w:rPr>
        <w:br w:type="page"/>
      </w:r>
    </w:p>
    <w:p w14:paraId="7DF03058">
      <w:pPr>
        <w:pStyle w:val="3"/>
        <w:pageBreakBefore/>
        <w:spacing w:line="500" w:lineRule="exact"/>
        <w:rPr>
          <w:rFonts w:hint="eastAsia" w:ascii="黑体" w:hAnsi="黑体" w:eastAsia="黑体" w:cs="黑体"/>
          <w:color w:val="auto"/>
          <w:szCs w:val="36"/>
          <w:highlight w:val="none"/>
        </w:rPr>
      </w:pPr>
      <w:bookmarkStart w:id="310" w:name="_Toc11200"/>
      <w:bookmarkStart w:id="311" w:name="_Toc18576"/>
      <w:r>
        <w:rPr>
          <w:rFonts w:hint="eastAsia" w:ascii="黑体" w:hAnsi="黑体" w:eastAsia="黑体" w:cs="黑体"/>
          <w:b w:val="0"/>
          <w:color w:val="auto"/>
          <w:szCs w:val="28"/>
          <w:highlight w:val="none"/>
        </w:rPr>
        <w:t>一、经济</w:t>
      </w:r>
      <w:r>
        <w:rPr>
          <w:rFonts w:hint="eastAsia" w:ascii="黑体" w:hAnsi="黑体" w:eastAsia="黑体" w:cs="黑体"/>
          <w:b w:val="0"/>
          <w:color w:val="auto"/>
          <w:szCs w:val="28"/>
          <w:highlight w:val="none"/>
          <w:lang w:val="en-US" w:eastAsia="zh-CN"/>
        </w:rPr>
        <w:t>部分</w:t>
      </w:r>
      <w:bookmarkEnd w:id="310"/>
      <w:bookmarkEnd w:id="311"/>
    </w:p>
    <w:p w14:paraId="23D9A015">
      <w:pPr>
        <w:pageBreakBefore w:val="0"/>
        <w:tabs>
          <w:tab w:val="left" w:pos="6300"/>
        </w:tabs>
        <w:kinsoku/>
        <w:overflowPunct/>
        <w:topLinePunct w:val="0"/>
        <w:bidi w:val="0"/>
        <w:snapToGrid w:val="0"/>
        <w:spacing w:line="360" w:lineRule="auto"/>
        <w:ind w:firstLine="480"/>
        <w:outlineLvl w:val="1"/>
        <w:rPr>
          <w:rFonts w:hint="eastAsia" w:ascii="黑体" w:hAnsi="黑体" w:eastAsia="黑体" w:cs="黑体"/>
          <w:bCs/>
          <w:color w:val="auto"/>
          <w:sz w:val="24"/>
          <w:szCs w:val="24"/>
          <w:highlight w:val="none"/>
        </w:rPr>
      </w:pPr>
    </w:p>
    <w:p w14:paraId="68194780">
      <w:pPr>
        <w:tabs>
          <w:tab w:val="left" w:pos="6300"/>
        </w:tabs>
        <w:snapToGrid w:val="0"/>
        <w:spacing w:line="360" w:lineRule="auto"/>
        <w:rPr>
          <w:rFonts w:hint="eastAsia" w:ascii="黑体" w:hAnsi="黑体" w:eastAsia="黑体" w:cs="黑体"/>
          <w:sz w:val="24"/>
          <w:szCs w:val="24"/>
        </w:rPr>
      </w:pPr>
      <w:bookmarkStart w:id="312" w:name="_Toc29820"/>
      <w:r>
        <w:rPr>
          <w:rFonts w:hint="eastAsia" w:ascii="黑体" w:hAnsi="黑体" w:eastAsia="黑体" w:cs="黑体"/>
          <w:sz w:val="24"/>
          <w:szCs w:val="24"/>
        </w:rPr>
        <w:t>（一）竞争性磋商报价函</w:t>
      </w:r>
    </w:p>
    <w:p w14:paraId="79F15BDF">
      <w:pPr>
        <w:spacing w:line="360" w:lineRule="auto"/>
        <w:jc w:val="center"/>
        <w:rPr>
          <w:rFonts w:hint="eastAsia" w:ascii="黑体" w:hAnsi="黑体" w:eastAsia="黑体" w:cs="黑体"/>
          <w:b/>
          <w:szCs w:val="28"/>
        </w:rPr>
      </w:pPr>
      <w:r>
        <w:rPr>
          <w:rFonts w:hint="eastAsia" w:ascii="黑体" w:hAnsi="黑体" w:eastAsia="黑体" w:cs="黑体"/>
          <w:b/>
          <w:szCs w:val="28"/>
        </w:rPr>
        <w:t>竞争性磋商报价函</w:t>
      </w:r>
    </w:p>
    <w:p w14:paraId="4D08CDA7">
      <w:pPr>
        <w:tabs>
          <w:tab w:val="left" w:pos="6300"/>
        </w:tabs>
        <w:snapToGrid w:val="0"/>
        <w:spacing w:line="360" w:lineRule="auto"/>
        <w:rPr>
          <w:rFonts w:hint="eastAsia" w:ascii="黑体" w:hAnsi="黑体" w:eastAsia="黑体" w:cs="黑体"/>
          <w:sz w:val="24"/>
          <w:szCs w:val="24"/>
        </w:rPr>
      </w:pPr>
      <w:r>
        <w:rPr>
          <w:rFonts w:hint="eastAsia" w:ascii="黑体" w:hAnsi="黑体" w:eastAsia="黑体" w:cs="黑体"/>
          <w:sz w:val="24"/>
          <w:szCs w:val="24"/>
          <w:u w:val="single"/>
        </w:rPr>
        <w:t>（采购代理机构名称）</w:t>
      </w:r>
      <w:r>
        <w:rPr>
          <w:rFonts w:hint="eastAsia" w:ascii="黑体" w:hAnsi="黑体" w:eastAsia="黑体" w:cs="黑体"/>
          <w:sz w:val="24"/>
          <w:szCs w:val="24"/>
        </w:rPr>
        <w:t>：</w:t>
      </w:r>
    </w:p>
    <w:p w14:paraId="06C138CE">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我方收到____________________________（磋商项目名称）的竞争性磋商文件，经详细研究，决定参加该项目的磋商。</w:t>
      </w:r>
    </w:p>
    <w:p w14:paraId="370C1E4B">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1.愿意按照竞争性磋商文件中的一切要求，提供本项目的服务，初始报价为人民币大写：</w:t>
      </w:r>
      <w:r>
        <w:rPr>
          <w:rFonts w:hint="eastAsia" w:ascii="黑体" w:hAnsi="黑体" w:eastAsia="黑体" w:cs="黑体"/>
          <w:sz w:val="24"/>
          <w:szCs w:val="24"/>
          <w:u w:val="single"/>
        </w:rPr>
        <w:t xml:space="preserve">      </w:t>
      </w:r>
      <w:r>
        <w:rPr>
          <w:rFonts w:hint="eastAsia" w:ascii="黑体" w:hAnsi="黑体" w:eastAsia="黑体" w:cs="黑体"/>
          <w:sz w:val="24"/>
          <w:szCs w:val="24"/>
        </w:rPr>
        <w:t>元；人民币小写：</w:t>
      </w:r>
      <w:r>
        <w:rPr>
          <w:rFonts w:hint="eastAsia" w:ascii="黑体" w:hAnsi="黑体" w:eastAsia="黑体" w:cs="黑体"/>
          <w:sz w:val="24"/>
          <w:szCs w:val="24"/>
          <w:u w:val="single"/>
        </w:rPr>
        <w:t xml:space="preserve">    </w:t>
      </w:r>
      <w:r>
        <w:rPr>
          <w:rFonts w:hint="eastAsia" w:ascii="黑体" w:hAnsi="黑体" w:eastAsia="黑体" w:cs="黑体"/>
          <w:sz w:val="24"/>
          <w:szCs w:val="24"/>
        </w:rPr>
        <w:t>元。以我公司最后报价为准。</w:t>
      </w:r>
    </w:p>
    <w:p w14:paraId="0A750F95">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2.我方现提交的响应文件为：响应文件正本</w:t>
      </w:r>
      <w:r>
        <w:rPr>
          <w:rFonts w:hint="eastAsia" w:ascii="黑体" w:hAnsi="黑体" w:eastAsia="黑体" w:cs="黑体"/>
          <w:sz w:val="24"/>
          <w:szCs w:val="24"/>
          <w:u w:val="single"/>
        </w:rPr>
        <w:t xml:space="preserve">   </w:t>
      </w:r>
      <w:r>
        <w:rPr>
          <w:rFonts w:hint="eastAsia" w:ascii="黑体" w:hAnsi="黑体" w:eastAsia="黑体" w:cs="黑体"/>
          <w:sz w:val="24"/>
          <w:szCs w:val="24"/>
        </w:rPr>
        <w:t>份，副本</w:t>
      </w:r>
      <w:r>
        <w:rPr>
          <w:rFonts w:hint="eastAsia" w:ascii="黑体" w:hAnsi="黑体" w:eastAsia="黑体" w:cs="黑体"/>
          <w:sz w:val="24"/>
          <w:szCs w:val="24"/>
          <w:u w:val="single"/>
        </w:rPr>
        <w:t xml:space="preserve">   </w:t>
      </w:r>
      <w:r>
        <w:rPr>
          <w:rFonts w:hint="eastAsia" w:ascii="黑体" w:hAnsi="黑体" w:eastAsia="黑体" w:cs="黑体"/>
          <w:sz w:val="24"/>
          <w:szCs w:val="24"/>
        </w:rPr>
        <w:t>份。</w:t>
      </w:r>
    </w:p>
    <w:p w14:paraId="730614F7">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3.我方承诺：本次磋商的有效期为提交响应文件截止时间起90天。</w:t>
      </w:r>
    </w:p>
    <w:p w14:paraId="50798FD8">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4.我方完全理解和接受贵方竞争性磋商文件的一切规定和要求及评审办法。</w:t>
      </w:r>
    </w:p>
    <w:p w14:paraId="0DC6AC43">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5.在整个竞争性磋商过程中，我方若有违规行为，接受按照《中华人民共和国政府采购法》和《竞争性磋商文件》之规定给予惩罚。</w:t>
      </w:r>
    </w:p>
    <w:p w14:paraId="745B55ED">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6.我方若成为成交供应商，将按照最终磋商结果签订合同，并且严格履行合同义务。本承诺函将成为合同不可分割的一部分，与合同具有同等的法律效力。</w:t>
      </w:r>
    </w:p>
    <w:p w14:paraId="5742B33D">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7.如果我方成为成交供应商，保证在接到成交通知书后，向采购代理机构</w:t>
      </w:r>
      <w:r>
        <w:rPr>
          <w:rFonts w:hint="eastAsia" w:ascii="黑体" w:hAnsi="黑体" w:eastAsia="黑体" w:cs="黑体"/>
          <w:sz w:val="24"/>
        </w:rPr>
        <w:t>缴纳</w:t>
      </w:r>
      <w:r>
        <w:rPr>
          <w:rFonts w:hint="eastAsia" w:ascii="黑体" w:hAnsi="黑体" w:eastAsia="黑体" w:cs="黑体"/>
          <w:sz w:val="24"/>
          <w:szCs w:val="24"/>
        </w:rPr>
        <w:t>竞争性磋商文件规定的采购代理服务费。</w:t>
      </w:r>
    </w:p>
    <w:p w14:paraId="0F504060">
      <w:pPr>
        <w:tabs>
          <w:tab w:val="left" w:pos="6300"/>
        </w:tabs>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w:t>
      </w:r>
      <w:r>
        <w:rPr>
          <w:rFonts w:hint="eastAsia" w:ascii="黑体" w:hAnsi="黑体" w:eastAsia="黑体" w:cs="黑体"/>
          <w:sz w:val="24"/>
          <w:szCs w:val="28"/>
        </w:rPr>
        <w:t>我方未</w:t>
      </w:r>
      <w:r>
        <w:rPr>
          <w:rFonts w:hint="eastAsia" w:ascii="黑体" w:hAnsi="黑体" w:eastAsia="黑体" w:cs="黑体"/>
          <w:sz w:val="24"/>
          <w:szCs w:val="24"/>
        </w:rPr>
        <w:t>为采购项目提供整体设计、规范编制或者项目管理、监理、检测等服务。</w:t>
      </w:r>
    </w:p>
    <w:p w14:paraId="08F4B9DE">
      <w:pPr>
        <w:tabs>
          <w:tab w:val="left" w:pos="6300"/>
        </w:tabs>
        <w:snapToGrid w:val="0"/>
        <w:spacing w:line="360" w:lineRule="auto"/>
        <w:ind w:firstLine="570"/>
        <w:rPr>
          <w:rFonts w:hint="eastAsia" w:ascii="黑体" w:hAnsi="黑体" w:eastAsia="黑体" w:cs="黑体"/>
          <w:sz w:val="24"/>
          <w:szCs w:val="24"/>
        </w:rPr>
      </w:pPr>
      <w:r>
        <w:rPr>
          <w:rFonts w:hint="eastAsia" w:ascii="黑体" w:hAnsi="黑体" w:eastAsia="黑体" w:cs="黑体"/>
          <w:sz w:val="24"/>
          <w:szCs w:val="24"/>
        </w:rPr>
        <w:t>供应商（公章）或自然人签署：</w:t>
      </w:r>
    </w:p>
    <w:p w14:paraId="531A231A">
      <w:pPr>
        <w:tabs>
          <w:tab w:val="left" w:pos="6300"/>
        </w:tabs>
        <w:snapToGrid w:val="0"/>
        <w:spacing w:line="360" w:lineRule="auto"/>
        <w:ind w:firstLine="570"/>
        <w:rPr>
          <w:rFonts w:hint="eastAsia" w:ascii="黑体" w:hAnsi="黑体" w:eastAsia="黑体" w:cs="黑体"/>
          <w:sz w:val="24"/>
          <w:szCs w:val="24"/>
        </w:rPr>
      </w:pPr>
      <w:r>
        <w:rPr>
          <w:rFonts w:hint="eastAsia" w:ascii="黑体" w:hAnsi="黑体" w:eastAsia="黑体" w:cs="黑体"/>
          <w:sz w:val="24"/>
          <w:szCs w:val="24"/>
        </w:rPr>
        <w:t xml:space="preserve">地址：  </w:t>
      </w:r>
    </w:p>
    <w:p w14:paraId="5920F47B">
      <w:pPr>
        <w:tabs>
          <w:tab w:val="left" w:pos="6300"/>
        </w:tabs>
        <w:snapToGrid w:val="0"/>
        <w:spacing w:line="360" w:lineRule="auto"/>
        <w:ind w:firstLine="570"/>
        <w:rPr>
          <w:rFonts w:hint="eastAsia" w:ascii="黑体" w:hAnsi="黑体" w:eastAsia="黑体" w:cs="黑体"/>
          <w:sz w:val="24"/>
          <w:szCs w:val="24"/>
        </w:rPr>
      </w:pPr>
      <w:r>
        <w:rPr>
          <w:rFonts w:hint="eastAsia" w:ascii="黑体" w:hAnsi="黑体" w:eastAsia="黑体" w:cs="黑体"/>
          <w:sz w:val="24"/>
          <w:szCs w:val="24"/>
        </w:rPr>
        <w:t>电话：                                             传真：</w:t>
      </w:r>
    </w:p>
    <w:p w14:paraId="5E39FD09">
      <w:pPr>
        <w:tabs>
          <w:tab w:val="left" w:pos="6300"/>
        </w:tabs>
        <w:snapToGrid w:val="0"/>
        <w:spacing w:line="360" w:lineRule="auto"/>
        <w:ind w:firstLine="570"/>
        <w:rPr>
          <w:rFonts w:hint="eastAsia" w:ascii="黑体" w:hAnsi="黑体" w:eastAsia="黑体" w:cs="黑体"/>
          <w:sz w:val="24"/>
          <w:szCs w:val="24"/>
        </w:rPr>
      </w:pPr>
      <w:r>
        <w:rPr>
          <w:rFonts w:hint="eastAsia" w:ascii="黑体" w:hAnsi="黑体" w:eastAsia="黑体" w:cs="黑体"/>
          <w:sz w:val="24"/>
          <w:szCs w:val="24"/>
        </w:rPr>
        <w:t>网址：                                             邮编：</w:t>
      </w:r>
    </w:p>
    <w:p w14:paraId="5F15B457">
      <w:pPr>
        <w:tabs>
          <w:tab w:val="left" w:pos="6300"/>
        </w:tabs>
        <w:snapToGrid w:val="0"/>
        <w:spacing w:line="360" w:lineRule="auto"/>
        <w:ind w:firstLine="570"/>
        <w:rPr>
          <w:rFonts w:hint="eastAsia" w:ascii="黑体" w:hAnsi="黑体" w:eastAsia="黑体" w:cs="黑体"/>
          <w:sz w:val="24"/>
          <w:szCs w:val="24"/>
        </w:rPr>
      </w:pPr>
      <w:r>
        <w:rPr>
          <w:rFonts w:hint="eastAsia" w:ascii="黑体" w:hAnsi="黑体" w:eastAsia="黑体" w:cs="黑体"/>
          <w:sz w:val="24"/>
          <w:szCs w:val="24"/>
        </w:rPr>
        <w:t>联系人：</w:t>
      </w:r>
    </w:p>
    <w:p w14:paraId="488AE2E1">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                                                  年   月   日</w:t>
      </w:r>
    </w:p>
    <w:p w14:paraId="0C779D16">
      <w:pPr>
        <w:pStyle w:val="3"/>
        <w:pageBreakBefore/>
        <w:numPr>
          <w:ilvl w:val="0"/>
          <w:numId w:val="5"/>
        </w:numPr>
        <w:spacing w:line="500" w:lineRule="exact"/>
        <w:rPr>
          <w:rFonts w:hint="eastAsia" w:ascii="黑体" w:hAnsi="黑体" w:eastAsia="黑体" w:cs="黑体"/>
          <w:b w:val="0"/>
          <w:color w:val="auto"/>
          <w:szCs w:val="28"/>
          <w:highlight w:val="none"/>
          <w:lang w:val="en-US" w:eastAsia="zh-CN"/>
        </w:rPr>
      </w:pPr>
      <w:bookmarkStart w:id="313" w:name="_Toc4124"/>
      <w:r>
        <w:rPr>
          <w:rFonts w:hint="eastAsia" w:ascii="黑体" w:hAnsi="黑体" w:eastAsia="黑体" w:cs="黑体"/>
          <w:b w:val="0"/>
          <w:color w:val="auto"/>
          <w:szCs w:val="28"/>
          <w:highlight w:val="none"/>
          <w:lang w:eastAsia="zh-CN"/>
        </w:rPr>
        <w:t>服务部分</w:t>
      </w:r>
      <w:bookmarkEnd w:id="312"/>
      <w:bookmarkEnd w:id="313"/>
      <w:r>
        <w:rPr>
          <w:rFonts w:hint="eastAsia" w:ascii="黑体" w:hAnsi="黑体" w:eastAsia="黑体" w:cs="黑体"/>
          <w:b w:val="0"/>
          <w:color w:val="auto"/>
          <w:szCs w:val="28"/>
          <w:highlight w:val="none"/>
          <w:lang w:val="en-US" w:eastAsia="zh-CN"/>
        </w:rPr>
        <w:t xml:space="preserve">  </w:t>
      </w:r>
    </w:p>
    <w:p w14:paraId="7F5FC390">
      <w:pPr>
        <w:snapToGrid w:val="0"/>
        <w:spacing w:line="400" w:lineRule="exact"/>
        <w:ind w:firstLine="480" w:firstLineChars="200"/>
        <w:rPr>
          <w:rFonts w:hint="eastAsia" w:ascii="黑体" w:hAnsi="黑体" w:eastAsia="黑体" w:cs="黑体"/>
          <w:color w:val="auto"/>
          <w:sz w:val="24"/>
          <w:szCs w:val="28"/>
          <w:highlight w:val="none"/>
        </w:rPr>
      </w:pPr>
      <w:bookmarkStart w:id="314" w:name="_Toc493506321"/>
      <w:bookmarkStart w:id="315" w:name="_Toc492721039"/>
      <w:bookmarkStart w:id="316" w:name="_Toc429584886"/>
      <w:r>
        <w:rPr>
          <w:rFonts w:hint="eastAsia" w:ascii="黑体" w:hAnsi="黑体" w:eastAsia="黑体" w:cs="黑体"/>
          <w:color w:val="auto"/>
          <w:sz w:val="24"/>
          <w:szCs w:val="28"/>
          <w:highlight w:val="none"/>
        </w:rPr>
        <w:t>（一）服务条款差异表</w:t>
      </w:r>
    </w:p>
    <w:p w14:paraId="657CC819">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磋商</w:t>
      </w:r>
      <w:r>
        <w:rPr>
          <w:rFonts w:hint="eastAsia" w:ascii="黑体" w:hAnsi="黑体" w:eastAsia="黑体" w:cs="黑体"/>
          <w:color w:val="auto"/>
          <w:sz w:val="24"/>
          <w:szCs w:val="28"/>
          <w:highlight w:val="none"/>
        </w:rPr>
        <w:t>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605"/>
        <w:gridCol w:w="2731"/>
        <w:gridCol w:w="2038"/>
      </w:tblGrid>
      <w:tr w14:paraId="2DAF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9" w:type="dxa"/>
            <w:vAlign w:val="center"/>
          </w:tcPr>
          <w:p w14:paraId="10F59DB8">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17" w:name="_Toc10082"/>
            <w:bookmarkStart w:id="318" w:name="_Toc24947"/>
            <w:r>
              <w:rPr>
                <w:rFonts w:hint="eastAsia" w:ascii="黑体" w:hAnsi="黑体" w:eastAsia="黑体" w:cs="黑体"/>
                <w:color w:val="auto"/>
                <w:sz w:val="21"/>
                <w:szCs w:val="21"/>
                <w:highlight w:val="none"/>
              </w:rPr>
              <w:t>序号</w:t>
            </w:r>
            <w:bookmarkEnd w:id="317"/>
            <w:bookmarkEnd w:id="318"/>
          </w:p>
        </w:tc>
        <w:tc>
          <w:tcPr>
            <w:tcW w:w="2605" w:type="dxa"/>
            <w:vAlign w:val="center"/>
          </w:tcPr>
          <w:p w14:paraId="5CE21AE9">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19" w:name="_Toc21246"/>
            <w:bookmarkStart w:id="320" w:name="_Toc27070"/>
            <w:r>
              <w:rPr>
                <w:rFonts w:hint="eastAsia" w:ascii="黑体" w:hAnsi="黑体" w:eastAsia="黑体" w:cs="黑体"/>
                <w:color w:val="auto"/>
                <w:sz w:val="21"/>
                <w:szCs w:val="21"/>
                <w:highlight w:val="none"/>
                <w:lang w:val="en-US" w:eastAsia="zh-CN"/>
              </w:rPr>
              <w:t>采购服务需</w:t>
            </w:r>
            <w:r>
              <w:rPr>
                <w:rFonts w:hint="eastAsia" w:ascii="黑体" w:hAnsi="黑体" w:eastAsia="黑体" w:cs="黑体"/>
                <w:color w:val="auto"/>
                <w:sz w:val="21"/>
                <w:szCs w:val="21"/>
                <w:highlight w:val="none"/>
              </w:rPr>
              <w:t>求</w:t>
            </w:r>
            <w:bookmarkEnd w:id="319"/>
            <w:bookmarkEnd w:id="320"/>
          </w:p>
        </w:tc>
        <w:tc>
          <w:tcPr>
            <w:tcW w:w="2731" w:type="dxa"/>
            <w:vAlign w:val="center"/>
          </w:tcPr>
          <w:p w14:paraId="33BBC51E">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21" w:name="_Toc27453"/>
            <w:bookmarkStart w:id="322" w:name="_Toc21588"/>
            <w:r>
              <w:rPr>
                <w:rFonts w:hint="eastAsia" w:ascii="黑体" w:hAnsi="黑体" w:eastAsia="黑体" w:cs="黑体"/>
                <w:color w:val="auto"/>
                <w:sz w:val="21"/>
                <w:szCs w:val="21"/>
                <w:highlight w:val="none"/>
                <w:lang w:val="en-US" w:eastAsia="zh-CN"/>
              </w:rPr>
              <w:t>响应服务</w:t>
            </w:r>
            <w:r>
              <w:rPr>
                <w:rFonts w:hint="eastAsia" w:ascii="黑体" w:hAnsi="黑体" w:eastAsia="黑体" w:cs="黑体"/>
                <w:color w:val="auto"/>
                <w:sz w:val="21"/>
                <w:szCs w:val="21"/>
                <w:highlight w:val="none"/>
              </w:rPr>
              <w:t>应答</w:t>
            </w:r>
            <w:bookmarkEnd w:id="321"/>
            <w:bookmarkEnd w:id="322"/>
          </w:p>
        </w:tc>
        <w:tc>
          <w:tcPr>
            <w:tcW w:w="2038" w:type="dxa"/>
            <w:vAlign w:val="center"/>
          </w:tcPr>
          <w:p w14:paraId="2E114B80">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23" w:name="_Toc22862"/>
            <w:bookmarkStart w:id="324" w:name="_Toc24836"/>
            <w:r>
              <w:rPr>
                <w:rFonts w:hint="eastAsia" w:ascii="黑体" w:hAnsi="黑体" w:eastAsia="黑体" w:cs="黑体"/>
                <w:color w:val="auto"/>
                <w:sz w:val="21"/>
                <w:szCs w:val="21"/>
                <w:highlight w:val="none"/>
              </w:rPr>
              <w:t>差异说明</w:t>
            </w:r>
            <w:bookmarkEnd w:id="323"/>
            <w:bookmarkEnd w:id="324"/>
          </w:p>
        </w:tc>
      </w:tr>
      <w:tr w14:paraId="7FA5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D24F449">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53680E6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35962466">
            <w:pPr>
              <w:tabs>
                <w:tab w:val="left" w:pos="6300"/>
              </w:tabs>
              <w:snapToGrid w:val="0"/>
              <w:spacing w:line="500" w:lineRule="exact"/>
              <w:outlineLvl w:val="0"/>
              <w:rPr>
                <w:rFonts w:hint="eastAsia" w:ascii="黑体" w:hAnsi="黑体" w:eastAsia="黑体" w:cs="黑体"/>
                <w:color w:val="auto"/>
                <w:sz w:val="21"/>
                <w:szCs w:val="21"/>
                <w:highlight w:val="none"/>
              </w:rPr>
            </w:pPr>
            <w:bookmarkStart w:id="325" w:name="_Toc29002"/>
            <w:bookmarkStart w:id="326" w:name="_Toc12897"/>
            <w:r>
              <w:rPr>
                <w:rFonts w:hint="eastAsia" w:ascii="黑体" w:hAnsi="黑体" w:eastAsia="黑体" w:cs="黑体"/>
                <w:color w:val="auto"/>
                <w:sz w:val="21"/>
                <w:szCs w:val="21"/>
                <w:highlight w:val="none"/>
              </w:rPr>
              <w:t>提醒：请注明具体服务内容</w:t>
            </w:r>
            <w:bookmarkEnd w:id="325"/>
            <w:bookmarkEnd w:id="326"/>
          </w:p>
        </w:tc>
        <w:tc>
          <w:tcPr>
            <w:tcW w:w="2038" w:type="dxa"/>
            <w:vAlign w:val="center"/>
          </w:tcPr>
          <w:p w14:paraId="0FDD68E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729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3A638006">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50CAA60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2071C732">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59369625">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6BBD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3DF36C4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6364E16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1B28C80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402D4A8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555F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52F4991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2623967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45BF439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3B2C077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45AE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4F478E2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41C9D649">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16F29F99">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2D47860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6A89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1528A38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1352E74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1E8964D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591440C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6DA6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20D5E5F">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5ED919C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1E89A59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25075D5D">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21E2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D121DD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02EECDF8">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4820EC6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196BAF1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7F4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23A2E72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6413CEC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5CCAF8FD">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2179449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24A8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7459713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605" w:type="dxa"/>
            <w:vAlign w:val="center"/>
          </w:tcPr>
          <w:p w14:paraId="66847125">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731" w:type="dxa"/>
            <w:vAlign w:val="center"/>
          </w:tcPr>
          <w:p w14:paraId="68559F6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038" w:type="dxa"/>
            <w:vAlign w:val="center"/>
          </w:tcPr>
          <w:p w14:paraId="63471BE2">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bl>
    <w:p w14:paraId="49FFB0B4">
      <w:pPr>
        <w:spacing w:line="500" w:lineRule="exact"/>
        <w:ind w:firstLine="600" w:firstLineChars="25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供应商</w:t>
      </w:r>
      <w:r>
        <w:rPr>
          <w:rFonts w:hint="eastAsia" w:ascii="黑体" w:hAnsi="黑体" w:eastAsia="黑体" w:cs="黑体"/>
          <w:color w:val="auto"/>
          <w:sz w:val="24"/>
          <w:szCs w:val="28"/>
          <w:highlight w:val="none"/>
        </w:rPr>
        <w:t>：                      法定代表人（或法定代表人授权代表）</w:t>
      </w:r>
    </w:p>
    <w:p w14:paraId="05FE68A8">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w:t>
      </w:r>
    </w:p>
    <w:p w14:paraId="522F5C1E">
      <w:pPr>
        <w:spacing w:line="500" w:lineRule="exact"/>
        <w:ind w:firstLine="720" w:firstLineChars="3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w:t>
      </w:r>
      <w:r>
        <w:rPr>
          <w:rFonts w:hint="eastAsia" w:ascii="黑体" w:hAnsi="黑体" w:eastAsia="黑体" w:cs="黑体"/>
          <w:color w:val="auto"/>
          <w:sz w:val="24"/>
          <w:szCs w:val="28"/>
          <w:highlight w:val="none"/>
          <w:lang w:val="en-US" w:eastAsia="zh-CN"/>
        </w:rPr>
        <w:t>供应商</w:t>
      </w:r>
      <w:r>
        <w:rPr>
          <w:rFonts w:hint="eastAsia" w:ascii="黑体" w:hAnsi="黑体" w:eastAsia="黑体" w:cs="黑体"/>
          <w:color w:val="auto"/>
          <w:sz w:val="24"/>
          <w:szCs w:val="28"/>
          <w:highlight w:val="none"/>
        </w:rPr>
        <w:t>公章）                               （签署或盖章）</w:t>
      </w:r>
    </w:p>
    <w:p w14:paraId="70536C19">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szCs w:val="28"/>
          <w:highlight w:val="none"/>
        </w:rPr>
        <w:t xml:space="preserve">                                            年     月     日</w:t>
      </w:r>
    </w:p>
    <w:p w14:paraId="574648DD">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167663A5">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1.本表即为对本项目“第二篇  项目服务需求”中所列条款进行比较和响应；</w:t>
      </w:r>
    </w:p>
    <w:p w14:paraId="6AE71806">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2.该表必须按照招标文件要求逐条如实填写，根据响应情况在“差异说明”项填写正偏离或负偏离及原因，完全符合的填写“无差异”。</w:t>
      </w:r>
    </w:p>
    <w:p w14:paraId="4046929A">
      <w:pPr>
        <w:tabs>
          <w:tab w:val="left" w:pos="6300"/>
        </w:tabs>
        <w:snapToGrid w:val="0"/>
        <w:spacing w:line="500" w:lineRule="exact"/>
        <w:ind w:firstLine="570"/>
        <w:rPr>
          <w:rFonts w:hint="eastAsia" w:ascii="黑体" w:hAnsi="黑体" w:eastAsia="黑体" w:cs="黑体"/>
          <w:color w:val="auto"/>
          <w:szCs w:val="24"/>
          <w:highlight w:val="none"/>
        </w:rPr>
      </w:pPr>
      <w:r>
        <w:rPr>
          <w:rFonts w:hint="eastAsia" w:ascii="黑体" w:hAnsi="黑体" w:eastAsia="黑体" w:cs="黑体"/>
          <w:color w:val="auto"/>
          <w:sz w:val="24"/>
          <w:szCs w:val="24"/>
          <w:highlight w:val="none"/>
        </w:rPr>
        <w:t>3.该表可扩展。</w:t>
      </w:r>
    </w:p>
    <w:p w14:paraId="780EDB1E">
      <w:pPr>
        <w:rPr>
          <w:rFonts w:hint="eastAsia" w:ascii="黑体" w:hAnsi="黑体" w:eastAsia="黑体" w:cs="黑体"/>
          <w:color w:val="auto"/>
          <w:sz w:val="24"/>
          <w:szCs w:val="24"/>
          <w:highlight w:val="none"/>
        </w:rPr>
      </w:pPr>
      <w:r>
        <w:rPr>
          <w:rFonts w:hint="eastAsia" w:ascii="黑体" w:hAnsi="黑体" w:eastAsia="黑体" w:cs="黑体"/>
          <w:color w:val="auto"/>
          <w:szCs w:val="24"/>
          <w:highlight w:val="none"/>
        </w:rPr>
        <w:br w:type="page"/>
      </w:r>
      <w:r>
        <w:rPr>
          <w:rFonts w:hint="eastAsia" w:ascii="黑体" w:hAnsi="黑体" w:eastAsia="黑体" w:cs="黑体"/>
          <w:color w:val="auto"/>
          <w:sz w:val="24"/>
          <w:szCs w:val="28"/>
          <w:highlight w:val="none"/>
        </w:rPr>
        <w:t>（二）其他服务资料</w:t>
      </w:r>
    </w:p>
    <w:p w14:paraId="4A6E1CC9">
      <w:pPr>
        <w:pStyle w:val="4"/>
        <w:rPr>
          <w:rFonts w:hint="eastAsia" w:ascii="黑体" w:hAnsi="黑体" w:eastAsia="黑体" w:cs="黑体"/>
          <w:color w:val="auto"/>
          <w:sz w:val="24"/>
          <w:szCs w:val="24"/>
          <w:highlight w:val="none"/>
        </w:rPr>
      </w:pPr>
    </w:p>
    <w:p w14:paraId="7AA42C07">
      <w:pPr>
        <w:rPr>
          <w:rFonts w:hint="eastAsia" w:ascii="黑体" w:hAnsi="黑体" w:eastAsia="黑体" w:cs="黑体"/>
          <w:color w:val="auto"/>
          <w:sz w:val="24"/>
          <w:szCs w:val="24"/>
          <w:highlight w:val="none"/>
        </w:rPr>
      </w:pPr>
    </w:p>
    <w:p w14:paraId="7447D6D9">
      <w:pPr>
        <w:pStyle w:val="4"/>
        <w:rPr>
          <w:rFonts w:hint="eastAsia" w:ascii="黑体" w:hAnsi="黑体" w:eastAsia="黑体" w:cs="黑体"/>
          <w:color w:val="auto"/>
          <w:sz w:val="24"/>
          <w:szCs w:val="24"/>
          <w:highlight w:val="none"/>
        </w:rPr>
      </w:pPr>
    </w:p>
    <w:p w14:paraId="212622DE">
      <w:pPr>
        <w:rPr>
          <w:rFonts w:hint="eastAsia" w:ascii="黑体" w:hAnsi="黑体" w:eastAsia="黑体" w:cs="黑体"/>
          <w:color w:val="auto"/>
          <w:sz w:val="24"/>
          <w:szCs w:val="24"/>
          <w:highlight w:val="none"/>
        </w:rPr>
      </w:pPr>
    </w:p>
    <w:p w14:paraId="25741E40">
      <w:pPr>
        <w:pStyle w:val="4"/>
        <w:rPr>
          <w:rFonts w:hint="eastAsia" w:ascii="黑体" w:hAnsi="黑体" w:eastAsia="黑体" w:cs="黑体"/>
          <w:color w:val="auto"/>
          <w:sz w:val="24"/>
          <w:szCs w:val="24"/>
          <w:highlight w:val="none"/>
        </w:rPr>
      </w:pPr>
    </w:p>
    <w:p w14:paraId="14892759">
      <w:pPr>
        <w:rPr>
          <w:rFonts w:hint="eastAsia" w:ascii="黑体" w:hAnsi="黑体" w:eastAsia="黑体" w:cs="黑体"/>
          <w:color w:val="auto"/>
          <w:sz w:val="24"/>
          <w:szCs w:val="24"/>
          <w:highlight w:val="none"/>
        </w:rPr>
      </w:pPr>
    </w:p>
    <w:p w14:paraId="211D31A6">
      <w:pPr>
        <w:pStyle w:val="4"/>
        <w:rPr>
          <w:rFonts w:hint="eastAsia" w:ascii="黑体" w:hAnsi="黑体" w:eastAsia="黑体" w:cs="黑体"/>
          <w:color w:val="auto"/>
          <w:sz w:val="24"/>
          <w:szCs w:val="24"/>
          <w:highlight w:val="none"/>
        </w:rPr>
      </w:pPr>
    </w:p>
    <w:p w14:paraId="2E5FD910">
      <w:pPr>
        <w:rPr>
          <w:rFonts w:hint="eastAsia" w:ascii="黑体" w:hAnsi="黑体" w:eastAsia="黑体" w:cs="黑体"/>
          <w:color w:val="auto"/>
          <w:sz w:val="24"/>
          <w:szCs w:val="24"/>
          <w:highlight w:val="none"/>
        </w:rPr>
      </w:pPr>
    </w:p>
    <w:p w14:paraId="1EA04AB3">
      <w:pPr>
        <w:pStyle w:val="4"/>
        <w:rPr>
          <w:rFonts w:hint="eastAsia" w:ascii="黑体" w:hAnsi="黑体" w:eastAsia="黑体" w:cs="黑体"/>
          <w:color w:val="auto"/>
          <w:sz w:val="24"/>
          <w:szCs w:val="24"/>
          <w:highlight w:val="none"/>
        </w:rPr>
      </w:pPr>
    </w:p>
    <w:p w14:paraId="4143786A">
      <w:pPr>
        <w:rPr>
          <w:rFonts w:hint="eastAsia" w:ascii="黑体" w:hAnsi="黑体" w:eastAsia="黑体" w:cs="黑体"/>
          <w:color w:val="auto"/>
          <w:sz w:val="24"/>
          <w:szCs w:val="24"/>
          <w:highlight w:val="none"/>
        </w:rPr>
      </w:pPr>
    </w:p>
    <w:p w14:paraId="611321AC">
      <w:pPr>
        <w:pStyle w:val="4"/>
        <w:rPr>
          <w:rFonts w:hint="eastAsia" w:ascii="黑体" w:hAnsi="黑体" w:eastAsia="黑体" w:cs="黑体"/>
          <w:color w:val="auto"/>
          <w:sz w:val="24"/>
          <w:szCs w:val="24"/>
          <w:highlight w:val="none"/>
        </w:rPr>
      </w:pPr>
    </w:p>
    <w:p w14:paraId="4E8121D6">
      <w:pPr>
        <w:rPr>
          <w:rFonts w:hint="eastAsia" w:ascii="黑体" w:hAnsi="黑体" w:eastAsia="黑体" w:cs="黑体"/>
          <w:color w:val="auto"/>
          <w:sz w:val="24"/>
          <w:szCs w:val="24"/>
          <w:highlight w:val="none"/>
        </w:rPr>
      </w:pPr>
    </w:p>
    <w:p w14:paraId="534F31D0">
      <w:pPr>
        <w:pStyle w:val="29"/>
        <w:rPr>
          <w:rFonts w:hint="eastAsia" w:ascii="黑体" w:hAnsi="黑体" w:eastAsia="黑体" w:cs="黑体"/>
          <w:color w:val="auto"/>
          <w:sz w:val="24"/>
          <w:szCs w:val="24"/>
          <w:highlight w:val="none"/>
        </w:rPr>
      </w:pPr>
    </w:p>
    <w:p w14:paraId="085182FF">
      <w:pPr>
        <w:rPr>
          <w:rFonts w:hint="eastAsia" w:ascii="黑体" w:hAnsi="黑体" w:eastAsia="黑体" w:cs="黑体"/>
          <w:color w:val="auto"/>
          <w:sz w:val="24"/>
          <w:szCs w:val="24"/>
          <w:highlight w:val="none"/>
        </w:rPr>
      </w:pPr>
    </w:p>
    <w:p w14:paraId="7CEC590E">
      <w:pPr>
        <w:pStyle w:val="29"/>
        <w:rPr>
          <w:rFonts w:hint="eastAsia" w:ascii="黑体" w:hAnsi="黑体" w:eastAsia="黑体" w:cs="黑体"/>
          <w:color w:val="auto"/>
          <w:sz w:val="24"/>
          <w:szCs w:val="24"/>
          <w:highlight w:val="none"/>
        </w:rPr>
      </w:pPr>
    </w:p>
    <w:p w14:paraId="79239FB4">
      <w:pPr>
        <w:rPr>
          <w:rFonts w:hint="eastAsia" w:ascii="黑体" w:hAnsi="黑体" w:eastAsia="黑体" w:cs="黑体"/>
          <w:color w:val="auto"/>
          <w:sz w:val="24"/>
          <w:szCs w:val="24"/>
          <w:highlight w:val="none"/>
        </w:rPr>
      </w:pPr>
    </w:p>
    <w:p w14:paraId="0B3EC4EC">
      <w:pPr>
        <w:pStyle w:val="29"/>
        <w:rPr>
          <w:rFonts w:hint="eastAsia" w:ascii="黑体" w:hAnsi="黑体" w:eastAsia="黑体" w:cs="黑体"/>
          <w:color w:val="auto"/>
          <w:sz w:val="24"/>
          <w:szCs w:val="24"/>
          <w:highlight w:val="none"/>
        </w:rPr>
      </w:pPr>
    </w:p>
    <w:p w14:paraId="4D238BEB">
      <w:pPr>
        <w:rPr>
          <w:rFonts w:hint="eastAsia" w:ascii="黑体" w:hAnsi="黑体" w:eastAsia="黑体" w:cs="黑体"/>
          <w:color w:val="auto"/>
          <w:sz w:val="24"/>
          <w:szCs w:val="24"/>
          <w:highlight w:val="none"/>
        </w:rPr>
      </w:pPr>
    </w:p>
    <w:p w14:paraId="3F5C5149">
      <w:pPr>
        <w:pStyle w:val="29"/>
        <w:rPr>
          <w:rFonts w:hint="eastAsia" w:ascii="黑体" w:hAnsi="黑体" w:eastAsia="黑体" w:cs="黑体"/>
          <w:color w:val="auto"/>
          <w:sz w:val="24"/>
          <w:szCs w:val="24"/>
          <w:highlight w:val="none"/>
        </w:rPr>
      </w:pPr>
    </w:p>
    <w:p w14:paraId="1F62D148">
      <w:pPr>
        <w:rPr>
          <w:rFonts w:hint="eastAsia" w:ascii="黑体" w:hAnsi="黑体" w:eastAsia="黑体" w:cs="黑体"/>
          <w:color w:val="auto"/>
          <w:sz w:val="24"/>
          <w:szCs w:val="24"/>
          <w:highlight w:val="none"/>
        </w:rPr>
      </w:pPr>
    </w:p>
    <w:p w14:paraId="5C618A13">
      <w:pPr>
        <w:pStyle w:val="29"/>
        <w:rPr>
          <w:rFonts w:hint="eastAsia" w:ascii="黑体" w:hAnsi="黑体" w:eastAsia="黑体" w:cs="黑体"/>
          <w:color w:val="auto"/>
          <w:highlight w:val="none"/>
        </w:rPr>
      </w:pPr>
    </w:p>
    <w:p w14:paraId="4C898F7B">
      <w:pPr>
        <w:rPr>
          <w:rFonts w:hint="eastAsia" w:ascii="黑体" w:hAnsi="黑体" w:eastAsia="黑体" w:cs="黑体"/>
          <w:color w:val="auto"/>
          <w:highlight w:val="none"/>
        </w:rPr>
      </w:pPr>
    </w:p>
    <w:p w14:paraId="5EDD92E2">
      <w:pPr>
        <w:rPr>
          <w:rFonts w:hint="eastAsia" w:ascii="黑体" w:hAnsi="黑体" w:eastAsia="黑体" w:cs="黑体"/>
          <w:color w:val="auto"/>
          <w:sz w:val="24"/>
          <w:szCs w:val="24"/>
          <w:highlight w:val="none"/>
        </w:rPr>
      </w:pPr>
    </w:p>
    <w:p w14:paraId="336211C6">
      <w:pPr>
        <w:tabs>
          <w:tab w:val="left" w:pos="6300"/>
        </w:tabs>
        <w:snapToGrid w:val="0"/>
        <w:spacing w:line="500" w:lineRule="exact"/>
        <w:ind w:firstLine="570"/>
        <w:rPr>
          <w:rFonts w:hint="eastAsia" w:ascii="黑体" w:hAnsi="黑体" w:eastAsia="黑体" w:cs="黑体"/>
          <w:color w:val="auto"/>
          <w:sz w:val="24"/>
          <w:szCs w:val="24"/>
          <w:highlight w:val="none"/>
        </w:rPr>
      </w:pPr>
    </w:p>
    <w:p w14:paraId="1E7F20EC">
      <w:pPr>
        <w:pStyle w:val="15"/>
        <w:tabs>
          <w:tab w:val="left" w:pos="1260"/>
          <w:tab w:val="left" w:pos="1685"/>
          <w:tab w:val="right" w:leader="dot" w:pos="8400"/>
        </w:tabs>
        <w:rPr>
          <w:rFonts w:hint="eastAsia" w:ascii="黑体" w:hAnsi="黑体" w:eastAsia="黑体" w:cs="黑体"/>
          <w:color w:val="auto"/>
          <w:highlight w:val="none"/>
        </w:rPr>
      </w:pPr>
    </w:p>
    <w:p w14:paraId="5C1195D1">
      <w:pPr>
        <w:pStyle w:val="8"/>
        <w:rPr>
          <w:rFonts w:hint="eastAsia" w:ascii="黑体" w:hAnsi="黑体" w:eastAsia="黑体" w:cs="黑体"/>
          <w:color w:val="auto"/>
          <w:highlight w:val="none"/>
        </w:rPr>
      </w:pPr>
    </w:p>
    <w:p w14:paraId="2A2407C0">
      <w:pPr>
        <w:pStyle w:val="8"/>
        <w:rPr>
          <w:rFonts w:hint="eastAsia" w:ascii="黑体" w:hAnsi="黑体" w:eastAsia="黑体" w:cs="黑体"/>
          <w:color w:val="auto"/>
          <w:highlight w:val="none"/>
        </w:rPr>
      </w:pPr>
    </w:p>
    <w:p w14:paraId="2C50CC94">
      <w:pPr>
        <w:pStyle w:val="8"/>
        <w:rPr>
          <w:rFonts w:hint="eastAsia" w:ascii="黑体" w:hAnsi="黑体" w:eastAsia="黑体" w:cs="黑体"/>
          <w:color w:val="auto"/>
          <w:highlight w:val="none"/>
        </w:rPr>
      </w:pPr>
    </w:p>
    <w:p w14:paraId="6263D49E">
      <w:pPr>
        <w:rPr>
          <w:rFonts w:hint="eastAsia" w:ascii="黑体" w:hAnsi="黑体" w:eastAsia="黑体" w:cs="黑体"/>
          <w:b/>
          <w:color w:val="auto"/>
          <w:szCs w:val="28"/>
          <w:highlight w:val="none"/>
        </w:rPr>
      </w:pPr>
      <w:r>
        <w:rPr>
          <w:rFonts w:hint="eastAsia" w:ascii="黑体" w:hAnsi="黑体" w:eastAsia="黑体" w:cs="黑体"/>
          <w:b/>
          <w:color w:val="auto"/>
          <w:szCs w:val="28"/>
          <w:highlight w:val="none"/>
        </w:rPr>
        <w:br w:type="page"/>
      </w:r>
    </w:p>
    <w:p w14:paraId="70481A35">
      <w:pPr>
        <w:tabs>
          <w:tab w:val="left" w:pos="6300"/>
        </w:tabs>
        <w:snapToGrid w:val="0"/>
        <w:spacing w:line="500" w:lineRule="exact"/>
        <w:ind w:firstLine="570"/>
        <w:rPr>
          <w:rFonts w:hint="eastAsia" w:ascii="黑体" w:hAnsi="黑体" w:eastAsia="黑体" w:cs="黑体"/>
          <w:b/>
          <w:color w:val="auto"/>
          <w:szCs w:val="28"/>
          <w:highlight w:val="none"/>
          <w:lang w:eastAsia="zh-CN"/>
        </w:rPr>
      </w:pPr>
      <w:r>
        <w:rPr>
          <w:rFonts w:hint="eastAsia" w:ascii="黑体" w:hAnsi="黑体" w:eastAsia="黑体" w:cs="黑体"/>
          <w:b/>
          <w:color w:val="auto"/>
          <w:szCs w:val="28"/>
          <w:highlight w:val="none"/>
        </w:rPr>
        <w:t>三、商务</w:t>
      </w:r>
      <w:bookmarkEnd w:id="314"/>
      <w:bookmarkEnd w:id="315"/>
      <w:bookmarkEnd w:id="316"/>
      <w:r>
        <w:rPr>
          <w:rFonts w:hint="eastAsia" w:ascii="黑体" w:hAnsi="黑体" w:eastAsia="黑体" w:cs="黑体"/>
          <w:b/>
          <w:color w:val="auto"/>
          <w:szCs w:val="28"/>
          <w:highlight w:val="none"/>
          <w:lang w:val="en-US" w:eastAsia="zh-CN"/>
        </w:rPr>
        <w:t>部分</w:t>
      </w:r>
    </w:p>
    <w:p w14:paraId="2E8452A0">
      <w:pPr>
        <w:numPr>
          <w:ilvl w:val="0"/>
          <w:numId w:val="0"/>
        </w:numPr>
        <w:tabs>
          <w:tab w:val="left" w:pos="6300"/>
        </w:tabs>
        <w:snapToGrid w:val="0"/>
        <w:spacing w:line="500" w:lineRule="exact"/>
        <w:ind w:left="0" w:leftChars="0" w:firstLine="560" w:firstLineChars="200"/>
        <w:jc w:val="left"/>
        <w:outlineLvl w:val="0"/>
        <w:rPr>
          <w:rFonts w:hint="eastAsia" w:ascii="黑体" w:hAnsi="黑体" w:eastAsia="黑体" w:cs="黑体"/>
          <w:color w:val="auto"/>
          <w:highlight w:val="none"/>
        </w:rPr>
      </w:pPr>
      <w:bookmarkStart w:id="327" w:name="_Toc2662"/>
      <w:bookmarkStart w:id="328" w:name="_Toc9799"/>
      <w:r>
        <w:rPr>
          <w:rFonts w:hint="eastAsia" w:ascii="黑体" w:hAnsi="黑体" w:eastAsia="黑体" w:cs="黑体"/>
          <w:color w:val="auto"/>
          <w:kern w:val="2"/>
          <w:sz w:val="28"/>
          <w:highlight w:val="none"/>
          <w:lang w:val="en-US" w:eastAsia="zh-CN" w:bidi="ar-SA"/>
        </w:rPr>
        <w:t>（一）</w:t>
      </w:r>
      <w:r>
        <w:rPr>
          <w:rFonts w:hint="eastAsia" w:ascii="黑体" w:hAnsi="黑体" w:eastAsia="黑体" w:cs="黑体"/>
          <w:color w:val="auto"/>
          <w:highlight w:val="none"/>
        </w:rPr>
        <w:t>商务条款差异表</w:t>
      </w:r>
      <w:bookmarkEnd w:id="327"/>
      <w:bookmarkEnd w:id="328"/>
    </w:p>
    <w:p w14:paraId="5C55AE9E">
      <w:pPr>
        <w:numPr>
          <w:ilvl w:val="0"/>
          <w:numId w:val="0"/>
        </w:numPr>
        <w:tabs>
          <w:tab w:val="left" w:pos="6300"/>
        </w:tabs>
        <w:snapToGrid w:val="0"/>
        <w:spacing w:line="500" w:lineRule="exact"/>
        <w:ind w:leftChars="200"/>
        <w:jc w:val="both"/>
        <w:outlineLvl w:val="0"/>
        <w:rPr>
          <w:rFonts w:hint="eastAsia" w:ascii="黑体" w:hAnsi="黑体" w:eastAsia="黑体" w:cs="黑体"/>
          <w:color w:val="auto"/>
          <w:sz w:val="24"/>
          <w:szCs w:val="18"/>
          <w:highlight w:val="none"/>
          <w:lang w:val="en-US" w:eastAsia="zh-CN"/>
        </w:rPr>
      </w:pPr>
      <w:bookmarkStart w:id="329" w:name="_Toc23165"/>
      <w:r>
        <w:rPr>
          <w:rFonts w:hint="eastAsia" w:ascii="黑体" w:hAnsi="黑体" w:eastAsia="黑体" w:cs="黑体"/>
          <w:color w:val="auto"/>
          <w:sz w:val="24"/>
          <w:szCs w:val="28"/>
          <w:highlight w:val="none"/>
          <w:lang w:val="en-US" w:eastAsia="zh-CN"/>
        </w:rPr>
        <w:t>磋商</w:t>
      </w:r>
      <w:r>
        <w:rPr>
          <w:rFonts w:hint="eastAsia" w:ascii="黑体" w:hAnsi="黑体" w:eastAsia="黑体" w:cs="黑体"/>
          <w:color w:val="auto"/>
          <w:sz w:val="24"/>
          <w:szCs w:val="28"/>
          <w:highlight w:val="none"/>
        </w:rPr>
        <w:t>项目名称：</w:t>
      </w:r>
      <w:bookmarkEnd w:id="329"/>
    </w:p>
    <w:tbl>
      <w:tblPr>
        <w:tblStyle w:val="22"/>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2155"/>
      </w:tblGrid>
      <w:tr w14:paraId="227E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194CEF4">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30" w:name="_Toc27752"/>
            <w:bookmarkStart w:id="331" w:name="_Toc21095"/>
            <w:r>
              <w:rPr>
                <w:rFonts w:hint="eastAsia" w:ascii="黑体" w:hAnsi="黑体" w:eastAsia="黑体" w:cs="黑体"/>
                <w:color w:val="auto"/>
                <w:sz w:val="21"/>
                <w:szCs w:val="21"/>
                <w:highlight w:val="none"/>
              </w:rPr>
              <w:t>序号</w:t>
            </w:r>
            <w:bookmarkEnd w:id="330"/>
            <w:bookmarkEnd w:id="331"/>
          </w:p>
        </w:tc>
        <w:tc>
          <w:tcPr>
            <w:tcW w:w="2428" w:type="dxa"/>
            <w:vAlign w:val="center"/>
          </w:tcPr>
          <w:p w14:paraId="61740EDC">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32" w:name="_Toc26370"/>
            <w:bookmarkStart w:id="333" w:name="_Toc29379"/>
            <w:r>
              <w:rPr>
                <w:rFonts w:hint="eastAsia" w:ascii="黑体" w:hAnsi="黑体" w:eastAsia="黑体" w:cs="黑体"/>
                <w:color w:val="auto"/>
                <w:sz w:val="21"/>
                <w:szCs w:val="21"/>
                <w:highlight w:val="none"/>
                <w:lang w:val="en-US" w:eastAsia="zh-CN"/>
              </w:rPr>
              <w:t>采购</w:t>
            </w:r>
            <w:r>
              <w:rPr>
                <w:rFonts w:hint="eastAsia" w:ascii="黑体" w:hAnsi="黑体" w:eastAsia="黑体" w:cs="黑体"/>
                <w:color w:val="auto"/>
                <w:sz w:val="21"/>
                <w:szCs w:val="21"/>
                <w:highlight w:val="none"/>
              </w:rPr>
              <w:t>商务要求</w:t>
            </w:r>
            <w:bookmarkEnd w:id="332"/>
            <w:bookmarkEnd w:id="333"/>
          </w:p>
        </w:tc>
        <w:tc>
          <w:tcPr>
            <w:tcW w:w="2520" w:type="dxa"/>
            <w:vAlign w:val="center"/>
          </w:tcPr>
          <w:p w14:paraId="70523CC1">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34" w:name="_Toc3309"/>
            <w:bookmarkStart w:id="335" w:name="_Toc9035"/>
            <w:r>
              <w:rPr>
                <w:rFonts w:hint="eastAsia" w:ascii="黑体" w:hAnsi="黑体" w:eastAsia="黑体" w:cs="黑体"/>
                <w:color w:val="auto"/>
                <w:sz w:val="21"/>
                <w:szCs w:val="21"/>
                <w:highlight w:val="none"/>
                <w:lang w:val="en-US" w:eastAsia="zh-CN"/>
              </w:rPr>
              <w:t>响应</w:t>
            </w:r>
            <w:r>
              <w:rPr>
                <w:rFonts w:hint="eastAsia" w:ascii="黑体" w:hAnsi="黑体" w:eastAsia="黑体" w:cs="黑体"/>
                <w:color w:val="auto"/>
                <w:sz w:val="21"/>
                <w:szCs w:val="21"/>
                <w:highlight w:val="none"/>
              </w:rPr>
              <w:t>商务应答</w:t>
            </w:r>
            <w:bookmarkEnd w:id="334"/>
            <w:bookmarkEnd w:id="335"/>
          </w:p>
        </w:tc>
        <w:tc>
          <w:tcPr>
            <w:tcW w:w="2155" w:type="dxa"/>
            <w:vAlign w:val="center"/>
          </w:tcPr>
          <w:p w14:paraId="688D6533">
            <w:pPr>
              <w:tabs>
                <w:tab w:val="left" w:pos="6300"/>
              </w:tabs>
              <w:snapToGrid w:val="0"/>
              <w:spacing w:line="500" w:lineRule="exact"/>
              <w:jc w:val="center"/>
              <w:outlineLvl w:val="0"/>
              <w:rPr>
                <w:rFonts w:hint="eastAsia" w:ascii="黑体" w:hAnsi="黑体" w:eastAsia="黑体" w:cs="黑体"/>
                <w:color w:val="auto"/>
                <w:sz w:val="21"/>
                <w:szCs w:val="21"/>
                <w:highlight w:val="none"/>
              </w:rPr>
            </w:pPr>
            <w:bookmarkStart w:id="336" w:name="_Toc7961"/>
            <w:bookmarkStart w:id="337" w:name="_Toc9190"/>
            <w:r>
              <w:rPr>
                <w:rFonts w:hint="eastAsia" w:ascii="黑体" w:hAnsi="黑体" w:eastAsia="黑体" w:cs="黑体"/>
                <w:color w:val="auto"/>
                <w:sz w:val="21"/>
                <w:szCs w:val="21"/>
                <w:highlight w:val="none"/>
              </w:rPr>
              <w:t>差异说明</w:t>
            </w:r>
            <w:bookmarkEnd w:id="336"/>
            <w:bookmarkEnd w:id="337"/>
          </w:p>
        </w:tc>
      </w:tr>
      <w:tr w14:paraId="50B6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E18D7DF">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25067EC9">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6D0C9F6F">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7CF958E8">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2DF5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F987462">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5959B446">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0CC1F03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6D6C982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0C66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64F7D6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2A50DDA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05A7C56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02632BD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68CF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114A78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0342ACB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33732EA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74E916D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03DA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C8975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675F287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413953C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288AEF1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1448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84270E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4A2C77C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47BE74A1">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523C114C">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5ABE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7DD280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11408F58">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42FAFC75">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0560B2E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118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C032EA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5CBA9B88">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0E17752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07CBD880">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37E9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4C775A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5EFB3FE3">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04F93CD2">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48BBAC0F">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3161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DA4EEF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54B831A9">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77577D17">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1C2C79FA">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r w14:paraId="48CF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BF5CB65">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428" w:type="dxa"/>
            <w:vAlign w:val="center"/>
          </w:tcPr>
          <w:p w14:paraId="7F7B096B">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520" w:type="dxa"/>
            <w:vAlign w:val="center"/>
          </w:tcPr>
          <w:p w14:paraId="66A5ACE4">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c>
          <w:tcPr>
            <w:tcW w:w="2155" w:type="dxa"/>
            <w:vAlign w:val="center"/>
          </w:tcPr>
          <w:p w14:paraId="4A8F41CE">
            <w:pPr>
              <w:tabs>
                <w:tab w:val="left" w:pos="6300"/>
              </w:tabs>
              <w:snapToGrid w:val="0"/>
              <w:spacing w:line="500" w:lineRule="exact"/>
              <w:jc w:val="center"/>
              <w:outlineLvl w:val="0"/>
              <w:rPr>
                <w:rFonts w:hint="eastAsia" w:ascii="黑体" w:hAnsi="黑体" w:eastAsia="黑体" w:cs="黑体"/>
                <w:color w:val="auto"/>
                <w:sz w:val="21"/>
                <w:szCs w:val="21"/>
                <w:highlight w:val="none"/>
              </w:rPr>
            </w:pPr>
          </w:p>
        </w:tc>
      </w:tr>
    </w:tbl>
    <w:p w14:paraId="6CD0BA1C">
      <w:pPr>
        <w:spacing w:line="500" w:lineRule="exact"/>
        <w:ind w:firstLine="600" w:firstLineChars="25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eastAsia="zh-CN"/>
        </w:rPr>
        <w:t>供应商</w:t>
      </w:r>
      <w:r>
        <w:rPr>
          <w:rFonts w:hint="eastAsia" w:ascii="黑体" w:hAnsi="黑体" w:eastAsia="黑体" w:cs="黑体"/>
          <w:color w:val="auto"/>
          <w:sz w:val="24"/>
          <w:szCs w:val="28"/>
          <w:highlight w:val="none"/>
        </w:rPr>
        <w:t>：                     法定代表人或法定代表人授权代表：</w:t>
      </w:r>
    </w:p>
    <w:p w14:paraId="132BD983">
      <w:pPr>
        <w:spacing w:line="500" w:lineRule="exact"/>
        <w:rPr>
          <w:rFonts w:hint="eastAsia" w:ascii="黑体" w:hAnsi="黑体" w:eastAsia="黑体" w:cs="黑体"/>
          <w:color w:val="auto"/>
          <w:sz w:val="24"/>
          <w:szCs w:val="28"/>
          <w:highlight w:val="none"/>
        </w:rPr>
      </w:pPr>
    </w:p>
    <w:p w14:paraId="690E5372">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w:t>
      </w:r>
      <w:r>
        <w:rPr>
          <w:rFonts w:hint="eastAsia" w:ascii="黑体" w:hAnsi="黑体" w:eastAsia="黑体" w:cs="黑体"/>
          <w:color w:val="auto"/>
          <w:sz w:val="24"/>
          <w:szCs w:val="28"/>
          <w:highlight w:val="none"/>
          <w:lang w:eastAsia="zh-CN"/>
        </w:rPr>
        <w:t>供应商</w:t>
      </w:r>
      <w:r>
        <w:rPr>
          <w:rFonts w:hint="eastAsia" w:ascii="黑体" w:hAnsi="黑体" w:eastAsia="黑体" w:cs="黑体"/>
          <w:color w:val="auto"/>
          <w:sz w:val="24"/>
          <w:szCs w:val="28"/>
          <w:highlight w:val="none"/>
        </w:rPr>
        <w:t>公章）                               （签署或盖章）</w:t>
      </w:r>
    </w:p>
    <w:p w14:paraId="1CB3BA7B">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szCs w:val="28"/>
          <w:highlight w:val="none"/>
        </w:rPr>
        <w:t xml:space="preserve">                                            年     月     日</w:t>
      </w:r>
    </w:p>
    <w:p w14:paraId="26A8FC5B">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4526B6CA">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1.本表即为对本项目“第三篇 项目商务需求”中所列条款进行比较和响应；</w:t>
      </w:r>
    </w:p>
    <w:p w14:paraId="2374A0E6">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2.该表必须按照招标文件要求逐条如实填写，根据响应情况在“差异说明”项填写正偏离或负偏离及原因，完全符合的填写“无差异”</w:t>
      </w:r>
    </w:p>
    <w:p w14:paraId="1C803A34">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3.该表可扩展。</w:t>
      </w:r>
    </w:p>
    <w:p w14:paraId="52CFF3F1">
      <w:pPr>
        <w:rPr>
          <w:rFonts w:hint="eastAsia" w:ascii="黑体" w:hAnsi="黑体" w:eastAsia="黑体" w:cs="黑体"/>
          <w:b w:val="0"/>
          <w:bCs/>
          <w:color w:val="auto"/>
          <w:szCs w:val="28"/>
          <w:highlight w:val="none"/>
        </w:rPr>
      </w:pPr>
      <w:bookmarkStart w:id="338" w:name="_Toc13704"/>
      <w:bookmarkStart w:id="339" w:name="_Toc1179"/>
      <w:bookmarkStart w:id="340" w:name="_Toc493178792"/>
      <w:bookmarkStart w:id="341" w:name="_Toc16768"/>
      <w:bookmarkStart w:id="342" w:name="_Toc27849"/>
      <w:bookmarkStart w:id="343" w:name="_Toc11165"/>
      <w:bookmarkStart w:id="344" w:name="_Toc30376"/>
      <w:bookmarkStart w:id="345" w:name="_Toc75793543"/>
      <w:bookmarkStart w:id="346" w:name="_Toc4624"/>
      <w:bookmarkStart w:id="347" w:name="_Toc106030545"/>
      <w:bookmarkStart w:id="348" w:name="_Toc19743"/>
      <w:bookmarkStart w:id="349" w:name="_Toc492721041"/>
      <w:bookmarkStart w:id="350" w:name="_Toc23915"/>
      <w:bookmarkStart w:id="351" w:name="_Toc24540"/>
      <w:bookmarkStart w:id="352" w:name="_Toc29543"/>
      <w:bookmarkStart w:id="353" w:name="_Toc29932"/>
      <w:bookmarkStart w:id="354" w:name="_Toc2395"/>
      <w:bookmarkStart w:id="355" w:name="_Toc6978"/>
      <w:bookmarkStart w:id="356" w:name="_Toc7042"/>
      <w:bookmarkStart w:id="357" w:name="_Toc6593"/>
      <w:bookmarkStart w:id="358" w:name="_Toc493506323"/>
      <w:bookmarkStart w:id="359" w:name="_Toc492721038"/>
      <w:bookmarkStart w:id="360" w:name="_Toc429584885"/>
      <w:r>
        <w:rPr>
          <w:rFonts w:hint="eastAsia" w:ascii="黑体" w:hAnsi="黑体" w:eastAsia="黑体" w:cs="黑体"/>
          <w:b w:val="0"/>
          <w:bCs/>
          <w:color w:val="auto"/>
          <w:szCs w:val="28"/>
          <w:highlight w:val="none"/>
        </w:rPr>
        <w:br w:type="page"/>
      </w:r>
    </w:p>
    <w:p w14:paraId="0B699896">
      <w:pPr>
        <w:ind w:firstLine="280" w:firstLineChars="100"/>
        <w:rPr>
          <w:rFonts w:hint="eastAsia" w:ascii="黑体" w:hAnsi="黑体" w:eastAsia="黑体" w:cs="黑体"/>
          <w:b w:val="0"/>
          <w:bCs/>
          <w:color w:val="auto"/>
          <w:szCs w:val="28"/>
          <w:highlight w:val="none"/>
        </w:rPr>
      </w:pPr>
      <w:r>
        <w:rPr>
          <w:rFonts w:hint="eastAsia" w:ascii="黑体" w:hAnsi="黑体" w:eastAsia="黑体" w:cs="黑体"/>
          <w:b w:val="0"/>
          <w:bCs/>
          <w:color w:val="auto"/>
          <w:szCs w:val="28"/>
          <w:highlight w:val="none"/>
          <w:lang w:eastAsia="zh-CN"/>
        </w:rPr>
        <w:t>（</w:t>
      </w:r>
      <w:r>
        <w:rPr>
          <w:rFonts w:hint="eastAsia" w:ascii="黑体" w:hAnsi="黑体" w:eastAsia="黑体" w:cs="黑体"/>
          <w:b w:val="0"/>
          <w:bCs/>
          <w:color w:val="auto"/>
          <w:szCs w:val="28"/>
          <w:highlight w:val="none"/>
          <w:lang w:val="en-US" w:eastAsia="zh-CN"/>
        </w:rPr>
        <w:t>三</w:t>
      </w:r>
      <w:r>
        <w:rPr>
          <w:rFonts w:hint="eastAsia" w:ascii="黑体" w:hAnsi="黑体" w:eastAsia="黑体" w:cs="黑体"/>
          <w:b w:val="0"/>
          <w:bCs/>
          <w:color w:val="auto"/>
          <w:szCs w:val="28"/>
          <w:highlight w:val="none"/>
          <w:lang w:eastAsia="zh-CN"/>
        </w:rPr>
        <w:t>）</w:t>
      </w:r>
      <w:r>
        <w:rPr>
          <w:rFonts w:hint="eastAsia" w:ascii="黑体" w:hAnsi="黑体" w:eastAsia="黑体" w:cs="黑体"/>
          <w:b w:val="0"/>
          <w:bCs/>
          <w:color w:val="auto"/>
          <w:szCs w:val="28"/>
          <w:highlight w:val="none"/>
          <w:lang w:val="en-US" w:eastAsia="zh-CN"/>
        </w:rPr>
        <w:t>其他商务资料</w:t>
      </w:r>
      <w:r>
        <w:rPr>
          <w:rFonts w:hint="eastAsia" w:ascii="黑体" w:hAnsi="黑体" w:eastAsia="黑体" w:cs="黑体"/>
          <w:b w:val="0"/>
          <w:bCs/>
          <w:color w:val="auto"/>
          <w:szCs w:val="28"/>
          <w:highlight w:val="none"/>
        </w:rPr>
        <w:br w:type="page"/>
      </w:r>
    </w:p>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1F6E1F1B">
      <w:pPr>
        <w:tabs>
          <w:tab w:val="left" w:pos="6300"/>
        </w:tabs>
        <w:snapToGrid w:val="0"/>
        <w:spacing w:line="500" w:lineRule="exact"/>
        <w:ind w:firstLine="570"/>
        <w:rPr>
          <w:rFonts w:hint="eastAsia" w:ascii="黑体" w:hAnsi="黑体" w:eastAsia="黑体" w:cs="黑体"/>
          <w:b/>
          <w:color w:val="auto"/>
          <w:szCs w:val="28"/>
          <w:highlight w:val="none"/>
        </w:rPr>
      </w:pPr>
      <w:bookmarkStart w:id="361" w:name="_Toc20277"/>
      <w:r>
        <w:rPr>
          <w:rFonts w:hint="eastAsia" w:ascii="黑体" w:hAnsi="黑体" w:eastAsia="黑体" w:cs="黑体"/>
          <w:b/>
          <w:color w:val="auto"/>
          <w:szCs w:val="28"/>
          <w:highlight w:val="none"/>
          <w:lang w:val="en-US" w:eastAsia="zh-CN"/>
        </w:rPr>
        <w:t>四</w:t>
      </w:r>
      <w:r>
        <w:rPr>
          <w:rFonts w:hint="eastAsia" w:ascii="黑体" w:hAnsi="黑体" w:eastAsia="黑体" w:cs="黑体"/>
          <w:b/>
          <w:color w:val="auto"/>
          <w:szCs w:val="28"/>
          <w:highlight w:val="none"/>
        </w:rPr>
        <w:t>、资格</w:t>
      </w:r>
      <w:bookmarkEnd w:id="358"/>
      <w:bookmarkEnd w:id="359"/>
      <w:bookmarkEnd w:id="360"/>
      <w:r>
        <w:rPr>
          <w:rFonts w:hint="eastAsia" w:ascii="黑体" w:hAnsi="黑体" w:eastAsia="黑体" w:cs="黑体"/>
          <w:b/>
          <w:color w:val="auto"/>
          <w:szCs w:val="28"/>
          <w:highlight w:val="none"/>
          <w:lang w:val="en-US" w:eastAsia="zh-CN"/>
        </w:rPr>
        <w:t>部分</w:t>
      </w:r>
      <w:bookmarkEnd w:id="361"/>
    </w:p>
    <w:p w14:paraId="066A00A1">
      <w:pPr>
        <w:tabs>
          <w:tab w:val="left" w:pos="6300"/>
        </w:tabs>
        <w:snapToGrid w:val="0"/>
        <w:spacing w:line="500" w:lineRule="exact"/>
        <w:ind w:firstLine="570"/>
        <w:rPr>
          <w:rFonts w:hint="eastAsia" w:ascii="黑体" w:hAnsi="黑体" w:eastAsia="黑体" w:cs="黑体"/>
          <w:color w:val="auto"/>
          <w:highlight w:val="none"/>
        </w:rPr>
      </w:pPr>
      <w:r>
        <w:rPr>
          <w:rFonts w:hint="eastAsia" w:ascii="黑体" w:hAnsi="黑体" w:eastAsia="黑体" w:cs="黑体"/>
          <w:color w:val="auto"/>
          <w:highlight w:val="none"/>
        </w:rPr>
        <w:t>（一）法人营业执照（副本）或事业单位法人证书（副本）或个体工商户营业执照或有效的自然人身份证明或社会团体法人登记证书复印件</w:t>
      </w:r>
    </w:p>
    <w:p w14:paraId="527D68CA">
      <w:pPr>
        <w:tabs>
          <w:tab w:val="left" w:pos="6300"/>
        </w:tabs>
        <w:snapToGrid w:val="0"/>
        <w:spacing w:line="500" w:lineRule="exact"/>
        <w:ind w:firstLine="570"/>
        <w:rPr>
          <w:rFonts w:hint="eastAsia" w:ascii="黑体" w:hAnsi="黑体" w:eastAsia="黑体" w:cs="黑体"/>
          <w:color w:val="auto"/>
          <w:highlight w:val="none"/>
        </w:rPr>
      </w:pPr>
    </w:p>
    <w:p w14:paraId="0C236CB7">
      <w:pPr>
        <w:tabs>
          <w:tab w:val="left" w:pos="6300"/>
        </w:tabs>
        <w:snapToGrid w:val="0"/>
        <w:spacing w:line="500" w:lineRule="exact"/>
        <w:ind w:firstLine="570"/>
        <w:rPr>
          <w:rFonts w:hint="eastAsia" w:ascii="黑体" w:hAnsi="黑体" w:eastAsia="黑体" w:cs="黑体"/>
          <w:color w:val="auto"/>
          <w:highlight w:val="none"/>
        </w:rPr>
      </w:pPr>
    </w:p>
    <w:p w14:paraId="66E05A61">
      <w:pPr>
        <w:tabs>
          <w:tab w:val="left" w:pos="6300"/>
        </w:tabs>
        <w:snapToGrid w:val="0"/>
        <w:spacing w:line="500" w:lineRule="exact"/>
        <w:ind w:firstLine="570"/>
        <w:rPr>
          <w:rFonts w:hint="eastAsia" w:ascii="黑体" w:hAnsi="黑体" w:eastAsia="黑体" w:cs="黑体"/>
          <w:color w:val="auto"/>
          <w:highlight w:val="none"/>
        </w:rPr>
      </w:pPr>
    </w:p>
    <w:p w14:paraId="4CCE972D">
      <w:pPr>
        <w:tabs>
          <w:tab w:val="left" w:pos="6300"/>
        </w:tabs>
        <w:snapToGrid w:val="0"/>
        <w:spacing w:line="500" w:lineRule="exact"/>
        <w:ind w:firstLine="570"/>
        <w:rPr>
          <w:rFonts w:hint="eastAsia" w:ascii="黑体" w:hAnsi="黑体" w:eastAsia="黑体" w:cs="黑体"/>
          <w:color w:val="auto"/>
          <w:highlight w:val="none"/>
        </w:rPr>
      </w:pPr>
    </w:p>
    <w:p w14:paraId="2820826A">
      <w:pPr>
        <w:widowControl/>
        <w:ind w:firstLine="560" w:firstLineChars="200"/>
        <w:jc w:val="left"/>
        <w:rPr>
          <w:rFonts w:hint="eastAsia" w:ascii="黑体" w:hAnsi="黑体" w:eastAsia="黑体" w:cs="黑体"/>
          <w:color w:val="auto"/>
          <w:highlight w:val="none"/>
        </w:rPr>
      </w:pPr>
      <w:r>
        <w:rPr>
          <w:rFonts w:hint="eastAsia" w:ascii="黑体" w:hAnsi="黑体" w:eastAsia="黑体" w:cs="黑体"/>
          <w:color w:val="auto"/>
          <w:highlight w:val="none"/>
        </w:rPr>
        <w:br w:type="page"/>
      </w:r>
      <w:r>
        <w:rPr>
          <w:rFonts w:hint="eastAsia" w:ascii="黑体" w:hAnsi="黑体" w:eastAsia="黑体" w:cs="黑体"/>
          <w:color w:val="auto"/>
          <w:highlight w:val="none"/>
        </w:rPr>
        <w:t>（二）法定代表人身份证明书（格式）</w:t>
      </w:r>
    </w:p>
    <w:p w14:paraId="44985F9B">
      <w:pPr>
        <w:tabs>
          <w:tab w:val="left" w:pos="6300"/>
        </w:tabs>
        <w:snapToGrid w:val="0"/>
        <w:spacing w:line="500" w:lineRule="exact"/>
        <w:ind w:firstLine="570"/>
        <w:rPr>
          <w:rFonts w:hint="eastAsia" w:ascii="黑体" w:hAnsi="黑体" w:eastAsia="黑体" w:cs="黑体"/>
          <w:color w:val="auto"/>
          <w:sz w:val="24"/>
          <w:highlight w:val="none"/>
        </w:rPr>
      </w:pPr>
    </w:p>
    <w:p w14:paraId="516C91A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磋商</w:t>
      </w:r>
      <w:r>
        <w:rPr>
          <w:rFonts w:hint="eastAsia" w:ascii="黑体" w:hAnsi="黑体" w:eastAsia="黑体" w:cs="黑体"/>
          <w:color w:val="auto"/>
          <w:sz w:val="24"/>
          <w:highlight w:val="none"/>
        </w:rPr>
        <w:t>项目名称：</w:t>
      </w:r>
    </w:p>
    <w:p w14:paraId="13215D96">
      <w:pPr>
        <w:tabs>
          <w:tab w:val="left" w:pos="6300"/>
        </w:tabs>
        <w:snapToGrid w:val="0"/>
        <w:spacing w:line="500" w:lineRule="exact"/>
        <w:ind w:firstLine="570"/>
        <w:rPr>
          <w:rFonts w:hint="eastAsia" w:ascii="黑体" w:hAnsi="黑体" w:eastAsia="黑体" w:cs="黑体"/>
          <w:color w:val="auto"/>
          <w:sz w:val="24"/>
          <w:highlight w:val="none"/>
        </w:rPr>
      </w:pPr>
    </w:p>
    <w:p w14:paraId="039562A0">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val="en-US" w:eastAsia="zh-CN"/>
        </w:rPr>
        <w:t>采购代理机构</w:t>
      </w:r>
      <w:r>
        <w:rPr>
          <w:rFonts w:hint="eastAsia" w:ascii="黑体" w:hAnsi="黑体" w:eastAsia="黑体" w:cs="黑体"/>
          <w:color w:val="auto"/>
          <w:sz w:val="24"/>
          <w:highlight w:val="none"/>
          <w:u w:val="single"/>
        </w:rPr>
        <w:t>名称）</w:t>
      </w:r>
      <w:r>
        <w:rPr>
          <w:rFonts w:hint="eastAsia" w:ascii="黑体" w:hAnsi="黑体" w:eastAsia="黑体" w:cs="黑体"/>
          <w:color w:val="auto"/>
          <w:sz w:val="24"/>
          <w:highlight w:val="none"/>
        </w:rPr>
        <w:t>：</w:t>
      </w:r>
    </w:p>
    <w:p w14:paraId="69376A19">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（法定代表人姓名）</w:t>
      </w:r>
      <w:r>
        <w:rPr>
          <w:rFonts w:hint="eastAsia" w:ascii="黑体" w:hAnsi="黑体" w:eastAsia="黑体" w:cs="黑体"/>
          <w:color w:val="auto"/>
          <w:sz w:val="24"/>
          <w:highlight w:val="none"/>
        </w:rPr>
        <w:t>在</w:t>
      </w: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eastAsia="zh-CN"/>
        </w:rPr>
        <w:t>供应商</w:t>
      </w:r>
      <w:r>
        <w:rPr>
          <w:rFonts w:hint="eastAsia" w:ascii="黑体" w:hAnsi="黑体" w:eastAsia="黑体" w:cs="黑体"/>
          <w:color w:val="auto"/>
          <w:sz w:val="24"/>
          <w:highlight w:val="none"/>
          <w:u w:val="single"/>
        </w:rPr>
        <w:t>名称）</w:t>
      </w:r>
      <w:r>
        <w:rPr>
          <w:rFonts w:hint="eastAsia" w:ascii="黑体" w:hAnsi="黑体" w:eastAsia="黑体" w:cs="黑体"/>
          <w:color w:val="auto"/>
          <w:sz w:val="24"/>
          <w:highlight w:val="none"/>
        </w:rPr>
        <w:t>任</w:t>
      </w:r>
      <w:r>
        <w:rPr>
          <w:rFonts w:hint="eastAsia" w:ascii="黑体" w:hAnsi="黑体" w:eastAsia="黑体" w:cs="黑体"/>
          <w:color w:val="auto"/>
          <w:sz w:val="24"/>
          <w:highlight w:val="none"/>
          <w:u w:val="single"/>
        </w:rPr>
        <w:t>（职务名称）</w:t>
      </w:r>
      <w:r>
        <w:rPr>
          <w:rFonts w:hint="eastAsia" w:ascii="黑体" w:hAnsi="黑体" w:eastAsia="黑体" w:cs="黑体"/>
          <w:color w:val="auto"/>
          <w:sz w:val="24"/>
          <w:highlight w:val="none"/>
        </w:rPr>
        <w:t>职务，是</w:t>
      </w: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eastAsia="zh-CN"/>
        </w:rPr>
        <w:t>供应商</w:t>
      </w:r>
      <w:r>
        <w:rPr>
          <w:rFonts w:hint="eastAsia" w:ascii="黑体" w:hAnsi="黑体" w:eastAsia="黑体" w:cs="黑体"/>
          <w:color w:val="auto"/>
          <w:sz w:val="24"/>
          <w:highlight w:val="none"/>
          <w:u w:val="single"/>
        </w:rPr>
        <w:t>名称）</w:t>
      </w:r>
      <w:r>
        <w:rPr>
          <w:rFonts w:hint="eastAsia" w:ascii="黑体" w:hAnsi="黑体" w:eastAsia="黑体" w:cs="黑体"/>
          <w:color w:val="auto"/>
          <w:sz w:val="24"/>
          <w:highlight w:val="none"/>
        </w:rPr>
        <w:t>的法定代表人。</w:t>
      </w:r>
    </w:p>
    <w:p w14:paraId="0F3566CB">
      <w:pPr>
        <w:tabs>
          <w:tab w:val="left" w:pos="6300"/>
        </w:tabs>
        <w:snapToGrid w:val="0"/>
        <w:spacing w:line="500" w:lineRule="exact"/>
        <w:ind w:firstLine="570"/>
        <w:rPr>
          <w:rFonts w:hint="eastAsia" w:ascii="黑体" w:hAnsi="黑体" w:eastAsia="黑体" w:cs="黑体"/>
          <w:color w:val="auto"/>
          <w:sz w:val="24"/>
          <w:highlight w:val="none"/>
        </w:rPr>
      </w:pPr>
    </w:p>
    <w:p w14:paraId="2D688136">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14:paraId="34B074D9">
      <w:pPr>
        <w:tabs>
          <w:tab w:val="left" w:pos="6300"/>
        </w:tabs>
        <w:snapToGrid w:val="0"/>
        <w:spacing w:line="500" w:lineRule="exact"/>
        <w:ind w:firstLine="570"/>
        <w:rPr>
          <w:rFonts w:hint="eastAsia" w:ascii="黑体" w:hAnsi="黑体" w:eastAsia="黑体" w:cs="黑体"/>
          <w:color w:val="auto"/>
          <w:sz w:val="24"/>
          <w:highlight w:val="none"/>
        </w:rPr>
      </w:pPr>
    </w:p>
    <w:p w14:paraId="091BDB32">
      <w:pPr>
        <w:tabs>
          <w:tab w:val="left" w:pos="6300"/>
        </w:tabs>
        <w:snapToGrid w:val="0"/>
        <w:spacing w:line="500" w:lineRule="exact"/>
        <w:ind w:firstLine="570"/>
        <w:rPr>
          <w:rFonts w:hint="eastAsia" w:ascii="黑体" w:hAnsi="黑体" w:eastAsia="黑体" w:cs="黑体"/>
          <w:color w:val="auto"/>
          <w:sz w:val="24"/>
          <w:highlight w:val="none"/>
        </w:rPr>
      </w:pPr>
    </w:p>
    <w:p w14:paraId="7636F350">
      <w:pPr>
        <w:tabs>
          <w:tab w:val="left" w:pos="6300"/>
        </w:tabs>
        <w:snapToGrid w:val="0"/>
        <w:spacing w:line="500" w:lineRule="exact"/>
        <w:ind w:firstLine="570"/>
        <w:rPr>
          <w:rFonts w:hint="eastAsia" w:ascii="黑体" w:hAnsi="黑体" w:eastAsia="黑体" w:cs="黑体"/>
          <w:color w:val="auto"/>
          <w:sz w:val="24"/>
          <w:highlight w:val="none"/>
        </w:rPr>
      </w:pPr>
    </w:p>
    <w:p w14:paraId="5494CAED">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公章）</w:t>
      </w:r>
    </w:p>
    <w:p w14:paraId="4146C275">
      <w:pPr>
        <w:tabs>
          <w:tab w:val="left" w:pos="6300"/>
        </w:tabs>
        <w:snapToGrid w:val="0"/>
        <w:spacing w:line="500" w:lineRule="exact"/>
        <w:ind w:firstLine="570"/>
        <w:rPr>
          <w:rFonts w:hint="eastAsia" w:ascii="黑体" w:hAnsi="黑体" w:eastAsia="黑体" w:cs="黑体"/>
          <w:color w:val="auto"/>
          <w:sz w:val="24"/>
          <w:highlight w:val="none"/>
        </w:rPr>
      </w:pPr>
    </w:p>
    <w:p w14:paraId="1E3509B6">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年   月   日</w:t>
      </w:r>
    </w:p>
    <w:p w14:paraId="265B694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法定代表人电话：XXXXXXX      电子邮箱：XXXXXX@XXXXX（若授权他人办理并签署</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的可不填写）</w:t>
      </w:r>
    </w:p>
    <w:p w14:paraId="34CBD7FD">
      <w:pPr>
        <w:tabs>
          <w:tab w:val="left" w:pos="6300"/>
        </w:tabs>
        <w:snapToGrid w:val="0"/>
        <w:spacing w:line="500" w:lineRule="exact"/>
        <w:ind w:firstLine="570"/>
        <w:rPr>
          <w:rFonts w:hint="eastAsia" w:ascii="黑体" w:hAnsi="黑体" w:eastAsia="黑体" w:cs="黑体"/>
          <w:color w:val="auto"/>
          <w:sz w:val="24"/>
          <w:highlight w:val="none"/>
        </w:rPr>
      </w:pPr>
    </w:p>
    <w:p w14:paraId="0EE315D2">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（附：法定代表人身份证正反面复印件）</w:t>
      </w:r>
    </w:p>
    <w:p w14:paraId="0D085E0D">
      <w:pPr>
        <w:tabs>
          <w:tab w:val="left" w:pos="6300"/>
        </w:tabs>
        <w:snapToGrid w:val="0"/>
        <w:spacing w:line="500" w:lineRule="exact"/>
        <w:ind w:firstLine="570"/>
        <w:rPr>
          <w:rFonts w:hint="eastAsia" w:ascii="黑体" w:hAnsi="黑体" w:eastAsia="黑体" w:cs="黑体"/>
          <w:color w:val="auto"/>
          <w:sz w:val="24"/>
          <w:highlight w:val="none"/>
        </w:rPr>
      </w:pPr>
    </w:p>
    <w:p w14:paraId="4DCFA9F0">
      <w:pPr>
        <w:tabs>
          <w:tab w:val="left" w:pos="6300"/>
        </w:tabs>
        <w:snapToGrid w:val="0"/>
        <w:spacing w:line="500" w:lineRule="exact"/>
        <w:ind w:firstLine="570"/>
        <w:rPr>
          <w:rFonts w:hint="eastAsia" w:ascii="黑体" w:hAnsi="黑体" w:eastAsia="黑体" w:cs="黑体"/>
          <w:color w:val="auto"/>
          <w:sz w:val="24"/>
          <w:highlight w:val="none"/>
        </w:rPr>
      </w:pPr>
    </w:p>
    <w:p w14:paraId="0E2DD8A0">
      <w:pPr>
        <w:tabs>
          <w:tab w:val="left" w:pos="6300"/>
        </w:tabs>
        <w:snapToGrid w:val="0"/>
        <w:spacing w:line="500" w:lineRule="exact"/>
        <w:ind w:firstLine="570"/>
        <w:rPr>
          <w:rFonts w:hint="eastAsia" w:ascii="黑体" w:hAnsi="黑体" w:eastAsia="黑体" w:cs="黑体"/>
          <w:color w:val="auto"/>
          <w:sz w:val="24"/>
          <w:highlight w:val="none"/>
        </w:rPr>
      </w:pPr>
    </w:p>
    <w:p w14:paraId="1E69810C">
      <w:pPr>
        <w:tabs>
          <w:tab w:val="left" w:pos="6300"/>
        </w:tabs>
        <w:snapToGrid w:val="0"/>
        <w:spacing w:line="500" w:lineRule="exact"/>
        <w:ind w:firstLine="570"/>
        <w:rPr>
          <w:rFonts w:hint="eastAsia" w:ascii="黑体" w:hAnsi="黑体" w:eastAsia="黑体" w:cs="黑体"/>
          <w:color w:val="auto"/>
          <w:sz w:val="24"/>
          <w:highlight w:val="none"/>
        </w:rPr>
      </w:pPr>
    </w:p>
    <w:p w14:paraId="55DB2B28">
      <w:pPr>
        <w:tabs>
          <w:tab w:val="left" w:pos="6300"/>
        </w:tabs>
        <w:snapToGrid w:val="0"/>
        <w:spacing w:line="500" w:lineRule="exact"/>
        <w:ind w:firstLine="570"/>
        <w:rPr>
          <w:rFonts w:hint="eastAsia" w:ascii="黑体" w:hAnsi="黑体" w:eastAsia="黑体" w:cs="黑体"/>
          <w:color w:val="auto"/>
          <w:sz w:val="24"/>
          <w:highlight w:val="none"/>
        </w:rPr>
      </w:pPr>
    </w:p>
    <w:p w14:paraId="6F878CCC">
      <w:pPr>
        <w:tabs>
          <w:tab w:val="left" w:pos="6300"/>
        </w:tabs>
        <w:snapToGrid w:val="0"/>
        <w:spacing w:line="500" w:lineRule="exact"/>
        <w:ind w:firstLine="570"/>
        <w:rPr>
          <w:rFonts w:hint="eastAsia" w:ascii="黑体" w:hAnsi="黑体" w:eastAsia="黑体" w:cs="黑体"/>
          <w:color w:val="auto"/>
          <w:sz w:val="24"/>
          <w:highlight w:val="none"/>
        </w:rPr>
      </w:pPr>
    </w:p>
    <w:p w14:paraId="4EF92327">
      <w:pPr>
        <w:tabs>
          <w:tab w:val="left" w:pos="6300"/>
        </w:tabs>
        <w:snapToGrid w:val="0"/>
        <w:spacing w:line="500" w:lineRule="exact"/>
        <w:ind w:firstLine="570"/>
        <w:rPr>
          <w:rFonts w:hint="eastAsia" w:ascii="黑体" w:hAnsi="黑体" w:eastAsia="黑体" w:cs="黑体"/>
          <w:color w:val="auto"/>
          <w:highlight w:val="none"/>
        </w:rPr>
      </w:pPr>
      <w:r>
        <w:rPr>
          <w:rFonts w:hint="eastAsia" w:ascii="黑体" w:hAnsi="黑体" w:eastAsia="黑体" w:cs="黑体"/>
          <w:color w:val="auto"/>
          <w:highlight w:val="none"/>
        </w:rPr>
        <w:br w:type="column"/>
      </w:r>
      <w:r>
        <w:rPr>
          <w:rFonts w:hint="eastAsia" w:ascii="黑体" w:hAnsi="黑体" w:eastAsia="黑体" w:cs="黑体"/>
          <w:color w:val="auto"/>
          <w:highlight w:val="none"/>
        </w:rPr>
        <w:t>（三）法定代表人授权委托书（格式）</w:t>
      </w:r>
    </w:p>
    <w:p w14:paraId="4ECFB41F">
      <w:pPr>
        <w:tabs>
          <w:tab w:val="left" w:pos="6300"/>
        </w:tabs>
        <w:snapToGrid w:val="0"/>
        <w:spacing w:line="500" w:lineRule="exact"/>
        <w:ind w:firstLine="570"/>
        <w:rPr>
          <w:rFonts w:hint="eastAsia" w:ascii="黑体" w:hAnsi="黑体" w:eastAsia="黑体" w:cs="黑体"/>
          <w:color w:val="auto"/>
          <w:sz w:val="24"/>
          <w:highlight w:val="none"/>
        </w:rPr>
      </w:pPr>
    </w:p>
    <w:p w14:paraId="0426D005">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磋商</w:t>
      </w:r>
      <w:r>
        <w:rPr>
          <w:rFonts w:hint="eastAsia" w:ascii="黑体" w:hAnsi="黑体" w:eastAsia="黑体" w:cs="黑体"/>
          <w:color w:val="auto"/>
          <w:sz w:val="24"/>
          <w:szCs w:val="28"/>
          <w:highlight w:val="none"/>
        </w:rPr>
        <w:t>项目名称</w:t>
      </w:r>
      <w:r>
        <w:rPr>
          <w:rFonts w:hint="eastAsia" w:ascii="黑体" w:hAnsi="黑体" w:eastAsia="黑体" w:cs="黑体"/>
          <w:color w:val="auto"/>
          <w:sz w:val="24"/>
          <w:highlight w:val="none"/>
        </w:rPr>
        <w:t>：</w:t>
      </w:r>
    </w:p>
    <w:p w14:paraId="2D360BE6">
      <w:pPr>
        <w:tabs>
          <w:tab w:val="left" w:pos="6300"/>
        </w:tabs>
        <w:snapToGrid w:val="0"/>
        <w:spacing w:line="500" w:lineRule="exact"/>
        <w:ind w:firstLine="570"/>
        <w:rPr>
          <w:rFonts w:hint="eastAsia" w:ascii="黑体" w:hAnsi="黑体" w:eastAsia="黑体" w:cs="黑体"/>
          <w:color w:val="auto"/>
          <w:sz w:val="24"/>
          <w:highlight w:val="none"/>
        </w:rPr>
      </w:pPr>
    </w:p>
    <w:p w14:paraId="6E58801D">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val="en-US" w:eastAsia="zh-CN"/>
        </w:rPr>
        <w:t>采购代理机构</w:t>
      </w:r>
      <w:r>
        <w:rPr>
          <w:rFonts w:hint="eastAsia" w:ascii="黑体" w:hAnsi="黑体" w:eastAsia="黑体" w:cs="黑体"/>
          <w:color w:val="auto"/>
          <w:sz w:val="24"/>
          <w:highlight w:val="none"/>
          <w:u w:val="single"/>
        </w:rPr>
        <w:t>名称）</w:t>
      </w:r>
      <w:r>
        <w:rPr>
          <w:rFonts w:hint="eastAsia" w:ascii="黑体" w:hAnsi="黑体" w:eastAsia="黑体" w:cs="黑体"/>
          <w:color w:val="auto"/>
          <w:sz w:val="24"/>
          <w:highlight w:val="none"/>
        </w:rPr>
        <w:t>：</w:t>
      </w:r>
    </w:p>
    <w:p w14:paraId="79ACF56E">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eastAsia="zh-CN"/>
        </w:rPr>
        <w:t>供应商</w:t>
      </w:r>
      <w:r>
        <w:rPr>
          <w:rFonts w:hint="eastAsia" w:ascii="黑体" w:hAnsi="黑体" w:eastAsia="黑体" w:cs="黑体"/>
          <w:color w:val="auto"/>
          <w:sz w:val="24"/>
          <w:highlight w:val="none"/>
          <w:u w:val="single"/>
        </w:rPr>
        <w:t>法定代表人名称）</w:t>
      </w:r>
      <w:r>
        <w:rPr>
          <w:rFonts w:hint="eastAsia" w:ascii="黑体" w:hAnsi="黑体" w:eastAsia="黑体" w:cs="黑体"/>
          <w:color w:val="auto"/>
          <w:sz w:val="24"/>
          <w:highlight w:val="none"/>
        </w:rPr>
        <w:t>是</w:t>
      </w:r>
      <w:r>
        <w:rPr>
          <w:rFonts w:hint="eastAsia" w:ascii="黑体" w:hAnsi="黑体" w:eastAsia="黑体" w:cs="黑体"/>
          <w:color w:val="auto"/>
          <w:sz w:val="24"/>
          <w:highlight w:val="none"/>
          <w:u w:val="single"/>
        </w:rPr>
        <w:t>（</w:t>
      </w:r>
      <w:r>
        <w:rPr>
          <w:rFonts w:hint="eastAsia" w:ascii="黑体" w:hAnsi="黑体" w:eastAsia="黑体" w:cs="黑体"/>
          <w:color w:val="auto"/>
          <w:sz w:val="24"/>
          <w:highlight w:val="none"/>
          <w:u w:val="single"/>
          <w:lang w:eastAsia="zh-CN"/>
        </w:rPr>
        <w:t>供应商</w:t>
      </w:r>
      <w:r>
        <w:rPr>
          <w:rFonts w:hint="eastAsia" w:ascii="黑体" w:hAnsi="黑体" w:eastAsia="黑体" w:cs="黑体"/>
          <w:color w:val="auto"/>
          <w:sz w:val="24"/>
          <w:highlight w:val="none"/>
          <w:u w:val="single"/>
        </w:rPr>
        <w:t>名称）</w:t>
      </w:r>
      <w:r>
        <w:rPr>
          <w:rFonts w:hint="eastAsia" w:ascii="黑体" w:hAnsi="黑体" w:eastAsia="黑体" w:cs="黑体"/>
          <w:color w:val="auto"/>
          <w:sz w:val="24"/>
          <w:highlight w:val="none"/>
        </w:rPr>
        <w:t>的法定代表人，特授权</w:t>
      </w:r>
      <w:r>
        <w:rPr>
          <w:rFonts w:hint="eastAsia" w:ascii="黑体" w:hAnsi="黑体" w:eastAsia="黑体" w:cs="黑体"/>
          <w:color w:val="auto"/>
          <w:sz w:val="24"/>
          <w:highlight w:val="none"/>
          <w:u w:val="single"/>
        </w:rPr>
        <w:t>（被授权人姓名及身份证代码）</w:t>
      </w:r>
      <w:r>
        <w:rPr>
          <w:rFonts w:hint="eastAsia" w:ascii="黑体" w:hAnsi="黑体" w:eastAsia="黑体" w:cs="黑体"/>
          <w:color w:val="auto"/>
          <w:sz w:val="24"/>
          <w:highlight w:val="none"/>
        </w:rPr>
        <w:t>代表我单位全权办理上述项目的投标、谈判、签约等具体工作，并签署全部有关文件、协议及合同。</w:t>
      </w:r>
    </w:p>
    <w:p w14:paraId="74203F05">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我单位对被授权人的签署负全部责任。</w:t>
      </w:r>
    </w:p>
    <w:p w14:paraId="24DDCE8F">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在撤消授权的书面通知以前，本授权书一直有效。被授权人在授权书有效期内签署的所有文件不因授权的撤消而失效。</w:t>
      </w:r>
    </w:p>
    <w:p w14:paraId="019130E1">
      <w:pPr>
        <w:tabs>
          <w:tab w:val="left" w:pos="6300"/>
        </w:tabs>
        <w:snapToGrid w:val="0"/>
        <w:spacing w:line="500" w:lineRule="exact"/>
        <w:ind w:firstLine="570"/>
        <w:rPr>
          <w:rFonts w:hint="eastAsia" w:ascii="黑体" w:hAnsi="黑体" w:eastAsia="黑体" w:cs="黑体"/>
          <w:color w:val="auto"/>
          <w:sz w:val="24"/>
          <w:highlight w:val="none"/>
        </w:rPr>
      </w:pPr>
    </w:p>
    <w:p w14:paraId="3B1EA8B1">
      <w:pPr>
        <w:tabs>
          <w:tab w:val="left" w:pos="6300"/>
        </w:tabs>
        <w:snapToGrid w:val="0"/>
        <w:spacing w:line="500" w:lineRule="exact"/>
        <w:ind w:firstLine="570"/>
        <w:rPr>
          <w:rFonts w:hint="eastAsia" w:ascii="黑体" w:hAnsi="黑体" w:eastAsia="黑体" w:cs="黑体"/>
          <w:color w:val="auto"/>
          <w:sz w:val="24"/>
          <w:highlight w:val="none"/>
        </w:rPr>
      </w:pPr>
    </w:p>
    <w:p w14:paraId="4664A3E7">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被授权人：                                 </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法定代表人：</w:t>
      </w:r>
    </w:p>
    <w:p w14:paraId="63AA795C">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（签署或盖章）                                （签署或盖章）</w:t>
      </w:r>
    </w:p>
    <w:p w14:paraId="2BCFE1D8">
      <w:pPr>
        <w:tabs>
          <w:tab w:val="left" w:pos="6300"/>
        </w:tabs>
        <w:snapToGrid w:val="0"/>
        <w:spacing w:line="500" w:lineRule="exact"/>
        <w:ind w:firstLine="570"/>
        <w:rPr>
          <w:rFonts w:hint="eastAsia" w:ascii="黑体" w:hAnsi="黑体" w:eastAsia="黑体" w:cs="黑体"/>
          <w:color w:val="auto"/>
          <w:sz w:val="24"/>
          <w:szCs w:val="28"/>
          <w:highlight w:val="none"/>
        </w:rPr>
      </w:pPr>
    </w:p>
    <w:p w14:paraId="1E375D8C">
      <w:pPr>
        <w:tabs>
          <w:tab w:val="left" w:pos="6300"/>
        </w:tabs>
        <w:snapToGrid w:val="0"/>
        <w:spacing w:line="500" w:lineRule="exact"/>
        <w:ind w:firstLine="570"/>
        <w:rPr>
          <w:rFonts w:hint="eastAsia" w:ascii="黑体" w:hAnsi="黑体" w:eastAsia="黑体" w:cs="黑体"/>
          <w:color w:val="auto"/>
          <w:sz w:val="24"/>
          <w:highlight w:val="none"/>
        </w:rPr>
      </w:pPr>
    </w:p>
    <w:p w14:paraId="65191DAF">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（附：被授权人身份证正反面复印件）</w:t>
      </w:r>
    </w:p>
    <w:p w14:paraId="3B9C253A">
      <w:pPr>
        <w:tabs>
          <w:tab w:val="left" w:pos="6300"/>
        </w:tabs>
        <w:snapToGrid w:val="0"/>
        <w:spacing w:line="500" w:lineRule="exact"/>
        <w:ind w:firstLine="570"/>
        <w:rPr>
          <w:rFonts w:hint="eastAsia" w:ascii="黑体" w:hAnsi="黑体" w:eastAsia="黑体" w:cs="黑体"/>
          <w:color w:val="auto"/>
          <w:sz w:val="24"/>
          <w:highlight w:val="none"/>
        </w:rPr>
      </w:pPr>
    </w:p>
    <w:p w14:paraId="11213FB2">
      <w:pPr>
        <w:tabs>
          <w:tab w:val="left" w:pos="6300"/>
        </w:tabs>
        <w:snapToGrid w:val="0"/>
        <w:spacing w:line="500" w:lineRule="exact"/>
        <w:ind w:firstLine="570"/>
        <w:rPr>
          <w:rFonts w:hint="eastAsia" w:ascii="黑体" w:hAnsi="黑体" w:eastAsia="黑体" w:cs="黑体"/>
          <w:color w:val="auto"/>
          <w:sz w:val="24"/>
          <w:highlight w:val="none"/>
        </w:rPr>
      </w:pPr>
    </w:p>
    <w:p w14:paraId="4752C763">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供应商</w:t>
      </w:r>
      <w:r>
        <w:rPr>
          <w:rFonts w:hint="eastAsia" w:ascii="黑体" w:hAnsi="黑体" w:eastAsia="黑体" w:cs="黑体"/>
          <w:color w:val="auto"/>
          <w:sz w:val="24"/>
          <w:highlight w:val="none"/>
        </w:rPr>
        <w:t>公章）</w:t>
      </w:r>
    </w:p>
    <w:p w14:paraId="00DF5E91">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7EEEDCA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被授权人电话：XXXXXXX     电子邮箱：XXXXXX@XXXXX（若法定代表人办理并签署</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的可不填写）</w:t>
      </w:r>
    </w:p>
    <w:p w14:paraId="5BDC5CF8">
      <w:pPr>
        <w:tabs>
          <w:tab w:val="left" w:pos="6300"/>
        </w:tabs>
        <w:snapToGrid w:val="0"/>
        <w:spacing w:line="500" w:lineRule="exact"/>
        <w:ind w:right="480" w:firstLine="570"/>
        <w:jc w:val="right"/>
        <w:rPr>
          <w:rFonts w:hint="eastAsia" w:ascii="黑体" w:hAnsi="黑体" w:eastAsia="黑体" w:cs="黑体"/>
          <w:color w:val="auto"/>
          <w:sz w:val="24"/>
          <w:highlight w:val="none"/>
        </w:rPr>
      </w:pPr>
    </w:p>
    <w:p w14:paraId="34B6C61A">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582D0C6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1.若为法定代表人办理并签署</w:t>
      </w:r>
      <w:r>
        <w:rPr>
          <w:rFonts w:hint="eastAsia" w:ascii="黑体" w:hAnsi="黑体" w:eastAsia="黑体" w:cs="黑体"/>
          <w:color w:val="auto"/>
          <w:sz w:val="24"/>
          <w:highlight w:val="none"/>
          <w:lang w:eastAsia="zh-CN"/>
        </w:rPr>
        <w:t>响应文件</w:t>
      </w:r>
      <w:r>
        <w:rPr>
          <w:rFonts w:hint="eastAsia" w:ascii="黑体" w:hAnsi="黑体" w:eastAsia="黑体" w:cs="黑体"/>
          <w:color w:val="auto"/>
          <w:sz w:val="24"/>
          <w:highlight w:val="none"/>
        </w:rPr>
        <w:t>的，不提供此文件。</w:t>
      </w:r>
    </w:p>
    <w:p w14:paraId="29E95B0F">
      <w:pPr>
        <w:tabs>
          <w:tab w:val="left" w:pos="6300"/>
        </w:tabs>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highlight w:val="none"/>
        </w:rPr>
        <w:t>（四）</w:t>
      </w:r>
      <w:r>
        <w:rPr>
          <w:rFonts w:hint="eastAsia" w:ascii="黑体" w:hAnsi="黑体" w:eastAsia="黑体" w:cs="黑体"/>
          <w:color w:val="auto"/>
          <w:sz w:val="24"/>
          <w:szCs w:val="24"/>
          <w:highlight w:val="none"/>
        </w:rPr>
        <w:t>基本资格条件承诺函：</w:t>
      </w:r>
    </w:p>
    <w:p w14:paraId="6D5F5748">
      <w:pPr>
        <w:tabs>
          <w:tab w:val="left" w:pos="6300"/>
        </w:tabs>
        <w:snapToGrid w:val="0"/>
        <w:spacing w:line="53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基本资格条件承诺函</w:t>
      </w:r>
    </w:p>
    <w:p w14:paraId="6018D8C8">
      <w:pPr>
        <w:tabs>
          <w:tab w:val="left" w:pos="6300"/>
        </w:tabs>
        <w:snapToGrid w:val="0"/>
        <w:spacing w:line="530" w:lineRule="exact"/>
        <w:rPr>
          <w:rFonts w:hint="eastAsia" w:ascii="黑体" w:hAnsi="黑体" w:eastAsia="黑体" w:cs="黑体"/>
          <w:color w:val="auto"/>
          <w:sz w:val="24"/>
          <w:szCs w:val="24"/>
          <w:highlight w:val="none"/>
        </w:rPr>
      </w:pPr>
    </w:p>
    <w:p w14:paraId="562C287C">
      <w:pPr>
        <w:tabs>
          <w:tab w:val="left" w:pos="6300"/>
        </w:tabs>
        <w:snapToGrid w:val="0"/>
        <w:spacing w:line="53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采购代理机构</w:t>
      </w:r>
      <w:r>
        <w:rPr>
          <w:rFonts w:hint="eastAsia" w:ascii="黑体" w:hAnsi="黑体" w:eastAsia="黑体" w:cs="黑体"/>
          <w:color w:val="auto"/>
          <w:sz w:val="24"/>
          <w:szCs w:val="24"/>
          <w:highlight w:val="none"/>
        </w:rPr>
        <w:t>名称）：</w:t>
      </w:r>
    </w:p>
    <w:p w14:paraId="472C81C3">
      <w:pPr>
        <w:tabs>
          <w:tab w:val="left" w:pos="6300"/>
        </w:tabs>
        <w:snapToGrid w:val="0"/>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名称）郑重承诺：</w:t>
      </w:r>
    </w:p>
    <w:p w14:paraId="69FBB8D8">
      <w:pPr>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1.我方具有良好的商业信誉和健全的财务会计制度，具有履行合同所必需的设备和专业技术能力，具</w:t>
      </w:r>
      <w:r>
        <w:rPr>
          <w:rFonts w:hint="eastAsia" w:ascii="黑体" w:hAnsi="黑体" w:eastAsia="黑体" w:cs="黑体"/>
          <w:color w:val="auto"/>
          <w:sz w:val="24"/>
          <w:szCs w:val="24"/>
          <w:highlight w:val="none"/>
          <w:lang w:val="zh-CN"/>
        </w:rPr>
        <w:t>有依法缴纳税收和社会保障金的良好记录</w:t>
      </w:r>
      <w:r>
        <w:rPr>
          <w:rFonts w:hint="eastAsia" w:ascii="黑体" w:hAnsi="黑体" w:eastAsia="黑体" w:cs="黑体"/>
          <w:color w:val="auto"/>
          <w:sz w:val="24"/>
          <w:szCs w:val="24"/>
          <w:highlight w:val="none"/>
        </w:rPr>
        <w:t>，参加本项目</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活动前三年内无重大违法活动记录。</w:t>
      </w:r>
    </w:p>
    <w:p w14:paraId="0FA3D92B">
      <w:pPr>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5F51DEA">
      <w:pPr>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3.我方在</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项目评审（</w:t>
      </w:r>
      <w:r>
        <w:rPr>
          <w:rFonts w:hint="eastAsia" w:ascii="黑体" w:hAnsi="黑体" w:eastAsia="黑体" w:cs="黑体"/>
          <w:color w:val="auto"/>
          <w:sz w:val="24"/>
          <w:szCs w:val="24"/>
          <w:highlight w:val="none"/>
          <w:lang w:eastAsia="zh-CN"/>
        </w:rPr>
        <w:t>评审</w:t>
      </w:r>
      <w:r>
        <w:rPr>
          <w:rFonts w:hint="eastAsia" w:ascii="黑体" w:hAnsi="黑体" w:eastAsia="黑体" w:cs="黑体"/>
          <w:color w:val="auto"/>
          <w:sz w:val="24"/>
          <w:szCs w:val="24"/>
          <w:highlight w:val="none"/>
        </w:rPr>
        <w:t>）环节结束后，随时接受</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采购代理机构</w:t>
      </w:r>
      <w:r>
        <w:rPr>
          <w:rFonts w:hint="eastAsia" w:ascii="黑体" w:hAnsi="黑体" w:eastAsia="黑体" w:cs="黑体"/>
          <w:color w:val="auto"/>
          <w:sz w:val="24"/>
          <w:szCs w:val="24"/>
          <w:highlight w:val="none"/>
        </w:rPr>
        <w:t>的检查验证，配合提供相关证明材料，证明符合《中华人民共和国政府采购法》规定的</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基本资格条件。</w:t>
      </w:r>
    </w:p>
    <w:p w14:paraId="26E1FCB3">
      <w:pPr>
        <w:tabs>
          <w:tab w:val="left" w:pos="6300"/>
        </w:tabs>
        <w:snapToGrid w:val="0"/>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我方对以上承诺负全部法律责任。</w:t>
      </w:r>
    </w:p>
    <w:p w14:paraId="7A4E5144">
      <w:pPr>
        <w:tabs>
          <w:tab w:val="left" w:pos="6300"/>
        </w:tabs>
        <w:snapToGrid w:val="0"/>
        <w:spacing w:line="53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特此承诺。</w:t>
      </w:r>
    </w:p>
    <w:p w14:paraId="51A2CD54">
      <w:pPr>
        <w:tabs>
          <w:tab w:val="left" w:pos="6300"/>
        </w:tabs>
        <w:snapToGrid w:val="0"/>
        <w:spacing w:line="530" w:lineRule="exact"/>
        <w:rPr>
          <w:rFonts w:hint="eastAsia" w:ascii="黑体" w:hAnsi="黑体" w:eastAsia="黑体" w:cs="黑体"/>
          <w:color w:val="auto"/>
          <w:sz w:val="24"/>
          <w:szCs w:val="24"/>
          <w:highlight w:val="none"/>
        </w:rPr>
      </w:pPr>
    </w:p>
    <w:p w14:paraId="301F4D4F">
      <w:pPr>
        <w:tabs>
          <w:tab w:val="left" w:pos="6300"/>
        </w:tabs>
        <w:snapToGrid w:val="0"/>
        <w:spacing w:line="530" w:lineRule="exact"/>
        <w:ind w:right="424" w:firstLine="57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公章）</w:t>
      </w:r>
    </w:p>
    <w:p w14:paraId="08C31A42">
      <w:pPr>
        <w:tabs>
          <w:tab w:val="left" w:pos="6300"/>
        </w:tabs>
        <w:snapToGrid w:val="0"/>
        <w:spacing w:line="530" w:lineRule="exact"/>
        <w:ind w:right="480" w:firstLine="57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   月   日</w:t>
      </w:r>
    </w:p>
    <w:p w14:paraId="4BBBAD54">
      <w:pPr>
        <w:rPr>
          <w:rFonts w:hint="eastAsia" w:ascii="黑体" w:hAnsi="黑体" w:eastAsia="黑体" w:cs="黑体"/>
          <w:color w:val="auto"/>
          <w:highlight w:val="none"/>
        </w:rPr>
      </w:pPr>
    </w:p>
    <w:p w14:paraId="0419A255">
      <w:pPr>
        <w:pStyle w:val="8"/>
        <w:rPr>
          <w:rFonts w:hint="eastAsia" w:ascii="黑体" w:hAnsi="黑体" w:eastAsia="黑体" w:cs="黑体"/>
          <w:color w:val="auto"/>
          <w:highlight w:val="none"/>
        </w:rPr>
      </w:pPr>
    </w:p>
    <w:p w14:paraId="2FCDF294">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76D8CFF9">
      <w:pPr>
        <w:pageBreakBefore w:val="0"/>
        <w:tabs>
          <w:tab w:val="left" w:pos="6300"/>
        </w:tabs>
        <w:kinsoku/>
        <w:overflowPunct/>
        <w:topLinePunct w:val="0"/>
        <w:bidi w:val="0"/>
        <w:snapToGrid w:val="0"/>
        <w:spacing w:line="360" w:lineRule="auto"/>
        <w:ind w:left="251" w:firstLine="0" w:firstLineChars="0"/>
        <w:outlineLvl w:val="0"/>
        <w:rPr>
          <w:rFonts w:hint="eastAsia" w:ascii="黑体" w:hAnsi="黑体" w:eastAsia="黑体" w:cs="黑体"/>
          <w:b/>
          <w:bCs/>
          <w:color w:val="auto"/>
          <w:sz w:val="24"/>
          <w:szCs w:val="24"/>
          <w:highlight w:val="none"/>
        </w:rPr>
      </w:pPr>
      <w:bookmarkStart w:id="362" w:name="_Toc10822"/>
      <w:bookmarkStart w:id="363" w:name="_Toc15083"/>
      <w:r>
        <w:rPr>
          <w:rFonts w:hint="eastAsia" w:ascii="黑体" w:hAnsi="黑体" w:eastAsia="黑体" w:cs="黑体"/>
          <w:b/>
          <w:bCs/>
          <w:color w:val="auto"/>
          <w:sz w:val="24"/>
          <w:szCs w:val="24"/>
          <w:highlight w:val="none"/>
          <w:lang w:val="en-US" w:eastAsia="zh-CN"/>
        </w:rPr>
        <w:t>五</w:t>
      </w:r>
      <w:r>
        <w:rPr>
          <w:rFonts w:hint="eastAsia" w:ascii="黑体" w:hAnsi="黑体" w:eastAsia="黑体" w:cs="黑体"/>
          <w:b/>
          <w:bCs/>
          <w:color w:val="auto"/>
          <w:sz w:val="24"/>
          <w:szCs w:val="24"/>
          <w:highlight w:val="none"/>
        </w:rPr>
        <w:t>、其他应提供的资料</w:t>
      </w:r>
      <w:bookmarkEnd w:id="362"/>
      <w:bookmarkEnd w:id="363"/>
    </w:p>
    <w:p w14:paraId="241B53EB">
      <w:pPr>
        <w:tabs>
          <w:tab w:val="left" w:pos="6300"/>
        </w:tabs>
        <w:snapToGrid w:val="0"/>
        <w:spacing w:line="400" w:lineRule="exact"/>
        <w:ind w:firstLine="480" w:firstLineChars="200"/>
        <w:outlineLvl w:val="1"/>
        <w:rPr>
          <w:rFonts w:hint="eastAsia" w:ascii="黑体" w:hAnsi="黑体" w:eastAsia="黑体" w:cs="黑体"/>
          <w:sz w:val="24"/>
          <w:szCs w:val="24"/>
        </w:rPr>
      </w:pPr>
      <w:bookmarkStart w:id="364" w:name="_Toc23427"/>
      <w:bookmarkStart w:id="365" w:name="_Toc11568"/>
      <w:r>
        <w:rPr>
          <w:rFonts w:hint="eastAsia" w:ascii="黑体" w:hAnsi="黑体" w:eastAsia="黑体" w:cs="黑体"/>
          <w:sz w:val="24"/>
          <w:szCs w:val="24"/>
        </w:rPr>
        <w:t>（一）中小企业声明函、监狱企业证明文件、残疾人福利性单位声明函</w:t>
      </w:r>
      <w:bookmarkEnd w:id="364"/>
    </w:p>
    <w:p w14:paraId="542FC9FC">
      <w:pPr>
        <w:tabs>
          <w:tab w:val="left" w:pos="6300"/>
        </w:tabs>
        <w:snapToGrid w:val="0"/>
        <w:spacing w:line="500" w:lineRule="exact"/>
        <w:ind w:firstLine="560" w:firstLineChars="200"/>
        <w:jc w:val="center"/>
        <w:rPr>
          <w:rFonts w:hint="eastAsia" w:ascii="黑体" w:hAnsi="黑体" w:eastAsia="黑体" w:cs="黑体"/>
        </w:rPr>
      </w:pPr>
      <w:r>
        <w:rPr>
          <w:rFonts w:hint="eastAsia" w:ascii="黑体" w:hAnsi="黑体" w:eastAsia="黑体" w:cs="黑体"/>
        </w:rPr>
        <w:t>中小企业声明函</w:t>
      </w:r>
    </w:p>
    <w:p w14:paraId="229F7716">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本公司（联合体）郑重声明，根据《政府采购促进中小企业发展管理办法》（</w:t>
      </w:r>
      <w:r>
        <w:rPr>
          <w:rFonts w:hint="eastAsia" w:ascii="黑体" w:hAnsi="黑体" w:eastAsia="黑体" w:cs="黑体"/>
          <w:sz w:val="24"/>
          <w:szCs w:val="24"/>
        </w:rPr>
        <w:t>财库〔2020〕46号</w:t>
      </w:r>
      <w:r>
        <w:rPr>
          <w:rFonts w:hint="eastAsia" w:ascii="黑体" w:hAnsi="黑体" w:eastAsia="黑体" w:cs="黑体"/>
          <w:sz w:val="24"/>
          <w:szCs w:val="28"/>
        </w:rPr>
        <w:t>）的规定，本公司（联合体）参加</w:t>
      </w:r>
      <w:r>
        <w:rPr>
          <w:rFonts w:hint="eastAsia" w:ascii="黑体" w:hAnsi="黑体" w:eastAsia="黑体" w:cs="黑体"/>
          <w:i/>
          <w:sz w:val="24"/>
          <w:szCs w:val="28"/>
          <w:u w:val="single"/>
        </w:rPr>
        <w:t>（单位名称）</w:t>
      </w:r>
      <w:r>
        <w:rPr>
          <w:rFonts w:hint="eastAsia" w:ascii="黑体" w:hAnsi="黑体" w:eastAsia="黑体" w:cs="黑体"/>
          <w:sz w:val="24"/>
          <w:szCs w:val="28"/>
        </w:rPr>
        <w:t>的</w:t>
      </w:r>
      <w:r>
        <w:rPr>
          <w:rFonts w:hint="eastAsia" w:ascii="黑体" w:hAnsi="黑体" w:eastAsia="黑体" w:cs="黑体"/>
          <w:i/>
          <w:sz w:val="24"/>
          <w:szCs w:val="28"/>
          <w:u w:val="single"/>
        </w:rPr>
        <w:t>（项目名称）</w:t>
      </w:r>
      <w:r>
        <w:rPr>
          <w:rFonts w:hint="eastAsia" w:ascii="黑体" w:hAnsi="黑体" w:eastAsia="黑体" w:cs="黑体"/>
          <w:sz w:val="24"/>
          <w:szCs w:val="28"/>
        </w:rPr>
        <w:t>采购活动，服务全部由符合政策要求的中小企业承接。相关企业（含联合体中的中小企业、签订分包意向协议的中小企业）的具体情况如下：</w:t>
      </w:r>
    </w:p>
    <w:p w14:paraId="4BDC9A1E">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1.</w:t>
      </w:r>
      <w:r>
        <w:rPr>
          <w:rFonts w:hint="eastAsia" w:ascii="黑体" w:hAnsi="黑体" w:eastAsia="黑体" w:cs="黑体"/>
          <w:i/>
          <w:sz w:val="24"/>
          <w:szCs w:val="28"/>
          <w:u w:val="single"/>
        </w:rPr>
        <w:t>（标的名称）</w:t>
      </w:r>
      <w:r>
        <w:rPr>
          <w:rFonts w:hint="eastAsia" w:ascii="黑体" w:hAnsi="黑体" w:eastAsia="黑体" w:cs="黑体"/>
          <w:sz w:val="24"/>
          <w:szCs w:val="28"/>
        </w:rPr>
        <w:t>，属于</w:t>
      </w:r>
      <w:r>
        <w:rPr>
          <w:rFonts w:hint="eastAsia" w:ascii="黑体" w:hAnsi="黑体" w:eastAsia="黑体" w:cs="黑体"/>
          <w:i/>
          <w:sz w:val="24"/>
          <w:szCs w:val="28"/>
          <w:u w:val="single"/>
        </w:rPr>
        <w:t>（采购文件中明确的所属行业）</w:t>
      </w:r>
      <w:r>
        <w:rPr>
          <w:rFonts w:hint="eastAsia" w:ascii="黑体" w:hAnsi="黑体" w:eastAsia="黑体" w:cs="黑体"/>
          <w:sz w:val="24"/>
          <w:szCs w:val="28"/>
        </w:rPr>
        <w:t>；承接企业为</w:t>
      </w:r>
      <w:r>
        <w:rPr>
          <w:rFonts w:hint="eastAsia" w:ascii="黑体" w:hAnsi="黑体" w:eastAsia="黑体" w:cs="黑体"/>
          <w:i/>
          <w:sz w:val="24"/>
          <w:szCs w:val="28"/>
          <w:u w:val="single"/>
        </w:rPr>
        <w:t>（企业名称）</w:t>
      </w:r>
      <w:r>
        <w:rPr>
          <w:rFonts w:hint="eastAsia" w:ascii="黑体" w:hAnsi="黑体" w:eastAsia="黑体" w:cs="黑体"/>
          <w:sz w:val="24"/>
          <w:szCs w:val="28"/>
        </w:rPr>
        <w:t>，从业人员</w:t>
      </w:r>
      <w:r>
        <w:rPr>
          <w:rFonts w:hint="eastAsia" w:ascii="黑体" w:hAnsi="黑体" w:eastAsia="黑体" w:cs="黑体"/>
          <w:sz w:val="24"/>
          <w:szCs w:val="28"/>
          <w:u w:val="single"/>
        </w:rPr>
        <w:t xml:space="preserve">      </w:t>
      </w:r>
      <w:r>
        <w:rPr>
          <w:rFonts w:hint="eastAsia" w:ascii="黑体" w:hAnsi="黑体" w:eastAsia="黑体" w:cs="黑体"/>
          <w:sz w:val="24"/>
          <w:szCs w:val="28"/>
        </w:rPr>
        <w:t>人，营业收入为</w:t>
      </w:r>
      <w:r>
        <w:rPr>
          <w:rFonts w:hint="eastAsia" w:ascii="黑体" w:hAnsi="黑体" w:eastAsia="黑体" w:cs="黑体"/>
          <w:sz w:val="24"/>
          <w:szCs w:val="28"/>
          <w:u w:val="single"/>
        </w:rPr>
        <w:t xml:space="preserve">    </w:t>
      </w:r>
      <w:r>
        <w:rPr>
          <w:rFonts w:hint="eastAsia" w:ascii="黑体" w:hAnsi="黑体" w:eastAsia="黑体" w:cs="黑体"/>
          <w:sz w:val="24"/>
          <w:szCs w:val="28"/>
        </w:rPr>
        <w:t>万元，资产总额为</w:t>
      </w:r>
      <w:r>
        <w:rPr>
          <w:rFonts w:hint="eastAsia" w:ascii="黑体" w:hAnsi="黑体" w:eastAsia="黑体" w:cs="黑体"/>
          <w:sz w:val="24"/>
          <w:szCs w:val="28"/>
          <w:u w:val="single"/>
        </w:rPr>
        <w:t xml:space="preserve">    </w:t>
      </w:r>
      <w:r>
        <w:rPr>
          <w:rFonts w:hint="eastAsia" w:ascii="黑体" w:hAnsi="黑体" w:eastAsia="黑体" w:cs="黑体"/>
          <w:sz w:val="24"/>
          <w:szCs w:val="28"/>
        </w:rPr>
        <w:t>万元，属于</w:t>
      </w:r>
      <w:r>
        <w:rPr>
          <w:rFonts w:hint="eastAsia" w:ascii="黑体" w:hAnsi="黑体" w:eastAsia="黑体" w:cs="黑体"/>
          <w:i/>
          <w:sz w:val="24"/>
          <w:szCs w:val="28"/>
          <w:u w:val="single"/>
        </w:rPr>
        <w:t>（中型企业、小型企业、微型企业）</w:t>
      </w:r>
      <w:r>
        <w:rPr>
          <w:rFonts w:hint="eastAsia" w:ascii="黑体" w:hAnsi="黑体" w:eastAsia="黑体" w:cs="黑体"/>
          <w:sz w:val="24"/>
          <w:szCs w:val="28"/>
        </w:rPr>
        <w:t>；</w:t>
      </w:r>
    </w:p>
    <w:p w14:paraId="74325BE8">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为本标的提供的服务人员</w:t>
      </w:r>
      <w:r>
        <w:rPr>
          <w:rFonts w:hint="eastAsia" w:ascii="黑体" w:hAnsi="黑体" w:eastAsia="黑体" w:cs="黑体"/>
          <w:sz w:val="24"/>
          <w:szCs w:val="28"/>
          <w:u w:val="single"/>
        </w:rPr>
        <w:t xml:space="preserve">   </w:t>
      </w:r>
      <w:r>
        <w:rPr>
          <w:rFonts w:hint="eastAsia" w:ascii="黑体" w:hAnsi="黑体" w:eastAsia="黑体" w:cs="黑体"/>
          <w:sz w:val="24"/>
          <w:szCs w:val="28"/>
        </w:rPr>
        <w:t>人，其中与本企业签订劳动合同</w:t>
      </w:r>
      <w:r>
        <w:rPr>
          <w:rFonts w:hint="eastAsia" w:ascii="黑体" w:hAnsi="黑体" w:eastAsia="黑体" w:cs="黑体"/>
          <w:sz w:val="24"/>
          <w:szCs w:val="28"/>
          <w:u w:val="single"/>
        </w:rPr>
        <w:t xml:space="preserve">   </w:t>
      </w:r>
      <w:r>
        <w:rPr>
          <w:rFonts w:hint="eastAsia" w:ascii="黑体" w:hAnsi="黑体" w:eastAsia="黑体" w:cs="黑体"/>
          <w:sz w:val="24"/>
          <w:szCs w:val="28"/>
        </w:rPr>
        <w:t>人，其他人员</w:t>
      </w:r>
      <w:r>
        <w:rPr>
          <w:rFonts w:hint="eastAsia" w:ascii="黑体" w:hAnsi="黑体" w:eastAsia="黑体" w:cs="黑体"/>
          <w:sz w:val="24"/>
          <w:szCs w:val="28"/>
          <w:u w:val="single"/>
        </w:rPr>
        <w:t xml:space="preserve">   </w:t>
      </w:r>
      <w:r>
        <w:rPr>
          <w:rFonts w:hint="eastAsia" w:ascii="黑体" w:hAnsi="黑体" w:eastAsia="黑体" w:cs="黑体"/>
          <w:sz w:val="24"/>
          <w:szCs w:val="28"/>
        </w:rPr>
        <w:t>人。有其他人员的不符合中小企业扶持政策（适用于服务采购项目）;</w:t>
      </w:r>
    </w:p>
    <w:p w14:paraId="0D46452C">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2.</w:t>
      </w:r>
      <w:r>
        <w:rPr>
          <w:rFonts w:hint="eastAsia" w:ascii="黑体" w:hAnsi="黑体" w:eastAsia="黑体" w:cs="黑体"/>
          <w:i/>
          <w:sz w:val="24"/>
          <w:szCs w:val="28"/>
          <w:u w:val="single"/>
        </w:rPr>
        <w:t xml:space="preserve"> （标的名称）</w:t>
      </w:r>
      <w:r>
        <w:rPr>
          <w:rFonts w:hint="eastAsia" w:ascii="黑体" w:hAnsi="黑体" w:eastAsia="黑体" w:cs="黑体"/>
          <w:sz w:val="24"/>
          <w:szCs w:val="28"/>
        </w:rPr>
        <w:t>，属于</w:t>
      </w:r>
      <w:r>
        <w:rPr>
          <w:rFonts w:hint="eastAsia" w:ascii="黑体" w:hAnsi="黑体" w:eastAsia="黑体" w:cs="黑体"/>
          <w:i/>
          <w:sz w:val="24"/>
          <w:szCs w:val="28"/>
          <w:u w:val="single"/>
        </w:rPr>
        <w:t>（采购文件中明确的所属行业）</w:t>
      </w:r>
      <w:r>
        <w:rPr>
          <w:rFonts w:hint="eastAsia" w:ascii="黑体" w:hAnsi="黑体" w:eastAsia="黑体" w:cs="黑体"/>
          <w:sz w:val="24"/>
          <w:szCs w:val="28"/>
        </w:rPr>
        <w:t>；承接企业为</w:t>
      </w:r>
      <w:r>
        <w:rPr>
          <w:rFonts w:hint="eastAsia" w:ascii="黑体" w:hAnsi="黑体" w:eastAsia="黑体" w:cs="黑体"/>
          <w:i/>
          <w:sz w:val="24"/>
          <w:szCs w:val="28"/>
          <w:u w:val="single"/>
        </w:rPr>
        <w:t>（企业名称）</w:t>
      </w:r>
      <w:r>
        <w:rPr>
          <w:rFonts w:hint="eastAsia" w:ascii="黑体" w:hAnsi="黑体" w:eastAsia="黑体" w:cs="黑体"/>
          <w:sz w:val="24"/>
          <w:szCs w:val="28"/>
        </w:rPr>
        <w:t>，从业人员</w:t>
      </w:r>
      <w:r>
        <w:rPr>
          <w:rFonts w:hint="eastAsia" w:ascii="黑体" w:hAnsi="黑体" w:eastAsia="黑体" w:cs="黑体"/>
          <w:sz w:val="24"/>
          <w:szCs w:val="28"/>
          <w:u w:val="single"/>
        </w:rPr>
        <w:t xml:space="preserve">      </w:t>
      </w:r>
      <w:r>
        <w:rPr>
          <w:rFonts w:hint="eastAsia" w:ascii="黑体" w:hAnsi="黑体" w:eastAsia="黑体" w:cs="黑体"/>
          <w:sz w:val="24"/>
          <w:szCs w:val="28"/>
        </w:rPr>
        <w:t>人，营业收入为</w:t>
      </w:r>
      <w:r>
        <w:rPr>
          <w:rFonts w:hint="eastAsia" w:ascii="黑体" w:hAnsi="黑体" w:eastAsia="黑体" w:cs="黑体"/>
          <w:sz w:val="24"/>
          <w:szCs w:val="28"/>
          <w:u w:val="single"/>
        </w:rPr>
        <w:t xml:space="preserve">    </w:t>
      </w:r>
      <w:r>
        <w:rPr>
          <w:rFonts w:hint="eastAsia" w:ascii="黑体" w:hAnsi="黑体" w:eastAsia="黑体" w:cs="黑体"/>
          <w:sz w:val="24"/>
          <w:szCs w:val="28"/>
        </w:rPr>
        <w:t>万元，资产总额为</w:t>
      </w:r>
      <w:r>
        <w:rPr>
          <w:rFonts w:hint="eastAsia" w:ascii="黑体" w:hAnsi="黑体" w:eastAsia="黑体" w:cs="黑体"/>
          <w:sz w:val="24"/>
          <w:szCs w:val="28"/>
          <w:u w:val="single"/>
        </w:rPr>
        <w:t xml:space="preserve">    </w:t>
      </w:r>
      <w:r>
        <w:rPr>
          <w:rFonts w:hint="eastAsia" w:ascii="黑体" w:hAnsi="黑体" w:eastAsia="黑体" w:cs="黑体"/>
          <w:sz w:val="24"/>
          <w:szCs w:val="28"/>
        </w:rPr>
        <w:t>万元，属于</w:t>
      </w:r>
      <w:r>
        <w:rPr>
          <w:rFonts w:hint="eastAsia" w:ascii="黑体" w:hAnsi="黑体" w:eastAsia="黑体" w:cs="黑体"/>
          <w:i/>
          <w:sz w:val="24"/>
          <w:szCs w:val="28"/>
          <w:u w:val="single"/>
        </w:rPr>
        <w:t>（中型企业、小型企业、微型企业）</w:t>
      </w:r>
      <w:r>
        <w:rPr>
          <w:rFonts w:hint="eastAsia" w:ascii="黑体" w:hAnsi="黑体" w:eastAsia="黑体" w:cs="黑体"/>
          <w:sz w:val="24"/>
          <w:szCs w:val="28"/>
        </w:rPr>
        <w:t>；</w:t>
      </w:r>
    </w:p>
    <w:p w14:paraId="6779257B">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为本标的提供的服务人员</w:t>
      </w:r>
      <w:r>
        <w:rPr>
          <w:rFonts w:hint="eastAsia" w:ascii="黑体" w:hAnsi="黑体" w:eastAsia="黑体" w:cs="黑体"/>
          <w:sz w:val="24"/>
          <w:szCs w:val="28"/>
          <w:u w:val="single"/>
        </w:rPr>
        <w:t xml:space="preserve">   </w:t>
      </w:r>
      <w:r>
        <w:rPr>
          <w:rFonts w:hint="eastAsia" w:ascii="黑体" w:hAnsi="黑体" w:eastAsia="黑体" w:cs="黑体"/>
          <w:sz w:val="24"/>
          <w:szCs w:val="28"/>
        </w:rPr>
        <w:t>人，其中与本企业签订劳动合同</w:t>
      </w:r>
      <w:r>
        <w:rPr>
          <w:rFonts w:hint="eastAsia" w:ascii="黑体" w:hAnsi="黑体" w:eastAsia="黑体" w:cs="黑体"/>
          <w:sz w:val="24"/>
          <w:szCs w:val="28"/>
          <w:u w:val="single"/>
        </w:rPr>
        <w:t xml:space="preserve">   </w:t>
      </w:r>
      <w:r>
        <w:rPr>
          <w:rFonts w:hint="eastAsia" w:ascii="黑体" w:hAnsi="黑体" w:eastAsia="黑体" w:cs="黑体"/>
          <w:sz w:val="24"/>
          <w:szCs w:val="28"/>
        </w:rPr>
        <w:t>人，其他人员</w:t>
      </w:r>
      <w:r>
        <w:rPr>
          <w:rFonts w:hint="eastAsia" w:ascii="黑体" w:hAnsi="黑体" w:eastAsia="黑体" w:cs="黑体"/>
          <w:sz w:val="24"/>
          <w:szCs w:val="28"/>
          <w:u w:val="single"/>
        </w:rPr>
        <w:t xml:space="preserve">   </w:t>
      </w:r>
      <w:r>
        <w:rPr>
          <w:rFonts w:hint="eastAsia" w:ascii="黑体" w:hAnsi="黑体" w:eastAsia="黑体" w:cs="黑体"/>
          <w:sz w:val="24"/>
          <w:szCs w:val="28"/>
        </w:rPr>
        <w:t>人。有其他人员的不符合中小企业扶持政策（适用于服务采购项目）;</w:t>
      </w:r>
    </w:p>
    <w:p w14:paraId="2F6BB29B">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w:t>
      </w:r>
    </w:p>
    <w:p w14:paraId="2F144BD6">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以上企业，不属于大企业的分支机构，不存在控股股东为大企业的情形，也不存在与大企业的负责人为同一人的情形。</w:t>
      </w:r>
    </w:p>
    <w:p w14:paraId="2D3FD8F0">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本企业对上述声明内容的真实性负责。如有虚假，将依法承担相应责任。</w:t>
      </w:r>
    </w:p>
    <w:p w14:paraId="477F6AB0">
      <w:pPr>
        <w:tabs>
          <w:tab w:val="left" w:pos="6300"/>
        </w:tabs>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 xml:space="preserve">                                                    </w:t>
      </w:r>
    </w:p>
    <w:p w14:paraId="2E165E0F">
      <w:pPr>
        <w:tabs>
          <w:tab w:val="left" w:pos="6300"/>
        </w:tabs>
        <w:snapToGrid w:val="0"/>
        <w:spacing w:line="500" w:lineRule="exact"/>
        <w:ind w:firstLine="6120" w:firstLineChars="2550"/>
        <w:rPr>
          <w:rFonts w:hint="eastAsia" w:ascii="黑体" w:hAnsi="黑体" w:eastAsia="黑体" w:cs="黑体"/>
          <w:sz w:val="24"/>
          <w:szCs w:val="28"/>
        </w:rPr>
      </w:pPr>
      <w:r>
        <w:rPr>
          <w:rFonts w:hint="eastAsia" w:ascii="黑体" w:hAnsi="黑体" w:eastAsia="黑体" w:cs="黑体"/>
          <w:sz w:val="24"/>
          <w:szCs w:val="28"/>
        </w:rPr>
        <w:t xml:space="preserve">企业名称（盖章）： </w:t>
      </w:r>
    </w:p>
    <w:p w14:paraId="174E6736">
      <w:pPr>
        <w:tabs>
          <w:tab w:val="left" w:pos="6300"/>
        </w:tabs>
        <w:snapToGrid w:val="0"/>
        <w:spacing w:line="500" w:lineRule="exact"/>
        <w:ind w:right="784" w:firstLine="6120" w:firstLineChars="2550"/>
        <w:rPr>
          <w:rFonts w:hint="eastAsia" w:ascii="黑体" w:hAnsi="黑体" w:eastAsia="黑体" w:cs="黑体"/>
          <w:sz w:val="24"/>
        </w:rPr>
      </w:pPr>
      <w:r>
        <w:rPr>
          <w:rFonts w:hint="eastAsia" w:ascii="黑体" w:hAnsi="黑体" w:eastAsia="黑体" w:cs="黑体"/>
          <w:sz w:val="24"/>
          <w:szCs w:val="28"/>
        </w:rPr>
        <w:t>日期：</w:t>
      </w:r>
    </w:p>
    <w:p w14:paraId="2BBDA193">
      <w:pPr>
        <w:tabs>
          <w:tab w:val="left" w:pos="6300"/>
        </w:tabs>
        <w:snapToGrid w:val="0"/>
        <w:rPr>
          <w:rFonts w:hint="eastAsia" w:ascii="黑体" w:hAnsi="黑体" w:eastAsia="黑体" w:cs="黑体"/>
          <w:kern w:val="0"/>
          <w:sz w:val="21"/>
          <w:szCs w:val="21"/>
        </w:rPr>
      </w:pPr>
      <w:r>
        <w:rPr>
          <w:rFonts w:hint="eastAsia" w:ascii="黑体" w:hAnsi="黑体" w:eastAsia="黑体" w:cs="黑体"/>
          <w:kern w:val="0"/>
          <w:sz w:val="21"/>
          <w:szCs w:val="21"/>
        </w:rPr>
        <w:t>填写时应注意以下事项：</w:t>
      </w:r>
    </w:p>
    <w:p w14:paraId="11CDFD95">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1.从业人员、营业收入、资产总额填报上一年度数据，无上一年度数据的新成立企业可不填报。</w:t>
      </w:r>
    </w:p>
    <w:p w14:paraId="314900A4">
      <w:pPr>
        <w:tabs>
          <w:tab w:val="left" w:pos="6300"/>
        </w:tabs>
        <w:snapToGrid w:val="0"/>
        <w:ind w:firstLine="422" w:firstLineChars="200"/>
        <w:rPr>
          <w:rFonts w:hint="eastAsia" w:ascii="黑体" w:hAnsi="黑体" w:eastAsia="黑体" w:cs="黑体"/>
          <w:b/>
          <w:kern w:val="0"/>
          <w:sz w:val="21"/>
          <w:szCs w:val="21"/>
        </w:rPr>
      </w:pPr>
      <w:r>
        <w:rPr>
          <w:rFonts w:hint="eastAsia" w:ascii="黑体" w:hAnsi="黑体" w:eastAsia="黑体" w:cs="黑体"/>
          <w:b/>
          <w:kern w:val="0"/>
          <w:sz w:val="21"/>
          <w:szCs w:val="21"/>
        </w:rPr>
        <w:t>2.中小企业应当按照《中小企业划型标准规定》（工信部联企业〔2011〕300号），如实填写并提交《中小企业声明函》。</w:t>
      </w:r>
    </w:p>
    <w:p w14:paraId="33EF1518">
      <w:pPr>
        <w:tabs>
          <w:tab w:val="left" w:pos="6300"/>
        </w:tabs>
        <w:snapToGrid w:val="0"/>
        <w:ind w:firstLine="422" w:firstLineChars="200"/>
        <w:rPr>
          <w:rFonts w:hint="eastAsia" w:ascii="黑体" w:hAnsi="黑体" w:eastAsia="黑体" w:cs="黑体"/>
          <w:b/>
          <w:kern w:val="0"/>
          <w:sz w:val="21"/>
          <w:szCs w:val="21"/>
        </w:rPr>
      </w:pPr>
      <w:r>
        <w:rPr>
          <w:rFonts w:hint="eastAsia" w:ascii="黑体" w:hAnsi="黑体" w:eastAsia="黑体" w:cs="黑体"/>
          <w:b/>
          <w:kern w:val="0"/>
          <w:sz w:val="21"/>
          <w:szCs w:val="21"/>
        </w:rPr>
        <w:t>3.供应商填写《中小企业声明函》中所属行业时，应与采购文件第一篇“采购标的对应的中小企业划分标准所属行业”中填写的所属行业一致。</w:t>
      </w:r>
    </w:p>
    <w:p w14:paraId="193F289B">
      <w:pPr>
        <w:tabs>
          <w:tab w:val="left" w:pos="6300"/>
        </w:tabs>
        <w:snapToGrid w:val="0"/>
        <w:ind w:firstLine="422" w:firstLineChars="200"/>
        <w:rPr>
          <w:rFonts w:hint="eastAsia" w:ascii="黑体" w:hAnsi="黑体" w:eastAsia="黑体" w:cs="黑体"/>
          <w:b/>
          <w:kern w:val="0"/>
          <w:sz w:val="21"/>
          <w:szCs w:val="21"/>
        </w:rPr>
      </w:pPr>
      <w:r>
        <w:rPr>
          <w:rFonts w:hint="eastAsia" w:ascii="黑体" w:hAnsi="黑体" w:eastAsia="黑体" w:cs="黑体"/>
          <w:b/>
          <w:kern w:val="0"/>
          <w:sz w:val="21"/>
          <w:szCs w:val="21"/>
        </w:rPr>
        <w:t>4.本声明函“企业名称（盖章）”处为供应商盖章。</w:t>
      </w:r>
    </w:p>
    <w:p w14:paraId="6C66B197">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注：各行业划型标准：</w:t>
      </w:r>
    </w:p>
    <w:p w14:paraId="4ADAE728">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A1962F9">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76AA06">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4F9D57">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92FC6E">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CD553F">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94F69D">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E470B9">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9E7DEC">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ED6ABB">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C0B623">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096AB8">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BFA3D2">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F1A0B2">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E4BD80">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8C8C31">
      <w:pPr>
        <w:tabs>
          <w:tab w:val="left" w:pos="6300"/>
        </w:tabs>
        <w:snapToGrid w:val="0"/>
        <w:ind w:firstLine="420" w:firstLineChars="200"/>
        <w:rPr>
          <w:rFonts w:hint="eastAsia" w:ascii="黑体" w:hAnsi="黑体" w:eastAsia="黑体" w:cs="黑体"/>
          <w:kern w:val="0"/>
          <w:sz w:val="21"/>
          <w:szCs w:val="21"/>
        </w:rPr>
      </w:pPr>
      <w:r>
        <w:rPr>
          <w:rFonts w:hint="eastAsia" w:ascii="黑体" w:hAnsi="黑体" w:eastAsia="黑体" w:cs="黑体"/>
          <w:kern w:val="0"/>
          <w:sz w:val="21"/>
          <w:szCs w:val="21"/>
        </w:rPr>
        <w:t>（十六）其他未列明行业。从业人员300人以下的为中小微型企业。其中，从业人员100人及以上的为中型企业；从业人员10人及以上的为小型企业；从业人员10人以下的为微型企业。</w:t>
      </w:r>
    </w:p>
    <w:p w14:paraId="0E637A25">
      <w:pPr>
        <w:tabs>
          <w:tab w:val="left" w:pos="6300"/>
        </w:tabs>
        <w:snapToGrid w:val="0"/>
        <w:spacing w:line="500" w:lineRule="exact"/>
        <w:ind w:firstLine="480" w:firstLineChars="200"/>
        <w:jc w:val="center"/>
        <w:rPr>
          <w:rFonts w:hint="eastAsia" w:ascii="黑体" w:hAnsi="黑体" w:eastAsia="黑体" w:cs="黑体"/>
        </w:rPr>
      </w:pPr>
      <w:r>
        <w:rPr>
          <w:rFonts w:hint="eastAsia" w:ascii="黑体" w:hAnsi="黑体" w:eastAsia="黑体" w:cs="黑体"/>
          <w:sz w:val="24"/>
          <w:szCs w:val="24"/>
        </w:rPr>
        <w:br w:type="page"/>
      </w:r>
      <w:r>
        <w:rPr>
          <w:rFonts w:hint="eastAsia" w:ascii="黑体" w:hAnsi="黑体" w:eastAsia="黑体" w:cs="黑体"/>
        </w:rPr>
        <w:t>监狱企业证明文件</w:t>
      </w:r>
    </w:p>
    <w:p w14:paraId="1DD6A066">
      <w:pPr>
        <w:tabs>
          <w:tab w:val="left" w:pos="6300"/>
        </w:tabs>
        <w:snapToGrid w:val="0"/>
        <w:spacing w:line="400" w:lineRule="exact"/>
        <w:ind w:firstLine="480" w:firstLineChars="200"/>
        <w:rPr>
          <w:rFonts w:hint="eastAsia" w:ascii="黑体" w:hAnsi="黑体" w:eastAsia="黑体" w:cs="黑体"/>
          <w:sz w:val="24"/>
        </w:rPr>
      </w:pPr>
      <w:r>
        <w:rPr>
          <w:rFonts w:hint="eastAsia" w:ascii="黑体" w:hAnsi="黑体" w:eastAsia="黑体" w:cs="黑体"/>
          <w:sz w:val="24"/>
        </w:rPr>
        <w:t>以省级以上监狱管理局、戒毒管理局（含新疆生产建设兵团）出具的属于监狱企业的证明文件为准。</w:t>
      </w:r>
    </w:p>
    <w:p w14:paraId="0DE3A040">
      <w:pPr>
        <w:tabs>
          <w:tab w:val="left" w:pos="6300"/>
        </w:tabs>
        <w:snapToGrid w:val="0"/>
        <w:spacing w:line="500" w:lineRule="exact"/>
        <w:ind w:firstLine="480" w:firstLineChars="200"/>
        <w:jc w:val="center"/>
        <w:rPr>
          <w:rFonts w:hint="eastAsia" w:ascii="黑体" w:hAnsi="黑体" w:eastAsia="黑体" w:cs="黑体"/>
        </w:rPr>
      </w:pPr>
      <w:r>
        <w:rPr>
          <w:rFonts w:hint="eastAsia" w:ascii="黑体" w:hAnsi="黑体" w:eastAsia="黑体" w:cs="黑体"/>
          <w:sz w:val="24"/>
        </w:rPr>
        <w:br w:type="page"/>
      </w:r>
      <w:r>
        <w:rPr>
          <w:rFonts w:hint="eastAsia" w:ascii="黑体" w:hAnsi="黑体" w:eastAsia="黑体" w:cs="黑体"/>
        </w:rPr>
        <w:t>残疾人福利性单位声明函</w:t>
      </w:r>
    </w:p>
    <w:p w14:paraId="28AE161A">
      <w:pPr>
        <w:tabs>
          <w:tab w:val="left" w:pos="6300"/>
        </w:tabs>
        <w:snapToGrid w:val="0"/>
        <w:spacing w:line="500" w:lineRule="exact"/>
        <w:ind w:firstLine="480" w:firstLineChars="200"/>
        <w:rPr>
          <w:rFonts w:hint="eastAsia" w:ascii="黑体" w:hAnsi="黑体" w:eastAsia="黑体" w:cs="黑体"/>
          <w:sz w:val="24"/>
        </w:rPr>
      </w:pPr>
      <w:r>
        <w:rPr>
          <w:rFonts w:hint="eastAsia" w:ascii="黑体" w:hAnsi="黑体" w:eastAsia="黑体" w:cs="黑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F7037C">
      <w:pPr>
        <w:tabs>
          <w:tab w:val="left" w:pos="6300"/>
        </w:tabs>
        <w:snapToGrid w:val="0"/>
        <w:spacing w:line="500" w:lineRule="exact"/>
        <w:ind w:firstLine="480" w:firstLineChars="200"/>
        <w:rPr>
          <w:rFonts w:hint="eastAsia" w:ascii="黑体" w:hAnsi="黑体" w:eastAsia="黑体" w:cs="黑体"/>
          <w:sz w:val="24"/>
        </w:rPr>
      </w:pPr>
      <w:r>
        <w:rPr>
          <w:rFonts w:hint="eastAsia" w:ascii="黑体" w:hAnsi="黑体" w:eastAsia="黑体" w:cs="黑体"/>
          <w:sz w:val="24"/>
        </w:rPr>
        <w:t>本单位对上述声明的真实性负责。如有虚假，将依法承担相应责任。</w:t>
      </w:r>
    </w:p>
    <w:p w14:paraId="273E8427">
      <w:pPr>
        <w:tabs>
          <w:tab w:val="left" w:pos="6300"/>
        </w:tabs>
        <w:snapToGrid w:val="0"/>
        <w:spacing w:line="500" w:lineRule="exact"/>
        <w:ind w:firstLine="480" w:firstLineChars="200"/>
        <w:rPr>
          <w:rFonts w:hint="eastAsia" w:ascii="黑体" w:hAnsi="黑体" w:eastAsia="黑体" w:cs="黑体"/>
          <w:sz w:val="24"/>
        </w:rPr>
      </w:pPr>
    </w:p>
    <w:p w14:paraId="5DA7DCDD">
      <w:pPr>
        <w:tabs>
          <w:tab w:val="left" w:pos="6300"/>
        </w:tabs>
        <w:snapToGrid w:val="0"/>
        <w:spacing w:line="500" w:lineRule="exact"/>
        <w:ind w:firstLine="480" w:firstLineChars="200"/>
        <w:rPr>
          <w:rFonts w:hint="eastAsia" w:ascii="黑体" w:hAnsi="黑体" w:eastAsia="黑体" w:cs="黑体"/>
          <w:sz w:val="24"/>
        </w:rPr>
      </w:pPr>
    </w:p>
    <w:p w14:paraId="5D53A87F">
      <w:pPr>
        <w:tabs>
          <w:tab w:val="left" w:pos="6300"/>
        </w:tabs>
        <w:snapToGrid w:val="0"/>
        <w:spacing w:line="500" w:lineRule="exact"/>
        <w:ind w:firstLine="480" w:firstLineChars="200"/>
        <w:rPr>
          <w:rFonts w:hint="eastAsia" w:ascii="黑体" w:hAnsi="黑体" w:eastAsia="黑体" w:cs="黑体"/>
          <w:sz w:val="24"/>
        </w:rPr>
      </w:pPr>
      <w:r>
        <w:rPr>
          <w:rFonts w:hint="eastAsia" w:ascii="黑体" w:hAnsi="黑体" w:eastAsia="黑体" w:cs="黑体"/>
          <w:sz w:val="24"/>
        </w:rPr>
        <w:t xml:space="preserve">                                                 供应商名称（盖章）：</w:t>
      </w:r>
    </w:p>
    <w:p w14:paraId="7D40E89C">
      <w:pPr>
        <w:snapToGrid w:val="0"/>
        <w:spacing w:line="440" w:lineRule="exact"/>
        <w:ind w:firstLine="480" w:firstLineChars="200"/>
        <w:rPr>
          <w:rFonts w:hint="eastAsia" w:ascii="黑体" w:hAnsi="黑体" w:eastAsia="黑体" w:cs="黑体"/>
          <w:sz w:val="24"/>
        </w:rPr>
      </w:pPr>
      <w:r>
        <w:rPr>
          <w:rFonts w:hint="eastAsia" w:ascii="黑体" w:hAnsi="黑体" w:eastAsia="黑体" w:cs="黑体"/>
          <w:sz w:val="24"/>
        </w:rPr>
        <w:t xml:space="preserve">                                                  日  期：</w:t>
      </w:r>
    </w:p>
    <w:p w14:paraId="11DB27FC">
      <w:pPr>
        <w:snapToGrid w:val="0"/>
        <w:spacing w:line="440" w:lineRule="exact"/>
        <w:ind w:firstLine="480" w:firstLineChars="200"/>
        <w:rPr>
          <w:rFonts w:hint="eastAsia" w:ascii="黑体" w:hAnsi="黑体" w:eastAsia="黑体" w:cs="黑体"/>
          <w:sz w:val="24"/>
        </w:rPr>
      </w:pPr>
    </w:p>
    <w:p w14:paraId="43B679AD">
      <w:pPr>
        <w:snapToGrid w:val="0"/>
        <w:spacing w:line="440" w:lineRule="exact"/>
        <w:ind w:firstLine="480" w:firstLineChars="200"/>
        <w:rPr>
          <w:rFonts w:hint="eastAsia" w:ascii="黑体" w:hAnsi="黑体" w:eastAsia="黑体" w:cs="黑体"/>
          <w:sz w:val="24"/>
        </w:rPr>
      </w:pPr>
    </w:p>
    <w:p w14:paraId="00E7D8DE">
      <w:pPr>
        <w:snapToGrid w:val="0"/>
        <w:spacing w:line="440" w:lineRule="exact"/>
        <w:ind w:firstLine="480" w:firstLineChars="200"/>
        <w:rPr>
          <w:rFonts w:hint="eastAsia" w:ascii="黑体" w:hAnsi="黑体" w:eastAsia="黑体" w:cs="黑体"/>
          <w:sz w:val="24"/>
        </w:rPr>
      </w:pPr>
    </w:p>
    <w:p w14:paraId="17200393">
      <w:pPr>
        <w:snapToGrid w:val="0"/>
        <w:spacing w:line="440" w:lineRule="exact"/>
        <w:ind w:firstLine="480" w:firstLineChars="200"/>
        <w:rPr>
          <w:rFonts w:hint="eastAsia" w:ascii="黑体" w:hAnsi="黑体" w:eastAsia="黑体" w:cs="黑体"/>
          <w:sz w:val="24"/>
        </w:rPr>
      </w:pPr>
    </w:p>
    <w:p w14:paraId="5313D414">
      <w:pPr>
        <w:snapToGrid w:val="0"/>
        <w:spacing w:line="440" w:lineRule="exact"/>
        <w:ind w:firstLine="480" w:firstLineChars="200"/>
        <w:rPr>
          <w:rFonts w:hint="eastAsia" w:ascii="黑体" w:hAnsi="黑体" w:eastAsia="黑体" w:cs="黑体"/>
          <w:sz w:val="24"/>
        </w:rPr>
      </w:pPr>
    </w:p>
    <w:p w14:paraId="202B0A42">
      <w:pPr>
        <w:snapToGrid w:val="0"/>
        <w:spacing w:line="440" w:lineRule="exact"/>
        <w:ind w:firstLine="480" w:firstLineChars="200"/>
        <w:rPr>
          <w:rFonts w:hint="eastAsia" w:ascii="黑体" w:hAnsi="黑体" w:eastAsia="黑体" w:cs="黑体"/>
          <w:sz w:val="24"/>
        </w:rPr>
      </w:pPr>
    </w:p>
    <w:p w14:paraId="1C31589A">
      <w:pPr>
        <w:snapToGrid w:val="0"/>
        <w:spacing w:line="440" w:lineRule="exact"/>
        <w:ind w:firstLine="480" w:firstLineChars="200"/>
        <w:rPr>
          <w:rFonts w:hint="eastAsia" w:ascii="黑体" w:hAnsi="黑体" w:eastAsia="黑体" w:cs="黑体"/>
          <w:sz w:val="24"/>
        </w:rPr>
      </w:pPr>
    </w:p>
    <w:p w14:paraId="169A4595">
      <w:pPr>
        <w:snapToGrid w:val="0"/>
        <w:spacing w:line="440" w:lineRule="exact"/>
        <w:ind w:firstLine="480" w:firstLineChars="200"/>
        <w:rPr>
          <w:rFonts w:hint="eastAsia" w:ascii="黑体" w:hAnsi="黑体" w:eastAsia="黑体" w:cs="黑体"/>
          <w:sz w:val="24"/>
        </w:rPr>
      </w:pPr>
    </w:p>
    <w:p w14:paraId="29E7BB26">
      <w:pPr>
        <w:snapToGrid w:val="0"/>
        <w:spacing w:line="440" w:lineRule="exact"/>
        <w:ind w:firstLine="480" w:firstLineChars="200"/>
        <w:rPr>
          <w:rFonts w:hint="eastAsia" w:ascii="黑体" w:hAnsi="黑体" w:eastAsia="黑体" w:cs="黑体"/>
          <w:sz w:val="24"/>
        </w:rPr>
      </w:pPr>
    </w:p>
    <w:p w14:paraId="43AB5DDD">
      <w:pPr>
        <w:snapToGrid w:val="0"/>
        <w:spacing w:line="440" w:lineRule="exact"/>
        <w:ind w:firstLine="480" w:firstLineChars="200"/>
        <w:rPr>
          <w:rFonts w:hint="eastAsia" w:ascii="黑体" w:hAnsi="黑体" w:eastAsia="黑体" w:cs="黑体"/>
          <w:sz w:val="24"/>
        </w:rPr>
      </w:pPr>
    </w:p>
    <w:p w14:paraId="4AA61208">
      <w:pPr>
        <w:snapToGrid w:val="0"/>
        <w:spacing w:line="440" w:lineRule="exact"/>
        <w:ind w:firstLine="480" w:firstLineChars="200"/>
        <w:rPr>
          <w:rFonts w:hint="eastAsia" w:ascii="黑体" w:hAnsi="黑体" w:eastAsia="黑体" w:cs="黑体"/>
          <w:sz w:val="24"/>
        </w:rPr>
      </w:pPr>
    </w:p>
    <w:p w14:paraId="3F76D426">
      <w:pPr>
        <w:snapToGrid w:val="0"/>
        <w:spacing w:line="440" w:lineRule="exact"/>
        <w:ind w:firstLine="480" w:firstLineChars="200"/>
        <w:rPr>
          <w:rFonts w:hint="eastAsia" w:ascii="黑体" w:hAnsi="黑体" w:eastAsia="黑体" w:cs="黑体"/>
          <w:sz w:val="24"/>
        </w:rPr>
      </w:pPr>
    </w:p>
    <w:p w14:paraId="3F7B779C">
      <w:pPr>
        <w:snapToGrid w:val="0"/>
        <w:spacing w:line="440" w:lineRule="exact"/>
        <w:ind w:firstLine="480" w:firstLineChars="200"/>
        <w:rPr>
          <w:rFonts w:hint="eastAsia" w:ascii="黑体" w:hAnsi="黑体" w:eastAsia="黑体" w:cs="黑体"/>
          <w:sz w:val="24"/>
        </w:rPr>
      </w:pPr>
      <w:r>
        <w:rPr>
          <w:rFonts w:hint="eastAsia" w:ascii="黑体" w:hAnsi="黑体" w:eastAsia="黑体" w:cs="黑体"/>
          <w:kern w:val="0"/>
          <w:sz w:val="24"/>
        </w:rPr>
        <w:t>若成交供应商为残疾人福利性单位的，将在结果公告时公告其《残疾人福利性单位声明函》。</w:t>
      </w:r>
    </w:p>
    <w:p w14:paraId="743BC0FB">
      <w:pPr>
        <w:snapToGrid w:val="0"/>
        <w:spacing w:line="440" w:lineRule="exact"/>
        <w:ind w:firstLine="480" w:firstLineChars="200"/>
        <w:rPr>
          <w:rFonts w:eastAsia="仿宋"/>
          <w:sz w:val="24"/>
        </w:rPr>
      </w:pPr>
    </w:p>
    <w:p w14:paraId="200D14D7">
      <w:pP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br w:type="page"/>
      </w:r>
    </w:p>
    <w:p w14:paraId="0ED9E519">
      <w:pPr>
        <w:rPr>
          <w:rFonts w:hint="eastAsia" w:ascii="黑体" w:hAnsi="黑体" w:eastAsia="黑体" w:cs="黑体"/>
          <w:color w:val="auto"/>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其他与项目有关的资料（自附）</w:t>
      </w:r>
      <w:bookmarkEnd w:id="365"/>
    </w:p>
    <w:p w14:paraId="4767F484">
      <w:pPr>
        <w:rPr>
          <w:rFonts w:hint="eastAsia" w:ascii="黑体" w:hAnsi="黑体" w:eastAsia="黑体" w:cs="黑体"/>
          <w:color w:val="auto"/>
          <w:highlight w:val="none"/>
        </w:rPr>
      </w:pPr>
    </w:p>
    <w:p w14:paraId="30879554">
      <w:pPr>
        <w:rPr>
          <w:rFonts w:hint="eastAsia" w:ascii="黑体" w:hAnsi="黑体" w:eastAsia="黑体" w:cs="黑体"/>
          <w:color w:val="auto"/>
          <w:highlight w:val="none"/>
        </w:rPr>
      </w:pPr>
    </w:p>
    <w:p w14:paraId="15E7FC74">
      <w:pPr>
        <w:tabs>
          <w:tab w:val="left" w:pos="6300"/>
        </w:tabs>
        <w:snapToGrid w:val="0"/>
        <w:spacing w:line="500" w:lineRule="exact"/>
        <w:jc w:val="center"/>
        <w:rPr>
          <w:rFonts w:hint="eastAsia" w:ascii="黑体" w:hAnsi="黑体" w:eastAsia="黑体" w:cs="黑体"/>
          <w:color w:val="auto"/>
          <w:highlight w:val="none"/>
        </w:rPr>
      </w:pPr>
    </w:p>
    <w:p w14:paraId="7416FDCA">
      <w:pPr>
        <w:tabs>
          <w:tab w:val="left" w:pos="6300"/>
        </w:tabs>
        <w:snapToGrid w:val="0"/>
        <w:spacing w:line="500" w:lineRule="exact"/>
        <w:jc w:val="center"/>
        <w:rPr>
          <w:rFonts w:hint="eastAsia" w:ascii="黑体" w:hAnsi="黑体" w:eastAsia="黑体" w:cs="黑体"/>
          <w:color w:val="auto"/>
          <w:highlight w:val="none"/>
        </w:rPr>
      </w:pPr>
    </w:p>
    <w:p w14:paraId="1DD10B76">
      <w:pPr>
        <w:tabs>
          <w:tab w:val="left" w:pos="6300"/>
        </w:tabs>
        <w:snapToGrid w:val="0"/>
        <w:spacing w:line="500" w:lineRule="exact"/>
        <w:jc w:val="center"/>
        <w:rPr>
          <w:rFonts w:hint="eastAsia" w:ascii="黑体" w:hAnsi="黑体" w:eastAsia="黑体" w:cs="黑体"/>
          <w:color w:val="auto"/>
          <w:highlight w:val="none"/>
        </w:rPr>
      </w:pPr>
    </w:p>
    <w:p w14:paraId="2B847595">
      <w:pPr>
        <w:tabs>
          <w:tab w:val="left" w:pos="6300"/>
        </w:tabs>
        <w:snapToGrid w:val="0"/>
        <w:spacing w:line="5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（结束）</w:t>
      </w:r>
    </w:p>
    <w:p w14:paraId="2607CD08">
      <w:pPr>
        <w:rPr>
          <w:rFonts w:hint="eastAsia" w:ascii="黑体" w:hAnsi="黑体" w:eastAsia="黑体" w:cs="黑体"/>
          <w:color w:val="auto"/>
          <w:highlight w:val="none"/>
        </w:rPr>
      </w:pPr>
    </w:p>
    <w:sectPr>
      <w:headerReference r:id="rId9" w:type="default"/>
      <w:pgSz w:w="11907" w:h="16840"/>
      <w:pgMar w:top="1440" w:right="1800" w:bottom="1440" w:left="1800"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2884E-BF1F-4678-ACA0-7FF72A8C96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66FB16B-1439-4715-8B12-77609E8F807D}"/>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0D2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2875F2DB">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2875F2DB">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135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36756">
                          <w:pPr>
                            <w:pStyle w:val="13"/>
                          </w:pPr>
                          <w:r>
                            <w:fldChar w:fldCharType="begin"/>
                          </w:r>
                          <w:r>
                            <w:instrText xml:space="preserve"> PAGE  \* MERGEFORMAT </w:instrText>
                          </w:r>
                          <w:r>
                            <w:fldChar w:fldCharType="separate"/>
                          </w:r>
                          <w:r>
                            <w:t>- 32 -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14:paraId="08E36756">
                    <w:pPr>
                      <w:pStyle w:val="13"/>
                    </w:pPr>
                    <w:r>
                      <w:fldChar w:fldCharType="begin"/>
                    </w:r>
                    <w:r>
                      <w:instrText xml:space="preserve"> PAGE  \* MERGEFORMAT </w:instrText>
                    </w:r>
                    <w:r>
                      <w:fldChar w:fldCharType="separate"/>
                    </w:r>
                    <w:r>
                      <w:t>- 32 -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646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1BC1D52F">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60288;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&#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0BRz0gAAAAQBAAAPAAAAAAAAAAEAIAAAACIAAABk&#10;cnMvZG93bnJldi54bWxQSwECFAAUAAAACACHTuJAU2jbztMBAACiAwAADgAAAAAAAAABACAAAAAh&#10;AQAAZHJzL2Uyb0RvYy54bWxQSwUGAAAAAAYABgBZAQAAZgUAAAAA&#10;">
              <v:fill on="f" focussize="0,0"/>
              <v:stroke on="f"/>
              <v:imagedata o:title=""/>
              <o:lock v:ext="edit" aspectratio="f"/>
              <v:textbox inset="0mm,0mm,0mm,0mm" style="mso-fit-shape-to-text:t;">
                <w:txbxContent>
                  <w:p w14:paraId="1BC1D52F">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D4EF">
    <w:pPr>
      <w:pStyle w:val="13"/>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4F9BF">
                          <w:pPr>
                            <w:pStyle w:val="13"/>
                            <w:ind w:right="360"/>
                            <w:jc w:val="center"/>
                          </w:pPr>
                          <w:r>
                            <w:fldChar w:fldCharType="begin"/>
                          </w:r>
                          <w:r>
                            <w:rPr>
                              <w:rStyle w:val="25"/>
                            </w:rPr>
                            <w:instrText xml:space="preserve"> PAGE </w:instrText>
                          </w:r>
                          <w:r>
                            <w:fldChar w:fldCharType="separate"/>
                          </w:r>
                          <w:r>
                            <w:rPr>
                              <w:rStyle w:val="25"/>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14F9BF">
                    <w:pPr>
                      <w:pStyle w:val="13"/>
                      <w:ind w:right="360"/>
                      <w:jc w:val="center"/>
                    </w:pPr>
                    <w:r>
                      <w:fldChar w:fldCharType="begin"/>
                    </w:r>
                    <w:r>
                      <w:rPr>
                        <w:rStyle w:val="25"/>
                      </w:rPr>
                      <w:instrText xml:space="preserve"> PAGE </w:instrText>
                    </w:r>
                    <w:r>
                      <w:fldChar w:fldCharType="separate"/>
                    </w:r>
                    <w:r>
                      <w:rPr>
                        <w:rStyle w:val="25"/>
                      </w:rP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88E0">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CBD4">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09AF">
    <w:pPr>
      <w:pStyle w:val="1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6345">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5CE2E"/>
    <w:multiLevelType w:val="singleLevel"/>
    <w:tmpl w:val="B695CE2E"/>
    <w:lvl w:ilvl="0" w:tentative="0">
      <w:start w:val="4"/>
      <w:numFmt w:val="chineseCounting"/>
      <w:suff w:val="space"/>
      <w:lvlText w:val="第%1篇"/>
      <w:lvlJc w:val="left"/>
      <w:rPr>
        <w:rFonts w:hint="eastAsia"/>
      </w:rPr>
    </w:lvl>
  </w:abstractNum>
  <w:abstractNum w:abstractNumId="1">
    <w:nsid w:val="DF58DFA3"/>
    <w:multiLevelType w:val="singleLevel"/>
    <w:tmpl w:val="DF58DFA3"/>
    <w:lvl w:ilvl="0" w:tentative="0">
      <w:start w:val="2"/>
      <w:numFmt w:val="chineseCounting"/>
      <w:suff w:val="nothing"/>
      <w:lvlText w:val="%1、"/>
      <w:lvlJc w:val="left"/>
      <w:rPr>
        <w:rFonts w:hint="eastAsia"/>
      </w:rPr>
    </w:lvl>
  </w:abstractNum>
  <w:abstractNum w:abstractNumId="2">
    <w:nsid w:val="E8CAB80A"/>
    <w:multiLevelType w:val="singleLevel"/>
    <w:tmpl w:val="E8CAB80A"/>
    <w:lvl w:ilvl="0" w:tentative="0">
      <w:start w:val="1"/>
      <w:numFmt w:val="decimal"/>
      <w:pStyle w:val="5"/>
      <w:lvlText w:val="%1."/>
      <w:lvlJc w:val="left"/>
      <w:pPr>
        <w:tabs>
          <w:tab w:val="left" w:pos="780"/>
        </w:tabs>
        <w:ind w:left="780" w:hanging="360"/>
      </w:pPr>
    </w:lvl>
  </w:abstractNum>
  <w:abstractNum w:abstractNumId="3">
    <w:nsid w:val="077169C4"/>
    <w:multiLevelType w:val="singleLevel"/>
    <w:tmpl w:val="077169C4"/>
    <w:lvl w:ilvl="0" w:tentative="0">
      <w:start w:val="1"/>
      <w:numFmt w:val="chineseCounting"/>
      <w:suff w:val="nothing"/>
      <w:lvlText w:val="（%1）"/>
      <w:lvlJc w:val="left"/>
      <w:pPr>
        <w:ind w:left="240" w:leftChars="0" w:firstLine="0" w:firstLineChars="0"/>
      </w:pPr>
      <w:rPr>
        <w:rFonts w:hint="eastAsia"/>
      </w:rPr>
    </w:lvl>
  </w:abstractNum>
  <w:abstractNum w:abstractNumId="4">
    <w:nsid w:val="55039134"/>
    <w:multiLevelType w:val="singleLevel"/>
    <w:tmpl w:val="55039134"/>
    <w:lvl w:ilvl="0" w:tentative="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NDIzMzNkMjdlZTgzNWIzMzRlNGYxYmQ1NGYwNjYifQ=="/>
  </w:docVars>
  <w:rsids>
    <w:rsidRoot w:val="00000000"/>
    <w:rsid w:val="007650D3"/>
    <w:rsid w:val="029C7828"/>
    <w:rsid w:val="03DE6D33"/>
    <w:rsid w:val="05143E2A"/>
    <w:rsid w:val="05D90BCF"/>
    <w:rsid w:val="089A4303"/>
    <w:rsid w:val="0A946198"/>
    <w:rsid w:val="0AEE6428"/>
    <w:rsid w:val="0C1E558E"/>
    <w:rsid w:val="0CAC4E9D"/>
    <w:rsid w:val="0CEB1AE8"/>
    <w:rsid w:val="110C4DFF"/>
    <w:rsid w:val="135C37D3"/>
    <w:rsid w:val="13616720"/>
    <w:rsid w:val="14146CE3"/>
    <w:rsid w:val="14AA20B4"/>
    <w:rsid w:val="168D2C73"/>
    <w:rsid w:val="1A873139"/>
    <w:rsid w:val="1F441B38"/>
    <w:rsid w:val="20133071"/>
    <w:rsid w:val="23160915"/>
    <w:rsid w:val="24E82CE7"/>
    <w:rsid w:val="2525544E"/>
    <w:rsid w:val="29634E74"/>
    <w:rsid w:val="29B449E4"/>
    <w:rsid w:val="2B43270B"/>
    <w:rsid w:val="2C62347D"/>
    <w:rsid w:val="2D267337"/>
    <w:rsid w:val="2D6A103C"/>
    <w:rsid w:val="303824A8"/>
    <w:rsid w:val="33026470"/>
    <w:rsid w:val="33CE054B"/>
    <w:rsid w:val="34670FD0"/>
    <w:rsid w:val="34A92FD4"/>
    <w:rsid w:val="34EB1C02"/>
    <w:rsid w:val="35C45C9D"/>
    <w:rsid w:val="376B0182"/>
    <w:rsid w:val="378B392A"/>
    <w:rsid w:val="38552C7D"/>
    <w:rsid w:val="3E0B6C98"/>
    <w:rsid w:val="3E943A87"/>
    <w:rsid w:val="40267F92"/>
    <w:rsid w:val="405F0E90"/>
    <w:rsid w:val="41EE0050"/>
    <w:rsid w:val="42224789"/>
    <w:rsid w:val="42604872"/>
    <w:rsid w:val="42F06635"/>
    <w:rsid w:val="43CB36CF"/>
    <w:rsid w:val="44C74E36"/>
    <w:rsid w:val="451A3E3D"/>
    <w:rsid w:val="4550692B"/>
    <w:rsid w:val="45B778DE"/>
    <w:rsid w:val="498209F1"/>
    <w:rsid w:val="49EE5605"/>
    <w:rsid w:val="4A3858CB"/>
    <w:rsid w:val="4A842484"/>
    <w:rsid w:val="4C9B3AB5"/>
    <w:rsid w:val="4D01124F"/>
    <w:rsid w:val="4F095A72"/>
    <w:rsid w:val="4F313EB8"/>
    <w:rsid w:val="4F5E3B4E"/>
    <w:rsid w:val="52263E21"/>
    <w:rsid w:val="52611100"/>
    <w:rsid w:val="57302581"/>
    <w:rsid w:val="5B674CF8"/>
    <w:rsid w:val="5B81031A"/>
    <w:rsid w:val="5FCF4FCF"/>
    <w:rsid w:val="60395667"/>
    <w:rsid w:val="60AC5385"/>
    <w:rsid w:val="618B1EF3"/>
    <w:rsid w:val="62BD207A"/>
    <w:rsid w:val="65B0011C"/>
    <w:rsid w:val="66867E7C"/>
    <w:rsid w:val="672C2E31"/>
    <w:rsid w:val="67E4410B"/>
    <w:rsid w:val="68836E33"/>
    <w:rsid w:val="69390C66"/>
    <w:rsid w:val="6A9168B0"/>
    <w:rsid w:val="6B315D30"/>
    <w:rsid w:val="6CFF6F63"/>
    <w:rsid w:val="6D154D66"/>
    <w:rsid w:val="6DCC212B"/>
    <w:rsid w:val="6E4C65E8"/>
    <w:rsid w:val="702D331A"/>
    <w:rsid w:val="70711B67"/>
    <w:rsid w:val="70874D23"/>
    <w:rsid w:val="70BD374B"/>
    <w:rsid w:val="71386E32"/>
    <w:rsid w:val="71727542"/>
    <w:rsid w:val="7304377A"/>
    <w:rsid w:val="746256C5"/>
    <w:rsid w:val="77644920"/>
    <w:rsid w:val="78931961"/>
    <w:rsid w:val="7C5C4760"/>
    <w:rsid w:val="7C85032D"/>
    <w:rsid w:val="7D595A6D"/>
    <w:rsid w:val="7DF54524"/>
    <w:rsid w:val="7E7B3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3"/>
    <w:qFormat/>
    <w:uiPriority w:val="99"/>
    <w:pPr>
      <w:keepNext/>
      <w:keepLines/>
      <w:spacing w:line="576" w:lineRule="auto"/>
      <w:outlineLvl w:val="0"/>
    </w:pPr>
    <w:rPr>
      <w:b/>
      <w:kern w:val="44"/>
      <w:sz w:val="44"/>
    </w:rPr>
  </w:style>
  <w:style w:type="paragraph" w:styleId="3">
    <w:name w:val="heading 2"/>
    <w:basedOn w:val="1"/>
    <w:next w:val="1"/>
    <w:link w:val="61"/>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qFormat/>
    <w:uiPriority w:val="99"/>
    <w:pPr>
      <w:keepNext/>
      <w:keepLines/>
      <w:spacing w:line="413" w:lineRule="auto"/>
      <w:outlineLvl w:val="2"/>
    </w:pPr>
    <w:rPr>
      <w:b/>
      <w:sz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link w:val="39"/>
    <w:qFormat/>
    <w:uiPriority w:val="0"/>
    <w:pPr>
      <w:jc w:val="left"/>
    </w:pPr>
  </w:style>
  <w:style w:type="paragraph" w:styleId="8">
    <w:name w:val="Body Text"/>
    <w:basedOn w:val="1"/>
    <w:next w:val="1"/>
    <w:qFormat/>
    <w:uiPriority w:val="99"/>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Date"/>
    <w:basedOn w:val="1"/>
    <w:next w:val="1"/>
    <w:qFormat/>
    <w:uiPriority w:val="0"/>
  </w:style>
  <w:style w:type="paragraph" w:styleId="12">
    <w:name w:val="Balloon Text"/>
    <w:basedOn w:val="1"/>
    <w:link w:val="3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0"/>
    <w:pPr>
      <w:ind w:left="420" w:leftChars="200"/>
    </w:pPr>
  </w:style>
  <w:style w:type="paragraph" w:styleId="17">
    <w:name w:val="Body Text 2"/>
    <w:basedOn w:val="1"/>
    <w:qFormat/>
    <w:uiPriority w:val="0"/>
    <w:pPr>
      <w:adjustRightInd w:val="0"/>
      <w:snapToGrid w:val="0"/>
      <w:spacing w:line="480" w:lineRule="auto"/>
    </w:pPr>
    <w:rPr>
      <w:sz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9">
    <w:name w:val="Title"/>
    <w:basedOn w:val="1"/>
    <w:next w:val="1"/>
    <w:qFormat/>
    <w:uiPriority w:val="0"/>
    <w:pPr>
      <w:widowControl/>
      <w:jc w:val="center"/>
    </w:pPr>
    <w:rPr>
      <w:kern w:val="0"/>
      <w:sz w:val="20"/>
      <w:u w:val="single"/>
      <w:lang w:eastAsia="en-US"/>
    </w:rPr>
  </w:style>
  <w:style w:type="paragraph" w:styleId="20">
    <w:name w:val="annotation subject"/>
    <w:basedOn w:val="7"/>
    <w:next w:val="7"/>
    <w:link w:val="40"/>
    <w:qFormat/>
    <w:uiPriority w:val="0"/>
    <w:rPr>
      <w:b/>
      <w:bCs/>
    </w:rPr>
  </w:style>
  <w:style w:type="paragraph" w:styleId="21">
    <w:name w:val="Body Text First Indent"/>
    <w:basedOn w:val="8"/>
    <w:qFormat/>
    <w:uiPriority w:val="0"/>
    <w:pPr>
      <w:ind w:firstLine="420" w:firstLineChars="100"/>
    </w:pPr>
    <w:rPr>
      <w:rFonts w:ascii="Times New Roman" w:eastAsia="宋体"/>
    </w:r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Times New Roman" w:hAnsi="Times New Roman" w:eastAsia="宋体" w:cs="Times New Roman"/>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正文1"/>
    <w:basedOn w:val="1"/>
    <w:next w:val="1"/>
    <w:qFormat/>
    <w:uiPriority w:val="0"/>
    <w:pPr>
      <w:spacing w:line="300" w:lineRule="auto"/>
      <w:ind w:firstLine="200" w:firstLineChars="200"/>
    </w:pPr>
    <w:rPr>
      <w:sz w:val="24"/>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WPSOffice手动目录 1"/>
    <w:qFormat/>
    <w:uiPriority w:val="99"/>
    <w:rPr>
      <w:rFonts w:ascii="Times New Roman" w:hAnsi="Times New Roman" w:eastAsia="宋体" w:cs="Times New Roman"/>
      <w:lang w:val="en-US" w:eastAsia="zh-CN" w:bidi="ar-SA"/>
    </w:rPr>
  </w:style>
  <w:style w:type="paragraph" w:customStyle="1" w:styleId="32">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3">
    <w:name w:val="标题 1 Char"/>
    <w:basedOn w:val="24"/>
    <w:link w:val="2"/>
    <w:qFormat/>
    <w:locked/>
    <w:uiPriority w:val="99"/>
    <w:rPr>
      <w:b/>
      <w:kern w:val="44"/>
      <w:sz w:val="44"/>
    </w:rPr>
  </w:style>
  <w:style w:type="character" w:customStyle="1" w:styleId="34">
    <w:name w:val="标题 2 Char"/>
    <w:basedOn w:val="24"/>
    <w:link w:val="3"/>
    <w:qFormat/>
    <w:locked/>
    <w:uiPriority w:val="99"/>
    <w:rPr>
      <w:rFonts w:ascii="Arial" w:hAnsi="Arial" w:eastAsia="黑体"/>
      <w:b/>
      <w:kern w:val="0"/>
      <w:sz w:val="32"/>
    </w:rPr>
  </w:style>
  <w:style w:type="paragraph" w:customStyle="1" w:styleId="35">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图例"/>
    <w:basedOn w:val="1"/>
    <w:qFormat/>
    <w:uiPriority w:val="0"/>
    <w:pPr>
      <w:spacing w:before="120" w:after="120" w:line="360" w:lineRule="auto"/>
      <w:jc w:val="center"/>
    </w:pPr>
    <w:rPr>
      <w:rFonts w:eastAsia="仿宋_GB2312"/>
      <w:b/>
      <w:sz w:val="24"/>
    </w:rPr>
  </w:style>
  <w:style w:type="paragraph" w:customStyle="1" w:styleId="37">
    <w:name w:val="标书正文1"/>
    <w:basedOn w:val="1"/>
    <w:qFormat/>
    <w:uiPriority w:val="0"/>
    <w:pPr>
      <w:spacing w:line="520" w:lineRule="exact"/>
    </w:pPr>
  </w:style>
  <w:style w:type="character" w:customStyle="1" w:styleId="38">
    <w:name w:val="批注框文本 Char"/>
    <w:basedOn w:val="24"/>
    <w:link w:val="12"/>
    <w:qFormat/>
    <w:uiPriority w:val="0"/>
    <w:rPr>
      <w:kern w:val="2"/>
      <w:sz w:val="18"/>
      <w:szCs w:val="18"/>
    </w:rPr>
  </w:style>
  <w:style w:type="character" w:customStyle="1" w:styleId="39">
    <w:name w:val="批注文字 Char"/>
    <w:basedOn w:val="24"/>
    <w:link w:val="7"/>
    <w:qFormat/>
    <w:uiPriority w:val="0"/>
    <w:rPr>
      <w:kern w:val="2"/>
      <w:sz w:val="28"/>
    </w:rPr>
  </w:style>
  <w:style w:type="character" w:customStyle="1" w:styleId="40">
    <w:name w:val="批注主题 Char"/>
    <w:basedOn w:val="39"/>
    <w:link w:val="20"/>
    <w:qFormat/>
    <w:uiPriority w:val="0"/>
    <w:rPr>
      <w:b/>
      <w:bCs/>
      <w:kern w:val="2"/>
      <w:sz w:val="28"/>
    </w:rPr>
  </w:style>
  <w:style w:type="paragraph" w:customStyle="1" w:styleId="41">
    <w:name w:val="List Paragraph"/>
    <w:basedOn w:val="1"/>
    <w:qFormat/>
    <w:uiPriority w:val="0"/>
    <w:pPr>
      <w:widowControl w:val="0"/>
      <w:spacing w:after="0"/>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42">
    <w:name w:val="pa-29"/>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3">
    <w:name w:val="ca-32"/>
    <w:qFormat/>
    <w:uiPriority w:val="0"/>
    <w:rPr>
      <w:rFonts w:ascii="Times New Roman" w:hAnsi="Times New Roman" w:eastAsia="宋体" w:cs="Times New Roman"/>
    </w:rPr>
  </w:style>
  <w:style w:type="paragraph" w:customStyle="1" w:styleId="44">
    <w:name w:val="pa-0"/>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5">
    <w:name w:val="ca-9"/>
    <w:qFormat/>
    <w:uiPriority w:val="0"/>
    <w:rPr>
      <w:rFonts w:ascii="Times New Roman" w:hAnsi="Times New Roman" w:eastAsia="宋体" w:cs="Times New Roman"/>
    </w:rPr>
  </w:style>
  <w:style w:type="paragraph" w:customStyle="1" w:styleId="46">
    <w:name w:val="pa-31"/>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7">
    <w:name w:val="ca-22"/>
    <w:qFormat/>
    <w:uiPriority w:val="0"/>
    <w:rPr>
      <w:rFonts w:ascii="Times New Roman" w:hAnsi="Times New Roman" w:eastAsia="宋体" w:cs="Times New Roman"/>
    </w:rPr>
  </w:style>
  <w:style w:type="paragraph" w:customStyle="1" w:styleId="48">
    <w:name w:val="pa-32"/>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49">
    <w:name w:val="pa-33"/>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50">
    <w:name w:val="ca-11"/>
    <w:qFormat/>
    <w:uiPriority w:val="0"/>
    <w:rPr>
      <w:rFonts w:ascii="Times New Roman" w:hAnsi="Times New Roman" w:eastAsia="宋体" w:cs="Times New Roman"/>
    </w:rPr>
  </w:style>
  <w:style w:type="paragraph" w:customStyle="1" w:styleId="51">
    <w:name w:val="pa-34"/>
    <w:basedOn w:val="1"/>
    <w:qFormat/>
    <w:uiPriority w:val="0"/>
    <w:pPr>
      <w:widowControl/>
      <w:spacing w:line="360" w:lineRule="atLeast"/>
      <w:ind w:firstLine="420"/>
      <w:jc w:val="left"/>
    </w:pPr>
    <w:rPr>
      <w:rFonts w:ascii="宋体" w:hAnsi="宋体" w:eastAsia="宋体" w:cs="宋体"/>
      <w:kern w:val="0"/>
      <w:sz w:val="24"/>
    </w:rPr>
  </w:style>
  <w:style w:type="character" w:customStyle="1" w:styleId="52">
    <w:name w:val="ca-35"/>
    <w:qFormat/>
    <w:uiPriority w:val="0"/>
    <w:rPr>
      <w:rFonts w:ascii="Times New Roman" w:hAnsi="Times New Roman" w:eastAsia="宋体" w:cs="Times New Roman"/>
    </w:rPr>
  </w:style>
  <w:style w:type="paragraph" w:customStyle="1" w:styleId="53">
    <w:name w:val="pa-16"/>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5">
    <w:name w:val="NormalCharacter"/>
    <w:qFormat/>
    <w:uiPriority w:val="0"/>
    <w:rPr>
      <w:rFonts w:ascii="Times New Roman" w:hAnsi="Times New Roman" w:eastAsia="宋体"/>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7">
    <w:name w:val="font11"/>
    <w:qFormat/>
    <w:uiPriority w:val="0"/>
    <w:rPr>
      <w:rFonts w:hint="eastAsia" w:ascii="宋体" w:hAnsi="宋体" w:eastAsia="宋体" w:cs="宋体"/>
      <w:b/>
      <w:color w:val="000000"/>
      <w:sz w:val="22"/>
      <w:szCs w:val="22"/>
      <w:u w:val="none"/>
    </w:rPr>
  </w:style>
  <w:style w:type="character" w:customStyle="1" w:styleId="58">
    <w:name w:val="font41"/>
    <w:qFormat/>
    <w:uiPriority w:val="0"/>
    <w:rPr>
      <w:rFonts w:hint="default" w:ascii="Calibri" w:hAnsi="Calibri" w:cs="Calibri"/>
      <w:b/>
      <w:color w:val="000000"/>
      <w:sz w:val="22"/>
      <w:szCs w:val="22"/>
      <w:u w:val="none"/>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font51"/>
    <w:qFormat/>
    <w:uiPriority w:val="0"/>
    <w:rPr>
      <w:rFonts w:hint="default" w:ascii="Calibri" w:hAnsi="Calibri" w:cs="Calibri"/>
      <w:color w:val="000000"/>
      <w:sz w:val="22"/>
      <w:szCs w:val="22"/>
      <w:u w:val="none"/>
    </w:rPr>
  </w:style>
  <w:style w:type="character" w:customStyle="1" w:styleId="61">
    <w:name w:val="标题 2 字符"/>
    <w:link w:val="3"/>
    <w:qFormat/>
    <w:uiPriority w:val="0"/>
    <w:rPr>
      <w:rFonts w:ascii="Arial" w:hAnsi="Arial" w:eastAsia="黑体"/>
      <w:b/>
      <w:sz w:val="32"/>
    </w:rPr>
  </w:style>
  <w:style w:type="character" w:customStyle="1" w:styleId="62">
    <w:name w:val="font31"/>
    <w:basedOn w:val="24"/>
    <w:qFormat/>
    <w:uiPriority w:val="0"/>
    <w:rPr>
      <w:rFonts w:ascii="宋体" w:hAnsi="宋体" w:eastAsia="宋体" w:cs="宋体"/>
      <w:color w:val="000000"/>
      <w:sz w:val="24"/>
      <w:szCs w:val="24"/>
      <w:u w:val="none"/>
    </w:rPr>
  </w:style>
  <w:style w:type="paragraph" w:customStyle="1" w:styleId="63">
    <w:name w:val="1"/>
    <w:basedOn w:val="1"/>
    <w:next w:val="10"/>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7020</Words>
  <Characters>7314</Characters>
  <Lines>191</Lines>
  <Paragraphs>54</Paragraphs>
  <TotalTime>0</TotalTime>
  <ScaleCrop>false</ScaleCrop>
  <LinksUpToDate>false</LinksUpToDate>
  <CharactersWithSpaces>7374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2022-05-14T02:27:00Z</dcterms:created>
  <dc:creator>小小小朋友o∩_∩o</dc:creator>
  <cp:lastModifiedBy>一颗逗子</cp:lastModifiedBy>
  <cp:lastPrinted>2025-07-16T08:40:00Z</cp:lastPrinted>
  <dcterms:modified xsi:type="dcterms:W3CDTF">2025-07-17T08:46:10Z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59E9B6A39A2A40758E4C5981C8545BDA_13</vt:lpwstr>
  </property>
  <property fmtid="{D5CDD505-2E9C-101B-9397-08002B2CF9AE}" pid="4" name="commondata">
    <vt:lpwstr>eyJoZGlkIjoiM2U0NjgxN2M1NTQwMWY2Y2I2YTEwYTc5MTY3NWM2ZDAifQ==</vt:lpwstr>
  </property>
  <property fmtid="{D5CDD505-2E9C-101B-9397-08002B2CF9AE}" pid="5" name="KSOTemplateDocerSaveRecord">
    <vt:lpwstr>eyJoZGlkIjoiZGU2MWMwMDBhOWZiZjNmN2RiODk3ZWY2ZmI5MzFjMWEiLCJ1c2VySWQiOiIyODI1MzMwMSJ9</vt:lpwstr>
  </property>
</Properties>
</file>