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604">
      <w:pPr>
        <w:tabs>
          <w:tab w:val="left" w:pos="1695"/>
          <w:tab w:val="left" w:pos="3370"/>
          <w:tab w:val="left" w:pos="5555"/>
        </w:tabs>
        <w:autoSpaceDE w:val="0"/>
        <w:autoSpaceDN w:val="0"/>
        <w:adjustRightInd w:val="0"/>
        <w:snapToGrid w:val="0"/>
        <w:spacing w:line="440" w:lineRule="exact"/>
        <w:rPr>
          <w:rFonts w:hint="eastAsia" w:ascii="微软雅黑" w:hAnsi="微软雅黑" w:eastAsia="微软雅黑" w:cs="微软雅黑"/>
          <w:b/>
          <w:kern w:val="0"/>
          <w:sz w:val="24"/>
          <w:highlight w:val="none"/>
        </w:rPr>
      </w:pPr>
    </w:p>
    <w:p w14:paraId="73B452D9">
      <w:pPr>
        <w:autoSpaceDE w:val="0"/>
        <w:autoSpaceDN w:val="0"/>
        <w:adjustRightInd w:val="0"/>
        <w:snapToGrid w:val="0"/>
        <w:jc w:val="center"/>
        <w:rPr>
          <w:rFonts w:hint="default" w:ascii="微软雅黑" w:hAnsi="微软雅黑" w:eastAsia="微软雅黑" w:cs="微软雅黑"/>
          <w:kern w:val="0"/>
          <w:sz w:val="52"/>
          <w:szCs w:val="28"/>
          <w:highlight w:val="none"/>
          <w:lang w:val="en-US" w:eastAsia="zh-CN"/>
        </w:rPr>
      </w:pPr>
      <w:r>
        <w:rPr>
          <w:rFonts w:hint="eastAsia" w:ascii="微软雅黑" w:hAnsi="微软雅黑" w:eastAsia="微软雅黑" w:cs="微软雅黑"/>
          <w:kern w:val="0"/>
          <w:sz w:val="52"/>
          <w:szCs w:val="28"/>
          <w:highlight w:val="none"/>
          <w:lang w:eastAsia="zh-CN"/>
        </w:rPr>
        <w:t>重庆市涪陵城区第十小学校心理咨询室、音乐教室、智慧教室设备采购项目</w:t>
      </w:r>
    </w:p>
    <w:p w14:paraId="6BB30FB8">
      <w:pPr>
        <w:autoSpaceDE w:val="0"/>
        <w:autoSpaceDN w:val="0"/>
        <w:adjustRightInd w:val="0"/>
        <w:snapToGrid w:val="0"/>
        <w:jc w:val="center"/>
        <w:rPr>
          <w:rFonts w:hint="eastAsia" w:ascii="微软雅黑" w:hAnsi="微软雅黑" w:eastAsia="微软雅黑" w:cs="微软雅黑"/>
          <w:kern w:val="0"/>
          <w:sz w:val="20"/>
          <w:szCs w:val="20"/>
          <w:highlight w:val="none"/>
        </w:rPr>
      </w:pPr>
    </w:p>
    <w:p w14:paraId="42D86FE1">
      <w:pPr>
        <w:autoSpaceDE w:val="0"/>
        <w:autoSpaceDN w:val="0"/>
        <w:adjustRightInd w:val="0"/>
        <w:snapToGrid w:val="0"/>
        <w:jc w:val="center"/>
        <w:rPr>
          <w:rFonts w:hint="eastAsia" w:ascii="微软雅黑" w:hAnsi="微软雅黑" w:eastAsia="微软雅黑" w:cs="微软雅黑"/>
          <w:kern w:val="0"/>
          <w:sz w:val="84"/>
          <w:szCs w:val="44"/>
          <w:highlight w:val="none"/>
        </w:rPr>
      </w:pPr>
    </w:p>
    <w:p w14:paraId="4CB53D0A">
      <w:pPr>
        <w:autoSpaceDE w:val="0"/>
        <w:autoSpaceDN w:val="0"/>
        <w:adjustRightInd w:val="0"/>
        <w:snapToGrid w:val="0"/>
        <w:jc w:val="center"/>
        <w:rPr>
          <w:rFonts w:hint="eastAsia" w:ascii="微软雅黑" w:hAnsi="微软雅黑" w:eastAsia="微软雅黑" w:cs="微软雅黑"/>
          <w:kern w:val="0"/>
          <w:sz w:val="84"/>
          <w:szCs w:val="44"/>
          <w:highlight w:val="none"/>
        </w:rPr>
      </w:pPr>
      <w:r>
        <w:rPr>
          <w:rFonts w:hint="eastAsia" w:ascii="微软雅黑" w:hAnsi="微软雅黑" w:eastAsia="微软雅黑" w:cs="微软雅黑"/>
          <w:kern w:val="0"/>
          <w:sz w:val="84"/>
          <w:szCs w:val="44"/>
          <w:highlight w:val="none"/>
        </w:rPr>
        <w:t xml:space="preserve">网 上 </w:t>
      </w:r>
      <w:r>
        <w:rPr>
          <w:rFonts w:hint="eastAsia" w:ascii="微软雅黑" w:hAnsi="微软雅黑" w:eastAsia="微软雅黑" w:cs="微软雅黑"/>
          <w:kern w:val="0"/>
          <w:sz w:val="84"/>
          <w:szCs w:val="44"/>
          <w:highlight w:val="none"/>
          <w:lang w:val="en-US" w:eastAsia="zh-CN"/>
        </w:rPr>
        <w:t>询 比</w:t>
      </w:r>
      <w:r>
        <w:rPr>
          <w:rFonts w:hint="eastAsia" w:ascii="微软雅黑" w:hAnsi="微软雅黑" w:eastAsia="微软雅黑" w:cs="微软雅黑"/>
          <w:kern w:val="0"/>
          <w:sz w:val="84"/>
          <w:szCs w:val="44"/>
          <w:highlight w:val="none"/>
        </w:rPr>
        <w:t xml:space="preserve"> 文 件</w:t>
      </w:r>
    </w:p>
    <w:p w14:paraId="02192B17">
      <w:pPr>
        <w:autoSpaceDE w:val="0"/>
        <w:autoSpaceDN w:val="0"/>
        <w:adjustRightInd w:val="0"/>
        <w:snapToGrid w:val="0"/>
        <w:jc w:val="left"/>
        <w:rPr>
          <w:rFonts w:hint="eastAsia" w:ascii="微软雅黑" w:hAnsi="微软雅黑" w:eastAsia="微软雅黑" w:cs="微软雅黑"/>
          <w:kern w:val="0"/>
          <w:sz w:val="10"/>
          <w:szCs w:val="10"/>
          <w:highlight w:val="none"/>
        </w:rPr>
      </w:pPr>
    </w:p>
    <w:p w14:paraId="6FB066CE">
      <w:pPr>
        <w:jc w:val="center"/>
        <w:rPr>
          <w:rFonts w:hint="eastAsia" w:ascii="微软雅黑" w:hAnsi="微软雅黑" w:eastAsia="微软雅黑" w:cs="微软雅黑"/>
          <w:b/>
          <w:kern w:val="0"/>
          <w:sz w:val="24"/>
          <w:highlight w:val="none"/>
        </w:rPr>
      </w:pPr>
    </w:p>
    <w:p w14:paraId="0B9DE974">
      <w:pPr>
        <w:jc w:val="center"/>
        <w:rPr>
          <w:rFonts w:hint="eastAsia" w:ascii="微软雅黑" w:hAnsi="微软雅黑" w:eastAsia="微软雅黑" w:cs="微软雅黑"/>
          <w:b/>
          <w:kern w:val="0"/>
          <w:sz w:val="24"/>
          <w:highlight w:val="none"/>
        </w:rPr>
      </w:pPr>
    </w:p>
    <w:p w14:paraId="07968DA7">
      <w:pPr>
        <w:spacing w:line="440" w:lineRule="exact"/>
        <w:rPr>
          <w:rFonts w:hint="eastAsia" w:ascii="微软雅黑" w:hAnsi="微软雅黑" w:eastAsia="微软雅黑" w:cs="微软雅黑"/>
          <w:b/>
          <w:kern w:val="0"/>
          <w:sz w:val="24"/>
          <w:highlight w:val="none"/>
        </w:rPr>
      </w:pPr>
    </w:p>
    <w:p w14:paraId="7AA20AB3">
      <w:pPr>
        <w:spacing w:line="440" w:lineRule="exact"/>
        <w:rPr>
          <w:rFonts w:hint="eastAsia" w:ascii="微软雅黑" w:hAnsi="微软雅黑" w:eastAsia="微软雅黑" w:cs="微软雅黑"/>
          <w:b/>
          <w:kern w:val="0"/>
          <w:sz w:val="24"/>
          <w:highlight w:val="none"/>
        </w:rPr>
      </w:pPr>
    </w:p>
    <w:p w14:paraId="537A93F7">
      <w:pPr>
        <w:spacing w:line="440" w:lineRule="exact"/>
        <w:rPr>
          <w:rFonts w:hint="eastAsia" w:ascii="微软雅黑" w:hAnsi="微软雅黑" w:eastAsia="微软雅黑" w:cs="微软雅黑"/>
          <w:b/>
          <w:kern w:val="0"/>
          <w:sz w:val="24"/>
          <w:highlight w:val="none"/>
        </w:rPr>
      </w:pPr>
    </w:p>
    <w:p w14:paraId="38437A12">
      <w:pPr>
        <w:pStyle w:val="4"/>
        <w:rPr>
          <w:rFonts w:hint="eastAsia"/>
          <w:highlight w:val="none"/>
        </w:rPr>
      </w:pPr>
    </w:p>
    <w:p w14:paraId="14600740">
      <w:pPr>
        <w:spacing w:line="440" w:lineRule="exact"/>
        <w:rPr>
          <w:rFonts w:hint="eastAsia" w:ascii="微软雅黑" w:hAnsi="微软雅黑" w:eastAsia="微软雅黑" w:cs="微软雅黑"/>
          <w:highlight w:val="none"/>
        </w:rPr>
      </w:pPr>
    </w:p>
    <w:p w14:paraId="62A4EC24">
      <w:pPr>
        <w:tabs>
          <w:tab w:val="left" w:pos="6219"/>
        </w:tabs>
        <w:autoSpaceDE w:val="0"/>
        <w:autoSpaceDN w:val="0"/>
        <w:adjustRightInd w:val="0"/>
        <w:snapToGrid w:val="0"/>
        <w:spacing w:line="440" w:lineRule="exact"/>
        <w:ind w:firstLine="1580" w:firstLineChars="500"/>
        <w:jc w:val="both"/>
        <w:rPr>
          <w:rFonts w:hint="eastAsia" w:ascii="微软雅黑" w:hAnsi="微软雅黑" w:eastAsia="微软雅黑" w:cs="微软雅黑"/>
          <w:spacing w:val="8"/>
          <w:kern w:val="0"/>
          <w:sz w:val="30"/>
          <w:szCs w:val="30"/>
          <w:highlight w:val="none"/>
          <w:u w:val="single"/>
          <w:lang w:eastAsia="zh-CN"/>
        </w:rPr>
      </w:pPr>
      <w:r>
        <w:rPr>
          <w:rFonts w:hint="eastAsia" w:ascii="微软雅黑" w:hAnsi="微软雅黑" w:eastAsia="微软雅黑" w:cs="微软雅黑"/>
          <w:spacing w:val="8"/>
          <w:kern w:val="0"/>
          <w:sz w:val="30"/>
          <w:szCs w:val="30"/>
          <w:highlight w:val="none"/>
        </w:rPr>
        <w:t>采购人：</w:t>
      </w:r>
      <w:r>
        <w:rPr>
          <w:rFonts w:hint="eastAsia" w:ascii="微软雅黑" w:hAnsi="微软雅黑" w:eastAsia="微软雅黑" w:cs="微软雅黑"/>
          <w:spacing w:val="8"/>
          <w:kern w:val="0"/>
          <w:sz w:val="30"/>
          <w:szCs w:val="30"/>
          <w:highlight w:val="none"/>
          <w:u w:val="single"/>
          <w:lang w:eastAsia="zh-CN"/>
        </w:rPr>
        <w:t>重庆市涪陵城区第十小学校</w:t>
      </w:r>
    </w:p>
    <w:p w14:paraId="66143130">
      <w:pPr>
        <w:pStyle w:val="18"/>
        <w:rPr>
          <w:rFonts w:hint="eastAsia" w:ascii="微软雅黑" w:hAnsi="微软雅黑" w:eastAsia="微软雅黑" w:cs="微软雅黑"/>
          <w:highlight w:val="none"/>
          <w:lang w:eastAsia="zh-CN"/>
        </w:rPr>
      </w:pPr>
    </w:p>
    <w:p w14:paraId="65EB73AC">
      <w:pPr>
        <w:rPr>
          <w:rFonts w:hint="eastAsia"/>
          <w:highlight w:val="none"/>
          <w:lang w:eastAsia="zh-CN"/>
        </w:rPr>
      </w:pPr>
    </w:p>
    <w:p w14:paraId="313F7C0C">
      <w:pPr>
        <w:pStyle w:val="18"/>
        <w:rPr>
          <w:rFonts w:hint="eastAsia" w:ascii="微软雅黑" w:hAnsi="微软雅黑" w:eastAsia="微软雅黑" w:cs="微软雅黑"/>
          <w:highlight w:val="none"/>
          <w:lang w:eastAsia="zh-CN"/>
        </w:rPr>
      </w:pPr>
    </w:p>
    <w:p w14:paraId="75880613">
      <w:pPr>
        <w:pStyle w:val="18"/>
        <w:spacing w:line="440" w:lineRule="exact"/>
        <w:jc w:val="center"/>
        <w:rPr>
          <w:rFonts w:hint="eastAsia" w:ascii="微软雅黑" w:hAnsi="微软雅黑" w:eastAsia="微软雅黑" w:cs="微软雅黑"/>
          <w:spacing w:val="8"/>
          <w:kern w:val="0"/>
          <w:sz w:val="30"/>
          <w:szCs w:val="30"/>
          <w:highlight w:val="none"/>
        </w:rPr>
      </w:pPr>
      <w:r>
        <w:rPr>
          <w:rFonts w:hint="eastAsia" w:ascii="微软雅黑" w:hAnsi="微软雅黑" w:eastAsia="微软雅黑" w:cs="微软雅黑"/>
          <w:spacing w:val="8"/>
          <w:kern w:val="0"/>
          <w:sz w:val="30"/>
          <w:szCs w:val="30"/>
          <w:highlight w:val="none"/>
        </w:rPr>
        <w:t>采购代理：</w:t>
      </w:r>
      <w:r>
        <w:rPr>
          <w:rFonts w:hint="eastAsia" w:ascii="微软雅黑" w:hAnsi="微软雅黑" w:eastAsia="微软雅黑" w:cs="微软雅黑"/>
          <w:spacing w:val="8"/>
          <w:kern w:val="0"/>
          <w:sz w:val="30"/>
          <w:szCs w:val="30"/>
          <w:highlight w:val="none"/>
          <w:u w:val="single"/>
        </w:rPr>
        <w:t>中兴铂码工程咨询（重庆）有限公司</w:t>
      </w:r>
    </w:p>
    <w:p w14:paraId="183FA09B">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u w:val="single"/>
        </w:rPr>
      </w:pPr>
    </w:p>
    <w:p w14:paraId="51F5E325">
      <w:pPr>
        <w:tabs>
          <w:tab w:val="left" w:pos="3200"/>
          <w:tab w:val="left" w:pos="4320"/>
          <w:tab w:val="left" w:pos="5420"/>
        </w:tabs>
        <w:autoSpaceDE w:val="0"/>
        <w:autoSpaceDN w:val="0"/>
        <w:adjustRightInd w:val="0"/>
        <w:snapToGrid w:val="0"/>
        <w:spacing w:line="440" w:lineRule="exact"/>
        <w:jc w:val="right"/>
        <w:rPr>
          <w:rFonts w:hint="eastAsia" w:ascii="微软雅黑" w:hAnsi="微软雅黑" w:eastAsia="微软雅黑" w:cs="微软雅黑"/>
          <w:kern w:val="0"/>
          <w:sz w:val="30"/>
          <w:szCs w:val="30"/>
          <w:highlight w:val="none"/>
        </w:rPr>
      </w:pPr>
    </w:p>
    <w:p w14:paraId="65023AF1">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pPr>
    </w:p>
    <w:p w14:paraId="14638B9C">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sectPr>
          <w:headerReference r:id="rId3" w:type="default"/>
          <w:footerReference r:id="rId4" w:type="default"/>
          <w:footerReference r:id="rId5" w:type="even"/>
          <w:pgSz w:w="11906" w:h="16838"/>
          <w:pgMar w:top="1418" w:right="1134" w:bottom="1418" w:left="1418" w:header="851" w:footer="1077" w:gutter="0"/>
          <w:pgNumType w:fmt="decimal"/>
          <w:cols w:space="425" w:num="1"/>
          <w:docGrid w:linePitch="312" w:charSpace="0"/>
        </w:sectPr>
      </w:pPr>
    </w:p>
    <w:p w14:paraId="5CAABDC5">
      <w:pPr>
        <w:pStyle w:val="23"/>
        <w:spacing w:line="440" w:lineRule="exact"/>
        <w:ind w:left="0"/>
        <w:jc w:val="center"/>
        <w:rPr>
          <w:rFonts w:hint="eastAsia" w:ascii="微软雅黑" w:hAnsi="微软雅黑" w:eastAsia="微软雅黑" w:cs="微软雅黑"/>
          <w:i w:val="0"/>
          <w:iCs w:val="0"/>
          <w:sz w:val="44"/>
          <w:szCs w:val="44"/>
          <w:highlight w:val="none"/>
        </w:rPr>
      </w:pPr>
    </w:p>
    <w:p w14:paraId="31338006">
      <w:pPr>
        <w:pStyle w:val="23"/>
        <w:spacing w:line="440" w:lineRule="exact"/>
        <w:ind w:left="0"/>
        <w:jc w:val="center"/>
        <w:rPr>
          <w:rFonts w:hint="eastAsia" w:ascii="微软雅黑" w:hAnsi="微软雅黑" w:eastAsia="微软雅黑" w:cs="微软雅黑"/>
          <w:i w:val="0"/>
          <w:iCs w:val="0"/>
          <w:sz w:val="44"/>
          <w:szCs w:val="44"/>
          <w:highlight w:val="none"/>
        </w:rPr>
      </w:pPr>
      <w:r>
        <w:rPr>
          <w:rFonts w:hint="eastAsia" w:ascii="微软雅黑" w:hAnsi="微软雅黑" w:eastAsia="微软雅黑" w:cs="微软雅黑"/>
          <w:i w:val="0"/>
          <w:iCs w:val="0"/>
          <w:sz w:val="44"/>
          <w:szCs w:val="44"/>
          <w:highlight w:val="none"/>
        </w:rPr>
        <w:t>目 录</w:t>
      </w:r>
    </w:p>
    <w:p w14:paraId="390B0A06">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aps w:val="0"/>
          <w:smallCaps/>
          <w:sz w:val="24"/>
          <w:szCs w:val="24"/>
          <w:highlight w:val="none"/>
        </w:rPr>
        <w:fldChar w:fldCharType="begin"/>
      </w:r>
      <w:r>
        <w:rPr>
          <w:rFonts w:hint="eastAsia" w:ascii="微软雅黑" w:hAnsi="微软雅黑" w:eastAsia="微软雅黑" w:cs="微软雅黑"/>
          <w:i w:val="0"/>
          <w:iCs w:val="0"/>
          <w:caps w:val="0"/>
          <w:smallCaps/>
          <w:sz w:val="24"/>
          <w:szCs w:val="24"/>
          <w:highlight w:val="none"/>
        </w:rPr>
        <w:instrText xml:space="preserve"> TOC \o "1-3" \u </w:instrText>
      </w:r>
      <w:r>
        <w:rPr>
          <w:rFonts w:hint="eastAsia" w:ascii="微软雅黑" w:hAnsi="微软雅黑" w:eastAsia="微软雅黑" w:cs="微软雅黑"/>
          <w:i w:val="0"/>
          <w:iCs w:val="0"/>
          <w:caps w:val="0"/>
          <w:smallCaps/>
          <w:sz w:val="24"/>
          <w:szCs w:val="24"/>
          <w:highlight w:val="none"/>
        </w:rPr>
        <w:fldChar w:fldCharType="separate"/>
      </w:r>
      <w:r>
        <w:rPr>
          <w:rFonts w:hint="eastAsia" w:ascii="微软雅黑" w:hAnsi="微软雅黑" w:eastAsia="微软雅黑" w:cs="微软雅黑"/>
          <w:i w:val="0"/>
          <w:iCs w:val="0"/>
          <w:sz w:val="24"/>
          <w:szCs w:val="24"/>
          <w:highlight w:val="none"/>
        </w:rPr>
        <w:t xml:space="preserve">第一篇  </w:t>
      </w:r>
      <w:r>
        <w:rPr>
          <w:rFonts w:hint="eastAsia" w:ascii="微软雅黑" w:hAnsi="微软雅黑" w:eastAsia="微软雅黑" w:cs="微软雅黑"/>
          <w:i w:val="0"/>
          <w:iCs w:val="0"/>
          <w:sz w:val="24"/>
          <w:szCs w:val="24"/>
          <w:highlight w:val="none"/>
          <w:lang w:eastAsia="zh-CN"/>
        </w:rPr>
        <w:t>网上询比公告</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_Toc4409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595F0B02">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一、</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内容</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_Toc30179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0465D83C">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二、</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资格条件</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_Toc4698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7BBD04B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三</w:t>
      </w:r>
      <w:r>
        <w:rPr>
          <w:rFonts w:hint="eastAsia" w:ascii="微软雅黑" w:hAnsi="微软雅黑" w:eastAsia="微软雅黑" w:cs="微软雅黑"/>
          <w:bCs w:val="0"/>
          <w:i w:val="0"/>
          <w:iCs w:val="0"/>
          <w:snapToGrid w:val="0"/>
          <w:w w:val="99"/>
          <w:kern w:val="0"/>
          <w:sz w:val="24"/>
          <w:szCs w:val="24"/>
          <w:highlight w:val="none"/>
        </w:rPr>
        <w:t>、</w:t>
      </w:r>
      <w:r>
        <w:rPr>
          <w:rFonts w:hint="eastAsia" w:ascii="微软雅黑" w:hAnsi="微软雅黑" w:eastAsia="微软雅黑" w:cs="微软雅黑"/>
          <w:bCs w:val="0"/>
          <w:i w:val="0"/>
          <w:iCs w:val="0"/>
          <w:snapToGrid w:val="0"/>
          <w:w w:val="99"/>
          <w:kern w:val="0"/>
          <w:sz w:val="24"/>
          <w:szCs w:val="24"/>
          <w:highlight w:val="none"/>
          <w:lang w:eastAsia="zh-CN"/>
        </w:rPr>
        <w:t>询比</w:t>
      </w:r>
      <w:r>
        <w:rPr>
          <w:rFonts w:hint="eastAsia" w:ascii="微软雅黑" w:hAnsi="微软雅黑" w:eastAsia="微软雅黑" w:cs="微软雅黑"/>
          <w:bCs w:val="0"/>
          <w:i w:val="0"/>
          <w:iCs w:val="0"/>
          <w:snapToGrid w:val="0"/>
          <w:w w:val="99"/>
          <w:kern w:val="0"/>
          <w:sz w:val="24"/>
          <w:szCs w:val="24"/>
          <w:highlight w:val="none"/>
        </w:rPr>
        <w:t>有关说明</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_Toc324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22916224">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四、采购项目需落实的政府采购政策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_Toc15493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599A1388">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五、其它有关规定</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_Toc13303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2326EDBB">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六、联系方式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_Toc20083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4</w:t>
      </w:r>
      <w:r>
        <w:rPr>
          <w:rFonts w:hint="eastAsia" w:ascii="微软雅黑" w:hAnsi="微软雅黑" w:eastAsia="微软雅黑" w:cs="微软雅黑"/>
          <w:i w:val="0"/>
          <w:iCs w:val="0"/>
          <w:sz w:val="24"/>
          <w:szCs w:val="24"/>
        </w:rPr>
        <w:fldChar w:fldCharType="end"/>
      </w:r>
    </w:p>
    <w:p w14:paraId="27752D9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二</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技术</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_Toc18231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65147CC6">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bidi="ar-SA"/>
        </w:rPr>
        <w:t>一、招标项目一览及技术要求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_Toc25653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242B9511">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三</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商务</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_Toc6026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01DEAB1C">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w:t>
      </w:r>
      <w:r>
        <w:rPr>
          <w:rFonts w:hint="eastAsia" w:ascii="微软雅黑" w:hAnsi="微软雅黑" w:eastAsia="微软雅黑" w:cs="微软雅黑"/>
          <w:i w:val="0"/>
          <w:iCs w:val="0"/>
          <w:color w:val="auto"/>
          <w:sz w:val="24"/>
          <w:szCs w:val="24"/>
          <w:highlight w:val="none"/>
          <w:lang w:val="en-US" w:eastAsia="zh-CN"/>
        </w:rPr>
        <w:t>服务期</w:t>
      </w:r>
      <w:r>
        <w:rPr>
          <w:rFonts w:hint="eastAsia" w:ascii="微软雅黑" w:hAnsi="微软雅黑" w:eastAsia="微软雅黑" w:cs="微软雅黑"/>
          <w:i w:val="0"/>
          <w:iCs w:val="0"/>
          <w:color w:val="auto"/>
          <w:sz w:val="24"/>
          <w:szCs w:val="24"/>
          <w:highlight w:val="none"/>
        </w:rPr>
        <w:t>、地点</w:t>
      </w:r>
      <w:r>
        <w:rPr>
          <w:rFonts w:hint="eastAsia" w:ascii="微软雅黑" w:hAnsi="微软雅黑" w:eastAsia="微软雅黑" w:cs="微软雅黑"/>
          <w:i w:val="0"/>
          <w:iCs w:val="0"/>
          <w:color w:val="auto"/>
          <w:sz w:val="24"/>
          <w:szCs w:val="24"/>
          <w:highlight w:val="none"/>
          <w:lang w:val="en-US" w:eastAsia="zh-CN"/>
        </w:rPr>
        <w:t>及</w:t>
      </w:r>
      <w:r>
        <w:rPr>
          <w:rFonts w:hint="eastAsia" w:ascii="微软雅黑" w:hAnsi="微软雅黑" w:eastAsia="微软雅黑" w:cs="微软雅黑"/>
          <w:i w:val="0"/>
          <w:iCs w:val="0"/>
          <w:color w:val="auto"/>
          <w:sz w:val="24"/>
          <w:szCs w:val="24"/>
          <w:highlight w:val="none"/>
        </w:rPr>
        <w:t>验收方式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_Toc10951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38F706DE">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二</w:t>
      </w:r>
      <w:r>
        <w:rPr>
          <w:rFonts w:hint="eastAsia" w:ascii="微软雅黑" w:hAnsi="微软雅黑" w:eastAsia="微软雅黑" w:cs="微软雅黑"/>
          <w:i w:val="0"/>
          <w:iCs w:val="0"/>
          <w:color w:val="auto"/>
          <w:sz w:val="24"/>
          <w:szCs w:val="24"/>
          <w:highlight w:val="none"/>
          <w:lang w:val="zh-TW" w:eastAsia="zh-TW"/>
        </w:rPr>
        <w:t>、报价要求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_Toc7885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68D51397">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三、付款方式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_Toc31940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0FB3FDB1">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四、质量保证及售后服务</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_Toc15388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2FBD77F7">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i w:val="0"/>
          <w:iCs w:val="0"/>
          <w:snapToGrid w:val="0"/>
          <w:w w:val="99"/>
          <w:kern w:val="0"/>
          <w:sz w:val="24"/>
          <w:szCs w:val="24"/>
          <w:highlight w:val="none"/>
          <w:lang w:val="en-US" w:eastAsia="zh-CN"/>
        </w:rPr>
        <w:t>★</w:t>
      </w:r>
      <w:r>
        <w:rPr>
          <w:rFonts w:hint="eastAsia" w:ascii="微软雅黑" w:hAnsi="微软雅黑" w:eastAsia="微软雅黑" w:cs="微软雅黑"/>
          <w:i w:val="0"/>
          <w:iCs w:val="0"/>
          <w:sz w:val="24"/>
          <w:szCs w:val="24"/>
          <w:highlight w:val="none"/>
          <w:lang w:val="zh-TW" w:eastAsia="zh-TW"/>
        </w:rPr>
        <w:t>五、安全责任</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_Toc9392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10</w:t>
      </w:r>
      <w:r>
        <w:rPr>
          <w:rFonts w:hint="eastAsia" w:ascii="微软雅黑" w:hAnsi="微软雅黑" w:eastAsia="微软雅黑" w:cs="微软雅黑"/>
          <w:i w:val="0"/>
          <w:iCs w:val="0"/>
          <w:sz w:val="24"/>
          <w:szCs w:val="24"/>
        </w:rPr>
        <w:fldChar w:fldCharType="end"/>
      </w:r>
    </w:p>
    <w:p w14:paraId="5F4A200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lang w:val="en-US" w:eastAsia="zh-CN"/>
        </w:rPr>
        <w:t>六</w:t>
      </w:r>
      <w:r>
        <w:rPr>
          <w:rFonts w:hint="eastAsia" w:ascii="微软雅黑" w:hAnsi="微软雅黑" w:eastAsia="微软雅黑" w:cs="微软雅黑"/>
          <w:i w:val="0"/>
          <w:iCs w:val="0"/>
          <w:sz w:val="24"/>
          <w:szCs w:val="24"/>
          <w:highlight w:val="none"/>
        </w:rPr>
        <w:t>、其他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_Toc2345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10</w:t>
      </w:r>
      <w:r>
        <w:rPr>
          <w:rFonts w:hint="eastAsia" w:ascii="微软雅黑" w:hAnsi="微软雅黑" w:eastAsia="微软雅黑" w:cs="微软雅黑"/>
          <w:i w:val="0"/>
          <w:iCs w:val="0"/>
          <w:sz w:val="24"/>
          <w:szCs w:val="24"/>
        </w:rPr>
        <w:fldChar w:fldCharType="end"/>
      </w:r>
    </w:p>
    <w:p w14:paraId="7B782DF0">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四</w:t>
      </w:r>
      <w:r>
        <w:rPr>
          <w:rFonts w:hint="eastAsia" w:ascii="微软雅黑" w:hAnsi="微软雅黑" w:eastAsia="微软雅黑" w:cs="微软雅黑"/>
          <w:i w:val="0"/>
          <w:iCs w:val="0"/>
          <w:sz w:val="24"/>
          <w:szCs w:val="24"/>
          <w:highlight w:val="none"/>
        </w:rPr>
        <w:t>篇  资格审查及评标办法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_Toc24141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55A699F1">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一、资格审查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_Toc32676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7DBC7540">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二、评标方法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13</w:t>
      </w:r>
      <w:r>
        <w:rPr>
          <w:rFonts w:hint="eastAsia" w:ascii="微软雅黑" w:hAnsi="微软雅黑" w:eastAsia="微软雅黑" w:cs="微软雅黑"/>
          <w:i w:val="0"/>
          <w:iCs w:val="0"/>
          <w:sz w:val="24"/>
          <w:szCs w:val="24"/>
        </w:rPr>
        <w:fldChar w:fldCharType="end"/>
      </w:r>
    </w:p>
    <w:p w14:paraId="2529EF19">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三、评标标准</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_Toc15757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14</w:t>
      </w:r>
      <w:r>
        <w:rPr>
          <w:rFonts w:hint="eastAsia" w:ascii="微软雅黑" w:hAnsi="微软雅黑" w:eastAsia="微软雅黑" w:cs="微软雅黑"/>
          <w:i w:val="0"/>
          <w:iCs w:val="0"/>
          <w:sz w:val="24"/>
          <w:szCs w:val="24"/>
        </w:rPr>
        <w:fldChar w:fldCharType="end"/>
      </w:r>
    </w:p>
    <w:p w14:paraId="501D3F7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第五篇  供应商须知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_Toc6312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16</w:t>
      </w:r>
      <w:r>
        <w:rPr>
          <w:rFonts w:hint="eastAsia" w:ascii="微软雅黑" w:hAnsi="微软雅黑" w:eastAsia="微软雅黑" w:cs="微软雅黑"/>
          <w:i w:val="0"/>
          <w:iCs w:val="0"/>
          <w:sz w:val="24"/>
          <w:szCs w:val="24"/>
        </w:rPr>
        <w:fldChar w:fldCharType="end"/>
      </w:r>
    </w:p>
    <w:p w14:paraId="2F267787">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第六篇  合同主要条款和格式合同（样本）</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_Toc27932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20</w:t>
      </w:r>
      <w:r>
        <w:rPr>
          <w:rFonts w:hint="eastAsia" w:ascii="微软雅黑" w:hAnsi="微软雅黑" w:eastAsia="微软雅黑" w:cs="微软雅黑"/>
          <w:i w:val="0"/>
          <w:iCs w:val="0"/>
          <w:sz w:val="24"/>
          <w:szCs w:val="24"/>
        </w:rPr>
        <w:fldChar w:fldCharType="end"/>
      </w:r>
    </w:p>
    <w:p w14:paraId="41C4C7CF">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第七篇  投标文件格式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_Toc25957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25</w:t>
      </w:r>
      <w:r>
        <w:rPr>
          <w:rFonts w:hint="eastAsia" w:ascii="微软雅黑" w:hAnsi="微软雅黑" w:eastAsia="微软雅黑" w:cs="微软雅黑"/>
          <w:i w:val="0"/>
          <w:iCs w:val="0"/>
          <w:sz w:val="24"/>
          <w:szCs w:val="24"/>
        </w:rPr>
        <w:fldChar w:fldCharType="end"/>
      </w:r>
    </w:p>
    <w:p w14:paraId="683E5D67">
      <w:pPr>
        <w:pStyle w:val="39"/>
        <w:keepNext w:val="0"/>
        <w:keepLines w:val="0"/>
        <w:pageBreakBefore w:val="0"/>
        <w:widowControl w:val="0"/>
        <w:tabs>
          <w:tab w:val="right" w:leader="dot" w:pos="8925"/>
        </w:tabs>
        <w:kinsoku/>
        <w:wordWrap/>
        <w:overflowPunct/>
        <w:topLinePunct w:val="0"/>
        <w:autoSpaceDE/>
        <w:autoSpaceDN/>
        <w:bidi w:val="0"/>
        <w:adjustRightInd w:val="0"/>
        <w:snapToGrid/>
        <w:spacing w:line="520" w:lineRule="exact"/>
        <w:ind w:left="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bCs/>
          <w:i w:val="0"/>
          <w:iCs w:val="0"/>
          <w:caps/>
          <w:smallCaps w:val="0"/>
          <w:sz w:val="24"/>
          <w:szCs w:val="24"/>
          <w:highlight w:val="none"/>
        </w:rPr>
        <w:fldChar w:fldCharType="end"/>
      </w:r>
    </w:p>
    <w:p w14:paraId="7790745B">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0" w:name="OLE_LINK1"/>
    </w:p>
    <w:p w14:paraId="3D8EB37F">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0325E5B">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00F95AF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FF7FE1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1" w:name="_Toc4409"/>
      <w:r>
        <w:rPr>
          <w:rFonts w:hint="eastAsia" w:ascii="微软雅黑" w:hAnsi="微软雅黑" w:eastAsia="微软雅黑" w:cs="微软雅黑"/>
          <w:sz w:val="36"/>
          <w:szCs w:val="36"/>
          <w:highlight w:val="none"/>
        </w:rPr>
        <w:t xml:space="preserve">第一篇  </w:t>
      </w:r>
      <w:r>
        <w:rPr>
          <w:rFonts w:hint="eastAsia" w:ascii="微软雅黑" w:hAnsi="微软雅黑" w:eastAsia="微软雅黑" w:cs="微软雅黑"/>
          <w:sz w:val="36"/>
          <w:szCs w:val="36"/>
          <w:highlight w:val="none"/>
          <w:lang w:eastAsia="zh-CN"/>
        </w:rPr>
        <w:t>网上询比公告</w:t>
      </w:r>
      <w:bookmarkEnd w:id="1"/>
    </w:p>
    <w:p w14:paraId="67C637CD">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single"/>
          <w:lang w:eastAsia="zh-CN"/>
        </w:rPr>
      </w:pPr>
    </w:p>
    <w:p w14:paraId="6AABA5CF">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none"/>
          <w:lang w:eastAsia="zh-CN"/>
        </w:rPr>
      </w:pPr>
      <w:r>
        <w:rPr>
          <w:rFonts w:hint="eastAsia" w:ascii="微软雅黑" w:hAnsi="微软雅黑" w:eastAsia="微软雅黑" w:cs="微软雅黑"/>
          <w:snapToGrid w:val="0"/>
          <w:kern w:val="0"/>
          <w:position w:val="-2"/>
          <w:sz w:val="40"/>
          <w:szCs w:val="40"/>
          <w:highlight w:val="none"/>
          <w:u w:val="none"/>
          <w:lang w:eastAsia="zh-CN"/>
        </w:rPr>
        <w:t>重庆市涪陵城区第十小学校心理咨询室、音乐教室、智慧教室设备采购项目</w:t>
      </w:r>
    </w:p>
    <w:p w14:paraId="18675F2E">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p>
    <w:p w14:paraId="3A744F82">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r>
        <w:rPr>
          <w:rFonts w:hint="eastAsia" w:ascii="微软雅黑" w:hAnsi="微软雅黑" w:eastAsia="微软雅黑" w:cs="微软雅黑"/>
          <w:snapToGrid w:val="0"/>
          <w:kern w:val="0"/>
          <w:position w:val="-2"/>
          <w:sz w:val="40"/>
          <w:szCs w:val="40"/>
          <w:highlight w:val="none"/>
          <w:lang w:eastAsia="zh-CN"/>
        </w:rPr>
        <w:t>网上询比公告</w:t>
      </w:r>
    </w:p>
    <w:p w14:paraId="319F7002">
      <w:pPr>
        <w:spacing w:line="440" w:lineRule="exact"/>
        <w:rPr>
          <w:rFonts w:hint="eastAsia" w:ascii="微软雅黑" w:hAnsi="微软雅黑" w:eastAsia="微软雅黑" w:cs="微软雅黑"/>
          <w:snapToGrid w:val="0"/>
          <w:highlight w:val="none"/>
        </w:rPr>
      </w:pPr>
    </w:p>
    <w:p w14:paraId="18A508A6">
      <w:pPr>
        <w:tabs>
          <w:tab w:val="left" w:pos="3000"/>
          <w:tab w:val="left" w:pos="3280"/>
          <w:tab w:val="left" w:pos="6120"/>
          <w:tab w:val="left" w:pos="7540"/>
          <w:tab w:val="left" w:pos="8320"/>
        </w:tabs>
        <w:autoSpaceDE w:val="0"/>
        <w:autoSpaceDN w:val="0"/>
        <w:adjustRightInd w:val="0"/>
        <w:snapToGrid w:val="0"/>
        <w:spacing w:line="440" w:lineRule="exact"/>
        <w:ind w:firstLine="420"/>
        <w:rPr>
          <w:rFonts w:hint="eastAsia" w:ascii="微软雅黑" w:hAnsi="微软雅黑" w:eastAsia="微软雅黑" w:cs="微软雅黑"/>
          <w:snapToGrid w:val="0"/>
          <w:kern w:val="0"/>
          <w:sz w:val="24"/>
          <w:highlight w:val="none"/>
        </w:rPr>
      </w:pPr>
      <w:bookmarkStart w:id="2" w:name="_Toc200359428"/>
      <w:bookmarkStart w:id="3" w:name="_Toc200359239"/>
      <w:bookmarkStart w:id="4" w:name="_Toc287607729"/>
      <w:bookmarkStart w:id="5" w:name="_Toc224103300"/>
      <w:bookmarkStart w:id="6" w:name="_Toc277082537"/>
      <w:r>
        <w:rPr>
          <w:rFonts w:hint="eastAsia" w:ascii="微软雅黑" w:hAnsi="微软雅黑" w:eastAsia="微软雅黑" w:cs="微软雅黑"/>
          <w:snapToGrid w:val="0"/>
          <w:kern w:val="0"/>
          <w:sz w:val="24"/>
          <w:highlight w:val="none"/>
          <w:lang w:eastAsia="zh-CN"/>
        </w:rPr>
        <w:t>重庆市涪陵城区第十小学校心理咨询室、音乐教室、智慧教室设备采购项目</w:t>
      </w:r>
      <w:r>
        <w:rPr>
          <w:rFonts w:hint="eastAsia" w:ascii="微软雅黑" w:hAnsi="微软雅黑" w:eastAsia="微软雅黑" w:cs="微软雅黑"/>
          <w:snapToGrid w:val="0"/>
          <w:kern w:val="0"/>
          <w:sz w:val="24"/>
          <w:highlight w:val="none"/>
        </w:rPr>
        <w:t>已由</w:t>
      </w:r>
      <w:r>
        <w:rPr>
          <w:rFonts w:hint="eastAsia" w:ascii="微软雅黑" w:hAnsi="微软雅黑" w:eastAsia="微软雅黑" w:cs="微软雅黑"/>
          <w:snapToGrid w:val="0"/>
          <w:kern w:val="0"/>
          <w:sz w:val="24"/>
          <w:highlight w:val="none"/>
          <w:lang w:eastAsia="zh-CN"/>
        </w:rPr>
        <w:t>重庆市涪陵城区第十小学校</w:t>
      </w:r>
      <w:r>
        <w:rPr>
          <w:rFonts w:hint="eastAsia" w:ascii="微软雅黑" w:hAnsi="微软雅黑" w:eastAsia="微软雅黑" w:cs="微软雅黑"/>
          <w:snapToGrid w:val="0"/>
          <w:kern w:val="0"/>
          <w:sz w:val="24"/>
          <w:highlight w:val="none"/>
        </w:rPr>
        <w:t>确认招标，采购人为</w:t>
      </w:r>
      <w:r>
        <w:rPr>
          <w:rFonts w:hint="eastAsia" w:ascii="微软雅黑" w:hAnsi="微软雅黑" w:eastAsia="微软雅黑" w:cs="微软雅黑"/>
          <w:snapToGrid w:val="0"/>
          <w:kern w:val="0"/>
          <w:sz w:val="24"/>
          <w:highlight w:val="none"/>
          <w:u w:val="single"/>
          <w:lang w:eastAsia="zh-CN"/>
        </w:rPr>
        <w:t>重庆市涪陵城区第十小学校</w:t>
      </w:r>
      <w:r>
        <w:rPr>
          <w:rFonts w:hint="eastAsia" w:ascii="微软雅黑" w:hAnsi="微软雅黑" w:eastAsia="微软雅黑" w:cs="微软雅黑"/>
          <w:snapToGrid w:val="0"/>
          <w:kern w:val="0"/>
          <w:sz w:val="24"/>
          <w:highlight w:val="none"/>
        </w:rPr>
        <w:t>，资金来自</w:t>
      </w:r>
      <w:r>
        <w:rPr>
          <w:rFonts w:hint="eastAsia" w:ascii="微软雅黑" w:hAnsi="微软雅黑" w:eastAsia="微软雅黑" w:cs="微软雅黑"/>
          <w:snapToGrid w:val="0"/>
          <w:kern w:val="0"/>
          <w:sz w:val="24"/>
          <w:highlight w:val="none"/>
          <w:u w:val="single"/>
        </w:rPr>
        <w:t>财政资金</w:t>
      </w:r>
      <w:r>
        <w:rPr>
          <w:rFonts w:hint="eastAsia" w:ascii="微软雅黑" w:hAnsi="微软雅黑" w:eastAsia="微软雅黑" w:cs="微软雅黑"/>
          <w:snapToGrid w:val="0"/>
          <w:kern w:val="0"/>
          <w:sz w:val="24"/>
          <w:highlight w:val="none"/>
        </w:rPr>
        <w:t>。现对该项目的进行</w:t>
      </w:r>
      <w:r>
        <w:rPr>
          <w:rFonts w:hint="eastAsia" w:ascii="微软雅黑" w:hAnsi="微软雅黑" w:eastAsia="微软雅黑" w:cs="微软雅黑"/>
          <w:snapToGrid w:val="0"/>
          <w:kern w:val="0"/>
          <w:sz w:val="24"/>
          <w:highlight w:val="none"/>
          <w:lang w:eastAsia="zh-CN"/>
        </w:rPr>
        <w:t>网上询比</w:t>
      </w:r>
      <w:r>
        <w:rPr>
          <w:rFonts w:hint="eastAsia" w:ascii="微软雅黑" w:hAnsi="微软雅黑" w:eastAsia="微软雅黑" w:cs="微软雅黑"/>
          <w:snapToGrid w:val="0"/>
          <w:kern w:val="0"/>
          <w:sz w:val="24"/>
          <w:highlight w:val="none"/>
        </w:rPr>
        <w:t>，欢迎有资格的供应商前来参加。</w:t>
      </w:r>
    </w:p>
    <w:p w14:paraId="0849FF5A">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7" w:name="_Toc395104609"/>
      <w:bookmarkStart w:id="8" w:name="_Toc30179"/>
      <w:r>
        <w:rPr>
          <w:rFonts w:hint="eastAsia" w:ascii="微软雅黑" w:hAnsi="微软雅黑" w:eastAsia="微软雅黑" w:cs="微软雅黑"/>
          <w:bCs w:val="0"/>
          <w:snapToGrid w:val="0"/>
          <w:w w:val="99"/>
          <w:kern w:val="0"/>
          <w:sz w:val="24"/>
          <w:szCs w:val="24"/>
          <w:highlight w:val="none"/>
        </w:rPr>
        <w:t>一、</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内容</w:t>
      </w:r>
      <w:bookmarkEnd w:id="2"/>
      <w:bookmarkEnd w:id="3"/>
      <w:bookmarkEnd w:id="4"/>
      <w:bookmarkEnd w:id="5"/>
      <w:bookmarkEnd w:id="6"/>
      <w:bookmarkEnd w:id="7"/>
      <w:bookmarkEnd w:id="8"/>
    </w:p>
    <w:tbl>
      <w:tblPr>
        <w:tblStyle w:val="47"/>
        <w:tblW w:w="9833"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1722"/>
        <w:gridCol w:w="1565"/>
        <w:gridCol w:w="1729"/>
        <w:gridCol w:w="2184"/>
      </w:tblGrid>
      <w:tr w14:paraId="414E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633" w:type="dxa"/>
            <w:tcBorders>
              <w:top w:val="single" w:color="auto" w:sz="4" w:space="0"/>
              <w:left w:val="single" w:color="auto" w:sz="4" w:space="0"/>
              <w:right w:val="single" w:color="auto" w:sz="4" w:space="0"/>
            </w:tcBorders>
            <w:vAlign w:val="center"/>
          </w:tcPr>
          <w:p w14:paraId="56E18799">
            <w:pPr>
              <w:widowControl/>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项目名称</w:t>
            </w:r>
          </w:p>
        </w:tc>
        <w:tc>
          <w:tcPr>
            <w:tcW w:w="1722" w:type="dxa"/>
            <w:tcBorders>
              <w:top w:val="single" w:color="auto" w:sz="4" w:space="0"/>
              <w:left w:val="single" w:color="auto" w:sz="4" w:space="0"/>
              <w:right w:val="single" w:color="auto" w:sz="4" w:space="0"/>
            </w:tcBorders>
            <w:vAlign w:val="center"/>
          </w:tcPr>
          <w:p w14:paraId="0C311646">
            <w:pPr>
              <w:spacing w:line="440" w:lineRule="exact"/>
              <w:jc w:val="center"/>
              <w:rPr>
                <w:rFonts w:hint="default" w:ascii="微软雅黑" w:hAnsi="微软雅黑" w:eastAsia="微软雅黑" w:cs="微软雅黑"/>
                <w:bCs/>
                <w:kern w:val="0"/>
                <w:sz w:val="24"/>
                <w:highlight w:val="none"/>
                <w:lang w:val="en-US" w:eastAsia="zh-CN"/>
              </w:rPr>
            </w:pPr>
            <w:r>
              <w:rPr>
                <w:rFonts w:hint="eastAsia" w:ascii="微软雅黑" w:hAnsi="微软雅黑" w:eastAsia="微软雅黑" w:cs="微软雅黑"/>
                <w:bCs/>
                <w:kern w:val="0"/>
                <w:sz w:val="24"/>
                <w:highlight w:val="none"/>
                <w:lang w:val="en-US" w:eastAsia="zh-CN"/>
              </w:rPr>
              <w:t>最高限价</w:t>
            </w:r>
          </w:p>
        </w:tc>
        <w:tc>
          <w:tcPr>
            <w:tcW w:w="1565" w:type="dxa"/>
            <w:tcBorders>
              <w:top w:val="single" w:color="auto" w:sz="4" w:space="0"/>
              <w:left w:val="single" w:color="auto" w:sz="4" w:space="0"/>
              <w:right w:val="single" w:color="auto" w:sz="4" w:space="0"/>
            </w:tcBorders>
            <w:vAlign w:val="center"/>
          </w:tcPr>
          <w:p w14:paraId="5E850C22">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资金来源</w:t>
            </w:r>
          </w:p>
        </w:tc>
        <w:tc>
          <w:tcPr>
            <w:tcW w:w="1729" w:type="dxa"/>
            <w:tcBorders>
              <w:top w:val="single" w:color="auto" w:sz="4" w:space="0"/>
              <w:left w:val="single" w:color="auto" w:sz="4" w:space="0"/>
              <w:right w:val="single" w:color="auto" w:sz="4" w:space="0"/>
            </w:tcBorders>
            <w:vAlign w:val="center"/>
          </w:tcPr>
          <w:p w14:paraId="75C83999">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 xml:space="preserve">投标保证金     </w:t>
            </w:r>
          </w:p>
        </w:tc>
        <w:tc>
          <w:tcPr>
            <w:tcW w:w="2184" w:type="dxa"/>
            <w:tcBorders>
              <w:top w:val="single" w:color="auto" w:sz="4" w:space="0"/>
              <w:left w:val="single" w:color="auto" w:sz="4" w:space="0"/>
              <w:right w:val="single" w:color="auto" w:sz="4" w:space="0"/>
            </w:tcBorders>
            <w:vAlign w:val="center"/>
          </w:tcPr>
          <w:p w14:paraId="67FA2F81">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成交供应商数量</w:t>
            </w:r>
          </w:p>
        </w:tc>
      </w:tr>
      <w:tr w14:paraId="33F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633" w:type="dxa"/>
            <w:tcBorders>
              <w:top w:val="single" w:color="auto" w:sz="4" w:space="0"/>
              <w:left w:val="single" w:color="auto" w:sz="4" w:space="0"/>
              <w:right w:val="single" w:color="auto" w:sz="4" w:space="0"/>
            </w:tcBorders>
            <w:vAlign w:val="center"/>
          </w:tcPr>
          <w:p w14:paraId="71DDC5AA">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lang w:eastAsia="zh-CN"/>
              </w:rPr>
              <w:t>重庆市涪陵城区第十小学校心理咨询室、音乐教室、智慧教室设备采购项目</w:t>
            </w:r>
          </w:p>
        </w:tc>
        <w:tc>
          <w:tcPr>
            <w:tcW w:w="1722" w:type="dxa"/>
            <w:tcBorders>
              <w:top w:val="single" w:color="auto" w:sz="4" w:space="0"/>
              <w:left w:val="single" w:color="auto" w:sz="4" w:space="0"/>
              <w:right w:val="single" w:color="auto" w:sz="4" w:space="0"/>
            </w:tcBorders>
            <w:shd w:val="clear" w:color="auto" w:fill="auto"/>
            <w:vAlign w:val="center"/>
          </w:tcPr>
          <w:p w14:paraId="3F1EEA30">
            <w:pPr>
              <w:widowControl/>
              <w:spacing w:line="440" w:lineRule="exact"/>
              <w:jc w:val="center"/>
              <w:rPr>
                <w:rFonts w:hint="default" w:ascii="微软雅黑" w:hAnsi="微软雅黑" w:eastAsia="微软雅黑" w:cs="微软雅黑"/>
                <w:kern w:val="0"/>
                <w:sz w:val="24"/>
                <w:highlight w:val="none"/>
                <w:lang w:val="en-US" w:eastAsia="zh-CN"/>
              </w:rPr>
            </w:pPr>
            <w:r>
              <w:rPr>
                <w:rFonts w:hint="eastAsia" w:ascii="微软雅黑" w:hAnsi="微软雅黑" w:eastAsia="微软雅黑" w:cs="微软雅黑"/>
                <w:kern w:val="0"/>
                <w:sz w:val="24"/>
                <w:highlight w:val="none"/>
                <w:lang w:val="en-US" w:eastAsia="zh-CN"/>
              </w:rPr>
              <w:t>182626.75元</w:t>
            </w:r>
          </w:p>
        </w:tc>
        <w:tc>
          <w:tcPr>
            <w:tcW w:w="1565" w:type="dxa"/>
            <w:tcBorders>
              <w:top w:val="single" w:color="auto" w:sz="4" w:space="0"/>
              <w:left w:val="single" w:color="auto" w:sz="4" w:space="0"/>
              <w:right w:val="single" w:color="auto" w:sz="4" w:space="0"/>
            </w:tcBorders>
            <w:vAlign w:val="center"/>
          </w:tcPr>
          <w:p w14:paraId="5F762475">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rPr>
              <w:t>财政资金</w:t>
            </w:r>
          </w:p>
        </w:tc>
        <w:tc>
          <w:tcPr>
            <w:tcW w:w="1729" w:type="dxa"/>
            <w:tcBorders>
              <w:top w:val="single" w:color="auto" w:sz="4" w:space="0"/>
              <w:left w:val="single" w:color="auto" w:sz="4" w:space="0"/>
              <w:right w:val="single" w:color="auto" w:sz="4" w:space="0"/>
            </w:tcBorders>
            <w:vAlign w:val="center"/>
          </w:tcPr>
          <w:p w14:paraId="3617485B">
            <w:pPr>
              <w:pStyle w:val="8"/>
              <w:ind w:left="0" w:leftChars="0" w:firstLine="0" w:firstLineChars="0"/>
              <w:jc w:val="center"/>
              <w:rPr>
                <w:rFonts w:hint="default" w:eastAsia="仿宋_GB2312"/>
                <w:highlight w:val="none"/>
                <w:lang w:val="en-US" w:eastAsia="zh-CN"/>
              </w:rPr>
            </w:pPr>
            <w:r>
              <w:rPr>
                <w:rFonts w:hint="eastAsia" w:ascii="微软雅黑" w:hAnsi="微软雅黑" w:eastAsia="微软雅黑" w:cs="微软雅黑"/>
                <w:kern w:val="0"/>
                <w:sz w:val="24"/>
                <w:szCs w:val="24"/>
                <w:highlight w:val="none"/>
                <w:lang w:val="en-US" w:eastAsia="zh-CN" w:bidi="ar-SA"/>
              </w:rPr>
              <w:t>0元</w:t>
            </w:r>
          </w:p>
        </w:tc>
        <w:tc>
          <w:tcPr>
            <w:tcW w:w="2184" w:type="dxa"/>
            <w:tcBorders>
              <w:top w:val="single" w:color="auto" w:sz="4" w:space="0"/>
              <w:left w:val="single" w:color="auto" w:sz="4" w:space="0"/>
              <w:right w:val="single" w:color="auto" w:sz="4" w:space="0"/>
            </w:tcBorders>
            <w:vAlign w:val="center"/>
          </w:tcPr>
          <w:p w14:paraId="6E2D1D81">
            <w:pPr>
              <w:pStyle w:val="8"/>
              <w:ind w:left="0" w:leftChars="0" w:firstLine="0" w:firstLineChars="0"/>
              <w:jc w:val="center"/>
              <w:rPr>
                <w:rFonts w:hint="default" w:ascii="微软雅黑" w:hAnsi="微软雅黑" w:eastAsia="微软雅黑" w:cs="微软雅黑"/>
                <w:kern w:val="0"/>
                <w:sz w:val="24"/>
                <w:szCs w:val="24"/>
                <w:highlight w:val="none"/>
                <w:lang w:val="en-US" w:eastAsia="zh-CN" w:bidi="ar-SA"/>
              </w:rPr>
            </w:pPr>
            <w:r>
              <w:rPr>
                <w:rFonts w:hint="eastAsia" w:ascii="微软雅黑" w:hAnsi="微软雅黑" w:eastAsia="微软雅黑" w:cs="微软雅黑"/>
                <w:kern w:val="0"/>
                <w:sz w:val="24"/>
                <w:szCs w:val="24"/>
                <w:highlight w:val="none"/>
                <w:lang w:val="en-US" w:eastAsia="zh-CN" w:bidi="ar-SA"/>
              </w:rPr>
              <w:t>1名</w:t>
            </w:r>
          </w:p>
        </w:tc>
      </w:tr>
    </w:tbl>
    <w:p w14:paraId="0E0333AD">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9" w:name="_Toc200359429"/>
      <w:bookmarkStart w:id="10" w:name="_Toc224103301"/>
      <w:bookmarkStart w:id="11" w:name="_Toc4698"/>
      <w:bookmarkStart w:id="12" w:name="_Toc200359240"/>
      <w:bookmarkStart w:id="13" w:name="_Toc395104610"/>
      <w:bookmarkStart w:id="14" w:name="_Toc277082538"/>
      <w:bookmarkStart w:id="15" w:name="_Toc287607730"/>
      <w:r>
        <w:rPr>
          <w:rFonts w:hint="eastAsia" w:ascii="微软雅黑" w:hAnsi="微软雅黑" w:eastAsia="微软雅黑" w:cs="微软雅黑"/>
          <w:bCs w:val="0"/>
          <w:snapToGrid w:val="0"/>
          <w:w w:val="99"/>
          <w:kern w:val="0"/>
          <w:sz w:val="24"/>
          <w:szCs w:val="24"/>
          <w:highlight w:val="none"/>
        </w:rPr>
        <w:t>二、</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资格条件</w:t>
      </w:r>
      <w:bookmarkEnd w:id="9"/>
      <w:bookmarkEnd w:id="10"/>
      <w:bookmarkEnd w:id="11"/>
      <w:bookmarkEnd w:id="12"/>
      <w:bookmarkEnd w:id="13"/>
      <w:bookmarkEnd w:id="14"/>
      <w:bookmarkEnd w:id="15"/>
    </w:p>
    <w:p w14:paraId="70FDA3E9">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供应商是指向采购人提供服务或者货物的法人、其他组织或者自然人。合格的供应商应首先符合政府采购法第二十二条规定的基本资格条件，同时符合根据该项目特殊要求设置的特定资格条件。</w:t>
      </w:r>
    </w:p>
    <w:p w14:paraId="75B11994">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（一）一般资质条件</w:t>
      </w:r>
    </w:p>
    <w:p w14:paraId="3A8D04BB">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1.具有独立承担民事责任的能力；</w:t>
      </w:r>
    </w:p>
    <w:p w14:paraId="20CEB650">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2.具有良好的商业信誉和健全的财务会计制度；</w:t>
      </w:r>
    </w:p>
    <w:p w14:paraId="012723D6">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3.具有履行合同所必需的设备和专业技术能力；</w:t>
      </w:r>
    </w:p>
    <w:p w14:paraId="4AB4EB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4.有依法缴纳税收和社会保障资金的良好记录；</w:t>
      </w:r>
    </w:p>
    <w:p w14:paraId="747DEB8D">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5.参加政府采购活动前三年内，在经营活动中没有重大违法记录；</w:t>
      </w:r>
    </w:p>
    <w:p w14:paraId="0DFB7385">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6.法律、行政法规规定的其他条件。</w:t>
      </w:r>
    </w:p>
    <w:p w14:paraId="0149E35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（二）特定资格条件</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无</w:t>
      </w:r>
    </w:p>
    <w:p w14:paraId="0A0BB957">
      <w:pPr>
        <w:pStyle w:val="3"/>
        <w:keepNext w:val="0"/>
        <w:keepLines w:val="0"/>
        <w:autoSpaceDE w:val="0"/>
        <w:autoSpaceDN w:val="0"/>
        <w:adjustRightInd w:val="0"/>
        <w:snapToGrid w:val="0"/>
        <w:spacing w:before="0" w:after="0" w:line="440" w:lineRule="exact"/>
        <w:ind w:firstLine="474" w:firstLineChars="200"/>
        <w:jc w:val="left"/>
        <w:rPr>
          <w:rFonts w:hint="eastAsia" w:ascii="微软雅黑" w:hAnsi="微软雅黑" w:eastAsia="微软雅黑" w:cs="微软雅黑"/>
          <w:bCs w:val="0"/>
          <w:snapToGrid w:val="0"/>
          <w:w w:val="99"/>
          <w:kern w:val="0"/>
          <w:sz w:val="24"/>
          <w:szCs w:val="24"/>
          <w:highlight w:val="none"/>
        </w:rPr>
      </w:pPr>
      <w:bookmarkStart w:id="16" w:name="_Toc324"/>
      <w:r>
        <w:rPr>
          <w:rFonts w:hint="eastAsia" w:ascii="微软雅黑" w:hAnsi="微软雅黑" w:eastAsia="微软雅黑" w:cs="微软雅黑"/>
          <w:bCs w:val="0"/>
          <w:snapToGrid w:val="0"/>
          <w:w w:val="99"/>
          <w:kern w:val="0"/>
          <w:sz w:val="24"/>
          <w:szCs w:val="24"/>
          <w:highlight w:val="none"/>
          <w:lang w:val="en-US" w:eastAsia="zh-CN"/>
        </w:rPr>
        <w:t>三</w:t>
      </w:r>
      <w:r>
        <w:rPr>
          <w:rFonts w:hint="eastAsia" w:ascii="微软雅黑" w:hAnsi="微软雅黑" w:eastAsia="微软雅黑" w:cs="微软雅黑"/>
          <w:bCs w:val="0"/>
          <w:snapToGrid w:val="0"/>
          <w:w w:val="99"/>
          <w:kern w:val="0"/>
          <w:sz w:val="24"/>
          <w:szCs w:val="24"/>
          <w:highlight w:val="none"/>
        </w:rPr>
        <w:t>、</w:t>
      </w:r>
      <w:r>
        <w:rPr>
          <w:rFonts w:hint="eastAsia" w:ascii="微软雅黑" w:hAnsi="微软雅黑" w:eastAsia="微软雅黑" w:cs="微软雅黑"/>
          <w:bCs w:val="0"/>
          <w:snapToGrid w:val="0"/>
          <w:w w:val="99"/>
          <w:kern w:val="0"/>
          <w:sz w:val="24"/>
          <w:szCs w:val="24"/>
          <w:highlight w:val="none"/>
          <w:lang w:eastAsia="zh-CN"/>
        </w:rPr>
        <w:t>询比</w:t>
      </w:r>
      <w:r>
        <w:rPr>
          <w:rFonts w:hint="eastAsia" w:ascii="微软雅黑" w:hAnsi="微软雅黑" w:eastAsia="微软雅黑" w:cs="微软雅黑"/>
          <w:bCs w:val="0"/>
          <w:snapToGrid w:val="0"/>
          <w:w w:val="99"/>
          <w:kern w:val="0"/>
          <w:sz w:val="24"/>
          <w:szCs w:val="24"/>
          <w:highlight w:val="none"/>
        </w:rPr>
        <w:t>有关说明</w:t>
      </w:r>
      <w:bookmarkEnd w:id="16"/>
    </w:p>
    <w:p w14:paraId="2EF3248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（一）供应商应通过“行采家”平台（http://www.gec123.com）进行注册，成为正式供应商方能参与采购活动。</w:t>
      </w:r>
    </w:p>
    <w:p w14:paraId="5D8A2A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（二）凡有意参加询比采购的供应商，请在行采家-电子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中心下载或到采购代理机构处领取本项目询比采购文件（含补遗、答疑、澄清文件）等询比采购前公布的所有项目资料，无论供应商下载或领取与否，均视为已知晓所有实质性要求内容。</w:t>
      </w:r>
    </w:p>
    <w:p w14:paraId="0A748E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（三）询比公告期限：自采购公告发布之日起</w:t>
      </w: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个工作日。</w:t>
      </w:r>
    </w:p>
    <w:p w14:paraId="0BB3E1B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（四）报名时间及方式</w:t>
      </w:r>
    </w:p>
    <w:p w14:paraId="0E61CCC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报名时间：自采购公告发布之日起至</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27</w:t>
      </w:r>
      <w:r>
        <w:rPr>
          <w:rFonts w:hint="eastAsia" w:ascii="微软雅黑" w:hAnsi="微软雅黑" w:eastAsia="微软雅黑" w:cs="微软雅黑"/>
          <w:snapToGrid w:val="0"/>
          <w:kern w:val="0"/>
          <w:position w:val="-2"/>
          <w:sz w:val="24"/>
          <w:highlight w:val="none"/>
        </w:rPr>
        <w:t>日17:00。</w:t>
      </w:r>
    </w:p>
    <w:p w14:paraId="344486F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报名方式：在询比采购报名时间内，供应商将《询比采购文件发售登记表》（加盖供应商公章）扫描后发送至278630419@QQ.com（邮箱）</w:t>
      </w:r>
    </w:p>
    <w:p w14:paraId="44A6B7D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 询比采购文件发售：人民币500元/份（</w:t>
      </w:r>
      <w:r>
        <w:rPr>
          <w:rFonts w:hint="eastAsia" w:ascii="微软雅黑" w:hAnsi="微软雅黑" w:eastAsia="微软雅黑" w:cs="微软雅黑"/>
          <w:snapToGrid w:val="0"/>
          <w:kern w:val="0"/>
          <w:position w:val="-2"/>
          <w:sz w:val="24"/>
          <w:highlight w:val="none"/>
          <w:lang w:val="en-US" w:eastAsia="zh-CN"/>
        </w:rPr>
        <w:t>发送</w:t>
      </w:r>
      <w:r>
        <w:rPr>
          <w:rFonts w:hint="eastAsia" w:ascii="微软雅黑" w:hAnsi="微软雅黑" w:eastAsia="微软雅黑" w:cs="微软雅黑"/>
          <w:snapToGrid w:val="0"/>
          <w:kern w:val="0"/>
          <w:position w:val="-2"/>
          <w:sz w:val="24"/>
          <w:highlight w:val="none"/>
        </w:rPr>
        <w:t>发售登记表</w:t>
      </w:r>
      <w:r>
        <w:rPr>
          <w:rFonts w:hint="eastAsia" w:ascii="微软雅黑" w:hAnsi="微软雅黑" w:eastAsia="微软雅黑" w:cs="微软雅黑"/>
          <w:snapToGrid w:val="0"/>
          <w:kern w:val="0"/>
          <w:position w:val="-2"/>
          <w:sz w:val="24"/>
          <w:highlight w:val="none"/>
          <w:lang w:val="en-US" w:eastAsia="zh-CN"/>
        </w:rPr>
        <w:t>时联系代理人员缴纳</w:t>
      </w:r>
      <w:r>
        <w:rPr>
          <w:rFonts w:hint="eastAsia" w:ascii="微软雅黑" w:hAnsi="微软雅黑" w:eastAsia="微软雅黑" w:cs="微软雅黑"/>
          <w:snapToGrid w:val="0"/>
          <w:kern w:val="0"/>
          <w:position w:val="-2"/>
          <w:sz w:val="24"/>
          <w:highlight w:val="none"/>
        </w:rPr>
        <w:t>，售后不退）</w:t>
      </w:r>
      <w:r>
        <w:rPr>
          <w:rFonts w:hint="eastAsia" w:ascii="微软雅黑" w:hAnsi="微软雅黑" w:eastAsia="微软雅黑" w:cs="微软雅黑"/>
          <w:snapToGrid w:val="0"/>
          <w:kern w:val="0"/>
          <w:position w:val="-2"/>
          <w:sz w:val="24"/>
          <w:highlight w:val="none"/>
          <w:lang w:eastAsia="zh-CN"/>
        </w:rPr>
        <w:t>。</w:t>
      </w:r>
    </w:p>
    <w:p w14:paraId="5C5C75B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lang w:val="en-US" w:eastAsia="zh-CN"/>
        </w:rPr>
        <w:t>4</w:t>
      </w:r>
      <w:r>
        <w:rPr>
          <w:rFonts w:hint="eastAsia" w:ascii="微软雅黑" w:hAnsi="微软雅黑" w:eastAsia="微软雅黑" w:cs="微软雅黑"/>
          <w:snapToGrid w:val="0"/>
          <w:kern w:val="0"/>
          <w:position w:val="-2"/>
          <w:sz w:val="24"/>
          <w:highlight w:val="none"/>
        </w:rPr>
        <w:t xml:space="preserve">. </w:t>
      </w:r>
      <w:r>
        <w:rPr>
          <w:rFonts w:hint="eastAsia" w:ascii="微软雅黑" w:hAnsi="微软雅黑" w:eastAsia="微软雅黑" w:cs="微软雅黑"/>
          <w:snapToGrid w:val="0"/>
          <w:kern w:val="0"/>
          <w:position w:val="-2"/>
          <w:sz w:val="24"/>
          <w:highlight w:val="none"/>
          <w:lang w:val="en-US" w:eastAsia="zh-CN"/>
        </w:rPr>
        <w:t>供应商需要在规定的时间内发送《发售登记表》和完成费用缴纳</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否则</w:t>
      </w:r>
      <w:r>
        <w:rPr>
          <w:rFonts w:hint="eastAsia" w:ascii="微软雅黑" w:hAnsi="微软雅黑" w:eastAsia="微软雅黑" w:cs="微软雅黑"/>
          <w:snapToGrid w:val="0"/>
          <w:kern w:val="0"/>
          <w:position w:val="-2"/>
          <w:sz w:val="24"/>
          <w:highlight w:val="none"/>
        </w:rPr>
        <w:t>供应商</w:t>
      </w:r>
      <w:r>
        <w:rPr>
          <w:rFonts w:hint="eastAsia" w:ascii="微软雅黑" w:hAnsi="微软雅黑" w:eastAsia="微软雅黑" w:cs="微软雅黑"/>
          <w:snapToGrid w:val="0"/>
          <w:kern w:val="0"/>
          <w:position w:val="-2"/>
          <w:sz w:val="24"/>
          <w:highlight w:val="none"/>
          <w:lang w:val="en-US" w:eastAsia="zh-CN"/>
        </w:rPr>
        <w:t>将</w:t>
      </w:r>
      <w:r>
        <w:rPr>
          <w:rFonts w:hint="eastAsia" w:ascii="微软雅黑" w:hAnsi="微软雅黑" w:eastAsia="微软雅黑" w:cs="微软雅黑"/>
          <w:snapToGrid w:val="0"/>
          <w:kern w:val="0"/>
          <w:position w:val="-2"/>
          <w:sz w:val="24"/>
          <w:highlight w:val="none"/>
        </w:rPr>
        <w:t>不具备询比采购资格。</w:t>
      </w:r>
    </w:p>
    <w:p w14:paraId="2195905A">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（五）线上报价时间和要求</w:t>
      </w:r>
    </w:p>
    <w:p w14:paraId="46F1D22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线上报价时间：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日09时00分-10时00分（北京时间，下同）。</w:t>
      </w:r>
    </w:p>
    <w:p w14:paraId="62ADBD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线上报价要求：按本项目规定的时间在行采家-电子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中心进行网上报价，并在规定的时间内上传响应文件电子文档。未在规定时间内报价和上传响应文件电子文档的供应商不具备询比采购资格，（上传的电子文档内容应为全部响应文件盖章后的扫描件）</w:t>
      </w:r>
    </w:p>
    <w:p w14:paraId="27C388A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w:t>
      </w:r>
      <w:r>
        <w:rPr>
          <w:rFonts w:hint="eastAsia" w:ascii="微软雅黑" w:hAnsi="微软雅黑" w:eastAsia="微软雅黑" w:cs="微软雅黑"/>
          <w:snapToGrid w:val="0"/>
          <w:kern w:val="0"/>
          <w:position w:val="-2"/>
          <w:sz w:val="24"/>
          <w:highlight w:val="none"/>
          <w:lang w:val="en-US" w:eastAsia="zh-CN"/>
        </w:rPr>
        <w:t>六</w:t>
      </w:r>
      <w:r>
        <w:rPr>
          <w:rFonts w:hint="eastAsia" w:ascii="微软雅黑" w:hAnsi="微软雅黑" w:eastAsia="微软雅黑" w:cs="微软雅黑"/>
          <w:snapToGrid w:val="0"/>
          <w:kern w:val="0"/>
          <w:position w:val="-2"/>
          <w:sz w:val="24"/>
          <w:highlight w:val="none"/>
        </w:rPr>
        <w:t>）询比开始时间：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日10时00分</w:t>
      </w:r>
    </w:p>
    <w:p w14:paraId="68D1866C">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lang w:val="en-US" w:eastAsia="zh-CN"/>
        </w:rPr>
      </w:pPr>
      <w:bookmarkStart w:id="17" w:name="_Toc15493"/>
      <w:r>
        <w:rPr>
          <w:rFonts w:hint="eastAsia" w:ascii="微软雅黑" w:hAnsi="微软雅黑" w:eastAsia="微软雅黑" w:cs="微软雅黑"/>
          <w:bCs w:val="0"/>
          <w:snapToGrid w:val="0"/>
          <w:w w:val="99"/>
          <w:kern w:val="0"/>
          <w:sz w:val="24"/>
          <w:szCs w:val="24"/>
          <w:highlight w:val="none"/>
          <w:lang w:val="en-US" w:eastAsia="zh-CN"/>
        </w:rPr>
        <w:t>四、采购项目需落实的政府采购政策</w:t>
      </w:r>
      <w:bookmarkEnd w:id="17"/>
    </w:p>
    <w:p w14:paraId="75B0E02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A5A2BC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（二）按照财政部、工业和信息化部关于印发《政府采购促进中小企业发展管理办法》的通知（财库〔2020〕46号），落实促进中小企业发展政策。</w:t>
      </w:r>
    </w:p>
    <w:p w14:paraId="36DAB0C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（三）按照《财政部、司法部关于政府采购支持监狱企业发展有关问题的通知》（财库〔2014〕68号）的规定，落实支持监狱企业发展政策。</w:t>
      </w:r>
    </w:p>
    <w:p w14:paraId="3307FB6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（四）按照《三部门联合发布关于促进残疾人就业政府采购政策的通知》（财库〔2017〕 141号）的规定，落实支持残疾人福利性单位发展政策。</w:t>
      </w:r>
    </w:p>
    <w:p w14:paraId="79C2AD7A">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8" w:name="_Toc13303"/>
      <w:r>
        <w:rPr>
          <w:rFonts w:hint="eastAsia" w:ascii="微软雅黑" w:hAnsi="微软雅黑" w:eastAsia="微软雅黑" w:cs="微软雅黑"/>
          <w:bCs w:val="0"/>
          <w:snapToGrid w:val="0"/>
          <w:w w:val="99"/>
          <w:kern w:val="0"/>
          <w:sz w:val="24"/>
          <w:szCs w:val="24"/>
          <w:highlight w:val="none"/>
          <w:lang w:val="en-US" w:eastAsia="zh-CN"/>
        </w:rPr>
        <w:t>五、其它有关规定</w:t>
      </w:r>
      <w:bookmarkEnd w:id="18"/>
    </w:p>
    <w:p w14:paraId="72CC362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（一）单位负责人为同一人或者存在直接控股、管理关系的不同供应商，不得参加同一合同项（包）下的政府采购活动，否则均为无效报价。</w:t>
      </w:r>
    </w:p>
    <w:p w14:paraId="6E960D4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（二）为采购项目提供整体设计、规范编制或者项目管理、监理、检测等服务的供应商，不得再参加该采购项目的其他采购活动。</w:t>
      </w:r>
    </w:p>
    <w:p w14:paraId="0E21FCA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（三）同一合同项（包）下的货物，制造商参与报价的，不得再委托代理商参与报价。</w:t>
      </w:r>
    </w:p>
    <w:p w14:paraId="4AEBB55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（四）本项目的澄清文件（如果有）一律在行采家-电子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中心上发布，请各供应商注意下载或到采购代理机构处领取；无论供应商下载或领取与否，均视同供应商已知晓本项目澄清文件（如果有）的内容。</w:t>
      </w:r>
    </w:p>
    <w:p w14:paraId="0889E05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（五）询比费用：无论询比结果如何，供应商参与本项目询比的所有费用均应由供应商自行承担。</w:t>
      </w:r>
    </w:p>
    <w:p w14:paraId="1335C735">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（六）本项目不接受联合体参与报价。</w:t>
      </w:r>
    </w:p>
    <w:p w14:paraId="42FE4292">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（七）法定代表人为同一个人的两个及两个以上法人，母公司、全资子公司及其控股公司，不得同时参与同一采购项目的采购活动，否则均为无效响应。</w:t>
      </w:r>
    </w:p>
    <w:p w14:paraId="1B609B3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4646461">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9" w:name="_Toc20083"/>
      <w:r>
        <w:rPr>
          <w:rFonts w:hint="eastAsia" w:ascii="微软雅黑" w:hAnsi="微软雅黑" w:eastAsia="微软雅黑" w:cs="微软雅黑"/>
          <w:bCs w:val="0"/>
          <w:snapToGrid w:val="0"/>
          <w:w w:val="99"/>
          <w:kern w:val="0"/>
          <w:sz w:val="24"/>
          <w:szCs w:val="24"/>
          <w:highlight w:val="none"/>
          <w:lang w:val="en-US" w:eastAsia="zh-CN"/>
        </w:rPr>
        <w:t>六、联系方式</w:t>
      </w:r>
      <w:bookmarkEnd w:id="19"/>
    </w:p>
    <w:p w14:paraId="091C913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（一）采购事宜联系</w:t>
      </w:r>
    </w:p>
    <w:p w14:paraId="71C48E0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lang w:eastAsia="zh-CN"/>
        </w:rPr>
      </w:pPr>
      <w:r>
        <w:rPr>
          <w:rFonts w:hint="eastAsia" w:ascii="微软雅黑" w:hAnsi="微软雅黑" w:eastAsia="微软雅黑" w:cs="微软雅黑"/>
          <w:snapToGrid w:val="0"/>
          <w:kern w:val="0"/>
          <w:position w:val="-2"/>
          <w:sz w:val="24"/>
          <w:highlight w:val="none"/>
        </w:rPr>
        <w:t>采购人：</w:t>
      </w:r>
      <w:r>
        <w:rPr>
          <w:rFonts w:hint="eastAsia" w:ascii="微软雅黑" w:hAnsi="微软雅黑" w:eastAsia="微软雅黑" w:cs="微软雅黑"/>
          <w:snapToGrid w:val="0"/>
          <w:kern w:val="0"/>
          <w:position w:val="-2"/>
          <w:sz w:val="24"/>
          <w:highlight w:val="none"/>
          <w:lang w:eastAsia="zh-CN"/>
        </w:rPr>
        <w:t>重庆市涪陵城区第十小学校</w:t>
      </w:r>
    </w:p>
    <w:p w14:paraId="525472B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w:t>
      </w:r>
      <w:r>
        <w:rPr>
          <w:rFonts w:hint="eastAsia" w:ascii="微软雅黑" w:hAnsi="微软雅黑" w:eastAsia="微软雅黑" w:cs="微软雅黑"/>
          <w:snapToGrid w:val="0"/>
          <w:kern w:val="0"/>
          <w:position w:val="-2"/>
          <w:sz w:val="24"/>
          <w:highlight w:val="none"/>
          <w:lang w:val="en-US" w:eastAsia="zh-CN"/>
        </w:rPr>
        <w:t>余老师</w:t>
      </w:r>
    </w:p>
    <w:p w14:paraId="7546695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电  话：</w:t>
      </w:r>
      <w:r>
        <w:rPr>
          <w:rFonts w:hint="eastAsia" w:ascii="微软雅黑" w:hAnsi="微软雅黑" w:eastAsia="微软雅黑" w:cs="微软雅黑"/>
          <w:color w:val="auto"/>
          <w:sz w:val="24"/>
          <w:szCs w:val="24"/>
          <w:highlight w:val="none"/>
          <w:lang w:val="en-US" w:eastAsia="zh-CN"/>
        </w:rPr>
        <w:t>13996771787</w:t>
      </w:r>
    </w:p>
    <w:p w14:paraId="5738319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p>
    <w:p w14:paraId="52D60F4B">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采购代理：中兴铂码工程咨询（重庆）有限公司</w:t>
      </w:r>
    </w:p>
    <w:p w14:paraId="4FF57CA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联系人：闫老师</w:t>
      </w:r>
    </w:p>
    <w:p w14:paraId="70FFC86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电  话：13594579293</w:t>
      </w:r>
    </w:p>
    <w:p w14:paraId="62A54E2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（二）现场踏勘</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rPr>
        <w:t>不组织，由各投标人根据需要自行完成现场踏勘。</w:t>
      </w:r>
    </w:p>
    <w:p w14:paraId="11CA9400">
      <w:pPr>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br w:type="page"/>
      </w:r>
    </w:p>
    <w:p w14:paraId="61CA5364">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A97366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b w:val="0"/>
          <w:bCs/>
          <w:snapToGrid w:val="0"/>
          <w:w w:val="99"/>
          <w:kern w:val="0"/>
          <w:sz w:val="24"/>
          <w:szCs w:val="24"/>
          <w:highlight w:val="none"/>
          <w:lang w:val="en-US" w:eastAsia="zh-CN"/>
        </w:rPr>
      </w:pPr>
      <w:bookmarkStart w:id="20" w:name="_Toc1823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二</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技术</w:t>
      </w:r>
      <w:r>
        <w:rPr>
          <w:rFonts w:hint="eastAsia" w:ascii="微软雅黑" w:hAnsi="微软雅黑" w:eastAsia="微软雅黑" w:cs="微软雅黑"/>
          <w:sz w:val="36"/>
          <w:szCs w:val="36"/>
          <w:highlight w:val="none"/>
        </w:rPr>
        <w:t>要求</w:t>
      </w:r>
      <w:bookmarkEnd w:id="0"/>
      <w:bookmarkEnd w:id="20"/>
    </w:p>
    <w:p w14:paraId="58E4BCEF">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val="0"/>
          <w:bCs/>
          <w:snapToGrid w:val="0"/>
          <w:w w:val="99"/>
          <w:kern w:val="0"/>
          <w:sz w:val="24"/>
          <w:szCs w:val="24"/>
          <w:highlight w:val="none"/>
          <w:lang w:val="en-US" w:eastAsia="zh-CN"/>
        </w:rPr>
      </w:pP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”标注的技术需求为重要技术需求，若不满足将按照评标因素中相关规定处理</w:t>
      </w:r>
    </w:p>
    <w:p w14:paraId="40B439BF">
      <w:pPr>
        <w:pStyle w:val="4"/>
        <w:numPr>
          <w:ilvl w:val="0"/>
          <w:numId w:val="2"/>
        </w:numPr>
        <w:spacing w:before="0" w:after="0" w:line="240" w:lineRule="auto"/>
        <w:rPr>
          <w:rFonts w:hint="eastAsia" w:ascii="微软雅黑" w:hAnsi="微软雅黑" w:eastAsia="微软雅黑" w:cs="微软雅黑"/>
          <w:b/>
          <w:bCs w:val="0"/>
          <w:snapToGrid w:val="0"/>
          <w:w w:val="99"/>
          <w:kern w:val="0"/>
          <w:sz w:val="24"/>
          <w:szCs w:val="24"/>
          <w:highlight w:val="none"/>
          <w:lang w:val="en-US" w:eastAsia="zh-CN" w:bidi="ar-SA"/>
        </w:rPr>
      </w:pPr>
      <w:bookmarkStart w:id="21" w:name="_Toc25653"/>
      <w:r>
        <w:rPr>
          <w:rFonts w:hint="eastAsia" w:ascii="微软雅黑" w:hAnsi="微软雅黑" w:eastAsia="微软雅黑" w:cs="微软雅黑"/>
          <w:b/>
          <w:bCs w:val="0"/>
          <w:snapToGrid w:val="0"/>
          <w:w w:val="99"/>
          <w:kern w:val="0"/>
          <w:sz w:val="24"/>
          <w:szCs w:val="24"/>
          <w:highlight w:val="none"/>
          <w:lang w:val="en-US" w:eastAsia="zh-CN" w:bidi="ar-SA"/>
        </w:rPr>
        <w:t>招标项目一览及技术要求</w:t>
      </w:r>
      <w:bookmarkEnd w:id="21"/>
    </w:p>
    <w:p w14:paraId="1E85B575">
      <w:pPr>
        <w:numPr>
          <w:ilvl w:val="0"/>
          <w:numId w:val="0"/>
        </w:numPr>
        <w:rPr>
          <w:rFonts w:hint="eastAsia"/>
          <w:lang w:val="en-US" w:eastAsia="zh-CN"/>
        </w:rPr>
      </w:pPr>
    </w:p>
    <w:p w14:paraId="24889503">
      <w:pPr>
        <w:numPr>
          <w:ilvl w:val="0"/>
          <w:numId w:val="3"/>
        </w:numPr>
        <w:rPr>
          <w:rFonts w:hint="eastAsia"/>
          <w:lang w:val="en-US" w:eastAsia="zh-CN"/>
        </w:rPr>
      </w:pPr>
      <w:r>
        <w:rPr>
          <w:rFonts w:hint="eastAsia"/>
          <w:lang w:val="en-US" w:eastAsia="zh-CN"/>
        </w:rPr>
        <w:t>心理咨询室部分</w:t>
      </w:r>
    </w:p>
    <w:tbl>
      <w:tblPr>
        <w:tblStyle w:val="47"/>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3"/>
        <w:gridCol w:w="4"/>
        <w:gridCol w:w="1081"/>
        <w:gridCol w:w="1"/>
        <w:gridCol w:w="7483"/>
        <w:gridCol w:w="5"/>
        <w:gridCol w:w="330"/>
        <w:gridCol w:w="7"/>
        <w:gridCol w:w="374"/>
        <w:gridCol w:w="2"/>
      </w:tblGrid>
      <w:tr w14:paraId="2991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40" w:hRule="atLeast"/>
        </w:trPr>
        <w:tc>
          <w:tcPr>
            <w:tcW w:w="173"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5432A7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563" w:type="pct"/>
            <w:gridSpan w:val="2"/>
            <w:tcBorders>
              <w:top w:val="single" w:color="000000" w:sz="8" w:space="0"/>
              <w:left w:val="single" w:color="000000" w:sz="4" w:space="0"/>
              <w:bottom w:val="single" w:color="000000" w:sz="4" w:space="0"/>
              <w:right w:val="single" w:color="000000" w:sz="4" w:space="0"/>
            </w:tcBorders>
            <w:shd w:val="clear" w:color="auto" w:fill="A8EAE4"/>
            <w:vAlign w:val="center"/>
          </w:tcPr>
          <w:p w14:paraId="1970C3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3891" w:type="pct"/>
            <w:gridSpan w:val="2"/>
            <w:tcBorders>
              <w:top w:val="single" w:color="000000" w:sz="8" w:space="0"/>
              <w:left w:val="single" w:color="000000" w:sz="4" w:space="0"/>
              <w:bottom w:val="single" w:color="000000" w:sz="4" w:space="0"/>
              <w:right w:val="single" w:color="000000" w:sz="4" w:space="0"/>
            </w:tcBorders>
            <w:shd w:val="clear" w:color="auto" w:fill="A8EAE4"/>
            <w:vAlign w:val="center"/>
          </w:tcPr>
          <w:p w14:paraId="6B618E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设备技术参数说明</w:t>
            </w:r>
          </w:p>
        </w:tc>
        <w:tc>
          <w:tcPr>
            <w:tcW w:w="174" w:type="pct"/>
            <w:gridSpan w:val="2"/>
            <w:tcBorders>
              <w:top w:val="single" w:color="000000" w:sz="8" w:space="0"/>
              <w:left w:val="single" w:color="000000" w:sz="4" w:space="0"/>
              <w:bottom w:val="single" w:color="000000" w:sz="4" w:space="0"/>
              <w:right w:val="single" w:color="000000" w:sz="4" w:space="0"/>
            </w:tcBorders>
            <w:shd w:val="clear" w:color="auto" w:fill="A8EAE4"/>
            <w:vAlign w:val="center"/>
          </w:tcPr>
          <w:p w14:paraId="2845BD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97" w:type="pct"/>
            <w:gridSpan w:val="2"/>
            <w:tcBorders>
              <w:top w:val="single" w:color="000000" w:sz="8" w:space="0"/>
              <w:left w:val="single" w:color="000000" w:sz="4" w:space="0"/>
              <w:bottom w:val="single" w:color="000000" w:sz="4" w:space="0"/>
              <w:right w:val="single" w:color="000000" w:sz="4" w:space="0"/>
            </w:tcBorders>
            <w:shd w:val="clear" w:color="auto" w:fill="A8EAE4"/>
            <w:vAlign w:val="center"/>
          </w:tcPr>
          <w:p w14:paraId="0BF3BF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5FC1E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1E60C213">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bookmarkStart w:id="22" w:name="_Toc17777"/>
            <w:bookmarkStart w:id="23" w:name="_Toc18086"/>
            <w:bookmarkStart w:id="24" w:name="_Toc27350"/>
            <w:r>
              <w:rPr>
                <w:rFonts w:hint="eastAsia" w:ascii="微软雅黑" w:hAnsi="微软雅黑" w:eastAsia="微软雅黑" w:cs="微软雅黑"/>
                <w:i w:val="0"/>
                <w:iCs w:val="0"/>
                <w:color w:val="000000"/>
                <w:kern w:val="0"/>
                <w:sz w:val="16"/>
                <w:szCs w:val="16"/>
                <w:u w:val="none"/>
                <w:lang w:val="en-US" w:eastAsia="zh-CN" w:bidi="ar"/>
              </w:rPr>
              <w:t>1</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4F1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控制终端</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3077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1.商用台式机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2.市面品牌，支持win7或win10系统；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3.显示器：≥19英寸显示器；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4.键鼠：有线鼠标、键盘；</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5.内存容量：≥8GB;</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6.固态硬盘容量：≥512GB。</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7F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A3C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64F8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18819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CA3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办公桌椅</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BED0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办公桌椅为简约现代风格，材质采用厚度为25mm环保板材，面板具有树脂保护膜，耐摩擦不褪色。办公桌规格：≥1200mm*600mm*750mm。配套人体工学网面办公椅1把，舒适柔软，回弹性好。</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D71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E17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49907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13062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26C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初级版实木心理沙盘</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CABE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1个个体实木心理沙盘，使用尺寸：≥长720mm×宽570mm×深70mm，边框厚度≥15mm，沙盘含架子整体高度≥750mm。专用三底两面环保漆；内侧底与边框、底部为蓝色，外部为实木色，表面光滑不伤手、防水、耐磨不掉色。</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二、1个实木沙具柜，沙具柜规格：≥1500mm×300mm×980mm，柜体采用5层8阶设计，既美观又便于分类摆放选取沙具。</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三、600个沙具（宗教类、风车、灯塔等标志类、公共标识类、交通工具类、公共建筑类、桥栅栏类、日月等自然物类、贝壳山石类、现实中人物类、空想人物类虚拟人物、恐龙怪兽类、家具、日用品类、水生动物、野生动物类、家禽家畜类、草坪类、植物类、军队类）。</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四、沙盘游戏书籍1本。</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五、精选原色水洗砂10公斤：颗粒光滑、大小均匀、高温消毒。</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六、沙具选取框1套（沙具选取框X1个，清理刷H1个）。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七、含3天专业沙盘培训1人次名额（培训地点及开课时间统一通知，交通食宿费用自理）。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八、大数据资产管理系统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1、资产管理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（1）资产管理：支持资产管理，通过新建分类，新建下级或新建同级分类内容；支持对新建分类进行修改名称、删除分类等操作。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资产列表：支持在资产分类下新增资产，可进行资产编号、照片、资产分类、购入日期、创建时间、导入导出等操作。支持手动输入或通过智能分析补充象征意义内容；资产信息支持修改、删除和复制操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2、心理辅导活动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（1）个体设备辅导活动列表：支持新增个体设备辅导活动信息，包括辅导基础信息、沙盘设备辅导信息。支持修改、删除和导出。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（2）AI沙盘解读：支持录入沙盘的名称、主题、作品图片、基本情况，以及使用沙具；启用AI分析生成沙盘解读参考内容，支持重新分析。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沙盘团体设备辅导活动列表：支持录入团体活动基础信息、活动信息，支持录入多小组、多轮次的沙盘活动信息，每轮沙盘支持录入图片；支持编辑小组人员信息，添加或移除对应人员；活动内容支持修改、删除和导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3、辅导学习中心：支持新建分组，支持对新增分组修改名称、新建子分组、新建内容、删除等操作；支持在不同分组下新增内容，支持视频和图文格式，支持编辑和删除。  </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BC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F3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5A32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096D2F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C8C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心理文化墙装饰画系列一</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AA59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心理文化墙装饰画系列一：</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1、心理格言7幅，用于营造心理辅导室氛围；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2、材质：结皮PVC板，厚度约5mm，形态：圆形；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3、规格尺寸：小图直径320mm，中图直径430mm，大图直径460mm。</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A14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4C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5EFA5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C02926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A175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功能室使用规范</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BA06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1、内芯材质: 高清相纸；装裱方式: 黑色铝合金边框，环保透明面板；工艺: 喷绘；组合形式: 独立；图片形式: 平面；可免拆边框更换内芯。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2、含框尺寸: ≥440*570mm（±3mm）。</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82A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6D3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幅</w:t>
            </w:r>
          </w:p>
        </w:tc>
      </w:tr>
      <w:tr w14:paraId="6A2AE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012DC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C28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无声挂钟</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F119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控制咨询时间，尺寸：≥12英寸；机芯：静音机芯；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材质：金属、玻璃。</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C6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9C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4F7DE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CEBA8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D32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心理记录工具</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2E40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记录用，内存不少于32G。</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46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86B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支</w:t>
            </w:r>
          </w:p>
        </w:tc>
      </w:tr>
      <w:tr w14:paraId="3918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035AE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4BBFF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沙发+茶几</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6F4F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2个单人位,实木框架。布艺沙发，实木框架，采用海绵填充。茶几：圆形玻璃茶几或者木质茶几。</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5F9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D59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56DA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5"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116932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FB3A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智能情绪调节释压系统</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6348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一、系统功能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6"/>
                <w:szCs w:val="16"/>
                <w:u w:val="none"/>
                <w:lang w:val="en-US" w:eastAsia="zh-CN" w:bidi="ar"/>
              </w:rPr>
              <w:t>1、智能情绪调节释压系统材料组成部分包括底座、衣服、填充物、头套、内衬等组成部分，整体打造温馨舒适的体验效果；（提供CMA标记的材质相关的检测报告复印件并加盖公章；）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2、系统采用高性能主控芯片，有效保证系统稳定及高速运算能力；高性能解码芯片，实现MP3音频格式快速解码，播放流畅，音质清晰；</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3、系统提供了丰富的积极阳光正能量的语音内容，可满足不同情绪问题的正向引导；</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4、系统自带传感器3轴振动检测，可对操作进行检测，防止使用者过度使用，实现系统自我保护作用；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5、智能语音提醒功能：当使用一定时间后语音提醒，防止过度使用；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6、系统采用DC12V电压供电，电流输出稳定且简易安全；自带功放，直接接喇叭，功率可达30W，确保良好的音质输出。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二、产品配置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1、智能情绪调节释压系统硬件设备1个，上部高1400mm，底座直径680mm，高400mm。卡通外形，材料无毒环保，高弹性海绵，产品人性化设计结构简单，安装容易，击打时，摆动小，持久耐用、手感好，可击打可拥抱；</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2、护手套2对，采用了轻型耐用材料，可有效的缓冲打击时的撞击；</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3、摔打释压球2个，橡胶材质，充气使用，回弹性好，可坐和摔打；</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4、立式释压球1个，立式不倒整体110-145CM可根据使用情况进行调节。上部实心球体，外层高级仿皮材料，经打耐用。底座高≥21cm,直径≥46cm；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5、充气释压棒2根，长80cm，锥型，充气使用，内胆防水材质，外套蓝色保护套。</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C4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AE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bl>
    <w:p w14:paraId="671342F4">
      <w:pPr>
        <w:rPr>
          <w:rFonts w:hint="eastAsia" w:ascii="微软雅黑" w:hAnsi="微软雅黑" w:eastAsia="微软雅黑" w:cs="微软雅黑"/>
          <w:b w:val="0"/>
          <w:bCs/>
          <w:snapToGrid w:val="0"/>
          <w:w w:val="99"/>
          <w:kern w:val="0"/>
          <w:sz w:val="24"/>
          <w:szCs w:val="24"/>
          <w:lang w:val="en-US" w:eastAsia="zh-CN" w:bidi="ar-SA"/>
        </w:rPr>
      </w:pPr>
      <w:r>
        <w:rPr>
          <w:rFonts w:hint="eastAsia" w:ascii="微软雅黑" w:hAnsi="微软雅黑" w:eastAsia="微软雅黑" w:cs="微软雅黑"/>
          <w:b w:val="0"/>
          <w:bCs/>
          <w:snapToGrid w:val="0"/>
          <w:w w:val="99"/>
          <w:kern w:val="0"/>
          <w:sz w:val="24"/>
          <w:szCs w:val="24"/>
          <w:lang w:val="en-US" w:eastAsia="zh-CN" w:bidi="ar-SA"/>
        </w:rPr>
        <w:br w:type="page"/>
      </w:r>
    </w:p>
    <w:p w14:paraId="244E2FA5">
      <w:pPr>
        <w:numPr>
          <w:ilvl w:val="0"/>
          <w:numId w:val="0"/>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lang w:val="en-US" w:eastAsia="zh-CN" w:bidi="ar-SA"/>
        </w:rPr>
        <w:t>2、</w:t>
      </w:r>
      <w:r>
        <w:rPr>
          <w:rFonts w:hint="eastAsia" w:ascii="微软雅黑" w:hAnsi="微软雅黑" w:eastAsia="微软雅黑" w:cs="微软雅黑"/>
          <w:b w:val="0"/>
          <w:bCs/>
          <w:snapToGrid w:val="0"/>
          <w:w w:val="99"/>
          <w:kern w:val="0"/>
          <w:sz w:val="24"/>
          <w:szCs w:val="24"/>
          <w:highlight w:val="none"/>
          <w:lang w:val="en-US" w:eastAsia="zh-CN" w:bidi="ar-SA"/>
        </w:rPr>
        <w:t>音乐教室部分</w:t>
      </w: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
        <w:gridCol w:w="671"/>
        <w:gridCol w:w="7700"/>
        <w:gridCol w:w="418"/>
        <w:gridCol w:w="418"/>
      </w:tblGrid>
      <w:tr w14:paraId="1259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56"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769D320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44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44930E1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409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5B9BE4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设备技术参数说明</w:t>
            </w:r>
          </w:p>
        </w:tc>
        <w:tc>
          <w:tcPr>
            <w:tcW w:w="156"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10A599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56"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5C20848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3CFDF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84B5">
            <w:pPr>
              <w:keepNext w:val="0"/>
              <w:keepLines w:val="0"/>
              <w:widowControl/>
              <w:suppressLineNumbers w:val="0"/>
              <w:jc w:val="center"/>
              <w:textAlignment w:val="center"/>
              <w:rPr>
                <w:rFonts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B04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钢琴</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67D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1、规格：122型或以上立式钢琴。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2、外观尺寸：长≥150cm，宽≥59cm，高≥122cm。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3、五金件：钢琴外观可见的五金件采用不易氧化的银色合金类金属；顶盖铰链有加强筋的结构，能更稳定安全支撑顶盖。</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4、外壳：光亮黑色；板面粘贴防火板；使用不饱和环保树脂油漆，表面平整光亮；键盖商标使用镍片材质材料并封在油漆里。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5、上门：上门板固定卡扣采用精密模具加工的高分子材料固定件（非弹簧结构），结构牢固，安全耐用；上门板内侧安装金属长梁，能防止上门板长时间受温湿度变化影响导致的变形，且方便上门板拆装。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6、下门：采用下门边框装配结构，使下门板开合时避免与琴腿碰撞。</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7、谱架：采用实木制作。谱架铰链有插销固定结构，使谱架在闭合时可通过插销固定，防止时间长了之后铰链松动导致谱架闭合不紧，从而影响键盘盖关闭受阻。</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8、铁板：翻砂工艺铸铁板。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9、铁板高度：≥111.5cm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10、琴弦：圆形弦（截面为正圆形），镀锡防锈钢线；1#音有效弦长不小于119cm，30#音有效弦长不小于94cm。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11、音板：采用寒带地区缓慢生长的鱼鳞松制作的实木音板；音板须有防开裂防变形的特殊工艺或结构。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12、肋木：使用与音板相同材质木材，数量不少于11根。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13、弦轴板：由多层坚硬的榉木交错压榨制成。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14、弦码：采用多层榉木制作。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15、背柱：实木制作，五背柱设计，且背柱截面尺寸≥77*70mm；背柱整体严密牢固，无明显缝隙或粘贴痕迹。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16、键盘材质：有机玻璃白键片，仿乌木黑键键顶；键板采用不易变形的杨木层积材制作，含水率要求：6-12%；中座板采用椴木或杨木，含水率要求6-14%；使用铁粒代替传统铅粒配重，减少重金属使用，保证环保无污染。</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17、中盘：使用稳定不易变形的木材制作而成。除螺丝外中盘上面不加装任何金属加固或金属链接结构。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18、弦槌：要求用纯羊毛毡及鹅耳枥木或同等级材质制作。弦槌木芯采用数控设备成形，加以铆钉夹具装配，使弦槌整体更牢固。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19、缓降功能：原厂装配有缓降装置，使键盘盖可缓慢下降，确保使用者安全。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20、击弦机部件：转击器、联动杆、制音杆要求使用鹅耳枥木或同等级材质制作；鹅耳枥木实木（非多层）或同等级材质制作的调节档，不得有金属包裹；使用ABS或碳纤维材质的顶杆，顶杆轴架的粘合面底部增加藏胶槽，使组件装配更稳固，增加粘连的稳定性。</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21、踏瓣系统：使用拉杆结构。结构装配稳定，不受环境因素影响而变形，保持长期稳定的状态。</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704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C7D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14798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D7DF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645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音响系统</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912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配套信息：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1、近距离背夹麦克风：≥2个（含佩戴挂绳：≥2条）；</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2、智慧终端：≥1个；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3、扬声器：≥4个；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4、Type-C充电线：≥1根（2米）；主机适配线：≥1根（15米）；AUX音频线：≥1根（2米）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5、NFC解锁卡：≥4张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技术参数：</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1、音箱额定功率：单音箱≥20W；4音箱总功率：≥80W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2、额定阻抗： 8Ω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3、特性灵敏度：1.6KHZ（0 dB）</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4、输出声压级：1M 1W  88d</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5、额定频率范围:20HZ~20KHZ</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6、覆盖角度H×V：135°</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7、扬声器单元：≥2*4 。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8、箱体材料：机身为ABS ，彩盒箱为≥157克双铜。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9、音频输入接口：Aux、RCA接口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10、无感麦克风:≤32.5×24×49mm 终端机:≤148.5*109.5*43.5mm 音箱:≥299.2*140.7*149.21mm。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11、净重kg：</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11.1 音箱主机 ≥1868g。</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11.2 音箱副机≥ 1800g * 3。</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11.3 麦克风≤21g *2。</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11.4 终端机 ≤267g。</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31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36B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3A99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EDA5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943F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音乐节拍器</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F2BD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1、纯金属大机心、时尚的外观设计、使用方便、节拍精确、铃声悦耳。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2、速度范围：40-208拍/分。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3、尺寸：≥203*95*121mm。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DC6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C800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2AF55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B10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4AD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一体机及黑板</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54EF6">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 一、屏体及触控技术要求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1.智能交互黑板显示尺寸≥86英寸，分辨率：3840*2160，采用电容触控技术，在双系统下均支持50点触控及50点书写划线。(需提供CMA或CNAS认证检测机构出具的检测报告并加盖公章)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2.智能交互黑板表面玻璃采用高强度钢化玻璃，AG防眩光，硬度≥莫氏7级，石墨硬度≥9H。</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需采用全贴合设计，屏体表面无可见金属条纹，以45度角观察屏幕，钢化玻璃和液晶显示层无间隙密贴合，无水雾/水汽，减少显示面板与玻璃间的偏光、散射，画面显示更加清晰通透；178度可见屏体图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二、安全及能效要求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1.智能交互黑板背光系统支持DC调光方式，多级亮度调节，拍摄时画面无条纹闪烁。光源稳定无频闪，防止眼睛疲劳。</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2.智能交互黑板可进行硬件自检，包括对系统内存、存储、触控系统、光感系统、内置电脑、屏体信息、主板型号、CPU型号、CPU使用率、设备名称等进行状态提示及故障提示。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在任意通道、画面和软件所在显示内容下均支持纸质护眼模式，可实现画面纹理的实时调整；支持纸质纹理：素描纸、宣纸、水彩纸、牛皮纸、水纹纸；支持透明度调节与色温调节；显示画面各像素点灰度不规则，减少背景干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4.智能交互黑板具备屏体温度实时监控、高温预警及断电保护等功能。(需提供CMA或CNAS认证检测机构出具的检测报告并加盖公章)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三、教学要求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1.智能交互黑板前置面板至少具备1路HDMI接口（非转接），2路USB3.0接口，1路全功能的Type-C接口（全功能接口具备音频、4K视频、数据、触控、充电等功能，外接电脑可调用屏体麦克风、音响、摄像头等数据）。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2.为方便用户外接拓展设备，智能交互黑板后置非转接 HDMI输入≥2路，HDMI输出≥1路（支持安卓及其他通道信号输出）。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3.智能交互黑板具有通屏笔槽结构，可放置书写笔、粉笔、水性笔等，笔槽具有漏灰孔设计。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4.智能交互黑板接口具备丝印中文标识。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5.为方便维护，智能交互黑板具有前掀式维护功能，主屏向上掀起角度≥30°。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6.无需打开智能交互黑板背板，前置接口面板支持单独前拆维护。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7.智能交互黑板前置按键≥7个，可实现音量加减、窗口关闭、触控开关等功能，且按键均支持功能复用。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8.前置按键面板向上倾斜，与平板正面形成夹角，符合人体工学，操作更加便捷。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9.智能交互黑板采用≥12核国产化驱动芯片，8核CPU、4核GPU。 Android 系统版本≥14.0，内存≥8G，存储≥64G。</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10.采用针孔阵列发声设计，2.2声道，下边框具有6个发声单元，最大功率≥80W, 扬声器在100%音量下，1米处声压级≥90dB，10米处声压级≥80dB；最低谐振频率不高于100Hz。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11.内置一体化超高清5K摄像头，单颗摄像头有效像素＞1900W，可输出最大分辨率5104*3864的图片与视频，支持搭配AI软件实现自动点名点数功能，支持远程巡课功能，具备指示灯工作状态提示。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12.智能交互黑板内置8阵列麦克风，拾音角度≥180°，可用于对教室环境音频进行采集。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13.智能交互黑板具备前置组合式针孔电脑还原物理按键，具有中文标识，无需专业人员即可轻松解决电脑系统故障。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14.只需一根网线连接，即可实现Windows和Andriod双系统同时上网。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15.具备无线（包括Wi-Fi和Bluetooth蓝牙）独立模块，支持单独拆卸。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智能交互平板黑板内置Wi-Fi6无线网卡，支持2.4G、5G双频。智能交互平板内置系统连接Wi-Fi上网（STA）的情况下，嵌入式电脑会同步连接网络。智能交互平板内置系统支持自定义AP无线热点名称和密码，满足IEEE802.11a\b\g\n\ac\ax wave2协议标准，实现无线信号的中继和桥接，扩大无线网络的覆盖范围，适应不同教学需求和环境。</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四、应用功能要求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左右两侧可提供与教学应用密切相关的快捷键，数量各不少于15个，并支持自定义设置显示时间、显示模式，支持单侧显示、双侧同时显示，该快捷键至少具有关闭窗口、展台、桌面、多屏互动等教学常用按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2.在任意信号源下，从屏幕下方任意位置向上滑动，可调用快捷设置菜单无需切换系统，可快速调节Windows 和Android 的设置，并支持拖拽到屏幕任意位置。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3.智能交互黑板具有悬浮菜单，两指可快速移动悬浮菜单至按压位置，悬浮菜单可进行自定义分组，可添加AI互动软件等不少于30个应用。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4.支持智能手势，可通过多指操作屏幕实现悬浮窗快速调用、屏幕息屏或亮屏、屏幕下移、多任务等功能，方便教学操作。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5.为节约用电，具备自动待机功能，在无操作或无信号输入时，自动进入待机节能状态，时间间隔可自定义。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6.智能节电，可自定义设置，在无操作或无信号输入15分钟或更长时间,出现关机提示倒计时。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7.智能交互黑板处于关机通电状态，外接电脑、机顶盒等设备接入交互黑板时，智能交互黑板可识别到外接设备的输入信号后自动开机。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8.为方便管理，智能交互黑板具备锁屏功能，支持密码锁屏和二维码锁屏2种方式。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9.可自动识别新接入的信号源，并自动切换到该信号源显示，在断开连接后，弹出确认，10秒后返回之前信号源。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10.智能交互黑板支持远程在线系统升级，升级过程中，如遇电源中断，待恢复后，可实现断点续传，有效规避升级失败。</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32AB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7942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44979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95A6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25C0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音叉</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57F6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1、钢制，国际标准音叉，440HZ，A调。</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2.尺寸：长≥11.2cm，宽≥0.9cm。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AA24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F1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FE0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B675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6</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6AC8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小学音乐教学挂图</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E72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铜版纸彩色印刷，规格：≥740×520mm，全对开。小学音乐挂图含音乐家挂图≥25张，乐器挂图≥35张，识谱知识挂图≥10张。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含中国音乐家：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赵元任、刘天华、贺渌汀、黄 自、冼星海、丁善德、聂耳、马思聪、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外国音乐家；约翰·塞巴斯蒂安·巴赫、乔治·弗里德里希·亨德尔、约瑟夫·海顿、沃尔夫冈·阿玛多伊斯·莫扎特、路德维希·冯·貝多芬、弗朗兹·彼得·舒伯特、弗雷德里克·弗朗西斯克·肖邦、罗伯特·舒曼、朱塞佩·威尔第、约翰·施特劳斯、约翰内斯·勃拉姆斯、夏尔·卡米尔·圣桑、乔治·比才、彼得·伊里奇·柴科夫斯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爱德华·格里格、克罗德·德彪西、德米特里·肖斯塔科维奇、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民族乐器；二胡、京胡、笛、唢呐、笙、琵琶、柳琴、阮、扬琴、筝、古琴、埙、云锣、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我国少数民族乐器：马头琴、艾捷克、冬不拉、芦笙、巴乌、札木聂、伽倻琴、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西洋乐器：小提琴、中提琴、大提琴、提琴家族、长笛、单簧管、双簧管、大管、小号、长号、圆号、大号、萨克斯管 、民族管弦乐队、西洋管弦乐队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乐理部分；五线谱、谱号、谱表、音名与长鸣、音符与休止符、拍子与拍号、三连音与切分音、装饰音、音阶与调式、音程、常用记号、常见的歌曲基本结构。</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BF9D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EDB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350A1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045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7</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3A3E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9A6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1、PVC材质 8音一组。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2、声音明亮、清脆，音高清晰可辨，无其他杂音。</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5E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6EB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组</w:t>
            </w:r>
          </w:p>
        </w:tc>
      </w:tr>
      <w:tr w14:paraId="46775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33422">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D74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钟琴</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C431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1、铝制，木框架，音域4个八度（高、中、低音）。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2、音阶：32音，工艺：抛光打磨去峰边，铝片材质：优质铝材，琴键为银白色及黑色铝板,琴架为风干木可区分音，能演示高、中、低音。                                                                                                                                         3、琴身总长度长度：60~65CM，大头宽度：30~34CM,小头宽度：14~16CM。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C5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CD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5A505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D1DB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9</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A72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沙锤</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05DE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1、尺寸：长≥200mm。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3、特质：手柄抓握感舒适，控制感好。音色饱满。</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11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B6A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对</w:t>
            </w:r>
          </w:p>
        </w:tc>
      </w:tr>
      <w:tr w14:paraId="7F723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A5C7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B87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沙筒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D8AB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2、直径≥45mm，长≥145mm。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2D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4FC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D0ED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3D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11</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6A3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沙蛋</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A21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1、音色：音质清脆悦耳。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2、材质：木制。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3、尺寸：Φ≥4.5*6.2CM。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4、表面：环保漆，原木色。</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9E2B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F09A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对</w:t>
            </w:r>
          </w:p>
        </w:tc>
      </w:tr>
      <w:tr w14:paraId="1A0F5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F940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FA72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摇铃（串铃）</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544E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1、手柄长≥110mm。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2、榉木手柄/皮带/5铃、金属电镀铃铛</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5DB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B9E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对</w:t>
            </w:r>
          </w:p>
        </w:tc>
      </w:tr>
      <w:tr w14:paraId="4DB16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A3CA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60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棒铃</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3E51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1、21铃，尺寸：长≥210mm。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2、材质：榉木手柄，NC底漆+NC面漆。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3、特质：铃声音色饱满，丰富。手柄操作性强，确保动态控制</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26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2D5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8A19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FD4E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28F6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小号卡巴萨</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8C72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1、尺寸：长≥150mm，直径≥60mm。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2、材质：榉木，NC底漆+NC面漆，电镀珠链。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3、特质:木质手柄方便拿取，金属圆珠将音效显著提升，音色穿透力强。</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F27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EE7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7D6F3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D697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777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大号卡巴萨</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C977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1、尺寸：长≥180mm,直径≥110mm。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2、材质：榉木，NC底漆+NC面漆，电镀珠链。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3、特质:木质手柄方便拿取，金属圆珠将音效显著提升，音色穿透力强。</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C12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270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7BA6A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7246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16</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CE20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双响筒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757F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1、尺寸：长≥190mm。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3、特质：打棒敲击，高音与低音对比明显，有图案一面为低音。</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3EBA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A1D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570DE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FC3A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17</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F1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响板</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7856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2、外观：表面光滑完整，亚光PU漆面；圆形，主板及盖板各有两个孔，主板夹在两盖板中间，用线绳穿过两圆孔串联在一起。</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3、音质：清脆无杂音。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4、尺寸:直径55±5mm;长度：210±5mm。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587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0D4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70D5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6B08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D873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响棒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B7C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2、外观：亚光PU漆面，无锐利边角，毛刺，涂饰均匀；两根为一对；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3、音质：清脆悦耳；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4、尺寸:长180±5mm，直径20±2mm。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0D3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AFF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5BC3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D00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19</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8F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刮棒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410A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2、外观：亚光PU漆面，刮棱尺寸均匀，无锐利边角，毛刺，涂饰均匀；</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3、音质：音质清脆，悦耳；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4、尺寸:长190±5mm，直径22±2mm。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35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2FC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412E3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8CCCB">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BEF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北梆子</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013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1、长≥175mm宽≥60mm高≥40mm。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2、榉木材质。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3、表面光滑、完整、光亮，无脱皮、裂痕现象。</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8CCF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51C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6E76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B16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B40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南梆子</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F3E5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1、材质：榉木，坚实无疤节或劈裂。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2、规格：梆子长度≥230mm、直径：≥40mm,打棒长度≥210mm，外表光滑、圆弧和棱角适度。</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F4E6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6C4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52AE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123E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795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木鱼</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6AF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7音一组，椴木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1、长≥85宽≥90高≥80mm；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2、长≥75宽≥80高≥70mm；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3、长≥75宽≥76高≥70mm；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4、长≥72宽≥72高≥68mm；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5、长≥68宽≥73高≥67mm；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6、长≥66宽≥70高≥60mm；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7、长≥63宽≥66高≥57mm。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E23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7F7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317E3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F866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E72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铃鼓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9A05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1、材质：鼓面直径≥200mm。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2、材质：桦木4层鼓圈，NC底漆+NC面漆，本色（厚羊皮），6对铁质电镀镲片，皮革条，铜泡钉。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3、特质：鼓面音质饱满，钢制铃片音色高亮、延音效果好。</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AF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F72B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5714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4129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254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三角铁</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6A52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1.音色：金属打棒，手持提手悬空敲击发声，音质清脆悦耳；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2.材质：优质钢材；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3.尺寸：总长≥10+15+20CM，打棒长≥12cm；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4.表面：电镀工艺；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5.配件：打棒1个。</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7F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90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3AD8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384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8CE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棒钟</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19CE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1、尺寸：直径5CM（±5mm）。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2、榉木手柄，响铜。</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18C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9A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32596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E19C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26</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9229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碰钟</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52D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1、响铜制，系绳。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2、直径不小于44mm，高度不小于36mm，壁厚约不小于1mm。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3、两个一对。</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BCF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FB9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4171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0751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27</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09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蛙鸣筒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7C4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1、尺寸：长≥350mm。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3、特质：鱼型刮奏乐器，音色明亮，穿透力好。</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6BF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3D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345F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0AB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DCC0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扁鼓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D9B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1、牛皮鼓面。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2、鼓面直径：38cm±1cm，高度20cm±1cm。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AAE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5479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14BC9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13A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29</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6AF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小军鼓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4D1C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1、材质:聚酯膜鼓皮,多层桦木鼓腔,不锈钢压圈,有可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调手动变音装置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2、直径:≥350mm:高:≥140mm;安装“沙带”。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3、配件:一副鼓槌、背带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165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E612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面</w:t>
            </w:r>
          </w:p>
        </w:tc>
      </w:tr>
      <w:tr w14:paraId="7CF9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EE7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0E0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大军鼓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598E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1、材质:优质聚酯膜鼓皮,多层桦木鼓腔,铝合金压铸鼓圈</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2、规格:直径≥660mm,鼓高度≥250mm。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3、配件:一副鼓槌、背带。</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FE4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5C4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面</w:t>
            </w:r>
          </w:p>
        </w:tc>
      </w:tr>
      <w:tr w14:paraId="38F12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9FDC">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8CE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中虎音锣</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4069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1、优质响铜，厚度均匀、平整、无毛刺、无裂缝；</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2、直径：300mm±5mm。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3、主音集中，谐音丰富洪亮，无明显转音及颠音，附槌。</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FA53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E80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0352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7A8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EE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小锣</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672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1、优质响铜，厚度均匀、平整、无毛刺、无裂缝；</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2、直径：220mm±5mm，中心脐直径90mm±5mm，重量≥420g。</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3、主音集中，谐音丰富洪亮，无明显转音及颠音，附槌。</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962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2A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E97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4FC7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146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铙</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6661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1、响铜制。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2、直径≥30CM。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3、铙面光、弧度适度、圆度准确、边缘厚度一致，两面一副。</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BD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F7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7AA76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24D0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375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钹</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D605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1、响铜制。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2、直径：≥15CM。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3、钹面光、弧度适度、圆度准确、边缘厚度一致，两面一副。</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8B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CE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38F88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1030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4DB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多音鼓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328E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1、规格尺寸：四鼓，≥8"、≥10"、≥12"、≥13"。</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2、合成鼓皮。多层桦木鼓圈，可调铝合金支架，一对鼓槌，颜色随机</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F83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D4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7D070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43A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36</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E4ED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乐谱台</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BDE4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1、适合所有乐器配套使用。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2、材料：铁、铝合金。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3、普板尺寸：≥500*340mm。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4、整体高度：730-1400mm。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5、外表处理工艺：静电喷粉。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6、净重：≥1.85kg。</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426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E9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9C46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CA3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37</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6EB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六面体凳</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C9FE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1、尺寸：≥25*30*41cm。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2、内置金属龙骨。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3、侧面带手扣。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4、可搭合唱台。</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C5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BB6F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bl>
    <w:p w14:paraId="2B33577D">
      <w:pPr>
        <w:numPr>
          <w:ilvl w:val="0"/>
          <w:numId w:val="4"/>
        </w:numPr>
        <w:snapToGrid w:val="0"/>
        <w:spacing w:line="360" w:lineRule="auto"/>
        <w:rPr>
          <w:rFonts w:hint="eastAsia" w:ascii="微软雅黑" w:hAnsi="微软雅黑" w:eastAsia="微软雅黑" w:cs="微软雅黑"/>
          <w:b w:val="0"/>
          <w:bCs/>
          <w:snapToGrid w:val="0"/>
          <w:w w:val="99"/>
          <w:kern w:val="0"/>
          <w:sz w:val="24"/>
          <w:szCs w:val="24"/>
          <w:lang w:val="en-US" w:eastAsia="zh-CN" w:bidi="ar-SA"/>
        </w:rPr>
      </w:pPr>
      <w:r>
        <w:rPr>
          <w:rFonts w:hint="eastAsia" w:ascii="微软雅黑" w:hAnsi="微软雅黑" w:eastAsia="微软雅黑" w:cs="微软雅黑"/>
          <w:b w:val="0"/>
          <w:bCs/>
          <w:snapToGrid w:val="0"/>
          <w:w w:val="99"/>
          <w:kern w:val="0"/>
          <w:sz w:val="24"/>
          <w:szCs w:val="24"/>
          <w:lang w:val="en-US" w:eastAsia="zh-CN" w:bidi="ar-SA"/>
        </w:rPr>
        <w:t>智慧教室部分</w:t>
      </w:r>
    </w:p>
    <w:tbl>
      <w:tblPr>
        <w:tblStyle w:val="4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
        <w:gridCol w:w="537"/>
        <w:gridCol w:w="7837"/>
        <w:gridCol w:w="417"/>
        <w:gridCol w:w="418"/>
      </w:tblGrid>
      <w:tr w14:paraId="3F978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42"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16E4E7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6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4FD1E5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431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656FD6B1">
            <w:pPr>
              <w:keepNext w:val="0"/>
              <w:keepLines w:val="0"/>
              <w:widowControl/>
              <w:suppressLineNumbers w:val="0"/>
              <w:jc w:val="center"/>
              <w:textAlignment w:val="center"/>
              <w:rPr>
                <w:rFonts w:hint="eastAsia" w:ascii="宋体" w:hAnsi="宋体" w:eastAsia="宋体" w:cs="宋体"/>
                <w:b/>
                <w:bCs/>
                <w:i w:val="0"/>
                <w:iCs w:val="0"/>
                <w:color w:val="000000"/>
                <w:sz w:val="12"/>
                <w:szCs w:val="12"/>
                <w:u w:val="none"/>
              </w:rPr>
            </w:pPr>
            <w:r>
              <w:rPr>
                <w:rFonts w:hint="eastAsia" w:ascii="宋体" w:hAnsi="宋体" w:eastAsia="宋体" w:cs="宋体"/>
                <w:b/>
                <w:bCs/>
                <w:i w:val="0"/>
                <w:iCs w:val="0"/>
                <w:color w:val="000000"/>
                <w:kern w:val="0"/>
                <w:sz w:val="12"/>
                <w:szCs w:val="12"/>
                <w:u w:val="none"/>
                <w:lang w:val="en-US" w:eastAsia="zh-CN" w:bidi="ar"/>
              </w:rPr>
              <w:t>设备技术参数说明</w:t>
            </w:r>
          </w:p>
        </w:tc>
        <w:tc>
          <w:tcPr>
            <w:tcW w:w="143"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41EA92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43"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1A863FA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1DAFF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543746C6">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838E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智慧黑板</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1E45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 一、屏体及触控技术要求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1.智能交互黑板显示尺寸≥86英寸，分辨率：3840*2160，采用电容触控技术，在双系统下均支持50点触控及50点书写划线。(需提供CMA或CNAS认证检测机构出具的检测报告并加盖公章)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2.智能交互黑板表面玻璃采用高强度钢化玻璃，AG防眩光，硬度≥莫氏7级，石墨硬度≥9H。</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需采用全贴合设计，屏体表面无可见金属条纹，以45度角观察屏幕，钢化玻璃和液晶显示层无间隙密贴合，无水雾/水汽，减少显示面板与玻璃间的偏光、散射，画面显示更加清晰通透；178度可见屏体图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二、安全及能效要求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1.智能交互黑板背光系统支持DC调光方式，多级亮度调节，拍摄时画面无条纹闪烁。光源稳定无频闪，防止眼睛疲劳。</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2.智能交互黑板可进行硬件自检，包括对系统内存、存储、触控系统、光感系统、内置电脑、屏体信息、主板型号、CPU型号、CPU使用率、设备名称等进行状态提示及故障提示。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在任意通道、画面和软件所在显示内容下均支持纸质护眼模式，可实现画面纹理的实时调整；支持纸质纹理：素描纸、宣纸、水彩纸、牛皮纸、水纹纸；支持透明度调节与色温调节；显示画面各像素点灰度不规则，减少背景干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4.智能交互黑板具备屏体温度实时监控、高温预警及断电保护等功能。(需提供CMA或CNAS认证检测机构出具的检测报告并加盖公章)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三、教学要求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1.智能交互黑板前置面板至少具备1路HDMI接口（非转接），2路USB3.0接口，1路全功能的Type-C接口（全功能接口具备音频、4K视频、数据、触控、充电等功能，外接电脑可调用屏体麦克风、音响、摄像头等数据）。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2.为方便用户外接拓展设备，智能交互黑板后置非转接 HDMI输入≥2路，HDMI输出≥1路（支持安卓及其他通道信号输出）。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3.智能交互黑板具有通屏笔槽结构，可放置书写笔、粉笔、水性笔等，笔槽具有漏灰孔设计。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4.智能交互黑板接口具备丝印中文标识。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5.为方便维护，智能交互黑板具有前掀式维护功能，主屏向上掀起角度≥30°。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6.无需打开智能交互黑板背板，前置接口面板支持单独前拆维护。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7.智能交互黑板前置按键≥7个，可实现音量加减、窗口关闭、触控开关等功能，且按键均支持功能复用。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8.前置按键面板向上倾斜，与平板正面形成夹角，符合人体工学，操作更加便捷。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9.智能交互黑板采用≥12核国产化驱动芯片，8核CPU、4核GPU。 Android 系统版本≥14.0，内存≥8G，存储≥64G。</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10.采用针孔阵列发声设计，2.2声道，下边框具有6个发声单元，最大功率≥80W, 扬声器在100%音量下，1米处声压级≥90dB，10米处声压级≥80dB；最低谐振频率不高于100Hz。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11.内置一体化超高清5K摄像头，单颗摄像头有效像素＞1900W，可输出最大分辨率5104*3864的图片与视频，支持搭配AI软件实现自动点名点数功能，支持远程巡课功能，具备指示灯工作状态提示。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12.智能交互黑板内置8阵列麦克风，拾音角度≥180°，可用于对教室环境音频进行采集。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13.智能交互黑板具备前置组合式针孔电脑还原物理按键，具有中文标识，无需专业人员即可轻松解决电脑系统故障。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14.只需一根网线连接，即可实现Windows和Andriod双系统同时上网。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15.具备无线（包括Wi-Fi和Bluetooth蓝牙）独立模块，支持单独拆卸。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智能交互平板黑板内置Wi-Fi6无线网卡，支持2.4G、5G双频。智能交互平板内置系统连接Wi-Fi上网（STA）的情况下，嵌入式电脑会同步连接网络。智能交互平板内置系统支持自定义AP无线热点名称和密码，满足IEEE802.11a\b\g\n\ac\ax wave2协议标准，实现无线信号的中继和桥接，扩大无线网络的覆盖范围，适应不同教学需求和环境。</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四、应用功能要求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左右两侧可提供与教学应用密切相关的快捷键，数量各不少于15个，并支持自定义设置显示时间、显示模式，支持单侧显示、双侧同时显示，该快捷键至少具有关闭窗口、展台、桌面、多屏互动等教学常用按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2.在任意信号源下，从屏幕下方任意位置向上滑动，可调用快捷设置菜单无需切换系统，可快速调节Windows 和Android 的设置，并支持拖拽到屏幕任意位置。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3.智能交互黑板具有悬浮菜单，两指可快速移动悬浮菜单至按压位置，悬浮菜单可进行自定义分组，可添加AI互动软件等不少于30个应用。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4.支持智能手势，可通过多指操作屏幕实现悬浮窗快速调用、屏幕息屏或亮屏、屏幕下移、多任务等功能，方便教学操作。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5.为节约用电，具备自动待机功能，在无操作或无信号输入时，自动进入待机节能状态，时间间隔可自定义。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6.智能节电，可自定义设置，在无操作或无信号输入15分钟或更长时间,出现关机提示倒计时。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7.智能交互黑板处于关机通电状态，外接电脑、机顶盒等设备接入交互黑板时，智能交互黑板可识别到外接设备的输入信号后自动开机。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8.为方便管理，智能交互黑板具备锁屏功能，支持密码锁屏和二维码锁屏2种方式。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9.可自动识别新接入的信号源，并自动切换到该信号源显示，在断开连接后，弹出确认，10秒后返回之前信号源。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10.智能交互黑板支持远程在线系统升级，升级过程中，如遇电源中断，待恢复后，可实现断点续传，有效规避升级失败。</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1F8B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914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0C4C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2C15BA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23E56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OPS模块</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C1AC1">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1.内置电脑配置性能：不低于Intel第12代i7性能的CPU处理器、内存≥16G DDR4、硬盘≥512G SSD；</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内置电脑具备完善的系统备份与还原功能：支持系统盘的一键备份；支持电脑重启后系统的自动还原；当系统出现故障或者崩溃后，无需借助第三方工具（键盘、鼠标、移动盘等）、无需专业人员即可实现系统的还原恢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3.内置电脑具备完善的弹窗拦截功能：在软件系统的正常操作中，对广告弹窗实现一键拦截，支持查看各软件弹窗拦截次数、拦截记录等。</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F17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874B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B11F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D4A976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E0F60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系统管家</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61AC8">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1.部署简单，设备连通互联网，输入对应学校编码，自动识别终端设备类型，完成部署；</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2.系统依据学校名称自动生成学校编码，支持扫描二维码查询学校编码；</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3.窗口支持最小化隐藏到系统托盘，不影响教师日常使用；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4.一键查看设备连接信息，包含Windows/office版本，硬盘、CPU、蓝牙状态（关闭状态下可进行开启）、内存、网络状态、OPS S/N号、固件版本号；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5.系统还原、备份：一键备份数据并可系统还原至最新备份系统，解决系统异常等问题，如无最新备份系统，备份还原状态需要与硬件一键备份还原保持一致；</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6.弹窗拦截：提供广告拦截 ，对广告弹窗实现一键拦截，默认直接开启拦截；</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7.查看各软件弹窗拦截次数，拦截数量，所有拦截记录等，可提供软件拦截名单；</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8.看直播：展示该终端可看到的所有直播，在直播时间内，可进入直播进行观看；</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9.驱动程序：自动识别设备，获取当前设备驱动，可下载、升级至最新驱动；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10.支持终端自动升级；</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33E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9920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0190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1EDB8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D0BE6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设备集中管理运维平台</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39B26">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1.后台控制端采用 B/S 架构设计，可在 Windows、Linux、Android、IOS 等多种不同的操作系统上通过网页浏览器登录进行操作。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2.平台支持本地化和云端两种部署方式。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3.安全管理：首次登录，切换环境登录时验证身份手机验证码，保障系统安全性。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4.多层级管理：可设置不同权限的管理员，分配地点管理校园设备；账号与云端账号统一，根据手机号自动获取信息。</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设备详情：查看校园内所有设备的状态，包括在线、离线状态，教室名称、内存使用率、CPU使用率、C盘使用率，支持按照设备类型、设备名称进行查询筛选；支持按列表展示以及按缩略图展示；支持一键查看设备已安装应用情况，支持查看windows激活状态，支持查看office激活状态，支持查看windows版本信息，支持查看设备IP地址，支持查看当前设备序列号、声音及显示设置模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即时操作控制：批量对选定的受控设备进行关机、重启、触控切换（屏幕触控锁定、解锁），童锁切换、信号源切换、音量调节、打铃操作，一键锁屏设置，支持一键开启系统还原功能，一键系统备份，一键设置显示模式，显示模式支持标准、鲜艳、明亮、护眼，一键支持声音模式设置，声音模式至少包含标准、教师、会议、影院四种场景设置，支持一键设置系统桌面壁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定时操作控制：可远程对选定的设备做定时关机、定时打铃、定时切换信号源、定时信息发布，实现单次、每日循环、每周循环、每月循环的定时控制。支持定时操作列表查询，并可对具体某项定时操作进行再次编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7.控制列表：支持查看控制列表，查看立即控制、定时计划、信息发布等内容；包含下发命令内容、执行时间、执行策略、已执行数量等内容。</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屏幕锁：支持对单个设备或多个设备进行远程一键锁屏指令下发，可设置计划时间下发。-9.开机锁屏：支持一键批量设置开机锁屏功能，一键修改锁屏密码，一键禁用密码锁屏、一键设置锁屏极速、普通模式，支持自定义锁屏功能生效时间，支持一键设置锁屏壁纸，支持自定锁屏壁纸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10.冰点管控：可按场地、设备状态、设备名称对冰点管控设备进行重启、批量冻结、批量解冻，可对单台设备或多台设备进行批量设置，可冻结单个盘符或多个盘符，统计开启冰点设备总数。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11.冰点穿透：可按照时间段设置冰点穿透功能，在设置时间段可对教学软件进行教学软件更新，超出时间段则启动冰点保护功能。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12.冰点限制：支持单台或多台设备开启冰点限制功能，下发虚拟内存一键设置。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13.发布信息：可即时向任意选定的设备发布纯文本信息，支持常驻桌面型、滚动发布型及气泡弹出提示，可设置播放时长，支持再次编辑；支持设置字体及字体颜色。</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14.文件分发：支持多文件推送至任意选定的设备，包括文本、图片、pdf、word、excel、ppt、flash、音视频。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15.软件管理：支持上传软件至平台，自动下发至桌面进行自动运行安装。</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16.远程巡课：默认查看当前屏幕画面，实时监控当前设备桌面，支持同时查看设备不少于80台；可切换摄像头画面，支持学生画面、教师画面同步教室声音；无需部署本地巡课服务器。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17.支持查看摄像头直播画面，6路视频流显示画面，支持每30S进行轮巡。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18.支持在巡课时进行巡课喊话、巡课备注（可以截取屏幕并备注）和教学评价（课程维度点评及课程亮点记录），并可在巡课记录中查看巡课备注以及教学评价的相关信息。</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19.视频直播：本地无需部署直播服务器，无需绑定IP地址，云端直接开启直播； 可预约直播，选择日期、时间进行预约；直播开始时，接收端弹出10秒倒计时提醒，直播时间结束时，自动关闭直播。</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20.课间文化：选择音/视频下发至大屏，自定义时间自动播放；单次播放，每日/每周/每月定时播放；无需部署本地服务器。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21.发布文字信息：可即时向任意选定的设备发布纯文本信息，支持常驻桌面型、滚动发布型及气泡弹出提示，可设置播放时长，支持再次编辑；支持设置字体及字体颜色；发布信息后，平台会筛查内容是否含有违规或敏感信息，若无则可发布，若有则会提醒进行修改。下发任何形式的课间文化均需要审核员进行审核，审核员通过才能完成下发任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23.设备告警列表：将信号通道跳转异常、屏幕显示异常、无法连接WIFI、按键无作用、快捷键不能用等情况进行展示。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24.设备状态列表：将内存占用过高、CPU占用过高、屏温过高情况进行检测并提醒。</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内存使用告警显示正常设备占比量和告警设备告占比量；CPU使用告警以饼状图的形式，显示正常设备、告警设备、报修设备的总数量；磁盘使用警告率列表：显示正常设备占比量和告警设备告占比量。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25.设备告警：显示软硬件相关的异常状态，以及修复情况，支持双侧快捷键、触摸框、无线网卡驱动、显卡驱动、消息中心、屏幕温度高、第三方OPS等。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26.设备运维增长趋势：显示环比增长率、各类设备环比增长率、同比增长率内容展示。27.系统优化：下发自动化策略，可根据开机状态、系统保护状态、具体下发状态、工具执行状态进行筛选下发。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28.软件审核：支持查看并处理第三方软件静默安装的申请，可对软件进行审核。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29.报修查询统计：可查看报修ID、产品类型、设备名称、班级名称、所属学校、故障内容、报修时间，并且可自定义时间导出报表。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30.设备检测：显示设备信息、可远程将系统备份、还原、重启，并且支持设备检测。</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31.固件包管理：可将设备远程固件包升级。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32.升级日志：支持查看所有类型账号的固件升级日志；日志类型中包括自动升级、手动升级。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33.以图文形式对设备的使用情况进行数据统计，可以按照一定时间周期进行统计，也支持按日、周、月进行统计。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34.统计内容包括设备数量、设备开机率、设备开机时长、软件使用活跃度、设备活跃度排行、设备使用时长分布、设备在线数量、学科使用情况等，支持以统计图表显示及以excel格式导出。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35.区级管理员可查看该区域下所有学校设备数据，校级管理员可查看本校所有设备数据。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36.学校信息：支持查看学校信息，学校编号、设备授权数量、学校地址、校管理员名称、联系电话等。</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7577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CBE3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22DF0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424881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6D13F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壁挂展台</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DD2142">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一、硬件参数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1.整机采用USB方式供电，支持壁挂和桌面两种安装方式，托板边角采用圆弧倒角设计，无需气压杆支撑。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2. 整机采用高清摄像头设计， 镜头≥1600W像素，中心线≥1800 线，四周线≥1400 线，分辨率（解析度）≥4624×3468，画面展示更加清晰。（需提供CMA或CNAS认证检测机构出具的检测报告并加盖公章）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3.变焦：12倍数字变焦，图像色彩：24位及以上，摄像头支持JPG图片拍摄及MP4视频录制。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4.整机内置高灵敏麦克风，满足教学录制需求。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5.具备LED补光灯按键和拍照按键，拍摄幅面：A4及以上。</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6.展台托板具有磁吸结构设计，在合上托板后，吸附在上盖内侧，确保安全。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7.展台托板可承重3kg。</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二、展台软件参数：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1.根据教学语言环境可设置中、英文切换。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2.展台软件启动后自动弹出手势操作提醒，并在一段时间后自动关闭。</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3.使用过程中可通过2指进行缩放，单指移动画面，批注状态下支持手背擦除。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4.支持对比联动功能，选择对比图片中的任意一张进行旋转、移动、放大其余图片也同时完成该操作。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5.支持六张图片及以上同屏对比，每张图片独立批注，不可跨区域批注，并可对单张图片进行旋转、全屏、缩放、删除等操作。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6.为增强文字显示对比度，具备AI拍照的功能，并可根据的实际使用需求开启或关闭。</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7.可通过屏幕左下画面缩略图，在展示画面放大的情况下，快速移动到达画面任意位置，实现鸟瞰功能。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8.可对展台性能进行检测，包含但不限于硬件连线连接情况与摄像头占用情况。</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E69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281C6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0A379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0B82D9F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7C06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智慧讲桌</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0B8A1">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1.讲桌需采用至少1.2mm冷轧钢板桌体，整体外观流线型设计，具备防火特性，正面中部受到170N的冲击力时不会倾倒。</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2.桌面需采用抗倍特板材质，具备防水、耐撞击性、耐磨、防火、耐烟灼、防静电，稳定性强、平整又不易变形、无毒无害、绿色环保等特性。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3.讲桌尺寸：长度≥1200mm、宽度≥650mm、高度≥1020mm，根据人体力学设计，讲台桌面高度合适老师放置教学用品，兼顾站立教学或者坐着操作电脑。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4.桌面内置≥23英寸电容触控屏，并支持至少10点同时触摸。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5.电容触控屏具备单独的开关按键，显示屏接口类型为VGA，HDMI，屏幕分辨率支持≥1920×1080像素，屏幕融合在讲台中，无突出边角，无法在没有工具的情况下拆除。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6.电容触控屏支持同步显示并能操控交互智能平板的画面，与桌面呈至少25°角，以最佳视角显示教学内容，教师正面授课，录像效果好，提高教学效率。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7.讲桌桌面内置弹射式接口面板，支持≥1个HDMI接口、≥1个VGA接口、≥1个USB口、≥1个网络接口、≥1个音频接口等，不使用时，可按下与桌面平齐，避免受到撞击，支持笔记本电脑接入。</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8.支持外接PC电脑，可以将PC电脑内容显示在主屏上，支持≥1路HDMI OUT输出，可外接投影、显示器等多媒体设备。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9.讲桌柜体左侧预留电脑主机观察窗口，无需打开柜体的情况下也能正常开关电脑主机；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10.讲台具有≥2个220V五口电源接口，方便老师接入笔记本电脑等设备。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讲桌需具有键盘抽屉，可放置黑板擦、书写笔、键盘和鼠标等，抽屉内预留≥4路USB快速充电接口，即使讲桌不开机，依然可以持续充电，可连接键盘鼠标使用,方便教师操作，讲桌桌面留有足够空间放置笔记本、教案等物品。</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12.柜体下方设置有19英寸设备安装机柜，高度≥10U。</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13.要求柜体下方预留多处散热孔，可以有效保证讲桌内设备的热量及时散出。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14.要求讲桌支持安装地脚，选配增高底座，预留增高底座安装孔位。</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40A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8DE1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1C7A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5E927D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A29E7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光能黑板</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8AD33">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1、触控一体机两侧各放置一块光能黑板。单块光能黑板≥1129（长）*1315（高）mm。下边框具有可调节托板，可根据触控一体机高度进行调整至与触控一体机高度平齐，兼具置物功能。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2、考虑黑板的边角安全因素，黑板四角应为圆角，且径向半径不小于4mm，法向半径不小于0.3mm。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3、边框采用铝合金材质，坚固耐用，具有较好的耐腐蚀特性。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4、黑板侧面应采用侧封板，用于遮挡光能黑板与墙面间的缝隙，侧封板在非拆除形式下，能够调整侧封板与墙面的闭合距离，便于安装及后期调节。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5、无需专用耗材，采用多种笔杆均可在板面进行书写，消除了粉笔粉尘对师生构成的健康隐患。可擦写次数不低于10万次。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▲6、为减少老师书写的疲劳感，板面粗糙度Sa≤0.3um。（提供CMA或CNAS认证检测机构出具的检测报告并加盖投标人公章）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一键擦除时间不大于1.5秒，擦除应无断点、无死角等，擦除后应无明显残留痕迹,为方便使用，可使用板擦和手势对板书进行局部擦除，局部擦除时间不大于0.4秒，擦除应无断点、无死角等，擦除后应无明显残留痕迹，且非擦除区域不受影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8、黑板内设有电压调整机制，支持自动感应调整，也支持通过手势按压书写板板面的特定位置，调节局部擦除的灵敏度，适应不同用户的使用需求。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9、最大工作电流（瞬间电流）不得超过1000mA。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黑板表面具有暗格，用以提供给师生在书写板书时的直线参照，可避免板书歪斜。黑板表面可吸附磁贴、磁扣等教学工具，便于老师教学使用。（提供CMA或CNAS认证检测机构出具的检测报告并加盖投标人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11、为让老师能够快速调取交互软件，方便使用功能，光能黑板的左侧或右侧应具有触摸快捷键。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二、软件要求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1、左、右光能黑板可与触控一体机进行互动，将光能黑板的内容与触控一体机无缝连接，教师在光能黑板上的书写内容可同步显示在触控一体机上。</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2、为便于老师记忆和操作，板书界面与电脑桌面/PPT课件之间，可以来回切换，方便快捷。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3、可以通过触摸快捷键快速切换单页和多页显示：单板书写时，可单页面显示（此时只有一块黑板界面）；多板同时书写时，可多页面同时显示。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4、当不需要板书传输到软件显示界面时，可以使用分屏功能，断开黑板与大屏的传输，使其成为互不影响的多块黑板。</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5、设置不同的软件端笔迹颜色，可实现老师对于教学重点的标识及批注；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保存后的板书可以上下翻页，也可以通过触摸快捷键，快速预览所有已经存储的板书内容。当点击光能黑板上的上下翻页时，仅对当前光能黑板的同传内容进行上下翻页，而不影响另一块光能黑板的同传界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7、对板书的电子文档进行分享，可以存储在本地PC端，同时生成二维码，便于师生扫码获取。</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DCF22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2CE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25A5A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563DBE4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4E9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4K录播一体机</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E30913">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录播主机需采用一体化嵌入式硬件设计架构，内置不低于国产化八核处理器，Linux系统，≥8GB内存，≥2T硬盘。至少满足录制、直播、点播、互动、导播管理、存储、切换、视音频编码、语音转写、虚拟抠像、行为分析等功能，支持远程互动教学，实现远程互动网络课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2.录播主机具有≥6英寸触控液晶屏幕，可显示设备运行状态等信息，可通过触控方式设置设备基础信息。</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3.视频输入接口：支持≥4路HD BaseT接口，≥4路HDMI接口，其中HD BaseT技术可实现远距离4K超高清信号无压缩、无延时传输，一根网线即可完成供电、控制、传输。</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4.视频输出接口：支持≥4路本地视频输出接口，至少包括2路HDMI接口（至少1路HDMI可自定义输出视频源和分辨率）和2路HDBaseT接口。</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5.音频接口：支持≥2路本地音频信号采集接口；支持≥3路音频输出接口，其中至少2路凤凰端子输出接口，1路3.5mm输出接口。</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6.支持≥2路100/1000Mbps自适应网口。支持双网卡，支持局域网（网络摄像机等设备的接入）和互联网彼此隔离，独立工作，互不影响。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7.支持≥1路TYPE-C接口；≥2路USB 3.0接口，支持连接鼠标、键盘进行导播控制以及主机连接U盘进行课程视频的录制、下载。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8.具有≥5路控制口，支持至少4路RS232接口和1路RS485接口，可支持对接第三方中控、物联等可编程软件，实现对设备的管控。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9.支持外接光驱刻录光盘，拷贝本地视频至光驱刻录。</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10.视频编码：需支持H.265和H.264两种视频编码协议，实现更高效率和更好质量的编码技术，支持4K分辨率（3840*2160）视频的编码和录制。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11.要求支持IPV4、IPV6链路地址、IPV6外网地址三个网络地址配置，支持启用DHCP自动获取IP地址。</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12.为保证具有更好的散热效果，主机需内置散热风扇，可自定义主机风扇转速。</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4A83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0A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E392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026442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CF70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4K高清录播系统</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FF057E">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1.系统支持账号密码登录，支持电影模式、资源模式等录制模式，支持≥1路电影模式加≥6路资源备份，可同时录制合成画面、教师全景、教师特写、学生全景、学生特写、板书画面、电脑画面。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2.录制格式至少支持MP4/FLV/TS，录制分辨率支持3840*2160、1920*1080等，支持录制帧率设定，可选择25fps/30fps。</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3.支持实时显示录播主机CPU的使用率，硬盘使用情况，不少于6路预监画面，可自定义通道预监画面名称。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4.要求导播模式支持视频预览、直播输出监视、视频切换等功能，其中鼠标拖动视频切换时支持导播小画面定位跟随。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5.支持添加字幕，支持包括系统时间在内的九种预设字幕的设置，其中系统时间支持自动校准。可直接通过拖拽实现自定义字幕显示位置。支持设置≥9种字体大小、≥8种字体颜色、≥8种字体背景颜色选择。</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6.系统界面自带虚拟软键盘，无需外接USB键盘，可输入中文、英文、数字、特殊符号。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7.支持导播模式设置：至少包括手动、半自动、全自动模式，具有自动轮巡导播模式，可自定义轮巡画面和间隔时长。</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8.需支持会议导播模式，开启会议模式后，系统根据会议麦克风发言自动切换视频画面预置位。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要求提供多种画面布局模式，支持视频画面叠加与组合，包括单画面、双分屏画面、三分屏画面、四分屏画面显示，可直接通过鼠标拖动通道画面实现多分屏布局显示画面的替换，替换时支持导播小画面定位跟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10.需支持自定义布局方式，支持多个视频图层自由叠加组合，自定义布局时可随意拖拉画面窗口，更改布局背景和边框颜色。</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11.支持≥4种片头和≥4种片尾的添加，可以设置插入片头片尾的时间，支持jpg、png格式。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12.台标支持≥4个固定位置，分别为左上、右上、左下、右下，支持手动拖拽移动台标，实现界面任意位置的台标设置。支持设定图片台标，支持jpg、png格式。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13.支持上滑、下滑、左滑、右滑等多种切换特效，支持自定义选择≥8种特效切换速度。</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14.要求系统支持摄像机云台控制，可以对摄像机进行变焦、上下左右位置调整以及≥8个预置位的设置。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15.要求系统可以进行音量设置，可以采用鼠标拖动方式控制设备输入输出的音量大小。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16.系统支持录制倒计时和循环记录功能，在硬盘存储空间为0时，仍可进行录制，将最早录制的视频文件删除，支持录制到U盘。</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17.所录制的视频文件既可存储在本地硬盘，也支持通过FTP上传至平台，同时支持用户随时通过录播主机点播回放视频，并可使用移动磁盘或硬盘拷贝下载，需支持本地文件重命名，具有视频文件回收站功能，保存至少7天后自动删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18.系统支持长视频分段录制的功能，可自定义视频文件分段时长，当录制课程时间较长时，可在不结束录制的条件下自动按分段时长将课程视频文件分割录制成多个视频文件，至少提供不限时长、45分钟、60分钟、90分钟、120分钟、150分钟、180分钟、240分钟等多种方式可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19.系统具有推送公网直播功能并可在设备上自动生成直播二维码，扫描即可观看直播，系统可选择创建直播类型，至少包括活动直播和教研直播，支持自定义直播标题和起始时间，可设置直播分辨率和码率，调接直播画面音量大小，支持直播列表的查看，直播列表展示课程天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20.系统需支持RTMP直播推流，推送的直播流可选择不同视频源，可选画面≥4个，可同时开启平台直播和三方推流直播。</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21.要求内置微课制作功能，支持不少于前景、人像、背景3层场景叠加，叠加的场景支持PPT、视频、图片，虚拟抠像后的人像等类型。支持虚拟抠像后合成的画面实现和远端进行音视频互动。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21.要求支持虚拟抠像功能，支持≥5路摄像机信号的虚拟抠像处理。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22.至少支持智能抠像和键显色两种抠像模式；智能抠像可用于无幕布场景使用，键显色模式支持专业蓝/绿箱或幕布环境下抠像，用户可根据环境灵活选择。</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23.需支持手动调整前景、人像大小以及位置，抠像功能支持噪点清除、去黑边、溢色清除、前景强化、边缘平滑、饱和度压缩、黑色加强等细节调整，支持校色系数调节由绿幕软件造成的色差，从而达到更为理想的抠像效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24.需支持自定义抠像区域，支持在主画面（播出画面）圈出抠像区域的方式进行抠像区域的选择，选定后的抠像区域，可通过鼠标拖拽调整抠像区域位置和大小；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25.系统应具有抠像画面合成功能，内置≥6种常用的画面布局样式，用户可根据需求自行设定≥4种画面布局样式；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26.要求不依赖网络、外置设备即可实现行为分析、实时字幕的语音转写和热词提取。系统内置行为分析系统，至少支持对教室人数、举手、站立、背身、趴下、低头、扭头人数的实时统计，并实时汇总学生的参与度、活跃度和抬头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27.行为分析可选择是否进行举手、趴桌、站立等行为数据展示，可选择学生全景相机位置，语音识别需支持区分角色，自动成生行为分析报告，报告可自动下载至本地文件夹中。</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9C5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98A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02D9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24F8F88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540E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图像跟踪系统</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B819A">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1.要求支持智能图像分析，结合具体的场景能够实现多个活动过程的跟踪识别，并对现场视频图像进行分析，实现常态化教学下的老师、学生多人跟踪识别。</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2.可快速设定教学有效区域的，光线、场景完全自适应，无论人的正面和侧面都会被准确识别，并能够通过后台查看到多人识别效果。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3.要求具备身高自适应功能，无论老师、学生挥手，左右晃动，前后仰俯晃动等都不会被误判。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4.要求具备较强的抗干扰能力，采用领先的防抖动特征跟踪算法，图像识别系统不受外在环境影响。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5.要求系统结构设计合理，设置简单，可以实现全自动跟踪识别；支持实时定位，可以自动识别目标位置、实时控制摄像头精确定位，实现特写拍摄。</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6.要求系统支持web界面访问，支持预览视频分析状态，可远程操控图像跟踪系统。</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7.要求系统支持摄像机自动跟踪，摄像机自动定位学生起立和教师移动，教师走进学生区域时，实时切换成教室全景画面。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8.要求系统支持区域聚焦功能，可通过浏览器在监视画面框选出聚焦区域，以该区域作为聚焦参考区域。系统对讲台区域监视画面框选时，聚焦区域包括教师跟踪、黑板跟踪等，确保智能跟踪分析的准确性。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9.要求系统支持焦距守望功能，可通过浏览器对监视画面设置守望点，可同时设置不少于4个守望点相连实现智能跟踪。</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10.要求系统具备跟踪拍摄和切换拍摄两种模式，两种模式之间支持一键切换。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11.要求系统智能识别教师身体朝向。当教师面朝学生时，智能切换至教师特写；当教师面向黑板时，智能切换至板书特写。板书特写采用伴随跟踪拍摄方式。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12.要求支持手势识别功能，可一键开启此功能。教师可以通过手势控制学生摄像机的拍摄。</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13.要求系统支持TCP、UDP两种传输协议，可以同时获取≥4路IP视频流进行智能图像分析，可对教师全景、板书全景、学生全景、学生巡视等景位进行设置。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14.要求支持两种跟踪模式：伴随式模式、“特写”与“全景”切换跟踪模式。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15.具有“模糊防抖”功能，避免人员小幅度活动时引起的摄像机画面抖动现象。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16.要求支持学生起立跟踪功能，支持当学生起立时学生特写摄像机跟踪拍摄，支持多个学生起立切换为学生全景拍摄。</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17.要求系统支持切换规则定制，可以精确调整切换时间，设置云台速度，速度系数不少于0～99可调。</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18.要求系统可设置变焦速度，速度系数不少于1～7可调,实现焦距拉伸时间的调节。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19.要求系统可设置跟踪灵敏度，灵敏度系数不少于0～9000可调。</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9F5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35C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4D5F5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5143382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60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跟踪半球</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97CE">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1.传感器类型：≥1/2.8英寸CMOS。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2.有效像素：≥200万，最大分辨率不低于1920×1080。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3.最低照度：0.01Lux(彩色模式)；0.001Lux(黑白模式)；0Lux(补光灯开启)；最大补光距离：至少50m（红外）。</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4.镜头类型：手动变焦；镜头焦距不小于2.8mm~12mm。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5.视频压缩标准：H.265；H.264；H.264B。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6.音频输入：1≥路（RCA头）。</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7.音频输出：≥1路（RCA头）。</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8.供电方式：DC12V/POE。</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9.防护等级：不低于IP67。</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457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64B3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40F3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4708A73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10C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4K超高清摄像机</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CC2C3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1.采用≥1/2.5 英寸CMOS，≥850万像素，需支持4K(3840×2160)分辨率，兼容1080P、720P等多种分辨率。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2.镜头:f=4.4mm~52.8mm，F1.8~F2.6，光学变焦≥12倍，数字变焦≥16倍。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3.需支持水平翻转、垂直翻转，水平视场角：不小于71°~8.2°；垂直视场角：不小于42.7°~4.5°;水平转动范围：不小于±170°，垂直转动范围：不小于-30°~30°；水平转动速度范围：不小于 1.7° ~76°/s，垂直速度范围：不小于0.5° ~ 15°/s</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4.支持不少于2D、3D数字降噪，图像信噪比≥55dB。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5.音频接口：≥1路Line in/Mic in,3.5mm音频接口，需支持 AAC 编码格式，音频采样率≥48KHz。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6.视频接口：≥1路HDMI out接口。</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7.控制接口：≥1路RS232 in,≥1路RS232 out，≥1路RS485，需支持VISCA/Pelco-D/Pelco-P协议。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8.网络接口：≥1路RJ45，10M/100M/1000M自适应口，支持POE。</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9.至少支持TCP/IP、HTTP、RTSP、RTMP/RTMPS、Onvif、DHCP、组播等网络协议等。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10.视频制式需支持50Hz/60Hz，编码等级可设置main profile/high profile，视频编码协议至少支持 H.264/H.265/MJPEG等；帧率支持1~30fps。</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11.需支持≥1路HDbaseT，需集视频、音频、控制及供电一线传输，支持传输4K视频，传输距离至少100 米。</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12.至少支持HDMI、网络、HDBaseT等输出方式，实现4K视频的同步输出。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13.摄像机配合录播主机可支持人物动作分析，至少识别举手、站立、背身、趴下、低头、扭头等人物动作分析。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14.需支持摄像机控制功能，至少包括云台控制、预置位设置与调用、焦距调节等，≥255预置位。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15.需支持多种白平衡方式，至少包括自动, 室内, 室外, 一键式, 手动。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16.需支持通过浏览器进行管理，至少包括亮度、饱和度、对比度、锐度、色度设置。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17.需支持DC 12V供电。</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6F1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F72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B84F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3BAC87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1B7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数字音频矩阵</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1A8395">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1.信号处理：要求主机采用≥4核高速DSP处理芯片，64bit处理内核，主频≥1GHz，信号处理延时≦8ms；支持48KHz采样率；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2.音频输入/输出：≥16路音频通道输入，≥16路音频通道输出。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3.麦克风输入：≥8路48V幻象供电的麦克风输入，幻象供电可软件开关。</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4.模拟音频输入：≥6路差分信号输入</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5.模拟音频输出：≥10路差分信号输出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6.增益调节：支持麦克风ADC增益0到35dB可调；支持DAC输出增益0到127等级可调；支持噪声抑制有0到18等级可调，混响抑制0到4级可调，扩声还原度0到10级可调。</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7.回声消除（AEC）：回音消除尾音长度：≥512ms，回声消除幅度：≥60dB, AEC有≥16等级可调，AEC延迟值4-255ms。</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8.反馈抑制（AFC）：反馈抑制效果器支持控制开关，并且支持≥16段自适应频率滤波器；反馈抑制频率可手动调整；反馈抑制效果器可有效提升传声增益幅度：≥15dB。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9.自动增益控制（AGC）：增益控制幅度-24dB到24dB可调，并可开关自动增益控制功能。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10.AI智能降噪（ANS）：内置AI智能降噪算法，有效降低和滤除教室内常见稳态噪声，同时还可有效降低和滤除教室内瞬态噪声，最大噪声抑制幅度≥36dB。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11.设备调音：主机软件可根据现场需求，分别支持反馈抑制调音、手持麦扩声调音和AEC调音功能。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一键调音：设备机身和调试软件均支持一键AI自适应声场调音。调音时，主机操作音箱自行发出调试声音，并在参数调试完成后自行结束调试。调试后，观察主机软件，可正确显示房间内吊麦及音箱数量，并明确显示调音成功或调音失败。</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DBC3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7C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61C29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491A1C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B718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指向性话筒</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2805C">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1.换能原理：电容式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2.声学类型：压强压差组合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3.指向性：心型单方向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4.灵敏度：-38dB±3dB 1v/pa 1Khz 2V/2.2KΩ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5.频率响应：20—18000HZ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6.最大声压级：≥120 dB(谐波失真不超过1%)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7.工作电压：≤48V </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221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233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支</w:t>
            </w:r>
          </w:p>
        </w:tc>
      </w:tr>
      <w:tr w14:paraId="6D2B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7627CE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F6E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无线话筒（带领夹）</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2E47A">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一拖二U段无线麦克风，至少一手持一腰包麦克</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一、接收机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1.主机标准机架式安装，需采用UHF高频段传输</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2.频率范围：640-690MHz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3.信道数量：200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4.频率生成方式：PLL锁相环频率合成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5.接收方式：超外差二次变频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6.导频方式：数字导频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5.接收灵敏度：-96dBm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6.音频响应：30Hz-18KHz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7.谐波失真：≤0.5%</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8.音频输出方式：平衡、非平衡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9.音频输出阻抗：600Ω±10%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10.综合失真度：＜0.5% @1KHz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11.工作电源：DC 12V/1A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二、手持麦</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1.工作电源：2 * AA（1.2V或1.5V）</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2.工作频率：640-690MHz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3.频率稳定度：±1 ppm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4.最大发射功率：10dBm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5.调制方式：FM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6.频率生成方式：PLL锁相环频率合成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7.话筒类型：高保真动圈式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8.话筒灵敏度：-53dB @ 1KHz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9.频率响应：30Hz-18KHz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10.拾音极性：心型指向性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11.拾音方式：动圈式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三、腰包</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1.工作电源：两节AA电池或镍氢充电电池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2.电池使用时间：不低于8小时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3.工作频率：640-690MHz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4.最大发射功率：10 dBm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5.音频频率响应：60 ~ 20 KHz</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F2E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D1C7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376F7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2A2827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C91D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功放</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EF19C">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1.支持≥2组音源输入，≥2路话筒输入，支持≥1组前置录音输出及A、B组功率输出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2.设备应具有设置反馈、混响功能，支持独立调节话筒、线路的音量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3.应具有话筒中控接口，话筒接口需支持6V幻像直流电源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4.额定功率：不低于2×60W/8Ω 立体声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5.频率响应：不低于20Hz-20KHz +1/-3dB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7.失真度：≤0.5%</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8.信噪比（话筒关闭、音调平直）：≥80dB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9.额定电源电压：交流220V /50Hz</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288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37A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A09A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6EB6F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249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音箱</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F1E1">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1.额定/峰值功率：≥60W/120W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2.额定阻抗：≥8Ω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3.特性灵敏度：≥88dB /w/m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4.连续声压级：≥113dB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5.最大声压级：≥120dB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6.额定频率范围（-3dB）：≥ 80Hz－18KHz                                                                                                             7.辐射角度（H×V）：  ≥90°×50°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8.扬声器单元：LF不低于6.5"×1，HF不低于2"×1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20AB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2F79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20B7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013CC9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B367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智能中控屏</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BA187">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1.采用≥10吋触控屏幕，分辨率不低于1920×1080。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2.不少于1个RS-232接口，1个USB接口，1个网络接口，1个HDMI接口。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3.需支持控制录播系统，至少包括录制、暂停、停止、开启互动等功能。</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22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289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91C6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492AB0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800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导播键盘</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569BA">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1.设备需支持网络控制方式，具有独立的IP地址。</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2.需采用变速四维摇杆进行控制，扭动摇杆可控制云台摄像机转动，镜头变焦放大缩小。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3.预置位要求对应录播设备的预置位功能，可调用录播设备的预置位，也可通过键盘设置预置位，先点击预置按钮，在通过右上角摇杆，选择合适的画面，再点击预置位数字即可设置成功。</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4.需采用自主设计的旋钮功能，具有无极调速功能，可实现云台速度、变倍速度调节。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5.需支持IE浏览器添加前端设备。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6.需支持添加至少6路摄像机ip\端口号。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7.预置位按键≥9，每路摄像机至少添加9个预置位。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8.布局按键≥5，对录播主机的布局切换。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9.视频切换按键≥7，切换录播的备播视频。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10.切换控制按键≥7，切换云台摄像机控制。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11.导播功能按键≥5，至少包括录播\暂停\停止\手自动\直播\VGA锁。</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12.输出接口：≥1个RS422、≥1个RS232、≥1个LAN网络接口</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70F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9341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25A39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20F4C2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85F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时序电源控制器</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9203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1.整机最大电流：≥15A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2.单路最大电流：≥13A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3.继电器最大电流：≥30A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4.输出路数：≥8路受控，2路直通</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5.USB输出：不小于5V1A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6.显示方式：≥2.4吋显示屏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7.通讯方式：支持RS232、网口</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8.级联数：≥255台</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3B4D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F135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24ADE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643B004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7C8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机柜</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B54C">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1.标准服务器机柜，采用SPCC优质冷轧钢板，脱脂、磷化、静电喷涂，支持脚轮移动。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2.具有1个托盘，1个散热风扇，机架式6口电源插座。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3.机柜尺寸≥1100mm*800mm*600mm，容量18U。</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4.承重800Kg。</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B1E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7D9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2FB99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2C5982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3CBB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电视</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F60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1.产品类型：4K超清电视；人工智能电视；LED电视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2.屏幕尺寸：55英寸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3.屏幕分辨率：超高清4K</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4.运行内存：≥1.5GB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7.存储内存：≥8GB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8.端口参数：USB2.0接口2个，HDMI2.0接口2个</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9.电源功率（W）≤110W</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10.工作电压（V）：220V</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15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449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E14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7B70A7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6A5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导播终端</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CA6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1.处理器：不低于Intel Core I5</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2.内存：16GB DDR4 3200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3.硬盘：256GB SSD</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4.显卡：不低于RX550 4GB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5.显示器：同品牌至少23.8寸IPS低蓝光显示器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6.需内置安装Windows操作系统，原厂配套键盘、鼠标</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0F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B4A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6B79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611498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9979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中控室监听音箱</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3CA49">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4英寸2.0电脑音响 </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06C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25A4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06D79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009B18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25</w:t>
            </w:r>
          </w:p>
        </w:tc>
        <w:tc>
          <w:tcPr>
            <w:tcW w:w="26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3367F1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中控室操作台</w:t>
            </w:r>
          </w:p>
        </w:tc>
        <w:tc>
          <w:tcPr>
            <w:tcW w:w="43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4355D983">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1.产品材质：优质SPCC首钢1.0-2.0mm冷轧钢板、优质中密度板、铝型材和高级装饰耐火板，橡胶扶手；</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2.生产加工：激光切割，数控剪板、冲压、折弯，精密焊接；</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3.表面处理：脱脂、酸洗、防锈磷化、静电喷涂；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4.可选附件：托板、托架、横竖理线槽等；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5.技术标准：达到国际IP23级安全保护标准，可配标准19英寸机架结构，静电喷塑工艺，全自动化喷粉设备加工，达到BS6497国际标准；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6.操作台规格 每单元≥1000/1200mm*920mm*750mm；、操作台采取模块化结构体系，易于更新模块；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7.操作台较低部位的面板安装有铰链或可取下，便于内部设备的安装和维护；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8.操作台面板耐磨层为≥1mm、台面厚度≥25mm、表面覆盖层采用具有耐热、耐烟灼、耐撞击、耐潮湿、防水、耐腐蚀的高强度高压耐磨板；</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9.台面前端采用聚氨酯加模压成型的手枕边，保证手臂工作时的舒适性且抗刮；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10.操作台安装键盘式抽屉,键盘式抽屉底部做止滑挡板，防止键盘脱落；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11.台面上方设有≥150mm高的铝型材挡板，便于悬挂显示器支架；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12.台体部分由台体侧、顶、地板、门、抽屉、面板组成，可选木板材料厚度为≥16mm；</w:t>
            </w:r>
          </w:p>
        </w:tc>
        <w:tc>
          <w:tcPr>
            <w:tcW w:w="143" w:type="pct"/>
            <w:tcBorders>
              <w:top w:val="single" w:color="000000" w:sz="4" w:space="0"/>
              <w:left w:val="single" w:color="000000" w:sz="4" w:space="0"/>
              <w:bottom w:val="single" w:color="000000" w:sz="8" w:space="0"/>
              <w:right w:val="single" w:color="000000" w:sz="4" w:space="0"/>
            </w:tcBorders>
            <w:shd w:val="clear" w:color="auto" w:fill="auto"/>
            <w:vAlign w:val="center"/>
          </w:tcPr>
          <w:p w14:paraId="406A456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007DD7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bl>
    <w:p w14:paraId="4D298CF0">
      <w:pPr>
        <w:numPr>
          <w:ilvl w:val="0"/>
          <w:numId w:val="4"/>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highlight w:val="none"/>
          <w:lang w:val="en-US" w:eastAsia="zh-CN" w:bidi="ar-SA"/>
        </w:rPr>
        <w:br w:type="page"/>
      </w:r>
      <w:bookmarkEnd w:id="22"/>
      <w:bookmarkEnd w:id="23"/>
    </w:p>
    <w:p w14:paraId="60B69F03">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b/>
          <w:bCs/>
          <w:snapToGrid w:val="0"/>
          <w:kern w:val="0"/>
          <w:position w:val="-2"/>
          <w:sz w:val="24"/>
          <w:highlight w:val="none"/>
        </w:rPr>
      </w:pPr>
    </w:p>
    <w:p w14:paraId="10FEB586">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5" w:name="_Toc6026"/>
      <w:bookmarkStart w:id="26" w:name="_Toc11127"/>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三</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商务</w:t>
      </w:r>
      <w:r>
        <w:rPr>
          <w:rFonts w:hint="eastAsia" w:ascii="微软雅黑" w:hAnsi="微软雅黑" w:eastAsia="微软雅黑" w:cs="微软雅黑"/>
          <w:sz w:val="36"/>
          <w:szCs w:val="36"/>
          <w:highlight w:val="none"/>
        </w:rPr>
        <w:t>要求</w:t>
      </w:r>
      <w:bookmarkEnd w:id="24"/>
      <w:bookmarkEnd w:id="25"/>
      <w:bookmarkEnd w:id="26"/>
    </w:p>
    <w:p w14:paraId="735331C8">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bCs/>
          <w:snapToGrid w:val="0"/>
          <w:kern w:val="0"/>
          <w:position w:val="-2"/>
          <w:sz w:val="24"/>
          <w:highlight w:val="none"/>
        </w:rPr>
      </w:pPr>
      <w:bookmarkStart w:id="27" w:name="_Toc17006"/>
      <w:bookmarkStart w:id="28" w:name="_Toc31721"/>
      <w:bookmarkStart w:id="29" w:name="_Toc1588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w:t>
      </w:r>
      <w:r>
        <w:rPr>
          <w:rFonts w:hint="eastAsia" w:ascii="微软雅黑" w:hAnsi="微软雅黑" w:eastAsia="微软雅黑" w:cs="微软雅黑"/>
          <w:b w:val="0"/>
          <w:bCs/>
          <w:snapToGrid w:val="0"/>
          <w:w w:val="99"/>
          <w:kern w:val="0"/>
          <w:sz w:val="24"/>
          <w:szCs w:val="24"/>
          <w:highlight w:val="none"/>
          <w:lang w:val="en-US" w:eastAsia="zh-CN"/>
        </w:rPr>
        <w:t>服务</w:t>
      </w:r>
      <w:r>
        <w:rPr>
          <w:rFonts w:hint="eastAsia" w:ascii="微软雅黑" w:hAnsi="微软雅黑" w:eastAsia="微软雅黑" w:cs="微软雅黑"/>
          <w:b w:val="0"/>
          <w:bCs/>
          <w:snapToGrid w:val="0"/>
          <w:w w:val="99"/>
          <w:kern w:val="0"/>
          <w:sz w:val="24"/>
          <w:szCs w:val="24"/>
          <w:highlight w:val="none"/>
        </w:rPr>
        <w:t>需求为符合性审查中的实质性要求，投标文件若不满足按无效投标处理</w:t>
      </w:r>
      <w:bookmarkEnd w:id="27"/>
      <w:bookmarkEnd w:id="28"/>
      <w:bookmarkEnd w:id="29"/>
    </w:p>
    <w:p w14:paraId="0A7F7922">
      <w:pPr>
        <w:pStyle w:val="4"/>
        <w:spacing w:before="0" w:after="0" w:line="312" w:lineRule="auto"/>
        <w:ind w:firstLine="720" w:firstLineChars="300"/>
        <w:rPr>
          <w:rFonts w:hint="eastAsia" w:ascii="微软雅黑" w:hAnsi="微软雅黑" w:eastAsia="微软雅黑" w:cs="微软雅黑"/>
          <w:color w:val="auto"/>
          <w:sz w:val="24"/>
          <w:szCs w:val="24"/>
          <w:highlight w:val="none"/>
        </w:rPr>
      </w:pPr>
      <w:bookmarkStart w:id="30" w:name="_Toc13555"/>
      <w:bookmarkStart w:id="31" w:name="_Toc17750"/>
      <w:bookmarkStart w:id="32" w:name="_Toc1939"/>
      <w:bookmarkStart w:id="33" w:name="_Toc21714"/>
      <w:bookmarkStart w:id="34" w:name="_Toc30452"/>
      <w:bookmarkStart w:id="35" w:name="_Toc65660342"/>
      <w:bookmarkStart w:id="36" w:name="_Toc14912"/>
      <w:bookmarkStart w:id="37" w:name="_Toc10951"/>
      <w:bookmarkStart w:id="38" w:name="_Toc8344"/>
      <w:bookmarkStart w:id="39" w:name="_Toc17303"/>
      <w:bookmarkStart w:id="40" w:name="_Toc13364"/>
      <w:bookmarkStart w:id="41" w:name="_Toc15764"/>
      <w:bookmarkStart w:id="42" w:name="_Toc12935"/>
      <w:bookmarkStart w:id="43" w:name="_Toc3950"/>
      <w:bookmarkStart w:id="44" w:name="_Toc12184"/>
      <w:bookmarkStart w:id="45" w:name="_Toc16974"/>
      <w:bookmarkStart w:id="46" w:name="_Toc65660344"/>
      <w:bookmarkStart w:id="47" w:name="_Toc122"/>
      <w:r>
        <w:rPr>
          <w:rFonts w:hint="eastAsia" w:ascii="微软雅黑" w:hAnsi="微软雅黑" w:eastAsia="微软雅黑" w:cs="微软雅黑"/>
          <w:color w:val="auto"/>
          <w:sz w:val="24"/>
          <w:szCs w:val="24"/>
          <w:highlight w:val="none"/>
        </w:rPr>
        <w:t>一、</w:t>
      </w:r>
      <w:r>
        <w:rPr>
          <w:rFonts w:hint="eastAsia" w:ascii="微软雅黑" w:hAnsi="微软雅黑" w:eastAsia="微软雅黑" w:cs="微软雅黑"/>
          <w:color w:val="auto"/>
          <w:sz w:val="24"/>
          <w:szCs w:val="24"/>
          <w:highlight w:val="none"/>
          <w:lang w:val="en-US" w:eastAsia="zh-CN"/>
        </w:rPr>
        <w:t>服务期</w:t>
      </w:r>
      <w:r>
        <w:rPr>
          <w:rFonts w:hint="eastAsia" w:ascii="微软雅黑" w:hAnsi="微软雅黑" w:eastAsia="微软雅黑" w:cs="微软雅黑"/>
          <w:color w:val="auto"/>
          <w:sz w:val="24"/>
          <w:szCs w:val="24"/>
          <w:highlight w:val="none"/>
        </w:rPr>
        <w:t>、地点</w:t>
      </w:r>
      <w:r>
        <w:rPr>
          <w:rFonts w:hint="eastAsia" w:ascii="微软雅黑" w:hAnsi="微软雅黑" w:eastAsia="微软雅黑" w:cs="微软雅黑"/>
          <w:color w:val="auto"/>
          <w:sz w:val="24"/>
          <w:szCs w:val="24"/>
          <w:highlight w:val="none"/>
          <w:lang w:val="en-US" w:eastAsia="zh-CN"/>
        </w:rPr>
        <w:t>及</w:t>
      </w:r>
      <w:r>
        <w:rPr>
          <w:rFonts w:hint="eastAsia" w:ascii="微软雅黑" w:hAnsi="微软雅黑" w:eastAsia="微软雅黑" w:cs="微软雅黑"/>
          <w:color w:val="auto"/>
          <w:sz w:val="24"/>
          <w:szCs w:val="24"/>
          <w:highlight w:val="none"/>
        </w:rPr>
        <w:t>验收方式</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BA42A">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48" w:name="_Toc31446"/>
      <w:bookmarkStart w:id="49" w:name="_Toc9462"/>
      <w:bookmarkStart w:id="50" w:name="_Toc10450"/>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（一）</w:t>
      </w:r>
      <w:r>
        <w:rPr>
          <w:rFonts w:hint="eastAsia" w:ascii="微软雅黑" w:hAnsi="微软雅黑" w:eastAsia="微软雅黑" w:cs="微软雅黑"/>
          <w:b w:val="0"/>
          <w:bCs w:val="0"/>
          <w:color w:val="auto"/>
          <w:kern w:val="0"/>
          <w:sz w:val="24"/>
          <w:szCs w:val="24"/>
          <w:highlight w:val="none"/>
          <w:lang w:val="en-US" w:eastAsia="zh-CN"/>
        </w:rPr>
        <w:t>服务期</w:t>
      </w:r>
      <w:r>
        <w:rPr>
          <w:rFonts w:hint="eastAsia" w:ascii="微软雅黑" w:hAnsi="微软雅黑" w:eastAsia="微软雅黑" w:cs="微软雅黑"/>
          <w:b w:val="0"/>
          <w:bCs w:val="0"/>
          <w:color w:val="auto"/>
          <w:kern w:val="0"/>
          <w:sz w:val="24"/>
          <w:szCs w:val="24"/>
          <w:highlight w:val="none"/>
          <w:lang w:val="zh-TW" w:eastAsia="zh-TW"/>
        </w:rPr>
        <w:t>：自合同签订之日起</w:t>
      </w:r>
      <w:r>
        <w:rPr>
          <w:rFonts w:hint="eastAsia" w:ascii="微软雅黑" w:hAnsi="微软雅黑" w:eastAsia="微软雅黑" w:cs="微软雅黑"/>
          <w:b w:val="0"/>
          <w:bCs w:val="0"/>
          <w:color w:val="auto"/>
          <w:kern w:val="0"/>
          <w:sz w:val="24"/>
          <w:szCs w:val="24"/>
          <w:highlight w:val="none"/>
          <w:lang w:val="en-US" w:eastAsia="zh-CN"/>
        </w:rPr>
        <w:t>25日历日</w:t>
      </w:r>
      <w:r>
        <w:rPr>
          <w:rFonts w:hint="eastAsia" w:ascii="微软雅黑" w:hAnsi="微软雅黑" w:eastAsia="微软雅黑" w:cs="微软雅黑"/>
          <w:b w:val="0"/>
          <w:bCs w:val="0"/>
          <w:color w:val="auto"/>
          <w:kern w:val="0"/>
          <w:sz w:val="24"/>
          <w:szCs w:val="24"/>
          <w:highlight w:val="none"/>
          <w:lang w:val="zh-TW" w:eastAsia="zh-TW"/>
        </w:rPr>
        <w:t>完成项目交付工作。</w:t>
      </w:r>
    </w:p>
    <w:p w14:paraId="149F2FE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（二）服务地点：采购人指定地点</w:t>
      </w:r>
    </w:p>
    <w:p w14:paraId="73F50CC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（三）验收</w:t>
      </w:r>
      <w:r>
        <w:rPr>
          <w:rFonts w:hint="eastAsia" w:ascii="微软雅黑" w:hAnsi="微软雅黑" w:eastAsia="微软雅黑" w:cs="微软雅黑"/>
          <w:b w:val="0"/>
          <w:bCs w:val="0"/>
          <w:color w:val="auto"/>
          <w:kern w:val="0"/>
          <w:sz w:val="24"/>
          <w:szCs w:val="24"/>
          <w:highlight w:val="none"/>
          <w:lang w:val="en-US" w:eastAsia="zh-CN"/>
        </w:rPr>
        <w:t>方式</w:t>
      </w:r>
      <w:r>
        <w:rPr>
          <w:rFonts w:hint="eastAsia" w:ascii="微软雅黑" w:hAnsi="微软雅黑" w:eastAsia="微软雅黑" w:cs="微软雅黑"/>
          <w:b w:val="0"/>
          <w:bCs w:val="0"/>
          <w:color w:val="auto"/>
          <w:kern w:val="0"/>
          <w:sz w:val="24"/>
          <w:szCs w:val="24"/>
          <w:highlight w:val="none"/>
          <w:lang w:val="zh-TW" w:eastAsia="zh-TW"/>
        </w:rPr>
        <w:t>：采购人组织验收</w:t>
      </w:r>
    </w:p>
    <w:p w14:paraId="562ED8EE">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zh-TW" w:eastAsia="zh-TW"/>
        </w:rPr>
      </w:pPr>
      <w:bookmarkStart w:id="51" w:name="_Toc7885"/>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val="zh-TW" w:eastAsia="zh-TW"/>
        </w:rPr>
        <w:t>、报价要求</w:t>
      </w:r>
      <w:bookmarkEnd w:id="44"/>
      <w:bookmarkEnd w:id="45"/>
      <w:bookmarkEnd w:id="46"/>
      <w:bookmarkEnd w:id="47"/>
      <w:bookmarkEnd w:id="48"/>
      <w:bookmarkEnd w:id="49"/>
      <w:bookmarkEnd w:id="50"/>
      <w:bookmarkEnd w:id="51"/>
    </w:p>
    <w:p w14:paraId="62A48EF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52" w:name="_Toc30802"/>
      <w:bookmarkStart w:id="53" w:name="_Toc8137"/>
      <w:bookmarkStart w:id="54" w:name="_Toc26211"/>
      <w:bookmarkStart w:id="55" w:name="_Toc17862"/>
      <w:bookmarkStart w:id="56" w:name="_Toc17189"/>
      <w:bookmarkStart w:id="57" w:name="_Toc9192"/>
      <w:bookmarkStart w:id="58" w:name="_Toc7562"/>
      <w:bookmarkStart w:id="59" w:name="_Toc11000"/>
      <w:bookmarkStart w:id="60" w:name="_Toc14208"/>
      <w:bookmarkStart w:id="61" w:name="_Toc3745"/>
      <w:bookmarkStart w:id="62" w:name="_Toc15380"/>
      <w:bookmarkStart w:id="63" w:name="_Toc65660345"/>
      <w:bookmarkStart w:id="64" w:name="_Toc15255"/>
      <w:r>
        <w:rPr>
          <w:rFonts w:hint="eastAsia" w:ascii="微软雅黑" w:hAnsi="微软雅黑" w:eastAsia="微软雅黑" w:cs="微软雅黑"/>
          <w:b w:val="0"/>
          <w:bCs w:val="0"/>
          <w:color w:val="auto"/>
          <w:sz w:val="24"/>
          <w:szCs w:val="24"/>
          <w:highlight w:val="none"/>
          <w:lang w:val="en-US" w:eastAsia="zh-CN"/>
        </w:rPr>
        <w:t>（一）本次询价报价为人民币报价，询价报价包括完成本项目设备安装、调试、管理费、税费等全部费用。</w:t>
      </w:r>
      <w:bookmarkStart w:id="65" w:name="_Toc106030885"/>
      <w:bookmarkStart w:id="66" w:name="_Toc76462330"/>
      <w:bookmarkStart w:id="67" w:name="_Toc344475122"/>
      <w:r>
        <w:rPr>
          <w:rFonts w:hint="eastAsia" w:ascii="微软雅黑" w:hAnsi="微软雅黑" w:eastAsia="微软雅黑" w:cs="微软雅黑"/>
          <w:b w:val="0"/>
          <w:bCs w:val="0"/>
          <w:color w:val="auto"/>
          <w:sz w:val="24"/>
          <w:szCs w:val="24"/>
          <w:highlight w:val="none"/>
          <w:lang w:val="en-US" w:eastAsia="zh-CN"/>
        </w:rPr>
        <w:t>询价报价由供应商根据本项目的实际情况与自身情况，并充分考虑不确定性因素可能导致的风险自行填报。因成交供应商自身原因造成漏报、少报、错报而导致本项目无法履行的，皆由其自行承担责任，采购人不再另行支付其它费用。</w:t>
      </w:r>
      <w:bookmarkEnd w:id="52"/>
      <w:bookmarkEnd w:id="53"/>
      <w:bookmarkEnd w:id="54"/>
      <w:bookmarkEnd w:id="55"/>
      <w:bookmarkEnd w:id="56"/>
    </w:p>
    <w:p w14:paraId="6D0CABBD">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68" w:name="_Toc16788"/>
      <w:bookmarkStart w:id="69" w:name="_Toc1872"/>
      <w:bookmarkStart w:id="70" w:name="_Toc1341"/>
      <w:bookmarkStart w:id="71" w:name="_Toc12835"/>
      <w:bookmarkStart w:id="72" w:name="_Toc1060"/>
      <w:r>
        <w:rPr>
          <w:rFonts w:hint="eastAsia" w:ascii="微软雅黑" w:hAnsi="微软雅黑" w:eastAsia="微软雅黑" w:cs="微软雅黑"/>
          <w:b w:val="0"/>
          <w:bCs w:val="0"/>
          <w:color w:val="auto"/>
          <w:sz w:val="24"/>
          <w:szCs w:val="24"/>
          <w:highlight w:val="none"/>
          <w:lang w:val="en-US" w:eastAsia="zh-CN"/>
        </w:rPr>
        <w:t>（二）询价报价不得超出项目采购预算最高限价，否则为无效报价。</w:t>
      </w:r>
      <w:bookmarkEnd w:id="68"/>
      <w:bookmarkEnd w:id="69"/>
      <w:bookmarkEnd w:id="70"/>
      <w:bookmarkEnd w:id="71"/>
      <w:bookmarkEnd w:id="72"/>
    </w:p>
    <w:p w14:paraId="5C2F0C4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73" w:name="_Toc20457"/>
      <w:bookmarkStart w:id="74" w:name="_Toc31315"/>
      <w:bookmarkStart w:id="75" w:name="_Toc17921"/>
      <w:bookmarkStart w:id="76" w:name="_Toc14629"/>
      <w:bookmarkStart w:id="77" w:name="_Toc28634"/>
      <w:bookmarkStart w:id="78" w:name="_Toc25428"/>
      <w:r>
        <w:rPr>
          <w:rFonts w:hint="eastAsia" w:ascii="微软雅黑" w:hAnsi="微软雅黑" w:eastAsia="微软雅黑" w:cs="微软雅黑"/>
          <w:b w:val="0"/>
          <w:bCs w:val="0"/>
          <w:color w:val="auto"/>
          <w:sz w:val="24"/>
          <w:szCs w:val="24"/>
          <w:highlight w:val="none"/>
          <w:lang w:val="en-US" w:eastAsia="zh-CN"/>
        </w:rPr>
        <w:t>（三）询价报价修正错误：询价报价中出现大写金额和小写金额不一致的错误，评审时以大写金额为准。</w:t>
      </w:r>
      <w:bookmarkEnd w:id="73"/>
      <w:bookmarkEnd w:id="74"/>
      <w:bookmarkEnd w:id="75"/>
      <w:bookmarkEnd w:id="76"/>
      <w:bookmarkEnd w:id="77"/>
      <w:bookmarkEnd w:id="78"/>
    </w:p>
    <w:p w14:paraId="04BEB4C1">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79" w:name="_Toc31940"/>
      <w:bookmarkStart w:id="80" w:name="_Toc25378"/>
      <w:r>
        <w:rPr>
          <w:rFonts w:hint="eastAsia" w:ascii="微软雅黑" w:hAnsi="微软雅黑" w:eastAsia="微软雅黑" w:cs="微软雅黑"/>
          <w:color w:val="auto"/>
          <w:sz w:val="24"/>
          <w:szCs w:val="24"/>
          <w:highlight w:val="none"/>
          <w:lang w:val="en-US" w:eastAsia="zh-CN"/>
        </w:rPr>
        <w:t>三、付款方式</w:t>
      </w:r>
      <w:bookmarkEnd w:id="65"/>
      <w:bookmarkEnd w:id="66"/>
      <w:bookmarkEnd w:id="67"/>
      <w:bookmarkEnd w:id="79"/>
      <w:bookmarkEnd w:id="80"/>
      <w:bookmarkStart w:id="81" w:name="_Toc12580"/>
    </w:p>
    <w:bookmarkEnd w:id="57"/>
    <w:bookmarkEnd w:id="58"/>
    <w:bookmarkEnd w:id="59"/>
    <w:bookmarkEnd w:id="60"/>
    <w:bookmarkEnd w:id="61"/>
    <w:bookmarkEnd w:id="62"/>
    <w:bookmarkEnd w:id="63"/>
    <w:bookmarkEnd w:id="64"/>
    <w:bookmarkEnd w:id="81"/>
    <w:p w14:paraId="3907982A">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82" w:name="_Toc8445"/>
      <w:bookmarkStart w:id="83" w:name="_Toc12219"/>
      <w:bookmarkStart w:id="84" w:name="_Toc15388"/>
      <w:r>
        <w:rPr>
          <w:rFonts w:hint="eastAsia" w:ascii="微软雅黑" w:hAnsi="微软雅黑" w:eastAsia="微软雅黑" w:cs="微软雅黑"/>
          <w:b w:val="0"/>
          <w:bCs w:val="0"/>
          <w:color w:val="auto"/>
          <w:sz w:val="24"/>
          <w:szCs w:val="24"/>
          <w:highlight w:val="none"/>
          <w:lang w:val="en-US" w:eastAsia="zh-CN"/>
        </w:rPr>
        <w:t>合同签订后，采购人向成交供应商支付合同金额50%的预付款，成交供应商须提供与预付款同等额度的担保函。</w:t>
      </w:r>
    </w:p>
    <w:p w14:paraId="6BF3C03C">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r>
        <w:rPr>
          <w:rFonts w:hint="eastAsia" w:ascii="微软雅黑" w:hAnsi="微软雅黑" w:eastAsia="微软雅黑" w:cs="微软雅黑"/>
          <w:b w:val="0"/>
          <w:bCs w:val="0"/>
          <w:color w:val="auto"/>
          <w:sz w:val="24"/>
          <w:szCs w:val="24"/>
          <w:highlight w:val="none"/>
          <w:lang w:val="en-US" w:eastAsia="zh-CN"/>
        </w:rPr>
        <w:t>设备安全运抵需方指定项目现场，经双方在现场完成开箱清点，确认货物数量、外观、规格型号与合同约定无误后，全部设备安装完成最终联动调试，连续稳定运行后支付完成至合同金额的100%。</w:t>
      </w:r>
    </w:p>
    <w:p w14:paraId="3438DC8A">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r>
        <w:rPr>
          <w:rFonts w:hint="eastAsia" w:ascii="微软雅黑" w:hAnsi="微软雅黑" w:eastAsia="微软雅黑" w:cs="微软雅黑"/>
          <w:b w:val="0"/>
          <w:bCs w:val="0"/>
          <w:color w:val="auto"/>
          <w:sz w:val="24"/>
          <w:szCs w:val="24"/>
          <w:highlight w:val="none"/>
          <w:lang w:val="en-US" w:eastAsia="zh-CN"/>
        </w:rPr>
        <w:t>预付款担保的形式为：银行保函、电子保函、金融机构、担保机构。</w:t>
      </w:r>
    </w:p>
    <w:p w14:paraId="06176D5B">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四、</w:t>
      </w:r>
      <w:bookmarkEnd w:id="82"/>
      <w:bookmarkEnd w:id="83"/>
      <w:r>
        <w:rPr>
          <w:rFonts w:hint="eastAsia" w:ascii="微软雅黑" w:hAnsi="微软雅黑" w:eastAsia="微软雅黑" w:cs="微软雅黑"/>
          <w:color w:val="auto"/>
          <w:sz w:val="24"/>
          <w:szCs w:val="24"/>
          <w:highlight w:val="none"/>
          <w:lang w:val="en-US" w:eastAsia="zh-CN"/>
        </w:rPr>
        <w:t>质量保证及售后服务</w:t>
      </w:r>
      <w:bookmarkEnd w:id="84"/>
    </w:p>
    <w:p w14:paraId="6A22D2E0">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85" w:name="_Toc22816"/>
      <w:bookmarkStart w:id="86" w:name="_Toc31062"/>
      <w:bookmarkStart w:id="87" w:name="_Toc18040"/>
      <w:r>
        <w:rPr>
          <w:rFonts w:hint="eastAsia" w:ascii="微软雅黑" w:hAnsi="微软雅黑" w:eastAsia="微软雅黑" w:cs="微软雅黑"/>
          <w:b w:val="0"/>
          <w:bCs w:val="0"/>
          <w:color w:val="auto"/>
          <w:kern w:val="0"/>
          <w:sz w:val="24"/>
          <w:szCs w:val="24"/>
          <w:highlight w:val="none"/>
          <w:lang w:val="zh-TW" w:eastAsia="zh-TW"/>
        </w:rPr>
        <w:t>（1）产品质量保证期</w:t>
      </w:r>
      <w:bookmarkEnd w:id="85"/>
      <w:bookmarkEnd w:id="86"/>
    </w:p>
    <w:p w14:paraId="1336243F">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88" w:name="_Toc9245"/>
      <w:bookmarkStart w:id="89" w:name="_Toc1806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1、投标人应明确承诺：自验收合格之日起，其投标产品整体质量保证期达到</w:t>
      </w:r>
      <w:r>
        <w:rPr>
          <w:rFonts w:hint="eastAsia" w:ascii="微软雅黑" w:hAnsi="微软雅黑" w:eastAsia="微软雅黑" w:cs="微软雅黑"/>
          <w:b w:val="0"/>
          <w:bCs w:val="0"/>
          <w:color w:val="auto"/>
          <w:kern w:val="0"/>
          <w:sz w:val="24"/>
          <w:szCs w:val="24"/>
          <w:highlight w:val="none"/>
          <w:lang w:val="en-US" w:eastAsia="zh-CN"/>
        </w:rPr>
        <w:t>一</w:t>
      </w:r>
      <w:r>
        <w:rPr>
          <w:rFonts w:hint="eastAsia" w:ascii="微软雅黑" w:hAnsi="微软雅黑" w:eastAsia="微软雅黑" w:cs="微软雅黑"/>
          <w:b w:val="0"/>
          <w:bCs w:val="0"/>
          <w:color w:val="auto"/>
          <w:kern w:val="0"/>
          <w:sz w:val="24"/>
          <w:szCs w:val="24"/>
          <w:highlight w:val="none"/>
          <w:lang w:val="zh-TW" w:eastAsia="zh-TW"/>
        </w:rPr>
        <w:t>年。</w:t>
      </w:r>
      <w:bookmarkEnd w:id="88"/>
      <w:bookmarkEnd w:id="89"/>
    </w:p>
    <w:p w14:paraId="3656CD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0" w:name="_Toc29782"/>
      <w:bookmarkStart w:id="91" w:name="_Toc30202"/>
      <w:r>
        <w:rPr>
          <w:rFonts w:hint="eastAsia" w:ascii="微软雅黑" w:hAnsi="微软雅黑" w:eastAsia="微软雅黑" w:cs="微软雅黑"/>
          <w:b w:val="0"/>
          <w:bCs w:val="0"/>
          <w:color w:val="auto"/>
          <w:kern w:val="0"/>
          <w:sz w:val="24"/>
          <w:szCs w:val="24"/>
          <w:highlight w:val="none"/>
          <w:lang w:val="zh-TW" w:eastAsia="zh-TW"/>
        </w:rPr>
        <w:t>2、投标产品属于国家规定“三包”范围的，其产品质量保证期不得低于“三包”规定。</w:t>
      </w:r>
      <w:bookmarkEnd w:id="90"/>
      <w:bookmarkEnd w:id="91"/>
    </w:p>
    <w:p w14:paraId="611A817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2" w:name="_Toc26812"/>
      <w:bookmarkStart w:id="93" w:name="_Toc24400"/>
      <w:r>
        <w:rPr>
          <w:rFonts w:hint="eastAsia" w:ascii="微软雅黑" w:hAnsi="微软雅黑" w:eastAsia="微软雅黑" w:cs="微软雅黑"/>
          <w:b w:val="0"/>
          <w:bCs w:val="0"/>
          <w:color w:val="auto"/>
          <w:kern w:val="0"/>
          <w:sz w:val="24"/>
          <w:szCs w:val="24"/>
          <w:highlight w:val="none"/>
          <w:lang w:val="zh-TW" w:eastAsia="zh-TW"/>
        </w:rPr>
        <w:t>3、投标人的质量保证期承诺优于国家“三包”规定和强制标准的，按投标人实际承诺执行。</w:t>
      </w:r>
      <w:bookmarkEnd w:id="92"/>
      <w:bookmarkEnd w:id="93"/>
    </w:p>
    <w:p w14:paraId="3ABC6F5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4" w:name="_Toc5365"/>
      <w:bookmarkStart w:id="95" w:name="_Toc14430"/>
      <w:r>
        <w:rPr>
          <w:rFonts w:hint="eastAsia" w:ascii="微软雅黑" w:hAnsi="微软雅黑" w:eastAsia="微软雅黑" w:cs="微软雅黑"/>
          <w:b w:val="0"/>
          <w:bCs w:val="0"/>
          <w:color w:val="auto"/>
          <w:kern w:val="0"/>
          <w:sz w:val="24"/>
          <w:szCs w:val="24"/>
          <w:highlight w:val="none"/>
          <w:lang w:val="zh-TW" w:eastAsia="zh-TW"/>
        </w:rPr>
        <w:t>（2）售后服务内容</w:t>
      </w:r>
      <w:bookmarkEnd w:id="94"/>
      <w:bookmarkEnd w:id="95"/>
    </w:p>
    <w:p w14:paraId="41E6763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6" w:name="_Toc11390"/>
      <w:bookmarkStart w:id="97" w:name="_Toc6256"/>
      <w:r>
        <w:rPr>
          <w:rFonts w:hint="eastAsia" w:ascii="微软雅黑" w:hAnsi="微软雅黑" w:eastAsia="微软雅黑" w:cs="微软雅黑"/>
          <w:b w:val="0"/>
          <w:bCs w:val="0"/>
          <w:color w:val="auto"/>
          <w:kern w:val="0"/>
          <w:sz w:val="24"/>
          <w:szCs w:val="24"/>
          <w:highlight w:val="none"/>
          <w:lang w:val="zh-TW" w:eastAsia="zh-TW"/>
        </w:rPr>
        <w:t>1、中标人和制造商在质量保证期内应当为采购人提供以下技术支持和服务：</w:t>
      </w:r>
      <w:bookmarkEnd w:id="96"/>
      <w:bookmarkEnd w:id="97"/>
    </w:p>
    <w:p w14:paraId="07A958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8" w:name="_Toc19195"/>
      <w:bookmarkStart w:id="99" w:name="_Toc21560"/>
      <w:r>
        <w:rPr>
          <w:rFonts w:hint="eastAsia" w:ascii="微软雅黑" w:hAnsi="微软雅黑" w:eastAsia="微软雅黑" w:cs="微软雅黑"/>
          <w:b w:val="0"/>
          <w:bCs w:val="0"/>
          <w:color w:val="auto"/>
          <w:kern w:val="0"/>
          <w:sz w:val="24"/>
          <w:szCs w:val="24"/>
          <w:highlight w:val="none"/>
          <w:lang w:val="zh-TW" w:eastAsia="zh-TW"/>
        </w:rPr>
        <w:t>1）电话咨询</w:t>
      </w:r>
      <w:bookmarkEnd w:id="98"/>
      <w:bookmarkEnd w:id="99"/>
    </w:p>
    <w:p w14:paraId="16FC6414">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0" w:name="_Toc32266"/>
      <w:bookmarkStart w:id="101" w:name="_Toc2365"/>
      <w:r>
        <w:rPr>
          <w:rFonts w:hint="eastAsia" w:ascii="微软雅黑" w:hAnsi="微软雅黑" w:eastAsia="微软雅黑" w:cs="微软雅黑"/>
          <w:b w:val="0"/>
          <w:bCs w:val="0"/>
          <w:color w:val="auto"/>
          <w:kern w:val="0"/>
          <w:sz w:val="24"/>
          <w:szCs w:val="24"/>
          <w:highlight w:val="none"/>
          <w:lang w:val="zh-TW" w:eastAsia="zh-TW"/>
        </w:rPr>
        <w:t>中标人和厂家应当为用户提供技术援助电话，解答用户在使用中遇到的问题，及时为用户提出解决问题的建议。</w:t>
      </w:r>
      <w:bookmarkEnd w:id="100"/>
      <w:bookmarkEnd w:id="101"/>
    </w:p>
    <w:p w14:paraId="53E5C8A2">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2" w:name="_Toc16387"/>
      <w:bookmarkStart w:id="103" w:name="_Toc2937"/>
      <w:r>
        <w:rPr>
          <w:rFonts w:hint="eastAsia" w:ascii="微软雅黑" w:hAnsi="微软雅黑" w:eastAsia="微软雅黑" w:cs="微软雅黑"/>
          <w:b w:val="0"/>
          <w:bCs w:val="0"/>
          <w:color w:val="auto"/>
          <w:kern w:val="0"/>
          <w:sz w:val="24"/>
          <w:szCs w:val="24"/>
          <w:highlight w:val="none"/>
          <w:lang w:val="zh-TW" w:eastAsia="zh-TW"/>
        </w:rPr>
        <w:t>2）现场响应</w:t>
      </w:r>
      <w:bookmarkEnd w:id="102"/>
      <w:bookmarkEnd w:id="103"/>
    </w:p>
    <w:p w14:paraId="4DE2A1D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4" w:name="_Toc28662"/>
      <w:bookmarkStart w:id="105" w:name="_Toc19171"/>
      <w:r>
        <w:rPr>
          <w:rFonts w:hint="eastAsia" w:ascii="微软雅黑" w:hAnsi="微软雅黑" w:eastAsia="微软雅黑" w:cs="微软雅黑"/>
          <w:b w:val="0"/>
          <w:bCs w:val="0"/>
          <w:color w:val="auto"/>
          <w:kern w:val="0"/>
          <w:sz w:val="24"/>
          <w:szCs w:val="24"/>
          <w:highlight w:val="none"/>
          <w:lang w:val="zh-TW" w:eastAsia="zh-TW"/>
        </w:rPr>
        <w:t>用户遇到使用及技术问题，电话咨询不能解决的，中标人和厂家应在24小时内采取相应措施，提供上门服务，确保产品正常工作（包括节假日、夜间）；无法在24小时内解决的，应在48小时内提供备用产品，使采购人能够正常使用。</w:t>
      </w:r>
      <w:bookmarkEnd w:id="104"/>
      <w:bookmarkEnd w:id="105"/>
    </w:p>
    <w:p w14:paraId="2A643A1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6" w:name="_Toc30161"/>
      <w:bookmarkStart w:id="107" w:name="_Toc19099"/>
      <w:r>
        <w:rPr>
          <w:rFonts w:hint="eastAsia" w:ascii="微软雅黑" w:hAnsi="微软雅黑" w:eastAsia="微软雅黑" w:cs="微软雅黑"/>
          <w:b w:val="0"/>
          <w:bCs w:val="0"/>
          <w:color w:val="auto"/>
          <w:kern w:val="0"/>
          <w:sz w:val="24"/>
          <w:szCs w:val="24"/>
          <w:highlight w:val="none"/>
          <w:lang w:val="zh-TW" w:eastAsia="zh-TW"/>
        </w:rPr>
        <w:t>3）技术升级</w:t>
      </w:r>
      <w:bookmarkEnd w:id="106"/>
      <w:bookmarkEnd w:id="107"/>
    </w:p>
    <w:p w14:paraId="4B5B5D4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8" w:name="_Toc8346"/>
      <w:bookmarkStart w:id="109" w:name="_Toc32063"/>
      <w:r>
        <w:rPr>
          <w:rFonts w:hint="eastAsia" w:ascii="微软雅黑" w:hAnsi="微软雅黑" w:eastAsia="微软雅黑" w:cs="微软雅黑"/>
          <w:b w:val="0"/>
          <w:bCs w:val="0"/>
          <w:color w:val="auto"/>
          <w:kern w:val="0"/>
          <w:sz w:val="24"/>
          <w:szCs w:val="24"/>
          <w:highlight w:val="none"/>
          <w:lang w:val="zh-TW" w:eastAsia="zh-TW"/>
        </w:rPr>
        <w:t>在质保期内，如果中标人和厂家的产品技术升级，中标人应及时通知采购人，如采购人有相应要求，中标人和厂家应对采购人进行免费升级服务。</w:t>
      </w:r>
      <w:bookmarkEnd w:id="108"/>
      <w:bookmarkEnd w:id="109"/>
    </w:p>
    <w:p w14:paraId="6E8071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0" w:name="_Toc17188"/>
      <w:bookmarkStart w:id="111" w:name="_Toc15508"/>
      <w:r>
        <w:rPr>
          <w:rFonts w:hint="eastAsia" w:ascii="微软雅黑" w:hAnsi="微软雅黑" w:eastAsia="微软雅黑" w:cs="微软雅黑"/>
          <w:b w:val="0"/>
          <w:bCs w:val="0"/>
          <w:color w:val="auto"/>
          <w:kern w:val="0"/>
          <w:sz w:val="24"/>
          <w:szCs w:val="24"/>
          <w:highlight w:val="none"/>
          <w:lang w:val="zh-TW" w:eastAsia="zh-TW"/>
        </w:rPr>
        <w:t>2、质保期外服务要求</w:t>
      </w:r>
      <w:bookmarkEnd w:id="110"/>
      <w:bookmarkEnd w:id="111"/>
    </w:p>
    <w:p w14:paraId="04256AE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2" w:name="_Toc10069"/>
      <w:bookmarkStart w:id="113" w:name="_Toc30324"/>
      <w:r>
        <w:rPr>
          <w:rFonts w:hint="eastAsia" w:ascii="微软雅黑" w:hAnsi="微软雅黑" w:eastAsia="微软雅黑" w:cs="微软雅黑"/>
          <w:b w:val="0"/>
          <w:bCs w:val="0"/>
          <w:color w:val="auto"/>
          <w:kern w:val="0"/>
          <w:sz w:val="24"/>
          <w:szCs w:val="24"/>
          <w:highlight w:val="none"/>
          <w:lang w:val="zh-TW" w:eastAsia="zh-TW"/>
        </w:rPr>
        <w:t>1）质量保证期过后，中标人和厂家应同样提供免费电话咨询服务，并应承诺提供产品上门维护服务。</w:t>
      </w:r>
      <w:bookmarkEnd w:id="112"/>
      <w:bookmarkEnd w:id="113"/>
    </w:p>
    <w:p w14:paraId="20339C7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4" w:name="_Toc10331"/>
      <w:bookmarkStart w:id="115" w:name="_Toc14802"/>
      <w:r>
        <w:rPr>
          <w:rFonts w:hint="eastAsia" w:ascii="微软雅黑" w:hAnsi="微软雅黑" w:eastAsia="微软雅黑" w:cs="微软雅黑"/>
          <w:b w:val="0"/>
          <w:bCs w:val="0"/>
          <w:color w:val="auto"/>
          <w:kern w:val="0"/>
          <w:sz w:val="24"/>
          <w:szCs w:val="24"/>
          <w:highlight w:val="none"/>
          <w:lang w:val="zh-TW" w:eastAsia="zh-TW"/>
        </w:rPr>
        <w:t>2）质量保证期过后，采购人需要继续由原中标人和厂家提供售后服务的，该中标人和厂家应以优惠价格提供售后服务。</w:t>
      </w:r>
      <w:bookmarkEnd w:id="114"/>
      <w:bookmarkEnd w:id="115"/>
    </w:p>
    <w:p w14:paraId="001669B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6" w:name="_Toc6464"/>
      <w:bookmarkStart w:id="117" w:name="_Toc25375"/>
      <w:r>
        <w:rPr>
          <w:rFonts w:hint="eastAsia" w:ascii="微软雅黑" w:hAnsi="微软雅黑" w:eastAsia="微软雅黑" w:cs="微软雅黑"/>
          <w:b w:val="0"/>
          <w:bCs w:val="0"/>
          <w:color w:val="auto"/>
          <w:kern w:val="0"/>
          <w:sz w:val="24"/>
          <w:szCs w:val="24"/>
          <w:highlight w:val="none"/>
          <w:lang w:val="zh-TW" w:eastAsia="zh-TW"/>
        </w:rPr>
        <w:t>3、故障响应时间要求</w:t>
      </w:r>
      <w:bookmarkEnd w:id="116"/>
      <w:bookmarkEnd w:id="117"/>
    </w:p>
    <w:p w14:paraId="264D395F">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8" w:name="_Toc821"/>
      <w:bookmarkStart w:id="119" w:name="_Toc11036"/>
      <w:r>
        <w:rPr>
          <w:rFonts w:hint="eastAsia" w:ascii="微软雅黑" w:hAnsi="微软雅黑" w:eastAsia="微软雅黑" w:cs="微软雅黑"/>
          <w:b w:val="0"/>
          <w:bCs w:val="0"/>
          <w:color w:val="auto"/>
          <w:kern w:val="0"/>
          <w:sz w:val="24"/>
          <w:szCs w:val="24"/>
          <w:highlight w:val="none"/>
          <w:lang w:val="zh-TW" w:eastAsia="zh-TW"/>
        </w:rPr>
        <w:t>中标人接到使用方产品出现问题的通知后两小时内作出响应，24小时内到达现场进行处理。</w:t>
      </w:r>
      <w:bookmarkEnd w:id="118"/>
      <w:bookmarkEnd w:id="119"/>
    </w:p>
    <w:p w14:paraId="5BC2E6C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0" w:name="_Toc24091"/>
      <w:bookmarkStart w:id="121" w:name="_Toc5351"/>
      <w:r>
        <w:rPr>
          <w:rFonts w:hint="eastAsia" w:ascii="微软雅黑" w:hAnsi="微软雅黑" w:eastAsia="微软雅黑" w:cs="微软雅黑"/>
          <w:b w:val="0"/>
          <w:bCs w:val="0"/>
          <w:color w:val="auto"/>
          <w:kern w:val="0"/>
          <w:sz w:val="24"/>
          <w:szCs w:val="24"/>
          <w:highlight w:val="none"/>
          <w:lang w:val="zh-TW" w:eastAsia="zh-TW"/>
        </w:rPr>
        <w:t>4、维修配件</w:t>
      </w:r>
      <w:bookmarkEnd w:id="120"/>
      <w:bookmarkEnd w:id="121"/>
    </w:p>
    <w:p w14:paraId="0152097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2" w:name="_Toc22283"/>
      <w:bookmarkStart w:id="123" w:name="_Toc10737"/>
      <w:r>
        <w:rPr>
          <w:rFonts w:hint="eastAsia" w:ascii="微软雅黑" w:hAnsi="微软雅黑" w:eastAsia="微软雅黑" w:cs="微软雅黑"/>
          <w:b w:val="0"/>
          <w:bCs w:val="0"/>
          <w:color w:val="auto"/>
          <w:kern w:val="0"/>
          <w:sz w:val="24"/>
          <w:szCs w:val="24"/>
          <w:highlight w:val="none"/>
          <w:lang w:val="zh-TW" w:eastAsia="zh-TW"/>
        </w:rPr>
        <w:t>中标人和厂家售后服务中，使用的维修零配件应为原厂配件，未经用户同意不得使用非原厂配件。</w:t>
      </w:r>
      <w:bookmarkEnd w:id="122"/>
      <w:bookmarkEnd w:id="123"/>
    </w:p>
    <w:p w14:paraId="11461B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4" w:name="_Toc4994"/>
      <w:bookmarkStart w:id="125" w:name="_Toc27780"/>
      <w:r>
        <w:rPr>
          <w:rFonts w:hint="eastAsia" w:ascii="微软雅黑" w:hAnsi="微软雅黑" w:eastAsia="微软雅黑" w:cs="微软雅黑"/>
          <w:b w:val="0"/>
          <w:bCs w:val="0"/>
          <w:color w:val="auto"/>
          <w:kern w:val="0"/>
          <w:sz w:val="24"/>
          <w:szCs w:val="24"/>
          <w:highlight w:val="none"/>
          <w:lang w:val="zh-TW" w:eastAsia="zh-TW"/>
        </w:rPr>
        <w:t>（4）培训</w:t>
      </w:r>
      <w:bookmarkEnd w:id="124"/>
      <w:bookmarkEnd w:id="125"/>
    </w:p>
    <w:p w14:paraId="2C89A1D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6" w:name="_Toc23481"/>
      <w:bookmarkStart w:id="127" w:name="_Toc29921"/>
      <w:r>
        <w:rPr>
          <w:rFonts w:hint="eastAsia" w:ascii="微软雅黑" w:hAnsi="微软雅黑" w:eastAsia="微软雅黑" w:cs="微软雅黑"/>
          <w:b w:val="0"/>
          <w:bCs w:val="0"/>
          <w:color w:val="auto"/>
          <w:kern w:val="0"/>
          <w:sz w:val="24"/>
          <w:szCs w:val="24"/>
          <w:highlight w:val="none"/>
          <w:lang w:val="zh-TW" w:eastAsia="zh-TW"/>
        </w:rPr>
        <w:t>供应商对其提供产品的使用和操作应尽培训义务。供应商应提供对采购人进行免费培训，使采购人使用人员能够正常操作。</w:t>
      </w:r>
      <w:bookmarkEnd w:id="126"/>
      <w:bookmarkEnd w:id="127"/>
    </w:p>
    <w:p w14:paraId="11025193">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128" w:name="_Toc11259"/>
      <w:bookmarkStart w:id="129" w:name="_Toc2865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（5）知识产权</w:t>
      </w:r>
      <w:bookmarkEnd w:id="128"/>
      <w:bookmarkEnd w:id="129"/>
    </w:p>
    <w:p w14:paraId="3B36419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0" w:name="_Toc5325"/>
      <w:bookmarkStart w:id="131" w:name="_Toc31680"/>
      <w:r>
        <w:rPr>
          <w:rFonts w:hint="eastAsia" w:ascii="微软雅黑" w:hAnsi="微软雅黑" w:eastAsia="微软雅黑" w:cs="微软雅黑"/>
          <w:b w:val="0"/>
          <w:bCs w:val="0"/>
          <w:color w:val="auto"/>
          <w:kern w:val="0"/>
          <w:sz w:val="24"/>
          <w:szCs w:val="24"/>
          <w:highlight w:val="none"/>
          <w:lang w:val="zh-TW" w:eastAsia="zh-TW"/>
        </w:rPr>
        <w:t>采购人在中华人民共和国境内使用投标人提供的货物及服务时免受第三方提出的侵犯其专利权或其它知识产权的起诉。如果第三方提出侵权指控，中标人应承担由此而引起的一切法律责任和费用。</w:t>
      </w:r>
      <w:bookmarkEnd w:id="130"/>
      <w:bookmarkEnd w:id="131"/>
    </w:p>
    <w:p w14:paraId="0AB3EA21">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2" w:name="_Toc4657"/>
      <w:bookmarkStart w:id="133" w:name="_Toc29671"/>
      <w:r>
        <w:rPr>
          <w:rFonts w:hint="eastAsia" w:ascii="微软雅黑" w:hAnsi="微软雅黑" w:eastAsia="微软雅黑" w:cs="微软雅黑"/>
          <w:b w:val="0"/>
          <w:bCs w:val="0"/>
          <w:color w:val="auto"/>
          <w:kern w:val="0"/>
          <w:sz w:val="24"/>
          <w:szCs w:val="24"/>
          <w:highlight w:val="none"/>
          <w:lang w:val="zh-TW" w:eastAsia="zh-TW"/>
        </w:rPr>
        <w:t>（6）其他服务要求</w:t>
      </w:r>
      <w:bookmarkEnd w:id="132"/>
      <w:bookmarkEnd w:id="133"/>
    </w:p>
    <w:p w14:paraId="372A85C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4" w:name="_Toc10113"/>
      <w:r>
        <w:rPr>
          <w:rFonts w:hint="eastAsia" w:ascii="微软雅黑" w:hAnsi="微软雅黑" w:eastAsia="微软雅黑" w:cs="微软雅黑"/>
          <w:b w:val="0"/>
          <w:bCs w:val="0"/>
          <w:color w:val="auto"/>
          <w:kern w:val="0"/>
          <w:sz w:val="24"/>
          <w:szCs w:val="24"/>
          <w:highlight w:val="none"/>
          <w:lang w:val="zh-TW" w:eastAsia="zh-TW"/>
        </w:rPr>
        <w:t>1、中标人在提供服务期间或在货物运输、安装、调试等未正式验收交付采购人使用前，因中标人自身原因导致的安全事故，由中标人自行承担所有责任及经济损失。</w:t>
      </w:r>
      <w:bookmarkEnd w:id="134"/>
    </w:p>
    <w:p w14:paraId="49878EF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5" w:name="_Toc2647"/>
      <w:bookmarkStart w:id="136" w:name="_Toc19563"/>
      <w:r>
        <w:rPr>
          <w:rFonts w:hint="eastAsia" w:ascii="微软雅黑" w:hAnsi="微软雅黑" w:eastAsia="微软雅黑" w:cs="微软雅黑"/>
          <w:b w:val="0"/>
          <w:bCs w:val="0"/>
          <w:color w:val="auto"/>
          <w:kern w:val="0"/>
          <w:sz w:val="24"/>
          <w:szCs w:val="24"/>
          <w:highlight w:val="none"/>
          <w:lang w:val="zh-TW" w:eastAsia="zh-TW"/>
        </w:rPr>
        <w:t>2、中标人在投标时提供虚假材料或进行虚假响应，或中标后提供的货物(服务)达不到招标文件要求及中标人投标文件的响应内容的，视为虚假应标，将报采购监督管理部门依法予以处理。</w:t>
      </w:r>
      <w:bookmarkEnd w:id="135"/>
      <w:bookmarkEnd w:id="136"/>
    </w:p>
    <w:p w14:paraId="7D33EC9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7" w:name="_Toc13173"/>
      <w:bookmarkStart w:id="138" w:name="_Toc12395"/>
      <w:r>
        <w:rPr>
          <w:rFonts w:hint="eastAsia" w:ascii="微软雅黑" w:hAnsi="微软雅黑" w:eastAsia="微软雅黑" w:cs="微软雅黑"/>
          <w:b w:val="0"/>
          <w:bCs w:val="0"/>
          <w:color w:val="auto"/>
          <w:kern w:val="0"/>
          <w:sz w:val="24"/>
          <w:szCs w:val="24"/>
          <w:highlight w:val="none"/>
          <w:lang w:val="zh-TW" w:eastAsia="zh-TW"/>
        </w:rPr>
        <w:t>3、其他未尽事宜由供需双方在采购合同中另行约定。</w:t>
      </w:r>
      <w:bookmarkEnd w:id="137"/>
      <w:bookmarkEnd w:id="138"/>
    </w:p>
    <w:p w14:paraId="75B40A21">
      <w:pPr>
        <w:pStyle w:val="3"/>
        <w:adjustRightInd w:val="0"/>
        <w:spacing w:before="0" w:after="0" w:line="360" w:lineRule="auto"/>
        <w:ind w:firstLine="474" w:firstLineChars="200"/>
        <w:jc w:val="left"/>
        <w:rPr>
          <w:rFonts w:hint="eastAsia" w:ascii="微软雅黑" w:hAnsi="微软雅黑" w:eastAsia="微软雅黑" w:cs="微软雅黑"/>
          <w:sz w:val="24"/>
          <w:szCs w:val="24"/>
          <w:highlight w:val="none"/>
          <w:lang w:val="zh-TW" w:eastAsia="zh-TW"/>
        </w:rPr>
      </w:pPr>
      <w:bookmarkStart w:id="139" w:name="_Toc9392"/>
      <w:bookmarkStart w:id="140" w:name="_Toc576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sz w:val="24"/>
          <w:szCs w:val="24"/>
          <w:highlight w:val="none"/>
          <w:lang w:val="zh-TW" w:eastAsia="zh-TW"/>
        </w:rPr>
        <w:t>五、安全责任</w:t>
      </w:r>
      <w:bookmarkEnd w:id="139"/>
      <w:bookmarkEnd w:id="140"/>
    </w:p>
    <w:p w14:paraId="16CDFF5A">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供应商自行负责本项目的安全工作，服从采购人及相关部门的相关规定，在服务期间因成交供应商的原因引起的一切经济损失及法律责任、安全事故责任均由供应商自行承担，采购人不承担任何责任。</w:t>
      </w:r>
    </w:p>
    <w:bookmarkEnd w:id="87"/>
    <w:p w14:paraId="17D426D9">
      <w:pPr>
        <w:pStyle w:val="3"/>
        <w:adjustRightInd w:val="0"/>
        <w:spacing w:before="0" w:after="0" w:line="360" w:lineRule="auto"/>
        <w:ind w:firstLine="480" w:firstLineChars="200"/>
        <w:jc w:val="left"/>
        <w:rPr>
          <w:rFonts w:hint="eastAsia" w:ascii="微软雅黑" w:hAnsi="微软雅黑" w:eastAsia="微软雅黑" w:cs="微软雅黑"/>
          <w:sz w:val="24"/>
          <w:szCs w:val="24"/>
          <w:highlight w:val="none"/>
        </w:rPr>
      </w:pPr>
      <w:bookmarkStart w:id="141" w:name="_Toc65660347"/>
      <w:bookmarkStart w:id="142" w:name="_Toc6869"/>
      <w:bookmarkStart w:id="143" w:name="_Toc5555"/>
      <w:bookmarkStart w:id="144" w:name="_Toc6565"/>
      <w:bookmarkStart w:id="145" w:name="_Toc2345"/>
      <w:bookmarkStart w:id="146" w:name="_Toc28972"/>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141"/>
      <w:bookmarkEnd w:id="142"/>
      <w:bookmarkEnd w:id="143"/>
      <w:bookmarkEnd w:id="144"/>
      <w:bookmarkStart w:id="147" w:name="_Toc31659"/>
      <w:bookmarkStart w:id="148" w:name="_Toc65660348"/>
      <w:bookmarkStart w:id="149" w:name="_Toc21248"/>
      <w:bookmarkStart w:id="150" w:name="_Toc23902"/>
      <w:r>
        <w:rPr>
          <w:rFonts w:hint="eastAsia" w:ascii="微软雅黑" w:hAnsi="微软雅黑" w:eastAsia="微软雅黑" w:cs="微软雅黑"/>
          <w:sz w:val="24"/>
          <w:szCs w:val="24"/>
          <w:highlight w:val="none"/>
        </w:rPr>
        <w:t>其他</w:t>
      </w:r>
      <w:bookmarkEnd w:id="145"/>
      <w:bookmarkEnd w:id="146"/>
      <w:bookmarkEnd w:id="147"/>
      <w:bookmarkEnd w:id="148"/>
      <w:bookmarkEnd w:id="149"/>
      <w:bookmarkEnd w:id="150"/>
    </w:p>
    <w:p w14:paraId="3DB74A72">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（一）成交供应商在响应时提供虚假材料或进行虚假响应，或成交后提供的服务 (货物)达不到</w:t>
      </w:r>
      <w:r>
        <w:rPr>
          <w:rFonts w:hint="eastAsia" w:ascii="微软雅黑" w:hAnsi="微软雅黑" w:eastAsia="微软雅黑" w:cs="微软雅黑"/>
          <w:sz w:val="24"/>
          <w:szCs w:val="24"/>
          <w:highlight w:val="none"/>
          <w:lang w:eastAsia="zh-CN"/>
        </w:rPr>
        <w:t>询价采购</w:t>
      </w:r>
      <w:r>
        <w:rPr>
          <w:rFonts w:hint="eastAsia" w:ascii="微软雅黑" w:hAnsi="微软雅黑" w:eastAsia="微软雅黑" w:cs="微软雅黑"/>
          <w:sz w:val="24"/>
          <w:szCs w:val="24"/>
          <w:highlight w:val="none"/>
        </w:rPr>
        <w:t>文件要求及成交供应商响应文件的响应内容的，视为虚假应标，将报采购监督管理部门依法予以处理。</w:t>
      </w:r>
    </w:p>
    <w:p w14:paraId="263ABFF7">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（二）解决争议的方式  </w:t>
      </w:r>
      <w:r>
        <w:rPr>
          <w:rFonts w:hint="eastAsia" w:ascii="微软雅黑" w:hAnsi="微软雅黑" w:eastAsia="微软雅黑" w:cs="微软雅黑"/>
          <w:sz w:val="24"/>
          <w:szCs w:val="24"/>
          <w:highlight w:val="none"/>
        </w:rPr>
        <w:sym w:font="Wingdings 2" w:char="0052"/>
      </w:r>
      <w:r>
        <w:rPr>
          <w:rFonts w:hint="eastAsia" w:ascii="微软雅黑" w:hAnsi="微软雅黑" w:eastAsia="微软雅黑" w:cs="微软雅黑"/>
          <w:sz w:val="24"/>
          <w:szCs w:val="24"/>
          <w:highlight w:val="none"/>
        </w:rPr>
        <w:t xml:space="preserve"> 提请仲裁  □ 向人民法院提起诉讼</w:t>
      </w:r>
    </w:p>
    <w:p w14:paraId="163F5C3B">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（三）</w:t>
      </w:r>
      <w:r>
        <w:rPr>
          <w:rFonts w:hint="eastAsia" w:ascii="微软雅黑" w:hAnsi="微软雅黑" w:eastAsia="微软雅黑" w:cs="微软雅黑"/>
          <w:sz w:val="24"/>
          <w:szCs w:val="24"/>
          <w:highlight w:val="none"/>
        </w:rPr>
        <w:t>其他未尽事宜由供需双方在采购合同中详细约定。</w:t>
      </w:r>
    </w:p>
    <w:p w14:paraId="67975CD0">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（四）</w:t>
      </w:r>
      <w:r>
        <w:rPr>
          <w:rFonts w:hint="eastAsia" w:ascii="微软雅黑" w:hAnsi="微软雅黑" w:eastAsia="微软雅黑" w:cs="微软雅黑"/>
          <w:sz w:val="24"/>
          <w:szCs w:val="24"/>
          <w:highlight w:val="none"/>
        </w:rPr>
        <w:t>废标情形</w:t>
      </w:r>
    </w:p>
    <w:p w14:paraId="4742498C">
      <w:pPr>
        <w:pStyle w:val="27"/>
        <w:numPr>
          <w:ilvl w:val="0"/>
          <w:numId w:val="0"/>
        </w:numPr>
        <w:snapToGrid/>
        <w:spacing w:line="360" w:lineRule="auto"/>
        <w:ind w:firstLine="240" w:firstLineChars="100"/>
        <w:jc w:val="left"/>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采购中出现下列情形之一者，应予废标</w:t>
      </w:r>
      <w:r>
        <w:rPr>
          <w:rFonts w:hint="eastAsia" w:ascii="微软雅黑" w:hAnsi="微软雅黑" w:eastAsia="微软雅黑" w:cs="微软雅黑"/>
          <w:sz w:val="24"/>
          <w:szCs w:val="24"/>
          <w:highlight w:val="none"/>
          <w:lang w:eastAsia="zh-CN"/>
        </w:rPr>
        <w:t>：</w:t>
      </w:r>
    </w:p>
    <w:p w14:paraId="61E99A2E">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1.符合专业条件的供应商或者对网上竞采文件作出实质响应的供货商不足</w:t>
      </w:r>
      <w:r>
        <w:rPr>
          <w:rFonts w:hint="eastAsia" w:ascii="微软雅黑" w:hAnsi="微软雅黑" w:eastAsia="微软雅黑" w:cs="微软雅黑"/>
          <w:sz w:val="24"/>
          <w:szCs w:val="24"/>
          <w:highlight w:val="none"/>
          <w:lang w:val="en-US" w:eastAsia="zh-CN"/>
        </w:rPr>
        <w:t>二</w:t>
      </w:r>
      <w:r>
        <w:rPr>
          <w:rFonts w:hint="eastAsia" w:ascii="微软雅黑" w:hAnsi="微软雅黑" w:eastAsia="微软雅黑" w:cs="微软雅黑"/>
          <w:sz w:val="24"/>
          <w:szCs w:val="24"/>
          <w:highlight w:val="none"/>
        </w:rPr>
        <w:t>家的；</w:t>
      </w:r>
    </w:p>
    <w:p w14:paraId="07F3AC81">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2.报价人的报价均超过了最高限价的；</w:t>
      </w:r>
    </w:p>
    <w:p w14:paraId="4271A1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3.因重大变故，采购任务取消的；</w:t>
      </w:r>
    </w:p>
    <w:p w14:paraId="735C28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4.出现影响采购公正的违法、违规行为。</w:t>
      </w:r>
    </w:p>
    <w:p w14:paraId="4868EC58">
      <w:pPr>
        <w:pStyle w:val="4"/>
        <w:spacing w:before="0" w:after="0" w:line="312" w:lineRule="auto"/>
        <w:ind w:firstLine="720" w:firstLineChars="300"/>
        <w:rPr>
          <w:rFonts w:hint="eastAsia" w:ascii="微软雅黑" w:hAnsi="微软雅黑" w:eastAsia="微软雅黑" w:cs="微软雅黑"/>
          <w:b w:val="0"/>
          <w:bCs/>
          <w:color w:val="auto"/>
          <w:sz w:val="24"/>
          <w:szCs w:val="24"/>
          <w:highlight w:val="none"/>
          <w:lang w:val="en-US" w:eastAsia="zh-CN"/>
        </w:rPr>
      </w:pPr>
    </w:p>
    <w:p w14:paraId="07FBEC31">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7A99A3AA">
      <w:pPr>
        <w:pStyle w:val="4"/>
        <w:rPr>
          <w:rFonts w:hint="default" w:eastAsia="宋体"/>
          <w:highlight w:val="none"/>
          <w:lang w:val="en-US" w:eastAsia="zh-CN"/>
        </w:rPr>
      </w:pPr>
      <w:r>
        <w:rPr>
          <w:rFonts w:hint="eastAsia"/>
          <w:highlight w:val="none"/>
          <w:lang w:val="en-US" w:eastAsia="zh-CN"/>
        </w:rPr>
        <w:t xml:space="preserve">  </w:t>
      </w:r>
    </w:p>
    <w:p w14:paraId="305CB905">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51" w:name="_Toc2414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四</w:t>
      </w:r>
      <w:r>
        <w:rPr>
          <w:rFonts w:hint="eastAsia" w:ascii="微软雅黑" w:hAnsi="微软雅黑" w:eastAsia="微软雅黑" w:cs="微软雅黑"/>
          <w:sz w:val="36"/>
          <w:szCs w:val="36"/>
          <w:highlight w:val="none"/>
        </w:rPr>
        <w:t>篇  资格审查及评标办法</w:t>
      </w:r>
      <w:bookmarkEnd w:id="151"/>
    </w:p>
    <w:p w14:paraId="18FD3062">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2" w:name="_Toc65831996"/>
      <w:bookmarkStart w:id="153" w:name="_Toc32676"/>
      <w:r>
        <w:rPr>
          <w:rFonts w:hint="eastAsia" w:ascii="微软雅黑" w:hAnsi="微软雅黑" w:eastAsia="微软雅黑" w:cs="微软雅黑"/>
          <w:b/>
          <w:color w:val="auto"/>
          <w:sz w:val="24"/>
          <w:szCs w:val="24"/>
          <w:highlight w:val="none"/>
        </w:rPr>
        <w:t>一、资格审查</w:t>
      </w:r>
      <w:bookmarkEnd w:id="152"/>
      <w:bookmarkEnd w:id="153"/>
    </w:p>
    <w:p w14:paraId="24571EA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依据政府采购相关法律法规规定，由采购人或采购代理机构对投标文件中的资格证明文件进行审查。资格审查资料表如下：</w:t>
      </w: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51"/>
        <w:gridCol w:w="5692"/>
      </w:tblGrid>
      <w:tr w14:paraId="469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76" w:type="dxa"/>
            <w:noWrap w:val="0"/>
            <w:vAlign w:val="center"/>
          </w:tcPr>
          <w:p w14:paraId="4C1DA4E4">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260" w:type="dxa"/>
            <w:gridSpan w:val="2"/>
            <w:noWrap w:val="0"/>
            <w:vAlign w:val="center"/>
          </w:tcPr>
          <w:p w14:paraId="74A272F0">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692" w:type="dxa"/>
            <w:noWrap w:val="0"/>
            <w:vAlign w:val="center"/>
          </w:tcPr>
          <w:p w14:paraId="08D2CBD1">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7E0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6" w:type="dxa"/>
            <w:vMerge w:val="restart"/>
            <w:noWrap w:val="0"/>
            <w:vAlign w:val="center"/>
          </w:tcPr>
          <w:p w14:paraId="55689DE4">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709" w:type="dxa"/>
            <w:vMerge w:val="restart"/>
            <w:noWrap w:val="0"/>
            <w:vAlign w:val="center"/>
          </w:tcPr>
          <w:p w14:paraId="798DF91E">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投标人应符合的基本资格条件</w:t>
            </w:r>
          </w:p>
        </w:tc>
        <w:tc>
          <w:tcPr>
            <w:tcW w:w="2551" w:type="dxa"/>
            <w:noWrap w:val="0"/>
            <w:vAlign w:val="center"/>
          </w:tcPr>
          <w:p w14:paraId="75A2719F">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692" w:type="dxa"/>
            <w:noWrap w:val="0"/>
            <w:vAlign w:val="center"/>
          </w:tcPr>
          <w:p w14:paraId="5C3E7BD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投标人法人营业执照（副本）或事业单位法人证书（副本）或个体工商户营业执照或有效的自然人身份证明或社会团体法人登记证书； </w:t>
            </w:r>
          </w:p>
          <w:p w14:paraId="52FD97BB">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投标人法定代表人身份证明和法定代表人授权代表委托书。</w:t>
            </w:r>
          </w:p>
        </w:tc>
      </w:tr>
      <w:tr w14:paraId="3B1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6" w:type="dxa"/>
            <w:vMerge w:val="continue"/>
            <w:noWrap w:val="0"/>
            <w:vAlign w:val="center"/>
          </w:tcPr>
          <w:p w14:paraId="3645C025">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2A454736">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5ABE987">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692" w:type="dxa"/>
            <w:vMerge w:val="restart"/>
            <w:noWrap w:val="0"/>
            <w:vAlign w:val="center"/>
          </w:tcPr>
          <w:p w14:paraId="188F670D">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w:t>
            </w:r>
          </w:p>
        </w:tc>
      </w:tr>
      <w:tr w14:paraId="024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vMerge w:val="continue"/>
            <w:noWrap w:val="0"/>
            <w:vAlign w:val="center"/>
          </w:tcPr>
          <w:p w14:paraId="103B8896">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17A73E4">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ECB05A3">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692" w:type="dxa"/>
            <w:vMerge w:val="continue"/>
            <w:noWrap w:val="0"/>
            <w:vAlign w:val="center"/>
          </w:tcPr>
          <w:p w14:paraId="48D0E8E9">
            <w:pPr>
              <w:spacing w:line="240" w:lineRule="exact"/>
              <w:rPr>
                <w:rFonts w:hint="eastAsia" w:ascii="微软雅黑" w:hAnsi="微软雅黑" w:eastAsia="微软雅黑" w:cs="微软雅黑"/>
                <w:color w:val="auto"/>
                <w:sz w:val="21"/>
                <w:szCs w:val="21"/>
                <w:highlight w:val="none"/>
              </w:rPr>
            </w:pPr>
          </w:p>
        </w:tc>
      </w:tr>
      <w:tr w14:paraId="0E7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676" w:type="dxa"/>
            <w:vMerge w:val="continue"/>
            <w:noWrap w:val="0"/>
            <w:vAlign w:val="center"/>
          </w:tcPr>
          <w:p w14:paraId="25D73CB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C9BEC7E">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264F586">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692" w:type="dxa"/>
            <w:vMerge w:val="continue"/>
            <w:noWrap w:val="0"/>
            <w:vAlign w:val="center"/>
          </w:tcPr>
          <w:p w14:paraId="16A9EC6C">
            <w:pPr>
              <w:spacing w:line="240" w:lineRule="exact"/>
              <w:rPr>
                <w:rFonts w:hint="eastAsia" w:ascii="微软雅黑" w:hAnsi="微软雅黑" w:eastAsia="微软雅黑" w:cs="微软雅黑"/>
                <w:color w:val="auto"/>
                <w:sz w:val="21"/>
                <w:szCs w:val="21"/>
                <w:highlight w:val="none"/>
              </w:rPr>
            </w:pPr>
          </w:p>
        </w:tc>
      </w:tr>
      <w:tr w14:paraId="00F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76" w:type="dxa"/>
            <w:vMerge w:val="continue"/>
            <w:noWrap w:val="0"/>
            <w:vAlign w:val="center"/>
          </w:tcPr>
          <w:p w14:paraId="41AE52C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475413B3">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072E91D">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（5）参加政府采购活动前三年内，在经营活动中没有重大违法记录（注</w:t>
            </w:r>
            <w:r>
              <w:rPr>
                <w:rFonts w:hint="eastAsia" w:ascii="微软雅黑" w:hAnsi="微软雅黑" w:eastAsia="微软雅黑" w:cs="微软雅黑"/>
                <w:color w:val="auto"/>
                <w:kern w:val="0"/>
                <w:sz w:val="24"/>
                <w:szCs w:val="24"/>
                <w:highlight w:val="none"/>
              </w:rPr>
              <w:t>②</w:t>
            </w:r>
            <w:r>
              <w:rPr>
                <w:rFonts w:hint="eastAsia" w:ascii="微软雅黑" w:hAnsi="微软雅黑" w:eastAsia="微软雅黑" w:cs="微软雅黑"/>
                <w:color w:val="auto"/>
                <w:sz w:val="21"/>
                <w:szCs w:val="21"/>
                <w:highlight w:val="none"/>
              </w:rPr>
              <w:t>）</w:t>
            </w:r>
          </w:p>
        </w:tc>
        <w:tc>
          <w:tcPr>
            <w:tcW w:w="5692" w:type="dxa"/>
            <w:noWrap w:val="0"/>
            <w:vAlign w:val="center"/>
          </w:tcPr>
          <w:p w14:paraId="61E474CB">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1.投标人提供书面声明（见格式文件）；</w:t>
            </w:r>
          </w:p>
          <w:p w14:paraId="10958818">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27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Merge w:val="continue"/>
            <w:noWrap w:val="0"/>
            <w:vAlign w:val="center"/>
          </w:tcPr>
          <w:p w14:paraId="68C11DE4">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5B9A472">
            <w:pPr>
              <w:spacing w:line="240" w:lineRule="exact"/>
              <w:rPr>
                <w:rFonts w:hint="eastAsia" w:ascii="微软雅黑" w:hAnsi="微软雅黑" w:eastAsia="微软雅黑" w:cs="微软雅黑"/>
                <w:color w:val="auto"/>
                <w:sz w:val="21"/>
                <w:szCs w:val="21"/>
                <w:highlight w:val="none"/>
              </w:rPr>
            </w:pPr>
          </w:p>
        </w:tc>
        <w:tc>
          <w:tcPr>
            <w:tcW w:w="2551" w:type="dxa"/>
            <w:noWrap w:val="0"/>
            <w:vAlign w:val="center"/>
          </w:tcPr>
          <w:p w14:paraId="3D186A2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692" w:type="dxa"/>
            <w:noWrap w:val="0"/>
            <w:vAlign w:val="center"/>
          </w:tcPr>
          <w:p w14:paraId="73ACA032">
            <w:pPr>
              <w:spacing w:line="240" w:lineRule="exact"/>
              <w:rPr>
                <w:rFonts w:hint="eastAsia" w:ascii="微软雅黑" w:hAnsi="微软雅黑" w:eastAsia="微软雅黑" w:cs="微软雅黑"/>
                <w:color w:val="auto"/>
                <w:sz w:val="21"/>
                <w:szCs w:val="21"/>
                <w:highlight w:val="none"/>
              </w:rPr>
            </w:pPr>
          </w:p>
        </w:tc>
      </w:tr>
      <w:tr w14:paraId="3FF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76" w:type="dxa"/>
            <w:noWrap w:val="0"/>
            <w:vAlign w:val="center"/>
          </w:tcPr>
          <w:p w14:paraId="3E68B5A7">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3260" w:type="dxa"/>
            <w:gridSpan w:val="2"/>
            <w:noWrap w:val="0"/>
            <w:vAlign w:val="center"/>
          </w:tcPr>
          <w:p w14:paraId="2C72908A">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特定资格条件</w:t>
            </w:r>
          </w:p>
        </w:tc>
        <w:tc>
          <w:tcPr>
            <w:tcW w:w="5692" w:type="dxa"/>
            <w:noWrap w:val="0"/>
            <w:vAlign w:val="center"/>
          </w:tcPr>
          <w:p w14:paraId="6E6D2D90">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按第一篇“三、投标人资格要求（二）特定资格条件”的要求提交</w:t>
            </w:r>
          </w:p>
        </w:tc>
      </w:tr>
    </w:tbl>
    <w:p w14:paraId="3BBD88B4">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注：</w:t>
      </w:r>
    </w:p>
    <w:p w14:paraId="1790970F">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①投标人按“多证合一”登记制度办理营业执照的，税务登记证（副本）和社会保险登记证以投标人所提供的营业执照（副本）复印件为准。</w:t>
      </w:r>
    </w:p>
    <w:p w14:paraId="4C48482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②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59A66728">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4" w:name="_Toc9"/>
      <w:bookmarkStart w:id="155" w:name="_Toc65831997"/>
      <w:r>
        <w:rPr>
          <w:rFonts w:hint="eastAsia" w:ascii="微软雅黑" w:hAnsi="微软雅黑" w:eastAsia="微软雅黑" w:cs="微软雅黑"/>
          <w:b/>
          <w:color w:val="auto"/>
          <w:sz w:val="24"/>
          <w:szCs w:val="24"/>
          <w:highlight w:val="none"/>
        </w:rPr>
        <w:t>二、评标方法</w:t>
      </w:r>
      <w:bookmarkEnd w:id="154"/>
      <w:bookmarkEnd w:id="155"/>
    </w:p>
    <w:p w14:paraId="193A861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本项目采用综合评分法进行评标。</w:t>
      </w:r>
    </w:p>
    <w:p w14:paraId="5FD14C17">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综合评分法，是指投标文件满足招标文件全部实质性要求且按照评审因素的量化指标评审得分最高的供应商为中标候选人的评标方法。供应商总得分为价格、商务、技术等评定因素分别按照相应权重值计算分项得分后相加，满分为100分。</w:t>
      </w:r>
    </w:p>
    <w:p w14:paraId="6259A6E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（一）符合性审查</w:t>
      </w:r>
    </w:p>
    <w:p w14:paraId="7E3315AE">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3D8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9138EAC">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6" w:type="dxa"/>
            <w:gridSpan w:val="2"/>
            <w:noWrap w:val="0"/>
            <w:vAlign w:val="center"/>
          </w:tcPr>
          <w:p w14:paraId="079F65D3">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评审因素</w:t>
            </w:r>
          </w:p>
        </w:tc>
        <w:tc>
          <w:tcPr>
            <w:tcW w:w="5409" w:type="dxa"/>
            <w:noWrap w:val="0"/>
            <w:vAlign w:val="center"/>
          </w:tcPr>
          <w:p w14:paraId="55BADF18">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评审标准</w:t>
            </w:r>
          </w:p>
        </w:tc>
      </w:tr>
      <w:tr w14:paraId="27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3558C524">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1562" w:type="dxa"/>
            <w:vMerge w:val="restart"/>
            <w:noWrap w:val="0"/>
            <w:vAlign w:val="center"/>
          </w:tcPr>
          <w:p w14:paraId="1944AD57">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有效性审查</w:t>
            </w:r>
          </w:p>
        </w:tc>
        <w:tc>
          <w:tcPr>
            <w:tcW w:w="1984" w:type="dxa"/>
            <w:noWrap w:val="0"/>
            <w:vAlign w:val="center"/>
          </w:tcPr>
          <w:p w14:paraId="547DA3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投标文件签署</w:t>
            </w:r>
          </w:p>
        </w:tc>
        <w:tc>
          <w:tcPr>
            <w:tcW w:w="5409" w:type="dxa"/>
            <w:noWrap w:val="0"/>
            <w:vAlign w:val="center"/>
          </w:tcPr>
          <w:p w14:paraId="10C8B61F">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投标文件上法定代表人或其授权代表人的签字齐全。</w:t>
            </w:r>
          </w:p>
        </w:tc>
      </w:tr>
      <w:tr w14:paraId="452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8067676">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30A79E6F">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723B0D2F">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投标方案</w:t>
            </w:r>
          </w:p>
        </w:tc>
        <w:tc>
          <w:tcPr>
            <w:tcW w:w="5409" w:type="dxa"/>
            <w:noWrap w:val="0"/>
            <w:vAlign w:val="center"/>
          </w:tcPr>
          <w:p w14:paraId="2BFEDDBB">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每个分包只能有一个方案投标。</w:t>
            </w:r>
          </w:p>
        </w:tc>
      </w:tr>
      <w:tr w14:paraId="2B4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D98D9A7">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10081D1A">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2AB6B5DA">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5409" w:type="dxa"/>
            <w:noWrap w:val="0"/>
            <w:vAlign w:val="center"/>
          </w:tcPr>
          <w:p w14:paraId="33BB9E2D">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只能在预算金额和最高限价内报价，</w:t>
            </w:r>
            <w:r>
              <w:rPr>
                <w:rFonts w:hint="eastAsia" w:ascii="微软雅黑" w:hAnsi="微软雅黑" w:eastAsia="微软雅黑" w:cs="微软雅黑"/>
                <w:color w:val="auto"/>
                <w:sz w:val="21"/>
                <w:szCs w:val="21"/>
                <w:highlight w:val="none"/>
              </w:rPr>
              <w:t>只能有一个有效报价，不得提交选择性报价。</w:t>
            </w:r>
          </w:p>
        </w:tc>
      </w:tr>
      <w:tr w14:paraId="0A1B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0A252889">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1562" w:type="dxa"/>
            <w:noWrap w:val="0"/>
            <w:vAlign w:val="center"/>
          </w:tcPr>
          <w:p w14:paraId="2B9ED02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完整性审查</w:t>
            </w:r>
          </w:p>
        </w:tc>
        <w:tc>
          <w:tcPr>
            <w:tcW w:w="1984" w:type="dxa"/>
            <w:noWrap w:val="0"/>
            <w:vAlign w:val="center"/>
          </w:tcPr>
          <w:p w14:paraId="18C5DAF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投标文件份数</w:t>
            </w:r>
          </w:p>
        </w:tc>
        <w:tc>
          <w:tcPr>
            <w:tcW w:w="5409" w:type="dxa"/>
            <w:noWrap w:val="0"/>
            <w:vAlign w:val="center"/>
          </w:tcPr>
          <w:p w14:paraId="28033246">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投标文件正、副本数量（含电子文档）符合招标文件要求。</w:t>
            </w:r>
          </w:p>
        </w:tc>
      </w:tr>
      <w:tr w14:paraId="612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75" w:type="dxa"/>
            <w:noWrap w:val="0"/>
            <w:vAlign w:val="center"/>
          </w:tcPr>
          <w:p w14:paraId="64E4A53B">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1562" w:type="dxa"/>
            <w:noWrap w:val="0"/>
            <w:vAlign w:val="center"/>
          </w:tcPr>
          <w:p w14:paraId="09E7BB31">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技术</w:t>
            </w:r>
            <w:r>
              <w:rPr>
                <w:rFonts w:hint="eastAsia" w:ascii="微软雅黑" w:hAnsi="微软雅黑" w:eastAsia="微软雅黑" w:cs="微软雅黑"/>
                <w:color w:val="auto"/>
                <w:kern w:val="0"/>
                <w:sz w:val="21"/>
                <w:szCs w:val="21"/>
                <w:highlight w:val="none"/>
              </w:rPr>
              <w:t>部分</w:t>
            </w:r>
          </w:p>
        </w:tc>
        <w:tc>
          <w:tcPr>
            <w:tcW w:w="1984" w:type="dxa"/>
            <w:noWrap w:val="0"/>
            <w:vAlign w:val="center"/>
          </w:tcPr>
          <w:p w14:paraId="20682E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60E1BE5C">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响应招标文件第二篇条款的内容</w:t>
            </w:r>
          </w:p>
        </w:tc>
      </w:tr>
      <w:tr w14:paraId="020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noWrap w:val="0"/>
            <w:vAlign w:val="center"/>
          </w:tcPr>
          <w:p w14:paraId="654536E3">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4</w:t>
            </w:r>
          </w:p>
        </w:tc>
        <w:tc>
          <w:tcPr>
            <w:tcW w:w="1562" w:type="dxa"/>
            <w:noWrap w:val="0"/>
            <w:vAlign w:val="center"/>
          </w:tcPr>
          <w:p w14:paraId="3770919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商务部分</w:t>
            </w:r>
          </w:p>
        </w:tc>
        <w:tc>
          <w:tcPr>
            <w:tcW w:w="1984" w:type="dxa"/>
            <w:noWrap w:val="0"/>
            <w:vAlign w:val="center"/>
          </w:tcPr>
          <w:p w14:paraId="7AA45C4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48C102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响应招标文件第三篇中的内容</w:t>
            </w:r>
          </w:p>
        </w:tc>
      </w:tr>
      <w:tr w14:paraId="7FD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noWrap w:val="0"/>
            <w:vAlign w:val="center"/>
          </w:tcPr>
          <w:p w14:paraId="2D9863B8">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5</w:t>
            </w:r>
          </w:p>
        </w:tc>
        <w:tc>
          <w:tcPr>
            <w:tcW w:w="1562" w:type="dxa"/>
            <w:noWrap w:val="0"/>
            <w:vAlign w:val="center"/>
          </w:tcPr>
          <w:p w14:paraId="0A9D24C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w:t>
            </w:r>
          </w:p>
        </w:tc>
        <w:tc>
          <w:tcPr>
            <w:tcW w:w="1984" w:type="dxa"/>
            <w:noWrap w:val="0"/>
            <w:vAlign w:val="center"/>
          </w:tcPr>
          <w:p w14:paraId="5B563CD0">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79EBBB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投标有效期为投标截止日期起九十天</w:t>
            </w:r>
          </w:p>
        </w:tc>
      </w:tr>
    </w:tbl>
    <w:p w14:paraId="0EDC0C1A">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澄清有关问题。对投标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投标文件的范围或者改变投标文件的实质性内容。</w:t>
      </w:r>
    </w:p>
    <w:p w14:paraId="4B47C37C">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（三）比较与评价。按招标文件中规定的评标方法和标准，对资格审查和符合性审查合格的投标文件进行商务和技术评估。</w:t>
      </w:r>
    </w:p>
    <w:p w14:paraId="40F0E155">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标委员会各成员独立对每个有效供应商（通过资格审查、符合性审查的供应商）的投标文件进行评价、打分，然后由评标委员会对各成员打分情况进行核查及复核，个别成员对同一供应商同一评分项的打分偏离较大的，应对供应商的投标文件进行再次核对，确属打分有误的，应及时进行修正。</w:t>
      </w:r>
    </w:p>
    <w:p w14:paraId="160DFFF2">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复核后，评标委员会汇总每个供应商每项评分因素的得分。</w:t>
      </w:r>
    </w:p>
    <w:p w14:paraId="13A58C7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（四）推荐中标候选人名单。</w:t>
      </w:r>
    </w:p>
    <w:p w14:paraId="0FF5112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按评审后得分由高到低的排列顺序推荐综合得分排名前三的供应商为本分包（项目）中标候选人，排名第一的为第一中标候选人。得分相同的，按投标报价由低到高顺序排列。得分且投标报价相同的并列。</w:t>
      </w:r>
    </w:p>
    <w:p w14:paraId="44BEABAE">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6" w:name="_Toc267320057"/>
      <w:bookmarkStart w:id="157" w:name="_Toc65831998"/>
      <w:bookmarkStart w:id="158" w:name="_Toc15757"/>
      <w:r>
        <w:rPr>
          <w:rFonts w:hint="eastAsia" w:ascii="微软雅黑" w:hAnsi="微软雅黑" w:eastAsia="微软雅黑" w:cs="微软雅黑"/>
          <w:b/>
          <w:color w:val="auto"/>
          <w:sz w:val="24"/>
          <w:szCs w:val="24"/>
          <w:highlight w:val="none"/>
        </w:rPr>
        <w:t>三、评标标准</w:t>
      </w:r>
      <w:bookmarkEnd w:id="156"/>
      <w:bookmarkEnd w:id="157"/>
      <w:bookmarkEnd w:id="158"/>
    </w:p>
    <w:p w14:paraId="268E44B6">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（一）评审因素</w:t>
      </w:r>
    </w:p>
    <w:p w14:paraId="1C55942D">
      <w:pPr>
        <w:pStyle w:val="8"/>
        <w:rPr>
          <w:rFonts w:hint="eastAsia" w:ascii="微软雅黑" w:hAnsi="微软雅黑" w:eastAsia="微软雅黑" w:cs="微软雅黑"/>
          <w:color w:val="auto"/>
          <w:szCs w:val="24"/>
          <w:highlight w:val="none"/>
        </w:rPr>
      </w:pPr>
    </w:p>
    <w:tbl>
      <w:tblPr>
        <w:tblStyle w:val="47"/>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7"/>
        <w:gridCol w:w="1116"/>
        <w:gridCol w:w="759"/>
        <w:gridCol w:w="4735"/>
        <w:gridCol w:w="2469"/>
      </w:tblGrid>
      <w:tr w14:paraId="228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1"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F4F8A">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序号</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FCB2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评分因素及权值</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48C08">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分值</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30F10C">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评分标准</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B5D068">
            <w:pPr>
              <w:pStyle w:val="352"/>
              <w:pageBreakBefore w:val="0"/>
              <w:kinsoku/>
              <w:wordWrap/>
              <w:overflowPunct/>
              <w:topLinePunct w:val="0"/>
              <w:autoSpaceDE/>
              <w:autoSpaceDN/>
              <w:bidi w:val="0"/>
              <w:spacing w:before="0" w:after="0" w:line="240" w:lineRule="auto"/>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说明</w:t>
            </w:r>
          </w:p>
        </w:tc>
      </w:tr>
      <w:tr w14:paraId="067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72"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201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6E8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eastAsia="zh-CN"/>
              </w:rPr>
              <w:t>竞采</w:t>
            </w:r>
            <w:r>
              <w:rPr>
                <w:rFonts w:hint="eastAsia" w:ascii="微软雅黑" w:hAnsi="微软雅黑" w:eastAsia="微软雅黑" w:cs="微软雅黑"/>
                <w:sz w:val="22"/>
                <w:szCs w:val="22"/>
                <w:highlight w:val="none"/>
              </w:rPr>
              <w:t>报价（</w:t>
            </w: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E2175">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10704">
            <w:pPr>
              <w:pageBreakBefore w:val="0"/>
              <w:kinsoku/>
              <w:wordWrap/>
              <w:overflowPunct/>
              <w:topLinePunct w:val="0"/>
              <w:autoSpaceDE/>
              <w:autoSpaceDN/>
              <w:bidi w:val="0"/>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有效的投标报价中的最低价为评标基准价，按照下列公式计算每个供应商的投标价格得分。</w:t>
            </w:r>
          </w:p>
          <w:p w14:paraId="7BACC582">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投标报价得分＝（评标基准价/投标报价）×价格权重×100。</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BA1D24">
            <w:pPr>
              <w:pageBreakBefore w:val="0"/>
              <w:kinsoku/>
              <w:wordWrap/>
              <w:overflowPunct/>
              <w:topLinePunct w:val="0"/>
              <w:autoSpaceDE/>
              <w:autoSpaceDN/>
              <w:bidi w:val="0"/>
              <w:ind w:left="-38" w:firstLine="0" w:firstLineChars="0"/>
              <w:textAlignment w:val="auto"/>
              <w:rPr>
                <w:rFonts w:hint="eastAsia" w:ascii="微软雅黑" w:hAnsi="微软雅黑" w:eastAsia="微软雅黑" w:cs="微软雅黑"/>
                <w:sz w:val="22"/>
                <w:szCs w:val="22"/>
                <w:highlight w:val="none"/>
              </w:rPr>
            </w:pPr>
          </w:p>
        </w:tc>
      </w:tr>
      <w:tr w14:paraId="6F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7" w:hRule="atLeast"/>
        </w:trPr>
        <w:tc>
          <w:tcPr>
            <w:tcW w:w="65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EF5CA">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B21DD">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技术</w:t>
            </w:r>
            <w:r>
              <w:rPr>
                <w:rFonts w:hint="eastAsia" w:ascii="微软雅黑" w:hAnsi="微软雅黑" w:eastAsia="微软雅黑" w:cs="微软雅黑"/>
                <w:sz w:val="22"/>
                <w:szCs w:val="22"/>
                <w:highlight w:val="none"/>
              </w:rPr>
              <w:t>部分</w:t>
            </w:r>
          </w:p>
          <w:p w14:paraId="7D9C8443">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w:t>
            </w:r>
          </w:p>
        </w:tc>
        <w:tc>
          <w:tcPr>
            <w:tcW w:w="759" w:type="dxa"/>
            <w:vMerge w:val="restart"/>
            <w:tcBorders>
              <w:top w:val="single" w:color="auto" w:sz="4" w:space="0"/>
              <w:left w:val="single" w:color="auto" w:sz="4" w:space="0"/>
              <w:right w:val="single" w:color="auto" w:sz="4" w:space="0"/>
            </w:tcBorders>
            <w:shd w:val="clear" w:color="auto" w:fill="FFFFFF"/>
            <w:noWrap w:val="0"/>
            <w:vAlign w:val="center"/>
          </w:tcPr>
          <w:p w14:paraId="1B133F64">
            <w:pPr>
              <w:pageBreakBefore w:val="0"/>
              <w:kinsoku/>
              <w:wordWrap/>
              <w:overflowPunct/>
              <w:topLinePunct w:val="0"/>
              <w:autoSpaceDE/>
              <w:autoSpaceDN/>
              <w:bidi w:val="0"/>
              <w:ind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分</w:t>
            </w:r>
          </w:p>
        </w:tc>
        <w:tc>
          <w:tcPr>
            <w:tcW w:w="4735" w:type="dxa"/>
            <w:vMerge w:val="restart"/>
            <w:tcBorders>
              <w:top w:val="single" w:color="auto" w:sz="4" w:space="0"/>
              <w:left w:val="single" w:color="auto" w:sz="4" w:space="0"/>
              <w:right w:val="single" w:color="auto" w:sz="4" w:space="0"/>
            </w:tcBorders>
            <w:shd w:val="clear" w:color="auto" w:fill="FFFFFF"/>
            <w:noWrap w:val="0"/>
            <w:vAlign w:val="center"/>
          </w:tcPr>
          <w:p w14:paraId="517E61C9">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基本得分（</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分）：有效供应商技术部分完全满足所有技术参数要求，并提供佐证材料，供应商得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p w14:paraId="5DCCCD5A">
            <w:pPr>
              <w:numPr>
                <w:ilvl w:val="0"/>
                <w:numId w:val="5"/>
              </w:num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重要参数（带</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w:t>
            </w:r>
            <w:r>
              <w:rPr>
                <w:rFonts w:hint="eastAsia" w:ascii="微软雅黑" w:hAnsi="微软雅黑" w:eastAsia="微软雅黑" w:cs="微软雅黑"/>
                <w:color w:val="auto"/>
                <w:sz w:val="24"/>
                <w:szCs w:val="24"/>
                <w:highlight w:val="none"/>
                <w:lang w:val="en-US" w:eastAsia="zh-CN"/>
              </w:rPr>
              <w:t>4</w:t>
            </w:r>
            <w:r>
              <w:rPr>
                <w:rFonts w:hint="eastAsia" w:ascii="微软雅黑" w:hAnsi="微软雅黑" w:eastAsia="微软雅黑" w:cs="微软雅黑"/>
                <w:color w:val="auto"/>
                <w:sz w:val="24"/>
                <w:szCs w:val="24"/>
                <w:highlight w:val="none"/>
              </w:rPr>
              <w:t>分。</w:t>
            </w:r>
          </w:p>
          <w:p w14:paraId="0DDA8271">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（2）一般参数（非</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号标注）的部分有1条不满足的扣除</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分，扣完为止。</w:t>
            </w:r>
          </w:p>
          <w:p w14:paraId="078AAD60">
            <w:pPr>
              <w:pageBreakBefore w:val="0"/>
              <w:kinsoku/>
              <w:wordWrap/>
              <w:overflowPunct/>
              <w:topLinePunct w:val="0"/>
              <w:autoSpaceDE/>
              <w:autoSpaceDN/>
              <w:bidi w:val="0"/>
              <w:spacing w:line="360" w:lineRule="auto"/>
              <w:ind w:left="0" w:leftChars="0" w:firstLine="0" w:firstLineChars="0"/>
              <w:textAlignment w:val="auto"/>
              <w:rPr>
                <w:rFonts w:hint="eastAsia" w:ascii="微软雅黑" w:hAnsi="微软雅黑" w:eastAsia="微软雅黑" w:cs="微软雅黑"/>
                <w:sz w:val="22"/>
                <w:szCs w:val="22"/>
                <w:highlight w:val="none"/>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B0F8F7">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bookmarkStart w:id="159" w:name="_Toc17693"/>
            <w:r>
              <w:rPr>
                <w:rFonts w:hint="eastAsia" w:ascii="微软雅黑" w:hAnsi="微软雅黑" w:eastAsia="微软雅黑" w:cs="微软雅黑"/>
                <w:sz w:val="22"/>
                <w:szCs w:val="22"/>
                <w:highlight w:val="none"/>
              </w:rPr>
              <w:t>1、重要参数（带▲号）的部分投标供应商提供证明文件复印件并加盖投标人鲜章。</w:t>
            </w:r>
            <w:bookmarkEnd w:id="159"/>
          </w:p>
          <w:p w14:paraId="102B2045">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bookmarkStart w:id="160" w:name="_Toc14726"/>
            <w:r>
              <w:rPr>
                <w:rFonts w:hint="eastAsia" w:ascii="微软雅黑" w:hAnsi="微软雅黑" w:eastAsia="微软雅黑" w:cs="微软雅黑"/>
                <w:sz w:val="22"/>
                <w:szCs w:val="22"/>
                <w:highlight w:val="none"/>
              </w:rPr>
              <w:t>2、一般参数（非▲号标注）的部分投标供应商提供证明文件复印件或响应承诺函并加盖投标人鲜章。</w:t>
            </w:r>
            <w:bookmarkEnd w:id="160"/>
          </w:p>
        </w:tc>
      </w:tr>
      <w:tr w14:paraId="63B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5" w:hRule="atLeast"/>
        </w:trPr>
        <w:tc>
          <w:tcPr>
            <w:tcW w:w="657" w:type="dxa"/>
            <w:tcBorders>
              <w:top w:val="single" w:color="auto" w:sz="4" w:space="0"/>
              <w:left w:val="single" w:color="auto" w:sz="4" w:space="0"/>
              <w:right w:val="single" w:color="auto" w:sz="4" w:space="0"/>
            </w:tcBorders>
            <w:shd w:val="clear" w:color="auto" w:fill="FFFFFF"/>
            <w:noWrap w:val="0"/>
            <w:vAlign w:val="center"/>
          </w:tcPr>
          <w:p w14:paraId="49A34B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3</w:t>
            </w:r>
          </w:p>
          <w:p w14:paraId="11729400">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p>
        </w:tc>
        <w:tc>
          <w:tcPr>
            <w:tcW w:w="1116" w:type="dxa"/>
            <w:tcBorders>
              <w:top w:val="single" w:color="auto" w:sz="4" w:space="0"/>
              <w:left w:val="single" w:color="auto" w:sz="4" w:space="0"/>
              <w:right w:val="single" w:color="auto" w:sz="4" w:space="0"/>
            </w:tcBorders>
            <w:shd w:val="clear" w:color="auto" w:fill="FFFFFF"/>
            <w:noWrap w:val="0"/>
            <w:vAlign w:val="center"/>
          </w:tcPr>
          <w:p w14:paraId="4747E7B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商务部分</w:t>
            </w:r>
          </w:p>
          <w:p w14:paraId="75B58AA2">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50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8C405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项目实施</w:t>
            </w:r>
            <w:r>
              <w:rPr>
                <w:rFonts w:hint="eastAsia" w:ascii="微软雅黑" w:hAnsi="微软雅黑" w:eastAsia="微软雅黑" w:cs="微软雅黑"/>
                <w:sz w:val="22"/>
                <w:szCs w:val="22"/>
                <w:highlight w:val="none"/>
              </w:rPr>
              <w:t>方案</w:t>
            </w:r>
          </w:p>
          <w:p w14:paraId="18C8C3D5">
            <w:pPr>
              <w:pageBreakBefore w:val="0"/>
              <w:kinsoku/>
              <w:wordWrap/>
              <w:overflowPunct/>
              <w:topLinePunct w:val="0"/>
              <w:autoSpaceDE/>
              <w:autoSpaceDN/>
              <w:bidi w:val="0"/>
              <w:ind w:firstLine="0" w:firstLineChars="0"/>
              <w:jc w:val="center"/>
              <w:textAlignment w:val="auto"/>
              <w:rPr>
                <w:rFonts w:hint="default" w:ascii="微软雅黑" w:hAnsi="微软雅黑" w:eastAsia="微软雅黑" w:cs="微软雅黑"/>
                <w:sz w:val="22"/>
                <w:szCs w:val="22"/>
                <w:highlight w:val="none"/>
                <w:lang w:val="en-US" w:eastAsia="zh-CN"/>
              </w:rPr>
            </w:pPr>
            <w:r>
              <w:rPr>
                <w:rFonts w:hint="eastAsia" w:ascii="微软雅黑" w:hAnsi="微软雅黑" w:eastAsia="微软雅黑" w:cs="微软雅黑"/>
                <w:sz w:val="22"/>
                <w:szCs w:val="22"/>
                <w:highlight w:val="none"/>
                <w:lang w:val="en-US" w:eastAsia="zh-CN"/>
              </w:rPr>
              <w:t>50分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419BE">
            <w:pPr>
              <w:spacing w:line="360" w:lineRule="auto"/>
              <w:ind w:firstLine="440" w:firstLineChars="200"/>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针对本项目提供整体实施方案，包含但不限于项目供货方案、项目服务方案和服务措施、售后服务方案等。</w:t>
            </w:r>
          </w:p>
          <w:p w14:paraId="607ECFC6">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内容不存在瑕疵得50分；</w:t>
            </w:r>
          </w:p>
          <w:p w14:paraId="7D1164A5">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内容每存在1处瑕疵扣4分，扣完为止；</w:t>
            </w:r>
          </w:p>
          <w:p w14:paraId="552C530C">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未提供得0分。</w:t>
            </w:r>
          </w:p>
          <w:p w14:paraId="458277A3">
            <w:pPr>
              <w:spacing w:line="360" w:lineRule="auto"/>
              <w:rPr>
                <w:rFonts w:hint="eastAsia" w:ascii="微软雅黑" w:hAnsi="微软雅黑" w:eastAsia="微软雅黑" w:cs="微软雅黑"/>
                <w:bCs/>
                <w:color w:val="auto"/>
                <w:kern w:val="2"/>
                <w:sz w:val="22"/>
                <w:szCs w:val="22"/>
                <w:highlight w:val="none"/>
                <w:lang w:val="en-US" w:eastAsia="zh-CN" w:bidi="ar-SA"/>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36D80B">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1.投标人提供服务方案，格式自拟。</w:t>
            </w:r>
          </w:p>
          <w:p w14:paraId="2FAB8267">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7868D49E">
      <w:pPr>
        <w:snapToGrid w:val="0"/>
        <w:spacing w:line="400" w:lineRule="exact"/>
        <w:ind w:firstLine="480" w:firstLineChars="200"/>
        <w:rPr>
          <w:rFonts w:hint="eastAsia" w:ascii="微软雅黑" w:hAnsi="微软雅黑" w:eastAsia="微软雅黑" w:cs="微软雅黑"/>
          <w:color w:val="auto"/>
          <w:sz w:val="24"/>
          <w:szCs w:val="24"/>
          <w:highlight w:val="none"/>
        </w:rPr>
      </w:pPr>
    </w:p>
    <w:p w14:paraId="22F517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0AC568FE">
      <w:pPr>
        <w:snapToGrid w:val="0"/>
        <w:spacing w:line="400" w:lineRule="exact"/>
        <w:ind w:firstLine="480" w:firstLineChars="200"/>
        <w:rPr>
          <w:rFonts w:hint="eastAsia" w:ascii="微软雅黑" w:hAnsi="微软雅黑" w:eastAsia="微软雅黑" w:cs="微软雅黑"/>
          <w:b/>
          <w:color w:val="auto"/>
          <w:sz w:val="24"/>
          <w:highlight w:val="none"/>
        </w:rPr>
      </w:pPr>
      <w:bookmarkStart w:id="161" w:name="_Toc492721018"/>
      <w:bookmarkStart w:id="162" w:name="_Toc53146619"/>
      <w:r>
        <w:rPr>
          <w:rFonts w:hint="eastAsia" w:ascii="微软雅黑" w:hAnsi="微软雅黑" w:eastAsia="微软雅黑" w:cs="微软雅黑"/>
          <w:b/>
          <w:color w:val="auto"/>
          <w:sz w:val="24"/>
          <w:highlight w:val="none"/>
        </w:rPr>
        <w:t>四、无效投标条款</w:t>
      </w:r>
      <w:bookmarkEnd w:id="161"/>
      <w:bookmarkEnd w:id="162"/>
    </w:p>
    <w:p w14:paraId="7DA1E6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投标人或其投标文件出现下列情况之一者，应为无效投标：</w:t>
      </w:r>
    </w:p>
    <w:p w14:paraId="699CAC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（一）未按照招标文件的规定提交投标保证金的；</w:t>
      </w:r>
    </w:p>
    <w:p w14:paraId="497FA35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（二）投标文件未按招标文件要求签署、盖章的；</w:t>
      </w:r>
    </w:p>
    <w:p w14:paraId="7C2680C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（三）不具备招标文件中规定的资格要求的；</w:t>
      </w:r>
    </w:p>
    <w:p w14:paraId="74AEEA3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（四）报价超过招标文件中规定的预算金额或者最高限价的；</w:t>
      </w:r>
    </w:p>
    <w:p w14:paraId="6734D3E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（五）投标文件含有采购人不能接受的附加条件的；</w:t>
      </w:r>
    </w:p>
    <w:p w14:paraId="562557E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（六）投标人串通投标的；</w:t>
      </w:r>
    </w:p>
    <w:p w14:paraId="7311ADDF">
      <w:pPr>
        <w:snapToGrid w:val="0"/>
        <w:spacing w:line="400" w:lineRule="exact"/>
        <w:ind w:firstLine="480" w:firstLineChars="200"/>
        <w:rPr>
          <w:rFonts w:hint="eastAsia" w:ascii="微软雅黑" w:hAnsi="微软雅黑" w:eastAsia="微软雅黑" w:cs="微软雅黑"/>
          <w:color w:val="auto"/>
          <w:sz w:val="24"/>
          <w:szCs w:val="22"/>
          <w:highlight w:val="none"/>
        </w:rPr>
      </w:pPr>
      <w:r>
        <w:rPr>
          <w:rFonts w:hint="eastAsia" w:ascii="微软雅黑" w:hAnsi="微软雅黑" w:eastAsia="微软雅黑" w:cs="微软雅黑"/>
          <w:color w:val="auto"/>
          <w:sz w:val="24"/>
          <w:szCs w:val="22"/>
          <w:highlight w:val="none"/>
        </w:rPr>
        <w:t>（七）投标人组成联合体投标的；</w:t>
      </w:r>
    </w:p>
    <w:p w14:paraId="12971CD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（八）法律、法规和招标文件规定的其他无效情形。 </w:t>
      </w:r>
    </w:p>
    <w:p w14:paraId="28FAA146">
      <w:pPr>
        <w:snapToGrid w:val="0"/>
        <w:spacing w:line="400" w:lineRule="exact"/>
        <w:ind w:firstLine="480" w:firstLineChars="200"/>
        <w:rPr>
          <w:rFonts w:hint="eastAsia" w:ascii="微软雅黑" w:hAnsi="微软雅黑" w:eastAsia="微软雅黑" w:cs="微软雅黑"/>
          <w:color w:val="auto"/>
          <w:sz w:val="24"/>
          <w:highlight w:val="none"/>
        </w:rPr>
      </w:pPr>
    </w:p>
    <w:p w14:paraId="5532B759">
      <w:pPr>
        <w:rPr>
          <w:rFonts w:hint="eastAsia" w:ascii="宋体" w:hAnsi="宋体" w:eastAsia="宋体"/>
          <w:b w:val="0"/>
          <w:sz w:val="36"/>
          <w:szCs w:val="30"/>
          <w:highlight w:val="none"/>
        </w:rPr>
      </w:pPr>
      <w:bookmarkStart w:id="163" w:name="_Toc8535"/>
      <w:bookmarkStart w:id="164" w:name="_Toc10768"/>
      <w:bookmarkStart w:id="165" w:name="_Toc8916"/>
      <w:bookmarkStart w:id="166" w:name="_Toc65660354"/>
      <w:bookmarkStart w:id="167" w:name="_Toc20055"/>
      <w:r>
        <w:rPr>
          <w:rFonts w:hint="eastAsia" w:ascii="宋体" w:hAnsi="宋体" w:eastAsia="宋体"/>
          <w:b w:val="0"/>
          <w:sz w:val="36"/>
          <w:szCs w:val="30"/>
          <w:highlight w:val="none"/>
        </w:rPr>
        <w:br w:type="page"/>
      </w:r>
    </w:p>
    <w:p w14:paraId="0561B654">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p>
    <w:p w14:paraId="71F135A2">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68" w:name="_Toc6312"/>
      <w:r>
        <w:rPr>
          <w:rFonts w:hint="eastAsia" w:ascii="微软雅黑" w:hAnsi="微软雅黑" w:eastAsia="微软雅黑" w:cs="微软雅黑"/>
          <w:sz w:val="36"/>
          <w:szCs w:val="36"/>
          <w:highlight w:val="none"/>
        </w:rPr>
        <w:t>第五篇  供应商须知</w:t>
      </w:r>
      <w:bookmarkEnd w:id="163"/>
      <w:bookmarkEnd w:id="164"/>
      <w:bookmarkEnd w:id="165"/>
      <w:bookmarkEnd w:id="166"/>
      <w:bookmarkEnd w:id="167"/>
      <w:bookmarkEnd w:id="168"/>
    </w:p>
    <w:p w14:paraId="2E88EF38">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69" w:name="_Toc2864"/>
      <w:bookmarkStart w:id="170" w:name="_Toc5290"/>
      <w:bookmarkStart w:id="171" w:name="_Toc21988"/>
      <w:bookmarkStart w:id="172" w:name="_Toc16524"/>
      <w:bookmarkStart w:id="173" w:name="_Toc65660355"/>
      <w:r>
        <w:rPr>
          <w:rFonts w:hint="eastAsia" w:ascii="微软雅黑" w:hAnsi="微软雅黑" w:eastAsia="微软雅黑" w:cs="微软雅黑"/>
          <w:b/>
          <w:bCs/>
          <w:color w:val="auto"/>
          <w:sz w:val="24"/>
          <w:highlight w:val="none"/>
        </w:rPr>
        <w:t>一、询比费用</w:t>
      </w:r>
      <w:bookmarkEnd w:id="169"/>
      <w:bookmarkEnd w:id="170"/>
      <w:bookmarkEnd w:id="171"/>
      <w:bookmarkEnd w:id="172"/>
      <w:bookmarkEnd w:id="173"/>
    </w:p>
    <w:p w14:paraId="0D0B3B4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参与询比的供应商应承担其编制响应文件所涉及的一切费用，不论结果如何，采购人和采购代理机构在任何情况下无义务也无责任承担这些费用。</w:t>
      </w:r>
    </w:p>
    <w:p w14:paraId="7CA7537F">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4" w:name="_Toc65660356"/>
      <w:bookmarkStart w:id="175" w:name="_Toc31739"/>
      <w:bookmarkStart w:id="176" w:name="_Toc31070"/>
      <w:bookmarkStart w:id="177" w:name="_Toc17270"/>
      <w:bookmarkStart w:id="178" w:name="_Toc5915"/>
      <w:r>
        <w:rPr>
          <w:rFonts w:hint="eastAsia" w:ascii="微软雅黑" w:hAnsi="微软雅黑" w:eastAsia="微软雅黑" w:cs="微软雅黑"/>
          <w:b/>
          <w:bCs/>
          <w:color w:val="auto"/>
          <w:sz w:val="24"/>
          <w:highlight w:val="none"/>
        </w:rPr>
        <w:t>二、询比采购文件</w:t>
      </w:r>
      <w:bookmarkEnd w:id="174"/>
      <w:bookmarkEnd w:id="175"/>
      <w:bookmarkEnd w:id="176"/>
      <w:bookmarkEnd w:id="177"/>
      <w:bookmarkEnd w:id="178"/>
      <w:r>
        <w:rPr>
          <w:rFonts w:hint="eastAsia" w:ascii="微软雅黑" w:hAnsi="微软雅黑" w:eastAsia="微软雅黑" w:cs="微软雅黑"/>
          <w:b/>
          <w:bCs/>
          <w:color w:val="auto"/>
          <w:sz w:val="24"/>
          <w:highlight w:val="none"/>
        </w:rPr>
        <w:tab/>
      </w:r>
    </w:p>
    <w:p w14:paraId="3203297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（一）询比采购文件由询比采购邀请书、项目服务需求、项目商务需求、采购程序、评审标准、无效响应及采购终止、供应商须知、合同草案条款、响应文件格式要求七部分组成。</w:t>
      </w:r>
    </w:p>
    <w:p w14:paraId="762E0CA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（二）采购人（或采购代理机构）所作的一切有效的书面通知、修改及补充，都是询比采购文件不可分割的部分。</w:t>
      </w:r>
    </w:p>
    <w:p w14:paraId="7FA01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（三）询比采购文件的解释</w:t>
      </w:r>
    </w:p>
    <w:p w14:paraId="2CC64E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如对询比采购文件有疑问，必须以书面形式在提交响应文件截止时间1个工作日前向采购人（或采购代理机构）要求澄清，采购人（或采购代理机构）可视具体情况做出处理或答复。如供应商未提出疑问，视为完全理解并同意本询比采购文件。一经进入询比程序，即视为供应商已详细阅读全部文件资料，完全理解询比采购文件所有条款内容并同意放弃对这方面有不明白及误解的权利。</w:t>
      </w:r>
      <w:bookmarkStart w:id="179" w:name="_Toc318159780"/>
      <w:bookmarkStart w:id="180" w:name="_Toc318159160"/>
      <w:bookmarkStart w:id="181" w:name="_Toc318166429"/>
      <w:bookmarkStart w:id="182" w:name="_Toc318159349"/>
    </w:p>
    <w:p w14:paraId="035AF2E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（四）评审的依据为询比采购文件和响应文件。评审小组判断响应文件对询比采购文件的响应，仅基于响应文件本身而不靠外部证据。</w:t>
      </w:r>
      <w:bookmarkEnd w:id="179"/>
      <w:bookmarkEnd w:id="180"/>
      <w:bookmarkEnd w:id="181"/>
      <w:bookmarkEnd w:id="182"/>
    </w:p>
    <w:p w14:paraId="48B6D91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3" w:name="_Toc9532"/>
      <w:bookmarkStart w:id="184" w:name="_Toc65660357"/>
      <w:bookmarkStart w:id="185" w:name="_Toc3061"/>
      <w:bookmarkStart w:id="186" w:name="_Toc13313"/>
      <w:bookmarkStart w:id="187" w:name="_Toc1922"/>
      <w:r>
        <w:rPr>
          <w:rFonts w:hint="eastAsia" w:ascii="微软雅黑" w:hAnsi="微软雅黑" w:eastAsia="微软雅黑" w:cs="微软雅黑"/>
          <w:b/>
          <w:bCs/>
          <w:color w:val="auto"/>
          <w:sz w:val="24"/>
          <w:highlight w:val="none"/>
        </w:rPr>
        <w:t>三、报价要求</w:t>
      </w:r>
      <w:bookmarkEnd w:id="183"/>
      <w:bookmarkEnd w:id="184"/>
      <w:bookmarkEnd w:id="185"/>
      <w:bookmarkEnd w:id="186"/>
      <w:bookmarkEnd w:id="187"/>
    </w:p>
    <w:p w14:paraId="78E40CB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对本项目的报价，应根据市场价格以及企业自身的实力，自主报价。该报价包括实施和完成本项目所需的代理费、人工、材料、机械、印制、配送、利润、税费和风险等一切费用，因报价估计不足或市场价格波动，一律由成交供应商自行负责，采购单位不再为此向支付其它任何费用，除非合同中另有规定的除外。</w:t>
      </w:r>
    </w:p>
    <w:p w14:paraId="1BC45EF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（一）响应文件</w:t>
      </w:r>
    </w:p>
    <w:p w14:paraId="01893C8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供应商应当按照询比采购文件的要求编制响应文件，并对询比采购文件提出的要求和条件作出实质性响应，响应文件原则上采用软面订本，同时应编制完整的页码、目录。</w:t>
      </w:r>
    </w:p>
    <w:p w14:paraId="3D01A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1.响应文件组成</w:t>
      </w:r>
    </w:p>
    <w:p w14:paraId="3063DFB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9B0E94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（二）联合体</w:t>
      </w:r>
    </w:p>
    <w:p w14:paraId="73D829C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本项目不接受联合体。</w:t>
      </w:r>
    </w:p>
    <w:p w14:paraId="273C753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（三）询比有效期：响应文件及有关承诺文件有效期为提交响应文件截止时间起90天。</w:t>
      </w:r>
    </w:p>
    <w:p w14:paraId="7D300FF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（四）修正错误</w:t>
      </w:r>
    </w:p>
    <w:p w14:paraId="259B08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1.若供应商所</w:t>
      </w:r>
      <w:r>
        <w:rPr>
          <w:rFonts w:hint="eastAsia" w:ascii="微软雅黑" w:hAnsi="微软雅黑" w:eastAsia="微软雅黑" w:cs="微软雅黑"/>
          <w:color w:val="auto"/>
          <w:sz w:val="24"/>
          <w:highlight w:val="none"/>
          <w:lang w:val="en-US" w:eastAsia="zh-CN"/>
        </w:rPr>
        <w:t>上传</w:t>
      </w:r>
      <w:r>
        <w:rPr>
          <w:rFonts w:hint="eastAsia" w:ascii="微软雅黑" w:hAnsi="微软雅黑" w:eastAsia="微软雅黑" w:cs="微软雅黑"/>
          <w:color w:val="auto"/>
          <w:sz w:val="24"/>
          <w:highlight w:val="none"/>
        </w:rPr>
        <w:t>的响应文件或报价中的价格出现大写金额和小写金额不一致的错误，以大写金额修正为准。</w:t>
      </w:r>
    </w:p>
    <w:p w14:paraId="0AB2750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2.评审小组或采购人按上述修正错误的原则及方法修正供应商的报价，供应商同意并签署确认后，修正后的报价对供应商具有约束作用。如果供应商不接受修正后的价格，将视为无效报价。</w:t>
      </w:r>
    </w:p>
    <w:p w14:paraId="37E07D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（五）响应文件的签署</w:t>
      </w:r>
    </w:p>
    <w:p w14:paraId="7BFF667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1</w:t>
      </w:r>
      <w:r>
        <w:rPr>
          <w:rFonts w:hint="eastAsia" w:ascii="微软雅黑" w:hAnsi="微软雅黑" w:eastAsia="微软雅黑" w:cs="微软雅黑"/>
          <w:color w:val="auto"/>
          <w:sz w:val="24"/>
          <w:highlight w:val="none"/>
        </w:rPr>
        <w:t>.在响应文件中，询比采购文件第七篇响应文件格式中规定签署、盖章的地方必须按其规定签署、盖章。</w:t>
      </w:r>
    </w:p>
    <w:p w14:paraId="7C9425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2</w:t>
      </w:r>
      <w:r>
        <w:rPr>
          <w:rFonts w:hint="eastAsia" w:ascii="微软雅黑" w:hAnsi="微软雅黑" w:eastAsia="微软雅黑" w:cs="微软雅黑"/>
          <w:color w:val="auto"/>
          <w:sz w:val="24"/>
          <w:highlight w:val="none"/>
        </w:rPr>
        <w:t>.若供应商对响应文件的错处作必要修改，则应在修改处加盖供应商公章或由法定代表人（或其授权代表）或自然人（供应商为自然人）签署确认。</w:t>
      </w:r>
    </w:p>
    <w:p w14:paraId="4CE97A5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3</w:t>
      </w:r>
      <w:r>
        <w:rPr>
          <w:rFonts w:hint="eastAsia" w:ascii="微软雅黑" w:hAnsi="微软雅黑" w:eastAsia="微软雅黑" w:cs="微软雅黑"/>
          <w:color w:val="auto"/>
          <w:sz w:val="24"/>
          <w:highlight w:val="none"/>
        </w:rPr>
        <w:t>.电报、电话、传真形式的响应文件概不接受。</w:t>
      </w:r>
    </w:p>
    <w:p w14:paraId="17A29E4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（六）响应文件语言：简体中文</w:t>
      </w:r>
    </w:p>
    <w:p w14:paraId="2B1B3A2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8" w:name="_Toc65660358"/>
      <w:bookmarkStart w:id="189" w:name="_Toc26059"/>
      <w:bookmarkStart w:id="190" w:name="_Toc6242"/>
      <w:bookmarkStart w:id="191" w:name="_Toc10172"/>
      <w:bookmarkStart w:id="192" w:name="_Toc14702"/>
      <w:r>
        <w:rPr>
          <w:rFonts w:hint="eastAsia" w:ascii="微软雅黑" w:hAnsi="微软雅黑" w:eastAsia="微软雅黑" w:cs="微软雅黑"/>
          <w:b/>
          <w:bCs/>
          <w:color w:val="auto"/>
          <w:sz w:val="24"/>
          <w:highlight w:val="none"/>
        </w:rPr>
        <w:t>四、成交供应商的确定和变更</w:t>
      </w:r>
      <w:bookmarkEnd w:id="188"/>
      <w:bookmarkEnd w:id="189"/>
      <w:bookmarkEnd w:id="190"/>
      <w:bookmarkEnd w:id="191"/>
      <w:bookmarkEnd w:id="192"/>
    </w:p>
    <w:p w14:paraId="7CD898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5EA127E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（二）成交供应商的变更</w:t>
      </w:r>
    </w:p>
    <w:p w14:paraId="0DA6CAA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成交供应商拒绝与采购人签订合同的，采购人可以按照评审报告推荐的成交候选供应商顺序，确定排名下一位的候选人为成交供应商，也可以重新开展采购活动。拒绝签订采购合同的成交供应商不得参加对该项目重新开展的采购活动。</w:t>
      </w:r>
    </w:p>
    <w:p w14:paraId="2030D2A1">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3" w:name="_Toc65660359"/>
      <w:bookmarkStart w:id="194" w:name="_Toc10504"/>
      <w:bookmarkStart w:id="195" w:name="_Toc29821"/>
      <w:bookmarkStart w:id="196" w:name="_Toc30880"/>
      <w:bookmarkStart w:id="197" w:name="_Toc1092"/>
      <w:r>
        <w:rPr>
          <w:rFonts w:hint="eastAsia" w:ascii="微软雅黑" w:hAnsi="微软雅黑" w:eastAsia="微软雅黑" w:cs="微软雅黑"/>
          <w:b/>
          <w:bCs/>
          <w:color w:val="auto"/>
          <w:sz w:val="24"/>
          <w:highlight w:val="none"/>
        </w:rPr>
        <w:t>五、成交通知</w:t>
      </w:r>
      <w:bookmarkEnd w:id="193"/>
      <w:bookmarkEnd w:id="194"/>
      <w:bookmarkEnd w:id="195"/>
      <w:bookmarkEnd w:id="196"/>
      <w:bookmarkEnd w:id="197"/>
    </w:p>
    <w:p w14:paraId="65F29F05">
      <w:pPr>
        <w:snapToGrid w:val="0"/>
        <w:spacing w:line="400" w:lineRule="exact"/>
        <w:ind w:firstLine="480" w:firstLineChars="200"/>
        <w:rPr>
          <w:rFonts w:hint="eastAsia" w:ascii="微软雅黑" w:hAnsi="微软雅黑" w:eastAsia="微软雅黑" w:cs="微软雅黑"/>
          <w:color w:val="auto"/>
          <w:sz w:val="24"/>
          <w:highlight w:val="none"/>
        </w:rPr>
      </w:pPr>
      <w:bookmarkStart w:id="198" w:name="_Toc65660360"/>
      <w:bookmarkStart w:id="199" w:name="_Toc31082"/>
      <w:bookmarkStart w:id="200" w:name="_Toc30909"/>
      <w:bookmarkStart w:id="201" w:name="_Toc1010"/>
      <w:r>
        <w:rPr>
          <w:rFonts w:hint="eastAsia" w:ascii="微软雅黑" w:hAnsi="微软雅黑" w:eastAsia="微软雅黑" w:cs="微软雅黑"/>
          <w:color w:val="auto"/>
          <w:sz w:val="24"/>
          <w:highlight w:val="none"/>
        </w:rPr>
        <w:t>（一）成交供应商确定后2个工作日内，采购代理机构将在行采家-电子竞采中心发布成交结果公示。</w:t>
      </w:r>
    </w:p>
    <w:p w14:paraId="4EA8DE6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（二）结果公告发出同时，采购代理机构将以书面形式发出《成交通知书》。《成交通知书》一经发出即发生法律效力。</w:t>
      </w:r>
    </w:p>
    <w:p w14:paraId="442233F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（三）《成交通知书》将作为签订合同的依据。</w:t>
      </w:r>
    </w:p>
    <w:p w14:paraId="304CF7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（四）如有供应商对成交结果提出质疑的，在质疑处理完毕后发出成交通知书。</w:t>
      </w:r>
    </w:p>
    <w:p w14:paraId="79065DCE">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2" w:name="_Toc28729"/>
      <w:r>
        <w:rPr>
          <w:rFonts w:hint="eastAsia" w:ascii="微软雅黑" w:hAnsi="微软雅黑" w:eastAsia="微软雅黑" w:cs="微软雅黑"/>
          <w:b/>
          <w:bCs/>
          <w:color w:val="auto"/>
          <w:sz w:val="24"/>
          <w:highlight w:val="none"/>
        </w:rPr>
        <w:t>六、关于质疑和投诉</w:t>
      </w:r>
      <w:bookmarkEnd w:id="198"/>
      <w:bookmarkEnd w:id="199"/>
      <w:bookmarkEnd w:id="200"/>
      <w:bookmarkEnd w:id="201"/>
      <w:bookmarkEnd w:id="202"/>
    </w:p>
    <w:p w14:paraId="15A2AD5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（一）质疑</w:t>
      </w:r>
    </w:p>
    <w:p w14:paraId="2994B55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供应商认为采购文件、采购过程和成交结果使自己的权益收到伤害的，可向采购人或采购代理机构以书面形式提出质疑。</w:t>
      </w:r>
    </w:p>
    <w:p w14:paraId="62AF13F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提出质疑的应当是参与所质疑项目采购活动的供应商。 </w:t>
      </w:r>
    </w:p>
    <w:p w14:paraId="7014A26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1.质疑时限、内容</w:t>
      </w:r>
    </w:p>
    <w:p w14:paraId="4EB321B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059C239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1.2供应商提出质疑应当提交质疑函和必要的证明材料，质疑函应当包括下列内容：</w:t>
      </w:r>
    </w:p>
    <w:p w14:paraId="5E0201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1.2.1供应商的姓名或者名称、地址、邮编、联系人及联系电话；</w:t>
      </w:r>
    </w:p>
    <w:p w14:paraId="37147D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1.2.2质疑项目的项目名称、项目号以及采购执行编号；</w:t>
      </w:r>
    </w:p>
    <w:p w14:paraId="41F83AB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1.2.3具体、明确的质疑事项和与质疑事项相关的请求；</w:t>
      </w:r>
    </w:p>
    <w:p w14:paraId="7B73A83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1.2.4事实依据；</w:t>
      </w:r>
    </w:p>
    <w:p w14:paraId="4656776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1.2.5必要的法律依据；</w:t>
      </w:r>
    </w:p>
    <w:p w14:paraId="1DBFC5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1.2.6提出质疑的日期；</w:t>
      </w:r>
    </w:p>
    <w:p w14:paraId="16F5E50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1.2.7营业执照（或事业单位法人证书，或个体工商户营业执照或有效的自然人身份证明）复印件；</w:t>
      </w:r>
    </w:p>
    <w:p w14:paraId="6963DC5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1.2.8法定代表人授权委托书原件、法定代表人身份证复印件和其授权代表的身份证复印件（供应商为自然人的提供自然人身份证复印件）；</w:t>
      </w:r>
    </w:p>
    <w:p w14:paraId="53C95C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1.3供应商为自然人的，质疑函应当由本人签字；供应商为法人或者其他组织的，质疑函应当由法定代表人、主要负责人，或者其授权代表签字或者盖章，并加盖公章。</w:t>
      </w:r>
    </w:p>
    <w:p w14:paraId="328004E0">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2.质疑答复</w:t>
      </w:r>
    </w:p>
    <w:p w14:paraId="6AE32E9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采购人、采购代理机构应当在收到供应商的书面质疑后7个工作日内作出答复，并以书面形式通知质疑供应商和其他有关供应商。</w:t>
      </w:r>
    </w:p>
    <w:p w14:paraId="652F923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3.其他</w:t>
      </w:r>
    </w:p>
    <w:p w14:paraId="41D5E1A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3.1供应商应按照《政府采购质疑和投诉办法》（财政部令第94号）及相关法律法规要求，在法定质疑期内一次性提出针对同一采购程序环节的质疑。</w:t>
      </w:r>
    </w:p>
    <w:p w14:paraId="1E25E71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3.2质疑函范本可在财政部门户网站和中国政府采购网下载。</w:t>
      </w:r>
    </w:p>
    <w:p w14:paraId="3946D17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（二）投诉</w:t>
      </w:r>
    </w:p>
    <w:p w14:paraId="1C6DFA4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0E98DA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1BFEA68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FFDF74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2FFC3367">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3" w:name="_Toc76462344"/>
      <w:bookmarkStart w:id="204" w:name="_Toc126832920"/>
      <w:bookmarkStart w:id="205" w:name="_Toc16148"/>
      <w:r>
        <w:rPr>
          <w:rFonts w:hint="eastAsia" w:ascii="微软雅黑" w:hAnsi="微软雅黑" w:eastAsia="微软雅黑" w:cs="微软雅黑"/>
          <w:b/>
          <w:bCs/>
          <w:color w:val="auto"/>
          <w:sz w:val="24"/>
          <w:highlight w:val="none"/>
        </w:rPr>
        <w:t>七、采购代理服务费</w:t>
      </w:r>
      <w:bookmarkEnd w:id="203"/>
      <w:bookmarkEnd w:id="204"/>
      <w:bookmarkEnd w:id="205"/>
    </w:p>
    <w:p w14:paraId="68E7C2F1">
      <w:pPr>
        <w:snapToGrid w:val="0"/>
        <w:spacing w:line="400" w:lineRule="exact"/>
        <w:ind w:firstLine="480" w:firstLineChars="200"/>
        <w:rPr>
          <w:rFonts w:hint="eastAsia" w:ascii="微软雅黑" w:hAnsi="微软雅黑" w:eastAsia="微软雅黑" w:cs="微软雅黑"/>
          <w:color w:val="auto"/>
          <w:sz w:val="24"/>
          <w:highlight w:val="none"/>
        </w:rPr>
      </w:pPr>
      <w:bookmarkStart w:id="206" w:name="_Toc76462345"/>
      <w:r>
        <w:rPr>
          <w:rFonts w:hint="eastAsia" w:ascii="微软雅黑" w:hAnsi="微软雅黑" w:eastAsia="微软雅黑" w:cs="微软雅黑"/>
          <w:color w:val="auto"/>
          <w:sz w:val="24"/>
          <w:highlight w:val="none"/>
        </w:rPr>
        <w:t>1.采购代理服务费：</w:t>
      </w:r>
      <w:bookmarkEnd w:id="206"/>
      <w:r>
        <w:rPr>
          <w:rFonts w:hint="eastAsia" w:ascii="微软雅黑" w:hAnsi="微软雅黑" w:eastAsia="微软雅黑" w:cs="微软雅黑"/>
          <w:color w:val="auto"/>
          <w:sz w:val="24"/>
          <w:highlight w:val="none"/>
        </w:rPr>
        <w:t>3000.00元，由中标人在领取中标通知书前一次性支付给代理机构</w:t>
      </w:r>
      <w:r>
        <w:rPr>
          <w:rFonts w:hint="eastAsia" w:ascii="微软雅黑" w:hAnsi="微软雅黑" w:eastAsia="微软雅黑" w:cs="微软雅黑"/>
          <w:color w:val="auto"/>
          <w:sz w:val="24"/>
          <w:highlight w:val="none"/>
        </w:rPr>
        <w:t>。</w:t>
      </w:r>
    </w:p>
    <w:p w14:paraId="0240BAC8">
      <w:pPr>
        <w:snapToGrid w:val="0"/>
        <w:spacing w:line="400" w:lineRule="exact"/>
        <w:ind w:firstLine="480" w:firstLineChars="200"/>
        <w:rPr>
          <w:rFonts w:hint="eastAsia" w:ascii="微软雅黑" w:hAnsi="微软雅黑" w:eastAsia="微软雅黑" w:cs="微软雅黑"/>
          <w:color w:val="auto"/>
          <w:sz w:val="24"/>
          <w:highlight w:val="none"/>
        </w:rPr>
      </w:pPr>
      <w:bookmarkStart w:id="246" w:name="_GoBack"/>
      <w:bookmarkEnd w:id="246"/>
    </w:p>
    <w:p w14:paraId="4711DD02">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7" w:name="_Toc23778"/>
      <w:bookmarkStart w:id="208" w:name="_Toc8128"/>
      <w:bookmarkStart w:id="209" w:name="_Toc3127"/>
      <w:bookmarkStart w:id="210" w:name="_Toc65660361"/>
      <w:bookmarkStart w:id="211" w:name="_Toc16648"/>
      <w:r>
        <w:rPr>
          <w:rFonts w:hint="eastAsia" w:ascii="微软雅黑" w:hAnsi="微软雅黑" w:eastAsia="微软雅黑" w:cs="微软雅黑"/>
          <w:b/>
          <w:bCs/>
          <w:color w:val="auto"/>
          <w:sz w:val="24"/>
          <w:highlight w:val="none"/>
        </w:rPr>
        <w:t>八、签订合同</w:t>
      </w:r>
      <w:bookmarkEnd w:id="207"/>
      <w:bookmarkEnd w:id="208"/>
      <w:bookmarkEnd w:id="209"/>
      <w:bookmarkEnd w:id="210"/>
      <w:bookmarkEnd w:id="211"/>
    </w:p>
    <w:p w14:paraId="25343D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人原则上应在成交通知书发出之日起二十日内和成交供应商签订政府采购合同，无正当理由不得拒绝或拖延合同签订。所签订的合同不得对询比采购文件和供应商的响应文件作实质性修改。其他未尽事宜由采购人和成交供应商在采购合同中详细约定。</w:t>
      </w:r>
    </w:p>
    <w:p w14:paraId="68B9FDF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（二）询比采购文件、供应商的响应文件及澄清文件等，均为签订采购合同的依据。</w:t>
      </w:r>
    </w:p>
    <w:p w14:paraId="2B97F31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（三）合同生效条款由供需双方约定，法律、行政法规规定应当办理批准、登记等手续后生效的合同，依照其规定。</w:t>
      </w:r>
    </w:p>
    <w:p w14:paraId="027385A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（四）合同原则上应按照《重庆市政府采购合同》签订，相关单位要求适用合同通用格式版本的，应按其要求另行签订其他合同。</w:t>
      </w:r>
    </w:p>
    <w:p w14:paraId="72AE9C94">
      <w:pPr>
        <w:snapToGrid w:val="0"/>
        <w:spacing w:line="400" w:lineRule="exact"/>
        <w:ind w:firstLine="480" w:firstLineChars="200"/>
        <w:rPr>
          <w:rFonts w:hint="eastAsia" w:ascii="微软雅黑" w:hAnsi="微软雅黑" w:eastAsia="微软雅黑" w:cs="微软雅黑"/>
          <w:color w:val="auto"/>
          <w:sz w:val="24"/>
          <w:highlight w:val="none"/>
        </w:rPr>
        <w:sectPr>
          <w:headerReference r:id="rId6" w:type="default"/>
          <w:footerReference r:id="rId7" w:type="default"/>
          <w:pgSz w:w="11907" w:h="16840"/>
          <w:pgMar w:top="1134" w:right="1191" w:bottom="1134" w:left="1304" w:header="964" w:footer="992" w:gutter="0"/>
          <w:pgNumType w:fmt="decimal" w:start="1"/>
          <w:cols w:space="720" w:num="1"/>
          <w:docGrid w:linePitch="312" w:charSpace="0"/>
        </w:sectPr>
      </w:pPr>
    </w:p>
    <w:p w14:paraId="7CF58407">
      <w:pPr>
        <w:rPr>
          <w:rFonts w:hint="eastAsia" w:ascii="微软雅黑" w:hAnsi="微软雅黑" w:eastAsia="微软雅黑" w:cs="微软雅黑"/>
          <w:sz w:val="36"/>
          <w:szCs w:val="36"/>
          <w:highlight w:val="none"/>
        </w:rPr>
      </w:pPr>
      <w:bookmarkStart w:id="212" w:name="_Toc65832012"/>
    </w:p>
    <w:p w14:paraId="2EEA8D1A">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213" w:name="_Toc27932"/>
      <w:r>
        <w:rPr>
          <w:rFonts w:hint="eastAsia" w:ascii="微软雅黑" w:hAnsi="微软雅黑" w:eastAsia="微软雅黑" w:cs="微软雅黑"/>
          <w:sz w:val="36"/>
          <w:szCs w:val="36"/>
          <w:highlight w:val="none"/>
        </w:rPr>
        <w:t>第六篇  合同主要条款和格式合同（样本）</w:t>
      </w:r>
      <w:bookmarkEnd w:id="212"/>
      <w:bookmarkEnd w:id="213"/>
    </w:p>
    <w:p w14:paraId="71BAB0AE">
      <w:pPr>
        <w:spacing w:line="500" w:lineRule="exact"/>
        <w:ind w:firstLine="480" w:firstLineChars="200"/>
        <w:rPr>
          <w:rFonts w:hint="eastAsia" w:ascii="微软雅黑" w:hAnsi="微软雅黑" w:eastAsia="微软雅黑" w:cs="微软雅黑"/>
          <w:color w:val="000000"/>
          <w:sz w:val="24"/>
          <w:highlight w:val="none"/>
        </w:rPr>
      </w:pPr>
      <w:bookmarkStart w:id="214" w:name="_Toc277084870"/>
      <w:bookmarkStart w:id="215" w:name="_Toc285722712"/>
      <w:bookmarkStart w:id="216" w:name="_Toc65832013"/>
      <w:r>
        <w:rPr>
          <w:rFonts w:hint="eastAsia" w:ascii="微软雅黑" w:hAnsi="微软雅黑" w:eastAsia="微软雅黑" w:cs="微软雅黑"/>
          <w:color w:val="000000"/>
          <w:sz w:val="24"/>
          <w:highlight w:val="none"/>
        </w:rPr>
        <w:t>一、合同主要条款</w:t>
      </w:r>
      <w:bookmarkEnd w:id="214"/>
      <w:bookmarkEnd w:id="215"/>
      <w:bookmarkEnd w:id="216"/>
    </w:p>
    <w:p w14:paraId="2718527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1.定义</w:t>
      </w:r>
    </w:p>
    <w:p w14:paraId="7B84CFB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1.1甲方（需方）即采购人，是指通过招标采购，接受合同货物及服务的各级国家机关、事业单位和团体组织。</w:t>
      </w:r>
    </w:p>
    <w:p w14:paraId="78E713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1.2乙方（供方）即中标人，是指中标后提供合同货物和服务的自然人、法人及其他组织。</w:t>
      </w:r>
    </w:p>
    <w:p w14:paraId="33338C0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1.3合同是指由甲乙双方按照招标文件和投标文件的实质性内容，通过协商一致达成的书面协议。</w:t>
      </w:r>
    </w:p>
    <w:p w14:paraId="22BFCF3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1.4合同价格指以中标价格为依据，在供方全面履行合同义务后，需方（或财政部门）应支付给供方的金额。</w:t>
      </w:r>
    </w:p>
    <w:p w14:paraId="4EDB4C0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1.5技术资料是指合同货物及其相关的设计、制造、监造、检验、验收等文件（包括图纸、各种文字说明、标准）。</w:t>
      </w:r>
    </w:p>
    <w:p w14:paraId="23BC41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2.货物内容</w:t>
      </w:r>
    </w:p>
    <w:p w14:paraId="71BADD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合同包括以下内容：货物名称、型号规格、技术参数、数量（单位）等内容。</w:t>
      </w:r>
    </w:p>
    <w:p w14:paraId="612B93C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3.合同价格</w:t>
      </w:r>
    </w:p>
    <w:p w14:paraId="218E652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3.1合同价格即合同总价。</w:t>
      </w:r>
    </w:p>
    <w:p w14:paraId="65F749F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3.2合同价格包括合同货物、技术资料、合同货物的税费、运杂费、保险费、包装费、装卸费及与货物有关的供方应纳的税费，所有税费由乙方负担。</w:t>
      </w:r>
    </w:p>
    <w:p w14:paraId="1B1E3D8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3.3合同货物单价为不变价。</w:t>
      </w:r>
    </w:p>
    <w:p w14:paraId="542245C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4.转包或分包</w:t>
      </w:r>
    </w:p>
    <w:p w14:paraId="1C4CD63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4.1本合同范围的货物，应由乙方直接供应，不得转让他人供应；</w:t>
      </w:r>
    </w:p>
    <w:p w14:paraId="05867AF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4.2非经甲方书面同意，乙方不得将本合同范围的货物全部或部分分包给他人供应；</w:t>
      </w:r>
    </w:p>
    <w:p w14:paraId="743940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4.3如有转让和未经甲方同意的分包行为，甲方有权解除合同，没收履约保证金并追究乙方的违约责任。</w:t>
      </w:r>
    </w:p>
    <w:p w14:paraId="42E3209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5.质量保证及售后服务</w:t>
      </w:r>
    </w:p>
    <w:p w14:paraId="4A62BE7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5.1乙方应按招标文件规定的货物性能、技术要求、质量标准向甲方提供未经使用的全新产品。</w:t>
      </w:r>
    </w:p>
    <w:p w14:paraId="0AA099B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5.2乙方提供的货物在质保期内因货物本身的质量问题发生故障，乙方应负责免费更换。对达不到技术要求者，根据实际情况，经双方协商，可按以下办法处理：</w:t>
      </w:r>
    </w:p>
    <w:p w14:paraId="0293BAC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5.2.1更换：由乙方承担所发生的全部费用。</w:t>
      </w:r>
    </w:p>
    <w:p w14:paraId="377CC9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5.2.2贬值处理：由甲乙双方合议定价。</w:t>
      </w:r>
    </w:p>
    <w:p w14:paraId="2CE8644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5.2.3退货处理：乙方应退还甲方支付的合同款，同时应承担该货物的直接费用（运输、保险、检验、货款利息及银行手续费等）。</w:t>
      </w:r>
    </w:p>
    <w:p w14:paraId="1E92256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5.3如在使用过程中发生质量问题，乙方应按本项目“第三篇 项目商务要求”中的要求处理。</w:t>
      </w:r>
    </w:p>
    <w:p w14:paraId="4121EBA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5.4在质保期内，乙方应对货物出现的质量及安全问题负责处理解决并承担一切费用。</w:t>
      </w:r>
    </w:p>
    <w:p w14:paraId="258C5C6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5.5 如甲方要求乙方提供履约保证金的，履约保证金的收取和退还应按本项目“第三篇 项目商务要求”中的要求处理。</w:t>
      </w:r>
    </w:p>
    <w:p w14:paraId="4950E09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6.付款</w:t>
      </w:r>
    </w:p>
    <w:p w14:paraId="7305EEA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6.1本合同使用货币币制如未作特别说明均为人民币。</w:t>
      </w:r>
    </w:p>
    <w:p w14:paraId="6E73083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6.2付款方式：银行转账、现金支票。</w:t>
      </w:r>
    </w:p>
    <w:p w14:paraId="64FA3FB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6.3付款方法：同本项目“第三篇 商务条款”中关于付款方式的约定。</w:t>
      </w:r>
    </w:p>
    <w:p w14:paraId="6E3C40D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7.检查验收</w:t>
      </w:r>
    </w:p>
    <w:p w14:paraId="61424B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7.1供方应随货物提供合格证和质量证明文件，如是国外进口的货物还须提供入关证明。</w:t>
      </w:r>
    </w:p>
    <w:p w14:paraId="6D8B35B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7.2货物验收</w:t>
      </w:r>
    </w:p>
    <w:p w14:paraId="6A4CCD0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096A66E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7.3货物验收报告应由需方、供方经办人签字，并加盖双方公章，以此作为支付凭据。</w:t>
      </w:r>
    </w:p>
    <w:p w14:paraId="046AF0D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8.索赔</w:t>
      </w:r>
    </w:p>
    <w:p w14:paraId="0FE4CAE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供方对货物与合同要求不符负有责任，并且需方已于规定交货内和质量保证期内提出索赔，供方应按需方同意的下述一种或多种方法解决索赔事宜。</w:t>
      </w:r>
    </w:p>
    <w:p w14:paraId="7514562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6704858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8.2根据货物的疵劣和受损程度以及需方遭受损失的金额，经双方同意降低货物价格。</w:t>
      </w:r>
    </w:p>
    <w:p w14:paraId="519B17D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9.知识产权</w:t>
      </w:r>
    </w:p>
    <w:p w14:paraId="6E64951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967331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10.合同争议的解决</w:t>
      </w:r>
    </w:p>
    <w:p w14:paraId="639C53A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10.1当事人友好协商达成一致</w:t>
      </w:r>
    </w:p>
    <w:p w14:paraId="09D416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10.2在60天内当事人协商不能达成协议的，可提请采购人当地仲裁机构仲裁。</w:t>
      </w:r>
    </w:p>
    <w:p w14:paraId="50E4134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11.违约责任</w:t>
      </w:r>
    </w:p>
    <w:p w14:paraId="0284A9C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按《中华人民共和国合同法》、《中华人民共和国政府采购法》有关条款，或由供需双方约定。</w:t>
      </w:r>
    </w:p>
    <w:p w14:paraId="540D9C6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12.合同生效及其它</w:t>
      </w:r>
    </w:p>
    <w:p w14:paraId="4CFA27A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12.1合同生效及其效力应符合《中华人民共和国合同法》有关规定。</w:t>
      </w:r>
    </w:p>
    <w:p w14:paraId="3C23B0B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12.2合同应经当事人法定代表人或委托代理人签字，加盖双方合同专用章或公章。</w:t>
      </w:r>
    </w:p>
    <w:p w14:paraId="0F044E8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12.3合同所包括附件，是合同不可分割的一部分，具有同等法法律效力。</w:t>
      </w:r>
    </w:p>
    <w:p w14:paraId="01A0E19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12.4合同需提供担保的，按《中华人民共和国担保法》规定执行。</w:t>
      </w:r>
    </w:p>
    <w:p w14:paraId="2111BBF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12.5本合同条件未尽事宜依照《中华人民共和国合同法》，由供需双方共同协商确定。</w:t>
      </w:r>
    </w:p>
    <w:p w14:paraId="1675A6C5">
      <w:pPr>
        <w:spacing w:line="500" w:lineRule="exact"/>
        <w:ind w:firstLine="480" w:firstLineChars="200"/>
        <w:rPr>
          <w:rFonts w:hint="eastAsia" w:ascii="微软雅黑" w:hAnsi="微软雅黑" w:eastAsia="微软雅黑" w:cs="微软雅黑"/>
          <w:color w:val="000000"/>
          <w:sz w:val="24"/>
          <w:highlight w:val="none"/>
        </w:rPr>
        <w:sectPr>
          <w:headerReference r:id="rId8" w:type="default"/>
          <w:pgSz w:w="11907" w:h="16840"/>
          <w:pgMar w:top="1134" w:right="1191" w:bottom="1134" w:left="1304" w:header="964" w:footer="992" w:gutter="0"/>
          <w:pgNumType w:fmt="decimal"/>
          <w:cols w:space="720" w:num="1"/>
          <w:docGrid w:linePitch="312" w:charSpace="0"/>
        </w:sectPr>
      </w:pPr>
    </w:p>
    <w:p w14:paraId="2199EC6D">
      <w:pPr>
        <w:spacing w:line="500" w:lineRule="exact"/>
        <w:ind w:firstLine="480" w:firstLineChars="200"/>
        <w:rPr>
          <w:rFonts w:hint="eastAsia" w:ascii="微软雅黑" w:hAnsi="微软雅黑" w:eastAsia="微软雅黑" w:cs="微软雅黑"/>
          <w:color w:val="000000"/>
          <w:sz w:val="24"/>
          <w:highlight w:val="none"/>
        </w:rPr>
      </w:pPr>
      <w:bookmarkStart w:id="217" w:name="_Toc65832014"/>
      <w:bookmarkStart w:id="218" w:name="_Toc277084871"/>
      <w:bookmarkStart w:id="219" w:name="_Toc285722713"/>
      <w:r>
        <w:rPr>
          <w:rFonts w:hint="eastAsia" w:ascii="微软雅黑" w:hAnsi="微软雅黑" w:eastAsia="微软雅黑" w:cs="微软雅黑"/>
          <w:color w:val="000000"/>
          <w:sz w:val="24"/>
          <w:highlight w:val="none"/>
        </w:rPr>
        <w:t>二、政府采购合同（</w:t>
      </w:r>
      <w:r>
        <w:rPr>
          <w:rFonts w:hint="eastAsia" w:ascii="微软雅黑" w:hAnsi="微软雅黑" w:eastAsia="微软雅黑" w:cs="微软雅黑"/>
          <w:color w:val="000000"/>
          <w:sz w:val="24"/>
          <w:highlight w:val="none"/>
          <w:lang w:val="en-US" w:eastAsia="zh-CN"/>
        </w:rPr>
        <w:t>可</w:t>
      </w:r>
      <w:r>
        <w:rPr>
          <w:rFonts w:hint="eastAsia" w:ascii="微软雅黑" w:hAnsi="微软雅黑" w:eastAsia="微软雅黑" w:cs="微软雅黑"/>
          <w:color w:val="000000"/>
          <w:sz w:val="24"/>
          <w:highlight w:val="none"/>
        </w:rPr>
        <w:t>根据项目情况自拟）</w:t>
      </w:r>
      <w:bookmarkEnd w:id="217"/>
      <w:bookmarkEnd w:id="218"/>
      <w:bookmarkEnd w:id="219"/>
    </w:p>
    <w:p w14:paraId="5068645E">
      <w:pPr>
        <w:spacing w:line="500" w:lineRule="exact"/>
        <w:ind w:firstLine="480" w:firstLineChars="200"/>
        <w:rPr>
          <w:rFonts w:hint="eastAsia" w:ascii="微软雅黑" w:hAnsi="微软雅黑" w:eastAsia="微软雅黑" w:cs="微软雅黑"/>
          <w:color w:val="000000"/>
          <w:sz w:val="24"/>
          <w:highlight w:val="none"/>
        </w:rPr>
      </w:pPr>
    </w:p>
    <w:p w14:paraId="1579579D">
      <w:pPr>
        <w:spacing w:line="500" w:lineRule="exact"/>
        <w:ind w:firstLine="480" w:firstLineChars="200"/>
        <w:jc w:val="center"/>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重庆市政府采购合同</w:t>
      </w:r>
    </w:p>
    <w:p w14:paraId="523B79CD">
      <w:pPr>
        <w:spacing w:line="500" w:lineRule="exact"/>
        <w:ind w:firstLine="480" w:firstLineChars="200"/>
        <w:jc w:val="righ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（项目号：     ）</w:t>
      </w:r>
    </w:p>
    <w:p w14:paraId="14C1C2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甲方（需方）：</w:t>
      </w:r>
      <w:r>
        <w:rPr>
          <w:rFonts w:hint="eastAsia" w:ascii="微软雅黑" w:hAnsi="微软雅黑" w:eastAsia="微软雅黑" w:cs="微软雅黑"/>
          <w:color w:val="000000"/>
          <w:sz w:val="24"/>
          <w:highlight w:val="none"/>
          <w:u w:val="single"/>
        </w:rPr>
        <w:t xml:space="preserve">    </w:t>
      </w:r>
      <w:r>
        <w:rPr>
          <w:rFonts w:hint="eastAsia" w:ascii="微软雅黑" w:hAnsi="微软雅黑" w:eastAsia="微软雅黑" w:cs="微软雅黑"/>
          <w:color w:val="000000"/>
          <w:sz w:val="24"/>
          <w:highlight w:val="none"/>
          <w:u w:val="single"/>
          <w:lang w:val="en-US" w:eastAsia="zh-CN"/>
        </w:rPr>
        <w:t xml:space="preserve">                   </w:t>
      </w:r>
      <w:r>
        <w:rPr>
          <w:rFonts w:hint="eastAsia" w:ascii="微软雅黑" w:hAnsi="微软雅黑" w:eastAsia="微软雅黑" w:cs="微软雅黑"/>
          <w:color w:val="000000"/>
          <w:sz w:val="24"/>
          <w:highlight w:val="none"/>
          <w:u w:val="single"/>
        </w:rPr>
        <w:t xml:space="preserve"> </w:t>
      </w:r>
    </w:p>
    <w:p w14:paraId="0266248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 xml:space="preserve">乙方（供方）：___________________________     </w:t>
      </w:r>
    </w:p>
    <w:p w14:paraId="6FFE4766">
      <w:pPr>
        <w:spacing w:line="500" w:lineRule="exact"/>
        <w:ind w:firstLine="480" w:firstLineChars="200"/>
        <w:rPr>
          <w:rFonts w:hint="eastAsia" w:ascii="微软雅黑" w:hAnsi="微软雅黑" w:eastAsia="微软雅黑" w:cs="微软雅黑"/>
          <w:color w:val="000000"/>
          <w:sz w:val="24"/>
          <w:highlight w:val="none"/>
        </w:rPr>
      </w:pPr>
    </w:p>
    <w:p w14:paraId="55848CE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经双方协商一致，达成以下购销合同：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F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078680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项目名称</w:t>
            </w:r>
          </w:p>
        </w:tc>
        <w:tc>
          <w:tcPr>
            <w:tcW w:w="984" w:type="dxa"/>
            <w:noWrap w:val="0"/>
            <w:vAlign w:val="center"/>
          </w:tcPr>
          <w:p w14:paraId="11E61587">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数量</w:t>
            </w:r>
          </w:p>
        </w:tc>
        <w:tc>
          <w:tcPr>
            <w:tcW w:w="2432" w:type="dxa"/>
            <w:gridSpan w:val="2"/>
            <w:noWrap w:val="0"/>
            <w:vAlign w:val="center"/>
          </w:tcPr>
          <w:p w14:paraId="764B938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总价</w:t>
            </w:r>
          </w:p>
        </w:tc>
        <w:tc>
          <w:tcPr>
            <w:tcW w:w="1559" w:type="dxa"/>
            <w:noWrap w:val="0"/>
            <w:vAlign w:val="center"/>
          </w:tcPr>
          <w:p w14:paraId="2BAA6D5D">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服务时间</w:t>
            </w:r>
          </w:p>
        </w:tc>
        <w:tc>
          <w:tcPr>
            <w:tcW w:w="1567" w:type="dxa"/>
            <w:noWrap w:val="0"/>
            <w:vAlign w:val="center"/>
          </w:tcPr>
          <w:p w14:paraId="09D37FA4">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服务地点</w:t>
            </w:r>
          </w:p>
        </w:tc>
      </w:tr>
      <w:tr w14:paraId="165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DA8DBA2">
            <w:pPr>
              <w:spacing w:line="500" w:lineRule="exact"/>
              <w:ind w:firstLine="480" w:firstLineChars="200"/>
              <w:rPr>
                <w:rFonts w:hint="eastAsia" w:ascii="微软雅黑" w:hAnsi="微软雅黑" w:eastAsia="微软雅黑" w:cs="微软雅黑"/>
                <w:color w:val="000000"/>
                <w:sz w:val="24"/>
                <w:highlight w:val="none"/>
              </w:rPr>
            </w:pPr>
          </w:p>
        </w:tc>
        <w:tc>
          <w:tcPr>
            <w:tcW w:w="984" w:type="dxa"/>
            <w:noWrap w:val="0"/>
            <w:vAlign w:val="center"/>
          </w:tcPr>
          <w:p w14:paraId="2FE8B978">
            <w:pPr>
              <w:spacing w:line="500" w:lineRule="exact"/>
              <w:ind w:firstLine="480" w:firstLineChars="200"/>
              <w:rPr>
                <w:rFonts w:hint="eastAsia" w:ascii="微软雅黑" w:hAnsi="微软雅黑" w:eastAsia="微软雅黑" w:cs="微软雅黑"/>
                <w:color w:val="000000"/>
                <w:sz w:val="24"/>
                <w:highlight w:val="none"/>
              </w:rPr>
            </w:pPr>
          </w:p>
        </w:tc>
        <w:tc>
          <w:tcPr>
            <w:tcW w:w="2432" w:type="dxa"/>
            <w:gridSpan w:val="2"/>
            <w:noWrap w:val="0"/>
            <w:vAlign w:val="center"/>
          </w:tcPr>
          <w:p w14:paraId="55D52E06">
            <w:pPr>
              <w:spacing w:line="500" w:lineRule="exact"/>
              <w:ind w:firstLine="480" w:firstLineChars="200"/>
              <w:rPr>
                <w:rFonts w:hint="eastAsia" w:ascii="微软雅黑" w:hAnsi="微软雅黑" w:eastAsia="微软雅黑" w:cs="微软雅黑"/>
                <w:color w:val="000000"/>
                <w:sz w:val="24"/>
                <w:highlight w:val="none"/>
              </w:rPr>
            </w:pPr>
          </w:p>
        </w:tc>
        <w:tc>
          <w:tcPr>
            <w:tcW w:w="1559" w:type="dxa"/>
            <w:noWrap w:val="0"/>
            <w:vAlign w:val="center"/>
          </w:tcPr>
          <w:p w14:paraId="6ABE6D9F">
            <w:pPr>
              <w:spacing w:line="500" w:lineRule="exact"/>
              <w:ind w:firstLine="480" w:firstLineChars="200"/>
              <w:rPr>
                <w:rFonts w:hint="eastAsia" w:ascii="微软雅黑" w:hAnsi="微软雅黑" w:eastAsia="微软雅黑" w:cs="微软雅黑"/>
                <w:color w:val="000000"/>
                <w:sz w:val="24"/>
                <w:highlight w:val="none"/>
              </w:rPr>
            </w:pPr>
          </w:p>
        </w:tc>
        <w:tc>
          <w:tcPr>
            <w:tcW w:w="1567" w:type="dxa"/>
            <w:noWrap w:val="0"/>
            <w:vAlign w:val="center"/>
          </w:tcPr>
          <w:p w14:paraId="4A3F4B52">
            <w:pPr>
              <w:spacing w:line="500" w:lineRule="exact"/>
              <w:ind w:firstLine="480" w:firstLineChars="200"/>
              <w:rPr>
                <w:rFonts w:hint="eastAsia" w:ascii="微软雅黑" w:hAnsi="微软雅黑" w:eastAsia="微软雅黑" w:cs="微软雅黑"/>
                <w:color w:val="000000"/>
                <w:sz w:val="24"/>
                <w:highlight w:val="none"/>
              </w:rPr>
            </w:pPr>
          </w:p>
        </w:tc>
      </w:tr>
      <w:tr w14:paraId="468B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47674E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合计人民币（小写）：</w:t>
            </w:r>
          </w:p>
        </w:tc>
      </w:tr>
      <w:tr w14:paraId="2D2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50BE00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合计人民币（大写）：</w:t>
            </w:r>
          </w:p>
        </w:tc>
      </w:tr>
      <w:tr w14:paraId="6FE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noWrap w:val="0"/>
            <w:vAlign w:val="top"/>
          </w:tcPr>
          <w:p w14:paraId="70393B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一、服务要求</w:t>
            </w:r>
          </w:p>
        </w:tc>
      </w:tr>
      <w:tr w14:paraId="0F3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noWrap w:val="0"/>
            <w:vAlign w:val="top"/>
          </w:tcPr>
          <w:p w14:paraId="50039A3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二、考核方式：</w:t>
            </w:r>
          </w:p>
        </w:tc>
      </w:tr>
      <w:tr w14:paraId="4E6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053BB8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三、付款方式：</w:t>
            </w:r>
          </w:p>
          <w:p w14:paraId="0770F232">
            <w:pPr>
              <w:spacing w:line="500" w:lineRule="exact"/>
              <w:ind w:firstLine="480" w:firstLineChars="200"/>
              <w:rPr>
                <w:rFonts w:hint="eastAsia" w:ascii="微软雅黑" w:hAnsi="微软雅黑" w:eastAsia="微软雅黑" w:cs="微软雅黑"/>
                <w:color w:val="000000"/>
                <w:sz w:val="24"/>
                <w:highlight w:val="none"/>
              </w:rPr>
            </w:pPr>
          </w:p>
        </w:tc>
      </w:tr>
      <w:tr w14:paraId="589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6E50249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四、违约责任：</w:t>
            </w:r>
          </w:p>
          <w:p w14:paraId="7E9B1A9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按《合同法》、《政府采购法》执行，或按双方约定。（采购人应按项目实际情况完整填写）</w:t>
            </w:r>
          </w:p>
        </w:tc>
      </w:tr>
      <w:tr w14:paraId="2B3C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noWrap w:val="0"/>
            <w:vAlign w:val="top"/>
          </w:tcPr>
          <w:p w14:paraId="3574ECE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五、其他约定事项：</w:t>
            </w:r>
          </w:p>
          <w:p w14:paraId="204BD50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1.招标文件及其澄清文件、投标文件和承诺是本合同不可分割的部分。</w:t>
            </w:r>
          </w:p>
          <w:p w14:paraId="50F3D9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2.本合同如发生争议由双方协商解决，协商不成向需方所在人民法院提请诉讼。</w:t>
            </w:r>
          </w:p>
          <w:p w14:paraId="04C9739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3.本合同一式__份， 需方__份，供方__份，具备同等法律效力。</w:t>
            </w:r>
          </w:p>
          <w:p w14:paraId="2D557B1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4.其他：</w:t>
            </w:r>
          </w:p>
        </w:tc>
      </w:tr>
      <w:tr w14:paraId="442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07E5A3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需方：</w:t>
            </w:r>
          </w:p>
          <w:p w14:paraId="0DA9AF5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1CEEDF7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联系电话：</w:t>
            </w:r>
          </w:p>
          <w:p w14:paraId="4735E6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tc>
        <w:tc>
          <w:tcPr>
            <w:tcW w:w="5125" w:type="dxa"/>
            <w:gridSpan w:val="4"/>
            <w:noWrap w:val="0"/>
            <w:vAlign w:val="top"/>
          </w:tcPr>
          <w:p w14:paraId="4B3968E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w:t>
            </w:r>
          </w:p>
          <w:p w14:paraId="619A72E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5FABAF7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电话：</w:t>
            </w:r>
          </w:p>
          <w:p w14:paraId="0A161F5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传真：</w:t>
            </w:r>
          </w:p>
          <w:p w14:paraId="50FD397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开户银行：</w:t>
            </w:r>
          </w:p>
          <w:p w14:paraId="60208CE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账号：</w:t>
            </w:r>
          </w:p>
          <w:p w14:paraId="0EB0A60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p w14:paraId="019C2C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（本栏请用计算机打印以便于准确付款）</w:t>
            </w:r>
          </w:p>
        </w:tc>
      </w:tr>
      <w:tr w14:paraId="2C6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0BC262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备注：</w:t>
            </w:r>
          </w:p>
          <w:p w14:paraId="2D4C7401">
            <w:pPr>
              <w:spacing w:line="500" w:lineRule="exact"/>
              <w:ind w:firstLine="480" w:firstLineChars="200"/>
              <w:rPr>
                <w:rFonts w:hint="eastAsia" w:ascii="微软雅黑" w:hAnsi="微软雅黑" w:eastAsia="微软雅黑" w:cs="微软雅黑"/>
                <w:color w:val="000000"/>
                <w:sz w:val="24"/>
                <w:highlight w:val="none"/>
              </w:rPr>
            </w:pPr>
          </w:p>
          <w:p w14:paraId="40CC989C">
            <w:pPr>
              <w:spacing w:line="500" w:lineRule="exact"/>
              <w:ind w:firstLine="480" w:firstLineChars="200"/>
              <w:rPr>
                <w:rFonts w:hint="eastAsia" w:ascii="微软雅黑" w:hAnsi="微软雅黑" w:eastAsia="微软雅黑" w:cs="微软雅黑"/>
                <w:color w:val="000000"/>
                <w:sz w:val="24"/>
                <w:highlight w:val="none"/>
              </w:rPr>
            </w:pPr>
          </w:p>
        </w:tc>
      </w:tr>
    </w:tbl>
    <w:p w14:paraId="637C6C0D">
      <w:pPr>
        <w:spacing w:line="500" w:lineRule="exact"/>
        <w:ind w:firstLine="480" w:firstLineChars="200"/>
        <w:rPr>
          <w:rFonts w:hint="eastAsia" w:ascii="微软雅黑" w:hAnsi="微软雅黑" w:eastAsia="微软雅黑" w:cs="微软雅黑"/>
          <w:color w:val="000000"/>
          <w:sz w:val="24"/>
          <w:highlight w:val="none"/>
        </w:rPr>
      </w:pPr>
    </w:p>
    <w:p w14:paraId="10746FA7">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napToGrid w:val="0"/>
          <w:kern w:val="0"/>
          <w:szCs w:val="21"/>
          <w:highlight w:val="none"/>
        </w:rPr>
      </w:pPr>
      <w:r>
        <w:rPr>
          <w:rFonts w:hint="eastAsia" w:ascii="微软雅黑" w:hAnsi="微软雅黑" w:eastAsia="微软雅黑" w:cs="微软雅黑"/>
          <w:snapToGrid w:val="0"/>
          <w:kern w:val="0"/>
          <w:szCs w:val="21"/>
          <w:highlight w:val="none"/>
        </w:rPr>
        <w:br w:type="page"/>
      </w:r>
      <w:bookmarkStart w:id="220" w:name="_Toc65832015"/>
      <w:bookmarkStart w:id="221" w:name="_Toc25957"/>
      <w:r>
        <w:rPr>
          <w:rFonts w:hint="eastAsia" w:ascii="微软雅黑" w:hAnsi="微软雅黑" w:eastAsia="微软雅黑" w:cs="微软雅黑"/>
          <w:sz w:val="36"/>
          <w:szCs w:val="36"/>
          <w:highlight w:val="none"/>
        </w:rPr>
        <w:t>第七篇  投标文件格式</w:t>
      </w:r>
      <w:bookmarkEnd w:id="220"/>
      <w:bookmarkEnd w:id="221"/>
    </w:p>
    <w:p w14:paraId="1240780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p>
    <w:p w14:paraId="4C1B256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报价函</w:t>
      </w:r>
    </w:p>
    <w:p w14:paraId="5B652C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（二）分项报价明细表</w:t>
      </w:r>
    </w:p>
    <w:p w14:paraId="471F570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p>
    <w:p w14:paraId="3F0DBF8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技术响应偏离表</w:t>
      </w:r>
    </w:p>
    <w:p w14:paraId="6795AA87">
      <w:pPr>
        <w:widowControl/>
        <w:spacing w:line="440" w:lineRule="exact"/>
        <w:jc w:val="left"/>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二</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09BF21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p>
    <w:p w14:paraId="2EDF19C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6461214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（二）商务条款差异表</w:t>
      </w:r>
    </w:p>
    <w:p w14:paraId="5BCA717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（三）商务及售后服务承诺</w:t>
      </w:r>
    </w:p>
    <w:p w14:paraId="2AFF390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p>
    <w:p w14:paraId="0F657E9D">
      <w:pPr>
        <w:widowControl/>
        <w:spacing w:line="440" w:lineRule="exact"/>
        <w:ind w:firstLine="240" w:firstLineChars="1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0FE7F7D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p>
    <w:p w14:paraId="393EEDC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（一）营业执照（副本）或事业单位法人证书（副本）复印件</w:t>
      </w:r>
    </w:p>
    <w:p w14:paraId="71A4B4C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（二）法定代表人身份证明书（格式）</w:t>
      </w:r>
    </w:p>
    <w:p w14:paraId="72BA75D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（三）法定代表人授权委托书（格式）</w:t>
      </w:r>
    </w:p>
    <w:p w14:paraId="5C7269F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）书面声明（格式）</w:t>
      </w:r>
    </w:p>
    <w:p w14:paraId="517A0F5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w:t>
      </w:r>
    </w:p>
    <w:p w14:paraId="475270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说明：投标人按“多证合一”登记制度办理营业执照的，税务登记证（副本）和社会保险登记证以投标人所提供的法人营业执照（副本）复印件为准。</w:t>
      </w:r>
    </w:p>
    <w:p w14:paraId="25D105E4">
      <w:pPr>
        <w:widowControl/>
        <w:spacing w:line="440" w:lineRule="exact"/>
        <w:jc w:val="center"/>
        <w:rPr>
          <w:rFonts w:hint="eastAsia" w:ascii="微软雅黑" w:hAnsi="微软雅黑" w:eastAsia="微软雅黑" w:cs="微软雅黑"/>
          <w:snapToGrid w:val="0"/>
          <w:kern w:val="0"/>
          <w:sz w:val="24"/>
          <w:szCs w:val="24"/>
          <w:highlight w:val="none"/>
        </w:rPr>
      </w:pPr>
    </w:p>
    <w:p w14:paraId="72255525">
      <w:pPr>
        <w:rPr>
          <w:rFonts w:hint="eastAsia" w:ascii="微软雅黑" w:hAnsi="微软雅黑" w:eastAsia="微软雅黑" w:cs="微软雅黑"/>
          <w:snapToGrid w:val="0"/>
          <w:kern w:val="0"/>
          <w:sz w:val="24"/>
          <w:szCs w:val="24"/>
          <w:highlight w:val="none"/>
        </w:rPr>
      </w:pPr>
      <w:bookmarkStart w:id="222" w:name="_Toc429584884"/>
      <w:bookmarkStart w:id="223" w:name="_Toc65832016"/>
      <w:r>
        <w:rPr>
          <w:rFonts w:hint="eastAsia" w:ascii="微软雅黑" w:hAnsi="微软雅黑" w:eastAsia="微软雅黑" w:cs="微软雅黑"/>
          <w:snapToGrid w:val="0"/>
          <w:kern w:val="0"/>
          <w:sz w:val="24"/>
          <w:szCs w:val="24"/>
          <w:highlight w:val="none"/>
        </w:rPr>
        <w:br w:type="page"/>
      </w:r>
    </w:p>
    <w:p w14:paraId="46C9E44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bookmarkEnd w:id="222"/>
      <w:bookmarkEnd w:id="223"/>
    </w:p>
    <w:p w14:paraId="5AA1CD2A">
      <w:pPr>
        <w:tabs>
          <w:tab w:val="left" w:pos="6300"/>
        </w:tabs>
        <w:snapToGrid w:val="0"/>
        <w:spacing w:line="312"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（一）报价函</w:t>
      </w:r>
    </w:p>
    <w:p w14:paraId="31C9FA25">
      <w:pPr>
        <w:tabs>
          <w:tab w:val="left" w:pos="6300"/>
        </w:tabs>
        <w:snapToGrid w:val="0"/>
        <w:spacing w:line="360" w:lineRule="auto"/>
        <w:jc w:val="center"/>
        <w:outlineLvl w:val="9"/>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报价函</w:t>
      </w:r>
    </w:p>
    <w:p w14:paraId="79023549">
      <w:pPr>
        <w:tabs>
          <w:tab w:val="left" w:pos="6300"/>
        </w:tabs>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lang w:eastAsia="zh-CN"/>
        </w:rPr>
        <w:t>中兴铂码工程咨询（重庆）有限公司</w:t>
      </w:r>
      <w:r>
        <w:rPr>
          <w:rFonts w:hint="eastAsia" w:ascii="微软雅黑" w:hAnsi="微软雅黑" w:eastAsia="微软雅黑" w:cs="微软雅黑"/>
          <w:color w:val="auto"/>
          <w:sz w:val="24"/>
          <w:szCs w:val="24"/>
          <w:highlight w:val="none"/>
        </w:rPr>
        <w:t>：</w:t>
      </w:r>
    </w:p>
    <w:p w14:paraId="7BFD2BE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我方收到____________________________（项目名称）的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文件，经详细研究，决定参加该项目的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w:t>
      </w:r>
    </w:p>
    <w:p w14:paraId="1DA0F020">
      <w:pPr>
        <w:tabs>
          <w:tab w:val="left" w:pos="6300"/>
        </w:tabs>
        <w:snapToGrid w:val="0"/>
        <w:spacing w:line="360" w:lineRule="auto"/>
        <w:ind w:left="10" w:leftChars="5" w:firstLine="458" w:firstLineChars="191"/>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文件中的一切要求，提供本项目的服务，报价为人民币</w:t>
      </w:r>
      <w:r>
        <w:rPr>
          <w:rFonts w:hint="eastAsia" w:ascii="微软雅黑" w:hAnsi="微软雅黑" w:eastAsia="微软雅黑" w:cs="微软雅黑"/>
          <w:color w:val="auto"/>
          <w:sz w:val="24"/>
          <w:szCs w:val="24"/>
          <w:highlight w:val="none"/>
          <w:u w:val="single"/>
        </w:rPr>
        <w:t>大写：     元整</w:t>
      </w:r>
      <w:r>
        <w:rPr>
          <w:rFonts w:hint="eastAsia" w:ascii="微软雅黑" w:hAnsi="微软雅黑" w:eastAsia="微软雅黑" w:cs="微软雅黑"/>
          <w:color w:val="auto"/>
          <w:sz w:val="24"/>
          <w:szCs w:val="24"/>
          <w:highlight w:val="none"/>
        </w:rPr>
        <w:t>；人民币</w:t>
      </w:r>
      <w:r>
        <w:rPr>
          <w:rFonts w:hint="eastAsia" w:ascii="微软雅黑" w:hAnsi="微软雅黑" w:eastAsia="微软雅黑" w:cs="微软雅黑"/>
          <w:color w:val="auto"/>
          <w:sz w:val="24"/>
          <w:szCs w:val="24"/>
          <w:highlight w:val="none"/>
          <w:u w:val="single"/>
        </w:rPr>
        <w:t>小写：    元</w:t>
      </w:r>
      <w:r>
        <w:rPr>
          <w:rFonts w:hint="eastAsia" w:ascii="微软雅黑" w:hAnsi="微软雅黑" w:eastAsia="微软雅黑" w:cs="微软雅黑"/>
          <w:color w:val="auto"/>
          <w:sz w:val="24"/>
          <w:szCs w:val="24"/>
          <w:highlight w:val="none"/>
        </w:rPr>
        <w:t>。</w:t>
      </w:r>
    </w:p>
    <w:p w14:paraId="06A1AB3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.我方承诺：本次</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的有效期为90天。</w:t>
      </w:r>
    </w:p>
    <w:p w14:paraId="755339C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文件的一切规定和要求及评审办法。</w:t>
      </w:r>
    </w:p>
    <w:p w14:paraId="4B93E607">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采购过程中，我方若有违规行为，接受按照</w:t>
      </w:r>
      <w:r>
        <w:rPr>
          <w:rFonts w:hint="eastAsia" w:ascii="微软雅黑" w:hAnsi="微软雅黑" w:eastAsia="微软雅黑" w:cs="微软雅黑"/>
          <w:i w:val="0"/>
          <w:iCs w:val="0"/>
          <w:color w:val="auto"/>
          <w:sz w:val="24"/>
          <w:szCs w:val="24"/>
          <w:highlight w:val="none"/>
        </w:rPr>
        <w:t>按照</w:t>
      </w:r>
      <w:r>
        <w:rPr>
          <w:rFonts w:hint="eastAsia" w:ascii="微软雅黑" w:hAnsi="微软雅黑" w:eastAsia="微软雅黑" w:cs="微软雅黑"/>
          <w:color w:val="auto"/>
          <w:sz w:val="24"/>
          <w:szCs w:val="24"/>
          <w:highlight w:val="none"/>
        </w:rPr>
        <w:t>《中华人民共和国政府采购法》</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lang w:val="en-US" w:eastAsia="zh-CN"/>
        </w:rPr>
        <w:t>文件及</w:t>
      </w:r>
      <w:r>
        <w:rPr>
          <w:rFonts w:hint="eastAsia" w:ascii="微软雅黑" w:hAnsi="微软雅黑" w:eastAsia="微软雅黑" w:cs="微软雅黑"/>
          <w:color w:val="auto"/>
          <w:sz w:val="24"/>
          <w:szCs w:val="24"/>
          <w:highlight w:val="none"/>
        </w:rPr>
        <w:t>平台</w:t>
      </w:r>
      <w:r>
        <w:rPr>
          <w:rFonts w:hint="eastAsia" w:ascii="微软雅黑" w:hAnsi="微软雅黑" w:eastAsia="微软雅黑" w:cs="微软雅黑"/>
          <w:color w:val="auto"/>
          <w:sz w:val="24"/>
          <w:szCs w:val="24"/>
          <w:highlight w:val="none"/>
          <w:lang w:val="en-US" w:eastAsia="zh-CN"/>
        </w:rPr>
        <w:t>等相关</w:t>
      </w:r>
      <w:r>
        <w:rPr>
          <w:rFonts w:hint="eastAsia" w:ascii="微软雅黑" w:hAnsi="微软雅黑" w:eastAsia="微软雅黑" w:cs="微软雅黑"/>
          <w:color w:val="auto"/>
          <w:sz w:val="24"/>
          <w:szCs w:val="24"/>
          <w:highlight w:val="none"/>
        </w:rPr>
        <w:t>规定给予惩罚。</w:t>
      </w:r>
    </w:p>
    <w:p w14:paraId="3E75D58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6.我方若中选，将按照</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结果签订合同，并且严格履行合同义务。本承诺函将成为合同不可分割的一部分，与合同具有同等的法律效力。</w:t>
      </w:r>
    </w:p>
    <w:p w14:paraId="0A63C30A">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7.我方理解，最低报价不是成交的唯一条件。</w:t>
      </w:r>
    </w:p>
    <w:p w14:paraId="1324FAD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5276C4DE">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E5E7DB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C5A29D5">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318A62B6">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318E5B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rPr>
        <w:t xml:space="preserve">                                                  年   月   日</w:t>
      </w: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（二）分项报价明细表</w:t>
      </w:r>
    </w:p>
    <w:p w14:paraId="6D9085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p w14:paraId="7275A15F">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 xml:space="preserve">                                                         单位：元</w:t>
      </w:r>
    </w:p>
    <w:tbl>
      <w:tblPr>
        <w:tblStyle w:val="47"/>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838"/>
        <w:gridCol w:w="1867"/>
        <w:gridCol w:w="967"/>
        <w:gridCol w:w="1066"/>
        <w:gridCol w:w="1577"/>
        <w:gridCol w:w="1834"/>
      </w:tblGrid>
      <w:tr w14:paraId="67BD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948" w:type="dxa"/>
            <w:noWrap w:val="0"/>
            <w:vAlign w:val="center"/>
          </w:tcPr>
          <w:p w14:paraId="64E3A41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1838" w:type="dxa"/>
            <w:noWrap w:val="0"/>
            <w:vAlign w:val="center"/>
          </w:tcPr>
          <w:p w14:paraId="105D519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position w:val="-2"/>
                <w:sz w:val="24"/>
                <w:highlight w:val="none"/>
                <w:lang w:val="en-US" w:eastAsia="zh-CN"/>
              </w:rPr>
              <w:t>名称</w:t>
            </w:r>
          </w:p>
        </w:tc>
        <w:tc>
          <w:tcPr>
            <w:tcW w:w="1867" w:type="dxa"/>
            <w:noWrap w:val="0"/>
            <w:vAlign w:val="center"/>
          </w:tcPr>
          <w:p w14:paraId="7A6DB969">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技术参数</w:t>
            </w:r>
          </w:p>
        </w:tc>
        <w:tc>
          <w:tcPr>
            <w:tcW w:w="967" w:type="dxa"/>
            <w:noWrap w:val="0"/>
            <w:vAlign w:val="center"/>
          </w:tcPr>
          <w:p w14:paraId="1540347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单价</w:t>
            </w:r>
          </w:p>
        </w:tc>
        <w:tc>
          <w:tcPr>
            <w:tcW w:w="1066" w:type="dxa"/>
            <w:noWrap w:val="0"/>
            <w:vAlign w:val="center"/>
          </w:tcPr>
          <w:p w14:paraId="094DE6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数量</w:t>
            </w:r>
          </w:p>
        </w:tc>
        <w:tc>
          <w:tcPr>
            <w:tcW w:w="1577" w:type="dxa"/>
            <w:noWrap w:val="0"/>
            <w:vAlign w:val="center"/>
          </w:tcPr>
          <w:p w14:paraId="6A4533C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总价</w:t>
            </w:r>
          </w:p>
        </w:tc>
        <w:tc>
          <w:tcPr>
            <w:tcW w:w="1834" w:type="dxa"/>
            <w:noWrap w:val="0"/>
            <w:vAlign w:val="center"/>
          </w:tcPr>
          <w:p w14:paraId="65C6D398">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备注</w:t>
            </w:r>
          </w:p>
        </w:tc>
      </w:tr>
      <w:tr w14:paraId="1FF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48" w:type="dxa"/>
            <w:noWrap w:val="0"/>
            <w:vAlign w:val="center"/>
          </w:tcPr>
          <w:p w14:paraId="23F0842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74A1BE23">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7DE75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2C8A420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5135015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590D73A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D96B5EF">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C1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948" w:type="dxa"/>
            <w:noWrap w:val="0"/>
            <w:vAlign w:val="center"/>
          </w:tcPr>
          <w:p w14:paraId="3EC2D95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5C60C52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B1632E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248B62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0874887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0D1AAF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A195A8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592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948" w:type="dxa"/>
            <w:noWrap w:val="0"/>
            <w:vAlign w:val="center"/>
          </w:tcPr>
          <w:p w14:paraId="54A076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096F22C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总计</w:t>
            </w:r>
          </w:p>
        </w:tc>
        <w:tc>
          <w:tcPr>
            <w:tcW w:w="1867" w:type="dxa"/>
            <w:noWrap w:val="0"/>
            <w:vAlign w:val="top"/>
          </w:tcPr>
          <w:p w14:paraId="6EF4D6B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5457B5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3EC826F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DB6C61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29A3A262">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14E43F5C">
      <w:pPr>
        <w:widowControl/>
        <w:spacing w:line="440" w:lineRule="exact"/>
        <w:jc w:val="center"/>
        <w:rPr>
          <w:rFonts w:hint="eastAsia" w:ascii="微软雅黑" w:hAnsi="微软雅黑" w:eastAsia="微软雅黑" w:cs="微软雅黑"/>
          <w:snapToGrid w:val="0"/>
          <w:kern w:val="0"/>
          <w:sz w:val="24"/>
          <w:szCs w:val="24"/>
          <w:highlight w:val="none"/>
        </w:rPr>
      </w:pPr>
    </w:p>
    <w:p w14:paraId="273D74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018923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2A139EA0">
      <w:pPr>
        <w:widowControl/>
        <w:spacing w:line="440" w:lineRule="exact"/>
        <w:jc w:val="center"/>
        <w:rPr>
          <w:rFonts w:hint="eastAsia" w:ascii="微软雅黑" w:hAnsi="微软雅黑" w:eastAsia="微软雅黑" w:cs="微软雅黑"/>
          <w:snapToGrid w:val="0"/>
          <w:kern w:val="0"/>
          <w:sz w:val="24"/>
          <w:szCs w:val="24"/>
          <w:highlight w:val="none"/>
        </w:rPr>
      </w:pPr>
    </w:p>
    <w:p w14:paraId="2AE75789">
      <w:pPr>
        <w:widowControl/>
        <w:spacing w:line="440" w:lineRule="exact"/>
        <w:jc w:val="center"/>
        <w:rPr>
          <w:rFonts w:hint="eastAsia" w:ascii="微软雅黑" w:hAnsi="微软雅黑" w:eastAsia="微软雅黑" w:cs="微软雅黑"/>
          <w:snapToGrid w:val="0"/>
          <w:kern w:val="0"/>
          <w:sz w:val="24"/>
          <w:szCs w:val="24"/>
          <w:highlight w:val="none"/>
        </w:rPr>
      </w:pPr>
    </w:p>
    <w:p w14:paraId="0B1E642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72C61BAE">
      <w:pPr>
        <w:widowControl/>
        <w:spacing w:line="440" w:lineRule="exact"/>
        <w:jc w:val="center"/>
        <w:rPr>
          <w:rFonts w:hint="eastAsia" w:ascii="微软雅黑" w:hAnsi="微软雅黑" w:eastAsia="微软雅黑" w:cs="微软雅黑"/>
          <w:snapToGrid w:val="0"/>
          <w:kern w:val="0"/>
          <w:sz w:val="24"/>
          <w:szCs w:val="24"/>
          <w:highlight w:val="none"/>
        </w:rPr>
      </w:pPr>
    </w:p>
    <w:p w14:paraId="768C9E2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782E7A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1.请投标人完整填写本表；</w:t>
      </w:r>
    </w:p>
    <w:p w14:paraId="644602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2.该表可扩展。</w:t>
      </w:r>
    </w:p>
    <w:p w14:paraId="0EC8F65C">
      <w:pPr>
        <w:rPr>
          <w:rFonts w:hint="eastAsia" w:ascii="微软雅黑" w:hAnsi="微软雅黑" w:eastAsia="微软雅黑" w:cs="微软雅黑"/>
          <w:snapToGrid w:val="0"/>
          <w:kern w:val="0"/>
          <w:sz w:val="24"/>
          <w:szCs w:val="24"/>
          <w:highlight w:val="none"/>
        </w:rPr>
      </w:pPr>
      <w:bookmarkStart w:id="224" w:name="_Toc65832017"/>
      <w:bookmarkStart w:id="225" w:name="_Toc493178790"/>
      <w:r>
        <w:rPr>
          <w:rFonts w:hint="eastAsia" w:ascii="微软雅黑" w:hAnsi="微软雅黑" w:eastAsia="微软雅黑" w:cs="微软雅黑"/>
          <w:snapToGrid w:val="0"/>
          <w:kern w:val="0"/>
          <w:sz w:val="24"/>
          <w:szCs w:val="24"/>
          <w:highlight w:val="none"/>
        </w:rPr>
        <w:br w:type="page"/>
      </w:r>
    </w:p>
    <w:p w14:paraId="38966010">
      <w:pPr>
        <w:widowControl/>
        <w:spacing w:line="440" w:lineRule="exact"/>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bookmarkEnd w:id="224"/>
      <w:bookmarkEnd w:id="225"/>
    </w:p>
    <w:p w14:paraId="30A78BE4">
      <w:pPr>
        <w:widowControl/>
        <w:spacing w:line="440" w:lineRule="exact"/>
        <w:jc w:val="left"/>
        <w:rPr>
          <w:rFonts w:hint="eastAsia" w:ascii="微软雅黑" w:hAnsi="微软雅黑" w:eastAsia="微软雅黑" w:cs="微软雅黑"/>
          <w:snapToGrid w:val="0"/>
          <w:kern w:val="0"/>
          <w:sz w:val="24"/>
          <w:szCs w:val="24"/>
          <w:highlight w:val="none"/>
          <w:lang w:eastAsia="zh-CN"/>
        </w:rPr>
      </w:pPr>
    </w:p>
    <w:p w14:paraId="0F4F115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一</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技术响应偏离表</w:t>
      </w:r>
    </w:p>
    <w:p w14:paraId="687277B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67B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375477F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2038BDF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招标要求</w:t>
            </w:r>
          </w:p>
        </w:tc>
        <w:tc>
          <w:tcPr>
            <w:tcW w:w="2520" w:type="dxa"/>
            <w:noWrap w:val="0"/>
            <w:vAlign w:val="center"/>
          </w:tcPr>
          <w:p w14:paraId="1F017D7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投标应答</w:t>
            </w:r>
          </w:p>
        </w:tc>
        <w:tc>
          <w:tcPr>
            <w:tcW w:w="1888" w:type="dxa"/>
            <w:noWrap w:val="0"/>
            <w:vAlign w:val="center"/>
          </w:tcPr>
          <w:p w14:paraId="1080518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1B2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54332D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84C93D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92468B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6F9FA2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D8E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B01E9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6EDC48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629B8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FB782D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8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B2A61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9EC20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E4244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249ED6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27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88B062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A1B998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4E7003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F7ED99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DB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B82BC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393DF8B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EAA013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09D229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162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D2CBB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908737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A34A2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F5AF3C">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8C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8C1024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E79C7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136988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1E6ED9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09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67056B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8BC5D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EE334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6565F3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E3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AF4659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6B1DAE7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62C56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CDCB70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B2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170FC5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7037D9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E7148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E73299D">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0AE3F43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2850182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43B9C6D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                               （签字或盖章）</w:t>
      </w:r>
    </w:p>
    <w:p w14:paraId="16F0497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138B1E1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5334B3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1.本表即为对本项目“第二篇  项目技术规格、数量及质量要求”中所列技术需求进行比较和响应；</w:t>
      </w:r>
    </w:p>
    <w:p w14:paraId="3C3B475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195C56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A1D94E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4.可附相关技术支撑材料。（格式自定）</w:t>
      </w:r>
    </w:p>
    <w:p w14:paraId="14852F25">
      <w:pP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7E33EA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1617F12B">
      <w:pPr>
        <w:widowControl/>
        <w:spacing w:line="440" w:lineRule="exact"/>
        <w:jc w:val="left"/>
        <w:rPr>
          <w:rFonts w:hint="eastAsia" w:ascii="微软雅黑" w:hAnsi="微软雅黑" w:eastAsia="微软雅黑" w:cs="微软雅黑"/>
          <w:snapToGrid w:val="0"/>
          <w:kern w:val="0"/>
          <w:sz w:val="24"/>
          <w:szCs w:val="24"/>
          <w:highlight w:val="none"/>
        </w:rPr>
      </w:pPr>
    </w:p>
    <w:p w14:paraId="708F8960">
      <w:pPr>
        <w:widowControl/>
        <w:spacing w:line="440" w:lineRule="exact"/>
        <w:jc w:val="center"/>
        <w:rPr>
          <w:rFonts w:hint="eastAsia" w:ascii="微软雅黑" w:hAnsi="微软雅黑" w:eastAsia="微软雅黑" w:cs="微软雅黑"/>
          <w:snapToGrid w:val="0"/>
          <w:kern w:val="0"/>
          <w:sz w:val="24"/>
          <w:szCs w:val="24"/>
          <w:highlight w:val="none"/>
        </w:rPr>
      </w:pPr>
    </w:p>
    <w:p w14:paraId="71FC2839">
      <w:pPr>
        <w:rPr>
          <w:rFonts w:hint="eastAsia" w:ascii="微软雅黑" w:hAnsi="微软雅黑" w:eastAsia="微软雅黑" w:cs="微软雅黑"/>
          <w:snapToGrid w:val="0"/>
          <w:kern w:val="0"/>
          <w:sz w:val="24"/>
          <w:szCs w:val="24"/>
          <w:highlight w:val="none"/>
        </w:rPr>
      </w:pPr>
      <w:bookmarkStart w:id="226" w:name="_Toc65832018"/>
      <w:bookmarkStart w:id="227" w:name="_Toc492721039"/>
      <w:bookmarkStart w:id="228" w:name="_Toc493178791"/>
      <w:r>
        <w:rPr>
          <w:rFonts w:hint="eastAsia" w:ascii="微软雅黑" w:hAnsi="微软雅黑" w:eastAsia="微软雅黑" w:cs="微软雅黑"/>
          <w:snapToGrid w:val="0"/>
          <w:kern w:val="0"/>
          <w:sz w:val="24"/>
          <w:szCs w:val="24"/>
          <w:highlight w:val="none"/>
        </w:rPr>
        <w:br w:type="page"/>
      </w:r>
    </w:p>
    <w:p w14:paraId="2F5282D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bookmarkEnd w:id="226"/>
      <w:bookmarkEnd w:id="227"/>
      <w:bookmarkEnd w:id="228"/>
    </w:p>
    <w:p w14:paraId="636064C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0F3EEF85">
      <w:pPr>
        <w:widowControl/>
        <w:spacing w:line="440" w:lineRule="exact"/>
        <w:jc w:val="center"/>
        <w:rPr>
          <w:rFonts w:hint="eastAsia" w:ascii="微软雅黑" w:hAnsi="微软雅黑" w:eastAsia="微软雅黑" w:cs="微软雅黑"/>
          <w:snapToGrid w:val="0"/>
          <w:kern w:val="0"/>
          <w:sz w:val="24"/>
          <w:szCs w:val="24"/>
          <w:highlight w:val="none"/>
        </w:rPr>
      </w:pPr>
    </w:p>
    <w:p w14:paraId="47719BA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76C464D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1C831BB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（投标人名称）系中华人民共和国合法企业，注册地址：</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。我方就参加本次投标有关事项郑重声明如下：</w:t>
      </w:r>
    </w:p>
    <w:p w14:paraId="14F66B9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一、我方完全理解并接受该项目招标文件所有要求。</w:t>
      </w:r>
    </w:p>
    <w:p w14:paraId="27E00EB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二、我方提交的所有投标文件、资料都是准确和真实的，如有虚假或隐瞒，我方愿意承担一切法律责任。</w:t>
      </w:r>
    </w:p>
    <w:p w14:paraId="1FC273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三、我方承诺按照招标文件要求，提供招标项目的技术服务。</w:t>
      </w:r>
    </w:p>
    <w:p w14:paraId="4520C61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四、我方按招标文件要求提交的投标文件为：投标文件正本1份，副本  份，电子文档  份。</w:t>
      </w:r>
    </w:p>
    <w:p w14:paraId="505FCBA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五、我方承诺：本次投标的投标有效期为投标截止日期起90天。</w:t>
      </w:r>
    </w:p>
    <w:p w14:paraId="7455A3F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六、我方投标报价为闭口价。即在投标有效期和合同有效期内，该报价固定不变。</w:t>
      </w:r>
    </w:p>
    <w:p w14:paraId="6641BDA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七、如果我方中标，我方将履行招标文件中规定的各项要求以及我方投标文件的各项承诺，按《政府采购法》、《合同法》及合同约定条款承担我方责任。</w:t>
      </w:r>
    </w:p>
    <w:p w14:paraId="61A4BB2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八、我方未为采购项目提供整体设计、规范编制或者项目管理、监理、检测等服务。</w:t>
      </w:r>
    </w:p>
    <w:p w14:paraId="24D3157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九、我方理解，最低报价不是中标的唯一条件。</w:t>
      </w:r>
    </w:p>
    <w:p w14:paraId="7C3078F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十、我方同意按有关规定及招标文件要求，交纳足额投标保证金。</w:t>
      </w:r>
    </w:p>
    <w:p w14:paraId="5A5B444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十一、若我方中标，愿意按有关规定及招标文件要求缴纳招标代理服务费和交易服务费。</w:t>
      </w:r>
    </w:p>
    <w:p w14:paraId="40AB1181">
      <w:pPr>
        <w:widowControl/>
        <w:spacing w:line="440" w:lineRule="exact"/>
        <w:jc w:val="center"/>
        <w:rPr>
          <w:rFonts w:hint="eastAsia" w:ascii="微软雅黑" w:hAnsi="微软雅黑" w:eastAsia="微软雅黑" w:cs="微软雅黑"/>
          <w:snapToGrid w:val="0"/>
          <w:kern w:val="0"/>
          <w:sz w:val="24"/>
          <w:szCs w:val="24"/>
          <w:highlight w:val="none"/>
        </w:rPr>
      </w:pPr>
    </w:p>
    <w:p w14:paraId="02250FA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1CB6361D">
      <w:pPr>
        <w:widowControl/>
        <w:spacing w:line="440" w:lineRule="exact"/>
        <w:jc w:val="center"/>
        <w:rPr>
          <w:rFonts w:hint="eastAsia" w:ascii="微软雅黑" w:hAnsi="微软雅黑" w:eastAsia="微软雅黑" w:cs="微软雅黑"/>
          <w:snapToGrid w:val="0"/>
          <w:kern w:val="0"/>
          <w:sz w:val="24"/>
          <w:szCs w:val="24"/>
          <w:highlight w:val="none"/>
        </w:rPr>
      </w:pPr>
    </w:p>
    <w:p w14:paraId="1958A5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4BD6245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（二）商务条款差异表</w:t>
      </w:r>
    </w:p>
    <w:p w14:paraId="717211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38E6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29C2E32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08820FA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招标商务要求</w:t>
            </w:r>
          </w:p>
        </w:tc>
        <w:tc>
          <w:tcPr>
            <w:tcW w:w="2520" w:type="dxa"/>
            <w:noWrap w:val="0"/>
            <w:vAlign w:val="center"/>
          </w:tcPr>
          <w:p w14:paraId="08C7E46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投标商务应答</w:t>
            </w:r>
          </w:p>
        </w:tc>
        <w:tc>
          <w:tcPr>
            <w:tcW w:w="1888" w:type="dxa"/>
            <w:noWrap w:val="0"/>
            <w:vAlign w:val="center"/>
          </w:tcPr>
          <w:p w14:paraId="7312165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2EAC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D50639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647EE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7434A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740B2B3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646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7B27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1B36BC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D92D6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AD529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9E2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21D86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96CB5D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725EB1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300808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04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024B4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D65DA4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230B05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916FE0">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56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1D45E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E32ECF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5C330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12F87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72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9CC32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3F259C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B4264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D15556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75D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61891A0">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14688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FEF751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935073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B9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6BE81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68F0C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3070B5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317640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A5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7E8FD6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E1E27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1BE9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ABE268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78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83446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779A15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2A8F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99905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4CC4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C3B9B8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FF7673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2D577CF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0281A9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4D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F85E8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48295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F7903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D95A8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01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3D8E33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DFE348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5D6B0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5219FBE">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391F0881">
      <w:pPr>
        <w:widowControl/>
        <w:spacing w:line="440" w:lineRule="exact"/>
        <w:jc w:val="center"/>
        <w:rPr>
          <w:rFonts w:hint="eastAsia" w:ascii="微软雅黑" w:hAnsi="微软雅黑" w:eastAsia="微软雅黑" w:cs="微软雅黑"/>
          <w:snapToGrid w:val="0"/>
          <w:kern w:val="0"/>
          <w:sz w:val="24"/>
          <w:szCs w:val="24"/>
          <w:highlight w:val="none"/>
        </w:rPr>
      </w:pPr>
    </w:p>
    <w:p w14:paraId="016932B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1DBCC9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132AE04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4B3432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C05F86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1.本表即为对本项目“第三篇 项目商务要求”中所列商务条款进行比较和响应；</w:t>
      </w:r>
    </w:p>
    <w:p w14:paraId="01B9A84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757CD7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2B189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（三）商务承诺（包括但不限于）：</w:t>
      </w:r>
    </w:p>
    <w:p w14:paraId="21F08C9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1.质保期；</w:t>
      </w:r>
    </w:p>
    <w:p w14:paraId="20577E1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2.售后服务能力情况；</w:t>
      </w:r>
    </w:p>
    <w:p w14:paraId="39189F6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3.履约能力证明文件。</w:t>
      </w:r>
    </w:p>
    <w:p w14:paraId="51761EA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4.售后服务承诺（格式自定）</w:t>
      </w:r>
    </w:p>
    <w:p w14:paraId="5752E5C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3AA5DAD8">
      <w:pPr>
        <w:rPr>
          <w:rFonts w:hint="eastAsia" w:ascii="微软雅黑" w:hAnsi="微软雅黑" w:eastAsia="微软雅黑" w:cs="微软雅黑"/>
          <w:snapToGrid w:val="0"/>
          <w:kern w:val="0"/>
          <w:sz w:val="24"/>
          <w:szCs w:val="24"/>
          <w:highlight w:val="none"/>
        </w:rPr>
      </w:pPr>
      <w:bookmarkStart w:id="229" w:name="_Toc492721041"/>
      <w:bookmarkStart w:id="230" w:name="_Toc65832019"/>
      <w:bookmarkStart w:id="231" w:name="_Toc493178792"/>
      <w:r>
        <w:rPr>
          <w:rFonts w:hint="eastAsia" w:ascii="微软雅黑" w:hAnsi="微软雅黑" w:eastAsia="微软雅黑" w:cs="微软雅黑"/>
          <w:snapToGrid w:val="0"/>
          <w:kern w:val="0"/>
          <w:sz w:val="24"/>
          <w:szCs w:val="24"/>
          <w:highlight w:val="none"/>
        </w:rPr>
        <w:br w:type="page"/>
      </w:r>
    </w:p>
    <w:p w14:paraId="48DA0B7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bookmarkEnd w:id="229"/>
      <w:bookmarkEnd w:id="230"/>
      <w:bookmarkEnd w:id="231"/>
    </w:p>
    <w:p w14:paraId="2000ABB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469BFC17">
      <w:pPr>
        <w:widowControl/>
        <w:spacing w:line="440" w:lineRule="exact"/>
        <w:jc w:val="center"/>
        <w:rPr>
          <w:rFonts w:hint="eastAsia" w:ascii="微软雅黑" w:hAnsi="微软雅黑" w:eastAsia="微软雅黑" w:cs="微软雅黑"/>
          <w:snapToGrid w:val="0"/>
          <w:kern w:val="0"/>
          <w:sz w:val="24"/>
          <w:szCs w:val="24"/>
          <w:highlight w:val="none"/>
        </w:rPr>
      </w:pPr>
    </w:p>
    <w:p w14:paraId="73F0CE13">
      <w:pPr>
        <w:widowControl/>
        <w:spacing w:line="440" w:lineRule="exact"/>
        <w:jc w:val="center"/>
        <w:rPr>
          <w:rFonts w:hint="eastAsia" w:ascii="微软雅黑" w:hAnsi="微软雅黑" w:eastAsia="微软雅黑" w:cs="微软雅黑"/>
          <w:snapToGrid w:val="0"/>
          <w:kern w:val="0"/>
          <w:sz w:val="24"/>
          <w:szCs w:val="24"/>
          <w:highlight w:val="none"/>
        </w:rPr>
      </w:pPr>
    </w:p>
    <w:p w14:paraId="12E286D1">
      <w:pPr>
        <w:rPr>
          <w:rFonts w:hint="eastAsia" w:ascii="微软雅黑" w:hAnsi="微软雅黑" w:eastAsia="微软雅黑" w:cs="微软雅黑"/>
          <w:snapToGrid w:val="0"/>
          <w:kern w:val="0"/>
          <w:sz w:val="24"/>
          <w:szCs w:val="24"/>
          <w:highlight w:val="none"/>
        </w:rPr>
      </w:pPr>
      <w:bookmarkStart w:id="232" w:name="_Toc65832020"/>
      <w:bookmarkStart w:id="233" w:name="_Toc493178793"/>
      <w:bookmarkStart w:id="234" w:name="_Toc492721038"/>
      <w:r>
        <w:rPr>
          <w:rFonts w:hint="eastAsia" w:ascii="微软雅黑" w:hAnsi="微软雅黑" w:eastAsia="微软雅黑" w:cs="微软雅黑"/>
          <w:snapToGrid w:val="0"/>
          <w:kern w:val="0"/>
          <w:sz w:val="24"/>
          <w:szCs w:val="24"/>
          <w:highlight w:val="none"/>
        </w:rPr>
        <w:br w:type="page"/>
      </w:r>
    </w:p>
    <w:p w14:paraId="70AF03A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bookmarkEnd w:id="232"/>
      <w:bookmarkEnd w:id="233"/>
      <w:bookmarkEnd w:id="234"/>
    </w:p>
    <w:p w14:paraId="2136F9BD">
      <w:pPr>
        <w:widowControl/>
        <w:spacing w:line="440" w:lineRule="exact"/>
        <w:ind w:firstLine="480" w:firstLineChars="2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（一）法人营业执照（副本）或事业单位法人证书（副本）或个体工商户营业执照或有效的自然人身份证明或社会团体法人登记证书复印件</w:t>
      </w:r>
    </w:p>
    <w:p w14:paraId="114EF490">
      <w:pPr>
        <w:widowControl/>
        <w:spacing w:line="440" w:lineRule="exact"/>
        <w:jc w:val="center"/>
        <w:rPr>
          <w:rFonts w:hint="eastAsia" w:ascii="微软雅黑" w:hAnsi="微软雅黑" w:eastAsia="微软雅黑" w:cs="微软雅黑"/>
          <w:snapToGrid w:val="0"/>
          <w:kern w:val="0"/>
          <w:sz w:val="24"/>
          <w:szCs w:val="24"/>
          <w:highlight w:val="none"/>
        </w:rPr>
      </w:pPr>
    </w:p>
    <w:p w14:paraId="7B648174">
      <w:pPr>
        <w:widowControl/>
        <w:spacing w:line="440" w:lineRule="exact"/>
        <w:jc w:val="center"/>
        <w:rPr>
          <w:rFonts w:hint="eastAsia" w:ascii="微软雅黑" w:hAnsi="微软雅黑" w:eastAsia="微软雅黑" w:cs="微软雅黑"/>
          <w:snapToGrid w:val="0"/>
          <w:kern w:val="0"/>
          <w:sz w:val="24"/>
          <w:szCs w:val="24"/>
          <w:highlight w:val="none"/>
        </w:rPr>
      </w:pPr>
    </w:p>
    <w:p w14:paraId="0B1AFDCE">
      <w:pPr>
        <w:widowControl/>
        <w:spacing w:line="440" w:lineRule="exact"/>
        <w:jc w:val="center"/>
        <w:rPr>
          <w:rFonts w:hint="eastAsia" w:ascii="微软雅黑" w:hAnsi="微软雅黑" w:eastAsia="微软雅黑" w:cs="微软雅黑"/>
          <w:snapToGrid w:val="0"/>
          <w:kern w:val="0"/>
          <w:sz w:val="24"/>
          <w:szCs w:val="24"/>
          <w:highlight w:val="none"/>
        </w:rPr>
      </w:pPr>
    </w:p>
    <w:p w14:paraId="14464A7B">
      <w:pPr>
        <w:widowControl/>
        <w:spacing w:line="440" w:lineRule="exact"/>
        <w:jc w:val="center"/>
        <w:rPr>
          <w:rFonts w:hint="eastAsia" w:ascii="微软雅黑" w:hAnsi="微软雅黑" w:eastAsia="微软雅黑" w:cs="微软雅黑"/>
          <w:snapToGrid w:val="0"/>
          <w:kern w:val="0"/>
          <w:sz w:val="24"/>
          <w:szCs w:val="24"/>
          <w:highlight w:val="none"/>
        </w:rPr>
      </w:pPr>
    </w:p>
    <w:p w14:paraId="71EC1A8C">
      <w:pPr>
        <w:widowControl/>
        <w:spacing w:line="440" w:lineRule="exact"/>
        <w:jc w:val="center"/>
        <w:rPr>
          <w:rFonts w:hint="eastAsia" w:ascii="微软雅黑" w:hAnsi="微软雅黑" w:eastAsia="微软雅黑" w:cs="微软雅黑"/>
          <w:snapToGrid w:val="0"/>
          <w:kern w:val="0"/>
          <w:sz w:val="24"/>
          <w:szCs w:val="24"/>
          <w:highlight w:val="none"/>
        </w:rPr>
      </w:pPr>
    </w:p>
    <w:p w14:paraId="50CDDE0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（二）法定代表人身份证明书（格式）</w:t>
      </w:r>
    </w:p>
    <w:p w14:paraId="3FA9A723">
      <w:pPr>
        <w:widowControl/>
        <w:spacing w:line="440" w:lineRule="exact"/>
        <w:jc w:val="center"/>
        <w:rPr>
          <w:rFonts w:hint="eastAsia" w:ascii="微软雅黑" w:hAnsi="微软雅黑" w:eastAsia="微软雅黑" w:cs="微软雅黑"/>
          <w:snapToGrid w:val="0"/>
          <w:kern w:val="0"/>
          <w:sz w:val="24"/>
          <w:szCs w:val="24"/>
          <w:highlight w:val="none"/>
        </w:rPr>
      </w:pPr>
    </w:p>
    <w:p w14:paraId="5079DF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2459CB87">
      <w:pPr>
        <w:widowControl/>
        <w:spacing w:line="440" w:lineRule="exact"/>
        <w:jc w:val="center"/>
        <w:rPr>
          <w:rFonts w:hint="eastAsia" w:ascii="微软雅黑" w:hAnsi="微软雅黑" w:eastAsia="微软雅黑" w:cs="微软雅黑"/>
          <w:snapToGrid w:val="0"/>
          <w:kern w:val="0"/>
          <w:sz w:val="24"/>
          <w:szCs w:val="24"/>
          <w:highlight w:val="none"/>
        </w:rPr>
      </w:pPr>
    </w:p>
    <w:p w14:paraId="1A85D77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68C9B1A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（法定代表人姓名）在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（投标人名称）任</w:t>
      </w:r>
      <w:r>
        <w:rPr>
          <w:rFonts w:hint="eastAsia" w:ascii="微软雅黑" w:hAnsi="微软雅黑" w:eastAsia="微软雅黑" w:cs="微软雅黑"/>
          <w:i w:val="0"/>
          <w:iCs w:val="0"/>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（职务名称）职务，是（投标人名称）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的法定代表人。</w:t>
      </w:r>
    </w:p>
    <w:p w14:paraId="1702157E">
      <w:pPr>
        <w:widowControl/>
        <w:spacing w:line="440" w:lineRule="exact"/>
        <w:jc w:val="left"/>
        <w:rPr>
          <w:rFonts w:hint="eastAsia" w:ascii="微软雅黑" w:hAnsi="微软雅黑" w:eastAsia="微软雅黑" w:cs="微软雅黑"/>
          <w:snapToGrid w:val="0"/>
          <w:kern w:val="0"/>
          <w:sz w:val="24"/>
          <w:szCs w:val="24"/>
          <w:highlight w:val="none"/>
        </w:rPr>
      </w:pPr>
    </w:p>
    <w:p w14:paraId="36342F4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特此证明。</w:t>
      </w:r>
    </w:p>
    <w:p w14:paraId="216EB021">
      <w:pPr>
        <w:widowControl/>
        <w:spacing w:line="440" w:lineRule="exact"/>
        <w:jc w:val="center"/>
        <w:rPr>
          <w:rFonts w:hint="eastAsia" w:ascii="微软雅黑" w:hAnsi="微软雅黑" w:eastAsia="微软雅黑" w:cs="微软雅黑"/>
          <w:snapToGrid w:val="0"/>
          <w:kern w:val="0"/>
          <w:sz w:val="24"/>
          <w:szCs w:val="24"/>
          <w:highlight w:val="none"/>
        </w:rPr>
      </w:pPr>
    </w:p>
    <w:p w14:paraId="32F99974">
      <w:pPr>
        <w:widowControl/>
        <w:spacing w:line="440" w:lineRule="exact"/>
        <w:jc w:val="center"/>
        <w:rPr>
          <w:rFonts w:hint="eastAsia" w:ascii="微软雅黑" w:hAnsi="微软雅黑" w:eastAsia="微软雅黑" w:cs="微软雅黑"/>
          <w:snapToGrid w:val="0"/>
          <w:kern w:val="0"/>
          <w:sz w:val="24"/>
          <w:szCs w:val="24"/>
          <w:highlight w:val="none"/>
        </w:rPr>
      </w:pPr>
    </w:p>
    <w:p w14:paraId="2DD6E12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w:t>
      </w:r>
    </w:p>
    <w:p w14:paraId="509873D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2F6A745B">
      <w:pPr>
        <w:widowControl/>
        <w:spacing w:line="440" w:lineRule="exact"/>
        <w:jc w:val="center"/>
        <w:rPr>
          <w:rFonts w:hint="eastAsia" w:ascii="微软雅黑" w:hAnsi="微软雅黑" w:eastAsia="微软雅黑" w:cs="微软雅黑"/>
          <w:snapToGrid w:val="0"/>
          <w:kern w:val="0"/>
          <w:sz w:val="24"/>
          <w:szCs w:val="24"/>
          <w:highlight w:val="none"/>
        </w:rPr>
      </w:pPr>
    </w:p>
    <w:p w14:paraId="13820DD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026290FB">
      <w:pPr>
        <w:widowControl/>
        <w:spacing w:line="440" w:lineRule="exact"/>
        <w:jc w:val="center"/>
        <w:rPr>
          <w:rFonts w:hint="eastAsia" w:ascii="微软雅黑" w:hAnsi="微软雅黑" w:eastAsia="微软雅黑" w:cs="微软雅黑"/>
          <w:snapToGrid w:val="0"/>
          <w:kern w:val="0"/>
          <w:sz w:val="24"/>
          <w:szCs w:val="24"/>
          <w:highlight w:val="none"/>
        </w:rPr>
      </w:pPr>
    </w:p>
    <w:p w14:paraId="20B166B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（附：法定代表人身份证正反面复印件）</w:t>
      </w:r>
    </w:p>
    <w:p w14:paraId="4CC128E5">
      <w:pPr>
        <w:widowControl/>
        <w:spacing w:line="440" w:lineRule="exact"/>
        <w:jc w:val="center"/>
        <w:rPr>
          <w:rFonts w:hint="eastAsia" w:ascii="微软雅黑" w:hAnsi="微软雅黑" w:eastAsia="微软雅黑" w:cs="微软雅黑"/>
          <w:snapToGrid w:val="0"/>
          <w:kern w:val="0"/>
          <w:sz w:val="24"/>
          <w:szCs w:val="24"/>
          <w:highlight w:val="none"/>
        </w:rPr>
      </w:pPr>
    </w:p>
    <w:p w14:paraId="113486E0">
      <w:pPr>
        <w:widowControl/>
        <w:spacing w:line="440" w:lineRule="exact"/>
        <w:jc w:val="center"/>
        <w:rPr>
          <w:rFonts w:hint="eastAsia" w:ascii="微软雅黑" w:hAnsi="微软雅黑" w:eastAsia="微软雅黑" w:cs="微软雅黑"/>
          <w:snapToGrid w:val="0"/>
          <w:kern w:val="0"/>
          <w:sz w:val="24"/>
          <w:szCs w:val="24"/>
          <w:highlight w:val="none"/>
        </w:rPr>
      </w:pPr>
    </w:p>
    <w:p w14:paraId="7E2710B0">
      <w:pPr>
        <w:widowControl/>
        <w:spacing w:line="440" w:lineRule="exact"/>
        <w:jc w:val="center"/>
        <w:rPr>
          <w:rFonts w:hint="eastAsia" w:ascii="微软雅黑" w:hAnsi="微软雅黑" w:eastAsia="微软雅黑" w:cs="微软雅黑"/>
          <w:snapToGrid w:val="0"/>
          <w:kern w:val="0"/>
          <w:sz w:val="24"/>
          <w:szCs w:val="24"/>
          <w:highlight w:val="none"/>
        </w:rPr>
      </w:pPr>
    </w:p>
    <w:p w14:paraId="460D04F8">
      <w:pPr>
        <w:widowControl/>
        <w:spacing w:line="440" w:lineRule="exact"/>
        <w:jc w:val="center"/>
        <w:rPr>
          <w:rFonts w:hint="eastAsia" w:ascii="微软雅黑" w:hAnsi="微软雅黑" w:eastAsia="微软雅黑" w:cs="微软雅黑"/>
          <w:snapToGrid w:val="0"/>
          <w:kern w:val="0"/>
          <w:sz w:val="24"/>
          <w:szCs w:val="24"/>
          <w:highlight w:val="none"/>
        </w:rPr>
      </w:pPr>
    </w:p>
    <w:p w14:paraId="7C1DCFB0">
      <w:pPr>
        <w:widowControl/>
        <w:spacing w:line="440" w:lineRule="exact"/>
        <w:jc w:val="center"/>
        <w:rPr>
          <w:rFonts w:hint="eastAsia" w:ascii="微软雅黑" w:hAnsi="微软雅黑" w:eastAsia="微软雅黑" w:cs="微软雅黑"/>
          <w:snapToGrid w:val="0"/>
          <w:kern w:val="0"/>
          <w:sz w:val="24"/>
          <w:szCs w:val="24"/>
          <w:highlight w:val="none"/>
        </w:rPr>
      </w:pPr>
    </w:p>
    <w:p w14:paraId="523F3DD8">
      <w:pPr>
        <w:widowControl/>
        <w:spacing w:line="440" w:lineRule="exact"/>
        <w:jc w:val="center"/>
        <w:rPr>
          <w:rFonts w:hint="eastAsia" w:ascii="微软雅黑" w:hAnsi="微软雅黑" w:eastAsia="微软雅黑" w:cs="微软雅黑"/>
          <w:snapToGrid w:val="0"/>
          <w:kern w:val="0"/>
          <w:sz w:val="24"/>
          <w:szCs w:val="24"/>
          <w:highlight w:val="none"/>
        </w:rPr>
      </w:pPr>
    </w:p>
    <w:p w14:paraId="216E0D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（三）法定代表人授权委托书（格式）</w:t>
      </w:r>
    </w:p>
    <w:p w14:paraId="0A29A7A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1E4B9C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269F7F68">
      <w:pPr>
        <w:widowControl/>
        <w:spacing w:line="440" w:lineRule="exact"/>
        <w:jc w:val="left"/>
        <w:rPr>
          <w:rFonts w:hint="eastAsia" w:ascii="微软雅黑" w:hAnsi="微软雅黑" w:eastAsia="微软雅黑" w:cs="微软雅黑"/>
          <w:snapToGrid w:val="0"/>
          <w:kern w:val="0"/>
          <w:sz w:val="24"/>
          <w:szCs w:val="24"/>
          <w:highlight w:val="none"/>
        </w:rPr>
      </w:pPr>
    </w:p>
    <w:p w14:paraId="0BFCB26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none"/>
        </w:rPr>
        <w:t xml:space="preserve">                     </w:t>
      </w:r>
      <w:r>
        <w:rPr>
          <w:rFonts w:hint="eastAsia" w:ascii="微软雅黑" w:hAnsi="微软雅黑" w:eastAsia="微软雅黑" w:cs="微软雅黑"/>
          <w:snapToGrid w:val="0"/>
          <w:kern w:val="0"/>
          <w:sz w:val="24"/>
          <w:szCs w:val="24"/>
          <w:highlight w:val="none"/>
        </w:rPr>
        <w:t>（采购代理机构名称）：</w:t>
      </w:r>
    </w:p>
    <w:p w14:paraId="6C9D2ED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（投标人法定代表人名称）是</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（投标人名称）的法定代表人，特授权</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（被授权人姓名及身份证代码）代表我单位全权办理上述项目的投标、谈判、签约等具体工作，并签署全部有关文件、协议及合同。</w:t>
      </w:r>
    </w:p>
    <w:p w14:paraId="08E8EC2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我单位对被授权人的签字负全部责任。</w:t>
      </w:r>
    </w:p>
    <w:p w14:paraId="7FC69E3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在撤消授权的书面通知以前，本授权书一直有效。被授权人在授权书有效期内签署的所有文件不因授权的撤消而失效。</w:t>
      </w:r>
    </w:p>
    <w:p w14:paraId="68436462">
      <w:pPr>
        <w:widowControl/>
        <w:spacing w:line="440" w:lineRule="exact"/>
        <w:jc w:val="left"/>
        <w:rPr>
          <w:rFonts w:hint="eastAsia" w:ascii="微软雅黑" w:hAnsi="微软雅黑" w:eastAsia="微软雅黑" w:cs="微软雅黑"/>
          <w:snapToGrid w:val="0"/>
          <w:kern w:val="0"/>
          <w:sz w:val="24"/>
          <w:szCs w:val="24"/>
          <w:highlight w:val="none"/>
        </w:rPr>
      </w:pPr>
    </w:p>
    <w:p w14:paraId="4DF25285">
      <w:pPr>
        <w:widowControl/>
        <w:spacing w:line="440" w:lineRule="exact"/>
        <w:jc w:val="center"/>
        <w:rPr>
          <w:rFonts w:hint="eastAsia" w:ascii="微软雅黑" w:hAnsi="微软雅黑" w:eastAsia="微软雅黑" w:cs="微软雅黑"/>
          <w:snapToGrid w:val="0"/>
          <w:kern w:val="0"/>
          <w:sz w:val="24"/>
          <w:szCs w:val="24"/>
          <w:highlight w:val="none"/>
        </w:rPr>
      </w:pPr>
    </w:p>
    <w:p w14:paraId="2689712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被授权人：                                 投标人法定代表人：</w:t>
      </w:r>
    </w:p>
    <w:p w14:paraId="4C81001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（签字或盖章）                                （签字或盖章）</w:t>
      </w:r>
    </w:p>
    <w:p w14:paraId="1EE7C3AE">
      <w:pPr>
        <w:widowControl/>
        <w:spacing w:line="440" w:lineRule="exact"/>
        <w:jc w:val="center"/>
        <w:rPr>
          <w:rFonts w:hint="eastAsia" w:ascii="微软雅黑" w:hAnsi="微软雅黑" w:eastAsia="微软雅黑" w:cs="微软雅黑"/>
          <w:snapToGrid w:val="0"/>
          <w:kern w:val="0"/>
          <w:sz w:val="24"/>
          <w:szCs w:val="24"/>
          <w:highlight w:val="none"/>
        </w:rPr>
      </w:pPr>
    </w:p>
    <w:p w14:paraId="1E8391E4">
      <w:pPr>
        <w:widowControl/>
        <w:spacing w:line="440" w:lineRule="exact"/>
        <w:jc w:val="center"/>
        <w:rPr>
          <w:rFonts w:hint="eastAsia" w:ascii="微软雅黑" w:hAnsi="微软雅黑" w:eastAsia="微软雅黑" w:cs="微软雅黑"/>
          <w:snapToGrid w:val="0"/>
          <w:kern w:val="0"/>
          <w:sz w:val="24"/>
          <w:szCs w:val="24"/>
          <w:highlight w:val="none"/>
        </w:rPr>
      </w:pPr>
    </w:p>
    <w:p w14:paraId="2D5A99E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（附：被授权人身份证正反面复印件）</w:t>
      </w:r>
    </w:p>
    <w:p w14:paraId="0ED8181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0829B78C">
      <w:pPr>
        <w:widowControl/>
        <w:spacing w:line="440" w:lineRule="exact"/>
        <w:jc w:val="center"/>
        <w:rPr>
          <w:rFonts w:hint="eastAsia" w:ascii="微软雅黑" w:hAnsi="微软雅黑" w:eastAsia="微软雅黑" w:cs="微软雅黑"/>
          <w:snapToGrid w:val="0"/>
          <w:kern w:val="0"/>
          <w:sz w:val="24"/>
          <w:szCs w:val="24"/>
          <w:highlight w:val="none"/>
        </w:rPr>
      </w:pPr>
    </w:p>
    <w:p w14:paraId="1A750A04">
      <w:pPr>
        <w:widowControl/>
        <w:spacing w:line="440" w:lineRule="exact"/>
        <w:jc w:val="center"/>
        <w:rPr>
          <w:rFonts w:hint="eastAsia" w:ascii="微软雅黑" w:hAnsi="微软雅黑" w:eastAsia="微软雅黑" w:cs="微软雅黑"/>
          <w:snapToGrid w:val="0"/>
          <w:kern w:val="0"/>
          <w:sz w:val="24"/>
          <w:szCs w:val="24"/>
          <w:highlight w:val="none"/>
        </w:rPr>
      </w:pPr>
    </w:p>
    <w:p w14:paraId="6147C17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（投标人公章）</w:t>
      </w:r>
    </w:p>
    <w:p w14:paraId="3E987DB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年   月   日</w:t>
      </w:r>
    </w:p>
    <w:p w14:paraId="475FE678">
      <w:pPr>
        <w:widowControl/>
        <w:spacing w:line="440" w:lineRule="exact"/>
        <w:jc w:val="center"/>
        <w:rPr>
          <w:rFonts w:hint="eastAsia" w:ascii="微软雅黑" w:hAnsi="微软雅黑" w:eastAsia="微软雅黑" w:cs="微软雅黑"/>
          <w:snapToGrid w:val="0"/>
          <w:kern w:val="0"/>
          <w:sz w:val="24"/>
          <w:szCs w:val="24"/>
          <w:highlight w:val="none"/>
        </w:rPr>
      </w:pPr>
    </w:p>
    <w:p w14:paraId="2847550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注：若为法定代表人办理并签署投标文件的，不提供此文件。</w:t>
      </w:r>
    </w:p>
    <w:p w14:paraId="7EBFB108">
      <w:pPr>
        <w:widowControl/>
        <w:spacing w:line="440" w:lineRule="exact"/>
        <w:jc w:val="both"/>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w:t>
      </w:r>
    </w:p>
    <w:p w14:paraId="443A4678">
      <w:pPr>
        <w:widowControl/>
        <w:spacing w:line="440" w:lineRule="exact"/>
        <w:jc w:val="center"/>
        <w:rPr>
          <w:rFonts w:hint="eastAsia" w:ascii="微软雅黑" w:hAnsi="微软雅黑" w:eastAsia="微软雅黑" w:cs="微软雅黑"/>
          <w:snapToGrid w:val="0"/>
          <w:kern w:val="0"/>
          <w:sz w:val="24"/>
          <w:szCs w:val="24"/>
          <w:highlight w:val="none"/>
        </w:rPr>
      </w:pPr>
    </w:p>
    <w:p w14:paraId="76E5A53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33645798">
      <w:pPr>
        <w:widowControl/>
        <w:spacing w:line="440" w:lineRule="exact"/>
        <w:jc w:val="left"/>
        <w:rPr>
          <w:rFonts w:hint="eastAsia" w:ascii="微软雅黑" w:hAnsi="微软雅黑" w:eastAsia="微软雅黑" w:cs="微软雅黑"/>
          <w:snapToGrid w:val="0"/>
          <w:kern w:val="0"/>
          <w:sz w:val="24"/>
          <w:szCs w:val="24"/>
          <w:highlight w:val="none"/>
        </w:rPr>
      </w:pPr>
    </w:p>
    <w:p w14:paraId="6A8D49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76AE6AB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14:paraId="31106DC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特此声明。</w:t>
      </w:r>
    </w:p>
    <w:p w14:paraId="56370997">
      <w:pPr>
        <w:widowControl/>
        <w:spacing w:line="440" w:lineRule="exact"/>
        <w:jc w:val="center"/>
        <w:rPr>
          <w:rFonts w:hint="eastAsia" w:ascii="微软雅黑" w:hAnsi="微软雅黑" w:eastAsia="微软雅黑" w:cs="微软雅黑"/>
          <w:snapToGrid w:val="0"/>
          <w:kern w:val="0"/>
          <w:sz w:val="24"/>
          <w:szCs w:val="24"/>
          <w:highlight w:val="none"/>
        </w:rPr>
      </w:pPr>
    </w:p>
    <w:p w14:paraId="4527AA01">
      <w:pPr>
        <w:widowControl/>
        <w:spacing w:line="440" w:lineRule="exact"/>
        <w:jc w:val="center"/>
        <w:rPr>
          <w:rFonts w:hint="eastAsia" w:ascii="微软雅黑" w:hAnsi="微软雅黑" w:eastAsia="微软雅黑" w:cs="微软雅黑"/>
          <w:snapToGrid w:val="0"/>
          <w:kern w:val="0"/>
          <w:sz w:val="24"/>
          <w:szCs w:val="24"/>
          <w:highlight w:val="none"/>
        </w:rPr>
      </w:pPr>
    </w:p>
    <w:p w14:paraId="063756C5">
      <w:pPr>
        <w:widowControl/>
        <w:spacing w:line="440" w:lineRule="exact"/>
        <w:jc w:val="center"/>
        <w:rPr>
          <w:rFonts w:hint="eastAsia" w:ascii="微软雅黑" w:hAnsi="微软雅黑" w:eastAsia="微软雅黑" w:cs="微软雅黑"/>
          <w:snapToGrid w:val="0"/>
          <w:kern w:val="0"/>
          <w:sz w:val="24"/>
          <w:szCs w:val="24"/>
          <w:highlight w:val="none"/>
        </w:rPr>
      </w:pPr>
    </w:p>
    <w:p w14:paraId="03847D2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02F5E1A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2EEFF90A">
      <w:pPr>
        <w:widowControl/>
        <w:spacing w:line="440" w:lineRule="exact"/>
        <w:jc w:val="center"/>
        <w:rPr>
          <w:rFonts w:hint="eastAsia" w:ascii="微软雅黑" w:hAnsi="微软雅黑" w:eastAsia="微软雅黑" w:cs="微软雅黑"/>
          <w:snapToGrid w:val="0"/>
          <w:kern w:val="0"/>
          <w:sz w:val="24"/>
          <w:szCs w:val="24"/>
          <w:highlight w:val="none"/>
        </w:rPr>
      </w:pPr>
    </w:p>
    <w:p w14:paraId="110D795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8B0586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）特定资格条件证书或证明文件（如有）</w:t>
      </w:r>
    </w:p>
    <w:p w14:paraId="0C3B3249">
      <w:pPr>
        <w:widowControl/>
        <w:spacing w:line="440" w:lineRule="exact"/>
        <w:jc w:val="center"/>
        <w:rPr>
          <w:rFonts w:hint="eastAsia" w:ascii="微软雅黑" w:hAnsi="微软雅黑" w:eastAsia="微软雅黑" w:cs="微软雅黑"/>
          <w:snapToGrid w:val="0"/>
          <w:kern w:val="0"/>
          <w:sz w:val="24"/>
          <w:szCs w:val="24"/>
          <w:highlight w:val="none"/>
        </w:rPr>
      </w:pPr>
    </w:p>
    <w:p w14:paraId="655FB657">
      <w:pPr>
        <w:widowControl/>
        <w:spacing w:line="440" w:lineRule="exact"/>
        <w:jc w:val="center"/>
        <w:rPr>
          <w:rFonts w:hint="eastAsia" w:ascii="微软雅黑" w:hAnsi="微软雅黑" w:eastAsia="微软雅黑" w:cs="微软雅黑"/>
          <w:snapToGrid w:val="0"/>
          <w:kern w:val="0"/>
          <w:sz w:val="24"/>
          <w:szCs w:val="24"/>
          <w:highlight w:val="none"/>
        </w:rPr>
      </w:pPr>
    </w:p>
    <w:p w14:paraId="26EA9030">
      <w:pPr>
        <w:widowControl/>
        <w:spacing w:line="440" w:lineRule="exact"/>
        <w:jc w:val="center"/>
        <w:rPr>
          <w:rFonts w:hint="eastAsia" w:ascii="微软雅黑" w:hAnsi="微软雅黑" w:eastAsia="微软雅黑" w:cs="微软雅黑"/>
          <w:snapToGrid w:val="0"/>
          <w:kern w:val="0"/>
          <w:sz w:val="24"/>
          <w:szCs w:val="24"/>
          <w:highlight w:val="none"/>
        </w:rPr>
      </w:pPr>
    </w:p>
    <w:p w14:paraId="4AFA3F8C">
      <w:pPr>
        <w:widowControl/>
        <w:spacing w:line="440" w:lineRule="exact"/>
        <w:jc w:val="center"/>
        <w:rPr>
          <w:rFonts w:hint="eastAsia" w:ascii="微软雅黑" w:hAnsi="微软雅黑" w:eastAsia="微软雅黑" w:cs="微软雅黑"/>
          <w:snapToGrid w:val="0"/>
          <w:kern w:val="0"/>
          <w:sz w:val="24"/>
          <w:szCs w:val="24"/>
          <w:highlight w:val="none"/>
        </w:rPr>
      </w:pPr>
    </w:p>
    <w:p w14:paraId="14D772EA">
      <w:pPr>
        <w:widowControl/>
        <w:spacing w:line="440" w:lineRule="exact"/>
        <w:jc w:val="center"/>
        <w:rPr>
          <w:rFonts w:hint="eastAsia" w:ascii="微软雅黑" w:hAnsi="微软雅黑" w:eastAsia="微软雅黑" w:cs="微软雅黑"/>
          <w:snapToGrid w:val="0"/>
          <w:kern w:val="0"/>
          <w:sz w:val="24"/>
          <w:szCs w:val="24"/>
          <w:highlight w:val="none"/>
        </w:rPr>
      </w:pPr>
    </w:p>
    <w:p w14:paraId="19F1347F">
      <w:pPr>
        <w:widowControl/>
        <w:spacing w:line="440" w:lineRule="exact"/>
        <w:jc w:val="center"/>
        <w:rPr>
          <w:rFonts w:hint="eastAsia" w:ascii="微软雅黑" w:hAnsi="微软雅黑" w:eastAsia="微软雅黑" w:cs="微软雅黑"/>
          <w:snapToGrid w:val="0"/>
          <w:kern w:val="0"/>
          <w:sz w:val="24"/>
          <w:szCs w:val="24"/>
          <w:highlight w:val="none"/>
        </w:rPr>
      </w:pPr>
    </w:p>
    <w:p w14:paraId="2EBEDF0C">
      <w:pPr>
        <w:widowControl/>
        <w:spacing w:line="440" w:lineRule="exact"/>
        <w:jc w:val="center"/>
        <w:rPr>
          <w:rFonts w:hint="eastAsia" w:ascii="微软雅黑" w:hAnsi="微软雅黑" w:eastAsia="微软雅黑" w:cs="微软雅黑"/>
          <w:snapToGrid w:val="0"/>
          <w:kern w:val="0"/>
          <w:sz w:val="24"/>
          <w:szCs w:val="24"/>
          <w:highlight w:val="none"/>
        </w:rPr>
      </w:pPr>
    </w:p>
    <w:p w14:paraId="3B9336BA">
      <w:pPr>
        <w:widowControl/>
        <w:spacing w:line="440" w:lineRule="exact"/>
        <w:jc w:val="center"/>
        <w:rPr>
          <w:rFonts w:hint="eastAsia" w:ascii="微软雅黑" w:hAnsi="微软雅黑" w:eastAsia="微软雅黑" w:cs="微软雅黑"/>
          <w:snapToGrid w:val="0"/>
          <w:kern w:val="0"/>
          <w:sz w:val="24"/>
          <w:szCs w:val="24"/>
          <w:highlight w:val="none"/>
        </w:rPr>
      </w:pPr>
    </w:p>
    <w:p w14:paraId="6F59FA47">
      <w:pPr>
        <w:widowControl/>
        <w:spacing w:line="440" w:lineRule="exact"/>
        <w:jc w:val="center"/>
        <w:rPr>
          <w:rFonts w:hint="eastAsia" w:ascii="微软雅黑" w:hAnsi="微软雅黑" w:eastAsia="微软雅黑" w:cs="微软雅黑"/>
          <w:snapToGrid w:val="0"/>
          <w:kern w:val="0"/>
          <w:sz w:val="24"/>
          <w:szCs w:val="24"/>
          <w:highlight w:val="none"/>
        </w:rPr>
      </w:pPr>
    </w:p>
    <w:p w14:paraId="7F984CF9">
      <w:pPr>
        <w:widowControl/>
        <w:spacing w:line="440" w:lineRule="exact"/>
        <w:jc w:val="center"/>
        <w:rPr>
          <w:rFonts w:hint="eastAsia" w:ascii="微软雅黑" w:hAnsi="微软雅黑" w:eastAsia="微软雅黑" w:cs="微软雅黑"/>
          <w:snapToGrid w:val="0"/>
          <w:kern w:val="0"/>
          <w:sz w:val="24"/>
          <w:szCs w:val="24"/>
          <w:highlight w:val="none"/>
        </w:rPr>
      </w:pPr>
    </w:p>
    <w:p w14:paraId="09F27AAC">
      <w:pPr>
        <w:widowControl/>
        <w:spacing w:line="440" w:lineRule="exact"/>
        <w:jc w:val="center"/>
        <w:rPr>
          <w:rFonts w:hint="eastAsia" w:ascii="微软雅黑" w:hAnsi="微软雅黑" w:eastAsia="微软雅黑" w:cs="微软雅黑"/>
          <w:snapToGrid w:val="0"/>
          <w:kern w:val="0"/>
          <w:sz w:val="24"/>
          <w:szCs w:val="24"/>
          <w:highlight w:val="none"/>
        </w:rPr>
      </w:pPr>
    </w:p>
    <w:p w14:paraId="2D98FCF5">
      <w:pPr>
        <w:widowControl/>
        <w:spacing w:line="440" w:lineRule="exact"/>
        <w:jc w:val="center"/>
        <w:rPr>
          <w:rFonts w:hint="eastAsia" w:ascii="微软雅黑" w:hAnsi="微软雅黑" w:eastAsia="微软雅黑" w:cs="微软雅黑"/>
          <w:snapToGrid w:val="0"/>
          <w:kern w:val="0"/>
          <w:sz w:val="24"/>
          <w:szCs w:val="24"/>
          <w:highlight w:val="none"/>
        </w:rPr>
      </w:pPr>
    </w:p>
    <w:p w14:paraId="599F5A07">
      <w:pPr>
        <w:widowControl/>
        <w:spacing w:line="440" w:lineRule="exact"/>
        <w:jc w:val="center"/>
        <w:rPr>
          <w:rFonts w:hint="eastAsia" w:ascii="微软雅黑" w:hAnsi="微软雅黑" w:eastAsia="微软雅黑" w:cs="微软雅黑"/>
          <w:snapToGrid w:val="0"/>
          <w:kern w:val="0"/>
          <w:sz w:val="24"/>
          <w:szCs w:val="24"/>
          <w:highlight w:val="none"/>
        </w:rPr>
      </w:pPr>
    </w:p>
    <w:p w14:paraId="3C3E69CC">
      <w:pPr>
        <w:widowControl/>
        <w:spacing w:line="440" w:lineRule="exact"/>
        <w:jc w:val="center"/>
        <w:rPr>
          <w:rFonts w:hint="eastAsia" w:ascii="微软雅黑" w:hAnsi="微软雅黑" w:eastAsia="微软雅黑" w:cs="微软雅黑"/>
          <w:snapToGrid w:val="0"/>
          <w:kern w:val="0"/>
          <w:sz w:val="24"/>
          <w:szCs w:val="24"/>
          <w:highlight w:val="none"/>
        </w:rPr>
      </w:pPr>
    </w:p>
    <w:p w14:paraId="41A84B52">
      <w:pPr>
        <w:widowControl/>
        <w:spacing w:line="440" w:lineRule="exact"/>
        <w:jc w:val="center"/>
        <w:rPr>
          <w:rFonts w:hint="eastAsia" w:ascii="微软雅黑" w:hAnsi="微软雅黑" w:eastAsia="微软雅黑" w:cs="微软雅黑"/>
          <w:snapToGrid w:val="0"/>
          <w:kern w:val="0"/>
          <w:sz w:val="24"/>
          <w:szCs w:val="24"/>
          <w:highlight w:val="none"/>
        </w:rPr>
      </w:pPr>
    </w:p>
    <w:p w14:paraId="5691D90C">
      <w:pPr>
        <w:widowControl/>
        <w:spacing w:line="440" w:lineRule="exact"/>
        <w:jc w:val="center"/>
        <w:rPr>
          <w:rFonts w:hint="eastAsia" w:ascii="微软雅黑" w:hAnsi="微软雅黑" w:eastAsia="微软雅黑" w:cs="微软雅黑"/>
          <w:snapToGrid w:val="0"/>
          <w:kern w:val="0"/>
          <w:sz w:val="24"/>
          <w:szCs w:val="24"/>
          <w:highlight w:val="none"/>
        </w:rPr>
      </w:pPr>
    </w:p>
    <w:p w14:paraId="38835F00">
      <w:pPr>
        <w:widowControl/>
        <w:spacing w:line="440" w:lineRule="exact"/>
        <w:jc w:val="center"/>
        <w:rPr>
          <w:rFonts w:hint="eastAsia" w:ascii="微软雅黑" w:hAnsi="微软雅黑" w:eastAsia="微软雅黑" w:cs="微软雅黑"/>
          <w:snapToGrid w:val="0"/>
          <w:kern w:val="0"/>
          <w:sz w:val="24"/>
          <w:szCs w:val="24"/>
          <w:highlight w:val="none"/>
        </w:rPr>
      </w:pPr>
    </w:p>
    <w:p w14:paraId="10058BD1">
      <w:pPr>
        <w:widowControl/>
        <w:spacing w:line="440" w:lineRule="exact"/>
        <w:jc w:val="center"/>
        <w:rPr>
          <w:rFonts w:hint="eastAsia" w:ascii="微软雅黑" w:hAnsi="微软雅黑" w:eastAsia="微软雅黑" w:cs="微软雅黑"/>
          <w:snapToGrid w:val="0"/>
          <w:kern w:val="0"/>
          <w:sz w:val="24"/>
          <w:szCs w:val="24"/>
          <w:highlight w:val="none"/>
        </w:rPr>
      </w:pPr>
    </w:p>
    <w:p w14:paraId="6E5B6229">
      <w:pPr>
        <w:widowControl/>
        <w:spacing w:line="440" w:lineRule="exact"/>
        <w:jc w:val="center"/>
        <w:rPr>
          <w:rFonts w:hint="eastAsia" w:ascii="微软雅黑" w:hAnsi="微软雅黑" w:eastAsia="微软雅黑" w:cs="微软雅黑"/>
          <w:snapToGrid w:val="0"/>
          <w:kern w:val="0"/>
          <w:sz w:val="24"/>
          <w:szCs w:val="24"/>
          <w:highlight w:val="none"/>
        </w:rPr>
      </w:pPr>
    </w:p>
    <w:p w14:paraId="2C553876">
      <w:pPr>
        <w:widowControl/>
        <w:spacing w:line="440" w:lineRule="exact"/>
        <w:jc w:val="center"/>
        <w:rPr>
          <w:rFonts w:hint="eastAsia" w:ascii="微软雅黑" w:hAnsi="微软雅黑" w:eastAsia="微软雅黑" w:cs="微软雅黑"/>
          <w:snapToGrid w:val="0"/>
          <w:kern w:val="0"/>
          <w:sz w:val="24"/>
          <w:szCs w:val="24"/>
          <w:highlight w:val="none"/>
        </w:rPr>
      </w:pPr>
    </w:p>
    <w:p w14:paraId="5AAD2C5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（结束）</w:t>
      </w:r>
    </w:p>
    <w:p w14:paraId="0160C372">
      <w:pPr>
        <w:widowControl/>
        <w:spacing w:line="440" w:lineRule="exact"/>
        <w:jc w:val="center"/>
        <w:rPr>
          <w:rFonts w:hint="eastAsia" w:ascii="微软雅黑" w:hAnsi="微软雅黑" w:eastAsia="微软雅黑" w:cs="微软雅黑"/>
          <w:snapToGrid w:val="0"/>
          <w:kern w:val="0"/>
          <w:sz w:val="24"/>
          <w:szCs w:val="24"/>
          <w:highlight w:val="none"/>
        </w:rPr>
      </w:pPr>
    </w:p>
    <w:p w14:paraId="29D7EAFC">
      <w:pPr>
        <w:rPr>
          <w:rFonts w:hint="eastAsia" w:ascii="微软雅黑" w:hAnsi="微软雅黑" w:eastAsia="微软雅黑" w:cs="微软雅黑"/>
          <w:bCs/>
          <w:sz w:val="24"/>
          <w:szCs w:val="28"/>
          <w:highlight w:val="none"/>
        </w:rPr>
      </w:pPr>
      <w:r>
        <w:rPr>
          <w:rFonts w:hint="eastAsia" w:ascii="微软雅黑" w:hAnsi="微软雅黑" w:eastAsia="微软雅黑" w:cs="微软雅黑"/>
          <w:bCs/>
          <w:sz w:val="24"/>
          <w:szCs w:val="28"/>
          <w:highlight w:val="none"/>
        </w:rPr>
        <w:br w:type="page"/>
      </w:r>
    </w:p>
    <w:p w14:paraId="5CD8C832">
      <w:pPr>
        <w:jc w:val="left"/>
        <w:outlineLvl w:val="0"/>
        <w:rPr>
          <w:rFonts w:hint="eastAsia" w:ascii="微软雅黑" w:hAnsi="微软雅黑" w:eastAsia="微软雅黑" w:cs="微软雅黑"/>
          <w:b/>
          <w:bCs/>
          <w:color w:val="auto"/>
          <w:szCs w:val="28"/>
          <w:highlight w:val="none"/>
        </w:rPr>
      </w:pPr>
      <w:bookmarkStart w:id="235" w:name="_Toc20109"/>
      <w:bookmarkStart w:id="236" w:name="_Toc32253"/>
      <w:bookmarkStart w:id="237" w:name="_Toc31244"/>
      <w:bookmarkStart w:id="238" w:name="_Toc27603"/>
      <w:bookmarkStart w:id="239" w:name="_Toc11203"/>
      <w:r>
        <w:rPr>
          <w:rFonts w:hint="eastAsia" w:ascii="微软雅黑" w:hAnsi="微软雅黑" w:eastAsia="微软雅黑" w:cs="微软雅黑"/>
          <w:b/>
          <w:bCs/>
          <w:color w:val="auto"/>
          <w:szCs w:val="28"/>
          <w:highlight w:val="none"/>
        </w:rPr>
        <w:t>附件1：</w:t>
      </w:r>
      <w:bookmarkEnd w:id="235"/>
      <w:bookmarkEnd w:id="236"/>
      <w:bookmarkEnd w:id="237"/>
      <w:bookmarkEnd w:id="238"/>
      <w:bookmarkEnd w:id="239"/>
    </w:p>
    <w:p w14:paraId="4B22F74C">
      <w:pPr>
        <w:jc w:val="center"/>
        <w:outlineLvl w:val="0"/>
        <w:rPr>
          <w:rFonts w:hint="eastAsia" w:ascii="微软雅黑" w:hAnsi="微软雅黑" w:eastAsia="微软雅黑" w:cs="微软雅黑"/>
          <w:b/>
          <w:bCs/>
          <w:color w:val="auto"/>
          <w:sz w:val="44"/>
          <w:szCs w:val="44"/>
          <w:highlight w:val="none"/>
        </w:rPr>
      </w:pPr>
      <w:bookmarkStart w:id="240" w:name="_Toc5005"/>
      <w:bookmarkStart w:id="241" w:name="_Toc29237"/>
      <w:bookmarkStart w:id="242" w:name="_Toc26690"/>
      <w:bookmarkStart w:id="243" w:name="_Toc6033"/>
      <w:bookmarkStart w:id="244" w:name="_Toc15429"/>
      <w:bookmarkStart w:id="245" w:name="_Toc1711"/>
      <w:r>
        <w:rPr>
          <w:rFonts w:hint="eastAsia" w:ascii="微软雅黑" w:hAnsi="微软雅黑" w:eastAsia="微软雅黑" w:cs="微软雅黑"/>
          <w:b/>
          <w:bCs/>
          <w:color w:val="auto"/>
          <w:sz w:val="44"/>
          <w:szCs w:val="44"/>
          <w:highlight w:val="none"/>
          <w:lang w:val="en-US" w:eastAsia="zh-CN"/>
        </w:rPr>
        <w:t>报名</w:t>
      </w:r>
      <w:r>
        <w:rPr>
          <w:rFonts w:hint="eastAsia" w:ascii="微软雅黑" w:hAnsi="微软雅黑" w:eastAsia="微软雅黑" w:cs="微软雅黑"/>
          <w:b/>
          <w:bCs/>
          <w:color w:val="auto"/>
          <w:sz w:val="44"/>
          <w:szCs w:val="44"/>
          <w:highlight w:val="none"/>
        </w:rPr>
        <w:t>登记表</w:t>
      </w:r>
      <w:bookmarkEnd w:id="240"/>
      <w:bookmarkEnd w:id="241"/>
      <w:bookmarkEnd w:id="242"/>
      <w:bookmarkEnd w:id="243"/>
      <w:bookmarkEnd w:id="244"/>
      <w:bookmarkEnd w:id="245"/>
    </w:p>
    <w:p w14:paraId="4906EA71">
      <w:pPr>
        <w:jc w:val="left"/>
        <w:rPr>
          <w:rFonts w:hint="eastAsia" w:ascii="微软雅黑" w:hAnsi="微软雅黑" w:eastAsia="微软雅黑" w:cs="微软雅黑"/>
          <w:b/>
          <w:bCs/>
          <w:color w:val="auto"/>
          <w:spacing w:val="40"/>
          <w:highlight w:val="none"/>
        </w:rPr>
      </w:pPr>
    </w:p>
    <w:tbl>
      <w:tblPr>
        <w:tblStyle w:val="4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631"/>
        <w:gridCol w:w="1286"/>
        <w:gridCol w:w="3990"/>
      </w:tblGrid>
      <w:tr w14:paraId="1D421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70" w:type="dxa"/>
            <w:noWrap w:val="0"/>
            <w:vAlign w:val="center"/>
          </w:tcPr>
          <w:p w14:paraId="11BE99DE">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项目编号</w:t>
            </w:r>
          </w:p>
        </w:tc>
        <w:tc>
          <w:tcPr>
            <w:tcW w:w="6907" w:type="dxa"/>
            <w:gridSpan w:val="3"/>
            <w:noWrap w:val="0"/>
            <w:vAlign w:val="center"/>
          </w:tcPr>
          <w:p w14:paraId="06B75590">
            <w:pPr>
              <w:jc w:val="left"/>
              <w:rPr>
                <w:rFonts w:hint="eastAsia" w:ascii="微软雅黑" w:hAnsi="微软雅黑" w:eastAsia="微软雅黑" w:cs="微软雅黑"/>
                <w:color w:val="auto"/>
                <w:sz w:val="22"/>
                <w:szCs w:val="22"/>
                <w:highlight w:val="none"/>
              </w:rPr>
            </w:pPr>
          </w:p>
        </w:tc>
      </w:tr>
      <w:tr w14:paraId="204FE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70" w:type="dxa"/>
            <w:noWrap w:val="0"/>
            <w:vAlign w:val="center"/>
          </w:tcPr>
          <w:p w14:paraId="369610DB">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项目名称</w:t>
            </w:r>
          </w:p>
        </w:tc>
        <w:tc>
          <w:tcPr>
            <w:tcW w:w="6907" w:type="dxa"/>
            <w:gridSpan w:val="3"/>
            <w:noWrap w:val="0"/>
            <w:vAlign w:val="center"/>
          </w:tcPr>
          <w:p w14:paraId="263194F4">
            <w:pPr>
              <w:ind w:firstLine="220" w:firstLineChars="100"/>
              <w:jc w:val="left"/>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lang w:val="en-US" w:eastAsia="zh-CN"/>
              </w:rPr>
              <w:t xml:space="preserve"> </w:t>
            </w:r>
          </w:p>
        </w:tc>
      </w:tr>
      <w:tr w14:paraId="18895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1570" w:type="dxa"/>
            <w:noWrap w:val="0"/>
            <w:vAlign w:val="center"/>
          </w:tcPr>
          <w:p w14:paraId="7F0203C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投标人名称</w:t>
            </w:r>
          </w:p>
        </w:tc>
        <w:tc>
          <w:tcPr>
            <w:tcW w:w="6907" w:type="dxa"/>
            <w:gridSpan w:val="3"/>
            <w:noWrap w:val="0"/>
            <w:vAlign w:val="bottom"/>
          </w:tcPr>
          <w:p w14:paraId="205EB28F">
            <w:pPr>
              <w:ind w:right="600" w:firstLine="2750" w:firstLineChars="1250"/>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（投标人公章）</w:t>
            </w:r>
          </w:p>
        </w:tc>
      </w:tr>
      <w:tr w14:paraId="32E71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19D1250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联系人</w:t>
            </w:r>
          </w:p>
        </w:tc>
        <w:tc>
          <w:tcPr>
            <w:tcW w:w="1631" w:type="dxa"/>
            <w:noWrap w:val="0"/>
            <w:vAlign w:val="center"/>
          </w:tcPr>
          <w:p w14:paraId="78A0C4B9">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7E3BC14A">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手机</w:t>
            </w:r>
          </w:p>
        </w:tc>
        <w:tc>
          <w:tcPr>
            <w:tcW w:w="3990" w:type="dxa"/>
            <w:noWrap w:val="0"/>
            <w:vAlign w:val="center"/>
          </w:tcPr>
          <w:p w14:paraId="66384E69">
            <w:pPr>
              <w:jc w:val="left"/>
              <w:rPr>
                <w:rFonts w:hint="eastAsia" w:ascii="微软雅黑" w:hAnsi="微软雅黑" w:eastAsia="微软雅黑" w:cs="微软雅黑"/>
                <w:color w:val="auto"/>
                <w:sz w:val="22"/>
                <w:szCs w:val="22"/>
                <w:highlight w:val="none"/>
              </w:rPr>
            </w:pPr>
          </w:p>
        </w:tc>
      </w:tr>
      <w:tr w14:paraId="3843E9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25620997">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办公电话</w:t>
            </w:r>
          </w:p>
        </w:tc>
        <w:tc>
          <w:tcPr>
            <w:tcW w:w="1631" w:type="dxa"/>
            <w:noWrap w:val="0"/>
            <w:vAlign w:val="center"/>
          </w:tcPr>
          <w:p w14:paraId="053CB460">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1461D609">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传真</w:t>
            </w:r>
          </w:p>
        </w:tc>
        <w:tc>
          <w:tcPr>
            <w:tcW w:w="3990" w:type="dxa"/>
            <w:noWrap w:val="0"/>
            <w:vAlign w:val="center"/>
          </w:tcPr>
          <w:p w14:paraId="6BD2103F">
            <w:pPr>
              <w:jc w:val="left"/>
              <w:rPr>
                <w:rFonts w:hint="eastAsia" w:ascii="微软雅黑" w:hAnsi="微软雅黑" w:eastAsia="微软雅黑" w:cs="微软雅黑"/>
                <w:color w:val="auto"/>
                <w:sz w:val="22"/>
                <w:szCs w:val="22"/>
                <w:highlight w:val="none"/>
              </w:rPr>
            </w:pPr>
          </w:p>
        </w:tc>
      </w:tr>
      <w:tr w14:paraId="121CEA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570" w:type="dxa"/>
            <w:noWrap w:val="0"/>
            <w:vAlign w:val="center"/>
          </w:tcPr>
          <w:p w14:paraId="3DDEAA3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E-mail</w:t>
            </w:r>
          </w:p>
        </w:tc>
        <w:tc>
          <w:tcPr>
            <w:tcW w:w="6907" w:type="dxa"/>
            <w:gridSpan w:val="3"/>
            <w:noWrap w:val="0"/>
            <w:vAlign w:val="center"/>
          </w:tcPr>
          <w:p w14:paraId="69391DAA">
            <w:pPr>
              <w:jc w:val="left"/>
              <w:rPr>
                <w:rFonts w:hint="eastAsia" w:ascii="微软雅黑" w:hAnsi="微软雅黑" w:eastAsia="微软雅黑" w:cs="微软雅黑"/>
                <w:color w:val="auto"/>
                <w:sz w:val="22"/>
                <w:szCs w:val="22"/>
                <w:highlight w:val="none"/>
              </w:rPr>
            </w:pPr>
          </w:p>
        </w:tc>
      </w:tr>
      <w:tr w14:paraId="1E184F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70" w:type="dxa"/>
            <w:noWrap w:val="0"/>
            <w:vAlign w:val="center"/>
          </w:tcPr>
          <w:p w14:paraId="4A2D154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单位地址</w:t>
            </w:r>
          </w:p>
        </w:tc>
        <w:tc>
          <w:tcPr>
            <w:tcW w:w="6907" w:type="dxa"/>
            <w:gridSpan w:val="3"/>
            <w:noWrap w:val="0"/>
            <w:vAlign w:val="center"/>
          </w:tcPr>
          <w:p w14:paraId="434A8F62">
            <w:pPr>
              <w:jc w:val="left"/>
              <w:rPr>
                <w:rFonts w:hint="eastAsia" w:ascii="微软雅黑" w:hAnsi="微软雅黑" w:eastAsia="微软雅黑" w:cs="微软雅黑"/>
                <w:color w:val="auto"/>
                <w:sz w:val="22"/>
                <w:szCs w:val="22"/>
                <w:highlight w:val="none"/>
              </w:rPr>
            </w:pPr>
          </w:p>
        </w:tc>
      </w:tr>
      <w:tr w14:paraId="394888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70" w:type="dxa"/>
            <w:noWrap w:val="0"/>
            <w:vAlign w:val="center"/>
          </w:tcPr>
          <w:p w14:paraId="2DC9877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购买时间</w:t>
            </w:r>
          </w:p>
        </w:tc>
        <w:tc>
          <w:tcPr>
            <w:tcW w:w="6907" w:type="dxa"/>
            <w:gridSpan w:val="3"/>
            <w:noWrap w:val="0"/>
            <w:vAlign w:val="center"/>
          </w:tcPr>
          <w:p w14:paraId="7D1F8849">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年  月  日</w:t>
            </w:r>
          </w:p>
        </w:tc>
      </w:tr>
      <w:tr w14:paraId="06611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70" w:type="dxa"/>
            <w:noWrap w:val="0"/>
            <w:vAlign w:val="center"/>
          </w:tcPr>
          <w:p w14:paraId="3600CBD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lang w:val="en-US" w:eastAsia="zh-CN"/>
              </w:rPr>
              <w:t>获取</w:t>
            </w:r>
            <w:r>
              <w:rPr>
                <w:rFonts w:hint="eastAsia" w:ascii="微软雅黑" w:hAnsi="微软雅黑" w:eastAsia="微软雅黑" w:cs="微软雅黑"/>
                <w:color w:val="auto"/>
                <w:sz w:val="22"/>
                <w:szCs w:val="22"/>
                <w:highlight w:val="none"/>
              </w:rPr>
              <w:t>文件</w:t>
            </w:r>
          </w:p>
        </w:tc>
        <w:tc>
          <w:tcPr>
            <w:tcW w:w="6907" w:type="dxa"/>
            <w:gridSpan w:val="3"/>
            <w:noWrap w:val="0"/>
            <w:vAlign w:val="center"/>
          </w:tcPr>
          <w:p w14:paraId="745BBA8A">
            <w:pPr>
              <w:jc w:val="center"/>
              <w:rPr>
                <w:rFonts w:hint="eastAsia" w:ascii="微软雅黑" w:hAnsi="微软雅黑" w:eastAsia="微软雅黑" w:cs="微软雅黑"/>
                <w:color w:val="auto"/>
                <w:sz w:val="22"/>
                <w:szCs w:val="22"/>
                <w:highlight w:val="none"/>
                <w:lang w:val="en-US" w:eastAsia="zh-CN"/>
              </w:rPr>
            </w:pPr>
          </w:p>
        </w:tc>
      </w:tr>
      <w:tr w14:paraId="4D0F8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570" w:type="dxa"/>
            <w:noWrap w:val="0"/>
            <w:vAlign w:val="center"/>
          </w:tcPr>
          <w:p w14:paraId="77BEFC5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备注</w:t>
            </w:r>
          </w:p>
        </w:tc>
        <w:tc>
          <w:tcPr>
            <w:tcW w:w="6907" w:type="dxa"/>
            <w:gridSpan w:val="3"/>
            <w:noWrap w:val="0"/>
            <w:vAlign w:val="center"/>
          </w:tcPr>
          <w:p w14:paraId="6017DE4D">
            <w:pPr>
              <w:rPr>
                <w:rFonts w:hint="eastAsia" w:ascii="微软雅黑" w:hAnsi="微软雅黑" w:eastAsia="微软雅黑" w:cs="微软雅黑"/>
                <w:color w:val="auto"/>
                <w:sz w:val="22"/>
                <w:szCs w:val="22"/>
                <w:highlight w:val="none"/>
              </w:rPr>
            </w:pPr>
          </w:p>
        </w:tc>
      </w:tr>
    </w:tbl>
    <w:p w14:paraId="22F99902">
      <w:pPr>
        <w:widowControl/>
        <w:spacing w:line="440" w:lineRule="exact"/>
        <w:jc w:val="both"/>
        <w:rPr>
          <w:rFonts w:hint="eastAsia" w:ascii="微软雅黑" w:hAnsi="微软雅黑" w:eastAsia="微软雅黑" w:cs="微软雅黑"/>
          <w:bCs/>
          <w:sz w:val="24"/>
          <w:szCs w:val="28"/>
          <w:highlight w:val="none"/>
        </w:rPr>
      </w:pPr>
    </w:p>
    <w:sectPr>
      <w:headerReference r:id="rId9" w:type="default"/>
      <w:footerReference r:id="rId10" w:type="default"/>
      <w:footerReference r:id="rId11" w:type="even"/>
      <w:pgSz w:w="11906" w:h="16838"/>
      <w:pgMar w:top="1418" w:right="1134" w:bottom="1418" w:left="1418" w:header="794"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00AA">
    <w:pPr>
      <w:pStyle w:val="3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5B3F">
    <w:pPr>
      <w:pStyle w:val="30"/>
      <w:framePr w:wrap="around" w:vAnchor="text" w:hAnchor="margin" w:xAlign="center" w:y="1"/>
      <w:rPr>
        <w:rStyle w:val="52"/>
      </w:rPr>
    </w:pPr>
    <w:r>
      <w:rPr>
        <w:rStyle w:val="52"/>
      </w:rPr>
      <w:fldChar w:fldCharType="begin"/>
    </w:r>
    <w:r>
      <w:rPr>
        <w:rStyle w:val="52"/>
      </w:rPr>
      <w:instrText xml:space="preserve">PAGE  </w:instrText>
    </w:r>
    <w:r>
      <w:rPr>
        <w:rStyle w:val="52"/>
      </w:rPr>
      <w:fldChar w:fldCharType="separate"/>
    </w:r>
    <w:r>
      <w:rPr>
        <w:rStyle w:val="52"/>
      </w:rPr>
      <w:t>2</w:t>
    </w:r>
    <w:r>
      <w:rPr>
        <w:rStyle w:val="52"/>
      </w:rPr>
      <w:fldChar w:fldCharType="end"/>
    </w:r>
  </w:p>
  <w:p w14:paraId="088A9138">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1E4A">
    <w:pPr>
      <w:pStyle w:val="30"/>
      <w:ind w:right="210" w:rightChars="100"/>
      <w:jc w:val="right"/>
      <w:rPr>
        <w:rFonts w:ascii="宋体" w:hAnsi="宋体"/>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A70E27">
                          <w:pPr>
                            <w:pStyle w:val="30"/>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6A70E27">
                    <w:pPr>
                      <w:pStyle w:val="30"/>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9288">
    <w:pPr>
      <w:pStyle w:val="30"/>
      <w:ind w:right="420" w:rightChars="200"/>
      <w:jc w:val="right"/>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2C36">
    <w:pPr>
      <w:pStyle w:val="30"/>
      <w:ind w:left="420" w:leftChars="200"/>
      <w:rPr>
        <w:rFonts w:ascii="宋体" w:hAnsi="宋体"/>
        <w:sz w:val="21"/>
        <w:szCs w:val="21"/>
      </w:rPr>
    </w:pP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50</w:t>
    </w:r>
    <w:r>
      <w:rPr>
        <w:rFonts w:ascii="宋体" w:hAnsi="宋体"/>
        <w:sz w:val="21"/>
        <w:szCs w:val="21"/>
      </w:rPr>
      <w:fldChar w:fldCharType="end"/>
    </w:r>
    <w:r>
      <w:rPr>
        <w:rFonts w:ascii="宋体" w:hAnsi="宋体"/>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0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05A8">
    <w:pPr>
      <w:pStyle w:val="31"/>
      <w:jc w:val="left"/>
      <w:rPr>
        <w:rFonts w:ascii="宋体" w:hAnsi="宋体" w:cs="MingLiU"/>
        <w:bCs/>
        <w:snapToGrid w:val="0"/>
        <w:kern w:val="0"/>
        <w:position w:val="-2"/>
      </w:rPr>
    </w:pPr>
    <w:r>
      <w:rPr>
        <w:rFonts w:hint="eastAsia" w:ascii="宋体" w:hAnsi="宋体" w:cs="MingLiU"/>
        <w:bCs/>
        <w:snapToGrid w:val="0"/>
        <w:kern w:val="0"/>
        <w:position w:val="-2"/>
        <w:lang w:eastAsia="zh-CN"/>
      </w:rPr>
      <w:t>重庆市涪陵城区第十小学校心理咨询室、音乐教室、智慧教室设备采购项目</w:t>
    </w:r>
    <w:r>
      <w:rPr>
        <w:rFonts w:hint="eastAsia" w:ascii="宋体" w:hAnsi="宋体" w:cs="MingLiU"/>
        <w:bCs/>
        <w:snapToGrid w:val="0"/>
        <w:kern w:val="0"/>
        <w:position w:val="-2"/>
        <w:lang w:val="en-US" w:eastAsia="zh-CN"/>
      </w:rPr>
      <w:t xml:space="preserve">                         </w:t>
    </w:r>
    <w:r>
      <w:rPr>
        <w:rFonts w:ascii="宋体" w:hAnsi="宋体" w:cs="MingLiU"/>
        <w:bCs/>
        <w:snapToGrid w:val="0"/>
        <w:kern w:val="0"/>
        <w:position w:val="-2"/>
      </w:rPr>
      <w:t xml:space="preserve">  </w:t>
    </w:r>
    <w:r>
      <w:rPr>
        <w:rFonts w:hint="eastAsia" w:ascii="宋体" w:hAnsi="宋体" w:cs="MingLiU"/>
        <w:bCs/>
        <w:snapToGrid w:val="0"/>
        <w:kern w:val="0"/>
        <w:position w:val="-2"/>
        <w:lang w:eastAsia="zh-CN"/>
      </w:rPr>
      <w:t>网上询</w:t>
    </w:r>
    <w:r>
      <w:rPr>
        <w:rFonts w:hint="eastAsia" w:ascii="宋体" w:hAnsi="宋体" w:cs="MingLiU"/>
        <w:bCs/>
        <w:snapToGrid w:val="0"/>
        <w:kern w:val="0"/>
        <w:position w:val="-2"/>
        <w:lang w:val="en-US" w:eastAsia="zh-CN"/>
      </w:rPr>
      <w:t>比</w:t>
    </w:r>
    <w:r>
      <w:rPr>
        <w:rFonts w:hint="eastAsia" w:ascii="宋体" w:hAnsi="宋体" w:cs="MingLiU"/>
        <w:bCs/>
        <w:snapToGrid w:val="0"/>
        <w:kern w:val="0"/>
        <w:position w:val="-2"/>
      </w:rP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821">
    <w:pPr>
      <w:pStyle w:val="31"/>
      <w:ind w:firstLine="1470" w:firstLineChars="70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4C48">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7CC63"/>
    <w:multiLevelType w:val="singleLevel"/>
    <w:tmpl w:val="9817CC63"/>
    <w:lvl w:ilvl="0" w:tentative="0">
      <w:start w:val="3"/>
      <w:numFmt w:val="decimal"/>
      <w:suff w:val="nothing"/>
      <w:lvlText w:val="%1、"/>
      <w:lvlJc w:val="left"/>
    </w:lvl>
  </w:abstractNum>
  <w:abstractNum w:abstractNumId="1">
    <w:nsid w:val="C753DBA7"/>
    <w:multiLevelType w:val="singleLevel"/>
    <w:tmpl w:val="C753DBA7"/>
    <w:lvl w:ilvl="0" w:tentative="0">
      <w:start w:val="1"/>
      <w:numFmt w:val="decimal"/>
      <w:suff w:val="nothing"/>
      <w:lvlText w:val="（%1）"/>
      <w:lvlJc w:val="left"/>
    </w:lvl>
  </w:abstractNum>
  <w:abstractNum w:abstractNumId="2">
    <w:nsid w:val="0DF7F821"/>
    <w:multiLevelType w:val="singleLevel"/>
    <w:tmpl w:val="0DF7F821"/>
    <w:lvl w:ilvl="0" w:tentative="0">
      <w:start w:val="1"/>
      <w:numFmt w:val="decimal"/>
      <w:suff w:val="nothing"/>
      <w:lvlText w:val="%1、"/>
      <w:lvlJc w:val="left"/>
    </w:lvl>
  </w:abstractNum>
  <w:abstractNum w:abstractNumId="3">
    <w:nsid w:val="2349E215"/>
    <w:multiLevelType w:val="singleLevel"/>
    <w:tmpl w:val="2349E215"/>
    <w:lvl w:ilvl="0" w:tentative="0">
      <w:start w:val="1"/>
      <w:numFmt w:val="chineseCounting"/>
      <w:suff w:val="nothing"/>
      <w:lvlText w:val="%1、"/>
      <w:lvlJc w:val="left"/>
      <w:rPr>
        <w:rFonts w:hint="eastAsia"/>
      </w:rPr>
    </w:lvl>
  </w:abstractNum>
  <w:abstractNum w:abstractNumId="4">
    <w:nsid w:val="68F54984"/>
    <w:multiLevelType w:val="multilevel"/>
    <w:tmpl w:val="68F54984"/>
    <w:lvl w:ilvl="0" w:tentative="0">
      <w:start w:val="1"/>
      <w:numFmt w:val="japaneseCounting"/>
      <w:pStyle w:val="2"/>
      <w:lvlText w:val="第%1章"/>
      <w:lvlJc w:val="left"/>
      <w:pPr>
        <w:ind w:left="3105" w:hanging="1320"/>
      </w:pPr>
      <w:rPr>
        <w:rFonts w:hint="default" w:ascii="黑体" w:cs="MingLiU"/>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ZjJjODkxNTg3OTY3YTY4MjhjMGQxMzliZGI0N2UifQ=="/>
  </w:docVars>
  <w:rsids>
    <w:rsidRoot w:val="00172A27"/>
    <w:rsid w:val="0000004F"/>
    <w:rsid w:val="00000317"/>
    <w:rsid w:val="00000D3F"/>
    <w:rsid w:val="000014DC"/>
    <w:rsid w:val="00001CEF"/>
    <w:rsid w:val="00001F28"/>
    <w:rsid w:val="0000228B"/>
    <w:rsid w:val="00002EAD"/>
    <w:rsid w:val="00003CD6"/>
    <w:rsid w:val="00003FAD"/>
    <w:rsid w:val="0000427D"/>
    <w:rsid w:val="00004D40"/>
    <w:rsid w:val="0000530C"/>
    <w:rsid w:val="000054E1"/>
    <w:rsid w:val="00005BDE"/>
    <w:rsid w:val="000060C3"/>
    <w:rsid w:val="00007BF0"/>
    <w:rsid w:val="00010907"/>
    <w:rsid w:val="00010AC4"/>
    <w:rsid w:val="00010B86"/>
    <w:rsid w:val="00010D54"/>
    <w:rsid w:val="00010FBF"/>
    <w:rsid w:val="000113FD"/>
    <w:rsid w:val="00012A3A"/>
    <w:rsid w:val="000138EB"/>
    <w:rsid w:val="000149D4"/>
    <w:rsid w:val="00014AFC"/>
    <w:rsid w:val="00014BED"/>
    <w:rsid w:val="00014E7B"/>
    <w:rsid w:val="00017A71"/>
    <w:rsid w:val="00017AFF"/>
    <w:rsid w:val="000208B8"/>
    <w:rsid w:val="00020968"/>
    <w:rsid w:val="00020D65"/>
    <w:rsid w:val="00022D9A"/>
    <w:rsid w:val="00022DA0"/>
    <w:rsid w:val="00022E96"/>
    <w:rsid w:val="000233A2"/>
    <w:rsid w:val="00023C27"/>
    <w:rsid w:val="00024CF6"/>
    <w:rsid w:val="00026221"/>
    <w:rsid w:val="0002672A"/>
    <w:rsid w:val="00027086"/>
    <w:rsid w:val="000302D6"/>
    <w:rsid w:val="00030F6C"/>
    <w:rsid w:val="0003218A"/>
    <w:rsid w:val="00033C1D"/>
    <w:rsid w:val="000340B1"/>
    <w:rsid w:val="00034312"/>
    <w:rsid w:val="000347A9"/>
    <w:rsid w:val="00034D33"/>
    <w:rsid w:val="00036511"/>
    <w:rsid w:val="00036ABE"/>
    <w:rsid w:val="000372B5"/>
    <w:rsid w:val="0003759A"/>
    <w:rsid w:val="00040690"/>
    <w:rsid w:val="000406E1"/>
    <w:rsid w:val="00041D05"/>
    <w:rsid w:val="00041E24"/>
    <w:rsid w:val="000436E1"/>
    <w:rsid w:val="000444DD"/>
    <w:rsid w:val="0004520A"/>
    <w:rsid w:val="0004647B"/>
    <w:rsid w:val="000469FE"/>
    <w:rsid w:val="00050979"/>
    <w:rsid w:val="00053942"/>
    <w:rsid w:val="00053E78"/>
    <w:rsid w:val="000541BE"/>
    <w:rsid w:val="000549C3"/>
    <w:rsid w:val="00054F0A"/>
    <w:rsid w:val="000559B7"/>
    <w:rsid w:val="00055E03"/>
    <w:rsid w:val="00057BF5"/>
    <w:rsid w:val="00060FF4"/>
    <w:rsid w:val="00061127"/>
    <w:rsid w:val="0006362D"/>
    <w:rsid w:val="0006494B"/>
    <w:rsid w:val="000653B8"/>
    <w:rsid w:val="000704F0"/>
    <w:rsid w:val="00071044"/>
    <w:rsid w:val="00074416"/>
    <w:rsid w:val="00074B0C"/>
    <w:rsid w:val="00076526"/>
    <w:rsid w:val="00077DC4"/>
    <w:rsid w:val="000800AD"/>
    <w:rsid w:val="00080242"/>
    <w:rsid w:val="0008031F"/>
    <w:rsid w:val="00080A85"/>
    <w:rsid w:val="0008109E"/>
    <w:rsid w:val="00081308"/>
    <w:rsid w:val="00081B8F"/>
    <w:rsid w:val="00081B9F"/>
    <w:rsid w:val="00082184"/>
    <w:rsid w:val="00082582"/>
    <w:rsid w:val="00082D0E"/>
    <w:rsid w:val="00084856"/>
    <w:rsid w:val="00085DD9"/>
    <w:rsid w:val="000867BE"/>
    <w:rsid w:val="000868EF"/>
    <w:rsid w:val="0008696C"/>
    <w:rsid w:val="00086B54"/>
    <w:rsid w:val="00091519"/>
    <w:rsid w:val="00092A1E"/>
    <w:rsid w:val="00092DB5"/>
    <w:rsid w:val="00093019"/>
    <w:rsid w:val="00094156"/>
    <w:rsid w:val="000941E3"/>
    <w:rsid w:val="0009445B"/>
    <w:rsid w:val="00094BB5"/>
    <w:rsid w:val="000955CD"/>
    <w:rsid w:val="00095A05"/>
    <w:rsid w:val="000960DF"/>
    <w:rsid w:val="0009628A"/>
    <w:rsid w:val="00097003"/>
    <w:rsid w:val="00097BB9"/>
    <w:rsid w:val="000A060A"/>
    <w:rsid w:val="000A142C"/>
    <w:rsid w:val="000A1530"/>
    <w:rsid w:val="000A1B3A"/>
    <w:rsid w:val="000A2CDC"/>
    <w:rsid w:val="000A340F"/>
    <w:rsid w:val="000A4DAE"/>
    <w:rsid w:val="000A5254"/>
    <w:rsid w:val="000A53FA"/>
    <w:rsid w:val="000A77C5"/>
    <w:rsid w:val="000A7BB5"/>
    <w:rsid w:val="000B043E"/>
    <w:rsid w:val="000B0863"/>
    <w:rsid w:val="000B11F7"/>
    <w:rsid w:val="000B2E39"/>
    <w:rsid w:val="000B367B"/>
    <w:rsid w:val="000B3962"/>
    <w:rsid w:val="000B3FCB"/>
    <w:rsid w:val="000B6D1D"/>
    <w:rsid w:val="000B6F7C"/>
    <w:rsid w:val="000C132C"/>
    <w:rsid w:val="000C1616"/>
    <w:rsid w:val="000C22F9"/>
    <w:rsid w:val="000C2443"/>
    <w:rsid w:val="000C3704"/>
    <w:rsid w:val="000C3917"/>
    <w:rsid w:val="000C5150"/>
    <w:rsid w:val="000C59FC"/>
    <w:rsid w:val="000C69FA"/>
    <w:rsid w:val="000C7ACE"/>
    <w:rsid w:val="000C7EFB"/>
    <w:rsid w:val="000D2895"/>
    <w:rsid w:val="000D2A63"/>
    <w:rsid w:val="000D2F2E"/>
    <w:rsid w:val="000D3B94"/>
    <w:rsid w:val="000D4613"/>
    <w:rsid w:val="000D61A3"/>
    <w:rsid w:val="000D6F00"/>
    <w:rsid w:val="000E1AFC"/>
    <w:rsid w:val="000E2117"/>
    <w:rsid w:val="000E327C"/>
    <w:rsid w:val="000E42D5"/>
    <w:rsid w:val="000E4784"/>
    <w:rsid w:val="000E58B6"/>
    <w:rsid w:val="000E5974"/>
    <w:rsid w:val="000E6135"/>
    <w:rsid w:val="000E663F"/>
    <w:rsid w:val="000E6FC0"/>
    <w:rsid w:val="000E76DC"/>
    <w:rsid w:val="000E7B25"/>
    <w:rsid w:val="000E7FEE"/>
    <w:rsid w:val="000F013E"/>
    <w:rsid w:val="000F078C"/>
    <w:rsid w:val="000F0822"/>
    <w:rsid w:val="000F0C43"/>
    <w:rsid w:val="000F0E69"/>
    <w:rsid w:val="000F274D"/>
    <w:rsid w:val="000F34A3"/>
    <w:rsid w:val="000F46DC"/>
    <w:rsid w:val="000F62C2"/>
    <w:rsid w:val="000F75FE"/>
    <w:rsid w:val="000F7765"/>
    <w:rsid w:val="001001CC"/>
    <w:rsid w:val="00101402"/>
    <w:rsid w:val="0010144B"/>
    <w:rsid w:val="001016BF"/>
    <w:rsid w:val="00101E27"/>
    <w:rsid w:val="00102054"/>
    <w:rsid w:val="00102500"/>
    <w:rsid w:val="00102695"/>
    <w:rsid w:val="001028BB"/>
    <w:rsid w:val="00103087"/>
    <w:rsid w:val="001033A1"/>
    <w:rsid w:val="00103FE2"/>
    <w:rsid w:val="00104615"/>
    <w:rsid w:val="00105C35"/>
    <w:rsid w:val="00105D4A"/>
    <w:rsid w:val="0010626A"/>
    <w:rsid w:val="001064FF"/>
    <w:rsid w:val="0010678E"/>
    <w:rsid w:val="00106FBA"/>
    <w:rsid w:val="001079E9"/>
    <w:rsid w:val="001110F1"/>
    <w:rsid w:val="0011185C"/>
    <w:rsid w:val="001118C4"/>
    <w:rsid w:val="00111BAD"/>
    <w:rsid w:val="0011300C"/>
    <w:rsid w:val="001135AA"/>
    <w:rsid w:val="00113F7E"/>
    <w:rsid w:val="00114298"/>
    <w:rsid w:val="00114367"/>
    <w:rsid w:val="00116BFB"/>
    <w:rsid w:val="00116EA0"/>
    <w:rsid w:val="00117B0B"/>
    <w:rsid w:val="00121363"/>
    <w:rsid w:val="00121655"/>
    <w:rsid w:val="00122582"/>
    <w:rsid w:val="0012298B"/>
    <w:rsid w:val="001229E2"/>
    <w:rsid w:val="00122E9A"/>
    <w:rsid w:val="0012301E"/>
    <w:rsid w:val="001232A2"/>
    <w:rsid w:val="00123840"/>
    <w:rsid w:val="001239F6"/>
    <w:rsid w:val="00123AAA"/>
    <w:rsid w:val="00123D13"/>
    <w:rsid w:val="00123FD9"/>
    <w:rsid w:val="001252C6"/>
    <w:rsid w:val="00126891"/>
    <w:rsid w:val="00126903"/>
    <w:rsid w:val="00127B14"/>
    <w:rsid w:val="00131045"/>
    <w:rsid w:val="001316D9"/>
    <w:rsid w:val="00131F63"/>
    <w:rsid w:val="001335AC"/>
    <w:rsid w:val="001342E8"/>
    <w:rsid w:val="00134592"/>
    <w:rsid w:val="001369AF"/>
    <w:rsid w:val="00137CD6"/>
    <w:rsid w:val="001416C2"/>
    <w:rsid w:val="00141801"/>
    <w:rsid w:val="00141CA9"/>
    <w:rsid w:val="0014252B"/>
    <w:rsid w:val="001426F2"/>
    <w:rsid w:val="00142ADA"/>
    <w:rsid w:val="00144940"/>
    <w:rsid w:val="001463F1"/>
    <w:rsid w:val="001468EC"/>
    <w:rsid w:val="00147583"/>
    <w:rsid w:val="0015093A"/>
    <w:rsid w:val="001516EB"/>
    <w:rsid w:val="001522AC"/>
    <w:rsid w:val="00152A9E"/>
    <w:rsid w:val="00153819"/>
    <w:rsid w:val="001548D0"/>
    <w:rsid w:val="0015588E"/>
    <w:rsid w:val="001562D8"/>
    <w:rsid w:val="0015653B"/>
    <w:rsid w:val="0015733B"/>
    <w:rsid w:val="00157509"/>
    <w:rsid w:val="0015786A"/>
    <w:rsid w:val="0016057A"/>
    <w:rsid w:val="00160832"/>
    <w:rsid w:val="00160E62"/>
    <w:rsid w:val="00162002"/>
    <w:rsid w:val="0016200E"/>
    <w:rsid w:val="0016202D"/>
    <w:rsid w:val="0016233C"/>
    <w:rsid w:val="001623B5"/>
    <w:rsid w:val="00164668"/>
    <w:rsid w:val="00164E4E"/>
    <w:rsid w:val="00164FB3"/>
    <w:rsid w:val="0016549D"/>
    <w:rsid w:val="00165F95"/>
    <w:rsid w:val="001672F5"/>
    <w:rsid w:val="00167463"/>
    <w:rsid w:val="00167474"/>
    <w:rsid w:val="00167BAA"/>
    <w:rsid w:val="00167D09"/>
    <w:rsid w:val="001705D9"/>
    <w:rsid w:val="00170740"/>
    <w:rsid w:val="00171CA7"/>
    <w:rsid w:val="00172A27"/>
    <w:rsid w:val="001731A1"/>
    <w:rsid w:val="0017389F"/>
    <w:rsid w:val="00173CC7"/>
    <w:rsid w:val="00174254"/>
    <w:rsid w:val="001743AA"/>
    <w:rsid w:val="001749A7"/>
    <w:rsid w:val="00174A8D"/>
    <w:rsid w:val="00174F5D"/>
    <w:rsid w:val="001768F3"/>
    <w:rsid w:val="00177179"/>
    <w:rsid w:val="00180122"/>
    <w:rsid w:val="00180A12"/>
    <w:rsid w:val="00181697"/>
    <w:rsid w:val="001827E5"/>
    <w:rsid w:val="00183B4A"/>
    <w:rsid w:val="00184911"/>
    <w:rsid w:val="0018551B"/>
    <w:rsid w:val="00185D16"/>
    <w:rsid w:val="00186195"/>
    <w:rsid w:val="001875B1"/>
    <w:rsid w:val="00187E17"/>
    <w:rsid w:val="00191CFD"/>
    <w:rsid w:val="00195D5C"/>
    <w:rsid w:val="00196805"/>
    <w:rsid w:val="00196A91"/>
    <w:rsid w:val="00197DEB"/>
    <w:rsid w:val="001A2B7E"/>
    <w:rsid w:val="001A4D5B"/>
    <w:rsid w:val="001A4D8E"/>
    <w:rsid w:val="001A4E2E"/>
    <w:rsid w:val="001A5624"/>
    <w:rsid w:val="001A5CBC"/>
    <w:rsid w:val="001A663F"/>
    <w:rsid w:val="001A6752"/>
    <w:rsid w:val="001A699F"/>
    <w:rsid w:val="001A76CC"/>
    <w:rsid w:val="001B139E"/>
    <w:rsid w:val="001B13E2"/>
    <w:rsid w:val="001B22EB"/>
    <w:rsid w:val="001B392F"/>
    <w:rsid w:val="001B4167"/>
    <w:rsid w:val="001B42D7"/>
    <w:rsid w:val="001B4465"/>
    <w:rsid w:val="001B4970"/>
    <w:rsid w:val="001B5399"/>
    <w:rsid w:val="001C00C7"/>
    <w:rsid w:val="001C01EB"/>
    <w:rsid w:val="001C0FF9"/>
    <w:rsid w:val="001C10A8"/>
    <w:rsid w:val="001C3508"/>
    <w:rsid w:val="001C39F0"/>
    <w:rsid w:val="001C4088"/>
    <w:rsid w:val="001C50CE"/>
    <w:rsid w:val="001C54AD"/>
    <w:rsid w:val="001C77AD"/>
    <w:rsid w:val="001C797F"/>
    <w:rsid w:val="001D233E"/>
    <w:rsid w:val="001D235B"/>
    <w:rsid w:val="001D2E47"/>
    <w:rsid w:val="001D370C"/>
    <w:rsid w:val="001D3B57"/>
    <w:rsid w:val="001D4110"/>
    <w:rsid w:val="001D4281"/>
    <w:rsid w:val="001D44B7"/>
    <w:rsid w:val="001D4728"/>
    <w:rsid w:val="001D4E0B"/>
    <w:rsid w:val="001D6E26"/>
    <w:rsid w:val="001D767B"/>
    <w:rsid w:val="001D788A"/>
    <w:rsid w:val="001D7EC8"/>
    <w:rsid w:val="001E1EE3"/>
    <w:rsid w:val="001E2ACD"/>
    <w:rsid w:val="001E2D7E"/>
    <w:rsid w:val="001E4385"/>
    <w:rsid w:val="001E46C1"/>
    <w:rsid w:val="001E4A8D"/>
    <w:rsid w:val="001E4AA8"/>
    <w:rsid w:val="001E52CD"/>
    <w:rsid w:val="001E756E"/>
    <w:rsid w:val="001E7AEE"/>
    <w:rsid w:val="001E7D76"/>
    <w:rsid w:val="001F0B25"/>
    <w:rsid w:val="001F1AC5"/>
    <w:rsid w:val="001F5197"/>
    <w:rsid w:val="001F52F3"/>
    <w:rsid w:val="002012D8"/>
    <w:rsid w:val="00201909"/>
    <w:rsid w:val="00201B20"/>
    <w:rsid w:val="00202158"/>
    <w:rsid w:val="00202180"/>
    <w:rsid w:val="002022C9"/>
    <w:rsid w:val="0020287A"/>
    <w:rsid w:val="00202EC6"/>
    <w:rsid w:val="00203611"/>
    <w:rsid w:val="00203F0B"/>
    <w:rsid w:val="00205449"/>
    <w:rsid w:val="00206A5B"/>
    <w:rsid w:val="00207760"/>
    <w:rsid w:val="002078EF"/>
    <w:rsid w:val="00210038"/>
    <w:rsid w:val="00210E6C"/>
    <w:rsid w:val="002116C6"/>
    <w:rsid w:val="00212536"/>
    <w:rsid w:val="00213C53"/>
    <w:rsid w:val="00215398"/>
    <w:rsid w:val="002153DA"/>
    <w:rsid w:val="00216CCD"/>
    <w:rsid w:val="002171A4"/>
    <w:rsid w:val="0022093E"/>
    <w:rsid w:val="00220958"/>
    <w:rsid w:val="00221DAB"/>
    <w:rsid w:val="00222F08"/>
    <w:rsid w:val="002235A1"/>
    <w:rsid w:val="00223F47"/>
    <w:rsid w:val="0022461A"/>
    <w:rsid w:val="00224D71"/>
    <w:rsid w:val="00224F29"/>
    <w:rsid w:val="00227AEB"/>
    <w:rsid w:val="00231128"/>
    <w:rsid w:val="00231802"/>
    <w:rsid w:val="0023249B"/>
    <w:rsid w:val="0023291B"/>
    <w:rsid w:val="002329A8"/>
    <w:rsid w:val="00232DFB"/>
    <w:rsid w:val="00232ECE"/>
    <w:rsid w:val="002335AE"/>
    <w:rsid w:val="0023413B"/>
    <w:rsid w:val="0023428A"/>
    <w:rsid w:val="0023517D"/>
    <w:rsid w:val="002353DA"/>
    <w:rsid w:val="0023581E"/>
    <w:rsid w:val="00235960"/>
    <w:rsid w:val="0023658D"/>
    <w:rsid w:val="00236737"/>
    <w:rsid w:val="00237E15"/>
    <w:rsid w:val="00237F54"/>
    <w:rsid w:val="00241E95"/>
    <w:rsid w:val="002428BB"/>
    <w:rsid w:val="00245E51"/>
    <w:rsid w:val="00246621"/>
    <w:rsid w:val="00247058"/>
    <w:rsid w:val="00247797"/>
    <w:rsid w:val="002500D2"/>
    <w:rsid w:val="0025057B"/>
    <w:rsid w:val="00250790"/>
    <w:rsid w:val="00251D18"/>
    <w:rsid w:val="00252148"/>
    <w:rsid w:val="00252151"/>
    <w:rsid w:val="00252808"/>
    <w:rsid w:val="002530A7"/>
    <w:rsid w:val="00254C2C"/>
    <w:rsid w:val="002558CC"/>
    <w:rsid w:val="002560B6"/>
    <w:rsid w:val="0025639D"/>
    <w:rsid w:val="00256CE8"/>
    <w:rsid w:val="0025713A"/>
    <w:rsid w:val="002608BB"/>
    <w:rsid w:val="00260AB7"/>
    <w:rsid w:val="00260D7A"/>
    <w:rsid w:val="0026170A"/>
    <w:rsid w:val="00261F38"/>
    <w:rsid w:val="002624FA"/>
    <w:rsid w:val="002629D0"/>
    <w:rsid w:val="00262BEE"/>
    <w:rsid w:val="00262D1A"/>
    <w:rsid w:val="00262F7E"/>
    <w:rsid w:val="0026315C"/>
    <w:rsid w:val="00263440"/>
    <w:rsid w:val="0026354D"/>
    <w:rsid w:val="00264287"/>
    <w:rsid w:val="00264A03"/>
    <w:rsid w:val="00264B1A"/>
    <w:rsid w:val="00264D6E"/>
    <w:rsid w:val="00266ECF"/>
    <w:rsid w:val="00266FCD"/>
    <w:rsid w:val="00267177"/>
    <w:rsid w:val="00270C15"/>
    <w:rsid w:val="00271B31"/>
    <w:rsid w:val="0027374B"/>
    <w:rsid w:val="00273907"/>
    <w:rsid w:val="00273AAC"/>
    <w:rsid w:val="002741E6"/>
    <w:rsid w:val="00274490"/>
    <w:rsid w:val="00274527"/>
    <w:rsid w:val="002763F8"/>
    <w:rsid w:val="00277058"/>
    <w:rsid w:val="00277265"/>
    <w:rsid w:val="00277D3A"/>
    <w:rsid w:val="00280B2C"/>
    <w:rsid w:val="0028116B"/>
    <w:rsid w:val="0028135A"/>
    <w:rsid w:val="002815A3"/>
    <w:rsid w:val="0028181B"/>
    <w:rsid w:val="00281878"/>
    <w:rsid w:val="00281B98"/>
    <w:rsid w:val="00282A19"/>
    <w:rsid w:val="002833CD"/>
    <w:rsid w:val="002837BC"/>
    <w:rsid w:val="00283F00"/>
    <w:rsid w:val="00283F51"/>
    <w:rsid w:val="0028492B"/>
    <w:rsid w:val="00284995"/>
    <w:rsid w:val="0028602A"/>
    <w:rsid w:val="00286134"/>
    <w:rsid w:val="00287C76"/>
    <w:rsid w:val="00287F41"/>
    <w:rsid w:val="00291020"/>
    <w:rsid w:val="002914DB"/>
    <w:rsid w:val="00291C2F"/>
    <w:rsid w:val="00292083"/>
    <w:rsid w:val="00292EAB"/>
    <w:rsid w:val="00293936"/>
    <w:rsid w:val="00293C61"/>
    <w:rsid w:val="00293CCD"/>
    <w:rsid w:val="002944B4"/>
    <w:rsid w:val="002947E6"/>
    <w:rsid w:val="00294848"/>
    <w:rsid w:val="002962FB"/>
    <w:rsid w:val="00296D80"/>
    <w:rsid w:val="002977F5"/>
    <w:rsid w:val="00297ADB"/>
    <w:rsid w:val="00297AFA"/>
    <w:rsid w:val="002A07DF"/>
    <w:rsid w:val="002A0F57"/>
    <w:rsid w:val="002A105E"/>
    <w:rsid w:val="002A18FB"/>
    <w:rsid w:val="002A1E9C"/>
    <w:rsid w:val="002A2625"/>
    <w:rsid w:val="002A264E"/>
    <w:rsid w:val="002A2BF1"/>
    <w:rsid w:val="002A2CB0"/>
    <w:rsid w:val="002A2D94"/>
    <w:rsid w:val="002A3871"/>
    <w:rsid w:val="002A3E10"/>
    <w:rsid w:val="002A4B9E"/>
    <w:rsid w:val="002A4E44"/>
    <w:rsid w:val="002A5614"/>
    <w:rsid w:val="002A59AB"/>
    <w:rsid w:val="002A5EB9"/>
    <w:rsid w:val="002A6849"/>
    <w:rsid w:val="002A6D6C"/>
    <w:rsid w:val="002A720A"/>
    <w:rsid w:val="002A7C16"/>
    <w:rsid w:val="002B0492"/>
    <w:rsid w:val="002B0659"/>
    <w:rsid w:val="002B0E33"/>
    <w:rsid w:val="002B1289"/>
    <w:rsid w:val="002B2945"/>
    <w:rsid w:val="002B2F80"/>
    <w:rsid w:val="002B3053"/>
    <w:rsid w:val="002B4252"/>
    <w:rsid w:val="002B4624"/>
    <w:rsid w:val="002B49F3"/>
    <w:rsid w:val="002B5654"/>
    <w:rsid w:val="002B727F"/>
    <w:rsid w:val="002B7554"/>
    <w:rsid w:val="002C0B31"/>
    <w:rsid w:val="002C0FD7"/>
    <w:rsid w:val="002C2D8E"/>
    <w:rsid w:val="002C3061"/>
    <w:rsid w:val="002C3C8C"/>
    <w:rsid w:val="002C3F76"/>
    <w:rsid w:val="002C4C38"/>
    <w:rsid w:val="002C5610"/>
    <w:rsid w:val="002C56A5"/>
    <w:rsid w:val="002C5F97"/>
    <w:rsid w:val="002C5FC8"/>
    <w:rsid w:val="002C6ADA"/>
    <w:rsid w:val="002C6D26"/>
    <w:rsid w:val="002C74D1"/>
    <w:rsid w:val="002C74DB"/>
    <w:rsid w:val="002D27C7"/>
    <w:rsid w:val="002D2AE5"/>
    <w:rsid w:val="002D3AB2"/>
    <w:rsid w:val="002D4647"/>
    <w:rsid w:val="002D4FBF"/>
    <w:rsid w:val="002D57DA"/>
    <w:rsid w:val="002D6059"/>
    <w:rsid w:val="002D6318"/>
    <w:rsid w:val="002D67E4"/>
    <w:rsid w:val="002D6A75"/>
    <w:rsid w:val="002D6CF4"/>
    <w:rsid w:val="002D7C5C"/>
    <w:rsid w:val="002D7FB9"/>
    <w:rsid w:val="002E1221"/>
    <w:rsid w:val="002E1C0D"/>
    <w:rsid w:val="002E2E39"/>
    <w:rsid w:val="002E32E2"/>
    <w:rsid w:val="002E367E"/>
    <w:rsid w:val="002E36DA"/>
    <w:rsid w:val="002E379E"/>
    <w:rsid w:val="002E3E06"/>
    <w:rsid w:val="002E3EA8"/>
    <w:rsid w:val="002E44DF"/>
    <w:rsid w:val="002E47EA"/>
    <w:rsid w:val="002E4D2F"/>
    <w:rsid w:val="002E683F"/>
    <w:rsid w:val="002E70C4"/>
    <w:rsid w:val="002F0411"/>
    <w:rsid w:val="002F0A74"/>
    <w:rsid w:val="002F1A22"/>
    <w:rsid w:val="002F2726"/>
    <w:rsid w:val="002F2BEC"/>
    <w:rsid w:val="002F3BD9"/>
    <w:rsid w:val="002F43F8"/>
    <w:rsid w:val="002F5444"/>
    <w:rsid w:val="002F5CCB"/>
    <w:rsid w:val="002F7518"/>
    <w:rsid w:val="00300128"/>
    <w:rsid w:val="00300327"/>
    <w:rsid w:val="0030085C"/>
    <w:rsid w:val="00301927"/>
    <w:rsid w:val="0030192F"/>
    <w:rsid w:val="00301E58"/>
    <w:rsid w:val="00302178"/>
    <w:rsid w:val="003026DA"/>
    <w:rsid w:val="00302A1A"/>
    <w:rsid w:val="00303DA9"/>
    <w:rsid w:val="0030445F"/>
    <w:rsid w:val="00305DC8"/>
    <w:rsid w:val="00306D79"/>
    <w:rsid w:val="00307117"/>
    <w:rsid w:val="00307C14"/>
    <w:rsid w:val="003104D7"/>
    <w:rsid w:val="00311241"/>
    <w:rsid w:val="003115BB"/>
    <w:rsid w:val="00313126"/>
    <w:rsid w:val="00314959"/>
    <w:rsid w:val="003157A1"/>
    <w:rsid w:val="00315FEB"/>
    <w:rsid w:val="0031620D"/>
    <w:rsid w:val="00316CFC"/>
    <w:rsid w:val="00317FE7"/>
    <w:rsid w:val="00320FEC"/>
    <w:rsid w:val="0032210F"/>
    <w:rsid w:val="00322415"/>
    <w:rsid w:val="00322745"/>
    <w:rsid w:val="003236C5"/>
    <w:rsid w:val="00323A0C"/>
    <w:rsid w:val="00323C7B"/>
    <w:rsid w:val="003243D0"/>
    <w:rsid w:val="00325935"/>
    <w:rsid w:val="00326311"/>
    <w:rsid w:val="00326C86"/>
    <w:rsid w:val="00327CDB"/>
    <w:rsid w:val="00334036"/>
    <w:rsid w:val="00334067"/>
    <w:rsid w:val="003350F1"/>
    <w:rsid w:val="00335BF4"/>
    <w:rsid w:val="003360AC"/>
    <w:rsid w:val="00336853"/>
    <w:rsid w:val="00336F6D"/>
    <w:rsid w:val="00337619"/>
    <w:rsid w:val="0034250D"/>
    <w:rsid w:val="00343401"/>
    <w:rsid w:val="00344AE8"/>
    <w:rsid w:val="00345077"/>
    <w:rsid w:val="003452B6"/>
    <w:rsid w:val="00345962"/>
    <w:rsid w:val="00345BB8"/>
    <w:rsid w:val="00345E38"/>
    <w:rsid w:val="00346810"/>
    <w:rsid w:val="00346D07"/>
    <w:rsid w:val="003479A3"/>
    <w:rsid w:val="003500AD"/>
    <w:rsid w:val="003504DC"/>
    <w:rsid w:val="003507B9"/>
    <w:rsid w:val="003508BE"/>
    <w:rsid w:val="003534BB"/>
    <w:rsid w:val="00353924"/>
    <w:rsid w:val="00354D99"/>
    <w:rsid w:val="00354DEB"/>
    <w:rsid w:val="003555ED"/>
    <w:rsid w:val="00355C3E"/>
    <w:rsid w:val="003562AC"/>
    <w:rsid w:val="003573D2"/>
    <w:rsid w:val="00357A54"/>
    <w:rsid w:val="00357C02"/>
    <w:rsid w:val="00357D97"/>
    <w:rsid w:val="00364309"/>
    <w:rsid w:val="00364797"/>
    <w:rsid w:val="003659A8"/>
    <w:rsid w:val="00365B91"/>
    <w:rsid w:val="00366E44"/>
    <w:rsid w:val="00367086"/>
    <w:rsid w:val="00370ABB"/>
    <w:rsid w:val="003716E6"/>
    <w:rsid w:val="00372232"/>
    <w:rsid w:val="0037231A"/>
    <w:rsid w:val="00372C6C"/>
    <w:rsid w:val="003734F6"/>
    <w:rsid w:val="00375201"/>
    <w:rsid w:val="00375339"/>
    <w:rsid w:val="0037778A"/>
    <w:rsid w:val="003777C5"/>
    <w:rsid w:val="00377B67"/>
    <w:rsid w:val="00377C68"/>
    <w:rsid w:val="003827FB"/>
    <w:rsid w:val="00383B50"/>
    <w:rsid w:val="00384486"/>
    <w:rsid w:val="00384A53"/>
    <w:rsid w:val="00385770"/>
    <w:rsid w:val="00385918"/>
    <w:rsid w:val="00385984"/>
    <w:rsid w:val="00385C5B"/>
    <w:rsid w:val="0038685A"/>
    <w:rsid w:val="00386878"/>
    <w:rsid w:val="00387BDE"/>
    <w:rsid w:val="00387D19"/>
    <w:rsid w:val="00387FCB"/>
    <w:rsid w:val="00390436"/>
    <w:rsid w:val="00391A81"/>
    <w:rsid w:val="0039321B"/>
    <w:rsid w:val="00393E64"/>
    <w:rsid w:val="00394B35"/>
    <w:rsid w:val="00394EFA"/>
    <w:rsid w:val="00397606"/>
    <w:rsid w:val="00397DCD"/>
    <w:rsid w:val="003A02A1"/>
    <w:rsid w:val="003A0358"/>
    <w:rsid w:val="003A09BA"/>
    <w:rsid w:val="003A114E"/>
    <w:rsid w:val="003A1EF6"/>
    <w:rsid w:val="003A2072"/>
    <w:rsid w:val="003A25C2"/>
    <w:rsid w:val="003A2866"/>
    <w:rsid w:val="003A37CB"/>
    <w:rsid w:val="003A3D2A"/>
    <w:rsid w:val="003A4724"/>
    <w:rsid w:val="003A4E34"/>
    <w:rsid w:val="003A50EB"/>
    <w:rsid w:val="003A5CBD"/>
    <w:rsid w:val="003A5D16"/>
    <w:rsid w:val="003A732A"/>
    <w:rsid w:val="003A768D"/>
    <w:rsid w:val="003B00DD"/>
    <w:rsid w:val="003B1066"/>
    <w:rsid w:val="003B1089"/>
    <w:rsid w:val="003B1720"/>
    <w:rsid w:val="003B2A56"/>
    <w:rsid w:val="003B2CD3"/>
    <w:rsid w:val="003B2F66"/>
    <w:rsid w:val="003B311D"/>
    <w:rsid w:val="003B3945"/>
    <w:rsid w:val="003B4474"/>
    <w:rsid w:val="003B4D26"/>
    <w:rsid w:val="003B50EE"/>
    <w:rsid w:val="003B5DD0"/>
    <w:rsid w:val="003B6B0D"/>
    <w:rsid w:val="003B7998"/>
    <w:rsid w:val="003B7AA7"/>
    <w:rsid w:val="003B7B25"/>
    <w:rsid w:val="003C3093"/>
    <w:rsid w:val="003C3564"/>
    <w:rsid w:val="003C3CC3"/>
    <w:rsid w:val="003C4224"/>
    <w:rsid w:val="003C6F89"/>
    <w:rsid w:val="003C71E2"/>
    <w:rsid w:val="003C73AC"/>
    <w:rsid w:val="003D0317"/>
    <w:rsid w:val="003D05DF"/>
    <w:rsid w:val="003D07BB"/>
    <w:rsid w:val="003D0B1E"/>
    <w:rsid w:val="003D2509"/>
    <w:rsid w:val="003D2A25"/>
    <w:rsid w:val="003D2ACF"/>
    <w:rsid w:val="003D2DD2"/>
    <w:rsid w:val="003D34E3"/>
    <w:rsid w:val="003D398B"/>
    <w:rsid w:val="003D4406"/>
    <w:rsid w:val="003D46BD"/>
    <w:rsid w:val="003D5FE2"/>
    <w:rsid w:val="003D6145"/>
    <w:rsid w:val="003D715F"/>
    <w:rsid w:val="003D7251"/>
    <w:rsid w:val="003D72F8"/>
    <w:rsid w:val="003E322E"/>
    <w:rsid w:val="003E35C5"/>
    <w:rsid w:val="003E425D"/>
    <w:rsid w:val="003E4A9B"/>
    <w:rsid w:val="003E584C"/>
    <w:rsid w:val="003E5EDD"/>
    <w:rsid w:val="003E666C"/>
    <w:rsid w:val="003F021C"/>
    <w:rsid w:val="003F0A34"/>
    <w:rsid w:val="003F0F33"/>
    <w:rsid w:val="003F1977"/>
    <w:rsid w:val="003F5E3E"/>
    <w:rsid w:val="003F629F"/>
    <w:rsid w:val="003F64C5"/>
    <w:rsid w:val="003F69EB"/>
    <w:rsid w:val="003F6A7E"/>
    <w:rsid w:val="003F6ABB"/>
    <w:rsid w:val="003F6F10"/>
    <w:rsid w:val="004008AE"/>
    <w:rsid w:val="0040126D"/>
    <w:rsid w:val="004048D9"/>
    <w:rsid w:val="004059D3"/>
    <w:rsid w:val="00406045"/>
    <w:rsid w:val="0040768D"/>
    <w:rsid w:val="004105C7"/>
    <w:rsid w:val="00410D87"/>
    <w:rsid w:val="0041221E"/>
    <w:rsid w:val="004122C4"/>
    <w:rsid w:val="004127E0"/>
    <w:rsid w:val="00413923"/>
    <w:rsid w:val="00414BD1"/>
    <w:rsid w:val="0041526A"/>
    <w:rsid w:val="004152EA"/>
    <w:rsid w:val="004153FF"/>
    <w:rsid w:val="004200AF"/>
    <w:rsid w:val="00420446"/>
    <w:rsid w:val="00420D7D"/>
    <w:rsid w:val="00420E70"/>
    <w:rsid w:val="004227DB"/>
    <w:rsid w:val="00422E2C"/>
    <w:rsid w:val="00422E95"/>
    <w:rsid w:val="00422F25"/>
    <w:rsid w:val="00423E8B"/>
    <w:rsid w:val="00424A95"/>
    <w:rsid w:val="00424DF9"/>
    <w:rsid w:val="004271BB"/>
    <w:rsid w:val="00427847"/>
    <w:rsid w:val="00431067"/>
    <w:rsid w:val="0043149A"/>
    <w:rsid w:val="00431986"/>
    <w:rsid w:val="00431B5E"/>
    <w:rsid w:val="00432BBA"/>
    <w:rsid w:val="004338EA"/>
    <w:rsid w:val="00433E76"/>
    <w:rsid w:val="00434DD6"/>
    <w:rsid w:val="0043554F"/>
    <w:rsid w:val="00435570"/>
    <w:rsid w:val="00435621"/>
    <w:rsid w:val="00436B0C"/>
    <w:rsid w:val="004375D6"/>
    <w:rsid w:val="00440490"/>
    <w:rsid w:val="004410F6"/>
    <w:rsid w:val="004415E8"/>
    <w:rsid w:val="00441D39"/>
    <w:rsid w:val="00442589"/>
    <w:rsid w:val="004436A1"/>
    <w:rsid w:val="0044386D"/>
    <w:rsid w:val="00443CAD"/>
    <w:rsid w:val="004451C7"/>
    <w:rsid w:val="00445809"/>
    <w:rsid w:val="00446DEC"/>
    <w:rsid w:val="00447902"/>
    <w:rsid w:val="00447DE7"/>
    <w:rsid w:val="00450E59"/>
    <w:rsid w:val="0045109E"/>
    <w:rsid w:val="004514F0"/>
    <w:rsid w:val="00451702"/>
    <w:rsid w:val="00451B11"/>
    <w:rsid w:val="00452D25"/>
    <w:rsid w:val="00452F3C"/>
    <w:rsid w:val="0045392E"/>
    <w:rsid w:val="00453BF7"/>
    <w:rsid w:val="00455C79"/>
    <w:rsid w:val="00457EC0"/>
    <w:rsid w:val="0046139C"/>
    <w:rsid w:val="00461915"/>
    <w:rsid w:val="00462E63"/>
    <w:rsid w:val="00463C6E"/>
    <w:rsid w:val="00465422"/>
    <w:rsid w:val="004661AA"/>
    <w:rsid w:val="00466D14"/>
    <w:rsid w:val="00467151"/>
    <w:rsid w:val="004702DC"/>
    <w:rsid w:val="004711BD"/>
    <w:rsid w:val="00471602"/>
    <w:rsid w:val="00472323"/>
    <w:rsid w:val="004726FD"/>
    <w:rsid w:val="0047304A"/>
    <w:rsid w:val="00473606"/>
    <w:rsid w:val="00473C3D"/>
    <w:rsid w:val="004742AA"/>
    <w:rsid w:val="00476C62"/>
    <w:rsid w:val="0047738A"/>
    <w:rsid w:val="004777D9"/>
    <w:rsid w:val="00481916"/>
    <w:rsid w:val="00482820"/>
    <w:rsid w:val="00484530"/>
    <w:rsid w:val="00485295"/>
    <w:rsid w:val="004855B7"/>
    <w:rsid w:val="004858C6"/>
    <w:rsid w:val="00485A3E"/>
    <w:rsid w:val="00486563"/>
    <w:rsid w:val="00486887"/>
    <w:rsid w:val="00492474"/>
    <w:rsid w:val="0049258B"/>
    <w:rsid w:val="0049287A"/>
    <w:rsid w:val="0049528E"/>
    <w:rsid w:val="00496C08"/>
    <w:rsid w:val="00497A22"/>
    <w:rsid w:val="00497D5D"/>
    <w:rsid w:val="004A0A1F"/>
    <w:rsid w:val="004A142A"/>
    <w:rsid w:val="004A2738"/>
    <w:rsid w:val="004A3125"/>
    <w:rsid w:val="004A3321"/>
    <w:rsid w:val="004A42F3"/>
    <w:rsid w:val="004A4BD6"/>
    <w:rsid w:val="004A4CE6"/>
    <w:rsid w:val="004A73EE"/>
    <w:rsid w:val="004B1484"/>
    <w:rsid w:val="004B1AC8"/>
    <w:rsid w:val="004B281D"/>
    <w:rsid w:val="004B29E3"/>
    <w:rsid w:val="004B2A71"/>
    <w:rsid w:val="004B395D"/>
    <w:rsid w:val="004B3BED"/>
    <w:rsid w:val="004B4D60"/>
    <w:rsid w:val="004B5AB8"/>
    <w:rsid w:val="004B6A0D"/>
    <w:rsid w:val="004B6AB2"/>
    <w:rsid w:val="004B6AED"/>
    <w:rsid w:val="004B6EDC"/>
    <w:rsid w:val="004B728D"/>
    <w:rsid w:val="004C083A"/>
    <w:rsid w:val="004C0A07"/>
    <w:rsid w:val="004C0B51"/>
    <w:rsid w:val="004C0CB1"/>
    <w:rsid w:val="004C19F8"/>
    <w:rsid w:val="004C1A12"/>
    <w:rsid w:val="004C2CBF"/>
    <w:rsid w:val="004C3311"/>
    <w:rsid w:val="004C37FE"/>
    <w:rsid w:val="004C4352"/>
    <w:rsid w:val="004C4F68"/>
    <w:rsid w:val="004C4F8F"/>
    <w:rsid w:val="004C62B4"/>
    <w:rsid w:val="004C667B"/>
    <w:rsid w:val="004C7079"/>
    <w:rsid w:val="004C7EB5"/>
    <w:rsid w:val="004D0282"/>
    <w:rsid w:val="004D02DE"/>
    <w:rsid w:val="004D147B"/>
    <w:rsid w:val="004D201C"/>
    <w:rsid w:val="004D3C1D"/>
    <w:rsid w:val="004D50A3"/>
    <w:rsid w:val="004D5F9C"/>
    <w:rsid w:val="004D6110"/>
    <w:rsid w:val="004E16F6"/>
    <w:rsid w:val="004E1739"/>
    <w:rsid w:val="004E1A70"/>
    <w:rsid w:val="004E3E5B"/>
    <w:rsid w:val="004E470F"/>
    <w:rsid w:val="004E4D6B"/>
    <w:rsid w:val="004E5205"/>
    <w:rsid w:val="004E5936"/>
    <w:rsid w:val="004E62F5"/>
    <w:rsid w:val="004E634C"/>
    <w:rsid w:val="004E6E3E"/>
    <w:rsid w:val="004E7120"/>
    <w:rsid w:val="004F14A2"/>
    <w:rsid w:val="004F1D7E"/>
    <w:rsid w:val="004F22B0"/>
    <w:rsid w:val="004F328B"/>
    <w:rsid w:val="004F3738"/>
    <w:rsid w:val="004F46CB"/>
    <w:rsid w:val="004F5193"/>
    <w:rsid w:val="004F5256"/>
    <w:rsid w:val="004F69EB"/>
    <w:rsid w:val="004F7674"/>
    <w:rsid w:val="005001B5"/>
    <w:rsid w:val="0050110C"/>
    <w:rsid w:val="00501EEA"/>
    <w:rsid w:val="005022CE"/>
    <w:rsid w:val="005034F7"/>
    <w:rsid w:val="0050375C"/>
    <w:rsid w:val="005041A7"/>
    <w:rsid w:val="00504A64"/>
    <w:rsid w:val="00504C5B"/>
    <w:rsid w:val="00505367"/>
    <w:rsid w:val="0050692D"/>
    <w:rsid w:val="005078ED"/>
    <w:rsid w:val="005110C4"/>
    <w:rsid w:val="005113E2"/>
    <w:rsid w:val="005122E0"/>
    <w:rsid w:val="00513620"/>
    <w:rsid w:val="005139FE"/>
    <w:rsid w:val="00513B8C"/>
    <w:rsid w:val="0051471B"/>
    <w:rsid w:val="00514AB4"/>
    <w:rsid w:val="00514D89"/>
    <w:rsid w:val="00514F0A"/>
    <w:rsid w:val="0051561E"/>
    <w:rsid w:val="00516366"/>
    <w:rsid w:val="00516AB1"/>
    <w:rsid w:val="0051762A"/>
    <w:rsid w:val="00517ACE"/>
    <w:rsid w:val="00517C08"/>
    <w:rsid w:val="00521195"/>
    <w:rsid w:val="00521455"/>
    <w:rsid w:val="00522448"/>
    <w:rsid w:val="00524D3C"/>
    <w:rsid w:val="00525727"/>
    <w:rsid w:val="00526FE9"/>
    <w:rsid w:val="00527965"/>
    <w:rsid w:val="0053003A"/>
    <w:rsid w:val="005318F3"/>
    <w:rsid w:val="00532221"/>
    <w:rsid w:val="0053223E"/>
    <w:rsid w:val="005326F8"/>
    <w:rsid w:val="00532911"/>
    <w:rsid w:val="00532DD3"/>
    <w:rsid w:val="0053304A"/>
    <w:rsid w:val="00534088"/>
    <w:rsid w:val="00534BE7"/>
    <w:rsid w:val="00534D10"/>
    <w:rsid w:val="00537729"/>
    <w:rsid w:val="005379BE"/>
    <w:rsid w:val="00540C9D"/>
    <w:rsid w:val="00540E3A"/>
    <w:rsid w:val="00541396"/>
    <w:rsid w:val="00543FA6"/>
    <w:rsid w:val="005441F1"/>
    <w:rsid w:val="00545014"/>
    <w:rsid w:val="00545DBC"/>
    <w:rsid w:val="00545F75"/>
    <w:rsid w:val="00546625"/>
    <w:rsid w:val="0054692A"/>
    <w:rsid w:val="00550945"/>
    <w:rsid w:val="00551E5B"/>
    <w:rsid w:val="00552385"/>
    <w:rsid w:val="005528D7"/>
    <w:rsid w:val="00552FA1"/>
    <w:rsid w:val="0055346C"/>
    <w:rsid w:val="00555199"/>
    <w:rsid w:val="005569D7"/>
    <w:rsid w:val="00556E53"/>
    <w:rsid w:val="00557392"/>
    <w:rsid w:val="00557730"/>
    <w:rsid w:val="00557C61"/>
    <w:rsid w:val="0056011C"/>
    <w:rsid w:val="00560D43"/>
    <w:rsid w:val="005628E9"/>
    <w:rsid w:val="005635C2"/>
    <w:rsid w:val="00563FFF"/>
    <w:rsid w:val="00564019"/>
    <w:rsid w:val="00564A28"/>
    <w:rsid w:val="00565BC0"/>
    <w:rsid w:val="00566903"/>
    <w:rsid w:val="00566BCF"/>
    <w:rsid w:val="00566EC2"/>
    <w:rsid w:val="00567964"/>
    <w:rsid w:val="00567B6F"/>
    <w:rsid w:val="00567C5B"/>
    <w:rsid w:val="00572EA1"/>
    <w:rsid w:val="00573E0C"/>
    <w:rsid w:val="00573ED9"/>
    <w:rsid w:val="00574BDB"/>
    <w:rsid w:val="00574C4C"/>
    <w:rsid w:val="00575BEA"/>
    <w:rsid w:val="00580117"/>
    <w:rsid w:val="00581879"/>
    <w:rsid w:val="005827D2"/>
    <w:rsid w:val="00582C80"/>
    <w:rsid w:val="00582FFE"/>
    <w:rsid w:val="00583423"/>
    <w:rsid w:val="005834A2"/>
    <w:rsid w:val="005835EB"/>
    <w:rsid w:val="00583CA1"/>
    <w:rsid w:val="00583D01"/>
    <w:rsid w:val="005847FE"/>
    <w:rsid w:val="00584B32"/>
    <w:rsid w:val="00584C6C"/>
    <w:rsid w:val="005850A0"/>
    <w:rsid w:val="00586A34"/>
    <w:rsid w:val="00587062"/>
    <w:rsid w:val="00587FB9"/>
    <w:rsid w:val="00590E00"/>
    <w:rsid w:val="005924BE"/>
    <w:rsid w:val="0059272B"/>
    <w:rsid w:val="00592CBD"/>
    <w:rsid w:val="00592CE9"/>
    <w:rsid w:val="005930A2"/>
    <w:rsid w:val="00593214"/>
    <w:rsid w:val="0059395D"/>
    <w:rsid w:val="00593C65"/>
    <w:rsid w:val="005946BF"/>
    <w:rsid w:val="00595534"/>
    <w:rsid w:val="00595C4A"/>
    <w:rsid w:val="005967CE"/>
    <w:rsid w:val="005A06B9"/>
    <w:rsid w:val="005A099E"/>
    <w:rsid w:val="005A0A69"/>
    <w:rsid w:val="005A1169"/>
    <w:rsid w:val="005A1752"/>
    <w:rsid w:val="005A17EE"/>
    <w:rsid w:val="005A1E80"/>
    <w:rsid w:val="005A2703"/>
    <w:rsid w:val="005A2F33"/>
    <w:rsid w:val="005A30B4"/>
    <w:rsid w:val="005A39B6"/>
    <w:rsid w:val="005A40E6"/>
    <w:rsid w:val="005A422D"/>
    <w:rsid w:val="005A689C"/>
    <w:rsid w:val="005A6E89"/>
    <w:rsid w:val="005A75E2"/>
    <w:rsid w:val="005A7DF1"/>
    <w:rsid w:val="005B0544"/>
    <w:rsid w:val="005B203C"/>
    <w:rsid w:val="005B2C31"/>
    <w:rsid w:val="005B2EAC"/>
    <w:rsid w:val="005B3271"/>
    <w:rsid w:val="005B6A1E"/>
    <w:rsid w:val="005B6E92"/>
    <w:rsid w:val="005C0024"/>
    <w:rsid w:val="005C0726"/>
    <w:rsid w:val="005C07EF"/>
    <w:rsid w:val="005C088A"/>
    <w:rsid w:val="005C195D"/>
    <w:rsid w:val="005C1C8C"/>
    <w:rsid w:val="005C2199"/>
    <w:rsid w:val="005C2718"/>
    <w:rsid w:val="005C45A8"/>
    <w:rsid w:val="005C4968"/>
    <w:rsid w:val="005C4D6E"/>
    <w:rsid w:val="005C5B23"/>
    <w:rsid w:val="005C7541"/>
    <w:rsid w:val="005D096E"/>
    <w:rsid w:val="005D1DD7"/>
    <w:rsid w:val="005D2AA5"/>
    <w:rsid w:val="005D475F"/>
    <w:rsid w:val="005D5F82"/>
    <w:rsid w:val="005D62E1"/>
    <w:rsid w:val="005D66C0"/>
    <w:rsid w:val="005D6E22"/>
    <w:rsid w:val="005D7649"/>
    <w:rsid w:val="005D7CC7"/>
    <w:rsid w:val="005E06B9"/>
    <w:rsid w:val="005E1BAA"/>
    <w:rsid w:val="005E366C"/>
    <w:rsid w:val="005E3949"/>
    <w:rsid w:val="005E3A83"/>
    <w:rsid w:val="005E52B3"/>
    <w:rsid w:val="005E5A87"/>
    <w:rsid w:val="005E783B"/>
    <w:rsid w:val="005F0978"/>
    <w:rsid w:val="005F1E01"/>
    <w:rsid w:val="005F2DEA"/>
    <w:rsid w:val="005F4001"/>
    <w:rsid w:val="005F5EFE"/>
    <w:rsid w:val="005F61CF"/>
    <w:rsid w:val="005F7DB2"/>
    <w:rsid w:val="00600030"/>
    <w:rsid w:val="00601E64"/>
    <w:rsid w:val="006020C5"/>
    <w:rsid w:val="00602B9B"/>
    <w:rsid w:val="00602EA1"/>
    <w:rsid w:val="0060370B"/>
    <w:rsid w:val="00604774"/>
    <w:rsid w:val="0060510B"/>
    <w:rsid w:val="00605B28"/>
    <w:rsid w:val="00605E88"/>
    <w:rsid w:val="00606FE7"/>
    <w:rsid w:val="0060765F"/>
    <w:rsid w:val="0061078A"/>
    <w:rsid w:val="00612D56"/>
    <w:rsid w:val="00613382"/>
    <w:rsid w:val="00614124"/>
    <w:rsid w:val="006145C1"/>
    <w:rsid w:val="00615061"/>
    <w:rsid w:val="00615167"/>
    <w:rsid w:val="006151DD"/>
    <w:rsid w:val="00615454"/>
    <w:rsid w:val="00617482"/>
    <w:rsid w:val="006177AC"/>
    <w:rsid w:val="00617883"/>
    <w:rsid w:val="00617C13"/>
    <w:rsid w:val="0062064A"/>
    <w:rsid w:val="006206B5"/>
    <w:rsid w:val="00621063"/>
    <w:rsid w:val="00621E11"/>
    <w:rsid w:val="00622281"/>
    <w:rsid w:val="0062262E"/>
    <w:rsid w:val="00622CB1"/>
    <w:rsid w:val="00622CED"/>
    <w:rsid w:val="00623314"/>
    <w:rsid w:val="00623803"/>
    <w:rsid w:val="00624156"/>
    <w:rsid w:val="006247BB"/>
    <w:rsid w:val="00624B4A"/>
    <w:rsid w:val="00624F8A"/>
    <w:rsid w:val="0062533B"/>
    <w:rsid w:val="00625351"/>
    <w:rsid w:val="006259A3"/>
    <w:rsid w:val="0062662C"/>
    <w:rsid w:val="00632134"/>
    <w:rsid w:val="006333C1"/>
    <w:rsid w:val="00633D5D"/>
    <w:rsid w:val="00635056"/>
    <w:rsid w:val="00635163"/>
    <w:rsid w:val="00636841"/>
    <w:rsid w:val="00636DDB"/>
    <w:rsid w:val="00637C61"/>
    <w:rsid w:val="006403C2"/>
    <w:rsid w:val="0064082B"/>
    <w:rsid w:val="006414CE"/>
    <w:rsid w:val="0064166F"/>
    <w:rsid w:val="00641BA8"/>
    <w:rsid w:val="00644B31"/>
    <w:rsid w:val="00645728"/>
    <w:rsid w:val="00647C8B"/>
    <w:rsid w:val="00650413"/>
    <w:rsid w:val="00650851"/>
    <w:rsid w:val="00651657"/>
    <w:rsid w:val="00652591"/>
    <w:rsid w:val="0065338E"/>
    <w:rsid w:val="00655330"/>
    <w:rsid w:val="00657670"/>
    <w:rsid w:val="00657B47"/>
    <w:rsid w:val="0066007F"/>
    <w:rsid w:val="00661FF7"/>
    <w:rsid w:val="00662112"/>
    <w:rsid w:val="006626E4"/>
    <w:rsid w:val="00662C89"/>
    <w:rsid w:val="00663756"/>
    <w:rsid w:val="00664258"/>
    <w:rsid w:val="00664474"/>
    <w:rsid w:val="00664593"/>
    <w:rsid w:val="00664742"/>
    <w:rsid w:val="006655A6"/>
    <w:rsid w:val="006659D2"/>
    <w:rsid w:val="00666399"/>
    <w:rsid w:val="006666C6"/>
    <w:rsid w:val="006667F6"/>
    <w:rsid w:val="00667CAE"/>
    <w:rsid w:val="00670210"/>
    <w:rsid w:val="00670347"/>
    <w:rsid w:val="0067098A"/>
    <w:rsid w:val="00670A64"/>
    <w:rsid w:val="00670FE3"/>
    <w:rsid w:val="00671257"/>
    <w:rsid w:val="00671367"/>
    <w:rsid w:val="0067146D"/>
    <w:rsid w:val="00671D95"/>
    <w:rsid w:val="006735AB"/>
    <w:rsid w:val="006736EA"/>
    <w:rsid w:val="006751DD"/>
    <w:rsid w:val="006759BD"/>
    <w:rsid w:val="00676C8E"/>
    <w:rsid w:val="00676D2A"/>
    <w:rsid w:val="00677664"/>
    <w:rsid w:val="00680DD0"/>
    <w:rsid w:val="00680E22"/>
    <w:rsid w:val="00681123"/>
    <w:rsid w:val="00681250"/>
    <w:rsid w:val="006813CC"/>
    <w:rsid w:val="006819AF"/>
    <w:rsid w:val="0068213D"/>
    <w:rsid w:val="006823A7"/>
    <w:rsid w:val="006823AB"/>
    <w:rsid w:val="00682AFB"/>
    <w:rsid w:val="0068399B"/>
    <w:rsid w:val="00684413"/>
    <w:rsid w:val="00684CD0"/>
    <w:rsid w:val="00684CEB"/>
    <w:rsid w:val="0068577E"/>
    <w:rsid w:val="00685E65"/>
    <w:rsid w:val="00686B3E"/>
    <w:rsid w:val="00687A8C"/>
    <w:rsid w:val="00690D54"/>
    <w:rsid w:val="00691301"/>
    <w:rsid w:val="00691556"/>
    <w:rsid w:val="00691BF0"/>
    <w:rsid w:val="00692312"/>
    <w:rsid w:val="00692510"/>
    <w:rsid w:val="006928E1"/>
    <w:rsid w:val="00692F44"/>
    <w:rsid w:val="006933F9"/>
    <w:rsid w:val="006935BF"/>
    <w:rsid w:val="0069409D"/>
    <w:rsid w:val="006940D4"/>
    <w:rsid w:val="006964A6"/>
    <w:rsid w:val="006975AD"/>
    <w:rsid w:val="006976E1"/>
    <w:rsid w:val="00697DB0"/>
    <w:rsid w:val="00697E7E"/>
    <w:rsid w:val="006A0D0D"/>
    <w:rsid w:val="006A2541"/>
    <w:rsid w:val="006A2596"/>
    <w:rsid w:val="006A2B50"/>
    <w:rsid w:val="006A316C"/>
    <w:rsid w:val="006A337C"/>
    <w:rsid w:val="006A3C07"/>
    <w:rsid w:val="006A5217"/>
    <w:rsid w:val="006A6E58"/>
    <w:rsid w:val="006A733F"/>
    <w:rsid w:val="006B06B8"/>
    <w:rsid w:val="006B0A11"/>
    <w:rsid w:val="006B0E2E"/>
    <w:rsid w:val="006B1C0C"/>
    <w:rsid w:val="006B2000"/>
    <w:rsid w:val="006B2EA3"/>
    <w:rsid w:val="006B3A7E"/>
    <w:rsid w:val="006B3F11"/>
    <w:rsid w:val="006B5547"/>
    <w:rsid w:val="006B5659"/>
    <w:rsid w:val="006B617F"/>
    <w:rsid w:val="006B6516"/>
    <w:rsid w:val="006B783F"/>
    <w:rsid w:val="006B78A8"/>
    <w:rsid w:val="006B7DA8"/>
    <w:rsid w:val="006C03AA"/>
    <w:rsid w:val="006C17E3"/>
    <w:rsid w:val="006C1F1D"/>
    <w:rsid w:val="006C2AE9"/>
    <w:rsid w:val="006C30BF"/>
    <w:rsid w:val="006C48BA"/>
    <w:rsid w:val="006C54FD"/>
    <w:rsid w:val="006C57CC"/>
    <w:rsid w:val="006C58E8"/>
    <w:rsid w:val="006C5AFE"/>
    <w:rsid w:val="006C5F7B"/>
    <w:rsid w:val="006C6908"/>
    <w:rsid w:val="006C6F7D"/>
    <w:rsid w:val="006D0364"/>
    <w:rsid w:val="006D0591"/>
    <w:rsid w:val="006D1C17"/>
    <w:rsid w:val="006D1CE2"/>
    <w:rsid w:val="006D2082"/>
    <w:rsid w:val="006D3D2B"/>
    <w:rsid w:val="006D5372"/>
    <w:rsid w:val="006D57AD"/>
    <w:rsid w:val="006D580F"/>
    <w:rsid w:val="006D5CF8"/>
    <w:rsid w:val="006D5D77"/>
    <w:rsid w:val="006D6C05"/>
    <w:rsid w:val="006D73F4"/>
    <w:rsid w:val="006D7EF4"/>
    <w:rsid w:val="006E0843"/>
    <w:rsid w:val="006E0F98"/>
    <w:rsid w:val="006E125A"/>
    <w:rsid w:val="006E1538"/>
    <w:rsid w:val="006E1A88"/>
    <w:rsid w:val="006E1EBF"/>
    <w:rsid w:val="006E2771"/>
    <w:rsid w:val="006E366E"/>
    <w:rsid w:val="006E3F03"/>
    <w:rsid w:val="006E4282"/>
    <w:rsid w:val="006E42AA"/>
    <w:rsid w:val="006E5C0B"/>
    <w:rsid w:val="006E68D3"/>
    <w:rsid w:val="006E6F38"/>
    <w:rsid w:val="006E7A40"/>
    <w:rsid w:val="006F0190"/>
    <w:rsid w:val="006F12D6"/>
    <w:rsid w:val="006F210D"/>
    <w:rsid w:val="006F2133"/>
    <w:rsid w:val="006F21A6"/>
    <w:rsid w:val="006F25D6"/>
    <w:rsid w:val="006F25D7"/>
    <w:rsid w:val="006F26E7"/>
    <w:rsid w:val="006F3284"/>
    <w:rsid w:val="006F42F5"/>
    <w:rsid w:val="006F45DC"/>
    <w:rsid w:val="006F545E"/>
    <w:rsid w:val="006F7075"/>
    <w:rsid w:val="006F70D3"/>
    <w:rsid w:val="006F730C"/>
    <w:rsid w:val="00700026"/>
    <w:rsid w:val="0070010C"/>
    <w:rsid w:val="00700322"/>
    <w:rsid w:val="00700B32"/>
    <w:rsid w:val="00700F24"/>
    <w:rsid w:val="00701D2E"/>
    <w:rsid w:val="00701DF4"/>
    <w:rsid w:val="0070284E"/>
    <w:rsid w:val="00702969"/>
    <w:rsid w:val="00703882"/>
    <w:rsid w:val="007045DC"/>
    <w:rsid w:val="00705297"/>
    <w:rsid w:val="0070607B"/>
    <w:rsid w:val="0070763D"/>
    <w:rsid w:val="00707A96"/>
    <w:rsid w:val="007111C6"/>
    <w:rsid w:val="00711A1E"/>
    <w:rsid w:val="00711C5B"/>
    <w:rsid w:val="00712C4E"/>
    <w:rsid w:val="00712E07"/>
    <w:rsid w:val="007135CC"/>
    <w:rsid w:val="0071412F"/>
    <w:rsid w:val="007146BF"/>
    <w:rsid w:val="00714A19"/>
    <w:rsid w:val="0071501B"/>
    <w:rsid w:val="00715A32"/>
    <w:rsid w:val="00715C2B"/>
    <w:rsid w:val="00716F20"/>
    <w:rsid w:val="0071725B"/>
    <w:rsid w:val="007176DF"/>
    <w:rsid w:val="0072136E"/>
    <w:rsid w:val="00721705"/>
    <w:rsid w:val="00722AAE"/>
    <w:rsid w:val="007232D7"/>
    <w:rsid w:val="007236B8"/>
    <w:rsid w:val="00723A18"/>
    <w:rsid w:val="00725178"/>
    <w:rsid w:val="00725CD7"/>
    <w:rsid w:val="00725EFD"/>
    <w:rsid w:val="0072670E"/>
    <w:rsid w:val="00730421"/>
    <w:rsid w:val="0073062D"/>
    <w:rsid w:val="0073070D"/>
    <w:rsid w:val="007309C1"/>
    <w:rsid w:val="00730A0A"/>
    <w:rsid w:val="00731064"/>
    <w:rsid w:val="0073128A"/>
    <w:rsid w:val="00732765"/>
    <w:rsid w:val="00732CFF"/>
    <w:rsid w:val="0073359A"/>
    <w:rsid w:val="0073369E"/>
    <w:rsid w:val="007337A4"/>
    <w:rsid w:val="00733C3F"/>
    <w:rsid w:val="00733EED"/>
    <w:rsid w:val="007340FA"/>
    <w:rsid w:val="0073422E"/>
    <w:rsid w:val="00734FEC"/>
    <w:rsid w:val="007362B3"/>
    <w:rsid w:val="007366CD"/>
    <w:rsid w:val="00737372"/>
    <w:rsid w:val="00737A9A"/>
    <w:rsid w:val="00737C72"/>
    <w:rsid w:val="00740145"/>
    <w:rsid w:val="0074023C"/>
    <w:rsid w:val="00740BB7"/>
    <w:rsid w:val="00740E0D"/>
    <w:rsid w:val="007414B8"/>
    <w:rsid w:val="00741C3F"/>
    <w:rsid w:val="007422D4"/>
    <w:rsid w:val="00744327"/>
    <w:rsid w:val="0074512D"/>
    <w:rsid w:val="0074576E"/>
    <w:rsid w:val="00745A61"/>
    <w:rsid w:val="00745CA5"/>
    <w:rsid w:val="0074626A"/>
    <w:rsid w:val="007463D3"/>
    <w:rsid w:val="00746440"/>
    <w:rsid w:val="0074691D"/>
    <w:rsid w:val="0074781C"/>
    <w:rsid w:val="00747D1F"/>
    <w:rsid w:val="00750226"/>
    <w:rsid w:val="007505EC"/>
    <w:rsid w:val="007517CA"/>
    <w:rsid w:val="00754002"/>
    <w:rsid w:val="0075505F"/>
    <w:rsid w:val="007553AE"/>
    <w:rsid w:val="00755961"/>
    <w:rsid w:val="007562CF"/>
    <w:rsid w:val="00756876"/>
    <w:rsid w:val="00756ECA"/>
    <w:rsid w:val="007574E5"/>
    <w:rsid w:val="00757D22"/>
    <w:rsid w:val="00760FAC"/>
    <w:rsid w:val="007613C7"/>
    <w:rsid w:val="007618CF"/>
    <w:rsid w:val="007622C7"/>
    <w:rsid w:val="0076287F"/>
    <w:rsid w:val="00764DB2"/>
    <w:rsid w:val="00764E20"/>
    <w:rsid w:val="0076565E"/>
    <w:rsid w:val="00766AA2"/>
    <w:rsid w:val="00767591"/>
    <w:rsid w:val="00772961"/>
    <w:rsid w:val="007734EC"/>
    <w:rsid w:val="00773BBD"/>
    <w:rsid w:val="00774FCD"/>
    <w:rsid w:val="007756FB"/>
    <w:rsid w:val="00775E1E"/>
    <w:rsid w:val="007760A9"/>
    <w:rsid w:val="00776984"/>
    <w:rsid w:val="00776A1A"/>
    <w:rsid w:val="00777BF3"/>
    <w:rsid w:val="00777CAE"/>
    <w:rsid w:val="00777FA4"/>
    <w:rsid w:val="00781351"/>
    <w:rsid w:val="007829CB"/>
    <w:rsid w:val="00782F24"/>
    <w:rsid w:val="00784788"/>
    <w:rsid w:val="00784AFA"/>
    <w:rsid w:val="00787385"/>
    <w:rsid w:val="0078778F"/>
    <w:rsid w:val="00791DF6"/>
    <w:rsid w:val="007925B1"/>
    <w:rsid w:val="00793626"/>
    <w:rsid w:val="00793F7E"/>
    <w:rsid w:val="00794273"/>
    <w:rsid w:val="00794F85"/>
    <w:rsid w:val="00795E89"/>
    <w:rsid w:val="0079674F"/>
    <w:rsid w:val="007A131E"/>
    <w:rsid w:val="007A1471"/>
    <w:rsid w:val="007A1DDA"/>
    <w:rsid w:val="007A1E1F"/>
    <w:rsid w:val="007A382E"/>
    <w:rsid w:val="007A3ED8"/>
    <w:rsid w:val="007B1784"/>
    <w:rsid w:val="007B2898"/>
    <w:rsid w:val="007B2B40"/>
    <w:rsid w:val="007B2C4E"/>
    <w:rsid w:val="007B56E0"/>
    <w:rsid w:val="007B6AF8"/>
    <w:rsid w:val="007C1037"/>
    <w:rsid w:val="007C1B9C"/>
    <w:rsid w:val="007C1CB3"/>
    <w:rsid w:val="007C1D29"/>
    <w:rsid w:val="007C20F6"/>
    <w:rsid w:val="007C57C5"/>
    <w:rsid w:val="007C5F08"/>
    <w:rsid w:val="007C63B0"/>
    <w:rsid w:val="007C7AB6"/>
    <w:rsid w:val="007C7C37"/>
    <w:rsid w:val="007D02A7"/>
    <w:rsid w:val="007D1326"/>
    <w:rsid w:val="007D193A"/>
    <w:rsid w:val="007D348B"/>
    <w:rsid w:val="007D35CF"/>
    <w:rsid w:val="007D3862"/>
    <w:rsid w:val="007D3B33"/>
    <w:rsid w:val="007D3CC8"/>
    <w:rsid w:val="007D5725"/>
    <w:rsid w:val="007D6354"/>
    <w:rsid w:val="007D6C4F"/>
    <w:rsid w:val="007D6F9D"/>
    <w:rsid w:val="007D7849"/>
    <w:rsid w:val="007D78C0"/>
    <w:rsid w:val="007D7E67"/>
    <w:rsid w:val="007E0615"/>
    <w:rsid w:val="007E1124"/>
    <w:rsid w:val="007E261B"/>
    <w:rsid w:val="007E284F"/>
    <w:rsid w:val="007E3DE7"/>
    <w:rsid w:val="007E4353"/>
    <w:rsid w:val="007E4D98"/>
    <w:rsid w:val="007E757E"/>
    <w:rsid w:val="007E76E8"/>
    <w:rsid w:val="007E787B"/>
    <w:rsid w:val="007E7ECF"/>
    <w:rsid w:val="007E7F64"/>
    <w:rsid w:val="007F1AF2"/>
    <w:rsid w:val="007F23B1"/>
    <w:rsid w:val="007F33E3"/>
    <w:rsid w:val="007F37D3"/>
    <w:rsid w:val="007F3C7A"/>
    <w:rsid w:val="007F4791"/>
    <w:rsid w:val="007F5140"/>
    <w:rsid w:val="007F59E0"/>
    <w:rsid w:val="007F6168"/>
    <w:rsid w:val="008001E9"/>
    <w:rsid w:val="00800BAC"/>
    <w:rsid w:val="0080162E"/>
    <w:rsid w:val="00802F7E"/>
    <w:rsid w:val="00805098"/>
    <w:rsid w:val="008059C9"/>
    <w:rsid w:val="00805D65"/>
    <w:rsid w:val="008075FB"/>
    <w:rsid w:val="008078D4"/>
    <w:rsid w:val="00807FFE"/>
    <w:rsid w:val="0081114C"/>
    <w:rsid w:val="0081174E"/>
    <w:rsid w:val="00812812"/>
    <w:rsid w:val="00813529"/>
    <w:rsid w:val="00813B21"/>
    <w:rsid w:val="0081508E"/>
    <w:rsid w:val="008164A4"/>
    <w:rsid w:val="00817BB4"/>
    <w:rsid w:val="00820209"/>
    <w:rsid w:val="00820577"/>
    <w:rsid w:val="00820FA7"/>
    <w:rsid w:val="00822862"/>
    <w:rsid w:val="008239AA"/>
    <w:rsid w:val="00823A56"/>
    <w:rsid w:val="00823ABC"/>
    <w:rsid w:val="0082449C"/>
    <w:rsid w:val="0082540F"/>
    <w:rsid w:val="00825FE0"/>
    <w:rsid w:val="00826E04"/>
    <w:rsid w:val="00830DA4"/>
    <w:rsid w:val="0083144C"/>
    <w:rsid w:val="0083149C"/>
    <w:rsid w:val="00831B6C"/>
    <w:rsid w:val="00832236"/>
    <w:rsid w:val="0083249B"/>
    <w:rsid w:val="00832E86"/>
    <w:rsid w:val="00833617"/>
    <w:rsid w:val="00833E41"/>
    <w:rsid w:val="008346F0"/>
    <w:rsid w:val="0083482C"/>
    <w:rsid w:val="00834A60"/>
    <w:rsid w:val="00834BA1"/>
    <w:rsid w:val="008351FC"/>
    <w:rsid w:val="008358D1"/>
    <w:rsid w:val="00837F1C"/>
    <w:rsid w:val="008405F4"/>
    <w:rsid w:val="00841446"/>
    <w:rsid w:val="008418C3"/>
    <w:rsid w:val="00843EDD"/>
    <w:rsid w:val="0084677B"/>
    <w:rsid w:val="008468BA"/>
    <w:rsid w:val="00847245"/>
    <w:rsid w:val="00850338"/>
    <w:rsid w:val="00852682"/>
    <w:rsid w:val="00854E07"/>
    <w:rsid w:val="008560EC"/>
    <w:rsid w:val="00856DA6"/>
    <w:rsid w:val="00857800"/>
    <w:rsid w:val="00857A0B"/>
    <w:rsid w:val="00857B18"/>
    <w:rsid w:val="0086093E"/>
    <w:rsid w:val="008612E9"/>
    <w:rsid w:val="0086176C"/>
    <w:rsid w:val="00861CD6"/>
    <w:rsid w:val="00862120"/>
    <w:rsid w:val="00862944"/>
    <w:rsid w:val="00863585"/>
    <w:rsid w:val="008638BA"/>
    <w:rsid w:val="0086424D"/>
    <w:rsid w:val="00864AA9"/>
    <w:rsid w:val="008655DD"/>
    <w:rsid w:val="00866034"/>
    <w:rsid w:val="00866618"/>
    <w:rsid w:val="00870A73"/>
    <w:rsid w:val="0087223B"/>
    <w:rsid w:val="0087252F"/>
    <w:rsid w:val="0087310B"/>
    <w:rsid w:val="00873E48"/>
    <w:rsid w:val="00875029"/>
    <w:rsid w:val="00875A27"/>
    <w:rsid w:val="00875CF9"/>
    <w:rsid w:val="00876589"/>
    <w:rsid w:val="00876AAC"/>
    <w:rsid w:val="008777B5"/>
    <w:rsid w:val="00881188"/>
    <w:rsid w:val="008818DA"/>
    <w:rsid w:val="00881A1A"/>
    <w:rsid w:val="00881E86"/>
    <w:rsid w:val="0088240B"/>
    <w:rsid w:val="00884CD8"/>
    <w:rsid w:val="00884D34"/>
    <w:rsid w:val="00886137"/>
    <w:rsid w:val="008862D1"/>
    <w:rsid w:val="008867B4"/>
    <w:rsid w:val="00886EEF"/>
    <w:rsid w:val="00887060"/>
    <w:rsid w:val="00887384"/>
    <w:rsid w:val="00887635"/>
    <w:rsid w:val="00887B2D"/>
    <w:rsid w:val="00887C7D"/>
    <w:rsid w:val="00890BB8"/>
    <w:rsid w:val="00890CB5"/>
    <w:rsid w:val="00893707"/>
    <w:rsid w:val="00893835"/>
    <w:rsid w:val="00893AFB"/>
    <w:rsid w:val="00893BE6"/>
    <w:rsid w:val="00893DCC"/>
    <w:rsid w:val="00894051"/>
    <w:rsid w:val="00894E57"/>
    <w:rsid w:val="0089535D"/>
    <w:rsid w:val="008961BC"/>
    <w:rsid w:val="0089635F"/>
    <w:rsid w:val="00896A5A"/>
    <w:rsid w:val="00896B75"/>
    <w:rsid w:val="00897BEA"/>
    <w:rsid w:val="00897FE1"/>
    <w:rsid w:val="008A0149"/>
    <w:rsid w:val="008A0AFF"/>
    <w:rsid w:val="008A0FC8"/>
    <w:rsid w:val="008A1786"/>
    <w:rsid w:val="008A22C0"/>
    <w:rsid w:val="008A2880"/>
    <w:rsid w:val="008A2A62"/>
    <w:rsid w:val="008A31BE"/>
    <w:rsid w:val="008A35E6"/>
    <w:rsid w:val="008A5491"/>
    <w:rsid w:val="008A5BBF"/>
    <w:rsid w:val="008A6595"/>
    <w:rsid w:val="008A6596"/>
    <w:rsid w:val="008A6EB3"/>
    <w:rsid w:val="008A726A"/>
    <w:rsid w:val="008A7551"/>
    <w:rsid w:val="008A7E5E"/>
    <w:rsid w:val="008B0AD6"/>
    <w:rsid w:val="008B0B24"/>
    <w:rsid w:val="008B12E6"/>
    <w:rsid w:val="008B16B6"/>
    <w:rsid w:val="008B25C7"/>
    <w:rsid w:val="008B34AC"/>
    <w:rsid w:val="008B58F1"/>
    <w:rsid w:val="008B5A62"/>
    <w:rsid w:val="008B5E16"/>
    <w:rsid w:val="008B6808"/>
    <w:rsid w:val="008B6A04"/>
    <w:rsid w:val="008B7971"/>
    <w:rsid w:val="008C004F"/>
    <w:rsid w:val="008C11F0"/>
    <w:rsid w:val="008C1913"/>
    <w:rsid w:val="008C1C7E"/>
    <w:rsid w:val="008C2417"/>
    <w:rsid w:val="008C2E01"/>
    <w:rsid w:val="008C33B2"/>
    <w:rsid w:val="008C442A"/>
    <w:rsid w:val="008C456B"/>
    <w:rsid w:val="008C46CC"/>
    <w:rsid w:val="008C4AA1"/>
    <w:rsid w:val="008C4DB2"/>
    <w:rsid w:val="008C5C68"/>
    <w:rsid w:val="008C6E06"/>
    <w:rsid w:val="008C6F38"/>
    <w:rsid w:val="008C74E9"/>
    <w:rsid w:val="008D1F86"/>
    <w:rsid w:val="008D2B4E"/>
    <w:rsid w:val="008D2ECF"/>
    <w:rsid w:val="008D30CC"/>
    <w:rsid w:val="008D34C9"/>
    <w:rsid w:val="008D41FE"/>
    <w:rsid w:val="008D4448"/>
    <w:rsid w:val="008D4C3A"/>
    <w:rsid w:val="008E05A3"/>
    <w:rsid w:val="008E154D"/>
    <w:rsid w:val="008E1683"/>
    <w:rsid w:val="008E2083"/>
    <w:rsid w:val="008E2893"/>
    <w:rsid w:val="008E2C67"/>
    <w:rsid w:val="008E3761"/>
    <w:rsid w:val="008E390B"/>
    <w:rsid w:val="008E40F3"/>
    <w:rsid w:val="008E4234"/>
    <w:rsid w:val="008E50FD"/>
    <w:rsid w:val="008E580F"/>
    <w:rsid w:val="008E5CDB"/>
    <w:rsid w:val="008E5E74"/>
    <w:rsid w:val="008E63F8"/>
    <w:rsid w:val="008E6CE4"/>
    <w:rsid w:val="008E7D12"/>
    <w:rsid w:val="008F3546"/>
    <w:rsid w:val="008F434C"/>
    <w:rsid w:val="008F43CE"/>
    <w:rsid w:val="008F5DC2"/>
    <w:rsid w:val="008F6DCD"/>
    <w:rsid w:val="008F73EC"/>
    <w:rsid w:val="00902644"/>
    <w:rsid w:val="00903508"/>
    <w:rsid w:val="0090350F"/>
    <w:rsid w:val="00904227"/>
    <w:rsid w:val="00906330"/>
    <w:rsid w:val="00906ACD"/>
    <w:rsid w:val="00906FC9"/>
    <w:rsid w:val="0090765D"/>
    <w:rsid w:val="00907781"/>
    <w:rsid w:val="0091017A"/>
    <w:rsid w:val="009113C2"/>
    <w:rsid w:val="00911CFA"/>
    <w:rsid w:val="00911FC4"/>
    <w:rsid w:val="00912E1A"/>
    <w:rsid w:val="0091602C"/>
    <w:rsid w:val="009165B2"/>
    <w:rsid w:val="009207E9"/>
    <w:rsid w:val="00921008"/>
    <w:rsid w:val="009217FD"/>
    <w:rsid w:val="0092198C"/>
    <w:rsid w:val="00922730"/>
    <w:rsid w:val="00922DC9"/>
    <w:rsid w:val="00923B9B"/>
    <w:rsid w:val="00923DAE"/>
    <w:rsid w:val="009240E9"/>
    <w:rsid w:val="00924BAC"/>
    <w:rsid w:val="009258DE"/>
    <w:rsid w:val="009279AF"/>
    <w:rsid w:val="009307F8"/>
    <w:rsid w:val="00930E7F"/>
    <w:rsid w:val="00931C7F"/>
    <w:rsid w:val="009334DE"/>
    <w:rsid w:val="00933F7A"/>
    <w:rsid w:val="00934CA0"/>
    <w:rsid w:val="00936BFD"/>
    <w:rsid w:val="0093714B"/>
    <w:rsid w:val="009378ED"/>
    <w:rsid w:val="00937FC4"/>
    <w:rsid w:val="009405F4"/>
    <w:rsid w:val="00940F2A"/>
    <w:rsid w:val="009410F7"/>
    <w:rsid w:val="00941274"/>
    <w:rsid w:val="0094279E"/>
    <w:rsid w:val="00942C69"/>
    <w:rsid w:val="009434C9"/>
    <w:rsid w:val="00943DEE"/>
    <w:rsid w:val="00943FE4"/>
    <w:rsid w:val="00944274"/>
    <w:rsid w:val="00944C43"/>
    <w:rsid w:val="00945724"/>
    <w:rsid w:val="0094574D"/>
    <w:rsid w:val="00945848"/>
    <w:rsid w:val="00946439"/>
    <w:rsid w:val="0094664E"/>
    <w:rsid w:val="00946C9A"/>
    <w:rsid w:val="0095070D"/>
    <w:rsid w:val="0095138A"/>
    <w:rsid w:val="00952564"/>
    <w:rsid w:val="009548DB"/>
    <w:rsid w:val="00954BC7"/>
    <w:rsid w:val="00955FA1"/>
    <w:rsid w:val="00957ABC"/>
    <w:rsid w:val="00960DC1"/>
    <w:rsid w:val="009614F9"/>
    <w:rsid w:val="009618CF"/>
    <w:rsid w:val="00962328"/>
    <w:rsid w:val="00962577"/>
    <w:rsid w:val="0096285A"/>
    <w:rsid w:val="00963148"/>
    <w:rsid w:val="0096324A"/>
    <w:rsid w:val="0096646C"/>
    <w:rsid w:val="0096714E"/>
    <w:rsid w:val="00967635"/>
    <w:rsid w:val="00967641"/>
    <w:rsid w:val="009676CA"/>
    <w:rsid w:val="009676FA"/>
    <w:rsid w:val="00967C51"/>
    <w:rsid w:val="00970020"/>
    <w:rsid w:val="0097195B"/>
    <w:rsid w:val="00972B5E"/>
    <w:rsid w:val="009731AE"/>
    <w:rsid w:val="00973DAC"/>
    <w:rsid w:val="00973F9C"/>
    <w:rsid w:val="00974008"/>
    <w:rsid w:val="0097443F"/>
    <w:rsid w:val="00977F32"/>
    <w:rsid w:val="00980804"/>
    <w:rsid w:val="0098093D"/>
    <w:rsid w:val="00980B67"/>
    <w:rsid w:val="0098136F"/>
    <w:rsid w:val="009814B8"/>
    <w:rsid w:val="00982C84"/>
    <w:rsid w:val="009840AB"/>
    <w:rsid w:val="009843B1"/>
    <w:rsid w:val="009846A8"/>
    <w:rsid w:val="00984965"/>
    <w:rsid w:val="009852A0"/>
    <w:rsid w:val="009853DE"/>
    <w:rsid w:val="00985647"/>
    <w:rsid w:val="00985DF5"/>
    <w:rsid w:val="00986AC4"/>
    <w:rsid w:val="00986F28"/>
    <w:rsid w:val="009878FF"/>
    <w:rsid w:val="00990A33"/>
    <w:rsid w:val="00990FD5"/>
    <w:rsid w:val="0099242D"/>
    <w:rsid w:val="0099260C"/>
    <w:rsid w:val="009937E7"/>
    <w:rsid w:val="00993CCB"/>
    <w:rsid w:val="00994810"/>
    <w:rsid w:val="00994FEA"/>
    <w:rsid w:val="00995868"/>
    <w:rsid w:val="009970CD"/>
    <w:rsid w:val="00997EBA"/>
    <w:rsid w:val="009A28BC"/>
    <w:rsid w:val="009A3D38"/>
    <w:rsid w:val="009A491D"/>
    <w:rsid w:val="009A5704"/>
    <w:rsid w:val="009A5855"/>
    <w:rsid w:val="009A5902"/>
    <w:rsid w:val="009A5AF6"/>
    <w:rsid w:val="009A60C1"/>
    <w:rsid w:val="009A6240"/>
    <w:rsid w:val="009A6C23"/>
    <w:rsid w:val="009A7406"/>
    <w:rsid w:val="009A79C8"/>
    <w:rsid w:val="009B083B"/>
    <w:rsid w:val="009B0FA4"/>
    <w:rsid w:val="009B0FFB"/>
    <w:rsid w:val="009B14ED"/>
    <w:rsid w:val="009B1ED1"/>
    <w:rsid w:val="009B2053"/>
    <w:rsid w:val="009B3E9C"/>
    <w:rsid w:val="009B425C"/>
    <w:rsid w:val="009B42E3"/>
    <w:rsid w:val="009B4401"/>
    <w:rsid w:val="009B4645"/>
    <w:rsid w:val="009B47BA"/>
    <w:rsid w:val="009B4D97"/>
    <w:rsid w:val="009B6088"/>
    <w:rsid w:val="009B6B05"/>
    <w:rsid w:val="009B78FF"/>
    <w:rsid w:val="009C0133"/>
    <w:rsid w:val="009C11D1"/>
    <w:rsid w:val="009C12B4"/>
    <w:rsid w:val="009C2B8A"/>
    <w:rsid w:val="009C431B"/>
    <w:rsid w:val="009C5E3B"/>
    <w:rsid w:val="009D145B"/>
    <w:rsid w:val="009D14AC"/>
    <w:rsid w:val="009D16AD"/>
    <w:rsid w:val="009D197D"/>
    <w:rsid w:val="009D1A08"/>
    <w:rsid w:val="009D221D"/>
    <w:rsid w:val="009D2B6F"/>
    <w:rsid w:val="009D33F3"/>
    <w:rsid w:val="009D38B6"/>
    <w:rsid w:val="009D3D4A"/>
    <w:rsid w:val="009D4974"/>
    <w:rsid w:val="009D4D06"/>
    <w:rsid w:val="009D5850"/>
    <w:rsid w:val="009D6232"/>
    <w:rsid w:val="009D6A94"/>
    <w:rsid w:val="009D7312"/>
    <w:rsid w:val="009D745A"/>
    <w:rsid w:val="009E13ED"/>
    <w:rsid w:val="009E1BAF"/>
    <w:rsid w:val="009E337E"/>
    <w:rsid w:val="009E44A8"/>
    <w:rsid w:val="009E4C1B"/>
    <w:rsid w:val="009E5968"/>
    <w:rsid w:val="009F085F"/>
    <w:rsid w:val="009F0C80"/>
    <w:rsid w:val="009F341D"/>
    <w:rsid w:val="009F3835"/>
    <w:rsid w:val="009F7F30"/>
    <w:rsid w:val="00A00BB9"/>
    <w:rsid w:val="00A017BD"/>
    <w:rsid w:val="00A02DFB"/>
    <w:rsid w:val="00A033E5"/>
    <w:rsid w:val="00A045CB"/>
    <w:rsid w:val="00A049A8"/>
    <w:rsid w:val="00A04A3A"/>
    <w:rsid w:val="00A052EE"/>
    <w:rsid w:val="00A0580E"/>
    <w:rsid w:val="00A05C3E"/>
    <w:rsid w:val="00A06111"/>
    <w:rsid w:val="00A07BE7"/>
    <w:rsid w:val="00A109BB"/>
    <w:rsid w:val="00A12738"/>
    <w:rsid w:val="00A12913"/>
    <w:rsid w:val="00A12CCE"/>
    <w:rsid w:val="00A1344D"/>
    <w:rsid w:val="00A1426D"/>
    <w:rsid w:val="00A14650"/>
    <w:rsid w:val="00A14ECB"/>
    <w:rsid w:val="00A15257"/>
    <w:rsid w:val="00A172D7"/>
    <w:rsid w:val="00A1735E"/>
    <w:rsid w:val="00A175A0"/>
    <w:rsid w:val="00A17A72"/>
    <w:rsid w:val="00A20235"/>
    <w:rsid w:val="00A202E2"/>
    <w:rsid w:val="00A210B9"/>
    <w:rsid w:val="00A22CE8"/>
    <w:rsid w:val="00A23817"/>
    <w:rsid w:val="00A249BF"/>
    <w:rsid w:val="00A25EB4"/>
    <w:rsid w:val="00A2621A"/>
    <w:rsid w:val="00A2623C"/>
    <w:rsid w:val="00A275B2"/>
    <w:rsid w:val="00A31169"/>
    <w:rsid w:val="00A3186F"/>
    <w:rsid w:val="00A31F26"/>
    <w:rsid w:val="00A328C7"/>
    <w:rsid w:val="00A33356"/>
    <w:rsid w:val="00A349EF"/>
    <w:rsid w:val="00A36110"/>
    <w:rsid w:val="00A361F7"/>
    <w:rsid w:val="00A36219"/>
    <w:rsid w:val="00A36CE2"/>
    <w:rsid w:val="00A3717A"/>
    <w:rsid w:val="00A37709"/>
    <w:rsid w:val="00A37A4E"/>
    <w:rsid w:val="00A405D7"/>
    <w:rsid w:val="00A405EB"/>
    <w:rsid w:val="00A407FE"/>
    <w:rsid w:val="00A40E93"/>
    <w:rsid w:val="00A41CBD"/>
    <w:rsid w:val="00A43A59"/>
    <w:rsid w:val="00A43D8F"/>
    <w:rsid w:val="00A4490C"/>
    <w:rsid w:val="00A44E2A"/>
    <w:rsid w:val="00A454FA"/>
    <w:rsid w:val="00A464D8"/>
    <w:rsid w:val="00A47A8B"/>
    <w:rsid w:val="00A514BE"/>
    <w:rsid w:val="00A51990"/>
    <w:rsid w:val="00A52439"/>
    <w:rsid w:val="00A5258E"/>
    <w:rsid w:val="00A52DA3"/>
    <w:rsid w:val="00A53E79"/>
    <w:rsid w:val="00A54555"/>
    <w:rsid w:val="00A55036"/>
    <w:rsid w:val="00A55F91"/>
    <w:rsid w:val="00A56DF4"/>
    <w:rsid w:val="00A57A42"/>
    <w:rsid w:val="00A60AE3"/>
    <w:rsid w:val="00A60E87"/>
    <w:rsid w:val="00A6252A"/>
    <w:rsid w:val="00A631E0"/>
    <w:rsid w:val="00A634E8"/>
    <w:rsid w:val="00A63706"/>
    <w:rsid w:val="00A6405C"/>
    <w:rsid w:val="00A64355"/>
    <w:rsid w:val="00A65539"/>
    <w:rsid w:val="00A65626"/>
    <w:rsid w:val="00A659DF"/>
    <w:rsid w:val="00A65CA6"/>
    <w:rsid w:val="00A65EB8"/>
    <w:rsid w:val="00A67253"/>
    <w:rsid w:val="00A67289"/>
    <w:rsid w:val="00A67554"/>
    <w:rsid w:val="00A67CF5"/>
    <w:rsid w:val="00A67D37"/>
    <w:rsid w:val="00A67D52"/>
    <w:rsid w:val="00A67E65"/>
    <w:rsid w:val="00A70168"/>
    <w:rsid w:val="00A71071"/>
    <w:rsid w:val="00A71A8D"/>
    <w:rsid w:val="00A72051"/>
    <w:rsid w:val="00A72228"/>
    <w:rsid w:val="00A72433"/>
    <w:rsid w:val="00A725F1"/>
    <w:rsid w:val="00A72EC4"/>
    <w:rsid w:val="00A73673"/>
    <w:rsid w:val="00A73D3D"/>
    <w:rsid w:val="00A73DD8"/>
    <w:rsid w:val="00A74D67"/>
    <w:rsid w:val="00A7552F"/>
    <w:rsid w:val="00A755C6"/>
    <w:rsid w:val="00A7574A"/>
    <w:rsid w:val="00A76403"/>
    <w:rsid w:val="00A765B2"/>
    <w:rsid w:val="00A807DD"/>
    <w:rsid w:val="00A81024"/>
    <w:rsid w:val="00A81276"/>
    <w:rsid w:val="00A81838"/>
    <w:rsid w:val="00A81DC2"/>
    <w:rsid w:val="00A839E4"/>
    <w:rsid w:val="00A8425A"/>
    <w:rsid w:val="00A8463C"/>
    <w:rsid w:val="00A84A5D"/>
    <w:rsid w:val="00A84CFB"/>
    <w:rsid w:val="00A84E75"/>
    <w:rsid w:val="00A85325"/>
    <w:rsid w:val="00A86034"/>
    <w:rsid w:val="00A86DDA"/>
    <w:rsid w:val="00A87195"/>
    <w:rsid w:val="00A87AA7"/>
    <w:rsid w:val="00A87FD2"/>
    <w:rsid w:val="00A90188"/>
    <w:rsid w:val="00A9024D"/>
    <w:rsid w:val="00A913CC"/>
    <w:rsid w:val="00A91787"/>
    <w:rsid w:val="00A92189"/>
    <w:rsid w:val="00A922AE"/>
    <w:rsid w:val="00A92BD4"/>
    <w:rsid w:val="00A9453C"/>
    <w:rsid w:val="00A95217"/>
    <w:rsid w:val="00A96C1E"/>
    <w:rsid w:val="00A9751A"/>
    <w:rsid w:val="00A976D5"/>
    <w:rsid w:val="00A97F74"/>
    <w:rsid w:val="00A97FD3"/>
    <w:rsid w:val="00AA1EFB"/>
    <w:rsid w:val="00AA3598"/>
    <w:rsid w:val="00AA3B7D"/>
    <w:rsid w:val="00AA3E0D"/>
    <w:rsid w:val="00AA426C"/>
    <w:rsid w:val="00AA4349"/>
    <w:rsid w:val="00AA47C9"/>
    <w:rsid w:val="00AA48F4"/>
    <w:rsid w:val="00AA4CE6"/>
    <w:rsid w:val="00AA5346"/>
    <w:rsid w:val="00AA56D9"/>
    <w:rsid w:val="00AA5B25"/>
    <w:rsid w:val="00AA5DF6"/>
    <w:rsid w:val="00AA6957"/>
    <w:rsid w:val="00AA6ED5"/>
    <w:rsid w:val="00AA7118"/>
    <w:rsid w:val="00AA7229"/>
    <w:rsid w:val="00AA7757"/>
    <w:rsid w:val="00AB0CC1"/>
    <w:rsid w:val="00AB19CD"/>
    <w:rsid w:val="00AB19F1"/>
    <w:rsid w:val="00AB26C1"/>
    <w:rsid w:val="00AB26E0"/>
    <w:rsid w:val="00AB299B"/>
    <w:rsid w:val="00AB3021"/>
    <w:rsid w:val="00AB36FB"/>
    <w:rsid w:val="00AB3E8D"/>
    <w:rsid w:val="00AB4064"/>
    <w:rsid w:val="00AB4E78"/>
    <w:rsid w:val="00AB6B72"/>
    <w:rsid w:val="00AB75A0"/>
    <w:rsid w:val="00AC0AFD"/>
    <w:rsid w:val="00AC22C2"/>
    <w:rsid w:val="00AC25F3"/>
    <w:rsid w:val="00AC26D7"/>
    <w:rsid w:val="00AC2880"/>
    <w:rsid w:val="00AC316C"/>
    <w:rsid w:val="00AC37A3"/>
    <w:rsid w:val="00AC401F"/>
    <w:rsid w:val="00AC4A54"/>
    <w:rsid w:val="00AC4BCC"/>
    <w:rsid w:val="00AC4BEC"/>
    <w:rsid w:val="00AC5277"/>
    <w:rsid w:val="00AC5968"/>
    <w:rsid w:val="00AC5AA6"/>
    <w:rsid w:val="00AC5C3C"/>
    <w:rsid w:val="00AC656F"/>
    <w:rsid w:val="00AC6C3D"/>
    <w:rsid w:val="00AC7028"/>
    <w:rsid w:val="00AD0509"/>
    <w:rsid w:val="00AD1003"/>
    <w:rsid w:val="00AD33F3"/>
    <w:rsid w:val="00AD47A6"/>
    <w:rsid w:val="00AD5B91"/>
    <w:rsid w:val="00AD5D95"/>
    <w:rsid w:val="00AD72D7"/>
    <w:rsid w:val="00AE014D"/>
    <w:rsid w:val="00AE0475"/>
    <w:rsid w:val="00AE0608"/>
    <w:rsid w:val="00AE06C0"/>
    <w:rsid w:val="00AE136B"/>
    <w:rsid w:val="00AE167B"/>
    <w:rsid w:val="00AE227D"/>
    <w:rsid w:val="00AE2999"/>
    <w:rsid w:val="00AE3437"/>
    <w:rsid w:val="00AE344C"/>
    <w:rsid w:val="00AE3E22"/>
    <w:rsid w:val="00AE4BEE"/>
    <w:rsid w:val="00AE4FBF"/>
    <w:rsid w:val="00AE55D4"/>
    <w:rsid w:val="00AE587C"/>
    <w:rsid w:val="00AE5FA8"/>
    <w:rsid w:val="00AE63E2"/>
    <w:rsid w:val="00AE7415"/>
    <w:rsid w:val="00AE7ACD"/>
    <w:rsid w:val="00AE7C2E"/>
    <w:rsid w:val="00AF0A2E"/>
    <w:rsid w:val="00AF0B28"/>
    <w:rsid w:val="00AF0F06"/>
    <w:rsid w:val="00AF164D"/>
    <w:rsid w:val="00AF193C"/>
    <w:rsid w:val="00AF1C6F"/>
    <w:rsid w:val="00AF1F63"/>
    <w:rsid w:val="00AF2CF0"/>
    <w:rsid w:val="00AF3DC4"/>
    <w:rsid w:val="00AF3F06"/>
    <w:rsid w:val="00AF4913"/>
    <w:rsid w:val="00AF5A63"/>
    <w:rsid w:val="00AF5EB7"/>
    <w:rsid w:val="00AF721A"/>
    <w:rsid w:val="00AF79BD"/>
    <w:rsid w:val="00B0052E"/>
    <w:rsid w:val="00B01482"/>
    <w:rsid w:val="00B014FC"/>
    <w:rsid w:val="00B01FF9"/>
    <w:rsid w:val="00B02287"/>
    <w:rsid w:val="00B02A67"/>
    <w:rsid w:val="00B0575E"/>
    <w:rsid w:val="00B06040"/>
    <w:rsid w:val="00B06126"/>
    <w:rsid w:val="00B07429"/>
    <w:rsid w:val="00B07C32"/>
    <w:rsid w:val="00B07C94"/>
    <w:rsid w:val="00B07D37"/>
    <w:rsid w:val="00B11830"/>
    <w:rsid w:val="00B131E1"/>
    <w:rsid w:val="00B136CE"/>
    <w:rsid w:val="00B1407D"/>
    <w:rsid w:val="00B15047"/>
    <w:rsid w:val="00B15818"/>
    <w:rsid w:val="00B217A7"/>
    <w:rsid w:val="00B23168"/>
    <w:rsid w:val="00B23242"/>
    <w:rsid w:val="00B23B79"/>
    <w:rsid w:val="00B251EA"/>
    <w:rsid w:val="00B25A62"/>
    <w:rsid w:val="00B25D93"/>
    <w:rsid w:val="00B25F7A"/>
    <w:rsid w:val="00B262D8"/>
    <w:rsid w:val="00B267D7"/>
    <w:rsid w:val="00B26CF9"/>
    <w:rsid w:val="00B26DFE"/>
    <w:rsid w:val="00B272BD"/>
    <w:rsid w:val="00B27FB8"/>
    <w:rsid w:val="00B30A00"/>
    <w:rsid w:val="00B3298C"/>
    <w:rsid w:val="00B33C5D"/>
    <w:rsid w:val="00B34040"/>
    <w:rsid w:val="00B34897"/>
    <w:rsid w:val="00B34B28"/>
    <w:rsid w:val="00B34EA2"/>
    <w:rsid w:val="00B35FD2"/>
    <w:rsid w:val="00B362BB"/>
    <w:rsid w:val="00B36EE1"/>
    <w:rsid w:val="00B36F3C"/>
    <w:rsid w:val="00B36FB5"/>
    <w:rsid w:val="00B37FAA"/>
    <w:rsid w:val="00B37FB3"/>
    <w:rsid w:val="00B41555"/>
    <w:rsid w:val="00B4196A"/>
    <w:rsid w:val="00B41EC2"/>
    <w:rsid w:val="00B421FE"/>
    <w:rsid w:val="00B42682"/>
    <w:rsid w:val="00B42A22"/>
    <w:rsid w:val="00B42C51"/>
    <w:rsid w:val="00B42CB5"/>
    <w:rsid w:val="00B43708"/>
    <w:rsid w:val="00B439CC"/>
    <w:rsid w:val="00B43B3C"/>
    <w:rsid w:val="00B43D7C"/>
    <w:rsid w:val="00B43FFC"/>
    <w:rsid w:val="00B44DBC"/>
    <w:rsid w:val="00B45230"/>
    <w:rsid w:val="00B45CC4"/>
    <w:rsid w:val="00B473B1"/>
    <w:rsid w:val="00B474BC"/>
    <w:rsid w:val="00B47688"/>
    <w:rsid w:val="00B50285"/>
    <w:rsid w:val="00B51BCE"/>
    <w:rsid w:val="00B5296B"/>
    <w:rsid w:val="00B539F7"/>
    <w:rsid w:val="00B53FF4"/>
    <w:rsid w:val="00B56A6F"/>
    <w:rsid w:val="00B57E97"/>
    <w:rsid w:val="00B6106F"/>
    <w:rsid w:val="00B6108C"/>
    <w:rsid w:val="00B61431"/>
    <w:rsid w:val="00B6209B"/>
    <w:rsid w:val="00B6232E"/>
    <w:rsid w:val="00B626ED"/>
    <w:rsid w:val="00B628ED"/>
    <w:rsid w:val="00B62BAC"/>
    <w:rsid w:val="00B62CEC"/>
    <w:rsid w:val="00B63369"/>
    <w:rsid w:val="00B63570"/>
    <w:rsid w:val="00B6362B"/>
    <w:rsid w:val="00B6467E"/>
    <w:rsid w:val="00B647FD"/>
    <w:rsid w:val="00B65C97"/>
    <w:rsid w:val="00B703F3"/>
    <w:rsid w:val="00B706C6"/>
    <w:rsid w:val="00B713FA"/>
    <w:rsid w:val="00B71DCB"/>
    <w:rsid w:val="00B720AE"/>
    <w:rsid w:val="00B737E5"/>
    <w:rsid w:val="00B75357"/>
    <w:rsid w:val="00B75DA5"/>
    <w:rsid w:val="00B75EDE"/>
    <w:rsid w:val="00B77EB1"/>
    <w:rsid w:val="00B80A64"/>
    <w:rsid w:val="00B814D0"/>
    <w:rsid w:val="00B820BA"/>
    <w:rsid w:val="00B826C6"/>
    <w:rsid w:val="00B829AD"/>
    <w:rsid w:val="00B842DD"/>
    <w:rsid w:val="00B849FE"/>
    <w:rsid w:val="00B85622"/>
    <w:rsid w:val="00B85EC7"/>
    <w:rsid w:val="00B8610B"/>
    <w:rsid w:val="00B8671C"/>
    <w:rsid w:val="00B86E03"/>
    <w:rsid w:val="00B87C12"/>
    <w:rsid w:val="00B91313"/>
    <w:rsid w:val="00B91C04"/>
    <w:rsid w:val="00B943A8"/>
    <w:rsid w:val="00B94696"/>
    <w:rsid w:val="00B94BAD"/>
    <w:rsid w:val="00B953CF"/>
    <w:rsid w:val="00B96074"/>
    <w:rsid w:val="00B960CB"/>
    <w:rsid w:val="00B965BB"/>
    <w:rsid w:val="00B9776A"/>
    <w:rsid w:val="00B97C8D"/>
    <w:rsid w:val="00B97FC2"/>
    <w:rsid w:val="00BA0C61"/>
    <w:rsid w:val="00BA1210"/>
    <w:rsid w:val="00BA1A17"/>
    <w:rsid w:val="00BA1D2B"/>
    <w:rsid w:val="00BA1ECE"/>
    <w:rsid w:val="00BA44F4"/>
    <w:rsid w:val="00BA452D"/>
    <w:rsid w:val="00BA4CA4"/>
    <w:rsid w:val="00BA58BB"/>
    <w:rsid w:val="00BA69A9"/>
    <w:rsid w:val="00BA6E38"/>
    <w:rsid w:val="00BA7778"/>
    <w:rsid w:val="00BA78D7"/>
    <w:rsid w:val="00BA7A49"/>
    <w:rsid w:val="00BB0037"/>
    <w:rsid w:val="00BB1386"/>
    <w:rsid w:val="00BB18F8"/>
    <w:rsid w:val="00BB2AEC"/>
    <w:rsid w:val="00BB30FC"/>
    <w:rsid w:val="00BB376C"/>
    <w:rsid w:val="00BB4369"/>
    <w:rsid w:val="00BB5008"/>
    <w:rsid w:val="00BB514D"/>
    <w:rsid w:val="00BB6401"/>
    <w:rsid w:val="00BB6AAB"/>
    <w:rsid w:val="00BB71BF"/>
    <w:rsid w:val="00BC239C"/>
    <w:rsid w:val="00BC3E9C"/>
    <w:rsid w:val="00BC41A0"/>
    <w:rsid w:val="00BC4498"/>
    <w:rsid w:val="00BC4E2E"/>
    <w:rsid w:val="00BC52DC"/>
    <w:rsid w:val="00BC6808"/>
    <w:rsid w:val="00BC6F69"/>
    <w:rsid w:val="00BC7C20"/>
    <w:rsid w:val="00BC7CC1"/>
    <w:rsid w:val="00BD01EA"/>
    <w:rsid w:val="00BD0BDA"/>
    <w:rsid w:val="00BD11D2"/>
    <w:rsid w:val="00BD241B"/>
    <w:rsid w:val="00BD2F8F"/>
    <w:rsid w:val="00BD3030"/>
    <w:rsid w:val="00BD59B6"/>
    <w:rsid w:val="00BD5F60"/>
    <w:rsid w:val="00BD675D"/>
    <w:rsid w:val="00BD7AC0"/>
    <w:rsid w:val="00BE03A4"/>
    <w:rsid w:val="00BE2033"/>
    <w:rsid w:val="00BE4698"/>
    <w:rsid w:val="00BE5110"/>
    <w:rsid w:val="00BE6AC7"/>
    <w:rsid w:val="00BE7961"/>
    <w:rsid w:val="00BF00C8"/>
    <w:rsid w:val="00BF10AA"/>
    <w:rsid w:val="00BF27C1"/>
    <w:rsid w:val="00BF2B79"/>
    <w:rsid w:val="00BF3369"/>
    <w:rsid w:val="00BF3CF5"/>
    <w:rsid w:val="00BF5B4C"/>
    <w:rsid w:val="00BF5C87"/>
    <w:rsid w:val="00BF5F26"/>
    <w:rsid w:val="00BF7BC8"/>
    <w:rsid w:val="00BF7F8F"/>
    <w:rsid w:val="00C0116A"/>
    <w:rsid w:val="00C014DB"/>
    <w:rsid w:val="00C0175C"/>
    <w:rsid w:val="00C01798"/>
    <w:rsid w:val="00C01915"/>
    <w:rsid w:val="00C0260F"/>
    <w:rsid w:val="00C0289D"/>
    <w:rsid w:val="00C02DC4"/>
    <w:rsid w:val="00C034ED"/>
    <w:rsid w:val="00C05339"/>
    <w:rsid w:val="00C0534E"/>
    <w:rsid w:val="00C0687E"/>
    <w:rsid w:val="00C069F7"/>
    <w:rsid w:val="00C07460"/>
    <w:rsid w:val="00C10D58"/>
    <w:rsid w:val="00C11DF4"/>
    <w:rsid w:val="00C1309D"/>
    <w:rsid w:val="00C13529"/>
    <w:rsid w:val="00C14A7A"/>
    <w:rsid w:val="00C15BE1"/>
    <w:rsid w:val="00C1655C"/>
    <w:rsid w:val="00C214AA"/>
    <w:rsid w:val="00C21716"/>
    <w:rsid w:val="00C2196C"/>
    <w:rsid w:val="00C2234E"/>
    <w:rsid w:val="00C24B3F"/>
    <w:rsid w:val="00C24F91"/>
    <w:rsid w:val="00C25C34"/>
    <w:rsid w:val="00C25D64"/>
    <w:rsid w:val="00C265F3"/>
    <w:rsid w:val="00C26BA3"/>
    <w:rsid w:val="00C306E6"/>
    <w:rsid w:val="00C31443"/>
    <w:rsid w:val="00C32A4E"/>
    <w:rsid w:val="00C32D98"/>
    <w:rsid w:val="00C32EE7"/>
    <w:rsid w:val="00C33328"/>
    <w:rsid w:val="00C3399E"/>
    <w:rsid w:val="00C3425E"/>
    <w:rsid w:val="00C34B4C"/>
    <w:rsid w:val="00C34F13"/>
    <w:rsid w:val="00C35BA3"/>
    <w:rsid w:val="00C362CF"/>
    <w:rsid w:val="00C36353"/>
    <w:rsid w:val="00C36449"/>
    <w:rsid w:val="00C36711"/>
    <w:rsid w:val="00C36F10"/>
    <w:rsid w:val="00C40918"/>
    <w:rsid w:val="00C414CC"/>
    <w:rsid w:val="00C41559"/>
    <w:rsid w:val="00C41E33"/>
    <w:rsid w:val="00C42BD9"/>
    <w:rsid w:val="00C44240"/>
    <w:rsid w:val="00C44552"/>
    <w:rsid w:val="00C44E6A"/>
    <w:rsid w:val="00C457EE"/>
    <w:rsid w:val="00C4590A"/>
    <w:rsid w:val="00C45966"/>
    <w:rsid w:val="00C4692B"/>
    <w:rsid w:val="00C504D0"/>
    <w:rsid w:val="00C50583"/>
    <w:rsid w:val="00C506CC"/>
    <w:rsid w:val="00C511BE"/>
    <w:rsid w:val="00C51F92"/>
    <w:rsid w:val="00C52180"/>
    <w:rsid w:val="00C53AAF"/>
    <w:rsid w:val="00C53B2A"/>
    <w:rsid w:val="00C54382"/>
    <w:rsid w:val="00C55C4F"/>
    <w:rsid w:val="00C572D3"/>
    <w:rsid w:val="00C57308"/>
    <w:rsid w:val="00C5743C"/>
    <w:rsid w:val="00C57587"/>
    <w:rsid w:val="00C578C0"/>
    <w:rsid w:val="00C60EBF"/>
    <w:rsid w:val="00C616B6"/>
    <w:rsid w:val="00C61752"/>
    <w:rsid w:val="00C6435B"/>
    <w:rsid w:val="00C65D2B"/>
    <w:rsid w:val="00C65FBC"/>
    <w:rsid w:val="00C6672C"/>
    <w:rsid w:val="00C66B15"/>
    <w:rsid w:val="00C67E70"/>
    <w:rsid w:val="00C7096D"/>
    <w:rsid w:val="00C7099A"/>
    <w:rsid w:val="00C71F44"/>
    <w:rsid w:val="00C736CA"/>
    <w:rsid w:val="00C737EB"/>
    <w:rsid w:val="00C7462D"/>
    <w:rsid w:val="00C7479B"/>
    <w:rsid w:val="00C74F37"/>
    <w:rsid w:val="00C76168"/>
    <w:rsid w:val="00C769E0"/>
    <w:rsid w:val="00C76E58"/>
    <w:rsid w:val="00C811A7"/>
    <w:rsid w:val="00C813E0"/>
    <w:rsid w:val="00C8183D"/>
    <w:rsid w:val="00C81A32"/>
    <w:rsid w:val="00C81A8E"/>
    <w:rsid w:val="00C81ABA"/>
    <w:rsid w:val="00C81B04"/>
    <w:rsid w:val="00C82473"/>
    <w:rsid w:val="00C826C7"/>
    <w:rsid w:val="00C82759"/>
    <w:rsid w:val="00C82EFA"/>
    <w:rsid w:val="00C84D16"/>
    <w:rsid w:val="00C851A0"/>
    <w:rsid w:val="00C856BB"/>
    <w:rsid w:val="00C86534"/>
    <w:rsid w:val="00C86BEF"/>
    <w:rsid w:val="00C86F57"/>
    <w:rsid w:val="00C87734"/>
    <w:rsid w:val="00C878F3"/>
    <w:rsid w:val="00C9045A"/>
    <w:rsid w:val="00C91E8F"/>
    <w:rsid w:val="00C9242C"/>
    <w:rsid w:val="00C93E94"/>
    <w:rsid w:val="00C94400"/>
    <w:rsid w:val="00C9467B"/>
    <w:rsid w:val="00C951B0"/>
    <w:rsid w:val="00C958B9"/>
    <w:rsid w:val="00C95B80"/>
    <w:rsid w:val="00C95D07"/>
    <w:rsid w:val="00C968EF"/>
    <w:rsid w:val="00C96BC4"/>
    <w:rsid w:val="00C96D7A"/>
    <w:rsid w:val="00C9722E"/>
    <w:rsid w:val="00C974F6"/>
    <w:rsid w:val="00C975B7"/>
    <w:rsid w:val="00C97ED0"/>
    <w:rsid w:val="00CA0E21"/>
    <w:rsid w:val="00CA1487"/>
    <w:rsid w:val="00CA2A67"/>
    <w:rsid w:val="00CA3CF3"/>
    <w:rsid w:val="00CA4416"/>
    <w:rsid w:val="00CA46EB"/>
    <w:rsid w:val="00CA5787"/>
    <w:rsid w:val="00CA702D"/>
    <w:rsid w:val="00CB00BB"/>
    <w:rsid w:val="00CB06E2"/>
    <w:rsid w:val="00CB095E"/>
    <w:rsid w:val="00CB0ED1"/>
    <w:rsid w:val="00CB104A"/>
    <w:rsid w:val="00CB1DD5"/>
    <w:rsid w:val="00CB209A"/>
    <w:rsid w:val="00CB2338"/>
    <w:rsid w:val="00CB23FD"/>
    <w:rsid w:val="00CB3C0F"/>
    <w:rsid w:val="00CB3E52"/>
    <w:rsid w:val="00CB4455"/>
    <w:rsid w:val="00CB5A71"/>
    <w:rsid w:val="00CB5AB6"/>
    <w:rsid w:val="00CB5CA1"/>
    <w:rsid w:val="00CB60AA"/>
    <w:rsid w:val="00CB776C"/>
    <w:rsid w:val="00CB79AF"/>
    <w:rsid w:val="00CC0878"/>
    <w:rsid w:val="00CC1FB3"/>
    <w:rsid w:val="00CC3903"/>
    <w:rsid w:val="00CC3FE3"/>
    <w:rsid w:val="00CC4945"/>
    <w:rsid w:val="00CC4C1B"/>
    <w:rsid w:val="00CC527B"/>
    <w:rsid w:val="00CC59A6"/>
    <w:rsid w:val="00CC782F"/>
    <w:rsid w:val="00CC7CD7"/>
    <w:rsid w:val="00CC7FEC"/>
    <w:rsid w:val="00CD15B6"/>
    <w:rsid w:val="00CD22E8"/>
    <w:rsid w:val="00CD2386"/>
    <w:rsid w:val="00CD2686"/>
    <w:rsid w:val="00CD3B9E"/>
    <w:rsid w:val="00CD3E31"/>
    <w:rsid w:val="00CD468D"/>
    <w:rsid w:val="00CD4900"/>
    <w:rsid w:val="00CD628A"/>
    <w:rsid w:val="00CD7670"/>
    <w:rsid w:val="00CD7893"/>
    <w:rsid w:val="00CD78B3"/>
    <w:rsid w:val="00CD78F1"/>
    <w:rsid w:val="00CD7EDB"/>
    <w:rsid w:val="00CE02CB"/>
    <w:rsid w:val="00CE08B8"/>
    <w:rsid w:val="00CE1039"/>
    <w:rsid w:val="00CE197F"/>
    <w:rsid w:val="00CE2497"/>
    <w:rsid w:val="00CE2BAC"/>
    <w:rsid w:val="00CE39FF"/>
    <w:rsid w:val="00CE45EB"/>
    <w:rsid w:val="00CE4891"/>
    <w:rsid w:val="00CE4895"/>
    <w:rsid w:val="00CE48E0"/>
    <w:rsid w:val="00CE577A"/>
    <w:rsid w:val="00CE6562"/>
    <w:rsid w:val="00CE6E13"/>
    <w:rsid w:val="00CE78C6"/>
    <w:rsid w:val="00CF0A94"/>
    <w:rsid w:val="00CF10BA"/>
    <w:rsid w:val="00CF1AE3"/>
    <w:rsid w:val="00CF3598"/>
    <w:rsid w:val="00CF3859"/>
    <w:rsid w:val="00CF3CAD"/>
    <w:rsid w:val="00CF3D75"/>
    <w:rsid w:val="00CF4178"/>
    <w:rsid w:val="00CF4628"/>
    <w:rsid w:val="00CF5F47"/>
    <w:rsid w:val="00CF61C8"/>
    <w:rsid w:val="00CF6FD8"/>
    <w:rsid w:val="00CF6FDE"/>
    <w:rsid w:val="00D001EF"/>
    <w:rsid w:val="00D00805"/>
    <w:rsid w:val="00D010EA"/>
    <w:rsid w:val="00D01303"/>
    <w:rsid w:val="00D01851"/>
    <w:rsid w:val="00D0191D"/>
    <w:rsid w:val="00D01B23"/>
    <w:rsid w:val="00D02FC9"/>
    <w:rsid w:val="00D03418"/>
    <w:rsid w:val="00D0363B"/>
    <w:rsid w:val="00D047E3"/>
    <w:rsid w:val="00D04B24"/>
    <w:rsid w:val="00D0503F"/>
    <w:rsid w:val="00D059DA"/>
    <w:rsid w:val="00D06A7D"/>
    <w:rsid w:val="00D06F76"/>
    <w:rsid w:val="00D0755C"/>
    <w:rsid w:val="00D100A8"/>
    <w:rsid w:val="00D106CB"/>
    <w:rsid w:val="00D10E21"/>
    <w:rsid w:val="00D113CF"/>
    <w:rsid w:val="00D13762"/>
    <w:rsid w:val="00D1444B"/>
    <w:rsid w:val="00D14885"/>
    <w:rsid w:val="00D150BB"/>
    <w:rsid w:val="00D1511B"/>
    <w:rsid w:val="00D15658"/>
    <w:rsid w:val="00D15E13"/>
    <w:rsid w:val="00D16517"/>
    <w:rsid w:val="00D179DF"/>
    <w:rsid w:val="00D17C63"/>
    <w:rsid w:val="00D17EF1"/>
    <w:rsid w:val="00D20080"/>
    <w:rsid w:val="00D203C0"/>
    <w:rsid w:val="00D21750"/>
    <w:rsid w:val="00D23684"/>
    <w:rsid w:val="00D238A8"/>
    <w:rsid w:val="00D23BB4"/>
    <w:rsid w:val="00D23DC8"/>
    <w:rsid w:val="00D23E12"/>
    <w:rsid w:val="00D241B3"/>
    <w:rsid w:val="00D24E99"/>
    <w:rsid w:val="00D2574F"/>
    <w:rsid w:val="00D259A8"/>
    <w:rsid w:val="00D25B60"/>
    <w:rsid w:val="00D266CE"/>
    <w:rsid w:val="00D30658"/>
    <w:rsid w:val="00D30AF7"/>
    <w:rsid w:val="00D3116B"/>
    <w:rsid w:val="00D31C2B"/>
    <w:rsid w:val="00D32105"/>
    <w:rsid w:val="00D32357"/>
    <w:rsid w:val="00D34337"/>
    <w:rsid w:val="00D3468D"/>
    <w:rsid w:val="00D34CA8"/>
    <w:rsid w:val="00D34E48"/>
    <w:rsid w:val="00D36767"/>
    <w:rsid w:val="00D36982"/>
    <w:rsid w:val="00D36D8B"/>
    <w:rsid w:val="00D36FFE"/>
    <w:rsid w:val="00D370E3"/>
    <w:rsid w:val="00D372B7"/>
    <w:rsid w:val="00D408B0"/>
    <w:rsid w:val="00D40A31"/>
    <w:rsid w:val="00D41FBF"/>
    <w:rsid w:val="00D424DC"/>
    <w:rsid w:val="00D424EB"/>
    <w:rsid w:val="00D4356C"/>
    <w:rsid w:val="00D43B14"/>
    <w:rsid w:val="00D44003"/>
    <w:rsid w:val="00D45114"/>
    <w:rsid w:val="00D453E5"/>
    <w:rsid w:val="00D4572F"/>
    <w:rsid w:val="00D45F8B"/>
    <w:rsid w:val="00D477C3"/>
    <w:rsid w:val="00D50B8F"/>
    <w:rsid w:val="00D52767"/>
    <w:rsid w:val="00D53AD0"/>
    <w:rsid w:val="00D54060"/>
    <w:rsid w:val="00D5467E"/>
    <w:rsid w:val="00D5581E"/>
    <w:rsid w:val="00D55A4E"/>
    <w:rsid w:val="00D55C66"/>
    <w:rsid w:val="00D55F53"/>
    <w:rsid w:val="00D55F83"/>
    <w:rsid w:val="00D56596"/>
    <w:rsid w:val="00D56668"/>
    <w:rsid w:val="00D56F2B"/>
    <w:rsid w:val="00D574B9"/>
    <w:rsid w:val="00D60847"/>
    <w:rsid w:val="00D63C77"/>
    <w:rsid w:val="00D63E14"/>
    <w:rsid w:val="00D63F39"/>
    <w:rsid w:val="00D640D5"/>
    <w:rsid w:val="00D646B1"/>
    <w:rsid w:val="00D64CCC"/>
    <w:rsid w:val="00D64E16"/>
    <w:rsid w:val="00D661A7"/>
    <w:rsid w:val="00D668B7"/>
    <w:rsid w:val="00D66FAE"/>
    <w:rsid w:val="00D70112"/>
    <w:rsid w:val="00D72422"/>
    <w:rsid w:val="00D74772"/>
    <w:rsid w:val="00D74DB9"/>
    <w:rsid w:val="00D74FCA"/>
    <w:rsid w:val="00D7648B"/>
    <w:rsid w:val="00D80AE9"/>
    <w:rsid w:val="00D81787"/>
    <w:rsid w:val="00D8265A"/>
    <w:rsid w:val="00D82AC8"/>
    <w:rsid w:val="00D82EC0"/>
    <w:rsid w:val="00D83631"/>
    <w:rsid w:val="00D84FDE"/>
    <w:rsid w:val="00D8789C"/>
    <w:rsid w:val="00D90295"/>
    <w:rsid w:val="00D90392"/>
    <w:rsid w:val="00D907C0"/>
    <w:rsid w:val="00D90A15"/>
    <w:rsid w:val="00D90CFB"/>
    <w:rsid w:val="00D91A6F"/>
    <w:rsid w:val="00D91D76"/>
    <w:rsid w:val="00D93601"/>
    <w:rsid w:val="00D944B6"/>
    <w:rsid w:val="00D94616"/>
    <w:rsid w:val="00D957D0"/>
    <w:rsid w:val="00D95E74"/>
    <w:rsid w:val="00D960F8"/>
    <w:rsid w:val="00D96A13"/>
    <w:rsid w:val="00D97000"/>
    <w:rsid w:val="00D97497"/>
    <w:rsid w:val="00D97595"/>
    <w:rsid w:val="00D97D96"/>
    <w:rsid w:val="00DA0349"/>
    <w:rsid w:val="00DA0FB8"/>
    <w:rsid w:val="00DA1C9B"/>
    <w:rsid w:val="00DA36D6"/>
    <w:rsid w:val="00DA3D59"/>
    <w:rsid w:val="00DA3E81"/>
    <w:rsid w:val="00DA43F8"/>
    <w:rsid w:val="00DA43FC"/>
    <w:rsid w:val="00DA4460"/>
    <w:rsid w:val="00DA73D0"/>
    <w:rsid w:val="00DA7870"/>
    <w:rsid w:val="00DB26C9"/>
    <w:rsid w:val="00DB2C23"/>
    <w:rsid w:val="00DB3AB8"/>
    <w:rsid w:val="00DB41E1"/>
    <w:rsid w:val="00DB5263"/>
    <w:rsid w:val="00DB596C"/>
    <w:rsid w:val="00DB6737"/>
    <w:rsid w:val="00DB7BDA"/>
    <w:rsid w:val="00DB7CA9"/>
    <w:rsid w:val="00DC0995"/>
    <w:rsid w:val="00DC1E91"/>
    <w:rsid w:val="00DC3FB1"/>
    <w:rsid w:val="00DC51E9"/>
    <w:rsid w:val="00DC7530"/>
    <w:rsid w:val="00DC76B7"/>
    <w:rsid w:val="00DD01C4"/>
    <w:rsid w:val="00DD03CB"/>
    <w:rsid w:val="00DD0508"/>
    <w:rsid w:val="00DD061B"/>
    <w:rsid w:val="00DD0DF6"/>
    <w:rsid w:val="00DD0F0C"/>
    <w:rsid w:val="00DD32BA"/>
    <w:rsid w:val="00DD3817"/>
    <w:rsid w:val="00DD3F28"/>
    <w:rsid w:val="00DD3F82"/>
    <w:rsid w:val="00DD5045"/>
    <w:rsid w:val="00DD506E"/>
    <w:rsid w:val="00DD50A6"/>
    <w:rsid w:val="00DD54C4"/>
    <w:rsid w:val="00DD6972"/>
    <w:rsid w:val="00DD6B57"/>
    <w:rsid w:val="00DD70C6"/>
    <w:rsid w:val="00DD795E"/>
    <w:rsid w:val="00DD7AEE"/>
    <w:rsid w:val="00DD7D03"/>
    <w:rsid w:val="00DE081B"/>
    <w:rsid w:val="00DE0D41"/>
    <w:rsid w:val="00DE174B"/>
    <w:rsid w:val="00DE1CA5"/>
    <w:rsid w:val="00DE2299"/>
    <w:rsid w:val="00DE29E3"/>
    <w:rsid w:val="00DE303D"/>
    <w:rsid w:val="00DE30AE"/>
    <w:rsid w:val="00DE33AA"/>
    <w:rsid w:val="00DE37E3"/>
    <w:rsid w:val="00DE43F8"/>
    <w:rsid w:val="00DE5007"/>
    <w:rsid w:val="00DE52B9"/>
    <w:rsid w:val="00DE705C"/>
    <w:rsid w:val="00DE7443"/>
    <w:rsid w:val="00DF116E"/>
    <w:rsid w:val="00DF1507"/>
    <w:rsid w:val="00DF208F"/>
    <w:rsid w:val="00DF2CFA"/>
    <w:rsid w:val="00DF3025"/>
    <w:rsid w:val="00DF3A83"/>
    <w:rsid w:val="00DF45F0"/>
    <w:rsid w:val="00DF4D94"/>
    <w:rsid w:val="00DF5236"/>
    <w:rsid w:val="00DF5280"/>
    <w:rsid w:val="00DF57E2"/>
    <w:rsid w:val="00DF655A"/>
    <w:rsid w:val="00E008C9"/>
    <w:rsid w:val="00E00BAB"/>
    <w:rsid w:val="00E01D79"/>
    <w:rsid w:val="00E01F4A"/>
    <w:rsid w:val="00E021D4"/>
    <w:rsid w:val="00E02298"/>
    <w:rsid w:val="00E02CB7"/>
    <w:rsid w:val="00E03498"/>
    <w:rsid w:val="00E05A58"/>
    <w:rsid w:val="00E05C04"/>
    <w:rsid w:val="00E06B9B"/>
    <w:rsid w:val="00E07527"/>
    <w:rsid w:val="00E132F7"/>
    <w:rsid w:val="00E1553F"/>
    <w:rsid w:val="00E157A9"/>
    <w:rsid w:val="00E15EB6"/>
    <w:rsid w:val="00E16809"/>
    <w:rsid w:val="00E1781A"/>
    <w:rsid w:val="00E224CB"/>
    <w:rsid w:val="00E232CE"/>
    <w:rsid w:val="00E23E09"/>
    <w:rsid w:val="00E2416A"/>
    <w:rsid w:val="00E249E8"/>
    <w:rsid w:val="00E26D7C"/>
    <w:rsid w:val="00E274E7"/>
    <w:rsid w:val="00E27D1E"/>
    <w:rsid w:val="00E30278"/>
    <w:rsid w:val="00E31110"/>
    <w:rsid w:val="00E316A4"/>
    <w:rsid w:val="00E31B15"/>
    <w:rsid w:val="00E31D63"/>
    <w:rsid w:val="00E3373A"/>
    <w:rsid w:val="00E3446A"/>
    <w:rsid w:val="00E34561"/>
    <w:rsid w:val="00E35302"/>
    <w:rsid w:val="00E35F6B"/>
    <w:rsid w:val="00E36E61"/>
    <w:rsid w:val="00E3710D"/>
    <w:rsid w:val="00E374FB"/>
    <w:rsid w:val="00E41130"/>
    <w:rsid w:val="00E418C1"/>
    <w:rsid w:val="00E42F5B"/>
    <w:rsid w:val="00E43DC2"/>
    <w:rsid w:val="00E44FC9"/>
    <w:rsid w:val="00E46489"/>
    <w:rsid w:val="00E46BB7"/>
    <w:rsid w:val="00E47916"/>
    <w:rsid w:val="00E47E7D"/>
    <w:rsid w:val="00E5090E"/>
    <w:rsid w:val="00E50991"/>
    <w:rsid w:val="00E513A1"/>
    <w:rsid w:val="00E51C68"/>
    <w:rsid w:val="00E52B97"/>
    <w:rsid w:val="00E52BEC"/>
    <w:rsid w:val="00E537AF"/>
    <w:rsid w:val="00E53F58"/>
    <w:rsid w:val="00E540F9"/>
    <w:rsid w:val="00E54266"/>
    <w:rsid w:val="00E550E5"/>
    <w:rsid w:val="00E55148"/>
    <w:rsid w:val="00E5526A"/>
    <w:rsid w:val="00E55630"/>
    <w:rsid w:val="00E55E34"/>
    <w:rsid w:val="00E562AE"/>
    <w:rsid w:val="00E562C3"/>
    <w:rsid w:val="00E563BE"/>
    <w:rsid w:val="00E56963"/>
    <w:rsid w:val="00E56C81"/>
    <w:rsid w:val="00E5726D"/>
    <w:rsid w:val="00E60D83"/>
    <w:rsid w:val="00E61469"/>
    <w:rsid w:val="00E6224D"/>
    <w:rsid w:val="00E62B8D"/>
    <w:rsid w:val="00E646D8"/>
    <w:rsid w:val="00E64CB0"/>
    <w:rsid w:val="00E64D0E"/>
    <w:rsid w:val="00E65269"/>
    <w:rsid w:val="00E65BDF"/>
    <w:rsid w:val="00E663AF"/>
    <w:rsid w:val="00E667C3"/>
    <w:rsid w:val="00E66B48"/>
    <w:rsid w:val="00E66E57"/>
    <w:rsid w:val="00E67007"/>
    <w:rsid w:val="00E7071F"/>
    <w:rsid w:val="00E70D06"/>
    <w:rsid w:val="00E71CE4"/>
    <w:rsid w:val="00E727C5"/>
    <w:rsid w:val="00E734F6"/>
    <w:rsid w:val="00E735F9"/>
    <w:rsid w:val="00E736D9"/>
    <w:rsid w:val="00E73A62"/>
    <w:rsid w:val="00E73CAD"/>
    <w:rsid w:val="00E74842"/>
    <w:rsid w:val="00E75101"/>
    <w:rsid w:val="00E75A7D"/>
    <w:rsid w:val="00E76DCE"/>
    <w:rsid w:val="00E76FEF"/>
    <w:rsid w:val="00E80579"/>
    <w:rsid w:val="00E8068D"/>
    <w:rsid w:val="00E81079"/>
    <w:rsid w:val="00E81B47"/>
    <w:rsid w:val="00E81FDD"/>
    <w:rsid w:val="00E82709"/>
    <w:rsid w:val="00E8290C"/>
    <w:rsid w:val="00E82C2A"/>
    <w:rsid w:val="00E82EF7"/>
    <w:rsid w:val="00E83834"/>
    <w:rsid w:val="00E83CB9"/>
    <w:rsid w:val="00E8501B"/>
    <w:rsid w:val="00E85581"/>
    <w:rsid w:val="00E8559C"/>
    <w:rsid w:val="00E86DF7"/>
    <w:rsid w:val="00E87B29"/>
    <w:rsid w:val="00E87CE3"/>
    <w:rsid w:val="00E901CD"/>
    <w:rsid w:val="00E90739"/>
    <w:rsid w:val="00E90AE9"/>
    <w:rsid w:val="00E9169D"/>
    <w:rsid w:val="00E91967"/>
    <w:rsid w:val="00E9235A"/>
    <w:rsid w:val="00E927B7"/>
    <w:rsid w:val="00E946A4"/>
    <w:rsid w:val="00E95373"/>
    <w:rsid w:val="00E9640E"/>
    <w:rsid w:val="00E9779D"/>
    <w:rsid w:val="00E97A6D"/>
    <w:rsid w:val="00E97CC3"/>
    <w:rsid w:val="00EA1015"/>
    <w:rsid w:val="00EA138D"/>
    <w:rsid w:val="00EA14D0"/>
    <w:rsid w:val="00EA23F6"/>
    <w:rsid w:val="00EA2A95"/>
    <w:rsid w:val="00EA2F5E"/>
    <w:rsid w:val="00EA44DE"/>
    <w:rsid w:val="00EA5DA1"/>
    <w:rsid w:val="00EA5DD4"/>
    <w:rsid w:val="00EA76E3"/>
    <w:rsid w:val="00EB0293"/>
    <w:rsid w:val="00EB444A"/>
    <w:rsid w:val="00EB49C5"/>
    <w:rsid w:val="00EB509A"/>
    <w:rsid w:val="00EB6CB6"/>
    <w:rsid w:val="00EB7099"/>
    <w:rsid w:val="00EB7ECB"/>
    <w:rsid w:val="00EC01B9"/>
    <w:rsid w:val="00EC15F7"/>
    <w:rsid w:val="00EC23D2"/>
    <w:rsid w:val="00EC242F"/>
    <w:rsid w:val="00EC36A4"/>
    <w:rsid w:val="00EC36DA"/>
    <w:rsid w:val="00EC3DEB"/>
    <w:rsid w:val="00EC4323"/>
    <w:rsid w:val="00EC4423"/>
    <w:rsid w:val="00EC4886"/>
    <w:rsid w:val="00EC60BA"/>
    <w:rsid w:val="00EC66B5"/>
    <w:rsid w:val="00EC6E8E"/>
    <w:rsid w:val="00EC6F18"/>
    <w:rsid w:val="00EC70AA"/>
    <w:rsid w:val="00EC7168"/>
    <w:rsid w:val="00EC7235"/>
    <w:rsid w:val="00ED0409"/>
    <w:rsid w:val="00ED0BA1"/>
    <w:rsid w:val="00ED0FC5"/>
    <w:rsid w:val="00ED160D"/>
    <w:rsid w:val="00ED23C5"/>
    <w:rsid w:val="00ED2726"/>
    <w:rsid w:val="00ED30FE"/>
    <w:rsid w:val="00ED362F"/>
    <w:rsid w:val="00ED505E"/>
    <w:rsid w:val="00ED696C"/>
    <w:rsid w:val="00ED6AE5"/>
    <w:rsid w:val="00ED7BBD"/>
    <w:rsid w:val="00EE0B8C"/>
    <w:rsid w:val="00EE0D9E"/>
    <w:rsid w:val="00EE0F40"/>
    <w:rsid w:val="00EE29D8"/>
    <w:rsid w:val="00EE43C8"/>
    <w:rsid w:val="00EE4FFB"/>
    <w:rsid w:val="00EE6413"/>
    <w:rsid w:val="00EE6A50"/>
    <w:rsid w:val="00EE72F4"/>
    <w:rsid w:val="00EE7DE4"/>
    <w:rsid w:val="00EF06B3"/>
    <w:rsid w:val="00EF0C8C"/>
    <w:rsid w:val="00EF0FF5"/>
    <w:rsid w:val="00EF118D"/>
    <w:rsid w:val="00EF11D5"/>
    <w:rsid w:val="00EF24AD"/>
    <w:rsid w:val="00EF32F0"/>
    <w:rsid w:val="00EF3B5C"/>
    <w:rsid w:val="00EF4EFE"/>
    <w:rsid w:val="00EF76F8"/>
    <w:rsid w:val="00EF7C5B"/>
    <w:rsid w:val="00EF7F91"/>
    <w:rsid w:val="00F019B4"/>
    <w:rsid w:val="00F039AE"/>
    <w:rsid w:val="00F046E1"/>
    <w:rsid w:val="00F04CD0"/>
    <w:rsid w:val="00F063A3"/>
    <w:rsid w:val="00F06AEF"/>
    <w:rsid w:val="00F0733F"/>
    <w:rsid w:val="00F077F3"/>
    <w:rsid w:val="00F107F1"/>
    <w:rsid w:val="00F10DE8"/>
    <w:rsid w:val="00F117BC"/>
    <w:rsid w:val="00F11977"/>
    <w:rsid w:val="00F12DE6"/>
    <w:rsid w:val="00F12EA6"/>
    <w:rsid w:val="00F14161"/>
    <w:rsid w:val="00F16D3D"/>
    <w:rsid w:val="00F17BF7"/>
    <w:rsid w:val="00F216A2"/>
    <w:rsid w:val="00F2191D"/>
    <w:rsid w:val="00F2221D"/>
    <w:rsid w:val="00F22789"/>
    <w:rsid w:val="00F22978"/>
    <w:rsid w:val="00F22CC9"/>
    <w:rsid w:val="00F2419F"/>
    <w:rsid w:val="00F24D9D"/>
    <w:rsid w:val="00F2531F"/>
    <w:rsid w:val="00F25341"/>
    <w:rsid w:val="00F2573D"/>
    <w:rsid w:val="00F257EE"/>
    <w:rsid w:val="00F26667"/>
    <w:rsid w:val="00F3108E"/>
    <w:rsid w:val="00F31B33"/>
    <w:rsid w:val="00F31FD4"/>
    <w:rsid w:val="00F322AD"/>
    <w:rsid w:val="00F32756"/>
    <w:rsid w:val="00F3437E"/>
    <w:rsid w:val="00F34454"/>
    <w:rsid w:val="00F34B76"/>
    <w:rsid w:val="00F34D13"/>
    <w:rsid w:val="00F36204"/>
    <w:rsid w:val="00F36CE6"/>
    <w:rsid w:val="00F40FAB"/>
    <w:rsid w:val="00F410AC"/>
    <w:rsid w:val="00F424FC"/>
    <w:rsid w:val="00F427A6"/>
    <w:rsid w:val="00F43068"/>
    <w:rsid w:val="00F438EE"/>
    <w:rsid w:val="00F44B1A"/>
    <w:rsid w:val="00F44DCE"/>
    <w:rsid w:val="00F44F0B"/>
    <w:rsid w:val="00F45D55"/>
    <w:rsid w:val="00F46630"/>
    <w:rsid w:val="00F46E89"/>
    <w:rsid w:val="00F470BE"/>
    <w:rsid w:val="00F479DB"/>
    <w:rsid w:val="00F47D48"/>
    <w:rsid w:val="00F47EC0"/>
    <w:rsid w:val="00F510FC"/>
    <w:rsid w:val="00F52914"/>
    <w:rsid w:val="00F534C1"/>
    <w:rsid w:val="00F53861"/>
    <w:rsid w:val="00F53C61"/>
    <w:rsid w:val="00F54136"/>
    <w:rsid w:val="00F546FB"/>
    <w:rsid w:val="00F54CEA"/>
    <w:rsid w:val="00F55F92"/>
    <w:rsid w:val="00F56259"/>
    <w:rsid w:val="00F57319"/>
    <w:rsid w:val="00F600BE"/>
    <w:rsid w:val="00F6063C"/>
    <w:rsid w:val="00F608AD"/>
    <w:rsid w:val="00F618CF"/>
    <w:rsid w:val="00F62170"/>
    <w:rsid w:val="00F63458"/>
    <w:rsid w:val="00F64C22"/>
    <w:rsid w:val="00F655CD"/>
    <w:rsid w:val="00F65E8D"/>
    <w:rsid w:val="00F66765"/>
    <w:rsid w:val="00F66ACB"/>
    <w:rsid w:val="00F66D2B"/>
    <w:rsid w:val="00F66D8E"/>
    <w:rsid w:val="00F67A59"/>
    <w:rsid w:val="00F70E18"/>
    <w:rsid w:val="00F720B5"/>
    <w:rsid w:val="00F730BF"/>
    <w:rsid w:val="00F733B4"/>
    <w:rsid w:val="00F7368A"/>
    <w:rsid w:val="00F7452D"/>
    <w:rsid w:val="00F747A2"/>
    <w:rsid w:val="00F749E8"/>
    <w:rsid w:val="00F74EBC"/>
    <w:rsid w:val="00F75756"/>
    <w:rsid w:val="00F75BCE"/>
    <w:rsid w:val="00F76894"/>
    <w:rsid w:val="00F76FFA"/>
    <w:rsid w:val="00F773E3"/>
    <w:rsid w:val="00F80DCE"/>
    <w:rsid w:val="00F80ED9"/>
    <w:rsid w:val="00F82DCD"/>
    <w:rsid w:val="00F8375C"/>
    <w:rsid w:val="00F84B32"/>
    <w:rsid w:val="00F84DC0"/>
    <w:rsid w:val="00F85065"/>
    <w:rsid w:val="00F85773"/>
    <w:rsid w:val="00F858DC"/>
    <w:rsid w:val="00F85F0D"/>
    <w:rsid w:val="00F86BB8"/>
    <w:rsid w:val="00F87604"/>
    <w:rsid w:val="00F90079"/>
    <w:rsid w:val="00F90C51"/>
    <w:rsid w:val="00F91C37"/>
    <w:rsid w:val="00F92047"/>
    <w:rsid w:val="00F927A9"/>
    <w:rsid w:val="00F930BA"/>
    <w:rsid w:val="00F94655"/>
    <w:rsid w:val="00F95DF1"/>
    <w:rsid w:val="00F96187"/>
    <w:rsid w:val="00F96631"/>
    <w:rsid w:val="00FA14A7"/>
    <w:rsid w:val="00FA1C05"/>
    <w:rsid w:val="00FA2422"/>
    <w:rsid w:val="00FA4078"/>
    <w:rsid w:val="00FA46E5"/>
    <w:rsid w:val="00FA4CDB"/>
    <w:rsid w:val="00FA4CE8"/>
    <w:rsid w:val="00FA5464"/>
    <w:rsid w:val="00FA606B"/>
    <w:rsid w:val="00FB0A89"/>
    <w:rsid w:val="00FB19B8"/>
    <w:rsid w:val="00FB3E6C"/>
    <w:rsid w:val="00FB409D"/>
    <w:rsid w:val="00FB4669"/>
    <w:rsid w:val="00FB46D4"/>
    <w:rsid w:val="00FB5015"/>
    <w:rsid w:val="00FB56D1"/>
    <w:rsid w:val="00FB58A2"/>
    <w:rsid w:val="00FB58B8"/>
    <w:rsid w:val="00FB74B7"/>
    <w:rsid w:val="00FB7532"/>
    <w:rsid w:val="00FB7594"/>
    <w:rsid w:val="00FC019D"/>
    <w:rsid w:val="00FC15AC"/>
    <w:rsid w:val="00FC1EDD"/>
    <w:rsid w:val="00FC1EE2"/>
    <w:rsid w:val="00FC22BB"/>
    <w:rsid w:val="00FC232B"/>
    <w:rsid w:val="00FC2F89"/>
    <w:rsid w:val="00FC3484"/>
    <w:rsid w:val="00FC3871"/>
    <w:rsid w:val="00FC4510"/>
    <w:rsid w:val="00FC57D8"/>
    <w:rsid w:val="00FC5D5D"/>
    <w:rsid w:val="00FC6C00"/>
    <w:rsid w:val="00FC7D5F"/>
    <w:rsid w:val="00FD0255"/>
    <w:rsid w:val="00FD27FD"/>
    <w:rsid w:val="00FD47F7"/>
    <w:rsid w:val="00FD599D"/>
    <w:rsid w:val="00FD6912"/>
    <w:rsid w:val="00FD6C46"/>
    <w:rsid w:val="00FE0860"/>
    <w:rsid w:val="00FE0CEC"/>
    <w:rsid w:val="00FE28E0"/>
    <w:rsid w:val="00FE2AD9"/>
    <w:rsid w:val="00FE353F"/>
    <w:rsid w:val="00FE37AD"/>
    <w:rsid w:val="00FE5ADB"/>
    <w:rsid w:val="00FE7CE4"/>
    <w:rsid w:val="00FF0769"/>
    <w:rsid w:val="00FF1083"/>
    <w:rsid w:val="00FF139D"/>
    <w:rsid w:val="00FF1CE3"/>
    <w:rsid w:val="00FF1FF9"/>
    <w:rsid w:val="00FF2851"/>
    <w:rsid w:val="00FF2F6C"/>
    <w:rsid w:val="00FF2FCB"/>
    <w:rsid w:val="00FF364C"/>
    <w:rsid w:val="00FF4ED4"/>
    <w:rsid w:val="00FF564F"/>
    <w:rsid w:val="00FF56DC"/>
    <w:rsid w:val="00FF6611"/>
    <w:rsid w:val="00FF6DE8"/>
    <w:rsid w:val="00FF74F9"/>
    <w:rsid w:val="012C6A17"/>
    <w:rsid w:val="013A2B3D"/>
    <w:rsid w:val="014D28C9"/>
    <w:rsid w:val="01823B32"/>
    <w:rsid w:val="01916C5A"/>
    <w:rsid w:val="01AA40DE"/>
    <w:rsid w:val="01F079F5"/>
    <w:rsid w:val="01FD4A81"/>
    <w:rsid w:val="024A7504"/>
    <w:rsid w:val="028D5673"/>
    <w:rsid w:val="02E42DB9"/>
    <w:rsid w:val="02E84657"/>
    <w:rsid w:val="032F672A"/>
    <w:rsid w:val="038C592B"/>
    <w:rsid w:val="03A33F24"/>
    <w:rsid w:val="03A74512"/>
    <w:rsid w:val="045F542B"/>
    <w:rsid w:val="047B14FB"/>
    <w:rsid w:val="05111F14"/>
    <w:rsid w:val="051C683A"/>
    <w:rsid w:val="05482863"/>
    <w:rsid w:val="0548485E"/>
    <w:rsid w:val="059958D7"/>
    <w:rsid w:val="05A607FA"/>
    <w:rsid w:val="05A70310"/>
    <w:rsid w:val="05B67A46"/>
    <w:rsid w:val="05BE403C"/>
    <w:rsid w:val="05C14A88"/>
    <w:rsid w:val="0610529C"/>
    <w:rsid w:val="06257970"/>
    <w:rsid w:val="063D04A7"/>
    <w:rsid w:val="063F64EF"/>
    <w:rsid w:val="06915006"/>
    <w:rsid w:val="069F4D88"/>
    <w:rsid w:val="06A32A1C"/>
    <w:rsid w:val="070A03E9"/>
    <w:rsid w:val="07666493"/>
    <w:rsid w:val="07723089"/>
    <w:rsid w:val="07B436A2"/>
    <w:rsid w:val="07CD6512"/>
    <w:rsid w:val="07E3599F"/>
    <w:rsid w:val="084530CB"/>
    <w:rsid w:val="084C56C2"/>
    <w:rsid w:val="084E1401"/>
    <w:rsid w:val="085408F8"/>
    <w:rsid w:val="085D1644"/>
    <w:rsid w:val="0863145F"/>
    <w:rsid w:val="08915791"/>
    <w:rsid w:val="08BD0334"/>
    <w:rsid w:val="08CC1BEA"/>
    <w:rsid w:val="08E27D9B"/>
    <w:rsid w:val="09145BF7"/>
    <w:rsid w:val="09177B37"/>
    <w:rsid w:val="097A4477"/>
    <w:rsid w:val="098552F6"/>
    <w:rsid w:val="09DA460A"/>
    <w:rsid w:val="09FC161F"/>
    <w:rsid w:val="0A2F386B"/>
    <w:rsid w:val="0A435AEB"/>
    <w:rsid w:val="0AAF2782"/>
    <w:rsid w:val="0AE65B6F"/>
    <w:rsid w:val="0AFF173F"/>
    <w:rsid w:val="0B203C13"/>
    <w:rsid w:val="0B230693"/>
    <w:rsid w:val="0B3C7C36"/>
    <w:rsid w:val="0BD648D6"/>
    <w:rsid w:val="0BE91440"/>
    <w:rsid w:val="0C5B0590"/>
    <w:rsid w:val="0C7E602C"/>
    <w:rsid w:val="0CB8432F"/>
    <w:rsid w:val="0CC53C5B"/>
    <w:rsid w:val="0CFF7016"/>
    <w:rsid w:val="0D122E93"/>
    <w:rsid w:val="0D18205B"/>
    <w:rsid w:val="0D404FEF"/>
    <w:rsid w:val="0D7C1512"/>
    <w:rsid w:val="0D984ECC"/>
    <w:rsid w:val="0D9D010F"/>
    <w:rsid w:val="0DD423A8"/>
    <w:rsid w:val="0DFC545B"/>
    <w:rsid w:val="0E1924B1"/>
    <w:rsid w:val="0E256366"/>
    <w:rsid w:val="0E720391"/>
    <w:rsid w:val="0EB36461"/>
    <w:rsid w:val="0EC525D0"/>
    <w:rsid w:val="0EFE382C"/>
    <w:rsid w:val="0F1410D5"/>
    <w:rsid w:val="0F244DDE"/>
    <w:rsid w:val="10345380"/>
    <w:rsid w:val="104F7426"/>
    <w:rsid w:val="10CA4CE5"/>
    <w:rsid w:val="10D95F27"/>
    <w:rsid w:val="112C24FB"/>
    <w:rsid w:val="115A606B"/>
    <w:rsid w:val="118358D7"/>
    <w:rsid w:val="11B37942"/>
    <w:rsid w:val="11B57F5C"/>
    <w:rsid w:val="120B3EBE"/>
    <w:rsid w:val="12187054"/>
    <w:rsid w:val="12296A3A"/>
    <w:rsid w:val="126D0E79"/>
    <w:rsid w:val="127C300E"/>
    <w:rsid w:val="1280331A"/>
    <w:rsid w:val="12851065"/>
    <w:rsid w:val="12957C2C"/>
    <w:rsid w:val="13143CA2"/>
    <w:rsid w:val="13230020"/>
    <w:rsid w:val="13795061"/>
    <w:rsid w:val="138E62F2"/>
    <w:rsid w:val="139B74C4"/>
    <w:rsid w:val="13A605DC"/>
    <w:rsid w:val="14013BA8"/>
    <w:rsid w:val="140E7C96"/>
    <w:rsid w:val="147C72F5"/>
    <w:rsid w:val="1497412F"/>
    <w:rsid w:val="14AB3E58"/>
    <w:rsid w:val="14EE2250"/>
    <w:rsid w:val="152B585A"/>
    <w:rsid w:val="154A11A2"/>
    <w:rsid w:val="15783F61"/>
    <w:rsid w:val="158346B4"/>
    <w:rsid w:val="15A61E90"/>
    <w:rsid w:val="15A84347"/>
    <w:rsid w:val="162639BD"/>
    <w:rsid w:val="16355027"/>
    <w:rsid w:val="168D36A8"/>
    <w:rsid w:val="16D43419"/>
    <w:rsid w:val="1716515C"/>
    <w:rsid w:val="17B22C3C"/>
    <w:rsid w:val="17CA65CA"/>
    <w:rsid w:val="18422604"/>
    <w:rsid w:val="18466475"/>
    <w:rsid w:val="184A3267"/>
    <w:rsid w:val="18581E27"/>
    <w:rsid w:val="1864257A"/>
    <w:rsid w:val="18911017"/>
    <w:rsid w:val="18AC316E"/>
    <w:rsid w:val="18D314AE"/>
    <w:rsid w:val="1939511D"/>
    <w:rsid w:val="1953561E"/>
    <w:rsid w:val="197A1895"/>
    <w:rsid w:val="19832E56"/>
    <w:rsid w:val="19A3115B"/>
    <w:rsid w:val="19B337B9"/>
    <w:rsid w:val="1A0A0EFF"/>
    <w:rsid w:val="1A2A15A2"/>
    <w:rsid w:val="1A312930"/>
    <w:rsid w:val="1A562020"/>
    <w:rsid w:val="1A693E78"/>
    <w:rsid w:val="1AAE3F81"/>
    <w:rsid w:val="1AB175CD"/>
    <w:rsid w:val="1AD7705C"/>
    <w:rsid w:val="1B1A1A56"/>
    <w:rsid w:val="1B391A9C"/>
    <w:rsid w:val="1B3E296D"/>
    <w:rsid w:val="1BCF41AF"/>
    <w:rsid w:val="1C136791"/>
    <w:rsid w:val="1C9E38E1"/>
    <w:rsid w:val="1CB02232"/>
    <w:rsid w:val="1D554B87"/>
    <w:rsid w:val="1D5E3A3C"/>
    <w:rsid w:val="1DAC38AC"/>
    <w:rsid w:val="1DED6B6E"/>
    <w:rsid w:val="1DF04C6C"/>
    <w:rsid w:val="1DFE11C5"/>
    <w:rsid w:val="1E087E4C"/>
    <w:rsid w:val="1E527A64"/>
    <w:rsid w:val="1E5B7F7C"/>
    <w:rsid w:val="1E6854F8"/>
    <w:rsid w:val="1E6908EA"/>
    <w:rsid w:val="1EBD0F73"/>
    <w:rsid w:val="1EFD116F"/>
    <w:rsid w:val="1F2F0B2F"/>
    <w:rsid w:val="1F372797"/>
    <w:rsid w:val="1F533349"/>
    <w:rsid w:val="1F840B2A"/>
    <w:rsid w:val="1FE24E0D"/>
    <w:rsid w:val="20166850"/>
    <w:rsid w:val="20196E24"/>
    <w:rsid w:val="20815126"/>
    <w:rsid w:val="20987265"/>
    <w:rsid w:val="211508B6"/>
    <w:rsid w:val="21554AD8"/>
    <w:rsid w:val="21BC51D5"/>
    <w:rsid w:val="21CA7B10"/>
    <w:rsid w:val="21EC20F8"/>
    <w:rsid w:val="21F31927"/>
    <w:rsid w:val="220077BC"/>
    <w:rsid w:val="2201180D"/>
    <w:rsid w:val="224401B8"/>
    <w:rsid w:val="22877591"/>
    <w:rsid w:val="22AF168F"/>
    <w:rsid w:val="22BD1205"/>
    <w:rsid w:val="22EC3FFB"/>
    <w:rsid w:val="23007343"/>
    <w:rsid w:val="230F59E9"/>
    <w:rsid w:val="2355768F"/>
    <w:rsid w:val="235A4CA6"/>
    <w:rsid w:val="23694EE9"/>
    <w:rsid w:val="239A32F4"/>
    <w:rsid w:val="239E34D1"/>
    <w:rsid w:val="23B21385"/>
    <w:rsid w:val="23EE3640"/>
    <w:rsid w:val="23FE7C5A"/>
    <w:rsid w:val="246D1B6C"/>
    <w:rsid w:val="24771887"/>
    <w:rsid w:val="2479798A"/>
    <w:rsid w:val="24916ADB"/>
    <w:rsid w:val="24A22E21"/>
    <w:rsid w:val="24B26561"/>
    <w:rsid w:val="24FD446C"/>
    <w:rsid w:val="254A0D4A"/>
    <w:rsid w:val="25575B08"/>
    <w:rsid w:val="2596578B"/>
    <w:rsid w:val="25D76642"/>
    <w:rsid w:val="25E35426"/>
    <w:rsid w:val="2602710D"/>
    <w:rsid w:val="2644618C"/>
    <w:rsid w:val="26667E05"/>
    <w:rsid w:val="267215D5"/>
    <w:rsid w:val="2695285B"/>
    <w:rsid w:val="26955FF5"/>
    <w:rsid w:val="26BD5C77"/>
    <w:rsid w:val="26C77EC6"/>
    <w:rsid w:val="270E64EE"/>
    <w:rsid w:val="27375A5B"/>
    <w:rsid w:val="2738196B"/>
    <w:rsid w:val="278060D3"/>
    <w:rsid w:val="27844CEB"/>
    <w:rsid w:val="27C052F3"/>
    <w:rsid w:val="27CE7A10"/>
    <w:rsid w:val="27D76DE6"/>
    <w:rsid w:val="27D9008B"/>
    <w:rsid w:val="284321AC"/>
    <w:rsid w:val="287711F4"/>
    <w:rsid w:val="28A41D14"/>
    <w:rsid w:val="290F208E"/>
    <w:rsid w:val="29183639"/>
    <w:rsid w:val="2943044D"/>
    <w:rsid w:val="29455AB0"/>
    <w:rsid w:val="294837F2"/>
    <w:rsid w:val="29801EFE"/>
    <w:rsid w:val="298F4180"/>
    <w:rsid w:val="29AD53FD"/>
    <w:rsid w:val="29D315A2"/>
    <w:rsid w:val="29DA1EFC"/>
    <w:rsid w:val="2A2D3BA0"/>
    <w:rsid w:val="2A3B2635"/>
    <w:rsid w:val="2A9D2A82"/>
    <w:rsid w:val="2AC65C83"/>
    <w:rsid w:val="2ACF41CB"/>
    <w:rsid w:val="2ACF7D27"/>
    <w:rsid w:val="2AD47691"/>
    <w:rsid w:val="2AF27EBA"/>
    <w:rsid w:val="2B0379D1"/>
    <w:rsid w:val="2B0F45C8"/>
    <w:rsid w:val="2B2E5579"/>
    <w:rsid w:val="2B2E7E52"/>
    <w:rsid w:val="2B3E1D42"/>
    <w:rsid w:val="2B466E87"/>
    <w:rsid w:val="2B9F3B9D"/>
    <w:rsid w:val="2BB804EE"/>
    <w:rsid w:val="2BCF5015"/>
    <w:rsid w:val="2BF21D6A"/>
    <w:rsid w:val="2C3556C6"/>
    <w:rsid w:val="2C6C20E9"/>
    <w:rsid w:val="2C8045B1"/>
    <w:rsid w:val="2C8608B9"/>
    <w:rsid w:val="2C9E35DE"/>
    <w:rsid w:val="2CAB47C4"/>
    <w:rsid w:val="2CB573F1"/>
    <w:rsid w:val="2CC12FE4"/>
    <w:rsid w:val="2CCE6F26"/>
    <w:rsid w:val="2CE101E6"/>
    <w:rsid w:val="2D000C16"/>
    <w:rsid w:val="2D214A86"/>
    <w:rsid w:val="2D445B07"/>
    <w:rsid w:val="2D610A14"/>
    <w:rsid w:val="2E101972"/>
    <w:rsid w:val="2E141214"/>
    <w:rsid w:val="2E960B5C"/>
    <w:rsid w:val="2EC7013A"/>
    <w:rsid w:val="2F0416FD"/>
    <w:rsid w:val="2F2D51F3"/>
    <w:rsid w:val="2F331837"/>
    <w:rsid w:val="2F572FB7"/>
    <w:rsid w:val="2F936C13"/>
    <w:rsid w:val="2F9652B7"/>
    <w:rsid w:val="2FA84FEB"/>
    <w:rsid w:val="2FDA0C75"/>
    <w:rsid w:val="2FF16992"/>
    <w:rsid w:val="2FFA4131"/>
    <w:rsid w:val="304513F6"/>
    <w:rsid w:val="30562C99"/>
    <w:rsid w:val="30702350"/>
    <w:rsid w:val="308A649E"/>
    <w:rsid w:val="30937A49"/>
    <w:rsid w:val="30C35A4F"/>
    <w:rsid w:val="311346E6"/>
    <w:rsid w:val="313905F0"/>
    <w:rsid w:val="316E0F6D"/>
    <w:rsid w:val="318F1FBE"/>
    <w:rsid w:val="319E66A5"/>
    <w:rsid w:val="323D7C6C"/>
    <w:rsid w:val="323E0057"/>
    <w:rsid w:val="325A6A70"/>
    <w:rsid w:val="326B5D80"/>
    <w:rsid w:val="32C959A4"/>
    <w:rsid w:val="32CB34CA"/>
    <w:rsid w:val="32DB1233"/>
    <w:rsid w:val="32ED1692"/>
    <w:rsid w:val="338B2C59"/>
    <w:rsid w:val="33C55AF1"/>
    <w:rsid w:val="343B642D"/>
    <w:rsid w:val="34413E74"/>
    <w:rsid w:val="344A2B14"/>
    <w:rsid w:val="34CC5FFC"/>
    <w:rsid w:val="35064C8D"/>
    <w:rsid w:val="3556467B"/>
    <w:rsid w:val="35ED19A9"/>
    <w:rsid w:val="35F8578D"/>
    <w:rsid w:val="360B090F"/>
    <w:rsid w:val="36123238"/>
    <w:rsid w:val="363E3FB3"/>
    <w:rsid w:val="374101FF"/>
    <w:rsid w:val="37411FAD"/>
    <w:rsid w:val="377E6488"/>
    <w:rsid w:val="37D37295"/>
    <w:rsid w:val="37DD6358"/>
    <w:rsid w:val="37FF59C4"/>
    <w:rsid w:val="3809239F"/>
    <w:rsid w:val="381E409C"/>
    <w:rsid w:val="3823070E"/>
    <w:rsid w:val="38322F7E"/>
    <w:rsid w:val="3892698C"/>
    <w:rsid w:val="38B93DC5"/>
    <w:rsid w:val="38BF587F"/>
    <w:rsid w:val="38C904AC"/>
    <w:rsid w:val="38CD749A"/>
    <w:rsid w:val="39292CF8"/>
    <w:rsid w:val="39565AB7"/>
    <w:rsid w:val="39794D16"/>
    <w:rsid w:val="39816AA2"/>
    <w:rsid w:val="39A07465"/>
    <w:rsid w:val="39A93E39"/>
    <w:rsid w:val="3A1B12AC"/>
    <w:rsid w:val="3A76695A"/>
    <w:rsid w:val="3A9136EC"/>
    <w:rsid w:val="3AA53E6D"/>
    <w:rsid w:val="3AA838A4"/>
    <w:rsid w:val="3B057795"/>
    <w:rsid w:val="3B337E5E"/>
    <w:rsid w:val="3B847DCB"/>
    <w:rsid w:val="3B890A33"/>
    <w:rsid w:val="3BCE54E6"/>
    <w:rsid w:val="3C095063"/>
    <w:rsid w:val="3C632C82"/>
    <w:rsid w:val="3C8F37BA"/>
    <w:rsid w:val="3C9F66BB"/>
    <w:rsid w:val="3D0E0B83"/>
    <w:rsid w:val="3D385C00"/>
    <w:rsid w:val="3D7B6726"/>
    <w:rsid w:val="3D842BF3"/>
    <w:rsid w:val="3D96639A"/>
    <w:rsid w:val="3DB42DAD"/>
    <w:rsid w:val="3DE026B4"/>
    <w:rsid w:val="3DFD6502"/>
    <w:rsid w:val="3E1B5F1B"/>
    <w:rsid w:val="3E344619"/>
    <w:rsid w:val="3E5806F5"/>
    <w:rsid w:val="3E7330D6"/>
    <w:rsid w:val="3E940B72"/>
    <w:rsid w:val="3EE64BBD"/>
    <w:rsid w:val="3EED649C"/>
    <w:rsid w:val="3F192DC7"/>
    <w:rsid w:val="3F20694C"/>
    <w:rsid w:val="3F23468E"/>
    <w:rsid w:val="3F604F9A"/>
    <w:rsid w:val="3FA0183A"/>
    <w:rsid w:val="401601D9"/>
    <w:rsid w:val="4093314D"/>
    <w:rsid w:val="41166106"/>
    <w:rsid w:val="415428DD"/>
    <w:rsid w:val="416D399E"/>
    <w:rsid w:val="41830C9C"/>
    <w:rsid w:val="4201082A"/>
    <w:rsid w:val="4221453A"/>
    <w:rsid w:val="42220C2D"/>
    <w:rsid w:val="424B020C"/>
    <w:rsid w:val="425C5EED"/>
    <w:rsid w:val="42A545BA"/>
    <w:rsid w:val="42C35F6C"/>
    <w:rsid w:val="42F20A5F"/>
    <w:rsid w:val="43326C4D"/>
    <w:rsid w:val="4370154D"/>
    <w:rsid w:val="438165CC"/>
    <w:rsid w:val="43884ABF"/>
    <w:rsid w:val="4399690E"/>
    <w:rsid w:val="43AA2C88"/>
    <w:rsid w:val="43BC2862"/>
    <w:rsid w:val="43BE3697"/>
    <w:rsid w:val="43F6411F"/>
    <w:rsid w:val="43FF6362"/>
    <w:rsid w:val="44586181"/>
    <w:rsid w:val="44BE2E8F"/>
    <w:rsid w:val="44D02BC2"/>
    <w:rsid w:val="44E93C84"/>
    <w:rsid w:val="454B2C89"/>
    <w:rsid w:val="456A52C2"/>
    <w:rsid w:val="456A6B72"/>
    <w:rsid w:val="456B28EB"/>
    <w:rsid w:val="457B2B2E"/>
    <w:rsid w:val="458F0387"/>
    <w:rsid w:val="45A61F8D"/>
    <w:rsid w:val="45AD2F03"/>
    <w:rsid w:val="45C049E4"/>
    <w:rsid w:val="45F14B9E"/>
    <w:rsid w:val="45F8417E"/>
    <w:rsid w:val="45FE41B9"/>
    <w:rsid w:val="4670640B"/>
    <w:rsid w:val="46873754"/>
    <w:rsid w:val="469D4D26"/>
    <w:rsid w:val="46A13924"/>
    <w:rsid w:val="46C16557"/>
    <w:rsid w:val="47017063"/>
    <w:rsid w:val="47086643"/>
    <w:rsid w:val="47140E0A"/>
    <w:rsid w:val="471A1ED2"/>
    <w:rsid w:val="4724137A"/>
    <w:rsid w:val="47772959"/>
    <w:rsid w:val="4780181D"/>
    <w:rsid w:val="47810DF3"/>
    <w:rsid w:val="47B75973"/>
    <w:rsid w:val="47B831CD"/>
    <w:rsid w:val="47B8502A"/>
    <w:rsid w:val="47E56984"/>
    <w:rsid w:val="47EC2682"/>
    <w:rsid w:val="47F62F08"/>
    <w:rsid w:val="480B5EA5"/>
    <w:rsid w:val="483E61DE"/>
    <w:rsid w:val="48410DAC"/>
    <w:rsid w:val="48671147"/>
    <w:rsid w:val="48943F06"/>
    <w:rsid w:val="489946DD"/>
    <w:rsid w:val="48AB464E"/>
    <w:rsid w:val="48B40105"/>
    <w:rsid w:val="48CC544E"/>
    <w:rsid w:val="48F922DC"/>
    <w:rsid w:val="48FD7CFE"/>
    <w:rsid w:val="494440FC"/>
    <w:rsid w:val="495F6883"/>
    <w:rsid w:val="49635DB3"/>
    <w:rsid w:val="4977185E"/>
    <w:rsid w:val="49C30808"/>
    <w:rsid w:val="49D22E08"/>
    <w:rsid w:val="49EE6CD1"/>
    <w:rsid w:val="4A4756D4"/>
    <w:rsid w:val="4A594710"/>
    <w:rsid w:val="4A5D6CA6"/>
    <w:rsid w:val="4A6E2C61"/>
    <w:rsid w:val="4A9D2228"/>
    <w:rsid w:val="4A9F72BE"/>
    <w:rsid w:val="4AAC4731"/>
    <w:rsid w:val="4AD625B4"/>
    <w:rsid w:val="4AE94264"/>
    <w:rsid w:val="4B0233A9"/>
    <w:rsid w:val="4B0D06CC"/>
    <w:rsid w:val="4B246314"/>
    <w:rsid w:val="4B840262"/>
    <w:rsid w:val="4B974038"/>
    <w:rsid w:val="4BCC36DF"/>
    <w:rsid w:val="4C066EC9"/>
    <w:rsid w:val="4C1C4A55"/>
    <w:rsid w:val="4CEA2AB2"/>
    <w:rsid w:val="4DE4148C"/>
    <w:rsid w:val="4DF74D1B"/>
    <w:rsid w:val="4DFA480C"/>
    <w:rsid w:val="4E0631B0"/>
    <w:rsid w:val="4E092CA1"/>
    <w:rsid w:val="4E0A6758"/>
    <w:rsid w:val="4E23259A"/>
    <w:rsid w:val="4E870795"/>
    <w:rsid w:val="4EAA0B73"/>
    <w:rsid w:val="4EC5306C"/>
    <w:rsid w:val="4F351F9F"/>
    <w:rsid w:val="4F840831"/>
    <w:rsid w:val="4F883C23"/>
    <w:rsid w:val="4F9833B3"/>
    <w:rsid w:val="4FBC446F"/>
    <w:rsid w:val="501222E0"/>
    <w:rsid w:val="502D2C76"/>
    <w:rsid w:val="506D5769"/>
    <w:rsid w:val="50720FD1"/>
    <w:rsid w:val="50836D3A"/>
    <w:rsid w:val="50C50C35"/>
    <w:rsid w:val="50D852D8"/>
    <w:rsid w:val="50E53551"/>
    <w:rsid w:val="50ED4D90"/>
    <w:rsid w:val="51006381"/>
    <w:rsid w:val="513544C2"/>
    <w:rsid w:val="51907961"/>
    <w:rsid w:val="52091165"/>
    <w:rsid w:val="52187956"/>
    <w:rsid w:val="521E31BF"/>
    <w:rsid w:val="524602AF"/>
    <w:rsid w:val="527B23BF"/>
    <w:rsid w:val="52884ADC"/>
    <w:rsid w:val="529835E3"/>
    <w:rsid w:val="534053B7"/>
    <w:rsid w:val="534A71E4"/>
    <w:rsid w:val="53670B95"/>
    <w:rsid w:val="53907D1D"/>
    <w:rsid w:val="53CA2E61"/>
    <w:rsid w:val="53CB2034"/>
    <w:rsid w:val="540C5299"/>
    <w:rsid w:val="54240A6A"/>
    <w:rsid w:val="543434E4"/>
    <w:rsid w:val="54930E84"/>
    <w:rsid w:val="549A7FAB"/>
    <w:rsid w:val="54CA13DC"/>
    <w:rsid w:val="54D264E2"/>
    <w:rsid w:val="555C43C4"/>
    <w:rsid w:val="55B9581C"/>
    <w:rsid w:val="55BE67F0"/>
    <w:rsid w:val="55D32512"/>
    <w:rsid w:val="55D63DB0"/>
    <w:rsid w:val="55E262B1"/>
    <w:rsid w:val="561C5C67"/>
    <w:rsid w:val="562744F7"/>
    <w:rsid w:val="564E3947"/>
    <w:rsid w:val="56902AF4"/>
    <w:rsid w:val="56CB4F97"/>
    <w:rsid w:val="572F3778"/>
    <w:rsid w:val="572F3852"/>
    <w:rsid w:val="576F1DC6"/>
    <w:rsid w:val="577B56DF"/>
    <w:rsid w:val="57C40364"/>
    <w:rsid w:val="57D04685"/>
    <w:rsid w:val="57EC3F49"/>
    <w:rsid w:val="58103DA7"/>
    <w:rsid w:val="581F6279"/>
    <w:rsid w:val="584D6A82"/>
    <w:rsid w:val="58632A5E"/>
    <w:rsid w:val="588601AB"/>
    <w:rsid w:val="589917F1"/>
    <w:rsid w:val="58AF587D"/>
    <w:rsid w:val="58D520FD"/>
    <w:rsid w:val="592177AA"/>
    <w:rsid w:val="594870D9"/>
    <w:rsid w:val="59DB7BE7"/>
    <w:rsid w:val="5A1B6236"/>
    <w:rsid w:val="5A53777D"/>
    <w:rsid w:val="5A623E64"/>
    <w:rsid w:val="5AA1131A"/>
    <w:rsid w:val="5ABA3CA0"/>
    <w:rsid w:val="5AC52185"/>
    <w:rsid w:val="5AD36B10"/>
    <w:rsid w:val="5AE900E2"/>
    <w:rsid w:val="5B323837"/>
    <w:rsid w:val="5B413A7A"/>
    <w:rsid w:val="5B620008"/>
    <w:rsid w:val="5BC8419B"/>
    <w:rsid w:val="5BF154A0"/>
    <w:rsid w:val="5C7F2060"/>
    <w:rsid w:val="5C906BF3"/>
    <w:rsid w:val="5CB21ECD"/>
    <w:rsid w:val="5CBD4DA3"/>
    <w:rsid w:val="5D1434D6"/>
    <w:rsid w:val="5D580538"/>
    <w:rsid w:val="5DA36C6E"/>
    <w:rsid w:val="5DDC2B7C"/>
    <w:rsid w:val="5DED15CA"/>
    <w:rsid w:val="5E3873B6"/>
    <w:rsid w:val="5EBA5832"/>
    <w:rsid w:val="5F4B7149"/>
    <w:rsid w:val="5F5D0CFC"/>
    <w:rsid w:val="5F9100D1"/>
    <w:rsid w:val="5FB011CE"/>
    <w:rsid w:val="5FC5111D"/>
    <w:rsid w:val="5FDF3861"/>
    <w:rsid w:val="603C0CB4"/>
    <w:rsid w:val="604069F6"/>
    <w:rsid w:val="6045400C"/>
    <w:rsid w:val="60842B8C"/>
    <w:rsid w:val="60B609C1"/>
    <w:rsid w:val="613278D8"/>
    <w:rsid w:val="6166248C"/>
    <w:rsid w:val="617E2A1D"/>
    <w:rsid w:val="619D00FE"/>
    <w:rsid w:val="619D7BD0"/>
    <w:rsid w:val="61A97ECE"/>
    <w:rsid w:val="61BD393C"/>
    <w:rsid w:val="61DE5749"/>
    <w:rsid w:val="61EF4230"/>
    <w:rsid w:val="623E51B7"/>
    <w:rsid w:val="62950B2A"/>
    <w:rsid w:val="62D07FC5"/>
    <w:rsid w:val="62D3721D"/>
    <w:rsid w:val="62E73E26"/>
    <w:rsid w:val="62EA5262"/>
    <w:rsid w:val="63043A0D"/>
    <w:rsid w:val="6315416A"/>
    <w:rsid w:val="632C10B2"/>
    <w:rsid w:val="63316ACA"/>
    <w:rsid w:val="63EB56C1"/>
    <w:rsid w:val="63F20007"/>
    <w:rsid w:val="63F46C4A"/>
    <w:rsid w:val="64552344"/>
    <w:rsid w:val="645760BC"/>
    <w:rsid w:val="6493792A"/>
    <w:rsid w:val="6497295D"/>
    <w:rsid w:val="64A5207F"/>
    <w:rsid w:val="64CE2822"/>
    <w:rsid w:val="65077AE2"/>
    <w:rsid w:val="65183A9D"/>
    <w:rsid w:val="651921BB"/>
    <w:rsid w:val="65273CE0"/>
    <w:rsid w:val="65842EE1"/>
    <w:rsid w:val="65867FC9"/>
    <w:rsid w:val="65B40043"/>
    <w:rsid w:val="65C40BC6"/>
    <w:rsid w:val="65CB0B10"/>
    <w:rsid w:val="65F61061"/>
    <w:rsid w:val="66085512"/>
    <w:rsid w:val="660E6C4E"/>
    <w:rsid w:val="66704B1B"/>
    <w:rsid w:val="6679056C"/>
    <w:rsid w:val="6691111A"/>
    <w:rsid w:val="66976D30"/>
    <w:rsid w:val="66DA3E7F"/>
    <w:rsid w:val="66DB4D83"/>
    <w:rsid w:val="66E95006"/>
    <w:rsid w:val="66F764C6"/>
    <w:rsid w:val="67191D4F"/>
    <w:rsid w:val="671B5AC7"/>
    <w:rsid w:val="671C2840"/>
    <w:rsid w:val="67283D40"/>
    <w:rsid w:val="673D5A3D"/>
    <w:rsid w:val="678371C8"/>
    <w:rsid w:val="6794471C"/>
    <w:rsid w:val="67AA4E8D"/>
    <w:rsid w:val="67B81568"/>
    <w:rsid w:val="67B83316"/>
    <w:rsid w:val="67BE140D"/>
    <w:rsid w:val="67C577E1"/>
    <w:rsid w:val="67F307F2"/>
    <w:rsid w:val="67FF35EF"/>
    <w:rsid w:val="68136976"/>
    <w:rsid w:val="685000F9"/>
    <w:rsid w:val="68534DEC"/>
    <w:rsid w:val="685C1EF3"/>
    <w:rsid w:val="685C6397"/>
    <w:rsid w:val="686B37FC"/>
    <w:rsid w:val="68E00D76"/>
    <w:rsid w:val="68E92163"/>
    <w:rsid w:val="68F6059A"/>
    <w:rsid w:val="693C75FA"/>
    <w:rsid w:val="69D41F5D"/>
    <w:rsid w:val="69E2467A"/>
    <w:rsid w:val="6A3C6480"/>
    <w:rsid w:val="6A5C442C"/>
    <w:rsid w:val="6AA45DD3"/>
    <w:rsid w:val="6AA61B4B"/>
    <w:rsid w:val="6AF67CC4"/>
    <w:rsid w:val="6B454EC0"/>
    <w:rsid w:val="6B7C181B"/>
    <w:rsid w:val="6B8005EE"/>
    <w:rsid w:val="6B80239C"/>
    <w:rsid w:val="6B8329FE"/>
    <w:rsid w:val="6B99345E"/>
    <w:rsid w:val="6BA8544F"/>
    <w:rsid w:val="6BF35F87"/>
    <w:rsid w:val="6C2B2CE1"/>
    <w:rsid w:val="6C8D4D71"/>
    <w:rsid w:val="6CC059E1"/>
    <w:rsid w:val="6D255CE2"/>
    <w:rsid w:val="6D395224"/>
    <w:rsid w:val="6D57537F"/>
    <w:rsid w:val="6D6655C2"/>
    <w:rsid w:val="6DAA54AF"/>
    <w:rsid w:val="6DAC2D94"/>
    <w:rsid w:val="6DBE71AC"/>
    <w:rsid w:val="6DFA4688"/>
    <w:rsid w:val="6E0471CA"/>
    <w:rsid w:val="6E0D4E0F"/>
    <w:rsid w:val="6E5042A8"/>
    <w:rsid w:val="6E57042E"/>
    <w:rsid w:val="6E662E55"/>
    <w:rsid w:val="6E7F06E9"/>
    <w:rsid w:val="6E9542CF"/>
    <w:rsid w:val="6E9C129B"/>
    <w:rsid w:val="6EAB3BD4"/>
    <w:rsid w:val="6EB45D89"/>
    <w:rsid w:val="6EE44365"/>
    <w:rsid w:val="6F0C01D3"/>
    <w:rsid w:val="6F1352D6"/>
    <w:rsid w:val="6F217867"/>
    <w:rsid w:val="6F57638F"/>
    <w:rsid w:val="6F653D09"/>
    <w:rsid w:val="6F9821C1"/>
    <w:rsid w:val="6F992483"/>
    <w:rsid w:val="702459EC"/>
    <w:rsid w:val="704A4D27"/>
    <w:rsid w:val="70666005"/>
    <w:rsid w:val="709020CD"/>
    <w:rsid w:val="70EE4C59"/>
    <w:rsid w:val="70EE7DA8"/>
    <w:rsid w:val="710921FF"/>
    <w:rsid w:val="71150F07"/>
    <w:rsid w:val="71406234"/>
    <w:rsid w:val="717F6C52"/>
    <w:rsid w:val="71A861CA"/>
    <w:rsid w:val="71A87F57"/>
    <w:rsid w:val="71F34873"/>
    <w:rsid w:val="720A6E64"/>
    <w:rsid w:val="72481BFD"/>
    <w:rsid w:val="72BA43E6"/>
    <w:rsid w:val="72BE03FA"/>
    <w:rsid w:val="732775A1"/>
    <w:rsid w:val="7352461E"/>
    <w:rsid w:val="738F7621"/>
    <w:rsid w:val="7399049F"/>
    <w:rsid w:val="73B70B16"/>
    <w:rsid w:val="73EA23E0"/>
    <w:rsid w:val="741F6A0D"/>
    <w:rsid w:val="742F4960"/>
    <w:rsid w:val="74620891"/>
    <w:rsid w:val="746960C4"/>
    <w:rsid w:val="747D391D"/>
    <w:rsid w:val="7484629B"/>
    <w:rsid w:val="74B82BA7"/>
    <w:rsid w:val="74D7717F"/>
    <w:rsid w:val="74E571D9"/>
    <w:rsid w:val="75215D3D"/>
    <w:rsid w:val="75241FEA"/>
    <w:rsid w:val="7563020E"/>
    <w:rsid w:val="758B3E18"/>
    <w:rsid w:val="758C1CD7"/>
    <w:rsid w:val="7590142E"/>
    <w:rsid w:val="75A95CC7"/>
    <w:rsid w:val="76220ADE"/>
    <w:rsid w:val="76505EDC"/>
    <w:rsid w:val="7662726E"/>
    <w:rsid w:val="76887C7F"/>
    <w:rsid w:val="76E41A31"/>
    <w:rsid w:val="77013B80"/>
    <w:rsid w:val="77192F09"/>
    <w:rsid w:val="77334767"/>
    <w:rsid w:val="77361D25"/>
    <w:rsid w:val="773D55E5"/>
    <w:rsid w:val="77860D3A"/>
    <w:rsid w:val="77935205"/>
    <w:rsid w:val="77B358A8"/>
    <w:rsid w:val="77C12216"/>
    <w:rsid w:val="77E51488"/>
    <w:rsid w:val="77F30411"/>
    <w:rsid w:val="77F55EC0"/>
    <w:rsid w:val="783E1615"/>
    <w:rsid w:val="78820AAF"/>
    <w:rsid w:val="78994A9D"/>
    <w:rsid w:val="78A67AD7"/>
    <w:rsid w:val="78DD583A"/>
    <w:rsid w:val="7919798C"/>
    <w:rsid w:val="792E03F6"/>
    <w:rsid w:val="79360D5B"/>
    <w:rsid w:val="79567458"/>
    <w:rsid w:val="798F79A5"/>
    <w:rsid w:val="79F90BDF"/>
    <w:rsid w:val="79FB4AA8"/>
    <w:rsid w:val="7A06073B"/>
    <w:rsid w:val="7A8A6D94"/>
    <w:rsid w:val="7AD718AD"/>
    <w:rsid w:val="7ADE0E8D"/>
    <w:rsid w:val="7AF1471D"/>
    <w:rsid w:val="7B1B4FB2"/>
    <w:rsid w:val="7B2A7FC3"/>
    <w:rsid w:val="7B564EB6"/>
    <w:rsid w:val="7B6C3A57"/>
    <w:rsid w:val="7B7610C6"/>
    <w:rsid w:val="7B940886"/>
    <w:rsid w:val="7B9C1CE2"/>
    <w:rsid w:val="7BA82B1B"/>
    <w:rsid w:val="7BA9718D"/>
    <w:rsid w:val="7BE73B91"/>
    <w:rsid w:val="7BEA1B1F"/>
    <w:rsid w:val="7BF64461"/>
    <w:rsid w:val="7BFC781D"/>
    <w:rsid w:val="7C2660CE"/>
    <w:rsid w:val="7C38637B"/>
    <w:rsid w:val="7C452193"/>
    <w:rsid w:val="7C6934D2"/>
    <w:rsid w:val="7C6B5174"/>
    <w:rsid w:val="7C7C44BA"/>
    <w:rsid w:val="7C815F74"/>
    <w:rsid w:val="7C880EDB"/>
    <w:rsid w:val="7CB77BE8"/>
    <w:rsid w:val="7CE40EDA"/>
    <w:rsid w:val="7D7905CD"/>
    <w:rsid w:val="7DD24CD9"/>
    <w:rsid w:val="7E0429B9"/>
    <w:rsid w:val="7E187154"/>
    <w:rsid w:val="7E394D59"/>
    <w:rsid w:val="7E41116F"/>
    <w:rsid w:val="7E6738EC"/>
    <w:rsid w:val="7E754F49"/>
    <w:rsid w:val="7EA96DCD"/>
    <w:rsid w:val="7EE11093"/>
    <w:rsid w:val="7F601E71"/>
    <w:rsid w:val="7FEE7F32"/>
    <w:rsid w:val="7FF032F7"/>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59"/>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1"/>
    <w:autoRedefine/>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62"/>
    <w:autoRedefine/>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63"/>
    <w:autoRedefine/>
    <w:qFormat/>
    <w:uiPriority w:val="0"/>
    <w:pPr>
      <w:keepNext/>
      <w:keepLines/>
      <w:ind w:firstLine="200" w:firstLineChars="200"/>
      <w:outlineLvl w:val="5"/>
    </w:pPr>
    <w:rPr>
      <w:rFonts w:hAnsi="Arial"/>
    </w:rPr>
  </w:style>
  <w:style w:type="paragraph" w:styleId="9">
    <w:name w:val="heading 7"/>
    <w:basedOn w:val="1"/>
    <w:next w:val="1"/>
    <w:link w:val="64"/>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5"/>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6"/>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autoRedefine/>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17"/>
    <w:autoRedefine/>
    <w:qFormat/>
    <w:uiPriority w:val="0"/>
    <w:pPr>
      <w:shd w:val="clear" w:color="auto" w:fill="000080"/>
    </w:pPr>
  </w:style>
  <w:style w:type="paragraph" w:styleId="15">
    <w:name w:val="annotation text"/>
    <w:basedOn w:val="1"/>
    <w:link w:val="87"/>
    <w:autoRedefine/>
    <w:qFormat/>
    <w:uiPriority w:val="99"/>
    <w:pPr>
      <w:jc w:val="left"/>
    </w:pPr>
  </w:style>
  <w:style w:type="paragraph" w:styleId="16">
    <w:name w:val="Body Text 3"/>
    <w:basedOn w:val="1"/>
    <w:link w:val="111"/>
    <w:autoRedefine/>
    <w:qFormat/>
    <w:uiPriority w:val="0"/>
    <w:pPr>
      <w:spacing w:after="120"/>
    </w:pPr>
    <w:rPr>
      <w:sz w:val="16"/>
      <w:szCs w:val="16"/>
    </w:rPr>
  </w:style>
  <w:style w:type="paragraph" w:styleId="17">
    <w:name w:val="Body Text"/>
    <w:basedOn w:val="1"/>
    <w:next w:val="18"/>
    <w:link w:val="85"/>
    <w:autoRedefine/>
    <w:qFormat/>
    <w:uiPriority w:val="0"/>
    <w:pPr>
      <w:spacing w:after="120"/>
    </w:pPr>
  </w:style>
  <w:style w:type="paragraph" w:styleId="18">
    <w:name w:val="Body Text First Indent"/>
    <w:basedOn w:val="17"/>
    <w:next w:val="1"/>
    <w:link w:val="173"/>
    <w:autoRedefine/>
    <w:unhideWhenUsed/>
    <w:qFormat/>
    <w:uiPriority w:val="0"/>
    <w:pPr>
      <w:adjustRightInd w:val="0"/>
      <w:spacing w:line="275" w:lineRule="atLeast"/>
      <w:ind w:firstLine="420"/>
    </w:pPr>
    <w:rPr>
      <w:rFonts w:ascii="Calibri" w:hAnsi="Calibri" w:eastAsia="楷体_GB2312"/>
      <w:szCs w:val="20"/>
    </w:rPr>
  </w:style>
  <w:style w:type="paragraph" w:styleId="19">
    <w:name w:val="Body Text Indent"/>
    <w:basedOn w:val="1"/>
    <w:link w:val="73"/>
    <w:autoRedefine/>
    <w:qFormat/>
    <w:uiPriority w:val="0"/>
    <w:pPr>
      <w:ind w:firstLine="407" w:firstLineChars="200"/>
    </w:pPr>
  </w:style>
  <w:style w:type="paragraph" w:styleId="20">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autoRedefine/>
    <w:qFormat/>
    <w:uiPriority w:val="0"/>
    <w:pPr>
      <w:ind w:left="600" w:leftChars="600"/>
    </w:pPr>
  </w:style>
  <w:style w:type="paragraph" w:styleId="22">
    <w:name w:val="toc 5"/>
    <w:basedOn w:val="1"/>
    <w:next w:val="1"/>
    <w:autoRedefine/>
    <w:qFormat/>
    <w:uiPriority w:val="39"/>
    <w:pPr>
      <w:ind w:left="840"/>
      <w:jc w:val="left"/>
    </w:pPr>
    <w:rPr>
      <w:rFonts w:asciiTheme="minorHAnsi" w:hAnsiTheme="minorHAnsi" w:cstheme="minorHAnsi"/>
      <w:sz w:val="18"/>
      <w:szCs w:val="18"/>
    </w:rPr>
  </w:style>
  <w:style w:type="paragraph" w:styleId="23">
    <w:name w:val="toc 3"/>
    <w:basedOn w:val="4"/>
    <w:next w:val="1"/>
    <w:autoRedefine/>
    <w:qFormat/>
    <w:uiPriority w:val="39"/>
    <w:pPr>
      <w:keepNext w:val="0"/>
      <w:keepLines w:val="0"/>
      <w:spacing w:before="0" w:after="0" w:line="240" w:lineRule="auto"/>
      <w:ind w:left="420"/>
      <w:jc w:val="left"/>
      <w:outlineLvl w:val="9"/>
    </w:pPr>
    <w:rPr>
      <w:rFonts w:asciiTheme="minorHAnsi" w:hAnsiTheme="minorHAnsi" w:cstheme="minorHAnsi"/>
      <w:b w:val="0"/>
      <w:bCs w:val="0"/>
      <w:i/>
      <w:iCs/>
      <w:sz w:val="20"/>
      <w:szCs w:val="20"/>
    </w:rPr>
  </w:style>
  <w:style w:type="paragraph" w:styleId="24">
    <w:name w:val="Plain Text"/>
    <w:basedOn w:val="1"/>
    <w:link w:val="72"/>
    <w:autoRedefine/>
    <w:qFormat/>
    <w:uiPriority w:val="0"/>
    <w:rPr>
      <w:rFonts w:ascii="宋体" w:hAnsi="Courier New"/>
      <w:szCs w:val="21"/>
    </w:rPr>
  </w:style>
  <w:style w:type="paragraph" w:styleId="25">
    <w:name w:val="toc 8"/>
    <w:basedOn w:val="1"/>
    <w:next w:val="1"/>
    <w:autoRedefine/>
    <w:qFormat/>
    <w:uiPriority w:val="39"/>
    <w:pPr>
      <w:ind w:left="1470"/>
      <w:jc w:val="left"/>
    </w:pPr>
    <w:rPr>
      <w:rFonts w:asciiTheme="minorHAnsi" w:hAnsiTheme="minorHAnsi" w:cstheme="minorHAnsi"/>
      <w:sz w:val="18"/>
      <w:szCs w:val="18"/>
    </w:rPr>
  </w:style>
  <w:style w:type="paragraph" w:styleId="26">
    <w:name w:val="Date"/>
    <w:basedOn w:val="1"/>
    <w:next w:val="1"/>
    <w:link w:val="67"/>
    <w:autoRedefine/>
    <w:qFormat/>
    <w:uiPriority w:val="0"/>
    <w:pPr>
      <w:ind w:left="100" w:leftChars="2500"/>
    </w:pPr>
  </w:style>
  <w:style w:type="paragraph" w:styleId="27">
    <w:name w:val="Body Text Indent 2"/>
    <w:basedOn w:val="1"/>
    <w:link w:val="90"/>
    <w:autoRedefine/>
    <w:qFormat/>
    <w:uiPriority w:val="0"/>
    <w:pPr>
      <w:widowControl/>
      <w:spacing w:line="480" w:lineRule="auto"/>
      <w:ind w:firstLine="560"/>
      <w:jc w:val="left"/>
    </w:pPr>
    <w:rPr>
      <w:kern w:val="0"/>
      <w:sz w:val="28"/>
    </w:rPr>
  </w:style>
  <w:style w:type="paragraph" w:styleId="28">
    <w:name w:val="endnote text"/>
    <w:basedOn w:val="1"/>
    <w:link w:val="110"/>
    <w:autoRedefine/>
    <w:qFormat/>
    <w:uiPriority w:val="0"/>
    <w:pPr>
      <w:widowControl/>
      <w:snapToGrid w:val="0"/>
      <w:jc w:val="left"/>
    </w:pPr>
    <w:rPr>
      <w:rFonts w:ascii="Arial" w:hAnsi="Arial"/>
      <w:kern w:val="0"/>
      <w:sz w:val="20"/>
      <w:lang w:eastAsia="en-US"/>
    </w:rPr>
  </w:style>
  <w:style w:type="paragraph" w:styleId="29">
    <w:name w:val="Balloon Text"/>
    <w:basedOn w:val="1"/>
    <w:link w:val="89"/>
    <w:autoRedefine/>
    <w:qFormat/>
    <w:uiPriority w:val="0"/>
    <w:rPr>
      <w:sz w:val="18"/>
      <w:szCs w:val="18"/>
    </w:rPr>
  </w:style>
  <w:style w:type="paragraph" w:styleId="30">
    <w:name w:val="footer"/>
    <w:basedOn w:val="1"/>
    <w:link w:val="68"/>
    <w:autoRedefine/>
    <w:qFormat/>
    <w:uiPriority w:val="0"/>
    <w:pPr>
      <w:tabs>
        <w:tab w:val="center" w:pos="4153"/>
        <w:tab w:val="right" w:pos="8306"/>
      </w:tabs>
      <w:snapToGrid w:val="0"/>
      <w:jc w:val="left"/>
    </w:pPr>
    <w:rPr>
      <w:sz w:val="18"/>
      <w:szCs w:val="18"/>
    </w:rPr>
  </w:style>
  <w:style w:type="paragraph" w:styleId="31">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spacing w:before="120" w:after="120"/>
      <w:jc w:val="left"/>
    </w:pPr>
    <w:rPr>
      <w:rFonts w:asciiTheme="minorHAnsi" w:hAnsiTheme="minorHAnsi" w:cstheme="minorHAnsi"/>
      <w:caps/>
      <w:sz w:val="24"/>
      <w:szCs w:val="20"/>
    </w:rPr>
  </w:style>
  <w:style w:type="paragraph" w:styleId="33">
    <w:name w:val="toc 4"/>
    <w:basedOn w:val="5"/>
    <w:next w:val="1"/>
    <w:autoRedefine/>
    <w:qFormat/>
    <w:uiPriority w:val="39"/>
    <w:pPr>
      <w:widowControl w:val="0"/>
      <w:spacing w:before="0" w:beforeAutospacing="0" w:after="0" w:afterAutospacing="0"/>
      <w:ind w:left="630"/>
      <w:outlineLvl w:val="9"/>
    </w:pPr>
    <w:rPr>
      <w:rFonts w:asciiTheme="minorHAnsi" w:hAnsiTheme="minorHAnsi" w:cstheme="minorHAnsi"/>
      <w:b w:val="0"/>
      <w:bCs w:val="0"/>
      <w:kern w:val="2"/>
      <w:sz w:val="18"/>
      <w:szCs w:val="18"/>
    </w:rPr>
  </w:style>
  <w:style w:type="paragraph" w:styleId="34">
    <w:name w:val="Subtitle"/>
    <w:basedOn w:val="1"/>
    <w:link w:val="108"/>
    <w:autoRedefine/>
    <w:qFormat/>
    <w:uiPriority w:val="0"/>
    <w:pPr>
      <w:widowControl/>
      <w:jc w:val="center"/>
    </w:pPr>
    <w:rPr>
      <w:kern w:val="0"/>
      <w:sz w:val="20"/>
      <w:u w:val="single"/>
      <w:lang w:eastAsia="en-US"/>
    </w:rPr>
  </w:style>
  <w:style w:type="paragraph" w:styleId="35">
    <w:name w:val="footnote text"/>
    <w:basedOn w:val="1"/>
    <w:link w:val="109"/>
    <w:autoRedefine/>
    <w:qFormat/>
    <w:uiPriority w:val="0"/>
    <w:pPr>
      <w:widowControl/>
      <w:snapToGrid w:val="0"/>
      <w:jc w:val="left"/>
    </w:pPr>
    <w:rPr>
      <w:rFonts w:ascii="Arial" w:hAnsi="Arial"/>
      <w:kern w:val="0"/>
      <w:sz w:val="18"/>
      <w:szCs w:val="18"/>
      <w:lang w:eastAsia="en-US"/>
    </w:rPr>
  </w:style>
  <w:style w:type="paragraph" w:styleId="36">
    <w:name w:val="toc 6"/>
    <w:basedOn w:val="1"/>
    <w:next w:val="1"/>
    <w:autoRedefine/>
    <w:qFormat/>
    <w:uiPriority w:val="39"/>
    <w:pPr>
      <w:ind w:left="1050"/>
      <w:jc w:val="left"/>
    </w:pPr>
    <w:rPr>
      <w:rFonts w:asciiTheme="minorHAnsi" w:hAnsiTheme="minorHAnsi" w:cstheme="minorHAnsi"/>
      <w:sz w:val="18"/>
      <w:szCs w:val="18"/>
    </w:rPr>
  </w:style>
  <w:style w:type="paragraph" w:styleId="37">
    <w:name w:val="Body Text Indent 3"/>
    <w:basedOn w:val="1"/>
    <w:link w:val="91"/>
    <w:autoRedefine/>
    <w:qFormat/>
    <w:uiPriority w:val="0"/>
    <w:pPr>
      <w:spacing w:line="360" w:lineRule="auto"/>
      <w:ind w:firstLine="280" w:firstLineChars="100"/>
    </w:pPr>
    <w:rPr>
      <w:rFonts w:ascii="宋体" w:hAnsi="宋体"/>
      <w:sz w:val="28"/>
      <w:szCs w:val="28"/>
    </w:rPr>
  </w:style>
  <w:style w:type="paragraph" w:styleId="38">
    <w:name w:val="table of figures"/>
    <w:basedOn w:val="1"/>
    <w:next w:val="1"/>
    <w:autoRedefine/>
    <w:qFormat/>
    <w:uiPriority w:val="0"/>
    <w:pPr>
      <w:ind w:left="200" w:leftChars="200" w:hanging="200" w:hangingChars="200"/>
    </w:pPr>
  </w:style>
  <w:style w:type="paragraph" w:styleId="39">
    <w:name w:val="toc 2"/>
    <w:basedOn w:val="3"/>
    <w:next w:val="1"/>
    <w:autoRedefine/>
    <w:qFormat/>
    <w:uiPriority w:val="39"/>
    <w:pPr>
      <w:keepNext w:val="0"/>
      <w:keepLines w:val="0"/>
      <w:spacing w:before="0" w:after="0" w:line="240" w:lineRule="auto"/>
      <w:ind w:left="210"/>
      <w:jc w:val="left"/>
      <w:outlineLvl w:val="9"/>
    </w:pPr>
    <w:rPr>
      <w:rFonts w:asciiTheme="minorHAnsi" w:hAnsiTheme="minorHAnsi" w:cstheme="minorHAnsi"/>
      <w:b w:val="0"/>
      <w:bCs w:val="0"/>
      <w:smallCaps/>
      <w:sz w:val="24"/>
      <w:szCs w:val="20"/>
    </w:rPr>
  </w:style>
  <w:style w:type="paragraph" w:styleId="40">
    <w:name w:val="toc 9"/>
    <w:basedOn w:val="1"/>
    <w:next w:val="1"/>
    <w:autoRedefine/>
    <w:qFormat/>
    <w:uiPriority w:val="39"/>
    <w:pPr>
      <w:ind w:left="1680"/>
      <w:jc w:val="left"/>
    </w:pPr>
    <w:rPr>
      <w:rFonts w:asciiTheme="minorHAnsi" w:hAnsiTheme="minorHAnsi" w:cstheme="minorHAnsi"/>
      <w:sz w:val="18"/>
      <w:szCs w:val="18"/>
    </w:rPr>
  </w:style>
  <w:style w:type="paragraph" w:styleId="41">
    <w:name w:val="Body Text 2"/>
    <w:basedOn w:val="1"/>
    <w:link w:val="135"/>
    <w:autoRedefine/>
    <w:qFormat/>
    <w:uiPriority w:val="0"/>
    <w:rPr>
      <w:i/>
      <w:iCs/>
      <w:sz w:val="26"/>
    </w:rPr>
  </w:style>
  <w:style w:type="paragraph" w:styleId="42">
    <w:name w:val="HTML Preformatted"/>
    <w:basedOn w:val="1"/>
    <w:link w:val="7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autoRedefine/>
    <w:qFormat/>
    <w:uiPriority w:val="0"/>
    <w:pPr>
      <w:spacing w:line="220" w:lineRule="exact"/>
      <w:jc w:val="center"/>
    </w:pPr>
    <w:rPr>
      <w:rFonts w:ascii="仿宋_GB2312" w:eastAsia="仿宋_GB2312"/>
      <w:szCs w:val="21"/>
    </w:rPr>
  </w:style>
  <w:style w:type="paragraph" w:styleId="45">
    <w:name w:val="Title"/>
    <w:basedOn w:val="1"/>
    <w:link w:val="107"/>
    <w:autoRedefine/>
    <w:qFormat/>
    <w:uiPriority w:val="0"/>
    <w:pPr>
      <w:widowControl/>
      <w:jc w:val="center"/>
    </w:pPr>
    <w:rPr>
      <w:kern w:val="0"/>
      <w:sz w:val="20"/>
      <w:u w:val="single"/>
      <w:lang w:eastAsia="en-US"/>
    </w:rPr>
  </w:style>
  <w:style w:type="paragraph" w:styleId="46">
    <w:name w:val="annotation subject"/>
    <w:basedOn w:val="15"/>
    <w:next w:val="15"/>
    <w:link w:val="88"/>
    <w:autoRedefine/>
    <w:qFormat/>
    <w:uiPriority w:val="0"/>
    <w:rPr>
      <w:b/>
      <w:bCs/>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endnote reference"/>
    <w:autoRedefine/>
    <w:qFormat/>
    <w:uiPriority w:val="0"/>
    <w:rPr>
      <w:vertAlign w:val="superscript"/>
    </w:rPr>
  </w:style>
  <w:style w:type="character" w:styleId="52">
    <w:name w:val="page number"/>
    <w:basedOn w:val="49"/>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0"/>
    <w:rPr>
      <w:sz w:val="21"/>
      <w:szCs w:val="21"/>
    </w:rPr>
  </w:style>
  <w:style w:type="character" w:styleId="57">
    <w:name w:val="footnote reference"/>
    <w:autoRedefine/>
    <w:qFormat/>
    <w:uiPriority w:val="0"/>
    <w:rPr>
      <w:vertAlign w:val="superscript"/>
    </w:rPr>
  </w:style>
  <w:style w:type="character" w:customStyle="1" w:styleId="58">
    <w:name w:val="标题 1 Char"/>
    <w:link w:val="2"/>
    <w:autoRedefine/>
    <w:qFormat/>
    <w:uiPriority w:val="0"/>
    <w:rPr>
      <w:rFonts w:eastAsia="宋体"/>
      <w:b/>
      <w:bCs/>
      <w:kern w:val="44"/>
      <w:sz w:val="44"/>
      <w:szCs w:val="44"/>
      <w:lang w:bidi="ar-SA"/>
    </w:rPr>
  </w:style>
  <w:style w:type="character" w:customStyle="1" w:styleId="59">
    <w:name w:val="标题 2 Char"/>
    <w:link w:val="3"/>
    <w:autoRedefine/>
    <w:qFormat/>
    <w:uiPriority w:val="0"/>
    <w:rPr>
      <w:rFonts w:ascii="Cambria" w:hAnsi="Cambria" w:eastAsia="宋体" w:cs="Times New Roman"/>
      <w:b/>
      <w:bCs/>
      <w:kern w:val="2"/>
      <w:sz w:val="32"/>
      <w:szCs w:val="32"/>
    </w:rPr>
  </w:style>
  <w:style w:type="character" w:customStyle="1" w:styleId="60">
    <w:name w:val="标题 3 Char"/>
    <w:link w:val="4"/>
    <w:autoRedefine/>
    <w:qFormat/>
    <w:uiPriority w:val="9"/>
    <w:rPr>
      <w:b/>
      <w:bCs/>
      <w:kern w:val="2"/>
      <w:sz w:val="32"/>
      <w:szCs w:val="32"/>
    </w:rPr>
  </w:style>
  <w:style w:type="character" w:customStyle="1" w:styleId="61">
    <w:name w:val="标题 4 Char"/>
    <w:link w:val="5"/>
    <w:autoRedefine/>
    <w:qFormat/>
    <w:uiPriority w:val="0"/>
    <w:rPr>
      <w:rFonts w:ascii="宋体" w:hAnsi="宋体" w:cs="宋体"/>
      <w:b/>
      <w:bCs/>
      <w:sz w:val="24"/>
      <w:szCs w:val="24"/>
    </w:rPr>
  </w:style>
  <w:style w:type="character" w:customStyle="1" w:styleId="62">
    <w:name w:val="标题 5 Char"/>
    <w:link w:val="6"/>
    <w:autoRedefine/>
    <w:qFormat/>
    <w:uiPriority w:val="0"/>
    <w:rPr>
      <w:rFonts w:ascii="宋体" w:hAnsi="宋体" w:cs="宋体"/>
      <w:b/>
      <w:bCs/>
    </w:rPr>
  </w:style>
  <w:style w:type="character" w:customStyle="1" w:styleId="63">
    <w:name w:val="标题 6 Char"/>
    <w:link w:val="7"/>
    <w:autoRedefine/>
    <w:qFormat/>
    <w:uiPriority w:val="0"/>
    <w:rPr>
      <w:rFonts w:hAnsi="Arial" w:eastAsia="仿宋_GB2312"/>
      <w:sz w:val="30"/>
    </w:rPr>
  </w:style>
  <w:style w:type="character" w:customStyle="1" w:styleId="64">
    <w:name w:val="标题 7 Char"/>
    <w:link w:val="9"/>
    <w:autoRedefine/>
    <w:qFormat/>
    <w:uiPriority w:val="0"/>
    <w:rPr>
      <w:rFonts w:eastAsia="仿宋_GB2312"/>
      <w:sz w:val="30"/>
    </w:rPr>
  </w:style>
  <w:style w:type="character" w:customStyle="1" w:styleId="65">
    <w:name w:val="标题 8 Char"/>
    <w:link w:val="10"/>
    <w:autoRedefine/>
    <w:qFormat/>
    <w:uiPriority w:val="0"/>
    <w:rPr>
      <w:rFonts w:hAnsi="Arial" w:eastAsia="仿宋_GB2312"/>
      <w:sz w:val="30"/>
    </w:rPr>
  </w:style>
  <w:style w:type="character" w:customStyle="1" w:styleId="66">
    <w:name w:val="标题 9 Char"/>
    <w:link w:val="11"/>
    <w:autoRedefine/>
    <w:qFormat/>
    <w:uiPriority w:val="0"/>
    <w:rPr>
      <w:rFonts w:eastAsia="仿宋_GB2312"/>
      <w:sz w:val="30"/>
    </w:rPr>
  </w:style>
  <w:style w:type="character" w:customStyle="1" w:styleId="67">
    <w:name w:val="日期 Char"/>
    <w:link w:val="26"/>
    <w:autoRedefine/>
    <w:qFormat/>
    <w:uiPriority w:val="0"/>
    <w:rPr>
      <w:kern w:val="2"/>
      <w:sz w:val="21"/>
      <w:szCs w:val="24"/>
    </w:rPr>
  </w:style>
  <w:style w:type="character" w:customStyle="1" w:styleId="68">
    <w:name w:val="页脚 Char"/>
    <w:link w:val="30"/>
    <w:autoRedefine/>
    <w:qFormat/>
    <w:uiPriority w:val="0"/>
    <w:rPr>
      <w:kern w:val="2"/>
      <w:sz w:val="18"/>
      <w:szCs w:val="18"/>
    </w:rPr>
  </w:style>
  <w:style w:type="character" w:customStyle="1" w:styleId="69">
    <w:name w:val="页眉 Char"/>
    <w:link w:val="31"/>
    <w:autoRedefine/>
    <w:qFormat/>
    <w:uiPriority w:val="0"/>
    <w:rPr>
      <w:kern w:val="2"/>
      <w:sz w:val="18"/>
      <w:szCs w:val="18"/>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character" w:customStyle="1" w:styleId="72">
    <w:name w:val="纯文本 Char"/>
    <w:link w:val="24"/>
    <w:autoRedefine/>
    <w:qFormat/>
    <w:uiPriority w:val="0"/>
    <w:rPr>
      <w:rFonts w:ascii="宋体" w:hAnsi="Courier New" w:cs="Courier New"/>
      <w:kern w:val="2"/>
      <w:sz w:val="21"/>
      <w:szCs w:val="21"/>
    </w:rPr>
  </w:style>
  <w:style w:type="character" w:customStyle="1" w:styleId="73">
    <w:name w:val="正文文本缩进 Char"/>
    <w:link w:val="19"/>
    <w:autoRedefine/>
    <w:qFormat/>
    <w:uiPriority w:val="0"/>
    <w:rPr>
      <w:kern w:val="2"/>
      <w:sz w:val="21"/>
      <w:szCs w:val="24"/>
    </w:rPr>
  </w:style>
  <w:style w:type="character" w:customStyle="1" w:styleId="74">
    <w:name w:val="main_tdbg_7601"/>
    <w:autoRedefine/>
    <w:qFormat/>
    <w:uiPriority w:val="0"/>
    <w:rPr>
      <w:sz w:val="14"/>
      <w:szCs w:val="14"/>
    </w:rPr>
  </w:style>
  <w:style w:type="character" w:customStyle="1" w:styleId="75">
    <w:name w:val="color_red1"/>
    <w:autoRedefine/>
    <w:qFormat/>
    <w:uiPriority w:val="0"/>
    <w:rPr>
      <w:color w:val="FA0004"/>
    </w:rPr>
  </w:style>
  <w:style w:type="character" w:customStyle="1" w:styleId="76">
    <w:name w:val="HTML 预设格式 Char"/>
    <w:link w:val="42"/>
    <w:autoRedefine/>
    <w:qFormat/>
    <w:uiPriority w:val="0"/>
    <w:rPr>
      <w:rFonts w:ascii="宋体" w:hAnsi="宋体" w:cs="宋体"/>
      <w:color w:val="000000"/>
      <w:sz w:val="24"/>
      <w:szCs w:val="24"/>
    </w:rPr>
  </w:style>
  <w:style w:type="paragraph" w:customStyle="1" w:styleId="77">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7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79">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80">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81">
    <w:name w:val="ly"/>
    <w:basedOn w:val="1"/>
    <w:autoRedefine/>
    <w:qFormat/>
    <w:uiPriority w:val="0"/>
    <w:pPr>
      <w:widowControl/>
      <w:spacing w:before="30"/>
      <w:jc w:val="right"/>
    </w:pPr>
    <w:rPr>
      <w:rFonts w:ascii="方正书宋简体" w:hAnsi="宋体" w:eastAsia="方正书宋简体"/>
      <w:color w:val="000000"/>
      <w:kern w:val="0"/>
      <w:szCs w:val="21"/>
    </w:rPr>
  </w:style>
  <w:style w:type="character" w:customStyle="1" w:styleId="82">
    <w:name w:val="ht1"/>
    <w:autoRedefine/>
    <w:qFormat/>
    <w:uiPriority w:val="0"/>
    <w:rPr>
      <w:rFonts w:ascii="黑体" w:eastAsia="黑体"/>
      <w:b/>
      <w:bCs/>
    </w:rPr>
  </w:style>
  <w:style w:type="paragraph" w:customStyle="1" w:styleId="83">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character" w:customStyle="1" w:styleId="84">
    <w:name w:val="unnamed1"/>
    <w:basedOn w:val="49"/>
    <w:autoRedefine/>
    <w:qFormat/>
    <w:uiPriority w:val="0"/>
  </w:style>
  <w:style w:type="character" w:customStyle="1" w:styleId="85">
    <w:name w:val="正文文本 Char"/>
    <w:link w:val="17"/>
    <w:autoRedefine/>
    <w:qFormat/>
    <w:uiPriority w:val="0"/>
    <w:rPr>
      <w:kern w:val="2"/>
      <w:sz w:val="21"/>
      <w:szCs w:val="24"/>
    </w:rPr>
  </w:style>
  <w:style w:type="character" w:customStyle="1" w:styleId="86">
    <w:name w:val="style161"/>
    <w:autoRedefine/>
    <w:qFormat/>
    <w:uiPriority w:val="0"/>
    <w:rPr>
      <w:b/>
      <w:bCs/>
      <w:color w:val="333333"/>
    </w:rPr>
  </w:style>
  <w:style w:type="character" w:customStyle="1" w:styleId="87">
    <w:name w:val="批注文字 Char"/>
    <w:link w:val="15"/>
    <w:autoRedefine/>
    <w:qFormat/>
    <w:uiPriority w:val="99"/>
    <w:rPr>
      <w:kern w:val="2"/>
      <w:sz w:val="21"/>
      <w:szCs w:val="24"/>
    </w:rPr>
  </w:style>
  <w:style w:type="character" w:customStyle="1" w:styleId="88">
    <w:name w:val="批注主题 Char1"/>
    <w:link w:val="46"/>
    <w:autoRedefine/>
    <w:qFormat/>
    <w:uiPriority w:val="0"/>
    <w:rPr>
      <w:b/>
      <w:bCs/>
      <w:kern w:val="2"/>
      <w:sz w:val="21"/>
      <w:szCs w:val="24"/>
    </w:rPr>
  </w:style>
  <w:style w:type="character" w:customStyle="1" w:styleId="89">
    <w:name w:val="批注框文本 Char"/>
    <w:link w:val="29"/>
    <w:autoRedefine/>
    <w:qFormat/>
    <w:uiPriority w:val="0"/>
    <w:rPr>
      <w:kern w:val="2"/>
      <w:sz w:val="18"/>
      <w:szCs w:val="18"/>
    </w:rPr>
  </w:style>
  <w:style w:type="character" w:customStyle="1" w:styleId="90">
    <w:name w:val="正文文本缩进 2 Char"/>
    <w:link w:val="27"/>
    <w:autoRedefine/>
    <w:qFormat/>
    <w:uiPriority w:val="0"/>
    <w:rPr>
      <w:sz w:val="28"/>
      <w:szCs w:val="24"/>
    </w:rPr>
  </w:style>
  <w:style w:type="character" w:customStyle="1" w:styleId="91">
    <w:name w:val="正文文本缩进 3 Char"/>
    <w:link w:val="37"/>
    <w:autoRedefine/>
    <w:qFormat/>
    <w:uiPriority w:val="0"/>
    <w:rPr>
      <w:rFonts w:ascii="宋体" w:hAnsi="宋体"/>
      <w:kern w:val="2"/>
      <w:sz w:val="28"/>
      <w:szCs w:val="28"/>
    </w:rPr>
  </w:style>
  <w:style w:type="paragraph" w:customStyle="1" w:styleId="92">
    <w:name w:val="rr"/>
    <w:basedOn w:val="1"/>
    <w:autoRedefine/>
    <w:qFormat/>
    <w:uiPriority w:val="0"/>
    <w:pPr>
      <w:widowControl/>
      <w:spacing w:before="100" w:beforeAutospacing="1" w:after="100" w:afterAutospacing="1"/>
      <w:jc w:val="left"/>
    </w:pPr>
    <w:rPr>
      <w:rFonts w:hint="eastAsia" w:ascii="宋体" w:hAnsi="宋体"/>
      <w:kern w:val="0"/>
      <w:szCs w:val="21"/>
    </w:rPr>
  </w:style>
  <w:style w:type="character" w:customStyle="1" w:styleId="93">
    <w:name w:val="normaltext1"/>
    <w:autoRedefine/>
    <w:qFormat/>
    <w:uiPriority w:val="0"/>
    <w:rPr>
      <w:rFonts w:hint="default" w:ascii="ˎ̥" w:hAnsi="ˎ̥"/>
      <w:sz w:val="9"/>
      <w:szCs w:val="9"/>
    </w:rPr>
  </w:style>
  <w:style w:type="character" w:customStyle="1" w:styleId="94">
    <w:name w:val="0d1471"/>
    <w:autoRedefine/>
    <w:qFormat/>
    <w:uiPriority w:val="0"/>
    <w:rPr>
      <w:color w:val="000000"/>
      <w:sz w:val="11"/>
      <w:szCs w:val="11"/>
      <w:u w:val="none"/>
    </w:rPr>
  </w:style>
  <w:style w:type="character" w:customStyle="1" w:styleId="95">
    <w:name w:val="style31"/>
    <w:autoRedefine/>
    <w:qFormat/>
    <w:uiPriority w:val="0"/>
    <w:rPr>
      <w:sz w:val="10"/>
      <w:szCs w:val="10"/>
    </w:rPr>
  </w:style>
  <w:style w:type="character" w:customStyle="1" w:styleId="96">
    <w:name w:val="ss16"/>
    <w:autoRedefine/>
    <w:qFormat/>
    <w:uiPriority w:val="0"/>
    <w:rPr>
      <w:rFonts w:hint="eastAsia" w:ascii="宋体" w:hAnsi="宋体" w:eastAsia="宋体"/>
      <w:color w:val="000000"/>
      <w:sz w:val="9"/>
      <w:szCs w:val="9"/>
    </w:rPr>
  </w:style>
  <w:style w:type="paragraph" w:customStyle="1" w:styleId="97">
    <w:name w:val="1"/>
    <w:basedOn w:val="1"/>
    <w:next w:val="24"/>
    <w:autoRedefine/>
    <w:qFormat/>
    <w:uiPriority w:val="0"/>
    <w:pPr>
      <w:widowControl/>
      <w:spacing w:before="100" w:beforeAutospacing="1" w:after="100" w:afterAutospacing="1"/>
      <w:jc w:val="left"/>
    </w:pPr>
    <w:rPr>
      <w:rFonts w:ascii="ˎ̥" w:hAnsi="ˎ̥" w:cs="宋体"/>
      <w:kern w:val="0"/>
      <w:sz w:val="24"/>
    </w:rPr>
  </w:style>
  <w:style w:type="character" w:customStyle="1" w:styleId="98">
    <w:name w:val="l1"/>
    <w:basedOn w:val="49"/>
    <w:autoRedefine/>
    <w:qFormat/>
    <w:uiPriority w:val="0"/>
  </w:style>
  <w:style w:type="paragraph" w:customStyle="1" w:styleId="99">
    <w:name w:val="标题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0">
    <w:name w:val="title11"/>
    <w:autoRedefine/>
    <w:qFormat/>
    <w:uiPriority w:val="0"/>
    <w:rPr>
      <w:b/>
      <w:bCs/>
      <w:color w:val="FFFFFF"/>
      <w:sz w:val="11"/>
      <w:szCs w:val="11"/>
    </w:rPr>
  </w:style>
  <w:style w:type="character" w:customStyle="1" w:styleId="101">
    <w:name w:val="style21"/>
    <w:autoRedefine/>
    <w:qFormat/>
    <w:uiPriority w:val="0"/>
    <w:rPr>
      <w:b/>
      <w:bCs/>
      <w:sz w:val="28"/>
      <w:szCs w:val="28"/>
    </w:rPr>
  </w:style>
  <w:style w:type="paragraph" w:customStyle="1" w:styleId="10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14t1"/>
    <w:autoRedefine/>
    <w:qFormat/>
    <w:uiPriority w:val="0"/>
    <w:rPr>
      <w:rFonts w:hint="eastAsia" w:ascii="宋体" w:hAnsi="宋体" w:eastAsia="宋体"/>
      <w:sz w:val="11"/>
      <w:szCs w:val="11"/>
    </w:rPr>
  </w:style>
  <w:style w:type="character" w:customStyle="1" w:styleId="104">
    <w:name w:val="docpro"/>
    <w:basedOn w:val="49"/>
    <w:autoRedefine/>
    <w:qFormat/>
    <w:uiPriority w:val="0"/>
  </w:style>
  <w:style w:type="paragraph" w:customStyle="1" w:styleId="105">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character" w:customStyle="1" w:styleId="106">
    <w:name w:val="style121"/>
    <w:autoRedefine/>
    <w:qFormat/>
    <w:uiPriority w:val="0"/>
    <w:rPr>
      <w:rFonts w:hint="eastAsia" w:ascii="宋体" w:hAnsi="宋体" w:eastAsia="宋体"/>
      <w:sz w:val="18"/>
      <w:szCs w:val="18"/>
    </w:rPr>
  </w:style>
  <w:style w:type="character" w:customStyle="1" w:styleId="107">
    <w:name w:val="标题 Char"/>
    <w:link w:val="45"/>
    <w:autoRedefine/>
    <w:qFormat/>
    <w:uiPriority w:val="0"/>
    <w:rPr>
      <w:szCs w:val="24"/>
      <w:u w:val="single"/>
      <w:lang w:eastAsia="en-US"/>
    </w:rPr>
  </w:style>
  <w:style w:type="character" w:customStyle="1" w:styleId="108">
    <w:name w:val="副标题 Char"/>
    <w:link w:val="34"/>
    <w:autoRedefine/>
    <w:qFormat/>
    <w:uiPriority w:val="0"/>
    <w:rPr>
      <w:szCs w:val="24"/>
      <w:u w:val="single"/>
      <w:lang w:eastAsia="en-US"/>
    </w:rPr>
  </w:style>
  <w:style w:type="character" w:customStyle="1" w:styleId="109">
    <w:name w:val="脚注文本 Char"/>
    <w:link w:val="35"/>
    <w:autoRedefine/>
    <w:qFormat/>
    <w:uiPriority w:val="0"/>
    <w:rPr>
      <w:rFonts w:ascii="Arial" w:hAnsi="Arial" w:cs="Arial"/>
      <w:sz w:val="18"/>
      <w:szCs w:val="18"/>
      <w:lang w:eastAsia="en-US"/>
    </w:rPr>
  </w:style>
  <w:style w:type="character" w:customStyle="1" w:styleId="110">
    <w:name w:val="尾注文本 Char"/>
    <w:link w:val="28"/>
    <w:autoRedefine/>
    <w:qFormat/>
    <w:uiPriority w:val="0"/>
    <w:rPr>
      <w:rFonts w:ascii="Arial" w:hAnsi="Arial" w:cs="Arial"/>
      <w:szCs w:val="24"/>
      <w:lang w:eastAsia="en-US"/>
    </w:rPr>
  </w:style>
  <w:style w:type="character" w:customStyle="1" w:styleId="111">
    <w:name w:val="正文文本 3 Char"/>
    <w:link w:val="16"/>
    <w:autoRedefine/>
    <w:qFormat/>
    <w:uiPriority w:val="0"/>
    <w:rPr>
      <w:kern w:val="2"/>
      <w:sz w:val="16"/>
      <w:szCs w:val="16"/>
    </w:rPr>
  </w:style>
  <w:style w:type="paragraph" w:customStyle="1" w:styleId="112">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13">
    <w:name w:val="font161"/>
    <w:autoRedefine/>
    <w:qFormat/>
    <w:uiPriority w:val="0"/>
    <w:rPr>
      <w:b/>
      <w:bCs/>
      <w:sz w:val="32"/>
      <w:szCs w:val="32"/>
    </w:rPr>
  </w:style>
  <w:style w:type="paragraph" w:customStyle="1" w:styleId="11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5">
    <w:name w:val="表格"/>
    <w:basedOn w:val="1"/>
    <w:autoRedefine/>
    <w:qFormat/>
    <w:uiPriority w:val="0"/>
    <w:pPr>
      <w:jc w:val="center"/>
      <w:textAlignment w:val="center"/>
    </w:pPr>
    <w:rPr>
      <w:rFonts w:ascii="华文细黑" w:hAnsi="华文细黑"/>
      <w:kern w:val="0"/>
      <w:szCs w:val="20"/>
    </w:rPr>
  </w:style>
  <w:style w:type="paragraph" w:customStyle="1" w:styleId="116">
    <w:name w:val="表格文字"/>
    <w:basedOn w:val="1"/>
    <w:autoRedefine/>
    <w:qFormat/>
    <w:uiPriority w:val="0"/>
    <w:pPr>
      <w:adjustRightInd w:val="0"/>
      <w:spacing w:line="420" w:lineRule="atLeast"/>
      <w:jc w:val="left"/>
      <w:textAlignment w:val="baseline"/>
    </w:pPr>
    <w:rPr>
      <w:kern w:val="0"/>
      <w:szCs w:val="20"/>
    </w:rPr>
  </w:style>
  <w:style w:type="character" w:customStyle="1" w:styleId="117">
    <w:name w:val="文档结构图 Char"/>
    <w:link w:val="14"/>
    <w:autoRedefine/>
    <w:qFormat/>
    <w:uiPriority w:val="0"/>
    <w:rPr>
      <w:kern w:val="2"/>
      <w:sz w:val="21"/>
      <w:szCs w:val="24"/>
      <w:shd w:val="clear" w:color="auto" w:fill="000080"/>
    </w:rPr>
  </w:style>
  <w:style w:type="paragraph" w:customStyle="1" w:styleId="118">
    <w:name w:val="自定样式1"/>
    <w:basedOn w:val="1"/>
    <w:autoRedefine/>
    <w:qFormat/>
    <w:uiPriority w:val="0"/>
    <w:pPr>
      <w:suppressAutoHyphens/>
      <w:jc w:val="center"/>
    </w:pPr>
    <w:rPr>
      <w:rFonts w:ascii="宋体" w:hAnsi="宋体"/>
      <w:color w:val="000000"/>
      <w:sz w:val="18"/>
    </w:rPr>
  </w:style>
  <w:style w:type="paragraph" w:customStyle="1" w:styleId="119">
    <w:name w:val="表格标题"/>
    <w:basedOn w:val="120"/>
    <w:autoRedefine/>
    <w:qFormat/>
    <w:uiPriority w:val="0"/>
  </w:style>
  <w:style w:type="paragraph" w:customStyle="1" w:styleId="120">
    <w:name w:val="表格内容"/>
    <w:basedOn w:val="1"/>
    <w:autoRedefine/>
    <w:qFormat/>
    <w:uiPriority w:val="0"/>
    <w:pPr>
      <w:suppressLineNumbers/>
      <w:suppressAutoHyphens/>
    </w:pPr>
  </w:style>
  <w:style w:type="paragraph" w:customStyle="1" w:styleId="121">
    <w:name w:val="WW-表格内容"/>
    <w:basedOn w:val="1"/>
    <w:autoRedefine/>
    <w:qFormat/>
    <w:uiPriority w:val="0"/>
    <w:pPr>
      <w:suppressLineNumbers/>
      <w:suppressAutoHyphens/>
    </w:pPr>
  </w:style>
  <w:style w:type="paragraph" w:customStyle="1" w:styleId="122">
    <w:name w:val="WW-表格标题"/>
    <w:basedOn w:val="121"/>
    <w:autoRedefine/>
    <w:qFormat/>
    <w:uiPriority w:val="0"/>
  </w:style>
  <w:style w:type="paragraph" w:customStyle="1" w:styleId="123">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4">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2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6">
    <w:name w:val="intel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7">
    <w:name w:val="intel3"/>
    <w:basedOn w:val="49"/>
    <w:autoRedefine/>
    <w:qFormat/>
    <w:uiPriority w:val="0"/>
  </w:style>
  <w:style w:type="character" w:customStyle="1" w:styleId="128">
    <w:name w:val="批注主题 Char"/>
    <w:autoRedefine/>
    <w:qFormat/>
    <w:uiPriority w:val="0"/>
    <w:rPr>
      <w:rFonts w:ascii="宋体" w:hAnsi="宋体"/>
      <w:kern w:val="2"/>
      <w:sz w:val="24"/>
      <w:szCs w:val="28"/>
    </w:rPr>
  </w:style>
  <w:style w:type="paragraph" w:styleId="129">
    <w:name w:val="List Paragraph"/>
    <w:basedOn w:val="1"/>
    <w:autoRedefine/>
    <w:qFormat/>
    <w:uiPriority w:val="0"/>
    <w:pPr>
      <w:ind w:firstLine="420" w:firstLineChars="200"/>
    </w:pPr>
    <w:rPr>
      <w:sz w:val="28"/>
      <w:szCs w:val="28"/>
    </w:rPr>
  </w:style>
  <w:style w:type="paragraph" w:customStyle="1" w:styleId="130">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131">
    <w:name w:val="Char Char11"/>
    <w:autoRedefine/>
    <w:qFormat/>
    <w:locked/>
    <w:uiPriority w:val="0"/>
    <w:rPr>
      <w:rFonts w:eastAsia="黑体"/>
      <w:kern w:val="2"/>
      <w:sz w:val="44"/>
      <w:szCs w:val="44"/>
      <w:lang w:val="en-US" w:eastAsia="zh-CN" w:bidi="ar-SA"/>
    </w:rPr>
  </w:style>
  <w:style w:type="character" w:customStyle="1" w:styleId="132">
    <w:name w:val="ca-141"/>
    <w:autoRedefine/>
    <w:qFormat/>
    <w:uiPriority w:val="0"/>
    <w:rPr>
      <w:rFonts w:hint="eastAsia" w:ascii="仿宋_GB2312" w:eastAsia="仿宋_GB2312"/>
      <w:sz w:val="21"/>
      <w:szCs w:val="21"/>
    </w:rPr>
  </w:style>
  <w:style w:type="paragraph" w:customStyle="1" w:styleId="133">
    <w:name w:val="pa-27"/>
    <w:basedOn w:val="1"/>
    <w:autoRedefine/>
    <w:qFormat/>
    <w:uiPriority w:val="0"/>
    <w:pPr>
      <w:widowControl/>
      <w:spacing w:line="360" w:lineRule="atLeast"/>
      <w:ind w:firstLine="420"/>
    </w:pPr>
    <w:rPr>
      <w:rFonts w:ascii="宋体" w:hAnsi="宋体" w:cs="宋体"/>
      <w:kern w:val="0"/>
      <w:sz w:val="24"/>
    </w:rPr>
  </w:style>
  <w:style w:type="paragraph" w:customStyle="1" w:styleId="134">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135">
    <w:name w:val="正文文本 2 Char"/>
    <w:link w:val="41"/>
    <w:autoRedefine/>
    <w:qFormat/>
    <w:uiPriority w:val="0"/>
    <w:rPr>
      <w:i/>
      <w:iCs/>
      <w:kern w:val="2"/>
      <w:sz w:val="26"/>
      <w:szCs w:val="24"/>
    </w:rPr>
  </w:style>
  <w:style w:type="paragraph" w:customStyle="1" w:styleId="136">
    <w:name w:val="修订1"/>
    <w:autoRedefine/>
    <w:hidden/>
    <w:qFormat/>
    <w:uiPriority w:val="0"/>
    <w:rPr>
      <w:rFonts w:ascii="Times New Roman" w:hAnsi="Times New Roman" w:eastAsia="宋体" w:cs="Times New Roman"/>
      <w:kern w:val="2"/>
      <w:sz w:val="21"/>
      <w:szCs w:val="24"/>
      <w:lang w:val="en-US" w:eastAsia="zh-CN" w:bidi="ar-SA"/>
    </w:rPr>
  </w:style>
  <w:style w:type="character" w:customStyle="1" w:styleId="137">
    <w:name w:val="纯文本 Char1"/>
    <w:autoRedefine/>
    <w:qFormat/>
    <w:uiPriority w:val="0"/>
    <w:rPr>
      <w:rFonts w:ascii="宋体" w:hAnsi="Courier New"/>
      <w:kern w:val="2"/>
      <w:sz w:val="28"/>
      <w:szCs w:val="28"/>
    </w:rPr>
  </w:style>
  <w:style w:type="paragraph" w:customStyle="1" w:styleId="13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9">
    <w:name w:val="Char Char1 Char Char Char Char Char Char Char"/>
    <w:basedOn w:val="1"/>
    <w:autoRedefine/>
    <w:qFormat/>
    <w:uiPriority w:val="0"/>
    <w:pPr>
      <w:pageBreakBefore/>
    </w:pPr>
    <w:rPr>
      <w:rFonts w:ascii="宋体" w:eastAsia="仿宋_GB2312" w:cs="宋体"/>
      <w:sz w:val="28"/>
      <w:szCs w:val="28"/>
    </w:rPr>
  </w:style>
  <w:style w:type="character" w:customStyle="1" w:styleId="140">
    <w:name w:val="标题4 Char Char"/>
    <w:link w:val="141"/>
    <w:autoRedefine/>
    <w:qFormat/>
    <w:uiPriority w:val="0"/>
    <w:rPr>
      <w:rFonts w:ascii="Arial" w:hAnsi="Arial"/>
      <w:b/>
      <w:bCs/>
      <w:sz w:val="24"/>
      <w:szCs w:val="32"/>
    </w:rPr>
  </w:style>
  <w:style w:type="paragraph" w:customStyle="1" w:styleId="141">
    <w:name w:val="标题4"/>
    <w:basedOn w:val="3"/>
    <w:next w:val="21"/>
    <w:link w:val="140"/>
    <w:autoRedefine/>
    <w:qFormat/>
    <w:uiPriority w:val="0"/>
    <w:pPr>
      <w:spacing w:line="413" w:lineRule="auto"/>
    </w:pPr>
    <w:rPr>
      <w:rFonts w:ascii="Arial" w:hAnsi="Arial"/>
      <w:kern w:val="0"/>
      <w:sz w:val="24"/>
    </w:rPr>
  </w:style>
  <w:style w:type="character" w:customStyle="1" w:styleId="142">
    <w:name w:val="明显引用 Char"/>
    <w:link w:val="143"/>
    <w:autoRedefine/>
    <w:qFormat/>
    <w:uiPriority w:val="0"/>
    <w:rPr>
      <w:b/>
      <w:bCs/>
      <w:i/>
      <w:iCs/>
      <w:color w:val="4F81BD"/>
      <w:kern w:val="2"/>
      <w:sz w:val="21"/>
      <w:szCs w:val="22"/>
    </w:rPr>
  </w:style>
  <w:style w:type="paragraph" w:styleId="143">
    <w:name w:val="Intense Quote"/>
    <w:basedOn w:val="1"/>
    <w:next w:val="1"/>
    <w:link w:val="142"/>
    <w:autoRedefine/>
    <w:qFormat/>
    <w:uiPriority w:val="0"/>
    <w:pPr>
      <w:pBdr>
        <w:bottom w:val="single" w:color="4F81BD" w:sz="4" w:space="4"/>
      </w:pBdr>
      <w:spacing w:before="200" w:after="280"/>
      <w:ind w:left="936" w:right="936"/>
    </w:pPr>
    <w:rPr>
      <w:b/>
      <w:bCs/>
      <w:i/>
      <w:iCs/>
      <w:color w:val="4F81BD"/>
      <w:szCs w:val="22"/>
    </w:rPr>
  </w:style>
  <w:style w:type="character" w:customStyle="1" w:styleId="144">
    <w:name w:val="书籍标题1"/>
    <w:autoRedefine/>
    <w:qFormat/>
    <w:uiPriority w:val="0"/>
    <w:rPr>
      <w:b/>
      <w:bCs/>
      <w:smallCaps/>
      <w:spacing w:val="5"/>
    </w:rPr>
  </w:style>
  <w:style w:type="character" w:customStyle="1" w:styleId="145">
    <w:name w:val="明显强调1"/>
    <w:autoRedefine/>
    <w:qFormat/>
    <w:uiPriority w:val="0"/>
    <w:rPr>
      <w:b/>
      <w:bCs/>
      <w:i/>
      <w:iCs/>
      <w:color w:val="4F81BD"/>
    </w:rPr>
  </w:style>
  <w:style w:type="character" w:customStyle="1" w:styleId="146">
    <w:name w:val="标题5 Char Char"/>
    <w:link w:val="147"/>
    <w:autoRedefine/>
    <w:qFormat/>
    <w:uiPriority w:val="0"/>
    <w:rPr>
      <w:rFonts w:ascii="Arial" w:hAnsi="Arial"/>
      <w:b/>
      <w:bCs/>
      <w:sz w:val="24"/>
      <w:szCs w:val="32"/>
    </w:rPr>
  </w:style>
  <w:style w:type="paragraph" w:customStyle="1" w:styleId="147">
    <w:name w:val="标题5"/>
    <w:basedOn w:val="4"/>
    <w:link w:val="146"/>
    <w:autoRedefine/>
    <w:qFormat/>
    <w:uiPriority w:val="0"/>
    <w:pPr>
      <w:spacing w:line="413" w:lineRule="auto"/>
    </w:pPr>
    <w:rPr>
      <w:rFonts w:ascii="Arial" w:hAnsi="Arial"/>
      <w:kern w:val="0"/>
      <w:sz w:val="24"/>
    </w:rPr>
  </w:style>
  <w:style w:type="character" w:customStyle="1" w:styleId="148">
    <w:name w:val="textcontents"/>
    <w:autoRedefine/>
    <w:qFormat/>
    <w:uiPriority w:val="0"/>
    <w:rPr>
      <w:rFonts w:cs="Times New Roman"/>
    </w:rPr>
  </w:style>
  <w:style w:type="character" w:customStyle="1" w:styleId="149">
    <w:name w:val="不明显强调1"/>
    <w:autoRedefine/>
    <w:qFormat/>
    <w:uiPriority w:val="0"/>
    <w:rPr>
      <w:i/>
      <w:iCs/>
      <w:color w:val="808080"/>
    </w:rPr>
  </w:style>
  <w:style w:type="character" w:customStyle="1" w:styleId="150">
    <w:name w:val="不明显参考1"/>
    <w:autoRedefine/>
    <w:qFormat/>
    <w:uiPriority w:val="0"/>
    <w:rPr>
      <w:smallCaps/>
      <w:color w:val="C0504D"/>
      <w:u w:val="single"/>
    </w:rPr>
  </w:style>
  <w:style w:type="character" w:customStyle="1" w:styleId="151">
    <w:name w:val="日期 Char1"/>
    <w:autoRedefine/>
    <w:qFormat/>
    <w:uiPriority w:val="0"/>
    <w:rPr>
      <w:kern w:val="2"/>
      <w:sz w:val="21"/>
      <w:szCs w:val="22"/>
    </w:rPr>
  </w:style>
  <w:style w:type="character" w:customStyle="1" w:styleId="152">
    <w:name w:val="正文文本 Char1"/>
    <w:autoRedefine/>
    <w:qFormat/>
    <w:uiPriority w:val="0"/>
    <w:rPr>
      <w:kern w:val="2"/>
      <w:sz w:val="21"/>
      <w:szCs w:val="22"/>
    </w:rPr>
  </w:style>
  <w:style w:type="character" w:customStyle="1" w:styleId="153">
    <w:name w:val="批注文字 Char Char"/>
    <w:autoRedefine/>
    <w:qFormat/>
    <w:uiPriority w:val="0"/>
    <w:rPr>
      <w:rFonts w:ascii="宋体" w:hAnsi="Times New Roman" w:eastAsia="宋体" w:cs="Times New Roman"/>
      <w:sz w:val="28"/>
      <w:szCs w:val="20"/>
    </w:rPr>
  </w:style>
  <w:style w:type="character" w:customStyle="1" w:styleId="154">
    <w:name w:val="明显参考1"/>
    <w:autoRedefine/>
    <w:qFormat/>
    <w:uiPriority w:val="0"/>
    <w:rPr>
      <w:b/>
      <w:bCs/>
      <w:smallCaps/>
      <w:color w:val="C0504D"/>
      <w:spacing w:val="5"/>
      <w:u w:val="single"/>
    </w:rPr>
  </w:style>
  <w:style w:type="character" w:customStyle="1" w:styleId="155">
    <w:name w:val="批注框文本 Char1"/>
    <w:autoRedefine/>
    <w:qFormat/>
    <w:uiPriority w:val="0"/>
    <w:rPr>
      <w:kern w:val="2"/>
      <w:sz w:val="18"/>
      <w:szCs w:val="18"/>
    </w:rPr>
  </w:style>
  <w:style w:type="character" w:customStyle="1" w:styleId="156">
    <w:name w:val="引用 Char"/>
    <w:link w:val="157"/>
    <w:autoRedefine/>
    <w:qFormat/>
    <w:uiPriority w:val="0"/>
    <w:rPr>
      <w:i/>
      <w:iCs/>
      <w:color w:val="000000"/>
      <w:kern w:val="2"/>
      <w:sz w:val="21"/>
      <w:szCs w:val="22"/>
    </w:rPr>
  </w:style>
  <w:style w:type="paragraph" w:styleId="157">
    <w:name w:val="Quote"/>
    <w:basedOn w:val="1"/>
    <w:next w:val="1"/>
    <w:link w:val="156"/>
    <w:autoRedefine/>
    <w:qFormat/>
    <w:uiPriority w:val="0"/>
    <w:rPr>
      <w:i/>
      <w:iCs/>
      <w:color w:val="000000"/>
      <w:szCs w:val="22"/>
    </w:rPr>
  </w:style>
  <w:style w:type="character" w:customStyle="1" w:styleId="158">
    <w:name w:val="文档结构图 Char1"/>
    <w:autoRedefine/>
    <w:qFormat/>
    <w:uiPriority w:val="0"/>
    <w:rPr>
      <w:rFonts w:ascii="宋体"/>
      <w:kern w:val="2"/>
      <w:sz w:val="18"/>
      <w:szCs w:val="18"/>
    </w:rPr>
  </w:style>
  <w:style w:type="paragraph" w:styleId="159">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0">
    <w:name w:val="明显引用 Char1"/>
    <w:link w:val="161"/>
    <w:autoRedefine/>
    <w:qFormat/>
    <w:uiPriority w:val="0"/>
    <w:rPr>
      <w:b/>
      <w:bCs/>
      <w:i/>
      <w:iCs/>
      <w:color w:val="4F81BD"/>
      <w:kern w:val="2"/>
      <w:sz w:val="21"/>
      <w:szCs w:val="24"/>
    </w:rPr>
  </w:style>
  <w:style w:type="paragraph" w:customStyle="1" w:styleId="161">
    <w:name w:val="明显引用1"/>
    <w:basedOn w:val="1"/>
    <w:next w:val="1"/>
    <w:link w:val="160"/>
    <w:autoRedefine/>
    <w:qFormat/>
    <w:uiPriority w:val="0"/>
    <w:pPr>
      <w:pBdr>
        <w:bottom w:val="single" w:color="4F81BD" w:sz="4" w:space="4"/>
      </w:pBdr>
      <w:spacing w:before="200" w:after="280"/>
      <w:ind w:left="936" w:right="936"/>
    </w:pPr>
    <w:rPr>
      <w:b/>
      <w:bCs/>
      <w:i/>
      <w:iCs/>
      <w:color w:val="4F81BD"/>
    </w:rPr>
  </w:style>
  <w:style w:type="character" w:customStyle="1" w:styleId="162">
    <w:name w:val="引用 Char1"/>
    <w:link w:val="163"/>
    <w:autoRedefine/>
    <w:qFormat/>
    <w:uiPriority w:val="0"/>
    <w:rPr>
      <w:i/>
      <w:iCs/>
      <w:color w:val="000000"/>
      <w:kern w:val="2"/>
      <w:sz w:val="21"/>
      <w:szCs w:val="24"/>
    </w:rPr>
  </w:style>
  <w:style w:type="paragraph" w:customStyle="1" w:styleId="163">
    <w:name w:val="引用1"/>
    <w:basedOn w:val="1"/>
    <w:next w:val="1"/>
    <w:link w:val="162"/>
    <w:autoRedefine/>
    <w:qFormat/>
    <w:uiPriority w:val="0"/>
    <w:rPr>
      <w:i/>
      <w:iCs/>
      <w:color w:val="000000"/>
    </w:rPr>
  </w:style>
  <w:style w:type="paragraph" w:customStyle="1" w:styleId="16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5">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66">
    <w:name w:val="Char Char Char Char Char Char Char Char Char"/>
    <w:basedOn w:val="1"/>
    <w:autoRedefine/>
    <w:qFormat/>
    <w:uiPriority w:val="0"/>
    <w:pPr>
      <w:spacing w:line="240" w:lineRule="atLeast"/>
      <w:ind w:left="420" w:firstLine="420"/>
    </w:pPr>
    <w:rPr>
      <w:kern w:val="0"/>
      <w:szCs w:val="21"/>
    </w:rPr>
  </w:style>
  <w:style w:type="paragraph" w:customStyle="1" w:styleId="167">
    <w:name w:val="Char Char8"/>
    <w:basedOn w:val="14"/>
    <w:autoRedefine/>
    <w:qFormat/>
    <w:uiPriority w:val="0"/>
    <w:pPr>
      <w:spacing w:line="360" w:lineRule="auto"/>
      <w:ind w:firstLine="200" w:firstLineChars="200"/>
    </w:p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69">
    <w:name w:val="正文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2">
    <w:name w:val="TOC 标题2"/>
    <w:basedOn w:val="2"/>
    <w:next w:val="1"/>
    <w:autoRedefine/>
    <w:unhideWhenUsed/>
    <w:qFormat/>
    <w:uiPriority w:val="0"/>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3">
    <w:name w:val="正文首行缩进 Char"/>
    <w:basedOn w:val="85"/>
    <w:link w:val="18"/>
    <w:autoRedefine/>
    <w:qFormat/>
    <w:uiPriority w:val="0"/>
    <w:rPr>
      <w:rFonts w:ascii="Calibri" w:hAnsi="Calibri" w:eastAsia="楷体_GB2312"/>
      <w:kern w:val="2"/>
      <w:sz w:val="21"/>
      <w:szCs w:val="24"/>
    </w:rPr>
  </w:style>
  <w:style w:type="paragraph" w:customStyle="1" w:styleId="17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75">
    <w:name w:val="引用2"/>
    <w:basedOn w:val="1"/>
    <w:next w:val="1"/>
    <w:autoRedefine/>
    <w:qFormat/>
    <w:uiPriority w:val="0"/>
    <w:rPr>
      <w:i/>
      <w:iCs/>
      <w:color w:val="000000" w:themeColor="text1"/>
      <w14:textFill>
        <w14:solidFill>
          <w14:schemeClr w14:val="tx1"/>
        </w14:solidFill>
      </w14:textFill>
    </w:rPr>
  </w:style>
  <w:style w:type="paragraph" w:customStyle="1" w:styleId="176">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77">
    <w:name w:val="列表段落1"/>
    <w:basedOn w:val="1"/>
    <w:autoRedefine/>
    <w:qFormat/>
    <w:uiPriority w:val="34"/>
    <w:pPr>
      <w:ind w:firstLine="420" w:firstLineChars="200"/>
    </w:pPr>
    <w:rPr>
      <w:rFonts w:ascii="Calibri" w:hAnsi="Calibri"/>
    </w:rPr>
  </w:style>
  <w:style w:type="paragraph" w:customStyle="1" w:styleId="17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Char"/>
    <w:basedOn w:val="1"/>
    <w:autoRedefine/>
    <w:qFormat/>
    <w:uiPriority w:val="0"/>
  </w:style>
  <w:style w:type="paragraph" w:customStyle="1" w:styleId="180">
    <w:name w:val="p15"/>
    <w:basedOn w:val="1"/>
    <w:autoRedefine/>
    <w:qFormat/>
    <w:uiPriority w:val="0"/>
    <w:pPr>
      <w:widowControl/>
      <w:spacing w:after="120"/>
    </w:pPr>
    <w:rPr>
      <w:kern w:val="0"/>
      <w:szCs w:val="21"/>
    </w:rPr>
  </w:style>
  <w:style w:type="paragraph" w:customStyle="1" w:styleId="181">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82">
    <w:name w:val="p16"/>
    <w:basedOn w:val="1"/>
    <w:autoRedefine/>
    <w:qFormat/>
    <w:uiPriority w:val="0"/>
    <w:pPr>
      <w:widowControl/>
    </w:pPr>
    <w:rPr>
      <w:rFonts w:ascii="Calibri" w:hAnsi="Calibri" w:cs="宋体"/>
      <w:kern w:val="0"/>
      <w:szCs w:val="21"/>
    </w:rPr>
  </w:style>
  <w:style w:type="paragraph" w:customStyle="1" w:styleId="183">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4">
    <w:name w:val="1 Char"/>
    <w:basedOn w:val="1"/>
    <w:autoRedefine/>
    <w:qFormat/>
    <w:uiPriority w:val="0"/>
    <w:pPr>
      <w:widowControl/>
      <w:spacing w:after="160" w:line="240" w:lineRule="exact"/>
      <w:jc w:val="left"/>
    </w:pPr>
    <w:rPr>
      <w:rFonts w:ascii="Calibri" w:hAnsi="Calibri"/>
      <w:szCs w:val="20"/>
    </w:rPr>
  </w:style>
  <w:style w:type="paragraph" w:customStyle="1" w:styleId="185">
    <w:name w:val="Char2"/>
    <w:basedOn w:val="1"/>
    <w:autoRedefine/>
    <w:qFormat/>
    <w:uiPriority w:val="0"/>
    <w:rPr>
      <w:rFonts w:ascii="Calibri" w:hAnsi="Calibri"/>
    </w:rPr>
  </w:style>
  <w:style w:type="paragraph" w:customStyle="1" w:styleId="18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87">
    <w:name w:val="Char11"/>
    <w:basedOn w:val="1"/>
    <w:autoRedefine/>
    <w:qFormat/>
    <w:uiPriority w:val="0"/>
  </w:style>
  <w:style w:type="paragraph" w:customStyle="1" w:styleId="188">
    <w:name w:val="Char1"/>
    <w:basedOn w:val="1"/>
    <w:autoRedefine/>
    <w:qFormat/>
    <w:uiPriority w:val="0"/>
  </w:style>
  <w:style w:type="paragraph" w:customStyle="1" w:styleId="18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90">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192">
    <w:name w:val="Char Char Char Char"/>
    <w:basedOn w:val="14"/>
    <w:autoRedefine/>
    <w:qFormat/>
    <w:uiPriority w:val="0"/>
    <w:pPr>
      <w:spacing w:line="360" w:lineRule="auto"/>
      <w:ind w:firstLine="200" w:firstLineChars="200"/>
    </w:pPr>
    <w:rPr>
      <w:rFonts w:ascii="Tahoma" w:hAnsi="Tahoma"/>
      <w:sz w:val="24"/>
    </w:rPr>
  </w:style>
  <w:style w:type="paragraph" w:customStyle="1" w:styleId="193">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194">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95">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19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7">
    <w:name w:val="标准样式1"/>
    <w:basedOn w:val="1"/>
    <w:autoRedefine/>
    <w:qFormat/>
    <w:uiPriority w:val="0"/>
    <w:pPr>
      <w:spacing w:line="600" w:lineRule="exact"/>
      <w:ind w:firstLine="567"/>
    </w:pPr>
    <w:rPr>
      <w:rFonts w:ascii="Calibri" w:hAnsi="Calibri"/>
      <w:sz w:val="28"/>
    </w:rPr>
  </w:style>
  <w:style w:type="paragraph" w:customStyle="1" w:styleId="198">
    <w:name w:val="TOC 标题11"/>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character" w:customStyle="1" w:styleId="199">
    <w:name w:val="Default Char"/>
    <w:link w:val="200"/>
    <w:autoRedefine/>
    <w:qFormat/>
    <w:locked/>
    <w:uiPriority w:val="0"/>
    <w:rPr>
      <w:rFonts w:ascii="仿宋" w:hAnsi="仿宋" w:eastAsia="仿宋"/>
      <w:color w:val="000000"/>
      <w:sz w:val="24"/>
      <w:szCs w:val="24"/>
    </w:rPr>
  </w:style>
  <w:style w:type="paragraph" w:customStyle="1" w:styleId="200">
    <w:name w:val="Default"/>
    <w:link w:val="199"/>
    <w:autoRedefine/>
    <w:qFormat/>
    <w:uiPriority w:val="0"/>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01">
    <w:name w:val="TOC 标题12"/>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02">
    <w:name w:val="列出段落1"/>
    <w:basedOn w:val="1"/>
    <w:autoRedefine/>
    <w:qFormat/>
    <w:uiPriority w:val="0"/>
    <w:pPr>
      <w:ind w:firstLine="420" w:firstLineChars="200"/>
    </w:pPr>
    <w:rPr>
      <w:sz w:val="28"/>
      <w:szCs w:val="28"/>
    </w:rPr>
  </w:style>
  <w:style w:type="paragraph" w:customStyle="1" w:styleId="203">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04">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05">
    <w:name w:val="正  文"/>
    <w:basedOn w:val="1"/>
    <w:autoRedefine/>
    <w:qFormat/>
    <w:uiPriority w:val="0"/>
    <w:pPr>
      <w:spacing w:line="360" w:lineRule="auto"/>
      <w:ind w:firstLine="200" w:firstLineChars="200"/>
    </w:pPr>
    <w:rPr>
      <w:rFonts w:ascii="宋体" w:hAnsi="Calibri"/>
      <w:sz w:val="24"/>
    </w:rPr>
  </w:style>
  <w:style w:type="paragraph" w:customStyle="1" w:styleId="20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1"/>
    <w:basedOn w:val="1"/>
    <w:autoRedefine/>
    <w:qFormat/>
    <w:uiPriority w:val="0"/>
    <w:pPr>
      <w:ind w:firstLine="420" w:firstLineChars="200"/>
    </w:pPr>
    <w:rPr>
      <w:sz w:val="28"/>
      <w:szCs w:val="28"/>
    </w:rPr>
  </w:style>
  <w:style w:type="paragraph" w:customStyle="1" w:styleId="208">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09">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10">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211">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2">
    <w:name w:val="表体"/>
    <w:basedOn w:val="1"/>
    <w:next w:val="1"/>
    <w:autoRedefine/>
    <w:qFormat/>
    <w:uiPriority w:val="0"/>
    <w:pPr>
      <w:snapToGrid w:val="0"/>
      <w:spacing w:line="0" w:lineRule="atLeast"/>
    </w:pPr>
    <w:rPr>
      <w:rFonts w:ascii="Calibri" w:hAnsi="Calibri"/>
      <w:b/>
      <w:szCs w:val="20"/>
    </w:rPr>
  </w:style>
  <w:style w:type="paragraph" w:customStyle="1" w:styleId="213">
    <w:name w:val="_Style 87"/>
    <w:basedOn w:val="1"/>
    <w:autoRedefine/>
    <w:qFormat/>
    <w:uiPriority w:val="99"/>
    <w:pPr>
      <w:ind w:firstLine="420" w:firstLineChars="200"/>
    </w:pPr>
    <w:rPr>
      <w:rFonts w:ascii="Calibri" w:hAnsi="Calibri"/>
      <w:sz w:val="28"/>
      <w:szCs w:val="28"/>
    </w:rPr>
  </w:style>
  <w:style w:type="paragraph" w:customStyle="1" w:styleId="214">
    <w:name w:val="_Style 3"/>
    <w:autoRedefine/>
    <w:qFormat/>
    <w:uiPriority w:val="0"/>
    <w:pPr>
      <w:widowControl w:val="0"/>
      <w:snapToGrid w:val="0"/>
      <w:spacing w:line="360" w:lineRule="auto"/>
    </w:pPr>
    <w:rPr>
      <w:rFonts w:ascii="Calibri" w:hAnsi="Calibri" w:eastAsia="宋体" w:cs="Times New Roman"/>
      <w:sz w:val="21"/>
      <w:szCs w:val="24"/>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7">
    <w:name w:val="样式1"/>
    <w:basedOn w:val="1"/>
    <w:next w:val="5"/>
    <w:autoRedefine/>
    <w:qFormat/>
    <w:uiPriority w:val="0"/>
    <w:pPr>
      <w:spacing w:line="360" w:lineRule="auto"/>
      <w:ind w:firstLine="420" w:firstLineChars="200"/>
    </w:pPr>
    <w:rPr>
      <w:rFonts w:ascii="宋体" w:hAnsi="宋体"/>
      <w:szCs w:val="21"/>
    </w:rPr>
  </w:style>
  <w:style w:type="paragraph" w:customStyle="1" w:styleId="218">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19">
    <w:name w:val="_Style 105"/>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20">
    <w:name w:val="正文-表格内文字"/>
    <w:basedOn w:val="1"/>
    <w:autoRedefine/>
    <w:qFormat/>
    <w:uiPriority w:val="0"/>
    <w:pPr>
      <w:spacing w:line="264" w:lineRule="auto"/>
    </w:pPr>
  </w:style>
  <w:style w:type="paragraph" w:customStyle="1" w:styleId="221">
    <w:name w:val="Char9"/>
    <w:basedOn w:val="14"/>
    <w:autoRedefine/>
    <w:qFormat/>
    <w:uiPriority w:val="0"/>
    <w:pPr>
      <w:spacing w:line="360" w:lineRule="auto"/>
      <w:ind w:firstLine="200" w:firstLineChars="200"/>
    </w:pPr>
    <w:rPr>
      <w:rFonts w:ascii="Calibri" w:hAnsi="Calibri"/>
    </w:rPr>
  </w:style>
  <w:style w:type="paragraph" w:customStyle="1" w:styleId="222">
    <w:name w:val="Char Char Char Char Char Char Char"/>
    <w:basedOn w:val="1"/>
    <w:autoRedefine/>
    <w:qFormat/>
    <w:uiPriority w:val="0"/>
    <w:rPr>
      <w:rFonts w:ascii="仿宋_GB2312" w:hAnsi="Calibri" w:eastAsia="仿宋_GB2312"/>
      <w:b/>
      <w:sz w:val="32"/>
      <w:szCs w:val="32"/>
    </w:rPr>
  </w:style>
  <w:style w:type="paragraph" w:customStyle="1" w:styleId="223">
    <w:name w:val="xl2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24">
    <w:name w:val="默认段落字体 Para Char Char Char Char Char Char Char Char Char Char Char Char Char"/>
    <w:basedOn w:val="1"/>
    <w:autoRedefine/>
    <w:qFormat/>
    <w:uiPriority w:val="0"/>
  </w:style>
  <w:style w:type="paragraph" w:customStyle="1" w:styleId="225">
    <w:name w:val="p20"/>
    <w:basedOn w:val="1"/>
    <w:autoRedefine/>
    <w:qFormat/>
    <w:uiPriority w:val="0"/>
    <w:pPr>
      <w:widowControl/>
      <w:jc w:val="left"/>
    </w:pPr>
    <w:rPr>
      <w:rFonts w:ascii="宋体" w:hAnsi="宋体" w:cs="宋体"/>
      <w:kern w:val="0"/>
      <w:szCs w:val="21"/>
    </w:rPr>
  </w:style>
  <w:style w:type="paragraph" w:customStyle="1" w:styleId="226">
    <w:name w:val="p19"/>
    <w:basedOn w:val="1"/>
    <w:autoRedefine/>
    <w:qFormat/>
    <w:uiPriority w:val="0"/>
    <w:pPr>
      <w:widowControl/>
    </w:pPr>
    <w:rPr>
      <w:kern w:val="0"/>
      <w:szCs w:val="21"/>
    </w:rPr>
  </w:style>
  <w:style w:type="character" w:customStyle="1" w:styleId="227">
    <w:name w:val="Char Char17"/>
    <w:autoRedefine/>
    <w:qFormat/>
    <w:uiPriority w:val="0"/>
    <w:rPr>
      <w:kern w:val="2"/>
      <w:sz w:val="26"/>
      <w:szCs w:val="24"/>
    </w:rPr>
  </w:style>
  <w:style w:type="character" w:customStyle="1" w:styleId="228">
    <w:name w:val="Char Char35"/>
    <w:autoRedefine/>
    <w:qFormat/>
    <w:uiPriority w:val="0"/>
    <w:rPr>
      <w:rFonts w:hint="eastAsia" w:ascii="仿宋_GB2312" w:eastAsia="仿宋_GB2312" w:cs="MingLiU"/>
      <w:b/>
      <w:sz w:val="24"/>
      <w:szCs w:val="28"/>
    </w:rPr>
  </w:style>
  <w:style w:type="character" w:customStyle="1" w:styleId="229">
    <w:name w:val="正文文本缩进 Char1"/>
    <w:autoRedefine/>
    <w:qFormat/>
    <w:uiPriority w:val="0"/>
    <w:rPr>
      <w:kern w:val="2"/>
      <w:sz w:val="21"/>
      <w:szCs w:val="24"/>
    </w:rPr>
  </w:style>
  <w:style w:type="character" w:customStyle="1" w:styleId="230">
    <w:name w:val="批注主题 Char4"/>
    <w:autoRedefine/>
    <w:semiHidden/>
    <w:qFormat/>
    <w:locked/>
    <w:uiPriority w:val="0"/>
    <w:rPr>
      <w:b/>
      <w:bCs/>
      <w:kern w:val="2"/>
      <w:sz w:val="21"/>
      <w:szCs w:val="24"/>
    </w:rPr>
  </w:style>
  <w:style w:type="character" w:customStyle="1" w:styleId="231">
    <w:name w:val="标题 2 Char1"/>
    <w:autoRedefine/>
    <w:qFormat/>
    <w:uiPriority w:val="0"/>
    <w:rPr>
      <w:rFonts w:hint="default" w:ascii="Cambria" w:hAnsi="Cambria" w:eastAsia="宋体" w:cs="Times New Roman"/>
      <w:b/>
      <w:bCs/>
      <w:kern w:val="2"/>
      <w:sz w:val="32"/>
      <w:szCs w:val="32"/>
    </w:rPr>
  </w:style>
  <w:style w:type="character" w:customStyle="1" w:styleId="232">
    <w:name w:val="标题 5 Char2"/>
    <w:autoRedefine/>
    <w:semiHidden/>
    <w:qFormat/>
    <w:locked/>
    <w:uiPriority w:val="0"/>
    <w:rPr>
      <w:rFonts w:ascii="宋体" w:hAnsi="宋体" w:cs="宋体"/>
      <w:b/>
      <w:bCs/>
    </w:rPr>
  </w:style>
  <w:style w:type="character" w:customStyle="1" w:styleId="233">
    <w:name w:val="普通文字 Char Char1"/>
    <w:autoRedefine/>
    <w:qFormat/>
    <w:uiPriority w:val="0"/>
    <w:rPr>
      <w:rFonts w:hint="eastAsia" w:ascii="宋体" w:hAnsi="Courier New" w:eastAsia="宋体"/>
      <w:kern w:val="2"/>
      <w:sz w:val="28"/>
      <w:szCs w:val="28"/>
    </w:rPr>
  </w:style>
  <w:style w:type="character" w:customStyle="1" w:styleId="234">
    <w:name w:val="标题 6 Char2"/>
    <w:autoRedefine/>
    <w:semiHidden/>
    <w:qFormat/>
    <w:locked/>
    <w:uiPriority w:val="0"/>
    <w:rPr>
      <w:rFonts w:hAnsi="Arial" w:eastAsia="仿宋_GB2312"/>
      <w:sz w:val="30"/>
    </w:rPr>
  </w:style>
  <w:style w:type="character" w:customStyle="1" w:styleId="235">
    <w:name w:val="Char Char32"/>
    <w:autoRedefine/>
    <w:qFormat/>
    <w:uiPriority w:val="0"/>
    <w:rPr>
      <w:rFonts w:hint="eastAsia" w:ascii="仿宋_GB2312" w:eastAsia="仿宋_GB2312" w:cs="MingLiU"/>
      <w:b/>
      <w:spacing w:val="1"/>
      <w:w w:val="99"/>
      <w:sz w:val="28"/>
      <w:szCs w:val="32"/>
    </w:rPr>
  </w:style>
  <w:style w:type="character" w:customStyle="1" w:styleId="236">
    <w:name w:val="批注主题 Char2"/>
    <w:autoRedefine/>
    <w:qFormat/>
    <w:uiPriority w:val="99"/>
    <w:rPr>
      <w:b/>
      <w:bCs/>
      <w:kern w:val="2"/>
      <w:sz w:val="21"/>
      <w:szCs w:val="24"/>
    </w:rPr>
  </w:style>
  <w:style w:type="character" w:customStyle="1" w:styleId="237">
    <w:name w:val="引用 Char3"/>
    <w:autoRedefine/>
    <w:qFormat/>
    <w:uiPriority w:val="29"/>
    <w:rPr>
      <w:rFonts w:hint="default" w:ascii="Calibri" w:hAnsi="Calibri" w:eastAsia="宋体" w:cs="Times New Roman"/>
      <w:i/>
      <w:iCs/>
      <w:color w:val="000000"/>
      <w:szCs w:val="24"/>
    </w:rPr>
  </w:style>
  <w:style w:type="character" w:customStyle="1" w:styleId="238">
    <w:name w:val="文档结构图 Char3"/>
    <w:autoRedefine/>
    <w:semiHidden/>
    <w:qFormat/>
    <w:uiPriority w:val="99"/>
    <w:rPr>
      <w:rFonts w:hint="eastAsia" w:ascii="宋体" w:hAnsi="Calibri" w:eastAsia="宋体" w:cs="Times New Roman"/>
      <w:sz w:val="18"/>
      <w:szCs w:val="18"/>
    </w:rPr>
  </w:style>
  <w:style w:type="character" w:customStyle="1" w:styleId="239">
    <w:name w:val="HTML 预设格式 Char2"/>
    <w:autoRedefine/>
    <w:semiHidden/>
    <w:qFormat/>
    <w:uiPriority w:val="99"/>
    <w:rPr>
      <w:rFonts w:hint="default" w:ascii="Courier New" w:hAnsi="Courier New" w:eastAsia="宋体" w:cs="Courier New"/>
      <w:sz w:val="20"/>
      <w:szCs w:val="20"/>
    </w:rPr>
  </w:style>
  <w:style w:type="character" w:customStyle="1" w:styleId="240">
    <w:name w:val="正文文本缩进 3 Char3"/>
    <w:autoRedefine/>
    <w:semiHidden/>
    <w:qFormat/>
    <w:locked/>
    <w:uiPriority w:val="0"/>
    <w:rPr>
      <w:rFonts w:ascii="宋体" w:hAnsi="宋体"/>
      <w:kern w:val="2"/>
      <w:sz w:val="28"/>
      <w:szCs w:val="28"/>
    </w:rPr>
  </w:style>
  <w:style w:type="character" w:customStyle="1" w:styleId="241">
    <w:name w:val="ITTHEADER2 Char"/>
    <w:autoRedefine/>
    <w:qFormat/>
    <w:uiPriority w:val="0"/>
    <w:rPr>
      <w:rFonts w:hint="eastAsia" w:ascii="仿宋_GB2312" w:eastAsia="仿宋_GB2312" w:cs="MingLiU"/>
      <w:b/>
      <w:spacing w:val="1"/>
      <w:w w:val="99"/>
      <w:sz w:val="28"/>
      <w:szCs w:val="32"/>
      <w:lang w:val="en-US" w:eastAsia="zh-CN" w:bidi="ar-SA"/>
    </w:rPr>
  </w:style>
  <w:style w:type="character" w:customStyle="1" w:styleId="242">
    <w:name w:val="Char Char24"/>
    <w:autoRedefine/>
    <w:qFormat/>
    <w:uiPriority w:val="0"/>
    <w:rPr>
      <w:b/>
      <w:bCs/>
      <w:kern w:val="44"/>
      <w:sz w:val="44"/>
      <w:szCs w:val="44"/>
    </w:rPr>
  </w:style>
  <w:style w:type="character" w:customStyle="1" w:styleId="243">
    <w:name w:val="标题 3 Char1"/>
    <w:autoRedefine/>
    <w:qFormat/>
    <w:uiPriority w:val="0"/>
    <w:rPr>
      <w:rFonts w:hint="default" w:ascii="Times New Roman" w:hAnsi="Times New Roman" w:eastAsia="宋体" w:cs="Times New Roman"/>
      <w:b/>
      <w:bCs/>
      <w:kern w:val="2"/>
      <w:sz w:val="32"/>
      <w:szCs w:val="32"/>
    </w:rPr>
  </w:style>
  <w:style w:type="character" w:customStyle="1" w:styleId="244">
    <w:name w:val="标题 4 Char2"/>
    <w:autoRedefine/>
    <w:semiHidden/>
    <w:qFormat/>
    <w:locked/>
    <w:uiPriority w:val="0"/>
    <w:rPr>
      <w:rFonts w:ascii="宋体" w:hAnsi="宋体" w:cs="宋体"/>
      <w:b/>
      <w:bCs/>
      <w:sz w:val="24"/>
      <w:szCs w:val="24"/>
    </w:rPr>
  </w:style>
  <w:style w:type="character" w:customStyle="1" w:styleId="245">
    <w:name w:val="s3"/>
    <w:autoRedefine/>
    <w:qFormat/>
    <w:uiPriority w:val="0"/>
  </w:style>
  <w:style w:type="character" w:customStyle="1" w:styleId="246">
    <w:name w:val="正文文本缩进 2 Char1"/>
    <w:autoRedefine/>
    <w:qFormat/>
    <w:uiPriority w:val="0"/>
    <w:rPr>
      <w:sz w:val="28"/>
      <w:szCs w:val="24"/>
    </w:rPr>
  </w:style>
  <w:style w:type="character" w:customStyle="1" w:styleId="247">
    <w:name w:val="Char Char14"/>
    <w:autoRedefine/>
    <w:qFormat/>
    <w:uiPriority w:val="0"/>
    <w:rPr>
      <w:kern w:val="2"/>
      <w:sz w:val="18"/>
      <w:szCs w:val="18"/>
    </w:rPr>
  </w:style>
  <w:style w:type="character" w:customStyle="1" w:styleId="248">
    <w:name w:val="正文文本 3 Char1"/>
    <w:autoRedefine/>
    <w:qFormat/>
    <w:uiPriority w:val="0"/>
    <w:rPr>
      <w:kern w:val="2"/>
      <w:sz w:val="16"/>
      <w:szCs w:val="16"/>
    </w:rPr>
  </w:style>
  <w:style w:type="character" w:customStyle="1" w:styleId="249">
    <w:name w:val="批注文字 Char2"/>
    <w:autoRedefine/>
    <w:qFormat/>
    <w:uiPriority w:val="0"/>
    <w:rPr>
      <w:rFonts w:hint="default" w:ascii="Calibri" w:hAnsi="Calibri" w:eastAsia="宋体" w:cs="Times New Roman"/>
      <w:szCs w:val="24"/>
    </w:rPr>
  </w:style>
  <w:style w:type="character" w:customStyle="1" w:styleId="250">
    <w:name w:val="标题 8 Char1"/>
    <w:autoRedefine/>
    <w:qFormat/>
    <w:uiPriority w:val="0"/>
    <w:rPr>
      <w:rFonts w:hint="default" w:ascii="Times New Roman" w:hAnsi="Arial" w:eastAsia="仿宋_GB2312" w:cs="Times New Roman"/>
      <w:sz w:val="30"/>
      <w:szCs w:val="20"/>
    </w:rPr>
  </w:style>
  <w:style w:type="character" w:customStyle="1" w:styleId="251">
    <w:name w:val="批注框文本 Char4"/>
    <w:autoRedefine/>
    <w:semiHidden/>
    <w:qFormat/>
    <w:locked/>
    <w:uiPriority w:val="0"/>
    <w:rPr>
      <w:kern w:val="2"/>
      <w:sz w:val="18"/>
      <w:szCs w:val="18"/>
    </w:rPr>
  </w:style>
  <w:style w:type="character" w:customStyle="1" w:styleId="252">
    <w:name w:val="正文文本 3 Char2"/>
    <w:autoRedefine/>
    <w:semiHidden/>
    <w:qFormat/>
    <w:uiPriority w:val="99"/>
    <w:rPr>
      <w:rFonts w:hint="default" w:ascii="Calibri" w:hAnsi="Calibri" w:eastAsia="宋体" w:cs="Times New Roman"/>
      <w:sz w:val="16"/>
      <w:szCs w:val="16"/>
    </w:rPr>
  </w:style>
  <w:style w:type="character" w:customStyle="1" w:styleId="253">
    <w:name w:val="HTML 预设格式 Char1"/>
    <w:autoRedefine/>
    <w:qFormat/>
    <w:uiPriority w:val="0"/>
    <w:rPr>
      <w:rFonts w:hint="eastAsia" w:ascii="宋体" w:hAnsi="宋体" w:eastAsia="宋体" w:cs="宋体"/>
      <w:color w:val="000000"/>
      <w:sz w:val="24"/>
      <w:szCs w:val="24"/>
    </w:rPr>
  </w:style>
  <w:style w:type="character" w:customStyle="1" w:styleId="254">
    <w:name w:val="标题 Char2"/>
    <w:autoRedefine/>
    <w:qFormat/>
    <w:uiPriority w:val="10"/>
    <w:rPr>
      <w:rFonts w:hint="default" w:ascii="Cambria" w:hAnsi="Cambria" w:eastAsia="宋体" w:cs="Times New Roman"/>
      <w:b/>
      <w:bCs/>
      <w:sz w:val="32"/>
      <w:szCs w:val="32"/>
    </w:rPr>
  </w:style>
  <w:style w:type="character" w:customStyle="1" w:styleId="255">
    <w:name w:val="正文文本缩进 Char3"/>
    <w:autoRedefine/>
    <w:semiHidden/>
    <w:qFormat/>
    <w:locked/>
    <w:uiPriority w:val="0"/>
    <w:rPr>
      <w:kern w:val="2"/>
      <w:sz w:val="21"/>
      <w:szCs w:val="24"/>
    </w:rPr>
  </w:style>
  <w:style w:type="character" w:customStyle="1" w:styleId="256">
    <w:name w:val="明显引用 Char3"/>
    <w:autoRedefine/>
    <w:qFormat/>
    <w:uiPriority w:val="30"/>
    <w:rPr>
      <w:rFonts w:hint="default" w:ascii="Calibri" w:hAnsi="Calibri" w:eastAsia="宋体" w:cs="Times New Roman"/>
      <w:b/>
      <w:bCs/>
      <w:i/>
      <w:iCs/>
      <w:color w:val="4F81BD"/>
      <w:szCs w:val="24"/>
    </w:rPr>
  </w:style>
  <w:style w:type="character" w:customStyle="1" w:styleId="257">
    <w:name w:val="Char Char23"/>
    <w:autoRedefine/>
    <w:qFormat/>
    <w:uiPriority w:val="0"/>
    <w:rPr>
      <w:rFonts w:hint="default" w:ascii="Cambria" w:hAnsi="Cambria" w:eastAsia="宋体" w:cs="Times New Roman"/>
      <w:b/>
      <w:bCs/>
      <w:kern w:val="2"/>
      <w:sz w:val="32"/>
      <w:szCs w:val="32"/>
    </w:rPr>
  </w:style>
  <w:style w:type="character" w:customStyle="1" w:styleId="258">
    <w:name w:val="Section Char"/>
    <w:autoRedefine/>
    <w:qFormat/>
    <w:uiPriority w:val="0"/>
    <w:rPr>
      <w:rFonts w:hint="eastAsia" w:ascii="仿宋_GB2312" w:eastAsia="仿宋_GB2312" w:cs="MingLiU"/>
      <w:b/>
      <w:sz w:val="24"/>
      <w:szCs w:val="28"/>
      <w:lang w:val="en-US" w:eastAsia="zh-CN" w:bidi="ar-SA"/>
    </w:rPr>
  </w:style>
  <w:style w:type="character" w:customStyle="1" w:styleId="259">
    <w:name w:val="Char Char13"/>
    <w:autoRedefine/>
    <w:qFormat/>
    <w:uiPriority w:val="0"/>
    <w:rPr>
      <w:kern w:val="2"/>
      <w:sz w:val="18"/>
      <w:szCs w:val="18"/>
    </w:rPr>
  </w:style>
  <w:style w:type="character" w:customStyle="1" w:styleId="260">
    <w:name w:val="未处理的提及1"/>
    <w:autoRedefine/>
    <w:qFormat/>
    <w:uiPriority w:val="99"/>
    <w:rPr>
      <w:color w:val="808080"/>
      <w:shd w:val="clear" w:color="auto" w:fill="E6E6E6"/>
    </w:rPr>
  </w:style>
  <w:style w:type="character" w:customStyle="1" w:styleId="261">
    <w:name w:val="标题 1 Char2"/>
    <w:autoRedefine/>
    <w:qFormat/>
    <w:locked/>
    <w:uiPriority w:val="0"/>
    <w:rPr>
      <w:b/>
      <w:bCs/>
      <w:kern w:val="44"/>
      <w:sz w:val="44"/>
      <w:szCs w:val="44"/>
    </w:rPr>
  </w:style>
  <w:style w:type="character" w:customStyle="1" w:styleId="262">
    <w:name w:val="普通文字 Char Char2"/>
    <w:autoRedefine/>
    <w:qFormat/>
    <w:uiPriority w:val="0"/>
    <w:rPr>
      <w:rFonts w:hint="eastAsia" w:ascii="宋体" w:hAnsi="Courier New" w:eastAsia="宋体"/>
      <w:kern w:val="2"/>
      <w:sz w:val="28"/>
      <w:szCs w:val="28"/>
    </w:rPr>
  </w:style>
  <w:style w:type="character" w:customStyle="1" w:styleId="263">
    <w:name w:val="标题 3 Char2"/>
    <w:autoRedefine/>
    <w:semiHidden/>
    <w:qFormat/>
    <w:locked/>
    <w:uiPriority w:val="0"/>
    <w:rPr>
      <w:b/>
      <w:bCs/>
      <w:kern w:val="2"/>
      <w:sz w:val="32"/>
      <w:szCs w:val="32"/>
    </w:rPr>
  </w:style>
  <w:style w:type="character" w:customStyle="1" w:styleId="264">
    <w:name w:val="批注文字 Char1"/>
    <w:autoRedefine/>
    <w:qFormat/>
    <w:uiPriority w:val="0"/>
    <w:rPr>
      <w:rFonts w:hint="default" w:ascii="Times New Roman" w:hAnsi="Times New Roman" w:eastAsia="宋体" w:cs="Times New Roman"/>
      <w:szCs w:val="24"/>
    </w:rPr>
  </w:style>
  <w:style w:type="character" w:customStyle="1" w:styleId="265">
    <w:name w:val="尾注文本 Char1"/>
    <w:autoRedefine/>
    <w:qFormat/>
    <w:uiPriority w:val="0"/>
    <w:rPr>
      <w:rFonts w:hint="default" w:ascii="Arial" w:hAnsi="Arial" w:cs="Arial"/>
      <w:szCs w:val="24"/>
      <w:lang w:eastAsia="en-US"/>
    </w:rPr>
  </w:style>
  <w:style w:type="character" w:customStyle="1" w:styleId="266">
    <w:name w:val="标题 8 Char2"/>
    <w:autoRedefine/>
    <w:semiHidden/>
    <w:qFormat/>
    <w:locked/>
    <w:uiPriority w:val="0"/>
    <w:rPr>
      <w:rFonts w:hAnsi="Arial" w:eastAsia="仿宋_GB2312"/>
      <w:sz w:val="30"/>
    </w:rPr>
  </w:style>
  <w:style w:type="character" w:customStyle="1" w:styleId="267">
    <w:name w:val="Char Char12"/>
    <w:autoRedefine/>
    <w:qFormat/>
    <w:uiPriority w:val="0"/>
    <w:rPr>
      <w:rFonts w:hint="eastAsia" w:ascii="黑体" w:hAnsi="黑体" w:eastAsia="黑体"/>
      <w:kern w:val="2"/>
      <w:sz w:val="44"/>
      <w:szCs w:val="44"/>
      <w:lang w:val="en-US" w:eastAsia="zh-CN" w:bidi="ar-SA"/>
    </w:rPr>
  </w:style>
  <w:style w:type="character" w:customStyle="1" w:styleId="268">
    <w:name w:val="标题 7 Char1"/>
    <w:autoRedefine/>
    <w:qFormat/>
    <w:uiPriority w:val="0"/>
    <w:rPr>
      <w:rFonts w:hint="default" w:ascii="Times New Roman" w:hAnsi="Times New Roman" w:eastAsia="仿宋_GB2312" w:cs="Times New Roman"/>
      <w:sz w:val="30"/>
      <w:szCs w:val="20"/>
    </w:rPr>
  </w:style>
  <w:style w:type="character" w:customStyle="1" w:styleId="269">
    <w:name w:val="明显引用 Char4"/>
    <w:autoRedefine/>
    <w:qFormat/>
    <w:locked/>
    <w:uiPriority w:val="0"/>
    <w:rPr>
      <w:b/>
      <w:bCs/>
      <w:i/>
      <w:iCs/>
      <w:color w:val="4F81BD"/>
      <w:kern w:val="2"/>
      <w:sz w:val="21"/>
      <w:szCs w:val="22"/>
    </w:rPr>
  </w:style>
  <w:style w:type="character" w:customStyle="1" w:styleId="270">
    <w:name w:val="subhead1"/>
    <w:autoRedefine/>
    <w:qFormat/>
    <w:uiPriority w:val="0"/>
    <w:rPr>
      <w:rFonts w:hint="default" w:ascii="Tahoma" w:hAnsi="Tahoma" w:cs="Tahoma"/>
      <w:color w:val="000000"/>
      <w:sz w:val="18"/>
      <w:szCs w:val="18"/>
      <w:u w:val="none"/>
      <w:shd w:val="clear" w:color="auto" w:fill="FFFFFF"/>
    </w:rPr>
  </w:style>
  <w:style w:type="character" w:customStyle="1" w:styleId="271">
    <w:name w:val="日期 Char2"/>
    <w:autoRedefine/>
    <w:qFormat/>
    <w:uiPriority w:val="99"/>
    <w:rPr>
      <w:kern w:val="2"/>
      <w:sz w:val="21"/>
      <w:szCs w:val="24"/>
    </w:rPr>
  </w:style>
  <w:style w:type="character" w:customStyle="1" w:styleId="272">
    <w:name w:val="脚注文本 Char3"/>
    <w:autoRedefine/>
    <w:semiHidden/>
    <w:qFormat/>
    <w:locked/>
    <w:uiPriority w:val="0"/>
    <w:rPr>
      <w:rFonts w:ascii="Arial" w:hAnsi="Arial" w:cs="Arial"/>
      <w:sz w:val="18"/>
      <w:szCs w:val="18"/>
      <w:lang w:eastAsia="en-US"/>
    </w:rPr>
  </w:style>
  <w:style w:type="character" w:customStyle="1" w:styleId="273">
    <w:name w:val="页脚 Char1"/>
    <w:autoRedefine/>
    <w:semiHidden/>
    <w:qFormat/>
    <w:uiPriority w:val="0"/>
    <w:rPr>
      <w:kern w:val="2"/>
      <w:sz w:val="18"/>
      <w:szCs w:val="18"/>
    </w:rPr>
  </w:style>
  <w:style w:type="character" w:customStyle="1" w:styleId="274">
    <w:name w:val="标题 1 Char1"/>
    <w:autoRedefine/>
    <w:qFormat/>
    <w:uiPriority w:val="0"/>
    <w:rPr>
      <w:rFonts w:hint="default" w:ascii="Times New Roman" w:hAnsi="Times New Roman" w:eastAsia="宋体" w:cs="Times New Roman"/>
      <w:b/>
      <w:bCs/>
      <w:kern w:val="44"/>
      <w:sz w:val="44"/>
      <w:szCs w:val="44"/>
    </w:rPr>
  </w:style>
  <w:style w:type="character" w:customStyle="1" w:styleId="275">
    <w:name w:val="正文文本 Char4"/>
    <w:autoRedefine/>
    <w:qFormat/>
    <w:uiPriority w:val="0"/>
    <w:rPr>
      <w:rFonts w:hint="eastAsia" w:ascii="宋体" w:hAnsi="宋体" w:eastAsia="宋体"/>
      <w:kern w:val="2"/>
      <w:sz w:val="21"/>
      <w:szCs w:val="24"/>
      <w:lang w:val="en-US" w:eastAsia="zh-CN" w:bidi="ar-SA"/>
    </w:rPr>
  </w:style>
  <w:style w:type="character" w:customStyle="1" w:styleId="276">
    <w:name w:val="标题 5 Char1"/>
    <w:autoRedefine/>
    <w:qFormat/>
    <w:uiPriority w:val="0"/>
    <w:rPr>
      <w:rFonts w:hint="eastAsia" w:ascii="宋体" w:hAnsi="宋体" w:eastAsia="宋体" w:cs="宋体"/>
      <w:b/>
      <w:bCs/>
      <w:sz w:val="20"/>
      <w:szCs w:val="20"/>
    </w:rPr>
  </w:style>
  <w:style w:type="character" w:customStyle="1" w:styleId="277">
    <w:name w:val="批注主题 Char3"/>
    <w:autoRedefine/>
    <w:semiHidden/>
    <w:qFormat/>
    <w:uiPriority w:val="99"/>
    <w:rPr>
      <w:rFonts w:hint="default" w:ascii="Calibri" w:hAnsi="Calibri" w:eastAsia="宋体" w:cs="Times New Roman"/>
      <w:b/>
      <w:bCs/>
      <w:szCs w:val="24"/>
    </w:rPr>
  </w:style>
  <w:style w:type="character" w:customStyle="1" w:styleId="278">
    <w:name w:val="正文文本 2 Char1"/>
    <w:autoRedefine/>
    <w:qFormat/>
    <w:uiPriority w:val="0"/>
    <w:rPr>
      <w:rFonts w:hint="default" w:ascii="Calibri" w:hAnsi="Calibri" w:eastAsia="宋体" w:cs="Times New Roman"/>
      <w:szCs w:val="24"/>
    </w:rPr>
  </w:style>
  <w:style w:type="character" w:customStyle="1" w:styleId="279">
    <w:name w:val="副标题 Char1"/>
    <w:autoRedefine/>
    <w:qFormat/>
    <w:uiPriority w:val="0"/>
    <w:rPr>
      <w:szCs w:val="24"/>
      <w:u w:val="single"/>
      <w:lang w:eastAsia="en-US"/>
    </w:rPr>
  </w:style>
  <w:style w:type="character" w:customStyle="1" w:styleId="280">
    <w:name w:val="日期 Char4"/>
    <w:autoRedefine/>
    <w:semiHidden/>
    <w:qFormat/>
    <w:locked/>
    <w:uiPriority w:val="0"/>
    <w:rPr>
      <w:kern w:val="2"/>
      <w:sz w:val="21"/>
      <w:szCs w:val="24"/>
    </w:rPr>
  </w:style>
  <w:style w:type="character" w:customStyle="1" w:styleId="281">
    <w:name w:val="正文文本缩进 2 Char2"/>
    <w:autoRedefine/>
    <w:semiHidden/>
    <w:qFormat/>
    <w:uiPriority w:val="99"/>
    <w:rPr>
      <w:rFonts w:hint="default" w:ascii="Calibri" w:hAnsi="Calibri" w:eastAsia="宋体" w:cs="Times New Roman"/>
      <w:szCs w:val="24"/>
    </w:rPr>
  </w:style>
  <w:style w:type="character" w:customStyle="1" w:styleId="282">
    <w:name w:val="日期 Char3"/>
    <w:autoRedefine/>
    <w:semiHidden/>
    <w:qFormat/>
    <w:uiPriority w:val="99"/>
    <w:rPr>
      <w:rFonts w:hint="default" w:ascii="Calibri" w:hAnsi="Calibri" w:eastAsia="宋体" w:cs="Times New Roman"/>
      <w:szCs w:val="24"/>
    </w:rPr>
  </w:style>
  <w:style w:type="character" w:customStyle="1" w:styleId="283">
    <w:name w:val="正文文本 3 Char3"/>
    <w:autoRedefine/>
    <w:semiHidden/>
    <w:qFormat/>
    <w:locked/>
    <w:uiPriority w:val="0"/>
    <w:rPr>
      <w:kern w:val="2"/>
      <w:sz w:val="16"/>
      <w:szCs w:val="16"/>
    </w:rPr>
  </w:style>
  <w:style w:type="character" w:customStyle="1" w:styleId="284">
    <w:name w:val="正文文本缩进 Char2"/>
    <w:autoRedefine/>
    <w:semiHidden/>
    <w:qFormat/>
    <w:uiPriority w:val="99"/>
    <w:rPr>
      <w:rFonts w:hint="default" w:ascii="Calibri" w:hAnsi="Calibri" w:eastAsia="宋体" w:cs="Times New Roman"/>
      <w:szCs w:val="24"/>
    </w:rPr>
  </w:style>
  <w:style w:type="character" w:customStyle="1" w:styleId="285">
    <w:name w:val="纯文本 Char2"/>
    <w:autoRedefine/>
    <w:semiHidden/>
    <w:qFormat/>
    <w:uiPriority w:val="99"/>
    <w:rPr>
      <w:rFonts w:hint="eastAsia" w:ascii="宋体" w:hAnsi="Courier New" w:eastAsia="宋体" w:cs="Courier New"/>
      <w:szCs w:val="21"/>
    </w:rPr>
  </w:style>
  <w:style w:type="character" w:customStyle="1" w:styleId="286">
    <w:name w:val="标题 Char3"/>
    <w:autoRedefine/>
    <w:qFormat/>
    <w:locked/>
    <w:uiPriority w:val="0"/>
    <w:rPr>
      <w:szCs w:val="24"/>
      <w:u w:val="single"/>
      <w:lang w:eastAsia="en-US"/>
    </w:rPr>
  </w:style>
  <w:style w:type="character" w:customStyle="1" w:styleId="287">
    <w:name w:val="副标题 Char2"/>
    <w:autoRedefine/>
    <w:qFormat/>
    <w:uiPriority w:val="11"/>
    <w:rPr>
      <w:rFonts w:hint="default" w:ascii="Cambria" w:hAnsi="Cambria" w:eastAsia="宋体" w:cs="Times New Roman"/>
      <w:b/>
      <w:bCs/>
      <w:kern w:val="28"/>
      <w:sz w:val="32"/>
      <w:szCs w:val="32"/>
    </w:rPr>
  </w:style>
  <w:style w:type="character" w:customStyle="1" w:styleId="288">
    <w:name w:val="书籍标题11"/>
    <w:autoRedefine/>
    <w:qFormat/>
    <w:uiPriority w:val="0"/>
    <w:rPr>
      <w:b/>
      <w:bCs/>
      <w:smallCaps/>
      <w:spacing w:val="5"/>
    </w:rPr>
  </w:style>
  <w:style w:type="character" w:customStyle="1" w:styleId="289">
    <w:name w:val="引用 Char4"/>
    <w:autoRedefine/>
    <w:qFormat/>
    <w:locked/>
    <w:uiPriority w:val="0"/>
    <w:rPr>
      <w:i/>
      <w:iCs/>
      <w:color w:val="000000"/>
      <w:kern w:val="2"/>
      <w:sz w:val="21"/>
      <w:szCs w:val="22"/>
    </w:rPr>
  </w:style>
  <w:style w:type="character" w:customStyle="1" w:styleId="290">
    <w:name w:val="引用 Char2"/>
    <w:basedOn w:val="49"/>
    <w:autoRedefine/>
    <w:qFormat/>
    <w:uiPriority w:val="99"/>
    <w:rPr>
      <w:i/>
      <w:iCs/>
      <w:color w:val="000000" w:themeColor="text1"/>
      <w:kern w:val="2"/>
      <w:sz w:val="21"/>
      <w:szCs w:val="24"/>
      <w14:textFill>
        <w14:solidFill>
          <w14:schemeClr w14:val="tx1"/>
        </w14:solidFill>
      </w14:textFill>
    </w:rPr>
  </w:style>
  <w:style w:type="character" w:customStyle="1" w:styleId="291">
    <w:name w:val="纯文本 Char3"/>
    <w:autoRedefine/>
    <w:qFormat/>
    <w:locked/>
    <w:uiPriority w:val="0"/>
    <w:rPr>
      <w:rFonts w:ascii="宋体" w:hAnsi="Courier New" w:cs="Courier New"/>
      <w:kern w:val="2"/>
      <w:sz w:val="21"/>
      <w:szCs w:val="21"/>
    </w:rPr>
  </w:style>
  <w:style w:type="character" w:customStyle="1" w:styleId="292">
    <w:name w:val="页眉 Char1"/>
    <w:autoRedefine/>
    <w:semiHidden/>
    <w:qFormat/>
    <w:uiPriority w:val="0"/>
    <w:rPr>
      <w:kern w:val="2"/>
      <w:sz w:val="18"/>
      <w:szCs w:val="18"/>
    </w:rPr>
  </w:style>
  <w:style w:type="character" w:customStyle="1" w:styleId="293">
    <w:name w:val="文档结构图 Char4"/>
    <w:autoRedefine/>
    <w:semiHidden/>
    <w:qFormat/>
    <w:locked/>
    <w:uiPriority w:val="0"/>
    <w:rPr>
      <w:kern w:val="2"/>
      <w:sz w:val="21"/>
      <w:szCs w:val="24"/>
      <w:shd w:val="clear" w:color="auto" w:fill="000080"/>
    </w:rPr>
  </w:style>
  <w:style w:type="character" w:customStyle="1" w:styleId="294">
    <w:name w:val="Char Char9"/>
    <w:autoRedefine/>
    <w:qFormat/>
    <w:locked/>
    <w:uiPriority w:val="0"/>
    <w:rPr>
      <w:rFonts w:hint="eastAsia" w:ascii="仿宋_GB2312" w:eastAsia="仿宋_GB2312" w:cs="MingLiU"/>
      <w:b/>
      <w:sz w:val="24"/>
      <w:szCs w:val="28"/>
      <w:lang w:val="en-US" w:eastAsia="zh-CN" w:bidi="ar-SA"/>
    </w:rPr>
  </w:style>
  <w:style w:type="character" w:customStyle="1" w:styleId="295">
    <w:name w:val="明显参考2"/>
    <w:autoRedefine/>
    <w:qFormat/>
    <w:uiPriority w:val="0"/>
    <w:rPr>
      <w:b/>
      <w:bCs/>
      <w:smallCaps/>
      <w:color w:val="C0504D"/>
      <w:spacing w:val="5"/>
      <w:u w:val="single"/>
    </w:rPr>
  </w:style>
  <w:style w:type="character" w:customStyle="1" w:styleId="296">
    <w:name w:val="不明显强调2"/>
    <w:autoRedefine/>
    <w:qFormat/>
    <w:uiPriority w:val="0"/>
    <w:rPr>
      <w:i/>
      <w:iCs/>
      <w:color w:val="808080"/>
    </w:rPr>
  </w:style>
  <w:style w:type="character" w:customStyle="1" w:styleId="297">
    <w:name w:val="明显引用 Char2"/>
    <w:autoRedefine/>
    <w:qFormat/>
    <w:uiPriority w:val="99"/>
    <w:rPr>
      <w:b/>
      <w:bCs/>
      <w:i/>
      <w:iCs/>
      <w:color w:val="4F81BD"/>
      <w:kern w:val="2"/>
      <w:sz w:val="21"/>
      <w:szCs w:val="24"/>
    </w:rPr>
  </w:style>
  <w:style w:type="character" w:customStyle="1" w:styleId="298">
    <w:name w:val="标题 7 Char2"/>
    <w:autoRedefine/>
    <w:semiHidden/>
    <w:qFormat/>
    <w:locked/>
    <w:uiPriority w:val="0"/>
    <w:rPr>
      <w:rFonts w:eastAsia="仿宋_GB2312"/>
      <w:sz w:val="30"/>
    </w:rPr>
  </w:style>
  <w:style w:type="character" w:customStyle="1" w:styleId="299">
    <w:name w:val="标题 9 Char2"/>
    <w:autoRedefine/>
    <w:semiHidden/>
    <w:qFormat/>
    <w:locked/>
    <w:uiPriority w:val="0"/>
    <w:rPr>
      <w:rFonts w:eastAsia="仿宋_GB2312"/>
      <w:sz w:val="30"/>
    </w:rPr>
  </w:style>
  <w:style w:type="character" w:customStyle="1" w:styleId="300">
    <w:name w:val="Char Char34"/>
    <w:autoRedefine/>
    <w:qFormat/>
    <w:uiPriority w:val="0"/>
    <w:rPr>
      <w:rFonts w:hint="eastAsia" w:ascii="仿宋_GB2312" w:eastAsia="仿宋_GB2312" w:cs="MingLiU"/>
      <w:b/>
      <w:spacing w:val="1"/>
      <w:w w:val="99"/>
      <w:sz w:val="28"/>
      <w:szCs w:val="32"/>
    </w:rPr>
  </w:style>
  <w:style w:type="character" w:customStyle="1" w:styleId="301">
    <w:name w:val="标题 Char1"/>
    <w:autoRedefine/>
    <w:qFormat/>
    <w:uiPriority w:val="10"/>
    <w:rPr>
      <w:szCs w:val="24"/>
      <w:u w:val="single"/>
      <w:lang w:eastAsia="en-US"/>
    </w:rPr>
  </w:style>
  <w:style w:type="character" w:customStyle="1" w:styleId="302">
    <w:name w:val="正文文本缩进 3 Char2"/>
    <w:autoRedefine/>
    <w:semiHidden/>
    <w:qFormat/>
    <w:uiPriority w:val="99"/>
    <w:rPr>
      <w:rFonts w:hint="default" w:ascii="Calibri" w:hAnsi="Calibri" w:eastAsia="宋体" w:cs="Times New Roman"/>
      <w:sz w:val="16"/>
      <w:szCs w:val="16"/>
    </w:rPr>
  </w:style>
  <w:style w:type="character" w:customStyle="1" w:styleId="303">
    <w:name w:val="文档结构图 Char2"/>
    <w:autoRedefine/>
    <w:qFormat/>
    <w:uiPriority w:val="99"/>
    <w:rPr>
      <w:kern w:val="2"/>
      <w:sz w:val="21"/>
      <w:szCs w:val="24"/>
      <w:shd w:val="clear" w:color="auto" w:fill="000080"/>
    </w:rPr>
  </w:style>
  <w:style w:type="character" w:customStyle="1" w:styleId="304">
    <w:name w:val="尾注文本 Char2"/>
    <w:autoRedefine/>
    <w:semiHidden/>
    <w:qFormat/>
    <w:uiPriority w:val="99"/>
    <w:rPr>
      <w:rFonts w:hint="default" w:ascii="Calibri" w:hAnsi="Calibri" w:eastAsia="宋体" w:cs="Times New Roman"/>
      <w:szCs w:val="24"/>
    </w:rPr>
  </w:style>
  <w:style w:type="character" w:customStyle="1" w:styleId="305">
    <w:name w:val="标题 9 Char1"/>
    <w:autoRedefine/>
    <w:qFormat/>
    <w:uiPriority w:val="0"/>
    <w:rPr>
      <w:rFonts w:hint="default" w:ascii="Times New Roman" w:hAnsi="Times New Roman" w:eastAsia="仿宋_GB2312" w:cs="Times New Roman"/>
      <w:sz w:val="30"/>
      <w:szCs w:val="20"/>
    </w:rPr>
  </w:style>
  <w:style w:type="character" w:customStyle="1" w:styleId="306">
    <w:name w:val="Char Char36"/>
    <w:autoRedefine/>
    <w:qFormat/>
    <w:uiPriority w:val="0"/>
    <w:rPr>
      <w:rFonts w:hint="eastAsia" w:ascii="仿宋_GB2312" w:eastAsia="仿宋_GB2312" w:cs="MingLiU"/>
      <w:b/>
      <w:sz w:val="24"/>
      <w:szCs w:val="28"/>
    </w:rPr>
  </w:style>
  <w:style w:type="character" w:customStyle="1" w:styleId="307">
    <w:name w:val="明显强调2"/>
    <w:autoRedefine/>
    <w:qFormat/>
    <w:uiPriority w:val="0"/>
    <w:rPr>
      <w:b/>
      <w:bCs/>
      <w:i/>
      <w:iCs/>
      <w:color w:val="4F81BD"/>
    </w:rPr>
  </w:style>
  <w:style w:type="character" w:customStyle="1" w:styleId="308">
    <w:name w:val="Char Char33"/>
    <w:autoRedefine/>
    <w:qFormat/>
    <w:uiPriority w:val="0"/>
    <w:rPr>
      <w:rFonts w:hint="eastAsia" w:ascii="仿宋_GB2312" w:eastAsia="仿宋_GB2312" w:cs="MingLiU"/>
      <w:b/>
      <w:sz w:val="24"/>
      <w:szCs w:val="28"/>
    </w:rPr>
  </w:style>
  <w:style w:type="character" w:customStyle="1" w:styleId="309">
    <w:name w:val="脚注文本 Char1"/>
    <w:autoRedefine/>
    <w:qFormat/>
    <w:uiPriority w:val="0"/>
    <w:rPr>
      <w:rFonts w:hint="default" w:ascii="Arial" w:hAnsi="Arial" w:cs="Arial"/>
      <w:sz w:val="18"/>
      <w:szCs w:val="18"/>
      <w:lang w:eastAsia="en-US"/>
    </w:rPr>
  </w:style>
  <w:style w:type="character" w:customStyle="1" w:styleId="310">
    <w:name w:val="标题 2 Char2"/>
    <w:autoRedefine/>
    <w:semiHidden/>
    <w:qFormat/>
    <w:locked/>
    <w:uiPriority w:val="0"/>
    <w:rPr>
      <w:rFonts w:ascii="Cambria" w:hAnsi="Cambria"/>
      <w:b/>
      <w:bCs/>
      <w:kern w:val="2"/>
      <w:sz w:val="32"/>
      <w:szCs w:val="32"/>
    </w:rPr>
  </w:style>
  <w:style w:type="character" w:customStyle="1" w:styleId="311">
    <w:name w:val="正文文本 Char2"/>
    <w:autoRedefine/>
    <w:qFormat/>
    <w:uiPriority w:val="99"/>
    <w:rPr>
      <w:kern w:val="2"/>
      <w:sz w:val="21"/>
      <w:szCs w:val="24"/>
    </w:rPr>
  </w:style>
  <w:style w:type="character" w:customStyle="1" w:styleId="312">
    <w:name w:val="尾注文本 Char3"/>
    <w:autoRedefine/>
    <w:semiHidden/>
    <w:qFormat/>
    <w:locked/>
    <w:uiPriority w:val="0"/>
    <w:rPr>
      <w:rFonts w:ascii="Arial" w:hAnsi="Arial" w:cs="Arial"/>
      <w:szCs w:val="24"/>
      <w:lang w:eastAsia="en-US"/>
    </w:rPr>
  </w:style>
  <w:style w:type="character" w:customStyle="1" w:styleId="313">
    <w:name w:val="ITTHEADER1 Char"/>
    <w:autoRedefine/>
    <w:qFormat/>
    <w:uiPriority w:val="0"/>
    <w:rPr>
      <w:rFonts w:hint="eastAsia" w:ascii="黑体" w:hAnsi="黑体" w:eastAsia="黑体"/>
      <w:kern w:val="2"/>
      <w:sz w:val="44"/>
      <w:szCs w:val="44"/>
      <w:lang w:val="en-US" w:eastAsia="zh-CN" w:bidi="ar-SA"/>
    </w:rPr>
  </w:style>
  <w:style w:type="character" w:customStyle="1" w:styleId="314">
    <w:name w:val="批注框文本 Char2"/>
    <w:autoRedefine/>
    <w:qFormat/>
    <w:uiPriority w:val="99"/>
    <w:rPr>
      <w:kern w:val="2"/>
      <w:sz w:val="18"/>
      <w:szCs w:val="18"/>
    </w:rPr>
  </w:style>
  <w:style w:type="character" w:customStyle="1" w:styleId="315">
    <w:name w:val="正文文本缩进 3 Char1"/>
    <w:autoRedefine/>
    <w:qFormat/>
    <w:uiPriority w:val="0"/>
    <w:rPr>
      <w:rFonts w:hint="eastAsia" w:ascii="宋体" w:hAnsi="宋体" w:eastAsia="宋体"/>
      <w:kern w:val="2"/>
      <w:sz w:val="28"/>
      <w:szCs w:val="28"/>
    </w:rPr>
  </w:style>
  <w:style w:type="character" w:customStyle="1" w:styleId="316">
    <w:name w:val="标题 4 Char1"/>
    <w:autoRedefine/>
    <w:qFormat/>
    <w:uiPriority w:val="0"/>
    <w:rPr>
      <w:rFonts w:hint="eastAsia" w:ascii="宋体" w:hAnsi="宋体" w:eastAsia="宋体" w:cs="宋体"/>
      <w:b/>
      <w:bCs/>
      <w:sz w:val="24"/>
      <w:szCs w:val="24"/>
    </w:rPr>
  </w:style>
  <w:style w:type="character" w:customStyle="1" w:styleId="317">
    <w:name w:val="批注文字 Char3"/>
    <w:autoRedefine/>
    <w:semiHidden/>
    <w:qFormat/>
    <w:locked/>
    <w:uiPriority w:val="99"/>
    <w:rPr>
      <w:kern w:val="2"/>
      <w:sz w:val="21"/>
      <w:szCs w:val="24"/>
    </w:rPr>
  </w:style>
  <w:style w:type="character" w:customStyle="1" w:styleId="318">
    <w:name w:val="正文文本 Char3"/>
    <w:autoRedefine/>
    <w:semiHidden/>
    <w:qFormat/>
    <w:uiPriority w:val="99"/>
    <w:rPr>
      <w:rFonts w:hint="default" w:ascii="Calibri" w:hAnsi="Calibri" w:eastAsia="宋体" w:cs="Times New Roman"/>
      <w:szCs w:val="24"/>
    </w:rPr>
  </w:style>
  <w:style w:type="character" w:customStyle="1" w:styleId="319">
    <w:name w:val="标题 6 Char1"/>
    <w:autoRedefine/>
    <w:qFormat/>
    <w:uiPriority w:val="0"/>
    <w:rPr>
      <w:rFonts w:hint="default" w:ascii="Times New Roman" w:hAnsi="Arial" w:eastAsia="仿宋_GB2312" w:cs="Times New Roman"/>
      <w:sz w:val="30"/>
      <w:szCs w:val="20"/>
    </w:rPr>
  </w:style>
  <w:style w:type="character" w:customStyle="1" w:styleId="320">
    <w:name w:val="正文文本缩进 2 Char3"/>
    <w:autoRedefine/>
    <w:semiHidden/>
    <w:qFormat/>
    <w:locked/>
    <w:uiPriority w:val="0"/>
    <w:rPr>
      <w:sz w:val="28"/>
      <w:szCs w:val="24"/>
    </w:rPr>
  </w:style>
  <w:style w:type="character" w:customStyle="1" w:styleId="321">
    <w:name w:val="批注框文本 Char3"/>
    <w:autoRedefine/>
    <w:semiHidden/>
    <w:qFormat/>
    <w:uiPriority w:val="99"/>
    <w:rPr>
      <w:rFonts w:hint="default" w:ascii="Calibri" w:hAnsi="Calibri" w:eastAsia="宋体" w:cs="Times New Roman"/>
      <w:sz w:val="18"/>
      <w:szCs w:val="18"/>
    </w:rPr>
  </w:style>
  <w:style w:type="character" w:customStyle="1" w:styleId="322">
    <w:name w:val="脚注文本 Char2"/>
    <w:autoRedefine/>
    <w:semiHidden/>
    <w:qFormat/>
    <w:uiPriority w:val="99"/>
    <w:rPr>
      <w:rFonts w:hint="default" w:ascii="Calibri" w:hAnsi="Calibri" w:eastAsia="宋体" w:cs="Times New Roman"/>
      <w:sz w:val="18"/>
      <w:szCs w:val="18"/>
    </w:rPr>
  </w:style>
  <w:style w:type="character" w:customStyle="1" w:styleId="323">
    <w:name w:val="不明显参考11"/>
    <w:autoRedefine/>
    <w:qFormat/>
    <w:uiPriority w:val="0"/>
    <w:rPr>
      <w:smallCaps/>
      <w:color w:val="C0504D"/>
      <w:u w:val="single"/>
    </w:rPr>
  </w:style>
  <w:style w:type="character" w:customStyle="1" w:styleId="324">
    <w:name w:val="HTML 预设格式 Char3"/>
    <w:autoRedefine/>
    <w:semiHidden/>
    <w:qFormat/>
    <w:locked/>
    <w:uiPriority w:val="0"/>
    <w:rPr>
      <w:rFonts w:ascii="宋体" w:hAnsi="宋体" w:cs="宋体"/>
      <w:color w:val="000000"/>
      <w:sz w:val="24"/>
      <w:szCs w:val="24"/>
    </w:rPr>
  </w:style>
  <w:style w:type="character" w:customStyle="1" w:styleId="325">
    <w:name w:val="页脚 Char2"/>
    <w:autoRedefine/>
    <w:semiHidden/>
    <w:qFormat/>
    <w:locked/>
    <w:uiPriority w:val="0"/>
    <w:rPr>
      <w:kern w:val="2"/>
      <w:sz w:val="18"/>
      <w:szCs w:val="18"/>
    </w:rPr>
  </w:style>
  <w:style w:type="character" w:customStyle="1" w:styleId="326">
    <w:name w:val="页眉 Char2"/>
    <w:autoRedefine/>
    <w:semiHidden/>
    <w:qFormat/>
    <w:locked/>
    <w:uiPriority w:val="0"/>
    <w:rPr>
      <w:kern w:val="2"/>
      <w:sz w:val="18"/>
      <w:szCs w:val="18"/>
    </w:rPr>
  </w:style>
  <w:style w:type="character" w:customStyle="1" w:styleId="327">
    <w:name w:val="Char Char21"/>
    <w:autoRedefine/>
    <w:qFormat/>
    <w:uiPriority w:val="0"/>
    <w:rPr>
      <w:rFonts w:hint="eastAsia" w:ascii="宋体" w:hAnsi="宋体" w:eastAsia="宋体" w:cs="宋体"/>
      <w:b/>
      <w:bCs/>
      <w:sz w:val="24"/>
      <w:szCs w:val="24"/>
    </w:rPr>
  </w:style>
  <w:style w:type="character" w:customStyle="1" w:styleId="328">
    <w:name w:val="副标题 Char3"/>
    <w:autoRedefine/>
    <w:qFormat/>
    <w:locked/>
    <w:uiPriority w:val="0"/>
    <w:rPr>
      <w:szCs w:val="24"/>
      <w:u w:val="single"/>
      <w:lang w:eastAsia="en-US"/>
    </w:rPr>
  </w:style>
  <w:style w:type="character" w:customStyle="1" w:styleId="329">
    <w:name w:val="手改 Char Char"/>
    <w:autoRedefine/>
    <w:qFormat/>
    <w:uiPriority w:val="0"/>
    <w:rPr>
      <w:kern w:val="2"/>
      <w:sz w:val="21"/>
      <w:szCs w:val="24"/>
    </w:rPr>
  </w:style>
  <w:style w:type="character" w:customStyle="1" w:styleId="330">
    <w:name w:val="Char Char22"/>
    <w:autoRedefine/>
    <w:qFormat/>
    <w:uiPriority w:val="0"/>
    <w:rPr>
      <w:b/>
      <w:bCs/>
      <w:kern w:val="2"/>
      <w:sz w:val="32"/>
      <w:szCs w:val="32"/>
    </w:rPr>
  </w:style>
  <w:style w:type="character" w:customStyle="1" w:styleId="331">
    <w:name w:val="Char Char41"/>
    <w:autoRedefine/>
    <w:qFormat/>
    <w:uiPriority w:val="0"/>
    <w:rPr>
      <w:rFonts w:hint="eastAsia" w:ascii="宋体" w:hAnsi="宋体" w:eastAsia="宋体"/>
      <w:kern w:val="2"/>
      <w:sz w:val="21"/>
      <w:szCs w:val="24"/>
      <w:lang w:bidi="ar-SA"/>
    </w:rPr>
  </w:style>
  <w:style w:type="character" w:customStyle="1" w:styleId="332">
    <w:name w:val="font21"/>
    <w:autoRedefine/>
    <w:qFormat/>
    <w:uiPriority w:val="0"/>
    <w:rPr>
      <w:rFonts w:hint="eastAsia" w:ascii="宋体" w:hAnsi="宋体" w:eastAsia="宋体" w:cs="宋体"/>
      <w:color w:val="000000"/>
      <w:sz w:val="21"/>
      <w:szCs w:val="21"/>
      <w:u w:val="none"/>
      <w:lang w:bidi="ar-SA"/>
    </w:rPr>
  </w:style>
  <w:style w:type="character" w:customStyle="1" w:styleId="333">
    <w:name w:val="font11"/>
    <w:autoRedefine/>
    <w:qFormat/>
    <w:uiPriority w:val="0"/>
    <w:rPr>
      <w:rFonts w:hint="eastAsia" w:ascii="宋体" w:hAnsi="宋体" w:eastAsia="宋体" w:cs="宋体"/>
      <w:color w:val="000000"/>
      <w:sz w:val="21"/>
      <w:szCs w:val="21"/>
      <w:u w:val="single"/>
      <w:lang w:bidi="ar-SA"/>
    </w:rPr>
  </w:style>
  <w:style w:type="character" w:customStyle="1" w:styleId="334">
    <w:name w:val="font31"/>
    <w:autoRedefine/>
    <w:qFormat/>
    <w:uiPriority w:val="0"/>
    <w:rPr>
      <w:rFonts w:hint="eastAsia" w:ascii="宋体" w:hAnsi="宋体" w:eastAsia="宋体" w:cs="宋体"/>
      <w:color w:val="000000"/>
      <w:sz w:val="20"/>
      <w:szCs w:val="20"/>
      <w:u w:val="none"/>
      <w:lang w:bidi="ar-SA"/>
    </w:rPr>
  </w:style>
  <w:style w:type="character" w:customStyle="1" w:styleId="335">
    <w:name w:val="Char Char2"/>
    <w:autoRedefine/>
    <w:qFormat/>
    <w:uiPriority w:val="0"/>
    <w:rPr>
      <w:rFonts w:hint="eastAsia" w:ascii="宋体" w:hAnsi="宋体" w:eastAsia="宋体"/>
      <w:kern w:val="2"/>
      <w:sz w:val="21"/>
      <w:szCs w:val="24"/>
      <w:lang w:val="en-US" w:eastAsia="zh-CN" w:bidi="ar-SA"/>
    </w:rPr>
  </w:style>
  <w:style w:type="character" w:customStyle="1" w:styleId="336">
    <w:name w:val="批注主题 Char Char"/>
    <w:autoRedefine/>
    <w:qFormat/>
    <w:uiPriority w:val="0"/>
    <w:rPr>
      <w:rFonts w:hint="eastAsia" w:ascii="宋体" w:hAnsi="Times New Roman" w:eastAsia="宋体" w:cs="Times New Roman"/>
      <w:sz w:val="24"/>
      <w:szCs w:val="20"/>
      <w:lang w:bidi="ar-SA"/>
    </w:rPr>
  </w:style>
  <w:style w:type="character" w:customStyle="1" w:styleId="337">
    <w:name w:val="标题 1 Char Char"/>
    <w:autoRedefine/>
    <w:qFormat/>
    <w:uiPriority w:val="0"/>
    <w:rPr>
      <w:rFonts w:hint="eastAsia" w:ascii="黑体" w:hAnsi="黑体" w:eastAsia="黑体"/>
      <w:kern w:val="2"/>
      <w:sz w:val="44"/>
      <w:lang w:val="en-US" w:eastAsia="zh-CN" w:bidi="ar-SA"/>
    </w:rPr>
  </w:style>
  <w:style w:type="character" w:customStyle="1" w:styleId="338">
    <w:name w:val="Char Char1"/>
    <w:autoRedefine/>
    <w:qFormat/>
    <w:uiPriority w:val="0"/>
    <w:rPr>
      <w:rFonts w:hint="eastAsia" w:ascii="宋体" w:hAnsi="宋体" w:eastAsia="宋体"/>
      <w:kern w:val="2"/>
      <w:sz w:val="18"/>
      <w:szCs w:val="18"/>
      <w:lang w:val="en-US" w:eastAsia="zh-CN" w:bidi="ar-SA"/>
    </w:rPr>
  </w:style>
  <w:style w:type="character" w:customStyle="1" w:styleId="339">
    <w:name w:val="脚注文本 Char Char"/>
    <w:autoRedefine/>
    <w:qFormat/>
    <w:uiPriority w:val="0"/>
    <w:rPr>
      <w:kern w:val="2"/>
      <w:sz w:val="18"/>
    </w:rPr>
  </w:style>
  <w:style w:type="character" w:customStyle="1" w:styleId="340">
    <w:name w:val="正文文本 2 Char Char"/>
    <w:autoRedefine/>
    <w:qFormat/>
    <w:uiPriority w:val="0"/>
    <w:rPr>
      <w:i/>
      <w:kern w:val="2"/>
      <w:sz w:val="26"/>
    </w:rPr>
  </w:style>
  <w:style w:type="character" w:customStyle="1" w:styleId="341">
    <w:name w:val="页眉 Char Char"/>
    <w:autoRedefine/>
    <w:qFormat/>
    <w:uiPriority w:val="0"/>
    <w:rPr>
      <w:kern w:val="2"/>
      <w:sz w:val="18"/>
    </w:rPr>
  </w:style>
  <w:style w:type="character" w:customStyle="1" w:styleId="342">
    <w:name w:val="标题 2 Char Char"/>
    <w:autoRedefine/>
    <w:qFormat/>
    <w:uiPriority w:val="0"/>
    <w:rPr>
      <w:rFonts w:hint="eastAsia" w:ascii="仿宋_GB2312" w:eastAsia="仿宋_GB2312"/>
      <w:b/>
      <w:spacing w:val="1"/>
      <w:w w:val="99"/>
      <w:sz w:val="28"/>
    </w:rPr>
  </w:style>
  <w:style w:type="character" w:customStyle="1" w:styleId="343">
    <w:name w:val="批注框文本 Char Char"/>
    <w:autoRedefine/>
    <w:qFormat/>
    <w:uiPriority w:val="0"/>
    <w:rPr>
      <w:kern w:val="2"/>
      <w:sz w:val="18"/>
    </w:rPr>
  </w:style>
  <w:style w:type="character" w:customStyle="1" w:styleId="344">
    <w:name w:val="正文文本 Char Char"/>
    <w:autoRedefine/>
    <w:qFormat/>
    <w:uiPriority w:val="0"/>
    <w:rPr>
      <w:kern w:val="2"/>
      <w:sz w:val="26"/>
    </w:rPr>
  </w:style>
  <w:style w:type="character" w:customStyle="1" w:styleId="345">
    <w:name w:val="Char Char Char"/>
    <w:autoRedefine/>
    <w:qFormat/>
    <w:uiPriority w:val="0"/>
    <w:rPr>
      <w:rFonts w:hint="eastAsia" w:ascii="宋体" w:hAnsi="宋体" w:eastAsia="宋体"/>
      <w:kern w:val="2"/>
      <w:sz w:val="18"/>
      <w:szCs w:val="18"/>
      <w:lang w:val="en-US" w:eastAsia="zh-CN" w:bidi="ar-SA"/>
    </w:rPr>
  </w:style>
  <w:style w:type="character" w:customStyle="1" w:styleId="346">
    <w:name w:val="标题 3 Char Char"/>
    <w:autoRedefine/>
    <w:qFormat/>
    <w:uiPriority w:val="0"/>
    <w:rPr>
      <w:rFonts w:hint="eastAsia" w:ascii="仿宋_GB2312" w:eastAsia="仿宋_GB2312"/>
      <w:b/>
      <w:sz w:val="24"/>
    </w:rPr>
  </w:style>
  <w:style w:type="character" w:customStyle="1" w:styleId="347">
    <w:name w:val="标题 4 Char Char"/>
    <w:autoRedefine/>
    <w:qFormat/>
    <w:uiPriority w:val="0"/>
    <w:rPr>
      <w:rFonts w:hint="eastAsia" w:ascii="仿宋_GB2312" w:eastAsia="仿宋_GB2312"/>
      <w:b/>
      <w:sz w:val="24"/>
    </w:rPr>
  </w:style>
  <w:style w:type="character" w:customStyle="1" w:styleId="348">
    <w:name w:val="Char Char10"/>
    <w:autoRedefine/>
    <w:qFormat/>
    <w:uiPriority w:val="0"/>
    <w:rPr>
      <w:rFonts w:hint="eastAsia" w:ascii="仿宋_GB2312" w:hAnsi="宋体" w:eastAsia="仿宋_GB2312" w:cs="MingLiU"/>
      <w:b/>
      <w:spacing w:val="1"/>
      <w:w w:val="99"/>
      <w:sz w:val="28"/>
      <w:szCs w:val="32"/>
      <w:lang w:val="en-US" w:eastAsia="zh-CN" w:bidi="ar-SA"/>
    </w:rPr>
  </w:style>
  <w:style w:type="character" w:customStyle="1" w:styleId="349">
    <w:name w:val="纯文本 Char Char"/>
    <w:autoRedefine/>
    <w:qFormat/>
    <w:uiPriority w:val="0"/>
    <w:rPr>
      <w:rFonts w:hint="eastAsia" w:ascii="宋体" w:hAnsi="Courier New" w:eastAsia="宋体"/>
      <w:kern w:val="2"/>
      <w:sz w:val="28"/>
    </w:rPr>
  </w:style>
  <w:style w:type="character" w:customStyle="1" w:styleId="350">
    <w:name w:val="页脚 Char Char"/>
    <w:autoRedefine/>
    <w:qFormat/>
    <w:uiPriority w:val="0"/>
    <w:rPr>
      <w:kern w:val="2"/>
      <w:sz w:val="18"/>
    </w:rPr>
  </w:style>
  <w:style w:type="character" w:customStyle="1" w:styleId="351">
    <w:name w:val="Char Char26"/>
    <w:autoRedefine/>
    <w:qFormat/>
    <w:uiPriority w:val="0"/>
    <w:rPr>
      <w:rFonts w:hint="eastAsia" w:ascii="宋体" w:hAnsi="Courier New" w:eastAsia="宋体" w:cs="Courier New"/>
      <w:kern w:val="2"/>
      <w:sz w:val="21"/>
      <w:szCs w:val="21"/>
    </w:rPr>
  </w:style>
  <w:style w:type="paragraph" w:customStyle="1" w:styleId="352">
    <w:name w:val="图例"/>
    <w:basedOn w:val="1"/>
    <w:autoRedefine/>
    <w:qFormat/>
    <w:uiPriority w:val="0"/>
    <w:pPr>
      <w:spacing w:before="120" w:after="120" w:line="360" w:lineRule="auto"/>
      <w:jc w:val="center"/>
    </w:pPr>
    <w:rPr>
      <w:rFonts w:eastAsia="仿宋_GB2312"/>
      <w:b/>
      <w:sz w:val="24"/>
    </w:rPr>
  </w:style>
  <w:style w:type="character" w:customStyle="1" w:styleId="353">
    <w:name w:val="font41"/>
    <w:basedOn w:val="49"/>
    <w:autoRedefine/>
    <w:qFormat/>
    <w:uiPriority w:val="0"/>
    <w:rPr>
      <w:rFonts w:hint="eastAsia" w:ascii="宋体" w:hAnsi="宋体" w:eastAsia="宋体" w:cs="宋体"/>
      <w:color w:val="000000"/>
      <w:sz w:val="16"/>
      <w:szCs w:val="16"/>
      <w:u w:val="none"/>
    </w:rPr>
  </w:style>
  <w:style w:type="character" w:customStyle="1" w:styleId="354">
    <w:name w:val="NormalCharacter"/>
    <w:autoRedefine/>
    <w:semiHidden/>
    <w:qFormat/>
    <w:uiPriority w:val="0"/>
  </w:style>
  <w:style w:type="character" w:customStyle="1" w:styleId="355">
    <w:name w:val="font61"/>
    <w:basedOn w:val="49"/>
    <w:qFormat/>
    <w:uiPriority w:val="0"/>
    <w:rPr>
      <w:rFonts w:hint="eastAsia" w:ascii="微软雅黑" w:hAnsi="微软雅黑" w:eastAsia="微软雅黑" w:cs="微软雅黑"/>
      <w:color w:val="000000"/>
      <w:sz w:val="16"/>
      <w:szCs w:val="16"/>
      <w:u w:val="none"/>
    </w:rPr>
  </w:style>
  <w:style w:type="character" w:customStyle="1" w:styleId="356">
    <w:name w:val="font81"/>
    <w:basedOn w:val="49"/>
    <w:qFormat/>
    <w:uiPriority w:val="0"/>
    <w:rPr>
      <w:rFonts w:hint="eastAsia" w:ascii="宋体" w:hAnsi="宋体" w:eastAsia="宋体" w:cs="宋体"/>
      <w:color w:val="000000"/>
      <w:sz w:val="16"/>
      <w:szCs w:val="16"/>
      <w:u w:val="none"/>
    </w:rPr>
  </w:style>
  <w:style w:type="character" w:customStyle="1" w:styleId="357">
    <w:name w:val="font71"/>
    <w:basedOn w:val="49"/>
    <w:qFormat/>
    <w:uiPriority w:val="0"/>
    <w:rPr>
      <w:rFonts w:hint="eastAsia" w:ascii="微软雅黑" w:hAnsi="微软雅黑" w:eastAsia="微软雅黑" w:cs="微软雅黑"/>
      <w:color w:val="000000"/>
      <w:sz w:val="16"/>
      <w:szCs w:val="16"/>
      <w:u w:val="none"/>
    </w:rPr>
  </w:style>
  <w:style w:type="character" w:customStyle="1" w:styleId="358">
    <w:name w:val="font131"/>
    <w:basedOn w:val="49"/>
    <w:qFormat/>
    <w:uiPriority w:val="0"/>
    <w:rPr>
      <w:rFonts w:ascii="Arial" w:hAnsi="Arial" w:cs="Arial"/>
      <w:color w:val="000000"/>
      <w:sz w:val="16"/>
      <w:szCs w:val="16"/>
      <w:u w:val="none"/>
    </w:rPr>
  </w:style>
  <w:style w:type="character" w:customStyle="1" w:styleId="359">
    <w:name w:val="font51"/>
    <w:basedOn w:val="49"/>
    <w:qFormat/>
    <w:uiPriority w:val="0"/>
    <w:rPr>
      <w:rFonts w:hint="eastAsia"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51</Pages>
  <Words>5176</Words>
  <Characters>5518</Characters>
  <Lines>85</Lines>
  <Paragraphs>24</Paragraphs>
  <TotalTime>0</TotalTime>
  <ScaleCrop>false</ScaleCrop>
  <LinksUpToDate>false</LinksUpToDate>
  <CharactersWithSpaces>5590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2021-04-09T00:31:00Z</dcterms:created>
  <dc:creator>微软用户</dc:creator>
  <cp:lastModifiedBy>闫德刚</cp:lastModifiedBy>
  <cp:lastPrinted>2025-11-27T04:05:00Z</cp:lastPrinted>
  <dcterms:modified xsi:type="dcterms:W3CDTF">2026-07-25T08:30:46Z</dcterms:modified>
  <dc:title>住房和城乡建设部关于印发《房屋建筑和市政工程标准施工招标资格预审文件》和《房屋建筑和市政工程标准施工招标文件》的通知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99BA414ACD834C7F8FB633E83BFF5796_13</vt:lpwstr>
  </property>
  <property fmtid="{D5CDD505-2E9C-101B-9397-08002B2CF9AE}" pid="4" name="KSOTemplateDocerSaveRecord">
    <vt:lpwstr>eyJoZGlkIjoiZjMyZjJjODkxNTg3OTY3YTY4MjhjMGQxMzliZGI0N2UiLCJ1c2VySWQiOiI0NzA3MzYzOTAifQ==</vt:lpwstr>
  </property>
</Properties>
</file>