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858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pacing w:val="80"/>
          <w:sz w:val="112"/>
          <w:szCs w:val="112"/>
          <w:highlight w:val="none"/>
        </w:rPr>
      </w:pPr>
    </w:p>
    <w:p w14:paraId="6B608B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pacing w:val="80"/>
          <w:sz w:val="112"/>
          <w:szCs w:val="112"/>
          <w:highlight w:val="none"/>
          <w:lang w:val="en-US" w:eastAsia="zh-CN"/>
        </w:rPr>
      </w:pPr>
      <w:r>
        <w:rPr>
          <w:rFonts w:hint="eastAsia" w:ascii="宋体" w:hAnsi="宋体" w:eastAsia="宋体" w:cs="宋体"/>
          <w:color w:val="auto"/>
          <w:spacing w:val="80"/>
          <w:sz w:val="112"/>
          <w:szCs w:val="112"/>
          <w:highlight w:val="none"/>
        </w:rPr>
        <w:t>竞争性</w:t>
      </w:r>
      <w:r>
        <w:rPr>
          <w:rFonts w:hint="eastAsia" w:ascii="宋体" w:hAnsi="宋体" w:eastAsia="宋体" w:cs="宋体"/>
          <w:color w:val="auto"/>
          <w:spacing w:val="80"/>
          <w:sz w:val="112"/>
          <w:szCs w:val="112"/>
          <w:highlight w:val="none"/>
          <w:lang w:val="en-US" w:eastAsia="zh-CN"/>
        </w:rPr>
        <w:t>磋商</w:t>
      </w:r>
    </w:p>
    <w:p w14:paraId="7E9DC8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color w:val="auto"/>
          <w:spacing w:val="80"/>
          <w:sz w:val="112"/>
          <w:szCs w:val="112"/>
          <w:highlight w:val="none"/>
        </w:rPr>
      </w:pPr>
      <w:bookmarkStart w:id="0" w:name="_Toc14711"/>
      <w:bookmarkStart w:id="1" w:name="_Toc19283"/>
      <w:r>
        <w:rPr>
          <w:rFonts w:hint="eastAsia" w:ascii="宋体" w:hAnsi="宋体" w:eastAsia="宋体" w:cs="宋体"/>
          <w:color w:val="auto"/>
          <w:spacing w:val="80"/>
          <w:sz w:val="112"/>
          <w:szCs w:val="112"/>
          <w:highlight w:val="none"/>
        </w:rPr>
        <w:t>文件</w:t>
      </w:r>
      <w:bookmarkEnd w:id="0"/>
      <w:bookmarkEnd w:id="1"/>
    </w:p>
    <w:p w14:paraId="7B409D1A">
      <w:pPr>
        <w:pageBreakBefore w:val="0"/>
        <w:wordWrap/>
        <w:topLinePunct w:val="0"/>
        <w:bidi w:val="0"/>
        <w:spacing w:line="560" w:lineRule="exact"/>
        <w:jc w:val="center"/>
        <w:textAlignment w:val="auto"/>
        <w:rPr>
          <w:rFonts w:hint="eastAsia" w:ascii="宋体" w:hAnsi="宋体" w:eastAsia="宋体" w:cs="宋体"/>
          <w:color w:val="auto"/>
          <w:sz w:val="32"/>
          <w:highlight w:val="none"/>
        </w:rPr>
      </w:pPr>
    </w:p>
    <w:p w14:paraId="03DE1161">
      <w:pPr>
        <w:pStyle w:val="18"/>
        <w:rPr>
          <w:rFonts w:hint="eastAsia" w:ascii="宋体" w:hAnsi="宋体" w:eastAsia="宋体" w:cs="宋体"/>
          <w:color w:val="auto"/>
          <w:sz w:val="32"/>
          <w:highlight w:val="none"/>
        </w:rPr>
      </w:pPr>
    </w:p>
    <w:p w14:paraId="020D5572">
      <w:pPr>
        <w:rPr>
          <w:rFonts w:hint="eastAsia" w:ascii="宋体" w:hAnsi="宋体" w:eastAsia="宋体" w:cs="宋体"/>
          <w:color w:val="auto"/>
          <w:highlight w:val="none"/>
        </w:rPr>
      </w:pPr>
    </w:p>
    <w:p w14:paraId="104A6047">
      <w:pPr>
        <w:pageBreakBefore w:val="0"/>
        <w:wordWrap/>
        <w:topLinePunct w:val="0"/>
        <w:bidi w:val="0"/>
        <w:spacing w:line="560" w:lineRule="exact"/>
        <w:textAlignment w:val="auto"/>
        <w:rPr>
          <w:rFonts w:hint="eastAsia" w:ascii="宋体" w:hAnsi="宋体" w:eastAsia="宋体" w:cs="宋体"/>
          <w:color w:val="auto"/>
          <w:sz w:val="36"/>
          <w:szCs w:val="30"/>
          <w:highlight w:val="none"/>
        </w:rPr>
      </w:pPr>
    </w:p>
    <w:p w14:paraId="5473C221">
      <w:pPr>
        <w:spacing w:line="500" w:lineRule="exact"/>
        <w:jc w:val="center"/>
        <w:outlineLvl w:val="0"/>
        <w:rPr>
          <w:rFonts w:hint="eastAsia" w:ascii="Times New Roman" w:hAnsi="Times New Roman" w:eastAsia="宋体" w:cs="Times New Roman"/>
          <w:color w:val="auto"/>
          <w:sz w:val="32"/>
          <w:szCs w:val="32"/>
          <w:highlight w:val="none"/>
          <w:lang w:val="en-US" w:eastAsia="zh-CN"/>
        </w:rPr>
      </w:pPr>
      <w:r>
        <w:rPr>
          <w:rFonts w:hint="eastAsia" w:ascii="宋体" w:hAnsi="宋体" w:eastAsia="宋体" w:cs="宋体"/>
          <w:color w:val="auto"/>
          <w:sz w:val="32"/>
          <w:szCs w:val="32"/>
          <w:highlight w:val="none"/>
        </w:rPr>
        <w:t>项目名称：</w:t>
      </w:r>
      <w:r>
        <w:rPr>
          <w:rFonts w:hint="eastAsia" w:ascii="Times New Roman" w:hAnsi="Times New Roman" w:eastAsia="宋体" w:cs="Times New Roman"/>
          <w:color w:val="auto"/>
          <w:sz w:val="32"/>
          <w:szCs w:val="32"/>
          <w:highlight w:val="none"/>
          <w:lang w:val="en-US" w:eastAsia="zh-CN"/>
        </w:rPr>
        <w:t>2025年度武隆区精神障碍社区康复服务项目</w:t>
      </w:r>
    </w:p>
    <w:p w14:paraId="06A6F179">
      <w:pPr>
        <w:spacing w:line="500" w:lineRule="exact"/>
        <w:jc w:val="center"/>
        <w:outlineLvl w:val="0"/>
        <w:rPr>
          <w:rFonts w:hint="default" w:ascii="宋体" w:hAnsi="宋体" w:eastAsia="宋体" w:cs="宋体"/>
          <w:color w:val="auto"/>
          <w:sz w:val="36"/>
          <w:szCs w:val="36"/>
          <w:highlight w:val="none"/>
          <w:lang w:val="en-US"/>
        </w:rPr>
      </w:pPr>
      <w:r>
        <w:rPr>
          <w:rFonts w:hint="eastAsia" w:ascii="Times New Roman" w:hAnsi="Times New Roman" w:eastAsia="宋体" w:cs="Times New Roman"/>
          <w:color w:val="auto"/>
          <w:sz w:val="32"/>
          <w:szCs w:val="32"/>
          <w:highlight w:val="none"/>
          <w:lang w:val="en-US" w:eastAsia="zh-CN"/>
        </w:rPr>
        <w:t xml:space="preserve">      （芙蓉片区、长坝片区、凤来片区）</w:t>
      </w:r>
    </w:p>
    <w:p w14:paraId="19609077">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宋体" w:hAnsi="宋体" w:eastAsia="宋体" w:cs="宋体"/>
          <w:color w:val="auto"/>
          <w:sz w:val="32"/>
          <w:szCs w:val="32"/>
          <w:highlight w:val="none"/>
          <w:lang w:val="en-US" w:eastAsia="zh-CN"/>
        </w:rPr>
      </w:pPr>
    </w:p>
    <w:p w14:paraId="02EECC36">
      <w:pPr>
        <w:bidi w:val="0"/>
        <w:rPr>
          <w:rFonts w:hint="eastAsia" w:ascii="宋体" w:hAnsi="宋体" w:eastAsia="宋体" w:cs="宋体"/>
          <w:color w:val="auto"/>
          <w:highlight w:val="none"/>
        </w:rPr>
      </w:pPr>
    </w:p>
    <w:p w14:paraId="39C74C00">
      <w:pPr>
        <w:autoSpaceDE w:val="0"/>
        <w:autoSpaceDN w:val="0"/>
        <w:adjustRightInd w:val="0"/>
        <w:ind w:left="0" w:leftChars="0" w:firstLine="758" w:firstLineChars="237"/>
        <w:jc w:val="both"/>
        <w:rPr>
          <w:rFonts w:hint="eastAsia" w:ascii="宋体" w:hAnsi="宋体" w:eastAsia="宋体" w:cs="宋体"/>
          <w:color w:val="auto"/>
          <w:sz w:val="32"/>
          <w:szCs w:val="32"/>
          <w:highlight w:val="none"/>
        </w:rPr>
      </w:pPr>
    </w:p>
    <w:p w14:paraId="6E45E503">
      <w:pPr>
        <w:spacing w:line="720" w:lineRule="auto"/>
        <w:ind w:left="0" w:leftChars="0" w:firstLine="998" w:firstLineChars="312"/>
        <w:jc w:val="both"/>
        <w:rPr>
          <w:rFonts w:hint="eastAsia" w:ascii="宋体" w:hAnsi="宋体" w:eastAsia="宋体" w:cs="宋体"/>
          <w:color w:val="auto"/>
          <w:sz w:val="32"/>
          <w:szCs w:val="32"/>
          <w:highlight w:val="none"/>
          <w:u w:val="single"/>
          <w:lang w:val="en-US" w:eastAsia="zh-CN"/>
        </w:rPr>
      </w:pPr>
    </w:p>
    <w:p w14:paraId="45E4851F">
      <w:pPr>
        <w:pStyle w:val="18"/>
        <w:rPr>
          <w:rFonts w:hint="eastAsia" w:ascii="宋体" w:hAnsi="宋体" w:eastAsia="宋体" w:cs="宋体"/>
          <w:color w:val="auto"/>
          <w:sz w:val="32"/>
          <w:szCs w:val="32"/>
          <w:highlight w:val="none"/>
          <w:u w:val="single"/>
          <w:lang w:val="en-US" w:eastAsia="zh-CN"/>
        </w:rPr>
      </w:pPr>
    </w:p>
    <w:p w14:paraId="33B48116">
      <w:pPr>
        <w:rPr>
          <w:rFonts w:hint="eastAsia" w:ascii="宋体" w:hAnsi="宋体" w:eastAsia="宋体" w:cs="宋体"/>
          <w:color w:val="auto"/>
          <w:sz w:val="32"/>
          <w:szCs w:val="32"/>
          <w:highlight w:val="none"/>
          <w:u w:val="single"/>
          <w:lang w:val="en-US" w:eastAsia="zh-CN"/>
        </w:rPr>
      </w:pPr>
    </w:p>
    <w:p w14:paraId="590FBE04">
      <w:pPr>
        <w:pStyle w:val="18"/>
        <w:rPr>
          <w:rFonts w:hint="eastAsia" w:ascii="宋体" w:hAnsi="宋体" w:eastAsia="宋体" w:cs="宋体"/>
          <w:color w:val="auto"/>
          <w:sz w:val="32"/>
          <w:szCs w:val="32"/>
          <w:highlight w:val="none"/>
          <w:u w:val="single"/>
          <w:lang w:val="en-US" w:eastAsia="zh-CN"/>
        </w:rPr>
      </w:pPr>
    </w:p>
    <w:p w14:paraId="3AC753D0">
      <w:pPr>
        <w:rPr>
          <w:rFonts w:hint="eastAsia" w:ascii="宋体" w:hAnsi="宋体" w:eastAsia="宋体" w:cs="宋体"/>
          <w:color w:val="auto"/>
          <w:sz w:val="32"/>
          <w:szCs w:val="32"/>
          <w:highlight w:val="none"/>
          <w:u w:val="single"/>
          <w:lang w:val="en-US" w:eastAsia="zh-CN"/>
        </w:rPr>
      </w:pPr>
    </w:p>
    <w:p w14:paraId="3930D896">
      <w:pPr>
        <w:pStyle w:val="8"/>
        <w:rPr>
          <w:rFonts w:hint="eastAsia"/>
          <w:color w:val="auto"/>
          <w:highlight w:val="none"/>
          <w:lang w:val="en-US" w:eastAsia="zh-CN"/>
        </w:rPr>
      </w:pPr>
    </w:p>
    <w:p w14:paraId="5C601A07">
      <w:pPr>
        <w:rPr>
          <w:rFonts w:hint="eastAsia" w:ascii="宋体" w:hAnsi="宋体" w:eastAsia="宋体" w:cs="宋体"/>
          <w:color w:val="auto"/>
          <w:highlight w:val="none"/>
          <w:lang w:val="en-US" w:eastAsia="zh-CN"/>
        </w:rPr>
      </w:pPr>
    </w:p>
    <w:p w14:paraId="0B688C2A">
      <w:pPr>
        <w:pStyle w:val="8"/>
        <w:rPr>
          <w:rFonts w:hint="eastAsia"/>
          <w:color w:val="auto"/>
          <w:highlight w:val="none"/>
          <w:lang w:val="en-US" w:eastAsia="zh-CN"/>
        </w:rPr>
      </w:pPr>
    </w:p>
    <w:p w14:paraId="6B696E1A">
      <w:pPr>
        <w:pageBreakBefore w:val="0"/>
        <w:wordWrap/>
        <w:topLinePunct w:val="0"/>
        <w:bidi w:val="0"/>
        <w:spacing w:line="560" w:lineRule="exact"/>
        <w:ind w:firstLine="960" w:firstLineChars="300"/>
        <w:textAlignment w:val="auto"/>
        <w:rPr>
          <w:rFonts w:hint="eastAsia" w:ascii="宋体" w:hAnsi="宋体" w:eastAsia="宋体" w:cs="宋体"/>
          <w:color w:val="auto"/>
          <w:sz w:val="32"/>
          <w:szCs w:val="32"/>
          <w:highlight w:val="none"/>
          <w:u w:val="none"/>
          <w:lang w:val="en-US" w:eastAsia="zh-CN"/>
        </w:rPr>
      </w:pPr>
      <w:r>
        <w:rPr>
          <w:rFonts w:hint="eastAsia" w:ascii="宋体" w:hAnsi="宋体" w:eastAsia="宋体" w:cs="宋体"/>
          <w:color w:val="auto"/>
          <w:sz w:val="32"/>
          <w:szCs w:val="32"/>
          <w:highlight w:val="none"/>
          <w:u w:val="none"/>
          <w:lang w:val="en-US" w:eastAsia="zh-CN"/>
        </w:rPr>
        <w:t>采购人：重庆市武隆区民政局（盖章）</w:t>
      </w:r>
    </w:p>
    <w:p w14:paraId="66312555">
      <w:pPr>
        <w:pageBreakBefore w:val="0"/>
        <w:wordWrap/>
        <w:topLinePunct w:val="0"/>
        <w:bidi w:val="0"/>
        <w:spacing w:line="560" w:lineRule="exact"/>
        <w:ind w:left="0" w:leftChars="0" w:firstLine="760" w:firstLineChars="0"/>
        <w:textAlignment w:val="auto"/>
        <w:rPr>
          <w:rFonts w:hint="eastAsia" w:ascii="宋体" w:hAnsi="宋体" w:eastAsia="宋体" w:cs="宋体"/>
          <w:color w:val="auto"/>
          <w:sz w:val="36"/>
          <w:szCs w:val="30"/>
          <w:highlight w:val="none"/>
          <w:u w:val="none"/>
          <w:lang w:eastAsia="zh-CN"/>
        </w:rPr>
      </w:pPr>
      <w:r>
        <w:rPr>
          <w:rFonts w:hint="eastAsia" w:ascii="宋体" w:hAnsi="宋体" w:eastAsia="宋体" w:cs="宋体"/>
          <w:color w:val="auto"/>
          <w:sz w:val="32"/>
          <w:szCs w:val="32"/>
          <w:highlight w:val="none"/>
          <w:lang w:val="en-US" w:eastAsia="zh-CN"/>
        </w:rPr>
        <w:t xml:space="preserve"> 采购代理机构</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none"/>
          <w:lang w:val="en-US" w:eastAsia="zh-CN"/>
        </w:rPr>
        <w:t>重庆方郡建设工程咨询有限公司（盖章）</w:t>
      </w:r>
    </w:p>
    <w:p w14:paraId="33C607CC">
      <w:pPr>
        <w:pageBreakBefore w:val="0"/>
        <w:wordWrap/>
        <w:topLinePunct w:val="0"/>
        <w:bidi w:val="0"/>
        <w:spacing w:line="560" w:lineRule="exact"/>
        <w:jc w:val="center"/>
        <w:textAlignment w:val="auto"/>
        <w:rPr>
          <w:rFonts w:hint="eastAsia"/>
          <w:b/>
          <w:bCs/>
          <w:color w:val="auto"/>
          <w:highlight w:val="none"/>
        </w:rPr>
      </w:pPr>
      <w:r>
        <w:rPr>
          <w:rFonts w:hint="eastAsia" w:ascii="宋体" w:hAnsi="宋体" w:eastAsia="宋体" w:cs="宋体"/>
          <w:color w:val="auto"/>
          <w:sz w:val="32"/>
          <w:szCs w:val="32"/>
          <w:highlight w:val="none"/>
          <w:u w:val="none"/>
        </w:rPr>
        <w:t>二〇二</w:t>
      </w:r>
      <w:r>
        <w:rPr>
          <w:rFonts w:hint="eastAsia" w:ascii="宋体" w:hAnsi="宋体" w:eastAsia="宋体" w:cs="宋体"/>
          <w:color w:val="auto"/>
          <w:sz w:val="32"/>
          <w:szCs w:val="32"/>
          <w:highlight w:val="none"/>
          <w:u w:val="none"/>
          <w:lang w:val="en-US" w:eastAsia="zh-CN"/>
        </w:rPr>
        <w:t>五</w:t>
      </w:r>
      <w:r>
        <w:rPr>
          <w:rFonts w:hint="eastAsia" w:ascii="宋体" w:hAnsi="宋体" w:eastAsia="宋体" w:cs="宋体"/>
          <w:color w:val="auto"/>
          <w:sz w:val="32"/>
          <w:szCs w:val="32"/>
          <w:highlight w:val="none"/>
          <w:u w:val="none"/>
        </w:rPr>
        <w:t>年</w:t>
      </w:r>
      <w:r>
        <w:rPr>
          <w:rFonts w:hint="eastAsia" w:ascii="宋体" w:hAnsi="宋体" w:eastAsia="宋体" w:cs="宋体"/>
          <w:color w:val="auto"/>
          <w:sz w:val="32"/>
          <w:szCs w:val="32"/>
          <w:highlight w:val="none"/>
          <w:u w:val="none"/>
          <w:lang w:val="en-US" w:eastAsia="zh-CN"/>
        </w:rPr>
        <w:t>八</w:t>
      </w:r>
      <w:r>
        <w:rPr>
          <w:rFonts w:hint="eastAsia" w:ascii="宋体" w:hAnsi="宋体" w:eastAsia="宋体" w:cs="宋体"/>
          <w:color w:val="auto"/>
          <w:sz w:val="32"/>
          <w:szCs w:val="32"/>
          <w:highlight w:val="none"/>
          <w:u w:val="none"/>
        </w:rPr>
        <w:t>月</w:t>
      </w:r>
    </w:p>
    <w:p w14:paraId="3175B666">
      <w:pPr>
        <w:pageBreakBefore w:val="0"/>
        <w:wordWrap/>
        <w:topLinePunct w:val="0"/>
        <w:bidi w:val="0"/>
        <w:spacing w:line="560" w:lineRule="exact"/>
        <w:jc w:val="center"/>
        <w:textAlignment w:val="auto"/>
        <w:outlineLvl w:val="0"/>
        <w:rPr>
          <w:rFonts w:hint="default" w:ascii="Times New Roman" w:hAnsi="Times New Roman" w:eastAsia="宋体" w:cs="Times New Roman"/>
          <w:color w:val="auto"/>
          <w:sz w:val="44"/>
          <w:szCs w:val="28"/>
          <w:highlight w:val="none"/>
        </w:rPr>
      </w:pPr>
    </w:p>
    <w:p w14:paraId="54A210B4">
      <w:pPr>
        <w:pageBreakBefore w:val="0"/>
        <w:wordWrap/>
        <w:topLinePunct w:val="0"/>
        <w:bidi w:val="0"/>
        <w:spacing w:line="360" w:lineRule="auto"/>
        <w:jc w:val="center"/>
        <w:textAlignment w:val="auto"/>
        <w:outlineLvl w:val="0"/>
        <w:rPr>
          <w:rFonts w:hint="default" w:ascii="Times New Roman" w:hAnsi="Times New Roman" w:eastAsia="宋体" w:cs="Times New Roman"/>
          <w:color w:val="auto"/>
          <w:sz w:val="44"/>
          <w:szCs w:val="28"/>
          <w:highlight w:val="none"/>
        </w:rPr>
      </w:pPr>
      <w:r>
        <w:rPr>
          <w:rFonts w:hint="default" w:ascii="Times New Roman" w:hAnsi="Times New Roman" w:eastAsia="宋体" w:cs="Times New Roman"/>
          <w:color w:val="auto"/>
          <w:sz w:val="44"/>
          <w:szCs w:val="28"/>
          <w:highlight w:val="none"/>
        </w:rPr>
        <w:t>目   录</w:t>
      </w:r>
    </w:p>
    <w:p w14:paraId="7D4E529F">
      <w:pPr>
        <w:pStyle w:val="18"/>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TOC \o "1-3" \h \z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Cs/>
          <w:color w:val="auto"/>
          <w:szCs w:val="28"/>
          <w:highlight w:val="none"/>
        </w:rPr>
        <w:fldChar w:fldCharType="begin"/>
      </w:r>
      <w:r>
        <w:rPr>
          <w:rFonts w:hint="default" w:ascii="Times New Roman" w:hAnsi="Times New Roman" w:eastAsia="宋体" w:cs="Times New Roman"/>
          <w:bCs/>
          <w:color w:val="auto"/>
          <w:szCs w:val="28"/>
          <w:highlight w:val="none"/>
        </w:rPr>
        <w:instrText xml:space="preserve"> HYPERLINK \l _Toc2226 </w:instrText>
      </w:r>
      <w:r>
        <w:rPr>
          <w:rFonts w:hint="default" w:ascii="Times New Roman" w:hAnsi="Times New Roman" w:eastAsia="宋体" w:cs="Times New Roman"/>
          <w:bCs/>
          <w:color w:val="auto"/>
          <w:szCs w:val="28"/>
          <w:highlight w:val="none"/>
        </w:rPr>
        <w:fldChar w:fldCharType="separate"/>
      </w:r>
      <w:r>
        <w:rPr>
          <w:rFonts w:hint="default"/>
          <w:color w:val="auto"/>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_Toc2226 \h </w:instrText>
      </w:r>
      <w:r>
        <w:rPr>
          <w:color w:val="auto"/>
          <w:highlight w:val="none"/>
        </w:rPr>
        <w:fldChar w:fldCharType="separate"/>
      </w:r>
      <w:r>
        <w:rPr>
          <w:color w:val="auto"/>
          <w:highlight w:val="none"/>
        </w:rPr>
        <w:t>- 4 -</w:t>
      </w:r>
      <w:r>
        <w:rPr>
          <w:color w:val="auto"/>
          <w:highlight w:val="none"/>
        </w:rPr>
        <w:fldChar w:fldCharType="end"/>
      </w:r>
      <w:r>
        <w:rPr>
          <w:rFonts w:hint="default" w:ascii="Times New Roman" w:hAnsi="Times New Roman" w:eastAsia="宋体" w:cs="Times New Roman"/>
          <w:bCs/>
          <w:color w:val="auto"/>
          <w:szCs w:val="28"/>
          <w:highlight w:val="none"/>
        </w:rPr>
        <w:fldChar w:fldCharType="end"/>
      </w:r>
    </w:p>
    <w:p w14:paraId="1DCB9157">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_Toc28675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_Toc28675 \h </w:instrText>
      </w:r>
      <w:r>
        <w:rPr>
          <w:color w:val="auto"/>
          <w:highlight w:val="none"/>
        </w:rPr>
        <w:fldChar w:fldCharType="separate"/>
      </w:r>
      <w:r>
        <w:rPr>
          <w:color w:val="auto"/>
          <w:highlight w:val="none"/>
        </w:rPr>
        <w:t>- 4 -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3371770A">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_Toc10198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rPr>
        <w:t>二、资金来源</w:t>
      </w:r>
      <w:r>
        <w:rPr>
          <w:color w:val="auto"/>
          <w:highlight w:val="none"/>
        </w:rPr>
        <w:tab/>
      </w:r>
      <w:r>
        <w:rPr>
          <w:color w:val="auto"/>
          <w:highlight w:val="none"/>
        </w:rPr>
        <w:fldChar w:fldCharType="begin"/>
      </w:r>
      <w:r>
        <w:rPr>
          <w:color w:val="auto"/>
          <w:highlight w:val="none"/>
        </w:rPr>
        <w:instrText xml:space="preserve"> PAGEREF _Toc10198 \h </w:instrText>
      </w:r>
      <w:r>
        <w:rPr>
          <w:color w:val="auto"/>
          <w:highlight w:val="none"/>
        </w:rPr>
        <w:fldChar w:fldCharType="separate"/>
      </w:r>
      <w:r>
        <w:rPr>
          <w:color w:val="auto"/>
          <w:highlight w:val="none"/>
        </w:rPr>
        <w:t>- 4 -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6E1A40B5">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_Toc17590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三、供应商资格条件</w:t>
      </w:r>
      <w:r>
        <w:rPr>
          <w:color w:val="auto"/>
          <w:highlight w:val="none"/>
        </w:rPr>
        <w:tab/>
      </w:r>
      <w:r>
        <w:rPr>
          <w:color w:val="auto"/>
          <w:highlight w:val="none"/>
        </w:rPr>
        <w:fldChar w:fldCharType="begin"/>
      </w:r>
      <w:r>
        <w:rPr>
          <w:color w:val="auto"/>
          <w:highlight w:val="none"/>
        </w:rPr>
        <w:instrText xml:space="preserve"> PAGEREF _Toc17590 \h </w:instrText>
      </w:r>
      <w:r>
        <w:rPr>
          <w:color w:val="auto"/>
          <w:highlight w:val="none"/>
        </w:rPr>
        <w:fldChar w:fldCharType="separate"/>
      </w:r>
      <w:r>
        <w:rPr>
          <w:color w:val="auto"/>
          <w:highlight w:val="none"/>
        </w:rPr>
        <w:t>- 4 -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10C9ED3F">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_Toc14331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四、磋商、开标有关说明</w:t>
      </w:r>
      <w:r>
        <w:rPr>
          <w:color w:val="auto"/>
          <w:highlight w:val="none"/>
        </w:rPr>
        <w:tab/>
      </w:r>
      <w:r>
        <w:rPr>
          <w:color w:val="auto"/>
          <w:highlight w:val="none"/>
        </w:rPr>
        <w:fldChar w:fldCharType="begin"/>
      </w:r>
      <w:r>
        <w:rPr>
          <w:color w:val="auto"/>
          <w:highlight w:val="none"/>
        </w:rPr>
        <w:instrText xml:space="preserve"> PAGEREF _Toc14331 \h </w:instrText>
      </w:r>
      <w:r>
        <w:rPr>
          <w:color w:val="auto"/>
          <w:highlight w:val="none"/>
        </w:rPr>
        <w:fldChar w:fldCharType="separate"/>
      </w:r>
      <w:r>
        <w:rPr>
          <w:color w:val="auto"/>
          <w:highlight w:val="none"/>
        </w:rPr>
        <w:t>- 4 -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4B511202">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_Toc31663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五、磋商保证金</w:t>
      </w:r>
      <w:r>
        <w:rPr>
          <w:rFonts w:hint="eastAsia" w:ascii="Times New Roman" w:hAnsi="Times New Roman" w:eastAsia="宋体" w:cs="Times New Roman"/>
          <w:color w:val="auto"/>
          <w:szCs w:val="24"/>
          <w:highlight w:val="none"/>
          <w:lang w:val="en-US" w:eastAsia="zh-CN"/>
        </w:rPr>
        <w:t>：</w:t>
      </w:r>
      <w:r>
        <w:rPr>
          <w:color w:val="auto"/>
          <w:highlight w:val="none"/>
        </w:rPr>
        <w:tab/>
      </w:r>
      <w:r>
        <w:rPr>
          <w:color w:val="auto"/>
          <w:highlight w:val="none"/>
        </w:rPr>
        <w:fldChar w:fldCharType="begin"/>
      </w:r>
      <w:r>
        <w:rPr>
          <w:color w:val="auto"/>
          <w:highlight w:val="none"/>
        </w:rPr>
        <w:instrText xml:space="preserve"> PAGEREF _Toc31663 \h </w:instrText>
      </w:r>
      <w:r>
        <w:rPr>
          <w:color w:val="auto"/>
          <w:highlight w:val="none"/>
        </w:rPr>
        <w:fldChar w:fldCharType="separate"/>
      </w:r>
      <w:r>
        <w:rPr>
          <w:color w:val="auto"/>
          <w:highlight w:val="none"/>
        </w:rPr>
        <w:t>- 5 -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37795824">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_Toc9856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六、采购项目需落实的政府采购政策</w:t>
      </w:r>
      <w:r>
        <w:rPr>
          <w:color w:val="auto"/>
          <w:highlight w:val="none"/>
        </w:rPr>
        <w:tab/>
      </w:r>
      <w:r>
        <w:rPr>
          <w:color w:val="auto"/>
          <w:highlight w:val="none"/>
        </w:rPr>
        <w:fldChar w:fldCharType="begin"/>
      </w:r>
      <w:r>
        <w:rPr>
          <w:color w:val="auto"/>
          <w:highlight w:val="none"/>
        </w:rPr>
        <w:instrText xml:space="preserve"> PAGEREF _Toc9856 \h </w:instrText>
      </w:r>
      <w:r>
        <w:rPr>
          <w:color w:val="auto"/>
          <w:highlight w:val="none"/>
        </w:rPr>
        <w:fldChar w:fldCharType="separate"/>
      </w:r>
      <w:r>
        <w:rPr>
          <w:color w:val="auto"/>
          <w:highlight w:val="none"/>
        </w:rPr>
        <w:t>- 5 -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1C415A82">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_Toc6387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七、其它有关规定</w:t>
      </w:r>
      <w:r>
        <w:rPr>
          <w:color w:val="auto"/>
          <w:highlight w:val="none"/>
        </w:rPr>
        <w:tab/>
      </w:r>
      <w:r>
        <w:rPr>
          <w:color w:val="auto"/>
          <w:highlight w:val="none"/>
        </w:rPr>
        <w:fldChar w:fldCharType="begin"/>
      </w:r>
      <w:r>
        <w:rPr>
          <w:color w:val="auto"/>
          <w:highlight w:val="none"/>
        </w:rPr>
        <w:instrText xml:space="preserve"> PAGEREF _Toc6387 \h </w:instrText>
      </w:r>
      <w:r>
        <w:rPr>
          <w:color w:val="auto"/>
          <w:highlight w:val="none"/>
        </w:rPr>
        <w:fldChar w:fldCharType="separate"/>
      </w:r>
      <w:r>
        <w:rPr>
          <w:color w:val="auto"/>
          <w:highlight w:val="none"/>
        </w:rPr>
        <w:t>- 5 -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77D117B3">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_Toc10964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八、联系方式</w:t>
      </w:r>
      <w:r>
        <w:rPr>
          <w:color w:val="auto"/>
          <w:highlight w:val="none"/>
        </w:rPr>
        <w:tab/>
      </w:r>
      <w:r>
        <w:rPr>
          <w:color w:val="auto"/>
          <w:highlight w:val="none"/>
        </w:rPr>
        <w:fldChar w:fldCharType="begin"/>
      </w:r>
      <w:r>
        <w:rPr>
          <w:color w:val="auto"/>
          <w:highlight w:val="none"/>
        </w:rPr>
        <w:instrText xml:space="preserve"> PAGEREF _Toc10964 \h </w:instrText>
      </w:r>
      <w:r>
        <w:rPr>
          <w:color w:val="auto"/>
          <w:highlight w:val="none"/>
        </w:rPr>
        <w:fldChar w:fldCharType="separate"/>
      </w:r>
      <w:r>
        <w:rPr>
          <w:color w:val="auto"/>
          <w:highlight w:val="none"/>
        </w:rPr>
        <w:t>- 6 -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3987727F">
      <w:pPr>
        <w:pStyle w:val="18"/>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_Toc13238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eastAsia"/>
          <w:color w:val="auto"/>
          <w:highlight w:val="none"/>
          <w:lang w:val="en-US" w:eastAsia="zh-CN"/>
        </w:rPr>
        <w:t>第二篇</w:t>
      </w:r>
      <w:r>
        <w:rPr>
          <w:rFonts w:hint="default"/>
          <w:color w:val="auto"/>
          <w:highlight w:val="none"/>
        </w:rPr>
        <w:t xml:space="preserve"> </w:t>
      </w:r>
      <w:r>
        <w:rPr>
          <w:rFonts w:hint="default"/>
          <w:color w:val="auto"/>
          <w:highlight w:val="none"/>
          <w:lang w:val="en-US" w:eastAsia="zh-CN"/>
        </w:rPr>
        <w:t>项目服务需</w:t>
      </w:r>
      <w:r>
        <w:rPr>
          <w:rFonts w:hint="default"/>
          <w:color w:val="auto"/>
          <w:highlight w:val="none"/>
          <w:lang w:eastAsia="zh-CN"/>
        </w:rPr>
        <w:t>求</w:t>
      </w:r>
      <w:r>
        <w:rPr>
          <w:color w:val="auto"/>
          <w:highlight w:val="none"/>
        </w:rPr>
        <w:tab/>
      </w:r>
      <w:r>
        <w:rPr>
          <w:color w:val="auto"/>
          <w:highlight w:val="none"/>
        </w:rPr>
        <w:fldChar w:fldCharType="begin"/>
      </w:r>
      <w:r>
        <w:rPr>
          <w:color w:val="auto"/>
          <w:highlight w:val="none"/>
        </w:rPr>
        <w:instrText xml:space="preserve"> PAGEREF _Toc13238 \h </w:instrText>
      </w:r>
      <w:r>
        <w:rPr>
          <w:color w:val="auto"/>
          <w:highlight w:val="none"/>
        </w:rPr>
        <w:fldChar w:fldCharType="separate"/>
      </w:r>
      <w:r>
        <w:rPr>
          <w:color w:val="auto"/>
          <w:highlight w:val="none"/>
        </w:rPr>
        <w:t>- 7 -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90CF3FA">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_Toc12016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一、项目基本概况介绍</w:t>
      </w:r>
      <w:r>
        <w:rPr>
          <w:color w:val="auto"/>
          <w:highlight w:val="none"/>
        </w:rPr>
        <w:tab/>
      </w:r>
      <w:r>
        <w:rPr>
          <w:color w:val="auto"/>
          <w:highlight w:val="none"/>
        </w:rPr>
        <w:fldChar w:fldCharType="begin"/>
      </w:r>
      <w:r>
        <w:rPr>
          <w:color w:val="auto"/>
          <w:highlight w:val="none"/>
        </w:rPr>
        <w:instrText xml:space="preserve"> PAGEREF _Toc12016 \h </w:instrText>
      </w:r>
      <w:r>
        <w:rPr>
          <w:color w:val="auto"/>
          <w:highlight w:val="none"/>
        </w:rPr>
        <w:fldChar w:fldCharType="separate"/>
      </w:r>
      <w:r>
        <w:rPr>
          <w:color w:val="auto"/>
          <w:highlight w:val="none"/>
        </w:rPr>
        <w:t>- 7 -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BD25CDA">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_Toc18260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eastAsia" w:ascii="Times New Roman" w:hAnsi="Times New Roman" w:eastAsia="宋体" w:cs="Times New Roman"/>
          <w:color w:val="auto"/>
          <w:szCs w:val="24"/>
          <w:highlight w:val="none"/>
          <w:lang w:val="en-US" w:eastAsia="zh-CN"/>
        </w:rPr>
        <w:t>二、项目服务要求</w:t>
      </w:r>
      <w:r>
        <w:rPr>
          <w:color w:val="auto"/>
          <w:highlight w:val="none"/>
        </w:rPr>
        <w:tab/>
      </w:r>
      <w:r>
        <w:rPr>
          <w:color w:val="auto"/>
          <w:highlight w:val="none"/>
        </w:rPr>
        <w:fldChar w:fldCharType="begin"/>
      </w:r>
      <w:r>
        <w:rPr>
          <w:color w:val="auto"/>
          <w:highlight w:val="none"/>
        </w:rPr>
        <w:instrText xml:space="preserve"> PAGEREF _Toc18260 \h </w:instrText>
      </w:r>
      <w:r>
        <w:rPr>
          <w:color w:val="auto"/>
          <w:highlight w:val="none"/>
        </w:rPr>
        <w:fldChar w:fldCharType="separate"/>
      </w:r>
      <w:r>
        <w:rPr>
          <w:color w:val="auto"/>
          <w:highlight w:val="none"/>
        </w:rPr>
        <w:t>- 7 -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1CC255C4">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_Toc15584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eastAsia" w:ascii="Times New Roman" w:hAnsi="Times New Roman" w:eastAsia="宋体" w:cs="Times New Roman"/>
          <w:color w:val="auto"/>
          <w:szCs w:val="24"/>
          <w:highlight w:val="none"/>
          <w:lang w:val="en-US" w:eastAsia="zh-CN"/>
        </w:rPr>
        <w:t>三、项目服务内容</w:t>
      </w:r>
      <w:r>
        <w:rPr>
          <w:color w:val="auto"/>
          <w:highlight w:val="none"/>
        </w:rPr>
        <w:tab/>
      </w:r>
      <w:r>
        <w:rPr>
          <w:color w:val="auto"/>
          <w:highlight w:val="none"/>
        </w:rPr>
        <w:fldChar w:fldCharType="begin"/>
      </w:r>
      <w:r>
        <w:rPr>
          <w:color w:val="auto"/>
          <w:highlight w:val="none"/>
        </w:rPr>
        <w:instrText xml:space="preserve"> PAGEREF _Toc15584 \h </w:instrText>
      </w:r>
      <w:r>
        <w:rPr>
          <w:color w:val="auto"/>
          <w:highlight w:val="none"/>
        </w:rPr>
        <w:fldChar w:fldCharType="separate"/>
      </w:r>
      <w:r>
        <w:rPr>
          <w:color w:val="auto"/>
          <w:highlight w:val="none"/>
        </w:rPr>
        <w:t>- 7 -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622B3BFB">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_Toc18756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eastAsia" w:ascii="Times New Roman" w:hAnsi="Times New Roman" w:eastAsia="宋体" w:cs="Times New Roman"/>
          <w:color w:val="auto"/>
          <w:szCs w:val="24"/>
          <w:highlight w:val="none"/>
          <w:lang w:val="en-US" w:eastAsia="zh-CN"/>
        </w:rPr>
        <w:t>四、质量控制</w:t>
      </w:r>
      <w:r>
        <w:rPr>
          <w:color w:val="auto"/>
          <w:highlight w:val="none"/>
        </w:rPr>
        <w:tab/>
      </w:r>
      <w:r>
        <w:rPr>
          <w:color w:val="auto"/>
          <w:highlight w:val="none"/>
        </w:rPr>
        <w:fldChar w:fldCharType="begin"/>
      </w:r>
      <w:r>
        <w:rPr>
          <w:color w:val="auto"/>
          <w:highlight w:val="none"/>
        </w:rPr>
        <w:instrText xml:space="preserve"> PAGEREF _Toc18756 \h </w:instrText>
      </w:r>
      <w:r>
        <w:rPr>
          <w:color w:val="auto"/>
          <w:highlight w:val="none"/>
        </w:rPr>
        <w:fldChar w:fldCharType="separate"/>
      </w:r>
      <w:r>
        <w:rPr>
          <w:color w:val="auto"/>
          <w:highlight w:val="none"/>
        </w:rPr>
        <w:t>- 10 -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3C4F7B3">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_Toc8565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eastAsia" w:ascii="Times New Roman" w:hAnsi="Times New Roman" w:eastAsia="宋体" w:cs="Times New Roman"/>
          <w:color w:val="auto"/>
          <w:szCs w:val="24"/>
          <w:highlight w:val="none"/>
          <w:lang w:val="en-US" w:eastAsia="zh-CN"/>
        </w:rPr>
        <w:t>五、考评标准</w:t>
      </w:r>
      <w:r>
        <w:rPr>
          <w:color w:val="auto"/>
          <w:highlight w:val="none"/>
        </w:rPr>
        <w:tab/>
      </w:r>
      <w:r>
        <w:rPr>
          <w:color w:val="auto"/>
          <w:highlight w:val="none"/>
        </w:rPr>
        <w:fldChar w:fldCharType="begin"/>
      </w:r>
      <w:r>
        <w:rPr>
          <w:color w:val="auto"/>
          <w:highlight w:val="none"/>
        </w:rPr>
        <w:instrText xml:space="preserve"> PAGEREF _Toc8565 \h </w:instrText>
      </w:r>
      <w:r>
        <w:rPr>
          <w:color w:val="auto"/>
          <w:highlight w:val="none"/>
        </w:rPr>
        <w:fldChar w:fldCharType="separate"/>
      </w:r>
      <w:r>
        <w:rPr>
          <w:color w:val="auto"/>
          <w:highlight w:val="none"/>
        </w:rPr>
        <w:t>- 10 -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1EB4FDEB">
      <w:pPr>
        <w:pStyle w:val="18"/>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_Toc4987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eastAsia"/>
          <w:color w:val="auto"/>
          <w:highlight w:val="none"/>
          <w:lang w:val="en-US" w:eastAsia="zh-CN"/>
        </w:rPr>
        <w:t>第三篇</w:t>
      </w:r>
      <w:r>
        <w:rPr>
          <w:rFonts w:hint="default"/>
          <w:color w:val="auto"/>
          <w:highlight w:val="none"/>
          <w:lang w:val="en-US" w:eastAsia="zh-CN"/>
        </w:rPr>
        <w:t xml:space="preserve"> 项目商务需求</w:t>
      </w:r>
      <w:r>
        <w:rPr>
          <w:color w:val="auto"/>
          <w:highlight w:val="none"/>
        </w:rPr>
        <w:tab/>
      </w:r>
      <w:r>
        <w:rPr>
          <w:color w:val="auto"/>
          <w:highlight w:val="none"/>
        </w:rPr>
        <w:fldChar w:fldCharType="begin"/>
      </w:r>
      <w:r>
        <w:rPr>
          <w:color w:val="auto"/>
          <w:highlight w:val="none"/>
        </w:rPr>
        <w:instrText xml:space="preserve"> PAGEREF _Toc4987 \h </w:instrText>
      </w:r>
      <w:r>
        <w:rPr>
          <w:color w:val="auto"/>
          <w:highlight w:val="none"/>
        </w:rPr>
        <w:fldChar w:fldCharType="separate"/>
      </w:r>
      <w:r>
        <w:rPr>
          <w:color w:val="auto"/>
          <w:highlight w:val="none"/>
        </w:rPr>
        <w:t>- 12 -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20471D9C">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_Toc13708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一、服务期、地点及验收方式</w:t>
      </w:r>
      <w:r>
        <w:rPr>
          <w:color w:val="auto"/>
          <w:highlight w:val="none"/>
        </w:rPr>
        <w:tab/>
      </w:r>
      <w:r>
        <w:rPr>
          <w:color w:val="auto"/>
          <w:highlight w:val="none"/>
        </w:rPr>
        <w:fldChar w:fldCharType="begin"/>
      </w:r>
      <w:r>
        <w:rPr>
          <w:color w:val="auto"/>
          <w:highlight w:val="none"/>
        </w:rPr>
        <w:instrText xml:space="preserve"> PAGEREF _Toc13708 \h </w:instrText>
      </w:r>
      <w:r>
        <w:rPr>
          <w:color w:val="auto"/>
          <w:highlight w:val="none"/>
        </w:rPr>
        <w:fldChar w:fldCharType="separate"/>
      </w:r>
      <w:r>
        <w:rPr>
          <w:color w:val="auto"/>
          <w:highlight w:val="none"/>
        </w:rPr>
        <w:t>- 12 -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B5F4DE0">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_Toc28443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二、报价要求</w:t>
      </w:r>
      <w:r>
        <w:rPr>
          <w:color w:val="auto"/>
          <w:highlight w:val="none"/>
        </w:rPr>
        <w:tab/>
      </w:r>
      <w:r>
        <w:rPr>
          <w:color w:val="auto"/>
          <w:highlight w:val="none"/>
        </w:rPr>
        <w:fldChar w:fldCharType="begin"/>
      </w:r>
      <w:r>
        <w:rPr>
          <w:color w:val="auto"/>
          <w:highlight w:val="none"/>
        </w:rPr>
        <w:instrText xml:space="preserve"> PAGEREF _Toc28443 \h </w:instrText>
      </w:r>
      <w:r>
        <w:rPr>
          <w:color w:val="auto"/>
          <w:highlight w:val="none"/>
        </w:rPr>
        <w:fldChar w:fldCharType="separate"/>
      </w:r>
      <w:r>
        <w:rPr>
          <w:color w:val="auto"/>
          <w:highlight w:val="none"/>
        </w:rPr>
        <w:t>- 12 -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2A6CE9E3">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_Toc2710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eastAsia" w:ascii="Times New Roman" w:hAnsi="Times New Roman" w:eastAsia="宋体" w:cs="Times New Roman"/>
          <w:color w:val="auto"/>
          <w:szCs w:val="24"/>
          <w:highlight w:val="none"/>
          <w:lang w:val="en-US" w:eastAsia="zh-CN"/>
        </w:rPr>
        <w:t>三、付款方式</w:t>
      </w:r>
      <w:r>
        <w:rPr>
          <w:color w:val="auto"/>
          <w:highlight w:val="none"/>
        </w:rPr>
        <w:tab/>
      </w:r>
      <w:r>
        <w:rPr>
          <w:color w:val="auto"/>
          <w:highlight w:val="none"/>
        </w:rPr>
        <w:fldChar w:fldCharType="begin"/>
      </w:r>
      <w:r>
        <w:rPr>
          <w:color w:val="auto"/>
          <w:highlight w:val="none"/>
        </w:rPr>
        <w:instrText xml:space="preserve"> PAGEREF _Toc2710 \h </w:instrText>
      </w:r>
      <w:r>
        <w:rPr>
          <w:color w:val="auto"/>
          <w:highlight w:val="none"/>
        </w:rPr>
        <w:fldChar w:fldCharType="separate"/>
      </w:r>
      <w:r>
        <w:rPr>
          <w:color w:val="auto"/>
          <w:highlight w:val="none"/>
        </w:rPr>
        <w:t>- 12 -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33426BE4">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_Toc10593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eastAsia" w:ascii="Times New Roman" w:hAnsi="Times New Roman" w:eastAsia="宋体" w:cs="Times New Roman"/>
          <w:color w:val="auto"/>
          <w:szCs w:val="24"/>
          <w:highlight w:val="none"/>
          <w:lang w:val="en-US" w:eastAsia="zh-CN"/>
        </w:rPr>
        <w:t>四、知识产权</w:t>
      </w:r>
      <w:r>
        <w:rPr>
          <w:color w:val="auto"/>
          <w:highlight w:val="none"/>
        </w:rPr>
        <w:tab/>
      </w:r>
      <w:r>
        <w:rPr>
          <w:color w:val="auto"/>
          <w:highlight w:val="none"/>
        </w:rPr>
        <w:fldChar w:fldCharType="begin"/>
      </w:r>
      <w:r>
        <w:rPr>
          <w:color w:val="auto"/>
          <w:highlight w:val="none"/>
        </w:rPr>
        <w:instrText xml:space="preserve"> PAGEREF _Toc10593 \h </w:instrText>
      </w:r>
      <w:r>
        <w:rPr>
          <w:color w:val="auto"/>
          <w:highlight w:val="none"/>
        </w:rPr>
        <w:fldChar w:fldCharType="separate"/>
      </w:r>
      <w:r>
        <w:rPr>
          <w:color w:val="auto"/>
          <w:highlight w:val="none"/>
        </w:rPr>
        <w:t>- 12 -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573585F9">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_Toc23611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eastAsia" w:ascii="Times New Roman" w:hAnsi="Times New Roman" w:eastAsia="宋体" w:cs="Times New Roman"/>
          <w:color w:val="auto"/>
          <w:szCs w:val="24"/>
          <w:highlight w:val="none"/>
          <w:lang w:val="en-US" w:eastAsia="zh-CN"/>
        </w:rPr>
        <w:t>五、其他商务要求</w:t>
      </w:r>
      <w:r>
        <w:rPr>
          <w:color w:val="auto"/>
          <w:highlight w:val="none"/>
        </w:rPr>
        <w:tab/>
      </w:r>
      <w:r>
        <w:rPr>
          <w:color w:val="auto"/>
          <w:highlight w:val="none"/>
        </w:rPr>
        <w:fldChar w:fldCharType="begin"/>
      </w:r>
      <w:r>
        <w:rPr>
          <w:color w:val="auto"/>
          <w:highlight w:val="none"/>
        </w:rPr>
        <w:instrText xml:space="preserve"> PAGEREF _Toc23611 \h </w:instrText>
      </w:r>
      <w:r>
        <w:rPr>
          <w:color w:val="auto"/>
          <w:highlight w:val="none"/>
        </w:rPr>
        <w:fldChar w:fldCharType="separate"/>
      </w:r>
      <w:r>
        <w:rPr>
          <w:color w:val="auto"/>
          <w:highlight w:val="none"/>
        </w:rPr>
        <w:t>- 12 -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8376992">
      <w:pPr>
        <w:pStyle w:val="18"/>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_Toc11563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color w:val="auto"/>
          <w:highlight w:val="none"/>
          <w:lang w:val="en-US" w:eastAsia="zh-CN"/>
        </w:rPr>
        <w:t>第四篇  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_Toc11563 \h </w:instrText>
      </w:r>
      <w:r>
        <w:rPr>
          <w:color w:val="auto"/>
          <w:highlight w:val="none"/>
        </w:rPr>
        <w:fldChar w:fldCharType="separate"/>
      </w:r>
      <w:r>
        <w:rPr>
          <w:color w:val="auto"/>
          <w:highlight w:val="none"/>
        </w:rPr>
        <w:t>- 13 -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C17DC10">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_Toc30806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一、磋商程序及方法</w:t>
      </w:r>
      <w:r>
        <w:rPr>
          <w:color w:val="auto"/>
          <w:highlight w:val="none"/>
        </w:rPr>
        <w:tab/>
      </w:r>
      <w:r>
        <w:rPr>
          <w:color w:val="auto"/>
          <w:highlight w:val="none"/>
        </w:rPr>
        <w:fldChar w:fldCharType="begin"/>
      </w:r>
      <w:r>
        <w:rPr>
          <w:color w:val="auto"/>
          <w:highlight w:val="none"/>
        </w:rPr>
        <w:instrText xml:space="preserve"> PAGEREF _Toc30806 \h </w:instrText>
      </w:r>
      <w:r>
        <w:rPr>
          <w:color w:val="auto"/>
          <w:highlight w:val="none"/>
        </w:rPr>
        <w:fldChar w:fldCharType="separate"/>
      </w:r>
      <w:r>
        <w:rPr>
          <w:color w:val="auto"/>
          <w:highlight w:val="none"/>
        </w:rPr>
        <w:t>- 13 -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501D069">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_Toc11665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二、评审标准</w:t>
      </w:r>
      <w:r>
        <w:rPr>
          <w:color w:val="auto"/>
          <w:highlight w:val="none"/>
        </w:rPr>
        <w:tab/>
      </w:r>
      <w:r>
        <w:rPr>
          <w:color w:val="auto"/>
          <w:highlight w:val="none"/>
        </w:rPr>
        <w:fldChar w:fldCharType="begin"/>
      </w:r>
      <w:r>
        <w:rPr>
          <w:color w:val="auto"/>
          <w:highlight w:val="none"/>
        </w:rPr>
        <w:instrText xml:space="preserve"> PAGEREF _Toc11665 \h </w:instrText>
      </w:r>
      <w:r>
        <w:rPr>
          <w:color w:val="auto"/>
          <w:highlight w:val="none"/>
        </w:rPr>
        <w:fldChar w:fldCharType="separate"/>
      </w:r>
      <w:r>
        <w:rPr>
          <w:color w:val="auto"/>
          <w:highlight w:val="none"/>
        </w:rPr>
        <w:t>- 15 -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55AA52BD">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_Toc6048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三、无效响应</w:t>
      </w:r>
      <w:r>
        <w:rPr>
          <w:color w:val="auto"/>
          <w:highlight w:val="none"/>
        </w:rPr>
        <w:tab/>
      </w:r>
      <w:r>
        <w:rPr>
          <w:color w:val="auto"/>
          <w:highlight w:val="none"/>
        </w:rPr>
        <w:fldChar w:fldCharType="begin"/>
      </w:r>
      <w:r>
        <w:rPr>
          <w:color w:val="auto"/>
          <w:highlight w:val="none"/>
        </w:rPr>
        <w:instrText xml:space="preserve"> PAGEREF _Toc6048 \h </w:instrText>
      </w:r>
      <w:r>
        <w:rPr>
          <w:color w:val="auto"/>
          <w:highlight w:val="none"/>
        </w:rPr>
        <w:fldChar w:fldCharType="separate"/>
      </w:r>
      <w:r>
        <w:rPr>
          <w:color w:val="auto"/>
          <w:highlight w:val="none"/>
        </w:rPr>
        <w:t>- 17 -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5B290BDB">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_Toc4707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四、采购终止</w:t>
      </w:r>
      <w:r>
        <w:rPr>
          <w:color w:val="auto"/>
          <w:highlight w:val="none"/>
        </w:rPr>
        <w:tab/>
      </w:r>
      <w:r>
        <w:rPr>
          <w:color w:val="auto"/>
          <w:highlight w:val="none"/>
        </w:rPr>
        <w:fldChar w:fldCharType="begin"/>
      </w:r>
      <w:r>
        <w:rPr>
          <w:color w:val="auto"/>
          <w:highlight w:val="none"/>
        </w:rPr>
        <w:instrText xml:space="preserve"> PAGEREF _Toc4707 \h </w:instrText>
      </w:r>
      <w:r>
        <w:rPr>
          <w:color w:val="auto"/>
          <w:highlight w:val="none"/>
        </w:rPr>
        <w:fldChar w:fldCharType="separate"/>
      </w:r>
      <w:r>
        <w:rPr>
          <w:color w:val="auto"/>
          <w:highlight w:val="none"/>
        </w:rPr>
        <w:t>- 18 -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7CCAB06A">
      <w:pPr>
        <w:pStyle w:val="18"/>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_Toc13494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color w:val="auto"/>
          <w:highlight w:val="none"/>
          <w:lang w:val="en-US" w:eastAsia="zh-CN"/>
        </w:rPr>
        <w:t>第五篇  供应商须知</w:t>
      </w:r>
      <w:r>
        <w:rPr>
          <w:color w:val="auto"/>
          <w:highlight w:val="none"/>
        </w:rPr>
        <w:tab/>
      </w:r>
      <w:r>
        <w:rPr>
          <w:color w:val="auto"/>
          <w:highlight w:val="none"/>
        </w:rPr>
        <w:fldChar w:fldCharType="begin"/>
      </w:r>
      <w:r>
        <w:rPr>
          <w:color w:val="auto"/>
          <w:highlight w:val="none"/>
        </w:rPr>
        <w:instrText xml:space="preserve"> PAGEREF _Toc13494 \h </w:instrText>
      </w:r>
      <w:r>
        <w:rPr>
          <w:color w:val="auto"/>
          <w:highlight w:val="none"/>
        </w:rPr>
        <w:fldChar w:fldCharType="separate"/>
      </w:r>
      <w:r>
        <w:rPr>
          <w:color w:val="auto"/>
          <w:highlight w:val="none"/>
        </w:rPr>
        <w:t>- 19 -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517AC939">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_Toc7572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一、磋商费用</w:t>
      </w:r>
      <w:r>
        <w:rPr>
          <w:color w:val="auto"/>
          <w:highlight w:val="none"/>
        </w:rPr>
        <w:tab/>
      </w:r>
      <w:r>
        <w:rPr>
          <w:color w:val="auto"/>
          <w:highlight w:val="none"/>
        </w:rPr>
        <w:fldChar w:fldCharType="begin"/>
      </w:r>
      <w:r>
        <w:rPr>
          <w:color w:val="auto"/>
          <w:highlight w:val="none"/>
        </w:rPr>
        <w:instrText xml:space="preserve"> PAGEREF _Toc7572 \h </w:instrText>
      </w:r>
      <w:r>
        <w:rPr>
          <w:color w:val="auto"/>
          <w:highlight w:val="none"/>
        </w:rPr>
        <w:fldChar w:fldCharType="separate"/>
      </w:r>
      <w:r>
        <w:rPr>
          <w:color w:val="auto"/>
          <w:highlight w:val="none"/>
        </w:rPr>
        <w:t>- 19 -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5F9D4E01">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_Toc7274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二、竞争性磋商文件</w:t>
      </w:r>
      <w:r>
        <w:rPr>
          <w:color w:val="auto"/>
          <w:highlight w:val="none"/>
        </w:rPr>
        <w:tab/>
      </w:r>
      <w:r>
        <w:rPr>
          <w:color w:val="auto"/>
          <w:highlight w:val="none"/>
        </w:rPr>
        <w:fldChar w:fldCharType="begin"/>
      </w:r>
      <w:r>
        <w:rPr>
          <w:color w:val="auto"/>
          <w:highlight w:val="none"/>
        </w:rPr>
        <w:instrText xml:space="preserve"> PAGEREF _Toc7274 \h </w:instrText>
      </w:r>
      <w:r>
        <w:rPr>
          <w:color w:val="auto"/>
          <w:highlight w:val="none"/>
        </w:rPr>
        <w:fldChar w:fldCharType="separate"/>
      </w:r>
      <w:r>
        <w:rPr>
          <w:color w:val="auto"/>
          <w:highlight w:val="none"/>
        </w:rPr>
        <w:t>- 19 -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3CD7C6A">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_Toc14536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三、磋商要求</w:t>
      </w:r>
      <w:r>
        <w:rPr>
          <w:color w:val="auto"/>
          <w:highlight w:val="none"/>
        </w:rPr>
        <w:tab/>
      </w:r>
      <w:r>
        <w:rPr>
          <w:color w:val="auto"/>
          <w:highlight w:val="none"/>
        </w:rPr>
        <w:fldChar w:fldCharType="begin"/>
      </w:r>
      <w:r>
        <w:rPr>
          <w:color w:val="auto"/>
          <w:highlight w:val="none"/>
        </w:rPr>
        <w:instrText xml:space="preserve"> PAGEREF _Toc14536 \h </w:instrText>
      </w:r>
      <w:r>
        <w:rPr>
          <w:color w:val="auto"/>
          <w:highlight w:val="none"/>
        </w:rPr>
        <w:fldChar w:fldCharType="separate"/>
      </w:r>
      <w:r>
        <w:rPr>
          <w:color w:val="auto"/>
          <w:highlight w:val="none"/>
        </w:rPr>
        <w:t>- 19 -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6A96A2B9">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_Toc2428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四、成交供应商的确认和变更</w:t>
      </w:r>
      <w:r>
        <w:rPr>
          <w:color w:val="auto"/>
          <w:highlight w:val="none"/>
        </w:rPr>
        <w:tab/>
      </w:r>
      <w:r>
        <w:rPr>
          <w:color w:val="auto"/>
          <w:highlight w:val="none"/>
        </w:rPr>
        <w:fldChar w:fldCharType="begin"/>
      </w:r>
      <w:r>
        <w:rPr>
          <w:color w:val="auto"/>
          <w:highlight w:val="none"/>
        </w:rPr>
        <w:instrText xml:space="preserve"> PAGEREF _Toc2428 \h </w:instrText>
      </w:r>
      <w:r>
        <w:rPr>
          <w:color w:val="auto"/>
          <w:highlight w:val="none"/>
        </w:rPr>
        <w:fldChar w:fldCharType="separate"/>
      </w:r>
      <w:r>
        <w:rPr>
          <w:color w:val="auto"/>
          <w:highlight w:val="none"/>
        </w:rPr>
        <w:t>- 21 -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2542B3E9">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_Toc5292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五、缴费</w:t>
      </w:r>
      <w:r>
        <w:rPr>
          <w:color w:val="auto"/>
          <w:highlight w:val="none"/>
        </w:rPr>
        <w:tab/>
      </w:r>
      <w:r>
        <w:rPr>
          <w:color w:val="auto"/>
          <w:highlight w:val="none"/>
        </w:rPr>
        <w:fldChar w:fldCharType="begin"/>
      </w:r>
      <w:r>
        <w:rPr>
          <w:color w:val="auto"/>
          <w:highlight w:val="none"/>
        </w:rPr>
        <w:instrText xml:space="preserve"> PAGEREF _Toc5292 \h </w:instrText>
      </w:r>
      <w:r>
        <w:rPr>
          <w:color w:val="auto"/>
          <w:highlight w:val="none"/>
        </w:rPr>
        <w:fldChar w:fldCharType="separate"/>
      </w:r>
      <w:r>
        <w:rPr>
          <w:color w:val="auto"/>
          <w:highlight w:val="none"/>
        </w:rPr>
        <w:t>- 22 -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7AB710E8">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_Toc28455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六、成交通知</w:t>
      </w:r>
      <w:r>
        <w:rPr>
          <w:color w:val="auto"/>
          <w:highlight w:val="none"/>
        </w:rPr>
        <w:tab/>
      </w:r>
      <w:r>
        <w:rPr>
          <w:color w:val="auto"/>
          <w:highlight w:val="none"/>
        </w:rPr>
        <w:fldChar w:fldCharType="begin"/>
      </w:r>
      <w:r>
        <w:rPr>
          <w:color w:val="auto"/>
          <w:highlight w:val="none"/>
        </w:rPr>
        <w:instrText xml:space="preserve"> PAGEREF _Toc28455 \h </w:instrText>
      </w:r>
      <w:r>
        <w:rPr>
          <w:color w:val="auto"/>
          <w:highlight w:val="none"/>
        </w:rPr>
        <w:fldChar w:fldCharType="separate"/>
      </w:r>
      <w:r>
        <w:rPr>
          <w:color w:val="auto"/>
          <w:highlight w:val="none"/>
        </w:rPr>
        <w:t>- 22 -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4E29E5AC">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_Toc20420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七、关于质疑和投诉</w:t>
      </w:r>
      <w:r>
        <w:rPr>
          <w:color w:val="auto"/>
          <w:highlight w:val="none"/>
        </w:rPr>
        <w:tab/>
      </w:r>
      <w:r>
        <w:rPr>
          <w:color w:val="auto"/>
          <w:highlight w:val="none"/>
        </w:rPr>
        <w:fldChar w:fldCharType="begin"/>
      </w:r>
      <w:r>
        <w:rPr>
          <w:color w:val="auto"/>
          <w:highlight w:val="none"/>
        </w:rPr>
        <w:instrText xml:space="preserve"> PAGEREF _Toc20420 \h </w:instrText>
      </w:r>
      <w:r>
        <w:rPr>
          <w:color w:val="auto"/>
          <w:highlight w:val="none"/>
        </w:rPr>
        <w:fldChar w:fldCharType="separate"/>
      </w:r>
      <w:r>
        <w:rPr>
          <w:color w:val="auto"/>
          <w:highlight w:val="none"/>
        </w:rPr>
        <w:t>- 22 -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3916877C">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_Toc28979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八、签订合同</w:t>
      </w:r>
      <w:r>
        <w:rPr>
          <w:color w:val="auto"/>
          <w:highlight w:val="none"/>
        </w:rPr>
        <w:tab/>
      </w:r>
      <w:r>
        <w:rPr>
          <w:color w:val="auto"/>
          <w:highlight w:val="none"/>
        </w:rPr>
        <w:fldChar w:fldCharType="begin"/>
      </w:r>
      <w:r>
        <w:rPr>
          <w:color w:val="auto"/>
          <w:highlight w:val="none"/>
        </w:rPr>
        <w:instrText xml:space="preserve"> PAGEREF _Toc28979 \h </w:instrText>
      </w:r>
      <w:r>
        <w:rPr>
          <w:color w:val="auto"/>
          <w:highlight w:val="none"/>
        </w:rPr>
        <w:fldChar w:fldCharType="separate"/>
      </w:r>
      <w:r>
        <w:rPr>
          <w:color w:val="auto"/>
          <w:highlight w:val="none"/>
        </w:rPr>
        <w:t>- 22 -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10818C21">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_Toc18629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eastAsia" w:ascii="Times New Roman" w:hAnsi="Times New Roman" w:eastAsia="宋体" w:cs="Times New Roman"/>
          <w:color w:val="auto"/>
          <w:szCs w:val="24"/>
          <w:highlight w:val="none"/>
          <w:lang w:val="en-US" w:eastAsia="zh-CN"/>
        </w:rPr>
        <w:t>九、项目验收</w:t>
      </w:r>
      <w:r>
        <w:rPr>
          <w:color w:val="auto"/>
          <w:highlight w:val="none"/>
        </w:rPr>
        <w:tab/>
      </w:r>
      <w:r>
        <w:rPr>
          <w:color w:val="auto"/>
          <w:highlight w:val="none"/>
        </w:rPr>
        <w:fldChar w:fldCharType="begin"/>
      </w:r>
      <w:r>
        <w:rPr>
          <w:color w:val="auto"/>
          <w:highlight w:val="none"/>
        </w:rPr>
        <w:instrText xml:space="preserve"> PAGEREF _Toc18629 \h </w:instrText>
      </w:r>
      <w:r>
        <w:rPr>
          <w:color w:val="auto"/>
          <w:highlight w:val="none"/>
        </w:rPr>
        <w:fldChar w:fldCharType="separate"/>
      </w:r>
      <w:r>
        <w:rPr>
          <w:color w:val="auto"/>
          <w:highlight w:val="none"/>
        </w:rPr>
        <w:t>- 23 -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8713BFF">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_Toc15714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eastAsia" w:ascii="Times New Roman" w:hAnsi="Times New Roman" w:eastAsia="宋体" w:cs="Times New Roman"/>
          <w:color w:val="auto"/>
          <w:szCs w:val="24"/>
          <w:highlight w:val="none"/>
          <w:lang w:val="en-US" w:eastAsia="zh-CN"/>
        </w:rPr>
        <w:t>十、政府采购信用融资</w:t>
      </w:r>
      <w:r>
        <w:rPr>
          <w:color w:val="auto"/>
          <w:highlight w:val="none"/>
        </w:rPr>
        <w:tab/>
      </w:r>
      <w:r>
        <w:rPr>
          <w:color w:val="auto"/>
          <w:highlight w:val="none"/>
        </w:rPr>
        <w:fldChar w:fldCharType="begin"/>
      </w:r>
      <w:r>
        <w:rPr>
          <w:color w:val="auto"/>
          <w:highlight w:val="none"/>
        </w:rPr>
        <w:instrText xml:space="preserve"> PAGEREF _Toc15714 \h </w:instrText>
      </w:r>
      <w:r>
        <w:rPr>
          <w:color w:val="auto"/>
          <w:highlight w:val="none"/>
        </w:rPr>
        <w:fldChar w:fldCharType="separate"/>
      </w:r>
      <w:r>
        <w:rPr>
          <w:color w:val="auto"/>
          <w:highlight w:val="none"/>
        </w:rPr>
        <w:t>- 23 -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31162BCB">
      <w:pPr>
        <w:pStyle w:val="18"/>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_Toc8384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eastAsia"/>
          <w:color w:val="auto"/>
          <w:highlight w:val="none"/>
          <w:lang w:val="en-US" w:eastAsia="zh-CN"/>
        </w:rPr>
        <w:t xml:space="preserve">第六篇 </w:t>
      </w:r>
      <w:r>
        <w:rPr>
          <w:rFonts w:hint="default"/>
          <w:color w:val="auto"/>
          <w:highlight w:val="none"/>
          <w:lang w:val="en-US" w:eastAsia="zh-CN"/>
        </w:rPr>
        <w:t>政府采购合同</w:t>
      </w:r>
      <w:r>
        <w:rPr>
          <w:color w:val="auto"/>
          <w:highlight w:val="none"/>
        </w:rPr>
        <w:tab/>
      </w:r>
      <w:r>
        <w:rPr>
          <w:color w:val="auto"/>
          <w:highlight w:val="none"/>
        </w:rPr>
        <w:fldChar w:fldCharType="begin"/>
      </w:r>
      <w:r>
        <w:rPr>
          <w:color w:val="auto"/>
          <w:highlight w:val="none"/>
        </w:rPr>
        <w:instrText xml:space="preserve"> PAGEREF _Toc8384 \h </w:instrText>
      </w:r>
      <w:r>
        <w:rPr>
          <w:color w:val="auto"/>
          <w:highlight w:val="none"/>
        </w:rPr>
        <w:fldChar w:fldCharType="separate"/>
      </w:r>
      <w:r>
        <w:rPr>
          <w:color w:val="auto"/>
          <w:highlight w:val="none"/>
        </w:rPr>
        <w:t>- 24 -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14B26F6D">
      <w:pPr>
        <w:pStyle w:val="18"/>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_Toc22899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eastAsia"/>
          <w:color w:val="auto"/>
          <w:highlight w:val="none"/>
          <w:lang w:val="en-US" w:eastAsia="zh-CN"/>
        </w:rPr>
        <w:t>第七篇</w:t>
      </w:r>
      <w:r>
        <w:rPr>
          <w:rFonts w:hint="default"/>
          <w:color w:val="auto"/>
          <w:highlight w:val="none"/>
          <w:lang w:val="en-US" w:eastAsia="zh-CN"/>
        </w:rPr>
        <w:t xml:space="preserve"> 响应文件格式</w:t>
      </w:r>
      <w:r>
        <w:rPr>
          <w:color w:val="auto"/>
          <w:highlight w:val="none"/>
        </w:rPr>
        <w:tab/>
      </w:r>
      <w:r>
        <w:rPr>
          <w:color w:val="auto"/>
          <w:highlight w:val="none"/>
        </w:rPr>
        <w:fldChar w:fldCharType="begin"/>
      </w:r>
      <w:r>
        <w:rPr>
          <w:color w:val="auto"/>
          <w:highlight w:val="none"/>
        </w:rPr>
        <w:instrText xml:space="preserve"> PAGEREF _Toc22899 \h </w:instrText>
      </w:r>
      <w:r>
        <w:rPr>
          <w:color w:val="auto"/>
          <w:highlight w:val="none"/>
        </w:rPr>
        <w:fldChar w:fldCharType="separate"/>
      </w:r>
      <w:r>
        <w:rPr>
          <w:color w:val="auto"/>
          <w:highlight w:val="none"/>
        </w:rPr>
        <w:t>- 25 -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4B60F332">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_Toc21416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一、经济部分</w:t>
      </w:r>
      <w:r>
        <w:rPr>
          <w:color w:val="auto"/>
          <w:highlight w:val="none"/>
        </w:rPr>
        <w:tab/>
      </w:r>
      <w:r>
        <w:rPr>
          <w:color w:val="auto"/>
          <w:highlight w:val="none"/>
        </w:rPr>
        <w:fldChar w:fldCharType="begin"/>
      </w:r>
      <w:r>
        <w:rPr>
          <w:color w:val="auto"/>
          <w:highlight w:val="none"/>
        </w:rPr>
        <w:instrText xml:space="preserve"> PAGEREF _Toc21416 \h </w:instrText>
      </w:r>
      <w:r>
        <w:rPr>
          <w:color w:val="auto"/>
          <w:highlight w:val="none"/>
        </w:rPr>
        <w:fldChar w:fldCharType="separate"/>
      </w:r>
      <w:r>
        <w:rPr>
          <w:color w:val="auto"/>
          <w:highlight w:val="none"/>
        </w:rPr>
        <w:t>- 27 -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5A760A3F">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_Toc21007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二、服务部分</w:t>
      </w:r>
      <w:r>
        <w:rPr>
          <w:color w:val="auto"/>
          <w:highlight w:val="none"/>
        </w:rPr>
        <w:tab/>
      </w:r>
      <w:r>
        <w:rPr>
          <w:color w:val="auto"/>
          <w:highlight w:val="none"/>
        </w:rPr>
        <w:fldChar w:fldCharType="begin"/>
      </w:r>
      <w:r>
        <w:rPr>
          <w:color w:val="auto"/>
          <w:highlight w:val="none"/>
        </w:rPr>
        <w:instrText xml:space="preserve"> PAGEREF _Toc21007 \h </w:instrText>
      </w:r>
      <w:r>
        <w:rPr>
          <w:color w:val="auto"/>
          <w:highlight w:val="none"/>
        </w:rPr>
        <w:fldChar w:fldCharType="separate"/>
      </w:r>
      <w:r>
        <w:rPr>
          <w:color w:val="auto"/>
          <w:highlight w:val="none"/>
        </w:rPr>
        <w:t>- 29 -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4D017B72">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_Toc16885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三、商务部分</w:t>
      </w:r>
      <w:r>
        <w:rPr>
          <w:color w:val="auto"/>
          <w:highlight w:val="none"/>
        </w:rPr>
        <w:tab/>
      </w:r>
      <w:r>
        <w:rPr>
          <w:color w:val="auto"/>
          <w:highlight w:val="none"/>
        </w:rPr>
        <w:fldChar w:fldCharType="begin"/>
      </w:r>
      <w:r>
        <w:rPr>
          <w:color w:val="auto"/>
          <w:highlight w:val="none"/>
        </w:rPr>
        <w:instrText xml:space="preserve"> PAGEREF _Toc16885 \h </w:instrText>
      </w:r>
      <w:r>
        <w:rPr>
          <w:color w:val="auto"/>
          <w:highlight w:val="none"/>
        </w:rPr>
        <w:fldChar w:fldCharType="separate"/>
      </w:r>
      <w:r>
        <w:rPr>
          <w:color w:val="auto"/>
          <w:highlight w:val="none"/>
        </w:rPr>
        <w:t>- 31 -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FA0F343">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_Toc23138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四、资格条件及其他</w:t>
      </w:r>
      <w:r>
        <w:rPr>
          <w:color w:val="auto"/>
          <w:highlight w:val="none"/>
        </w:rPr>
        <w:tab/>
      </w:r>
      <w:r>
        <w:rPr>
          <w:color w:val="auto"/>
          <w:highlight w:val="none"/>
        </w:rPr>
        <w:fldChar w:fldCharType="begin"/>
      </w:r>
      <w:r>
        <w:rPr>
          <w:color w:val="auto"/>
          <w:highlight w:val="none"/>
        </w:rPr>
        <w:instrText xml:space="preserve"> PAGEREF _Toc23138 \h </w:instrText>
      </w:r>
      <w:r>
        <w:rPr>
          <w:color w:val="auto"/>
          <w:highlight w:val="none"/>
        </w:rPr>
        <w:fldChar w:fldCharType="separate"/>
      </w:r>
      <w:r>
        <w:rPr>
          <w:color w:val="auto"/>
          <w:highlight w:val="none"/>
        </w:rPr>
        <w:t>- 33 -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4157AF3C">
      <w:pPr>
        <w:pStyle w:val="13"/>
        <w:keepLines w:val="0"/>
        <w:pageBreakBefore w:val="0"/>
        <w:widowControl w:val="0"/>
        <w:tabs>
          <w:tab w:val="right" w:leader="dot" w:pos="9412"/>
        </w:tabs>
        <w:kinsoku/>
        <w:wordWrap/>
        <w:overflowPunct/>
        <w:topLinePunct w:val="0"/>
        <w:autoSpaceDE/>
        <w:autoSpaceDN/>
        <w:bidi w:val="0"/>
        <w:adjustRightInd/>
        <w:spacing w:line="500" w:lineRule="exact"/>
        <w:textAlignment w:val="auto"/>
        <w:rPr>
          <w:color w:val="auto"/>
          <w:highlight w:val="none"/>
        </w:rPr>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color w:val="auto"/>
          <w:kern w:val="2"/>
          <w:szCs w:val="28"/>
          <w:highlight w:val="none"/>
          <w:lang w:val="en-US" w:eastAsia="zh-CN" w:bidi="ar-SA"/>
        </w:rPr>
        <w:instrText xml:space="preserve"> HYPERLINK \l _Toc7282 </w:instrText>
      </w:r>
      <w:r>
        <w:rPr>
          <w:rFonts w:hint="default" w:ascii="Times New Roman" w:hAnsi="Times New Roman" w:eastAsia="宋体" w:cs="Times New Roman"/>
          <w:bCs/>
          <w:color w:val="auto"/>
          <w:kern w:val="2"/>
          <w:szCs w:val="28"/>
          <w:highlight w:val="none"/>
          <w:lang w:val="en-US" w:eastAsia="zh-CN" w:bidi="ar-SA"/>
        </w:rPr>
        <w:fldChar w:fldCharType="separate"/>
      </w:r>
      <w:r>
        <w:rPr>
          <w:rFonts w:hint="default" w:ascii="Times New Roman" w:hAnsi="Times New Roman" w:eastAsia="宋体" w:cs="Times New Roman"/>
          <w:color w:val="auto"/>
          <w:szCs w:val="24"/>
          <w:highlight w:val="none"/>
          <w:lang w:val="en-US" w:eastAsia="zh-CN"/>
        </w:rPr>
        <w:t>五、其他应提供的资料</w:t>
      </w:r>
      <w:r>
        <w:rPr>
          <w:color w:val="auto"/>
          <w:highlight w:val="none"/>
        </w:rPr>
        <w:tab/>
      </w:r>
      <w:r>
        <w:rPr>
          <w:color w:val="auto"/>
          <w:highlight w:val="none"/>
        </w:rPr>
        <w:fldChar w:fldCharType="begin"/>
      </w:r>
      <w:r>
        <w:rPr>
          <w:color w:val="auto"/>
          <w:highlight w:val="none"/>
        </w:rPr>
        <w:instrText xml:space="preserve"> PAGEREF _Toc7282 \h </w:instrText>
      </w:r>
      <w:r>
        <w:rPr>
          <w:color w:val="auto"/>
          <w:highlight w:val="none"/>
        </w:rPr>
        <w:fldChar w:fldCharType="separate"/>
      </w:r>
      <w:r>
        <w:rPr>
          <w:color w:val="auto"/>
          <w:highlight w:val="none"/>
        </w:rPr>
        <w:t>- 38 -</w:t>
      </w:r>
      <w:r>
        <w:rPr>
          <w:color w:val="auto"/>
          <w:highlight w:val="none"/>
        </w:rP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6FDBAABB">
      <w:pPr>
        <w:pStyle w:val="20"/>
        <w:keepNext w:val="0"/>
        <w:keepLines w:val="0"/>
        <w:pageBreakBefore w:val="0"/>
        <w:widowControl w:val="0"/>
        <w:tabs>
          <w:tab w:val="right" w:leader="middleDot" w:pos="7980"/>
          <w:tab w:val="right" w:leader="middleDot" w:pos="8400"/>
          <w:tab w:val="right" w:leader="middleDot" w:pos="9412"/>
        </w:tabs>
        <w:kinsoku/>
        <w:wordWrap/>
        <w:overflowPunct/>
        <w:topLinePunct w:val="0"/>
        <w:autoSpaceDE/>
        <w:autoSpaceDN/>
        <w:bidi w:val="0"/>
        <w:adjustRightInd/>
        <w:snapToGrid/>
        <w:spacing w:line="500" w:lineRule="exact"/>
        <w:ind w:left="560"/>
        <w:jc w:val="center"/>
        <w:textAlignment w:val="auto"/>
        <w:rPr>
          <w:rFonts w:hint="default" w:ascii="Times New Roman" w:hAnsi="Times New Roman" w:eastAsia="宋体" w:cs="Times New Roman"/>
          <w:color w:val="auto"/>
          <w:sz w:val="18"/>
          <w:szCs w:val="22"/>
          <w:highlight w:val="none"/>
        </w:rPr>
        <w:sectPr>
          <w:headerReference r:id="rId3" w:type="default"/>
          <w:pgSz w:w="11907" w:h="16840"/>
          <w:pgMar w:top="1134" w:right="1191" w:bottom="1134" w:left="1304" w:header="851" w:footer="992" w:gutter="0"/>
          <w:pgNumType w:fmt="numberInDash" w:start="1"/>
          <w:cols w:space="720" w:num="1"/>
          <w:docGrid w:linePitch="380" w:charSpace="-5735"/>
        </w:sectPr>
      </w:pPr>
      <w:r>
        <w:rPr>
          <w:rFonts w:hint="default" w:ascii="Times New Roman" w:hAnsi="Times New Roman" w:eastAsia="宋体" w:cs="Times New Roman"/>
          <w:bCs/>
          <w:color w:val="auto"/>
          <w:kern w:val="2"/>
          <w:szCs w:val="28"/>
          <w:highlight w:val="none"/>
          <w:lang w:val="en-US" w:eastAsia="zh-CN" w:bidi="ar-SA"/>
        </w:rPr>
        <w:fldChar w:fldCharType="end"/>
      </w:r>
    </w:p>
    <w:p w14:paraId="403F69B8">
      <w:pPr>
        <w:pStyle w:val="4"/>
        <w:keepLines w:val="0"/>
        <w:pageBreakBefore w:val="0"/>
        <w:widowControl w:val="0"/>
        <w:kinsoku/>
        <w:wordWrap/>
        <w:overflowPunct/>
        <w:topLinePunct w:val="0"/>
        <w:autoSpaceDE/>
        <w:autoSpaceDN/>
        <w:bidi w:val="0"/>
        <w:adjustRightInd/>
        <w:spacing w:line="500" w:lineRule="exact"/>
        <w:textAlignment w:val="auto"/>
        <w:rPr>
          <w:rFonts w:hint="default"/>
          <w:color w:val="auto"/>
          <w:highlight w:val="none"/>
        </w:rPr>
      </w:pPr>
      <w:bookmarkStart w:id="2" w:name="_Toc12789052"/>
      <w:bookmarkStart w:id="3" w:name="_Toc2226"/>
      <w:bookmarkStart w:id="4" w:name="_Toc11641050"/>
      <w:r>
        <w:rPr>
          <w:rFonts w:hint="default"/>
          <w:color w:val="auto"/>
          <w:highlight w:val="none"/>
        </w:rPr>
        <w:t>第一篇  采购邀请书</w:t>
      </w:r>
      <w:bookmarkEnd w:id="2"/>
      <w:bookmarkEnd w:id="3"/>
      <w:bookmarkEnd w:id="4"/>
    </w:p>
    <w:p w14:paraId="3F4610E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重庆方郡建设工程咨询有限公司受重庆市武隆区</w:t>
      </w:r>
      <w:r>
        <w:rPr>
          <w:rFonts w:hint="eastAsia" w:ascii="Times New Roman" w:hAnsi="Times New Roman" w:eastAsia="宋体" w:cs="Times New Roman"/>
          <w:color w:val="auto"/>
          <w:sz w:val="24"/>
          <w:szCs w:val="24"/>
          <w:highlight w:val="none"/>
          <w:lang w:val="en-US" w:eastAsia="zh-CN"/>
        </w:rPr>
        <w:t>民政</w:t>
      </w:r>
      <w:r>
        <w:rPr>
          <w:rFonts w:hint="default" w:ascii="Times New Roman" w:hAnsi="Times New Roman" w:eastAsia="宋体" w:cs="Times New Roman"/>
          <w:color w:val="auto"/>
          <w:sz w:val="24"/>
          <w:szCs w:val="24"/>
          <w:highlight w:val="none"/>
          <w:lang w:val="en-US" w:eastAsia="zh-CN"/>
        </w:rPr>
        <w:t>局的委托，对</w:t>
      </w:r>
      <w:r>
        <w:rPr>
          <w:rFonts w:hint="eastAsia" w:ascii="Times New Roman" w:hAnsi="Times New Roman" w:eastAsia="宋体" w:cs="Times New Roman"/>
          <w:color w:val="auto"/>
          <w:sz w:val="24"/>
          <w:szCs w:val="24"/>
          <w:highlight w:val="none"/>
          <w:lang w:val="en-US" w:eastAsia="zh-CN"/>
        </w:rPr>
        <w:t>2025年度武隆区精神障碍社区康复服务项目（芙蓉片区、长坝片区、凤来片区）</w:t>
      </w:r>
      <w:r>
        <w:rPr>
          <w:rFonts w:hint="default" w:ascii="Times New Roman" w:hAnsi="Times New Roman" w:eastAsia="宋体" w:cs="Times New Roman"/>
          <w:color w:val="auto"/>
          <w:sz w:val="24"/>
          <w:szCs w:val="24"/>
          <w:highlight w:val="none"/>
          <w:lang w:val="en-US" w:eastAsia="zh-CN"/>
        </w:rPr>
        <w:t>进行竞争性磋商采购。欢迎有资质的供应商前来参与磋商。</w:t>
      </w:r>
    </w:p>
    <w:p w14:paraId="18D8F951">
      <w:pPr>
        <w:pStyle w:val="6"/>
        <w:pageBreakBefore w:val="0"/>
        <w:numPr>
          <w:ilvl w:val="0"/>
          <w:numId w:val="2"/>
        </w:numPr>
        <w:wordWrap/>
        <w:topLinePunct w:val="0"/>
        <w:bidi w:val="0"/>
        <w:spacing w:before="0" w:after="0" w:line="560" w:lineRule="exact"/>
        <w:ind w:left="-2" w:leftChars="0" w:firstLine="482" w:firstLineChars="0"/>
        <w:textAlignment w:val="auto"/>
        <w:rPr>
          <w:rFonts w:hint="default" w:ascii="Times New Roman" w:hAnsi="Times New Roman" w:eastAsia="宋体" w:cs="Times New Roman"/>
          <w:color w:val="auto"/>
          <w:sz w:val="24"/>
          <w:szCs w:val="24"/>
          <w:highlight w:val="none"/>
        </w:rPr>
      </w:pPr>
      <w:bookmarkStart w:id="5" w:name="_Toc28675"/>
      <w:bookmarkStart w:id="6" w:name="_Toc313893526"/>
      <w:bookmarkStart w:id="7" w:name="_Toc317775175"/>
      <w:r>
        <w:rPr>
          <w:rFonts w:hint="default" w:ascii="Times New Roman" w:hAnsi="Times New Roman" w:eastAsia="宋体" w:cs="Times New Roman"/>
          <w:color w:val="auto"/>
          <w:sz w:val="24"/>
          <w:szCs w:val="24"/>
          <w:highlight w:val="none"/>
        </w:rPr>
        <w:t>竞争性磋商内容</w:t>
      </w:r>
      <w:bookmarkEnd w:id="5"/>
      <w:bookmarkEnd w:id="6"/>
      <w:bookmarkEnd w:id="7"/>
    </w:p>
    <w:tbl>
      <w:tblPr>
        <w:tblStyle w:val="25"/>
        <w:tblW w:w="986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1289"/>
        <w:gridCol w:w="1453"/>
        <w:gridCol w:w="1758"/>
        <w:gridCol w:w="2344"/>
      </w:tblGrid>
      <w:tr w14:paraId="0BCE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024" w:type="dxa"/>
            <w:vAlign w:val="center"/>
          </w:tcPr>
          <w:p w14:paraId="1E4B5156">
            <w:pPr>
              <w:pStyle w:val="12"/>
              <w:pageBreakBefore w:val="0"/>
              <w:wordWrap/>
              <w:topLinePunct w:val="0"/>
              <w:bidi w:val="0"/>
              <w:spacing w:line="240" w:lineRule="auto"/>
              <w:ind w:left="0"/>
              <w:jc w:val="center"/>
              <w:textAlignment w:val="auto"/>
              <w:outlineLvl w:val="0"/>
              <w:rPr>
                <w:rFonts w:hint="default" w:ascii="Times New Roman" w:hAnsi="Times New Roman" w:eastAsia="宋体" w:cs="Times New Roman"/>
                <w:b/>
                <w:bCs w:val="0"/>
                <w:color w:val="auto"/>
                <w:sz w:val="24"/>
                <w:szCs w:val="24"/>
                <w:highlight w:val="none"/>
                <w:lang w:eastAsia="zh-CN"/>
              </w:rPr>
            </w:pPr>
            <w:r>
              <w:rPr>
                <w:rFonts w:hint="default" w:ascii="Times New Roman" w:hAnsi="Times New Roman" w:eastAsia="宋体" w:cs="Times New Roman"/>
                <w:b/>
                <w:bCs w:val="0"/>
                <w:color w:val="auto"/>
                <w:sz w:val="24"/>
                <w:szCs w:val="24"/>
                <w:highlight w:val="none"/>
              </w:rPr>
              <w:t>项目</w:t>
            </w:r>
            <w:r>
              <w:rPr>
                <w:rFonts w:hint="default" w:ascii="Times New Roman" w:hAnsi="Times New Roman" w:eastAsia="宋体" w:cs="Times New Roman"/>
                <w:b/>
                <w:bCs w:val="0"/>
                <w:color w:val="auto"/>
                <w:sz w:val="24"/>
                <w:szCs w:val="24"/>
                <w:highlight w:val="none"/>
                <w:lang w:eastAsia="zh-CN"/>
              </w:rPr>
              <w:t>内容</w:t>
            </w:r>
          </w:p>
        </w:tc>
        <w:tc>
          <w:tcPr>
            <w:tcW w:w="1289" w:type="dxa"/>
            <w:vAlign w:val="center"/>
          </w:tcPr>
          <w:p w14:paraId="7145A78C">
            <w:pPr>
              <w:pStyle w:val="12"/>
              <w:pageBreakBefore w:val="0"/>
              <w:wordWrap/>
              <w:topLinePunct w:val="0"/>
              <w:bidi w:val="0"/>
              <w:spacing w:line="240" w:lineRule="auto"/>
              <w:ind w:left="0"/>
              <w:jc w:val="center"/>
              <w:textAlignment w:val="auto"/>
              <w:outlineLvl w:val="0"/>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lang w:val="en-US" w:eastAsia="zh-CN"/>
              </w:rPr>
              <w:t xml:space="preserve">最高限价 </w:t>
            </w:r>
            <w:r>
              <w:rPr>
                <w:rFonts w:hint="eastAsia" w:ascii="Times New Roman" w:hAnsi="Times New Roman" w:eastAsia="宋体" w:cs="Times New Roman"/>
                <w:b/>
                <w:bCs w:val="0"/>
                <w:color w:val="auto"/>
                <w:sz w:val="24"/>
                <w:szCs w:val="24"/>
                <w:highlight w:val="none"/>
                <w:lang w:val="en-US" w:eastAsia="zh-CN"/>
              </w:rPr>
              <w:t xml:space="preserve"> </w:t>
            </w:r>
            <w:r>
              <w:rPr>
                <w:rFonts w:hint="default" w:ascii="Times New Roman" w:hAnsi="Times New Roman" w:eastAsia="宋体" w:cs="Times New Roman"/>
                <w:b/>
                <w:bCs w:val="0"/>
                <w:color w:val="auto"/>
                <w:sz w:val="24"/>
                <w:szCs w:val="24"/>
                <w:highlight w:val="none"/>
              </w:rPr>
              <w:t>（</w:t>
            </w:r>
            <w:r>
              <w:rPr>
                <w:rFonts w:hint="default" w:ascii="Times New Roman" w:hAnsi="Times New Roman" w:eastAsia="宋体" w:cs="Times New Roman"/>
                <w:b/>
                <w:bCs w:val="0"/>
                <w:color w:val="auto"/>
                <w:sz w:val="24"/>
                <w:szCs w:val="24"/>
                <w:highlight w:val="none"/>
                <w:lang w:val="en-US" w:eastAsia="zh-CN"/>
              </w:rPr>
              <w:t>万</w:t>
            </w:r>
            <w:r>
              <w:rPr>
                <w:rFonts w:hint="default" w:ascii="Times New Roman" w:hAnsi="Times New Roman" w:eastAsia="宋体" w:cs="Times New Roman"/>
                <w:b/>
                <w:bCs w:val="0"/>
                <w:color w:val="auto"/>
                <w:sz w:val="24"/>
                <w:szCs w:val="24"/>
                <w:highlight w:val="none"/>
              </w:rPr>
              <w:t>元）</w:t>
            </w:r>
          </w:p>
        </w:tc>
        <w:tc>
          <w:tcPr>
            <w:tcW w:w="1453" w:type="dxa"/>
            <w:vAlign w:val="center"/>
          </w:tcPr>
          <w:p w14:paraId="54E69356">
            <w:pPr>
              <w:pStyle w:val="12"/>
              <w:pageBreakBefore w:val="0"/>
              <w:wordWrap/>
              <w:topLinePunct w:val="0"/>
              <w:bidi w:val="0"/>
              <w:spacing w:line="240" w:lineRule="auto"/>
              <w:ind w:left="0"/>
              <w:jc w:val="center"/>
              <w:textAlignment w:val="auto"/>
              <w:outlineLvl w:val="0"/>
              <w:rPr>
                <w:rFonts w:hint="default" w:ascii="Times New Roman" w:hAnsi="Times New Roman" w:eastAsia="宋体" w:cs="Times New Roman"/>
                <w:b/>
                <w:bCs w:val="0"/>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投标保证金（万元）</w:t>
            </w:r>
          </w:p>
        </w:tc>
        <w:tc>
          <w:tcPr>
            <w:tcW w:w="1758" w:type="dxa"/>
            <w:vAlign w:val="center"/>
          </w:tcPr>
          <w:p w14:paraId="0E74955D">
            <w:pPr>
              <w:pStyle w:val="12"/>
              <w:pageBreakBefore w:val="0"/>
              <w:wordWrap/>
              <w:topLinePunct w:val="0"/>
              <w:bidi w:val="0"/>
              <w:spacing w:line="240" w:lineRule="auto"/>
              <w:ind w:left="0"/>
              <w:jc w:val="center"/>
              <w:textAlignment w:val="auto"/>
              <w:outlineLvl w:val="0"/>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成交供应商数量（名）</w:t>
            </w:r>
          </w:p>
        </w:tc>
        <w:tc>
          <w:tcPr>
            <w:tcW w:w="2344" w:type="dxa"/>
            <w:vAlign w:val="center"/>
          </w:tcPr>
          <w:p w14:paraId="1EDCFA54">
            <w:pPr>
              <w:jc w:val="center"/>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kern w:val="2"/>
                <w:sz w:val="24"/>
                <w:szCs w:val="24"/>
                <w:highlight w:val="none"/>
                <w:lang w:val="en-US" w:eastAsia="zh-CN" w:bidi="ar-SA"/>
              </w:rPr>
              <w:t>采购标的对应的中小企业划分标准所属行业</w:t>
            </w:r>
          </w:p>
        </w:tc>
      </w:tr>
      <w:tr w14:paraId="170B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024" w:type="dxa"/>
            <w:vAlign w:val="center"/>
          </w:tcPr>
          <w:p w14:paraId="30BD5784">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2025年度武隆区精神障碍社区康复服务项目（芙蓉片区、长坝片区、凤来片区）</w:t>
            </w:r>
          </w:p>
        </w:tc>
        <w:tc>
          <w:tcPr>
            <w:tcW w:w="1289" w:type="dxa"/>
            <w:vAlign w:val="center"/>
          </w:tcPr>
          <w:p w14:paraId="57B84E06">
            <w:pPr>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35.00</w:t>
            </w:r>
          </w:p>
        </w:tc>
        <w:tc>
          <w:tcPr>
            <w:tcW w:w="1453" w:type="dxa"/>
            <w:vAlign w:val="center"/>
          </w:tcPr>
          <w:p w14:paraId="3470ED02">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0.5</w:t>
            </w:r>
          </w:p>
        </w:tc>
        <w:tc>
          <w:tcPr>
            <w:tcW w:w="1758" w:type="dxa"/>
            <w:vAlign w:val="center"/>
          </w:tcPr>
          <w:p w14:paraId="246AFC7E">
            <w:pPr>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p>
        </w:tc>
        <w:tc>
          <w:tcPr>
            <w:tcW w:w="2344" w:type="dxa"/>
            <w:vAlign w:val="center"/>
          </w:tcPr>
          <w:p w14:paraId="429CEB27">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1"/>
                <w:szCs w:val="21"/>
                <w:highlight w:val="none"/>
              </w:rPr>
              <w:t>其他未列明行业</w:t>
            </w:r>
          </w:p>
        </w:tc>
      </w:tr>
    </w:tbl>
    <w:p w14:paraId="6C64E220">
      <w:pPr>
        <w:pStyle w:val="6"/>
        <w:pageBreakBefore w:val="0"/>
        <w:numPr>
          <w:ilvl w:val="0"/>
          <w:numId w:val="2"/>
        </w:numPr>
        <w:wordWrap/>
        <w:topLinePunct w:val="0"/>
        <w:bidi w:val="0"/>
        <w:spacing w:before="0" w:after="0" w:line="560" w:lineRule="exact"/>
        <w:ind w:left="-2" w:leftChars="0" w:firstLine="482" w:firstLineChars="0"/>
        <w:textAlignment w:val="auto"/>
        <w:rPr>
          <w:rFonts w:hint="default" w:ascii="Times New Roman" w:hAnsi="Times New Roman" w:eastAsia="宋体" w:cs="Times New Roman"/>
          <w:color w:val="auto"/>
          <w:sz w:val="24"/>
          <w:szCs w:val="24"/>
          <w:highlight w:val="none"/>
        </w:rPr>
      </w:pPr>
      <w:bookmarkStart w:id="8" w:name="_Toc10198"/>
      <w:bookmarkStart w:id="9" w:name="_Toc317775178"/>
      <w:bookmarkStart w:id="10" w:name="_Toc373860293"/>
      <w:r>
        <w:rPr>
          <w:rFonts w:hint="default" w:ascii="Times New Roman" w:hAnsi="Times New Roman" w:eastAsia="宋体" w:cs="Times New Roman"/>
          <w:color w:val="auto"/>
          <w:sz w:val="24"/>
          <w:szCs w:val="24"/>
          <w:highlight w:val="none"/>
        </w:rPr>
        <w:t>资金来源</w:t>
      </w:r>
      <w:bookmarkEnd w:id="8"/>
    </w:p>
    <w:p w14:paraId="5E3DA20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1" w:name="_Toc25267"/>
      <w:r>
        <w:rPr>
          <w:rFonts w:hint="eastAsia" w:ascii="Times New Roman" w:hAnsi="Times New Roman" w:eastAsia="宋体" w:cs="Times New Roman"/>
          <w:color w:val="auto"/>
          <w:sz w:val="24"/>
          <w:szCs w:val="24"/>
          <w:highlight w:val="none"/>
          <w:lang w:val="en-US" w:eastAsia="zh-CN"/>
        </w:rPr>
        <w:t>市级和区级福彩公益金，预算金额为350000.00元。</w:t>
      </w:r>
      <w:bookmarkEnd w:id="11"/>
    </w:p>
    <w:p w14:paraId="0A7C011D">
      <w:pPr>
        <w:pStyle w:val="6"/>
        <w:pageBreakBefore w:val="0"/>
        <w:numPr>
          <w:ilvl w:val="0"/>
          <w:numId w:val="2"/>
        </w:numPr>
        <w:wordWrap/>
        <w:topLinePunct w:val="0"/>
        <w:bidi w:val="0"/>
        <w:spacing w:before="0" w:after="0" w:line="560" w:lineRule="exact"/>
        <w:ind w:left="-2" w:leftChars="0" w:firstLine="482" w:firstLineChars="0"/>
        <w:textAlignment w:val="auto"/>
        <w:rPr>
          <w:rFonts w:hint="default" w:ascii="Times New Roman" w:hAnsi="Times New Roman" w:eastAsia="宋体" w:cs="Times New Roman"/>
          <w:color w:val="auto"/>
          <w:sz w:val="24"/>
          <w:szCs w:val="24"/>
          <w:highlight w:val="none"/>
          <w:lang w:val="en-US" w:eastAsia="zh-CN"/>
        </w:rPr>
      </w:pPr>
      <w:bookmarkStart w:id="12" w:name="_Toc17590"/>
      <w:r>
        <w:rPr>
          <w:rFonts w:hint="default" w:ascii="Times New Roman" w:hAnsi="Times New Roman" w:eastAsia="宋体" w:cs="Times New Roman"/>
          <w:color w:val="auto"/>
          <w:sz w:val="24"/>
          <w:szCs w:val="24"/>
          <w:highlight w:val="none"/>
          <w:lang w:val="en-US" w:eastAsia="zh-CN"/>
        </w:rPr>
        <w:t>供应商资格条件</w:t>
      </w:r>
      <w:bookmarkEnd w:id="12"/>
    </w:p>
    <w:bookmarkEnd w:id="9"/>
    <w:bookmarkEnd w:id="10"/>
    <w:p w14:paraId="7187B01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（一）满足《中华人民共和国政府采购法》第二十二条规定。</w:t>
      </w:r>
    </w:p>
    <w:p w14:paraId="51AD76E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（二）落实政府采购政策需满足的资格要求：</w:t>
      </w:r>
      <w:r>
        <w:rPr>
          <w:rFonts w:hint="eastAsia" w:ascii="Times New Roman" w:hAnsi="Times New Roman" w:eastAsia="宋体" w:cs="Times New Roman"/>
          <w:color w:val="auto"/>
          <w:sz w:val="24"/>
          <w:szCs w:val="24"/>
          <w:highlight w:val="none"/>
          <w:lang w:val="en-US" w:eastAsia="zh-CN"/>
        </w:rPr>
        <w:t>无。</w:t>
      </w:r>
    </w:p>
    <w:p w14:paraId="3D39D36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（三）特定资格条件：无。</w:t>
      </w:r>
    </w:p>
    <w:p w14:paraId="159234D4">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3" w:name="_Toc14331"/>
      <w:r>
        <w:rPr>
          <w:rFonts w:hint="default" w:ascii="Times New Roman" w:hAnsi="Times New Roman" w:eastAsia="宋体" w:cs="Times New Roman"/>
          <w:color w:val="auto"/>
          <w:sz w:val="24"/>
          <w:szCs w:val="24"/>
          <w:highlight w:val="none"/>
          <w:lang w:val="en-US" w:eastAsia="zh-CN"/>
        </w:rPr>
        <w:t>四、磋商、开标有关说明</w:t>
      </w:r>
      <w:bookmarkEnd w:id="13"/>
    </w:p>
    <w:p w14:paraId="7F83B44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Times New Roman" w:hAnsi="Times New Roman" w:eastAsia="宋体" w:cs="Times New Roman"/>
          <w:color w:val="auto"/>
          <w:sz w:val="24"/>
          <w:szCs w:val="24"/>
          <w:highlight w:val="none"/>
          <w:lang w:val="en-US" w:eastAsia="zh-CN"/>
        </w:rPr>
        <w:t>（一）供应商应通过“行采家”平台（https://www</w:t>
      </w:r>
      <w:r>
        <w:rPr>
          <w:rFonts w:hint="eastAsia" w:ascii="宋体" w:hAnsi="宋体" w:eastAsia="宋体" w:cs="宋体"/>
          <w:i w:val="0"/>
          <w:iCs w:val="0"/>
          <w:caps w:val="0"/>
          <w:color w:val="auto"/>
          <w:spacing w:val="0"/>
          <w:sz w:val="24"/>
          <w:szCs w:val="24"/>
          <w:highlight w:val="none"/>
          <w:shd w:val="clear" w:fill="FFFFFF"/>
          <w:lang w:val="en-US" w:eastAsia="zh-CN"/>
        </w:rPr>
        <w:t>.gec123.com）进行注册，成为行采家平台供应商。</w:t>
      </w:r>
    </w:p>
    <w:p w14:paraId="7135815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（二）凡有意参加磋商的供应商，请到采购代理机构领取或在“行采家”平台（https://www.gec123.com</w:t>
      </w:r>
      <w:r>
        <w:rPr>
          <w:rFonts w:hint="eastAsia" w:ascii="Times New Roman" w:hAnsi="Times New Roman" w:eastAsia="宋体" w:cs="Times New Roman"/>
          <w:color w:val="auto"/>
          <w:sz w:val="24"/>
          <w:szCs w:val="24"/>
          <w:highlight w:val="none"/>
          <w:lang w:val="en-US" w:eastAsia="zh-CN"/>
        </w:rPr>
        <w:t>/）网上下载本项目竞争性磋商文件以及澄清等开标前公布的所有项目资料，无论供应商领</w:t>
      </w:r>
      <w:r>
        <w:rPr>
          <w:rFonts w:hint="eastAsia" w:ascii="宋体" w:hAnsi="宋体" w:eastAsia="宋体" w:cs="宋体"/>
          <w:i w:val="0"/>
          <w:iCs w:val="0"/>
          <w:caps w:val="0"/>
          <w:color w:val="auto"/>
          <w:spacing w:val="0"/>
          <w:sz w:val="24"/>
          <w:szCs w:val="24"/>
          <w:highlight w:val="none"/>
          <w:shd w:val="clear" w:fill="FFFFFF"/>
          <w:lang w:val="en-US" w:eastAsia="zh-CN"/>
        </w:rPr>
        <w:t>取或下载与否，均视为已知晓所有磋商实质性要求内容。</w:t>
      </w:r>
    </w:p>
    <w:p w14:paraId="43B34C5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（三）竞争性磋商公告期限：自采购公告发布之日起五个工作日。</w:t>
      </w:r>
    </w:p>
    <w:p w14:paraId="1F0B4BB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（四）竞争性磋商文件报名及提供期限</w:t>
      </w:r>
    </w:p>
    <w:p w14:paraId="0EED675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请有意投标的供应商于2025年8月25日至2025年8月29日（上午9:00分至12：00分，下午14：00分至17：00分。北京时间，法定节假日除外），到采购代理公司报名，地址：重庆市武隆区芙蓉中路76号2幢4-2，报名人须持供应商法人授权书、营业执照（以上证件均盖单位鲜章）领取竞争性磋商文件。</w:t>
      </w:r>
    </w:p>
    <w:p w14:paraId="120089B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 竞争性磋商文件售价：无。</w:t>
      </w:r>
    </w:p>
    <w:p w14:paraId="2DBCAD3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（五）供应商须满足以下三种要求，其响应文件才被接受：</w:t>
      </w:r>
    </w:p>
    <w:p w14:paraId="1B6F2E3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1、按时报名领取竞争性磋商文件；</w:t>
      </w:r>
    </w:p>
    <w:p w14:paraId="3D727BE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2、按时签到；</w:t>
      </w:r>
    </w:p>
    <w:p w14:paraId="7DBCD8A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3、按时递交了响应文件。</w:t>
      </w:r>
    </w:p>
    <w:p w14:paraId="07EE2B4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bookmarkStart w:id="14" w:name="_Toc466546906"/>
      <w:r>
        <w:rPr>
          <w:rFonts w:hint="eastAsia" w:ascii="宋体" w:hAnsi="宋体" w:eastAsia="宋体" w:cs="宋体"/>
          <w:i w:val="0"/>
          <w:iCs w:val="0"/>
          <w:caps w:val="0"/>
          <w:color w:val="auto"/>
          <w:spacing w:val="0"/>
          <w:sz w:val="24"/>
          <w:szCs w:val="24"/>
          <w:highlight w:val="none"/>
          <w:shd w:val="clear" w:fill="FFFFFF"/>
          <w:lang w:val="en-US" w:eastAsia="zh-CN"/>
        </w:rPr>
        <w:t>（六）递交响应文件地点：重庆市武隆区民政局三楼会议室。</w:t>
      </w:r>
    </w:p>
    <w:p w14:paraId="2B9E390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（七）递交响应文件开始时间：2025年9月5日北京时间14:00 </w:t>
      </w:r>
    </w:p>
    <w:p w14:paraId="5C7482D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（八）提交响应文件截止时间：2025年9月5日北京时间14:30</w:t>
      </w:r>
    </w:p>
    <w:p w14:paraId="3982EB1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（九）磋商开始时间：2025年9月5日北京时间14：30</w:t>
      </w:r>
    </w:p>
    <w:p w14:paraId="2CB47F5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（十）磋商地点：重庆市武隆区民政局三楼会议室。</w:t>
      </w:r>
    </w:p>
    <w:p w14:paraId="40032A31">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15" w:name="_Toc31663"/>
      <w:r>
        <w:rPr>
          <w:rFonts w:hint="default" w:ascii="Times New Roman" w:hAnsi="Times New Roman" w:eastAsia="宋体" w:cs="Times New Roman"/>
          <w:color w:val="auto"/>
          <w:sz w:val="24"/>
          <w:szCs w:val="24"/>
          <w:highlight w:val="none"/>
          <w:lang w:val="en-US" w:eastAsia="zh-CN"/>
        </w:rPr>
        <w:t>五、磋商保证金</w:t>
      </w:r>
      <w:bookmarkEnd w:id="14"/>
      <w:bookmarkEnd w:id="15"/>
      <w:bookmarkStart w:id="16" w:name="_Toc373860294"/>
      <w:bookmarkStart w:id="17" w:name="_Toc67036796"/>
      <w:bookmarkStart w:id="18" w:name="_Toc530494724"/>
    </w:p>
    <w:p w14:paraId="4CA639F2">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（一）缴纳磋商保证金方式：磋商保证金以现金的方式，在递交响应文件时一并递交，现金用信封密封，盖供应商公章。</w:t>
      </w:r>
    </w:p>
    <w:p w14:paraId="4C492273">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（二）磋商保证金退还方式：项目评审完毕后，没有中标的供应商当场退还投标保证金（无息），中标单位签订合同后退还投标保证金（无息）。</w:t>
      </w:r>
    </w:p>
    <w:p w14:paraId="5B2EBF68">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9" w:name="_Toc9856"/>
      <w:r>
        <w:rPr>
          <w:rFonts w:hint="default" w:ascii="Times New Roman" w:hAnsi="Times New Roman" w:eastAsia="宋体" w:cs="Times New Roman"/>
          <w:color w:val="auto"/>
          <w:sz w:val="24"/>
          <w:szCs w:val="24"/>
          <w:highlight w:val="none"/>
          <w:lang w:val="en-US" w:eastAsia="zh-CN"/>
        </w:rPr>
        <w:t>六、</w:t>
      </w:r>
      <w:bookmarkEnd w:id="16"/>
      <w:bookmarkStart w:id="20" w:name="_Toc480466698"/>
      <w:bookmarkStart w:id="21" w:name="_Toc479668114"/>
      <w:r>
        <w:rPr>
          <w:rFonts w:hint="default" w:ascii="Times New Roman" w:hAnsi="Times New Roman" w:eastAsia="宋体" w:cs="Times New Roman"/>
          <w:color w:val="auto"/>
          <w:sz w:val="24"/>
          <w:szCs w:val="24"/>
          <w:highlight w:val="none"/>
          <w:lang w:val="en-US" w:eastAsia="zh-CN"/>
        </w:rPr>
        <w:t>采购项目需落实的政府采购政策</w:t>
      </w:r>
      <w:bookmarkEnd w:id="17"/>
      <w:bookmarkEnd w:id="18"/>
      <w:bookmarkEnd w:id="19"/>
      <w:bookmarkEnd w:id="20"/>
      <w:bookmarkEnd w:id="21"/>
    </w:p>
    <w:p w14:paraId="7A00FBD0">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bookmarkStart w:id="22" w:name="_Toc493506284"/>
      <w:bookmarkStart w:id="23" w:name="_Toc67036797"/>
      <w:r>
        <w:rPr>
          <w:rFonts w:hint="default" w:ascii="Times New Roman" w:hAnsi="Times New Roman" w:eastAsia="宋体" w:cs="Times New Roman"/>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B14331C">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（二）按照财政部、工业和信息化部关于印发《政府采购促进中小企业发展管理办法》的通知（财库〔2020〕46号）的规定，落实促进中小企业发展政策。</w:t>
      </w:r>
    </w:p>
    <w:p w14:paraId="5E648D22">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（三）按照&lt;财政部、司法部关于政府采购支持监狱企业发展有关问题的通知&gt;（财库〔2014〕68号）的规定，落实支持监狱企业发展政策。</w:t>
      </w:r>
    </w:p>
    <w:p w14:paraId="5FA107AF">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（四）按照《三部门联合发布关于促进残疾人就业政府采购政策的通知》（财库〔2017〕 141号）的规定，落实支持残疾人福利性单位发展政策。</w:t>
      </w:r>
    </w:p>
    <w:p w14:paraId="47E5760A">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24" w:name="_Toc6387"/>
      <w:r>
        <w:rPr>
          <w:rFonts w:hint="default" w:ascii="Times New Roman" w:hAnsi="Times New Roman" w:eastAsia="宋体" w:cs="Times New Roman"/>
          <w:color w:val="auto"/>
          <w:sz w:val="24"/>
          <w:szCs w:val="24"/>
          <w:highlight w:val="none"/>
          <w:lang w:val="en-US" w:eastAsia="zh-CN"/>
        </w:rPr>
        <w:t>七、其它有关规定</w:t>
      </w:r>
      <w:bookmarkEnd w:id="22"/>
      <w:bookmarkEnd w:id="23"/>
      <w:bookmarkEnd w:id="24"/>
    </w:p>
    <w:p w14:paraId="25F47EB9">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（一）单位负责人为同一人或者存在直接控股、管理关系的不同供应商，不得参加同一合同项下的政府采购活动。</w:t>
      </w:r>
    </w:p>
    <w:p w14:paraId="0EC0C251">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（二）为采购项目提供整体设计、规范编制或者项目管理、监理、检测等服务的供应商，不得再参加该采购项目的其他采购活动。</w:t>
      </w:r>
    </w:p>
    <w:p w14:paraId="027866BF">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w:t>
      </w:r>
      <w:r>
        <w:rPr>
          <w:rFonts w:hint="eastAsia" w:ascii="Times New Roman" w:hAnsi="Times New Roman" w:eastAsia="宋体" w:cs="Times New Roman"/>
          <w:color w:val="auto"/>
          <w:sz w:val="24"/>
          <w:szCs w:val="24"/>
          <w:highlight w:val="none"/>
        </w:rPr>
        <w:t>本项目若有澄清文件一律在行采家（https://www.gec123.com/）上发布，请各供应商注意下载或到采购代理机构领取；无论供应商下载或领取与否，均视同供应商已知晓本</w:t>
      </w:r>
      <w:r>
        <w:rPr>
          <w:rFonts w:hint="eastAsia" w:ascii="Times New Roman" w:hAnsi="Times New Roman" w:eastAsia="宋体" w:cs="Times New Roman"/>
          <w:color w:val="auto"/>
          <w:sz w:val="24"/>
          <w:szCs w:val="24"/>
          <w:highlight w:val="none"/>
          <w:lang w:val="en-US" w:eastAsia="zh-CN"/>
        </w:rPr>
        <w:t>磋商</w:t>
      </w:r>
      <w:r>
        <w:rPr>
          <w:rFonts w:hint="eastAsia" w:ascii="Times New Roman" w:hAnsi="Times New Roman" w:eastAsia="宋体" w:cs="Times New Roman"/>
          <w:color w:val="auto"/>
          <w:sz w:val="24"/>
          <w:szCs w:val="24"/>
          <w:highlight w:val="none"/>
        </w:rPr>
        <w:t>项目澄清文件的内容。</w:t>
      </w:r>
    </w:p>
    <w:p w14:paraId="723325DD">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（四）超过响应文件递交截止时间递交的响应文件，恕不接收。</w:t>
      </w:r>
    </w:p>
    <w:p w14:paraId="2E5A856F">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（五）磋商费用：无论</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结果如何，供应商参与本项目投标的所有费用均应由供应商自行承担。</w:t>
      </w:r>
    </w:p>
    <w:p w14:paraId="25907CD7">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（六）本项目不接受联合体参与</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w:t>
      </w:r>
    </w:p>
    <w:p w14:paraId="46FA2E64">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0AB7DE1">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25" w:name="_Toc10964"/>
      <w:bookmarkStart w:id="26" w:name="_Toc67036798"/>
      <w:bookmarkStart w:id="27" w:name="_Toc470532856"/>
      <w:bookmarkStart w:id="28" w:name="_Toc441065659"/>
      <w:r>
        <w:rPr>
          <w:rFonts w:hint="default" w:ascii="Times New Roman" w:hAnsi="Times New Roman" w:eastAsia="宋体" w:cs="Times New Roman"/>
          <w:color w:val="auto"/>
          <w:sz w:val="24"/>
          <w:szCs w:val="24"/>
          <w:highlight w:val="none"/>
          <w:lang w:val="en-US" w:eastAsia="zh-CN"/>
        </w:rPr>
        <w:t>八、联系方式</w:t>
      </w:r>
      <w:bookmarkEnd w:id="25"/>
      <w:bookmarkEnd w:id="26"/>
      <w:bookmarkEnd w:id="27"/>
      <w:bookmarkEnd w:id="28"/>
    </w:p>
    <w:p w14:paraId="0DC7E076">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采购人：</w:t>
      </w:r>
      <w:r>
        <w:rPr>
          <w:rFonts w:hint="default" w:ascii="Times New Roman" w:hAnsi="Times New Roman" w:eastAsia="宋体" w:cs="Times New Roman"/>
          <w:color w:val="auto"/>
          <w:sz w:val="24"/>
          <w:szCs w:val="24"/>
          <w:highlight w:val="none"/>
          <w:lang w:eastAsia="zh-CN"/>
        </w:rPr>
        <w:t>重庆市武隆区</w:t>
      </w:r>
      <w:r>
        <w:rPr>
          <w:rFonts w:hint="eastAsia" w:ascii="Times New Roman" w:hAnsi="Times New Roman" w:eastAsia="宋体" w:cs="Times New Roman"/>
          <w:color w:val="auto"/>
          <w:sz w:val="24"/>
          <w:szCs w:val="24"/>
          <w:highlight w:val="none"/>
          <w:lang w:val="en-US" w:eastAsia="zh-CN"/>
        </w:rPr>
        <w:t>民政局</w:t>
      </w:r>
    </w:p>
    <w:p w14:paraId="0D7DC8EA">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w:t>
      </w:r>
      <w:r>
        <w:rPr>
          <w:rFonts w:hint="default" w:ascii="Times New Roman" w:hAnsi="Times New Roman" w:eastAsia="宋体" w:cs="Times New Roman"/>
          <w:color w:val="auto"/>
          <w:sz w:val="24"/>
          <w:szCs w:val="24"/>
          <w:highlight w:val="none"/>
          <w:lang w:val="en-US" w:eastAsia="zh-CN"/>
        </w:rPr>
        <w:t>系人：</w:t>
      </w:r>
      <w:r>
        <w:rPr>
          <w:rFonts w:hint="eastAsia" w:ascii="Times New Roman" w:hAnsi="Times New Roman" w:eastAsia="宋体" w:cs="Times New Roman"/>
          <w:color w:val="auto"/>
          <w:sz w:val="24"/>
          <w:szCs w:val="24"/>
          <w:highlight w:val="none"/>
          <w:lang w:val="en-US" w:eastAsia="zh-CN"/>
        </w:rPr>
        <w:t>吕老师</w:t>
      </w:r>
    </w:p>
    <w:p w14:paraId="732E2C7B">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手  机：</w:t>
      </w:r>
      <w:r>
        <w:rPr>
          <w:rFonts w:hint="eastAsia" w:ascii="Times New Roman" w:hAnsi="Times New Roman" w:eastAsia="宋体" w:cs="Times New Roman"/>
          <w:color w:val="auto"/>
          <w:sz w:val="24"/>
          <w:szCs w:val="24"/>
          <w:highlight w:val="none"/>
          <w:lang w:val="en-US" w:eastAsia="zh-CN"/>
        </w:rPr>
        <w:t>17726200875</w:t>
      </w:r>
    </w:p>
    <w:p w14:paraId="09D82C02">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采购代理机构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重庆方郡建设工程咨询有限公司</w:t>
      </w:r>
    </w:p>
    <w:p w14:paraId="5FDFD226">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r>
        <w:rPr>
          <w:rFonts w:hint="default" w:ascii="Times New Roman" w:hAnsi="Times New Roman" w:eastAsia="宋体" w:cs="Times New Roman"/>
          <w:color w:val="auto"/>
          <w:sz w:val="24"/>
          <w:szCs w:val="24"/>
          <w:highlight w:val="none"/>
          <w:lang w:val="en-US" w:eastAsia="zh-CN"/>
        </w:rPr>
        <w:t>刘</w:t>
      </w:r>
      <w:r>
        <w:rPr>
          <w:rFonts w:hint="default" w:ascii="Times New Roman" w:hAnsi="Times New Roman" w:eastAsia="宋体" w:cs="Times New Roman"/>
          <w:color w:val="auto"/>
          <w:sz w:val="24"/>
          <w:szCs w:val="24"/>
          <w:highlight w:val="none"/>
          <w:lang w:eastAsia="zh-CN"/>
        </w:rPr>
        <w:t>老师</w:t>
      </w:r>
    </w:p>
    <w:p w14:paraId="2EF305F8">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电  话：</w:t>
      </w:r>
      <w:r>
        <w:rPr>
          <w:rFonts w:hint="eastAsia" w:ascii="Times New Roman" w:hAnsi="Times New Roman" w:eastAsia="宋体" w:cs="Times New Roman"/>
          <w:color w:val="auto"/>
          <w:sz w:val="24"/>
          <w:szCs w:val="24"/>
          <w:highlight w:val="none"/>
          <w:lang w:val="en-US" w:eastAsia="zh-CN"/>
        </w:rPr>
        <w:t>15330531587</w:t>
      </w:r>
    </w:p>
    <w:p w14:paraId="7238DFB8">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p>
    <w:p w14:paraId="3E32DB62">
      <w:pPr>
        <w:pStyle w:val="2"/>
        <w:rPr>
          <w:rFonts w:hint="eastAsia" w:ascii="Times New Roman" w:hAnsi="Times New Roman" w:eastAsia="宋体" w:cs="Times New Roman"/>
          <w:color w:val="auto"/>
          <w:sz w:val="24"/>
          <w:szCs w:val="24"/>
          <w:highlight w:val="none"/>
          <w:lang w:val="en-US" w:eastAsia="zh-CN"/>
        </w:rPr>
      </w:pPr>
    </w:p>
    <w:p w14:paraId="7741F027">
      <w:pPr>
        <w:rPr>
          <w:rFonts w:hint="eastAsia" w:ascii="Times New Roman" w:hAnsi="Times New Roman" w:eastAsia="宋体" w:cs="Times New Roman"/>
          <w:color w:val="auto"/>
          <w:sz w:val="24"/>
          <w:szCs w:val="24"/>
          <w:highlight w:val="none"/>
          <w:lang w:val="en-US" w:eastAsia="zh-CN"/>
        </w:rPr>
      </w:pPr>
    </w:p>
    <w:p w14:paraId="2B1880EC">
      <w:pPr>
        <w:pStyle w:val="2"/>
        <w:rPr>
          <w:rFonts w:hint="eastAsia"/>
          <w:color w:val="auto"/>
          <w:highlight w:val="none"/>
          <w:lang w:val="en-US" w:eastAsia="zh-CN"/>
        </w:rPr>
      </w:pPr>
    </w:p>
    <w:p w14:paraId="263578CC">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p>
    <w:p w14:paraId="702DDACD">
      <w:pPr>
        <w:pStyle w:val="8"/>
        <w:rPr>
          <w:rFonts w:hint="default" w:ascii="Times New Roman" w:hAnsi="Times New Roman" w:eastAsia="宋体" w:cs="Times New Roman"/>
          <w:color w:val="auto"/>
          <w:sz w:val="24"/>
          <w:szCs w:val="24"/>
          <w:highlight w:val="none"/>
          <w:lang w:val="en-US" w:eastAsia="zh-CN"/>
        </w:rPr>
      </w:pPr>
    </w:p>
    <w:p w14:paraId="22494B31">
      <w:pPr>
        <w:rPr>
          <w:rFonts w:hint="default" w:ascii="Times New Roman" w:hAnsi="Times New Roman" w:eastAsia="宋体" w:cs="Times New Roman"/>
          <w:color w:val="auto"/>
          <w:sz w:val="24"/>
          <w:szCs w:val="24"/>
          <w:highlight w:val="none"/>
          <w:lang w:val="en-US" w:eastAsia="zh-CN"/>
        </w:rPr>
      </w:pPr>
    </w:p>
    <w:p w14:paraId="24B80A0B">
      <w:pPr>
        <w:pStyle w:val="4"/>
        <w:bidi w:val="0"/>
        <w:rPr>
          <w:rFonts w:hint="default"/>
          <w:color w:val="auto"/>
          <w:highlight w:val="none"/>
          <w:lang w:eastAsia="zh-CN"/>
        </w:rPr>
      </w:pPr>
      <w:bookmarkStart w:id="29" w:name="_Toc13238"/>
      <w:r>
        <w:rPr>
          <w:rFonts w:hint="eastAsia"/>
          <w:color w:val="auto"/>
          <w:highlight w:val="none"/>
          <w:lang w:val="en-US" w:eastAsia="zh-CN"/>
        </w:rPr>
        <w:t>第二篇</w:t>
      </w:r>
      <w:r>
        <w:rPr>
          <w:rFonts w:hint="default"/>
          <w:color w:val="auto"/>
          <w:highlight w:val="none"/>
        </w:rPr>
        <w:t xml:space="preserve"> </w:t>
      </w:r>
      <w:r>
        <w:rPr>
          <w:rFonts w:hint="default"/>
          <w:color w:val="auto"/>
          <w:highlight w:val="none"/>
          <w:lang w:val="en-US" w:eastAsia="zh-CN"/>
        </w:rPr>
        <w:t>项目服务需</w:t>
      </w:r>
      <w:r>
        <w:rPr>
          <w:rFonts w:hint="default"/>
          <w:color w:val="auto"/>
          <w:highlight w:val="none"/>
          <w:lang w:eastAsia="zh-CN"/>
        </w:rPr>
        <w:t>求</w:t>
      </w:r>
      <w:bookmarkEnd w:id="29"/>
    </w:p>
    <w:p w14:paraId="58ED00B8">
      <w:pPr>
        <w:rPr>
          <w:rFonts w:hint="default"/>
          <w:color w:val="auto"/>
          <w:highlight w:val="none"/>
          <w:lang w:eastAsia="zh-CN"/>
        </w:rPr>
      </w:pPr>
    </w:p>
    <w:p w14:paraId="74C57B65">
      <w:pPr>
        <w:numPr>
          <w:ilvl w:val="0"/>
          <w:numId w:val="0"/>
        </w:numPr>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本篇项目服务需求为符合性审查中的实质性要求，响应文件若不满足按</w:t>
      </w:r>
      <w:r>
        <w:rPr>
          <w:rFonts w:hint="eastAsia" w:ascii="宋体" w:hAnsi="宋体" w:eastAsia="宋体" w:cs="宋体"/>
          <w:b/>
          <w:bCs/>
          <w:color w:val="auto"/>
          <w:w w:val="90"/>
          <w:sz w:val="24"/>
          <w:szCs w:val="24"/>
          <w:highlight w:val="none"/>
        </w:rPr>
        <w:t>无效响应处理</w:t>
      </w:r>
      <w:r>
        <w:rPr>
          <w:rFonts w:hint="eastAsia" w:ascii="宋体" w:hAnsi="宋体" w:eastAsia="宋体" w:cs="宋体"/>
          <w:b/>
          <w:bCs/>
          <w:color w:val="auto"/>
          <w:sz w:val="24"/>
          <w:szCs w:val="24"/>
          <w:highlight w:val="none"/>
          <w:u w:val="none"/>
        </w:rPr>
        <w:t>。</w:t>
      </w:r>
    </w:p>
    <w:p w14:paraId="38A27B74">
      <w:pPr>
        <w:numPr>
          <w:ilvl w:val="0"/>
          <w:numId w:val="0"/>
        </w:numPr>
        <w:rPr>
          <w:rFonts w:hint="default" w:ascii="宋体" w:hAnsi="宋体" w:eastAsia="宋体" w:cs="宋体"/>
          <w:b/>
          <w:bCs/>
          <w:color w:val="auto"/>
          <w:sz w:val="24"/>
          <w:szCs w:val="24"/>
          <w:highlight w:val="none"/>
          <w:u w:val="none"/>
        </w:rPr>
      </w:pPr>
    </w:p>
    <w:p w14:paraId="511730BB">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30" w:name="_Toc1235"/>
      <w:bookmarkStart w:id="31" w:name="_Toc12016"/>
      <w:bookmarkStart w:id="32" w:name="_Toc12789058"/>
      <w:r>
        <w:rPr>
          <w:rFonts w:hint="default" w:ascii="Times New Roman" w:hAnsi="Times New Roman" w:eastAsia="宋体" w:cs="Times New Roman"/>
          <w:color w:val="auto"/>
          <w:sz w:val="24"/>
          <w:szCs w:val="24"/>
          <w:highlight w:val="none"/>
          <w:lang w:val="en-US" w:eastAsia="zh-CN"/>
        </w:rPr>
        <w:t>一、</w:t>
      </w:r>
      <w:bookmarkEnd w:id="30"/>
      <w:bookmarkStart w:id="33" w:name="_Toc498953292"/>
      <w:bookmarkStart w:id="34" w:name="_Toc498953294"/>
      <w:r>
        <w:rPr>
          <w:rFonts w:hint="default" w:ascii="Times New Roman" w:hAnsi="Times New Roman" w:eastAsia="宋体" w:cs="Times New Roman"/>
          <w:color w:val="auto"/>
          <w:sz w:val="24"/>
          <w:szCs w:val="24"/>
          <w:highlight w:val="none"/>
          <w:lang w:val="en-US" w:eastAsia="zh-CN"/>
        </w:rPr>
        <w:t>项目基本概况介绍</w:t>
      </w:r>
      <w:bookmarkEnd w:id="31"/>
    </w:p>
    <w:bookmarkEnd w:id="33"/>
    <w:bookmarkEnd w:id="34"/>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5"/>
        <w:gridCol w:w="2175"/>
        <w:gridCol w:w="1238"/>
        <w:gridCol w:w="1706"/>
        <w:gridCol w:w="944"/>
      </w:tblGrid>
      <w:tr w14:paraId="72A6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565" w:type="dxa"/>
            <w:vAlign w:val="center"/>
          </w:tcPr>
          <w:p w14:paraId="1B979DCD">
            <w:pPr>
              <w:pageBreakBefore w:val="0"/>
              <w:wordWrap/>
              <w:topLinePunct w:val="0"/>
              <w:bidi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名称</w:t>
            </w:r>
          </w:p>
        </w:tc>
        <w:tc>
          <w:tcPr>
            <w:tcW w:w="2175" w:type="dxa"/>
            <w:vAlign w:val="center"/>
          </w:tcPr>
          <w:p w14:paraId="54C90559">
            <w:pPr>
              <w:pageBreakBefore w:val="0"/>
              <w:wordWrap/>
              <w:topLinePunct w:val="0"/>
              <w:bidi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最高限价（万元）</w:t>
            </w:r>
          </w:p>
        </w:tc>
        <w:tc>
          <w:tcPr>
            <w:tcW w:w="1238" w:type="dxa"/>
            <w:vAlign w:val="center"/>
          </w:tcPr>
          <w:p w14:paraId="3C242C09">
            <w:pPr>
              <w:pageBreakBefore w:val="0"/>
              <w:wordWrap/>
              <w:topLinePunct w:val="0"/>
              <w:bidi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数量</w:t>
            </w:r>
          </w:p>
        </w:tc>
        <w:tc>
          <w:tcPr>
            <w:tcW w:w="1706" w:type="dxa"/>
            <w:vAlign w:val="center"/>
          </w:tcPr>
          <w:p w14:paraId="59F9FC78">
            <w:pPr>
              <w:pageBreakBefore w:val="0"/>
              <w:wordWrap/>
              <w:topLinePunct w:val="0"/>
              <w:bidi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单位</w:t>
            </w:r>
          </w:p>
        </w:tc>
        <w:tc>
          <w:tcPr>
            <w:tcW w:w="944" w:type="dxa"/>
            <w:vAlign w:val="center"/>
          </w:tcPr>
          <w:p w14:paraId="6498A6FE">
            <w:pPr>
              <w:pageBreakBefore w:val="0"/>
              <w:wordWrap/>
              <w:topLinePunct w:val="0"/>
              <w:bidi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备注</w:t>
            </w:r>
          </w:p>
        </w:tc>
      </w:tr>
      <w:tr w14:paraId="0B87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565" w:type="dxa"/>
            <w:vAlign w:val="center"/>
          </w:tcPr>
          <w:p w14:paraId="48BF5B82">
            <w:pPr>
              <w:pageBreakBefore w:val="0"/>
              <w:wordWrap/>
              <w:topLinePunct w:val="0"/>
              <w:bidi w:val="0"/>
              <w:spacing w:line="240" w:lineRule="auto"/>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2025年度武隆区精神障碍社区康复服务项目（芙蓉片区、长坝片区、凤来片区）</w:t>
            </w:r>
          </w:p>
        </w:tc>
        <w:tc>
          <w:tcPr>
            <w:tcW w:w="2175" w:type="dxa"/>
            <w:vAlign w:val="center"/>
          </w:tcPr>
          <w:p w14:paraId="0DA258EE">
            <w:pPr>
              <w:pageBreakBefore w:val="0"/>
              <w:wordWrap/>
              <w:topLinePunct w:val="0"/>
              <w:bidi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35.00</w:t>
            </w:r>
          </w:p>
        </w:tc>
        <w:tc>
          <w:tcPr>
            <w:tcW w:w="1238" w:type="dxa"/>
            <w:vAlign w:val="center"/>
          </w:tcPr>
          <w:p w14:paraId="3D8426CB">
            <w:pPr>
              <w:pageBreakBefore w:val="0"/>
              <w:wordWrap/>
              <w:topLinePunct w:val="0"/>
              <w:bidi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p>
        </w:tc>
        <w:tc>
          <w:tcPr>
            <w:tcW w:w="1706" w:type="dxa"/>
            <w:vAlign w:val="center"/>
          </w:tcPr>
          <w:p w14:paraId="4037F38B">
            <w:pPr>
              <w:pageBreakBefore w:val="0"/>
              <w:wordWrap/>
              <w:topLinePunct w:val="0"/>
              <w:bidi w:val="0"/>
              <w:spacing w:line="240" w:lineRule="auto"/>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w:t>
            </w:r>
          </w:p>
        </w:tc>
        <w:tc>
          <w:tcPr>
            <w:tcW w:w="944" w:type="dxa"/>
            <w:vAlign w:val="top"/>
          </w:tcPr>
          <w:p w14:paraId="34D2776A">
            <w:pPr>
              <w:pageBreakBefore w:val="0"/>
              <w:wordWrap/>
              <w:topLinePunct w:val="0"/>
              <w:bidi w:val="0"/>
              <w:spacing w:line="240" w:lineRule="auto"/>
              <w:ind w:firstLine="480" w:firstLineChars="200"/>
              <w:jc w:val="center"/>
              <w:textAlignment w:val="auto"/>
              <w:rPr>
                <w:rFonts w:hint="eastAsia" w:ascii="Times New Roman" w:hAnsi="Times New Roman" w:eastAsia="宋体" w:cs="Times New Roman"/>
                <w:color w:val="auto"/>
                <w:sz w:val="24"/>
                <w:szCs w:val="24"/>
                <w:highlight w:val="none"/>
                <w:lang w:val="en-US" w:eastAsia="zh-CN"/>
              </w:rPr>
            </w:pPr>
          </w:p>
        </w:tc>
      </w:tr>
    </w:tbl>
    <w:p w14:paraId="72FB1BDE">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35" w:name="_Toc18260"/>
      <w:bookmarkStart w:id="36" w:name="_Toc3215"/>
      <w:bookmarkStart w:id="37" w:name="_Toc30671"/>
      <w:bookmarkStart w:id="38" w:name="_Toc5480"/>
      <w:bookmarkStart w:id="39" w:name="_Toc21685"/>
      <w:bookmarkStart w:id="40" w:name="_Toc12018"/>
      <w:bookmarkStart w:id="41" w:name="_Toc9297"/>
      <w:bookmarkStart w:id="42" w:name="_Toc26449"/>
      <w:bookmarkStart w:id="43" w:name="_Toc13246"/>
      <w:bookmarkStart w:id="44" w:name="_Toc15387"/>
      <w:bookmarkStart w:id="45" w:name="_Toc20955"/>
      <w:bookmarkStart w:id="46" w:name="_Toc27602"/>
      <w:r>
        <w:rPr>
          <w:rFonts w:hint="eastAsia" w:ascii="Times New Roman" w:hAnsi="Times New Roman" w:eastAsia="宋体" w:cs="Times New Roman"/>
          <w:color w:val="auto"/>
          <w:sz w:val="24"/>
          <w:szCs w:val="24"/>
          <w:highlight w:val="none"/>
          <w:lang w:val="en-US" w:eastAsia="zh-CN"/>
        </w:rPr>
        <w:t>二、项目</w:t>
      </w:r>
      <w:bookmarkStart w:id="47" w:name="_Toc512605219"/>
      <w:r>
        <w:rPr>
          <w:rFonts w:hint="eastAsia" w:ascii="Times New Roman" w:hAnsi="Times New Roman" w:eastAsia="宋体" w:cs="Times New Roman"/>
          <w:color w:val="auto"/>
          <w:sz w:val="24"/>
          <w:szCs w:val="24"/>
          <w:highlight w:val="none"/>
          <w:lang w:val="en-US" w:eastAsia="zh-CN"/>
        </w:rPr>
        <w:t>服务要求</w:t>
      </w:r>
      <w:bookmarkEnd w:id="35"/>
    </w:p>
    <w:p w14:paraId="67E689D6">
      <w:pPr>
        <w:pageBreakBefore w:val="0"/>
        <w:numPr>
          <w:ilvl w:val="0"/>
          <w:numId w:val="0"/>
        </w:numPr>
        <w:wordWrap/>
        <w:topLinePunct w:val="0"/>
        <w:bidi w:val="0"/>
        <w:spacing w:line="560" w:lineRule="exact"/>
        <w:ind w:left="480" w:leftChars="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（一）</w:t>
      </w:r>
      <w:bookmarkStart w:id="48" w:name="OLE_LINK23"/>
      <w:r>
        <w:rPr>
          <w:rFonts w:hint="eastAsia" w:ascii="Times New Roman" w:hAnsi="Times New Roman" w:eastAsia="宋体" w:cs="Times New Roman"/>
          <w:color w:val="auto"/>
          <w:sz w:val="24"/>
          <w:szCs w:val="24"/>
          <w:highlight w:val="none"/>
          <w:lang w:val="en-US" w:eastAsia="zh-CN"/>
        </w:rPr>
        <w:t>人员</w:t>
      </w:r>
      <w:bookmarkStart w:id="49" w:name="OLE_LINK15"/>
      <w:r>
        <w:rPr>
          <w:rFonts w:hint="eastAsia" w:ascii="Times New Roman" w:hAnsi="Times New Roman" w:eastAsia="宋体" w:cs="Times New Roman"/>
          <w:color w:val="auto"/>
          <w:sz w:val="24"/>
          <w:szCs w:val="24"/>
          <w:highlight w:val="none"/>
          <w:lang w:eastAsia="zh-CN"/>
        </w:rPr>
        <w:t>配</w:t>
      </w:r>
      <w:bookmarkEnd w:id="49"/>
      <w:r>
        <w:rPr>
          <w:rFonts w:hint="eastAsia" w:ascii="Times New Roman" w:hAnsi="Times New Roman" w:eastAsia="宋体" w:cs="Times New Roman"/>
          <w:color w:val="auto"/>
          <w:sz w:val="24"/>
          <w:szCs w:val="24"/>
          <w:highlight w:val="none"/>
          <w:lang w:eastAsia="zh-CN"/>
        </w:rPr>
        <w:t>置</w:t>
      </w:r>
      <w:r>
        <w:rPr>
          <w:rFonts w:hint="eastAsia" w:ascii="Times New Roman" w:hAnsi="Times New Roman" w:eastAsia="宋体" w:cs="Times New Roman"/>
          <w:color w:val="auto"/>
          <w:sz w:val="24"/>
          <w:szCs w:val="24"/>
          <w:highlight w:val="none"/>
          <w:lang w:val="en-US" w:eastAsia="zh-CN"/>
        </w:rPr>
        <w:t>要求</w:t>
      </w:r>
      <w:bookmarkEnd w:id="48"/>
    </w:p>
    <w:p w14:paraId="1781694B">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bookmarkStart w:id="50" w:name="OLE_LINK16"/>
      <w:r>
        <w:rPr>
          <w:rFonts w:hint="eastAsia" w:ascii="Times New Roman" w:hAnsi="Times New Roman" w:eastAsia="宋体" w:cs="Times New Roman"/>
          <w:color w:val="auto"/>
          <w:sz w:val="24"/>
          <w:szCs w:val="24"/>
          <w:highlight w:val="none"/>
          <w:lang w:val="en-US" w:eastAsia="zh-CN"/>
        </w:rPr>
        <w:t>专职社工。配备</w:t>
      </w:r>
      <w:bookmarkStart w:id="51" w:name="OLE_LINK18"/>
      <w:r>
        <w:rPr>
          <w:rFonts w:hint="eastAsia" w:ascii="Times New Roman" w:hAnsi="Times New Roman" w:eastAsia="宋体" w:cs="Times New Roman"/>
          <w:color w:val="auto"/>
          <w:sz w:val="24"/>
          <w:szCs w:val="24"/>
          <w:highlight w:val="none"/>
          <w:lang w:val="en-US" w:eastAsia="zh-CN"/>
        </w:rPr>
        <w:t>专</w:t>
      </w:r>
      <w:bookmarkEnd w:id="50"/>
      <w:r>
        <w:rPr>
          <w:rFonts w:hint="eastAsia" w:ascii="Times New Roman" w:hAnsi="Times New Roman" w:eastAsia="宋体" w:cs="Times New Roman"/>
          <w:color w:val="auto"/>
          <w:sz w:val="24"/>
          <w:szCs w:val="24"/>
          <w:highlight w:val="none"/>
          <w:lang w:val="en-US" w:eastAsia="zh-CN"/>
        </w:rPr>
        <w:t>职社工</w:t>
      </w:r>
      <w:bookmarkEnd w:id="51"/>
      <w:bookmarkStart w:id="52" w:name="OLE_LINK17"/>
      <w:r>
        <w:rPr>
          <w:rFonts w:hint="eastAsia" w:ascii="Times New Roman" w:hAnsi="Times New Roman" w:eastAsia="宋体" w:cs="Times New Roman"/>
          <w:color w:val="auto"/>
          <w:sz w:val="24"/>
          <w:szCs w:val="24"/>
          <w:highlight w:val="none"/>
          <w:lang w:val="en-US" w:eastAsia="zh-CN"/>
        </w:rPr>
        <w:t>服务</w:t>
      </w:r>
      <w:bookmarkEnd w:id="52"/>
      <w:r>
        <w:rPr>
          <w:rFonts w:hint="eastAsia" w:ascii="Times New Roman" w:hAnsi="Times New Roman" w:eastAsia="宋体" w:cs="Times New Roman"/>
          <w:color w:val="auto"/>
          <w:sz w:val="24"/>
          <w:szCs w:val="24"/>
          <w:highlight w:val="none"/>
          <w:lang w:val="en-US" w:eastAsia="zh-CN"/>
        </w:rPr>
        <w:t>人员 3 名。</w:t>
      </w:r>
    </w:p>
    <w:p w14:paraId="1EB60439">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bookmarkStart w:id="53" w:name="OLE_LINK19"/>
      <w:r>
        <w:rPr>
          <w:rFonts w:hint="eastAsia" w:ascii="Times New Roman" w:hAnsi="Times New Roman" w:eastAsia="宋体" w:cs="Times New Roman"/>
          <w:color w:val="auto"/>
          <w:sz w:val="24"/>
          <w:szCs w:val="24"/>
          <w:highlight w:val="none"/>
          <w:lang w:val="en-US" w:eastAsia="zh-CN"/>
        </w:rPr>
        <w:t>专业</w:t>
      </w:r>
      <w:bookmarkEnd w:id="53"/>
      <w:bookmarkStart w:id="54" w:name="OLE_LINK21"/>
      <w:r>
        <w:rPr>
          <w:rFonts w:hint="eastAsia" w:ascii="Times New Roman" w:hAnsi="Times New Roman" w:eastAsia="宋体" w:cs="Times New Roman"/>
          <w:color w:val="auto"/>
          <w:sz w:val="24"/>
          <w:szCs w:val="24"/>
          <w:highlight w:val="none"/>
          <w:lang w:val="en-US" w:eastAsia="zh-CN"/>
        </w:rPr>
        <w:t>督导</w:t>
      </w:r>
      <w:bookmarkEnd w:id="54"/>
      <w:r>
        <w:rPr>
          <w:rFonts w:hint="eastAsia" w:ascii="Times New Roman" w:hAnsi="Times New Roman" w:eastAsia="宋体" w:cs="Times New Roman"/>
          <w:color w:val="auto"/>
          <w:sz w:val="24"/>
          <w:szCs w:val="24"/>
          <w:highlight w:val="none"/>
          <w:lang w:val="en-US" w:eastAsia="zh-CN"/>
        </w:rPr>
        <w:t>。配备取得全国社会工作师职业水平考试社区工作师及以上职业水平证书从事社区工作服务满5年；或具有</w:t>
      </w:r>
      <w:bookmarkStart w:id="55" w:name="OLE_LINK20"/>
      <w:r>
        <w:rPr>
          <w:rFonts w:hint="eastAsia" w:ascii="Times New Roman" w:hAnsi="Times New Roman" w:eastAsia="宋体" w:cs="Times New Roman"/>
          <w:color w:val="auto"/>
          <w:sz w:val="24"/>
          <w:szCs w:val="24"/>
          <w:highlight w:val="none"/>
          <w:lang w:val="en-US" w:eastAsia="zh-CN"/>
        </w:rPr>
        <w:t>社会工作专业</w:t>
      </w:r>
      <w:bookmarkEnd w:id="55"/>
      <w:r>
        <w:rPr>
          <w:rFonts w:hint="eastAsia" w:ascii="Times New Roman" w:hAnsi="Times New Roman" w:eastAsia="宋体" w:cs="Times New Roman"/>
          <w:color w:val="auto"/>
          <w:sz w:val="24"/>
          <w:szCs w:val="24"/>
          <w:highlight w:val="none"/>
          <w:lang w:val="en-US" w:eastAsia="zh-CN"/>
        </w:rPr>
        <w:t>硕士研究生以上学历，在高校从事社会工作专业教学，且具有两年以上社会工作专业督导经验的人员 1 名。</w:t>
      </w:r>
    </w:p>
    <w:p w14:paraId="4D74341C">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（二）提供下列规章制度及图片</w:t>
      </w:r>
    </w:p>
    <w:p w14:paraId="5AB4DED0">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建立健全各项规章制度，包括社区渝康家园中心工作职责和工作人员的职责、工作计划和总结、活动安排表、入户调查登记表、个人康复训练计划、督促服药制度、突发事件应急预案、生产劳动操作规程、安全生产制度、财物管理制度、娱疗和体疗制度、康复档案制度等。</w:t>
      </w:r>
    </w:p>
    <w:p w14:paraId="1397AD04">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2、所开展各项活动均有文字、图片、音像等记录。</w:t>
      </w:r>
    </w:p>
    <w:p w14:paraId="2DA6B2EA">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56" w:name="_Toc15584"/>
      <w:r>
        <w:rPr>
          <w:rFonts w:hint="eastAsia" w:ascii="Times New Roman" w:hAnsi="Times New Roman" w:eastAsia="宋体" w:cs="Times New Roman"/>
          <w:color w:val="auto"/>
          <w:sz w:val="24"/>
          <w:szCs w:val="24"/>
          <w:highlight w:val="none"/>
          <w:lang w:val="en-US" w:eastAsia="zh-CN"/>
        </w:rPr>
        <w:t>三、项目服务内容</w:t>
      </w:r>
      <w:bookmarkEnd w:id="56"/>
    </w:p>
    <w:p w14:paraId="1E91DBFE">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（一）患者能力训练</w:t>
      </w:r>
    </w:p>
    <w:p w14:paraId="613C5D45">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1.生活自理能力训练。主要着重于患者的个人卫生、饮食、衣着、排便等方面，使患者重获日常生活的技能，提升自我照顾能力。</w:t>
      </w:r>
    </w:p>
    <w:p w14:paraId="4928505E">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2.社会适应能力训练。主要是使患者知道自己的姓名、年龄、性别、认识家庭成员三人及以上，知道家庭住址和回家的路，知道商店、邮局、超市，不断提高患者融入社会的能力。</w:t>
      </w:r>
    </w:p>
    <w:p w14:paraId="027F1F2C">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3.个人职业能力训练。简单的劳动作业（工疗）、农疗、工艺制作、就业训练，如糊纸、贴信封、拆纱团、织毛衣、绘画、搭积木、参加病房卫生等，帮助患者逐渐恢复参加社会工作的能力。</w:t>
      </w:r>
    </w:p>
    <w:p w14:paraId="3027505F">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生活技能训练。主要在于提高患者独立生活能力。通过模拟训练与日常实践相结合的方式进行，中心工作人员应当积极参与和督促患者实施。家务劳动、乘坐交通工具、购物、与家人一起吃饭、聊天、看电视，参与家庭事情的讨论，关心和支持家人等。</w:t>
      </w:r>
    </w:p>
    <w:p w14:paraId="4F8AB80D">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社交技能训练。提高患者主动与人交往及参加社会活动的能力。可通过角色扮演等模拟训练的方式，在社区康复服务中心或精神卫生医疗机构中开展。包括主动问候，聊天，接打电话，遵守约会时间，合理安排闲暇时间，处理生活矛盾，学会如何面试等。</w:t>
      </w:r>
    </w:p>
    <w:bookmarkEnd w:id="47"/>
    <w:p w14:paraId="35C69890">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（二）开展心理咨询 </w:t>
      </w:r>
    </w:p>
    <w:p w14:paraId="7609428D">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从来访者及家属等信息源获得有关来访者的心理问题、心理障碍的资料；对来访者的心理成长、人格发展、智力、社会化及家庭、婚姻生活事件等进行全面评估，概括心理和生理测查；根据心理发展史和心理生理测查的结果，对来访者作出心理诊断，制定心理治疗计划，并指导实施；在心理咨询中发现来访者有精神障碍的，应及时请求会诊或提出合理化的治疗建议，不少于200人次。</w:t>
      </w:r>
    </w:p>
    <w:p w14:paraId="5D3AF04A">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（三）开展服药能力训练</w:t>
      </w:r>
    </w:p>
    <w:p w14:paraId="7DDB13EA">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教育患者正确认识疾病，养成遵照医嘱按时按量服药的习惯。培训内容包括药物治疗重要性和复发严重性教育，熟悉所服的药物名称、剂量，了解药物不良反应及向医师求助的方法。精神障碍患者应当在社区精防人员、家庭医生、护士、专业社工和亲属帮助下开展服药或训练，按量服药，逐步提高服药依从性，坚持按医嘱服药，能按时复诊和取药，发现有病情变化，及时督促并协助亲属，送患者入院接受治疗，不少于300人次。</w:t>
      </w:r>
    </w:p>
    <w:p w14:paraId="39BB00DE">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（四）开展同伴支持</w:t>
      </w:r>
    </w:p>
    <w:p w14:paraId="43E963D4">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由恢复好的严重精神障碍患者作为同伴支持工作者带动其他严重精神障碍社区康复患者，开展以日常生活技巧、社交技巧、 疾病自我管理、情感支持、体育锻炼、健康生活引导、运动技能 练习、娱乐活动、职业技能训练、个人感知等为主题的活动，帮助康复者逐步恢复社会功能。</w:t>
      </w:r>
    </w:p>
    <w:p w14:paraId="2E7453B9">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（五）开展居家康复和家庭支持指导</w:t>
      </w:r>
    </w:p>
    <w:p w14:paraId="0DB56E11">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以开展随访的方式，对精神障碍患者进行科学指导：一是药物治疗。医生要定期进行家访或电话查询。二是心理治疗。定期对康复期患者进行解释性、支持性心理治疗，耐心倾听患者诉说自己感受的痛苦和想法，帮助患者分析有关发病的因素，提高对精神病的认识能力，恢复自知力；鼓励患者正确面对社会的偏见歧视；指导患者正确对待生活、家庭及工作等方面遇到的困难，增强对社会心理因素的承受能力和适应能力，促进心理康复。三是职业治疗。对病情较稳定，有一定劳动能力的患者，指导其做一些力所能及的工作，如养花、做手工和帮助家人做家务等，通过有针对性、从简到繁、从易到难、循序渐进的康复训练，促进疾病康复。四是家庭护理。包括饮食、个人生活照料，经常强化患者的记忆，鼓励其多动手，适当用脑，适当看书等，以延缓疾病的发展，并根据患者家庭状况，对其家属、监护人进行家庭护理知识、日常说话技巧教育。五是知识讲座及宣传。医生要对患者家属或监护人疾病知识讲座，内容是精神分裂症的一般知识及如何帮助患者康复。</w:t>
      </w:r>
    </w:p>
    <w:p w14:paraId="0DBE7003">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（六）完善转介机制</w:t>
      </w:r>
    </w:p>
    <w:p w14:paraId="70D1D026">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完善精神障碍患者社区康复资源平台，积极开展治疗、康复、就业等转介服务。适宜参加社区康复的患者，经患者和监护人同意后可由医院转介到相应社区的康复资源平台。精神障碍患者社区康复期间发病的，可通过社区康复机构向医院快速转介，形成住院—社区—康复的良性循环。</w:t>
      </w:r>
    </w:p>
    <w:p w14:paraId="16210F21">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（七）构建支持网络</w:t>
      </w:r>
    </w:p>
    <w:p w14:paraId="5E46D4BA">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建立家属、残疾人专干、民政工作人员、社区医务人员、社区民警等相关人员参与的康复工作模式。积极实施以奖代补政策，确保精神障碍患者监护责任落到实处，形成“精神病专科医院、社区卫生服务机构、社区康复机构和家庭”多层次、一体化的康复服务支持网络体系。</w:t>
      </w:r>
    </w:p>
    <w:p w14:paraId="51A76EAD">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（八）形成特色主题疗愈并经验总结推广</w:t>
      </w:r>
    </w:p>
    <w:p w14:paraId="48235B24">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在开展片区内形成一个特点鲜明的主题疗愈，并在区民政局和乡镇的指导下，并对社区康复工作进行全面的总结，归纳社区康复工作的基本做法、特色做法和经验做法，找出社区康复工作存在的问题、分析原因和解决途径，提炼社区康复工作具备可复制和推广的可行性经验。</w:t>
      </w:r>
    </w:p>
    <w:p w14:paraId="11A8D8EA">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（九）阵地建设</w:t>
      </w:r>
    </w:p>
    <w:p w14:paraId="3A80DF27">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加挂“渝康家园”标牌；进行社区康复文化墙设计打造，完善渝康家园制度；设置康复区域如活动区、阅读区、职业康复区、心理咨询室、户外活动区、日间休息室等；配有必要的康复工具，如生活技能训练室应配有烤箱、烘焙工具等；认知训练室应配有训练手眼协调的彩色图形木针板、训练上肢的健身器材等；心理咨询室应配有减压器材等。</w:t>
      </w:r>
    </w:p>
    <w:p w14:paraId="63AFAB69">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57" w:name="_Toc18756"/>
      <w:r>
        <w:rPr>
          <w:rFonts w:hint="eastAsia" w:ascii="Times New Roman" w:hAnsi="Times New Roman" w:eastAsia="宋体" w:cs="Times New Roman"/>
          <w:color w:val="auto"/>
          <w:sz w:val="24"/>
          <w:szCs w:val="24"/>
          <w:highlight w:val="none"/>
          <w:lang w:val="en-US" w:eastAsia="zh-CN"/>
        </w:rPr>
        <w:t>四、质量控制</w:t>
      </w:r>
      <w:bookmarkEnd w:id="57"/>
    </w:p>
    <w:p w14:paraId="026157F0">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1.对未加挂“渝康家园”标牌的乡镇加挂牌子，完成片区中心场地阵地建设以及乡镇服务站点场地布置。</w:t>
      </w:r>
    </w:p>
    <w:p w14:paraId="7A2289C9">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2.5类基础培训每一类不得少于10场，每场不少于1.5小时，每场10~20人，覆盖到所服务的乡镇（街道）。</w:t>
      </w:r>
    </w:p>
    <w:p w14:paraId="1A9E8BE3">
      <w:pPr>
        <w:pageBreakBefore w:val="0"/>
        <w:numPr>
          <w:ilvl w:val="0"/>
          <w:numId w:val="0"/>
        </w:numPr>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3.辖区精神障碍患者居家康复指导实现全覆盖。</w:t>
      </w:r>
    </w:p>
    <w:p w14:paraId="2A7F16D9">
      <w:pPr>
        <w:pageBreakBefore w:val="0"/>
        <w:numPr>
          <w:ilvl w:val="0"/>
          <w:numId w:val="0"/>
        </w:numPr>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4.开展主题特色活动不少于15场，所服务的乡镇（街道）至少举办1场活动。</w:t>
      </w:r>
    </w:p>
    <w:p w14:paraId="672C6AA4">
      <w:pPr>
        <w:pageBreakBefore w:val="0"/>
        <w:numPr>
          <w:ilvl w:val="0"/>
          <w:numId w:val="0"/>
        </w:numPr>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5.个案服务不少于30人。</w:t>
      </w:r>
    </w:p>
    <w:p w14:paraId="3D909E6E">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6.精神障碍患者愿意参与康复服务的建档率达到100%。</w:t>
      </w:r>
    </w:p>
    <w:p w14:paraId="2DDB691A">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7.精神障碍患者人及其亲友对康复服务满意率不低于 85%。</w:t>
      </w:r>
    </w:p>
    <w:p w14:paraId="7E6637DC">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8.形成转介机制和特色疗愈各1个。</w:t>
      </w:r>
    </w:p>
    <w:p w14:paraId="4C1FF872">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58" w:name="_Toc8565"/>
      <w:r>
        <w:rPr>
          <w:rFonts w:hint="eastAsia" w:ascii="Times New Roman" w:hAnsi="Times New Roman" w:eastAsia="宋体" w:cs="Times New Roman"/>
          <w:color w:val="auto"/>
          <w:sz w:val="24"/>
          <w:szCs w:val="24"/>
          <w:highlight w:val="none"/>
          <w:lang w:val="en-US" w:eastAsia="zh-CN"/>
        </w:rPr>
        <w:t>五、考评标准</w:t>
      </w:r>
      <w:bookmarkEnd w:id="58"/>
    </w:p>
    <w:tbl>
      <w:tblPr>
        <w:tblStyle w:val="26"/>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653"/>
        <w:gridCol w:w="1407"/>
        <w:gridCol w:w="1968"/>
        <w:gridCol w:w="1879"/>
        <w:gridCol w:w="1133"/>
      </w:tblGrid>
      <w:tr w14:paraId="7124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184" w:type="dxa"/>
            <w:vAlign w:val="center"/>
          </w:tcPr>
          <w:p w14:paraId="59DB6CFF">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考核内容</w:t>
            </w:r>
          </w:p>
        </w:tc>
        <w:tc>
          <w:tcPr>
            <w:tcW w:w="1653" w:type="dxa"/>
            <w:vAlign w:val="center"/>
          </w:tcPr>
          <w:p w14:paraId="1DCCC908">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资格要求</w:t>
            </w:r>
            <w:r>
              <w:rPr>
                <w:rFonts w:hint="eastAsia" w:ascii="宋体" w:hAnsi="宋体" w:eastAsia="宋体" w:cs="宋体"/>
                <w:color w:val="auto"/>
                <w:sz w:val="22"/>
                <w:szCs w:val="22"/>
                <w:highlight w:val="none"/>
                <w:lang w:val="en-US" w:eastAsia="zh-CN"/>
              </w:rPr>
              <w:t xml:space="preserve">    人员配置</w:t>
            </w:r>
          </w:p>
        </w:tc>
        <w:tc>
          <w:tcPr>
            <w:tcW w:w="1407" w:type="dxa"/>
            <w:vAlign w:val="center"/>
          </w:tcPr>
          <w:p w14:paraId="320B48A0">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阵地建设  </w:t>
            </w:r>
          </w:p>
        </w:tc>
        <w:tc>
          <w:tcPr>
            <w:tcW w:w="1968" w:type="dxa"/>
            <w:vAlign w:val="center"/>
          </w:tcPr>
          <w:p w14:paraId="4729B943">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服务内容计划书</w:t>
            </w:r>
          </w:p>
        </w:tc>
        <w:tc>
          <w:tcPr>
            <w:tcW w:w="1879" w:type="dxa"/>
            <w:vAlign w:val="center"/>
          </w:tcPr>
          <w:p w14:paraId="77C0A0B5">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规章制度</w:t>
            </w:r>
          </w:p>
        </w:tc>
        <w:tc>
          <w:tcPr>
            <w:tcW w:w="1133" w:type="dxa"/>
            <w:vAlign w:val="center"/>
          </w:tcPr>
          <w:p w14:paraId="0B00EEF0">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合计分数</w:t>
            </w:r>
          </w:p>
        </w:tc>
      </w:tr>
      <w:tr w14:paraId="5E01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84" w:type="dxa"/>
            <w:vAlign w:val="center"/>
          </w:tcPr>
          <w:p w14:paraId="3D0925B8">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评分标准</w:t>
            </w:r>
          </w:p>
        </w:tc>
        <w:tc>
          <w:tcPr>
            <w:tcW w:w="1653" w:type="dxa"/>
            <w:vAlign w:val="center"/>
          </w:tcPr>
          <w:p w14:paraId="4C98A97F">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15分</w:t>
            </w:r>
          </w:p>
        </w:tc>
        <w:tc>
          <w:tcPr>
            <w:tcW w:w="1407" w:type="dxa"/>
            <w:vAlign w:val="center"/>
          </w:tcPr>
          <w:p w14:paraId="64FCD9B2">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30分</w:t>
            </w:r>
          </w:p>
        </w:tc>
        <w:tc>
          <w:tcPr>
            <w:tcW w:w="1968" w:type="dxa"/>
            <w:vAlign w:val="center"/>
          </w:tcPr>
          <w:p w14:paraId="2F0ED51E">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30分</w:t>
            </w:r>
          </w:p>
        </w:tc>
        <w:tc>
          <w:tcPr>
            <w:tcW w:w="1879" w:type="dxa"/>
            <w:vAlign w:val="center"/>
          </w:tcPr>
          <w:p w14:paraId="4DA11E32">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20分</w:t>
            </w:r>
          </w:p>
        </w:tc>
        <w:tc>
          <w:tcPr>
            <w:tcW w:w="1133" w:type="dxa"/>
            <w:vAlign w:val="center"/>
          </w:tcPr>
          <w:p w14:paraId="7776D229">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100分</w:t>
            </w:r>
          </w:p>
        </w:tc>
      </w:tr>
      <w:tr w14:paraId="7810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84" w:type="dxa"/>
            <w:vAlign w:val="center"/>
          </w:tcPr>
          <w:p w14:paraId="126DED87">
            <w:pPr>
              <w:snapToGrid w:val="0"/>
              <w:spacing w:line="288"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得分情况</w:t>
            </w:r>
          </w:p>
        </w:tc>
        <w:tc>
          <w:tcPr>
            <w:tcW w:w="1653" w:type="dxa"/>
            <w:vAlign w:val="center"/>
          </w:tcPr>
          <w:p w14:paraId="7502EF31">
            <w:pPr>
              <w:snapToGrid w:val="0"/>
              <w:spacing w:line="288" w:lineRule="auto"/>
              <w:ind w:firstLine="440" w:firstLineChars="200"/>
              <w:rPr>
                <w:rFonts w:hint="eastAsia" w:ascii="宋体" w:hAnsi="宋体" w:eastAsia="宋体" w:cs="宋体"/>
                <w:color w:val="auto"/>
                <w:sz w:val="22"/>
                <w:szCs w:val="22"/>
                <w:highlight w:val="none"/>
                <w:lang w:val="en-US" w:eastAsia="zh-CN"/>
              </w:rPr>
            </w:pPr>
          </w:p>
        </w:tc>
        <w:tc>
          <w:tcPr>
            <w:tcW w:w="1407" w:type="dxa"/>
            <w:vAlign w:val="center"/>
          </w:tcPr>
          <w:p w14:paraId="4FD5B4DE">
            <w:pPr>
              <w:snapToGrid w:val="0"/>
              <w:spacing w:line="288" w:lineRule="auto"/>
              <w:ind w:firstLine="440" w:firstLineChars="200"/>
              <w:rPr>
                <w:rFonts w:hint="eastAsia" w:ascii="宋体" w:hAnsi="宋体" w:eastAsia="宋体" w:cs="宋体"/>
                <w:color w:val="auto"/>
                <w:sz w:val="22"/>
                <w:szCs w:val="22"/>
                <w:highlight w:val="none"/>
                <w:lang w:val="en-US" w:eastAsia="zh-CN"/>
              </w:rPr>
            </w:pPr>
          </w:p>
        </w:tc>
        <w:tc>
          <w:tcPr>
            <w:tcW w:w="1968" w:type="dxa"/>
            <w:vAlign w:val="center"/>
          </w:tcPr>
          <w:p w14:paraId="45147FD3">
            <w:pPr>
              <w:snapToGrid w:val="0"/>
              <w:spacing w:line="288" w:lineRule="auto"/>
              <w:ind w:firstLine="440" w:firstLineChars="200"/>
              <w:rPr>
                <w:rFonts w:hint="eastAsia" w:ascii="宋体" w:hAnsi="宋体" w:eastAsia="宋体" w:cs="宋体"/>
                <w:color w:val="auto"/>
                <w:sz w:val="22"/>
                <w:szCs w:val="22"/>
                <w:highlight w:val="none"/>
                <w:lang w:val="en-US" w:eastAsia="zh-CN"/>
              </w:rPr>
            </w:pPr>
          </w:p>
        </w:tc>
        <w:tc>
          <w:tcPr>
            <w:tcW w:w="1879" w:type="dxa"/>
            <w:vAlign w:val="center"/>
          </w:tcPr>
          <w:p w14:paraId="6463B6E4">
            <w:pPr>
              <w:snapToGrid w:val="0"/>
              <w:spacing w:line="288" w:lineRule="auto"/>
              <w:ind w:firstLine="440" w:firstLineChars="200"/>
              <w:rPr>
                <w:rFonts w:hint="eastAsia" w:ascii="宋体" w:hAnsi="宋体" w:eastAsia="宋体" w:cs="宋体"/>
                <w:color w:val="auto"/>
                <w:sz w:val="22"/>
                <w:szCs w:val="22"/>
                <w:highlight w:val="none"/>
                <w:lang w:val="en-US" w:eastAsia="zh-CN"/>
              </w:rPr>
            </w:pPr>
          </w:p>
        </w:tc>
        <w:tc>
          <w:tcPr>
            <w:tcW w:w="1133" w:type="dxa"/>
            <w:vAlign w:val="center"/>
          </w:tcPr>
          <w:p w14:paraId="324E206F">
            <w:pPr>
              <w:snapToGrid w:val="0"/>
              <w:spacing w:line="288" w:lineRule="auto"/>
              <w:ind w:firstLine="440" w:firstLineChars="200"/>
              <w:rPr>
                <w:rFonts w:hint="eastAsia" w:ascii="宋体" w:hAnsi="宋体" w:eastAsia="宋体" w:cs="宋体"/>
                <w:color w:val="auto"/>
                <w:sz w:val="22"/>
                <w:szCs w:val="22"/>
                <w:highlight w:val="none"/>
                <w:lang w:val="en-US" w:eastAsia="zh-CN"/>
              </w:rPr>
            </w:pPr>
          </w:p>
        </w:tc>
      </w:tr>
      <w:tr w14:paraId="539F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1184" w:type="dxa"/>
            <w:vAlign w:val="center"/>
          </w:tcPr>
          <w:p w14:paraId="61DB6CA7">
            <w:pPr>
              <w:snapToGrid w:val="0"/>
              <w:spacing w:line="288"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评分说明</w:t>
            </w:r>
          </w:p>
        </w:tc>
        <w:tc>
          <w:tcPr>
            <w:tcW w:w="1653" w:type="dxa"/>
            <w:vAlign w:val="top"/>
          </w:tcPr>
          <w:p w14:paraId="2A89801E">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投标人营业执照包含社会工作服务营业范围得</w:t>
            </w:r>
            <w:r>
              <w:rPr>
                <w:rFonts w:hint="eastAsia" w:ascii="宋体" w:hAnsi="宋体" w:eastAsia="宋体" w:cs="宋体"/>
                <w:color w:val="auto"/>
                <w:sz w:val="18"/>
                <w:szCs w:val="18"/>
                <w:highlight w:val="none"/>
                <w:lang w:val="en-US" w:eastAsia="zh-CN"/>
              </w:rPr>
              <w:t>3分。</w:t>
            </w:r>
          </w:p>
          <w:p w14:paraId="0823D6E4">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有依法缴纳税收和社会保障资金的良好记录得</w:t>
            </w:r>
            <w:r>
              <w:rPr>
                <w:rFonts w:hint="eastAsia" w:ascii="宋体" w:hAnsi="宋体" w:eastAsia="宋体" w:cs="宋体"/>
                <w:color w:val="auto"/>
                <w:sz w:val="18"/>
                <w:szCs w:val="18"/>
                <w:highlight w:val="none"/>
                <w:lang w:val="en-US" w:eastAsia="zh-CN"/>
              </w:rPr>
              <w:t>3分。</w:t>
            </w:r>
          </w:p>
          <w:p w14:paraId="52DAE7A0">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具有主管部门颁发的有效期内的《</w:t>
            </w:r>
            <w:r>
              <w:rPr>
                <w:rFonts w:hint="eastAsia" w:ascii="宋体" w:hAnsi="宋体" w:eastAsia="宋体" w:cs="宋体"/>
                <w:color w:val="auto"/>
                <w:sz w:val="18"/>
                <w:szCs w:val="18"/>
                <w:highlight w:val="none"/>
                <w:lang w:val="en-US" w:eastAsia="zh-CN"/>
              </w:rPr>
              <w:t>民办非企业单位登记证书</w:t>
            </w:r>
            <w:r>
              <w:rPr>
                <w:rFonts w:hint="eastAsia" w:ascii="宋体" w:hAnsi="宋体" w:eastAsia="宋体" w:cs="宋体"/>
                <w:color w:val="auto"/>
                <w:sz w:val="18"/>
                <w:szCs w:val="18"/>
                <w:highlight w:val="none"/>
              </w:rPr>
              <w:t>》，提供复印件并加盖公章得</w:t>
            </w:r>
            <w:r>
              <w:rPr>
                <w:rFonts w:hint="eastAsia" w:ascii="宋体" w:hAnsi="宋体" w:eastAsia="宋体" w:cs="宋体"/>
                <w:color w:val="auto"/>
                <w:sz w:val="18"/>
                <w:szCs w:val="18"/>
                <w:highlight w:val="none"/>
                <w:lang w:val="en-US" w:eastAsia="zh-CN"/>
              </w:rPr>
              <w:t>4分。</w:t>
            </w:r>
          </w:p>
          <w:p w14:paraId="0592BAD0">
            <w:pPr>
              <w:snapToGrid w:val="0"/>
              <w:spacing w:line="288"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4、人员</w:t>
            </w:r>
            <w:r>
              <w:rPr>
                <w:rFonts w:hint="eastAsia" w:ascii="宋体" w:hAnsi="宋体" w:eastAsia="宋体" w:cs="宋体"/>
                <w:color w:val="auto"/>
                <w:sz w:val="18"/>
                <w:szCs w:val="18"/>
                <w:highlight w:val="none"/>
                <w:lang w:eastAsia="zh-CN"/>
              </w:rPr>
              <w:t>配置合理</w:t>
            </w:r>
            <w:bookmarkStart w:id="59" w:name="OLE_LINK26"/>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5分</w:t>
            </w:r>
            <w:bookmarkEnd w:id="59"/>
            <w:r>
              <w:rPr>
                <w:rFonts w:hint="eastAsia" w:ascii="宋体" w:hAnsi="宋体" w:eastAsia="宋体" w:cs="宋体"/>
                <w:color w:val="auto"/>
                <w:sz w:val="18"/>
                <w:szCs w:val="18"/>
                <w:highlight w:val="none"/>
                <w:lang w:val="en-US" w:eastAsia="zh-CN"/>
              </w:rPr>
              <w:t>。</w:t>
            </w:r>
          </w:p>
        </w:tc>
        <w:tc>
          <w:tcPr>
            <w:tcW w:w="1407" w:type="dxa"/>
            <w:vAlign w:val="top"/>
          </w:tcPr>
          <w:p w14:paraId="4AC0FC43">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1、配备职业能力评估设备和职业治疗，日常生活能力训练设备 15分。</w:t>
            </w:r>
          </w:p>
          <w:p w14:paraId="773036BB">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2、配有工场生产相关的劳动工具和设备</w:t>
            </w:r>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5分。</w:t>
            </w:r>
          </w:p>
          <w:p w14:paraId="6D1B2A3A">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3、配有组织娱乐、文体、健身等活动的有关器材和电视、音响设备得5分。</w:t>
            </w:r>
          </w:p>
          <w:p w14:paraId="57061582">
            <w:pPr>
              <w:snapToGrid w:val="0"/>
              <w:spacing w:line="288"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4、配有康复宣传材料和各类书报刊物、音像资料得5分。</w:t>
            </w:r>
          </w:p>
        </w:tc>
        <w:tc>
          <w:tcPr>
            <w:tcW w:w="1968" w:type="dxa"/>
            <w:vAlign w:val="top"/>
          </w:tcPr>
          <w:p w14:paraId="63A9AA2D">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1、患者能力训练得5分。</w:t>
            </w:r>
          </w:p>
          <w:p w14:paraId="62753DD8">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2、开展心理咨询得5分。</w:t>
            </w:r>
          </w:p>
          <w:p w14:paraId="26FCEE66">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3、开展服药能力训练得5分。</w:t>
            </w:r>
          </w:p>
          <w:p w14:paraId="79FEC5C5">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4、居家康复指导形成得5分。</w:t>
            </w:r>
          </w:p>
          <w:p w14:paraId="70CB0B19">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5、转介机制得2分。</w:t>
            </w:r>
          </w:p>
          <w:p w14:paraId="64C214F5">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6、构建支持网络得4分。</w:t>
            </w:r>
          </w:p>
          <w:p w14:paraId="6B735375">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7、经验总结推广得4分。</w:t>
            </w:r>
          </w:p>
          <w:p w14:paraId="391E1574">
            <w:pPr>
              <w:snapToGrid w:val="0"/>
              <w:spacing w:line="288" w:lineRule="auto"/>
              <w:rPr>
                <w:rFonts w:hint="eastAsia" w:ascii="宋体" w:hAnsi="宋体" w:eastAsia="宋体" w:cs="宋体"/>
                <w:color w:val="auto"/>
                <w:sz w:val="18"/>
                <w:szCs w:val="18"/>
                <w:highlight w:val="none"/>
                <w:lang w:val="en-US" w:eastAsia="zh-CN"/>
              </w:rPr>
            </w:pPr>
          </w:p>
        </w:tc>
        <w:tc>
          <w:tcPr>
            <w:tcW w:w="1879" w:type="dxa"/>
            <w:vAlign w:val="top"/>
          </w:tcPr>
          <w:p w14:paraId="7C96F599">
            <w:pPr>
              <w:numPr>
                <w:ilvl w:val="0"/>
                <w:numId w:val="3"/>
              </w:num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建立健全各项规章制度，包括渝康家园中心工作职责和工作人员的职责、工作计划和总结、活动安排表、入户调查登记表、个人康复训练计划、督促服药制度、突发事件应急预案、生产劳动操作规程、安全生产制度、财物管理制度、娱疗和体疗制度、康复档案制度</w:t>
            </w:r>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15分。</w:t>
            </w:r>
          </w:p>
          <w:p w14:paraId="58B93221">
            <w:pPr>
              <w:numPr>
                <w:ilvl w:val="0"/>
                <w:numId w:val="3"/>
              </w:numPr>
              <w:snapToGrid w:val="0"/>
              <w:spacing w:line="288"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所开展各项活动均有文字、图片、音像等</w:t>
            </w:r>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5分。</w:t>
            </w:r>
          </w:p>
        </w:tc>
        <w:tc>
          <w:tcPr>
            <w:tcW w:w="1133" w:type="dxa"/>
            <w:vAlign w:val="top"/>
          </w:tcPr>
          <w:p w14:paraId="2F0035D1">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备注：</w:t>
            </w:r>
          </w:p>
          <w:p w14:paraId="237055CD">
            <w:pPr>
              <w:snapToGrid w:val="0"/>
              <w:spacing w:line="288"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1、缺一项扣缺项全分；2、不完善的项，根据内容适当得分。</w:t>
            </w:r>
          </w:p>
        </w:tc>
      </w:tr>
      <w:bookmarkEnd w:id="36"/>
      <w:bookmarkEnd w:id="37"/>
      <w:bookmarkEnd w:id="38"/>
      <w:bookmarkEnd w:id="39"/>
      <w:bookmarkEnd w:id="40"/>
      <w:bookmarkEnd w:id="41"/>
      <w:bookmarkEnd w:id="42"/>
      <w:bookmarkEnd w:id="43"/>
      <w:bookmarkEnd w:id="44"/>
      <w:bookmarkEnd w:id="45"/>
      <w:bookmarkEnd w:id="46"/>
    </w:tbl>
    <w:p w14:paraId="3CE99E78">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val="0"/>
          <w:color w:val="auto"/>
          <w:kern w:val="2"/>
          <w:sz w:val="22"/>
          <w:szCs w:val="22"/>
          <w:highlight w:val="none"/>
          <w:lang w:val="en-US" w:eastAsia="zh-CN" w:bidi="ar-SA"/>
        </w:rPr>
      </w:pPr>
    </w:p>
    <w:p w14:paraId="66D2B60F">
      <w:pPr>
        <w:numPr>
          <w:ilvl w:val="0"/>
          <w:numId w:val="0"/>
        </w:numPr>
        <w:ind w:left="480" w:leftChars="0"/>
        <w:rPr>
          <w:rFonts w:hint="default"/>
          <w:color w:val="auto"/>
          <w:highlight w:val="none"/>
          <w:lang w:val="en-US" w:eastAsia="zh-CN"/>
        </w:rPr>
      </w:pPr>
    </w:p>
    <w:p w14:paraId="54BEFD30">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67AE539F">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58DC9726">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345D9C68">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7BE2DED3">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4F499DB0">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1A40CE2B">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6D327919">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596C732E">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396EE275">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021F4CE5">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570118FD">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16E27628">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0073B839">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4B3D8075">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65525B11">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70156471">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5CC3533C">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68AEA3C8">
      <w:pPr>
        <w:pStyle w:val="22"/>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1AD61F16">
      <w:pPr>
        <w:pStyle w:val="4"/>
        <w:bidi w:val="0"/>
        <w:rPr>
          <w:rFonts w:hint="default"/>
          <w:color w:val="auto"/>
          <w:highlight w:val="none"/>
          <w:lang w:val="en-US" w:eastAsia="zh-CN"/>
        </w:rPr>
      </w:pPr>
      <w:bookmarkStart w:id="60" w:name="_Toc4987"/>
      <w:r>
        <w:rPr>
          <w:rFonts w:hint="eastAsia"/>
          <w:color w:val="auto"/>
          <w:highlight w:val="none"/>
          <w:lang w:val="en-US" w:eastAsia="zh-CN"/>
        </w:rPr>
        <w:t>第三篇</w:t>
      </w:r>
      <w:r>
        <w:rPr>
          <w:rFonts w:hint="default"/>
          <w:color w:val="auto"/>
          <w:highlight w:val="none"/>
          <w:lang w:val="en-US" w:eastAsia="zh-CN"/>
        </w:rPr>
        <w:t xml:space="preserve"> 项目商务需求</w:t>
      </w:r>
      <w:bookmarkEnd w:id="32"/>
      <w:bookmarkEnd w:id="60"/>
    </w:p>
    <w:p w14:paraId="2A80C1B3">
      <w:pPr>
        <w:rPr>
          <w:rFonts w:hint="default"/>
          <w:color w:val="auto"/>
          <w:highlight w:val="none"/>
        </w:rPr>
      </w:pPr>
    </w:p>
    <w:p w14:paraId="0FD4F27E">
      <w:pPr>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left"/>
        <w:rPr>
          <w:rFonts w:hint="eastAsia" w:ascii="宋体" w:hAnsi="宋体" w:eastAsia="宋体" w:cs="宋体"/>
          <w:color w:val="auto"/>
          <w:highlight w:val="none"/>
          <w:u w:val="none"/>
        </w:rPr>
      </w:pPr>
      <w:r>
        <w:rPr>
          <w:rFonts w:hint="eastAsia" w:ascii="宋体" w:hAnsi="宋体" w:eastAsia="宋体" w:cs="宋体"/>
          <w:b/>
          <w:bCs/>
          <w:color w:val="auto"/>
          <w:sz w:val="24"/>
          <w:szCs w:val="24"/>
          <w:highlight w:val="none"/>
          <w:u w:val="none"/>
        </w:rPr>
        <w:t>本篇项目商务需求为符合性审查中的实质性要求，响应文件若不满足按无效</w:t>
      </w:r>
      <w:r>
        <w:rPr>
          <w:rFonts w:hint="eastAsia" w:ascii="宋体" w:hAnsi="宋体" w:eastAsia="宋体" w:cs="宋体"/>
          <w:b/>
          <w:bCs/>
          <w:color w:val="auto"/>
          <w:sz w:val="24"/>
          <w:szCs w:val="24"/>
          <w:highlight w:val="none"/>
          <w:u w:val="none"/>
          <w:lang w:val="en-US" w:eastAsia="zh-CN"/>
        </w:rPr>
        <w:t>响应</w:t>
      </w:r>
      <w:r>
        <w:rPr>
          <w:rFonts w:hint="eastAsia" w:ascii="宋体" w:hAnsi="宋体" w:eastAsia="宋体" w:cs="宋体"/>
          <w:b/>
          <w:bCs/>
          <w:color w:val="auto"/>
          <w:sz w:val="24"/>
          <w:szCs w:val="24"/>
          <w:highlight w:val="none"/>
          <w:u w:val="none"/>
        </w:rPr>
        <w:t>处理。</w:t>
      </w:r>
    </w:p>
    <w:p w14:paraId="73DB8499">
      <w:pPr>
        <w:rPr>
          <w:rFonts w:hint="default"/>
          <w:color w:val="auto"/>
          <w:highlight w:val="none"/>
        </w:rPr>
      </w:pPr>
    </w:p>
    <w:p w14:paraId="2C588CDB">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61" w:name="_Toc100843746"/>
      <w:bookmarkStart w:id="62" w:name="_Toc13708"/>
      <w:bookmarkStart w:id="63" w:name="_Toc344475121"/>
      <w:bookmarkStart w:id="64" w:name="_Toc28040"/>
      <w:r>
        <w:rPr>
          <w:rFonts w:hint="default" w:ascii="Times New Roman" w:hAnsi="Times New Roman" w:eastAsia="宋体" w:cs="Times New Roman"/>
          <w:color w:val="auto"/>
          <w:sz w:val="24"/>
          <w:szCs w:val="24"/>
          <w:highlight w:val="none"/>
          <w:lang w:val="en-US" w:eastAsia="zh-CN"/>
        </w:rPr>
        <w:t>一、</w:t>
      </w:r>
      <w:bookmarkEnd w:id="61"/>
      <w:r>
        <w:rPr>
          <w:rFonts w:hint="default" w:ascii="Times New Roman" w:hAnsi="Times New Roman" w:eastAsia="宋体" w:cs="Times New Roman"/>
          <w:color w:val="auto"/>
          <w:sz w:val="24"/>
          <w:szCs w:val="24"/>
          <w:highlight w:val="none"/>
          <w:lang w:val="en-US" w:eastAsia="zh-CN"/>
        </w:rPr>
        <w:t>服务期、地点及验收方式</w:t>
      </w:r>
      <w:bookmarkEnd w:id="62"/>
    </w:p>
    <w:p w14:paraId="7175A18F">
      <w:pPr>
        <w:snapToGrid w:val="0"/>
        <w:spacing w:line="400" w:lineRule="exact"/>
        <w:ind w:firstLine="480" w:firstLineChars="200"/>
        <w:rPr>
          <w:rFonts w:ascii="宋体" w:hAnsi="宋体" w:cs="宋体"/>
          <w:color w:val="auto"/>
          <w:sz w:val="24"/>
          <w:szCs w:val="24"/>
          <w:highlight w:val="none"/>
          <w:lang w:val="zh-CN"/>
        </w:rPr>
      </w:pPr>
      <w:r>
        <w:rPr>
          <w:rFonts w:hint="default" w:ascii="Times New Roman" w:hAnsi="Times New Roman" w:eastAsia="宋体" w:cs="Times New Roman"/>
          <w:color w:val="auto"/>
          <w:kern w:val="2"/>
          <w:sz w:val="24"/>
          <w:szCs w:val="24"/>
          <w:highlight w:val="none"/>
          <w:lang w:val="en-US" w:eastAsia="zh-CN" w:bidi="ar-SA"/>
        </w:rPr>
        <w:t>（一）服务期：</w:t>
      </w:r>
      <w:r>
        <w:rPr>
          <w:rFonts w:hint="eastAsia" w:eastAsia="方正仿宋_GBK"/>
          <w:bCs/>
          <w:color w:val="auto"/>
          <w:kern w:val="0"/>
          <w:sz w:val="24"/>
          <w:highlight w:val="none"/>
          <w:lang w:val="en-US" w:eastAsia="zh-CN"/>
        </w:rPr>
        <w:t>1年</w:t>
      </w:r>
      <w:r>
        <w:rPr>
          <w:rFonts w:hint="eastAsia" w:ascii="宋体" w:hAnsi="宋体" w:cs="宋体"/>
          <w:color w:val="auto"/>
          <w:sz w:val="24"/>
          <w:szCs w:val="24"/>
          <w:highlight w:val="none"/>
          <w:lang w:val="en-US" w:eastAsia="zh-CN"/>
        </w:rPr>
        <w:t>（合同签订时间为准）</w:t>
      </w:r>
      <w:r>
        <w:rPr>
          <w:rFonts w:eastAsia="方正仿宋_GBK"/>
          <w:bCs/>
          <w:color w:val="auto"/>
          <w:kern w:val="0"/>
          <w:sz w:val="24"/>
          <w:highlight w:val="none"/>
        </w:rPr>
        <w:t>。</w:t>
      </w:r>
    </w:p>
    <w:p w14:paraId="7D80E054">
      <w:pPr>
        <w:keepNext w:val="0"/>
        <w:keepLines w:val="0"/>
        <w:pageBreakBefore w:val="0"/>
        <w:kinsoku/>
        <w:wordWrap/>
        <w:topLinePunct w:val="0"/>
        <w:autoSpaceDE/>
        <w:autoSpaceDN/>
        <w:bidi w:val="0"/>
        <w:spacing w:line="580" w:lineRule="exact"/>
        <w:ind w:firstLine="480" w:firstLineChars="200"/>
        <w:textAlignment w:val="auto"/>
        <w:rPr>
          <w:rFonts w:hint="default" w:ascii="宋体" w:hAnsi="宋体" w:cs="宋体"/>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（二）服务地点：</w:t>
      </w:r>
      <w:r>
        <w:rPr>
          <w:rFonts w:hint="eastAsia" w:ascii="Times New Roman" w:hAnsi="Times New Roman" w:eastAsia="宋体" w:cs="Times New Roman"/>
          <w:color w:val="auto"/>
          <w:kern w:val="2"/>
          <w:sz w:val="24"/>
          <w:szCs w:val="24"/>
          <w:highlight w:val="none"/>
          <w:lang w:val="en-US" w:eastAsia="zh-CN" w:bidi="ar-SA"/>
        </w:rPr>
        <w:t>重庆市武隆区</w:t>
      </w:r>
      <w:r>
        <w:rPr>
          <w:rFonts w:hint="eastAsia" w:ascii="宋体" w:hAnsi="宋体" w:cs="宋体"/>
          <w:color w:val="auto"/>
          <w:sz w:val="24"/>
          <w:szCs w:val="24"/>
          <w:highlight w:val="none"/>
          <w:lang w:val="en-US" w:eastAsia="zh-CN"/>
        </w:rPr>
        <w:t>芙蓉片区、长坝片区、凤来片区所在的13个乡镇（街道）</w:t>
      </w:r>
      <w:r>
        <w:rPr>
          <w:rFonts w:hint="default" w:ascii="宋体" w:hAnsi="宋体" w:cs="宋体"/>
          <w:color w:val="auto"/>
          <w:sz w:val="24"/>
          <w:szCs w:val="24"/>
          <w:highlight w:val="none"/>
          <w:lang w:val="en-US" w:eastAsia="zh-CN"/>
        </w:rPr>
        <w:t>。</w:t>
      </w:r>
    </w:p>
    <w:p w14:paraId="67BFD484">
      <w:pPr>
        <w:keepNext w:val="0"/>
        <w:keepLines w:val="0"/>
        <w:pageBreakBefore w:val="0"/>
        <w:kinsoku/>
        <w:wordWrap/>
        <w:topLinePunct w:val="0"/>
        <w:autoSpaceDE/>
        <w:autoSpaceDN/>
        <w:bidi w:val="0"/>
        <w:spacing w:line="580" w:lineRule="exact"/>
        <w:ind w:firstLine="480" w:firstLineChars="200"/>
        <w:textAlignment w:val="auto"/>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宋体" w:cs="Times New Roman"/>
          <w:color w:val="auto"/>
          <w:kern w:val="2"/>
          <w:sz w:val="24"/>
          <w:szCs w:val="24"/>
          <w:highlight w:val="none"/>
          <w:lang w:val="en-US" w:eastAsia="zh-CN" w:bidi="ar-SA"/>
        </w:rPr>
        <w:t>（三）验收方式：</w:t>
      </w:r>
      <w:r>
        <w:rPr>
          <w:rFonts w:hint="eastAsia" w:ascii="Times New Roman" w:hAnsi="Times New Roman" w:eastAsia="宋体" w:cs="Times New Roman"/>
          <w:color w:val="auto"/>
          <w:kern w:val="2"/>
          <w:sz w:val="24"/>
          <w:szCs w:val="24"/>
          <w:highlight w:val="none"/>
          <w:lang w:val="en-US" w:eastAsia="zh-CN" w:bidi="ar-SA"/>
        </w:rPr>
        <w:t>采购人根据文件要求验收。</w:t>
      </w:r>
    </w:p>
    <w:p w14:paraId="128079DF">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65" w:name="_Toc28443"/>
      <w:r>
        <w:rPr>
          <w:rFonts w:hint="default" w:ascii="Times New Roman" w:hAnsi="Times New Roman" w:eastAsia="宋体" w:cs="Times New Roman"/>
          <w:color w:val="auto"/>
          <w:sz w:val="24"/>
          <w:szCs w:val="24"/>
          <w:highlight w:val="none"/>
          <w:lang w:val="en-US" w:eastAsia="zh-CN"/>
        </w:rPr>
        <w:t>二、</w:t>
      </w:r>
      <w:bookmarkEnd w:id="63"/>
      <w:r>
        <w:rPr>
          <w:rFonts w:hint="default" w:ascii="Times New Roman" w:hAnsi="Times New Roman" w:eastAsia="宋体" w:cs="Times New Roman"/>
          <w:color w:val="auto"/>
          <w:sz w:val="24"/>
          <w:szCs w:val="24"/>
          <w:highlight w:val="none"/>
          <w:lang w:val="en-US" w:eastAsia="zh-CN"/>
        </w:rPr>
        <w:t>报价要求</w:t>
      </w:r>
      <w:bookmarkEnd w:id="64"/>
      <w:bookmarkEnd w:id="65"/>
    </w:p>
    <w:p w14:paraId="307A5904">
      <w:pPr>
        <w:keepNext w:val="0"/>
        <w:keepLines w:val="0"/>
        <w:pageBreakBefore w:val="0"/>
        <w:kinsoku/>
        <w:wordWrap/>
        <w:topLinePunct w:val="0"/>
        <w:autoSpaceDE/>
        <w:autoSpaceDN/>
        <w:bidi w:val="0"/>
        <w:spacing w:line="5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bookmarkStart w:id="66" w:name="_Toc4713"/>
      <w:bookmarkStart w:id="67" w:name="_Toc32652"/>
      <w:bookmarkStart w:id="68" w:name="_Toc24284"/>
      <w:bookmarkStart w:id="69" w:name="_Toc11730"/>
      <w:bookmarkStart w:id="70" w:name="_Toc3321"/>
      <w:r>
        <w:rPr>
          <w:rFonts w:hint="eastAsia" w:ascii="Times New Roman" w:hAnsi="Times New Roman" w:eastAsia="宋体" w:cs="Times New Roman"/>
          <w:color w:val="auto"/>
          <w:kern w:val="2"/>
          <w:sz w:val="24"/>
          <w:szCs w:val="24"/>
          <w:highlight w:val="none"/>
          <w:lang w:val="en-US" w:eastAsia="zh-CN" w:bidi="ar-SA"/>
        </w:rPr>
        <w:t>本次报价为人民币报价，报价须包含但不限于：完成本项目所需的服务费、人工费及提供服务所需的设备或货物购买（制造）费、辅材费、运输费、装卸费、安装调试费、培训费及各种应纳的税费、采购代理服务费等完成本项目所需的所有费用。因成交供应商自身原因造成漏报、少报皆由其自行承担责任，采购人不再补偿任何费用。</w:t>
      </w:r>
      <w:bookmarkEnd w:id="66"/>
      <w:bookmarkEnd w:id="67"/>
      <w:bookmarkEnd w:id="68"/>
      <w:bookmarkEnd w:id="69"/>
    </w:p>
    <w:bookmarkEnd w:id="70"/>
    <w:p w14:paraId="7C7CBF0C">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71" w:name="_Toc12348"/>
      <w:bookmarkStart w:id="72" w:name="_Toc2710"/>
      <w:r>
        <w:rPr>
          <w:rFonts w:hint="eastAsia" w:ascii="Times New Roman" w:hAnsi="Times New Roman" w:eastAsia="宋体" w:cs="Times New Roman"/>
          <w:color w:val="auto"/>
          <w:sz w:val="24"/>
          <w:szCs w:val="24"/>
          <w:highlight w:val="none"/>
          <w:lang w:val="en-US" w:eastAsia="zh-CN"/>
        </w:rPr>
        <w:t>三、付款方式</w:t>
      </w:r>
      <w:bookmarkEnd w:id="71"/>
      <w:bookmarkEnd w:id="72"/>
    </w:p>
    <w:p w14:paraId="1012B2C9">
      <w:pPr>
        <w:keepNext w:val="0"/>
        <w:keepLines w:val="0"/>
        <w:pageBreakBefore w:val="0"/>
        <w:kinsoku/>
        <w:wordWrap/>
        <w:topLinePunct w:val="0"/>
        <w:autoSpaceDE/>
        <w:autoSpaceDN/>
        <w:bidi w:val="0"/>
        <w:spacing w:line="5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bookmarkStart w:id="73" w:name="_Toc15117"/>
      <w:bookmarkStart w:id="74" w:name="_Toc5097"/>
      <w:bookmarkStart w:id="75" w:name="_Toc30813"/>
      <w:bookmarkStart w:id="76" w:name="_Toc14936"/>
      <w:r>
        <w:rPr>
          <w:rFonts w:hint="eastAsia" w:ascii="Times New Roman" w:hAnsi="Times New Roman" w:eastAsia="宋体" w:cs="Times New Roman"/>
          <w:color w:val="auto"/>
          <w:kern w:val="2"/>
          <w:sz w:val="24"/>
          <w:szCs w:val="24"/>
          <w:highlight w:val="none"/>
          <w:lang w:val="en-US" w:eastAsia="zh-CN" w:bidi="ar-SA"/>
        </w:rPr>
        <w:t>合同中约定。</w:t>
      </w:r>
      <w:bookmarkEnd w:id="73"/>
    </w:p>
    <w:p w14:paraId="027CA176">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77" w:name="_Toc10593"/>
      <w:r>
        <w:rPr>
          <w:rFonts w:hint="eastAsia" w:ascii="Times New Roman" w:hAnsi="Times New Roman" w:eastAsia="宋体" w:cs="Times New Roman"/>
          <w:color w:val="auto"/>
          <w:sz w:val="24"/>
          <w:szCs w:val="24"/>
          <w:highlight w:val="none"/>
          <w:lang w:val="en-US" w:eastAsia="zh-CN"/>
        </w:rPr>
        <w:t>四、</w:t>
      </w:r>
      <w:bookmarkStart w:id="78" w:name="_Toc16107"/>
      <w:bookmarkStart w:id="79" w:name="_Toc23495"/>
      <w:bookmarkStart w:id="80" w:name="_Toc17992"/>
      <w:bookmarkStart w:id="81" w:name="_Toc31219"/>
      <w:bookmarkStart w:id="82" w:name="_Toc8742"/>
      <w:bookmarkStart w:id="83" w:name="_Toc20841"/>
      <w:bookmarkStart w:id="84" w:name="_Toc25512"/>
      <w:bookmarkStart w:id="85" w:name="_Toc10336"/>
      <w:bookmarkStart w:id="86" w:name="_Toc14929"/>
      <w:r>
        <w:rPr>
          <w:rFonts w:hint="eastAsia" w:ascii="Times New Roman" w:hAnsi="Times New Roman" w:eastAsia="宋体" w:cs="Times New Roman"/>
          <w:color w:val="auto"/>
          <w:sz w:val="24"/>
          <w:szCs w:val="24"/>
          <w:highlight w:val="none"/>
          <w:lang w:val="en-US" w:eastAsia="zh-CN"/>
        </w:rPr>
        <w:t>知识产权</w:t>
      </w:r>
      <w:bookmarkEnd w:id="74"/>
      <w:bookmarkEnd w:id="75"/>
      <w:bookmarkEnd w:id="76"/>
      <w:bookmarkEnd w:id="77"/>
      <w:bookmarkEnd w:id="78"/>
      <w:bookmarkEnd w:id="79"/>
      <w:bookmarkEnd w:id="80"/>
      <w:bookmarkEnd w:id="81"/>
      <w:bookmarkEnd w:id="82"/>
      <w:bookmarkEnd w:id="83"/>
      <w:bookmarkEnd w:id="84"/>
      <w:bookmarkEnd w:id="85"/>
      <w:bookmarkEnd w:id="86"/>
    </w:p>
    <w:p w14:paraId="7D4AB717">
      <w:pPr>
        <w:keepNext w:val="0"/>
        <w:keepLines w:val="0"/>
        <w:pageBreakBefore w:val="0"/>
        <w:kinsoku/>
        <w:wordWrap/>
        <w:topLinePunct w:val="0"/>
        <w:autoSpaceDE/>
        <w:autoSpaceDN/>
        <w:bidi w:val="0"/>
        <w:spacing w:line="5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采购人在中华人民共和国境内使用中标人提供的货物及服务时免受第三方提出的侵犯其专利权或其它知识产权的起诉。如果第三方提出侵权指控，中标人应承担由此而引起的一切法律责任和费用。</w:t>
      </w:r>
    </w:p>
    <w:p w14:paraId="3040BD67">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87" w:name="_Toc15070"/>
      <w:bookmarkStart w:id="88" w:name="_Toc23611"/>
      <w:bookmarkStart w:id="89" w:name="_Toc30497"/>
      <w:r>
        <w:rPr>
          <w:rFonts w:hint="eastAsia" w:ascii="Times New Roman" w:hAnsi="Times New Roman" w:eastAsia="宋体" w:cs="Times New Roman"/>
          <w:color w:val="auto"/>
          <w:sz w:val="24"/>
          <w:szCs w:val="24"/>
          <w:highlight w:val="none"/>
          <w:lang w:val="en-US" w:eastAsia="zh-CN"/>
        </w:rPr>
        <w:t>五、其他商务要求</w:t>
      </w:r>
      <w:bookmarkEnd w:id="87"/>
      <w:bookmarkEnd w:id="88"/>
      <w:bookmarkEnd w:id="89"/>
    </w:p>
    <w:p w14:paraId="2E2021EC">
      <w:pPr>
        <w:keepNext w:val="0"/>
        <w:keepLines w:val="0"/>
        <w:pageBreakBefore w:val="0"/>
        <w:kinsoku/>
        <w:wordWrap/>
        <w:topLinePunct w:val="0"/>
        <w:autoSpaceDE/>
        <w:autoSpaceDN/>
        <w:bidi w:val="0"/>
        <w:spacing w:line="5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（一）其他未尽事宜由供需双方在采购合同中详细约定。</w:t>
      </w:r>
    </w:p>
    <w:p w14:paraId="48440294">
      <w:pPr>
        <w:keepNext w:val="0"/>
        <w:keepLines w:val="0"/>
        <w:pageBreakBefore w:val="0"/>
        <w:kinsoku/>
        <w:wordWrap/>
        <w:topLinePunct w:val="0"/>
        <w:autoSpaceDE/>
        <w:autoSpaceDN/>
        <w:bidi w:val="0"/>
        <w:spacing w:line="5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p>
    <w:p w14:paraId="78602510">
      <w:pPr>
        <w:keepNext w:val="0"/>
        <w:keepLines w:val="0"/>
        <w:pageBreakBefore w:val="0"/>
        <w:kinsoku/>
        <w:wordWrap/>
        <w:topLinePunct w:val="0"/>
        <w:autoSpaceDE/>
        <w:autoSpaceDN/>
        <w:bidi w:val="0"/>
        <w:spacing w:line="5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sectPr>
          <w:footerReference r:id="rId4"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296A7C32">
      <w:pPr>
        <w:pStyle w:val="4"/>
        <w:bidi w:val="0"/>
        <w:rPr>
          <w:rFonts w:hint="default"/>
          <w:color w:val="auto"/>
          <w:highlight w:val="none"/>
          <w:lang w:val="en-US" w:eastAsia="zh-CN"/>
        </w:rPr>
      </w:pPr>
      <w:bookmarkStart w:id="90" w:name="_Toc11563"/>
      <w:r>
        <w:rPr>
          <w:rFonts w:hint="default"/>
          <w:color w:val="auto"/>
          <w:highlight w:val="none"/>
          <w:lang w:val="en-US" w:eastAsia="zh-CN"/>
        </w:rPr>
        <w:t>第四篇  磋商程序及方法、评审标准、无效响应和采购终止</w:t>
      </w:r>
      <w:bookmarkEnd w:id="90"/>
    </w:p>
    <w:p w14:paraId="4E35257F">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91" w:name="_Toc30586"/>
      <w:bookmarkStart w:id="92" w:name="_Toc30806"/>
      <w:r>
        <w:rPr>
          <w:rFonts w:hint="default" w:ascii="Times New Roman" w:hAnsi="Times New Roman" w:eastAsia="宋体" w:cs="Times New Roman"/>
          <w:color w:val="auto"/>
          <w:sz w:val="24"/>
          <w:szCs w:val="24"/>
          <w:highlight w:val="none"/>
          <w:lang w:val="en-US" w:eastAsia="zh-CN"/>
        </w:rPr>
        <w:t>一、磋商程序及方法</w:t>
      </w:r>
      <w:bookmarkEnd w:id="91"/>
      <w:bookmarkEnd w:id="92"/>
    </w:p>
    <w:p w14:paraId="28762E10">
      <w:pPr>
        <w:pageBreakBefore w:val="0"/>
        <w:wordWrap/>
        <w:topLinePunct w:val="0"/>
        <w:bidi w:val="0"/>
        <w:spacing w:line="24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（一）磋商按竞争性磋商文件规定的时间和地点进行，供应商须有法定代表人或其授权代表参加并签到。竞争性磋商以</w:t>
      </w:r>
      <w:r>
        <w:rPr>
          <w:rFonts w:hint="default" w:ascii="Times New Roman" w:hAnsi="Times New Roman" w:eastAsia="宋体" w:cs="Times New Roman"/>
          <w:color w:val="auto"/>
          <w:sz w:val="24"/>
          <w:szCs w:val="24"/>
          <w:highlight w:val="none"/>
          <w:lang w:val="en-US" w:eastAsia="zh-CN"/>
        </w:rPr>
        <w:t>递交响应文件签到表的顺序</w:t>
      </w:r>
      <w:r>
        <w:rPr>
          <w:rFonts w:hint="default" w:ascii="Times New Roman" w:hAnsi="Times New Roman" w:eastAsia="宋体" w:cs="Times New Roman"/>
          <w:color w:val="auto"/>
          <w:sz w:val="24"/>
          <w:szCs w:val="24"/>
          <w:highlight w:val="none"/>
        </w:rPr>
        <w:t>确定磋商顺序，由本项目依法组建的磋商小组分别与各供应商进行磋商。</w:t>
      </w:r>
    </w:p>
    <w:p w14:paraId="5F5B1F74">
      <w:pPr>
        <w:pageBreakBefore w:val="0"/>
        <w:wordWrap/>
        <w:topLinePunct w:val="0"/>
        <w:bidi w:val="0"/>
        <w:spacing w:line="24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（二）磋商小组对各供应商的资格条件、响应文件的有效性、完整性和响应程度进行审查。各供应商只有在完全符合要求的前提下，才能参与正式磋商。</w:t>
      </w:r>
    </w:p>
    <w:p w14:paraId="64BBB353">
      <w:pPr>
        <w:pageBreakBefore w:val="0"/>
        <w:wordWrap/>
        <w:topLinePunct w:val="0"/>
        <w:bidi w:val="0"/>
        <w:snapToGrid w:val="0"/>
        <w:spacing w:line="24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kern w:val="0"/>
          <w:sz w:val="24"/>
          <w:szCs w:val="24"/>
          <w:highlight w:val="none"/>
        </w:rPr>
        <w:t>资格性检查。依据法律法规和竞争性磋商文件的规定，对响应文件中的资格证明、磋商保证金等进行审查，以确定供应商是否具备磋商资格。资格性检查资料表如下：</w:t>
      </w:r>
    </w:p>
    <w:tbl>
      <w:tblPr>
        <w:tblStyle w:val="25"/>
        <w:tblW w:w="9964"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68"/>
        <w:gridCol w:w="4598"/>
        <w:gridCol w:w="3922"/>
      </w:tblGrid>
      <w:tr w14:paraId="61A4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14:paraId="37258FEE">
            <w:pPr>
              <w:pageBreakBefore w:val="0"/>
              <w:wordWrap/>
              <w:topLinePunct w:val="0"/>
              <w:bidi w:val="0"/>
              <w:spacing w:line="5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序号</w:t>
            </w:r>
          </w:p>
        </w:tc>
        <w:tc>
          <w:tcPr>
            <w:tcW w:w="5366" w:type="dxa"/>
            <w:gridSpan w:val="2"/>
            <w:vAlign w:val="center"/>
          </w:tcPr>
          <w:p w14:paraId="51358866">
            <w:pPr>
              <w:pageBreakBefore w:val="0"/>
              <w:wordWrap/>
              <w:topLinePunct w:val="0"/>
              <w:bidi w:val="0"/>
              <w:spacing w:line="5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检查因素</w:t>
            </w:r>
          </w:p>
        </w:tc>
        <w:tc>
          <w:tcPr>
            <w:tcW w:w="3922" w:type="dxa"/>
            <w:vAlign w:val="center"/>
          </w:tcPr>
          <w:p w14:paraId="31384823">
            <w:pPr>
              <w:pageBreakBefore w:val="0"/>
              <w:wordWrap/>
              <w:topLinePunct w:val="0"/>
              <w:bidi w:val="0"/>
              <w:spacing w:line="5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检查内容</w:t>
            </w:r>
          </w:p>
        </w:tc>
      </w:tr>
      <w:tr w14:paraId="7BC2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14:paraId="3315B6FF">
            <w:pPr>
              <w:pageBreakBefore w:val="0"/>
              <w:wordWrap/>
              <w:topLinePunct w:val="0"/>
              <w:bidi w:val="0"/>
              <w:spacing w:line="56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p w14:paraId="4B82C9B7">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p>
        </w:tc>
        <w:tc>
          <w:tcPr>
            <w:tcW w:w="768" w:type="dxa"/>
            <w:vMerge w:val="restart"/>
            <w:vAlign w:val="center"/>
          </w:tcPr>
          <w:p w14:paraId="5077502F">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《中华人民共和国政府采购法》第二十二条规定</w:t>
            </w:r>
          </w:p>
          <w:p w14:paraId="4787609C">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p>
        </w:tc>
        <w:tc>
          <w:tcPr>
            <w:tcW w:w="4598" w:type="dxa"/>
            <w:vAlign w:val="center"/>
          </w:tcPr>
          <w:p w14:paraId="14E200DA">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（1）具有独立承担民事责任的能力</w:t>
            </w:r>
          </w:p>
        </w:tc>
        <w:tc>
          <w:tcPr>
            <w:tcW w:w="3922" w:type="dxa"/>
            <w:vAlign w:val="center"/>
          </w:tcPr>
          <w:p w14:paraId="2ECEAEFE">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4D0B536">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2.供应商法定代表人身份证明和法定代表人授权代表委托书。</w:t>
            </w:r>
          </w:p>
        </w:tc>
      </w:tr>
      <w:tr w14:paraId="7E05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14:paraId="61E82293">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p>
        </w:tc>
        <w:tc>
          <w:tcPr>
            <w:tcW w:w="768" w:type="dxa"/>
            <w:vMerge w:val="continue"/>
            <w:vAlign w:val="center"/>
          </w:tcPr>
          <w:p w14:paraId="470DA8FF">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p>
        </w:tc>
        <w:tc>
          <w:tcPr>
            <w:tcW w:w="4598" w:type="dxa"/>
            <w:vAlign w:val="center"/>
          </w:tcPr>
          <w:p w14:paraId="4B55DDC6">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（2）</w:t>
            </w:r>
            <w:r>
              <w:rPr>
                <w:rFonts w:hint="default" w:ascii="Times New Roman" w:hAnsi="Times New Roman" w:eastAsia="宋体" w:cs="Times New Roman"/>
                <w:color w:val="auto"/>
                <w:sz w:val="21"/>
                <w:szCs w:val="21"/>
                <w:highlight w:val="none"/>
              </w:rPr>
              <w:t>具有良好的商业信誉和健全的财务会计制度</w:t>
            </w:r>
          </w:p>
        </w:tc>
        <w:tc>
          <w:tcPr>
            <w:tcW w:w="3922" w:type="dxa"/>
            <w:vMerge w:val="restart"/>
            <w:vAlign w:val="center"/>
          </w:tcPr>
          <w:p w14:paraId="3A34B16D">
            <w:pPr>
              <w:pageBreakBefore w:val="0"/>
              <w:wordWrap/>
              <w:topLinePunct w:val="0"/>
              <w:bidi w:val="0"/>
              <w:spacing w:line="360" w:lineRule="auto"/>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供应商提供“基本资格条件承诺函”（详见第七篇）</w:t>
            </w:r>
          </w:p>
          <w:p w14:paraId="51436DFB">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rPr>
            </w:pPr>
          </w:p>
        </w:tc>
      </w:tr>
      <w:tr w14:paraId="0443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14:paraId="3A5D036A">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p>
        </w:tc>
        <w:tc>
          <w:tcPr>
            <w:tcW w:w="768" w:type="dxa"/>
            <w:vMerge w:val="continue"/>
            <w:vAlign w:val="center"/>
          </w:tcPr>
          <w:p w14:paraId="7005BF62">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p>
        </w:tc>
        <w:tc>
          <w:tcPr>
            <w:tcW w:w="4598" w:type="dxa"/>
            <w:vAlign w:val="center"/>
          </w:tcPr>
          <w:p w14:paraId="5B144ACB">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（3）具有履行合同所必需的设备和专业技术能力</w:t>
            </w:r>
          </w:p>
        </w:tc>
        <w:tc>
          <w:tcPr>
            <w:tcW w:w="3922" w:type="dxa"/>
            <w:vMerge w:val="continue"/>
            <w:vAlign w:val="center"/>
          </w:tcPr>
          <w:p w14:paraId="75FD7B79">
            <w:pPr>
              <w:pageBreakBefore w:val="0"/>
              <w:wordWrap/>
              <w:topLinePunct w:val="0"/>
              <w:bidi w:val="0"/>
              <w:spacing w:line="360" w:lineRule="auto"/>
              <w:textAlignment w:val="auto"/>
              <w:rPr>
                <w:rFonts w:hint="default" w:ascii="Times New Roman" w:hAnsi="Times New Roman" w:eastAsia="宋体" w:cs="Times New Roman"/>
                <w:color w:val="auto"/>
                <w:sz w:val="21"/>
                <w:szCs w:val="21"/>
                <w:highlight w:val="none"/>
              </w:rPr>
            </w:pPr>
          </w:p>
        </w:tc>
      </w:tr>
      <w:tr w14:paraId="0350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75F0A83B">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p>
        </w:tc>
        <w:tc>
          <w:tcPr>
            <w:tcW w:w="768" w:type="dxa"/>
            <w:vMerge w:val="continue"/>
            <w:vAlign w:val="center"/>
          </w:tcPr>
          <w:p w14:paraId="370FCBDA">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p>
        </w:tc>
        <w:tc>
          <w:tcPr>
            <w:tcW w:w="4598" w:type="dxa"/>
            <w:vAlign w:val="center"/>
          </w:tcPr>
          <w:p w14:paraId="05BE7D8D">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（4）有依法缴纳税收和社会保障金的良好记录</w:t>
            </w:r>
          </w:p>
        </w:tc>
        <w:tc>
          <w:tcPr>
            <w:tcW w:w="3922" w:type="dxa"/>
            <w:vMerge w:val="continue"/>
            <w:vAlign w:val="center"/>
          </w:tcPr>
          <w:p w14:paraId="147C05F2">
            <w:pPr>
              <w:pageBreakBefore w:val="0"/>
              <w:wordWrap/>
              <w:topLinePunct w:val="0"/>
              <w:bidi w:val="0"/>
              <w:spacing w:line="360" w:lineRule="auto"/>
              <w:textAlignment w:val="auto"/>
              <w:rPr>
                <w:rFonts w:hint="default" w:ascii="Times New Roman" w:hAnsi="Times New Roman" w:eastAsia="宋体" w:cs="Times New Roman"/>
                <w:color w:val="auto"/>
                <w:sz w:val="21"/>
                <w:szCs w:val="21"/>
                <w:highlight w:val="none"/>
              </w:rPr>
            </w:pPr>
          </w:p>
        </w:tc>
      </w:tr>
      <w:tr w14:paraId="5EE8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76" w:type="dxa"/>
            <w:vMerge w:val="continue"/>
            <w:vAlign w:val="center"/>
          </w:tcPr>
          <w:p w14:paraId="1EFE645E">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p>
        </w:tc>
        <w:tc>
          <w:tcPr>
            <w:tcW w:w="768" w:type="dxa"/>
            <w:vMerge w:val="continue"/>
            <w:vAlign w:val="center"/>
          </w:tcPr>
          <w:p w14:paraId="313AD321">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p>
        </w:tc>
        <w:tc>
          <w:tcPr>
            <w:tcW w:w="4598" w:type="dxa"/>
            <w:vAlign w:val="center"/>
          </w:tcPr>
          <w:p w14:paraId="2B6C9DDF">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（5）参加政府采购活动前三年内，在经营活动中没有重大违法记录</w:t>
            </w:r>
          </w:p>
        </w:tc>
        <w:tc>
          <w:tcPr>
            <w:tcW w:w="3922" w:type="dxa"/>
            <w:vMerge w:val="continue"/>
            <w:vAlign w:val="center"/>
          </w:tcPr>
          <w:p w14:paraId="6B44C381">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rPr>
            </w:pPr>
          </w:p>
        </w:tc>
      </w:tr>
      <w:tr w14:paraId="4E08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76DFCF01">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p>
        </w:tc>
        <w:tc>
          <w:tcPr>
            <w:tcW w:w="768" w:type="dxa"/>
            <w:vMerge w:val="continue"/>
            <w:vAlign w:val="center"/>
          </w:tcPr>
          <w:p w14:paraId="4DA80CA3">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p>
        </w:tc>
        <w:tc>
          <w:tcPr>
            <w:tcW w:w="4598" w:type="dxa"/>
            <w:vAlign w:val="center"/>
          </w:tcPr>
          <w:p w14:paraId="0C27A9A7">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（6）法律、行政法规规定的其他条件</w:t>
            </w:r>
          </w:p>
        </w:tc>
        <w:tc>
          <w:tcPr>
            <w:tcW w:w="3922" w:type="dxa"/>
            <w:vAlign w:val="center"/>
          </w:tcPr>
          <w:p w14:paraId="29B87232">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p>
        </w:tc>
      </w:tr>
      <w:tr w14:paraId="7F1F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Merge w:val="continue"/>
            <w:vAlign w:val="center"/>
          </w:tcPr>
          <w:p w14:paraId="46B1CDF7">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p>
        </w:tc>
        <w:tc>
          <w:tcPr>
            <w:tcW w:w="768" w:type="dxa"/>
            <w:vMerge w:val="continue"/>
            <w:vAlign w:val="center"/>
          </w:tcPr>
          <w:p w14:paraId="4A357838">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p>
        </w:tc>
        <w:tc>
          <w:tcPr>
            <w:tcW w:w="4598" w:type="dxa"/>
            <w:vAlign w:val="center"/>
          </w:tcPr>
          <w:p w14:paraId="516F982A">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特定资格条件</w:t>
            </w:r>
          </w:p>
        </w:tc>
        <w:tc>
          <w:tcPr>
            <w:tcW w:w="3922" w:type="dxa"/>
            <w:vAlign w:val="center"/>
          </w:tcPr>
          <w:p w14:paraId="28EDD2E5">
            <w:pPr>
              <w:pageBreakBefore w:val="0"/>
              <w:wordWrap/>
              <w:topLinePunct w:val="0"/>
              <w:bidi w:val="0"/>
              <w:spacing w:line="240" w:lineRule="auto"/>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按第一篇“三、供应商资格要求（三）本项目的特定资格要求”的要求提交（如果有）</w:t>
            </w:r>
            <w:r>
              <w:rPr>
                <w:rFonts w:hint="eastAsia" w:ascii="Times New Roman" w:hAnsi="Times New Roman" w:eastAsia="宋体" w:cs="Times New Roman"/>
                <w:color w:val="auto"/>
                <w:sz w:val="21"/>
                <w:szCs w:val="21"/>
                <w:highlight w:val="none"/>
                <w:lang w:eastAsia="zh-CN"/>
              </w:rPr>
              <w:t>。</w:t>
            </w:r>
          </w:p>
        </w:tc>
      </w:tr>
      <w:tr w14:paraId="0304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14:paraId="16E4CAF8">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2</w:t>
            </w:r>
          </w:p>
        </w:tc>
        <w:tc>
          <w:tcPr>
            <w:tcW w:w="5366" w:type="dxa"/>
            <w:gridSpan w:val="2"/>
            <w:vAlign w:val="center"/>
          </w:tcPr>
          <w:p w14:paraId="1F3ADCEE">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落实政府采购政策需满足的资格要求</w:t>
            </w:r>
          </w:p>
        </w:tc>
        <w:tc>
          <w:tcPr>
            <w:tcW w:w="3922" w:type="dxa"/>
            <w:vAlign w:val="center"/>
          </w:tcPr>
          <w:p w14:paraId="29426C99">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按“第一篇三、</w:t>
            </w: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资格要求（二）落实政府采购政策需满足的资格要求”的要求提交（如果有）。</w:t>
            </w:r>
          </w:p>
        </w:tc>
      </w:tr>
      <w:tr w14:paraId="5FD7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14:paraId="209E50E8">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5366" w:type="dxa"/>
            <w:gridSpan w:val="2"/>
            <w:vAlign w:val="center"/>
          </w:tcPr>
          <w:p w14:paraId="43D1A513">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磋商保证金</w:t>
            </w:r>
          </w:p>
        </w:tc>
        <w:tc>
          <w:tcPr>
            <w:tcW w:w="3922" w:type="dxa"/>
            <w:vAlign w:val="center"/>
          </w:tcPr>
          <w:p w14:paraId="241B579A">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按照磋商文件要求足额交纳所投项目的磋商保证金（如果有）。</w:t>
            </w:r>
          </w:p>
        </w:tc>
      </w:tr>
    </w:tbl>
    <w:p w14:paraId="0E4C2F02">
      <w:pPr>
        <w:snapToGrid w:val="0"/>
        <w:spacing w:line="400" w:lineRule="exact"/>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6FAFE772">
      <w:pPr>
        <w:snapToGrid w:val="0"/>
        <w:spacing w:line="400" w:lineRule="exact"/>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EB9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37D3F6E">
            <w:pPr>
              <w:pageBreakBefore w:val="0"/>
              <w:wordWrap/>
              <w:topLinePunct w:val="0"/>
              <w:bidi w:val="0"/>
              <w:spacing w:line="5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序号</w:t>
            </w:r>
          </w:p>
        </w:tc>
        <w:tc>
          <w:tcPr>
            <w:tcW w:w="3544" w:type="dxa"/>
            <w:gridSpan w:val="2"/>
            <w:vAlign w:val="center"/>
          </w:tcPr>
          <w:p w14:paraId="5D37BF0F">
            <w:pPr>
              <w:pageBreakBefore w:val="0"/>
              <w:wordWrap/>
              <w:topLinePunct w:val="0"/>
              <w:bidi w:val="0"/>
              <w:spacing w:line="5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评审因素</w:t>
            </w:r>
          </w:p>
        </w:tc>
        <w:tc>
          <w:tcPr>
            <w:tcW w:w="5409" w:type="dxa"/>
            <w:vAlign w:val="center"/>
          </w:tcPr>
          <w:p w14:paraId="421A8C8A">
            <w:pPr>
              <w:pageBreakBefore w:val="0"/>
              <w:wordWrap/>
              <w:topLinePunct w:val="0"/>
              <w:bidi w:val="0"/>
              <w:spacing w:line="5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评审标准</w:t>
            </w:r>
          </w:p>
        </w:tc>
      </w:tr>
      <w:tr w14:paraId="1FEC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B73EE8A">
            <w:pPr>
              <w:pageBreakBefore w:val="0"/>
              <w:wordWrap/>
              <w:topLinePunct w:val="0"/>
              <w:bidi w:val="0"/>
              <w:spacing w:line="5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560" w:type="dxa"/>
            <w:vMerge w:val="restart"/>
            <w:vAlign w:val="center"/>
          </w:tcPr>
          <w:p w14:paraId="3DC0A347">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有效性审查</w:t>
            </w:r>
          </w:p>
        </w:tc>
        <w:tc>
          <w:tcPr>
            <w:tcW w:w="1984" w:type="dxa"/>
            <w:vAlign w:val="center"/>
          </w:tcPr>
          <w:p w14:paraId="0A845BC5">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响应文件签署</w:t>
            </w:r>
          </w:p>
        </w:tc>
        <w:tc>
          <w:tcPr>
            <w:tcW w:w="5409" w:type="dxa"/>
            <w:vAlign w:val="center"/>
          </w:tcPr>
          <w:p w14:paraId="26E9C76D">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响应文件上法定代表人或其授权代表人的签字齐全。</w:t>
            </w:r>
          </w:p>
        </w:tc>
      </w:tr>
      <w:tr w14:paraId="5F38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3CB8227">
            <w:pPr>
              <w:pageBreakBefore w:val="0"/>
              <w:wordWrap/>
              <w:topLinePunct w:val="0"/>
              <w:bidi w:val="0"/>
              <w:spacing w:line="560" w:lineRule="exact"/>
              <w:jc w:val="center"/>
              <w:textAlignment w:val="auto"/>
              <w:rPr>
                <w:rFonts w:hint="default" w:ascii="Times New Roman" w:hAnsi="Times New Roman" w:eastAsia="宋体" w:cs="Times New Roman"/>
                <w:color w:val="auto"/>
                <w:kern w:val="0"/>
                <w:sz w:val="21"/>
                <w:szCs w:val="21"/>
                <w:highlight w:val="none"/>
              </w:rPr>
            </w:pPr>
          </w:p>
        </w:tc>
        <w:tc>
          <w:tcPr>
            <w:tcW w:w="1560" w:type="dxa"/>
            <w:vMerge w:val="continue"/>
            <w:vAlign w:val="center"/>
          </w:tcPr>
          <w:p w14:paraId="610B3855">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p>
        </w:tc>
        <w:tc>
          <w:tcPr>
            <w:tcW w:w="1984" w:type="dxa"/>
            <w:vAlign w:val="center"/>
          </w:tcPr>
          <w:p w14:paraId="57D86945">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法定代表人身份证明及授权委托书</w:t>
            </w:r>
          </w:p>
        </w:tc>
        <w:tc>
          <w:tcPr>
            <w:tcW w:w="5409" w:type="dxa"/>
            <w:vAlign w:val="center"/>
          </w:tcPr>
          <w:p w14:paraId="059DC5B8">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法定代表人身份证明及授权委托书有效，符合竞争性磋商文件规定的格式，签字或盖章齐全。</w:t>
            </w:r>
          </w:p>
        </w:tc>
      </w:tr>
      <w:tr w14:paraId="02D8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DC8626D">
            <w:pPr>
              <w:pageBreakBefore w:val="0"/>
              <w:wordWrap/>
              <w:topLinePunct w:val="0"/>
              <w:bidi w:val="0"/>
              <w:spacing w:line="560" w:lineRule="exact"/>
              <w:jc w:val="center"/>
              <w:textAlignment w:val="auto"/>
              <w:rPr>
                <w:rFonts w:hint="default" w:ascii="Times New Roman" w:hAnsi="Times New Roman" w:eastAsia="宋体" w:cs="Times New Roman"/>
                <w:color w:val="auto"/>
                <w:kern w:val="0"/>
                <w:sz w:val="21"/>
                <w:szCs w:val="21"/>
                <w:highlight w:val="none"/>
              </w:rPr>
            </w:pPr>
          </w:p>
        </w:tc>
        <w:tc>
          <w:tcPr>
            <w:tcW w:w="1560" w:type="dxa"/>
            <w:vMerge w:val="continue"/>
            <w:vAlign w:val="center"/>
          </w:tcPr>
          <w:p w14:paraId="5DEFE887">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p>
        </w:tc>
        <w:tc>
          <w:tcPr>
            <w:tcW w:w="1984" w:type="dxa"/>
            <w:vAlign w:val="center"/>
          </w:tcPr>
          <w:p w14:paraId="6139554E">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响应</w:t>
            </w:r>
            <w:r>
              <w:rPr>
                <w:rFonts w:hint="default" w:ascii="Times New Roman" w:hAnsi="Times New Roman" w:eastAsia="宋体" w:cs="Times New Roman"/>
                <w:color w:val="auto"/>
                <w:sz w:val="21"/>
                <w:szCs w:val="21"/>
                <w:highlight w:val="none"/>
                <w:lang w:val="zh-CN"/>
              </w:rPr>
              <w:t>方案</w:t>
            </w:r>
          </w:p>
        </w:tc>
        <w:tc>
          <w:tcPr>
            <w:tcW w:w="5409" w:type="dxa"/>
            <w:vAlign w:val="center"/>
          </w:tcPr>
          <w:p w14:paraId="2ACE1674">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zh-CN"/>
              </w:rPr>
              <w:t>每个分包只能有一个</w:t>
            </w:r>
            <w:r>
              <w:rPr>
                <w:rFonts w:hint="default" w:ascii="Times New Roman" w:hAnsi="Times New Roman" w:eastAsia="宋体" w:cs="Times New Roman"/>
                <w:color w:val="auto"/>
                <w:sz w:val="21"/>
                <w:szCs w:val="21"/>
                <w:highlight w:val="none"/>
              </w:rPr>
              <w:t>响应</w:t>
            </w:r>
            <w:r>
              <w:rPr>
                <w:rFonts w:hint="default" w:ascii="Times New Roman" w:hAnsi="Times New Roman" w:eastAsia="宋体" w:cs="Times New Roman"/>
                <w:color w:val="auto"/>
                <w:sz w:val="21"/>
                <w:szCs w:val="21"/>
                <w:highlight w:val="none"/>
                <w:lang w:val="zh-CN"/>
              </w:rPr>
              <w:t>方案。</w:t>
            </w:r>
          </w:p>
        </w:tc>
      </w:tr>
      <w:tr w14:paraId="5189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71B3F19">
            <w:pPr>
              <w:pageBreakBefore w:val="0"/>
              <w:wordWrap/>
              <w:topLinePunct w:val="0"/>
              <w:bidi w:val="0"/>
              <w:spacing w:line="560" w:lineRule="exact"/>
              <w:jc w:val="center"/>
              <w:textAlignment w:val="auto"/>
              <w:rPr>
                <w:rFonts w:hint="default" w:ascii="Times New Roman" w:hAnsi="Times New Roman" w:eastAsia="宋体" w:cs="Times New Roman"/>
                <w:color w:val="auto"/>
                <w:kern w:val="0"/>
                <w:sz w:val="21"/>
                <w:szCs w:val="21"/>
                <w:highlight w:val="none"/>
              </w:rPr>
            </w:pPr>
          </w:p>
        </w:tc>
        <w:tc>
          <w:tcPr>
            <w:tcW w:w="1560" w:type="dxa"/>
            <w:vMerge w:val="continue"/>
            <w:vAlign w:val="center"/>
          </w:tcPr>
          <w:p w14:paraId="5C0B82A2">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p>
        </w:tc>
        <w:tc>
          <w:tcPr>
            <w:tcW w:w="1984" w:type="dxa"/>
            <w:vAlign w:val="center"/>
          </w:tcPr>
          <w:p w14:paraId="1F1657E5">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报价唯一</w:t>
            </w:r>
          </w:p>
        </w:tc>
        <w:tc>
          <w:tcPr>
            <w:tcW w:w="5409" w:type="dxa"/>
            <w:vAlign w:val="center"/>
          </w:tcPr>
          <w:p w14:paraId="420E8D37">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zh-CN"/>
              </w:rPr>
              <w:t>只能在采购预算范围内报价，</w:t>
            </w:r>
            <w:r>
              <w:rPr>
                <w:rFonts w:hint="default" w:ascii="Times New Roman" w:hAnsi="Times New Roman" w:eastAsia="宋体" w:cs="Times New Roman"/>
                <w:color w:val="auto"/>
                <w:sz w:val="21"/>
                <w:szCs w:val="21"/>
                <w:highlight w:val="none"/>
              </w:rPr>
              <w:t>只能有一个有效报价，不得提交选择性报价。</w:t>
            </w:r>
          </w:p>
        </w:tc>
      </w:tr>
      <w:tr w14:paraId="2AB7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Align w:val="center"/>
          </w:tcPr>
          <w:p w14:paraId="53FFBF2C">
            <w:pPr>
              <w:pageBreakBefore w:val="0"/>
              <w:wordWrap/>
              <w:topLinePunct w:val="0"/>
              <w:bidi w:val="0"/>
              <w:spacing w:line="5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1560" w:type="dxa"/>
            <w:vAlign w:val="center"/>
          </w:tcPr>
          <w:p w14:paraId="5C9279B3">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完整性审查</w:t>
            </w:r>
          </w:p>
        </w:tc>
        <w:tc>
          <w:tcPr>
            <w:tcW w:w="1984" w:type="dxa"/>
            <w:vAlign w:val="center"/>
          </w:tcPr>
          <w:p w14:paraId="0671F0A4">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响应文件份数</w:t>
            </w:r>
          </w:p>
        </w:tc>
        <w:tc>
          <w:tcPr>
            <w:tcW w:w="5409" w:type="dxa"/>
            <w:vAlign w:val="center"/>
          </w:tcPr>
          <w:p w14:paraId="1F20FA06">
            <w:pPr>
              <w:pageBreakBefore w:val="0"/>
              <w:wordWrap/>
              <w:topLinePunct w:val="0"/>
              <w:bidi w:val="0"/>
              <w:spacing w:line="56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zh-CN"/>
              </w:rPr>
              <w:t>响应文件正、副本数量（含电子文档）符合竞争性磋商文件要求。</w:t>
            </w:r>
          </w:p>
        </w:tc>
      </w:tr>
      <w:tr w14:paraId="2D77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5" w:type="dxa"/>
            <w:vMerge w:val="restart"/>
            <w:vAlign w:val="center"/>
          </w:tcPr>
          <w:p w14:paraId="18FD4693">
            <w:pPr>
              <w:pageBreakBefore w:val="0"/>
              <w:wordWrap/>
              <w:topLinePunct w:val="0"/>
              <w:bidi w:val="0"/>
              <w:spacing w:line="5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p>
        </w:tc>
        <w:tc>
          <w:tcPr>
            <w:tcW w:w="1560" w:type="dxa"/>
            <w:vMerge w:val="restart"/>
            <w:vAlign w:val="center"/>
          </w:tcPr>
          <w:p w14:paraId="0DBBD96E">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kern w:val="0"/>
                <w:sz w:val="21"/>
                <w:szCs w:val="21"/>
                <w:highlight w:val="none"/>
              </w:rPr>
              <w:t>竞争性磋商文件的响应程度审查</w:t>
            </w:r>
          </w:p>
        </w:tc>
        <w:tc>
          <w:tcPr>
            <w:tcW w:w="1984" w:type="dxa"/>
            <w:vAlign w:val="center"/>
          </w:tcPr>
          <w:p w14:paraId="1ABD12FB">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sz w:val="21"/>
                <w:szCs w:val="21"/>
                <w:highlight w:val="none"/>
                <w:lang w:val="zh-CN"/>
              </w:rPr>
              <w:t>实质性响应</w:t>
            </w:r>
          </w:p>
        </w:tc>
        <w:tc>
          <w:tcPr>
            <w:tcW w:w="5409" w:type="dxa"/>
            <w:vAlign w:val="center"/>
          </w:tcPr>
          <w:p w14:paraId="178753E0">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zh-CN"/>
              </w:rPr>
              <w:t>竞争性磋商文件第二篇、第三篇。</w:t>
            </w:r>
          </w:p>
        </w:tc>
      </w:tr>
      <w:tr w14:paraId="2FF7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75" w:type="dxa"/>
            <w:vMerge w:val="continue"/>
            <w:vAlign w:val="center"/>
          </w:tcPr>
          <w:p w14:paraId="77E08CC7">
            <w:pPr>
              <w:pageBreakBefore w:val="0"/>
              <w:wordWrap/>
              <w:topLinePunct w:val="0"/>
              <w:bidi w:val="0"/>
              <w:spacing w:line="560" w:lineRule="exact"/>
              <w:jc w:val="center"/>
              <w:textAlignment w:val="auto"/>
              <w:rPr>
                <w:rFonts w:hint="default" w:ascii="Times New Roman" w:hAnsi="Times New Roman" w:eastAsia="宋体" w:cs="Times New Roman"/>
                <w:color w:val="auto"/>
                <w:kern w:val="0"/>
                <w:sz w:val="21"/>
                <w:szCs w:val="21"/>
                <w:highlight w:val="none"/>
              </w:rPr>
            </w:pPr>
          </w:p>
        </w:tc>
        <w:tc>
          <w:tcPr>
            <w:tcW w:w="1560" w:type="dxa"/>
            <w:vMerge w:val="continue"/>
            <w:vAlign w:val="center"/>
          </w:tcPr>
          <w:p w14:paraId="39ADE588">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p>
        </w:tc>
        <w:tc>
          <w:tcPr>
            <w:tcW w:w="1984" w:type="dxa"/>
            <w:vAlign w:val="center"/>
          </w:tcPr>
          <w:p w14:paraId="0CCE8475">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磋商有效期</w:t>
            </w:r>
          </w:p>
        </w:tc>
        <w:tc>
          <w:tcPr>
            <w:tcW w:w="5409" w:type="dxa"/>
            <w:vAlign w:val="center"/>
          </w:tcPr>
          <w:p w14:paraId="684FE9D1">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响应文件及有关承诺文件有效期为提交响应文件截止时间起90天。</w:t>
            </w:r>
          </w:p>
        </w:tc>
      </w:tr>
    </w:tbl>
    <w:p w14:paraId="396E7E49">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62074BF1">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F8F2B6">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28D4B1CC">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（五）在磋商过程中磋商的任何一方不得向他人透露与磋商有关的技术资料、价格或其他信息。</w:t>
      </w:r>
    </w:p>
    <w:p w14:paraId="02C26196">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4A20CF5">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（七）供应商在磋商时作出的所有书面承诺须由法定代表人或其授权代表签字。</w:t>
      </w:r>
    </w:p>
    <w:p w14:paraId="2EF462E5">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bookmarkStart w:id="93" w:name="_Hlk58399171"/>
      <w:bookmarkStart w:id="94" w:name="_Hlk37409240"/>
      <w:r>
        <w:rPr>
          <w:rFonts w:hint="default" w:ascii="Times New Roman" w:hAnsi="Times New Roman" w:eastAsia="宋体" w:cs="Times New Roman"/>
          <w:color w:val="auto"/>
          <w:sz w:val="24"/>
          <w:szCs w:val="24"/>
          <w:highlight w:val="none"/>
        </w:rPr>
        <w:t>（八）磋商结束后，经磋商确定最终采购需求和提交最后报价的供应商后，供应商应当按照竞争性磋商文件的变动情况和磋商小组的要求重新提交响应文件或重新做出相关的书面承诺，最后书面提交最后报价及有关承诺（填写《最后报价表》并密封提交）；</w:t>
      </w:r>
    </w:p>
    <w:p w14:paraId="58634F43">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bookmarkEnd w:id="93"/>
    <w:p w14:paraId="5FAB51AE">
      <w:pPr>
        <w:pageBreakBefore w:val="0"/>
        <w:wordWrap/>
        <w:topLinePunct w:val="0"/>
        <w:bidi w:val="0"/>
        <w:spacing w:line="560" w:lineRule="exact"/>
        <w:ind w:firstLine="482" w:firstLineChars="200"/>
        <w:textAlignment w:val="auto"/>
        <w:rPr>
          <w:rFonts w:hint="default" w:ascii="Times New Roman" w:hAnsi="Times New Roman" w:eastAsia="宋体" w:cs="Times New Roman"/>
          <w:b/>
          <w:bCs/>
          <w:color w:val="auto"/>
          <w:sz w:val="24"/>
          <w:szCs w:val="24"/>
          <w:highlight w:val="none"/>
        </w:rPr>
      </w:pPr>
      <w:bookmarkStart w:id="95" w:name="_Hlk58399193"/>
      <w:r>
        <w:rPr>
          <w:rFonts w:hint="default" w:ascii="Times New Roman" w:hAnsi="Times New Roman" w:eastAsia="宋体" w:cs="Times New Roman"/>
          <w:b/>
          <w:bCs/>
          <w:color w:val="auto"/>
          <w:sz w:val="24"/>
          <w:szCs w:val="24"/>
          <w:highlight w:val="none"/>
        </w:rPr>
        <w:t>由磋商小组采用规定的评分法对提交最后报价的供应商的响应文件和最后报价进行综合评审。</w:t>
      </w:r>
      <w:bookmarkEnd w:id="94"/>
    </w:p>
    <w:bookmarkEnd w:id="95"/>
    <w:p w14:paraId="10B5FB63">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（九）磋商小组采用综合评分法对提交最后报价的供应商的响应文件和最后报价（含有效书面承诺）进行综合评分。</w:t>
      </w:r>
      <w:r>
        <w:rPr>
          <w:rFonts w:hint="default" w:ascii="Times New Roman" w:hAnsi="Times New Roman" w:eastAsia="宋体" w:cs="Times New Roman"/>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default" w:ascii="Times New Roman" w:hAnsi="Times New Roman" w:eastAsia="宋体" w:cs="Times New Roman"/>
          <w:color w:val="auto"/>
          <w:sz w:val="24"/>
          <w:szCs w:val="24"/>
          <w:highlight w:val="none"/>
        </w:rPr>
        <w:t>。</w:t>
      </w:r>
    </w:p>
    <w:p w14:paraId="679F3AF9">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（十）</w:t>
      </w:r>
      <w:r>
        <w:rPr>
          <w:rFonts w:hint="default" w:ascii="Times New Roman" w:hAnsi="Times New Roman" w:eastAsia="宋体" w:cs="Times New Roman"/>
          <w:color w:val="auto"/>
          <w:kern w:val="0"/>
          <w:sz w:val="24"/>
          <w:szCs w:val="24"/>
          <w:highlight w:val="none"/>
        </w:rPr>
        <w:t>磋商小组各成员独立对每个实质性响应文件进行评价、打分，然后汇总每个供应商每项评分因素的得分，并根据综合评分情况按照评审得分由高到低顺序推荐3名成交供应商，并编写评审报告。若供应商的评审得分相同的，按照最后报价由低到高的顺序排列推荐。评审得分且最后报价相同的，按照节目内容和节目质量得分顺序排列推荐。若所推荐的成交供应商的服务与商务部分为0分，将失去成为成交候选供应商的资格。</w:t>
      </w:r>
    </w:p>
    <w:p w14:paraId="30CDDA36">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96" w:name="_Toc11665"/>
      <w:r>
        <w:rPr>
          <w:rFonts w:hint="default" w:ascii="Times New Roman" w:hAnsi="Times New Roman" w:eastAsia="宋体" w:cs="Times New Roman"/>
          <w:color w:val="auto"/>
          <w:sz w:val="24"/>
          <w:szCs w:val="24"/>
          <w:highlight w:val="none"/>
          <w:lang w:val="en-US" w:eastAsia="zh-CN"/>
        </w:rPr>
        <w:t>二、</w:t>
      </w:r>
      <w:bookmarkStart w:id="97" w:name="_Toc342913394"/>
      <w:bookmarkStart w:id="98" w:name="_Toc102227320"/>
      <w:r>
        <w:rPr>
          <w:rFonts w:hint="default" w:ascii="Times New Roman" w:hAnsi="Times New Roman" w:eastAsia="宋体" w:cs="Times New Roman"/>
          <w:color w:val="auto"/>
          <w:sz w:val="24"/>
          <w:szCs w:val="24"/>
          <w:highlight w:val="none"/>
          <w:lang w:val="en-US" w:eastAsia="zh-CN"/>
        </w:rPr>
        <w:t>评审标准</w:t>
      </w:r>
      <w:bookmarkEnd w:id="96"/>
    </w:p>
    <w:p w14:paraId="1ABFF457">
      <w:pPr>
        <w:pStyle w:val="11"/>
        <w:ind w:firstLine="241" w:firstLineChars="100"/>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b/>
          <w:color w:val="auto"/>
          <w:sz w:val="24"/>
          <w:szCs w:val="24"/>
          <w:highlight w:val="none"/>
          <w:lang w:eastAsia="zh-CN"/>
        </w:rPr>
        <w:t>（一）评审因素</w:t>
      </w:r>
    </w:p>
    <w:tbl>
      <w:tblPr>
        <w:tblStyle w:val="25"/>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1106"/>
        <w:gridCol w:w="1152"/>
        <w:gridCol w:w="4698"/>
        <w:gridCol w:w="2193"/>
      </w:tblGrid>
      <w:tr w14:paraId="0429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99" w:type="dxa"/>
            <w:vAlign w:val="center"/>
          </w:tcPr>
          <w:p w14:paraId="441854DA">
            <w:pPr>
              <w:spacing w:line="260" w:lineRule="exact"/>
              <w:ind w:firstLine="28"/>
              <w:jc w:val="center"/>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t>序号</w:t>
            </w:r>
          </w:p>
        </w:tc>
        <w:tc>
          <w:tcPr>
            <w:tcW w:w="1106" w:type="dxa"/>
            <w:vAlign w:val="center"/>
          </w:tcPr>
          <w:p w14:paraId="62CE6031">
            <w:pPr>
              <w:spacing w:line="260" w:lineRule="exact"/>
              <w:ind w:firstLine="28"/>
              <w:jc w:val="center"/>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t>评分因素</w:t>
            </w:r>
          </w:p>
          <w:p w14:paraId="4EF6D82F">
            <w:pPr>
              <w:spacing w:line="260" w:lineRule="exact"/>
              <w:ind w:firstLine="28"/>
              <w:jc w:val="center"/>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t>及权重</w:t>
            </w:r>
          </w:p>
        </w:tc>
        <w:tc>
          <w:tcPr>
            <w:tcW w:w="1152" w:type="dxa"/>
            <w:vAlign w:val="center"/>
          </w:tcPr>
          <w:p w14:paraId="049AA976">
            <w:pPr>
              <w:spacing w:line="260" w:lineRule="exact"/>
              <w:ind w:firstLine="28"/>
              <w:jc w:val="center"/>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t>分值</w:t>
            </w:r>
          </w:p>
        </w:tc>
        <w:tc>
          <w:tcPr>
            <w:tcW w:w="4698" w:type="dxa"/>
            <w:vAlign w:val="center"/>
          </w:tcPr>
          <w:p w14:paraId="5723471A">
            <w:pPr>
              <w:pStyle w:val="44"/>
              <w:spacing w:before="0" w:after="0" w:line="260" w:lineRule="exact"/>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评分标准</w:t>
            </w:r>
          </w:p>
        </w:tc>
        <w:tc>
          <w:tcPr>
            <w:tcW w:w="2193" w:type="dxa"/>
            <w:vAlign w:val="center"/>
          </w:tcPr>
          <w:p w14:paraId="67D89EF9">
            <w:pPr>
              <w:pStyle w:val="44"/>
              <w:spacing w:before="0" w:after="0" w:line="260" w:lineRule="exact"/>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备注</w:t>
            </w:r>
          </w:p>
        </w:tc>
      </w:tr>
      <w:tr w14:paraId="1B6B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399" w:type="dxa"/>
            <w:vAlign w:val="center"/>
          </w:tcPr>
          <w:p w14:paraId="2B6B940E">
            <w:pPr>
              <w:spacing w:line="260" w:lineRule="exact"/>
              <w:ind w:firstLine="2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06" w:type="dxa"/>
            <w:vAlign w:val="center"/>
          </w:tcPr>
          <w:p w14:paraId="61A9B0C9">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w:t>
            </w:r>
          </w:p>
          <w:p w14:paraId="23E28C73">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w:t>
            </w:r>
          </w:p>
          <w:p w14:paraId="1B52D81A">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w:t>
            </w:r>
          </w:p>
        </w:tc>
        <w:tc>
          <w:tcPr>
            <w:tcW w:w="1152" w:type="dxa"/>
            <w:vAlign w:val="center"/>
          </w:tcPr>
          <w:p w14:paraId="55A3FF42">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w:t>
            </w:r>
          </w:p>
          <w:p w14:paraId="330E99CB">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w:t>
            </w:r>
          </w:p>
          <w:p w14:paraId="5DA5AC97">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tc>
        <w:tc>
          <w:tcPr>
            <w:tcW w:w="4698" w:type="dxa"/>
            <w:vAlign w:val="center"/>
          </w:tcPr>
          <w:p w14:paraId="245A5185">
            <w:pPr>
              <w:spacing w:line="2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满足资格性、符合性要求且最后报价最低的供应商的价格为磋商基准价，按照下列公式计算每个供应商的磋商报价得分。</w:t>
            </w:r>
          </w:p>
          <w:p w14:paraId="792E3A31">
            <w:pPr>
              <w:spacing w:line="2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磋商报价得分=（磋商基准价/最后磋商报价）×价格权值×100。</w:t>
            </w:r>
          </w:p>
        </w:tc>
        <w:tc>
          <w:tcPr>
            <w:tcW w:w="2193" w:type="dxa"/>
            <w:vAlign w:val="center"/>
          </w:tcPr>
          <w:p w14:paraId="0DBD684B">
            <w:pPr>
              <w:spacing w:line="2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对小微企业的价格用扣除后的价格参与评审，详见“注：关于小微企业报价扣除比例说明”</w:t>
            </w:r>
          </w:p>
        </w:tc>
      </w:tr>
      <w:tr w14:paraId="29AB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399" w:type="dxa"/>
            <w:vMerge w:val="restart"/>
            <w:vAlign w:val="center"/>
          </w:tcPr>
          <w:p w14:paraId="661117A8">
            <w:pPr>
              <w:spacing w:line="260" w:lineRule="exact"/>
              <w:ind w:firstLine="28"/>
              <w:jc w:val="center"/>
              <w:rPr>
                <w:rFonts w:hint="eastAsia" w:ascii="宋体" w:hAnsi="宋体" w:eastAsia="宋体" w:cs="宋体"/>
                <w:color w:val="auto"/>
                <w:sz w:val="22"/>
                <w:szCs w:val="22"/>
                <w:highlight w:val="none"/>
              </w:rPr>
            </w:pPr>
          </w:p>
          <w:p w14:paraId="04A07AD1">
            <w:pPr>
              <w:spacing w:line="260" w:lineRule="exact"/>
              <w:ind w:firstLine="2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106" w:type="dxa"/>
            <w:vMerge w:val="restart"/>
            <w:vAlign w:val="center"/>
          </w:tcPr>
          <w:p w14:paraId="0187117A">
            <w:pPr>
              <w:spacing w:line="260" w:lineRule="exact"/>
              <w:ind w:firstLine="2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部分</w:t>
            </w:r>
          </w:p>
          <w:p w14:paraId="12BC8FA0">
            <w:pPr>
              <w:spacing w:line="260" w:lineRule="exact"/>
              <w:ind w:firstLine="2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55</w:t>
            </w:r>
            <w:r>
              <w:rPr>
                <w:rFonts w:hint="eastAsia" w:ascii="宋体" w:hAnsi="宋体" w:eastAsia="宋体" w:cs="宋体"/>
                <w:color w:val="auto"/>
                <w:sz w:val="22"/>
                <w:szCs w:val="22"/>
                <w:highlight w:val="none"/>
              </w:rPr>
              <w:t>%）</w:t>
            </w:r>
          </w:p>
        </w:tc>
        <w:tc>
          <w:tcPr>
            <w:tcW w:w="1152" w:type="dxa"/>
            <w:vAlign w:val="center"/>
          </w:tcPr>
          <w:p w14:paraId="1DFF143B">
            <w:pPr>
              <w:spacing w:line="2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计划方案（20分）</w:t>
            </w:r>
          </w:p>
        </w:tc>
        <w:tc>
          <w:tcPr>
            <w:tcW w:w="4698" w:type="dxa"/>
            <w:vAlign w:val="center"/>
          </w:tcPr>
          <w:p w14:paraId="08DB1FBB">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供应商针</w:t>
            </w:r>
            <w:r>
              <w:rPr>
                <w:rFonts w:hint="eastAsia" w:ascii="宋体" w:hAnsi="宋体" w:eastAsia="宋体" w:cs="宋体"/>
                <w:color w:val="auto"/>
                <w:sz w:val="24"/>
                <w:szCs w:val="24"/>
                <w:highlight w:val="none"/>
              </w:rPr>
              <w:t>对本项目实际情况提供项目</w:t>
            </w:r>
            <w:r>
              <w:rPr>
                <w:rFonts w:hint="eastAsia" w:ascii="宋体" w:hAnsi="宋体" w:eastAsia="宋体" w:cs="宋体"/>
                <w:color w:val="auto"/>
                <w:sz w:val="24"/>
                <w:szCs w:val="24"/>
                <w:highlight w:val="none"/>
                <w:lang w:val="en-US" w:eastAsia="zh-CN"/>
              </w:rPr>
              <w:t>计划</w:t>
            </w:r>
            <w:r>
              <w:rPr>
                <w:rFonts w:hint="eastAsia" w:ascii="宋体" w:hAnsi="宋体" w:eastAsia="宋体" w:cs="宋体"/>
                <w:color w:val="auto"/>
                <w:sz w:val="24"/>
                <w:szCs w:val="24"/>
                <w:highlight w:val="none"/>
              </w:rPr>
              <w:t>方案，方案内容包括但不限于：①项目背景的理解；②总体实施计划；③项目服务重点、难点分析；④项目达成的目标。</w:t>
            </w:r>
          </w:p>
          <w:p w14:paraId="74CEC96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1、方案内容全面、针对性强、条理清晰、可实施操作性强的得20分；</w:t>
            </w:r>
          </w:p>
          <w:p w14:paraId="2224903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2、方案内容较全面、针对性较强、条理较清晰、可实施操作性较强的得15分；</w:t>
            </w:r>
          </w:p>
          <w:p w14:paraId="3896564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3、方案内容一般、针对性一般、条理一般、可实施操作性一般的得10分；</w:t>
            </w:r>
          </w:p>
          <w:p w14:paraId="6D6D015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4、方案内容稍有欠缺、针对性不够强、条理杂乱、可实施操作性不够强的得5分；</w:t>
            </w:r>
          </w:p>
          <w:p w14:paraId="3BA917C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5、差或未提供不得分。</w:t>
            </w:r>
          </w:p>
          <w:p w14:paraId="5E37C18D">
            <w:pPr>
              <w:spacing w:line="260" w:lineRule="exact"/>
              <w:ind w:firstLine="440" w:firstLineChars="200"/>
              <w:rPr>
                <w:rFonts w:hint="eastAsia" w:ascii="宋体" w:hAnsi="宋体" w:eastAsia="宋体" w:cs="宋体"/>
                <w:color w:val="auto"/>
                <w:sz w:val="22"/>
                <w:szCs w:val="22"/>
                <w:highlight w:val="none"/>
                <w:lang w:val="en-US" w:eastAsia="zh-CN"/>
              </w:rPr>
            </w:pPr>
          </w:p>
        </w:tc>
        <w:tc>
          <w:tcPr>
            <w:tcW w:w="2193" w:type="dxa"/>
            <w:vAlign w:val="center"/>
          </w:tcPr>
          <w:p w14:paraId="37E098AF">
            <w:pPr>
              <w:spacing w:line="2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供应商自行提供，格式自拟。</w:t>
            </w:r>
          </w:p>
        </w:tc>
      </w:tr>
      <w:tr w14:paraId="3C69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trPr>
        <w:tc>
          <w:tcPr>
            <w:tcW w:w="399" w:type="dxa"/>
            <w:vMerge w:val="continue"/>
            <w:vAlign w:val="center"/>
          </w:tcPr>
          <w:p w14:paraId="2F367F0B">
            <w:pPr>
              <w:spacing w:line="260" w:lineRule="exact"/>
              <w:ind w:firstLine="28"/>
              <w:jc w:val="center"/>
              <w:rPr>
                <w:rFonts w:hint="eastAsia" w:ascii="宋体" w:hAnsi="宋体" w:eastAsia="宋体" w:cs="宋体"/>
                <w:color w:val="auto"/>
                <w:sz w:val="22"/>
                <w:szCs w:val="22"/>
                <w:highlight w:val="none"/>
              </w:rPr>
            </w:pPr>
          </w:p>
        </w:tc>
        <w:tc>
          <w:tcPr>
            <w:tcW w:w="1106" w:type="dxa"/>
            <w:vMerge w:val="continue"/>
            <w:vAlign w:val="center"/>
          </w:tcPr>
          <w:p w14:paraId="0B970A56">
            <w:pPr>
              <w:spacing w:line="260" w:lineRule="exact"/>
              <w:ind w:firstLine="28"/>
              <w:jc w:val="center"/>
              <w:rPr>
                <w:rFonts w:hint="eastAsia" w:ascii="宋体" w:hAnsi="宋体" w:eastAsia="宋体" w:cs="宋体"/>
                <w:color w:val="auto"/>
                <w:sz w:val="22"/>
                <w:szCs w:val="22"/>
                <w:highlight w:val="none"/>
              </w:rPr>
            </w:pPr>
          </w:p>
        </w:tc>
        <w:tc>
          <w:tcPr>
            <w:tcW w:w="1152" w:type="dxa"/>
            <w:shd w:val="clear" w:color="auto" w:fill="auto"/>
            <w:vAlign w:val="center"/>
          </w:tcPr>
          <w:p w14:paraId="1A9F253A">
            <w:pPr>
              <w:numPr>
                <w:ilvl w:val="0"/>
                <w:numId w:val="0"/>
              </w:numPr>
              <w:spacing w:line="2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管理方案</w:t>
            </w:r>
          </w:p>
          <w:p w14:paraId="3BD1CBC4">
            <w:pPr>
              <w:numPr>
                <w:ilvl w:val="0"/>
                <w:numId w:val="0"/>
              </w:numPr>
              <w:spacing w:line="260" w:lineRule="exact"/>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（20分））</w:t>
            </w:r>
          </w:p>
        </w:tc>
        <w:tc>
          <w:tcPr>
            <w:tcW w:w="4698" w:type="dxa"/>
            <w:shd w:val="clear" w:color="auto" w:fill="auto"/>
            <w:vAlign w:val="center"/>
          </w:tcPr>
          <w:p w14:paraId="72D8E0B7">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供应商针对本项目提供项目管理方案，方案内容包括但不限于：①服务团队管理机制和管控制度；②人员配备计划、人员分工及职责分工；③问题处理机制；④宣传推广保障措施。</w:t>
            </w:r>
          </w:p>
          <w:p w14:paraId="6E23265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1、方案内容全面、针对性强、人员配置科学合理性强，保障措施可行性强的得20分；</w:t>
            </w:r>
          </w:p>
          <w:p w14:paraId="4C04C00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2、方案内容较全面、针对性较强、人员配置科学合理性较强、保障措施可行性较强的得15分；</w:t>
            </w:r>
          </w:p>
          <w:p w14:paraId="554AAFE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3、方案内容一般、针对性一般、人员配置、保障措施可行性一般的得10分；</w:t>
            </w:r>
          </w:p>
          <w:p w14:paraId="4AE2497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4、方案内容有明显欠缺、针对性差、保障措施可行性差的得5分；</w:t>
            </w:r>
          </w:p>
          <w:p w14:paraId="1460AA0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4"/>
                <w:highlight w:val="none"/>
                <w:lang w:val="en-US" w:eastAsia="zh-CN"/>
              </w:rPr>
              <w:t>5、差或未提供不得分。</w:t>
            </w:r>
          </w:p>
        </w:tc>
        <w:tc>
          <w:tcPr>
            <w:tcW w:w="2193" w:type="dxa"/>
            <w:vAlign w:val="center"/>
          </w:tcPr>
          <w:p w14:paraId="64EB0453">
            <w:pPr>
              <w:spacing w:line="2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供应商自行提供，格式自拟。</w:t>
            </w:r>
          </w:p>
        </w:tc>
      </w:tr>
      <w:tr w14:paraId="4A76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399" w:type="dxa"/>
            <w:vMerge w:val="continue"/>
            <w:vAlign w:val="center"/>
          </w:tcPr>
          <w:p w14:paraId="085BAAEA">
            <w:pPr>
              <w:spacing w:line="260" w:lineRule="exact"/>
              <w:ind w:firstLine="28"/>
              <w:jc w:val="center"/>
              <w:rPr>
                <w:rFonts w:hint="eastAsia" w:ascii="宋体" w:hAnsi="宋体" w:eastAsia="宋体" w:cs="宋体"/>
                <w:color w:val="auto"/>
                <w:sz w:val="22"/>
                <w:szCs w:val="22"/>
                <w:highlight w:val="none"/>
              </w:rPr>
            </w:pPr>
          </w:p>
        </w:tc>
        <w:tc>
          <w:tcPr>
            <w:tcW w:w="1106" w:type="dxa"/>
            <w:vMerge w:val="continue"/>
            <w:vAlign w:val="center"/>
          </w:tcPr>
          <w:p w14:paraId="6A36497A">
            <w:pPr>
              <w:spacing w:line="260" w:lineRule="exact"/>
              <w:ind w:firstLine="28"/>
              <w:jc w:val="center"/>
              <w:rPr>
                <w:rFonts w:hint="eastAsia" w:ascii="宋体" w:hAnsi="宋体" w:eastAsia="宋体" w:cs="宋体"/>
                <w:color w:val="auto"/>
                <w:sz w:val="22"/>
                <w:szCs w:val="22"/>
                <w:highlight w:val="none"/>
              </w:rPr>
            </w:pPr>
          </w:p>
        </w:tc>
        <w:tc>
          <w:tcPr>
            <w:tcW w:w="1152" w:type="dxa"/>
            <w:shd w:val="clear" w:color="auto" w:fill="auto"/>
            <w:vAlign w:val="center"/>
          </w:tcPr>
          <w:p w14:paraId="5DCD3460">
            <w:pPr>
              <w:spacing w:line="2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应急方案（15分）</w:t>
            </w:r>
          </w:p>
        </w:tc>
        <w:tc>
          <w:tcPr>
            <w:tcW w:w="4698" w:type="dxa"/>
            <w:shd w:val="clear" w:color="auto" w:fill="auto"/>
            <w:vAlign w:val="center"/>
          </w:tcPr>
          <w:p w14:paraId="215BCA75">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供应商针对本项目提供突发情况应急预案的，根据应急预案科学完整程度进行评审：</w:t>
            </w:r>
          </w:p>
          <w:p w14:paraId="142F81B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1、应急预案科学完整，针对性强得15分；</w:t>
            </w:r>
          </w:p>
          <w:p w14:paraId="1EABDB1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2、应急预案完整，针对性不强得10分；</w:t>
            </w:r>
          </w:p>
          <w:p w14:paraId="631B00B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3、应急预案较完整得5分；</w:t>
            </w:r>
          </w:p>
          <w:p w14:paraId="292DAA2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4"/>
                <w:highlight w:val="none"/>
                <w:lang w:val="en-US" w:eastAsia="zh-CN"/>
              </w:rPr>
              <w:t>4、未提供不得分。</w:t>
            </w:r>
          </w:p>
        </w:tc>
        <w:tc>
          <w:tcPr>
            <w:tcW w:w="2193" w:type="dxa"/>
            <w:vAlign w:val="center"/>
          </w:tcPr>
          <w:p w14:paraId="1A7C3EEE">
            <w:pPr>
              <w:spacing w:line="2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供应商自行提供，格式自拟。</w:t>
            </w:r>
          </w:p>
        </w:tc>
      </w:tr>
      <w:tr w14:paraId="207E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 w:type="dxa"/>
            <w:vMerge w:val="restart"/>
            <w:vAlign w:val="center"/>
          </w:tcPr>
          <w:p w14:paraId="3BFD5872">
            <w:pPr>
              <w:spacing w:line="260" w:lineRule="exact"/>
              <w:ind w:firstLine="2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106" w:type="dxa"/>
            <w:vMerge w:val="restart"/>
            <w:vAlign w:val="center"/>
          </w:tcPr>
          <w:p w14:paraId="4539EE3C">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w:t>
            </w:r>
          </w:p>
          <w:p w14:paraId="734E97C1">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部分</w:t>
            </w:r>
          </w:p>
          <w:p w14:paraId="1C4E88E9">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w:t>
            </w:r>
          </w:p>
        </w:tc>
        <w:tc>
          <w:tcPr>
            <w:tcW w:w="1152" w:type="dxa"/>
            <w:vAlign w:val="center"/>
          </w:tcPr>
          <w:p w14:paraId="2E3FACA5">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p>
          <w:p w14:paraId="20A8AE28">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团队</w:t>
            </w:r>
          </w:p>
          <w:p w14:paraId="12A4E28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698" w:type="dxa"/>
            <w:vAlign w:val="center"/>
          </w:tcPr>
          <w:p w14:paraId="4B5EFCB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0"/>
                <w:sz w:val="24"/>
                <w:szCs w:val="24"/>
                <w:highlight w:val="none"/>
                <w:shd w:val="clear" w:color="auto" w:fill="FFFFFF"/>
                <w:lang w:bidi="ar-SA"/>
              </w:rPr>
            </w:pPr>
            <w:r>
              <w:rPr>
                <w:rFonts w:hint="eastAsia" w:ascii="宋体" w:hAnsi="宋体" w:eastAsia="宋体" w:cs="宋体"/>
                <w:color w:val="auto"/>
                <w:kern w:val="0"/>
                <w:sz w:val="24"/>
                <w:szCs w:val="24"/>
                <w:highlight w:val="none"/>
                <w:shd w:val="clear" w:color="auto" w:fill="FFFFFF"/>
                <w:lang w:bidi="ar-SA"/>
              </w:rPr>
              <w:t>1、项目拟派人员</w:t>
            </w:r>
            <w:r>
              <w:rPr>
                <w:rFonts w:hint="eastAsia" w:ascii="宋体" w:hAnsi="宋体" w:eastAsia="宋体" w:cs="宋体"/>
                <w:color w:val="auto"/>
                <w:kern w:val="0"/>
                <w:sz w:val="24"/>
                <w:szCs w:val="24"/>
                <w:highlight w:val="none"/>
                <w:shd w:val="clear" w:color="auto" w:fill="FFFFFF"/>
                <w:lang w:val="en-US" w:eastAsia="zh-CN" w:bidi="ar-SA"/>
              </w:rPr>
              <w:t>5</w:t>
            </w:r>
            <w:r>
              <w:rPr>
                <w:rFonts w:hint="eastAsia" w:ascii="宋体" w:hAnsi="宋体" w:eastAsia="宋体" w:cs="宋体"/>
                <w:color w:val="auto"/>
                <w:kern w:val="0"/>
                <w:sz w:val="24"/>
                <w:szCs w:val="24"/>
                <w:highlight w:val="none"/>
                <w:shd w:val="clear" w:color="auto" w:fill="FFFFFF"/>
                <w:lang w:bidi="ar-SA"/>
              </w:rPr>
              <w:t>分。</w:t>
            </w:r>
          </w:p>
          <w:p w14:paraId="1175DA1C">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4"/>
                <w:szCs w:val="24"/>
                <w:highlight w:val="none"/>
                <w:shd w:val="clear" w:color="auto" w:fill="FFFFFF"/>
                <w:lang w:val="en-US" w:eastAsia="zh-CN" w:bidi="ar-SA"/>
              </w:rPr>
              <w:t>在</w:t>
            </w:r>
            <w:r>
              <w:rPr>
                <w:rFonts w:hint="eastAsia" w:ascii="宋体" w:hAnsi="宋体" w:eastAsia="宋体" w:cs="宋体"/>
                <w:color w:val="auto"/>
                <w:kern w:val="0"/>
                <w:sz w:val="24"/>
                <w:szCs w:val="24"/>
                <w:highlight w:val="none"/>
                <w:shd w:val="clear" w:color="auto" w:fill="FFFFFF"/>
                <w:lang w:bidi="ar-SA"/>
              </w:rPr>
              <w:t>项目拟派人员</w:t>
            </w:r>
            <w:r>
              <w:rPr>
                <w:rFonts w:hint="eastAsia" w:ascii="宋体" w:hAnsi="宋体" w:eastAsia="宋体" w:cs="宋体"/>
                <w:color w:val="auto"/>
                <w:kern w:val="0"/>
                <w:sz w:val="24"/>
                <w:szCs w:val="24"/>
                <w:highlight w:val="none"/>
                <w:shd w:val="clear" w:color="auto" w:fill="FFFFFF"/>
                <w:lang w:val="en-US" w:eastAsia="zh-CN" w:bidi="ar-SA"/>
              </w:rPr>
              <w:t>中</w:t>
            </w:r>
            <w:r>
              <w:rPr>
                <w:rFonts w:hint="eastAsia" w:ascii="宋体" w:hAnsi="宋体" w:eastAsia="宋体" w:cs="宋体"/>
                <w:color w:val="auto"/>
                <w:kern w:val="0"/>
                <w:sz w:val="24"/>
                <w:szCs w:val="24"/>
                <w:highlight w:val="none"/>
                <w:shd w:val="clear" w:color="auto" w:fill="FFFFFF"/>
                <w:lang w:bidi="ar-SA"/>
              </w:rPr>
              <w:t>有</w:t>
            </w:r>
            <w:r>
              <w:rPr>
                <w:rFonts w:hint="eastAsia" w:ascii="宋体" w:hAnsi="宋体" w:eastAsia="宋体" w:cs="宋体"/>
                <w:color w:val="auto"/>
                <w:kern w:val="0"/>
                <w:sz w:val="24"/>
                <w:szCs w:val="24"/>
                <w:highlight w:val="none"/>
                <w:shd w:val="clear" w:color="auto" w:fill="FFFFFF"/>
                <w:lang w:val="en-US" w:eastAsia="zh-CN" w:bidi="ar-SA"/>
              </w:rPr>
              <w:t>1</w:t>
            </w:r>
            <w:r>
              <w:rPr>
                <w:rFonts w:hint="eastAsia" w:ascii="宋体" w:hAnsi="宋体" w:eastAsia="宋体" w:cs="宋体"/>
                <w:color w:val="auto"/>
                <w:kern w:val="0"/>
                <w:sz w:val="24"/>
                <w:szCs w:val="24"/>
                <w:highlight w:val="none"/>
                <w:shd w:val="clear" w:color="auto" w:fill="FFFFFF"/>
                <w:lang w:bidi="ar-SA"/>
              </w:rPr>
              <w:t>人取得</w:t>
            </w:r>
            <w:r>
              <w:rPr>
                <w:rFonts w:hint="eastAsia" w:ascii="宋体" w:hAnsi="宋体" w:eastAsia="宋体" w:cs="宋体"/>
                <w:color w:val="auto"/>
                <w:kern w:val="0"/>
                <w:sz w:val="24"/>
                <w:szCs w:val="24"/>
                <w:highlight w:val="none"/>
                <w:shd w:val="clear" w:color="auto" w:fill="FFFFFF"/>
                <w:lang w:val="en-US" w:eastAsia="zh-CN" w:bidi="ar-SA"/>
              </w:rPr>
              <w:t>中级</w:t>
            </w:r>
            <w:r>
              <w:rPr>
                <w:rFonts w:hint="eastAsia" w:ascii="宋体" w:hAnsi="宋体" w:eastAsia="宋体" w:cs="宋体"/>
                <w:color w:val="auto"/>
                <w:kern w:val="0"/>
                <w:sz w:val="24"/>
                <w:szCs w:val="24"/>
                <w:highlight w:val="none"/>
                <w:shd w:val="clear" w:color="auto" w:fill="FFFFFF"/>
                <w:lang w:bidi="ar-SA"/>
              </w:rPr>
              <w:t>社工师水平证书，得</w:t>
            </w:r>
            <w:r>
              <w:rPr>
                <w:rFonts w:hint="eastAsia" w:ascii="宋体" w:hAnsi="宋体" w:eastAsia="宋体" w:cs="宋体"/>
                <w:color w:val="auto"/>
                <w:kern w:val="0"/>
                <w:sz w:val="24"/>
                <w:szCs w:val="24"/>
                <w:highlight w:val="none"/>
                <w:shd w:val="clear" w:color="auto" w:fill="FFFFFF"/>
                <w:lang w:val="en-US" w:eastAsia="zh-CN" w:bidi="ar-SA"/>
              </w:rPr>
              <w:t>5</w:t>
            </w:r>
            <w:r>
              <w:rPr>
                <w:rFonts w:hint="eastAsia" w:ascii="宋体" w:hAnsi="宋体" w:eastAsia="宋体" w:cs="宋体"/>
                <w:color w:val="auto"/>
                <w:kern w:val="0"/>
                <w:sz w:val="24"/>
                <w:szCs w:val="24"/>
                <w:highlight w:val="none"/>
                <w:shd w:val="clear" w:color="auto" w:fill="FFFFFF"/>
                <w:lang w:bidi="ar-SA"/>
              </w:rPr>
              <w:t>分</w:t>
            </w:r>
            <w:r>
              <w:rPr>
                <w:rFonts w:hint="eastAsia" w:ascii="宋体" w:hAnsi="宋体" w:eastAsia="宋体" w:cs="宋体"/>
                <w:color w:val="auto"/>
                <w:kern w:val="0"/>
                <w:sz w:val="24"/>
                <w:szCs w:val="24"/>
                <w:highlight w:val="none"/>
                <w:shd w:val="clear" w:color="auto" w:fill="FFFFFF"/>
                <w:lang w:eastAsia="zh-CN" w:bidi="ar-SA"/>
              </w:rPr>
              <w:t>。</w:t>
            </w:r>
          </w:p>
        </w:tc>
        <w:tc>
          <w:tcPr>
            <w:tcW w:w="2193" w:type="dxa"/>
            <w:vAlign w:val="center"/>
          </w:tcPr>
          <w:p w14:paraId="00F52898">
            <w:pPr>
              <w:spacing w:line="2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4"/>
                <w:szCs w:val="24"/>
                <w:highlight w:val="none"/>
                <w:shd w:val="clear" w:color="auto" w:fill="FFFFFF"/>
                <w:lang w:bidi="ar-SA"/>
              </w:rPr>
              <w:t>提供有效证明材料复印件并加盖</w:t>
            </w:r>
            <w:r>
              <w:rPr>
                <w:rFonts w:hint="eastAsia" w:ascii="宋体" w:hAnsi="宋体" w:eastAsia="宋体" w:cs="宋体"/>
                <w:color w:val="auto"/>
                <w:kern w:val="0"/>
                <w:sz w:val="24"/>
                <w:szCs w:val="24"/>
                <w:highlight w:val="none"/>
                <w:shd w:val="clear" w:color="auto" w:fill="FFFFFF"/>
                <w:lang w:val="en-US" w:eastAsia="zh-CN" w:bidi="ar-SA"/>
              </w:rPr>
              <w:t>供应商</w:t>
            </w:r>
            <w:r>
              <w:rPr>
                <w:rFonts w:hint="eastAsia" w:ascii="宋体" w:hAnsi="宋体" w:eastAsia="宋体" w:cs="宋体"/>
                <w:color w:val="auto"/>
                <w:kern w:val="0"/>
                <w:sz w:val="24"/>
                <w:szCs w:val="24"/>
                <w:highlight w:val="none"/>
                <w:shd w:val="clear" w:color="auto" w:fill="FFFFFF"/>
                <w:lang w:bidi="ar-SA"/>
              </w:rPr>
              <w:t>鲜章。</w:t>
            </w:r>
          </w:p>
        </w:tc>
      </w:tr>
      <w:tr w14:paraId="4919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 w:type="dxa"/>
            <w:vMerge w:val="continue"/>
            <w:vAlign w:val="center"/>
          </w:tcPr>
          <w:p w14:paraId="33186CB0">
            <w:pPr>
              <w:spacing w:line="260" w:lineRule="exact"/>
              <w:ind w:firstLine="28"/>
              <w:jc w:val="center"/>
              <w:rPr>
                <w:rFonts w:hint="eastAsia" w:ascii="宋体" w:hAnsi="宋体" w:eastAsia="宋体" w:cs="宋体"/>
                <w:color w:val="auto"/>
                <w:sz w:val="22"/>
                <w:szCs w:val="22"/>
                <w:highlight w:val="none"/>
              </w:rPr>
            </w:pPr>
            <w:bookmarkStart w:id="99" w:name="_Toc28835"/>
          </w:p>
        </w:tc>
        <w:tc>
          <w:tcPr>
            <w:tcW w:w="1106" w:type="dxa"/>
            <w:vMerge w:val="continue"/>
            <w:vAlign w:val="center"/>
          </w:tcPr>
          <w:p w14:paraId="7E2E1734">
            <w:pPr>
              <w:spacing w:line="260" w:lineRule="exact"/>
              <w:jc w:val="center"/>
              <w:rPr>
                <w:rFonts w:hint="eastAsia" w:ascii="宋体" w:hAnsi="宋体" w:eastAsia="宋体" w:cs="宋体"/>
                <w:color w:val="auto"/>
                <w:sz w:val="22"/>
                <w:szCs w:val="22"/>
                <w:highlight w:val="none"/>
              </w:rPr>
            </w:pPr>
          </w:p>
        </w:tc>
        <w:tc>
          <w:tcPr>
            <w:tcW w:w="1152" w:type="dxa"/>
            <w:vAlign w:val="center"/>
          </w:tcPr>
          <w:p w14:paraId="2CB1BDE3">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3B3012C0">
            <w:pPr>
              <w:spacing w:line="2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4"/>
                <w:highlight w:val="none"/>
                <w:lang w:val="en-US" w:eastAsia="zh-CN"/>
              </w:rPr>
              <w:t>（10分）</w:t>
            </w:r>
          </w:p>
        </w:tc>
        <w:tc>
          <w:tcPr>
            <w:tcW w:w="4698" w:type="dxa"/>
            <w:vAlign w:val="center"/>
          </w:tcPr>
          <w:p w14:paraId="16E1FFA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0"/>
                <w:sz w:val="24"/>
                <w:szCs w:val="24"/>
                <w:highlight w:val="none"/>
                <w:shd w:val="clear" w:color="auto" w:fill="FFFFFF"/>
                <w:lang w:bidi="ar-SA"/>
              </w:rPr>
            </w:pPr>
            <w:r>
              <w:rPr>
                <w:rFonts w:hint="eastAsia" w:ascii="宋体" w:hAnsi="宋体" w:eastAsia="宋体" w:cs="宋体"/>
                <w:color w:val="auto"/>
                <w:kern w:val="0"/>
                <w:sz w:val="24"/>
                <w:szCs w:val="24"/>
                <w:highlight w:val="none"/>
                <w:shd w:val="clear" w:color="auto" w:fill="FFFFFF"/>
                <w:lang w:bidi="ar-SA"/>
              </w:rPr>
              <w:t>202</w:t>
            </w:r>
            <w:r>
              <w:rPr>
                <w:rFonts w:hint="eastAsia" w:ascii="宋体" w:hAnsi="宋体" w:eastAsia="宋体" w:cs="宋体"/>
                <w:color w:val="auto"/>
                <w:kern w:val="0"/>
                <w:sz w:val="24"/>
                <w:szCs w:val="24"/>
                <w:highlight w:val="none"/>
                <w:shd w:val="clear" w:color="auto" w:fill="FFFFFF"/>
                <w:lang w:val="en-US" w:eastAsia="zh-CN" w:bidi="ar-SA"/>
              </w:rPr>
              <w:t>1</w:t>
            </w:r>
            <w:r>
              <w:rPr>
                <w:rFonts w:hint="eastAsia" w:ascii="宋体" w:hAnsi="宋体" w:eastAsia="宋体" w:cs="宋体"/>
                <w:color w:val="auto"/>
                <w:kern w:val="0"/>
                <w:sz w:val="24"/>
                <w:szCs w:val="24"/>
                <w:highlight w:val="none"/>
                <w:shd w:val="clear" w:color="auto" w:fill="FFFFFF"/>
                <w:lang w:bidi="ar-SA"/>
              </w:rPr>
              <w:t>年1月1日至今（以合同签订时间为准），</w:t>
            </w:r>
            <w:r>
              <w:rPr>
                <w:rFonts w:hint="eastAsia" w:ascii="宋体" w:hAnsi="宋体" w:eastAsia="宋体" w:cs="宋体"/>
                <w:color w:val="auto"/>
                <w:kern w:val="0"/>
                <w:sz w:val="24"/>
                <w:szCs w:val="24"/>
                <w:highlight w:val="none"/>
                <w:shd w:val="clear" w:color="auto" w:fill="FFFFFF"/>
                <w:lang w:val="en-US" w:eastAsia="zh-CN" w:bidi="ar-SA"/>
              </w:rPr>
              <w:t>供应商</w:t>
            </w:r>
            <w:r>
              <w:rPr>
                <w:rFonts w:hint="eastAsia" w:ascii="宋体" w:hAnsi="宋体" w:eastAsia="宋体" w:cs="宋体"/>
                <w:color w:val="auto"/>
                <w:kern w:val="0"/>
                <w:sz w:val="24"/>
                <w:szCs w:val="24"/>
                <w:highlight w:val="none"/>
                <w:shd w:val="clear" w:color="auto" w:fill="FFFFFF"/>
                <w:lang w:bidi="ar-SA"/>
              </w:rPr>
              <w:t>实施过</w:t>
            </w:r>
            <w:r>
              <w:rPr>
                <w:rFonts w:hint="eastAsia" w:ascii="宋体" w:hAnsi="宋体" w:eastAsia="宋体" w:cs="宋体"/>
                <w:color w:val="auto"/>
                <w:kern w:val="0"/>
                <w:sz w:val="24"/>
                <w:szCs w:val="24"/>
                <w:highlight w:val="none"/>
                <w:shd w:val="clear" w:color="auto" w:fill="FFFFFF"/>
                <w:lang w:val="en-US" w:eastAsia="zh-CN" w:bidi="ar-SA"/>
              </w:rPr>
              <w:t>类似</w:t>
            </w:r>
            <w:r>
              <w:rPr>
                <w:rFonts w:hint="eastAsia" w:ascii="宋体" w:hAnsi="宋体" w:eastAsia="宋体" w:cs="宋体"/>
                <w:color w:val="auto"/>
                <w:kern w:val="0"/>
                <w:sz w:val="24"/>
                <w:szCs w:val="24"/>
                <w:highlight w:val="none"/>
                <w:shd w:val="clear" w:color="auto" w:fill="FFFFFF"/>
                <w:lang w:bidi="ar-SA"/>
              </w:rPr>
              <w:t>服务项目</w:t>
            </w:r>
            <w:r>
              <w:rPr>
                <w:rFonts w:hint="eastAsia" w:ascii="宋体" w:hAnsi="宋体" w:eastAsia="宋体" w:cs="宋体"/>
                <w:color w:val="auto"/>
                <w:kern w:val="0"/>
                <w:sz w:val="24"/>
                <w:szCs w:val="24"/>
                <w:highlight w:val="none"/>
                <w:shd w:val="clear" w:color="auto" w:fill="FFFFFF"/>
                <w:lang w:val="en-US" w:eastAsia="zh-CN" w:bidi="ar-SA"/>
              </w:rPr>
              <w:t>的，</w:t>
            </w:r>
            <w:r>
              <w:rPr>
                <w:rFonts w:hint="eastAsia" w:ascii="宋体" w:hAnsi="宋体" w:eastAsia="宋体" w:cs="宋体"/>
                <w:color w:val="auto"/>
                <w:kern w:val="0"/>
                <w:sz w:val="24"/>
                <w:szCs w:val="24"/>
                <w:highlight w:val="none"/>
                <w:shd w:val="clear" w:color="auto" w:fill="FFFFFF"/>
                <w:lang w:bidi="ar-SA"/>
              </w:rPr>
              <w:t>提供1个项目购买合同得</w:t>
            </w:r>
            <w:r>
              <w:rPr>
                <w:rFonts w:hint="eastAsia" w:ascii="宋体" w:hAnsi="宋体" w:eastAsia="宋体" w:cs="宋体"/>
                <w:color w:val="auto"/>
                <w:kern w:val="0"/>
                <w:sz w:val="24"/>
                <w:szCs w:val="24"/>
                <w:highlight w:val="none"/>
                <w:shd w:val="clear" w:color="auto" w:fill="FFFFFF"/>
                <w:lang w:val="en-US" w:eastAsia="zh-CN" w:bidi="ar-SA"/>
              </w:rPr>
              <w:t>5</w:t>
            </w:r>
            <w:r>
              <w:rPr>
                <w:rFonts w:hint="eastAsia" w:ascii="宋体" w:hAnsi="宋体" w:eastAsia="宋体" w:cs="宋体"/>
                <w:color w:val="auto"/>
                <w:kern w:val="0"/>
                <w:sz w:val="24"/>
                <w:szCs w:val="24"/>
                <w:highlight w:val="none"/>
                <w:shd w:val="clear" w:color="auto" w:fill="FFFFFF"/>
                <w:lang w:bidi="ar-SA"/>
              </w:rPr>
              <w:t>分</w:t>
            </w:r>
            <w:bookmarkStart w:id="174" w:name="_GoBack"/>
            <w:bookmarkEnd w:id="174"/>
            <w:r>
              <w:rPr>
                <w:rFonts w:hint="eastAsia" w:ascii="宋体" w:hAnsi="宋体" w:eastAsia="宋体" w:cs="宋体"/>
                <w:color w:val="auto"/>
                <w:kern w:val="0"/>
                <w:sz w:val="24"/>
                <w:szCs w:val="24"/>
                <w:highlight w:val="none"/>
                <w:shd w:val="clear" w:color="auto" w:fill="FFFFFF"/>
                <w:lang w:bidi="ar-SA"/>
              </w:rPr>
              <w:t>，每增加1个项目购买合同得</w:t>
            </w:r>
            <w:r>
              <w:rPr>
                <w:rFonts w:hint="eastAsia" w:ascii="宋体" w:hAnsi="宋体" w:eastAsia="宋体" w:cs="宋体"/>
                <w:color w:val="auto"/>
                <w:kern w:val="0"/>
                <w:sz w:val="24"/>
                <w:szCs w:val="24"/>
                <w:highlight w:val="none"/>
                <w:shd w:val="clear" w:color="auto" w:fill="FFFFFF"/>
                <w:lang w:val="en-US" w:eastAsia="zh-CN" w:bidi="ar-SA"/>
              </w:rPr>
              <w:t>5</w:t>
            </w:r>
            <w:r>
              <w:rPr>
                <w:rFonts w:hint="eastAsia" w:ascii="宋体" w:hAnsi="宋体" w:eastAsia="宋体" w:cs="宋体"/>
                <w:color w:val="auto"/>
                <w:kern w:val="0"/>
                <w:sz w:val="24"/>
                <w:szCs w:val="24"/>
                <w:highlight w:val="none"/>
                <w:shd w:val="clear" w:color="auto" w:fill="FFFFFF"/>
                <w:lang w:bidi="ar-SA"/>
              </w:rPr>
              <w:t>分，本项最高得</w:t>
            </w:r>
            <w:r>
              <w:rPr>
                <w:rFonts w:hint="eastAsia" w:ascii="宋体" w:hAnsi="宋体" w:eastAsia="宋体" w:cs="宋体"/>
                <w:color w:val="auto"/>
                <w:kern w:val="0"/>
                <w:sz w:val="24"/>
                <w:szCs w:val="24"/>
                <w:highlight w:val="none"/>
                <w:shd w:val="clear" w:color="auto" w:fill="FFFFFF"/>
                <w:lang w:val="en-US" w:eastAsia="zh-CN" w:bidi="ar-SA"/>
              </w:rPr>
              <w:t>10</w:t>
            </w:r>
            <w:r>
              <w:rPr>
                <w:rFonts w:hint="eastAsia" w:ascii="宋体" w:hAnsi="宋体" w:eastAsia="宋体" w:cs="宋体"/>
                <w:color w:val="auto"/>
                <w:kern w:val="0"/>
                <w:sz w:val="24"/>
                <w:szCs w:val="24"/>
                <w:highlight w:val="none"/>
                <w:shd w:val="clear" w:color="auto" w:fill="FFFFFF"/>
                <w:lang w:bidi="ar-SA"/>
              </w:rPr>
              <w:t>分。</w:t>
            </w:r>
          </w:p>
          <w:p w14:paraId="21F48BAC">
            <w:pPr>
              <w:spacing w:line="260" w:lineRule="exact"/>
              <w:ind w:firstLine="420" w:firstLineChars="200"/>
              <w:rPr>
                <w:rFonts w:hint="eastAsia" w:ascii="宋体" w:hAnsi="宋体" w:eastAsia="宋体" w:cs="宋体"/>
                <w:color w:val="auto"/>
                <w:sz w:val="21"/>
                <w:szCs w:val="21"/>
                <w:highlight w:val="none"/>
              </w:rPr>
            </w:pPr>
          </w:p>
        </w:tc>
        <w:tc>
          <w:tcPr>
            <w:tcW w:w="2193" w:type="dxa"/>
            <w:vAlign w:val="center"/>
          </w:tcPr>
          <w:p w14:paraId="46BB068F">
            <w:pPr>
              <w:spacing w:line="2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4"/>
                <w:szCs w:val="24"/>
                <w:highlight w:val="none"/>
                <w:shd w:val="clear" w:color="auto" w:fill="FFFFFF"/>
                <w:lang w:bidi="ar-SA"/>
              </w:rPr>
              <w:t>提供有效证明材料复印件并加盖</w:t>
            </w:r>
            <w:r>
              <w:rPr>
                <w:rFonts w:hint="eastAsia" w:ascii="宋体" w:hAnsi="宋体" w:eastAsia="宋体" w:cs="宋体"/>
                <w:color w:val="auto"/>
                <w:kern w:val="0"/>
                <w:sz w:val="24"/>
                <w:szCs w:val="24"/>
                <w:highlight w:val="none"/>
                <w:shd w:val="clear" w:color="auto" w:fill="FFFFFF"/>
                <w:lang w:val="en-US" w:eastAsia="zh-CN" w:bidi="ar-SA"/>
              </w:rPr>
              <w:t>供应商</w:t>
            </w:r>
            <w:r>
              <w:rPr>
                <w:rFonts w:hint="eastAsia" w:ascii="宋体" w:hAnsi="宋体" w:eastAsia="宋体" w:cs="宋体"/>
                <w:color w:val="auto"/>
                <w:kern w:val="0"/>
                <w:sz w:val="24"/>
                <w:szCs w:val="24"/>
                <w:highlight w:val="none"/>
                <w:shd w:val="clear" w:color="auto" w:fill="FFFFFF"/>
                <w:lang w:bidi="ar-SA"/>
              </w:rPr>
              <w:t>鲜章。</w:t>
            </w:r>
          </w:p>
        </w:tc>
      </w:tr>
    </w:tbl>
    <w:p w14:paraId="7B7277D0">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注：关于小微企业报价扣除比例说明</w:t>
      </w:r>
    </w:p>
    <w:p w14:paraId="5AA939F6">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1.供应商为非联合体参与磋商的，对小微型企业给予</w:t>
      </w:r>
      <w:r>
        <w:rPr>
          <w:rFonts w:hint="eastAsia" w:ascii="Times New Roman" w:hAnsi="Times New Roman" w:eastAsia="宋体" w:cs="Times New Roman"/>
          <w:color w:val="auto"/>
          <w:kern w:val="0"/>
          <w:sz w:val="24"/>
          <w:szCs w:val="24"/>
          <w:highlight w:val="none"/>
          <w:u w:val="single"/>
        </w:rPr>
        <w:t>10%</w:t>
      </w:r>
      <w:r>
        <w:rPr>
          <w:rFonts w:hint="eastAsia" w:ascii="Times New Roman" w:hAnsi="Times New Roman" w:eastAsia="宋体" w:cs="Times New Roman"/>
          <w:color w:val="auto"/>
          <w:kern w:val="0"/>
          <w:sz w:val="24"/>
          <w:szCs w:val="24"/>
          <w:highlight w:val="none"/>
        </w:rPr>
        <w:t>的扣除，以扣除后的报价参与评审。</w:t>
      </w:r>
    </w:p>
    <w:p w14:paraId="60542C20">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2.监狱企业、残疾人福利性单位视同小型、微型企业。</w:t>
      </w:r>
    </w:p>
    <w:p w14:paraId="7EB68826">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00" w:name="_Toc6048"/>
      <w:r>
        <w:rPr>
          <w:rFonts w:hint="default" w:ascii="Times New Roman" w:hAnsi="Times New Roman" w:eastAsia="宋体" w:cs="Times New Roman"/>
          <w:color w:val="auto"/>
          <w:sz w:val="24"/>
          <w:szCs w:val="24"/>
          <w:highlight w:val="none"/>
          <w:lang w:val="en-US" w:eastAsia="zh-CN"/>
        </w:rPr>
        <w:t>三、无效响应</w:t>
      </w:r>
      <w:bookmarkEnd w:id="99"/>
      <w:bookmarkEnd w:id="100"/>
    </w:p>
    <w:p w14:paraId="48DEE75F">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供应商发生以下条款情况之一者，视为无效响应，其响应文件将被拒绝：</w:t>
      </w:r>
    </w:p>
    <w:p w14:paraId="1DD4CBD4">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（一）供应商不符合规定的基本资格条件或特定资格条件的；</w:t>
      </w:r>
    </w:p>
    <w:p w14:paraId="5C543083">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（二）供应商的法定代表人或其授权代表未参加磋商；</w:t>
      </w:r>
    </w:p>
    <w:p w14:paraId="6BDB5FA8">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（三）供应商所提交的响应文件不按第</w:t>
      </w:r>
      <w:r>
        <w:rPr>
          <w:rFonts w:hint="default"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rPr>
        <w:t>篇“响应文件编制要求”规定签字、盖章；</w:t>
      </w:r>
    </w:p>
    <w:p w14:paraId="320573C3">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（四）供应商的最后报价超过采购预算</w:t>
      </w:r>
      <w:r>
        <w:rPr>
          <w:rFonts w:hint="eastAsia" w:ascii="Times New Roman" w:hAnsi="Times New Roman" w:eastAsia="宋体" w:cs="Times New Roman"/>
          <w:color w:val="auto"/>
          <w:sz w:val="24"/>
          <w:szCs w:val="24"/>
          <w:highlight w:val="none"/>
          <w:lang w:val="en-US" w:eastAsia="zh-CN"/>
        </w:rPr>
        <w:t>或低于</w:t>
      </w:r>
      <w:r>
        <w:rPr>
          <w:rFonts w:hint="default" w:ascii="Times New Roman" w:hAnsi="Times New Roman" w:eastAsia="宋体" w:cs="Times New Roman"/>
          <w:color w:val="auto"/>
          <w:sz w:val="24"/>
          <w:szCs w:val="24"/>
          <w:highlight w:val="none"/>
        </w:rPr>
        <w:t>采购预算</w:t>
      </w:r>
      <w:r>
        <w:rPr>
          <w:rFonts w:hint="eastAsia" w:ascii="Times New Roman" w:hAnsi="Times New Roman" w:eastAsia="宋体" w:cs="Times New Roman"/>
          <w:color w:val="auto"/>
          <w:sz w:val="24"/>
          <w:szCs w:val="24"/>
          <w:highlight w:val="none"/>
          <w:lang w:val="en-US" w:eastAsia="zh-CN"/>
        </w:rPr>
        <w:t>的85%的</w:t>
      </w:r>
      <w:r>
        <w:rPr>
          <w:rFonts w:hint="default" w:ascii="Times New Roman" w:hAnsi="Times New Roman" w:eastAsia="宋体" w:cs="Times New Roman"/>
          <w:color w:val="auto"/>
          <w:sz w:val="24"/>
          <w:szCs w:val="24"/>
          <w:highlight w:val="none"/>
        </w:rPr>
        <w:t>；</w:t>
      </w:r>
    </w:p>
    <w:p w14:paraId="46952F1C">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（五）法定代表人为同一个人的两个及两个以上法人，母公司、全资子公司及其控股公司，在同一分包采购中同时参与磋商；</w:t>
      </w:r>
    </w:p>
    <w:p w14:paraId="3E906528">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（六）单位负责人为同一人或者存在直接控股、管理关系的不同供应商，参加同一合同项下的政府采购活动的；</w:t>
      </w:r>
    </w:p>
    <w:p w14:paraId="2BAF60CB">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（七）为采购项目提供整体设计、规范编制或者项目管理、监理、检测等服务的供应商，再参加该采购项目的其他采购活动；</w:t>
      </w:r>
    </w:p>
    <w:p w14:paraId="1989A619">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（八）供应商的服务期、质量保证期及磋商有效期不满足竞争性磋商文件要求的；</w:t>
      </w:r>
    </w:p>
    <w:p w14:paraId="31D1AE73">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（九）供应商响应文件内容有与国家现行法律法规相违背的内容，或附有采购人无法接受的条件。</w:t>
      </w:r>
    </w:p>
    <w:p w14:paraId="5BF2DC7F">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（十）法律、法规和竞争性磋商文件规定的其他无效情形。</w:t>
      </w:r>
    </w:p>
    <w:p w14:paraId="6461AAA0">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01" w:name="_Toc26026"/>
      <w:bookmarkStart w:id="102" w:name="_Toc4707"/>
      <w:r>
        <w:rPr>
          <w:rFonts w:hint="default" w:ascii="Times New Roman" w:hAnsi="Times New Roman" w:eastAsia="宋体" w:cs="Times New Roman"/>
          <w:color w:val="auto"/>
          <w:sz w:val="24"/>
          <w:szCs w:val="24"/>
          <w:highlight w:val="none"/>
          <w:lang w:val="en-US" w:eastAsia="zh-CN"/>
        </w:rPr>
        <w:t>四、</w:t>
      </w:r>
      <w:bookmarkEnd w:id="97"/>
      <w:bookmarkEnd w:id="98"/>
      <w:r>
        <w:rPr>
          <w:rFonts w:hint="default" w:ascii="Times New Roman" w:hAnsi="Times New Roman" w:eastAsia="宋体" w:cs="Times New Roman"/>
          <w:color w:val="auto"/>
          <w:sz w:val="24"/>
          <w:szCs w:val="24"/>
          <w:highlight w:val="none"/>
          <w:lang w:val="en-US" w:eastAsia="zh-CN"/>
        </w:rPr>
        <w:t>采购终止</w:t>
      </w:r>
      <w:bookmarkEnd w:id="101"/>
      <w:bookmarkEnd w:id="102"/>
    </w:p>
    <w:p w14:paraId="21DB8CC7">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出现下列情形之一的，采购人或者采购代理机构应当终止竞争性磋商采购活动，发布项目终止公告并说明原因，重新开展采购活动：</w:t>
      </w:r>
    </w:p>
    <w:p w14:paraId="3FF32450">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（一）因情况变化，不再符合规定的竞争性磋商采购方式适用情形的；</w:t>
      </w:r>
    </w:p>
    <w:p w14:paraId="4078DF08">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（二）出现影响采购公正的违法、违规行为的；</w:t>
      </w:r>
    </w:p>
    <w:p w14:paraId="5BEDE621">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在采购过程中符合要求的供应商或者报价未超过采购预算的供应商不足3家的，但《政府采购竞争性磋商采购方式管理暂行办法》第二十一条第三款规定的情形,以及财政部财库[2015]124号文件规定的情形除外。</w:t>
      </w:r>
      <w:bookmarkStart w:id="103" w:name="_Toc102227313"/>
    </w:p>
    <w:p w14:paraId="771B168D">
      <w:pPr>
        <w:pageBreakBefore w:val="0"/>
        <w:wordWrap/>
        <w:topLinePunct w:val="0"/>
        <w:bidi w:val="0"/>
        <w:snapToGrid w:val="0"/>
        <w:spacing w:line="560" w:lineRule="exact"/>
        <w:ind w:firstLine="465"/>
        <w:jc w:val="center"/>
        <w:textAlignment w:val="auto"/>
        <w:rPr>
          <w:rFonts w:hint="default" w:ascii="Times New Roman" w:hAnsi="Times New Roman" w:eastAsia="宋体" w:cs="Times New Roman"/>
          <w:color w:val="auto"/>
          <w:sz w:val="24"/>
          <w:szCs w:val="24"/>
          <w:highlight w:val="none"/>
        </w:rPr>
      </w:pPr>
    </w:p>
    <w:p w14:paraId="7F55E3CB">
      <w:pPr>
        <w:pStyle w:val="16"/>
        <w:rPr>
          <w:rFonts w:hint="default" w:ascii="Times New Roman" w:hAnsi="Times New Roman" w:eastAsia="宋体" w:cs="Times New Roman"/>
          <w:color w:val="auto"/>
          <w:highlight w:val="none"/>
        </w:rPr>
      </w:pPr>
    </w:p>
    <w:p w14:paraId="50AADA4A">
      <w:pPr>
        <w:pStyle w:val="16"/>
        <w:rPr>
          <w:rFonts w:hint="default" w:ascii="Times New Roman" w:hAnsi="Times New Roman" w:eastAsia="宋体" w:cs="Times New Roman"/>
          <w:color w:val="auto"/>
          <w:highlight w:val="none"/>
        </w:rPr>
      </w:pPr>
    </w:p>
    <w:p w14:paraId="16A34F83">
      <w:pPr>
        <w:pStyle w:val="16"/>
        <w:rPr>
          <w:rFonts w:hint="default" w:ascii="Times New Roman" w:hAnsi="Times New Roman" w:eastAsia="宋体" w:cs="Times New Roman"/>
          <w:color w:val="auto"/>
          <w:highlight w:val="none"/>
        </w:rPr>
      </w:pPr>
    </w:p>
    <w:p w14:paraId="22551E88">
      <w:pPr>
        <w:pStyle w:val="16"/>
        <w:rPr>
          <w:rFonts w:hint="default" w:ascii="Times New Roman" w:hAnsi="Times New Roman" w:eastAsia="宋体" w:cs="Times New Roman"/>
          <w:color w:val="auto"/>
          <w:highlight w:val="none"/>
        </w:rPr>
      </w:pPr>
    </w:p>
    <w:p w14:paraId="4BED0E04">
      <w:pPr>
        <w:pStyle w:val="16"/>
        <w:rPr>
          <w:rFonts w:hint="default" w:ascii="Times New Roman" w:hAnsi="Times New Roman" w:eastAsia="宋体" w:cs="Times New Roman"/>
          <w:color w:val="auto"/>
          <w:highlight w:val="none"/>
        </w:rPr>
      </w:pPr>
    </w:p>
    <w:p w14:paraId="54B2FF7B">
      <w:pPr>
        <w:pStyle w:val="16"/>
        <w:rPr>
          <w:rFonts w:hint="default" w:ascii="Times New Roman" w:hAnsi="Times New Roman" w:eastAsia="宋体" w:cs="Times New Roman"/>
          <w:color w:val="auto"/>
          <w:highlight w:val="none"/>
        </w:rPr>
      </w:pPr>
    </w:p>
    <w:p w14:paraId="06114F87">
      <w:pPr>
        <w:pStyle w:val="16"/>
        <w:rPr>
          <w:rFonts w:hint="default" w:ascii="Times New Roman" w:hAnsi="Times New Roman" w:eastAsia="宋体" w:cs="Times New Roman"/>
          <w:color w:val="auto"/>
          <w:highlight w:val="none"/>
        </w:rPr>
      </w:pPr>
    </w:p>
    <w:p w14:paraId="6E1ED33D">
      <w:pPr>
        <w:pStyle w:val="16"/>
        <w:rPr>
          <w:rFonts w:hint="default" w:ascii="Times New Roman" w:hAnsi="Times New Roman" w:eastAsia="宋体" w:cs="Times New Roman"/>
          <w:color w:val="auto"/>
          <w:highlight w:val="none"/>
        </w:rPr>
      </w:pPr>
    </w:p>
    <w:p w14:paraId="46133656">
      <w:pPr>
        <w:pStyle w:val="16"/>
        <w:rPr>
          <w:rFonts w:hint="default" w:ascii="Times New Roman" w:hAnsi="Times New Roman" w:eastAsia="宋体" w:cs="Times New Roman"/>
          <w:color w:val="auto"/>
          <w:highlight w:val="none"/>
        </w:rPr>
      </w:pPr>
    </w:p>
    <w:p w14:paraId="38DD7042">
      <w:pPr>
        <w:pStyle w:val="16"/>
        <w:rPr>
          <w:rFonts w:hint="default" w:ascii="Times New Roman" w:hAnsi="Times New Roman" w:eastAsia="宋体" w:cs="Times New Roman"/>
          <w:color w:val="auto"/>
          <w:highlight w:val="none"/>
        </w:rPr>
      </w:pPr>
    </w:p>
    <w:p w14:paraId="54FF80B4">
      <w:pPr>
        <w:pStyle w:val="16"/>
        <w:rPr>
          <w:rFonts w:hint="default" w:ascii="Times New Roman" w:hAnsi="Times New Roman" w:eastAsia="宋体" w:cs="Times New Roman"/>
          <w:color w:val="auto"/>
          <w:highlight w:val="none"/>
        </w:rPr>
      </w:pPr>
    </w:p>
    <w:p w14:paraId="54DDFA27">
      <w:pPr>
        <w:pStyle w:val="16"/>
        <w:rPr>
          <w:rFonts w:hint="default" w:ascii="Times New Roman" w:hAnsi="Times New Roman" w:eastAsia="宋体" w:cs="Times New Roman"/>
          <w:color w:val="auto"/>
          <w:highlight w:val="none"/>
        </w:rPr>
      </w:pPr>
    </w:p>
    <w:p w14:paraId="2F4BFD59">
      <w:pPr>
        <w:pStyle w:val="16"/>
        <w:rPr>
          <w:rFonts w:hint="default" w:ascii="Times New Roman" w:hAnsi="Times New Roman" w:eastAsia="宋体" w:cs="Times New Roman"/>
          <w:color w:val="auto"/>
          <w:highlight w:val="none"/>
        </w:rPr>
      </w:pPr>
    </w:p>
    <w:p w14:paraId="6FE42220">
      <w:pPr>
        <w:pStyle w:val="16"/>
        <w:rPr>
          <w:rFonts w:hint="default" w:ascii="Times New Roman" w:hAnsi="Times New Roman" w:eastAsia="宋体" w:cs="Times New Roman"/>
          <w:color w:val="auto"/>
          <w:highlight w:val="none"/>
        </w:rPr>
      </w:pPr>
    </w:p>
    <w:p w14:paraId="7976BF3A">
      <w:pPr>
        <w:pStyle w:val="16"/>
        <w:rPr>
          <w:rFonts w:hint="default" w:ascii="Times New Roman" w:hAnsi="Times New Roman" w:eastAsia="宋体" w:cs="Times New Roman"/>
          <w:color w:val="auto"/>
          <w:highlight w:val="none"/>
        </w:rPr>
      </w:pPr>
    </w:p>
    <w:p w14:paraId="4FF8FDE7">
      <w:pPr>
        <w:pStyle w:val="16"/>
        <w:rPr>
          <w:rFonts w:hint="default" w:ascii="Times New Roman" w:hAnsi="Times New Roman" w:eastAsia="宋体" w:cs="Times New Roman"/>
          <w:color w:val="auto"/>
          <w:highlight w:val="none"/>
        </w:rPr>
      </w:pPr>
    </w:p>
    <w:p w14:paraId="7E07DB58">
      <w:pPr>
        <w:pStyle w:val="16"/>
        <w:rPr>
          <w:rFonts w:hint="default" w:ascii="Times New Roman" w:hAnsi="Times New Roman" w:eastAsia="宋体" w:cs="Times New Roman"/>
          <w:color w:val="auto"/>
          <w:highlight w:val="none"/>
        </w:rPr>
      </w:pPr>
    </w:p>
    <w:p w14:paraId="666B4949">
      <w:pPr>
        <w:pStyle w:val="16"/>
        <w:rPr>
          <w:rFonts w:hint="default" w:ascii="Times New Roman" w:hAnsi="Times New Roman" w:eastAsia="宋体" w:cs="Times New Roman"/>
          <w:color w:val="auto"/>
          <w:highlight w:val="none"/>
        </w:rPr>
      </w:pPr>
    </w:p>
    <w:p w14:paraId="0A515A92">
      <w:pPr>
        <w:pStyle w:val="16"/>
        <w:rPr>
          <w:rFonts w:hint="default" w:ascii="Times New Roman" w:hAnsi="Times New Roman" w:eastAsia="宋体" w:cs="Times New Roman"/>
          <w:color w:val="auto"/>
          <w:highlight w:val="none"/>
        </w:rPr>
      </w:pPr>
    </w:p>
    <w:p w14:paraId="74B4295E">
      <w:pPr>
        <w:pStyle w:val="16"/>
        <w:rPr>
          <w:rFonts w:hint="default" w:ascii="Times New Roman" w:hAnsi="Times New Roman" w:eastAsia="宋体" w:cs="Times New Roman"/>
          <w:color w:val="auto"/>
          <w:highlight w:val="none"/>
        </w:rPr>
      </w:pPr>
    </w:p>
    <w:p w14:paraId="03C7D211">
      <w:pPr>
        <w:pStyle w:val="16"/>
        <w:rPr>
          <w:rFonts w:hint="default" w:ascii="Times New Roman" w:hAnsi="Times New Roman" w:eastAsia="宋体" w:cs="Times New Roman"/>
          <w:color w:val="auto"/>
          <w:highlight w:val="none"/>
        </w:rPr>
      </w:pPr>
    </w:p>
    <w:p w14:paraId="3A7B08B6">
      <w:pPr>
        <w:pStyle w:val="16"/>
        <w:rPr>
          <w:rFonts w:hint="default" w:ascii="Times New Roman" w:hAnsi="Times New Roman" w:eastAsia="宋体" w:cs="Times New Roman"/>
          <w:color w:val="auto"/>
          <w:highlight w:val="none"/>
        </w:rPr>
      </w:pPr>
    </w:p>
    <w:p w14:paraId="375638DA">
      <w:pPr>
        <w:pStyle w:val="16"/>
        <w:rPr>
          <w:rFonts w:hint="default" w:ascii="Times New Roman" w:hAnsi="Times New Roman" w:eastAsia="宋体" w:cs="Times New Roman"/>
          <w:color w:val="auto"/>
          <w:highlight w:val="none"/>
        </w:rPr>
      </w:pPr>
    </w:p>
    <w:p w14:paraId="77C6D69D">
      <w:pPr>
        <w:pStyle w:val="16"/>
        <w:rPr>
          <w:rFonts w:hint="default" w:ascii="Times New Roman" w:hAnsi="Times New Roman" w:eastAsia="宋体" w:cs="Times New Roman"/>
          <w:color w:val="auto"/>
          <w:highlight w:val="none"/>
        </w:rPr>
      </w:pPr>
    </w:p>
    <w:p w14:paraId="1559A405">
      <w:pPr>
        <w:pStyle w:val="16"/>
        <w:rPr>
          <w:rFonts w:hint="default" w:ascii="Times New Roman" w:hAnsi="Times New Roman" w:eastAsia="宋体" w:cs="Times New Roman"/>
          <w:color w:val="auto"/>
          <w:highlight w:val="none"/>
        </w:rPr>
      </w:pPr>
    </w:p>
    <w:p w14:paraId="646BC037">
      <w:pPr>
        <w:pStyle w:val="16"/>
        <w:rPr>
          <w:rFonts w:hint="default" w:ascii="Times New Roman" w:hAnsi="Times New Roman" w:eastAsia="宋体" w:cs="Times New Roman"/>
          <w:color w:val="auto"/>
          <w:highlight w:val="none"/>
        </w:rPr>
      </w:pPr>
    </w:p>
    <w:p w14:paraId="05C76B2D">
      <w:pPr>
        <w:pStyle w:val="16"/>
        <w:rPr>
          <w:rFonts w:hint="default" w:ascii="Times New Roman" w:hAnsi="Times New Roman" w:eastAsia="宋体" w:cs="Times New Roman"/>
          <w:color w:val="auto"/>
          <w:highlight w:val="none"/>
        </w:rPr>
      </w:pPr>
    </w:p>
    <w:p w14:paraId="34CE5D49">
      <w:pPr>
        <w:pStyle w:val="16"/>
        <w:rPr>
          <w:rFonts w:hint="default" w:ascii="Times New Roman" w:hAnsi="Times New Roman" w:eastAsia="宋体" w:cs="Times New Roman"/>
          <w:color w:val="auto"/>
          <w:highlight w:val="none"/>
        </w:rPr>
      </w:pPr>
    </w:p>
    <w:p w14:paraId="6882876B">
      <w:pPr>
        <w:pStyle w:val="16"/>
        <w:rPr>
          <w:rFonts w:hint="default" w:ascii="Times New Roman" w:hAnsi="Times New Roman" w:eastAsia="宋体" w:cs="Times New Roman"/>
          <w:color w:val="auto"/>
          <w:highlight w:val="none"/>
        </w:rPr>
      </w:pPr>
    </w:p>
    <w:p w14:paraId="6F5B2937">
      <w:pPr>
        <w:pStyle w:val="16"/>
        <w:rPr>
          <w:rFonts w:hint="default" w:ascii="Times New Roman" w:hAnsi="Times New Roman" w:eastAsia="宋体" w:cs="Times New Roman"/>
          <w:color w:val="auto"/>
          <w:highlight w:val="none"/>
        </w:rPr>
      </w:pPr>
    </w:p>
    <w:p w14:paraId="7A7DFC22">
      <w:pPr>
        <w:pStyle w:val="16"/>
        <w:rPr>
          <w:rFonts w:hint="default" w:ascii="Times New Roman" w:hAnsi="Times New Roman" w:eastAsia="宋体" w:cs="Times New Roman"/>
          <w:color w:val="auto"/>
          <w:highlight w:val="none"/>
        </w:rPr>
      </w:pPr>
    </w:p>
    <w:p w14:paraId="39FD7A80">
      <w:pPr>
        <w:pStyle w:val="16"/>
        <w:rPr>
          <w:rFonts w:hint="default" w:ascii="Times New Roman" w:hAnsi="Times New Roman" w:eastAsia="宋体" w:cs="Times New Roman"/>
          <w:color w:val="auto"/>
          <w:highlight w:val="none"/>
        </w:rPr>
      </w:pPr>
    </w:p>
    <w:p w14:paraId="0055FDEF">
      <w:pPr>
        <w:pStyle w:val="16"/>
        <w:rPr>
          <w:rFonts w:hint="default" w:ascii="Times New Roman" w:hAnsi="Times New Roman" w:eastAsia="宋体" w:cs="Times New Roman"/>
          <w:color w:val="auto"/>
          <w:highlight w:val="none"/>
        </w:rPr>
      </w:pPr>
    </w:p>
    <w:p w14:paraId="4B824893">
      <w:pPr>
        <w:pStyle w:val="16"/>
        <w:rPr>
          <w:rFonts w:hint="default" w:ascii="Times New Roman" w:hAnsi="Times New Roman" w:eastAsia="宋体" w:cs="Times New Roman"/>
          <w:color w:val="auto"/>
          <w:highlight w:val="none"/>
        </w:rPr>
      </w:pPr>
    </w:p>
    <w:p w14:paraId="758C367E">
      <w:pPr>
        <w:pStyle w:val="16"/>
        <w:rPr>
          <w:rFonts w:hint="default" w:ascii="Times New Roman" w:hAnsi="Times New Roman" w:eastAsia="宋体" w:cs="Times New Roman"/>
          <w:color w:val="auto"/>
          <w:highlight w:val="none"/>
        </w:rPr>
      </w:pPr>
    </w:p>
    <w:p w14:paraId="5E32DF33">
      <w:pPr>
        <w:pStyle w:val="16"/>
        <w:rPr>
          <w:rFonts w:hint="default" w:ascii="Times New Roman" w:hAnsi="Times New Roman" w:eastAsia="宋体" w:cs="Times New Roman"/>
          <w:color w:val="auto"/>
          <w:highlight w:val="none"/>
        </w:rPr>
      </w:pPr>
    </w:p>
    <w:p w14:paraId="39B42FCF">
      <w:pPr>
        <w:pStyle w:val="16"/>
        <w:rPr>
          <w:rFonts w:hint="default" w:ascii="Times New Roman" w:hAnsi="Times New Roman" w:eastAsia="宋体" w:cs="Times New Roman"/>
          <w:color w:val="auto"/>
          <w:highlight w:val="none"/>
        </w:rPr>
      </w:pPr>
    </w:p>
    <w:p w14:paraId="70196E9B">
      <w:pPr>
        <w:pStyle w:val="16"/>
        <w:rPr>
          <w:rFonts w:hint="default" w:ascii="Times New Roman" w:hAnsi="Times New Roman" w:eastAsia="宋体" w:cs="Times New Roman"/>
          <w:color w:val="auto"/>
          <w:highlight w:val="none"/>
        </w:rPr>
      </w:pPr>
    </w:p>
    <w:p w14:paraId="4CACD82D">
      <w:pPr>
        <w:pStyle w:val="16"/>
        <w:rPr>
          <w:rFonts w:hint="default" w:ascii="Times New Roman" w:hAnsi="Times New Roman" w:eastAsia="宋体" w:cs="Times New Roman"/>
          <w:color w:val="auto"/>
          <w:highlight w:val="none"/>
        </w:rPr>
      </w:pPr>
    </w:p>
    <w:p w14:paraId="7FDBBBB8">
      <w:pPr>
        <w:pStyle w:val="16"/>
        <w:rPr>
          <w:rFonts w:hint="default" w:ascii="Times New Roman" w:hAnsi="Times New Roman" w:eastAsia="宋体" w:cs="Times New Roman"/>
          <w:color w:val="auto"/>
          <w:highlight w:val="none"/>
        </w:rPr>
      </w:pPr>
    </w:p>
    <w:p w14:paraId="21363D8D">
      <w:pPr>
        <w:pStyle w:val="16"/>
        <w:rPr>
          <w:rFonts w:hint="default" w:ascii="Times New Roman" w:hAnsi="Times New Roman" w:eastAsia="宋体" w:cs="Times New Roman"/>
          <w:color w:val="auto"/>
          <w:highlight w:val="none"/>
        </w:rPr>
      </w:pPr>
    </w:p>
    <w:p w14:paraId="276DA074">
      <w:pPr>
        <w:pStyle w:val="16"/>
        <w:rPr>
          <w:rFonts w:hint="default" w:ascii="Times New Roman" w:hAnsi="Times New Roman" w:eastAsia="宋体" w:cs="Times New Roman"/>
          <w:color w:val="auto"/>
          <w:highlight w:val="none"/>
        </w:rPr>
      </w:pPr>
    </w:p>
    <w:p w14:paraId="26F1BFE1">
      <w:pPr>
        <w:pStyle w:val="16"/>
        <w:rPr>
          <w:rFonts w:hint="default" w:ascii="Times New Roman" w:hAnsi="Times New Roman" w:eastAsia="宋体" w:cs="Times New Roman"/>
          <w:color w:val="auto"/>
          <w:highlight w:val="none"/>
        </w:rPr>
      </w:pPr>
    </w:p>
    <w:p w14:paraId="109F5E45">
      <w:pPr>
        <w:pStyle w:val="16"/>
        <w:rPr>
          <w:rFonts w:hint="default" w:ascii="Times New Roman" w:hAnsi="Times New Roman" w:eastAsia="宋体" w:cs="Times New Roman"/>
          <w:color w:val="auto"/>
          <w:highlight w:val="none"/>
        </w:rPr>
      </w:pPr>
    </w:p>
    <w:p w14:paraId="29F6AD95">
      <w:pPr>
        <w:pStyle w:val="16"/>
        <w:rPr>
          <w:rFonts w:hint="default" w:ascii="Times New Roman" w:hAnsi="Times New Roman" w:eastAsia="宋体" w:cs="Times New Roman"/>
          <w:color w:val="auto"/>
          <w:highlight w:val="none"/>
        </w:rPr>
      </w:pPr>
    </w:p>
    <w:p w14:paraId="43A1A4EE">
      <w:pPr>
        <w:pStyle w:val="16"/>
        <w:rPr>
          <w:rFonts w:hint="default" w:ascii="Times New Roman" w:hAnsi="Times New Roman" w:eastAsia="宋体" w:cs="Times New Roman"/>
          <w:color w:val="auto"/>
          <w:highlight w:val="none"/>
        </w:rPr>
      </w:pPr>
    </w:p>
    <w:p w14:paraId="55F96656">
      <w:pPr>
        <w:pStyle w:val="16"/>
        <w:rPr>
          <w:rFonts w:hint="default" w:ascii="Times New Roman" w:hAnsi="Times New Roman" w:eastAsia="宋体" w:cs="Times New Roman"/>
          <w:color w:val="auto"/>
          <w:highlight w:val="none"/>
        </w:rPr>
      </w:pPr>
    </w:p>
    <w:p w14:paraId="305E527A">
      <w:pPr>
        <w:pStyle w:val="4"/>
        <w:bidi w:val="0"/>
        <w:rPr>
          <w:rFonts w:hint="default"/>
          <w:color w:val="auto"/>
          <w:highlight w:val="none"/>
          <w:lang w:val="en-US" w:eastAsia="zh-CN"/>
        </w:rPr>
      </w:pPr>
      <w:bookmarkStart w:id="104" w:name="_Toc13494"/>
      <w:r>
        <w:rPr>
          <w:rFonts w:hint="default"/>
          <w:color w:val="auto"/>
          <w:highlight w:val="none"/>
          <w:lang w:val="en-US" w:eastAsia="zh-CN"/>
        </w:rPr>
        <w:t>第五篇  供应商须知</w:t>
      </w:r>
      <w:bookmarkEnd w:id="103"/>
      <w:bookmarkEnd w:id="104"/>
    </w:p>
    <w:p w14:paraId="07330EA1">
      <w:pPr>
        <w:pStyle w:val="6"/>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05" w:name="_Toc7572"/>
      <w:bookmarkStart w:id="106" w:name="_Toc342913389"/>
      <w:r>
        <w:rPr>
          <w:rFonts w:hint="default" w:ascii="Times New Roman" w:hAnsi="Times New Roman" w:eastAsia="宋体" w:cs="Times New Roman"/>
          <w:color w:val="auto"/>
          <w:sz w:val="24"/>
          <w:szCs w:val="24"/>
          <w:highlight w:val="none"/>
          <w:lang w:val="en-US" w:eastAsia="zh-CN"/>
        </w:rPr>
        <w:t>一、磋商费用</w:t>
      </w:r>
      <w:bookmarkEnd w:id="105"/>
      <w:bookmarkEnd w:id="106"/>
    </w:p>
    <w:p w14:paraId="3539BCF8">
      <w:pPr>
        <w:pStyle w:val="45"/>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参与磋商的供应商应承担其编制响应文件与递交响应文件所涉及的一切费用，不论磋商结果如何，采购人和采购代理机构在任何情况下无义务也无责任承担这些费用。</w:t>
      </w:r>
    </w:p>
    <w:p w14:paraId="407099B7">
      <w:pPr>
        <w:pStyle w:val="6"/>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07" w:name="_Toc342913391"/>
      <w:bookmarkStart w:id="108" w:name="_Toc7274"/>
      <w:r>
        <w:rPr>
          <w:rFonts w:hint="default" w:ascii="Times New Roman" w:hAnsi="Times New Roman" w:eastAsia="宋体" w:cs="Times New Roman"/>
          <w:color w:val="auto"/>
          <w:sz w:val="24"/>
          <w:szCs w:val="24"/>
          <w:highlight w:val="none"/>
          <w:lang w:val="en-US" w:eastAsia="zh-CN"/>
        </w:rPr>
        <w:t>二、竞争性磋商文件</w:t>
      </w:r>
      <w:bookmarkEnd w:id="107"/>
      <w:bookmarkEnd w:id="108"/>
    </w:p>
    <w:p w14:paraId="7D1E56F7">
      <w:pPr>
        <w:pStyle w:val="45"/>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（一）竞争性磋商文件由采购邀请书、项目服务需求、供应商须知、项目商务需求、磋商程序及方法、评审标准、无效响应和采购终止、政府采购合同、响应文件编制要求七部分组成。</w:t>
      </w:r>
    </w:p>
    <w:p w14:paraId="6505244D">
      <w:pPr>
        <w:pStyle w:val="45"/>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（二）采购人（或采购代理机构）所作的一切有效的书面通知、修改及补充，都是竞争性磋商文件不可分割的部分。</w:t>
      </w:r>
    </w:p>
    <w:p w14:paraId="7AD31F3D">
      <w:pPr>
        <w:pStyle w:val="45"/>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bookmarkStart w:id="109" w:name="_Toc318159780"/>
      <w:bookmarkStart w:id="110" w:name="_Toc318159160"/>
      <w:bookmarkStart w:id="111" w:name="_Toc318159349"/>
      <w:bookmarkStart w:id="112" w:name="_Toc318166429"/>
      <w:r>
        <w:rPr>
          <w:rFonts w:hint="default" w:ascii="Times New Roman" w:hAnsi="Times New Roman" w:eastAsia="宋体" w:cs="Times New Roman"/>
          <w:color w:val="auto"/>
          <w:kern w:val="2"/>
          <w:sz w:val="24"/>
          <w:szCs w:val="24"/>
          <w:highlight w:val="none"/>
          <w:lang w:val="en-US" w:eastAsia="zh-CN" w:bidi="ar-SA"/>
        </w:rPr>
        <w:t>（三）竞争性磋商文件的解释</w:t>
      </w:r>
    </w:p>
    <w:p w14:paraId="2F7E4D86">
      <w:pPr>
        <w:pStyle w:val="45"/>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25A3AEDA">
      <w:pPr>
        <w:pStyle w:val="45"/>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（四）本竞争性磋商文件中，磋商小组根据与供应商进行磋商可能实质性变动的内容为竞争性磋商文件第二、三、</w:t>
      </w:r>
      <w:r>
        <w:rPr>
          <w:rFonts w:hint="eastAsia" w:ascii="Times New Roman" w:hAnsi="Times New Roman" w:eastAsia="宋体" w:cs="Times New Roman"/>
          <w:color w:val="auto"/>
          <w:kern w:val="2"/>
          <w:sz w:val="24"/>
          <w:szCs w:val="24"/>
          <w:highlight w:val="none"/>
          <w:lang w:val="en-US" w:eastAsia="zh-CN" w:bidi="ar-SA"/>
        </w:rPr>
        <w:t>六</w:t>
      </w:r>
      <w:r>
        <w:rPr>
          <w:rFonts w:hint="default" w:ascii="Times New Roman" w:hAnsi="Times New Roman" w:eastAsia="宋体" w:cs="Times New Roman"/>
          <w:color w:val="auto"/>
          <w:kern w:val="2"/>
          <w:sz w:val="24"/>
          <w:szCs w:val="24"/>
          <w:highlight w:val="none"/>
          <w:lang w:val="en-US" w:eastAsia="zh-CN" w:bidi="ar-SA"/>
        </w:rPr>
        <w:t>篇全部内容。</w:t>
      </w:r>
    </w:p>
    <w:p w14:paraId="41CD0C2D">
      <w:pPr>
        <w:pStyle w:val="45"/>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（五）评审的依据为竞争性磋商文件和响应文件（含有效的书面承诺）。磋商小组判断响应文件对竞争性磋商文件的响应，仅基于响应文件本身而不靠外部证据。</w:t>
      </w:r>
    </w:p>
    <w:bookmarkEnd w:id="109"/>
    <w:bookmarkEnd w:id="110"/>
    <w:bookmarkEnd w:id="111"/>
    <w:bookmarkEnd w:id="112"/>
    <w:p w14:paraId="1CC7EBD9">
      <w:pPr>
        <w:pStyle w:val="6"/>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13" w:name="_Toc342913392"/>
      <w:bookmarkStart w:id="114" w:name="_Toc102227318"/>
      <w:bookmarkStart w:id="115" w:name="_Toc179714297"/>
      <w:bookmarkStart w:id="116" w:name="_Toc14536"/>
      <w:r>
        <w:rPr>
          <w:rFonts w:hint="default" w:ascii="Times New Roman" w:hAnsi="Times New Roman" w:eastAsia="宋体" w:cs="Times New Roman"/>
          <w:color w:val="auto"/>
          <w:sz w:val="24"/>
          <w:szCs w:val="24"/>
          <w:highlight w:val="none"/>
          <w:lang w:val="en-US" w:eastAsia="zh-CN"/>
        </w:rPr>
        <w:t>三、磋商要求</w:t>
      </w:r>
      <w:bookmarkEnd w:id="113"/>
      <w:bookmarkEnd w:id="114"/>
      <w:bookmarkEnd w:id="115"/>
      <w:bookmarkEnd w:id="116"/>
    </w:p>
    <w:p w14:paraId="18C996CD">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（一）响应文件</w:t>
      </w:r>
    </w:p>
    <w:p w14:paraId="26503647">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1BF6B02">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2、响应文件组成</w:t>
      </w:r>
    </w:p>
    <w:p w14:paraId="5C4CDF46">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响应文件由第</w:t>
      </w:r>
      <w:r>
        <w:rPr>
          <w:rFonts w:hint="default"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rPr>
        <w:t>篇“响应文件编制要求”规定的部分和供应商所作的一切有效补充、修改和承诺等文件组成，供应商应按照第</w:t>
      </w:r>
      <w:r>
        <w:rPr>
          <w:rFonts w:hint="default"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rPr>
        <w:t>篇“响应文件编制要求”规定的目录顺序组织编写和装订，也可在基本格式基础上对表格进行扩展，未规定格式的由供应商自定格式。</w:t>
      </w:r>
    </w:p>
    <w:p w14:paraId="4F36FC50">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二</w:t>
      </w:r>
      <w:r>
        <w:rPr>
          <w:rFonts w:hint="default" w:ascii="Times New Roman" w:hAnsi="Times New Roman" w:eastAsia="宋体" w:cs="Times New Roman"/>
          <w:color w:val="auto"/>
          <w:sz w:val="24"/>
          <w:szCs w:val="24"/>
          <w:highlight w:val="none"/>
        </w:rPr>
        <w:t>）磋商有效期：响应文件及有关承诺文件有效期为提交响应文件截止时间起90天。</w:t>
      </w:r>
    </w:p>
    <w:p w14:paraId="0E54D996">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三</w:t>
      </w:r>
      <w:r>
        <w:rPr>
          <w:rFonts w:hint="default" w:ascii="Times New Roman" w:hAnsi="Times New Roman" w:eastAsia="宋体" w:cs="Times New Roman"/>
          <w:color w:val="auto"/>
          <w:sz w:val="24"/>
          <w:szCs w:val="24"/>
          <w:highlight w:val="none"/>
        </w:rPr>
        <w:t>）磋商保证金：</w:t>
      </w:r>
    </w:p>
    <w:p w14:paraId="2E0219ED">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1.供应商应在响应截止时间前，按</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文件第一篇规定缴纳</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保证金。</w:t>
      </w:r>
    </w:p>
    <w:p w14:paraId="15A1AE44">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保证金为</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的有效约束条件。</w:t>
      </w:r>
    </w:p>
    <w:p w14:paraId="1272884B">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保证金的有效期限在</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有效期过后三十天内继续有效。</w:t>
      </w:r>
    </w:p>
    <w:p w14:paraId="45E015AC">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保证金币种应与</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报价币种相同。</w:t>
      </w:r>
    </w:p>
    <w:p w14:paraId="6D98F121">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5.供应商有下列情形之一的，采购人或者采购代理机构可以不退还</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保证金：</w:t>
      </w:r>
    </w:p>
    <w:p w14:paraId="00A55042">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5.1供应商在</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有效期内撤回响应文件的；</w:t>
      </w:r>
    </w:p>
    <w:p w14:paraId="671A92C3">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5.2供应商未按规定提交履约保证金的；</w:t>
      </w:r>
    </w:p>
    <w:p w14:paraId="75F859F1">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5.3供应商在</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过程中弄虚作假，提供虚假材料的；</w:t>
      </w:r>
    </w:p>
    <w:p w14:paraId="0802A581">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5.4成交供应商无正当理由不与采购人签订合同的；</w:t>
      </w:r>
    </w:p>
    <w:p w14:paraId="0220205C">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5.5成交供应商将成交项目转让给他人或者在响应文件中未说明且未经采购人同意，将成交项目分包给他人的；</w:t>
      </w:r>
    </w:p>
    <w:p w14:paraId="05086BEF">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5.6成交供应商拒绝履行合同义务的；</w:t>
      </w:r>
    </w:p>
    <w:p w14:paraId="22E0A230">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5.7其他严重扰乱招询价程序的。</w:t>
      </w:r>
    </w:p>
    <w:p w14:paraId="08626F20">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四</w:t>
      </w:r>
      <w:r>
        <w:rPr>
          <w:rFonts w:hint="default" w:ascii="Times New Roman" w:hAnsi="Times New Roman" w:eastAsia="宋体" w:cs="Times New Roman"/>
          <w:color w:val="auto"/>
          <w:sz w:val="24"/>
          <w:szCs w:val="24"/>
          <w:highlight w:val="none"/>
        </w:rPr>
        <w:t>）修正错误</w:t>
      </w:r>
    </w:p>
    <w:p w14:paraId="566BB854">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1、若供应商所递交的响应文件或最后报价中的价格出现大写金额和小写金额不一致的错误，以大写金额修正为准。</w:t>
      </w:r>
    </w:p>
    <w:p w14:paraId="31F68A7D">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9CB6330">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五</w:t>
      </w:r>
      <w:r>
        <w:rPr>
          <w:rFonts w:hint="default" w:ascii="Times New Roman" w:hAnsi="Times New Roman" w:eastAsia="宋体" w:cs="Times New Roman"/>
          <w:color w:val="auto"/>
          <w:sz w:val="24"/>
          <w:szCs w:val="24"/>
          <w:highlight w:val="none"/>
        </w:rPr>
        <w:t>）提交响应文件的份数和签署</w:t>
      </w:r>
    </w:p>
    <w:p w14:paraId="4584EDDA">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1.响应文件一式</w:t>
      </w:r>
      <w:r>
        <w:rPr>
          <w:rFonts w:hint="eastAsia" w:ascii="Times New Roman" w:hAnsi="Times New Roman" w:eastAsia="宋体" w:cs="Times New Roman"/>
          <w:color w:val="auto"/>
          <w:sz w:val="24"/>
          <w:highlight w:val="none"/>
          <w:lang w:val="en-US" w:eastAsia="zh-CN"/>
        </w:rPr>
        <w:t>四</w:t>
      </w:r>
      <w:r>
        <w:rPr>
          <w:rFonts w:hint="default" w:ascii="Times New Roman" w:hAnsi="Times New Roman" w:eastAsia="宋体" w:cs="Times New Roman"/>
          <w:color w:val="auto"/>
          <w:sz w:val="24"/>
          <w:highlight w:val="none"/>
        </w:rPr>
        <w:t>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555E607">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2、在响应文件正本中，竞争性磋商文件第</w:t>
      </w:r>
      <w:r>
        <w:rPr>
          <w:rFonts w:hint="default" w:ascii="Times New Roman" w:hAnsi="Times New Roman" w:eastAsia="宋体" w:cs="Times New Roman"/>
          <w:color w:val="auto"/>
          <w:sz w:val="24"/>
          <w:highlight w:val="none"/>
          <w:lang w:val="en-US" w:eastAsia="zh-CN"/>
        </w:rPr>
        <w:t>七</w:t>
      </w:r>
      <w:r>
        <w:rPr>
          <w:rFonts w:hint="default" w:ascii="Times New Roman" w:hAnsi="Times New Roman" w:eastAsia="宋体" w:cs="Times New Roman"/>
          <w:color w:val="auto"/>
          <w:sz w:val="24"/>
          <w:highlight w:val="none"/>
        </w:rPr>
        <w:t>篇响应文件编制要求中规定签字、盖章的地方必须按其规定签字、盖章。</w:t>
      </w:r>
    </w:p>
    <w:p w14:paraId="6526CAED">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六</w:t>
      </w:r>
      <w:r>
        <w:rPr>
          <w:rFonts w:hint="default" w:ascii="Times New Roman" w:hAnsi="Times New Roman" w:eastAsia="宋体" w:cs="Times New Roman"/>
          <w:color w:val="auto"/>
          <w:sz w:val="24"/>
          <w:szCs w:val="24"/>
          <w:highlight w:val="none"/>
        </w:rPr>
        <w:t>）响应文件的递交</w:t>
      </w:r>
    </w:p>
    <w:p w14:paraId="2D7A3B08">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4B6E7C63">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七</w:t>
      </w:r>
      <w:r>
        <w:rPr>
          <w:rFonts w:hint="default" w:ascii="Times New Roman" w:hAnsi="Times New Roman" w:eastAsia="宋体" w:cs="Times New Roman"/>
          <w:color w:val="auto"/>
          <w:sz w:val="24"/>
          <w:highlight w:val="none"/>
        </w:rPr>
        <w:t>）供应商参与人员</w:t>
      </w:r>
    </w:p>
    <w:p w14:paraId="4D3A0341">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各个供应商应当派1-2名代表参与磋商，至少1人应为法定代表人或具有法定代表人授权委托书的授权代表。</w:t>
      </w:r>
    </w:p>
    <w:p w14:paraId="66C396A3">
      <w:pPr>
        <w:pStyle w:val="6"/>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17" w:name="_Toc2428"/>
      <w:r>
        <w:rPr>
          <w:rFonts w:hint="default" w:ascii="Times New Roman" w:hAnsi="Times New Roman" w:eastAsia="宋体" w:cs="Times New Roman"/>
          <w:color w:val="auto"/>
          <w:sz w:val="24"/>
          <w:szCs w:val="24"/>
          <w:highlight w:val="none"/>
          <w:lang w:val="en-US" w:eastAsia="zh-CN"/>
        </w:rPr>
        <w:t>四、成交供应商的确认和变更</w:t>
      </w:r>
      <w:bookmarkEnd w:id="117"/>
    </w:p>
    <w:p w14:paraId="4C18DA8E">
      <w:pPr>
        <w:pStyle w:val="45"/>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（一）成交供应商的确认</w:t>
      </w:r>
    </w:p>
    <w:p w14:paraId="7DDAEDB0">
      <w:pPr>
        <w:pStyle w:val="45"/>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5B1AFA7">
      <w:pPr>
        <w:pStyle w:val="45"/>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（二）成交供应商的变更</w:t>
      </w:r>
    </w:p>
    <w:p w14:paraId="0C30FA18">
      <w:pPr>
        <w:pStyle w:val="45"/>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1、成交供应商拒绝与采购人签订合同的，采购人可以按照评审报告推荐的成交候选人顺序，确定排名下一位的候选人为成交供应商，也可以重新开展政府采购活动。</w:t>
      </w:r>
    </w:p>
    <w:p w14:paraId="19FDAECB">
      <w:pPr>
        <w:pStyle w:val="45"/>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2、成交供应商无充分理由放弃成交的，采购人将会同采购代理机构把相关情况报财政部门，财政部门将根据相关法律法规的规定对违规供应商进行处罚。</w:t>
      </w:r>
    </w:p>
    <w:p w14:paraId="3C1B67F4">
      <w:pPr>
        <w:pStyle w:val="6"/>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18" w:name="_Toc5292"/>
      <w:r>
        <w:rPr>
          <w:rFonts w:hint="default" w:ascii="Times New Roman" w:hAnsi="Times New Roman" w:eastAsia="宋体" w:cs="Times New Roman"/>
          <w:color w:val="auto"/>
          <w:sz w:val="24"/>
          <w:szCs w:val="24"/>
          <w:highlight w:val="none"/>
          <w:lang w:val="en-US" w:eastAsia="zh-CN"/>
        </w:rPr>
        <w:t>五、缴费</w:t>
      </w:r>
      <w:bookmarkEnd w:id="118"/>
    </w:p>
    <w:p w14:paraId="250EE1FC">
      <w:pPr>
        <w:pageBreakBefore w:val="0"/>
        <w:wordWrap/>
        <w:topLinePunct w:val="0"/>
        <w:bidi w:val="0"/>
        <w:snapToGrid w:val="0"/>
        <w:spacing w:line="56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bookmarkStart w:id="119" w:name="OLE_LINK7"/>
      <w:bookmarkStart w:id="120" w:name="OLE_LINK8"/>
      <w:bookmarkStart w:id="121" w:name="_Toc342913395"/>
      <w:bookmarkStart w:id="122" w:name="_Toc102227321"/>
      <w:r>
        <w:rPr>
          <w:rFonts w:hint="eastAsia" w:ascii="Times New Roman" w:hAnsi="Times New Roman" w:eastAsia="宋体" w:cs="Times New Roman"/>
          <w:color w:val="auto"/>
          <w:kern w:val="2"/>
          <w:sz w:val="24"/>
          <w:szCs w:val="24"/>
          <w:highlight w:val="none"/>
          <w:lang w:val="en-US" w:eastAsia="zh-CN" w:bidi="ar-SA"/>
        </w:rPr>
        <w:t>供应商成交后向采购代理机构缴纳采购代理服务费</w:t>
      </w:r>
      <w:bookmarkEnd w:id="119"/>
      <w:bookmarkEnd w:id="120"/>
      <w:r>
        <w:rPr>
          <w:rFonts w:hint="eastAsia" w:ascii="Times New Roman" w:hAnsi="Times New Roman" w:eastAsia="宋体" w:cs="Times New Roman"/>
          <w:color w:val="auto"/>
          <w:kern w:val="2"/>
          <w:sz w:val="24"/>
          <w:szCs w:val="24"/>
          <w:highlight w:val="none"/>
          <w:lang w:val="en-US" w:eastAsia="zh-CN" w:bidi="ar-SA"/>
        </w:rPr>
        <w:t>，采购代理服务费的4000.00元；由成交供应商在领取成交通知书之前一次性支付给采购代理机构。</w:t>
      </w:r>
    </w:p>
    <w:p w14:paraId="6478F087">
      <w:pPr>
        <w:pStyle w:val="6"/>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23" w:name="_Toc28455"/>
      <w:r>
        <w:rPr>
          <w:rFonts w:hint="default" w:ascii="Times New Roman" w:hAnsi="Times New Roman" w:eastAsia="宋体" w:cs="Times New Roman"/>
          <w:color w:val="auto"/>
          <w:sz w:val="24"/>
          <w:szCs w:val="24"/>
          <w:highlight w:val="none"/>
          <w:lang w:val="en-US" w:eastAsia="zh-CN"/>
        </w:rPr>
        <w:t>六、成交通知</w:t>
      </w:r>
      <w:bookmarkEnd w:id="121"/>
      <w:bookmarkEnd w:id="122"/>
      <w:bookmarkEnd w:id="123"/>
    </w:p>
    <w:p w14:paraId="6AD1DCF2">
      <w:pPr>
        <w:pageBreakBefore w:val="0"/>
        <w:wordWrap/>
        <w:topLinePunct w:val="0"/>
        <w:bidi w:val="0"/>
        <w:snapToGrid w:val="0"/>
        <w:spacing w:line="56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（一）成交供应商确定后，采购代理机构将在行采家（https://www.gec123.com/）上发布成交结果公告。</w:t>
      </w:r>
    </w:p>
    <w:p w14:paraId="38396DD7">
      <w:pPr>
        <w:pageBreakBefore w:val="0"/>
        <w:wordWrap/>
        <w:topLinePunct w:val="0"/>
        <w:bidi w:val="0"/>
        <w:snapToGrid w:val="0"/>
        <w:spacing w:line="56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（二）</w:t>
      </w:r>
      <w:r>
        <w:rPr>
          <w:rFonts w:hint="eastAsia" w:ascii="Times New Roman" w:hAnsi="Times New Roman" w:eastAsia="宋体" w:cs="Times New Roman"/>
          <w:color w:val="auto"/>
          <w:kern w:val="2"/>
          <w:sz w:val="24"/>
          <w:szCs w:val="24"/>
          <w:highlight w:val="none"/>
          <w:lang w:val="en-US" w:eastAsia="zh-CN" w:bidi="ar-SA"/>
        </w:rPr>
        <w:t>采购人将以书面形式发出《成交通知书》。《成交通知书》一经发出即发生法律效力。</w:t>
      </w:r>
    </w:p>
    <w:p w14:paraId="3CD4B90B">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（三）《成交通知书》将作为签订合同的依据。</w:t>
      </w:r>
    </w:p>
    <w:p w14:paraId="15DB1594">
      <w:pPr>
        <w:pStyle w:val="6"/>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24" w:name="_Toc20420"/>
      <w:r>
        <w:rPr>
          <w:rFonts w:hint="default" w:ascii="Times New Roman" w:hAnsi="Times New Roman" w:eastAsia="宋体" w:cs="Times New Roman"/>
          <w:color w:val="auto"/>
          <w:sz w:val="24"/>
          <w:szCs w:val="24"/>
          <w:highlight w:val="none"/>
          <w:lang w:val="en-US" w:eastAsia="zh-CN"/>
        </w:rPr>
        <w:t>七、关于质疑和投诉</w:t>
      </w:r>
      <w:bookmarkEnd w:id="124"/>
    </w:p>
    <w:p w14:paraId="0869DBC9">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bookmarkStart w:id="125" w:name="_Toc102227322"/>
      <w:bookmarkStart w:id="126" w:name="_Toc342913396"/>
      <w:bookmarkStart w:id="127" w:name="_Toc12789059"/>
      <w:bookmarkStart w:id="128" w:name="_Toc11641055"/>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采购人或者采购代理机构应当在3个工作日内对供应商依法提出的询问作出答复。供应商询问可以是口头或书面形式。</w:t>
      </w:r>
    </w:p>
    <w:p w14:paraId="6B3B64F7">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（二）质疑</w:t>
      </w:r>
    </w:p>
    <w:p w14:paraId="52099451">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按照《政府采购质疑和投诉办法》（中华人民共和国财政部令94号）执行。供应商必须一次性提出针对同一采购环节的质疑。</w:t>
      </w:r>
    </w:p>
    <w:p w14:paraId="4DF95F2A">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（三）投诉</w:t>
      </w:r>
    </w:p>
    <w:p w14:paraId="06B72886">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按照《政府采购质疑和投诉办法》（中华人民共和国财政部令94号）执行。</w:t>
      </w:r>
    </w:p>
    <w:p w14:paraId="456BC745">
      <w:pPr>
        <w:pStyle w:val="6"/>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29" w:name="_Toc28979"/>
      <w:r>
        <w:rPr>
          <w:rFonts w:hint="default" w:ascii="Times New Roman" w:hAnsi="Times New Roman" w:eastAsia="宋体" w:cs="Times New Roman"/>
          <w:color w:val="auto"/>
          <w:sz w:val="24"/>
          <w:szCs w:val="24"/>
          <w:highlight w:val="none"/>
          <w:lang w:val="en-US" w:eastAsia="zh-CN"/>
        </w:rPr>
        <w:t>八、签订</w:t>
      </w:r>
      <w:bookmarkEnd w:id="125"/>
      <w:r>
        <w:rPr>
          <w:rFonts w:hint="default" w:ascii="Times New Roman" w:hAnsi="Times New Roman" w:eastAsia="宋体" w:cs="Times New Roman"/>
          <w:color w:val="auto"/>
          <w:sz w:val="24"/>
          <w:szCs w:val="24"/>
          <w:highlight w:val="none"/>
          <w:lang w:val="en-US" w:eastAsia="zh-CN"/>
        </w:rPr>
        <w:t>合同</w:t>
      </w:r>
      <w:bookmarkEnd w:id="126"/>
      <w:bookmarkEnd w:id="129"/>
    </w:p>
    <w:p w14:paraId="72BEDAF2">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130" w:name="_Toc2042"/>
      <w:bookmarkStart w:id="131" w:name="_Toc21334"/>
      <w:r>
        <w:rPr>
          <w:rFonts w:hint="default" w:ascii="Times New Roman" w:hAnsi="Times New Roman" w:eastAsia="宋体" w:cs="Times New Roman"/>
          <w:color w:val="auto"/>
          <w:sz w:val="24"/>
          <w:szCs w:val="24"/>
          <w:highlight w:val="none"/>
          <w:lang w:val="en-US" w:eastAsia="zh-CN"/>
        </w:rPr>
        <w:t>（一）采购人应当自成交通知书发出之日起二十日内，按照竞争性磋商文件和成交供应商响应文件的约定，与成交供应商签订书面合同。所签订的合同不得对竞争性磋商文件和供应商的响应文件作实质性修改。</w:t>
      </w:r>
      <w:bookmarkEnd w:id="130"/>
      <w:bookmarkEnd w:id="131"/>
    </w:p>
    <w:p w14:paraId="1451E6B5">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val="en-US" w:eastAsia="zh-CN"/>
        </w:rPr>
        <w:t>）竞争性磋商文件、供应商的响应文件及澄清文件等，均为签订政府采购合同的依据。</w:t>
      </w:r>
    </w:p>
    <w:p w14:paraId="49D6CD53">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rPr>
        <w:t>）合同生效条款由供需双方约定，法律、行政法规规定应当办理批准、登记等手续后生效的合同，依照其规定。</w:t>
      </w:r>
    </w:p>
    <w:p w14:paraId="7ABCC1CA">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四</w:t>
      </w:r>
      <w:r>
        <w:rPr>
          <w:rFonts w:hint="default" w:ascii="Times New Roman" w:hAnsi="Times New Roman" w:eastAsia="宋体" w:cs="Times New Roman"/>
          <w:color w:val="auto"/>
          <w:sz w:val="24"/>
          <w:szCs w:val="24"/>
          <w:highlight w:val="none"/>
        </w:rPr>
        <w:t>）合同原则上应按照《重庆市政府采购合同》签订，相关单位要求适用合同通用格式版本的，应按其要求另行签订其他合同。</w:t>
      </w:r>
    </w:p>
    <w:p w14:paraId="20332C1B">
      <w:pPr>
        <w:pStyle w:val="6"/>
        <w:pageBreakBefore w:val="0"/>
        <w:wordWrap/>
        <w:topLinePunct w:val="0"/>
        <w:bidi w:val="0"/>
        <w:spacing w:before="0" w:after="0" w:line="56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132" w:name="_Toc14879"/>
      <w:bookmarkStart w:id="133" w:name="_Toc18629"/>
      <w:bookmarkStart w:id="134" w:name="_Toc19286"/>
      <w:bookmarkStart w:id="135" w:name="_Toc22888"/>
      <w:bookmarkStart w:id="136" w:name="_Toc10262"/>
      <w:r>
        <w:rPr>
          <w:rFonts w:hint="eastAsia" w:ascii="Times New Roman" w:hAnsi="Times New Roman" w:eastAsia="宋体" w:cs="Times New Roman"/>
          <w:color w:val="auto"/>
          <w:sz w:val="24"/>
          <w:szCs w:val="24"/>
          <w:highlight w:val="none"/>
          <w:lang w:val="en-US" w:eastAsia="zh-CN"/>
        </w:rPr>
        <w:t>九、项目验收</w:t>
      </w:r>
      <w:bookmarkEnd w:id="132"/>
      <w:bookmarkEnd w:id="133"/>
      <w:bookmarkEnd w:id="134"/>
      <w:bookmarkEnd w:id="135"/>
      <w:bookmarkEnd w:id="136"/>
    </w:p>
    <w:p w14:paraId="6C9046CC">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合同执行完毕，采购人原则上应在7个工作日内组织履约情况验收，不得无故拖延或附加额外条件。</w:t>
      </w:r>
    </w:p>
    <w:p w14:paraId="14957057">
      <w:pPr>
        <w:pStyle w:val="6"/>
        <w:pageBreakBefore w:val="0"/>
        <w:wordWrap/>
        <w:topLinePunct w:val="0"/>
        <w:bidi w:val="0"/>
        <w:spacing w:before="0" w:after="0" w:line="56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137" w:name="_Toc1367"/>
      <w:bookmarkStart w:id="138" w:name="_Toc76462347"/>
      <w:bookmarkStart w:id="139" w:name="_Toc10719"/>
      <w:bookmarkStart w:id="140" w:name="_Toc15714"/>
      <w:bookmarkStart w:id="141" w:name="_Toc14780"/>
      <w:bookmarkStart w:id="142" w:name="_Toc4873"/>
      <w:bookmarkStart w:id="143" w:name="_Toc27238"/>
      <w:bookmarkStart w:id="144" w:name="_Toc106030903"/>
      <w:r>
        <w:rPr>
          <w:rFonts w:hint="eastAsia" w:ascii="Times New Roman" w:hAnsi="Times New Roman" w:eastAsia="宋体" w:cs="Times New Roman"/>
          <w:color w:val="auto"/>
          <w:sz w:val="24"/>
          <w:szCs w:val="24"/>
          <w:highlight w:val="none"/>
          <w:lang w:val="en-US" w:eastAsia="zh-CN"/>
        </w:rPr>
        <w:t>十、政府采购信用融资</w:t>
      </w:r>
      <w:bookmarkEnd w:id="137"/>
      <w:bookmarkEnd w:id="138"/>
      <w:bookmarkEnd w:id="139"/>
      <w:bookmarkEnd w:id="140"/>
      <w:bookmarkEnd w:id="141"/>
      <w:bookmarkEnd w:id="142"/>
      <w:bookmarkEnd w:id="143"/>
      <w:bookmarkEnd w:id="144"/>
    </w:p>
    <w:p w14:paraId="085CA64C">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1B5060D3">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br w:type="page"/>
      </w:r>
      <w:bookmarkEnd w:id="127"/>
      <w:bookmarkEnd w:id="128"/>
    </w:p>
    <w:p w14:paraId="15445902">
      <w:pPr>
        <w:pStyle w:val="2"/>
        <w:rPr>
          <w:rFonts w:hint="default"/>
          <w:color w:val="auto"/>
          <w:highlight w:val="none"/>
          <w:lang w:val="en-US"/>
        </w:rPr>
      </w:pPr>
    </w:p>
    <w:p w14:paraId="189650BA">
      <w:pPr>
        <w:pStyle w:val="4"/>
        <w:numPr>
          <w:ilvl w:val="0"/>
          <w:numId w:val="4"/>
        </w:numPr>
        <w:bidi w:val="0"/>
        <w:rPr>
          <w:rFonts w:hint="default"/>
          <w:color w:val="auto"/>
          <w:highlight w:val="none"/>
          <w:lang w:val="en-US" w:eastAsia="zh-CN"/>
        </w:rPr>
      </w:pPr>
      <w:bookmarkStart w:id="145" w:name="_Hlt41879464"/>
      <w:bookmarkEnd w:id="145"/>
      <w:bookmarkStart w:id="146" w:name="_Toc8384"/>
      <w:bookmarkStart w:id="147" w:name="_Toc148265480"/>
      <w:bookmarkStart w:id="148" w:name="_Toc303945820"/>
      <w:bookmarkStart w:id="149" w:name="_Toc12789072"/>
      <w:r>
        <w:rPr>
          <w:rFonts w:hint="default"/>
          <w:color w:val="auto"/>
          <w:highlight w:val="none"/>
          <w:lang w:val="en-US" w:eastAsia="zh-CN"/>
        </w:rPr>
        <w:t>政府采购合同</w:t>
      </w:r>
      <w:bookmarkEnd w:id="146"/>
    </w:p>
    <w:p w14:paraId="1FFC0876">
      <w:pPr>
        <w:rPr>
          <w:rFonts w:hint="default"/>
          <w:color w:val="auto"/>
          <w:highlight w:val="none"/>
          <w:lang w:val="en-US" w:eastAsia="zh-CN"/>
        </w:rPr>
      </w:pPr>
    </w:p>
    <w:p w14:paraId="475266D6">
      <w:pPr>
        <w:spacing w:line="500" w:lineRule="exact"/>
        <w:jc w:val="center"/>
        <w:rPr>
          <w:rFonts w:hint="default" w:ascii="Times New Roman" w:hAnsi="Times New Roman" w:eastAsia="宋体" w:cs="Times New Roman"/>
          <w:b/>
          <w:color w:val="auto"/>
          <w:sz w:val="36"/>
          <w:szCs w:val="20"/>
          <w:highlight w:val="none"/>
        </w:rPr>
      </w:pPr>
      <w:r>
        <w:rPr>
          <w:rFonts w:hint="default" w:ascii="Times New Roman" w:hAnsi="Times New Roman" w:eastAsia="宋体" w:cs="Times New Roman"/>
          <w:b/>
          <w:color w:val="auto"/>
          <w:sz w:val="36"/>
          <w:szCs w:val="20"/>
          <w:highlight w:val="none"/>
        </w:rPr>
        <w:t>重庆市政府采购合同</w:t>
      </w:r>
    </w:p>
    <w:p w14:paraId="1E413229">
      <w:pPr>
        <w:spacing w:line="500" w:lineRule="exact"/>
        <w:jc w:val="center"/>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szCs w:val="28"/>
          <w:highlight w:val="none"/>
        </w:rPr>
        <w:t>（项目号：     ）</w:t>
      </w:r>
    </w:p>
    <w:p w14:paraId="7762970F">
      <w:pPr>
        <w:spacing w:line="500" w:lineRule="exact"/>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szCs w:val="28"/>
          <w:highlight w:val="none"/>
        </w:rPr>
        <w:t>甲方（需方）：___________________      计价单位：____________</w:t>
      </w:r>
    </w:p>
    <w:p w14:paraId="272E534F">
      <w:pPr>
        <w:spacing w:line="500" w:lineRule="exact"/>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szCs w:val="28"/>
          <w:highlight w:val="none"/>
        </w:rPr>
        <w:t>乙方（供方）：____________________      计量单位：_____________</w:t>
      </w:r>
    </w:p>
    <w:p w14:paraId="19505848">
      <w:pPr>
        <w:spacing w:line="500" w:lineRule="exact"/>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szCs w:val="28"/>
          <w:highlight w:val="none"/>
        </w:rPr>
        <w:t>经双方协商一致，达成以下购销合同：</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F8B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107DA05">
            <w:pPr>
              <w:spacing w:line="24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项目名称</w:t>
            </w:r>
          </w:p>
        </w:tc>
        <w:tc>
          <w:tcPr>
            <w:tcW w:w="984" w:type="dxa"/>
            <w:vAlign w:val="center"/>
          </w:tcPr>
          <w:p w14:paraId="532868CB">
            <w:pPr>
              <w:spacing w:line="24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tc>
        <w:tc>
          <w:tcPr>
            <w:tcW w:w="1298" w:type="dxa"/>
            <w:gridSpan w:val="2"/>
            <w:vAlign w:val="center"/>
          </w:tcPr>
          <w:p w14:paraId="7176AFBA">
            <w:pPr>
              <w:spacing w:line="24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综合单价</w:t>
            </w:r>
          </w:p>
        </w:tc>
        <w:tc>
          <w:tcPr>
            <w:tcW w:w="1134" w:type="dxa"/>
            <w:vAlign w:val="center"/>
          </w:tcPr>
          <w:p w14:paraId="149E9B17">
            <w:pPr>
              <w:spacing w:line="24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总价</w:t>
            </w:r>
          </w:p>
        </w:tc>
        <w:tc>
          <w:tcPr>
            <w:tcW w:w="1559" w:type="dxa"/>
            <w:vAlign w:val="center"/>
          </w:tcPr>
          <w:p w14:paraId="41C7CF1E">
            <w:pPr>
              <w:spacing w:line="24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服务期</w:t>
            </w:r>
          </w:p>
        </w:tc>
        <w:tc>
          <w:tcPr>
            <w:tcW w:w="1567" w:type="dxa"/>
            <w:vAlign w:val="center"/>
          </w:tcPr>
          <w:p w14:paraId="15A49B88">
            <w:pPr>
              <w:spacing w:line="24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服务地点</w:t>
            </w:r>
          </w:p>
        </w:tc>
      </w:tr>
      <w:tr w14:paraId="4280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881CBD8">
            <w:pPr>
              <w:spacing w:line="240" w:lineRule="atLeast"/>
              <w:jc w:val="center"/>
              <w:rPr>
                <w:rFonts w:hint="default" w:ascii="Times New Roman" w:hAnsi="Times New Roman" w:eastAsia="宋体" w:cs="Times New Roman"/>
                <w:color w:val="auto"/>
                <w:sz w:val="24"/>
                <w:szCs w:val="24"/>
                <w:highlight w:val="none"/>
              </w:rPr>
            </w:pPr>
          </w:p>
        </w:tc>
        <w:tc>
          <w:tcPr>
            <w:tcW w:w="984" w:type="dxa"/>
            <w:vAlign w:val="center"/>
          </w:tcPr>
          <w:p w14:paraId="4B0335BA">
            <w:pPr>
              <w:spacing w:line="240" w:lineRule="atLeast"/>
              <w:jc w:val="center"/>
              <w:rPr>
                <w:rFonts w:hint="default" w:ascii="Times New Roman" w:hAnsi="Times New Roman" w:eastAsia="宋体" w:cs="Times New Roman"/>
                <w:color w:val="auto"/>
                <w:sz w:val="24"/>
                <w:szCs w:val="24"/>
                <w:highlight w:val="none"/>
              </w:rPr>
            </w:pPr>
          </w:p>
        </w:tc>
        <w:tc>
          <w:tcPr>
            <w:tcW w:w="1298" w:type="dxa"/>
            <w:gridSpan w:val="2"/>
            <w:vAlign w:val="center"/>
          </w:tcPr>
          <w:p w14:paraId="5FA3ACB9">
            <w:pPr>
              <w:spacing w:line="240" w:lineRule="atLeast"/>
              <w:jc w:val="center"/>
              <w:rPr>
                <w:rFonts w:hint="default" w:ascii="Times New Roman" w:hAnsi="Times New Roman" w:eastAsia="宋体" w:cs="Times New Roman"/>
                <w:color w:val="auto"/>
                <w:sz w:val="24"/>
                <w:szCs w:val="24"/>
                <w:highlight w:val="none"/>
              </w:rPr>
            </w:pPr>
          </w:p>
        </w:tc>
        <w:tc>
          <w:tcPr>
            <w:tcW w:w="1134" w:type="dxa"/>
            <w:vAlign w:val="center"/>
          </w:tcPr>
          <w:p w14:paraId="07A34905">
            <w:pPr>
              <w:spacing w:line="240" w:lineRule="atLeast"/>
              <w:jc w:val="center"/>
              <w:rPr>
                <w:rFonts w:hint="default" w:ascii="Times New Roman" w:hAnsi="Times New Roman" w:eastAsia="宋体" w:cs="Times New Roman"/>
                <w:color w:val="auto"/>
                <w:sz w:val="24"/>
                <w:szCs w:val="24"/>
                <w:highlight w:val="none"/>
              </w:rPr>
            </w:pPr>
          </w:p>
        </w:tc>
        <w:tc>
          <w:tcPr>
            <w:tcW w:w="1559" w:type="dxa"/>
            <w:vAlign w:val="center"/>
          </w:tcPr>
          <w:p w14:paraId="2A264C85">
            <w:pPr>
              <w:spacing w:line="240" w:lineRule="atLeast"/>
              <w:jc w:val="center"/>
              <w:rPr>
                <w:rFonts w:hint="default" w:ascii="Times New Roman" w:hAnsi="Times New Roman" w:eastAsia="宋体" w:cs="Times New Roman"/>
                <w:color w:val="auto"/>
                <w:sz w:val="24"/>
                <w:szCs w:val="24"/>
                <w:highlight w:val="none"/>
              </w:rPr>
            </w:pPr>
          </w:p>
        </w:tc>
        <w:tc>
          <w:tcPr>
            <w:tcW w:w="1567" w:type="dxa"/>
            <w:vAlign w:val="center"/>
          </w:tcPr>
          <w:p w14:paraId="6308EB63">
            <w:pPr>
              <w:spacing w:line="240" w:lineRule="atLeast"/>
              <w:jc w:val="center"/>
              <w:rPr>
                <w:rFonts w:hint="default" w:ascii="Times New Roman" w:hAnsi="Times New Roman" w:eastAsia="宋体" w:cs="Times New Roman"/>
                <w:color w:val="auto"/>
                <w:sz w:val="24"/>
                <w:szCs w:val="24"/>
                <w:highlight w:val="none"/>
              </w:rPr>
            </w:pPr>
          </w:p>
        </w:tc>
      </w:tr>
      <w:tr w14:paraId="11A2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153CDF6">
            <w:pPr>
              <w:spacing w:line="240" w:lineRule="atLeast"/>
              <w:jc w:val="center"/>
              <w:rPr>
                <w:rFonts w:hint="default" w:ascii="Times New Roman" w:hAnsi="Times New Roman" w:eastAsia="宋体" w:cs="Times New Roman"/>
                <w:color w:val="auto"/>
                <w:sz w:val="24"/>
                <w:szCs w:val="24"/>
                <w:highlight w:val="none"/>
              </w:rPr>
            </w:pPr>
          </w:p>
        </w:tc>
        <w:tc>
          <w:tcPr>
            <w:tcW w:w="984" w:type="dxa"/>
            <w:vAlign w:val="center"/>
          </w:tcPr>
          <w:p w14:paraId="7E385C5F">
            <w:pPr>
              <w:spacing w:line="240" w:lineRule="atLeast"/>
              <w:jc w:val="center"/>
              <w:rPr>
                <w:rFonts w:hint="default" w:ascii="Times New Roman" w:hAnsi="Times New Roman" w:eastAsia="宋体" w:cs="Times New Roman"/>
                <w:color w:val="auto"/>
                <w:sz w:val="24"/>
                <w:szCs w:val="24"/>
                <w:highlight w:val="none"/>
              </w:rPr>
            </w:pPr>
          </w:p>
        </w:tc>
        <w:tc>
          <w:tcPr>
            <w:tcW w:w="1298" w:type="dxa"/>
            <w:gridSpan w:val="2"/>
            <w:vAlign w:val="center"/>
          </w:tcPr>
          <w:p w14:paraId="4EE83E41">
            <w:pPr>
              <w:spacing w:line="240" w:lineRule="atLeast"/>
              <w:jc w:val="center"/>
              <w:rPr>
                <w:rFonts w:hint="default" w:ascii="Times New Roman" w:hAnsi="Times New Roman" w:eastAsia="宋体" w:cs="Times New Roman"/>
                <w:color w:val="auto"/>
                <w:sz w:val="24"/>
                <w:szCs w:val="24"/>
                <w:highlight w:val="none"/>
              </w:rPr>
            </w:pPr>
          </w:p>
        </w:tc>
        <w:tc>
          <w:tcPr>
            <w:tcW w:w="1134" w:type="dxa"/>
            <w:vAlign w:val="center"/>
          </w:tcPr>
          <w:p w14:paraId="22E37822">
            <w:pPr>
              <w:spacing w:line="240" w:lineRule="atLeast"/>
              <w:jc w:val="center"/>
              <w:rPr>
                <w:rFonts w:hint="default" w:ascii="Times New Roman" w:hAnsi="Times New Roman" w:eastAsia="宋体" w:cs="Times New Roman"/>
                <w:color w:val="auto"/>
                <w:sz w:val="24"/>
                <w:szCs w:val="24"/>
                <w:highlight w:val="none"/>
              </w:rPr>
            </w:pPr>
          </w:p>
        </w:tc>
        <w:tc>
          <w:tcPr>
            <w:tcW w:w="1559" w:type="dxa"/>
            <w:vAlign w:val="center"/>
          </w:tcPr>
          <w:p w14:paraId="50627A12">
            <w:pPr>
              <w:spacing w:line="240" w:lineRule="atLeast"/>
              <w:jc w:val="center"/>
              <w:rPr>
                <w:rFonts w:hint="default" w:ascii="Times New Roman" w:hAnsi="Times New Roman" w:eastAsia="宋体" w:cs="Times New Roman"/>
                <w:color w:val="auto"/>
                <w:sz w:val="24"/>
                <w:szCs w:val="24"/>
                <w:highlight w:val="none"/>
              </w:rPr>
            </w:pPr>
          </w:p>
        </w:tc>
        <w:tc>
          <w:tcPr>
            <w:tcW w:w="1567" w:type="dxa"/>
            <w:vAlign w:val="center"/>
          </w:tcPr>
          <w:p w14:paraId="779E0CB0">
            <w:pPr>
              <w:spacing w:line="240" w:lineRule="atLeast"/>
              <w:jc w:val="center"/>
              <w:rPr>
                <w:rFonts w:hint="default" w:ascii="Times New Roman" w:hAnsi="Times New Roman" w:eastAsia="宋体" w:cs="Times New Roman"/>
                <w:color w:val="auto"/>
                <w:sz w:val="24"/>
                <w:szCs w:val="24"/>
                <w:highlight w:val="none"/>
              </w:rPr>
            </w:pPr>
          </w:p>
        </w:tc>
      </w:tr>
      <w:tr w14:paraId="415F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0BC2FF8">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合计人民币（小写）：</w:t>
            </w:r>
          </w:p>
        </w:tc>
      </w:tr>
      <w:tr w14:paraId="380D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DCD2596">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合计人民币（大写）：</w:t>
            </w:r>
          </w:p>
        </w:tc>
      </w:tr>
      <w:tr w14:paraId="580B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41" w:hRule="atLeast"/>
        </w:trPr>
        <w:tc>
          <w:tcPr>
            <w:tcW w:w="9613" w:type="dxa"/>
            <w:gridSpan w:val="7"/>
            <w:vAlign w:val="top"/>
          </w:tcPr>
          <w:p w14:paraId="7A348E03">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一、服务要求</w:t>
            </w:r>
          </w:p>
        </w:tc>
      </w:tr>
      <w:tr w14:paraId="26DD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28" w:type="dxa"/>
            <w:gridSpan w:val="8"/>
            <w:vAlign w:val="top"/>
          </w:tcPr>
          <w:p w14:paraId="4B1E6D15">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二、考核方式</w:t>
            </w:r>
          </w:p>
        </w:tc>
      </w:tr>
      <w:tr w14:paraId="7330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170D9F64">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三、付款方式：</w:t>
            </w:r>
          </w:p>
          <w:p w14:paraId="107A8DB9">
            <w:pPr>
              <w:pStyle w:val="14"/>
              <w:spacing w:line="240" w:lineRule="atLeast"/>
              <w:rPr>
                <w:rFonts w:hint="default" w:ascii="Times New Roman" w:hAnsi="Times New Roman" w:eastAsia="宋体" w:cs="Times New Roman"/>
                <w:color w:val="auto"/>
                <w:sz w:val="24"/>
                <w:szCs w:val="24"/>
                <w:highlight w:val="none"/>
              </w:rPr>
            </w:pPr>
          </w:p>
        </w:tc>
      </w:tr>
      <w:tr w14:paraId="6D2A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09C58D2C">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四、违约责任：</w:t>
            </w:r>
          </w:p>
          <w:p w14:paraId="1B36F256">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方正仿宋_GBK" w:cs="Times New Roman"/>
                <w:color w:val="auto"/>
                <w:sz w:val="21"/>
                <w:szCs w:val="21"/>
                <w:highlight w:val="none"/>
              </w:rPr>
              <w:t>按《中华人民共和国民法典》、《中华人民共和国政府采购法》执行，或按双方约定。</w:t>
            </w:r>
          </w:p>
        </w:tc>
      </w:tr>
      <w:tr w14:paraId="7A14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4223FEC7">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五、其他约定事项：</w:t>
            </w:r>
          </w:p>
          <w:p w14:paraId="029D4E26">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1.采购文件及其补遗文件、响应文件和承诺是本合同不可分割的部分。</w:t>
            </w:r>
          </w:p>
          <w:p w14:paraId="06513D62">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2.本合同如发生争议由双方协商解决，协商不成向需方所在人民法院提请诉讼。</w:t>
            </w:r>
          </w:p>
          <w:p w14:paraId="6AB923DF">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3.本合同一式__份， 需方__份，供方__份，具同等法律效力。</w:t>
            </w:r>
          </w:p>
          <w:p w14:paraId="754E211E">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4.其他：</w:t>
            </w:r>
          </w:p>
        </w:tc>
      </w:tr>
      <w:tr w14:paraId="5AAC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vAlign w:val="top"/>
          </w:tcPr>
          <w:p w14:paraId="097730A6">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需方：</w:t>
            </w:r>
          </w:p>
          <w:p w14:paraId="7AAAE2E6">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w:t>
            </w:r>
          </w:p>
          <w:p w14:paraId="38002681">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p>
          <w:p w14:paraId="50B8263E">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授权代表：</w:t>
            </w:r>
          </w:p>
        </w:tc>
        <w:tc>
          <w:tcPr>
            <w:tcW w:w="4984" w:type="dxa"/>
            <w:gridSpan w:val="5"/>
            <w:vAlign w:val="top"/>
          </w:tcPr>
          <w:p w14:paraId="4F6A97B5">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供方：</w:t>
            </w:r>
          </w:p>
          <w:p w14:paraId="1B642187">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w:t>
            </w:r>
          </w:p>
          <w:p w14:paraId="5D52BC7A">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p w14:paraId="14FDCF04">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p w14:paraId="45DCACD3">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p w14:paraId="507172AB">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p w14:paraId="544B0EBA">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授权代表：</w:t>
            </w:r>
          </w:p>
          <w:p w14:paraId="25142BD7">
            <w:pPr>
              <w:widowControl/>
              <w:spacing w:line="240" w:lineRule="atLeast"/>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（本栏请用计算机打印以便于准确付款）</w:t>
            </w:r>
          </w:p>
        </w:tc>
      </w:tr>
      <w:tr w14:paraId="6961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3441C9A8">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p w14:paraId="3B26B244">
            <w:pPr>
              <w:spacing w:line="240" w:lineRule="atLeast"/>
              <w:rPr>
                <w:rFonts w:hint="default" w:ascii="Times New Roman" w:hAnsi="Times New Roman" w:eastAsia="宋体" w:cs="Times New Roman"/>
                <w:color w:val="auto"/>
                <w:sz w:val="24"/>
                <w:szCs w:val="24"/>
                <w:highlight w:val="none"/>
              </w:rPr>
            </w:pPr>
          </w:p>
        </w:tc>
      </w:tr>
    </w:tbl>
    <w:p w14:paraId="11706816">
      <w:pPr>
        <w:rPr>
          <w:rFonts w:hint="default" w:ascii="Times New Roman" w:hAnsi="Times New Roman" w:eastAsia="宋体" w:cs="Times New Roman"/>
          <w:color w:val="auto"/>
          <w:szCs w:val="28"/>
          <w:highlight w:val="none"/>
        </w:rPr>
      </w:pPr>
    </w:p>
    <w:p w14:paraId="5F60A017">
      <w:pPr>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szCs w:val="28"/>
          <w:highlight w:val="none"/>
        </w:rPr>
        <w:t>签约时间：           年   月   日      签约地点：</w:t>
      </w:r>
    </w:p>
    <w:p w14:paraId="3539CBC0">
      <w:pPr>
        <w:tabs>
          <w:tab w:val="left" w:pos="9000"/>
        </w:tabs>
        <w:spacing w:line="276" w:lineRule="auto"/>
        <w:rPr>
          <w:rFonts w:hint="default" w:ascii="Times New Roman" w:hAnsi="Times New Roman" w:eastAsia="宋体" w:cs="Times New Roman"/>
          <w:color w:val="auto"/>
          <w:szCs w:val="28"/>
          <w:highlight w:val="none"/>
        </w:rPr>
        <w:sectPr>
          <w:footerReference r:id="rId5" w:type="default"/>
          <w:pgSz w:w="11907" w:h="16840"/>
          <w:pgMar w:top="1134" w:right="1191" w:bottom="1134" w:left="1304" w:header="680" w:footer="992" w:gutter="0"/>
          <w:pgNumType w:fmt="numberInDash"/>
          <w:cols w:space="720" w:num="1"/>
          <w:docGrid w:linePitch="312" w:charSpace="0"/>
        </w:sectPr>
      </w:pPr>
    </w:p>
    <w:p w14:paraId="300D81D5">
      <w:pPr>
        <w:rPr>
          <w:rFonts w:hint="default" w:ascii="Times New Roman" w:hAnsi="Times New Roman" w:eastAsia="宋体" w:cs="Times New Roman"/>
          <w:color w:val="auto"/>
          <w:sz w:val="24"/>
          <w:highlight w:val="none"/>
        </w:rPr>
      </w:pPr>
    </w:p>
    <w:bookmarkEnd w:id="147"/>
    <w:bookmarkEnd w:id="148"/>
    <w:p w14:paraId="755F882D">
      <w:pPr>
        <w:pStyle w:val="4"/>
        <w:bidi w:val="0"/>
        <w:rPr>
          <w:rFonts w:hint="default"/>
          <w:color w:val="auto"/>
          <w:highlight w:val="none"/>
          <w:lang w:val="en-US" w:eastAsia="zh-CN"/>
        </w:rPr>
      </w:pPr>
      <w:bookmarkStart w:id="150" w:name="_Toc22899"/>
      <w:r>
        <w:rPr>
          <w:rFonts w:hint="eastAsia"/>
          <w:color w:val="auto"/>
          <w:highlight w:val="none"/>
          <w:lang w:val="en-US" w:eastAsia="zh-CN"/>
        </w:rPr>
        <w:t>第七篇</w:t>
      </w:r>
      <w:r>
        <w:rPr>
          <w:rFonts w:hint="default"/>
          <w:color w:val="auto"/>
          <w:highlight w:val="none"/>
          <w:lang w:val="en-US" w:eastAsia="zh-CN"/>
        </w:rPr>
        <w:t xml:space="preserve"> </w:t>
      </w:r>
      <w:bookmarkEnd w:id="149"/>
      <w:r>
        <w:rPr>
          <w:rFonts w:hint="default"/>
          <w:color w:val="auto"/>
          <w:highlight w:val="none"/>
          <w:lang w:val="en-US" w:eastAsia="zh-CN"/>
        </w:rPr>
        <w:t>响应文件格式</w:t>
      </w:r>
      <w:bookmarkEnd w:id="150"/>
    </w:p>
    <w:p w14:paraId="6F7BBAED">
      <w:pPr>
        <w:widowControl w:val="0"/>
        <w:numPr>
          <w:ilvl w:val="0"/>
          <w:numId w:val="0"/>
        </w:numPr>
        <w:jc w:val="both"/>
        <w:rPr>
          <w:rFonts w:hint="default" w:ascii="Times New Roman" w:hAnsi="Times New Roman" w:eastAsia="宋体" w:cs="Times New Roman"/>
          <w:color w:val="auto"/>
          <w:highlight w:val="none"/>
        </w:rPr>
      </w:pPr>
    </w:p>
    <w:p w14:paraId="155CBEA5">
      <w:pPr>
        <w:pStyle w:val="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响应文件封面格式</w:t>
      </w:r>
    </w:p>
    <w:tbl>
      <w:tblPr>
        <w:tblStyle w:val="2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3334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vAlign w:val="top"/>
          </w:tcPr>
          <w:p w14:paraId="28474A26">
            <w:pPr>
              <w:ind w:firstLine="640"/>
              <w:jc w:val="right"/>
              <w:rPr>
                <w:rFonts w:hint="default" w:ascii="Times New Roman" w:hAnsi="Times New Roman" w:eastAsia="宋体" w:cs="Times New Roman"/>
                <w:color w:val="auto"/>
                <w:sz w:val="32"/>
                <w:szCs w:val="32"/>
                <w:highlight w:val="none"/>
              </w:rPr>
            </w:pPr>
          </w:p>
          <w:p w14:paraId="2D13E8FF">
            <w:pPr>
              <w:ind w:firstLine="640"/>
              <w:jc w:val="right"/>
              <w:rPr>
                <w:rFonts w:hint="default" w:ascii="Times New Roman" w:hAnsi="Times New Roman" w:eastAsia="宋体" w:cs="Times New Roman"/>
                <w:color w:val="auto"/>
                <w:sz w:val="32"/>
                <w:szCs w:val="32"/>
                <w:highlight w:val="none"/>
              </w:rPr>
            </w:pPr>
          </w:p>
          <w:p w14:paraId="3BA71A9D">
            <w:pPr>
              <w:pStyle w:val="48"/>
              <w:ind w:firstLine="6160" w:firstLineChars="2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正本（或副本）</w:t>
            </w:r>
          </w:p>
          <w:p w14:paraId="4560ED69">
            <w:pPr>
              <w:ind w:firstLine="640"/>
              <w:rPr>
                <w:rFonts w:hint="default" w:ascii="Times New Roman" w:hAnsi="Times New Roman" w:eastAsia="宋体" w:cs="Times New Roman"/>
                <w:color w:val="auto"/>
                <w:sz w:val="32"/>
                <w:szCs w:val="32"/>
                <w:highlight w:val="none"/>
              </w:rPr>
            </w:pPr>
          </w:p>
          <w:p w14:paraId="0E50107D">
            <w:pPr>
              <w:ind w:firstLine="640"/>
              <w:rPr>
                <w:rFonts w:hint="default" w:ascii="Times New Roman" w:hAnsi="Times New Roman" w:eastAsia="宋体" w:cs="Times New Roman"/>
                <w:color w:val="auto"/>
                <w:sz w:val="32"/>
                <w:szCs w:val="32"/>
                <w:highlight w:val="none"/>
              </w:rPr>
            </w:pPr>
          </w:p>
          <w:p w14:paraId="43CDF5F2">
            <w:pPr>
              <w:pStyle w:val="4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响应文件</w:t>
            </w:r>
          </w:p>
          <w:p w14:paraId="190ACE01">
            <w:pPr>
              <w:ind w:firstLine="640"/>
              <w:rPr>
                <w:rFonts w:hint="default" w:ascii="Times New Roman" w:hAnsi="Times New Roman" w:eastAsia="宋体" w:cs="Times New Roman"/>
                <w:color w:val="auto"/>
                <w:sz w:val="32"/>
                <w:szCs w:val="32"/>
                <w:highlight w:val="none"/>
              </w:rPr>
            </w:pPr>
          </w:p>
          <w:p w14:paraId="6E2489E5">
            <w:pPr>
              <w:ind w:firstLine="640"/>
              <w:rPr>
                <w:rFonts w:hint="default" w:ascii="Times New Roman" w:hAnsi="Times New Roman" w:eastAsia="宋体" w:cs="Times New Roman"/>
                <w:color w:val="auto"/>
                <w:sz w:val="32"/>
                <w:szCs w:val="32"/>
                <w:highlight w:val="none"/>
              </w:rPr>
            </w:pPr>
          </w:p>
          <w:p w14:paraId="2BEA7521">
            <w:pPr>
              <w:spacing w:line="240" w:lineRule="auto"/>
              <w:ind w:left="560" w:leftChars="200" w:firstLine="0" w:firstLineChars="0"/>
              <w:rPr>
                <w:rFonts w:hint="default" w:ascii="Times New Roman" w:hAnsi="Times New Roman" w:eastAsia="宋体" w:cs="Times New Roman"/>
                <w:b/>
                <w:color w:val="auto"/>
                <w:sz w:val="32"/>
                <w:szCs w:val="32"/>
                <w:highlight w:val="none"/>
              </w:rPr>
            </w:pPr>
          </w:p>
          <w:p w14:paraId="0425E726">
            <w:pPr>
              <w:spacing w:line="240" w:lineRule="auto"/>
              <w:ind w:left="560" w:leftChars="200" w:firstLine="0" w:firstLineChars="0"/>
              <w:rPr>
                <w:rFonts w:hint="default" w:ascii="Times New Roman" w:hAnsi="Times New Roman" w:eastAsia="宋体" w:cs="Times New Roman"/>
                <w:b/>
                <w:color w:val="auto"/>
                <w:sz w:val="32"/>
                <w:szCs w:val="32"/>
                <w:highlight w:val="none"/>
              </w:rPr>
            </w:pPr>
          </w:p>
          <w:p w14:paraId="2EB751D4">
            <w:pPr>
              <w:spacing w:line="240" w:lineRule="auto"/>
              <w:ind w:left="560" w:leftChars="200" w:firstLine="0" w:firstLineChars="0"/>
              <w:rPr>
                <w:rFonts w:hint="default" w:ascii="Times New Roman" w:hAnsi="Times New Roman" w:eastAsia="宋体" w:cs="Times New Roman"/>
                <w:b/>
                <w:color w:val="auto"/>
                <w:sz w:val="32"/>
                <w:szCs w:val="32"/>
                <w:highlight w:val="none"/>
              </w:rPr>
            </w:pPr>
          </w:p>
          <w:p w14:paraId="1A21D25D">
            <w:pPr>
              <w:spacing w:line="240" w:lineRule="auto"/>
              <w:ind w:left="560" w:leftChars="200" w:firstLine="0" w:firstLineChars="0"/>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color w:val="auto"/>
                <w:sz w:val="32"/>
                <w:szCs w:val="32"/>
                <w:highlight w:val="none"/>
              </w:rPr>
              <w:t>采购项目名称：</w:t>
            </w:r>
          </w:p>
          <w:p w14:paraId="371ACAB8">
            <w:pPr>
              <w:ind w:firstLine="640"/>
              <w:rPr>
                <w:rFonts w:hint="default" w:ascii="Times New Roman" w:hAnsi="Times New Roman" w:eastAsia="宋体" w:cs="Times New Roman"/>
                <w:color w:val="auto"/>
                <w:sz w:val="32"/>
                <w:szCs w:val="32"/>
                <w:highlight w:val="none"/>
              </w:rPr>
            </w:pPr>
          </w:p>
          <w:p w14:paraId="63839912">
            <w:pPr>
              <w:ind w:firstLine="640"/>
              <w:rPr>
                <w:rFonts w:hint="default" w:ascii="Times New Roman" w:hAnsi="Times New Roman" w:eastAsia="宋体" w:cs="Times New Roman"/>
                <w:color w:val="auto"/>
                <w:sz w:val="32"/>
                <w:szCs w:val="32"/>
                <w:highlight w:val="none"/>
              </w:rPr>
            </w:pPr>
          </w:p>
          <w:p w14:paraId="0DF58A20">
            <w:pPr>
              <w:ind w:firstLine="640"/>
              <w:rPr>
                <w:rFonts w:hint="default" w:ascii="Times New Roman" w:hAnsi="Times New Roman" w:eastAsia="宋体" w:cs="Times New Roman"/>
                <w:color w:val="auto"/>
                <w:sz w:val="32"/>
                <w:szCs w:val="32"/>
                <w:highlight w:val="none"/>
              </w:rPr>
            </w:pPr>
          </w:p>
          <w:p w14:paraId="42331659">
            <w:pPr>
              <w:ind w:firstLine="640"/>
              <w:rPr>
                <w:rFonts w:hint="default" w:ascii="Times New Roman" w:hAnsi="Times New Roman" w:eastAsia="宋体" w:cs="Times New Roman"/>
                <w:color w:val="auto"/>
                <w:sz w:val="32"/>
                <w:szCs w:val="32"/>
                <w:highlight w:val="none"/>
              </w:rPr>
            </w:pPr>
          </w:p>
          <w:p w14:paraId="55F7FBC9">
            <w:pPr>
              <w:pStyle w:val="5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供应商名称（加盖供应商公章）：</w:t>
            </w:r>
          </w:p>
          <w:p w14:paraId="6B2F8693">
            <w:pPr>
              <w:pStyle w:val="5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供应商法定代表人或授权代理人（签字）：</w:t>
            </w:r>
          </w:p>
          <w:p w14:paraId="42EE2234">
            <w:pPr>
              <w:pStyle w:val="5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202</w:t>
            </w: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rPr>
              <w:t>年　　月　　日</w:t>
            </w:r>
          </w:p>
          <w:p w14:paraId="4AAAAB8F">
            <w:pPr>
              <w:ind w:firstLine="640"/>
              <w:rPr>
                <w:rFonts w:hint="default" w:ascii="Times New Roman" w:hAnsi="Times New Roman" w:eastAsia="宋体" w:cs="Times New Roman"/>
                <w:color w:val="auto"/>
                <w:sz w:val="32"/>
                <w:szCs w:val="32"/>
                <w:highlight w:val="none"/>
              </w:rPr>
            </w:pPr>
          </w:p>
          <w:p w14:paraId="407C30FC">
            <w:pPr>
              <w:ind w:firstLine="640"/>
              <w:rPr>
                <w:rFonts w:hint="default" w:ascii="Times New Roman" w:hAnsi="Times New Roman" w:eastAsia="宋体" w:cs="Times New Roman"/>
                <w:color w:val="auto"/>
                <w:sz w:val="32"/>
                <w:szCs w:val="32"/>
                <w:highlight w:val="none"/>
              </w:rPr>
            </w:pPr>
          </w:p>
          <w:p w14:paraId="48DF6DC3">
            <w:pPr>
              <w:ind w:firstLine="640"/>
              <w:rPr>
                <w:rFonts w:hint="default" w:ascii="Times New Roman" w:hAnsi="Times New Roman" w:eastAsia="宋体" w:cs="Times New Roman"/>
                <w:color w:val="auto"/>
                <w:sz w:val="32"/>
                <w:szCs w:val="32"/>
                <w:highlight w:val="none"/>
              </w:rPr>
            </w:pPr>
          </w:p>
          <w:p w14:paraId="75B0E108">
            <w:pPr>
              <w:ind w:firstLine="640"/>
              <w:rPr>
                <w:rFonts w:hint="default" w:ascii="Times New Roman" w:hAnsi="Times New Roman" w:eastAsia="宋体" w:cs="Times New Roman"/>
                <w:color w:val="auto"/>
                <w:sz w:val="32"/>
                <w:szCs w:val="32"/>
                <w:highlight w:val="none"/>
              </w:rPr>
            </w:pPr>
          </w:p>
          <w:p w14:paraId="72F84623">
            <w:pPr>
              <w:ind w:firstLine="640"/>
              <w:rPr>
                <w:rFonts w:hint="default" w:ascii="Times New Roman" w:hAnsi="Times New Roman" w:eastAsia="宋体" w:cs="Times New Roman"/>
                <w:color w:val="auto"/>
                <w:sz w:val="32"/>
                <w:szCs w:val="32"/>
                <w:highlight w:val="none"/>
              </w:rPr>
            </w:pPr>
          </w:p>
          <w:p w14:paraId="7C1EB4A6">
            <w:pPr>
              <w:ind w:firstLine="640"/>
              <w:rPr>
                <w:rFonts w:hint="default" w:ascii="Times New Roman" w:hAnsi="Times New Roman" w:eastAsia="宋体" w:cs="Times New Roman"/>
                <w:color w:val="auto"/>
                <w:sz w:val="32"/>
                <w:szCs w:val="32"/>
                <w:highlight w:val="none"/>
              </w:rPr>
            </w:pPr>
          </w:p>
          <w:p w14:paraId="3BC6032A">
            <w:pPr>
              <w:ind w:firstLine="640"/>
              <w:rPr>
                <w:rFonts w:hint="default" w:ascii="Times New Roman" w:hAnsi="Times New Roman" w:eastAsia="宋体" w:cs="Times New Roman"/>
                <w:color w:val="auto"/>
                <w:sz w:val="32"/>
                <w:szCs w:val="32"/>
                <w:highlight w:val="none"/>
              </w:rPr>
            </w:pPr>
          </w:p>
        </w:tc>
      </w:tr>
    </w:tbl>
    <w:p w14:paraId="6930FC0F">
      <w:pPr>
        <w:rPr>
          <w:rFonts w:hint="default" w:ascii="Times New Roman" w:hAnsi="Times New Roman" w:eastAsia="宋体" w:cs="Times New Roman"/>
          <w:color w:val="auto"/>
          <w:highlight w:val="none"/>
        </w:rPr>
      </w:pPr>
    </w:p>
    <w:p w14:paraId="27A455F0">
      <w:pPr>
        <w:pStyle w:val="8"/>
        <w:rPr>
          <w:rFonts w:hint="default" w:ascii="Times New Roman" w:hAnsi="Times New Roman" w:eastAsia="宋体" w:cs="Times New Roman"/>
          <w:color w:val="auto"/>
          <w:highlight w:val="none"/>
        </w:rPr>
      </w:pPr>
    </w:p>
    <w:p w14:paraId="72741C6A">
      <w:pPr>
        <w:rPr>
          <w:rFonts w:hint="default" w:ascii="Times New Roman" w:hAnsi="Times New Roman" w:eastAsia="宋体" w:cs="Times New Roman"/>
          <w:color w:val="auto"/>
          <w:highlight w:val="none"/>
        </w:rPr>
      </w:pPr>
    </w:p>
    <w:p w14:paraId="4B8382E9">
      <w:pPr>
        <w:rPr>
          <w:rFonts w:hint="default" w:ascii="Times New Roman" w:hAnsi="Times New Roman" w:eastAsia="宋体" w:cs="Times New Roman"/>
          <w:color w:val="auto"/>
          <w:highlight w:val="none"/>
        </w:rPr>
      </w:pPr>
    </w:p>
    <w:p w14:paraId="4E7091E6">
      <w:pPr>
        <w:rPr>
          <w:rFonts w:hint="default" w:ascii="Times New Roman" w:hAnsi="Times New Roman" w:eastAsia="宋体" w:cs="Times New Roman"/>
          <w:color w:val="auto"/>
          <w:highlight w:val="none"/>
        </w:rPr>
      </w:pPr>
    </w:p>
    <w:p w14:paraId="38084734">
      <w:pPr>
        <w:rPr>
          <w:rFonts w:hint="default" w:ascii="Times New Roman" w:hAnsi="Times New Roman" w:eastAsia="宋体" w:cs="Times New Roman"/>
          <w:color w:val="auto"/>
          <w:highlight w:val="none"/>
        </w:rPr>
      </w:pPr>
    </w:p>
    <w:p w14:paraId="6CA00F38">
      <w:pPr>
        <w:rPr>
          <w:rFonts w:hint="default" w:ascii="Times New Roman" w:hAnsi="Times New Roman" w:eastAsia="宋体" w:cs="Times New Roman"/>
          <w:color w:val="auto"/>
          <w:highlight w:val="none"/>
        </w:rPr>
      </w:pPr>
    </w:p>
    <w:p w14:paraId="2E9429CA">
      <w:pPr>
        <w:pStyle w:val="8"/>
        <w:rPr>
          <w:rFonts w:hint="default"/>
          <w:color w:val="auto"/>
          <w:highlight w:val="none"/>
        </w:rPr>
      </w:pPr>
    </w:p>
    <w:p w14:paraId="42D91E0A">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响应文件目录</w:t>
      </w:r>
    </w:p>
    <w:p w14:paraId="27213F7B">
      <w:pPr>
        <w:pageBreakBefore w:val="0"/>
        <w:wordWrap/>
        <w:topLinePunct w:val="0"/>
        <w:bidi w:val="0"/>
        <w:spacing w:line="560" w:lineRule="exact"/>
        <w:ind w:firstLine="482" w:firstLineChars="200"/>
        <w:textAlignment w:val="auto"/>
        <w:rPr>
          <w:rFonts w:hint="default" w:ascii="Times New Roman" w:hAnsi="Times New Roman" w:eastAsia="宋体" w:cs="Times New Roman"/>
          <w:b/>
          <w:bCs/>
          <w:color w:val="auto"/>
          <w:sz w:val="24"/>
          <w:szCs w:val="24"/>
          <w:highlight w:val="none"/>
          <w:lang w:val="en-US" w:eastAsia="zh-CN"/>
        </w:rPr>
      </w:pPr>
      <w:bookmarkStart w:id="151" w:name="_Toc313888360"/>
      <w:bookmarkStart w:id="152" w:name="_Toc313008356"/>
      <w:bookmarkStart w:id="153" w:name="_Toc342913419"/>
      <w:bookmarkStart w:id="154" w:name="_Toc12789073"/>
      <w:bookmarkStart w:id="155" w:name="_Toc283382454"/>
      <w:r>
        <w:rPr>
          <w:rFonts w:hint="default" w:ascii="Times New Roman" w:hAnsi="Times New Roman" w:eastAsia="宋体" w:cs="Times New Roman"/>
          <w:b/>
          <w:bCs/>
          <w:color w:val="auto"/>
          <w:sz w:val="24"/>
          <w:szCs w:val="24"/>
          <w:highlight w:val="none"/>
          <w:lang w:val="en-US" w:eastAsia="zh-CN"/>
        </w:rPr>
        <w:t>一、经济部分</w:t>
      </w:r>
    </w:p>
    <w:p w14:paraId="14F09434">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（一）竞争性磋商报价函</w:t>
      </w:r>
    </w:p>
    <w:p w14:paraId="621D3E01">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（二）明细报价表</w:t>
      </w:r>
    </w:p>
    <w:p w14:paraId="396E3FF1">
      <w:pPr>
        <w:pageBreakBefore w:val="0"/>
        <w:wordWrap/>
        <w:topLinePunct w:val="0"/>
        <w:bidi w:val="0"/>
        <w:spacing w:line="560" w:lineRule="exact"/>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二、服务部分</w:t>
      </w:r>
    </w:p>
    <w:p w14:paraId="0734A2E0">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w:t>
      </w:r>
      <w:r>
        <w:rPr>
          <w:rFonts w:hint="default" w:ascii="Times New Roman" w:hAnsi="Times New Roman" w:eastAsia="宋体" w:cs="Times New Roman"/>
          <w:color w:val="auto"/>
          <w:sz w:val="24"/>
          <w:szCs w:val="24"/>
          <w:highlight w:val="none"/>
          <w:lang w:val="en-US" w:eastAsia="zh-CN"/>
        </w:rPr>
        <w:t>服务</w:t>
      </w:r>
      <w:r>
        <w:rPr>
          <w:rFonts w:hint="default" w:ascii="Times New Roman" w:hAnsi="Times New Roman" w:eastAsia="宋体" w:cs="Times New Roman"/>
          <w:color w:val="auto"/>
          <w:sz w:val="24"/>
          <w:szCs w:val="24"/>
          <w:highlight w:val="none"/>
        </w:rPr>
        <w:t>方案</w:t>
      </w:r>
    </w:p>
    <w:p w14:paraId="48897FFC">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w:t>
      </w:r>
      <w:r>
        <w:rPr>
          <w:rFonts w:hint="default" w:ascii="Times New Roman" w:hAnsi="Times New Roman" w:eastAsia="宋体" w:cs="Times New Roman"/>
          <w:color w:val="auto"/>
          <w:sz w:val="24"/>
          <w:szCs w:val="24"/>
          <w:highlight w:val="none"/>
          <w:lang w:val="en-US" w:eastAsia="zh-CN"/>
        </w:rPr>
        <w:t>服务</w:t>
      </w:r>
      <w:r>
        <w:rPr>
          <w:rFonts w:hint="default" w:ascii="Times New Roman" w:hAnsi="Times New Roman" w:eastAsia="宋体" w:cs="Times New Roman"/>
          <w:color w:val="auto"/>
          <w:sz w:val="24"/>
          <w:szCs w:val="24"/>
          <w:highlight w:val="none"/>
        </w:rPr>
        <w:t>响应偏离表</w:t>
      </w:r>
    </w:p>
    <w:p w14:paraId="4430732E">
      <w:pPr>
        <w:pageBreakBefore w:val="0"/>
        <w:wordWrap/>
        <w:topLinePunct w:val="0"/>
        <w:bidi w:val="0"/>
        <w:spacing w:line="560" w:lineRule="exact"/>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三、商务部分</w:t>
      </w:r>
    </w:p>
    <w:p w14:paraId="19DA12B9">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（一）商务响应偏离表</w:t>
      </w:r>
    </w:p>
    <w:p w14:paraId="3AD0FEC3">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（二）其它优惠服务承诺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格式自定</w:t>
      </w:r>
      <w:r>
        <w:rPr>
          <w:rFonts w:hint="default" w:ascii="Times New Roman" w:hAnsi="Times New Roman" w:eastAsia="宋体" w:cs="Times New Roman"/>
          <w:color w:val="auto"/>
          <w:sz w:val="24"/>
          <w:szCs w:val="24"/>
          <w:highlight w:val="none"/>
          <w:lang w:eastAsia="zh-CN"/>
        </w:rPr>
        <w:t>）</w:t>
      </w:r>
    </w:p>
    <w:p w14:paraId="55E1001A">
      <w:pPr>
        <w:pageBreakBefore w:val="0"/>
        <w:wordWrap/>
        <w:topLinePunct w:val="0"/>
        <w:bidi w:val="0"/>
        <w:spacing w:line="560" w:lineRule="exact"/>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四、资格条件及其他</w:t>
      </w:r>
    </w:p>
    <w:p w14:paraId="5A331164">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（一）法人营业执照（副本）或事业单位法人证书（副本）或个体工商户营业执照或有效的自然人身份证明或社会团体法人登记证书复印件</w:t>
      </w:r>
    </w:p>
    <w:p w14:paraId="3BB122F8">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）法定代表人身份证明书（格式）</w:t>
      </w:r>
    </w:p>
    <w:p w14:paraId="1278FB6E">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rPr>
        <w:t>）法定代表人授权委托书（格式）</w:t>
      </w:r>
    </w:p>
    <w:p w14:paraId="0DAEB5EF">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四</w:t>
      </w:r>
      <w:r>
        <w:rPr>
          <w:rFonts w:hint="default" w:ascii="Times New Roman" w:hAnsi="Times New Roman" w:eastAsia="宋体" w:cs="Times New Roman"/>
          <w:color w:val="auto"/>
          <w:sz w:val="24"/>
          <w:szCs w:val="24"/>
          <w:highlight w:val="none"/>
        </w:rPr>
        <w:t>）基本资格条件承诺函（格式）</w:t>
      </w:r>
    </w:p>
    <w:p w14:paraId="4C271C2D">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五</w:t>
      </w:r>
      <w:r>
        <w:rPr>
          <w:rFonts w:hint="default" w:ascii="Times New Roman" w:hAnsi="Times New Roman" w:eastAsia="宋体" w:cs="Times New Roman"/>
          <w:color w:val="auto"/>
          <w:sz w:val="24"/>
          <w:szCs w:val="24"/>
          <w:highlight w:val="none"/>
        </w:rPr>
        <w:t>）特定资格条件证书或证明文件</w:t>
      </w:r>
    </w:p>
    <w:p w14:paraId="373B901A">
      <w:pPr>
        <w:pageBreakBefore w:val="0"/>
        <w:wordWrap/>
        <w:topLinePunct w:val="0"/>
        <w:bidi w:val="0"/>
        <w:spacing w:line="560" w:lineRule="exact"/>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五、其他应提供的资料</w:t>
      </w:r>
    </w:p>
    <w:p w14:paraId="670C4399">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（一）中小微企业声明函、监狱企业证明文件、残疾人福利性单位声明函</w:t>
      </w:r>
    </w:p>
    <w:p w14:paraId="71CE3BAE">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（二）其他与项目有关的资料</w:t>
      </w:r>
    </w:p>
    <w:p w14:paraId="441942F4">
      <w:pPr>
        <w:rPr>
          <w:rFonts w:hint="default" w:ascii="Times New Roman" w:hAnsi="Times New Roman" w:eastAsia="宋体" w:cs="Times New Roman"/>
          <w:color w:val="auto"/>
          <w:sz w:val="24"/>
          <w:szCs w:val="24"/>
          <w:highlight w:val="none"/>
        </w:rPr>
      </w:pPr>
    </w:p>
    <w:p w14:paraId="416D80E0">
      <w:pPr>
        <w:pStyle w:val="11"/>
        <w:rPr>
          <w:rFonts w:hint="default" w:ascii="Times New Roman" w:hAnsi="Times New Roman" w:eastAsia="宋体" w:cs="Times New Roman"/>
          <w:color w:val="auto"/>
          <w:sz w:val="24"/>
          <w:szCs w:val="24"/>
          <w:highlight w:val="none"/>
        </w:rPr>
      </w:pPr>
    </w:p>
    <w:p w14:paraId="232D59B2">
      <w:pPr>
        <w:pStyle w:val="11"/>
        <w:rPr>
          <w:rFonts w:hint="default" w:ascii="Times New Roman" w:hAnsi="Times New Roman" w:eastAsia="宋体" w:cs="Times New Roman"/>
          <w:color w:val="auto"/>
          <w:sz w:val="24"/>
          <w:szCs w:val="24"/>
          <w:highlight w:val="none"/>
        </w:rPr>
      </w:pPr>
    </w:p>
    <w:p w14:paraId="016D435D">
      <w:pPr>
        <w:pStyle w:val="11"/>
        <w:rPr>
          <w:rFonts w:hint="default" w:ascii="Times New Roman" w:hAnsi="Times New Roman" w:eastAsia="宋体" w:cs="Times New Roman"/>
          <w:color w:val="auto"/>
          <w:sz w:val="24"/>
          <w:szCs w:val="24"/>
          <w:highlight w:val="none"/>
        </w:rPr>
      </w:pPr>
    </w:p>
    <w:p w14:paraId="254DB6BE">
      <w:pPr>
        <w:pStyle w:val="11"/>
        <w:rPr>
          <w:rFonts w:hint="default" w:ascii="Times New Roman" w:hAnsi="Times New Roman" w:eastAsia="宋体" w:cs="Times New Roman"/>
          <w:color w:val="auto"/>
          <w:sz w:val="24"/>
          <w:szCs w:val="24"/>
          <w:highlight w:val="none"/>
        </w:rPr>
      </w:pPr>
    </w:p>
    <w:p w14:paraId="3D2A27B3">
      <w:pPr>
        <w:pStyle w:val="11"/>
        <w:rPr>
          <w:rFonts w:hint="default" w:ascii="Times New Roman" w:hAnsi="Times New Roman" w:eastAsia="宋体" w:cs="Times New Roman"/>
          <w:color w:val="auto"/>
          <w:sz w:val="24"/>
          <w:szCs w:val="24"/>
          <w:highlight w:val="none"/>
        </w:rPr>
      </w:pPr>
    </w:p>
    <w:p w14:paraId="15617594">
      <w:pPr>
        <w:rPr>
          <w:rFonts w:hint="default" w:ascii="Times New Roman" w:hAnsi="Times New Roman" w:eastAsia="宋体" w:cs="Times New Roman"/>
          <w:color w:val="auto"/>
          <w:sz w:val="24"/>
          <w:szCs w:val="24"/>
          <w:highlight w:val="none"/>
        </w:rPr>
      </w:pPr>
    </w:p>
    <w:p w14:paraId="023A1E78">
      <w:pPr>
        <w:pStyle w:val="8"/>
        <w:rPr>
          <w:rFonts w:hint="default"/>
          <w:color w:val="auto"/>
          <w:highlight w:val="none"/>
        </w:rPr>
      </w:pPr>
    </w:p>
    <w:p w14:paraId="702A4ADB">
      <w:pPr>
        <w:pStyle w:val="11"/>
        <w:rPr>
          <w:rFonts w:hint="default" w:ascii="Times New Roman" w:hAnsi="Times New Roman" w:eastAsia="宋体" w:cs="Times New Roman"/>
          <w:color w:val="auto"/>
          <w:sz w:val="24"/>
          <w:szCs w:val="24"/>
          <w:highlight w:val="none"/>
        </w:rPr>
      </w:pPr>
    </w:p>
    <w:p w14:paraId="73CF83F9">
      <w:pPr>
        <w:pStyle w:val="11"/>
        <w:rPr>
          <w:rFonts w:hint="default" w:ascii="Times New Roman" w:hAnsi="Times New Roman" w:eastAsia="宋体" w:cs="Times New Roman"/>
          <w:color w:val="auto"/>
          <w:sz w:val="24"/>
          <w:szCs w:val="24"/>
          <w:highlight w:val="none"/>
        </w:rPr>
      </w:pPr>
    </w:p>
    <w:p w14:paraId="7117F441">
      <w:pPr>
        <w:pStyle w:val="6"/>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56" w:name="_Toc21416"/>
      <w:r>
        <w:rPr>
          <w:rFonts w:hint="default" w:ascii="Times New Roman" w:hAnsi="Times New Roman" w:eastAsia="宋体" w:cs="Times New Roman"/>
          <w:color w:val="auto"/>
          <w:sz w:val="24"/>
          <w:szCs w:val="24"/>
          <w:highlight w:val="none"/>
          <w:lang w:val="en-US" w:eastAsia="zh-CN"/>
        </w:rPr>
        <w:t>一、经济部分</w:t>
      </w:r>
      <w:bookmarkEnd w:id="151"/>
      <w:bookmarkEnd w:id="152"/>
      <w:bookmarkEnd w:id="153"/>
      <w:bookmarkEnd w:id="156"/>
    </w:p>
    <w:bookmarkEnd w:id="154"/>
    <w:bookmarkEnd w:id="155"/>
    <w:p w14:paraId="4C7AA7E9">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（一）竞争性磋商报价函</w:t>
      </w:r>
    </w:p>
    <w:p w14:paraId="59589C35">
      <w:pPr>
        <w:pageBreakBefore w:val="0"/>
        <w:wordWrap/>
        <w:topLinePunct w:val="0"/>
        <w:bidi w:val="0"/>
        <w:spacing w:line="560" w:lineRule="exact"/>
        <w:ind w:firstLine="560" w:firstLineChars="200"/>
        <w:jc w:val="center"/>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t>竞争性磋商报价函</w:t>
      </w:r>
    </w:p>
    <w:p w14:paraId="42CA1CE2">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（采购</w:t>
      </w:r>
      <w:r>
        <w:rPr>
          <w:rFonts w:hint="default" w:ascii="Times New Roman" w:hAnsi="Times New Roman" w:eastAsia="宋体" w:cs="Times New Roman"/>
          <w:color w:val="auto"/>
          <w:sz w:val="24"/>
          <w:szCs w:val="24"/>
          <w:highlight w:val="none"/>
          <w:u w:val="single"/>
          <w:lang w:val="en-US" w:eastAsia="zh-CN"/>
        </w:rPr>
        <w:t>人</w:t>
      </w:r>
      <w:r>
        <w:rPr>
          <w:rFonts w:hint="default" w:ascii="Times New Roman" w:hAnsi="Times New Roman" w:eastAsia="宋体" w:cs="Times New Roman"/>
          <w:color w:val="auto"/>
          <w:sz w:val="24"/>
          <w:szCs w:val="24"/>
          <w:highlight w:val="none"/>
          <w:u w:val="single"/>
        </w:rPr>
        <w:t>名称）</w:t>
      </w:r>
      <w:r>
        <w:rPr>
          <w:rFonts w:hint="default" w:ascii="Times New Roman" w:hAnsi="Times New Roman" w:eastAsia="宋体" w:cs="Times New Roman"/>
          <w:color w:val="auto"/>
          <w:sz w:val="24"/>
          <w:szCs w:val="24"/>
          <w:highlight w:val="none"/>
        </w:rPr>
        <w:t>：</w:t>
      </w:r>
    </w:p>
    <w:p w14:paraId="45C1A606">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我方收到____________________________（项目名称）的竞争性磋商文件，经详细研究，决定参加该项目的磋商。</w:t>
      </w:r>
    </w:p>
    <w:p w14:paraId="0D6E0E48">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1、愿意按照竞争性磋商文件中的一切要求，提供本项目的服务，初始报价为人民币大写：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元整；人民币小写：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元。以我公司最后报价为准。</w:t>
      </w:r>
    </w:p>
    <w:p w14:paraId="12ED58C7">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2、我方现提交的响应文件为：响应文件正本</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份，副本</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电子文档</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lang w:val="en-US" w:eastAsia="zh-CN"/>
        </w:rPr>
        <w:t>份</w:t>
      </w:r>
      <w:r>
        <w:rPr>
          <w:rFonts w:hint="default" w:ascii="Times New Roman" w:hAnsi="Times New Roman" w:eastAsia="宋体" w:cs="Times New Roman"/>
          <w:color w:val="auto"/>
          <w:sz w:val="24"/>
          <w:szCs w:val="24"/>
          <w:highlight w:val="none"/>
        </w:rPr>
        <w:t>。</w:t>
      </w:r>
    </w:p>
    <w:p w14:paraId="109DEA49">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3、我方承诺：本次磋商的有效期为提交响应文件截止时间起90天。</w:t>
      </w:r>
    </w:p>
    <w:p w14:paraId="09FC3F8F">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4、我方完全理解和接受贵方竞争性磋商文件的一切规定和要求及评审办法。</w:t>
      </w:r>
    </w:p>
    <w:p w14:paraId="7BE0913B">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5、在整个竞争性磋商过程中，我方若有违规行为，接受按照《中华人民共和国政府采购法》及其实施条例等规定给予惩罚。</w:t>
      </w:r>
    </w:p>
    <w:p w14:paraId="736BEECB">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6、我方若成为成交供应商，将按照最终磋商结果签订合同，并且严格履行合同义务。本承诺函将成为合同不可分割的一部分，与合同具有同等的法律效力。</w:t>
      </w:r>
    </w:p>
    <w:p w14:paraId="57F6AFA1">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8"/>
          <w:highlight w:val="none"/>
        </w:rPr>
        <w:t>我方理解，最低报价不是成交的唯一条件。</w:t>
      </w:r>
    </w:p>
    <w:p w14:paraId="053F08AA">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我方同意按竞争性磋商文件规定，交纳竞争性磋商文件要求的磋商保证金。如果我方成为成交供应商，保证在接到成交通知书后，向采购代理机构和交易中心交纳竞争性磋商文件规定的采购代理服务费和交易服务费。</w:t>
      </w:r>
    </w:p>
    <w:p w14:paraId="287AC104">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p>
    <w:p w14:paraId="6A022BDA">
      <w:pPr>
        <w:pageBreakBefore w:val="0"/>
        <w:tabs>
          <w:tab w:val="left" w:pos="6300"/>
        </w:tabs>
        <w:wordWrap/>
        <w:topLinePunct w:val="0"/>
        <w:bidi w:val="0"/>
        <w:snapToGrid w:val="0"/>
        <w:spacing w:line="560" w:lineRule="exact"/>
        <w:ind w:firstLine="6000" w:firstLineChars="2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供应商（公章）：</w:t>
      </w:r>
    </w:p>
    <w:p w14:paraId="42C94D9E">
      <w:pPr>
        <w:pageBreakBefore w:val="0"/>
        <w:wordWrap/>
        <w:topLinePunct w:val="0"/>
        <w:bidi w:val="0"/>
        <w:snapToGrid w:val="0"/>
        <w:spacing w:line="560" w:lineRule="exact"/>
        <w:ind w:firstLine="6240" w:firstLineChars="26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年   月   日</w:t>
      </w:r>
    </w:p>
    <w:p w14:paraId="79E2DD10">
      <w:pPr>
        <w:pageBreakBefore w:val="0"/>
        <w:wordWrap/>
        <w:topLinePunct w:val="0"/>
        <w:bidi w:val="0"/>
        <w:snapToGrid w:val="0"/>
        <w:spacing w:line="560" w:lineRule="exact"/>
        <w:ind w:firstLine="6240" w:firstLineChars="2600"/>
        <w:textAlignment w:val="auto"/>
        <w:rPr>
          <w:rFonts w:hint="default" w:ascii="Times New Roman" w:hAnsi="Times New Roman" w:eastAsia="宋体" w:cs="Times New Roman"/>
          <w:color w:val="auto"/>
          <w:sz w:val="24"/>
          <w:szCs w:val="24"/>
          <w:highlight w:val="none"/>
        </w:rPr>
        <w:sectPr>
          <w:footerReference r:id="rId6" w:type="default"/>
          <w:pgSz w:w="11907" w:h="16840"/>
          <w:pgMar w:top="1134" w:right="1191" w:bottom="1134" w:left="1304" w:header="851" w:footer="992" w:gutter="0"/>
          <w:pgNumType w:fmt="numberInDash"/>
          <w:cols w:space="720" w:num="1"/>
          <w:docGrid w:linePitch="380" w:charSpace="-5735"/>
        </w:sectPr>
      </w:pPr>
    </w:p>
    <w:p w14:paraId="73FF6946">
      <w:pPr>
        <w:pageBreakBefore w:val="0"/>
        <w:tabs>
          <w:tab w:val="left" w:pos="2895"/>
        </w:tabs>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（二）明细报价表</w:t>
      </w:r>
    </w:p>
    <w:p w14:paraId="1AA21D9B">
      <w:pPr>
        <w:pageBreakBefore w:val="0"/>
        <w:wordWrap/>
        <w:topLinePunct w:val="0"/>
        <w:bidi w:val="0"/>
        <w:spacing w:line="560" w:lineRule="exact"/>
        <w:ind w:firstLine="562" w:firstLineChars="200"/>
        <w:jc w:val="center"/>
        <w:textAlignment w:val="auto"/>
        <w:rPr>
          <w:rFonts w:hint="default" w:ascii="Times New Roman" w:hAnsi="Times New Roman" w:eastAsia="宋体" w:cs="Times New Roman"/>
          <w:b/>
          <w:color w:val="auto"/>
          <w:szCs w:val="28"/>
          <w:highlight w:val="none"/>
        </w:rPr>
      </w:pPr>
      <w:r>
        <w:rPr>
          <w:rFonts w:hint="default" w:ascii="Times New Roman" w:hAnsi="Times New Roman" w:eastAsia="宋体" w:cs="Times New Roman"/>
          <w:b/>
          <w:color w:val="auto"/>
          <w:szCs w:val="28"/>
          <w:highlight w:val="none"/>
        </w:rPr>
        <w:t>明细报价表</w:t>
      </w:r>
    </w:p>
    <w:p w14:paraId="3AB05559">
      <w:pPr>
        <w:pStyle w:val="8"/>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项目名称：</w:t>
      </w:r>
    </w:p>
    <w:tbl>
      <w:tblPr>
        <w:tblStyle w:val="25"/>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70D2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28761BF8">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695" w:type="dxa"/>
            <w:vAlign w:val="center"/>
          </w:tcPr>
          <w:p w14:paraId="5FDAD680">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3404" w:type="dxa"/>
            <w:vAlign w:val="center"/>
          </w:tcPr>
          <w:p w14:paraId="046853C9">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相关信息</w:t>
            </w:r>
          </w:p>
        </w:tc>
        <w:tc>
          <w:tcPr>
            <w:tcW w:w="1344" w:type="dxa"/>
            <w:vAlign w:val="center"/>
          </w:tcPr>
          <w:p w14:paraId="688189A8">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w:t>
            </w:r>
          </w:p>
        </w:tc>
        <w:tc>
          <w:tcPr>
            <w:tcW w:w="1344" w:type="dxa"/>
            <w:vAlign w:val="center"/>
          </w:tcPr>
          <w:p w14:paraId="135B695A">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单价</w:t>
            </w:r>
          </w:p>
        </w:tc>
        <w:tc>
          <w:tcPr>
            <w:tcW w:w="1344" w:type="dxa"/>
            <w:vAlign w:val="center"/>
          </w:tcPr>
          <w:p w14:paraId="04085B8D">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r>
      <w:tr w14:paraId="71DC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9D1398F">
            <w:pPr>
              <w:pStyle w:val="12"/>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695" w:type="dxa"/>
            <w:vAlign w:val="center"/>
          </w:tcPr>
          <w:p w14:paraId="304A63A6">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3404" w:type="dxa"/>
            <w:vAlign w:val="top"/>
          </w:tcPr>
          <w:p w14:paraId="1ACCDE09">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5F2BF923">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lang w:eastAsia="zh-CN"/>
              </w:rPr>
            </w:pPr>
          </w:p>
        </w:tc>
        <w:tc>
          <w:tcPr>
            <w:tcW w:w="1344" w:type="dxa"/>
            <w:vAlign w:val="top"/>
          </w:tcPr>
          <w:p w14:paraId="382D69CA">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645D0145">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51DE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CBD7954">
            <w:pPr>
              <w:pStyle w:val="12"/>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695" w:type="dxa"/>
            <w:vAlign w:val="center"/>
          </w:tcPr>
          <w:p w14:paraId="171E29E5">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3404" w:type="dxa"/>
            <w:vAlign w:val="top"/>
          </w:tcPr>
          <w:p w14:paraId="174ED4D2">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06AC93B9">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7E4203A6">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3436A462">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4C31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1022" w:type="dxa"/>
            <w:vAlign w:val="center"/>
          </w:tcPr>
          <w:p w14:paraId="7063422F">
            <w:pPr>
              <w:pStyle w:val="12"/>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695" w:type="dxa"/>
            <w:vAlign w:val="center"/>
          </w:tcPr>
          <w:p w14:paraId="7EAE37E8">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3404" w:type="dxa"/>
            <w:vAlign w:val="top"/>
          </w:tcPr>
          <w:p w14:paraId="46FAF1C4">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2389285F">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3BF2E2B6">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72B19970">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107D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55B0D3A">
            <w:pPr>
              <w:pStyle w:val="12"/>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695" w:type="dxa"/>
            <w:vAlign w:val="center"/>
          </w:tcPr>
          <w:p w14:paraId="02C9A9D2">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3404" w:type="dxa"/>
            <w:vAlign w:val="top"/>
          </w:tcPr>
          <w:p w14:paraId="345EE99F">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53268ECC">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78C18A8C">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2F189885">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296D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EC02C57">
            <w:pPr>
              <w:pStyle w:val="12"/>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695" w:type="dxa"/>
            <w:vAlign w:val="center"/>
          </w:tcPr>
          <w:p w14:paraId="408FDB79">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3404" w:type="dxa"/>
            <w:vAlign w:val="top"/>
          </w:tcPr>
          <w:p w14:paraId="3615A757">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1AC5D2B1">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0655174C">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6CA9AF56">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000A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F81A5AE">
            <w:pPr>
              <w:pStyle w:val="12"/>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695" w:type="dxa"/>
            <w:vAlign w:val="center"/>
          </w:tcPr>
          <w:p w14:paraId="5D1EF265">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3404" w:type="dxa"/>
            <w:vAlign w:val="top"/>
          </w:tcPr>
          <w:p w14:paraId="19AD16BF">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3919F3C9">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23A2CAC5">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3A6330C4">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0FDE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6DA1244">
            <w:pPr>
              <w:pStyle w:val="12"/>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695" w:type="dxa"/>
            <w:vAlign w:val="center"/>
          </w:tcPr>
          <w:p w14:paraId="2AC38EE0">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3404" w:type="dxa"/>
            <w:vAlign w:val="top"/>
          </w:tcPr>
          <w:p w14:paraId="11B2493F">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15009E6C">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65C44409">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07623F7E">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4345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6602C38">
            <w:pPr>
              <w:pStyle w:val="12"/>
              <w:pageBreakBefore w:val="0"/>
              <w:wordWrap/>
              <w:topLinePunct w:val="0"/>
              <w:bidi w:val="0"/>
              <w:spacing w:line="560" w:lineRule="exact"/>
              <w:ind w:left="3920" w:firstLine="420" w:firstLineChars="200"/>
              <w:jc w:val="center"/>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695" w:type="dxa"/>
            <w:vAlign w:val="top"/>
          </w:tcPr>
          <w:p w14:paraId="7CCD8877">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3404" w:type="dxa"/>
            <w:vAlign w:val="top"/>
          </w:tcPr>
          <w:p w14:paraId="677EB975">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center"/>
          </w:tcPr>
          <w:p w14:paraId="78F3B1F2">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top"/>
          </w:tcPr>
          <w:p w14:paraId="3D220A0E">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top"/>
          </w:tcPr>
          <w:p w14:paraId="41A3987B">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r>
      <w:tr w14:paraId="5CDC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5F31108">
            <w:pPr>
              <w:pStyle w:val="12"/>
              <w:pageBreakBefore w:val="0"/>
              <w:wordWrap/>
              <w:topLinePunct w:val="0"/>
              <w:bidi w:val="0"/>
              <w:spacing w:line="560" w:lineRule="exact"/>
              <w:ind w:left="3920" w:firstLine="420" w:firstLineChars="200"/>
              <w:jc w:val="center"/>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1695" w:type="dxa"/>
            <w:vAlign w:val="top"/>
          </w:tcPr>
          <w:p w14:paraId="588A82A1">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3404" w:type="dxa"/>
            <w:vAlign w:val="top"/>
          </w:tcPr>
          <w:p w14:paraId="6501E785">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center"/>
          </w:tcPr>
          <w:p w14:paraId="0F71B800">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top"/>
          </w:tcPr>
          <w:p w14:paraId="3A9F49D0">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top"/>
          </w:tcPr>
          <w:p w14:paraId="224633F4">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r>
      <w:tr w14:paraId="01DC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7B6108A">
            <w:pPr>
              <w:pStyle w:val="12"/>
              <w:pageBreakBefore w:val="0"/>
              <w:wordWrap/>
              <w:topLinePunct w:val="0"/>
              <w:bidi w:val="0"/>
              <w:spacing w:line="560" w:lineRule="exact"/>
              <w:ind w:left="3920" w:firstLine="420" w:firstLineChars="200"/>
              <w:jc w:val="center"/>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695" w:type="dxa"/>
            <w:vAlign w:val="top"/>
          </w:tcPr>
          <w:p w14:paraId="6D741DFE">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3404" w:type="dxa"/>
            <w:vAlign w:val="top"/>
          </w:tcPr>
          <w:p w14:paraId="7F1C5B0A">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center"/>
          </w:tcPr>
          <w:p w14:paraId="64F9ED42">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lang w:val="en-US"/>
              </w:rPr>
            </w:pPr>
          </w:p>
        </w:tc>
        <w:tc>
          <w:tcPr>
            <w:tcW w:w="1344" w:type="dxa"/>
            <w:vAlign w:val="top"/>
          </w:tcPr>
          <w:p w14:paraId="070EEB3A">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top"/>
          </w:tcPr>
          <w:p w14:paraId="150C2A72">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r>
      <w:tr w14:paraId="1F9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4A3F47C">
            <w:pPr>
              <w:pStyle w:val="12"/>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1695" w:type="dxa"/>
            <w:vAlign w:val="top"/>
          </w:tcPr>
          <w:p w14:paraId="4F7917F9">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3404" w:type="dxa"/>
            <w:vAlign w:val="top"/>
          </w:tcPr>
          <w:p w14:paraId="43EFF32F">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34ABD3D8">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30D1CBE6">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696634CB">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1CA3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022" w:type="dxa"/>
            <w:vAlign w:val="center"/>
          </w:tcPr>
          <w:p w14:paraId="2A075ABC">
            <w:pPr>
              <w:pStyle w:val="12"/>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1695" w:type="dxa"/>
            <w:vAlign w:val="center"/>
          </w:tcPr>
          <w:p w14:paraId="443E5313">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总计</w:t>
            </w:r>
          </w:p>
        </w:tc>
        <w:tc>
          <w:tcPr>
            <w:tcW w:w="7436" w:type="dxa"/>
            <w:gridSpan w:val="4"/>
            <w:vAlign w:val="top"/>
          </w:tcPr>
          <w:p w14:paraId="66E0278D">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bl>
    <w:p w14:paraId="2EB67D68">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8"/>
          <w:highlight w:val="none"/>
        </w:rPr>
      </w:pPr>
    </w:p>
    <w:p w14:paraId="1AA21FCE">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注：1、请供应商完整填写本表。</w:t>
      </w:r>
    </w:p>
    <w:p w14:paraId="687D2557">
      <w:pPr>
        <w:pageBreakBefore w:val="0"/>
        <w:wordWrap/>
        <w:topLinePunct w:val="0"/>
        <w:bidi w:val="0"/>
        <w:snapToGrid w:val="0"/>
        <w:spacing w:line="560" w:lineRule="exact"/>
        <w:ind w:firstLine="960" w:firstLineChars="400"/>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2、该表可扩展</w:t>
      </w:r>
      <w:bookmarkStart w:id="157" w:name="OLE_LINK2"/>
      <w:bookmarkStart w:id="158" w:name="OLE_LINK1"/>
      <w:r>
        <w:rPr>
          <w:rFonts w:hint="default" w:ascii="Times New Roman" w:hAnsi="Times New Roman" w:eastAsia="宋体" w:cs="Times New Roman"/>
          <w:color w:val="auto"/>
          <w:sz w:val="24"/>
          <w:szCs w:val="28"/>
          <w:highlight w:val="none"/>
        </w:rPr>
        <w:t>，并逐页签字或盖章。</w:t>
      </w:r>
      <w:bookmarkEnd w:id="157"/>
      <w:bookmarkEnd w:id="158"/>
    </w:p>
    <w:p w14:paraId="4A19D336">
      <w:pPr>
        <w:pageBreakBefore w:val="0"/>
        <w:wordWrap/>
        <w:topLinePunct w:val="0"/>
        <w:bidi w:val="0"/>
        <w:snapToGrid w:val="0"/>
        <w:spacing w:line="560" w:lineRule="exact"/>
        <w:ind w:firstLine="960" w:firstLineChars="400"/>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3、该表可根据项目实际情况调整。</w:t>
      </w:r>
    </w:p>
    <w:p w14:paraId="641172DF">
      <w:pPr>
        <w:pStyle w:val="18"/>
        <w:pageBreakBefore w:val="0"/>
        <w:wordWrap/>
        <w:topLinePunct w:val="0"/>
        <w:bidi w:val="0"/>
        <w:spacing w:line="560" w:lineRule="exact"/>
        <w:ind w:firstLine="480" w:firstLineChars="200"/>
        <w:jc w:val="both"/>
        <w:textAlignment w:val="auto"/>
        <w:rPr>
          <w:rFonts w:hint="default" w:ascii="Times New Roman" w:hAnsi="Times New Roman" w:eastAsia="宋体" w:cs="Times New Roman"/>
          <w:color w:val="auto"/>
          <w:sz w:val="24"/>
          <w:szCs w:val="24"/>
          <w:highlight w:val="none"/>
        </w:rPr>
      </w:pPr>
    </w:p>
    <w:p w14:paraId="49B48ADD">
      <w:pPr>
        <w:pStyle w:val="18"/>
        <w:pageBreakBefore w:val="0"/>
        <w:wordWrap/>
        <w:topLinePunct w:val="0"/>
        <w:bidi w:val="0"/>
        <w:spacing w:line="560" w:lineRule="exact"/>
        <w:ind w:firstLine="480" w:firstLineChars="200"/>
        <w:jc w:val="both"/>
        <w:textAlignment w:val="auto"/>
        <w:rPr>
          <w:rFonts w:hint="default" w:ascii="Times New Roman" w:hAnsi="Times New Roman" w:eastAsia="宋体" w:cs="Times New Roman"/>
          <w:color w:val="auto"/>
          <w:sz w:val="24"/>
          <w:szCs w:val="24"/>
          <w:highlight w:val="none"/>
        </w:rPr>
      </w:pPr>
    </w:p>
    <w:p w14:paraId="6B5EF9E6">
      <w:pPr>
        <w:pageBreakBefore w:val="0"/>
        <w:wordWrap/>
        <w:topLinePunct w:val="0"/>
        <w:bidi w:val="0"/>
        <w:spacing w:line="560" w:lineRule="exact"/>
        <w:ind w:firstLine="560" w:firstLineChars="200"/>
        <w:textAlignment w:val="auto"/>
        <w:rPr>
          <w:rFonts w:hint="default" w:ascii="Times New Roman" w:hAnsi="Times New Roman" w:eastAsia="宋体" w:cs="Times New Roman"/>
          <w:color w:val="auto"/>
          <w:highlight w:val="none"/>
        </w:rPr>
      </w:pPr>
    </w:p>
    <w:p w14:paraId="632FF16F">
      <w:pPr>
        <w:pageBreakBefore w:val="0"/>
        <w:wordWrap/>
        <w:topLinePunct w:val="0"/>
        <w:bidi w:val="0"/>
        <w:spacing w:line="560" w:lineRule="exact"/>
        <w:ind w:firstLine="5520" w:firstLineChars="23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供应商名称（公章）：</w:t>
      </w:r>
    </w:p>
    <w:p w14:paraId="268BBDF5">
      <w:pPr>
        <w:pageBreakBefore w:val="0"/>
        <w:wordWrap/>
        <w:topLinePunct w:val="0"/>
        <w:bidi w:val="0"/>
        <w:spacing w:line="560" w:lineRule="exact"/>
        <w:ind w:right="480" w:firstLine="5760" w:firstLineChars="24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年     月    日</w:t>
      </w:r>
    </w:p>
    <w:p w14:paraId="4EDE1894">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bdr w:val="single" w:color="auto" w:sz="4" w:space="0"/>
        </w:rPr>
        <w:sectPr>
          <w:headerReference r:id="rId7" w:type="default"/>
          <w:pgSz w:w="11907" w:h="16840"/>
          <w:pgMar w:top="1134" w:right="1191" w:bottom="1134" w:left="1304" w:header="851" w:footer="992" w:gutter="0"/>
          <w:pgNumType w:fmt="numberInDash"/>
          <w:cols w:space="720" w:num="1"/>
          <w:docGrid w:linePitch="380" w:charSpace="-5735"/>
        </w:sectPr>
      </w:pPr>
    </w:p>
    <w:p w14:paraId="4893FBB4">
      <w:pPr>
        <w:pStyle w:val="6"/>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59" w:name="_Toc21007"/>
      <w:bookmarkStart w:id="160" w:name="_Toc7611"/>
      <w:bookmarkStart w:id="161" w:name="_Toc342913420"/>
      <w:bookmarkStart w:id="162" w:name="_Toc313008357"/>
      <w:bookmarkStart w:id="163" w:name="_Toc313008359"/>
      <w:bookmarkStart w:id="164" w:name="_Toc313888361"/>
      <w:bookmarkStart w:id="165" w:name="_Toc342913422"/>
      <w:bookmarkStart w:id="166" w:name="_Toc25693"/>
      <w:bookmarkStart w:id="167" w:name="_Toc313888363"/>
      <w:r>
        <w:rPr>
          <w:rFonts w:hint="default" w:ascii="Times New Roman" w:hAnsi="Times New Roman" w:eastAsia="宋体" w:cs="Times New Roman"/>
          <w:color w:val="auto"/>
          <w:sz w:val="24"/>
          <w:szCs w:val="24"/>
          <w:highlight w:val="none"/>
          <w:lang w:val="en-US" w:eastAsia="zh-CN"/>
        </w:rPr>
        <w:t>二、服务部分</w:t>
      </w:r>
      <w:bookmarkEnd w:id="159"/>
      <w:bookmarkEnd w:id="160"/>
    </w:p>
    <w:p w14:paraId="1B77F1C2">
      <w:pPr>
        <w:pageBreakBefore w:val="0"/>
        <w:wordWrap/>
        <w:topLinePunct w:val="0"/>
        <w:bidi w:val="0"/>
        <w:snapToGrid w:val="0"/>
        <w:spacing w:line="5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方案（格式自定）</w:t>
      </w:r>
    </w:p>
    <w:p w14:paraId="2213BA68">
      <w:pPr>
        <w:spacing w:line="400" w:lineRule="exact"/>
        <w:ind w:firstLine="56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br w:type="page"/>
      </w:r>
      <w:r>
        <w:rPr>
          <w:rFonts w:hint="default" w:ascii="Times New Roman" w:hAnsi="Times New Roman" w:eastAsia="宋体" w:cs="Times New Roman"/>
          <w:color w:val="auto"/>
          <w:sz w:val="24"/>
          <w:szCs w:val="24"/>
          <w:highlight w:val="none"/>
        </w:rPr>
        <w:t>（二）</w:t>
      </w:r>
      <w:r>
        <w:rPr>
          <w:rFonts w:hint="default" w:ascii="Times New Roman" w:hAnsi="Times New Roman" w:eastAsia="宋体" w:cs="Times New Roman"/>
          <w:color w:val="auto"/>
          <w:sz w:val="24"/>
          <w:szCs w:val="24"/>
          <w:highlight w:val="none"/>
          <w:lang w:val="en-US" w:eastAsia="zh-CN"/>
        </w:rPr>
        <w:t>服务</w:t>
      </w:r>
      <w:r>
        <w:rPr>
          <w:rFonts w:hint="default" w:ascii="Times New Roman" w:hAnsi="Times New Roman" w:eastAsia="宋体" w:cs="Times New Roman"/>
          <w:color w:val="auto"/>
          <w:sz w:val="24"/>
          <w:szCs w:val="24"/>
          <w:highlight w:val="none"/>
        </w:rPr>
        <w:t>响应偏离表</w:t>
      </w:r>
    </w:p>
    <w:p w14:paraId="4189B188">
      <w:pPr>
        <w:pStyle w:val="8"/>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项目名称：</w:t>
      </w:r>
    </w:p>
    <w:tbl>
      <w:tblPr>
        <w:tblStyle w:val="25"/>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CB6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1AD7B95">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2658" w:type="dxa"/>
            <w:vAlign w:val="center"/>
          </w:tcPr>
          <w:p w14:paraId="5DD2CE2C">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采购需求</w:t>
            </w:r>
          </w:p>
        </w:tc>
        <w:tc>
          <w:tcPr>
            <w:tcW w:w="2759" w:type="dxa"/>
            <w:vAlign w:val="center"/>
          </w:tcPr>
          <w:p w14:paraId="26CA284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响应情况</w:t>
            </w:r>
          </w:p>
        </w:tc>
        <w:tc>
          <w:tcPr>
            <w:tcW w:w="2067" w:type="dxa"/>
            <w:vAlign w:val="center"/>
          </w:tcPr>
          <w:p w14:paraId="639F88B1">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差异说明</w:t>
            </w:r>
          </w:p>
        </w:tc>
      </w:tr>
      <w:tr w14:paraId="777B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1BCC77">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76D8037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13386AB3">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56E3B5EF">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2CCB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26FB5D3">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3D60536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3B2F8F04">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3B7CFA5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587B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0E07CD2">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1E07C242">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06E633D3">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2FF30A2D">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1725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6F32A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4C00CEF5">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61B9A415">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193FD237">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5064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61BC79">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381C10F3">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314A5628">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0BEDC11B">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05CE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B2CBDDB">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2724AF5C">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1D57880E">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5FD713EB">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5382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A4E7E9F">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322072A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7E4FA014">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5112D715">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4FF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887F97">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73A02C89">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4CEEE99C">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1849DCED">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24F8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402C8EE">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2D334A23">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792F7A57">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0ED4EE9C">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bl>
    <w:p w14:paraId="0CEBC6B1">
      <w:pPr>
        <w:pageBreakBefore w:val="0"/>
        <w:wordWrap/>
        <w:topLinePunct w:val="0"/>
        <w:bidi w:val="0"/>
        <w:spacing w:line="560" w:lineRule="exact"/>
        <w:ind w:firstLine="600" w:firstLineChars="250"/>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供应商：                                      法人授权代表：</w:t>
      </w:r>
    </w:p>
    <w:p w14:paraId="2ED46351">
      <w:pPr>
        <w:pageBreakBefore w:val="0"/>
        <w:wordWrap/>
        <w:topLinePunct w:val="0"/>
        <w:bidi w:val="0"/>
        <w:spacing w:line="560" w:lineRule="exact"/>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 xml:space="preserve">    （供应商公章）                               （签字或盖章）</w:t>
      </w:r>
    </w:p>
    <w:p w14:paraId="52840180">
      <w:pPr>
        <w:pageBreakBefore w:val="0"/>
        <w:tabs>
          <w:tab w:val="left" w:pos="6300"/>
        </w:tabs>
        <w:wordWrap/>
        <w:topLinePunct w:val="0"/>
        <w:bidi w:val="0"/>
        <w:snapToGrid w:val="0"/>
        <w:spacing w:line="5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8"/>
          <w:highlight w:val="none"/>
        </w:rPr>
        <w:t xml:space="preserve">                                              年     月     日</w:t>
      </w:r>
    </w:p>
    <w:p w14:paraId="7925871F">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注：</w:t>
      </w:r>
    </w:p>
    <w:p w14:paraId="665FFF5E">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highlight w:val="none"/>
        </w:rPr>
        <w:t xml:space="preserve">、本表即为对本项目“第二篇  </w:t>
      </w:r>
      <w:r>
        <w:rPr>
          <w:rFonts w:hint="default" w:ascii="Times New Roman" w:hAnsi="Times New Roman" w:eastAsia="宋体" w:cs="Times New Roman"/>
          <w:color w:val="auto"/>
          <w:sz w:val="24"/>
          <w:highlight w:val="none"/>
          <w:lang w:val="en-US" w:eastAsia="zh-CN"/>
        </w:rPr>
        <w:t>项目服务要求</w:t>
      </w:r>
      <w:r>
        <w:rPr>
          <w:rFonts w:hint="default" w:ascii="Times New Roman" w:hAnsi="Times New Roman" w:eastAsia="宋体" w:cs="Times New Roman"/>
          <w:color w:val="auto"/>
          <w:sz w:val="24"/>
          <w:highlight w:val="none"/>
        </w:rPr>
        <w:t>”中所列</w:t>
      </w:r>
      <w:r>
        <w:rPr>
          <w:rFonts w:hint="eastAsia" w:ascii="Times New Roman" w:hAnsi="Times New Roman" w:eastAsia="宋体" w:cs="Times New Roman"/>
          <w:color w:val="auto"/>
          <w:sz w:val="24"/>
          <w:highlight w:val="none"/>
          <w:lang w:val="en-US" w:eastAsia="zh-CN"/>
        </w:rPr>
        <w:t>条款</w:t>
      </w:r>
      <w:r>
        <w:rPr>
          <w:rFonts w:hint="default" w:ascii="Times New Roman" w:hAnsi="Times New Roman" w:eastAsia="宋体" w:cs="Times New Roman"/>
          <w:color w:val="auto"/>
          <w:sz w:val="24"/>
          <w:highlight w:val="none"/>
        </w:rPr>
        <w:t>进行比较和响应；</w:t>
      </w:r>
    </w:p>
    <w:p w14:paraId="70B789BF">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2、该表必须按照竞争性磋商要求逐条如实填写，根据响应情况在“差异说明”项填写正偏离或负偏离及原因，完全符合的填写“无差异”；</w:t>
      </w:r>
    </w:p>
    <w:p w14:paraId="7BCFCF54">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3、该表可扩展</w:t>
      </w:r>
      <w:r>
        <w:rPr>
          <w:rFonts w:hint="default" w:ascii="Times New Roman" w:hAnsi="Times New Roman" w:eastAsia="宋体" w:cs="Times New Roman"/>
          <w:color w:val="auto"/>
          <w:sz w:val="24"/>
          <w:szCs w:val="28"/>
          <w:highlight w:val="none"/>
        </w:rPr>
        <w:t>，并逐页签字或盖章</w:t>
      </w:r>
      <w:r>
        <w:rPr>
          <w:rFonts w:hint="default" w:ascii="Times New Roman" w:hAnsi="Times New Roman" w:eastAsia="宋体" w:cs="Times New Roman"/>
          <w:color w:val="auto"/>
          <w:sz w:val="24"/>
          <w:highlight w:val="none"/>
        </w:rPr>
        <w:t>；</w:t>
      </w:r>
    </w:p>
    <w:p w14:paraId="59ED9CCA">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4、可附相关技术支撑材料。（格式自定）</w:t>
      </w:r>
    </w:p>
    <w:p w14:paraId="475A0ECD">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5、若“响应情况”栏中仅填写“无偏离”或“有偏离”等内容而未作实质性参数描述，该供应商将</w:t>
      </w:r>
      <w:r>
        <w:rPr>
          <w:rFonts w:hint="default" w:ascii="Times New Roman" w:hAnsi="Times New Roman" w:eastAsia="宋体" w:cs="Times New Roman"/>
          <w:color w:val="auto"/>
          <w:sz w:val="24"/>
          <w:szCs w:val="24"/>
          <w:highlight w:val="none"/>
        </w:rPr>
        <w:t>失去成为成交供应商的资格，仅保留其合格供应商的身份。</w:t>
      </w:r>
    </w:p>
    <w:p w14:paraId="7FD6277A">
      <w:pPr>
        <w:pStyle w:val="11"/>
        <w:rPr>
          <w:rFonts w:hint="default" w:ascii="Times New Roman" w:hAnsi="Times New Roman" w:eastAsia="宋体" w:cs="Times New Roman"/>
          <w:color w:val="auto"/>
          <w:sz w:val="24"/>
          <w:szCs w:val="24"/>
          <w:highlight w:val="none"/>
        </w:rPr>
      </w:pPr>
    </w:p>
    <w:p w14:paraId="79EA37C0">
      <w:pPr>
        <w:pStyle w:val="6"/>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68" w:name="_Toc19256"/>
      <w:bookmarkStart w:id="169" w:name="_Toc16885"/>
      <w:r>
        <w:rPr>
          <w:rFonts w:hint="default" w:ascii="Times New Roman" w:hAnsi="Times New Roman" w:eastAsia="宋体" w:cs="Times New Roman"/>
          <w:color w:val="auto"/>
          <w:sz w:val="24"/>
          <w:szCs w:val="24"/>
          <w:highlight w:val="none"/>
          <w:lang w:val="en-US" w:eastAsia="zh-CN"/>
        </w:rPr>
        <w:t>三、商务部分</w:t>
      </w:r>
      <w:bookmarkEnd w:id="168"/>
      <w:bookmarkEnd w:id="169"/>
    </w:p>
    <w:p w14:paraId="5B8B80E5">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（一）商务响应偏离表</w:t>
      </w:r>
    </w:p>
    <w:p w14:paraId="08CE98AC">
      <w:pPr>
        <w:pageBreakBefore w:val="0"/>
        <w:wordWrap/>
        <w:topLinePunct w:val="0"/>
        <w:bidi w:val="0"/>
        <w:snapToGrid w:val="0"/>
        <w:spacing w:line="560" w:lineRule="exact"/>
        <w:jc w:val="center"/>
        <w:textAlignment w:val="auto"/>
        <w:rPr>
          <w:rFonts w:hint="default" w:ascii="Times New Roman" w:hAnsi="Times New Roman" w:eastAsia="宋体" w:cs="Times New Roman"/>
          <w:b/>
          <w:color w:val="auto"/>
          <w:szCs w:val="28"/>
          <w:highlight w:val="none"/>
        </w:rPr>
      </w:pPr>
      <w:r>
        <w:rPr>
          <w:rFonts w:hint="default" w:ascii="Times New Roman" w:hAnsi="Times New Roman" w:eastAsia="宋体" w:cs="Times New Roman"/>
          <w:b/>
          <w:color w:val="auto"/>
          <w:szCs w:val="28"/>
          <w:highlight w:val="none"/>
        </w:rPr>
        <w:t>商务响应偏离表（本表可自行设计格式）</w:t>
      </w:r>
    </w:p>
    <w:p w14:paraId="220C5675">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对于竞争性磋商文件的商务要求，如有任何偏离请如实填写下表：</w:t>
      </w:r>
    </w:p>
    <w:p w14:paraId="7416CA92">
      <w:pPr>
        <w:pStyle w:val="8"/>
        <w:rPr>
          <w:rFonts w:hint="default" w:ascii="Times New Roman" w:hAnsi="Times New Roman" w:cs="Times New Roman"/>
          <w:color w:val="auto"/>
          <w:highlight w:val="none"/>
        </w:rPr>
      </w:pPr>
      <w:r>
        <w:rPr>
          <w:rFonts w:hint="default" w:ascii="Times New Roman" w:hAnsi="Times New Roman" w:eastAsia="宋体" w:cs="Times New Roman"/>
          <w:color w:val="auto"/>
          <w:kern w:val="2"/>
          <w:sz w:val="24"/>
          <w:szCs w:val="24"/>
          <w:highlight w:val="none"/>
          <w:lang w:val="en-US" w:eastAsia="zh-CN" w:bidi="ar-SA"/>
        </w:rPr>
        <w:t>项目名称：</w:t>
      </w:r>
    </w:p>
    <w:tbl>
      <w:tblPr>
        <w:tblStyle w:val="2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EE1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6353D2F">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序号</w:t>
            </w:r>
          </w:p>
        </w:tc>
        <w:tc>
          <w:tcPr>
            <w:tcW w:w="3179" w:type="dxa"/>
            <w:vAlign w:val="center"/>
          </w:tcPr>
          <w:p w14:paraId="0B4238DB">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磋商项目需求</w:t>
            </w:r>
          </w:p>
        </w:tc>
        <w:tc>
          <w:tcPr>
            <w:tcW w:w="2434" w:type="dxa"/>
            <w:vAlign w:val="center"/>
          </w:tcPr>
          <w:p w14:paraId="541BBDA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响应情况</w:t>
            </w:r>
          </w:p>
        </w:tc>
        <w:tc>
          <w:tcPr>
            <w:tcW w:w="2355" w:type="dxa"/>
            <w:vAlign w:val="center"/>
          </w:tcPr>
          <w:p w14:paraId="219BDD2D">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偏离说明</w:t>
            </w:r>
          </w:p>
        </w:tc>
      </w:tr>
      <w:tr w14:paraId="1DE4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C29464">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3179" w:type="dxa"/>
            <w:vAlign w:val="center"/>
          </w:tcPr>
          <w:p w14:paraId="19D54E75">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434" w:type="dxa"/>
            <w:vAlign w:val="center"/>
          </w:tcPr>
          <w:p w14:paraId="2882824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355" w:type="dxa"/>
            <w:vAlign w:val="center"/>
          </w:tcPr>
          <w:p w14:paraId="34C87803">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r>
      <w:tr w14:paraId="0FB0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7419BB">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3179" w:type="dxa"/>
            <w:vAlign w:val="center"/>
          </w:tcPr>
          <w:p w14:paraId="7ADCCE57">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434" w:type="dxa"/>
            <w:vAlign w:val="center"/>
          </w:tcPr>
          <w:p w14:paraId="3E5B3B74">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355" w:type="dxa"/>
            <w:vAlign w:val="center"/>
          </w:tcPr>
          <w:p w14:paraId="3C9B0BD4">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r>
      <w:tr w14:paraId="549C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BC38AF">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3179" w:type="dxa"/>
            <w:vAlign w:val="center"/>
          </w:tcPr>
          <w:p w14:paraId="3B6E2FC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434" w:type="dxa"/>
            <w:vAlign w:val="center"/>
          </w:tcPr>
          <w:p w14:paraId="31EA18CF">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355" w:type="dxa"/>
            <w:vAlign w:val="center"/>
          </w:tcPr>
          <w:p w14:paraId="09E39A30">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r>
      <w:tr w14:paraId="26D9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346BE98">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3179" w:type="dxa"/>
            <w:vAlign w:val="center"/>
          </w:tcPr>
          <w:p w14:paraId="56CF49F4">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434" w:type="dxa"/>
            <w:vAlign w:val="center"/>
          </w:tcPr>
          <w:p w14:paraId="40A2186C">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355" w:type="dxa"/>
            <w:vAlign w:val="center"/>
          </w:tcPr>
          <w:p w14:paraId="3DF7F030">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r>
      <w:tr w14:paraId="5B98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D39E51">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3179" w:type="dxa"/>
            <w:vAlign w:val="center"/>
          </w:tcPr>
          <w:p w14:paraId="501BAB54">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434" w:type="dxa"/>
            <w:vAlign w:val="center"/>
          </w:tcPr>
          <w:p w14:paraId="29DB3899">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355" w:type="dxa"/>
            <w:vAlign w:val="center"/>
          </w:tcPr>
          <w:p w14:paraId="1103A74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r>
      <w:tr w14:paraId="51D8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3DAB0E">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3179" w:type="dxa"/>
            <w:vAlign w:val="center"/>
          </w:tcPr>
          <w:p w14:paraId="23B78068">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434" w:type="dxa"/>
            <w:vAlign w:val="center"/>
          </w:tcPr>
          <w:p w14:paraId="453BA2D7">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355" w:type="dxa"/>
            <w:vAlign w:val="center"/>
          </w:tcPr>
          <w:p w14:paraId="180EA7C2">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r>
    </w:tbl>
    <w:p w14:paraId="4118F43B">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p>
    <w:p w14:paraId="33D6D3E9">
      <w:pPr>
        <w:pageBreakBefore w:val="0"/>
        <w:wordWrap/>
        <w:topLinePunct w:val="0"/>
        <w:bidi w:val="0"/>
        <w:spacing w:line="560" w:lineRule="exact"/>
        <w:ind w:firstLine="600" w:firstLineChars="250"/>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供应商：                                      法人授权代表：</w:t>
      </w:r>
    </w:p>
    <w:p w14:paraId="31B1C434">
      <w:pPr>
        <w:pageBreakBefore w:val="0"/>
        <w:wordWrap/>
        <w:topLinePunct w:val="0"/>
        <w:bidi w:val="0"/>
        <w:spacing w:line="560" w:lineRule="exact"/>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 xml:space="preserve">    </w:t>
      </w:r>
    </w:p>
    <w:p w14:paraId="2412377C">
      <w:pPr>
        <w:pageBreakBefore w:val="0"/>
        <w:wordWrap/>
        <w:topLinePunct w:val="0"/>
        <w:bidi w:val="0"/>
        <w:spacing w:line="560" w:lineRule="exact"/>
        <w:ind w:firstLine="360" w:firstLineChars="150"/>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（供应商公章）                                 （签字或盖章）</w:t>
      </w:r>
    </w:p>
    <w:p w14:paraId="2070D5D1">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8"/>
          <w:highlight w:val="none"/>
        </w:rPr>
        <w:t xml:space="preserve">                                            年     月     日</w:t>
      </w:r>
    </w:p>
    <w:p w14:paraId="0566BA33">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注：</w:t>
      </w:r>
    </w:p>
    <w:p w14:paraId="444F70E2">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highlight w:val="none"/>
        </w:rPr>
        <w:t>、本表即为对本项目“第三篇 采购商务需求”中所列</w:t>
      </w:r>
      <w:r>
        <w:rPr>
          <w:rFonts w:hint="eastAsia" w:ascii="Times New Roman" w:hAnsi="Times New Roman" w:eastAsia="宋体" w:cs="Times New Roman"/>
          <w:color w:val="auto"/>
          <w:sz w:val="24"/>
          <w:highlight w:val="none"/>
          <w:lang w:val="en-US" w:eastAsia="zh-CN"/>
        </w:rPr>
        <w:t>条款</w:t>
      </w:r>
      <w:r>
        <w:rPr>
          <w:rFonts w:hint="default" w:ascii="Times New Roman" w:hAnsi="Times New Roman" w:eastAsia="宋体" w:cs="Times New Roman"/>
          <w:color w:val="auto"/>
          <w:sz w:val="24"/>
          <w:highlight w:val="none"/>
        </w:rPr>
        <w:t>进行比较和响应；</w:t>
      </w:r>
    </w:p>
    <w:p w14:paraId="5C9450CC">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2、该表必须按照竞争性磋商要求逐条如实填写，根据响应情况在“差异说明”项填写正偏离或负偏离及原因，完全符合的填写“无差异”；</w:t>
      </w:r>
    </w:p>
    <w:p w14:paraId="3BC95B0D">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3、该表可扩展</w:t>
      </w:r>
      <w:r>
        <w:rPr>
          <w:rFonts w:hint="default" w:ascii="Times New Roman" w:hAnsi="Times New Roman" w:eastAsia="宋体" w:cs="Times New Roman"/>
          <w:color w:val="auto"/>
          <w:sz w:val="24"/>
          <w:szCs w:val="28"/>
          <w:highlight w:val="none"/>
        </w:rPr>
        <w:t>，并逐页签字或盖章</w:t>
      </w:r>
      <w:r>
        <w:rPr>
          <w:rFonts w:hint="default" w:ascii="Times New Roman" w:hAnsi="Times New Roman" w:eastAsia="宋体" w:cs="Times New Roman"/>
          <w:color w:val="auto"/>
          <w:sz w:val="24"/>
          <w:highlight w:val="none"/>
        </w:rPr>
        <w:t>；</w:t>
      </w:r>
    </w:p>
    <w:p w14:paraId="2A631977">
      <w:pPr>
        <w:pageBreakBefore w:val="0"/>
        <w:wordWrap/>
        <w:topLinePunct w:val="0"/>
        <w:bidi w:val="0"/>
        <w:spacing w:line="560" w:lineRule="exact"/>
        <w:ind w:firstLine="56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highlight w:val="none"/>
        </w:rPr>
        <w:br w:type="page"/>
      </w:r>
      <w:r>
        <w:rPr>
          <w:rFonts w:hint="default" w:ascii="Times New Roman" w:hAnsi="Times New Roman" w:eastAsia="宋体" w:cs="Times New Roman"/>
          <w:color w:val="auto"/>
          <w:sz w:val="24"/>
          <w:szCs w:val="24"/>
          <w:highlight w:val="none"/>
        </w:rPr>
        <w:t>（二）其它优惠承诺（格式自定）</w:t>
      </w:r>
    </w:p>
    <w:p w14:paraId="6FE55790">
      <w:pPr>
        <w:pStyle w:val="6"/>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br w:type="page"/>
      </w:r>
      <w:bookmarkStart w:id="170" w:name="_Toc11253"/>
      <w:bookmarkStart w:id="171" w:name="_Toc23138"/>
      <w:r>
        <w:rPr>
          <w:rFonts w:hint="default" w:ascii="Times New Roman" w:hAnsi="Times New Roman" w:eastAsia="宋体" w:cs="Times New Roman"/>
          <w:color w:val="auto"/>
          <w:sz w:val="24"/>
          <w:szCs w:val="24"/>
          <w:highlight w:val="none"/>
          <w:lang w:val="en-US" w:eastAsia="zh-CN"/>
        </w:rPr>
        <w:t>四、资格条件及其他</w:t>
      </w:r>
      <w:bookmarkEnd w:id="170"/>
      <w:bookmarkEnd w:id="171"/>
    </w:p>
    <w:p w14:paraId="7703C7CA">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（一）法人营业执照（副本）或事业单位法人证书（副本）或个体工商户营业执照或有效的自然人身份证明或社会团体法人登记证书复印件</w:t>
      </w:r>
    </w:p>
    <w:p w14:paraId="3B3C680C">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p>
    <w:p w14:paraId="1C6AFBC7">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highlight w:val="none"/>
        </w:rPr>
      </w:pPr>
    </w:p>
    <w:p w14:paraId="0B2CC3EB">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highlight w:val="none"/>
        </w:rPr>
      </w:pPr>
    </w:p>
    <w:p w14:paraId="1C123760">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highlight w:val="none"/>
        </w:rPr>
      </w:pPr>
    </w:p>
    <w:p w14:paraId="4FD97CAA">
      <w:pPr>
        <w:pageBreakBefore w:val="0"/>
        <w:widowControl/>
        <w:wordWrap/>
        <w:topLinePunct w:val="0"/>
        <w:bidi w:val="0"/>
        <w:spacing w:line="560" w:lineRule="exact"/>
        <w:ind w:firstLine="560" w:firstLineChars="200"/>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二</w:t>
      </w:r>
      <w:r>
        <w:rPr>
          <w:rFonts w:hint="default" w:ascii="Times New Roman" w:hAnsi="Times New Roman" w:eastAsia="宋体" w:cs="Times New Roman"/>
          <w:color w:val="auto"/>
          <w:highlight w:val="none"/>
        </w:rPr>
        <w:t>）法定代表人身份证明书（格式）</w:t>
      </w:r>
    </w:p>
    <w:p w14:paraId="2DF177C3">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041F8978">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u w:val="single"/>
        </w:rPr>
        <w:t xml:space="preserve">                                              </w:t>
      </w:r>
    </w:p>
    <w:p w14:paraId="3CC9B095">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229D0603">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（采购</w:t>
      </w:r>
      <w:r>
        <w:rPr>
          <w:rFonts w:hint="default"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名称）：</w:t>
      </w:r>
    </w:p>
    <w:p w14:paraId="0AD3AA08">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（法定代表人姓名）在</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（供应商名称）任</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（职务名称）职务，是（供应商名称）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的法定代表人。</w:t>
      </w:r>
    </w:p>
    <w:p w14:paraId="12CD6E47">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737BA9B5">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特此证明。</w:t>
      </w:r>
    </w:p>
    <w:p w14:paraId="3F88F3B4">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75878D39">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678AB95D">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505ACD71">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（供应商公章）</w:t>
      </w:r>
    </w:p>
    <w:p w14:paraId="7340A5A5">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7133E4D0">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年   月   日</w:t>
      </w:r>
    </w:p>
    <w:p w14:paraId="2A00E170">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法定代表人电话：XXXXXXX      电子邮箱：XXXXXX@XXXXX（若授权他人办理并签署响应文件的可不填写）</w:t>
      </w:r>
    </w:p>
    <w:p w14:paraId="44142DAB">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（附：法定代表人身份证正反面复印件）</w:t>
      </w:r>
    </w:p>
    <w:p w14:paraId="3B6EC7F1">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25583BCA">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758C1EB8">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418AC61B">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36D39200">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48655D76">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799D1843">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column"/>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三</w:t>
      </w:r>
      <w:r>
        <w:rPr>
          <w:rFonts w:hint="default" w:ascii="Times New Roman" w:hAnsi="Times New Roman" w:eastAsia="宋体" w:cs="Times New Roman"/>
          <w:color w:val="auto"/>
          <w:highlight w:val="none"/>
        </w:rPr>
        <w:t>）法定代表人授权委托书（格式）</w:t>
      </w:r>
    </w:p>
    <w:p w14:paraId="5F6B9263">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p w14:paraId="41680509">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8"/>
          <w:highlight w:val="none"/>
        </w:rPr>
        <w:t>项目名称</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p>
    <w:p w14:paraId="16137CD1">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478E640F">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（采购</w:t>
      </w:r>
      <w:r>
        <w:rPr>
          <w:rFonts w:hint="default"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名称）：</w:t>
      </w:r>
    </w:p>
    <w:p w14:paraId="15B11C56">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（供应商法定代表人名称）是</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（供应商名称）的法定代表人，特授权</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（被授权人姓名及身份证代码）代表我单位全权办理上述项目的磋商、签约等具体工作，并签署全部有关文件、协议及合同。</w:t>
      </w:r>
    </w:p>
    <w:p w14:paraId="5968F1D3">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我单位对被授权人的签字负全部责任。</w:t>
      </w:r>
    </w:p>
    <w:p w14:paraId="149E07B0">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在撤消授权的书面通知以前，本授权书一直有效。被授权人在授权书有效期内签署的所有文件不因授权的撤消而失效。</w:t>
      </w:r>
    </w:p>
    <w:p w14:paraId="049CA2E6">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1286A690">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26F7019B">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被授权人：                                 供应商法定代表人：</w:t>
      </w:r>
    </w:p>
    <w:p w14:paraId="230A19FC">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（签字或盖章）                                （签字或盖章）</w:t>
      </w:r>
    </w:p>
    <w:p w14:paraId="76DC7678">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szCs w:val="28"/>
          <w:highlight w:val="none"/>
        </w:rPr>
      </w:pPr>
    </w:p>
    <w:p w14:paraId="0EC231EE">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被授权人电话：XXXXXXX     电子邮箱：XXXXXX@XXXXX（若法定代表人办理并签署响应文件的可不填写）</w:t>
      </w:r>
    </w:p>
    <w:p w14:paraId="2C97BDC0">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（附：被授权人身份证正反面复印件）</w:t>
      </w:r>
    </w:p>
    <w:p w14:paraId="301DE549">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p w14:paraId="688E013A">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692C4D42">
      <w:pPr>
        <w:pageBreakBefore w:val="0"/>
        <w:tabs>
          <w:tab w:val="left" w:pos="6300"/>
        </w:tabs>
        <w:wordWrap/>
        <w:topLinePunct w:val="0"/>
        <w:bidi w:val="0"/>
        <w:snapToGrid w:val="0"/>
        <w:spacing w:line="560" w:lineRule="exact"/>
        <w:ind w:right="480" w:firstLine="570"/>
        <w:jc w:val="righ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（供应商公章）</w:t>
      </w:r>
    </w:p>
    <w:p w14:paraId="6B8B3DC3">
      <w:pPr>
        <w:pageBreakBefore w:val="0"/>
        <w:tabs>
          <w:tab w:val="left" w:pos="6300"/>
        </w:tabs>
        <w:wordWrap/>
        <w:topLinePunct w:val="0"/>
        <w:bidi w:val="0"/>
        <w:snapToGrid w:val="0"/>
        <w:spacing w:line="560" w:lineRule="exact"/>
        <w:ind w:right="480" w:firstLine="570"/>
        <w:jc w:val="righ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年   月   日</w:t>
      </w:r>
    </w:p>
    <w:p w14:paraId="5EC77E96">
      <w:pPr>
        <w:pageBreakBefore w:val="0"/>
        <w:tabs>
          <w:tab w:val="left" w:pos="6300"/>
        </w:tabs>
        <w:wordWrap/>
        <w:topLinePunct w:val="0"/>
        <w:bidi w:val="0"/>
        <w:snapToGrid w:val="0"/>
        <w:spacing w:line="560" w:lineRule="exact"/>
        <w:ind w:right="480" w:firstLine="570"/>
        <w:jc w:val="right"/>
        <w:textAlignment w:val="auto"/>
        <w:rPr>
          <w:rFonts w:hint="default" w:ascii="Times New Roman" w:hAnsi="Times New Roman" w:eastAsia="宋体" w:cs="Times New Roman"/>
          <w:color w:val="auto"/>
          <w:sz w:val="24"/>
          <w:highlight w:val="none"/>
        </w:rPr>
      </w:pPr>
    </w:p>
    <w:p w14:paraId="6C8282AE">
      <w:pPr>
        <w:pageBreakBefore w:val="0"/>
        <w:tabs>
          <w:tab w:val="left" w:pos="6300"/>
        </w:tabs>
        <w:wordWrap/>
        <w:topLinePunct w:val="0"/>
        <w:bidi w:val="0"/>
        <w:snapToGrid w:val="0"/>
        <w:spacing w:line="560" w:lineRule="exact"/>
        <w:ind w:right="480" w:firstLine="570"/>
        <w:jc w:val="right"/>
        <w:textAlignment w:val="auto"/>
        <w:rPr>
          <w:rFonts w:hint="default" w:ascii="Times New Roman" w:hAnsi="Times New Roman" w:eastAsia="宋体" w:cs="Times New Roman"/>
          <w:color w:val="auto"/>
          <w:sz w:val="24"/>
          <w:highlight w:val="none"/>
        </w:rPr>
      </w:pPr>
    </w:p>
    <w:p w14:paraId="444AFE7E">
      <w:pPr>
        <w:bidi w:val="0"/>
        <w:rPr>
          <w:rFonts w:hint="default"/>
          <w:color w:val="auto"/>
          <w:highlight w:val="none"/>
        </w:rPr>
      </w:pPr>
      <w:r>
        <w:rPr>
          <w:rFonts w:hint="default" w:ascii="Times New Roman" w:hAnsi="Times New Roman" w:eastAsia="宋体" w:cs="Times New Roman"/>
          <w:color w:val="auto"/>
          <w:highlight w:val="none"/>
        </w:rPr>
        <w:br w:type="column"/>
      </w:r>
      <w:r>
        <w:rPr>
          <w:rFonts w:hint="default"/>
          <w:color w:val="auto"/>
          <w:highlight w:val="none"/>
        </w:rPr>
        <w:t>（四）基本资格条件承诺函</w:t>
      </w:r>
    </w:p>
    <w:p w14:paraId="6B13F562">
      <w:pPr>
        <w:bidi w:val="0"/>
        <w:jc w:val="center"/>
        <w:rPr>
          <w:rFonts w:hint="default"/>
          <w:b/>
          <w:bCs/>
          <w:color w:val="auto"/>
          <w:sz w:val="40"/>
          <w:szCs w:val="32"/>
          <w:highlight w:val="none"/>
        </w:rPr>
      </w:pPr>
    </w:p>
    <w:p w14:paraId="32EF8A28">
      <w:pPr>
        <w:bidi w:val="0"/>
        <w:jc w:val="center"/>
        <w:rPr>
          <w:rFonts w:hint="default"/>
          <w:b/>
          <w:bCs/>
          <w:color w:val="auto"/>
          <w:sz w:val="40"/>
          <w:szCs w:val="32"/>
          <w:highlight w:val="none"/>
        </w:rPr>
      </w:pPr>
      <w:r>
        <w:rPr>
          <w:rFonts w:hint="default"/>
          <w:b/>
          <w:bCs/>
          <w:color w:val="auto"/>
          <w:sz w:val="40"/>
          <w:szCs w:val="32"/>
          <w:highlight w:val="none"/>
        </w:rPr>
        <w:t>基本资格条件承诺函</w:t>
      </w:r>
    </w:p>
    <w:p w14:paraId="47C8702D">
      <w:pPr>
        <w:tabs>
          <w:tab w:val="left" w:pos="6300"/>
        </w:tabs>
        <w:snapToGrid w:val="0"/>
        <w:spacing w:line="530" w:lineRule="exact"/>
        <w:rPr>
          <w:rFonts w:hint="default" w:ascii="Times New Roman" w:hAnsi="Times New Roman" w:eastAsia="宋体" w:cs="Times New Roman"/>
          <w:color w:val="auto"/>
          <w:sz w:val="24"/>
          <w:highlight w:val="none"/>
        </w:rPr>
      </w:pPr>
    </w:p>
    <w:p w14:paraId="054F3177">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致                   （采购代理机构名称）：</w:t>
      </w:r>
    </w:p>
    <w:p w14:paraId="7BB5DCC1">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eastAsia="zh-CN"/>
        </w:rPr>
        <w:t>供应商</w:t>
      </w:r>
      <w:r>
        <w:rPr>
          <w:rFonts w:hint="default" w:ascii="Times New Roman" w:hAnsi="Times New Roman" w:eastAsia="宋体" w:cs="Times New Roman"/>
          <w:color w:val="auto"/>
          <w:sz w:val="24"/>
          <w:highlight w:val="none"/>
          <w:u w:val="single"/>
        </w:rPr>
        <w:t>名称）郑重承诺：</w:t>
      </w:r>
    </w:p>
    <w:p w14:paraId="7FEEF3B3">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1.我方具有良好的商业信誉和健全的财务会计制度，具有履行合同所必需的设备和专业技术能力，具</w:t>
      </w:r>
      <w:r>
        <w:rPr>
          <w:rFonts w:hint="default" w:ascii="Times New Roman" w:hAnsi="Times New Roman" w:eastAsia="宋体" w:cs="Times New Roman"/>
          <w:color w:val="auto"/>
          <w:sz w:val="24"/>
          <w:highlight w:val="none"/>
          <w:u w:val="none"/>
          <w:lang w:val="zh-CN"/>
        </w:rPr>
        <w:t>有依法缴纳税收和社会保障金的良好记录</w:t>
      </w:r>
      <w:r>
        <w:rPr>
          <w:rFonts w:hint="default" w:ascii="Times New Roman" w:hAnsi="Times New Roman" w:eastAsia="宋体" w:cs="Times New Roman"/>
          <w:color w:val="auto"/>
          <w:sz w:val="24"/>
          <w:highlight w:val="none"/>
          <w:u w:val="none"/>
        </w:rPr>
        <w:t>，参加本项目采购活动前三年内无重大违法活动记录。</w:t>
      </w:r>
    </w:p>
    <w:p w14:paraId="1CBD7B18">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2.我方未列入在信用中国网站（www.creditchina.gov.cn）“失信被执行人”、“重大税收违法案件当事人名单”中，也未列入中国政府采购网（www.ccgp.gov.cn）“政府采购严重违法失信行为记录名单”中。</w:t>
      </w:r>
    </w:p>
    <w:p w14:paraId="2C359503">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3.我方在采购项目评审（评标）环节结束后，随时接受采购人、采购代理机构的检查验证，配合提供相关证明材料，证明符合《中华人民共和国政府采购法》规定的</w:t>
      </w:r>
      <w:r>
        <w:rPr>
          <w:rFonts w:hint="default" w:ascii="Times New Roman" w:hAnsi="Times New Roman" w:eastAsia="宋体" w:cs="Times New Roman"/>
          <w:color w:val="auto"/>
          <w:sz w:val="24"/>
          <w:highlight w:val="none"/>
          <w:u w:val="none"/>
          <w:lang w:eastAsia="zh-CN"/>
        </w:rPr>
        <w:t>供应商</w:t>
      </w:r>
      <w:r>
        <w:rPr>
          <w:rFonts w:hint="default" w:ascii="Times New Roman" w:hAnsi="Times New Roman" w:eastAsia="宋体" w:cs="Times New Roman"/>
          <w:color w:val="auto"/>
          <w:sz w:val="24"/>
          <w:highlight w:val="none"/>
          <w:u w:val="none"/>
        </w:rPr>
        <w:t>基本资格条件。</w:t>
      </w:r>
    </w:p>
    <w:p w14:paraId="54E276C8">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我方对以上承诺负全部法律责任。</w:t>
      </w:r>
    </w:p>
    <w:p w14:paraId="33B6D2A1">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特此承诺。</w:t>
      </w:r>
    </w:p>
    <w:p w14:paraId="74AD4B66">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none"/>
        </w:rPr>
      </w:pPr>
    </w:p>
    <w:p w14:paraId="1F69F5F6">
      <w:pPr>
        <w:tabs>
          <w:tab w:val="left" w:pos="6300"/>
        </w:tabs>
        <w:snapToGrid w:val="0"/>
        <w:spacing w:line="500" w:lineRule="exact"/>
        <w:ind w:firstLine="7200" w:firstLineChars="30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w:t>
      </w:r>
      <w:r>
        <w:rPr>
          <w:rFonts w:hint="default" w:ascii="Times New Roman" w:hAnsi="Times New Roman" w:eastAsia="宋体" w:cs="Times New Roman"/>
          <w:color w:val="auto"/>
          <w:sz w:val="24"/>
          <w:highlight w:val="none"/>
          <w:u w:val="none"/>
          <w:lang w:eastAsia="zh-CN"/>
        </w:rPr>
        <w:t>供应商</w:t>
      </w:r>
      <w:r>
        <w:rPr>
          <w:rFonts w:hint="default" w:ascii="Times New Roman" w:hAnsi="Times New Roman" w:eastAsia="宋体" w:cs="Times New Roman"/>
          <w:color w:val="auto"/>
          <w:sz w:val="24"/>
          <w:highlight w:val="none"/>
          <w:u w:val="none"/>
        </w:rPr>
        <w:t>公章）</w:t>
      </w:r>
    </w:p>
    <w:p w14:paraId="5EABC262">
      <w:pPr>
        <w:tabs>
          <w:tab w:val="left" w:pos="6300"/>
        </w:tabs>
        <w:snapToGrid w:val="0"/>
        <w:spacing w:line="500" w:lineRule="exact"/>
        <w:ind w:firstLine="7440" w:firstLineChars="31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年   月   日</w:t>
      </w:r>
    </w:p>
    <w:p w14:paraId="36272A7B">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sz w:val="24"/>
          <w:highlight w:val="none"/>
          <w:u w:val="none"/>
        </w:rPr>
        <w:br w:type="page"/>
      </w:r>
    </w:p>
    <w:p w14:paraId="39781401">
      <w:pPr>
        <w:pStyle w:val="11"/>
        <w:ind w:left="420"/>
        <w:rPr>
          <w:rFonts w:hint="default" w:ascii="Times New Roman" w:hAnsi="Times New Roman" w:eastAsia="宋体" w:cs="Times New Roman"/>
          <w:color w:val="auto"/>
          <w:kern w:val="2"/>
          <w:sz w:val="28"/>
          <w:szCs w:val="22"/>
          <w:highlight w:val="none"/>
          <w:lang w:val="en-US" w:eastAsia="zh-CN" w:bidi="ar-SA"/>
        </w:rPr>
      </w:pPr>
      <w:bookmarkStart w:id="172" w:name="_Toc14422"/>
    </w:p>
    <w:p w14:paraId="11AD3836">
      <w:pPr>
        <w:pStyle w:val="11"/>
        <w:ind w:left="420"/>
        <w:rPr>
          <w:rFonts w:hint="default" w:ascii="Times New Roman" w:hAnsi="Times New Roman" w:eastAsia="宋体" w:cs="Times New Roman"/>
          <w:color w:val="auto"/>
          <w:kern w:val="2"/>
          <w:sz w:val="28"/>
          <w:szCs w:val="22"/>
          <w:highlight w:val="none"/>
          <w:lang w:val="en-US" w:eastAsia="zh-CN" w:bidi="ar-SA"/>
        </w:rPr>
      </w:pPr>
    </w:p>
    <w:p w14:paraId="141C078B">
      <w:pPr>
        <w:pStyle w:val="11"/>
        <w:ind w:left="420"/>
        <w:rPr>
          <w:rFonts w:hint="default" w:ascii="Times New Roman" w:hAnsi="Times New Roman" w:eastAsia="宋体" w:cs="Times New Roman"/>
          <w:color w:val="auto"/>
          <w:kern w:val="2"/>
          <w:sz w:val="28"/>
          <w:szCs w:val="22"/>
          <w:highlight w:val="none"/>
          <w:lang w:val="en-US" w:eastAsia="zh-CN" w:bidi="ar-SA"/>
        </w:rPr>
      </w:pPr>
      <w:r>
        <w:rPr>
          <w:rFonts w:hint="default" w:ascii="Times New Roman" w:hAnsi="Times New Roman" w:eastAsia="宋体" w:cs="Times New Roman"/>
          <w:color w:val="auto"/>
          <w:kern w:val="2"/>
          <w:sz w:val="28"/>
          <w:szCs w:val="22"/>
          <w:highlight w:val="none"/>
          <w:lang w:val="en-US" w:eastAsia="zh-CN" w:bidi="ar-SA"/>
        </w:rPr>
        <w:t>（五）特定资格条件证书或证明文件（如果有）</w:t>
      </w:r>
    </w:p>
    <w:p w14:paraId="72D7C301">
      <w:pPr>
        <w:pStyle w:val="23"/>
        <w:rPr>
          <w:rFonts w:hint="default" w:ascii="Times New Roman" w:hAnsi="Times New Roman" w:eastAsia="宋体" w:cs="Times New Roman"/>
          <w:color w:val="auto"/>
          <w:szCs w:val="28"/>
          <w:highlight w:val="none"/>
        </w:rPr>
      </w:pPr>
    </w:p>
    <w:p w14:paraId="5B11A8BA">
      <w:pPr>
        <w:pStyle w:val="23"/>
        <w:rPr>
          <w:rFonts w:hint="default" w:ascii="Times New Roman" w:hAnsi="Times New Roman" w:eastAsia="宋体" w:cs="Times New Roman"/>
          <w:color w:val="auto"/>
          <w:szCs w:val="28"/>
          <w:highlight w:val="none"/>
        </w:rPr>
      </w:pPr>
    </w:p>
    <w:p w14:paraId="4915EF4E">
      <w:pPr>
        <w:pStyle w:val="23"/>
        <w:rPr>
          <w:rFonts w:hint="default" w:ascii="Times New Roman" w:hAnsi="Times New Roman" w:eastAsia="宋体" w:cs="Times New Roman"/>
          <w:color w:val="auto"/>
          <w:szCs w:val="28"/>
          <w:highlight w:val="none"/>
        </w:rPr>
      </w:pPr>
    </w:p>
    <w:p w14:paraId="498B7915">
      <w:pPr>
        <w:pStyle w:val="23"/>
        <w:rPr>
          <w:rFonts w:hint="default" w:ascii="Times New Roman" w:hAnsi="Times New Roman" w:eastAsia="宋体" w:cs="Times New Roman"/>
          <w:color w:val="auto"/>
          <w:szCs w:val="28"/>
          <w:highlight w:val="none"/>
        </w:rPr>
      </w:pPr>
    </w:p>
    <w:p w14:paraId="7B84267F">
      <w:pPr>
        <w:pStyle w:val="23"/>
        <w:rPr>
          <w:rFonts w:hint="default" w:ascii="Times New Roman" w:hAnsi="Times New Roman" w:eastAsia="宋体" w:cs="Times New Roman"/>
          <w:color w:val="auto"/>
          <w:szCs w:val="28"/>
          <w:highlight w:val="none"/>
        </w:rPr>
      </w:pPr>
    </w:p>
    <w:p w14:paraId="4314F37D">
      <w:pPr>
        <w:pStyle w:val="23"/>
        <w:rPr>
          <w:rFonts w:hint="default" w:ascii="Times New Roman" w:hAnsi="Times New Roman" w:eastAsia="宋体" w:cs="Times New Roman"/>
          <w:color w:val="auto"/>
          <w:szCs w:val="28"/>
          <w:highlight w:val="none"/>
        </w:rPr>
      </w:pPr>
    </w:p>
    <w:p w14:paraId="1366FC22">
      <w:pPr>
        <w:pStyle w:val="23"/>
        <w:rPr>
          <w:rFonts w:hint="default" w:ascii="Times New Roman" w:hAnsi="Times New Roman" w:eastAsia="宋体" w:cs="Times New Roman"/>
          <w:color w:val="auto"/>
          <w:szCs w:val="28"/>
          <w:highlight w:val="none"/>
        </w:rPr>
      </w:pPr>
    </w:p>
    <w:p w14:paraId="0EF07E58">
      <w:pPr>
        <w:pStyle w:val="23"/>
        <w:rPr>
          <w:rFonts w:hint="default" w:ascii="Times New Roman" w:hAnsi="Times New Roman" w:eastAsia="宋体" w:cs="Times New Roman"/>
          <w:color w:val="auto"/>
          <w:szCs w:val="28"/>
          <w:highlight w:val="none"/>
        </w:rPr>
      </w:pPr>
    </w:p>
    <w:p w14:paraId="4A574227">
      <w:pPr>
        <w:pStyle w:val="23"/>
        <w:rPr>
          <w:rFonts w:hint="default" w:ascii="Times New Roman" w:hAnsi="Times New Roman" w:eastAsia="宋体" w:cs="Times New Roman"/>
          <w:color w:val="auto"/>
          <w:szCs w:val="28"/>
          <w:highlight w:val="none"/>
        </w:rPr>
      </w:pPr>
    </w:p>
    <w:p w14:paraId="1D4CD99B">
      <w:pPr>
        <w:pStyle w:val="23"/>
        <w:rPr>
          <w:rFonts w:hint="default" w:ascii="Times New Roman" w:hAnsi="Times New Roman" w:eastAsia="宋体" w:cs="Times New Roman"/>
          <w:color w:val="auto"/>
          <w:szCs w:val="28"/>
          <w:highlight w:val="none"/>
        </w:rPr>
      </w:pPr>
    </w:p>
    <w:p w14:paraId="755B6D40">
      <w:pPr>
        <w:pStyle w:val="23"/>
        <w:rPr>
          <w:rFonts w:hint="default" w:ascii="Times New Roman" w:hAnsi="Times New Roman" w:eastAsia="宋体" w:cs="Times New Roman"/>
          <w:color w:val="auto"/>
          <w:szCs w:val="28"/>
          <w:highlight w:val="none"/>
        </w:rPr>
      </w:pPr>
    </w:p>
    <w:p w14:paraId="07485789">
      <w:pPr>
        <w:pStyle w:val="23"/>
        <w:rPr>
          <w:rFonts w:hint="default" w:ascii="Times New Roman" w:hAnsi="Times New Roman" w:eastAsia="宋体" w:cs="Times New Roman"/>
          <w:color w:val="auto"/>
          <w:szCs w:val="28"/>
          <w:highlight w:val="none"/>
        </w:rPr>
      </w:pPr>
    </w:p>
    <w:p w14:paraId="1780B9AD">
      <w:pPr>
        <w:pStyle w:val="23"/>
        <w:rPr>
          <w:rFonts w:hint="default" w:ascii="Times New Roman" w:hAnsi="Times New Roman" w:eastAsia="宋体" w:cs="Times New Roman"/>
          <w:color w:val="auto"/>
          <w:szCs w:val="28"/>
          <w:highlight w:val="none"/>
        </w:rPr>
      </w:pPr>
    </w:p>
    <w:p w14:paraId="492EFAFD">
      <w:pPr>
        <w:pStyle w:val="23"/>
        <w:rPr>
          <w:rFonts w:hint="default" w:ascii="Times New Roman" w:hAnsi="Times New Roman" w:eastAsia="宋体" w:cs="Times New Roman"/>
          <w:color w:val="auto"/>
          <w:szCs w:val="28"/>
          <w:highlight w:val="none"/>
        </w:rPr>
      </w:pPr>
    </w:p>
    <w:p w14:paraId="3562D6B7">
      <w:pPr>
        <w:pStyle w:val="23"/>
        <w:rPr>
          <w:rFonts w:hint="default" w:ascii="Times New Roman" w:hAnsi="Times New Roman" w:eastAsia="宋体" w:cs="Times New Roman"/>
          <w:color w:val="auto"/>
          <w:szCs w:val="28"/>
          <w:highlight w:val="none"/>
        </w:rPr>
      </w:pPr>
    </w:p>
    <w:p w14:paraId="6E2EB9D5">
      <w:pPr>
        <w:pStyle w:val="23"/>
        <w:rPr>
          <w:rFonts w:hint="default" w:ascii="Times New Roman" w:hAnsi="Times New Roman" w:eastAsia="宋体" w:cs="Times New Roman"/>
          <w:color w:val="auto"/>
          <w:szCs w:val="28"/>
          <w:highlight w:val="none"/>
        </w:rPr>
      </w:pPr>
    </w:p>
    <w:p w14:paraId="5552A392">
      <w:pPr>
        <w:pStyle w:val="23"/>
        <w:rPr>
          <w:rFonts w:hint="default" w:ascii="Times New Roman" w:hAnsi="Times New Roman" w:eastAsia="宋体" w:cs="Times New Roman"/>
          <w:color w:val="auto"/>
          <w:szCs w:val="28"/>
          <w:highlight w:val="none"/>
        </w:rPr>
      </w:pPr>
    </w:p>
    <w:p w14:paraId="71992BFF">
      <w:pPr>
        <w:pStyle w:val="23"/>
        <w:rPr>
          <w:rFonts w:hint="default" w:ascii="Times New Roman" w:hAnsi="Times New Roman" w:eastAsia="宋体" w:cs="Times New Roman"/>
          <w:color w:val="auto"/>
          <w:szCs w:val="28"/>
          <w:highlight w:val="none"/>
        </w:rPr>
      </w:pPr>
    </w:p>
    <w:p w14:paraId="23EEBFD6">
      <w:pPr>
        <w:pStyle w:val="23"/>
        <w:rPr>
          <w:rFonts w:hint="default" w:ascii="Times New Roman" w:hAnsi="Times New Roman" w:eastAsia="宋体" w:cs="Times New Roman"/>
          <w:color w:val="auto"/>
          <w:szCs w:val="28"/>
          <w:highlight w:val="none"/>
        </w:rPr>
      </w:pPr>
    </w:p>
    <w:p w14:paraId="30E9EAE2">
      <w:pPr>
        <w:pStyle w:val="23"/>
        <w:rPr>
          <w:rFonts w:hint="default" w:ascii="Times New Roman" w:hAnsi="Times New Roman" w:eastAsia="宋体" w:cs="Times New Roman"/>
          <w:color w:val="auto"/>
          <w:szCs w:val="28"/>
          <w:highlight w:val="none"/>
        </w:rPr>
      </w:pPr>
    </w:p>
    <w:p w14:paraId="4D5DBF26">
      <w:pPr>
        <w:pStyle w:val="23"/>
        <w:rPr>
          <w:rFonts w:hint="default" w:ascii="Times New Roman" w:hAnsi="Times New Roman" w:eastAsia="宋体" w:cs="Times New Roman"/>
          <w:color w:val="auto"/>
          <w:szCs w:val="28"/>
          <w:highlight w:val="none"/>
        </w:rPr>
      </w:pPr>
    </w:p>
    <w:p w14:paraId="798FABF6">
      <w:pPr>
        <w:pStyle w:val="23"/>
        <w:rPr>
          <w:rFonts w:hint="default" w:ascii="Times New Roman" w:hAnsi="Times New Roman" w:eastAsia="宋体" w:cs="Times New Roman"/>
          <w:color w:val="auto"/>
          <w:szCs w:val="28"/>
          <w:highlight w:val="none"/>
        </w:rPr>
      </w:pPr>
    </w:p>
    <w:p w14:paraId="1B9CACD2">
      <w:pPr>
        <w:pStyle w:val="23"/>
        <w:rPr>
          <w:rFonts w:hint="default" w:ascii="Times New Roman" w:hAnsi="Times New Roman" w:eastAsia="宋体" w:cs="Times New Roman"/>
          <w:color w:val="auto"/>
          <w:szCs w:val="28"/>
          <w:highlight w:val="none"/>
        </w:rPr>
      </w:pPr>
    </w:p>
    <w:p w14:paraId="0CBD7127">
      <w:pPr>
        <w:pStyle w:val="23"/>
        <w:rPr>
          <w:rFonts w:hint="default" w:ascii="Times New Roman" w:hAnsi="Times New Roman" w:eastAsia="宋体" w:cs="Times New Roman"/>
          <w:color w:val="auto"/>
          <w:szCs w:val="28"/>
          <w:highlight w:val="none"/>
        </w:rPr>
      </w:pPr>
    </w:p>
    <w:p w14:paraId="7789874B">
      <w:pPr>
        <w:pStyle w:val="23"/>
        <w:rPr>
          <w:rFonts w:hint="default" w:ascii="Times New Roman" w:hAnsi="Times New Roman" w:eastAsia="宋体" w:cs="Times New Roman"/>
          <w:color w:val="auto"/>
          <w:szCs w:val="28"/>
          <w:highlight w:val="none"/>
        </w:rPr>
      </w:pPr>
    </w:p>
    <w:p w14:paraId="30B9FB5E">
      <w:pPr>
        <w:pStyle w:val="23"/>
        <w:rPr>
          <w:rFonts w:hint="default" w:ascii="Times New Roman" w:hAnsi="Times New Roman" w:eastAsia="宋体" w:cs="Times New Roman"/>
          <w:color w:val="auto"/>
          <w:szCs w:val="28"/>
          <w:highlight w:val="none"/>
        </w:rPr>
      </w:pPr>
    </w:p>
    <w:p w14:paraId="2C415330">
      <w:pPr>
        <w:pStyle w:val="23"/>
        <w:rPr>
          <w:rFonts w:hint="default" w:ascii="Times New Roman" w:hAnsi="Times New Roman" w:eastAsia="宋体" w:cs="Times New Roman"/>
          <w:color w:val="auto"/>
          <w:szCs w:val="28"/>
          <w:highlight w:val="none"/>
        </w:rPr>
      </w:pPr>
    </w:p>
    <w:p w14:paraId="05DBCBF5">
      <w:pPr>
        <w:pStyle w:val="23"/>
        <w:rPr>
          <w:rFonts w:hint="default" w:ascii="Times New Roman" w:hAnsi="Times New Roman" w:eastAsia="宋体" w:cs="Times New Roman"/>
          <w:color w:val="auto"/>
          <w:szCs w:val="28"/>
          <w:highlight w:val="none"/>
        </w:rPr>
      </w:pPr>
    </w:p>
    <w:p w14:paraId="246F1D51">
      <w:pPr>
        <w:pStyle w:val="23"/>
        <w:rPr>
          <w:rFonts w:hint="default" w:ascii="Times New Roman" w:hAnsi="Times New Roman" w:eastAsia="宋体" w:cs="Times New Roman"/>
          <w:color w:val="auto"/>
          <w:szCs w:val="28"/>
          <w:highlight w:val="none"/>
        </w:rPr>
      </w:pPr>
    </w:p>
    <w:p w14:paraId="65F09EC0">
      <w:pPr>
        <w:pStyle w:val="23"/>
        <w:rPr>
          <w:rFonts w:hint="default" w:ascii="Times New Roman" w:hAnsi="Times New Roman" w:eastAsia="宋体" w:cs="Times New Roman"/>
          <w:color w:val="auto"/>
          <w:szCs w:val="28"/>
          <w:highlight w:val="none"/>
        </w:rPr>
      </w:pPr>
    </w:p>
    <w:p w14:paraId="6606D6BB">
      <w:pPr>
        <w:pStyle w:val="23"/>
        <w:rPr>
          <w:rFonts w:hint="default" w:ascii="Times New Roman" w:hAnsi="Times New Roman" w:eastAsia="宋体" w:cs="Times New Roman"/>
          <w:color w:val="auto"/>
          <w:szCs w:val="28"/>
          <w:highlight w:val="none"/>
        </w:rPr>
      </w:pPr>
    </w:p>
    <w:p w14:paraId="2CE615B8">
      <w:pPr>
        <w:pStyle w:val="23"/>
        <w:rPr>
          <w:rFonts w:hint="default" w:ascii="Times New Roman" w:hAnsi="Times New Roman" w:eastAsia="宋体" w:cs="Times New Roman"/>
          <w:color w:val="auto"/>
          <w:szCs w:val="28"/>
          <w:highlight w:val="none"/>
        </w:rPr>
      </w:pPr>
    </w:p>
    <w:p w14:paraId="3B5C480D">
      <w:pPr>
        <w:pStyle w:val="6"/>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73" w:name="_Toc7282"/>
      <w:r>
        <w:rPr>
          <w:rFonts w:hint="default" w:ascii="Times New Roman" w:hAnsi="Times New Roman" w:eastAsia="宋体" w:cs="Times New Roman"/>
          <w:color w:val="auto"/>
          <w:sz w:val="24"/>
          <w:szCs w:val="24"/>
          <w:highlight w:val="none"/>
          <w:lang w:val="en-US" w:eastAsia="zh-CN"/>
        </w:rPr>
        <w:t>五、其他应提供的资料</w:t>
      </w:r>
      <w:bookmarkEnd w:id="172"/>
      <w:bookmarkEnd w:id="173"/>
    </w:p>
    <w:p w14:paraId="1C7E7BE1">
      <w:pPr>
        <w:snapToGrid w:val="0"/>
        <w:spacing w:line="4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（一）中小企业声明函、监狱企业证明文件、残疾人福利性单位声明函</w:t>
      </w:r>
    </w:p>
    <w:p w14:paraId="4F591F6A">
      <w:pPr>
        <w:tabs>
          <w:tab w:val="left" w:pos="6300"/>
        </w:tabs>
        <w:snapToGrid w:val="0"/>
        <w:spacing w:line="50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中小企业声明函</w:t>
      </w:r>
    </w:p>
    <w:p w14:paraId="02E6A172">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本公司（联合体）郑重声明，根据《政府采购促进中小企业发展管理办法》（</w:t>
      </w:r>
      <w:r>
        <w:rPr>
          <w:rFonts w:hint="default" w:ascii="Times New Roman" w:hAnsi="Times New Roman" w:eastAsia="宋体" w:cs="Times New Roman"/>
          <w:color w:val="auto"/>
          <w:sz w:val="24"/>
          <w:szCs w:val="24"/>
          <w:highlight w:val="none"/>
        </w:rPr>
        <w:t>财库〔2020〕46号</w:t>
      </w:r>
      <w:r>
        <w:rPr>
          <w:rFonts w:hint="default" w:ascii="Times New Roman" w:hAnsi="Times New Roman" w:eastAsia="宋体" w:cs="Times New Roman"/>
          <w:color w:val="auto"/>
          <w:sz w:val="24"/>
          <w:szCs w:val="28"/>
          <w:highlight w:val="none"/>
        </w:rPr>
        <w:t>）的规定，本公司（联合体）参加</w:t>
      </w:r>
      <w:r>
        <w:rPr>
          <w:rFonts w:hint="default" w:ascii="Times New Roman" w:hAnsi="Times New Roman" w:eastAsia="宋体" w:cs="Times New Roman"/>
          <w:i/>
          <w:color w:val="auto"/>
          <w:sz w:val="24"/>
          <w:szCs w:val="28"/>
          <w:highlight w:val="none"/>
          <w:u w:val="single"/>
        </w:rPr>
        <w:t>（单位名称）</w:t>
      </w:r>
      <w:r>
        <w:rPr>
          <w:rFonts w:hint="default" w:ascii="Times New Roman" w:hAnsi="Times New Roman" w:eastAsia="宋体" w:cs="Times New Roman"/>
          <w:color w:val="auto"/>
          <w:sz w:val="24"/>
          <w:szCs w:val="28"/>
          <w:highlight w:val="none"/>
        </w:rPr>
        <w:t>的</w:t>
      </w:r>
      <w:r>
        <w:rPr>
          <w:rFonts w:hint="default" w:ascii="Times New Roman" w:hAnsi="Times New Roman" w:eastAsia="宋体" w:cs="Times New Roman"/>
          <w:i/>
          <w:color w:val="auto"/>
          <w:sz w:val="24"/>
          <w:szCs w:val="28"/>
          <w:highlight w:val="none"/>
          <w:u w:val="single"/>
        </w:rPr>
        <w:t>（项目名称）</w:t>
      </w:r>
      <w:r>
        <w:rPr>
          <w:rFonts w:hint="default" w:ascii="Times New Roman" w:hAnsi="Times New Roman" w:eastAsia="宋体" w:cs="Times New Roman"/>
          <w:color w:val="auto"/>
          <w:sz w:val="24"/>
          <w:szCs w:val="28"/>
          <w:highlight w:val="none"/>
        </w:rPr>
        <w:t>采购活动，提供的货物全部由符合政策要求的中小企业制造。相关企业（含联合体中的中小企业、签订分包意向协议的中小企业）的具体情况如下：</w:t>
      </w:r>
    </w:p>
    <w:p w14:paraId="1AE4F3C3">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1.</w:t>
      </w:r>
      <w:r>
        <w:rPr>
          <w:rFonts w:hint="default" w:ascii="Times New Roman" w:hAnsi="Times New Roman" w:eastAsia="宋体" w:cs="Times New Roman"/>
          <w:i/>
          <w:color w:val="auto"/>
          <w:sz w:val="24"/>
          <w:szCs w:val="28"/>
          <w:highlight w:val="none"/>
          <w:u w:val="single"/>
        </w:rPr>
        <w:t>（标的名称）</w:t>
      </w:r>
      <w:r>
        <w:rPr>
          <w:rFonts w:hint="default" w:ascii="Times New Roman" w:hAnsi="Times New Roman" w:eastAsia="宋体" w:cs="Times New Roman"/>
          <w:color w:val="auto"/>
          <w:sz w:val="24"/>
          <w:szCs w:val="28"/>
          <w:highlight w:val="none"/>
        </w:rPr>
        <w:t>，属于</w:t>
      </w:r>
      <w:r>
        <w:rPr>
          <w:rFonts w:hint="default" w:ascii="Times New Roman" w:hAnsi="Times New Roman" w:eastAsia="宋体" w:cs="Times New Roman"/>
          <w:i/>
          <w:color w:val="auto"/>
          <w:sz w:val="24"/>
          <w:szCs w:val="28"/>
          <w:highlight w:val="none"/>
          <w:u w:val="single"/>
        </w:rPr>
        <w:t>（采购文件中明确的所属行业）</w:t>
      </w:r>
      <w:r>
        <w:rPr>
          <w:rFonts w:hint="default" w:ascii="Times New Roman" w:hAnsi="Times New Roman" w:eastAsia="宋体" w:cs="Times New Roman"/>
          <w:color w:val="auto"/>
          <w:sz w:val="24"/>
          <w:szCs w:val="28"/>
          <w:highlight w:val="none"/>
        </w:rPr>
        <w:t>；承接企业为</w:t>
      </w:r>
      <w:r>
        <w:rPr>
          <w:rFonts w:hint="default" w:ascii="Times New Roman" w:hAnsi="Times New Roman" w:eastAsia="宋体" w:cs="Times New Roman"/>
          <w:i/>
          <w:color w:val="auto"/>
          <w:sz w:val="24"/>
          <w:szCs w:val="28"/>
          <w:highlight w:val="none"/>
          <w:u w:val="single"/>
        </w:rPr>
        <w:t>（企业名称）</w:t>
      </w:r>
      <w:r>
        <w:rPr>
          <w:rFonts w:hint="default" w:ascii="Times New Roman" w:hAnsi="Times New Roman" w:eastAsia="宋体" w:cs="Times New Roman"/>
          <w:color w:val="auto"/>
          <w:sz w:val="24"/>
          <w:szCs w:val="28"/>
          <w:highlight w:val="none"/>
        </w:rPr>
        <w:t>，从业人员</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人，营业收入为</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万元，资产总额为</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万元，属于</w:t>
      </w:r>
      <w:r>
        <w:rPr>
          <w:rFonts w:hint="default" w:ascii="Times New Roman" w:hAnsi="Times New Roman" w:eastAsia="宋体" w:cs="Times New Roman"/>
          <w:i/>
          <w:color w:val="auto"/>
          <w:sz w:val="24"/>
          <w:szCs w:val="28"/>
          <w:highlight w:val="none"/>
          <w:u w:val="single"/>
        </w:rPr>
        <w:t>（中型企业、小型企业、微型企业）</w:t>
      </w:r>
      <w:r>
        <w:rPr>
          <w:rFonts w:hint="default" w:ascii="Times New Roman" w:hAnsi="Times New Roman" w:eastAsia="宋体" w:cs="Times New Roman"/>
          <w:color w:val="auto"/>
          <w:sz w:val="24"/>
          <w:szCs w:val="28"/>
          <w:highlight w:val="none"/>
        </w:rPr>
        <w:t>；</w:t>
      </w:r>
    </w:p>
    <w:p w14:paraId="522B9572">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为本标的提供的服务人员</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人，其中与本企业签订劳动合同</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人，其他人员</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人。有其他人员的不符合中小企业扶持政策（适用于服务采购项目）;</w:t>
      </w:r>
    </w:p>
    <w:p w14:paraId="68CF3330">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2.</w:t>
      </w:r>
      <w:r>
        <w:rPr>
          <w:rFonts w:hint="default" w:ascii="Times New Roman" w:hAnsi="Times New Roman" w:eastAsia="宋体" w:cs="Times New Roman"/>
          <w:i/>
          <w:color w:val="auto"/>
          <w:sz w:val="24"/>
          <w:szCs w:val="28"/>
          <w:highlight w:val="none"/>
          <w:u w:val="single"/>
        </w:rPr>
        <w:t xml:space="preserve"> （标的名称）</w:t>
      </w:r>
      <w:r>
        <w:rPr>
          <w:rFonts w:hint="default" w:ascii="Times New Roman" w:hAnsi="Times New Roman" w:eastAsia="宋体" w:cs="Times New Roman"/>
          <w:color w:val="auto"/>
          <w:sz w:val="24"/>
          <w:szCs w:val="28"/>
          <w:highlight w:val="none"/>
        </w:rPr>
        <w:t>，属于</w:t>
      </w:r>
      <w:r>
        <w:rPr>
          <w:rFonts w:hint="default" w:ascii="Times New Roman" w:hAnsi="Times New Roman" w:eastAsia="宋体" w:cs="Times New Roman"/>
          <w:i/>
          <w:color w:val="auto"/>
          <w:sz w:val="24"/>
          <w:szCs w:val="28"/>
          <w:highlight w:val="none"/>
          <w:u w:val="single"/>
        </w:rPr>
        <w:t>（采购文件中明确的所属行业）</w:t>
      </w:r>
      <w:r>
        <w:rPr>
          <w:rFonts w:hint="default" w:ascii="Times New Roman" w:hAnsi="Times New Roman" w:eastAsia="宋体" w:cs="Times New Roman"/>
          <w:color w:val="auto"/>
          <w:sz w:val="24"/>
          <w:szCs w:val="28"/>
          <w:highlight w:val="none"/>
        </w:rPr>
        <w:t>；承接企业为</w:t>
      </w:r>
      <w:r>
        <w:rPr>
          <w:rFonts w:hint="default" w:ascii="Times New Roman" w:hAnsi="Times New Roman" w:eastAsia="宋体" w:cs="Times New Roman"/>
          <w:i/>
          <w:color w:val="auto"/>
          <w:sz w:val="24"/>
          <w:szCs w:val="28"/>
          <w:highlight w:val="none"/>
          <w:u w:val="single"/>
        </w:rPr>
        <w:t>（企业名称）</w:t>
      </w:r>
      <w:r>
        <w:rPr>
          <w:rFonts w:hint="default" w:ascii="Times New Roman" w:hAnsi="Times New Roman" w:eastAsia="宋体" w:cs="Times New Roman"/>
          <w:color w:val="auto"/>
          <w:sz w:val="24"/>
          <w:szCs w:val="28"/>
          <w:highlight w:val="none"/>
        </w:rPr>
        <w:t>，从业人员</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人，营业收入为</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万元，资产总额为</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万元，属于</w:t>
      </w:r>
      <w:r>
        <w:rPr>
          <w:rFonts w:hint="default" w:ascii="Times New Roman" w:hAnsi="Times New Roman" w:eastAsia="宋体" w:cs="Times New Roman"/>
          <w:i/>
          <w:color w:val="auto"/>
          <w:sz w:val="24"/>
          <w:szCs w:val="28"/>
          <w:highlight w:val="none"/>
          <w:u w:val="single"/>
        </w:rPr>
        <w:t>（中型企业、小型企业、微型企业）</w:t>
      </w:r>
      <w:r>
        <w:rPr>
          <w:rFonts w:hint="default" w:ascii="Times New Roman" w:hAnsi="Times New Roman" w:eastAsia="宋体" w:cs="Times New Roman"/>
          <w:color w:val="auto"/>
          <w:sz w:val="24"/>
          <w:szCs w:val="28"/>
          <w:highlight w:val="none"/>
        </w:rPr>
        <w:t>；</w:t>
      </w:r>
    </w:p>
    <w:p w14:paraId="03A42060">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为本标的提供的服务人员</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人，其中与本企业签订劳动合同</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人，其他人员</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人。有其他人员的不符合中小企业扶持政策（适用于服务采购项目）;</w:t>
      </w:r>
    </w:p>
    <w:p w14:paraId="0A5FC341">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w:t>
      </w:r>
    </w:p>
    <w:p w14:paraId="2FC4D9E9">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以上企业，不属于大企业的分支机构，不存在控股股东为大企业的情形，也不存在与大企业的负责人为同一人的情形。</w:t>
      </w:r>
    </w:p>
    <w:p w14:paraId="689962D8">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本企业对上述声明内容的真实性负责。如有虚假，将依法承担相应责任。</w:t>
      </w:r>
    </w:p>
    <w:p w14:paraId="6AABA3B4">
      <w:pPr>
        <w:tabs>
          <w:tab w:val="left" w:pos="6300"/>
        </w:tabs>
        <w:snapToGrid w:val="0"/>
        <w:spacing w:line="500" w:lineRule="exact"/>
        <w:ind w:firstLine="6120" w:firstLineChars="255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 xml:space="preserve">企业名称（盖章）： </w:t>
      </w:r>
    </w:p>
    <w:p w14:paraId="0AE62FE6">
      <w:pPr>
        <w:tabs>
          <w:tab w:val="left" w:pos="6300"/>
        </w:tabs>
        <w:snapToGrid w:val="0"/>
        <w:spacing w:line="500" w:lineRule="exact"/>
        <w:ind w:firstLine="6120" w:firstLineChars="255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日期：</w:t>
      </w:r>
    </w:p>
    <w:p w14:paraId="2A7EB59F">
      <w:pPr>
        <w:tabs>
          <w:tab w:val="left" w:pos="6300"/>
        </w:tabs>
        <w:snapToGrid w:val="0"/>
        <w:spacing w:line="420" w:lineRule="exact"/>
        <w:jc w:val="left"/>
        <w:rPr>
          <w:rFonts w:hint="default" w:ascii="Times New Roman" w:hAnsi="Times New Roman" w:eastAsia="宋体" w:cs="Times New Roman"/>
          <w:color w:val="auto"/>
          <w:kern w:val="0"/>
          <w:sz w:val="21"/>
          <w:szCs w:val="21"/>
          <w:highlight w:val="none"/>
        </w:rPr>
      </w:pPr>
    </w:p>
    <w:p w14:paraId="5B3EE1C8">
      <w:pPr>
        <w:tabs>
          <w:tab w:val="left" w:pos="6300"/>
        </w:tabs>
        <w:snapToGrid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填写时应注意以下事项：</w:t>
      </w:r>
    </w:p>
    <w:p w14:paraId="3B33ADBC">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1.从业人员、营业收入、资产总额填报上一年度数据，无上一年度数据的新成立企业可不填报。</w:t>
      </w:r>
    </w:p>
    <w:p w14:paraId="6DFEA50B">
      <w:pPr>
        <w:tabs>
          <w:tab w:val="left" w:pos="6300"/>
        </w:tabs>
        <w:snapToGrid w:val="0"/>
        <w:ind w:firstLine="422" w:firstLineChars="200"/>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2.中小企业应当按照《中小企业划型标准规定》（工信部联企业〔2011〕300号），如实填写并提交《中小企业声明函》。</w:t>
      </w:r>
    </w:p>
    <w:p w14:paraId="5912640A">
      <w:pPr>
        <w:tabs>
          <w:tab w:val="left" w:pos="6300"/>
        </w:tabs>
        <w:snapToGrid w:val="0"/>
        <w:ind w:firstLine="422" w:firstLineChars="200"/>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3.供应商填写《中小企业声明函》中所属行业时，应与采购文件第一篇“采购标的对应的中小企业划分标准所属行业”中填写的所属行业一致。</w:t>
      </w:r>
    </w:p>
    <w:p w14:paraId="691C670C">
      <w:pPr>
        <w:tabs>
          <w:tab w:val="left" w:pos="6300"/>
        </w:tabs>
        <w:snapToGrid w:val="0"/>
        <w:ind w:firstLine="422" w:firstLineChars="200"/>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4.本声明函“企业名称（盖章）”处为供应商盖章。</w:t>
      </w:r>
    </w:p>
    <w:p w14:paraId="69B673A7">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注：各行业划型标准：</w:t>
      </w:r>
    </w:p>
    <w:p w14:paraId="08FAF8F9">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3F9CE0C7">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508015">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7ADC7B">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48EDF5">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98E3043">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68E8D97">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A25C94F">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98611D3">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E82B6A">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32C2C4">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4B2886E">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14C632C">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2348163">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969F2C">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5C3142D">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2D747DD7">
      <w:pPr>
        <w:tabs>
          <w:tab w:val="left" w:pos="6300"/>
        </w:tabs>
        <w:snapToGrid w:val="0"/>
        <w:spacing w:line="5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1"/>
          <w:szCs w:val="21"/>
          <w:highlight w:val="none"/>
        </w:rPr>
        <w:t>注：各行业划型标准：</w:t>
      </w:r>
    </w:p>
    <w:p w14:paraId="72FF6233">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77108B71">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24991F">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749119">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B138A3">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FC8F3F">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0032B5F">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8EFE30C">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CFE13C3">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F3EBC65">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FCC51C">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50CEA38">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4A8A5A6">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26928FE">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7856F1">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2FF62B4">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278BDD35">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14:paraId="5BDE5109">
      <w:pPr>
        <w:tabs>
          <w:tab w:val="left" w:pos="6300"/>
        </w:tabs>
        <w:snapToGrid w:val="0"/>
        <w:spacing w:line="500" w:lineRule="exact"/>
        <w:ind w:firstLine="560"/>
        <w:jc w:val="center"/>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szCs w:val="28"/>
          <w:highlight w:val="none"/>
        </w:rPr>
        <w:t>监狱企业证明文件</w:t>
      </w:r>
    </w:p>
    <w:p w14:paraId="05D1B549">
      <w:pPr>
        <w:tabs>
          <w:tab w:val="left" w:pos="6300"/>
        </w:tabs>
        <w:snapToGrid w:val="0"/>
        <w:spacing w:line="400" w:lineRule="exact"/>
        <w:ind w:firstLine="561"/>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以省级以上监狱管理局、戒毒管理局（含新疆生产建设兵团）出具的属于监狱企业的证明文件为准。</w:t>
      </w:r>
    </w:p>
    <w:p w14:paraId="1D95037B">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5957632A">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35E20EE9">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33239F60">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494E25B8">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42434468">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073683E9">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13843EAA">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3DD049C8">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6D85693E">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5BDFD7E5">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40976505">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1C138B5C">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20129F28">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13BA08A4">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6CA8C6D8">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0144080D">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748A3221">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52E83AD4">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17D284B4">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11FCEB12">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7469650F">
      <w:pPr>
        <w:pStyle w:val="11"/>
        <w:rPr>
          <w:rFonts w:hint="default" w:ascii="Times New Roman" w:hAnsi="Times New Roman" w:eastAsia="宋体" w:cs="Times New Roman"/>
          <w:color w:val="auto"/>
          <w:highlight w:val="none"/>
        </w:rPr>
      </w:pPr>
    </w:p>
    <w:p w14:paraId="708EC7B7">
      <w:pPr>
        <w:pStyle w:val="11"/>
        <w:rPr>
          <w:rFonts w:hint="default" w:ascii="Times New Roman" w:hAnsi="Times New Roman" w:eastAsia="宋体" w:cs="Times New Roman"/>
          <w:color w:val="auto"/>
          <w:highlight w:val="none"/>
        </w:rPr>
      </w:pPr>
    </w:p>
    <w:p w14:paraId="3AF45B9C">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712AB68E">
      <w:pPr>
        <w:tabs>
          <w:tab w:val="left" w:pos="6300"/>
        </w:tabs>
        <w:snapToGrid w:val="0"/>
        <w:spacing w:line="400" w:lineRule="exact"/>
        <w:ind w:firstLine="561"/>
        <w:jc w:val="center"/>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szCs w:val="28"/>
          <w:highlight w:val="none"/>
        </w:rPr>
        <w:t>残疾人福利性单位声明函</w:t>
      </w:r>
    </w:p>
    <w:p w14:paraId="142FBD31">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本单位郑重声明，根据《财政部 民政部 中国残疾人联合会关于促进残疾人就业政府采购政策的通知》（财库〔</w:t>
      </w:r>
      <w:r>
        <w:rPr>
          <w:rFonts w:hint="default" w:ascii="Times New Roman" w:hAnsi="Times New Roman" w:eastAsia="宋体" w:cs="Times New Roman"/>
          <w:color w:val="auto"/>
          <w:sz w:val="24"/>
          <w:highlight w:val="none"/>
          <w:lang w:eastAsia="zh-CN"/>
        </w:rPr>
        <w:t>2008</w:t>
      </w:r>
      <w:r>
        <w:rPr>
          <w:rFonts w:hint="default" w:ascii="Times New Roman" w:hAnsi="Times New Roman" w:eastAsia="宋体" w:cs="Times New Roman"/>
          <w:color w:val="auto"/>
          <w:sz w:val="24"/>
          <w:highlight w:val="none"/>
        </w:rPr>
        <w:t>〕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75E62B">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本单位对上述声明的真实性负责。如有虚假，将依法承担相应责任。</w:t>
      </w:r>
    </w:p>
    <w:p w14:paraId="6478EDF3">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rPr>
      </w:pPr>
    </w:p>
    <w:p w14:paraId="0B485EA0">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rPr>
      </w:pPr>
    </w:p>
    <w:p w14:paraId="46F8E6B0">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名称（盖章）：</w:t>
      </w:r>
    </w:p>
    <w:p w14:paraId="2051AAAE">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日   期：</w:t>
      </w:r>
    </w:p>
    <w:p w14:paraId="5B51F87A">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59234215">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24FBF2B3">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1F141A89">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4ADF22D1">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56D38BB0">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0CB7BF47">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48919000">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5A5FD4A7">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0C23EC18">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03DADE66">
      <w:pPr>
        <w:tabs>
          <w:tab w:val="left" w:pos="6300"/>
        </w:tabs>
        <w:snapToGrid w:val="0"/>
        <w:spacing w:line="500" w:lineRule="exact"/>
        <w:ind w:firstLine="57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rPr>
        <w:t>若中标人为残疾人福利性单位的，将在结果公告时公告其《残疾人福利性单位声明函》。</w:t>
      </w:r>
    </w:p>
    <w:p w14:paraId="266B4BE3">
      <w:pPr>
        <w:pageBreakBefore w:val="0"/>
        <w:tabs>
          <w:tab w:val="left" w:pos="6300"/>
        </w:tabs>
        <w:wordWrap/>
        <w:topLinePunct w:val="0"/>
        <w:bidi w:val="0"/>
        <w:snapToGrid w:val="0"/>
        <w:spacing w:line="560" w:lineRule="exact"/>
        <w:ind w:firstLine="56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w:br w:type="page"/>
      </w:r>
      <w:r>
        <w:rPr>
          <w:rFonts w:hint="default" w:ascii="Times New Roman" w:hAnsi="Times New Roman" w:eastAsia="宋体" w:cs="Times New Roman"/>
          <w:color w:val="auto"/>
          <w:highlight w:val="none"/>
        </w:rPr>
        <w:t xml:space="preserve"> </w:t>
      </w:r>
    </w:p>
    <w:p w14:paraId="02CC487E">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（二）其他与项目有关的资料（自附）</w:t>
      </w:r>
    </w:p>
    <w:p w14:paraId="77C70537">
      <w:pPr>
        <w:pStyle w:val="24"/>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57C1F614">
      <w:pPr>
        <w:pStyle w:val="24"/>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45CFA72D">
      <w:pPr>
        <w:pStyle w:val="24"/>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735FF7E4">
      <w:pPr>
        <w:pStyle w:val="24"/>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5BE795E9">
      <w:pPr>
        <w:pStyle w:val="24"/>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539FC485">
      <w:pPr>
        <w:pStyle w:val="24"/>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06545721">
      <w:pPr>
        <w:pStyle w:val="24"/>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4CA532D8">
      <w:pPr>
        <w:pStyle w:val="24"/>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5D3E6042">
      <w:pPr>
        <w:pStyle w:val="24"/>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181C80AD">
      <w:pPr>
        <w:pStyle w:val="24"/>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5100A15A">
      <w:pPr>
        <w:pStyle w:val="24"/>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772998DD">
      <w:pPr>
        <w:pStyle w:val="24"/>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738F1531">
      <w:pPr>
        <w:pageBreakBefore w:val="0"/>
        <w:wordWrap/>
        <w:topLinePunct w:val="0"/>
        <w:bidi w:val="0"/>
        <w:spacing w:line="56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（结束）</w:t>
      </w:r>
      <w:bookmarkEnd w:id="161"/>
      <w:bookmarkEnd w:id="162"/>
      <w:bookmarkEnd w:id="163"/>
      <w:bookmarkEnd w:id="164"/>
      <w:bookmarkEnd w:id="165"/>
      <w:bookmarkEnd w:id="166"/>
      <w:bookmarkEnd w:id="167"/>
    </w:p>
    <w:p w14:paraId="2A42A687">
      <w:pPr>
        <w:pStyle w:val="18"/>
        <w:rPr>
          <w:rFonts w:hint="default" w:ascii="Times New Roman" w:hAnsi="Times New Roman" w:eastAsia="宋体" w:cs="Times New Roman"/>
          <w:color w:val="auto"/>
          <w:sz w:val="24"/>
          <w:szCs w:val="24"/>
          <w:highlight w:val="none"/>
        </w:rPr>
      </w:pPr>
    </w:p>
    <w:p w14:paraId="6E416E7A">
      <w:pPr>
        <w:rPr>
          <w:rFonts w:hint="default" w:ascii="Times New Roman" w:hAnsi="Times New Roman" w:eastAsia="宋体" w:cs="Times New Roman"/>
          <w:color w:val="auto"/>
          <w:sz w:val="24"/>
          <w:szCs w:val="24"/>
          <w:highlight w:val="none"/>
        </w:rPr>
      </w:pPr>
    </w:p>
    <w:p w14:paraId="411692FC">
      <w:pPr>
        <w:pStyle w:val="18"/>
        <w:rPr>
          <w:rFonts w:hint="default" w:ascii="Times New Roman" w:hAnsi="Times New Roman" w:eastAsia="宋体" w:cs="Times New Roman"/>
          <w:color w:val="auto"/>
          <w:sz w:val="24"/>
          <w:szCs w:val="24"/>
          <w:highlight w:val="none"/>
        </w:rPr>
      </w:pPr>
    </w:p>
    <w:p w14:paraId="15D70F3A">
      <w:pPr>
        <w:rPr>
          <w:rFonts w:hint="default" w:ascii="Times New Roman" w:hAnsi="Times New Roman" w:eastAsia="宋体" w:cs="Times New Roman"/>
          <w:color w:val="auto"/>
          <w:sz w:val="24"/>
          <w:szCs w:val="24"/>
          <w:highlight w:val="none"/>
        </w:rPr>
      </w:pPr>
    </w:p>
    <w:p w14:paraId="448CD68E">
      <w:pPr>
        <w:pStyle w:val="18"/>
        <w:rPr>
          <w:rFonts w:hint="default" w:ascii="Times New Roman" w:hAnsi="Times New Roman" w:eastAsia="宋体" w:cs="Times New Roman"/>
          <w:color w:val="auto"/>
          <w:sz w:val="24"/>
          <w:szCs w:val="24"/>
          <w:highlight w:val="none"/>
        </w:rPr>
      </w:pPr>
    </w:p>
    <w:p w14:paraId="07CE043D">
      <w:pPr>
        <w:rPr>
          <w:rFonts w:hint="default" w:ascii="Times New Roman" w:hAnsi="Times New Roman" w:eastAsia="宋体" w:cs="Times New Roman"/>
          <w:color w:val="auto"/>
          <w:sz w:val="24"/>
          <w:szCs w:val="24"/>
          <w:highlight w:val="none"/>
        </w:rPr>
      </w:pPr>
    </w:p>
    <w:p w14:paraId="307AD10D">
      <w:pPr>
        <w:pStyle w:val="18"/>
        <w:rPr>
          <w:rFonts w:hint="default" w:ascii="Times New Roman" w:hAnsi="Times New Roman" w:eastAsia="宋体" w:cs="Times New Roman"/>
          <w:color w:val="auto"/>
          <w:sz w:val="24"/>
          <w:szCs w:val="24"/>
          <w:highlight w:val="none"/>
        </w:rPr>
      </w:pPr>
    </w:p>
    <w:p w14:paraId="50CB8B32">
      <w:pPr>
        <w:rPr>
          <w:rFonts w:hint="default" w:ascii="Times New Roman" w:hAnsi="Times New Roman" w:eastAsia="宋体" w:cs="Times New Roman"/>
          <w:color w:val="auto"/>
          <w:sz w:val="24"/>
          <w:szCs w:val="24"/>
          <w:highlight w:val="none"/>
        </w:rPr>
      </w:pPr>
    </w:p>
    <w:p w14:paraId="2A57B106">
      <w:pPr>
        <w:pStyle w:val="18"/>
        <w:rPr>
          <w:rFonts w:hint="default" w:ascii="Times New Roman" w:hAnsi="Times New Roman" w:eastAsia="宋体" w:cs="Times New Roman"/>
          <w:color w:val="auto"/>
          <w:sz w:val="24"/>
          <w:szCs w:val="24"/>
          <w:highlight w:val="none"/>
        </w:rPr>
      </w:pPr>
    </w:p>
    <w:p w14:paraId="5F008481">
      <w:pPr>
        <w:rPr>
          <w:rFonts w:hint="default" w:ascii="Times New Roman" w:hAnsi="Times New Roman" w:eastAsia="宋体" w:cs="Times New Roman"/>
          <w:color w:val="auto"/>
          <w:sz w:val="24"/>
          <w:szCs w:val="24"/>
          <w:highlight w:val="none"/>
        </w:rPr>
      </w:pPr>
    </w:p>
    <w:p w14:paraId="489F7CB5">
      <w:pPr>
        <w:pStyle w:val="18"/>
        <w:rPr>
          <w:rFonts w:hint="default" w:ascii="Times New Roman" w:hAnsi="Times New Roman" w:eastAsia="宋体" w:cs="Times New Roman"/>
          <w:color w:val="auto"/>
          <w:sz w:val="24"/>
          <w:szCs w:val="24"/>
          <w:highlight w:val="none"/>
        </w:rPr>
      </w:pPr>
    </w:p>
    <w:p w14:paraId="402CF731">
      <w:pPr>
        <w:rPr>
          <w:rFonts w:hint="default" w:ascii="Times New Roman" w:hAnsi="Times New Roman" w:eastAsia="宋体" w:cs="Times New Roman"/>
          <w:color w:val="auto"/>
          <w:sz w:val="24"/>
          <w:szCs w:val="24"/>
          <w:highlight w:val="none"/>
        </w:rPr>
      </w:pPr>
    </w:p>
    <w:sectPr>
      <w:head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onospace">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E14E">
    <w:pPr>
      <w:pStyle w:val="16"/>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EF7AC">
                          <w:pPr>
                            <w:pStyle w:val="16"/>
                            <w:ind w:right="360"/>
                            <w:jc w:val="center"/>
                          </w:pPr>
                          <w:r>
                            <w:fldChar w:fldCharType="begin"/>
                          </w:r>
                          <w:r>
                            <w:rPr>
                              <w:rStyle w:val="29"/>
                            </w:rPr>
                            <w:instrText xml:space="preserve"> PAGE </w:instrText>
                          </w:r>
                          <w:r>
                            <w:fldChar w:fldCharType="separate"/>
                          </w:r>
                          <w:r>
                            <w:rPr>
                              <w:rStyle w:val="29"/>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FEF7AC">
                    <w:pPr>
                      <w:pStyle w:val="16"/>
                      <w:ind w:right="360"/>
                      <w:jc w:val="center"/>
                    </w:pPr>
                    <w:r>
                      <w:fldChar w:fldCharType="begin"/>
                    </w:r>
                    <w:r>
                      <w:rPr>
                        <w:rStyle w:val="29"/>
                      </w:rPr>
                      <w:instrText xml:space="preserve"> PAGE </w:instrText>
                    </w:r>
                    <w:r>
                      <w:fldChar w:fldCharType="separate"/>
                    </w:r>
                    <w:r>
                      <w:rPr>
                        <w:rStyle w:val="29"/>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E24B">
    <w:pPr>
      <w:pStyle w:val="16"/>
      <w:tabs>
        <w:tab w:val="center" w:pos="4706"/>
        <w:tab w:val="clear" w:pos="4153"/>
      </w:tabs>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AC051">
                          <w:pPr>
                            <w:pStyle w:val="1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6AC051">
                    <w:pPr>
                      <w:pStyle w:val="16"/>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ascii="宋体" w:hAnsi="宋体"/>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B079">
    <w:pPr>
      <w:pStyle w:val="16"/>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B5D19">
                          <w:pPr>
                            <w:pStyle w:val="16"/>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6B5D19">
                    <w:pPr>
                      <w:pStyle w:val="16"/>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ADEAA">
    <w:pPr>
      <w:pStyle w:val="17"/>
      <w:jc w:val="both"/>
      <w:rPr>
        <w:rFonts w:hint="eastAsia" w:ascii="方正仿宋_GBK" w:eastAsia="方正仿宋_GBK"/>
        <w:sz w:val="21"/>
        <w:szCs w:val="21"/>
      </w:rPr>
    </w:pPr>
    <w:r>
      <w:rPr>
        <w:rFonts w:hint="eastAsia" w:ascii="方正仿宋_GBK" w:eastAsia="方正仿宋_GBK"/>
        <w:sz w:val="21"/>
        <w:szCs w:val="21"/>
        <w:lang w:val="en-US" w:eastAsia="zh-CN"/>
      </w:rPr>
      <w:t xml:space="preserve">重庆方郡建设工程咨询有限公司           </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6C28E">
    <w:pPr>
      <w:pStyle w:val="17"/>
      <w:jc w:val="both"/>
      <w:rPr>
        <w:rFonts w:hint="eastAsia" w:ascii="方正仿宋_GBK" w:eastAsia="方正仿宋_GBK"/>
        <w:sz w:val="21"/>
        <w:szCs w:val="21"/>
      </w:rPr>
    </w:pPr>
    <w:r>
      <w:rPr>
        <w:rFonts w:hint="eastAsia" w:ascii="方正仿宋_GBK" w:eastAsia="方正仿宋_GBK"/>
        <w:sz w:val="21"/>
        <w:szCs w:val="21"/>
        <w:lang w:val="en-US" w:eastAsia="zh-CN"/>
      </w:rPr>
      <w:t>重庆方郡建设工程咨询有限公司</w:t>
    </w:r>
    <w:r>
      <w:rPr>
        <w:rFonts w:hint="eastAsia" w:ascii="方正仿宋_GBK" w:eastAsia="方正仿宋_GBK"/>
        <w:sz w:val="21"/>
        <w:szCs w:val="21"/>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14442">
    <w:pPr>
      <w:pStyle w:val="17"/>
      <w:jc w:val="both"/>
      <w:rPr>
        <w:rFonts w:hint="eastAsia" w:ascii="方正仿宋_GBK" w:eastAsia="方正仿宋_GBK"/>
        <w:sz w:val="21"/>
        <w:szCs w:val="21"/>
      </w:rPr>
    </w:pPr>
    <w:r>
      <w:rPr>
        <w:rFonts w:hint="eastAsia" w:ascii="方正仿宋_GBK" w:eastAsia="方正仿宋_GBK"/>
        <w:sz w:val="21"/>
        <w:szCs w:val="21"/>
        <w:lang w:val="en-US" w:eastAsia="zh-CN"/>
      </w:rPr>
      <w:t>重庆方郡建设工程咨询有限公司</w:t>
    </w: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3476E"/>
    <w:multiLevelType w:val="singleLevel"/>
    <w:tmpl w:val="8593476E"/>
    <w:lvl w:ilvl="0" w:tentative="0">
      <w:start w:val="6"/>
      <w:numFmt w:val="chineseCounting"/>
      <w:suff w:val="space"/>
      <w:lvlText w:val="第%1篇"/>
      <w:lvlJc w:val="left"/>
      <w:rPr>
        <w:rFonts w:hint="eastAsia"/>
      </w:rPr>
    </w:lvl>
  </w:abstractNum>
  <w:abstractNum w:abstractNumId="1">
    <w:nsid w:val="A593B8B6"/>
    <w:multiLevelType w:val="singleLevel"/>
    <w:tmpl w:val="A593B8B6"/>
    <w:lvl w:ilvl="0" w:tentative="0">
      <w:start w:val="1"/>
      <w:numFmt w:val="decimal"/>
      <w:suff w:val="nothing"/>
      <w:lvlText w:val="%1、"/>
      <w:lvlJc w:val="left"/>
    </w:lvl>
  </w:abstractNum>
  <w:abstractNum w:abstractNumId="2">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2"/>
      <w:lvlText w:val="%5)"/>
      <w:lvlJc w:val="left"/>
      <w:pPr>
        <w:tabs>
          <w:tab w:val="left" w:pos="1696"/>
        </w:tabs>
        <w:ind w:left="1696"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B78184"/>
    <w:multiLevelType w:val="singleLevel"/>
    <w:tmpl w:val="58B78184"/>
    <w:lvl w:ilvl="0" w:tentative="0">
      <w:start w:val="1"/>
      <w:numFmt w:val="chineseCounting"/>
      <w:suff w:val="nothing"/>
      <w:lvlText w:val="%1、"/>
      <w:lvlJc w:val="left"/>
      <w:pPr>
        <w:ind w:left="-2"/>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1255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MjdjMTc1MmUyMDhiYmVhYmE0ZjliZjgyYTVlM2YifQ=="/>
  </w:docVars>
  <w:rsids>
    <w:rsidRoot w:val="204C3F75"/>
    <w:rsid w:val="007F72D0"/>
    <w:rsid w:val="009933F0"/>
    <w:rsid w:val="00F945D1"/>
    <w:rsid w:val="011E4B7C"/>
    <w:rsid w:val="01587C02"/>
    <w:rsid w:val="01B2186C"/>
    <w:rsid w:val="01D4378B"/>
    <w:rsid w:val="021C07B6"/>
    <w:rsid w:val="022923C1"/>
    <w:rsid w:val="02535CBD"/>
    <w:rsid w:val="025E294B"/>
    <w:rsid w:val="02702204"/>
    <w:rsid w:val="028F2DD8"/>
    <w:rsid w:val="02BD66B8"/>
    <w:rsid w:val="02DB35A2"/>
    <w:rsid w:val="02FF0D3C"/>
    <w:rsid w:val="03103BAE"/>
    <w:rsid w:val="0313130C"/>
    <w:rsid w:val="031F450B"/>
    <w:rsid w:val="034F46D6"/>
    <w:rsid w:val="041F3658"/>
    <w:rsid w:val="042032CB"/>
    <w:rsid w:val="043D09D3"/>
    <w:rsid w:val="04402E4D"/>
    <w:rsid w:val="04464937"/>
    <w:rsid w:val="04547F6B"/>
    <w:rsid w:val="04685F05"/>
    <w:rsid w:val="047B78D1"/>
    <w:rsid w:val="048F3E1B"/>
    <w:rsid w:val="04A0545C"/>
    <w:rsid w:val="04D074C8"/>
    <w:rsid w:val="051229CF"/>
    <w:rsid w:val="05900FD6"/>
    <w:rsid w:val="05975BB3"/>
    <w:rsid w:val="060B7631"/>
    <w:rsid w:val="063521E9"/>
    <w:rsid w:val="06AB391F"/>
    <w:rsid w:val="06BC6D09"/>
    <w:rsid w:val="06E10649"/>
    <w:rsid w:val="06F3549D"/>
    <w:rsid w:val="06FB327C"/>
    <w:rsid w:val="06FD4A3D"/>
    <w:rsid w:val="07465DF0"/>
    <w:rsid w:val="074E2EF7"/>
    <w:rsid w:val="07900B7D"/>
    <w:rsid w:val="079542FA"/>
    <w:rsid w:val="07B02D0B"/>
    <w:rsid w:val="07C51BDC"/>
    <w:rsid w:val="07DD47E7"/>
    <w:rsid w:val="07E63258"/>
    <w:rsid w:val="080373B0"/>
    <w:rsid w:val="081459E6"/>
    <w:rsid w:val="087A70F9"/>
    <w:rsid w:val="08841F59"/>
    <w:rsid w:val="08847D7D"/>
    <w:rsid w:val="08857D8D"/>
    <w:rsid w:val="08C6401A"/>
    <w:rsid w:val="08D23872"/>
    <w:rsid w:val="08E6741A"/>
    <w:rsid w:val="09130AF9"/>
    <w:rsid w:val="093A3184"/>
    <w:rsid w:val="098317BA"/>
    <w:rsid w:val="099154D9"/>
    <w:rsid w:val="09AD2A2C"/>
    <w:rsid w:val="0A1043FB"/>
    <w:rsid w:val="0A2560D4"/>
    <w:rsid w:val="0A285EDE"/>
    <w:rsid w:val="0A7E3AF3"/>
    <w:rsid w:val="0A9E29E3"/>
    <w:rsid w:val="0AA94600"/>
    <w:rsid w:val="0AB84831"/>
    <w:rsid w:val="0AE32ECB"/>
    <w:rsid w:val="0B0E36CB"/>
    <w:rsid w:val="0B1F6BB9"/>
    <w:rsid w:val="0B663BE0"/>
    <w:rsid w:val="0BAE0780"/>
    <w:rsid w:val="0BB30BEA"/>
    <w:rsid w:val="0BB772BD"/>
    <w:rsid w:val="0BD644C6"/>
    <w:rsid w:val="0C294B5A"/>
    <w:rsid w:val="0C47711E"/>
    <w:rsid w:val="0CB67FB1"/>
    <w:rsid w:val="0D4454D3"/>
    <w:rsid w:val="0D5D20E6"/>
    <w:rsid w:val="0D7246A5"/>
    <w:rsid w:val="0DDA7B50"/>
    <w:rsid w:val="0E086C41"/>
    <w:rsid w:val="0E587DC0"/>
    <w:rsid w:val="0E9F40E6"/>
    <w:rsid w:val="0EAE274B"/>
    <w:rsid w:val="0EB56CE5"/>
    <w:rsid w:val="0F6552B2"/>
    <w:rsid w:val="0F7F65D3"/>
    <w:rsid w:val="0FAC2C86"/>
    <w:rsid w:val="0FBA4AE9"/>
    <w:rsid w:val="101E1EBF"/>
    <w:rsid w:val="102B64CB"/>
    <w:rsid w:val="10B250A4"/>
    <w:rsid w:val="10DE4176"/>
    <w:rsid w:val="10F36AC8"/>
    <w:rsid w:val="10F86C20"/>
    <w:rsid w:val="117A2290"/>
    <w:rsid w:val="118D0A8B"/>
    <w:rsid w:val="1190496F"/>
    <w:rsid w:val="11A64611"/>
    <w:rsid w:val="11AA7AD5"/>
    <w:rsid w:val="11D04F5E"/>
    <w:rsid w:val="11D952E1"/>
    <w:rsid w:val="11FF40D4"/>
    <w:rsid w:val="12445AAA"/>
    <w:rsid w:val="125323B0"/>
    <w:rsid w:val="12547EF9"/>
    <w:rsid w:val="127135A3"/>
    <w:rsid w:val="12B9470F"/>
    <w:rsid w:val="12BA3EDE"/>
    <w:rsid w:val="12CD4A6B"/>
    <w:rsid w:val="12FD2683"/>
    <w:rsid w:val="13014076"/>
    <w:rsid w:val="13036395"/>
    <w:rsid w:val="133428BA"/>
    <w:rsid w:val="13356543"/>
    <w:rsid w:val="133D09EF"/>
    <w:rsid w:val="135E5DB8"/>
    <w:rsid w:val="136D574C"/>
    <w:rsid w:val="138D4625"/>
    <w:rsid w:val="13B42510"/>
    <w:rsid w:val="13CC755A"/>
    <w:rsid w:val="13EA72F7"/>
    <w:rsid w:val="13F82C9B"/>
    <w:rsid w:val="141A232F"/>
    <w:rsid w:val="14553115"/>
    <w:rsid w:val="14AD6E7F"/>
    <w:rsid w:val="14F41CE2"/>
    <w:rsid w:val="15633488"/>
    <w:rsid w:val="15714780"/>
    <w:rsid w:val="15C832D4"/>
    <w:rsid w:val="15CE592F"/>
    <w:rsid w:val="161C1E73"/>
    <w:rsid w:val="161D2AB6"/>
    <w:rsid w:val="161E7A1F"/>
    <w:rsid w:val="162C3B83"/>
    <w:rsid w:val="16491459"/>
    <w:rsid w:val="16BF1122"/>
    <w:rsid w:val="16F17BAE"/>
    <w:rsid w:val="174E7FEF"/>
    <w:rsid w:val="175019F0"/>
    <w:rsid w:val="175A35EC"/>
    <w:rsid w:val="178E44A0"/>
    <w:rsid w:val="1794611A"/>
    <w:rsid w:val="17AC24F2"/>
    <w:rsid w:val="17C45BA7"/>
    <w:rsid w:val="1848564F"/>
    <w:rsid w:val="184A53E3"/>
    <w:rsid w:val="189641AF"/>
    <w:rsid w:val="18F33807"/>
    <w:rsid w:val="19162D5F"/>
    <w:rsid w:val="196B05C6"/>
    <w:rsid w:val="19A75F7A"/>
    <w:rsid w:val="19F916CA"/>
    <w:rsid w:val="1A1D0C33"/>
    <w:rsid w:val="1A73061E"/>
    <w:rsid w:val="1A8410C3"/>
    <w:rsid w:val="1ACB4B33"/>
    <w:rsid w:val="1AD4436E"/>
    <w:rsid w:val="1AD954DC"/>
    <w:rsid w:val="1ADB07B1"/>
    <w:rsid w:val="1B0E0519"/>
    <w:rsid w:val="1B23093A"/>
    <w:rsid w:val="1B740D26"/>
    <w:rsid w:val="1B8F3DB2"/>
    <w:rsid w:val="1B8F3FCC"/>
    <w:rsid w:val="1B925A10"/>
    <w:rsid w:val="1BE1104D"/>
    <w:rsid w:val="1C0828AC"/>
    <w:rsid w:val="1C506F7B"/>
    <w:rsid w:val="1C5827AA"/>
    <w:rsid w:val="1C6877EC"/>
    <w:rsid w:val="1C8257CF"/>
    <w:rsid w:val="1CE83200"/>
    <w:rsid w:val="1CF714E8"/>
    <w:rsid w:val="1D1D3CAE"/>
    <w:rsid w:val="1D291377"/>
    <w:rsid w:val="1D303028"/>
    <w:rsid w:val="1D43269F"/>
    <w:rsid w:val="1D4C6E8C"/>
    <w:rsid w:val="1D5628BA"/>
    <w:rsid w:val="1D680BBD"/>
    <w:rsid w:val="1D7D0FDD"/>
    <w:rsid w:val="1D8506C0"/>
    <w:rsid w:val="1DDE6F62"/>
    <w:rsid w:val="1DE4771A"/>
    <w:rsid w:val="1E015F37"/>
    <w:rsid w:val="1E4137D9"/>
    <w:rsid w:val="1EDC2A49"/>
    <w:rsid w:val="1F353886"/>
    <w:rsid w:val="1F4B4494"/>
    <w:rsid w:val="1F6115C2"/>
    <w:rsid w:val="1F735514"/>
    <w:rsid w:val="1FB3284E"/>
    <w:rsid w:val="1FB57996"/>
    <w:rsid w:val="1FC62669"/>
    <w:rsid w:val="204C3F75"/>
    <w:rsid w:val="20710420"/>
    <w:rsid w:val="207B4472"/>
    <w:rsid w:val="208E6EC2"/>
    <w:rsid w:val="2098794B"/>
    <w:rsid w:val="20A07D9A"/>
    <w:rsid w:val="21046072"/>
    <w:rsid w:val="212B5CA2"/>
    <w:rsid w:val="217E5182"/>
    <w:rsid w:val="21890770"/>
    <w:rsid w:val="219E2EEF"/>
    <w:rsid w:val="21CF5CD7"/>
    <w:rsid w:val="21E950ED"/>
    <w:rsid w:val="22036AC4"/>
    <w:rsid w:val="221B0D2F"/>
    <w:rsid w:val="22426C13"/>
    <w:rsid w:val="227E71C5"/>
    <w:rsid w:val="228D2A7C"/>
    <w:rsid w:val="22A8778E"/>
    <w:rsid w:val="22DB2B33"/>
    <w:rsid w:val="22E00AD3"/>
    <w:rsid w:val="22F6536D"/>
    <w:rsid w:val="2343223C"/>
    <w:rsid w:val="23832C0A"/>
    <w:rsid w:val="23971593"/>
    <w:rsid w:val="240D1D18"/>
    <w:rsid w:val="24313C25"/>
    <w:rsid w:val="244065BA"/>
    <w:rsid w:val="24607994"/>
    <w:rsid w:val="24C764FD"/>
    <w:rsid w:val="250C4B14"/>
    <w:rsid w:val="256550CC"/>
    <w:rsid w:val="258424AE"/>
    <w:rsid w:val="25902E7D"/>
    <w:rsid w:val="26211AAB"/>
    <w:rsid w:val="2640459B"/>
    <w:rsid w:val="266E1E9E"/>
    <w:rsid w:val="269E087C"/>
    <w:rsid w:val="275C3F8F"/>
    <w:rsid w:val="2778388C"/>
    <w:rsid w:val="278059D8"/>
    <w:rsid w:val="2790323E"/>
    <w:rsid w:val="27BA6BE3"/>
    <w:rsid w:val="27CD46F8"/>
    <w:rsid w:val="27D56FF1"/>
    <w:rsid w:val="27E627B0"/>
    <w:rsid w:val="27F2478C"/>
    <w:rsid w:val="2810762C"/>
    <w:rsid w:val="2823610A"/>
    <w:rsid w:val="284D64C8"/>
    <w:rsid w:val="287A65F5"/>
    <w:rsid w:val="2884558E"/>
    <w:rsid w:val="289732FD"/>
    <w:rsid w:val="28A75E17"/>
    <w:rsid w:val="28F65471"/>
    <w:rsid w:val="29015B1F"/>
    <w:rsid w:val="29017971"/>
    <w:rsid w:val="29035DCE"/>
    <w:rsid w:val="29B45618"/>
    <w:rsid w:val="29B91008"/>
    <w:rsid w:val="29BF27A5"/>
    <w:rsid w:val="29C1691B"/>
    <w:rsid w:val="29CC3EBD"/>
    <w:rsid w:val="29D8715F"/>
    <w:rsid w:val="2A470A3C"/>
    <w:rsid w:val="2A4B60A2"/>
    <w:rsid w:val="2A51242C"/>
    <w:rsid w:val="2A7D34A0"/>
    <w:rsid w:val="2AAB40B8"/>
    <w:rsid w:val="2ACB3EE7"/>
    <w:rsid w:val="2B0B60AC"/>
    <w:rsid w:val="2B2B6FC1"/>
    <w:rsid w:val="2B3544B0"/>
    <w:rsid w:val="2B3A433B"/>
    <w:rsid w:val="2B510E33"/>
    <w:rsid w:val="2B697120"/>
    <w:rsid w:val="2B85569B"/>
    <w:rsid w:val="2B8B1EC9"/>
    <w:rsid w:val="2BAE59C2"/>
    <w:rsid w:val="2BCD17E5"/>
    <w:rsid w:val="2BDF7F37"/>
    <w:rsid w:val="2C000E25"/>
    <w:rsid w:val="2C082D46"/>
    <w:rsid w:val="2C7D08F8"/>
    <w:rsid w:val="2C917CEA"/>
    <w:rsid w:val="2CA62D19"/>
    <w:rsid w:val="2CBA494D"/>
    <w:rsid w:val="2CBE6FCD"/>
    <w:rsid w:val="2CC83E61"/>
    <w:rsid w:val="2CF94F09"/>
    <w:rsid w:val="2D1A344E"/>
    <w:rsid w:val="2D3D5843"/>
    <w:rsid w:val="2DA0495E"/>
    <w:rsid w:val="2DC644E1"/>
    <w:rsid w:val="2DC90383"/>
    <w:rsid w:val="2DF100F8"/>
    <w:rsid w:val="2E0D36F2"/>
    <w:rsid w:val="2E2F178D"/>
    <w:rsid w:val="2E3C65D0"/>
    <w:rsid w:val="2E59454C"/>
    <w:rsid w:val="2E842AC5"/>
    <w:rsid w:val="2EB510A2"/>
    <w:rsid w:val="2F3F142C"/>
    <w:rsid w:val="2F67771A"/>
    <w:rsid w:val="2F983963"/>
    <w:rsid w:val="2FFB5B7E"/>
    <w:rsid w:val="301D0006"/>
    <w:rsid w:val="303C419E"/>
    <w:rsid w:val="30704963"/>
    <w:rsid w:val="309F0360"/>
    <w:rsid w:val="30AF1C79"/>
    <w:rsid w:val="3165120C"/>
    <w:rsid w:val="317315B7"/>
    <w:rsid w:val="31AB10D1"/>
    <w:rsid w:val="3273368E"/>
    <w:rsid w:val="32DE17B1"/>
    <w:rsid w:val="32F953DA"/>
    <w:rsid w:val="32FD2661"/>
    <w:rsid w:val="33C3042B"/>
    <w:rsid w:val="33DE12B0"/>
    <w:rsid w:val="341B222F"/>
    <w:rsid w:val="341B2EC8"/>
    <w:rsid w:val="34371BE4"/>
    <w:rsid w:val="34403B79"/>
    <w:rsid w:val="34617D14"/>
    <w:rsid w:val="34A534C6"/>
    <w:rsid w:val="34F70E23"/>
    <w:rsid w:val="35242C90"/>
    <w:rsid w:val="35CD57AB"/>
    <w:rsid w:val="36225DEB"/>
    <w:rsid w:val="36316424"/>
    <w:rsid w:val="36A11061"/>
    <w:rsid w:val="375D3EB0"/>
    <w:rsid w:val="37CF0B71"/>
    <w:rsid w:val="38824795"/>
    <w:rsid w:val="38C84008"/>
    <w:rsid w:val="38C87054"/>
    <w:rsid w:val="38FD6A99"/>
    <w:rsid w:val="39035686"/>
    <w:rsid w:val="39062892"/>
    <w:rsid w:val="391C483F"/>
    <w:rsid w:val="391E001F"/>
    <w:rsid w:val="392073FF"/>
    <w:rsid w:val="39362CE0"/>
    <w:rsid w:val="39370857"/>
    <w:rsid w:val="39382F3B"/>
    <w:rsid w:val="395660D8"/>
    <w:rsid w:val="396F76D8"/>
    <w:rsid w:val="399C1B14"/>
    <w:rsid w:val="3A1154D2"/>
    <w:rsid w:val="3A125B1B"/>
    <w:rsid w:val="3A3D6FFB"/>
    <w:rsid w:val="3A447B0C"/>
    <w:rsid w:val="3A4B4E07"/>
    <w:rsid w:val="3A4D2A17"/>
    <w:rsid w:val="3AA70BF4"/>
    <w:rsid w:val="3AA9734A"/>
    <w:rsid w:val="3AB40CE8"/>
    <w:rsid w:val="3AFD1260"/>
    <w:rsid w:val="3B037BBC"/>
    <w:rsid w:val="3B10094A"/>
    <w:rsid w:val="3B742F29"/>
    <w:rsid w:val="3BA62285"/>
    <w:rsid w:val="3BB53530"/>
    <w:rsid w:val="3BB64EF6"/>
    <w:rsid w:val="3BD827B4"/>
    <w:rsid w:val="3BF11DDA"/>
    <w:rsid w:val="3C0510B8"/>
    <w:rsid w:val="3C336B0C"/>
    <w:rsid w:val="3C6F2F08"/>
    <w:rsid w:val="3CCF0E6E"/>
    <w:rsid w:val="3CED1D4E"/>
    <w:rsid w:val="3D344362"/>
    <w:rsid w:val="3D6C49FA"/>
    <w:rsid w:val="3D7B749E"/>
    <w:rsid w:val="3DAB7D39"/>
    <w:rsid w:val="3DBE0F39"/>
    <w:rsid w:val="3DFD4754"/>
    <w:rsid w:val="3E0146ED"/>
    <w:rsid w:val="3E043CF1"/>
    <w:rsid w:val="3EAB487E"/>
    <w:rsid w:val="3F112BA4"/>
    <w:rsid w:val="3F3C1834"/>
    <w:rsid w:val="3F4A7D1D"/>
    <w:rsid w:val="3F641CB4"/>
    <w:rsid w:val="3F694ADB"/>
    <w:rsid w:val="3F7B1DD4"/>
    <w:rsid w:val="3FA47FC2"/>
    <w:rsid w:val="3FD22E88"/>
    <w:rsid w:val="3FD95650"/>
    <w:rsid w:val="4003473C"/>
    <w:rsid w:val="40CB5C91"/>
    <w:rsid w:val="40E20E76"/>
    <w:rsid w:val="40ED025F"/>
    <w:rsid w:val="415A5722"/>
    <w:rsid w:val="41A77D13"/>
    <w:rsid w:val="41DA3F03"/>
    <w:rsid w:val="41FE0987"/>
    <w:rsid w:val="41FF7419"/>
    <w:rsid w:val="420719C5"/>
    <w:rsid w:val="42536F39"/>
    <w:rsid w:val="426B6130"/>
    <w:rsid w:val="42750698"/>
    <w:rsid w:val="429306FC"/>
    <w:rsid w:val="42DE1388"/>
    <w:rsid w:val="42EC5D45"/>
    <w:rsid w:val="433F7543"/>
    <w:rsid w:val="434D0795"/>
    <w:rsid w:val="434F0C85"/>
    <w:rsid w:val="43550C13"/>
    <w:rsid w:val="43626A63"/>
    <w:rsid w:val="43F32DC3"/>
    <w:rsid w:val="43F443EF"/>
    <w:rsid w:val="44001ED1"/>
    <w:rsid w:val="44326BE8"/>
    <w:rsid w:val="44396078"/>
    <w:rsid w:val="445B60F3"/>
    <w:rsid w:val="44635B16"/>
    <w:rsid w:val="44830D5B"/>
    <w:rsid w:val="44837C2E"/>
    <w:rsid w:val="44986F84"/>
    <w:rsid w:val="44E548ED"/>
    <w:rsid w:val="4583092D"/>
    <w:rsid w:val="45841AFC"/>
    <w:rsid w:val="4588524B"/>
    <w:rsid w:val="45B4619E"/>
    <w:rsid w:val="45CE6FF5"/>
    <w:rsid w:val="45D03631"/>
    <w:rsid w:val="46455A08"/>
    <w:rsid w:val="46AC2B7E"/>
    <w:rsid w:val="46D4205B"/>
    <w:rsid w:val="46ED2C98"/>
    <w:rsid w:val="46F53B57"/>
    <w:rsid w:val="470B5645"/>
    <w:rsid w:val="4712116E"/>
    <w:rsid w:val="476C4D9F"/>
    <w:rsid w:val="48045B25"/>
    <w:rsid w:val="48167659"/>
    <w:rsid w:val="488E42F5"/>
    <w:rsid w:val="48A018E9"/>
    <w:rsid w:val="48A5492C"/>
    <w:rsid w:val="48E8532B"/>
    <w:rsid w:val="48F21445"/>
    <w:rsid w:val="48FE5D4E"/>
    <w:rsid w:val="491D5FD2"/>
    <w:rsid w:val="49597937"/>
    <w:rsid w:val="497A5385"/>
    <w:rsid w:val="498853EC"/>
    <w:rsid w:val="49DF65C6"/>
    <w:rsid w:val="4A086C85"/>
    <w:rsid w:val="4A0B1A75"/>
    <w:rsid w:val="4A4C7A31"/>
    <w:rsid w:val="4A52532A"/>
    <w:rsid w:val="4A9D52F4"/>
    <w:rsid w:val="4AA66B24"/>
    <w:rsid w:val="4AB21CC6"/>
    <w:rsid w:val="4AB40B89"/>
    <w:rsid w:val="4AC42881"/>
    <w:rsid w:val="4ACD3B06"/>
    <w:rsid w:val="4AF134B4"/>
    <w:rsid w:val="4B061C69"/>
    <w:rsid w:val="4B27129B"/>
    <w:rsid w:val="4B4D4687"/>
    <w:rsid w:val="4B623A25"/>
    <w:rsid w:val="4B730CCB"/>
    <w:rsid w:val="4B7B6213"/>
    <w:rsid w:val="4B9875F1"/>
    <w:rsid w:val="4BAF3531"/>
    <w:rsid w:val="4BF95EA3"/>
    <w:rsid w:val="4C0F74FD"/>
    <w:rsid w:val="4C56770E"/>
    <w:rsid w:val="4C761ACB"/>
    <w:rsid w:val="4C7F7322"/>
    <w:rsid w:val="4D5B2628"/>
    <w:rsid w:val="4DA225AB"/>
    <w:rsid w:val="4DD10DF9"/>
    <w:rsid w:val="4DE22474"/>
    <w:rsid w:val="4DF35E5E"/>
    <w:rsid w:val="4E092F55"/>
    <w:rsid w:val="4E1131E1"/>
    <w:rsid w:val="4E467106"/>
    <w:rsid w:val="4E721E75"/>
    <w:rsid w:val="4E791BD4"/>
    <w:rsid w:val="4E7C0F40"/>
    <w:rsid w:val="4EBC4F7F"/>
    <w:rsid w:val="4EC61362"/>
    <w:rsid w:val="4ED1467A"/>
    <w:rsid w:val="4F6011A8"/>
    <w:rsid w:val="4F8B5B26"/>
    <w:rsid w:val="4FA01B3C"/>
    <w:rsid w:val="4FAE4C61"/>
    <w:rsid w:val="4FED1CE2"/>
    <w:rsid w:val="500217F6"/>
    <w:rsid w:val="501F2D60"/>
    <w:rsid w:val="502C2DA2"/>
    <w:rsid w:val="5049753B"/>
    <w:rsid w:val="507A57B9"/>
    <w:rsid w:val="50B7737A"/>
    <w:rsid w:val="50E6580E"/>
    <w:rsid w:val="50F5489C"/>
    <w:rsid w:val="50FD6AED"/>
    <w:rsid w:val="51311E81"/>
    <w:rsid w:val="513B38F9"/>
    <w:rsid w:val="51665547"/>
    <w:rsid w:val="51AE27A6"/>
    <w:rsid w:val="52644C8F"/>
    <w:rsid w:val="5266581E"/>
    <w:rsid w:val="52A76312"/>
    <w:rsid w:val="52CF6267"/>
    <w:rsid w:val="531F67D9"/>
    <w:rsid w:val="536270DB"/>
    <w:rsid w:val="53D30EF1"/>
    <w:rsid w:val="540A52F0"/>
    <w:rsid w:val="547D427C"/>
    <w:rsid w:val="54B97601"/>
    <w:rsid w:val="54CE7F09"/>
    <w:rsid w:val="54E3193D"/>
    <w:rsid w:val="54FB1FED"/>
    <w:rsid w:val="550F5D34"/>
    <w:rsid w:val="5536081F"/>
    <w:rsid w:val="553C34B7"/>
    <w:rsid w:val="55470245"/>
    <w:rsid w:val="5556640C"/>
    <w:rsid w:val="55AC7B9C"/>
    <w:rsid w:val="55BD3EF0"/>
    <w:rsid w:val="55D952F9"/>
    <w:rsid w:val="55DD599B"/>
    <w:rsid w:val="55E22C59"/>
    <w:rsid w:val="563E4293"/>
    <w:rsid w:val="56574EF1"/>
    <w:rsid w:val="567A51D6"/>
    <w:rsid w:val="56E211D2"/>
    <w:rsid w:val="570F2313"/>
    <w:rsid w:val="574C6341"/>
    <w:rsid w:val="57A40B4B"/>
    <w:rsid w:val="57B2713E"/>
    <w:rsid w:val="58483118"/>
    <w:rsid w:val="584A6390"/>
    <w:rsid w:val="5856779E"/>
    <w:rsid w:val="588666FD"/>
    <w:rsid w:val="589D0D30"/>
    <w:rsid w:val="58E93370"/>
    <w:rsid w:val="591F7CAE"/>
    <w:rsid w:val="595524E2"/>
    <w:rsid w:val="59567A86"/>
    <w:rsid w:val="59935211"/>
    <w:rsid w:val="599F3245"/>
    <w:rsid w:val="59AA36A9"/>
    <w:rsid w:val="59B9049B"/>
    <w:rsid w:val="59D61EA7"/>
    <w:rsid w:val="5A1462AB"/>
    <w:rsid w:val="5A661851"/>
    <w:rsid w:val="5A974738"/>
    <w:rsid w:val="5AB23BC0"/>
    <w:rsid w:val="5AF1709F"/>
    <w:rsid w:val="5AF17D83"/>
    <w:rsid w:val="5AF540A8"/>
    <w:rsid w:val="5B0A12EF"/>
    <w:rsid w:val="5B262AE3"/>
    <w:rsid w:val="5B571030"/>
    <w:rsid w:val="5B591783"/>
    <w:rsid w:val="5B7B51F4"/>
    <w:rsid w:val="5B8B450F"/>
    <w:rsid w:val="5BD25B35"/>
    <w:rsid w:val="5BEC151E"/>
    <w:rsid w:val="5C080894"/>
    <w:rsid w:val="5C662144"/>
    <w:rsid w:val="5CDF272C"/>
    <w:rsid w:val="5D2256C5"/>
    <w:rsid w:val="5D351D0E"/>
    <w:rsid w:val="5D752101"/>
    <w:rsid w:val="5D8D63E2"/>
    <w:rsid w:val="5DB01D01"/>
    <w:rsid w:val="5DB1194E"/>
    <w:rsid w:val="5DCE28BF"/>
    <w:rsid w:val="5DCE7C8C"/>
    <w:rsid w:val="5E344BB0"/>
    <w:rsid w:val="5E4827FD"/>
    <w:rsid w:val="5E6C03D0"/>
    <w:rsid w:val="5E716562"/>
    <w:rsid w:val="5E875EFE"/>
    <w:rsid w:val="5EB547A6"/>
    <w:rsid w:val="5EC55BEF"/>
    <w:rsid w:val="5F166DF9"/>
    <w:rsid w:val="5F1C3390"/>
    <w:rsid w:val="5F773F09"/>
    <w:rsid w:val="5FB000C8"/>
    <w:rsid w:val="60171E1C"/>
    <w:rsid w:val="601E4DC3"/>
    <w:rsid w:val="602278DA"/>
    <w:rsid w:val="60453634"/>
    <w:rsid w:val="60AF789B"/>
    <w:rsid w:val="60D3786A"/>
    <w:rsid w:val="60E530F9"/>
    <w:rsid w:val="60F82E2D"/>
    <w:rsid w:val="610D300E"/>
    <w:rsid w:val="61130A44"/>
    <w:rsid w:val="61394C54"/>
    <w:rsid w:val="61420C85"/>
    <w:rsid w:val="616209CB"/>
    <w:rsid w:val="616854AF"/>
    <w:rsid w:val="61885E1C"/>
    <w:rsid w:val="61896A50"/>
    <w:rsid w:val="618F4CBC"/>
    <w:rsid w:val="619F47AE"/>
    <w:rsid w:val="61AB2672"/>
    <w:rsid w:val="61CC43F4"/>
    <w:rsid w:val="620E3E7A"/>
    <w:rsid w:val="62353A9F"/>
    <w:rsid w:val="62822BA5"/>
    <w:rsid w:val="62FD34D6"/>
    <w:rsid w:val="631706E0"/>
    <w:rsid w:val="6318248E"/>
    <w:rsid w:val="635472DD"/>
    <w:rsid w:val="6356215D"/>
    <w:rsid w:val="638E110C"/>
    <w:rsid w:val="63931D5D"/>
    <w:rsid w:val="63B501C7"/>
    <w:rsid w:val="63B54C98"/>
    <w:rsid w:val="63BC0A6C"/>
    <w:rsid w:val="63FF00AC"/>
    <w:rsid w:val="64144421"/>
    <w:rsid w:val="641471B3"/>
    <w:rsid w:val="644717EA"/>
    <w:rsid w:val="647B0F57"/>
    <w:rsid w:val="64B61A0A"/>
    <w:rsid w:val="65053E40"/>
    <w:rsid w:val="65167D25"/>
    <w:rsid w:val="652D168E"/>
    <w:rsid w:val="65347D3C"/>
    <w:rsid w:val="653B677F"/>
    <w:rsid w:val="659E4097"/>
    <w:rsid w:val="65CA05CB"/>
    <w:rsid w:val="65DC0FE9"/>
    <w:rsid w:val="65F012C3"/>
    <w:rsid w:val="65F20FAA"/>
    <w:rsid w:val="65FC33BF"/>
    <w:rsid w:val="66001244"/>
    <w:rsid w:val="663033FB"/>
    <w:rsid w:val="6652134F"/>
    <w:rsid w:val="668876FF"/>
    <w:rsid w:val="66974DB2"/>
    <w:rsid w:val="669B364B"/>
    <w:rsid w:val="66AD51AD"/>
    <w:rsid w:val="66D57719"/>
    <w:rsid w:val="66D904BA"/>
    <w:rsid w:val="66DD34BB"/>
    <w:rsid w:val="67084824"/>
    <w:rsid w:val="675E64C9"/>
    <w:rsid w:val="67693565"/>
    <w:rsid w:val="678C0CBA"/>
    <w:rsid w:val="67D07E75"/>
    <w:rsid w:val="67FE6EC9"/>
    <w:rsid w:val="680D5687"/>
    <w:rsid w:val="680F1D4E"/>
    <w:rsid w:val="681E6A37"/>
    <w:rsid w:val="6843042D"/>
    <w:rsid w:val="684E3A97"/>
    <w:rsid w:val="68643D04"/>
    <w:rsid w:val="686C2C5F"/>
    <w:rsid w:val="688F051A"/>
    <w:rsid w:val="68A34E9A"/>
    <w:rsid w:val="68A6149A"/>
    <w:rsid w:val="68AB6250"/>
    <w:rsid w:val="68AC0466"/>
    <w:rsid w:val="68BC35A7"/>
    <w:rsid w:val="68C06216"/>
    <w:rsid w:val="68D31535"/>
    <w:rsid w:val="68DD0E93"/>
    <w:rsid w:val="68FA31EC"/>
    <w:rsid w:val="69200F56"/>
    <w:rsid w:val="695145EB"/>
    <w:rsid w:val="6959746A"/>
    <w:rsid w:val="697458AF"/>
    <w:rsid w:val="69B10CC7"/>
    <w:rsid w:val="69BB1BB0"/>
    <w:rsid w:val="69E75475"/>
    <w:rsid w:val="69F305F5"/>
    <w:rsid w:val="6A002D52"/>
    <w:rsid w:val="6A7F6E0F"/>
    <w:rsid w:val="6ACA14A9"/>
    <w:rsid w:val="6AE6514C"/>
    <w:rsid w:val="6AFE3E32"/>
    <w:rsid w:val="6B1B45DE"/>
    <w:rsid w:val="6B2F2401"/>
    <w:rsid w:val="6B6D635A"/>
    <w:rsid w:val="6BDE5CC3"/>
    <w:rsid w:val="6BE33AFB"/>
    <w:rsid w:val="6C4E5FF7"/>
    <w:rsid w:val="6C611506"/>
    <w:rsid w:val="6C8A571C"/>
    <w:rsid w:val="6CB703CF"/>
    <w:rsid w:val="6CEC2782"/>
    <w:rsid w:val="6D1676EB"/>
    <w:rsid w:val="6DA32372"/>
    <w:rsid w:val="6DBA3E55"/>
    <w:rsid w:val="6DCF6923"/>
    <w:rsid w:val="6DD35B89"/>
    <w:rsid w:val="6DDF49BB"/>
    <w:rsid w:val="6E3A7448"/>
    <w:rsid w:val="6E51513B"/>
    <w:rsid w:val="6EB148F7"/>
    <w:rsid w:val="6EED5E1F"/>
    <w:rsid w:val="6EF71FF1"/>
    <w:rsid w:val="6F564EC6"/>
    <w:rsid w:val="6F826CB6"/>
    <w:rsid w:val="6FB85F4B"/>
    <w:rsid w:val="6FE90AE1"/>
    <w:rsid w:val="6FFE31DD"/>
    <w:rsid w:val="70170A73"/>
    <w:rsid w:val="70784EB5"/>
    <w:rsid w:val="70CF42F6"/>
    <w:rsid w:val="7168784B"/>
    <w:rsid w:val="71897319"/>
    <w:rsid w:val="719924C0"/>
    <w:rsid w:val="71C00097"/>
    <w:rsid w:val="71CB1E97"/>
    <w:rsid w:val="72011E13"/>
    <w:rsid w:val="72012551"/>
    <w:rsid w:val="723F662A"/>
    <w:rsid w:val="728704B4"/>
    <w:rsid w:val="729D51F3"/>
    <w:rsid w:val="72C97059"/>
    <w:rsid w:val="72CE1C3F"/>
    <w:rsid w:val="72D463E5"/>
    <w:rsid w:val="72D7600A"/>
    <w:rsid w:val="72D96D82"/>
    <w:rsid w:val="72ED20C8"/>
    <w:rsid w:val="72F64E63"/>
    <w:rsid w:val="73140AA3"/>
    <w:rsid w:val="73311D65"/>
    <w:rsid w:val="736E2ADE"/>
    <w:rsid w:val="73F23F99"/>
    <w:rsid w:val="73F31593"/>
    <w:rsid w:val="73F54826"/>
    <w:rsid w:val="741C1FF6"/>
    <w:rsid w:val="74303E73"/>
    <w:rsid w:val="74433410"/>
    <w:rsid w:val="748F1DC6"/>
    <w:rsid w:val="74FE67DF"/>
    <w:rsid w:val="75002C14"/>
    <w:rsid w:val="75220A56"/>
    <w:rsid w:val="753215CA"/>
    <w:rsid w:val="757A5953"/>
    <w:rsid w:val="75872885"/>
    <w:rsid w:val="75882F08"/>
    <w:rsid w:val="75914370"/>
    <w:rsid w:val="759565EC"/>
    <w:rsid w:val="75D04741"/>
    <w:rsid w:val="75E41BCE"/>
    <w:rsid w:val="7603147C"/>
    <w:rsid w:val="7686701A"/>
    <w:rsid w:val="76971B73"/>
    <w:rsid w:val="76D811B0"/>
    <w:rsid w:val="76E424E5"/>
    <w:rsid w:val="76FC37FF"/>
    <w:rsid w:val="772120EC"/>
    <w:rsid w:val="77332259"/>
    <w:rsid w:val="778C0609"/>
    <w:rsid w:val="77AF4622"/>
    <w:rsid w:val="77C13CCC"/>
    <w:rsid w:val="77DC1ED3"/>
    <w:rsid w:val="77FB3873"/>
    <w:rsid w:val="78056576"/>
    <w:rsid w:val="7843143D"/>
    <w:rsid w:val="78532E60"/>
    <w:rsid w:val="788334CC"/>
    <w:rsid w:val="78A0407E"/>
    <w:rsid w:val="78AE1E39"/>
    <w:rsid w:val="78C52452"/>
    <w:rsid w:val="7905039E"/>
    <w:rsid w:val="794A1E31"/>
    <w:rsid w:val="7A797843"/>
    <w:rsid w:val="7AAC329A"/>
    <w:rsid w:val="7ABE7275"/>
    <w:rsid w:val="7AC10747"/>
    <w:rsid w:val="7AF97C89"/>
    <w:rsid w:val="7B021B38"/>
    <w:rsid w:val="7B144A8C"/>
    <w:rsid w:val="7B422AFF"/>
    <w:rsid w:val="7B4B1689"/>
    <w:rsid w:val="7B5C6DE0"/>
    <w:rsid w:val="7B9652C4"/>
    <w:rsid w:val="7BC61360"/>
    <w:rsid w:val="7BE3574C"/>
    <w:rsid w:val="7BEC1388"/>
    <w:rsid w:val="7BF91FCC"/>
    <w:rsid w:val="7BFB7156"/>
    <w:rsid w:val="7C105E75"/>
    <w:rsid w:val="7C2130EA"/>
    <w:rsid w:val="7C27505A"/>
    <w:rsid w:val="7C5979E1"/>
    <w:rsid w:val="7C891DB3"/>
    <w:rsid w:val="7E0646FB"/>
    <w:rsid w:val="7E3D474A"/>
    <w:rsid w:val="7E551114"/>
    <w:rsid w:val="7ECD2834"/>
    <w:rsid w:val="7F0D32E7"/>
    <w:rsid w:val="FDED4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4">
    <w:name w:val="heading 1"/>
    <w:basedOn w:val="1"/>
    <w:next w:val="1"/>
    <w:link w:val="54"/>
    <w:qFormat/>
    <w:uiPriority w:val="0"/>
    <w:pPr>
      <w:keepNext/>
      <w:snapToGrid w:val="0"/>
      <w:spacing w:line="360" w:lineRule="atLeast"/>
      <w:jc w:val="center"/>
      <w:outlineLvl w:val="0"/>
    </w:pPr>
    <w:rPr>
      <w:rFonts w:ascii="宋体" w:hAnsi="宋体" w:eastAsia="黑体"/>
      <w:b/>
      <w:kern w:val="0"/>
      <w:sz w:val="36"/>
    </w:rPr>
  </w:style>
  <w:style w:type="paragraph" w:styleId="5">
    <w:name w:val="heading 2"/>
    <w:basedOn w:val="1"/>
    <w:next w:val="1"/>
    <w:link w:val="6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Plain Text"/>
    <w:basedOn w:val="1"/>
    <w:qFormat/>
    <w:uiPriority w:val="0"/>
    <w:rPr>
      <w:rFonts w:ascii="宋体" w:hAnsi="Courier New"/>
      <w:sz w:val="21"/>
    </w:rPr>
  </w:style>
  <w:style w:type="paragraph" w:styleId="8">
    <w:name w:val="Normal Indent"/>
    <w:basedOn w:val="1"/>
    <w:next w:val="1"/>
    <w:qFormat/>
    <w:uiPriority w:val="0"/>
    <w:pPr>
      <w:adjustRightInd w:val="0"/>
      <w:snapToGrid w:val="0"/>
      <w:spacing w:line="360" w:lineRule="auto"/>
      <w:ind w:firstLine="420"/>
    </w:pPr>
    <w:rPr>
      <w:sz w:val="24"/>
    </w:rPr>
  </w:style>
  <w:style w:type="paragraph" w:styleId="9">
    <w:name w:val="annotation text"/>
    <w:basedOn w:val="1"/>
    <w:qFormat/>
    <w:uiPriority w:val="0"/>
    <w:pPr>
      <w:widowControl/>
      <w:tabs>
        <w:tab w:val="left" w:pos="1134"/>
      </w:tabs>
      <w:adjustRightInd w:val="0"/>
      <w:snapToGrid w:val="0"/>
      <w:spacing w:line="280" w:lineRule="atLeast"/>
      <w:jc w:val="left"/>
    </w:pPr>
    <w:rPr>
      <w:rFonts w:eastAsia="PMingLiU"/>
      <w:kern w:val="0"/>
      <w:sz w:val="24"/>
      <w:szCs w:val="20"/>
      <w:lang w:eastAsia="zh-TW"/>
    </w:rPr>
  </w:style>
  <w:style w:type="paragraph" w:styleId="10">
    <w:name w:val="Body Text 3"/>
    <w:basedOn w:val="1"/>
    <w:qFormat/>
    <w:uiPriority w:val="0"/>
    <w:pPr>
      <w:adjustRightInd w:val="0"/>
      <w:snapToGrid w:val="0"/>
      <w:spacing w:after="120" w:afterLines="0" w:afterAutospacing="0" w:line="360" w:lineRule="auto"/>
    </w:pPr>
    <w:rPr>
      <w:sz w:val="16"/>
    </w:rPr>
  </w:style>
  <w:style w:type="paragraph" w:styleId="11">
    <w:name w:val="Body Text"/>
    <w:basedOn w:val="1"/>
    <w:next w:val="1"/>
    <w:qFormat/>
    <w:uiPriority w:val="0"/>
    <w:rPr>
      <w:sz w:val="26"/>
    </w:rPr>
  </w:style>
  <w:style w:type="paragraph" w:styleId="12">
    <w:name w:val="Body Text Indent"/>
    <w:basedOn w:val="1"/>
    <w:qFormat/>
    <w:uiPriority w:val="0"/>
    <w:pPr>
      <w:spacing w:line="700" w:lineRule="exact"/>
      <w:ind w:left="960"/>
    </w:pPr>
    <w:rPr>
      <w:sz w:val="44"/>
    </w:rPr>
  </w:style>
  <w:style w:type="paragraph" w:styleId="13">
    <w:name w:val="toc 3"/>
    <w:basedOn w:val="1"/>
    <w:next w:val="1"/>
    <w:qFormat/>
    <w:uiPriority w:val="0"/>
    <w:pPr>
      <w:ind w:left="840" w:leftChars="400"/>
    </w:pPr>
  </w:style>
  <w:style w:type="paragraph" w:styleId="14">
    <w:name w:val="Date"/>
    <w:basedOn w:val="1"/>
    <w:next w:val="1"/>
    <w:qFormat/>
    <w:uiPriority w:val="0"/>
  </w:style>
  <w:style w:type="paragraph" w:styleId="15">
    <w:name w:val="Body Text Indent 2"/>
    <w:basedOn w:val="1"/>
    <w:qFormat/>
    <w:uiPriority w:val="0"/>
    <w:pPr>
      <w:snapToGrid w:val="0"/>
      <w:spacing w:line="560" w:lineRule="atLeast"/>
      <w:ind w:firstLine="54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pPr>
      <w:spacing w:line="180" w:lineRule="auto"/>
      <w:jc w:val="center"/>
    </w:pPr>
    <w:rPr>
      <w:sz w:val="30"/>
    </w:rPr>
  </w:style>
  <w:style w:type="paragraph" w:styleId="19">
    <w:name w:val="index 9"/>
    <w:basedOn w:val="1"/>
    <w:next w:val="1"/>
    <w:qFormat/>
    <w:uiPriority w:val="0"/>
    <w:pPr>
      <w:ind w:left="1600" w:leftChars="1600"/>
    </w:pPr>
  </w:style>
  <w:style w:type="paragraph" w:styleId="20">
    <w:name w:val="toc 2"/>
    <w:basedOn w:val="1"/>
    <w:next w:val="1"/>
    <w:qFormat/>
    <w:uiPriority w:val="0"/>
    <w:pPr>
      <w:ind w:left="420" w:leftChars="200"/>
    </w:pPr>
  </w:style>
  <w:style w:type="paragraph" w:styleId="21">
    <w:name w:val="HTML Preformatted"/>
    <w:basedOn w:val="1"/>
    <w:unhideWhenUsed/>
    <w:qFormat/>
    <w:uiPriority w:val="99"/>
    <w:rPr>
      <w:rFonts w:ascii="Courier New" w:hAnsi="Courier New"/>
      <w:sz w:val="20"/>
      <w:szCs w:val="24"/>
    </w:rPr>
  </w:style>
  <w:style w:type="paragraph" w:styleId="22">
    <w:name w:val="Normal (Web)"/>
    <w:basedOn w:val="1"/>
    <w:qFormat/>
    <w:uiPriority w:val="0"/>
    <w:pPr>
      <w:jc w:val="left"/>
    </w:pPr>
    <w:rPr>
      <w:rFonts w:ascii="Calibri" w:hAnsi="Calibri" w:cs="Calibri"/>
      <w:kern w:val="0"/>
      <w:sz w:val="24"/>
      <w:szCs w:val="24"/>
    </w:rPr>
  </w:style>
  <w:style w:type="paragraph" w:styleId="23">
    <w:name w:val="Body Text First Indent"/>
    <w:basedOn w:val="11"/>
    <w:next w:val="1"/>
    <w:qFormat/>
    <w:uiPriority w:val="0"/>
    <w:pPr>
      <w:spacing w:line="360" w:lineRule="auto"/>
      <w:ind w:firstLine="420"/>
    </w:pPr>
    <w:rPr>
      <w:rFonts w:ascii="宋体" w:hAnsi="宋体"/>
      <w:sz w:val="24"/>
    </w:rPr>
  </w:style>
  <w:style w:type="paragraph" w:styleId="24">
    <w:name w:val="Body Text First Indent 2"/>
    <w:basedOn w:val="12"/>
    <w:qFormat/>
    <w:uiPriority w:val="0"/>
    <w:pPr>
      <w:spacing w:after="120" w:afterLines="0" w:afterAutospacing="0" w:line="240" w:lineRule="auto"/>
      <w:ind w:left="420" w:leftChars="200" w:firstLine="420" w:firstLineChars="200"/>
    </w:pPr>
    <w:rPr>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qFormat/>
    <w:uiPriority w:val="0"/>
    <w:rPr>
      <w:color w:val="0000FF"/>
      <w:u w:val="single"/>
    </w:rPr>
  </w:style>
  <w:style w:type="character" w:styleId="37">
    <w:name w:val="HTML Code"/>
    <w:basedOn w:val="27"/>
    <w:qFormat/>
    <w:uiPriority w:val="0"/>
    <w:rPr>
      <w:rFonts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hint="default" w:ascii="monospace" w:hAnsi="monospace" w:eastAsia="monospace" w:cs="monospace"/>
    </w:rPr>
  </w:style>
  <w:style w:type="paragraph" w:customStyle="1" w:styleId="41">
    <w:name w:val="索引 51"/>
    <w:basedOn w:val="1"/>
    <w:next w:val="1"/>
    <w:qFormat/>
    <w:uiPriority w:val="0"/>
    <w:pPr>
      <w:ind w:left="1680"/>
    </w:pPr>
  </w:style>
  <w:style w:type="paragraph" w:customStyle="1" w:styleId="42">
    <w:name w:val="标题 5（有编号）（绿盟科技）"/>
    <w:basedOn w:val="1"/>
    <w:next w:val="43"/>
    <w:qFormat/>
    <w:uiPriority w:val="0"/>
    <w:pPr>
      <w:keepNext/>
      <w:keepLines/>
      <w:numPr>
        <w:ilvl w:val="4"/>
        <w:numId w:val="1"/>
      </w:numPr>
      <w:tabs>
        <w:tab w:val="left" w:pos="2100"/>
      </w:tabs>
      <w:spacing w:before="280" w:after="156" w:line="377" w:lineRule="auto"/>
      <w:outlineLvl w:val="4"/>
    </w:pPr>
    <w:rPr>
      <w:rFonts w:ascii="Arial" w:hAnsi="Arial" w:eastAsia="黑体"/>
      <w:b/>
      <w:kern w:val="0"/>
      <w:szCs w:val="28"/>
    </w:rPr>
  </w:style>
  <w:style w:type="paragraph" w:customStyle="1" w:styleId="4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4">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45">
    <w:name w:val="1"/>
    <w:basedOn w:val="1"/>
    <w:next w:val="3"/>
    <w:qFormat/>
    <w:uiPriority w:val="0"/>
    <w:rPr>
      <w:rFonts w:ascii="宋体" w:hAnsi="Courier New"/>
      <w:sz w:val="21"/>
    </w:rPr>
  </w:style>
  <w:style w:type="character" w:customStyle="1" w:styleId="46">
    <w:name w:val="标题 2 Char"/>
    <w:link w:val="5"/>
    <w:qFormat/>
    <w:uiPriority w:val="0"/>
    <w:rPr>
      <w:rFonts w:ascii="Arial" w:hAnsi="Arial" w:eastAsia="黑体"/>
      <w:b/>
      <w:sz w:val="32"/>
    </w:rPr>
  </w:style>
  <w:style w:type="paragraph" w:customStyle="1" w:styleId="47">
    <w:name w:val="List Paragraph"/>
    <w:basedOn w:val="1"/>
    <w:qFormat/>
    <w:uiPriority w:val="0"/>
    <w:pPr>
      <w:ind w:firstLine="420" w:firstLineChars="200"/>
    </w:pPr>
    <w:rPr>
      <w:rFonts w:ascii="Calibri" w:hAnsi="Calibri" w:cs="Calibri"/>
    </w:rPr>
  </w:style>
  <w:style w:type="paragraph" w:customStyle="1" w:styleId="48">
    <w:name w:val="正文2"/>
    <w:basedOn w:val="1"/>
    <w:qFormat/>
    <w:uiPriority w:val="0"/>
    <w:pPr>
      <w:ind w:firstLine="600" w:firstLineChars="600"/>
    </w:pPr>
  </w:style>
  <w:style w:type="paragraph" w:customStyle="1" w:styleId="49">
    <w:name w:val="封一"/>
    <w:basedOn w:val="1"/>
    <w:qFormat/>
    <w:uiPriority w:val="0"/>
    <w:pPr>
      <w:spacing w:line="240" w:lineRule="auto"/>
      <w:ind w:firstLine="0" w:firstLineChars="0"/>
      <w:jc w:val="center"/>
    </w:pPr>
    <w:rPr>
      <w:rFonts w:ascii="黑体" w:hAnsi="黑体" w:eastAsia="黑体"/>
      <w:sz w:val="84"/>
      <w:szCs w:val="84"/>
    </w:rPr>
  </w:style>
  <w:style w:type="paragraph" w:customStyle="1" w:styleId="50">
    <w:name w:val="封二"/>
    <w:basedOn w:val="1"/>
    <w:qFormat/>
    <w:uiPriority w:val="0"/>
    <w:pPr>
      <w:spacing w:line="240" w:lineRule="auto"/>
      <w:ind w:left="480" w:leftChars="200" w:firstLine="0" w:firstLineChars="0"/>
    </w:pPr>
    <w:rPr>
      <w:rFonts w:ascii="仿宋_GB2312"/>
      <w:b/>
      <w:sz w:val="32"/>
      <w:szCs w:val="32"/>
    </w:rPr>
  </w:style>
  <w:style w:type="character" w:customStyle="1" w:styleId="51">
    <w:name w:val="active1"/>
    <w:basedOn w:val="27"/>
    <w:qFormat/>
    <w:uiPriority w:val="0"/>
    <w:rPr>
      <w:color w:val="FFFFFF"/>
      <w:shd w:val="clear" w:fill="E02F23"/>
    </w:rPr>
  </w:style>
  <w:style w:type="paragraph" w:customStyle="1" w:styleId="52">
    <w:name w:val="正文首行缩进两字符"/>
    <w:basedOn w:val="1"/>
    <w:qFormat/>
    <w:uiPriority w:val="0"/>
    <w:pPr>
      <w:tabs>
        <w:tab w:val="left" w:pos="0"/>
      </w:tabs>
      <w:spacing w:line="360" w:lineRule="auto"/>
      <w:ind w:firstLine="200" w:firstLineChars="200"/>
    </w:pPr>
    <w:rPr>
      <w:szCs w:val="20"/>
    </w:rPr>
  </w:style>
  <w:style w:type="paragraph" w:customStyle="1" w:styleId="53">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54">
    <w:name w:val="标题 1 字符"/>
    <w:link w:val="4"/>
    <w:qFormat/>
    <w:uiPriority w:val="0"/>
    <w:rPr>
      <w:rFonts w:ascii="宋体" w:hAnsi="宋体" w:eastAsia="黑体"/>
      <w:b/>
      <w:kern w:val="0"/>
      <w:sz w:val="36"/>
    </w:rPr>
  </w:style>
  <w:style w:type="paragraph" w:customStyle="1" w:styleId="55">
    <w:name w:val="开评标用项目名称"/>
    <w:basedOn w:val="4"/>
    <w:qFormat/>
    <w:uiPriority w:val="0"/>
    <w:pPr>
      <w:outlineLvl w:val="9"/>
    </w:pPr>
    <w:rPr>
      <w:rFonts w:ascii="Times New Roman" w:hAnsi="Times New Roman" w:eastAsia="宋体" w:cs="Times New Roman"/>
    </w:rPr>
  </w:style>
  <w:style w:type="paragraph" w:customStyle="1" w:styleId="56">
    <w:name w:val="Other|1"/>
    <w:basedOn w:val="1"/>
    <w:qFormat/>
    <w:uiPriority w:val="0"/>
    <w:pPr>
      <w:spacing w:line="406" w:lineRule="auto"/>
      <w:ind w:firstLine="400"/>
    </w:pPr>
    <w:rPr>
      <w:rFonts w:ascii="宋体" w:hAnsi="宋体" w:cs="宋体"/>
      <w:sz w:val="30"/>
      <w:szCs w:val="30"/>
      <w:lang w:val="zh-TW" w:eastAsia="zh-TW" w:bidi="zh-TW"/>
    </w:rPr>
  </w:style>
  <w:style w:type="character" w:customStyle="1" w:styleId="57">
    <w:name w:val="font21"/>
    <w:basedOn w:val="27"/>
    <w:qFormat/>
    <w:uiPriority w:val="0"/>
    <w:rPr>
      <w:rFonts w:hint="eastAsia" w:ascii="宋体" w:hAnsi="宋体" w:eastAsia="宋体" w:cs="宋体"/>
      <w:color w:val="000000"/>
      <w:sz w:val="16"/>
      <w:szCs w:val="16"/>
      <w:u w:val="none"/>
    </w:rPr>
  </w:style>
  <w:style w:type="character" w:customStyle="1" w:styleId="58">
    <w:name w:val="font31"/>
    <w:basedOn w:val="27"/>
    <w:qFormat/>
    <w:uiPriority w:val="0"/>
    <w:rPr>
      <w:rFonts w:hint="default" w:ascii="Times New Roman" w:hAnsi="Times New Roman" w:cs="Times New Roman"/>
      <w:color w:val="000000"/>
      <w:sz w:val="16"/>
      <w:szCs w:val="16"/>
      <w:u w:val="none"/>
    </w:rPr>
  </w:style>
  <w:style w:type="paragraph" w:styleId="5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0">
    <w:name w:val="Table Text"/>
    <w:basedOn w:val="1"/>
    <w:semiHidden/>
    <w:qFormat/>
    <w:uiPriority w:val="0"/>
    <w:rPr>
      <w:rFonts w:ascii="Times New Roman" w:hAnsi="Times New Roman" w:eastAsia="Times New Roman" w:cs="Times New Roman"/>
      <w:sz w:val="24"/>
      <w:szCs w:val="24"/>
      <w:lang w:val="en-US" w:eastAsia="en-US" w:bidi="ar-SA"/>
    </w:rPr>
  </w:style>
  <w:style w:type="table" w:customStyle="1" w:styleId="61">
    <w:name w:val="Table Normal"/>
    <w:unhideWhenUsed/>
    <w:qFormat/>
    <w:uiPriority w:val="0"/>
    <w:tblPr>
      <w:tblCellMar>
        <w:top w:w="0" w:type="dxa"/>
        <w:left w:w="0" w:type="dxa"/>
        <w:bottom w:w="0" w:type="dxa"/>
        <w:right w:w="0" w:type="dxa"/>
      </w:tblCellMar>
    </w:tblPr>
  </w:style>
  <w:style w:type="character" w:customStyle="1" w:styleId="62">
    <w:name w:val="font11"/>
    <w:basedOn w:val="27"/>
    <w:qFormat/>
    <w:uiPriority w:val="0"/>
    <w:rPr>
      <w:rFonts w:hint="eastAsia" w:ascii="宋体" w:hAnsi="宋体" w:eastAsia="宋体" w:cs="宋体"/>
      <w:color w:val="000000"/>
      <w:sz w:val="18"/>
      <w:szCs w:val="18"/>
      <w:u w:val="none"/>
    </w:rPr>
  </w:style>
  <w:style w:type="character" w:customStyle="1" w:styleId="63">
    <w:name w:val="标题 2 字符"/>
    <w:link w:val="5"/>
    <w:qFormat/>
    <w:locked/>
    <w:uiPriority w:val="99"/>
    <w:rPr>
      <w:rFonts w:ascii="Arial" w:hAnsi="Arial" w:eastAsia="黑体" w:cs="Arial"/>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14549</Words>
  <Characters>15008</Characters>
  <Lines>0</Lines>
  <Paragraphs>0</Paragraphs>
  <TotalTime>52</TotalTime>
  <ScaleCrop>false</ScaleCrop>
  <LinksUpToDate>false</LinksUpToDate>
  <CharactersWithSpaces>15561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2017-03-02T10:32:00Z</dcterms:created>
  <dc:creator>Administrator</dc:creator>
  <cp:lastModifiedBy>Administrator</cp:lastModifiedBy>
  <cp:lastPrinted>2025-05-21T01:44:00Z</cp:lastPrinted>
  <dcterms:modified xsi:type="dcterms:W3CDTF">2025-08-25T03:44:51Z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B011B2A2E951478FAFE439807C5E0F3E_13</vt:lpwstr>
  </property>
  <property fmtid="{D5CDD505-2E9C-101B-9397-08002B2CF9AE}" pid="4" name="KSOTemplateDocerSaveRecord">
    <vt:lpwstr>eyJoZGlkIjoiYmYzMjdjMTc1MmUyMDhiYmVhYmE0ZjliZjgyYTVlM2YifQ==</vt:lpwstr>
  </property>
</Properties>
</file>