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8634">
      <w:pPr>
        <w:jc w:val="center"/>
        <w:rPr>
          <w:rFonts w:asciiTheme="minorEastAsia" w:hAnsiTheme="minorEastAsia"/>
          <w:b/>
          <w:shd w:val="pct10" w:color="auto" w:fill="FFFFFF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  <w:lang w:val="en-US" w:eastAsia="zh-CN"/>
        </w:rPr>
        <w:t>网络安全设备特征库升级服务</w:t>
      </w:r>
    </w:p>
    <w:p w14:paraId="6340493D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一、采购清单</w:t>
      </w:r>
    </w:p>
    <w:tbl>
      <w:tblPr>
        <w:tblStyle w:val="11"/>
        <w:tblpPr w:leftFromText="180" w:rightFromText="180" w:vertAnchor="text" w:tblpY="1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45"/>
        <w:gridCol w:w="1450"/>
        <w:gridCol w:w="1560"/>
      </w:tblGrid>
      <w:tr w14:paraId="5E94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7772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序号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2873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312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数量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75FB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</w:t>
            </w:r>
          </w:p>
        </w:tc>
      </w:tr>
      <w:tr w14:paraId="4A32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6B53D8C9">
            <w:pPr>
              <w:widowControl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A73CA">
            <w:pPr>
              <w:widowControl/>
              <w:spacing w:line="340" w:lineRule="exact"/>
              <w:jc w:val="center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入侵防御系统升级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8F5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/>
            <w:vAlign w:val="bottom"/>
          </w:tcPr>
          <w:p w14:paraId="24CAAE88">
            <w:pPr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2146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72152163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7564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应用安全网关系统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55C0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BDE1CF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4D50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48A1A371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8D48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脆弱性扫描与管理系统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F0C9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AC8586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3A88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5989EB45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EE4EE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Web应用安全防护系统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C3EDF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D1C489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526A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2E50C9D6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A7A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终端威胁防御系统扩容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72048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42EF5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</w:tbl>
    <w:p w14:paraId="695D627F">
      <w:pPr>
        <w:rPr>
          <w:rFonts w:asciiTheme="minorEastAsia" w:hAnsiTheme="minorEastAsia"/>
          <w:b/>
          <w:shd w:val="pct10" w:color="auto" w:fill="FFFFFF"/>
        </w:rPr>
      </w:pPr>
    </w:p>
    <w:p w14:paraId="42847B3F">
      <w:pPr>
        <w:tabs>
          <w:tab w:val="center" w:pos="2704"/>
        </w:tabs>
        <w:rPr>
          <w:rFonts w:asciiTheme="minorEastAsia" w:hAnsiTheme="minorEastAsia"/>
          <w:b/>
          <w:shd w:val="pct10" w:color="auto" w:fill="FFFFFF"/>
        </w:rPr>
      </w:pPr>
    </w:p>
    <w:p w14:paraId="77B2D7DE">
      <w:pPr>
        <w:tabs>
          <w:tab w:val="center" w:pos="2704"/>
        </w:tabs>
        <w:rPr>
          <w:rFonts w:asciiTheme="minorEastAsia" w:hAnsiTheme="minorEastAsia"/>
          <w:b/>
          <w:shd w:val="pct10" w:color="auto" w:fill="FFFFFF"/>
        </w:rPr>
      </w:pPr>
      <w:r>
        <w:rPr>
          <w:rFonts w:asciiTheme="minorEastAsia" w:hAnsiTheme="minorEastAsia"/>
          <w:b/>
          <w:shd w:val="pct10" w:color="auto" w:fill="FFFFFF"/>
        </w:rPr>
        <w:br w:type="textWrapping" w:clear="all"/>
      </w:r>
    </w:p>
    <w:p w14:paraId="71B64FD1">
      <w:pPr>
        <w:rPr>
          <w:rFonts w:asciiTheme="minorEastAsia" w:hAnsiTheme="minorEastAsia"/>
          <w:b/>
          <w:shd w:val="pct10" w:color="auto" w:fill="FFFFFF"/>
        </w:rPr>
      </w:pPr>
    </w:p>
    <w:p w14:paraId="3CBFDD71">
      <w:pPr>
        <w:rPr>
          <w:rFonts w:asciiTheme="minorEastAsia" w:hAnsiTheme="minorEastAsia"/>
          <w:b/>
          <w:shd w:val="pct10" w:color="auto" w:fill="FFFFFF"/>
        </w:rPr>
      </w:pPr>
    </w:p>
    <w:p w14:paraId="1FDCB21B">
      <w:pPr>
        <w:rPr>
          <w:rFonts w:asciiTheme="minorEastAsia" w:hAnsiTheme="minorEastAsia"/>
          <w:b/>
          <w:shd w:val="pct10" w:color="auto" w:fill="FFFFFF"/>
        </w:rPr>
      </w:pPr>
    </w:p>
    <w:p w14:paraId="7BDBCF5E">
      <w:pPr>
        <w:rPr>
          <w:rFonts w:asciiTheme="minorEastAsia" w:hAnsiTheme="minorEastAsia"/>
          <w:b/>
          <w:shd w:val="pct10" w:color="auto" w:fill="FFFFFF"/>
        </w:rPr>
      </w:pPr>
    </w:p>
    <w:p w14:paraId="14D0C761">
      <w:pPr>
        <w:tabs>
          <w:tab w:val="left" w:pos="8590"/>
        </w:tabs>
        <w:spacing w:line="240" w:lineRule="auto"/>
        <w:rPr>
          <w:rFonts w:asciiTheme="minorEastAsia" w:hAnsiTheme="minorEastAsia"/>
          <w:b/>
          <w:shd w:val="pct10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A05046">
      <w:pPr>
        <w:tabs>
          <w:tab w:val="left" w:pos="8590"/>
        </w:tabs>
        <w:spacing w:line="240" w:lineRule="auto"/>
        <w:rPr>
          <w:rFonts w:hint="eastAsia" w:asciiTheme="minorEastAsia" w:hAnsiTheme="minorEastAsia"/>
          <w:b/>
          <w:shd w:val="pct10" w:color="auto" w:fill="FFFFFF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二</w:t>
      </w:r>
      <w:r>
        <w:rPr>
          <w:rFonts w:ascii="仿宋" w:hAnsi="仿宋" w:eastAsia="仿宋" w:cs="Times New Roman"/>
          <w:b/>
          <w:bCs/>
          <w:sz w:val="28"/>
          <w:szCs w:val="32"/>
        </w:rPr>
        <w:t>、招投标参数</w:t>
      </w:r>
    </w:p>
    <w:tbl>
      <w:tblPr>
        <w:tblStyle w:val="11"/>
        <w:tblW w:w="134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70"/>
        <w:gridCol w:w="1861"/>
        <w:gridCol w:w="5859"/>
        <w:gridCol w:w="655"/>
        <w:gridCol w:w="1039"/>
        <w:gridCol w:w="1030"/>
        <w:gridCol w:w="819"/>
      </w:tblGrid>
      <w:tr w14:paraId="49DB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1DD8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5B5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服务内容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D2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型号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1410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需求描述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6B2B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数量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CD92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单价(元)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0129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合价(元)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F09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 w14:paraId="7F69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D51C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04AC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入侵防御系统升级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8119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入侵防御系统升级TopIDP3000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0EBD2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1、特征库升级授权：IDP攻击规则库1年升级许可(包含应用识别库）；</w:t>
            </w:r>
          </w:p>
          <w:p w14:paraId="78EFD22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58ED0E52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3、能够检测包括溢出攻击类、RPC攻击类、WEBCGI攻击类、拒绝服务类、木马类、蠕虫类、扫描类、网络访问类、HTTP攻击类、系统漏洞类等在内的超过5900+种攻击事件；</w:t>
            </w:r>
          </w:p>
          <w:p w14:paraId="7345D6E9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4、支持攻击报文取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证功能，检测到攻击事件后将原始报文完整记录下来，作为电子证据；</w:t>
            </w:r>
          </w:p>
          <w:p w14:paraId="51C15BE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5、支持黑名单，将攻击源加入黑名单，一段时间内禁止访问；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6CB8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1549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028D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D468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60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DB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D826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应用安全网关系统升级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16D66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应用安全网关系统升级</w:t>
            </w:r>
          </w:p>
          <w:p w14:paraId="4A9E980C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TopGate500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74056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1、特征库升级授权：IDP特征库、WEB过滤库、专业版快速扫描查杀防病毒库、应用识别特征库1年升级服务许可；</w:t>
            </w:r>
          </w:p>
          <w:p w14:paraId="74B64AB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3E906AF4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3、支持针对地址、应用设置入侵防御白名单，支持攻击规则搜索以及自定义规则，自定义规则支持导入导出；</w:t>
            </w:r>
          </w:p>
          <w:p w14:paraId="50A7309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4、支持针对IP、ICMP、TCP、UDP、DNS、HTTP、HTTPS、SIP、NTP等协议进行DDOS防护；支持预定义和自定义策略模板；</w:t>
            </w:r>
          </w:p>
          <w:p w14:paraId="6816ACE6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5、支持自定义URL分类和地址，支持URL黑/白名单，支持自定义阻断页面；</w:t>
            </w:r>
          </w:p>
          <w:p w14:paraId="076E7F00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6、支持对HTTP/SMTP/POP3/FTP/IMAP/IM等协议进行病毒防御；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B738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C762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DC64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D4F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BAF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BF6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2A7C2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脆弱性扫描与管理系统升级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5B410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脆弱性扫描与管理系统升级</w:t>
            </w:r>
          </w:p>
          <w:p w14:paraId="78FB77C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TopScanner7000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001C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1、特征库升级授权：WEB扫描TSC系列1年授权升级服务；</w:t>
            </w:r>
          </w:p>
          <w:p w14:paraId="6824E587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298E211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3、系统漏洞库支持多种设备类型，包含打印机类、网络设备类、安全设备类、应用安全类等；其中打印机漏洞包括:惠普、三星、理光、佳能、利盟、东芝、兄弟等；</w:t>
            </w:r>
          </w:p>
          <w:p w14:paraId="115C0681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4、主流安全设备及网络设备漏洞包括:华为、华三、迪普、思科、迈普、飞塔、山石、绿盟、启明星辰等。主流视频监控设备漏洞包括:大华、海康、宇视等；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038B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9495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6A8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BABD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1D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D8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5717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Web应用安全防护系统升级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C8748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Web应用安全防护系统升级</w:t>
            </w:r>
          </w:p>
          <w:p w14:paraId="6F2CA0A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TopWAF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A9651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1、特征库升级授权：WAF产品特征库1年升级License；</w:t>
            </w:r>
          </w:p>
          <w:p w14:paraId="717658D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137D7D6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3、支持基线学习，可以自动学习用户http正常流量阈值模型，并给出推荐阈值配置项；</w:t>
            </w:r>
          </w:p>
          <w:p w14:paraId="679F70E3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4、对DDoS流量支持检测清洗和强制防御两种模式，检测清洗根据是否到达阈值对流量进行清洗，强制清洗对所有流量直接进行流量清洗判断；</w:t>
            </w:r>
          </w:p>
          <w:p w14:paraId="6F25A1F9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5、支持虚拟补丁功能，支持导入WAF内置扫描器及appscan、w3af等第三方扫描器的扫描结果生成WAF的防护规则，对此类网站漏洞直接防护；</w:t>
            </w:r>
          </w:p>
          <w:p w14:paraId="0BB69215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6、支持日志敏感信息脱敏，记录日志时将敏感数据替换为某个特定字符；</w:t>
            </w:r>
          </w:p>
          <w:p w14:paraId="46728BFC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、支持网关型网页防篡改，无需在服务器中安装任何插件，即可对网站文件内容进行篡改防护，当检测到篡改后可以实时恢复篡改内容。在代理模式下支持缓存型网页篡改防护，WAF通过将缓存的网站页面返回给客户端，从而保证客户端无法看到被非法篡改的页面，来做到网页篡改防护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FB1E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BD9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77A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C211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EA9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278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AC90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终端威胁防御系统扩容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0854F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终端威胁防御系统扩容</w:t>
            </w:r>
          </w:p>
          <w:p w14:paraId="5248325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Windows EDR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D609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1、70个终端威胁防御系统（WindowsServer客户端）3年升级服务；</w:t>
            </w:r>
          </w:p>
          <w:p w14:paraId="362A80A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2、服务时间：3年，在服务期内免费提供7*24小时进规则库更新、策略调整等服务；</w:t>
            </w:r>
          </w:p>
          <w:p w14:paraId="35ADE3A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即时/定时实现客户端病毒查杀，支持下发关机、重启、升级、病毒查杀、重新连接、漏洞扫描、漏洞修复、显示消息、分发设置等操作，并对以上操作配置详情，客户端执行情况跟踪，实现管理中心对客户端的任务状况监控；</w:t>
            </w:r>
          </w:p>
          <w:p w14:paraId="09CDB7DF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定制安全防护策略：包括病毒防御（病毒查杀、文件实时监控、恶意行为监控、U盘保护、下载保护、邮件监控）；系统防御（浏览器保护、软件安装拦截、系统加固）；网络防御（黑客入侵拦截、IP协议控制、恶意网站拦截、IP黑名单）；文档安全（文档检测、文档跟踪、USB存储）；系统监控（设备监控、进程监控、软件监控、服务监控、账号监控、外联监控）；其他设置（心跳配置、管理员配置、升级配置、白名单、补丁配置、弹窗配置）；</w:t>
            </w:r>
          </w:p>
          <w:p w14:paraId="6BAAECDF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5、支持对 webshell 后门进行扫描检测，webshell 后门库数量大于 100000支持设置诱饵文件并实时监控，当勒索病毒对该文件进行加密操作时进行拦截；对系统关键位置进行防护，阻止无文本攻击、流氓软件、广告程序对系统的恶意篡改等行为。从系统文件保护、病毒免疫、进程保护、注册表保护、危险动作拦截、执行防护等多个维度对系统进行防护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4F9E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0D7F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F04B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7215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04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7B0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3BC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87550.00</w:t>
            </w:r>
          </w:p>
        </w:tc>
      </w:tr>
    </w:tbl>
    <w:p w14:paraId="0E4CFCB8">
      <w:pPr>
        <w:widowControl/>
        <w:spacing w:line="240" w:lineRule="auto"/>
        <w:jc w:val="left"/>
        <w:rPr>
          <w:rFonts w:hint="eastAsia" w:asciiTheme="minorEastAsia" w:hAnsiTheme="minorEastAsia"/>
          <w:b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C0C6061">
      <w:pPr>
        <w:widowControl/>
        <w:spacing w:line="240" w:lineRule="auto"/>
        <w:jc w:val="left"/>
        <w:rPr>
          <w:rFonts w:asciiTheme="minorEastAsia" w:hAnsiTheme="minorEastAsia"/>
          <w:b/>
        </w:rPr>
      </w:pPr>
    </w:p>
    <w:p w14:paraId="368D448F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三</w:t>
      </w:r>
      <w:r>
        <w:rPr>
          <w:rFonts w:ascii="仿宋" w:hAnsi="仿宋" w:eastAsia="仿宋" w:cs="Times New Roman"/>
          <w:b/>
          <w:bCs/>
          <w:sz w:val="28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投标报价函</w:t>
      </w:r>
    </w:p>
    <w:p w14:paraId="585F0DD6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2876DA68">
      <w:pPr>
        <w:tabs>
          <w:tab w:val="left" w:pos="8590"/>
        </w:tabs>
        <w:spacing w:line="240" w:lineRule="auto"/>
        <w:rPr>
          <w:rFonts w:hint="eastAsia" w:ascii="仿宋" w:hAnsi="仿宋" w:eastAsia="仿宋" w:cs="Times New Roman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sz w:val="28"/>
          <w:szCs w:val="32"/>
        </w:rPr>
        <w:t>招标项目名称：</w:t>
      </w:r>
      <w:r>
        <w:rPr>
          <w:rFonts w:hint="eastAsia" w:ascii="仿宋" w:hAnsi="仿宋" w:eastAsia="仿宋" w:cs="Times New Roman"/>
          <w:sz w:val="28"/>
          <w:szCs w:val="32"/>
          <w:lang w:eastAsia="zh-CN"/>
        </w:rPr>
        <w:t>学校应急指挥中心监控液晶显示屏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2"/>
      </w:tblGrid>
      <w:tr w14:paraId="4B99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1526" w:type="dxa"/>
            <w:vAlign w:val="center"/>
          </w:tcPr>
          <w:p w14:paraId="06467FAE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投标人名称</w:t>
            </w:r>
          </w:p>
        </w:tc>
        <w:tc>
          <w:tcPr>
            <w:tcW w:w="8102" w:type="dxa"/>
            <w:vAlign w:val="center"/>
          </w:tcPr>
          <w:p w14:paraId="079A6BD1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</w:p>
        </w:tc>
      </w:tr>
      <w:tr w14:paraId="14F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175B8CBD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投标总报价：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元（大写：        </w:t>
            </w:r>
            <w:r>
              <w:rPr>
                <w:rFonts w:ascii="仿宋" w:hAnsi="仿宋" w:eastAsia="仿宋" w:cs="Times New Roman"/>
                <w:sz w:val="28"/>
                <w:szCs w:val="32"/>
                <w:u w:val="single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u w:val="single"/>
              </w:rPr>
              <w:t>。</w:t>
            </w:r>
            <w:r>
              <w:rPr>
                <w:rFonts w:hint="eastAsia" w:ascii="仿宋" w:hAnsi="仿宋" w:eastAsia="仿宋" w:cs="Times New Roman"/>
                <w:b/>
                <w:sz w:val="28"/>
                <w:szCs w:val="32"/>
                <w:u w:val="single"/>
              </w:rPr>
              <w:t>本次招标项目最高</w:t>
            </w:r>
            <w:r>
              <w:rPr>
                <w:rFonts w:ascii="仿宋" w:hAnsi="仿宋" w:eastAsia="仿宋" w:cs="Times New Roman"/>
                <w:b/>
                <w:sz w:val="28"/>
                <w:szCs w:val="32"/>
                <w:u w:val="single"/>
              </w:rPr>
              <w:t>限价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87550.00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元（大写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>人民币：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捌万柒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仟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伍佰伍拾零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元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>整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）。</w:t>
            </w:r>
          </w:p>
          <w:p w14:paraId="7B0E8B68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</w:p>
        </w:tc>
      </w:tr>
      <w:tr w14:paraId="7B6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9628" w:type="dxa"/>
            <w:gridSpan w:val="2"/>
            <w:vAlign w:val="center"/>
          </w:tcPr>
          <w:p w14:paraId="32252C32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备注：</w:t>
            </w:r>
          </w:p>
        </w:tc>
      </w:tr>
    </w:tbl>
    <w:p w14:paraId="149B303B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7C98161C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投标人                            </w:t>
      </w:r>
    </w:p>
    <w:p w14:paraId="6670DCA1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法定代表人或法定代表人授权代表：</w:t>
      </w:r>
    </w:p>
    <w:p w14:paraId="4A2DC72A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 （投标人公章）                              （签字或盖章）</w:t>
      </w:r>
    </w:p>
    <w:p w14:paraId="73A13501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431A4FC7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3C4018A7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                                           年     月     日</w:t>
      </w:r>
    </w:p>
    <w:p w14:paraId="4E4B3641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br w:type="page"/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四</w:t>
      </w:r>
      <w:r>
        <w:rPr>
          <w:rFonts w:ascii="仿宋" w:hAnsi="仿宋" w:eastAsia="仿宋" w:cs="Times New Roman"/>
          <w:b/>
          <w:bCs/>
          <w:sz w:val="28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服务</w:t>
      </w:r>
      <w:r>
        <w:rPr>
          <w:rFonts w:ascii="仿宋" w:hAnsi="仿宋" w:eastAsia="仿宋" w:cs="Times New Roman"/>
          <w:b/>
          <w:bCs/>
          <w:sz w:val="28"/>
          <w:szCs w:val="32"/>
        </w:rPr>
        <w:t>需求承诺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（格式</w:t>
      </w:r>
      <w:r>
        <w:rPr>
          <w:rFonts w:ascii="仿宋" w:hAnsi="仿宋" w:eastAsia="仿宋" w:cs="Times New Roman"/>
          <w:b/>
          <w:bCs/>
          <w:sz w:val="28"/>
          <w:szCs w:val="32"/>
        </w:rPr>
        <w:t>自定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）</w:t>
      </w:r>
    </w:p>
    <w:p w14:paraId="667206BE">
      <w:pPr>
        <w:widowControl/>
        <w:spacing w:line="240" w:lineRule="auto"/>
        <w:jc w:val="left"/>
        <w:rPr>
          <w:rFonts w:asciiTheme="minorEastAsia" w:hAnsiTheme="minor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NTg3ZjM2ZTRmMDA2ZmVjYWIyYjdkZmI4NTU2NzcifQ=="/>
  </w:docVars>
  <w:rsids>
    <w:rsidRoot w:val="00503752"/>
    <w:rsid w:val="000102DE"/>
    <w:rsid w:val="00011611"/>
    <w:rsid w:val="0003077D"/>
    <w:rsid w:val="00044268"/>
    <w:rsid w:val="000672B5"/>
    <w:rsid w:val="000966C0"/>
    <w:rsid w:val="000A274F"/>
    <w:rsid w:val="000D07B6"/>
    <w:rsid w:val="000D3648"/>
    <w:rsid w:val="000D70FA"/>
    <w:rsid w:val="000F33BF"/>
    <w:rsid w:val="001041E3"/>
    <w:rsid w:val="00111AFB"/>
    <w:rsid w:val="001135D8"/>
    <w:rsid w:val="00144DBC"/>
    <w:rsid w:val="00160299"/>
    <w:rsid w:val="00164207"/>
    <w:rsid w:val="001920D4"/>
    <w:rsid w:val="001939C2"/>
    <w:rsid w:val="001F60DA"/>
    <w:rsid w:val="001F6793"/>
    <w:rsid w:val="00207567"/>
    <w:rsid w:val="00225A2E"/>
    <w:rsid w:val="00231AA1"/>
    <w:rsid w:val="00243560"/>
    <w:rsid w:val="00272C2A"/>
    <w:rsid w:val="002964B1"/>
    <w:rsid w:val="00296AED"/>
    <w:rsid w:val="002E6920"/>
    <w:rsid w:val="002F1BEA"/>
    <w:rsid w:val="0031058C"/>
    <w:rsid w:val="00311576"/>
    <w:rsid w:val="00312541"/>
    <w:rsid w:val="00316CD9"/>
    <w:rsid w:val="00326358"/>
    <w:rsid w:val="0034527E"/>
    <w:rsid w:val="003626C1"/>
    <w:rsid w:val="00370BD1"/>
    <w:rsid w:val="003A2315"/>
    <w:rsid w:val="003B15B6"/>
    <w:rsid w:val="003B5FF8"/>
    <w:rsid w:val="003C33EF"/>
    <w:rsid w:val="003D2A09"/>
    <w:rsid w:val="003E7A83"/>
    <w:rsid w:val="003F7E96"/>
    <w:rsid w:val="00400979"/>
    <w:rsid w:val="004045E1"/>
    <w:rsid w:val="00412C92"/>
    <w:rsid w:val="0046369C"/>
    <w:rsid w:val="004B48CE"/>
    <w:rsid w:val="004C5E06"/>
    <w:rsid w:val="004D223C"/>
    <w:rsid w:val="004D70E5"/>
    <w:rsid w:val="004E006B"/>
    <w:rsid w:val="004E07BD"/>
    <w:rsid w:val="004E51F1"/>
    <w:rsid w:val="004E6698"/>
    <w:rsid w:val="00503752"/>
    <w:rsid w:val="005054F5"/>
    <w:rsid w:val="00506D99"/>
    <w:rsid w:val="005112A5"/>
    <w:rsid w:val="005372D4"/>
    <w:rsid w:val="005474EA"/>
    <w:rsid w:val="00553980"/>
    <w:rsid w:val="00567211"/>
    <w:rsid w:val="005825CD"/>
    <w:rsid w:val="005B773C"/>
    <w:rsid w:val="005B7FC4"/>
    <w:rsid w:val="00610AB7"/>
    <w:rsid w:val="006233D1"/>
    <w:rsid w:val="00647B71"/>
    <w:rsid w:val="006510F6"/>
    <w:rsid w:val="00664E68"/>
    <w:rsid w:val="0067708B"/>
    <w:rsid w:val="00684644"/>
    <w:rsid w:val="00693DB4"/>
    <w:rsid w:val="006E1966"/>
    <w:rsid w:val="006F1068"/>
    <w:rsid w:val="0070730F"/>
    <w:rsid w:val="007162AE"/>
    <w:rsid w:val="00731803"/>
    <w:rsid w:val="00736F28"/>
    <w:rsid w:val="00764BA7"/>
    <w:rsid w:val="00766068"/>
    <w:rsid w:val="00767C90"/>
    <w:rsid w:val="00794418"/>
    <w:rsid w:val="007A1400"/>
    <w:rsid w:val="007A423B"/>
    <w:rsid w:val="007D3818"/>
    <w:rsid w:val="007E2D8D"/>
    <w:rsid w:val="007F0F5E"/>
    <w:rsid w:val="007F3CA2"/>
    <w:rsid w:val="0081721E"/>
    <w:rsid w:val="00821FFC"/>
    <w:rsid w:val="00850E8D"/>
    <w:rsid w:val="008573CB"/>
    <w:rsid w:val="00860C91"/>
    <w:rsid w:val="008614FF"/>
    <w:rsid w:val="00861966"/>
    <w:rsid w:val="0086608F"/>
    <w:rsid w:val="008B1E7E"/>
    <w:rsid w:val="008B7722"/>
    <w:rsid w:val="008E7964"/>
    <w:rsid w:val="00925C19"/>
    <w:rsid w:val="00940FA4"/>
    <w:rsid w:val="0094359D"/>
    <w:rsid w:val="00945E1F"/>
    <w:rsid w:val="009651C3"/>
    <w:rsid w:val="00997EA8"/>
    <w:rsid w:val="009C54DC"/>
    <w:rsid w:val="009C6273"/>
    <w:rsid w:val="009C7E09"/>
    <w:rsid w:val="009E3304"/>
    <w:rsid w:val="009F12F9"/>
    <w:rsid w:val="009F7D1D"/>
    <w:rsid w:val="00A00C9B"/>
    <w:rsid w:val="00A053CB"/>
    <w:rsid w:val="00A05EF1"/>
    <w:rsid w:val="00A21CD0"/>
    <w:rsid w:val="00A7008D"/>
    <w:rsid w:val="00A71CED"/>
    <w:rsid w:val="00AC33B5"/>
    <w:rsid w:val="00AD3110"/>
    <w:rsid w:val="00AE7456"/>
    <w:rsid w:val="00AF613A"/>
    <w:rsid w:val="00B17889"/>
    <w:rsid w:val="00B268FD"/>
    <w:rsid w:val="00B539DE"/>
    <w:rsid w:val="00B951D1"/>
    <w:rsid w:val="00BA0BD8"/>
    <w:rsid w:val="00BB2C8A"/>
    <w:rsid w:val="00BC2FE7"/>
    <w:rsid w:val="00C37AC8"/>
    <w:rsid w:val="00C47C92"/>
    <w:rsid w:val="00C50897"/>
    <w:rsid w:val="00C53AB6"/>
    <w:rsid w:val="00C61C1E"/>
    <w:rsid w:val="00C729CF"/>
    <w:rsid w:val="00C97E9D"/>
    <w:rsid w:val="00CC6502"/>
    <w:rsid w:val="00CC7B04"/>
    <w:rsid w:val="00D00FD4"/>
    <w:rsid w:val="00D03CF3"/>
    <w:rsid w:val="00D07286"/>
    <w:rsid w:val="00D20F42"/>
    <w:rsid w:val="00D237D5"/>
    <w:rsid w:val="00D43FAD"/>
    <w:rsid w:val="00D74E91"/>
    <w:rsid w:val="00DB3FF6"/>
    <w:rsid w:val="00DB78D2"/>
    <w:rsid w:val="00DD37E1"/>
    <w:rsid w:val="00DE7747"/>
    <w:rsid w:val="00E0105A"/>
    <w:rsid w:val="00E01C14"/>
    <w:rsid w:val="00E03B51"/>
    <w:rsid w:val="00E14D5F"/>
    <w:rsid w:val="00E21379"/>
    <w:rsid w:val="00E4473F"/>
    <w:rsid w:val="00E504F2"/>
    <w:rsid w:val="00E76276"/>
    <w:rsid w:val="00E80016"/>
    <w:rsid w:val="00E952FF"/>
    <w:rsid w:val="00EA4CE2"/>
    <w:rsid w:val="00ED2321"/>
    <w:rsid w:val="00EE7136"/>
    <w:rsid w:val="00EF13B9"/>
    <w:rsid w:val="00F007C3"/>
    <w:rsid w:val="00F02E28"/>
    <w:rsid w:val="00F11A2F"/>
    <w:rsid w:val="00F559BA"/>
    <w:rsid w:val="00F566AE"/>
    <w:rsid w:val="00F6285E"/>
    <w:rsid w:val="00F63A39"/>
    <w:rsid w:val="00F65370"/>
    <w:rsid w:val="00FB569B"/>
    <w:rsid w:val="00FC462C"/>
    <w:rsid w:val="00FC58AD"/>
    <w:rsid w:val="00FD5B2F"/>
    <w:rsid w:val="00FF65E2"/>
    <w:rsid w:val="02AB78A7"/>
    <w:rsid w:val="04EA08A0"/>
    <w:rsid w:val="091F1013"/>
    <w:rsid w:val="11621A79"/>
    <w:rsid w:val="14D97E30"/>
    <w:rsid w:val="158742DA"/>
    <w:rsid w:val="2A5630FE"/>
    <w:rsid w:val="2EB11513"/>
    <w:rsid w:val="312F422B"/>
    <w:rsid w:val="3E57702D"/>
    <w:rsid w:val="3E68110C"/>
    <w:rsid w:val="500B7CE9"/>
    <w:rsid w:val="591C62AD"/>
    <w:rsid w:val="59247BED"/>
    <w:rsid w:val="6335481B"/>
    <w:rsid w:val="68E1201D"/>
    <w:rsid w:val="6E637613"/>
    <w:rsid w:val="6EAC132B"/>
    <w:rsid w:val="6F12155D"/>
    <w:rsid w:val="702C664F"/>
    <w:rsid w:val="75587B74"/>
    <w:rsid w:val="7B782785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3"/>
    <w:qFormat/>
    <w:uiPriority w:val="99"/>
    <w:pPr>
      <w:keepNext w:val="0"/>
      <w:keepLines w:val="0"/>
      <w:widowControl/>
      <w:spacing w:before="0" w:after="0" w:line="240" w:lineRule="auto"/>
      <w:jc w:val="left"/>
      <w:outlineLvl w:val="1"/>
    </w:pPr>
    <w:rPr>
      <w:rFonts w:ascii="宋体" w:hAnsi="宋体" w:eastAsia="宋体" w:cs="宋体"/>
      <w:color w:val="363636"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  <w:pPr>
      <w:spacing w:line="360" w:lineRule="auto"/>
      <w:ind w:firstLine="960" w:firstLineChars="200"/>
    </w:pPr>
    <w:rPr>
      <w:rFonts w:ascii="仿宋_GB2312" w:hAnsi="仿宋_GB2312"/>
      <w:sz w:val="24"/>
    </w:r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文字 字符"/>
    <w:basedOn w:val="13"/>
    <w:link w:val="4"/>
    <w:qFormat/>
    <w:uiPriority w:val="0"/>
    <w:rPr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11"/>
    <w:qFormat/>
    <w:uiPriority w:val="99"/>
    <w:rPr>
      <w:rFonts w:ascii="Calibri" w:hAnsi="Calibri" w:eastAsia="宋体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批注主题 字符"/>
    <w:basedOn w:val="18"/>
    <w:link w:val="10"/>
    <w:semiHidden/>
    <w:qFormat/>
    <w:uiPriority w:val="99"/>
    <w:rPr>
      <w:b/>
      <w:bCs/>
      <w:kern w:val="2"/>
      <w:sz w:val="21"/>
      <w:szCs w:val="21"/>
    </w:rPr>
  </w:style>
  <w:style w:type="character" w:customStyle="1" w:styleId="23">
    <w:name w:val="标题 2 字符"/>
    <w:basedOn w:val="13"/>
    <w:link w:val="3"/>
    <w:qFormat/>
    <w:uiPriority w:val="99"/>
    <w:rPr>
      <w:rFonts w:ascii="宋体" w:hAnsi="宋体" w:eastAsia="宋体" w:cs="宋体"/>
      <w:b/>
      <w:bCs/>
      <w:color w:val="363636"/>
      <w:sz w:val="28"/>
      <w:szCs w:val="28"/>
    </w:rPr>
  </w:style>
  <w:style w:type="character" w:customStyle="1" w:styleId="24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C145-B4A1-442D-9489-5B3B87621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346</Words>
  <Characters>367</Characters>
  <Lines>18</Lines>
  <Paragraphs>5</Paragraphs>
  <TotalTime>0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2021-05-05T13:30:00Z</dcterms:created>
  <dc:creator>盛志扬</dc:creator>
  <cp:lastModifiedBy>蓝小胖</cp:lastModifiedBy>
  <dcterms:modified xsi:type="dcterms:W3CDTF">2025-11-25T07:08:18Z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E7A41C0C8CEF473CA90492A84AFE048E_13</vt:lpwstr>
  </property>
  <property fmtid="{D5CDD505-2E9C-101B-9397-08002B2CF9AE}" pid="4" name="KSOTemplateDocerSaveRecord">
    <vt:lpwstr>eyJoZGlkIjoiMDYzOGUwNjQ2Y2Y0M2U4MGY5YTAyMjMwNDg0NTI0MDYiLCJ1c2VySWQiOiIyNTgxODEzNTcifQ==</vt:lpwstr>
  </property>
</Properties>
</file>