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D9AB5">
      <w:pPr>
        <w:keepNext w:val="0"/>
        <w:keepLines w:val="0"/>
        <w:pageBreakBefore w:val="0"/>
        <w:widowControl w:val="0"/>
        <w:kinsoku w:val="0"/>
        <w:wordWrap/>
        <w:topLinePunct w:val="0"/>
        <w:autoSpaceDE w:val="0"/>
        <w:autoSpaceDN w:val="0"/>
        <w:bidi w:val="0"/>
        <w:adjustRightInd w:val="0"/>
        <w:snapToGrid w:val="0"/>
        <w:spacing w:line="500" w:lineRule="exact"/>
        <w:jc w:val="center"/>
        <w:rPr>
          <w:rFonts w:hint="eastAsia" w:ascii="宋体" w:hAnsi="宋体" w:eastAsia="宋体" w:cs="宋体"/>
          <w:color w:val="000000" w:themeColor="text1"/>
          <w:sz w:val="32"/>
          <w:szCs w:val="20"/>
          <w:highlight w:val="none"/>
          <w14:textFill>
            <w14:solidFill>
              <w14:schemeClr w14:val="tx1"/>
            </w14:solidFill>
          </w14:textFill>
        </w:rPr>
      </w:pPr>
    </w:p>
    <w:p w14:paraId="68E03098">
      <w:pPr>
        <w:pStyle w:val="17"/>
        <w:rPr>
          <w:rFonts w:hint="eastAsia" w:ascii="宋体" w:hAnsi="宋体" w:eastAsia="宋体" w:cs="宋体"/>
          <w:color w:val="000000" w:themeColor="text1"/>
          <w:sz w:val="32"/>
          <w:szCs w:val="28"/>
          <w:highlight w:val="none"/>
          <w14:textFill>
            <w14:solidFill>
              <w14:schemeClr w14:val="tx1"/>
            </w14:solidFill>
          </w14:textFill>
        </w:rPr>
      </w:pPr>
    </w:p>
    <w:p w14:paraId="501F20B6">
      <w:pPr>
        <w:pStyle w:val="18"/>
        <w:rPr>
          <w:rFonts w:hint="eastAsia" w:ascii="宋体" w:hAnsi="宋体" w:eastAsia="宋体" w:cs="宋体"/>
          <w:color w:val="000000" w:themeColor="text1"/>
          <w:sz w:val="32"/>
          <w:szCs w:val="28"/>
          <w:highlight w:val="none"/>
          <w14:textFill>
            <w14:solidFill>
              <w14:schemeClr w14:val="tx1"/>
            </w14:solidFill>
          </w14:textFill>
        </w:rPr>
      </w:pPr>
    </w:p>
    <w:p w14:paraId="5966FBD0">
      <w:pPr>
        <w:pStyle w:val="18"/>
        <w:rPr>
          <w:rFonts w:hint="eastAsia" w:ascii="宋体" w:hAnsi="宋体" w:eastAsia="宋体" w:cs="宋体"/>
          <w:color w:val="000000" w:themeColor="text1"/>
          <w:sz w:val="32"/>
          <w:szCs w:val="28"/>
          <w:highlight w:val="none"/>
          <w14:textFill>
            <w14:solidFill>
              <w14:schemeClr w14:val="tx1"/>
            </w14:solidFill>
          </w14:textFill>
        </w:rPr>
      </w:pPr>
    </w:p>
    <w:p w14:paraId="6D9BE6C0">
      <w:pPr>
        <w:pStyle w:val="18"/>
        <w:jc w:val="center"/>
        <w:rPr>
          <w:rFonts w:hint="default" w:ascii="宋体" w:hAnsi="宋体" w:eastAsia="宋体" w:cs="宋体"/>
          <w:b/>
          <w:bCs/>
          <w:color w:val="000000" w:themeColor="text1"/>
          <w:sz w:val="72"/>
          <w:szCs w:val="60"/>
          <w:highlight w:val="none"/>
          <w:lang w:val="en-US" w:eastAsia="zh-CN"/>
          <w14:textFill>
            <w14:solidFill>
              <w14:schemeClr w14:val="tx1"/>
            </w14:solidFill>
          </w14:textFill>
        </w:rPr>
      </w:pPr>
      <w:r>
        <w:rPr>
          <w:rFonts w:hint="eastAsia" w:ascii="宋体" w:hAnsi="宋体" w:cs="宋体"/>
          <w:b/>
          <w:bCs/>
          <w:color w:val="000000" w:themeColor="text1"/>
          <w:sz w:val="72"/>
          <w:szCs w:val="60"/>
          <w:highlight w:val="none"/>
          <w:lang w:val="en-US" w:eastAsia="zh-CN"/>
          <w14:textFill>
            <w14:solidFill>
              <w14:schemeClr w14:val="tx1"/>
            </w14:solidFill>
          </w14:textFill>
        </w:rPr>
        <w:t>竞争性比选文件</w:t>
      </w:r>
    </w:p>
    <w:p w14:paraId="660E5BFA">
      <w:pPr>
        <w:keepNext w:val="0"/>
        <w:keepLines w:val="0"/>
        <w:pageBreakBefore w:val="0"/>
        <w:widowControl w:val="0"/>
        <w:kinsoku w:val="0"/>
        <w:wordWrap/>
        <w:overflowPunct w:val="0"/>
        <w:topLinePunct w:val="0"/>
        <w:autoSpaceDE w:val="0"/>
        <w:autoSpaceDN w:val="0"/>
        <w:bidi w:val="0"/>
        <w:adjustRightInd w:val="0"/>
        <w:snapToGrid w:val="0"/>
        <w:spacing w:line="500" w:lineRule="exact"/>
        <w:ind w:left="0" w:leftChars="0" w:firstLine="1817" w:firstLineChars="568"/>
        <w:jc w:val="both"/>
        <w:textAlignment w:val="auto"/>
        <w:rPr>
          <w:rFonts w:hint="eastAsia" w:ascii="宋体" w:hAnsi="宋体" w:eastAsia="宋体" w:cs="宋体"/>
          <w:color w:val="000000" w:themeColor="text1"/>
          <w:sz w:val="32"/>
          <w:szCs w:val="32"/>
          <w:highlight w:val="none"/>
          <w:lang w:eastAsia="zh-CN"/>
          <w14:textFill>
            <w14:solidFill>
              <w14:schemeClr w14:val="tx1"/>
            </w14:solidFill>
          </w14:textFill>
        </w:rPr>
      </w:pPr>
    </w:p>
    <w:p w14:paraId="40DC13D0">
      <w:pPr>
        <w:keepNext w:val="0"/>
        <w:keepLines w:val="0"/>
        <w:pageBreakBefore w:val="0"/>
        <w:widowControl w:val="0"/>
        <w:kinsoku w:val="0"/>
        <w:wordWrap/>
        <w:overflowPunct w:val="0"/>
        <w:topLinePunct w:val="0"/>
        <w:autoSpaceDE w:val="0"/>
        <w:autoSpaceDN w:val="0"/>
        <w:bidi w:val="0"/>
        <w:adjustRightInd w:val="0"/>
        <w:snapToGrid w:val="0"/>
        <w:spacing w:line="500" w:lineRule="exact"/>
        <w:ind w:left="0" w:leftChars="0" w:firstLine="1817" w:firstLineChars="568"/>
        <w:jc w:val="both"/>
        <w:textAlignment w:val="auto"/>
        <w:rPr>
          <w:rFonts w:hint="eastAsia" w:ascii="宋体" w:hAnsi="宋体" w:eastAsia="宋体" w:cs="宋体"/>
          <w:color w:val="000000" w:themeColor="text1"/>
          <w:sz w:val="32"/>
          <w:szCs w:val="32"/>
          <w:highlight w:val="none"/>
          <w:lang w:eastAsia="zh-CN"/>
          <w14:textFill>
            <w14:solidFill>
              <w14:schemeClr w14:val="tx1"/>
            </w14:solidFill>
          </w14:textFill>
        </w:rPr>
      </w:pPr>
    </w:p>
    <w:p w14:paraId="6AB7E457">
      <w:pPr>
        <w:keepNext w:val="0"/>
        <w:keepLines w:val="0"/>
        <w:pageBreakBefore w:val="0"/>
        <w:widowControl w:val="0"/>
        <w:kinsoku w:val="0"/>
        <w:wordWrap/>
        <w:overflowPunct w:val="0"/>
        <w:topLinePunct w:val="0"/>
        <w:autoSpaceDE w:val="0"/>
        <w:autoSpaceDN w:val="0"/>
        <w:bidi w:val="0"/>
        <w:adjustRightInd w:val="0"/>
        <w:snapToGrid w:val="0"/>
        <w:spacing w:line="500" w:lineRule="exact"/>
        <w:ind w:left="0" w:leftChars="0" w:firstLine="1817" w:firstLineChars="568"/>
        <w:jc w:val="both"/>
        <w:textAlignment w:val="auto"/>
        <w:rPr>
          <w:rFonts w:hint="eastAsia" w:ascii="宋体" w:hAnsi="宋体" w:eastAsia="宋体" w:cs="宋体"/>
          <w:color w:val="000000" w:themeColor="text1"/>
          <w:sz w:val="32"/>
          <w:szCs w:val="32"/>
          <w:highlight w:val="none"/>
          <w:lang w:eastAsia="zh-CN"/>
          <w14:textFill>
            <w14:solidFill>
              <w14:schemeClr w14:val="tx1"/>
            </w14:solidFill>
          </w14:textFill>
        </w:rPr>
      </w:pPr>
    </w:p>
    <w:p w14:paraId="7647ACC8">
      <w:pPr>
        <w:keepNext w:val="0"/>
        <w:keepLines w:val="0"/>
        <w:pageBreakBefore w:val="0"/>
        <w:widowControl w:val="0"/>
        <w:kinsoku w:val="0"/>
        <w:wordWrap/>
        <w:overflowPunct w:val="0"/>
        <w:topLinePunct w:val="0"/>
        <w:autoSpaceDE w:val="0"/>
        <w:autoSpaceDN w:val="0"/>
        <w:bidi w:val="0"/>
        <w:adjustRightInd w:val="0"/>
        <w:snapToGrid w:val="0"/>
        <w:spacing w:line="500" w:lineRule="exact"/>
        <w:ind w:left="0" w:leftChars="0" w:firstLine="1817" w:firstLineChars="568"/>
        <w:jc w:val="both"/>
        <w:textAlignment w:val="auto"/>
        <w:rPr>
          <w:rFonts w:hint="eastAsia" w:ascii="宋体" w:hAnsi="宋体" w:eastAsia="宋体" w:cs="宋体"/>
          <w:color w:val="000000" w:themeColor="text1"/>
          <w:sz w:val="32"/>
          <w:szCs w:val="32"/>
          <w:highlight w:val="none"/>
          <w:lang w:eastAsia="zh-CN"/>
          <w14:textFill>
            <w14:solidFill>
              <w14:schemeClr w14:val="tx1"/>
            </w14:solidFill>
          </w14:textFill>
        </w:rPr>
      </w:pPr>
      <w:r>
        <w:rPr>
          <w:rFonts w:hint="eastAsia" w:ascii="宋体" w:hAnsi="宋体" w:eastAsia="宋体" w:cs="宋体"/>
          <w:color w:val="000000" w:themeColor="text1"/>
          <w:sz w:val="32"/>
          <w:szCs w:val="32"/>
          <w:highlight w:val="none"/>
          <w:lang w:eastAsia="zh-CN"/>
          <w14:textFill>
            <w14:solidFill>
              <w14:schemeClr w14:val="tx1"/>
            </w14:solidFill>
          </w14:textFill>
        </w:rPr>
        <w:t>项目名称：重庆干部保障所办公用房改造</w:t>
      </w:r>
    </w:p>
    <w:p w14:paraId="6AD34567">
      <w:pPr>
        <w:keepNext w:val="0"/>
        <w:keepLines w:val="0"/>
        <w:pageBreakBefore w:val="0"/>
        <w:widowControl w:val="0"/>
        <w:kinsoku w:val="0"/>
        <w:wordWrap/>
        <w:topLinePunct w:val="0"/>
        <w:autoSpaceDE w:val="0"/>
        <w:autoSpaceDN w:val="0"/>
        <w:bidi w:val="0"/>
        <w:adjustRightInd w:val="0"/>
        <w:snapToGrid w:val="0"/>
        <w:spacing w:line="500" w:lineRule="exact"/>
        <w:ind w:left="0" w:leftChars="0" w:firstLine="1817" w:firstLineChars="568"/>
        <w:rPr>
          <w:rFonts w:hint="default" w:ascii="宋体" w:hAnsi="宋体" w:eastAsia="宋体" w:cs="宋体"/>
          <w:color w:val="000000" w:themeColor="text1"/>
          <w:sz w:val="32"/>
          <w:szCs w:val="32"/>
          <w:highlight w:val="none"/>
          <w:lang w:val="en-US" w:eastAsia="zh-CN"/>
          <w14:textFill>
            <w14:solidFill>
              <w14:schemeClr w14:val="tx1"/>
            </w14:solidFill>
          </w14:textFill>
        </w:rPr>
      </w:pPr>
      <w:r>
        <w:rPr>
          <w:rFonts w:hint="eastAsia" w:ascii="宋体" w:hAnsi="宋体" w:eastAsia="宋体" w:cs="宋体"/>
          <w:color w:val="000000" w:themeColor="text1"/>
          <w:sz w:val="32"/>
          <w:szCs w:val="32"/>
          <w:highlight w:val="none"/>
          <w:lang w:eastAsia="zh-CN"/>
          <w14:textFill>
            <w14:solidFill>
              <w14:schemeClr w14:val="tx1"/>
            </w14:solidFill>
          </w14:textFill>
        </w:rPr>
        <w:t>项目编号：YFD2025-0</w:t>
      </w:r>
      <w:r>
        <w:rPr>
          <w:rFonts w:hint="eastAsia" w:ascii="宋体" w:hAnsi="宋体" w:cs="宋体"/>
          <w:color w:val="000000" w:themeColor="text1"/>
          <w:sz w:val="32"/>
          <w:szCs w:val="32"/>
          <w:highlight w:val="none"/>
          <w:lang w:val="en-US" w:eastAsia="zh-CN"/>
          <w14:textFill>
            <w14:solidFill>
              <w14:schemeClr w14:val="tx1"/>
            </w14:solidFill>
          </w14:textFill>
        </w:rPr>
        <w:t>70</w:t>
      </w:r>
    </w:p>
    <w:p w14:paraId="7BD11AFA">
      <w:pPr>
        <w:keepNext w:val="0"/>
        <w:keepLines w:val="0"/>
        <w:pageBreakBefore w:val="0"/>
        <w:widowControl w:val="0"/>
        <w:kinsoku w:val="0"/>
        <w:wordWrap/>
        <w:topLinePunct w:val="0"/>
        <w:autoSpaceDE w:val="0"/>
        <w:autoSpaceDN w:val="0"/>
        <w:bidi w:val="0"/>
        <w:adjustRightInd w:val="0"/>
        <w:snapToGrid w:val="0"/>
        <w:spacing w:line="50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14:paraId="07D9C3A1">
      <w:pPr>
        <w:keepNext w:val="0"/>
        <w:keepLines w:val="0"/>
        <w:pageBreakBefore w:val="0"/>
        <w:widowControl w:val="0"/>
        <w:kinsoku w:val="0"/>
        <w:wordWrap/>
        <w:topLinePunct w:val="0"/>
        <w:autoSpaceDE w:val="0"/>
        <w:autoSpaceDN w:val="0"/>
        <w:bidi w:val="0"/>
        <w:adjustRightInd w:val="0"/>
        <w:snapToGrid w:val="0"/>
        <w:spacing w:line="50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14:paraId="6D11835D">
      <w:pPr>
        <w:pStyle w:val="4"/>
        <w:keepNext w:val="0"/>
        <w:keepLines w:val="0"/>
        <w:pageBreakBefore w:val="0"/>
        <w:widowControl w:val="0"/>
        <w:kinsoku w:val="0"/>
        <w:wordWrap/>
        <w:topLinePunct w:val="0"/>
        <w:autoSpaceDE w:val="0"/>
        <w:autoSpaceDN w:val="0"/>
        <w:bidi w:val="0"/>
        <w:adjustRightInd w:val="0"/>
        <w:snapToGrid w:val="0"/>
        <w:spacing w:line="500" w:lineRule="exact"/>
        <w:rPr>
          <w:rFonts w:hint="eastAsia" w:ascii="宋体" w:hAnsi="宋体" w:eastAsia="宋体" w:cs="宋体"/>
          <w:b/>
          <w:color w:val="000000" w:themeColor="text1"/>
          <w:sz w:val="32"/>
          <w:szCs w:val="32"/>
          <w:highlight w:val="none"/>
          <w14:textFill>
            <w14:solidFill>
              <w14:schemeClr w14:val="tx1"/>
            </w14:solidFill>
          </w14:textFill>
        </w:rPr>
      </w:pPr>
    </w:p>
    <w:p w14:paraId="09F1D3E1">
      <w:pPr>
        <w:keepNext w:val="0"/>
        <w:keepLines w:val="0"/>
        <w:pageBreakBefore w:val="0"/>
        <w:widowControl w:val="0"/>
        <w:kinsoku w:val="0"/>
        <w:wordWrap/>
        <w:topLinePunct w:val="0"/>
        <w:autoSpaceDE w:val="0"/>
        <w:autoSpaceDN w:val="0"/>
        <w:bidi w:val="0"/>
        <w:adjustRightInd w:val="0"/>
        <w:snapToGrid w:val="0"/>
        <w:spacing w:line="500" w:lineRule="exact"/>
        <w:rPr>
          <w:rFonts w:hint="eastAsia" w:ascii="宋体" w:hAnsi="宋体" w:eastAsia="宋体" w:cs="宋体"/>
          <w:b/>
          <w:color w:val="000000" w:themeColor="text1"/>
          <w:sz w:val="32"/>
          <w:szCs w:val="32"/>
          <w:highlight w:val="none"/>
          <w14:textFill>
            <w14:solidFill>
              <w14:schemeClr w14:val="tx1"/>
            </w14:solidFill>
          </w14:textFill>
        </w:rPr>
      </w:pPr>
    </w:p>
    <w:p w14:paraId="6384BF31">
      <w:pPr>
        <w:keepNext w:val="0"/>
        <w:keepLines w:val="0"/>
        <w:pageBreakBefore w:val="0"/>
        <w:widowControl w:val="0"/>
        <w:kinsoku w:val="0"/>
        <w:wordWrap/>
        <w:topLinePunct w:val="0"/>
        <w:autoSpaceDE w:val="0"/>
        <w:autoSpaceDN w:val="0"/>
        <w:bidi w:val="0"/>
        <w:adjustRightInd w:val="0"/>
        <w:snapToGrid w:val="0"/>
        <w:spacing w:line="500" w:lineRule="exact"/>
        <w:rPr>
          <w:rFonts w:hint="eastAsia" w:ascii="宋体" w:hAnsi="宋体" w:eastAsia="宋体" w:cs="宋体"/>
          <w:b/>
          <w:color w:val="000000" w:themeColor="text1"/>
          <w:sz w:val="32"/>
          <w:szCs w:val="32"/>
          <w:highlight w:val="none"/>
          <w14:textFill>
            <w14:solidFill>
              <w14:schemeClr w14:val="tx1"/>
            </w14:solidFill>
          </w14:textFill>
        </w:rPr>
      </w:pPr>
    </w:p>
    <w:p w14:paraId="6C4A4649">
      <w:pPr>
        <w:pStyle w:val="4"/>
        <w:keepNext w:val="0"/>
        <w:keepLines w:val="0"/>
        <w:pageBreakBefore w:val="0"/>
        <w:widowControl w:val="0"/>
        <w:kinsoku w:val="0"/>
        <w:wordWrap/>
        <w:topLinePunct w:val="0"/>
        <w:autoSpaceDE w:val="0"/>
        <w:autoSpaceDN w:val="0"/>
        <w:bidi w:val="0"/>
        <w:adjustRightInd w:val="0"/>
        <w:snapToGrid w:val="0"/>
        <w:spacing w:line="500" w:lineRule="exact"/>
        <w:rPr>
          <w:rFonts w:hint="eastAsia" w:ascii="宋体" w:hAnsi="宋体" w:eastAsia="宋体" w:cs="宋体"/>
          <w:b/>
          <w:color w:val="000000" w:themeColor="text1"/>
          <w:sz w:val="32"/>
          <w:szCs w:val="32"/>
          <w:highlight w:val="none"/>
          <w14:textFill>
            <w14:solidFill>
              <w14:schemeClr w14:val="tx1"/>
            </w14:solidFill>
          </w14:textFill>
        </w:rPr>
      </w:pPr>
    </w:p>
    <w:p w14:paraId="6C452D41">
      <w:pPr>
        <w:rPr>
          <w:rFonts w:hint="eastAsia" w:ascii="宋体" w:hAnsi="宋体" w:eastAsia="宋体" w:cs="宋体"/>
          <w:b/>
          <w:color w:val="000000" w:themeColor="text1"/>
          <w:sz w:val="32"/>
          <w:szCs w:val="32"/>
          <w:highlight w:val="none"/>
          <w14:textFill>
            <w14:solidFill>
              <w14:schemeClr w14:val="tx1"/>
            </w14:solidFill>
          </w14:textFill>
        </w:rPr>
      </w:pPr>
    </w:p>
    <w:p w14:paraId="5898BA74">
      <w:pPr>
        <w:pStyle w:val="17"/>
        <w:rPr>
          <w:rFonts w:hint="eastAsia"/>
          <w:highlight w:val="none"/>
        </w:rPr>
      </w:pPr>
    </w:p>
    <w:p w14:paraId="4DF7F66A">
      <w:pPr>
        <w:keepNext w:val="0"/>
        <w:keepLines w:val="0"/>
        <w:pageBreakBefore w:val="0"/>
        <w:widowControl w:val="0"/>
        <w:kinsoku w:val="0"/>
        <w:wordWrap/>
        <w:topLinePunct w:val="0"/>
        <w:autoSpaceDE w:val="0"/>
        <w:autoSpaceDN w:val="0"/>
        <w:bidi w:val="0"/>
        <w:adjustRightInd w:val="0"/>
        <w:snapToGrid w:val="0"/>
        <w:spacing w:line="500" w:lineRule="exact"/>
        <w:rPr>
          <w:rFonts w:hint="eastAsia" w:ascii="宋体" w:hAnsi="宋体" w:eastAsia="宋体" w:cs="宋体"/>
          <w:highlight w:val="none"/>
        </w:rPr>
      </w:pPr>
    </w:p>
    <w:p w14:paraId="5F10D72B">
      <w:pPr>
        <w:keepNext w:val="0"/>
        <w:keepLines w:val="0"/>
        <w:pageBreakBefore w:val="0"/>
        <w:widowControl w:val="0"/>
        <w:kinsoku w:val="0"/>
        <w:wordWrap/>
        <w:topLinePunct w:val="0"/>
        <w:autoSpaceDE w:val="0"/>
        <w:autoSpaceDN w:val="0"/>
        <w:bidi w:val="0"/>
        <w:adjustRightInd w:val="0"/>
        <w:snapToGrid w:val="0"/>
        <w:spacing w:line="500" w:lineRule="exact"/>
        <w:rPr>
          <w:rFonts w:hint="eastAsia" w:ascii="宋体" w:hAnsi="宋体" w:eastAsia="宋体" w:cs="宋体"/>
          <w:color w:val="000000" w:themeColor="text1"/>
          <w:sz w:val="32"/>
          <w:szCs w:val="32"/>
          <w:highlight w:val="none"/>
          <w14:textFill>
            <w14:solidFill>
              <w14:schemeClr w14:val="tx1"/>
            </w14:solidFill>
          </w14:textFill>
        </w:rPr>
      </w:pPr>
    </w:p>
    <w:p w14:paraId="70CB2CB0">
      <w:pPr>
        <w:keepNext w:val="0"/>
        <w:keepLines w:val="0"/>
        <w:pageBreakBefore w:val="0"/>
        <w:widowControl w:val="0"/>
        <w:kinsoku w:val="0"/>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color w:val="000000" w:themeColor="text1"/>
          <w:sz w:val="32"/>
          <w:szCs w:val="32"/>
          <w:highlight w:val="none"/>
          <w:lang w:eastAsia="zh-CN"/>
          <w14:textFill>
            <w14:solidFill>
              <w14:schemeClr w14:val="tx1"/>
            </w14:solidFill>
          </w14:textFill>
        </w:rPr>
      </w:pPr>
      <w:bookmarkStart w:id="0" w:name="_Toc20802"/>
      <w:bookmarkStart w:id="1" w:name="_Toc12013"/>
      <w:r>
        <w:rPr>
          <w:rFonts w:hint="eastAsia" w:ascii="宋体" w:hAnsi="宋体" w:eastAsia="宋体" w:cs="宋体"/>
          <w:color w:val="000000" w:themeColor="text1"/>
          <w:sz w:val="32"/>
          <w:szCs w:val="32"/>
          <w:highlight w:val="none"/>
          <w:lang w:eastAsia="zh-CN"/>
          <w14:textFill>
            <w14:solidFill>
              <w14:schemeClr w14:val="tx1"/>
            </w14:solidFill>
          </w14:textFill>
        </w:rPr>
        <w:t>比</w:t>
      </w:r>
      <w:r>
        <w:rPr>
          <w:rFonts w:hint="eastAsia" w:ascii="宋体" w:hAnsi="宋体" w:eastAsia="宋体" w:cs="宋体"/>
          <w:color w:val="000000" w:themeColor="text1"/>
          <w:sz w:val="32"/>
          <w:szCs w:val="32"/>
          <w:highlight w:val="none"/>
          <w:lang w:val="en-US" w:eastAsia="zh-CN"/>
          <w14:textFill>
            <w14:solidFill>
              <w14:schemeClr w14:val="tx1"/>
            </w14:solidFill>
          </w14:textFill>
        </w:rPr>
        <w:t xml:space="preserve">   </w:t>
      </w:r>
      <w:r>
        <w:rPr>
          <w:rFonts w:hint="eastAsia" w:ascii="宋体" w:hAnsi="宋体" w:eastAsia="宋体" w:cs="宋体"/>
          <w:color w:val="000000" w:themeColor="text1"/>
          <w:sz w:val="32"/>
          <w:szCs w:val="32"/>
          <w:highlight w:val="none"/>
          <w:lang w:eastAsia="zh-CN"/>
          <w14:textFill>
            <w14:solidFill>
              <w14:schemeClr w14:val="tx1"/>
            </w14:solidFill>
          </w14:textFill>
        </w:rPr>
        <w:t>选</w:t>
      </w:r>
      <w:r>
        <w:rPr>
          <w:rFonts w:hint="eastAsia" w:ascii="宋体" w:hAnsi="宋体" w:eastAsia="宋体" w:cs="宋体"/>
          <w:color w:val="000000" w:themeColor="text1"/>
          <w:sz w:val="32"/>
          <w:szCs w:val="32"/>
          <w:highlight w:val="none"/>
          <w:lang w:val="en-US" w:eastAsia="zh-CN"/>
          <w14:textFill>
            <w14:solidFill>
              <w14:schemeClr w14:val="tx1"/>
            </w14:solidFill>
          </w14:textFill>
        </w:rPr>
        <w:t xml:space="preserve">   </w:t>
      </w:r>
      <w:r>
        <w:rPr>
          <w:rFonts w:hint="eastAsia" w:ascii="宋体" w:hAnsi="宋体" w:eastAsia="宋体" w:cs="宋体"/>
          <w:color w:val="000000" w:themeColor="text1"/>
          <w:sz w:val="32"/>
          <w:szCs w:val="32"/>
          <w:highlight w:val="none"/>
          <w14:textFill>
            <w14:solidFill>
              <w14:schemeClr w14:val="tx1"/>
            </w14:solidFill>
          </w14:textFill>
        </w:rPr>
        <w:t>人：</w:t>
      </w:r>
      <w:bookmarkEnd w:id="0"/>
      <w:bookmarkEnd w:id="1"/>
      <w:r>
        <w:rPr>
          <w:rFonts w:hint="eastAsia" w:ascii="宋体" w:hAnsi="宋体" w:eastAsia="宋体" w:cs="宋体"/>
          <w:color w:val="000000" w:themeColor="text1"/>
          <w:sz w:val="32"/>
          <w:szCs w:val="32"/>
          <w:highlight w:val="none"/>
          <w:lang w:eastAsia="zh-CN"/>
          <w14:textFill>
            <w14:solidFill>
              <w14:schemeClr w14:val="tx1"/>
            </w14:solidFill>
          </w14:textFill>
        </w:rPr>
        <w:t>重庆市干部医疗保障所</w:t>
      </w:r>
    </w:p>
    <w:p w14:paraId="12C49589">
      <w:pPr>
        <w:keepNext w:val="0"/>
        <w:keepLines w:val="0"/>
        <w:pageBreakBefore w:val="0"/>
        <w:widowControl w:val="0"/>
        <w:kinsoku w:val="0"/>
        <w:wordWrap/>
        <w:overflowPunct w:val="0"/>
        <w:topLinePunct w:val="0"/>
        <w:autoSpaceDE w:val="0"/>
        <w:autoSpaceDN w:val="0"/>
        <w:bidi w:val="0"/>
        <w:adjustRightInd w:val="0"/>
        <w:snapToGrid w:val="0"/>
        <w:spacing w:line="500" w:lineRule="exact"/>
        <w:ind w:left="0" w:leftChars="0" w:firstLine="976" w:firstLineChars="305"/>
        <w:jc w:val="center"/>
        <w:textAlignment w:val="auto"/>
        <w:rPr>
          <w:rFonts w:hint="eastAsia" w:ascii="宋体" w:hAnsi="宋体" w:eastAsia="宋体" w:cs="宋体"/>
          <w:color w:val="000000" w:themeColor="text1"/>
          <w:sz w:val="32"/>
          <w:szCs w:val="32"/>
          <w:highlight w:val="none"/>
          <w:lang w:eastAsia="zh-CN"/>
          <w14:textFill>
            <w14:solidFill>
              <w14:schemeClr w14:val="tx1"/>
            </w14:solidFill>
          </w14:textFill>
        </w:rPr>
      </w:pPr>
      <w:r>
        <w:rPr>
          <w:rFonts w:hint="eastAsia" w:ascii="宋体" w:hAnsi="宋体" w:eastAsia="宋体" w:cs="宋体"/>
          <w:color w:val="000000" w:themeColor="text1"/>
          <w:sz w:val="32"/>
          <w:szCs w:val="32"/>
          <w:highlight w:val="none"/>
          <w:lang w:eastAsia="zh-CN"/>
          <w14:textFill>
            <w14:solidFill>
              <w14:schemeClr w14:val="tx1"/>
            </w14:solidFill>
          </w14:textFill>
        </w:rPr>
        <w:t>比选代理机构</w:t>
      </w:r>
      <w:r>
        <w:rPr>
          <w:rFonts w:hint="eastAsia" w:ascii="宋体" w:hAnsi="宋体" w:eastAsia="宋体" w:cs="宋体"/>
          <w:color w:val="000000" w:themeColor="text1"/>
          <w:sz w:val="32"/>
          <w:szCs w:val="32"/>
          <w:highlight w:val="none"/>
          <w14:textFill>
            <w14:solidFill>
              <w14:schemeClr w14:val="tx1"/>
            </w14:solidFill>
          </w14:textFill>
        </w:rPr>
        <w:t>：</w:t>
      </w:r>
      <w:r>
        <w:rPr>
          <w:rFonts w:hint="eastAsia" w:ascii="宋体" w:hAnsi="宋体" w:eastAsia="宋体" w:cs="宋体"/>
          <w:color w:val="000000" w:themeColor="text1"/>
          <w:sz w:val="32"/>
          <w:szCs w:val="32"/>
          <w:highlight w:val="none"/>
          <w:lang w:eastAsia="zh-CN"/>
          <w14:textFill>
            <w14:solidFill>
              <w14:schemeClr w14:val="tx1"/>
            </w14:solidFill>
          </w14:textFill>
        </w:rPr>
        <w:t>重庆渝富达项目管理有限公司</w:t>
      </w:r>
    </w:p>
    <w:p w14:paraId="2A24E45E">
      <w:pPr>
        <w:keepNext w:val="0"/>
        <w:keepLines w:val="0"/>
        <w:pageBreakBefore w:val="0"/>
        <w:widowControl w:val="0"/>
        <w:kinsoku w:val="0"/>
        <w:wordWrap/>
        <w:overflowPunct w:val="0"/>
        <w:topLinePunct w:val="0"/>
        <w:autoSpaceDE w:val="0"/>
        <w:autoSpaceDN w:val="0"/>
        <w:bidi w:val="0"/>
        <w:adjustRightInd w:val="0"/>
        <w:snapToGrid w:val="0"/>
        <w:spacing w:line="500" w:lineRule="exact"/>
        <w:ind w:left="0" w:leftChars="0" w:firstLine="1456" w:firstLineChars="455"/>
        <w:jc w:val="center"/>
        <w:textAlignment w:val="auto"/>
        <w:rPr>
          <w:rFonts w:hint="eastAsia" w:ascii="宋体" w:hAnsi="宋体" w:eastAsia="宋体" w:cs="宋体"/>
          <w:color w:val="000000" w:themeColor="text1"/>
          <w:sz w:val="44"/>
          <w:szCs w:val="28"/>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二〇二</w:t>
      </w:r>
      <w:r>
        <w:rPr>
          <w:rFonts w:hint="eastAsia" w:ascii="宋体" w:hAnsi="宋体" w:eastAsia="宋体" w:cs="宋体"/>
          <w:color w:val="000000" w:themeColor="text1"/>
          <w:sz w:val="32"/>
          <w:szCs w:val="32"/>
          <w:highlight w:val="none"/>
          <w:lang w:eastAsia="zh-CN"/>
          <w14:textFill>
            <w14:solidFill>
              <w14:schemeClr w14:val="tx1"/>
            </w14:solidFill>
          </w14:textFill>
        </w:rPr>
        <w:t>五</w:t>
      </w:r>
      <w:r>
        <w:rPr>
          <w:rFonts w:hint="eastAsia" w:ascii="宋体" w:hAnsi="宋体" w:eastAsia="宋体" w:cs="宋体"/>
          <w:color w:val="000000" w:themeColor="text1"/>
          <w:sz w:val="32"/>
          <w:szCs w:val="32"/>
          <w:highlight w:val="none"/>
          <w14:textFill>
            <w14:solidFill>
              <w14:schemeClr w14:val="tx1"/>
            </w14:solidFill>
          </w14:textFill>
        </w:rPr>
        <w:t>年</w:t>
      </w:r>
      <w:r>
        <w:rPr>
          <w:rFonts w:hint="eastAsia" w:ascii="宋体" w:hAnsi="宋体" w:eastAsia="宋体" w:cs="宋体"/>
          <w:color w:val="000000" w:themeColor="text1"/>
          <w:sz w:val="32"/>
          <w:szCs w:val="32"/>
          <w:highlight w:val="none"/>
          <w:lang w:val="en-US" w:eastAsia="zh-CN"/>
          <w14:textFill>
            <w14:solidFill>
              <w14:schemeClr w14:val="tx1"/>
            </w14:solidFill>
          </w14:textFill>
        </w:rPr>
        <w:t>十一</w:t>
      </w:r>
      <w:r>
        <w:rPr>
          <w:rFonts w:hint="eastAsia" w:ascii="宋体" w:hAnsi="宋体" w:eastAsia="宋体" w:cs="宋体"/>
          <w:color w:val="000000" w:themeColor="text1"/>
          <w:sz w:val="32"/>
          <w:szCs w:val="32"/>
          <w:highlight w:val="none"/>
          <w14:textFill>
            <w14:solidFill>
              <w14:schemeClr w14:val="tx1"/>
            </w14:solidFill>
          </w14:textFill>
        </w:rPr>
        <w:t>月</w:t>
      </w:r>
      <w:r>
        <w:rPr>
          <w:rFonts w:hint="eastAsia" w:ascii="宋体" w:hAnsi="宋体" w:eastAsia="宋体" w:cs="宋体"/>
          <w:color w:val="000000" w:themeColor="text1"/>
          <w:sz w:val="44"/>
          <w:szCs w:val="28"/>
          <w:highlight w:val="none"/>
          <w14:textFill>
            <w14:solidFill>
              <w14:schemeClr w14:val="tx1"/>
            </w14:solidFill>
          </w14:textFill>
        </w:rPr>
        <w:br w:type="page"/>
      </w:r>
    </w:p>
    <w:sdt>
      <w:sdtP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id w:val="147461694"/>
        <w15:color w:val="DBDBDB"/>
        <w:docPartObj>
          <w:docPartGallery w:val="Table of Contents"/>
          <w:docPartUnique/>
        </w:docPartObj>
      </w:sdtPr>
      <w:sdtEndP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sdtEndPr>
      <w:sdtContent>
        <w:p w14:paraId="44D737E9">
          <w:pPr>
            <w:keepNext w:val="0"/>
            <w:keepLines w:val="0"/>
            <w:pageBreakBefore w:val="0"/>
            <w:widowControl w:val="0"/>
            <w:kinsoku w:val="0"/>
            <w:wordWrap/>
            <w:overflowPunct/>
            <w:topLinePunct w:val="0"/>
            <w:autoSpaceDE w:val="0"/>
            <w:autoSpaceDN w:val="0"/>
            <w:bidi w:val="0"/>
            <w:adjustRightInd w:val="0"/>
            <w:snapToGrid w:val="0"/>
            <w:spacing w:before="191" w:beforeLines="50" w:after="191" w:afterLines="50" w:line="500" w:lineRule="exact"/>
            <w:ind w:left="0" w:leftChars="0" w:right="0" w:rightChars="0" w:firstLine="0" w:firstLineChars="0"/>
            <w:jc w:val="center"/>
            <w:textAlignment w:val="auto"/>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目</w:t>
          </w: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30"/>
              <w:szCs w:val="30"/>
              <w:highlight w:val="none"/>
              <w14:textFill>
                <w14:solidFill>
                  <w14:schemeClr w14:val="tx1"/>
                </w14:solidFill>
              </w14:textFill>
            </w:rPr>
            <w:t>录</w:t>
          </w:r>
        </w:p>
        <w:p w14:paraId="69A1A69F">
          <w:pPr>
            <w:pStyle w:val="12"/>
            <w:keepNext w:val="0"/>
            <w:keepLines w:val="0"/>
            <w:pageBreakBefore w:val="0"/>
            <w:widowControl w:val="0"/>
            <w:tabs>
              <w:tab w:val="right" w:leader="dot" w:pos="9412"/>
            </w:tabs>
            <w:kinsoku w:val="0"/>
            <w:wordWrap/>
            <w:overflowPunct/>
            <w:topLinePunct w:val="0"/>
            <w:autoSpaceDE w:val="0"/>
            <w:autoSpaceDN w:val="0"/>
            <w:bidi w:val="0"/>
            <w:adjustRightInd w:val="0"/>
            <w:snapToGrid w:val="0"/>
            <w:spacing w:line="500" w:lineRule="exact"/>
            <w:textAlignment w:val="auto"/>
            <w:rPr>
              <w:rFonts w:hint="eastAsia" w:ascii="宋体" w:hAnsi="宋体" w:eastAsia="宋体" w:cs="宋体"/>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TOC \o "1-1" \h \u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sz w:val="24"/>
              <w:szCs w:val="24"/>
              <w:highlight w:val="none"/>
            </w:rPr>
            <w:instrText xml:space="preserve"> HYPERLINK \l _Toc21576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 xml:space="preserve">第一篇  </w:t>
          </w:r>
          <w:r>
            <w:rPr>
              <w:rFonts w:hint="eastAsia" w:ascii="宋体" w:hAnsi="宋体" w:cs="宋体"/>
              <w:bCs/>
              <w:sz w:val="24"/>
              <w:szCs w:val="24"/>
              <w:highlight w:val="none"/>
              <w:lang w:eastAsia="zh-CN"/>
            </w:rPr>
            <w:t>竞争性比选</w:t>
          </w:r>
          <w:r>
            <w:rPr>
              <w:rFonts w:hint="eastAsia" w:ascii="宋体" w:hAnsi="宋体" w:eastAsia="宋体" w:cs="宋体"/>
              <w:bCs/>
              <w:sz w:val="24"/>
              <w:szCs w:val="24"/>
              <w:highlight w:val="none"/>
            </w:rPr>
            <w:t>公告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_Toc21576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w:t>
          </w:r>
          <w:r>
            <w:rPr>
              <w:rFonts w:hint="eastAsia" w:ascii="宋体" w:hAnsi="宋体" w:eastAsia="宋体" w:cs="宋体"/>
              <w:sz w:val="24"/>
              <w:szCs w:val="24"/>
              <w:highlight w:val="none"/>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75B64C76">
          <w:pPr>
            <w:pStyle w:val="12"/>
            <w:keepNext w:val="0"/>
            <w:keepLines w:val="0"/>
            <w:pageBreakBefore w:val="0"/>
            <w:widowControl w:val="0"/>
            <w:tabs>
              <w:tab w:val="right" w:leader="dot" w:pos="9412"/>
            </w:tabs>
            <w:kinsoku w:val="0"/>
            <w:wordWrap/>
            <w:overflowPunct/>
            <w:topLinePunct w:val="0"/>
            <w:autoSpaceDE w:val="0"/>
            <w:autoSpaceDN w:val="0"/>
            <w:bidi w:val="0"/>
            <w:adjustRightInd w:val="0"/>
            <w:snapToGrid w:val="0"/>
            <w:spacing w:line="500" w:lineRule="exact"/>
            <w:textAlignment w:val="auto"/>
            <w:rPr>
              <w:rFonts w:hint="eastAsia" w:ascii="宋体" w:hAnsi="宋体" w:eastAsia="宋体" w:cs="宋体"/>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sz w:val="24"/>
              <w:szCs w:val="24"/>
              <w:highlight w:val="none"/>
            </w:rPr>
            <w:instrText xml:space="preserve"> HYPERLINK \l _Toc20192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val="en-US" w:eastAsia="zh-CN"/>
            </w:rPr>
            <w:t xml:space="preserve">第二篇 </w:t>
          </w:r>
          <w:r>
            <w:rPr>
              <w:rFonts w:hint="eastAsia" w:ascii="宋体" w:hAnsi="宋体" w:cs="宋体"/>
              <w:bCs/>
              <w:sz w:val="24"/>
              <w:szCs w:val="24"/>
              <w:highlight w:val="none"/>
              <w:lang w:val="en-US" w:eastAsia="zh-CN"/>
            </w:rPr>
            <w:t xml:space="preserve"> </w:t>
          </w:r>
          <w:r>
            <w:rPr>
              <w:rFonts w:hint="eastAsia" w:ascii="宋体" w:hAnsi="宋体" w:eastAsia="宋体" w:cs="宋体"/>
              <w:bCs/>
              <w:sz w:val="24"/>
              <w:szCs w:val="24"/>
              <w:highlight w:val="none"/>
            </w:rPr>
            <w:t>项目技术（质量）需求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_Toc20192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w:t>
          </w:r>
          <w:r>
            <w:rPr>
              <w:rFonts w:hint="eastAsia" w:ascii="宋体" w:hAnsi="宋体" w:eastAsia="宋体" w:cs="宋体"/>
              <w:sz w:val="24"/>
              <w:szCs w:val="24"/>
              <w:highlight w:val="none"/>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567BB4A3">
          <w:pPr>
            <w:pStyle w:val="12"/>
            <w:keepNext w:val="0"/>
            <w:keepLines w:val="0"/>
            <w:pageBreakBefore w:val="0"/>
            <w:widowControl w:val="0"/>
            <w:tabs>
              <w:tab w:val="right" w:leader="dot" w:pos="9412"/>
            </w:tabs>
            <w:kinsoku w:val="0"/>
            <w:wordWrap/>
            <w:overflowPunct/>
            <w:topLinePunct w:val="0"/>
            <w:autoSpaceDE w:val="0"/>
            <w:autoSpaceDN w:val="0"/>
            <w:bidi w:val="0"/>
            <w:adjustRightInd w:val="0"/>
            <w:snapToGrid w:val="0"/>
            <w:spacing w:line="500" w:lineRule="exact"/>
            <w:textAlignment w:val="auto"/>
            <w:rPr>
              <w:rFonts w:hint="eastAsia" w:ascii="宋体" w:hAnsi="宋体" w:eastAsia="宋体" w:cs="宋体"/>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sz w:val="24"/>
              <w:szCs w:val="24"/>
              <w:highlight w:val="none"/>
            </w:rPr>
            <w:instrText xml:space="preserve"> HYPERLINK \l _Toc23374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第三篇  项目商务需求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_Toc23374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9</w:t>
          </w:r>
          <w:r>
            <w:rPr>
              <w:rFonts w:hint="eastAsia" w:ascii="宋体" w:hAnsi="宋体" w:eastAsia="宋体" w:cs="宋体"/>
              <w:sz w:val="24"/>
              <w:szCs w:val="24"/>
              <w:highlight w:val="none"/>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021F4122">
          <w:pPr>
            <w:pStyle w:val="12"/>
            <w:keepNext w:val="0"/>
            <w:keepLines w:val="0"/>
            <w:pageBreakBefore w:val="0"/>
            <w:widowControl w:val="0"/>
            <w:tabs>
              <w:tab w:val="right" w:leader="dot" w:pos="9412"/>
            </w:tabs>
            <w:kinsoku w:val="0"/>
            <w:wordWrap/>
            <w:overflowPunct/>
            <w:topLinePunct w:val="0"/>
            <w:autoSpaceDE w:val="0"/>
            <w:autoSpaceDN w:val="0"/>
            <w:bidi w:val="0"/>
            <w:adjustRightInd w:val="0"/>
            <w:snapToGrid w:val="0"/>
            <w:spacing w:line="500" w:lineRule="exact"/>
            <w:textAlignment w:val="auto"/>
            <w:rPr>
              <w:rFonts w:hint="eastAsia" w:ascii="宋体" w:hAnsi="宋体" w:eastAsia="宋体" w:cs="宋体"/>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sz w:val="24"/>
              <w:szCs w:val="24"/>
              <w:highlight w:val="none"/>
            </w:rPr>
            <w:instrText xml:space="preserve"> HYPERLINK \l _Toc15186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val="en-US" w:eastAsia="zh-CN"/>
            </w:rPr>
            <w:t>第四篇  资格审查及评标办法</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_Toc15186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15</w:t>
          </w:r>
          <w:r>
            <w:rPr>
              <w:rFonts w:hint="eastAsia" w:ascii="宋体" w:hAnsi="宋体" w:eastAsia="宋体" w:cs="宋体"/>
              <w:sz w:val="24"/>
              <w:szCs w:val="24"/>
              <w:highlight w:val="none"/>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03CE7E04">
          <w:pPr>
            <w:pStyle w:val="12"/>
            <w:keepNext w:val="0"/>
            <w:keepLines w:val="0"/>
            <w:pageBreakBefore w:val="0"/>
            <w:widowControl w:val="0"/>
            <w:tabs>
              <w:tab w:val="right" w:leader="dot" w:pos="9412"/>
            </w:tabs>
            <w:kinsoku w:val="0"/>
            <w:wordWrap/>
            <w:overflowPunct/>
            <w:topLinePunct w:val="0"/>
            <w:autoSpaceDE w:val="0"/>
            <w:autoSpaceDN w:val="0"/>
            <w:bidi w:val="0"/>
            <w:adjustRightInd w:val="0"/>
            <w:snapToGrid w:val="0"/>
            <w:spacing w:line="500" w:lineRule="exact"/>
            <w:textAlignment w:val="auto"/>
            <w:rPr>
              <w:rFonts w:hint="eastAsia" w:ascii="宋体" w:hAnsi="宋体" w:eastAsia="宋体" w:cs="宋体"/>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sz w:val="24"/>
              <w:szCs w:val="24"/>
              <w:highlight w:val="none"/>
            </w:rPr>
            <w:instrText xml:space="preserve"> HYPERLINK \l _Toc23948 </w:instrText>
          </w:r>
          <w:r>
            <w:rPr>
              <w:rFonts w:hint="eastAsia" w:ascii="宋体" w:hAnsi="宋体" w:eastAsia="宋体" w:cs="宋体"/>
              <w:sz w:val="24"/>
              <w:szCs w:val="24"/>
              <w:highlight w:val="none"/>
            </w:rPr>
            <w:fldChar w:fldCharType="separate"/>
          </w:r>
          <w:r>
            <w:rPr>
              <w:rFonts w:hint="eastAsia" w:ascii="宋体" w:hAnsi="宋体" w:eastAsia="宋体" w:cs="宋体"/>
              <w:kern w:val="2"/>
              <w:sz w:val="24"/>
              <w:szCs w:val="24"/>
              <w:highlight w:val="none"/>
              <w:lang w:val="en-US" w:eastAsia="zh-CN" w:bidi="ar-SA"/>
            </w:rPr>
            <w:t xml:space="preserve">第五篇  </w:t>
          </w:r>
          <w:r>
            <w:rPr>
              <w:rFonts w:hint="eastAsia" w:ascii="宋体" w:hAnsi="宋体" w:cs="宋体"/>
              <w:kern w:val="2"/>
              <w:sz w:val="24"/>
              <w:szCs w:val="24"/>
              <w:highlight w:val="none"/>
              <w:lang w:val="en-US" w:eastAsia="zh-CN" w:bidi="ar-SA"/>
            </w:rPr>
            <w:t>供应商</w:t>
          </w:r>
          <w:r>
            <w:rPr>
              <w:rFonts w:hint="eastAsia" w:ascii="宋体" w:hAnsi="宋体" w:eastAsia="宋体" w:cs="宋体"/>
              <w:kern w:val="2"/>
              <w:sz w:val="24"/>
              <w:szCs w:val="24"/>
              <w:highlight w:val="none"/>
              <w:lang w:val="en-US" w:eastAsia="zh-CN" w:bidi="ar-SA"/>
            </w:rPr>
            <w:t>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_Toc23948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21</w:t>
          </w:r>
          <w:r>
            <w:rPr>
              <w:rFonts w:hint="eastAsia" w:ascii="宋体" w:hAnsi="宋体" w:eastAsia="宋体" w:cs="宋体"/>
              <w:sz w:val="24"/>
              <w:szCs w:val="24"/>
              <w:highlight w:val="none"/>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2F97E3FA">
          <w:pPr>
            <w:pStyle w:val="12"/>
            <w:keepNext w:val="0"/>
            <w:keepLines w:val="0"/>
            <w:pageBreakBefore w:val="0"/>
            <w:widowControl w:val="0"/>
            <w:tabs>
              <w:tab w:val="right" w:leader="dot" w:pos="9412"/>
            </w:tabs>
            <w:kinsoku w:val="0"/>
            <w:wordWrap/>
            <w:overflowPunct/>
            <w:topLinePunct w:val="0"/>
            <w:autoSpaceDE w:val="0"/>
            <w:autoSpaceDN w:val="0"/>
            <w:bidi w:val="0"/>
            <w:adjustRightInd w:val="0"/>
            <w:snapToGrid w:val="0"/>
            <w:spacing w:line="500" w:lineRule="exact"/>
            <w:textAlignment w:val="auto"/>
            <w:rPr>
              <w:rFonts w:hint="eastAsia" w:ascii="宋体" w:hAnsi="宋体" w:eastAsia="宋体" w:cs="宋体"/>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sz w:val="24"/>
              <w:szCs w:val="24"/>
              <w:highlight w:val="none"/>
            </w:rPr>
            <w:instrText xml:space="preserve"> HYPERLINK \l _Toc31106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第六篇  采购合同（格式）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_Toc31106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28</w:t>
          </w:r>
          <w:r>
            <w:rPr>
              <w:rFonts w:hint="eastAsia" w:ascii="宋体" w:hAnsi="宋体" w:eastAsia="宋体" w:cs="宋体"/>
              <w:sz w:val="24"/>
              <w:szCs w:val="24"/>
              <w:highlight w:val="none"/>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226EE77E">
          <w:pPr>
            <w:pStyle w:val="12"/>
            <w:keepNext w:val="0"/>
            <w:keepLines w:val="0"/>
            <w:pageBreakBefore w:val="0"/>
            <w:widowControl w:val="0"/>
            <w:tabs>
              <w:tab w:val="right" w:leader="dot" w:pos="9412"/>
            </w:tabs>
            <w:kinsoku w:val="0"/>
            <w:wordWrap/>
            <w:overflowPunct/>
            <w:topLinePunct w:val="0"/>
            <w:autoSpaceDE w:val="0"/>
            <w:autoSpaceDN w:val="0"/>
            <w:bidi w:val="0"/>
            <w:adjustRightInd w:val="0"/>
            <w:snapToGrid w:val="0"/>
            <w:spacing w:line="500" w:lineRule="exact"/>
            <w:textAlignment w:val="auto"/>
            <w:rPr>
              <w:rFonts w:hint="eastAsia" w:ascii="宋体" w:hAnsi="宋体" w:eastAsia="宋体" w:cs="宋体"/>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sz w:val="24"/>
              <w:szCs w:val="24"/>
              <w:highlight w:val="none"/>
            </w:rPr>
            <w:instrText xml:space="preserve"> HYPERLINK \l _Toc351 </w:instrText>
          </w:r>
          <w:r>
            <w:rPr>
              <w:rFonts w:hint="eastAsia" w:ascii="宋体" w:hAnsi="宋体" w:eastAsia="宋体" w:cs="宋体"/>
              <w:sz w:val="24"/>
              <w:szCs w:val="24"/>
              <w:highlight w:val="none"/>
            </w:rPr>
            <w:fldChar w:fldCharType="separate"/>
          </w:r>
          <w:r>
            <w:rPr>
              <w:rFonts w:hint="eastAsia" w:ascii="宋体" w:hAnsi="宋体" w:eastAsia="宋体" w:cs="宋体"/>
              <w:kern w:val="2"/>
              <w:sz w:val="24"/>
              <w:szCs w:val="24"/>
              <w:highlight w:val="none"/>
              <w:lang w:val="en-US" w:eastAsia="zh-CN" w:bidi="ar-SA"/>
            </w:rPr>
            <w:t xml:space="preserve">第七篇  </w:t>
          </w:r>
          <w:r>
            <w:rPr>
              <w:rFonts w:hint="eastAsia" w:ascii="宋体" w:hAnsi="宋体" w:cs="宋体"/>
              <w:kern w:val="2"/>
              <w:sz w:val="24"/>
              <w:szCs w:val="24"/>
              <w:highlight w:val="none"/>
              <w:lang w:val="en-US" w:eastAsia="zh-CN" w:bidi="ar-SA"/>
            </w:rPr>
            <w:t>响应文件</w:t>
          </w:r>
          <w:r>
            <w:rPr>
              <w:rFonts w:hint="eastAsia" w:ascii="宋体" w:hAnsi="宋体" w:eastAsia="宋体" w:cs="宋体"/>
              <w:kern w:val="2"/>
              <w:sz w:val="24"/>
              <w:szCs w:val="24"/>
              <w:highlight w:val="none"/>
              <w:lang w:val="en-US" w:eastAsia="zh-CN" w:bidi="ar-SA"/>
            </w:rPr>
            <w:t>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115</w:t>
          </w:r>
          <w:r>
            <w:rPr>
              <w:rFonts w:hint="eastAsia" w:ascii="宋体" w:hAnsi="宋体" w:eastAsia="宋体" w:cs="宋体"/>
              <w:sz w:val="24"/>
              <w:szCs w:val="24"/>
              <w:highlight w:val="none"/>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5BF29168">
          <w:pPr>
            <w:pStyle w:val="12"/>
            <w:keepNext w:val="0"/>
            <w:keepLines w:val="0"/>
            <w:pageBreakBefore w:val="0"/>
            <w:widowControl w:val="0"/>
            <w:tabs>
              <w:tab w:val="right" w:leader="dot" w:pos="9412"/>
            </w:tabs>
            <w:kinsoku w:val="0"/>
            <w:wordWrap/>
            <w:topLinePunct w:val="0"/>
            <w:autoSpaceDE w:val="0"/>
            <w:autoSpaceDN w:val="0"/>
            <w:bidi w:val="0"/>
            <w:adjustRightInd w:val="0"/>
            <w:snapToGrid w:val="0"/>
            <w:spacing w:line="500" w:lineRule="exact"/>
            <w:rPr>
              <w:rFonts w:hint="eastAsia" w:ascii="宋体" w:hAnsi="宋体" w:eastAsia="宋体" w:cs="宋体"/>
              <w:sz w:val="24"/>
              <w:szCs w:val="24"/>
              <w:highlight w:val="none"/>
            </w:rPr>
          </w:pPr>
        </w:p>
        <w:p w14:paraId="2ED74285">
          <w:pPr>
            <w:keepNext w:val="0"/>
            <w:keepLines w:val="0"/>
            <w:pageBreakBefore w:val="0"/>
            <w:widowControl w:val="0"/>
            <w:kinsoku w:val="0"/>
            <w:wordWrap/>
            <w:overflowPunct/>
            <w:topLinePunct w:val="0"/>
            <w:autoSpaceDE w:val="0"/>
            <w:autoSpaceDN w:val="0"/>
            <w:bidi w:val="0"/>
            <w:adjustRightInd w:val="0"/>
            <w:snapToGrid w:val="0"/>
            <w:spacing w:line="5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end"/>
          </w:r>
        </w:p>
      </w:sdtContent>
    </w:sdt>
    <w:p w14:paraId="31F1A785">
      <w:pPr>
        <w:pStyle w:val="13"/>
        <w:keepNext w:val="0"/>
        <w:keepLines w:val="0"/>
        <w:pageBreakBefore w:val="0"/>
        <w:widowControl w:val="0"/>
        <w:tabs>
          <w:tab w:val="right" w:leader="dot" w:pos="9402"/>
        </w:tabs>
        <w:kinsoku w:val="0"/>
        <w:wordWrap/>
        <w:topLinePunct w:val="0"/>
        <w:autoSpaceDE w:val="0"/>
        <w:autoSpaceDN w:val="0"/>
        <w:bidi w:val="0"/>
        <w:adjustRightInd w:val="0"/>
        <w:snapToGrid w:val="0"/>
        <w:spacing w:line="500" w:lineRule="exact"/>
        <w:jc w:val="center"/>
        <w:rPr>
          <w:rFonts w:hint="eastAsia" w:ascii="宋体" w:hAnsi="宋体" w:eastAsia="宋体" w:cs="宋体"/>
          <w:color w:val="000000" w:themeColor="text1"/>
          <w:sz w:val="18"/>
          <w:szCs w:val="22"/>
          <w:highlight w:val="none"/>
          <w:lang w:eastAsia="zh-CN"/>
          <w14:textFill>
            <w14:solidFill>
              <w14:schemeClr w14:val="tx1"/>
            </w14:solidFill>
          </w14:textFill>
        </w:rPr>
        <w:sectPr>
          <w:headerReference r:id="rId3" w:type="first"/>
          <w:footerReference r:id="rId6" w:type="first"/>
          <w:footerReference r:id="rId4" w:type="default"/>
          <w:footerReference r:id="rId5" w:type="even"/>
          <w:pgSz w:w="11907" w:h="16840"/>
          <w:pgMar w:top="1587" w:right="1474" w:bottom="1587" w:left="1474" w:header="851" w:footer="992" w:gutter="0"/>
          <w:pgBorders>
            <w:top w:val="none" w:sz="0" w:space="0"/>
            <w:left w:val="none" w:sz="0" w:space="0"/>
            <w:bottom w:val="none" w:sz="0" w:space="0"/>
            <w:right w:val="none" w:sz="0" w:space="0"/>
          </w:pgBorders>
          <w:pgNumType w:fmt="decimal" w:start="1"/>
          <w:cols w:space="720" w:num="1"/>
          <w:docGrid w:linePitch="380" w:charSpace="-5735"/>
        </w:sectPr>
      </w:pPr>
      <w:r>
        <w:rPr>
          <w:rFonts w:hint="eastAsia" w:ascii="宋体" w:hAnsi="宋体" w:eastAsia="宋体" w:cs="宋体"/>
          <w:color w:val="000000" w:themeColor="text1"/>
          <w:sz w:val="44"/>
          <w:szCs w:val="28"/>
          <w:highlight w:val="none"/>
          <w:lang w:val="en-US" w:eastAsia="zh-CN"/>
          <w14:textFill>
            <w14:solidFill>
              <w14:schemeClr w14:val="tx1"/>
            </w14:solidFill>
          </w14:textFill>
        </w:rPr>
        <w:t xml:space="preserve"> </w:t>
      </w:r>
    </w:p>
    <w:p w14:paraId="3FDC90A1">
      <w:pPr>
        <w:pStyle w:val="4"/>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500" w:lineRule="exact"/>
        <w:jc w:val="center"/>
        <w:textAlignment w:val="auto"/>
        <w:rPr>
          <w:rFonts w:hint="eastAsia" w:ascii="宋体" w:hAnsi="宋体" w:eastAsia="宋体" w:cs="宋体"/>
          <w:b/>
          <w:bCs/>
          <w:color w:val="000000" w:themeColor="text1"/>
          <w:sz w:val="36"/>
          <w:szCs w:val="36"/>
          <w:highlight w:val="none"/>
          <w14:textFill>
            <w14:solidFill>
              <w14:schemeClr w14:val="tx1"/>
            </w14:solidFill>
          </w14:textFill>
        </w:rPr>
      </w:pPr>
      <w:bookmarkStart w:id="2" w:name="_Toc28538"/>
      <w:bookmarkStart w:id="3" w:name="_Toc11641050"/>
      <w:bookmarkStart w:id="4" w:name="_Toc12789052"/>
      <w:bookmarkStart w:id="5" w:name="_Toc21576"/>
      <w:r>
        <w:rPr>
          <w:rFonts w:hint="eastAsia" w:ascii="宋体" w:hAnsi="宋体" w:eastAsia="宋体" w:cs="宋体"/>
          <w:b/>
          <w:bCs/>
          <w:color w:val="000000" w:themeColor="text1"/>
          <w:sz w:val="36"/>
          <w:szCs w:val="36"/>
          <w:highlight w:val="none"/>
          <w14:textFill>
            <w14:solidFill>
              <w14:schemeClr w14:val="tx1"/>
            </w14:solidFill>
          </w14:textFill>
        </w:rPr>
        <w:t xml:space="preserve">第一篇  </w:t>
      </w:r>
      <w:bookmarkEnd w:id="2"/>
      <w:bookmarkEnd w:id="3"/>
      <w:bookmarkEnd w:id="4"/>
      <w:r>
        <w:rPr>
          <w:rFonts w:hint="eastAsia" w:hAnsi="宋体" w:cs="宋体"/>
          <w:b/>
          <w:bCs/>
          <w:color w:val="000000" w:themeColor="text1"/>
          <w:sz w:val="36"/>
          <w:szCs w:val="36"/>
          <w:highlight w:val="none"/>
          <w:lang w:eastAsia="zh-CN"/>
          <w14:textFill>
            <w14:solidFill>
              <w14:schemeClr w14:val="tx1"/>
            </w14:solidFill>
          </w14:textFill>
        </w:rPr>
        <w:t>竞争性比选</w:t>
      </w:r>
      <w:r>
        <w:rPr>
          <w:rFonts w:hint="eastAsia" w:ascii="宋体" w:hAnsi="宋体" w:eastAsia="宋体" w:cs="宋体"/>
          <w:b/>
          <w:bCs/>
          <w:color w:val="000000" w:themeColor="text1"/>
          <w:sz w:val="36"/>
          <w:szCs w:val="36"/>
          <w:highlight w:val="none"/>
          <w14:textFill>
            <w14:solidFill>
              <w14:schemeClr w14:val="tx1"/>
            </w14:solidFill>
          </w14:textFill>
        </w:rPr>
        <w:t>公告</w:t>
      </w:r>
      <w:bookmarkEnd w:id="5"/>
    </w:p>
    <w:p w14:paraId="409D4D56">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u w:val="single"/>
          <w:lang w:eastAsia="zh-CN"/>
          <w14:textFill>
            <w14:solidFill>
              <w14:schemeClr w14:val="tx1"/>
            </w14:solidFill>
          </w14:textFill>
        </w:rPr>
        <w:t>重庆渝富达项目管理有限公司</w:t>
      </w:r>
      <w:r>
        <w:rPr>
          <w:rFonts w:hint="eastAsia" w:ascii="宋体" w:hAnsi="宋体" w:eastAsia="宋体" w:cs="宋体"/>
          <w:color w:val="000000" w:themeColor="text1"/>
          <w:sz w:val="24"/>
          <w:highlight w:val="none"/>
          <w14:textFill>
            <w14:solidFill>
              <w14:schemeClr w14:val="tx1"/>
            </w14:solidFill>
          </w14:textFill>
        </w:rPr>
        <w:t>（以下简称：</w:t>
      </w:r>
      <w:r>
        <w:rPr>
          <w:rFonts w:hint="eastAsia" w:ascii="宋体" w:hAnsi="宋体" w:eastAsia="宋体" w:cs="宋体"/>
          <w:color w:val="000000" w:themeColor="text1"/>
          <w:sz w:val="24"/>
          <w:highlight w:val="none"/>
          <w:lang w:eastAsia="zh-CN"/>
          <w14:textFill>
            <w14:solidFill>
              <w14:schemeClr w14:val="tx1"/>
            </w14:solidFill>
          </w14:textFill>
        </w:rPr>
        <w:t>比选代理机构</w:t>
      </w:r>
      <w:r>
        <w:rPr>
          <w:rFonts w:hint="eastAsia" w:ascii="宋体" w:hAnsi="宋体" w:eastAsia="宋体" w:cs="宋体"/>
          <w:color w:val="000000" w:themeColor="text1"/>
          <w:sz w:val="24"/>
          <w:highlight w:val="none"/>
          <w14:textFill>
            <w14:solidFill>
              <w14:schemeClr w14:val="tx1"/>
            </w14:solidFill>
          </w14:textFill>
        </w:rPr>
        <w:t>）接受</w:t>
      </w:r>
      <w:r>
        <w:rPr>
          <w:rFonts w:hint="eastAsia" w:ascii="宋体" w:hAnsi="宋体" w:eastAsia="宋体" w:cs="宋体"/>
          <w:color w:val="000000" w:themeColor="text1"/>
          <w:sz w:val="24"/>
          <w:highlight w:val="none"/>
          <w:u w:val="single"/>
          <w:lang w:eastAsia="zh-CN"/>
          <w14:textFill>
            <w14:solidFill>
              <w14:schemeClr w14:val="tx1"/>
            </w14:solidFill>
          </w14:textFill>
        </w:rPr>
        <w:t>重庆市干部医疗保障所</w:t>
      </w:r>
      <w:r>
        <w:rPr>
          <w:rFonts w:hint="eastAsia" w:ascii="宋体" w:hAnsi="宋体" w:eastAsia="宋体" w:cs="宋体"/>
          <w:color w:val="000000" w:themeColor="text1"/>
          <w:sz w:val="24"/>
          <w:highlight w:val="none"/>
          <w14:textFill>
            <w14:solidFill>
              <w14:schemeClr w14:val="tx1"/>
            </w14:solidFill>
          </w14:textFill>
        </w:rPr>
        <w:t>（以下简称：</w:t>
      </w:r>
      <w:r>
        <w:rPr>
          <w:rFonts w:hint="eastAsia" w:ascii="宋体" w:hAnsi="宋体" w:cs="宋体"/>
          <w:color w:val="000000" w:themeColor="text1"/>
          <w:sz w:val="24"/>
          <w:highlight w:val="none"/>
          <w:lang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）的委托，对</w:t>
      </w:r>
      <w:r>
        <w:rPr>
          <w:rFonts w:hint="eastAsia" w:ascii="宋体" w:hAnsi="宋体" w:cs="宋体"/>
          <w:color w:val="000000" w:themeColor="text1"/>
          <w:sz w:val="24"/>
          <w:highlight w:val="none"/>
          <w:u w:val="single"/>
          <w:lang w:eastAsia="zh-CN"/>
          <w14:textFill>
            <w14:solidFill>
              <w14:schemeClr w14:val="tx1"/>
            </w14:solidFill>
          </w14:textFill>
        </w:rPr>
        <w:t>重庆干部保障所办公用房改造</w:t>
      </w:r>
      <w:r>
        <w:rPr>
          <w:rFonts w:hint="eastAsia" w:ascii="宋体" w:hAnsi="宋体" w:eastAsia="宋体" w:cs="宋体"/>
          <w:color w:val="000000" w:themeColor="text1"/>
          <w:sz w:val="24"/>
          <w:highlight w:val="none"/>
          <w14:textFill>
            <w14:solidFill>
              <w14:schemeClr w14:val="tx1"/>
            </w14:solidFill>
          </w14:textFill>
        </w:rPr>
        <w:t>进行</w:t>
      </w:r>
      <w:r>
        <w:rPr>
          <w:rFonts w:hint="eastAsia" w:ascii="宋体" w:hAnsi="宋体" w:cs="宋体"/>
          <w:color w:val="000000" w:themeColor="text1"/>
          <w:sz w:val="24"/>
          <w:highlight w:val="none"/>
          <w:lang w:eastAsia="zh-CN"/>
          <w14:textFill>
            <w14:solidFill>
              <w14:schemeClr w14:val="tx1"/>
            </w14:solidFill>
          </w14:textFill>
        </w:rPr>
        <w:t>竞争性比选</w:t>
      </w:r>
      <w:r>
        <w:rPr>
          <w:rFonts w:hint="eastAsia" w:ascii="宋体" w:hAnsi="宋体" w:eastAsia="宋体" w:cs="宋体"/>
          <w:color w:val="000000" w:themeColor="text1"/>
          <w:sz w:val="24"/>
          <w:highlight w:val="none"/>
          <w14:textFill>
            <w14:solidFill>
              <w14:schemeClr w14:val="tx1"/>
            </w14:solidFill>
          </w14:textFill>
        </w:rPr>
        <w:t>。欢迎有资格的</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前来参与。</w:t>
      </w:r>
    </w:p>
    <w:p w14:paraId="42E2F5F3">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500" w:lineRule="exact"/>
        <w:textAlignment w:val="auto"/>
        <w:outlineLvl w:val="1"/>
        <w:rPr>
          <w:rFonts w:hint="eastAsia" w:ascii="宋体" w:hAnsi="宋体" w:eastAsia="宋体" w:cs="宋体"/>
          <w:b/>
          <w:color w:val="000000" w:themeColor="text1"/>
          <w:sz w:val="24"/>
          <w:highlight w:val="none"/>
          <w14:textFill>
            <w14:solidFill>
              <w14:schemeClr w14:val="tx1"/>
            </w14:solidFill>
          </w14:textFill>
        </w:rPr>
      </w:pPr>
      <w:bookmarkStart w:id="6" w:name="_Toc2162"/>
      <w:bookmarkStart w:id="7" w:name="_Toc21265"/>
      <w:bookmarkStart w:id="8" w:name="_Toc313893526"/>
      <w:bookmarkStart w:id="9" w:name="_Toc3292"/>
      <w:bookmarkStart w:id="10" w:name="_Toc317775175"/>
      <w:bookmarkStart w:id="11" w:name="_Toc19722"/>
      <w:bookmarkStart w:id="12" w:name="_Toc15279"/>
      <w:r>
        <w:rPr>
          <w:rFonts w:hint="eastAsia" w:ascii="宋体" w:hAnsi="宋体" w:eastAsia="宋体" w:cs="宋体"/>
          <w:b/>
          <w:color w:val="000000" w:themeColor="text1"/>
          <w:sz w:val="24"/>
          <w:highlight w:val="none"/>
          <w14:textFill>
            <w14:solidFill>
              <w14:schemeClr w14:val="tx1"/>
            </w14:solidFill>
          </w14:textFill>
        </w:rPr>
        <w:t>一、比选内容</w:t>
      </w:r>
      <w:bookmarkEnd w:id="6"/>
      <w:bookmarkEnd w:id="7"/>
      <w:bookmarkEnd w:id="8"/>
      <w:bookmarkEnd w:id="9"/>
      <w:bookmarkEnd w:id="10"/>
      <w:bookmarkEnd w:id="11"/>
      <w:bookmarkEnd w:id="12"/>
    </w:p>
    <w:tbl>
      <w:tblPr>
        <w:tblStyle w:val="14"/>
        <w:tblW w:w="49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6"/>
        <w:gridCol w:w="1947"/>
        <w:gridCol w:w="1682"/>
        <w:gridCol w:w="1999"/>
        <w:gridCol w:w="985"/>
      </w:tblGrid>
      <w:tr w14:paraId="3C6C8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401" w:type="pct"/>
            <w:tcBorders>
              <w:top w:val="single" w:color="auto" w:sz="4" w:space="0"/>
              <w:left w:val="single" w:color="auto" w:sz="4" w:space="0"/>
              <w:right w:val="single" w:color="auto" w:sz="4" w:space="0"/>
            </w:tcBorders>
            <w:noWrap w:val="0"/>
            <w:vAlign w:val="center"/>
          </w:tcPr>
          <w:p w14:paraId="0F72EE56">
            <w:pPr>
              <w:keepNext w:val="0"/>
              <w:keepLines w:val="0"/>
              <w:pageBreakBefore w:val="0"/>
              <w:widowControl w:val="0"/>
              <w:kinsoku w:val="0"/>
              <w:wordWrap/>
              <w:topLinePunct w:val="0"/>
              <w:autoSpaceDE w:val="0"/>
              <w:autoSpaceDN w:val="0"/>
              <w:bidi w:val="0"/>
              <w:adjustRightInd w:val="0"/>
              <w:snapToGrid w:val="0"/>
              <w:spacing w:line="500" w:lineRule="exact"/>
              <w:jc w:val="center"/>
              <w:rPr>
                <w:rFonts w:hint="eastAsia" w:ascii="宋体" w:hAnsi="宋体" w:eastAsia="宋体" w:cs="宋体"/>
                <w:b/>
                <w:bCs/>
                <w:color w:val="000000" w:themeColor="text1"/>
                <w:kern w:val="0"/>
                <w:highlight w:val="none"/>
                <w14:textFill>
                  <w14:solidFill>
                    <w14:schemeClr w14:val="tx1"/>
                  </w14:solidFill>
                </w14:textFill>
              </w:rPr>
            </w:pPr>
            <w:r>
              <w:rPr>
                <w:rFonts w:hint="eastAsia" w:ascii="宋体" w:hAnsi="宋体" w:eastAsia="宋体" w:cs="宋体"/>
                <w:b/>
                <w:bCs/>
                <w:color w:val="000000" w:themeColor="text1"/>
                <w:kern w:val="0"/>
                <w:highlight w:val="none"/>
                <w14:textFill>
                  <w14:solidFill>
                    <w14:schemeClr w14:val="tx1"/>
                  </w14:solidFill>
                </w14:textFill>
              </w:rPr>
              <w:t>项目名称</w:t>
            </w:r>
          </w:p>
        </w:tc>
        <w:tc>
          <w:tcPr>
            <w:tcW w:w="1059" w:type="pct"/>
            <w:tcBorders>
              <w:top w:val="single" w:color="auto" w:sz="4" w:space="0"/>
              <w:left w:val="single" w:color="auto" w:sz="4" w:space="0"/>
              <w:right w:val="single" w:color="auto" w:sz="4" w:space="0"/>
            </w:tcBorders>
            <w:noWrap w:val="0"/>
            <w:vAlign w:val="center"/>
          </w:tcPr>
          <w:p w14:paraId="5D5750AE">
            <w:pPr>
              <w:keepNext w:val="0"/>
              <w:keepLines w:val="0"/>
              <w:pageBreakBefore w:val="0"/>
              <w:widowControl w:val="0"/>
              <w:kinsoku w:val="0"/>
              <w:wordWrap/>
              <w:topLinePunct w:val="0"/>
              <w:autoSpaceDE w:val="0"/>
              <w:autoSpaceDN w:val="0"/>
              <w:bidi w:val="0"/>
              <w:adjustRightInd w:val="0"/>
              <w:snapToGrid w:val="0"/>
              <w:spacing w:line="500" w:lineRule="exact"/>
              <w:jc w:val="center"/>
              <w:rPr>
                <w:rFonts w:hint="eastAsia" w:ascii="宋体" w:hAnsi="宋体" w:eastAsia="宋体" w:cs="宋体"/>
                <w:b/>
                <w:bCs/>
                <w:color w:val="000000" w:themeColor="text1"/>
                <w:kern w:val="0"/>
                <w:highlight w:val="none"/>
                <w14:textFill>
                  <w14:solidFill>
                    <w14:schemeClr w14:val="tx1"/>
                  </w14:solidFill>
                </w14:textFill>
              </w:rPr>
            </w:pPr>
            <w:r>
              <w:rPr>
                <w:rFonts w:hint="eastAsia" w:ascii="宋体" w:hAnsi="宋体" w:eastAsia="宋体" w:cs="宋体"/>
                <w:b/>
                <w:bCs/>
                <w:color w:val="000000" w:themeColor="text1"/>
                <w:kern w:val="0"/>
                <w:highlight w:val="none"/>
                <w14:textFill>
                  <w14:solidFill>
                    <w14:schemeClr w14:val="tx1"/>
                  </w14:solidFill>
                </w14:textFill>
              </w:rPr>
              <w:t>最高限价（元）</w:t>
            </w:r>
          </w:p>
        </w:tc>
        <w:tc>
          <w:tcPr>
            <w:tcW w:w="915" w:type="pct"/>
            <w:tcBorders>
              <w:top w:val="single" w:color="auto" w:sz="4" w:space="0"/>
              <w:left w:val="single" w:color="auto" w:sz="4" w:space="0"/>
              <w:right w:val="single" w:color="auto" w:sz="4" w:space="0"/>
            </w:tcBorders>
            <w:noWrap w:val="0"/>
            <w:vAlign w:val="center"/>
          </w:tcPr>
          <w:p w14:paraId="1768229D">
            <w:pPr>
              <w:keepNext w:val="0"/>
              <w:keepLines w:val="0"/>
              <w:pageBreakBefore w:val="0"/>
              <w:widowControl w:val="0"/>
              <w:kinsoku w:val="0"/>
              <w:wordWrap/>
              <w:topLinePunct w:val="0"/>
              <w:autoSpaceDE w:val="0"/>
              <w:autoSpaceDN w:val="0"/>
              <w:bidi w:val="0"/>
              <w:adjustRightInd w:val="0"/>
              <w:snapToGrid w:val="0"/>
              <w:spacing w:line="500" w:lineRule="exact"/>
              <w:jc w:val="center"/>
              <w:rPr>
                <w:rFonts w:hint="eastAsia" w:ascii="宋体" w:hAnsi="宋体" w:eastAsia="宋体" w:cs="宋体"/>
                <w:b/>
                <w:bCs/>
                <w:color w:val="000000" w:themeColor="text1"/>
                <w:kern w:val="0"/>
                <w:highlight w:val="none"/>
                <w14:textFill>
                  <w14:solidFill>
                    <w14:schemeClr w14:val="tx1"/>
                  </w14:solidFill>
                </w14:textFill>
              </w:rPr>
            </w:pPr>
            <w:r>
              <w:rPr>
                <w:rFonts w:hint="eastAsia" w:ascii="宋体" w:hAnsi="宋体" w:eastAsia="宋体" w:cs="宋体"/>
                <w:b/>
                <w:bCs/>
                <w:color w:val="000000" w:themeColor="text1"/>
                <w:kern w:val="0"/>
                <w:highlight w:val="none"/>
                <w14:textFill>
                  <w14:solidFill>
                    <w14:schemeClr w14:val="tx1"/>
                  </w14:solidFill>
                </w14:textFill>
              </w:rPr>
              <w:t>保证金（</w:t>
            </w:r>
            <w:r>
              <w:rPr>
                <w:rFonts w:hint="eastAsia" w:ascii="宋体" w:hAnsi="宋体" w:eastAsia="宋体" w:cs="宋体"/>
                <w:b/>
                <w:bCs/>
                <w:color w:val="000000" w:themeColor="text1"/>
                <w:kern w:val="0"/>
                <w:highlight w:val="none"/>
                <w:lang w:eastAsia="zh-CN"/>
                <w14:textFill>
                  <w14:solidFill>
                    <w14:schemeClr w14:val="tx1"/>
                  </w14:solidFill>
                </w14:textFill>
              </w:rPr>
              <w:t>万</w:t>
            </w:r>
            <w:r>
              <w:rPr>
                <w:rFonts w:hint="eastAsia" w:ascii="宋体" w:hAnsi="宋体" w:eastAsia="宋体" w:cs="宋体"/>
                <w:b/>
                <w:bCs/>
                <w:color w:val="000000" w:themeColor="text1"/>
                <w:kern w:val="0"/>
                <w:highlight w:val="none"/>
                <w14:textFill>
                  <w14:solidFill>
                    <w14:schemeClr w14:val="tx1"/>
                  </w14:solidFill>
                </w14:textFill>
              </w:rPr>
              <w:t>元）</w:t>
            </w:r>
          </w:p>
        </w:tc>
        <w:tc>
          <w:tcPr>
            <w:tcW w:w="1087" w:type="pct"/>
            <w:tcBorders>
              <w:top w:val="single" w:color="auto" w:sz="4" w:space="0"/>
              <w:left w:val="single" w:color="auto" w:sz="4" w:space="0"/>
              <w:right w:val="single" w:color="auto" w:sz="4" w:space="0"/>
            </w:tcBorders>
            <w:noWrap w:val="0"/>
            <w:vAlign w:val="center"/>
          </w:tcPr>
          <w:p w14:paraId="4098FD8A">
            <w:pPr>
              <w:keepNext w:val="0"/>
              <w:keepLines w:val="0"/>
              <w:pageBreakBefore w:val="0"/>
              <w:widowControl w:val="0"/>
              <w:kinsoku w:val="0"/>
              <w:wordWrap/>
              <w:topLinePunct w:val="0"/>
              <w:autoSpaceDE w:val="0"/>
              <w:autoSpaceDN w:val="0"/>
              <w:bidi w:val="0"/>
              <w:adjustRightInd w:val="0"/>
              <w:snapToGrid w:val="0"/>
              <w:spacing w:line="500" w:lineRule="exact"/>
              <w:jc w:val="center"/>
              <w:rPr>
                <w:rFonts w:hint="eastAsia" w:ascii="宋体" w:hAnsi="宋体" w:eastAsia="宋体" w:cs="宋体"/>
                <w:b/>
                <w:bCs/>
                <w:color w:val="000000" w:themeColor="text1"/>
                <w:kern w:val="0"/>
                <w:highlight w:val="none"/>
                <w14:textFill>
                  <w14:solidFill>
                    <w14:schemeClr w14:val="tx1"/>
                  </w14:solidFill>
                </w14:textFill>
              </w:rPr>
            </w:pPr>
            <w:r>
              <w:rPr>
                <w:rFonts w:hint="eastAsia" w:ascii="宋体" w:hAnsi="宋体" w:cs="宋体"/>
                <w:b/>
                <w:bCs/>
                <w:color w:val="000000" w:themeColor="text1"/>
                <w:kern w:val="0"/>
                <w:highlight w:val="none"/>
                <w:lang w:eastAsia="zh-CN"/>
                <w14:textFill>
                  <w14:solidFill>
                    <w14:schemeClr w14:val="tx1"/>
                  </w14:solidFill>
                </w14:textFill>
              </w:rPr>
              <w:t>成交供应商</w:t>
            </w:r>
            <w:r>
              <w:rPr>
                <w:rFonts w:hint="eastAsia" w:ascii="宋体" w:hAnsi="宋体" w:eastAsia="宋体" w:cs="宋体"/>
                <w:b/>
                <w:bCs/>
                <w:color w:val="000000" w:themeColor="text1"/>
                <w:kern w:val="0"/>
                <w:highlight w:val="none"/>
                <w14:textFill>
                  <w14:solidFill>
                    <w14:schemeClr w14:val="tx1"/>
                  </w14:solidFill>
                </w14:textFill>
              </w:rPr>
              <w:t>数量（名）</w:t>
            </w:r>
          </w:p>
        </w:tc>
        <w:tc>
          <w:tcPr>
            <w:tcW w:w="536" w:type="pct"/>
            <w:tcBorders>
              <w:top w:val="single" w:color="auto" w:sz="4" w:space="0"/>
              <w:left w:val="single" w:color="auto" w:sz="4" w:space="0"/>
              <w:right w:val="single" w:color="auto" w:sz="4" w:space="0"/>
            </w:tcBorders>
            <w:noWrap w:val="0"/>
            <w:vAlign w:val="center"/>
          </w:tcPr>
          <w:p w14:paraId="531678D8">
            <w:pPr>
              <w:keepNext w:val="0"/>
              <w:keepLines w:val="0"/>
              <w:pageBreakBefore w:val="0"/>
              <w:widowControl w:val="0"/>
              <w:kinsoku w:val="0"/>
              <w:wordWrap/>
              <w:topLinePunct w:val="0"/>
              <w:autoSpaceDE w:val="0"/>
              <w:autoSpaceDN w:val="0"/>
              <w:bidi w:val="0"/>
              <w:adjustRightInd w:val="0"/>
              <w:snapToGrid w:val="0"/>
              <w:spacing w:line="500" w:lineRule="exact"/>
              <w:jc w:val="center"/>
              <w:rPr>
                <w:rFonts w:hint="eastAsia" w:ascii="宋体" w:hAnsi="宋体" w:eastAsia="宋体" w:cs="宋体"/>
                <w:b/>
                <w:bCs/>
                <w:color w:val="000000" w:themeColor="text1"/>
                <w:kern w:val="0"/>
                <w:highlight w:val="none"/>
                <w14:textFill>
                  <w14:solidFill>
                    <w14:schemeClr w14:val="tx1"/>
                  </w14:solidFill>
                </w14:textFill>
              </w:rPr>
            </w:pPr>
            <w:r>
              <w:rPr>
                <w:rFonts w:hint="eastAsia" w:ascii="宋体" w:hAnsi="宋体" w:eastAsia="宋体" w:cs="宋体"/>
                <w:b/>
                <w:bCs/>
                <w:color w:val="000000" w:themeColor="text1"/>
                <w:kern w:val="0"/>
                <w:highlight w:val="none"/>
                <w14:textFill>
                  <w14:solidFill>
                    <w14:schemeClr w14:val="tx1"/>
                  </w14:solidFill>
                </w14:textFill>
              </w:rPr>
              <w:t>备注</w:t>
            </w:r>
          </w:p>
        </w:tc>
      </w:tr>
      <w:tr w14:paraId="3D356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1" w:type="pct"/>
            <w:tcBorders>
              <w:top w:val="single" w:color="auto" w:sz="4" w:space="0"/>
              <w:left w:val="single" w:color="auto" w:sz="4" w:space="0"/>
              <w:right w:val="single" w:color="auto" w:sz="4" w:space="0"/>
            </w:tcBorders>
            <w:noWrap w:val="0"/>
            <w:vAlign w:val="center"/>
          </w:tcPr>
          <w:p w14:paraId="3F6025B8">
            <w:pPr>
              <w:keepNext w:val="0"/>
              <w:keepLines w:val="0"/>
              <w:pageBreakBefore w:val="0"/>
              <w:widowControl w:val="0"/>
              <w:kinsoku w:val="0"/>
              <w:wordWrap/>
              <w:topLinePunct w:val="0"/>
              <w:autoSpaceDE w:val="0"/>
              <w:autoSpaceDN w:val="0"/>
              <w:bidi w:val="0"/>
              <w:adjustRightInd w:val="0"/>
              <w:snapToGrid w:val="0"/>
              <w:spacing w:line="500" w:lineRule="exact"/>
              <w:jc w:val="center"/>
              <w:rPr>
                <w:rFonts w:hint="eastAsia" w:ascii="宋体" w:hAnsi="宋体" w:eastAsia="宋体" w:cs="宋体"/>
                <w:color w:val="000000" w:themeColor="text1"/>
                <w:kern w:val="0"/>
                <w:highlight w:val="none"/>
                <w:lang w:eastAsia="zh-CN"/>
                <w14:textFill>
                  <w14:solidFill>
                    <w14:schemeClr w14:val="tx1"/>
                  </w14:solidFill>
                </w14:textFill>
              </w:rPr>
            </w:pPr>
            <w:bookmarkStart w:id="13" w:name="_Hlk344477914"/>
            <w:r>
              <w:rPr>
                <w:rFonts w:hint="eastAsia" w:ascii="宋体" w:hAnsi="宋体" w:cs="宋体"/>
                <w:color w:val="000000" w:themeColor="text1"/>
                <w:kern w:val="0"/>
                <w:highlight w:val="none"/>
                <w:lang w:eastAsia="zh-CN"/>
                <w14:textFill>
                  <w14:solidFill>
                    <w14:schemeClr w14:val="tx1"/>
                  </w14:solidFill>
                </w14:textFill>
              </w:rPr>
              <w:t>重庆干部保障所办公用房改造</w:t>
            </w:r>
          </w:p>
        </w:tc>
        <w:tc>
          <w:tcPr>
            <w:tcW w:w="1059" w:type="pct"/>
            <w:tcBorders>
              <w:top w:val="single" w:color="auto" w:sz="4" w:space="0"/>
              <w:left w:val="single" w:color="auto" w:sz="4" w:space="0"/>
              <w:right w:val="single" w:color="auto" w:sz="4" w:space="0"/>
            </w:tcBorders>
            <w:shd w:val="clear" w:color="auto" w:fill="auto"/>
            <w:noWrap w:val="0"/>
            <w:vAlign w:val="center"/>
          </w:tcPr>
          <w:p w14:paraId="70FE03BC">
            <w:pPr>
              <w:keepNext w:val="0"/>
              <w:keepLines w:val="0"/>
              <w:pageBreakBefore w:val="0"/>
              <w:widowControl w:val="0"/>
              <w:suppressLineNumbers w:val="0"/>
              <w:kinsoku w:val="0"/>
              <w:wordWrap/>
              <w:topLinePunct w:val="0"/>
              <w:autoSpaceDE w:val="0"/>
              <w:autoSpaceDN w:val="0"/>
              <w:bidi w:val="0"/>
              <w:adjustRightInd w:val="0"/>
              <w:snapToGrid w:val="0"/>
              <w:spacing w:line="500" w:lineRule="exact"/>
              <w:jc w:val="center"/>
              <w:textAlignment w:val="auto"/>
              <w:rPr>
                <w:rFonts w:hint="default" w:ascii="宋体" w:hAnsi="宋体" w:eastAsia="宋体" w:cs="宋体"/>
                <w:i w:val="0"/>
                <w:iCs w:val="0"/>
                <w:color w:val="000000" w:themeColor="text1"/>
                <w:kern w:val="0"/>
                <w:sz w:val="21"/>
                <w:szCs w:val="24"/>
                <w:highlight w:val="none"/>
                <w:u w:val="none"/>
                <w:lang w:val="en-US" w:eastAsia="zh-CN" w:bidi="ar-SA"/>
                <w14:textFill>
                  <w14:solidFill>
                    <w14:schemeClr w14:val="tx1"/>
                  </w14:solidFill>
                </w14:textFill>
              </w:rPr>
            </w:pPr>
            <w:r>
              <w:rPr>
                <w:rFonts w:hint="default" w:ascii="宋体" w:hAnsi="宋体" w:eastAsia="宋体" w:cs="宋体"/>
                <w:i w:val="0"/>
                <w:iCs w:val="0"/>
                <w:color w:val="000000"/>
                <w:kern w:val="0"/>
                <w:sz w:val="20"/>
                <w:szCs w:val="20"/>
                <w:highlight w:val="none"/>
                <w:u w:val="none"/>
                <w:lang w:val="en-US" w:eastAsia="zh-CN" w:bidi="ar"/>
              </w:rPr>
              <w:t>471356.74</w:t>
            </w:r>
          </w:p>
        </w:tc>
        <w:tc>
          <w:tcPr>
            <w:tcW w:w="915" w:type="pct"/>
            <w:tcBorders>
              <w:top w:val="single" w:color="auto" w:sz="4" w:space="0"/>
              <w:left w:val="single" w:color="auto" w:sz="4" w:space="0"/>
              <w:right w:val="single" w:color="auto" w:sz="4" w:space="0"/>
            </w:tcBorders>
            <w:noWrap w:val="0"/>
            <w:vAlign w:val="center"/>
          </w:tcPr>
          <w:p w14:paraId="0D57C14E">
            <w:pPr>
              <w:keepNext w:val="0"/>
              <w:keepLines w:val="0"/>
              <w:pageBreakBefore w:val="0"/>
              <w:widowControl w:val="0"/>
              <w:kinsoku w:val="0"/>
              <w:wordWrap/>
              <w:topLinePunct w:val="0"/>
              <w:autoSpaceDE w:val="0"/>
              <w:autoSpaceDN w:val="0"/>
              <w:bidi w:val="0"/>
              <w:adjustRightInd w:val="0"/>
              <w:snapToGrid w:val="0"/>
              <w:spacing w:line="500" w:lineRule="exact"/>
              <w:jc w:val="center"/>
              <w:rPr>
                <w:rFonts w:hint="eastAsia" w:ascii="宋体" w:hAnsi="宋体" w:eastAsia="宋体" w:cs="宋体"/>
                <w:color w:val="000000" w:themeColor="text1"/>
                <w:kern w:val="0"/>
                <w:highlight w:val="none"/>
                <w:lang w:val="en-US" w:eastAsia="zh-CN"/>
                <w14:textFill>
                  <w14:solidFill>
                    <w14:schemeClr w14:val="tx1"/>
                  </w14:solidFill>
                </w14:textFill>
              </w:rPr>
            </w:pPr>
            <w:r>
              <w:rPr>
                <w:rFonts w:hint="eastAsia" w:ascii="宋体" w:hAnsi="宋体" w:eastAsia="宋体" w:cs="宋体"/>
                <w:color w:val="000000" w:themeColor="text1"/>
                <w:kern w:val="0"/>
                <w:highlight w:val="none"/>
                <w:lang w:val="en-US" w:eastAsia="zh-CN"/>
                <w14:textFill>
                  <w14:solidFill>
                    <w14:schemeClr w14:val="tx1"/>
                  </w14:solidFill>
                </w14:textFill>
              </w:rPr>
              <w:t>0.</w:t>
            </w:r>
            <w:r>
              <w:rPr>
                <w:rFonts w:hint="eastAsia" w:ascii="宋体" w:hAnsi="宋体" w:cs="宋体"/>
                <w:color w:val="000000" w:themeColor="text1"/>
                <w:kern w:val="0"/>
                <w:highlight w:val="none"/>
                <w:lang w:val="en-US" w:eastAsia="zh-CN"/>
                <w14:textFill>
                  <w14:solidFill>
                    <w14:schemeClr w14:val="tx1"/>
                  </w14:solidFill>
                </w14:textFill>
              </w:rPr>
              <w:t>8</w:t>
            </w:r>
          </w:p>
        </w:tc>
        <w:tc>
          <w:tcPr>
            <w:tcW w:w="1087" w:type="pct"/>
            <w:tcBorders>
              <w:top w:val="single" w:color="auto" w:sz="4" w:space="0"/>
              <w:left w:val="single" w:color="auto" w:sz="4" w:space="0"/>
              <w:right w:val="single" w:color="auto" w:sz="4" w:space="0"/>
            </w:tcBorders>
            <w:noWrap w:val="0"/>
            <w:vAlign w:val="center"/>
          </w:tcPr>
          <w:p w14:paraId="2478D3E8">
            <w:pPr>
              <w:keepNext w:val="0"/>
              <w:keepLines w:val="0"/>
              <w:pageBreakBefore w:val="0"/>
              <w:widowControl w:val="0"/>
              <w:kinsoku w:val="0"/>
              <w:wordWrap/>
              <w:topLinePunct w:val="0"/>
              <w:autoSpaceDE w:val="0"/>
              <w:autoSpaceDN w:val="0"/>
              <w:bidi w:val="0"/>
              <w:adjustRightInd w:val="0"/>
              <w:snapToGrid w:val="0"/>
              <w:spacing w:line="500" w:lineRule="exact"/>
              <w:jc w:val="cente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w:t>
            </w:r>
          </w:p>
        </w:tc>
        <w:tc>
          <w:tcPr>
            <w:tcW w:w="536" w:type="pct"/>
            <w:tcBorders>
              <w:top w:val="single" w:color="auto" w:sz="4" w:space="0"/>
              <w:left w:val="single" w:color="auto" w:sz="4" w:space="0"/>
              <w:right w:val="single" w:color="auto" w:sz="4" w:space="0"/>
            </w:tcBorders>
            <w:noWrap w:val="0"/>
            <w:vAlign w:val="center"/>
          </w:tcPr>
          <w:p w14:paraId="2089FA82">
            <w:pPr>
              <w:keepNext w:val="0"/>
              <w:keepLines w:val="0"/>
              <w:pageBreakBefore w:val="0"/>
              <w:widowControl w:val="0"/>
              <w:kinsoku w:val="0"/>
              <w:wordWrap/>
              <w:topLinePunct w:val="0"/>
              <w:autoSpaceDE w:val="0"/>
              <w:autoSpaceDN w:val="0"/>
              <w:bidi w:val="0"/>
              <w:adjustRightInd w:val="0"/>
              <w:snapToGrid w:val="0"/>
              <w:spacing w:line="500" w:lineRule="exact"/>
              <w:jc w:val="center"/>
              <w:rPr>
                <w:rFonts w:hint="eastAsia" w:ascii="宋体" w:hAnsi="宋体" w:eastAsia="宋体" w:cs="宋体"/>
                <w:color w:val="000000" w:themeColor="text1"/>
                <w:kern w:val="0"/>
                <w:highlight w:val="none"/>
                <w14:textFill>
                  <w14:solidFill>
                    <w14:schemeClr w14:val="tx1"/>
                  </w14:solidFill>
                </w14:textFill>
              </w:rPr>
            </w:pPr>
          </w:p>
        </w:tc>
      </w:tr>
      <w:bookmarkEnd w:id="13"/>
    </w:tbl>
    <w:p w14:paraId="502808E2">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500" w:lineRule="exact"/>
        <w:textAlignment w:val="auto"/>
        <w:outlineLvl w:val="1"/>
        <w:rPr>
          <w:rFonts w:hint="eastAsia" w:ascii="宋体" w:hAnsi="宋体" w:eastAsia="宋体" w:cs="宋体"/>
          <w:b/>
          <w:color w:val="000000" w:themeColor="text1"/>
          <w:sz w:val="24"/>
          <w:highlight w:val="none"/>
          <w14:textFill>
            <w14:solidFill>
              <w14:schemeClr w14:val="tx1"/>
            </w14:solidFill>
          </w14:textFill>
        </w:rPr>
      </w:pPr>
      <w:bookmarkStart w:id="14" w:name="_Toc15827"/>
      <w:bookmarkStart w:id="15" w:name="_Toc8570"/>
      <w:bookmarkStart w:id="16" w:name="_Toc27420"/>
      <w:bookmarkStart w:id="17" w:name="_Toc21145"/>
      <w:bookmarkStart w:id="18" w:name="_Toc11362"/>
      <w:bookmarkStart w:id="19" w:name="_Toc373860293"/>
      <w:bookmarkStart w:id="20" w:name="_Toc317775178"/>
      <w:r>
        <w:rPr>
          <w:rFonts w:hint="eastAsia" w:ascii="宋体" w:hAnsi="宋体" w:eastAsia="宋体" w:cs="宋体"/>
          <w:b/>
          <w:color w:val="000000" w:themeColor="text1"/>
          <w:sz w:val="24"/>
          <w:highlight w:val="none"/>
          <w14:textFill>
            <w14:solidFill>
              <w14:schemeClr w14:val="tx1"/>
            </w14:solidFill>
          </w14:textFill>
        </w:rPr>
        <w:t>二、资金来源</w:t>
      </w:r>
      <w:bookmarkEnd w:id="14"/>
      <w:bookmarkEnd w:id="15"/>
      <w:bookmarkEnd w:id="16"/>
      <w:bookmarkEnd w:id="17"/>
      <w:bookmarkEnd w:id="18"/>
    </w:p>
    <w:p w14:paraId="2057C31A">
      <w:pPr>
        <w:keepNext w:val="0"/>
        <w:keepLines w:val="0"/>
        <w:pageBreakBefore w:val="0"/>
        <w:widowControl w:val="0"/>
        <w:kinsoku w:val="0"/>
        <w:wordWrap/>
        <w:topLinePunct w:val="0"/>
        <w:autoSpaceDE w:val="0"/>
        <w:autoSpaceDN w:val="0"/>
        <w:bidi w:val="0"/>
        <w:adjustRightInd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bookmarkStart w:id="21" w:name="_Toc27500"/>
      <w:bookmarkStart w:id="22" w:name="_Toc5955"/>
      <w:r>
        <w:rPr>
          <w:rFonts w:hint="eastAsia" w:ascii="宋体" w:hAnsi="宋体" w:cs="宋体"/>
          <w:color w:val="000000" w:themeColor="text1"/>
          <w:sz w:val="24"/>
          <w:highlight w:val="none"/>
          <w:lang w:val="en-US" w:eastAsia="zh-CN"/>
          <w14:textFill>
            <w14:solidFill>
              <w14:schemeClr w14:val="tx1"/>
            </w14:solidFill>
          </w14:textFill>
        </w:rPr>
        <w:t>预算内</w:t>
      </w:r>
      <w:r>
        <w:rPr>
          <w:rFonts w:hint="eastAsia" w:ascii="宋体" w:hAnsi="宋体" w:eastAsia="宋体" w:cs="宋体"/>
          <w:color w:val="000000" w:themeColor="text1"/>
          <w:sz w:val="24"/>
          <w:highlight w:val="none"/>
          <w14:textFill>
            <w14:solidFill>
              <w14:schemeClr w14:val="tx1"/>
            </w14:solidFill>
          </w14:textFill>
        </w:rPr>
        <w:t>资金。</w:t>
      </w:r>
    </w:p>
    <w:p w14:paraId="63ABD1FE">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500" w:lineRule="exact"/>
        <w:textAlignment w:val="auto"/>
        <w:outlineLvl w:val="1"/>
        <w:rPr>
          <w:rFonts w:hint="eastAsia" w:ascii="宋体" w:hAnsi="宋体" w:eastAsia="宋体" w:cs="宋体"/>
          <w:b/>
          <w:color w:val="000000" w:themeColor="text1"/>
          <w:sz w:val="24"/>
          <w:highlight w:val="none"/>
          <w14:textFill>
            <w14:solidFill>
              <w14:schemeClr w14:val="tx1"/>
            </w14:solidFill>
          </w14:textFill>
        </w:rPr>
      </w:pPr>
      <w:bookmarkStart w:id="23" w:name="_Toc20962"/>
      <w:bookmarkStart w:id="24" w:name="_Toc14330"/>
      <w:bookmarkStart w:id="25" w:name="_Toc13411"/>
      <w:r>
        <w:rPr>
          <w:rFonts w:hint="eastAsia" w:ascii="宋体" w:hAnsi="宋体" w:eastAsia="宋体" w:cs="宋体"/>
          <w:b/>
          <w:color w:val="000000" w:themeColor="text1"/>
          <w:sz w:val="24"/>
          <w:highlight w:val="none"/>
          <w14:textFill>
            <w14:solidFill>
              <w14:schemeClr w14:val="tx1"/>
            </w14:solidFill>
          </w14:textFill>
        </w:rPr>
        <w:t>三、</w:t>
      </w:r>
      <w:r>
        <w:rPr>
          <w:rFonts w:hint="eastAsia" w:ascii="宋体" w:hAnsi="宋体" w:cs="宋体"/>
          <w:b/>
          <w:color w:val="000000" w:themeColor="text1"/>
          <w:sz w:val="24"/>
          <w:highlight w:val="none"/>
          <w:lang w:eastAsia="zh-CN"/>
          <w14:textFill>
            <w14:solidFill>
              <w14:schemeClr w14:val="tx1"/>
            </w14:solidFill>
          </w14:textFill>
        </w:rPr>
        <w:t>供应商</w:t>
      </w:r>
      <w:r>
        <w:rPr>
          <w:rFonts w:hint="eastAsia" w:ascii="宋体" w:hAnsi="宋体" w:eastAsia="宋体" w:cs="宋体"/>
          <w:b/>
          <w:color w:val="000000" w:themeColor="text1"/>
          <w:sz w:val="24"/>
          <w:highlight w:val="none"/>
          <w14:textFill>
            <w14:solidFill>
              <w14:schemeClr w14:val="tx1"/>
            </w14:solidFill>
          </w14:textFill>
        </w:rPr>
        <w:t>资格条件</w:t>
      </w:r>
      <w:bookmarkEnd w:id="21"/>
      <w:bookmarkEnd w:id="22"/>
      <w:bookmarkEnd w:id="23"/>
      <w:bookmarkEnd w:id="24"/>
      <w:bookmarkEnd w:id="25"/>
    </w:p>
    <w:p w14:paraId="62F8BB79">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（一）满足《中华人民共和国政府采购法》第二十二条规定；</w:t>
      </w:r>
    </w:p>
    <w:p w14:paraId="7AE77786">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（二）本项目的特定资格要求：</w:t>
      </w:r>
      <w:bookmarkStart w:id="26" w:name="_Toc1067"/>
      <w:bookmarkStart w:id="27" w:name="_Toc28102"/>
      <w:bookmarkStart w:id="28" w:name="_Toc23592"/>
      <w:bookmarkStart w:id="29" w:name="_Toc20164"/>
    </w:p>
    <w:p w14:paraId="1113559A">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lang w:eastAsia="zh-CN"/>
          <w14:textFill>
            <w14:solidFill>
              <w14:schemeClr w14:val="tx1"/>
            </w14:solidFill>
          </w14:textFill>
        </w:rPr>
        <w:t>具备建设行政主管部门颁发的有效的建筑装修装饰工程专业承包二级及以上资质。（提供有效的资质证书复印件并加盖单位公章）</w:t>
      </w:r>
    </w:p>
    <w:p w14:paraId="3C909C80">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2、具备建设行政主管部门颁发的有效的安全生产许可证，</w:t>
      </w:r>
      <w:r>
        <w:rPr>
          <w:rFonts w:hint="eastAsia" w:ascii="宋体" w:hAnsi="宋体" w:eastAsia="宋体" w:cs="宋体"/>
          <w:b/>
          <w:bCs/>
          <w:color w:val="000000" w:themeColor="text1"/>
          <w:sz w:val="24"/>
          <w:highlight w:val="none"/>
          <w:lang w:eastAsia="zh-CN"/>
          <w14:textFill>
            <w14:solidFill>
              <w14:schemeClr w14:val="tx1"/>
            </w14:solidFill>
          </w14:textFill>
        </w:rPr>
        <w:t>企业主要负责人、拟担任该项目负责人和专职安全生产管理人员（即“三类人员”）</w:t>
      </w:r>
      <w:r>
        <w:rPr>
          <w:rFonts w:hint="eastAsia" w:ascii="宋体" w:hAnsi="宋体" w:eastAsia="宋体" w:cs="宋体"/>
          <w:color w:val="000000" w:themeColor="text1"/>
          <w:sz w:val="24"/>
          <w:highlight w:val="none"/>
          <w:lang w:eastAsia="zh-CN"/>
          <w14:textFill>
            <w14:solidFill>
              <w14:schemeClr w14:val="tx1"/>
            </w14:solidFill>
          </w14:textFill>
        </w:rPr>
        <w:t>具备相应建设行政主管部门颁发的安全生产考核合格证书（提供有效的安全生产许可证及“三类人员”安全生产考核合格证书复印件并加盖单位公章）。</w:t>
      </w:r>
    </w:p>
    <w:p w14:paraId="35B2039C">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500" w:lineRule="exact"/>
        <w:textAlignment w:val="auto"/>
        <w:outlineLvl w:val="1"/>
        <w:rPr>
          <w:rFonts w:hint="eastAsia" w:ascii="宋体" w:hAnsi="宋体" w:eastAsia="宋体" w:cs="宋体"/>
          <w:b/>
          <w:color w:val="000000" w:themeColor="text1"/>
          <w:sz w:val="24"/>
          <w:highlight w:val="none"/>
          <w:lang w:val="en-US" w:eastAsia="zh-CN"/>
          <w14:textFill>
            <w14:solidFill>
              <w14:schemeClr w14:val="tx1"/>
            </w14:solidFill>
          </w14:textFill>
        </w:rPr>
      </w:pPr>
      <w:bookmarkStart w:id="30" w:name="_Toc28439"/>
      <w:r>
        <w:rPr>
          <w:rFonts w:hint="eastAsia" w:ascii="宋体" w:hAnsi="宋体" w:eastAsia="宋体" w:cs="宋体"/>
          <w:b/>
          <w:color w:val="000000" w:themeColor="text1"/>
          <w:sz w:val="24"/>
          <w:highlight w:val="none"/>
          <w14:textFill>
            <w14:solidFill>
              <w14:schemeClr w14:val="tx1"/>
            </w14:solidFill>
          </w14:textFill>
        </w:rPr>
        <w:t>四、比选有关说明</w:t>
      </w:r>
      <w:bookmarkEnd w:id="19"/>
      <w:bookmarkEnd w:id="26"/>
      <w:bookmarkEnd w:id="27"/>
      <w:bookmarkEnd w:id="28"/>
      <w:bookmarkEnd w:id="29"/>
      <w:bookmarkEnd w:id="30"/>
      <w:r>
        <w:rPr>
          <w:rFonts w:hint="eastAsia" w:ascii="宋体" w:hAnsi="宋体" w:eastAsia="宋体" w:cs="宋体"/>
          <w:b/>
          <w:color w:val="000000" w:themeColor="text1"/>
          <w:sz w:val="24"/>
          <w:highlight w:val="none"/>
          <w:lang w:val="en-US" w:eastAsia="zh-CN"/>
          <w14:textFill>
            <w14:solidFill>
              <w14:schemeClr w14:val="tx1"/>
            </w14:solidFill>
          </w14:textFill>
        </w:rPr>
        <w:t xml:space="preserve"> </w:t>
      </w:r>
    </w:p>
    <w:p w14:paraId="3162BE0E">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应通过“行采家”平台（http://www.gec123.com）进行注册，成为正式</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方能参与采购活动。</w:t>
      </w:r>
    </w:p>
    <w:p w14:paraId="130152BE">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（二）凡有意参加比选的</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，请在“行采家”上下载本项目</w:t>
      </w:r>
      <w:r>
        <w:rPr>
          <w:rFonts w:hint="eastAsia" w:ascii="宋体" w:hAnsi="宋体" w:cs="宋体"/>
          <w:color w:val="000000" w:themeColor="text1"/>
          <w:sz w:val="24"/>
          <w:highlight w:val="none"/>
          <w:lang w:eastAsia="zh-CN"/>
          <w14:textFill>
            <w14:solidFill>
              <w14:schemeClr w14:val="tx1"/>
            </w14:solidFill>
          </w14:textFill>
        </w:rPr>
        <w:t>竞争性比选</w:t>
      </w:r>
      <w:r>
        <w:rPr>
          <w:rFonts w:hint="eastAsia" w:ascii="宋体" w:hAnsi="宋体" w:eastAsia="宋体" w:cs="宋体"/>
          <w:color w:val="000000" w:themeColor="text1"/>
          <w:sz w:val="24"/>
          <w:highlight w:val="none"/>
          <w14:textFill>
            <w14:solidFill>
              <w14:schemeClr w14:val="tx1"/>
            </w14:solidFill>
          </w14:textFill>
        </w:rPr>
        <w:t>文件以及澄清、补充说明等竞标前公布的所有项目资料，无论</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下载与否，均视为已知晓所有采购实质性要求内容。</w:t>
      </w:r>
    </w:p>
    <w:p w14:paraId="68C0FBB3">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（三）比选文件公告期限：自比选公告发布之日起</w:t>
      </w:r>
      <w:r>
        <w:rPr>
          <w:rFonts w:hint="eastAsia" w:ascii="宋体" w:hAnsi="宋体" w:cs="宋体"/>
          <w:color w:val="000000" w:themeColor="text1"/>
          <w:sz w:val="24"/>
          <w:highlight w:val="none"/>
          <w:lang w:eastAsia="zh-CN"/>
          <w14:textFill>
            <w14:solidFill>
              <w14:schemeClr w14:val="tx1"/>
            </w14:solidFill>
          </w14:textFill>
        </w:rPr>
        <w:t>五</w:t>
      </w:r>
      <w:r>
        <w:rPr>
          <w:rFonts w:hint="eastAsia" w:ascii="宋体" w:hAnsi="宋体" w:eastAsia="宋体" w:cs="宋体"/>
          <w:color w:val="000000" w:themeColor="text1"/>
          <w:sz w:val="24"/>
          <w:highlight w:val="none"/>
          <w14:textFill>
            <w14:solidFill>
              <w14:schemeClr w14:val="tx1"/>
            </w14:solidFill>
          </w14:textFill>
        </w:rPr>
        <w:t>个工作日。</w:t>
      </w:r>
    </w:p>
    <w:p w14:paraId="211405E7">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（四）报名及比选文件发售</w:t>
      </w:r>
    </w:p>
    <w:p w14:paraId="758A6D93">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1.报名和比选文件发售期限：2025年</w:t>
      </w: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日至2025年</w:t>
      </w: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ascii="宋体" w:hAnsi="宋体" w:eastAsia="宋体" w:cs="宋体"/>
          <w:color w:val="000000" w:themeColor="text1"/>
          <w:sz w:val="24"/>
          <w:highlight w:val="none"/>
          <w14:textFill>
            <w14:solidFill>
              <w14:schemeClr w14:val="tx1"/>
            </w14:solidFill>
          </w14:textFill>
        </w:rPr>
        <w:t>日。</w:t>
      </w:r>
    </w:p>
    <w:p w14:paraId="239A3DBA">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2.比选文件售价：人民币</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00.00元/份(售后不退)</w:t>
      </w:r>
    </w:p>
    <w:p w14:paraId="5E5FB5CE">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 比选文件购买方式</w:t>
      </w:r>
    </w:p>
    <w:p w14:paraId="3BF68B48">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在比选文件发售期内，</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将比选文件购买费用汇至以下账户，并将比选文件汇款凭证(汇款时须注明项目名称)、《比选文件发售登记表》（加盖</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公章）扫描后发送至2446518707@qq.com（邮箱），领取比选文件，方视为报名成功。</w:t>
      </w:r>
    </w:p>
    <w:p w14:paraId="45CA3086">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在报名和比选文件发售期限内购买了比选文件的</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，其</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才被接收。</w:t>
      </w:r>
    </w:p>
    <w:p w14:paraId="0EFAD030">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（五）递交</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地址：</w:t>
      </w:r>
      <w:r>
        <w:rPr>
          <w:rFonts w:hint="eastAsia" w:ascii="宋体" w:hAnsi="宋体" w:eastAsia="宋体" w:cs="宋体"/>
          <w:color w:val="000000" w:themeColor="text1"/>
          <w:sz w:val="24"/>
          <w:highlight w:val="none"/>
          <w:lang w:val="en-US" w:eastAsia="zh-CN"/>
          <w14:textFill>
            <w14:solidFill>
              <w14:schemeClr w14:val="tx1"/>
            </w14:solidFill>
          </w14:textFill>
        </w:rPr>
        <w:t>重庆市渝北区线外城市花园1栋16层</w:t>
      </w:r>
      <w:r>
        <w:rPr>
          <w:rFonts w:hint="eastAsia" w:ascii="宋体" w:hAnsi="宋体" w:eastAsia="宋体" w:cs="宋体"/>
          <w:color w:val="000000" w:themeColor="text1"/>
          <w:sz w:val="24"/>
          <w:highlight w:val="none"/>
          <w14:textFill>
            <w14:solidFill>
              <w14:schemeClr w14:val="tx1"/>
            </w14:solidFill>
          </w14:textFill>
        </w:rPr>
        <w:t>。</w:t>
      </w:r>
    </w:p>
    <w:p w14:paraId="21D22FC4">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（六）递交</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开始时间和截止时间：2025年</w:t>
      </w: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eastAsia="宋体" w:cs="宋体"/>
          <w:color w:val="000000" w:themeColor="text1"/>
          <w:sz w:val="24"/>
          <w:highlight w:val="none"/>
          <w14:textFill>
            <w14:solidFill>
              <w14:schemeClr w14:val="tx1"/>
            </w14:solidFill>
          </w14:textFill>
        </w:rPr>
        <w:t>日</w:t>
      </w:r>
      <w:r>
        <w:rPr>
          <w:rFonts w:hint="eastAsia" w:ascii="宋体" w:hAnsi="宋体" w:eastAsia="宋体" w:cs="宋体"/>
          <w:color w:val="000000" w:themeColor="text1"/>
          <w:sz w:val="24"/>
          <w:highlight w:val="none"/>
          <w:lang w:val="en-US" w:eastAsia="zh-CN"/>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时30分-1</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时00分(北京时间)。</w:t>
      </w:r>
    </w:p>
    <w:p w14:paraId="5FB20118">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（七）开标时间：2025年</w:t>
      </w: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eastAsia="宋体" w:cs="宋体"/>
          <w:color w:val="000000" w:themeColor="text1"/>
          <w:sz w:val="24"/>
          <w:highlight w:val="none"/>
          <w14:textFill>
            <w14:solidFill>
              <w14:schemeClr w14:val="tx1"/>
            </w14:solidFill>
          </w14:textFill>
        </w:rPr>
        <w:t>日1</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时</w:t>
      </w:r>
      <w:r>
        <w:rPr>
          <w:rFonts w:hint="eastAsia" w:ascii="宋体" w:hAnsi="宋体" w:eastAsia="宋体" w:cs="宋体"/>
          <w:color w:val="000000" w:themeColor="text1"/>
          <w:sz w:val="24"/>
          <w:highlight w:val="none"/>
          <w:lang w:val="en-US" w:eastAsia="zh-CN"/>
          <w14:textFill>
            <w14:solidFill>
              <w14:schemeClr w14:val="tx1"/>
            </w14:solidFill>
          </w14:textFill>
        </w:rPr>
        <w:t>0</w:t>
      </w:r>
      <w:r>
        <w:rPr>
          <w:rFonts w:hint="eastAsia" w:ascii="宋体" w:hAnsi="宋体" w:eastAsia="宋体" w:cs="宋体"/>
          <w:color w:val="000000" w:themeColor="text1"/>
          <w:sz w:val="24"/>
          <w:highlight w:val="none"/>
          <w14:textFill>
            <w14:solidFill>
              <w14:schemeClr w14:val="tx1"/>
            </w14:solidFill>
          </w14:textFill>
        </w:rPr>
        <w:t>0分(北京时间)。</w:t>
      </w:r>
    </w:p>
    <w:p w14:paraId="64B2EC01">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（八）开标地点：同递交</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地址。</w:t>
      </w:r>
    </w:p>
    <w:p w14:paraId="7A0F4DF9">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500" w:lineRule="exact"/>
        <w:textAlignment w:val="auto"/>
        <w:outlineLvl w:val="1"/>
        <w:rPr>
          <w:rFonts w:hint="eastAsia" w:ascii="宋体" w:hAnsi="宋体" w:eastAsia="宋体" w:cs="宋体"/>
          <w:b/>
          <w:color w:val="000000" w:themeColor="text1"/>
          <w:sz w:val="24"/>
          <w:highlight w:val="none"/>
          <w14:textFill>
            <w14:solidFill>
              <w14:schemeClr w14:val="tx1"/>
            </w14:solidFill>
          </w14:textFill>
        </w:rPr>
      </w:pPr>
      <w:bookmarkStart w:id="31" w:name="_Toc9598"/>
      <w:bookmarkStart w:id="32" w:name="_Toc21299"/>
      <w:bookmarkStart w:id="33" w:name="_Toc12919"/>
      <w:bookmarkStart w:id="34" w:name="_Toc535999736"/>
      <w:bookmarkStart w:id="35" w:name="_Toc373860294"/>
      <w:bookmarkStart w:id="36" w:name="_Toc2632"/>
      <w:bookmarkStart w:id="37" w:name="_Toc54020335"/>
      <w:bookmarkStart w:id="38" w:name="_Toc1116100"/>
      <w:bookmarkStart w:id="39" w:name="_Toc1034141"/>
      <w:bookmarkStart w:id="40" w:name="_Toc1987"/>
      <w:r>
        <w:rPr>
          <w:rFonts w:hint="eastAsia" w:ascii="宋体" w:hAnsi="宋体" w:eastAsia="宋体" w:cs="宋体"/>
          <w:b/>
          <w:color w:val="000000" w:themeColor="text1"/>
          <w:sz w:val="24"/>
          <w:highlight w:val="none"/>
          <w14:textFill>
            <w14:solidFill>
              <w14:schemeClr w14:val="tx1"/>
            </w14:solidFill>
          </w14:textFill>
        </w:rPr>
        <w:t>五、比选保证金</w:t>
      </w:r>
      <w:bookmarkEnd w:id="31"/>
      <w:bookmarkEnd w:id="32"/>
      <w:bookmarkEnd w:id="33"/>
    </w:p>
    <w:p w14:paraId="060925D2">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须按本项目规定的保证金金额缴纳比选保证金（保证金金额详见本篇“一、比选内容”），由</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从其单位账户将保证金汇至以下账户，保证金的到账截止时间为</w:t>
      </w:r>
      <w:r>
        <w:rPr>
          <w:rFonts w:hint="eastAsia" w:ascii="宋体" w:hAnsi="宋体" w:cs="宋体"/>
          <w:color w:val="000000" w:themeColor="text1"/>
          <w:sz w:val="24"/>
          <w:szCs w:val="24"/>
          <w:highlight w:val="none"/>
          <w:lang w:eastAsia="zh-CN"/>
          <w14:textFill>
            <w14:solidFill>
              <w14:schemeClr w14:val="tx1"/>
            </w14:solidFill>
          </w14:textFill>
        </w:rPr>
        <w:t>响应文件</w:t>
      </w:r>
      <w:r>
        <w:rPr>
          <w:rFonts w:hint="eastAsia" w:ascii="宋体" w:hAnsi="宋体" w:cs="宋体"/>
          <w:color w:val="000000" w:themeColor="text1"/>
          <w:sz w:val="24"/>
          <w:szCs w:val="24"/>
          <w:highlight w:val="none"/>
          <w:lang w:val="en-US" w:eastAsia="zh-CN"/>
          <w14:textFill>
            <w14:solidFill>
              <w14:schemeClr w14:val="tx1"/>
            </w14:solidFill>
          </w14:textFill>
        </w:rPr>
        <w:t>递交</w:t>
      </w:r>
      <w:r>
        <w:rPr>
          <w:rFonts w:hint="eastAsia" w:ascii="宋体" w:hAnsi="宋体" w:eastAsia="宋体" w:cs="宋体"/>
          <w:color w:val="000000" w:themeColor="text1"/>
          <w:sz w:val="24"/>
          <w:szCs w:val="24"/>
          <w:highlight w:val="none"/>
          <w14:textFill>
            <w14:solidFill>
              <w14:schemeClr w14:val="tx1"/>
            </w14:solidFill>
          </w14:textFill>
        </w:rPr>
        <w:t>截止时</w:t>
      </w:r>
      <w:bookmarkStart w:id="935" w:name="_GoBack"/>
      <w:bookmarkEnd w:id="935"/>
      <w:r>
        <w:rPr>
          <w:rFonts w:hint="eastAsia" w:ascii="宋体" w:hAnsi="宋体" w:eastAsia="宋体" w:cs="宋体"/>
          <w:color w:val="000000" w:themeColor="text1"/>
          <w:sz w:val="24"/>
          <w:szCs w:val="24"/>
          <w:highlight w:val="none"/>
          <w14:textFill>
            <w14:solidFill>
              <w14:schemeClr w14:val="tx1"/>
            </w14:solidFill>
          </w14:textFill>
        </w:rPr>
        <w:t>间前。</w:t>
      </w:r>
    </w:p>
    <w:p w14:paraId="738487D8">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2.保证金递交账户</w:t>
      </w:r>
    </w:p>
    <w:p w14:paraId="6B53123A">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账  号：50050110267600001694</w:t>
      </w:r>
    </w:p>
    <w:p w14:paraId="72352CE8">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户  名：重庆渝富达项目管理有限公司</w:t>
      </w:r>
    </w:p>
    <w:p w14:paraId="136714CD">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开户行：中国建设银行股份有限公司重庆自由贸易试验区两江汽博支行</w:t>
      </w:r>
    </w:p>
    <w:p w14:paraId="289F298B">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3.各</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在银行转账（电汇）时，须充分考虑银行转账（电汇）的时间差风险，如同城转账、异地转账或汇款、跨行转账或电汇的时间要求。</w:t>
      </w:r>
    </w:p>
    <w:p w14:paraId="47BDB189">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4.各</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在递交保证金时，到款账户为上述指定的保证金账户，来款账户必须为</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单位账户。</w:t>
      </w:r>
    </w:p>
    <w:p w14:paraId="3BB6120F">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（二）保证金退还方式</w:t>
      </w:r>
    </w:p>
    <w:p w14:paraId="7236CC65">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1.未</w:t>
      </w:r>
      <w:r>
        <w:rPr>
          <w:rFonts w:hint="eastAsia" w:ascii="宋体" w:hAnsi="宋体" w:cs="宋体"/>
          <w:color w:val="000000" w:themeColor="text1"/>
          <w:sz w:val="24"/>
          <w:szCs w:val="24"/>
          <w:highlight w:val="none"/>
          <w:lang w:eastAsia="zh-CN"/>
          <w14:textFill>
            <w14:solidFill>
              <w14:schemeClr w14:val="tx1"/>
            </w14:solidFill>
          </w14:textFill>
        </w:rPr>
        <w:t>成交供应商</w:t>
      </w:r>
      <w:r>
        <w:rPr>
          <w:rFonts w:hint="eastAsia" w:ascii="宋体" w:hAnsi="宋体" w:eastAsia="宋体" w:cs="宋体"/>
          <w:color w:val="000000" w:themeColor="text1"/>
          <w:sz w:val="24"/>
          <w:szCs w:val="24"/>
          <w:highlight w:val="none"/>
          <w14:textFill>
            <w14:solidFill>
              <w14:schemeClr w14:val="tx1"/>
            </w14:solidFill>
          </w14:textFill>
        </w:rPr>
        <w:t>的保证金，在中选通知书发放后，由</w:t>
      </w:r>
      <w:r>
        <w:rPr>
          <w:rFonts w:hint="eastAsia" w:ascii="宋体" w:hAnsi="宋体" w:eastAsia="宋体" w:cs="宋体"/>
          <w:color w:val="000000" w:themeColor="text1"/>
          <w:sz w:val="24"/>
          <w:szCs w:val="24"/>
          <w:highlight w:val="none"/>
          <w:lang w:eastAsia="zh-CN"/>
          <w14:textFill>
            <w14:solidFill>
              <w14:schemeClr w14:val="tx1"/>
            </w14:solidFill>
          </w14:textFill>
        </w:rPr>
        <w:t>比选代理机构</w:t>
      </w:r>
      <w:r>
        <w:rPr>
          <w:rFonts w:hint="eastAsia" w:ascii="宋体" w:hAnsi="宋体" w:eastAsia="宋体" w:cs="宋体"/>
          <w:color w:val="000000" w:themeColor="text1"/>
          <w:sz w:val="24"/>
          <w:szCs w:val="24"/>
          <w:highlight w:val="none"/>
          <w14:textFill>
            <w14:solidFill>
              <w14:schemeClr w14:val="tx1"/>
            </w14:solidFill>
          </w14:textFill>
        </w:rPr>
        <w:t>在五个工作日内按来款渠道直接</w:t>
      </w:r>
      <w:r>
        <w:rPr>
          <w:rFonts w:hint="eastAsia" w:ascii="宋体" w:hAnsi="宋体" w:eastAsia="宋体" w:cs="宋体"/>
          <w:color w:val="000000" w:themeColor="text1"/>
          <w:sz w:val="24"/>
          <w:szCs w:val="24"/>
          <w:highlight w:val="none"/>
          <w:lang w:val="en-US" w:eastAsia="zh-CN"/>
          <w14:textFill>
            <w14:solidFill>
              <w14:schemeClr w14:val="tx1"/>
            </w14:solidFill>
          </w14:textFill>
        </w:rPr>
        <w:t>无息</w:t>
      </w:r>
      <w:r>
        <w:rPr>
          <w:rFonts w:hint="eastAsia" w:ascii="宋体" w:hAnsi="宋体" w:eastAsia="宋体" w:cs="宋体"/>
          <w:color w:val="000000" w:themeColor="text1"/>
          <w:sz w:val="24"/>
          <w:szCs w:val="24"/>
          <w:highlight w:val="none"/>
          <w14:textFill>
            <w14:solidFill>
              <w14:schemeClr w14:val="tx1"/>
            </w14:solidFill>
          </w14:textFill>
        </w:rPr>
        <w:t>退还。</w:t>
      </w:r>
    </w:p>
    <w:p w14:paraId="4F1DEBFE">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lang w:eastAsia="zh-CN"/>
          <w14:textFill>
            <w14:solidFill>
              <w14:schemeClr w14:val="tx1"/>
            </w14:solidFill>
          </w14:textFill>
        </w:rPr>
        <w:t>成交供应商</w:t>
      </w:r>
      <w:r>
        <w:rPr>
          <w:rFonts w:hint="eastAsia" w:ascii="宋体" w:hAnsi="宋体" w:eastAsia="宋体" w:cs="宋体"/>
          <w:color w:val="000000" w:themeColor="text1"/>
          <w:sz w:val="24"/>
          <w:szCs w:val="24"/>
          <w:highlight w:val="none"/>
          <w14:textFill>
            <w14:solidFill>
              <w14:schemeClr w14:val="tx1"/>
            </w14:solidFill>
          </w14:textFill>
        </w:rPr>
        <w:t>的保证金，在</w:t>
      </w:r>
      <w:r>
        <w:rPr>
          <w:rFonts w:hint="eastAsia" w:ascii="宋体" w:hAnsi="宋体" w:cs="宋体"/>
          <w:color w:val="000000" w:themeColor="text1"/>
          <w:sz w:val="24"/>
          <w:szCs w:val="24"/>
          <w:highlight w:val="none"/>
          <w:lang w:eastAsia="zh-CN"/>
          <w14:textFill>
            <w14:solidFill>
              <w14:schemeClr w14:val="tx1"/>
            </w14:solidFill>
          </w14:textFill>
        </w:rPr>
        <w:t>成交供应商</w:t>
      </w:r>
      <w:r>
        <w:rPr>
          <w:rFonts w:hint="eastAsia" w:ascii="宋体" w:hAnsi="宋体" w:eastAsia="宋体" w:cs="宋体"/>
          <w:color w:val="000000" w:themeColor="text1"/>
          <w:sz w:val="24"/>
          <w:szCs w:val="24"/>
          <w:highlight w:val="none"/>
          <w14:textFill>
            <w14:solidFill>
              <w14:schemeClr w14:val="tx1"/>
            </w14:solidFill>
          </w14:textFill>
        </w:rPr>
        <w:t>与</w:t>
      </w:r>
      <w:r>
        <w:rPr>
          <w:rFonts w:hint="eastAsia" w:ascii="宋体" w:hAnsi="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签订合同后，由</w:t>
      </w:r>
      <w:r>
        <w:rPr>
          <w:rFonts w:hint="eastAsia" w:ascii="宋体" w:hAnsi="宋体" w:eastAsia="宋体" w:cs="宋体"/>
          <w:color w:val="000000" w:themeColor="text1"/>
          <w:sz w:val="24"/>
          <w:szCs w:val="24"/>
          <w:highlight w:val="none"/>
          <w:lang w:eastAsia="zh-CN"/>
          <w14:textFill>
            <w14:solidFill>
              <w14:schemeClr w14:val="tx1"/>
            </w14:solidFill>
          </w14:textFill>
        </w:rPr>
        <w:t>比选代理机构</w:t>
      </w:r>
      <w:r>
        <w:rPr>
          <w:rFonts w:hint="eastAsia" w:ascii="宋体" w:hAnsi="宋体" w:eastAsia="宋体" w:cs="宋体"/>
          <w:color w:val="000000" w:themeColor="text1"/>
          <w:sz w:val="24"/>
          <w:szCs w:val="24"/>
          <w:highlight w:val="none"/>
          <w14:textFill>
            <w14:solidFill>
              <w14:schemeClr w14:val="tx1"/>
            </w14:solidFill>
          </w14:textFill>
        </w:rPr>
        <w:t>在五个工作日内按资金来款渠道直接</w:t>
      </w:r>
      <w:r>
        <w:rPr>
          <w:rFonts w:hint="eastAsia" w:ascii="宋体" w:hAnsi="宋体" w:eastAsia="宋体" w:cs="宋体"/>
          <w:color w:val="000000" w:themeColor="text1"/>
          <w:sz w:val="24"/>
          <w:szCs w:val="24"/>
          <w:highlight w:val="none"/>
          <w:lang w:val="en-US" w:eastAsia="zh-CN"/>
          <w14:textFill>
            <w14:solidFill>
              <w14:schemeClr w14:val="tx1"/>
            </w14:solidFill>
          </w14:textFill>
        </w:rPr>
        <w:t>无息</w:t>
      </w:r>
      <w:r>
        <w:rPr>
          <w:rFonts w:hint="eastAsia" w:ascii="宋体" w:hAnsi="宋体" w:eastAsia="宋体" w:cs="宋体"/>
          <w:color w:val="000000" w:themeColor="text1"/>
          <w:sz w:val="24"/>
          <w:szCs w:val="24"/>
          <w:highlight w:val="none"/>
          <w14:textFill>
            <w14:solidFill>
              <w14:schemeClr w14:val="tx1"/>
            </w14:solidFill>
          </w14:textFill>
        </w:rPr>
        <w:t>退还。</w:t>
      </w:r>
    </w:p>
    <w:p w14:paraId="57E0476E">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500" w:lineRule="exact"/>
        <w:textAlignment w:val="auto"/>
        <w:outlineLvl w:val="1"/>
        <w:rPr>
          <w:rFonts w:hint="eastAsia" w:ascii="宋体" w:hAnsi="宋体" w:eastAsia="宋体" w:cs="宋体"/>
          <w:b/>
          <w:color w:val="000000" w:themeColor="text1"/>
          <w:sz w:val="24"/>
          <w:highlight w:val="none"/>
          <w14:textFill>
            <w14:solidFill>
              <w14:schemeClr w14:val="tx1"/>
            </w14:solidFill>
          </w14:textFill>
        </w:rPr>
      </w:pPr>
      <w:bookmarkStart w:id="41" w:name="_Toc23039"/>
      <w:bookmarkStart w:id="42" w:name="_Toc26904"/>
      <w:bookmarkStart w:id="43" w:name="_Toc31397"/>
      <w:r>
        <w:rPr>
          <w:rFonts w:hint="eastAsia" w:ascii="宋体" w:hAnsi="宋体" w:eastAsia="宋体" w:cs="宋体"/>
          <w:b/>
          <w:color w:val="000000" w:themeColor="text1"/>
          <w:sz w:val="24"/>
          <w:highlight w:val="none"/>
          <w14:textFill>
            <w14:solidFill>
              <w14:schemeClr w14:val="tx1"/>
            </w14:solidFill>
          </w14:textFill>
        </w:rPr>
        <w:t>六、</w:t>
      </w:r>
      <w:bookmarkEnd w:id="20"/>
      <w:bookmarkEnd w:id="34"/>
      <w:bookmarkEnd w:id="35"/>
      <w:bookmarkEnd w:id="36"/>
      <w:bookmarkEnd w:id="37"/>
      <w:bookmarkEnd w:id="38"/>
      <w:bookmarkEnd w:id="39"/>
      <w:bookmarkEnd w:id="40"/>
      <w:bookmarkStart w:id="44" w:name="_Toc469"/>
      <w:bookmarkStart w:id="45" w:name="_Toc32098"/>
      <w:bookmarkStart w:id="46" w:name="_Toc480466699"/>
      <w:r>
        <w:rPr>
          <w:rFonts w:hint="eastAsia" w:ascii="宋体" w:hAnsi="宋体" w:eastAsia="宋体" w:cs="宋体"/>
          <w:b/>
          <w:color w:val="000000" w:themeColor="text1"/>
          <w:sz w:val="24"/>
          <w:highlight w:val="none"/>
          <w14:textFill>
            <w14:solidFill>
              <w14:schemeClr w14:val="tx1"/>
            </w14:solidFill>
          </w14:textFill>
        </w:rPr>
        <w:t>其它有关规定</w:t>
      </w:r>
      <w:bookmarkEnd w:id="41"/>
      <w:bookmarkEnd w:id="42"/>
      <w:bookmarkEnd w:id="43"/>
      <w:bookmarkEnd w:id="44"/>
      <w:bookmarkEnd w:id="45"/>
      <w:bookmarkEnd w:id="46"/>
    </w:p>
    <w:p w14:paraId="15D838E1">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360" w:firstLineChars="15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（一）单位负责人为同一人或者存在直接控股、管理关系的不同</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，不得参加同一合同项（分包）下的采购活动，否则均为无效响应。</w:t>
      </w:r>
    </w:p>
    <w:p w14:paraId="105C737E">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360" w:firstLineChars="15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（二）为采购项目提供整体设计、规范编制或者项目管理、监理、检测等服务的</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，不得再参加该采购项目的其他采购活动。</w:t>
      </w:r>
    </w:p>
    <w:p w14:paraId="1A03A1E5">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360" w:firstLineChars="15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（三）本项目的澄清文件（如果有）一律在</w:t>
      </w:r>
      <w:r>
        <w:rPr>
          <w:rFonts w:hint="eastAsia" w:ascii="宋体" w:hAnsi="宋体" w:eastAsia="宋体" w:cs="宋体"/>
          <w:color w:val="000000" w:themeColor="text1"/>
          <w:sz w:val="24"/>
          <w:highlight w:val="none"/>
          <w:lang w:eastAsia="zh-CN"/>
          <w14:textFill>
            <w14:solidFill>
              <w14:schemeClr w14:val="tx1"/>
            </w14:solidFill>
          </w14:textFill>
        </w:rPr>
        <w:t>行采家</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www.gec123.com</w:t>
      </w:r>
      <w:r>
        <w:rPr>
          <w:rFonts w:hint="eastAsia" w:ascii="宋体" w:hAnsi="宋体" w:eastAsia="宋体" w:cs="宋体"/>
          <w:color w:val="000000" w:themeColor="text1"/>
          <w:sz w:val="24"/>
          <w:highlight w:val="none"/>
          <w14:textFill>
            <w14:solidFill>
              <w14:schemeClr w14:val="tx1"/>
            </w14:solidFill>
          </w14:textFill>
        </w:rPr>
        <w:t>）上发布，请各</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注意下载；无论</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下载与否，均视同</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已知晓本项目澄清文件（如果有）的内容。</w:t>
      </w:r>
    </w:p>
    <w:p w14:paraId="67D14F79">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360" w:firstLineChars="15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（四）超过</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截止时间递交的</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，恕不接收。</w:t>
      </w:r>
    </w:p>
    <w:p w14:paraId="61D0B530">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360" w:firstLineChars="15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（五）比选费用：无论比选结果如何，</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参与本项目比选的所有费用均应由</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自行承担。</w:t>
      </w:r>
    </w:p>
    <w:p w14:paraId="70631384">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360" w:firstLineChars="15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（六）</w:t>
      </w:r>
      <w:r>
        <w:rPr>
          <w:rFonts w:hint="eastAsia" w:ascii="宋体" w:hAnsi="宋体" w:eastAsia="宋体" w:cs="宋体"/>
          <w:b/>
          <w:color w:val="000000" w:themeColor="text1"/>
          <w:sz w:val="24"/>
          <w:highlight w:val="none"/>
          <w14:textFill>
            <w14:solidFill>
              <w14:schemeClr w14:val="tx1"/>
            </w14:solidFill>
          </w14:textFill>
        </w:rPr>
        <w:t>本项目不接受联合体参与竞选。</w:t>
      </w:r>
    </w:p>
    <w:p w14:paraId="09C4218A">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360" w:firstLineChars="15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（七）</w:t>
      </w:r>
      <w:bookmarkStart w:id="47" w:name="_Toc480466700"/>
      <w:r>
        <w:rPr>
          <w:rFonts w:hint="eastAsia" w:ascii="宋体" w:hAnsi="宋体" w:eastAsia="宋体" w:cs="宋体"/>
          <w:color w:val="000000" w:themeColor="text1"/>
          <w:sz w:val="24"/>
          <w:highlight w:val="none"/>
          <w14:textFill>
            <w14:solidFill>
              <w14:schemeClr w14:val="tx1"/>
            </w14:solidFill>
          </w14:textFill>
        </w:rPr>
        <w:t>按照《财政部关于在政府采购活动中查询及使用信用记录有关问题的通知》</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财库〔2016〕125号</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列入失信被执行人、重大税收违法案件当事人名单、政府采购严重违法失信行为记录名单及其他不符合《中华人民共和国政府采购法》第二十二条规定条件的</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，将拒绝其参与采购活动。</w:t>
      </w:r>
    </w:p>
    <w:p w14:paraId="0E214E16">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500" w:lineRule="exact"/>
        <w:textAlignment w:val="auto"/>
        <w:outlineLvl w:val="1"/>
        <w:rPr>
          <w:rFonts w:hint="eastAsia" w:ascii="宋体" w:hAnsi="宋体" w:eastAsia="宋体" w:cs="宋体"/>
          <w:b/>
          <w:color w:val="000000" w:themeColor="text1"/>
          <w:sz w:val="24"/>
          <w:highlight w:val="none"/>
          <w14:textFill>
            <w14:solidFill>
              <w14:schemeClr w14:val="tx1"/>
            </w14:solidFill>
          </w14:textFill>
        </w:rPr>
      </w:pPr>
      <w:bookmarkStart w:id="48" w:name="_Toc27333"/>
      <w:bookmarkStart w:id="49" w:name="_Toc29016"/>
      <w:bookmarkStart w:id="50" w:name="_Toc32192"/>
      <w:bookmarkStart w:id="51" w:name="_Toc27748"/>
      <w:bookmarkStart w:id="52" w:name="_Toc7586"/>
      <w:r>
        <w:rPr>
          <w:rFonts w:hint="eastAsia" w:ascii="宋体" w:hAnsi="宋体" w:eastAsia="宋体" w:cs="宋体"/>
          <w:b/>
          <w:color w:val="000000" w:themeColor="text1"/>
          <w:sz w:val="24"/>
          <w:highlight w:val="none"/>
          <w14:textFill>
            <w14:solidFill>
              <w14:schemeClr w14:val="tx1"/>
            </w14:solidFill>
          </w14:textFill>
        </w:rPr>
        <w:t>七、联系方式</w:t>
      </w:r>
      <w:bookmarkEnd w:id="47"/>
      <w:bookmarkEnd w:id="48"/>
      <w:bookmarkEnd w:id="49"/>
      <w:bookmarkEnd w:id="50"/>
      <w:bookmarkEnd w:id="51"/>
      <w:bookmarkEnd w:id="52"/>
    </w:p>
    <w:p w14:paraId="1E31E31F">
      <w:pPr>
        <w:keepNext w:val="0"/>
        <w:keepLines w:val="0"/>
        <w:pageBreakBefore w:val="0"/>
        <w:widowControl w:val="0"/>
        <w:kinsoku w:val="0"/>
        <w:wordWrap/>
        <w:topLinePunct w:val="0"/>
        <w:autoSpaceDE w:val="0"/>
        <w:autoSpaceDN w:val="0"/>
        <w:bidi w:val="0"/>
        <w:adjustRightInd w:val="0"/>
        <w:snapToGrid w:val="0"/>
        <w:spacing w:line="500" w:lineRule="exact"/>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w:t>
      </w:r>
      <w:r>
        <w:rPr>
          <w:rFonts w:hint="eastAsia" w:ascii="宋体" w:hAnsi="宋体" w:cs="宋体"/>
          <w:color w:val="000000" w:themeColor="text1"/>
          <w:sz w:val="24"/>
          <w:highlight w:val="none"/>
          <w:lang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重庆市干部医疗保障所</w:t>
      </w:r>
    </w:p>
    <w:p w14:paraId="1081C23D">
      <w:pPr>
        <w:keepNext w:val="0"/>
        <w:keepLines w:val="0"/>
        <w:pageBreakBefore w:val="0"/>
        <w:widowControl w:val="0"/>
        <w:kinsoku w:val="0"/>
        <w:wordWrap/>
        <w:topLinePunct w:val="0"/>
        <w:autoSpaceDE w:val="0"/>
        <w:autoSpaceDN w:val="0"/>
        <w:bidi w:val="0"/>
        <w:adjustRightInd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联系人：</w:t>
      </w:r>
      <w:r>
        <w:rPr>
          <w:rFonts w:hint="eastAsia" w:ascii="宋体" w:hAnsi="宋体" w:eastAsia="宋体" w:cs="宋体"/>
          <w:color w:val="000000" w:themeColor="text1"/>
          <w:sz w:val="24"/>
          <w:highlight w:val="none"/>
          <w:lang w:val="en-US" w:eastAsia="zh-CN"/>
          <w14:textFill>
            <w14:solidFill>
              <w14:schemeClr w14:val="tx1"/>
            </w14:solidFill>
          </w14:textFill>
        </w:rPr>
        <w:t>李</w:t>
      </w:r>
      <w:r>
        <w:rPr>
          <w:rFonts w:hint="eastAsia" w:ascii="宋体" w:hAnsi="宋体" w:eastAsia="宋体" w:cs="宋体"/>
          <w:color w:val="000000" w:themeColor="text1"/>
          <w:sz w:val="24"/>
          <w:highlight w:val="none"/>
          <w14:textFill>
            <w14:solidFill>
              <w14:schemeClr w14:val="tx1"/>
            </w14:solidFill>
          </w14:textFill>
        </w:rPr>
        <w:t>老师</w:t>
      </w:r>
    </w:p>
    <w:p w14:paraId="5249ED42">
      <w:pPr>
        <w:keepNext w:val="0"/>
        <w:keepLines w:val="0"/>
        <w:pageBreakBefore w:val="0"/>
        <w:widowControl w:val="0"/>
        <w:kinsoku w:val="0"/>
        <w:wordWrap/>
        <w:topLinePunct w:val="0"/>
        <w:autoSpaceDE w:val="0"/>
        <w:autoSpaceDN w:val="0"/>
        <w:bidi w:val="0"/>
        <w:adjustRightInd w:val="0"/>
        <w:snapToGrid w:val="0"/>
        <w:spacing w:line="500" w:lineRule="exact"/>
        <w:ind w:firstLine="480" w:firstLineChars="2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  话：</w:t>
      </w:r>
      <w:r>
        <w:rPr>
          <w:rFonts w:hint="eastAsia" w:ascii="宋体" w:hAnsi="宋体" w:cs="宋体"/>
          <w:color w:val="000000" w:themeColor="text1"/>
          <w:sz w:val="24"/>
          <w:highlight w:val="none"/>
          <w:lang w:val="en-US" w:eastAsia="zh-CN"/>
          <w14:textFill>
            <w14:solidFill>
              <w14:schemeClr w14:val="tx1"/>
            </w14:solidFill>
          </w14:textFill>
        </w:rPr>
        <w:t>023-86072247</w:t>
      </w:r>
    </w:p>
    <w:p w14:paraId="3DFF7A0C">
      <w:pPr>
        <w:keepNext w:val="0"/>
        <w:keepLines w:val="0"/>
        <w:pageBreakBefore w:val="0"/>
        <w:widowControl w:val="0"/>
        <w:kinsoku w:val="0"/>
        <w:wordWrap/>
        <w:topLinePunct w:val="0"/>
        <w:autoSpaceDE w:val="0"/>
        <w:autoSpaceDN w:val="0"/>
        <w:bidi w:val="0"/>
        <w:adjustRightInd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  址：</w:t>
      </w:r>
      <w:r>
        <w:rPr>
          <w:rFonts w:hint="eastAsia" w:ascii="宋体" w:hAnsi="宋体" w:eastAsia="宋体" w:cs="宋体"/>
          <w:color w:val="000000" w:themeColor="text1"/>
          <w:sz w:val="24"/>
          <w:highlight w:val="none"/>
          <w:lang w:eastAsia="zh-CN"/>
          <w14:textFill>
            <w14:solidFill>
              <w14:schemeClr w14:val="tx1"/>
            </w14:solidFill>
          </w14:textFill>
        </w:rPr>
        <w:t>重庆市渝北区星光大道76号天王星B座8楼</w:t>
      </w:r>
      <w:r>
        <w:rPr>
          <w:rFonts w:hint="eastAsia" w:ascii="宋体" w:hAnsi="宋体" w:eastAsia="宋体" w:cs="宋体"/>
          <w:color w:val="000000" w:themeColor="text1"/>
          <w:sz w:val="24"/>
          <w:highlight w:val="none"/>
          <w14:textFill>
            <w14:solidFill>
              <w14:schemeClr w14:val="tx1"/>
            </w14:solidFill>
          </w14:textFill>
        </w:rPr>
        <w:t xml:space="preserve"> </w:t>
      </w:r>
    </w:p>
    <w:p w14:paraId="4C966F46">
      <w:pPr>
        <w:keepNext w:val="0"/>
        <w:keepLines w:val="0"/>
        <w:pageBreakBefore w:val="0"/>
        <w:widowControl w:val="0"/>
        <w:kinsoku w:val="0"/>
        <w:wordWrap/>
        <w:topLinePunct w:val="0"/>
        <w:autoSpaceDE w:val="0"/>
        <w:autoSpaceDN w:val="0"/>
        <w:bidi w:val="0"/>
        <w:adjustRightInd w:val="0"/>
        <w:snapToGrid w:val="0"/>
        <w:spacing w:line="500" w:lineRule="exact"/>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（二）</w:t>
      </w:r>
      <w:r>
        <w:rPr>
          <w:rFonts w:hint="eastAsia" w:ascii="宋体" w:hAnsi="宋体" w:eastAsia="宋体" w:cs="宋体"/>
          <w:color w:val="000000" w:themeColor="text1"/>
          <w:sz w:val="24"/>
          <w:highlight w:val="none"/>
          <w:lang w:eastAsia="zh-CN"/>
          <w14:textFill>
            <w14:solidFill>
              <w14:schemeClr w14:val="tx1"/>
            </w14:solidFill>
          </w14:textFill>
        </w:rPr>
        <w:t>比选代理机构</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重庆渝富达项目管理有限公司</w:t>
      </w:r>
    </w:p>
    <w:p w14:paraId="11423FDF">
      <w:pPr>
        <w:keepNext w:val="0"/>
        <w:keepLines w:val="0"/>
        <w:pageBreakBefore w:val="0"/>
        <w:widowControl w:val="0"/>
        <w:kinsoku w:val="0"/>
        <w:wordWrap/>
        <w:topLinePunct w:val="0"/>
        <w:autoSpaceDE w:val="0"/>
        <w:autoSpaceDN w:val="0"/>
        <w:bidi w:val="0"/>
        <w:adjustRightInd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lang w:val="en-US" w:eastAsia="zh-CN"/>
          <w14:textFill>
            <w14:solidFill>
              <w14:schemeClr w14:val="tx1"/>
            </w14:solidFill>
          </w14:textFill>
        </w:rPr>
        <w:t>王</w:t>
      </w:r>
      <w:r>
        <w:rPr>
          <w:rFonts w:hint="eastAsia" w:ascii="宋体" w:hAnsi="宋体" w:eastAsia="宋体" w:cs="宋体"/>
          <w:color w:val="000000" w:themeColor="text1"/>
          <w:sz w:val="24"/>
          <w:highlight w:val="none"/>
          <w14:textFill>
            <w14:solidFill>
              <w14:schemeClr w14:val="tx1"/>
            </w14:solidFill>
          </w14:textFill>
        </w:rPr>
        <w:t>老师</w:t>
      </w:r>
    </w:p>
    <w:p w14:paraId="02DE54C7">
      <w:pPr>
        <w:keepNext w:val="0"/>
        <w:keepLines w:val="0"/>
        <w:pageBreakBefore w:val="0"/>
        <w:widowControl w:val="0"/>
        <w:kinsoku w:val="0"/>
        <w:wordWrap/>
        <w:topLinePunct w:val="0"/>
        <w:autoSpaceDE w:val="0"/>
        <w:autoSpaceDN w:val="0"/>
        <w:bidi w:val="0"/>
        <w:adjustRightInd w:val="0"/>
        <w:snapToGrid w:val="0"/>
        <w:spacing w:line="500" w:lineRule="exact"/>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  话：023-63360233</w:t>
      </w:r>
    </w:p>
    <w:p w14:paraId="0F429BFA">
      <w:pPr>
        <w:keepNext w:val="0"/>
        <w:keepLines w:val="0"/>
        <w:pageBreakBefore w:val="0"/>
        <w:widowControl w:val="0"/>
        <w:kinsoku w:val="0"/>
        <w:wordWrap/>
        <w:topLinePunct w:val="0"/>
        <w:autoSpaceDE w:val="0"/>
        <w:autoSpaceDN w:val="0"/>
        <w:bidi w:val="0"/>
        <w:adjustRightInd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sectPr>
          <w:pgSz w:w="11907" w:h="16840"/>
          <w:pgMar w:top="1134" w:right="1418" w:bottom="1134" w:left="1418" w:header="964"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eastAsia="宋体" w:cs="宋体"/>
          <w:color w:val="000000" w:themeColor="text1"/>
          <w:sz w:val="24"/>
          <w:highlight w:val="none"/>
          <w14:textFill>
            <w14:solidFill>
              <w14:schemeClr w14:val="tx1"/>
            </w14:solidFill>
          </w14:textFill>
        </w:rPr>
        <w:t>地  址：重庆市渝北区线外城市花园1栋16层</w:t>
      </w:r>
    </w:p>
    <w:p w14:paraId="56EE7C6F">
      <w:pPr>
        <w:pStyle w:val="4"/>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500" w:lineRule="exact"/>
        <w:jc w:val="center"/>
        <w:textAlignment w:val="auto"/>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14:textFill>
            <w14:solidFill>
              <w14:schemeClr w14:val="tx1"/>
            </w14:solidFill>
          </w14:textFill>
        </w:rPr>
        <w:t xml:space="preserve"> </w:t>
      </w:r>
      <w:bookmarkStart w:id="53" w:name="_Toc20192"/>
      <w:r>
        <w:rPr>
          <w:rFonts w:hint="eastAsia" w:ascii="宋体" w:hAnsi="宋体" w:eastAsia="宋体" w:cs="宋体"/>
          <w:b/>
          <w:bCs/>
          <w:color w:val="000000" w:themeColor="text1"/>
          <w:sz w:val="36"/>
          <w:szCs w:val="36"/>
          <w:highlight w:val="none"/>
          <w:lang w:val="en-US" w:eastAsia="zh-CN"/>
          <w14:textFill>
            <w14:solidFill>
              <w14:schemeClr w14:val="tx1"/>
            </w14:solidFill>
          </w14:textFill>
        </w:rPr>
        <w:t xml:space="preserve">第二篇 </w:t>
      </w:r>
      <w:r>
        <w:rPr>
          <w:rFonts w:hint="eastAsia" w:ascii="宋体" w:hAnsi="宋体" w:eastAsia="宋体" w:cs="宋体"/>
          <w:b/>
          <w:bCs/>
          <w:color w:val="000000" w:themeColor="text1"/>
          <w:sz w:val="36"/>
          <w:szCs w:val="36"/>
          <w:highlight w:val="none"/>
          <w14:textFill>
            <w14:solidFill>
              <w14:schemeClr w14:val="tx1"/>
            </w14:solidFill>
          </w14:textFill>
        </w:rPr>
        <w:t>项目技术（质量）需求</w:t>
      </w:r>
      <w:bookmarkEnd w:id="53"/>
    </w:p>
    <w:p w14:paraId="1DFAA7D2">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textAlignment w:val="auto"/>
        <w:outlineLvl w:val="1"/>
        <w:rPr>
          <w:rFonts w:hint="eastAsia" w:ascii="宋体" w:hAnsi="宋体" w:eastAsia="宋体" w:cs="宋体"/>
          <w:b/>
          <w:color w:val="000000" w:themeColor="text1"/>
          <w:sz w:val="24"/>
          <w:highlight w:val="none"/>
          <w14:textFill>
            <w14:solidFill>
              <w14:schemeClr w14:val="tx1"/>
            </w14:solidFill>
          </w14:textFill>
        </w:rPr>
      </w:pPr>
      <w:bookmarkStart w:id="54" w:name="_Toc2403"/>
      <w:bookmarkStart w:id="55" w:name="_Toc31985"/>
      <w:bookmarkStart w:id="56" w:name="_Toc9658"/>
      <w:r>
        <w:rPr>
          <w:rFonts w:hint="eastAsia" w:ascii="宋体" w:hAnsi="宋体" w:eastAsia="宋体" w:cs="宋体"/>
          <w:b/>
          <w:color w:val="000000" w:themeColor="text1"/>
          <w:kern w:val="2"/>
          <w:sz w:val="24"/>
          <w:szCs w:val="24"/>
          <w:highlight w:val="none"/>
          <w:lang w:val="en-US" w:eastAsia="zh-CN" w:bidi="ar-SA"/>
          <w14:textFill>
            <w14:solidFill>
              <w14:schemeClr w14:val="tx1"/>
            </w14:solidFill>
          </w14:textFill>
        </w:rPr>
        <w:t>一、</w:t>
      </w:r>
      <w:r>
        <w:rPr>
          <w:rFonts w:hint="eastAsia" w:ascii="宋体" w:hAnsi="宋体" w:eastAsia="宋体" w:cs="宋体"/>
          <w:b/>
          <w:color w:val="000000" w:themeColor="text1"/>
          <w:sz w:val="24"/>
          <w:highlight w:val="none"/>
          <w14:textFill>
            <w14:solidFill>
              <w14:schemeClr w14:val="tx1"/>
            </w14:solidFill>
          </w14:textFill>
        </w:rPr>
        <w:t>工程概况</w:t>
      </w:r>
      <w:bookmarkEnd w:id="54"/>
      <w:bookmarkEnd w:id="55"/>
      <w:bookmarkEnd w:id="56"/>
    </w:p>
    <w:p w14:paraId="2D6A26B4">
      <w:pPr>
        <w:pStyle w:val="19"/>
        <w:keepNext w:val="0"/>
        <w:keepLines w:val="0"/>
        <w:pageBreakBefore w:val="0"/>
        <w:widowControl w:val="0"/>
        <w:kinsoku w:val="0"/>
        <w:wordWrap/>
        <w:overflowPunct w:val="0"/>
        <w:topLinePunct w:val="0"/>
        <w:autoSpaceDE w:val="0"/>
        <w:autoSpaceDN w:val="0"/>
        <w:bidi w:val="0"/>
        <w:adjustRightInd w:val="0"/>
        <w:snapToGrid w:val="0"/>
        <w:spacing w:line="500" w:lineRule="exact"/>
        <w:ind w:left="-11" w:firstLine="641"/>
        <w:jc w:val="both"/>
        <w:textAlignment w:val="baseline"/>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14:textFill>
            <w14:solidFill>
              <w14:schemeClr w14:val="tx1"/>
            </w14:solidFill>
          </w14:textFill>
        </w:rPr>
        <w:t>1.项目名称：</w:t>
      </w:r>
      <w:r>
        <w:rPr>
          <w:rFonts w:hint="eastAsia" w:ascii="宋体" w:hAnsi="宋体" w:cs="宋体"/>
          <w:color w:val="000000" w:themeColor="text1"/>
          <w:kern w:val="2"/>
          <w:szCs w:val="24"/>
          <w:highlight w:val="none"/>
          <w:lang w:eastAsia="zh-CN"/>
          <w14:textFill>
            <w14:solidFill>
              <w14:schemeClr w14:val="tx1"/>
            </w14:solidFill>
          </w14:textFill>
        </w:rPr>
        <w:t>重庆干部保障所办公用房改造</w:t>
      </w:r>
      <w:r>
        <w:rPr>
          <w:rFonts w:hint="eastAsia" w:ascii="宋体" w:hAnsi="宋体" w:eastAsia="宋体" w:cs="宋体"/>
          <w:color w:val="000000" w:themeColor="text1"/>
          <w:kern w:val="2"/>
          <w:szCs w:val="24"/>
          <w:highlight w:val="none"/>
          <w14:textFill>
            <w14:solidFill>
              <w14:schemeClr w14:val="tx1"/>
            </w14:solidFill>
          </w14:textFill>
        </w:rPr>
        <w:t>；</w:t>
      </w:r>
    </w:p>
    <w:p w14:paraId="07D034AF">
      <w:pPr>
        <w:pStyle w:val="20"/>
        <w:keepNext w:val="0"/>
        <w:keepLines w:val="0"/>
        <w:pageBreakBefore w:val="0"/>
        <w:widowControl w:val="0"/>
        <w:kinsoku w:val="0"/>
        <w:wordWrap/>
        <w:overflowPunct w:val="0"/>
        <w:topLinePunct w:val="0"/>
        <w:autoSpaceDE w:val="0"/>
        <w:autoSpaceDN w:val="0"/>
        <w:bidi w:val="0"/>
        <w:adjustRightInd w:val="0"/>
        <w:snapToGrid w:val="0"/>
        <w:spacing w:before="1" w:line="500" w:lineRule="exact"/>
        <w:ind w:left="0" w:firstLine="720" w:firstLineChars="300"/>
        <w:jc w:val="both"/>
        <w:textAlignment w:val="baseline"/>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2.项目内容：本次采购内容包括</w:t>
      </w:r>
      <w:r>
        <w:rPr>
          <w:rFonts w:hint="eastAsia" w:ascii="宋体" w:hAnsi="宋体" w:eastAsia="宋体" w:cs="宋体"/>
          <w:color w:val="000000" w:themeColor="text1"/>
          <w:kern w:val="2"/>
          <w:sz w:val="24"/>
          <w:szCs w:val="24"/>
          <w:highlight w:val="none"/>
          <w:lang w:eastAsia="zh-CN"/>
          <w14:textFill>
            <w14:solidFill>
              <w14:schemeClr w14:val="tx1"/>
            </w14:solidFill>
          </w14:textFill>
        </w:rPr>
        <w:t>拆除</w:t>
      </w:r>
      <w:r>
        <w:rPr>
          <w:rFonts w:hint="eastAsia" w:ascii="宋体" w:hAnsi="宋体" w:cs="宋体"/>
          <w:color w:val="000000" w:themeColor="text1"/>
          <w:kern w:val="2"/>
          <w:sz w:val="24"/>
          <w:szCs w:val="24"/>
          <w:highlight w:val="none"/>
          <w:lang w:val="en-US" w:eastAsia="zh-CN"/>
          <w14:textFill>
            <w14:solidFill>
              <w14:schemeClr w14:val="tx1"/>
            </w14:solidFill>
          </w14:textFill>
        </w:rPr>
        <w:t>新建</w:t>
      </w:r>
      <w:r>
        <w:rPr>
          <w:rFonts w:hint="eastAsia" w:ascii="宋体" w:hAnsi="宋体" w:eastAsia="宋体" w:cs="宋体"/>
          <w:color w:val="000000" w:themeColor="text1"/>
          <w:kern w:val="2"/>
          <w:sz w:val="24"/>
          <w:szCs w:val="24"/>
          <w:highlight w:val="none"/>
          <w:lang w:eastAsia="zh-CN"/>
          <w14:textFill>
            <w14:solidFill>
              <w14:schemeClr w14:val="tx1"/>
            </w14:solidFill>
          </w14:textFill>
        </w:rPr>
        <w:t>、装饰装修、安装工程</w:t>
      </w:r>
      <w:r>
        <w:rPr>
          <w:rFonts w:hint="eastAsia" w:ascii="宋体" w:hAnsi="宋体" w:cs="宋体"/>
          <w:color w:val="000000" w:themeColor="text1"/>
          <w:kern w:val="2"/>
          <w:sz w:val="24"/>
          <w:szCs w:val="24"/>
          <w:highlight w:val="none"/>
          <w:lang w:eastAsia="zh-CN"/>
          <w14:textFill>
            <w14:solidFill>
              <w14:schemeClr w14:val="tx1"/>
            </w14:solidFill>
          </w14:textFill>
        </w:rPr>
        <w:t>、</w:t>
      </w:r>
      <w:r>
        <w:rPr>
          <w:rFonts w:hint="eastAsia" w:ascii="宋体" w:hAnsi="宋体" w:cs="宋体"/>
          <w:color w:val="000000" w:themeColor="text1"/>
          <w:kern w:val="2"/>
          <w:sz w:val="24"/>
          <w:szCs w:val="24"/>
          <w:highlight w:val="none"/>
          <w:lang w:val="en-US" w:eastAsia="zh-CN"/>
          <w14:textFill>
            <w14:solidFill>
              <w14:schemeClr w14:val="tx1"/>
            </w14:solidFill>
          </w14:textFill>
        </w:rPr>
        <w:t>门窗工程</w:t>
      </w:r>
      <w:r>
        <w:rPr>
          <w:rFonts w:hint="eastAsia" w:ascii="宋体" w:hAnsi="宋体" w:eastAsia="宋体" w:cs="宋体"/>
          <w:color w:val="000000" w:themeColor="text1"/>
          <w:kern w:val="2"/>
          <w:sz w:val="24"/>
          <w:szCs w:val="24"/>
          <w:highlight w:val="none"/>
          <w:lang w:eastAsia="zh-CN"/>
          <w14:textFill>
            <w14:solidFill>
              <w14:schemeClr w14:val="tx1"/>
            </w14:solidFill>
          </w14:textFill>
        </w:rPr>
        <w:t>等。具体以采购人发布的施工图纸及工程量清单为准</w:t>
      </w:r>
      <w:r>
        <w:rPr>
          <w:rFonts w:hint="eastAsia" w:ascii="宋体" w:hAnsi="宋体" w:eastAsia="宋体" w:cs="宋体"/>
          <w:color w:val="000000" w:themeColor="text1"/>
          <w:kern w:val="2"/>
          <w:szCs w:val="24"/>
          <w:highlight w:val="none"/>
          <w14:textFill>
            <w14:solidFill>
              <w14:schemeClr w14:val="tx1"/>
            </w14:solidFill>
          </w14:textFill>
        </w:rPr>
        <w:t>。</w:t>
      </w:r>
    </w:p>
    <w:p w14:paraId="4BA2FA7A">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textAlignment w:val="auto"/>
        <w:outlineLvl w:val="1"/>
        <w:rPr>
          <w:rFonts w:hint="eastAsia" w:ascii="宋体" w:hAnsi="宋体" w:eastAsia="宋体" w:cs="宋体"/>
          <w:b/>
          <w:color w:val="000000" w:themeColor="text1"/>
          <w:sz w:val="24"/>
          <w:highlight w:val="none"/>
          <w:lang w:val="en-US" w:eastAsia="zh-CN"/>
          <w14:textFill>
            <w14:solidFill>
              <w14:schemeClr w14:val="tx1"/>
            </w14:solidFill>
          </w14:textFill>
        </w:rPr>
      </w:pPr>
      <w:bookmarkStart w:id="57" w:name="_Toc12789058"/>
      <w:r>
        <w:rPr>
          <w:rFonts w:hint="eastAsia" w:ascii="宋体" w:hAnsi="宋体" w:eastAsia="宋体" w:cs="宋体"/>
          <w:b/>
          <w:color w:val="000000" w:themeColor="text1"/>
          <w:sz w:val="24"/>
          <w:highlight w:val="none"/>
          <w:lang w:val="en-US" w:eastAsia="zh-CN"/>
          <w14:textFill>
            <w14:solidFill>
              <w14:schemeClr w14:val="tx1"/>
            </w14:solidFill>
          </w14:textFill>
        </w:rPr>
        <w:t>二、质量要求</w:t>
      </w:r>
    </w:p>
    <w:p w14:paraId="02CF8D24">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符合强制性质量标准，符合国家和重庆市现行有关施工质量验收规范要求，并达到合格标准。</w:t>
      </w:r>
    </w:p>
    <w:p w14:paraId="16A7A345">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textAlignment w:val="auto"/>
        <w:outlineLvl w:val="1"/>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三、现场踏勘</w:t>
      </w:r>
    </w:p>
    <w:p w14:paraId="07BC5DE1">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供应商</w:t>
      </w:r>
      <w:r>
        <w:rPr>
          <w:rFonts w:hint="eastAsia" w:ascii="宋体" w:hAnsi="宋体" w:cs="宋体"/>
          <w:color w:val="000000" w:themeColor="text1"/>
          <w:sz w:val="24"/>
          <w:highlight w:val="none"/>
          <w:lang w:val="en-US" w:eastAsia="zh-CN"/>
          <w14:textFill>
            <w14:solidFill>
              <w14:schemeClr w14:val="tx1"/>
            </w14:solidFill>
          </w14:textFill>
        </w:rPr>
        <w:t>如需</w:t>
      </w:r>
      <w:r>
        <w:rPr>
          <w:rFonts w:hint="eastAsia" w:ascii="宋体" w:hAnsi="宋体" w:eastAsia="宋体" w:cs="宋体"/>
          <w:color w:val="000000" w:themeColor="text1"/>
          <w:sz w:val="24"/>
          <w:highlight w:val="none"/>
          <w:lang w:val="en-US" w:eastAsia="zh-CN"/>
          <w14:textFill>
            <w14:solidFill>
              <w14:schemeClr w14:val="tx1"/>
            </w14:solidFill>
          </w14:textFill>
        </w:rPr>
        <w:t>现场踏勘，应持单位法人身份证明及授权委托书原件于2025年</w:t>
      </w: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lang w:val="en-US" w:eastAsia="zh-CN"/>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 xml:space="preserve">  3</w:t>
      </w:r>
      <w:r>
        <w:rPr>
          <w:rFonts w:hint="eastAsia" w:ascii="宋体" w:hAnsi="宋体" w:eastAsia="宋体" w:cs="宋体"/>
          <w:color w:val="000000" w:themeColor="text1"/>
          <w:sz w:val="24"/>
          <w:highlight w:val="none"/>
          <w:lang w:val="en-US" w:eastAsia="zh-CN"/>
          <w14:textFill>
            <w14:solidFill>
              <w14:schemeClr w14:val="tx1"/>
            </w14:solidFill>
          </w14:textFill>
        </w:rPr>
        <w:t>日</w:t>
      </w:r>
      <w:r>
        <w:rPr>
          <w:rFonts w:hint="eastAsia" w:ascii="宋体" w:hAnsi="宋体" w:cs="宋体"/>
          <w:color w:val="000000" w:themeColor="text1"/>
          <w:sz w:val="24"/>
          <w:highlight w:val="none"/>
          <w:lang w:val="en-US" w:eastAsia="zh-CN"/>
          <w14:textFill>
            <w14:solidFill>
              <w14:schemeClr w14:val="tx1"/>
            </w14:solidFill>
          </w14:textFill>
        </w:rPr>
        <w:t>14</w:t>
      </w:r>
      <w:r>
        <w:rPr>
          <w:rFonts w:hint="eastAsia" w:ascii="宋体" w:hAnsi="宋体" w:eastAsia="宋体" w:cs="宋体"/>
          <w:color w:val="000000" w:themeColor="text1"/>
          <w:sz w:val="24"/>
          <w:highlight w:val="none"/>
          <w:lang w:val="en-US" w:eastAsia="zh-CN"/>
          <w14:textFill>
            <w14:solidFill>
              <w14:schemeClr w14:val="tx1"/>
            </w14:solidFill>
          </w14:textFill>
        </w:rPr>
        <w:t>时到施工现场进行踏勘</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对于分层分期施工、电梯保护、静音施工、施工时间段等因素均须充分了解和考虑在</w:t>
      </w:r>
      <w:r>
        <w:rPr>
          <w:rFonts w:hint="eastAsia" w:ascii="宋体" w:hAnsi="宋体" w:cs="宋体"/>
          <w:color w:val="000000" w:themeColor="text1"/>
          <w:sz w:val="24"/>
          <w:highlight w:val="none"/>
          <w:lang w:val="en-US" w:eastAsia="zh-CN"/>
          <w14:textFill>
            <w14:solidFill>
              <w14:schemeClr w14:val="tx1"/>
            </w14:solidFill>
          </w14:textFill>
        </w:rPr>
        <w:t>响应</w:t>
      </w:r>
      <w:r>
        <w:rPr>
          <w:rFonts w:hint="eastAsia" w:ascii="宋体" w:hAnsi="宋体" w:eastAsia="宋体" w:cs="宋体"/>
          <w:color w:val="000000" w:themeColor="text1"/>
          <w:sz w:val="24"/>
          <w:highlight w:val="none"/>
          <w:lang w:val="en-US" w:eastAsia="zh-CN"/>
          <w14:textFill>
            <w14:solidFill>
              <w14:schemeClr w14:val="tx1"/>
            </w14:solidFill>
          </w14:textFill>
        </w:rPr>
        <w:t>报价中，后期施工过程中因不熟悉施工现场所导致的一切后果，均由供应商自行负责（供应商自行承诺，格式自拟，否则将作否决竞标处理）。</w:t>
      </w:r>
    </w:p>
    <w:p w14:paraId="437CBCDE">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textAlignment w:val="auto"/>
        <w:outlineLvl w:val="1"/>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四、人员要求</w:t>
      </w:r>
    </w:p>
    <w:p w14:paraId="74661E85">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1、拟派项目经理资格要求：项目经理必须已在供应商单位注册并应具有建筑工程专业二级及以上注册建造师执业资格，</w:t>
      </w:r>
      <w:r>
        <w:rPr>
          <w:rFonts w:hint="default" w:ascii="宋体" w:hAnsi="宋体" w:cs="宋体"/>
          <w:color w:val="000000" w:themeColor="text1"/>
          <w:sz w:val="24"/>
          <w:highlight w:val="none"/>
          <w:lang w:eastAsia="zh-CN"/>
          <w14:textFill>
            <w14:solidFill>
              <w14:schemeClr w14:val="tx1"/>
            </w14:solidFill>
          </w14:textFill>
        </w:rPr>
        <w:t>且具备对应的安全生产考核合格证书</w:t>
      </w:r>
      <w:r>
        <w:rPr>
          <w:rFonts w:hint="eastAsia" w:ascii="宋体" w:hAnsi="宋体" w:eastAsia="宋体" w:cs="宋体"/>
          <w:color w:val="000000" w:themeColor="text1"/>
          <w:sz w:val="24"/>
          <w:highlight w:val="none"/>
          <w:lang w:val="en-US" w:eastAsia="zh-CN"/>
          <w14:textFill>
            <w14:solidFill>
              <w14:schemeClr w14:val="tx1"/>
            </w14:solidFill>
          </w14:textFill>
        </w:rPr>
        <w:t>。</w:t>
      </w:r>
    </w:p>
    <w:p w14:paraId="5FCBF69E">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2、主要管理人员配备及要求：</w:t>
      </w:r>
    </w:p>
    <w:p w14:paraId="74E5BCFD">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供应商须在竞标时，自行承诺主要管理人员在中标后且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本单位为其缴纳的养老保险证明材料。中标后不能满足该要求的，取消其中标资格，给采购人造成损失的，供应商依法承担违约赔偿责任（提供承诺函，格式自拟）。</w:t>
      </w:r>
    </w:p>
    <w:p w14:paraId="24487022">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textAlignment w:val="auto"/>
        <w:outlineLvl w:val="1"/>
        <w:rPr>
          <w:rFonts w:hint="eastAsia" w:ascii="宋体" w:hAnsi="宋体" w:eastAsia="宋体" w:cs="宋体"/>
          <w:b/>
          <w:color w:val="000000" w:themeColor="text1"/>
          <w:sz w:val="24"/>
          <w:highlight w:val="none"/>
          <w:lang w:val="en-US" w:eastAsia="zh-CN"/>
          <w14:textFill>
            <w14:solidFill>
              <w14:schemeClr w14:val="tx1"/>
            </w14:solidFill>
          </w14:textFill>
        </w:rPr>
      </w:pPr>
      <w:bookmarkStart w:id="58" w:name="_Toc13334"/>
      <w:r>
        <w:rPr>
          <w:rFonts w:hint="eastAsia" w:ascii="宋体" w:hAnsi="宋体" w:cs="宋体"/>
          <w:b/>
          <w:color w:val="000000" w:themeColor="text1"/>
          <w:kern w:val="2"/>
          <w:sz w:val="24"/>
          <w:szCs w:val="24"/>
          <w:highlight w:val="none"/>
          <w:lang w:val="en-US" w:eastAsia="zh-CN" w:bidi="ar-SA"/>
          <w14:textFill>
            <w14:solidFill>
              <w14:schemeClr w14:val="tx1"/>
            </w14:solidFill>
          </w14:textFill>
        </w:rPr>
        <w:t>五</w:t>
      </w:r>
      <w:r>
        <w:rPr>
          <w:rFonts w:hint="eastAsia" w:ascii="宋体" w:hAnsi="宋体" w:eastAsia="宋体" w:cs="宋体"/>
          <w:b/>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b/>
          <w:color w:val="000000" w:themeColor="text1"/>
          <w:sz w:val="24"/>
          <w:highlight w:val="none"/>
          <w:lang w:val="en-US" w:eastAsia="zh-CN"/>
          <w14:textFill>
            <w14:solidFill>
              <w14:schemeClr w14:val="tx1"/>
            </w14:solidFill>
          </w14:textFill>
        </w:rPr>
        <w:t>其他说明事项</w:t>
      </w:r>
      <w:bookmarkEnd w:id="58"/>
    </w:p>
    <w:p w14:paraId="0932E7D3">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采购人</w:t>
      </w:r>
      <w:r>
        <w:rPr>
          <w:rFonts w:hint="eastAsia" w:ascii="宋体" w:hAnsi="宋体" w:eastAsia="宋体" w:cs="宋体"/>
          <w:color w:val="000000" w:themeColor="text1"/>
          <w:sz w:val="24"/>
          <w:highlight w:val="none"/>
          <w:lang w:eastAsia="zh-CN"/>
          <w14:textFill>
            <w14:solidFill>
              <w14:schemeClr w14:val="tx1"/>
            </w14:solidFill>
          </w14:textFill>
        </w:rPr>
        <w:t>有权对</w:t>
      </w:r>
      <w:r>
        <w:rPr>
          <w:rFonts w:hint="eastAsia" w:ascii="宋体" w:hAnsi="宋体" w:cs="宋体"/>
          <w:color w:val="000000" w:themeColor="text1"/>
          <w:sz w:val="24"/>
          <w:highlight w:val="none"/>
          <w:lang w:val="en-US" w:eastAsia="zh-CN"/>
          <w14:textFill>
            <w14:solidFill>
              <w14:schemeClr w14:val="tx1"/>
            </w14:solidFill>
          </w14:textFill>
        </w:rPr>
        <w:t>成交供应商</w:t>
      </w:r>
      <w:r>
        <w:rPr>
          <w:rFonts w:hint="eastAsia" w:ascii="宋体" w:hAnsi="宋体" w:eastAsia="宋体" w:cs="宋体"/>
          <w:color w:val="000000" w:themeColor="text1"/>
          <w:sz w:val="24"/>
          <w:highlight w:val="none"/>
          <w:lang w:eastAsia="zh-CN"/>
          <w14:textFill>
            <w14:solidFill>
              <w14:schemeClr w14:val="tx1"/>
            </w14:solidFill>
          </w14:textFill>
        </w:rPr>
        <w:t>的</w:t>
      </w:r>
      <w:r>
        <w:rPr>
          <w:rFonts w:hint="eastAsia" w:ascii="宋体" w:hAnsi="宋体" w:cs="宋体"/>
          <w:color w:val="000000" w:themeColor="text1"/>
          <w:sz w:val="24"/>
          <w:highlight w:val="none"/>
          <w:lang w:val="en-US" w:eastAsia="zh-CN"/>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真实性、有效性进行核查（</w:t>
      </w:r>
      <w:r>
        <w:rPr>
          <w:rFonts w:hint="eastAsia" w:ascii="宋体" w:hAnsi="宋体" w:eastAsia="宋体" w:cs="宋体"/>
          <w:color w:val="000000" w:themeColor="text1"/>
          <w:sz w:val="24"/>
          <w:highlight w:val="none"/>
          <w:lang w:val="en-US" w:eastAsia="zh-CN"/>
          <w14:textFill>
            <w14:solidFill>
              <w14:schemeClr w14:val="tx1"/>
            </w14:solidFill>
          </w14:textFill>
        </w:rPr>
        <w:t>包括但不限于</w:t>
      </w:r>
      <w:r>
        <w:rPr>
          <w:rFonts w:hint="eastAsia" w:ascii="宋体" w:hAnsi="宋体" w:cs="宋体"/>
          <w:color w:val="000000" w:themeColor="text1"/>
          <w:sz w:val="24"/>
          <w:highlight w:val="none"/>
          <w:lang w:val="en-US" w:eastAsia="zh-CN"/>
          <w14:textFill>
            <w14:solidFill>
              <w14:schemeClr w14:val="tx1"/>
            </w14:solidFill>
          </w14:textFill>
        </w:rPr>
        <w:t>响应文件</w:t>
      </w:r>
      <w:r>
        <w:rPr>
          <w:rFonts w:hint="eastAsia" w:ascii="宋体" w:hAnsi="宋体" w:eastAsia="宋体" w:cs="宋体"/>
          <w:color w:val="000000" w:themeColor="text1"/>
          <w:sz w:val="24"/>
          <w:highlight w:val="none"/>
          <w:lang w:val="en-US" w:eastAsia="zh-CN"/>
          <w14:textFill>
            <w14:solidFill>
              <w14:schemeClr w14:val="tx1"/>
            </w14:solidFill>
          </w14:textFill>
        </w:rPr>
        <w:t>中提供的所有证明材料</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成交供应商</w:t>
      </w:r>
      <w:r>
        <w:rPr>
          <w:rFonts w:hint="eastAsia" w:ascii="宋体" w:hAnsi="宋体" w:eastAsia="宋体" w:cs="宋体"/>
          <w:color w:val="000000" w:themeColor="text1"/>
          <w:sz w:val="24"/>
          <w:highlight w:val="none"/>
          <w:lang w:eastAsia="zh-CN"/>
          <w14:textFill>
            <w14:solidFill>
              <w14:schemeClr w14:val="tx1"/>
            </w14:solidFill>
          </w14:textFill>
        </w:rPr>
        <w:t>应</w:t>
      </w:r>
      <w:r>
        <w:rPr>
          <w:rFonts w:hint="eastAsia" w:ascii="宋体" w:hAnsi="宋体" w:eastAsia="宋体" w:cs="宋体"/>
          <w:color w:val="000000" w:themeColor="text1"/>
          <w:sz w:val="24"/>
          <w:highlight w:val="none"/>
          <w:lang w:val="en-US" w:eastAsia="zh-CN"/>
          <w14:textFill>
            <w14:solidFill>
              <w14:schemeClr w14:val="tx1"/>
            </w14:solidFill>
          </w14:textFill>
        </w:rPr>
        <w:t>在</w:t>
      </w:r>
      <w:r>
        <w:rPr>
          <w:rFonts w:hint="eastAsia" w:ascii="宋体" w:hAnsi="宋体" w:cs="宋体"/>
          <w:color w:val="000000" w:themeColor="text1"/>
          <w:sz w:val="24"/>
          <w:highlight w:val="none"/>
          <w:lang w:val="en-US" w:eastAsia="zh-CN"/>
          <w14:textFill>
            <w14:solidFill>
              <w14:schemeClr w14:val="tx1"/>
            </w14:solidFill>
          </w14:textFill>
        </w:rPr>
        <w:t>成交供应商候选人</w:t>
      </w:r>
      <w:r>
        <w:rPr>
          <w:rFonts w:hint="eastAsia" w:ascii="宋体" w:hAnsi="宋体" w:eastAsia="宋体" w:cs="宋体"/>
          <w:color w:val="000000" w:themeColor="text1"/>
          <w:sz w:val="24"/>
          <w:highlight w:val="none"/>
          <w:lang w:val="en-US" w:eastAsia="zh-CN"/>
          <w14:textFill>
            <w14:solidFill>
              <w14:schemeClr w14:val="tx1"/>
            </w14:solidFill>
          </w14:textFill>
        </w:rPr>
        <w:t>公示结束后三个工作日内按</w:t>
      </w:r>
      <w:r>
        <w:rPr>
          <w:rFonts w:hint="eastAsia" w:ascii="宋体" w:hAnsi="宋体" w:cs="宋体"/>
          <w:color w:val="000000" w:themeColor="text1"/>
          <w:sz w:val="24"/>
          <w:highlight w:val="none"/>
          <w:lang w:val="en-US" w:eastAsia="zh-CN"/>
          <w14:textFill>
            <w14:solidFill>
              <w14:schemeClr w14:val="tx1"/>
            </w14:solidFill>
          </w14:textFill>
        </w:rPr>
        <w:t>采购人</w:t>
      </w:r>
      <w:r>
        <w:rPr>
          <w:rFonts w:hint="eastAsia" w:ascii="宋体" w:hAnsi="宋体" w:eastAsia="宋体" w:cs="宋体"/>
          <w:color w:val="000000" w:themeColor="text1"/>
          <w:sz w:val="24"/>
          <w:highlight w:val="none"/>
          <w:lang w:val="en-US" w:eastAsia="zh-CN"/>
          <w14:textFill>
            <w14:solidFill>
              <w14:schemeClr w14:val="tx1"/>
            </w14:solidFill>
          </w14:textFill>
        </w:rPr>
        <w:t>要求提供核查所需的资料，且</w:t>
      </w:r>
      <w:r>
        <w:rPr>
          <w:rFonts w:hint="eastAsia" w:ascii="宋体" w:hAnsi="宋体" w:eastAsia="宋体" w:cs="宋体"/>
          <w:color w:val="000000" w:themeColor="text1"/>
          <w:sz w:val="24"/>
          <w:highlight w:val="none"/>
          <w:lang w:eastAsia="zh-CN"/>
          <w14:textFill>
            <w14:solidFill>
              <w14:schemeClr w14:val="tx1"/>
            </w14:solidFill>
          </w14:textFill>
        </w:rPr>
        <w:t>对相关证明材料</w:t>
      </w:r>
      <w:r>
        <w:rPr>
          <w:rFonts w:hint="eastAsia" w:ascii="宋体" w:hAnsi="宋体" w:cs="宋体"/>
          <w:color w:val="000000" w:themeColor="text1"/>
          <w:sz w:val="24"/>
          <w:highlight w:val="none"/>
          <w:lang w:eastAsia="zh-CN"/>
          <w14:textFill>
            <w14:solidFill>
              <w14:schemeClr w14:val="tx1"/>
            </w14:solidFill>
          </w14:textFill>
        </w:rPr>
        <w:t>的</w:t>
      </w:r>
      <w:r>
        <w:rPr>
          <w:rFonts w:hint="eastAsia" w:ascii="宋体" w:hAnsi="宋体" w:eastAsia="宋体" w:cs="宋体"/>
          <w:color w:val="000000" w:themeColor="text1"/>
          <w:sz w:val="24"/>
          <w:highlight w:val="none"/>
          <w:lang w:eastAsia="zh-CN"/>
          <w14:textFill>
            <w14:solidFill>
              <w14:schemeClr w14:val="tx1"/>
            </w14:solidFill>
          </w14:textFill>
        </w:rPr>
        <w:t>真实性、有效性负责，不得存在弄虚作假情形。若不配合</w:t>
      </w:r>
      <w:r>
        <w:rPr>
          <w:rFonts w:hint="eastAsia" w:ascii="宋体" w:hAnsi="宋体" w:cs="宋体"/>
          <w:color w:val="000000" w:themeColor="text1"/>
          <w:sz w:val="24"/>
          <w:highlight w:val="none"/>
          <w:lang w:eastAsia="zh-CN"/>
          <w14:textFill>
            <w14:solidFill>
              <w14:schemeClr w14:val="tx1"/>
            </w14:solidFill>
          </w14:textFill>
        </w:rPr>
        <w:t>采购人</w:t>
      </w:r>
      <w:r>
        <w:rPr>
          <w:rFonts w:hint="eastAsia" w:ascii="宋体" w:hAnsi="宋体" w:eastAsia="宋体" w:cs="宋体"/>
          <w:color w:val="000000" w:themeColor="text1"/>
          <w:sz w:val="24"/>
          <w:highlight w:val="none"/>
          <w:lang w:eastAsia="zh-CN"/>
          <w14:textFill>
            <w14:solidFill>
              <w14:schemeClr w14:val="tx1"/>
            </w14:solidFill>
          </w14:textFill>
        </w:rPr>
        <w:t>核查或发现弄虚作假，按相关规定取消其中选资格，其比选保证金不予退还，</w:t>
      </w:r>
      <w:r>
        <w:rPr>
          <w:rFonts w:hint="eastAsia" w:ascii="宋体" w:hAnsi="宋体" w:cs="宋体"/>
          <w:color w:val="000000" w:themeColor="text1"/>
          <w:sz w:val="24"/>
          <w:highlight w:val="none"/>
          <w:lang w:val="en-US" w:eastAsia="zh-CN"/>
          <w14:textFill>
            <w14:solidFill>
              <w14:schemeClr w14:val="tx1"/>
            </w14:solidFill>
          </w14:textFill>
        </w:rPr>
        <w:t>成交供应商</w:t>
      </w:r>
      <w:r>
        <w:rPr>
          <w:rFonts w:hint="eastAsia" w:ascii="宋体" w:hAnsi="宋体" w:eastAsia="宋体" w:cs="宋体"/>
          <w:color w:val="000000" w:themeColor="text1"/>
          <w:sz w:val="24"/>
          <w:highlight w:val="none"/>
          <w:lang w:eastAsia="zh-CN"/>
          <w14:textFill>
            <w14:solidFill>
              <w14:schemeClr w14:val="tx1"/>
            </w14:solidFill>
          </w14:textFill>
        </w:rPr>
        <w:t>承担因此造成的相关责任并赔偿相应损失。</w:t>
      </w:r>
      <w:r>
        <w:rPr>
          <w:rFonts w:hint="eastAsia" w:ascii="宋体" w:hAnsi="宋体" w:cs="宋体"/>
          <w:color w:val="000000" w:themeColor="text1"/>
          <w:sz w:val="24"/>
          <w:highlight w:val="none"/>
          <w:lang w:val="en-US" w:eastAsia="zh-CN"/>
          <w14:textFill>
            <w14:solidFill>
              <w14:schemeClr w14:val="tx1"/>
            </w14:solidFill>
          </w14:textFill>
        </w:rPr>
        <w:t>采购人</w:t>
      </w:r>
      <w:r>
        <w:rPr>
          <w:rFonts w:hint="eastAsia" w:ascii="宋体" w:hAnsi="宋体" w:eastAsia="宋体" w:cs="宋体"/>
          <w:color w:val="000000" w:themeColor="text1"/>
          <w:sz w:val="24"/>
          <w:highlight w:val="none"/>
          <w:lang w:val="en-US" w:eastAsia="zh-CN"/>
          <w14:textFill>
            <w14:solidFill>
              <w14:schemeClr w14:val="tx1"/>
            </w14:solidFill>
          </w14:textFill>
        </w:rPr>
        <w:t>有权按</w:t>
      </w:r>
      <w:r>
        <w:rPr>
          <w:rFonts w:hint="eastAsia" w:ascii="宋体" w:hAnsi="宋体" w:cs="宋体"/>
          <w:color w:val="000000" w:themeColor="text1"/>
          <w:sz w:val="24"/>
          <w:highlight w:val="none"/>
          <w:lang w:val="en-US" w:eastAsia="zh-CN"/>
          <w14:textFill>
            <w14:solidFill>
              <w14:schemeClr w14:val="tx1"/>
            </w14:solidFill>
          </w14:textFill>
        </w:rPr>
        <w:t>成交供应商候选人</w:t>
      </w:r>
      <w:r>
        <w:rPr>
          <w:rFonts w:hint="eastAsia" w:ascii="宋体" w:hAnsi="宋体" w:eastAsia="宋体" w:cs="宋体"/>
          <w:color w:val="000000" w:themeColor="text1"/>
          <w:sz w:val="24"/>
          <w:highlight w:val="none"/>
          <w:lang w:val="en-US" w:eastAsia="zh-CN"/>
          <w14:textFill>
            <w14:solidFill>
              <w14:schemeClr w14:val="tx1"/>
            </w14:solidFill>
          </w14:textFill>
        </w:rPr>
        <w:t>排名依次递补或者重新进行比选确定中标人。</w:t>
      </w:r>
    </w:p>
    <w:p w14:paraId="241E5392">
      <w:pPr>
        <w:keepNext w:val="0"/>
        <w:keepLines w:val="0"/>
        <w:pageBreakBefore w:val="0"/>
        <w:widowControl w:val="0"/>
        <w:numPr>
          <w:ilvl w:val="0"/>
          <w:numId w:val="0"/>
        </w:numPr>
        <w:kinsoku w:val="0"/>
        <w:wordWrap/>
        <w:topLinePunct w:val="0"/>
        <w:autoSpaceDE w:val="0"/>
        <w:autoSpaceDN w:val="0"/>
        <w:bidi w:val="0"/>
        <w:adjustRightInd w:val="0"/>
        <w:snapToGrid w:val="0"/>
        <w:spacing w:line="500" w:lineRule="exact"/>
        <w:ind w:firstLine="420" w:firstLineChars="200"/>
        <w:jc w:val="left"/>
        <w:outlineLvl w:val="1"/>
        <w:rPr>
          <w:rFonts w:hint="eastAsia" w:ascii="宋体" w:hAnsi="宋体" w:eastAsia="宋体" w:cs="宋体"/>
          <w:color w:val="000000" w:themeColor="text1"/>
          <w:highlight w:val="none"/>
          <w:lang w:val="en-US" w:eastAsia="zh-CN"/>
          <w14:textFill>
            <w14:solidFill>
              <w14:schemeClr w14:val="tx1"/>
            </w14:solidFill>
          </w14:textFill>
        </w:rPr>
        <w:sectPr>
          <w:footerReference r:id="rId7" w:type="default"/>
          <w:pgSz w:w="11907" w:h="16840"/>
          <w:pgMar w:top="1134" w:right="1417" w:bottom="1134" w:left="1637" w:header="964" w:footer="992" w:gutter="0"/>
          <w:pgBorders>
            <w:top w:val="none" w:sz="0" w:space="0"/>
            <w:left w:val="none" w:sz="0" w:space="0"/>
            <w:bottom w:val="none" w:sz="0" w:space="0"/>
            <w:right w:val="none" w:sz="0" w:space="0"/>
          </w:pgBorders>
          <w:pgNumType w:fmt="decimal"/>
          <w:cols w:space="720" w:num="1"/>
          <w:docGrid w:linePitch="312" w:charSpace="0"/>
        </w:sectPr>
      </w:pPr>
    </w:p>
    <w:p w14:paraId="66190392">
      <w:pPr>
        <w:pStyle w:val="4"/>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500" w:lineRule="exact"/>
        <w:jc w:val="center"/>
        <w:textAlignment w:val="auto"/>
        <w:rPr>
          <w:rFonts w:hint="eastAsia" w:ascii="宋体" w:hAnsi="宋体" w:eastAsia="宋体" w:cs="宋体"/>
          <w:b/>
          <w:bCs/>
          <w:color w:val="000000" w:themeColor="text1"/>
          <w:sz w:val="36"/>
          <w:szCs w:val="36"/>
          <w:highlight w:val="none"/>
          <w14:textFill>
            <w14:solidFill>
              <w14:schemeClr w14:val="tx1"/>
            </w14:solidFill>
          </w14:textFill>
        </w:rPr>
      </w:pPr>
      <w:bookmarkStart w:id="59" w:name="_Toc25662"/>
      <w:bookmarkStart w:id="60" w:name="_Toc23374"/>
      <w:r>
        <w:rPr>
          <w:rFonts w:hint="eastAsia" w:ascii="宋体" w:hAnsi="宋体" w:eastAsia="宋体" w:cs="宋体"/>
          <w:b/>
          <w:bCs/>
          <w:color w:val="000000" w:themeColor="text1"/>
          <w:sz w:val="36"/>
          <w:szCs w:val="36"/>
          <w:highlight w:val="none"/>
          <w14:textFill>
            <w14:solidFill>
              <w14:schemeClr w14:val="tx1"/>
            </w14:solidFill>
          </w14:textFill>
        </w:rPr>
        <w:t xml:space="preserve">第三篇  </w:t>
      </w:r>
      <w:bookmarkEnd w:id="57"/>
      <w:r>
        <w:rPr>
          <w:rFonts w:hint="eastAsia" w:ascii="宋体" w:hAnsi="宋体" w:eastAsia="宋体" w:cs="宋体"/>
          <w:b/>
          <w:bCs/>
          <w:color w:val="000000" w:themeColor="text1"/>
          <w:sz w:val="36"/>
          <w:szCs w:val="36"/>
          <w:highlight w:val="none"/>
          <w14:textFill>
            <w14:solidFill>
              <w14:schemeClr w14:val="tx1"/>
            </w14:solidFill>
          </w14:textFill>
        </w:rPr>
        <w:t>项目商务需求</w:t>
      </w:r>
      <w:bookmarkEnd w:id="59"/>
      <w:bookmarkEnd w:id="60"/>
    </w:p>
    <w:p w14:paraId="59964FC8">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2" w:firstLineChars="200"/>
        <w:textAlignment w:val="auto"/>
        <w:outlineLvl w:val="1"/>
        <w:rPr>
          <w:rFonts w:hint="eastAsia" w:ascii="宋体" w:hAnsi="宋体" w:eastAsia="宋体" w:cs="宋体"/>
          <w:color w:val="000000" w:themeColor="text1"/>
          <w:sz w:val="24"/>
          <w:highlight w:val="none"/>
          <w14:textFill>
            <w14:solidFill>
              <w14:schemeClr w14:val="tx1"/>
            </w14:solidFill>
          </w14:textFill>
        </w:rPr>
      </w:pPr>
      <w:bookmarkStart w:id="61" w:name="_Toc14755"/>
      <w:bookmarkStart w:id="62" w:name="_Toc1935"/>
      <w:r>
        <w:rPr>
          <w:rFonts w:hint="eastAsia" w:ascii="宋体" w:hAnsi="宋体" w:eastAsia="宋体" w:cs="宋体"/>
          <w:b/>
          <w:bCs/>
          <w:color w:val="000000" w:themeColor="text1"/>
          <w:sz w:val="24"/>
          <w:highlight w:val="none"/>
          <w14:textFill>
            <w14:solidFill>
              <w14:schemeClr w14:val="tx1"/>
            </w14:solidFill>
          </w14:textFill>
        </w:rPr>
        <w:t>一、</w:t>
      </w:r>
      <w:bookmarkEnd w:id="61"/>
      <w:bookmarkEnd w:id="62"/>
      <w:r>
        <w:rPr>
          <w:rFonts w:hint="eastAsia" w:ascii="宋体" w:hAnsi="宋体" w:eastAsia="宋体" w:cs="宋体"/>
          <w:b/>
          <w:bCs/>
          <w:color w:val="000000" w:themeColor="text1"/>
          <w:sz w:val="24"/>
          <w:highlight w:val="none"/>
          <w14:textFill>
            <w14:solidFill>
              <w14:schemeClr w14:val="tx1"/>
            </w14:solidFill>
          </w14:textFill>
        </w:rPr>
        <w:t>工期、建设地点及质保期</w:t>
      </w:r>
    </w:p>
    <w:p w14:paraId="7E2D3AD2">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工期：</w:t>
      </w:r>
      <w:r>
        <w:rPr>
          <w:rFonts w:hint="eastAsia" w:ascii="宋体" w:hAnsi="宋体" w:cs="宋体"/>
          <w:color w:val="000000" w:themeColor="text1"/>
          <w:sz w:val="24"/>
          <w:highlight w:val="none"/>
          <w:lang w:val="en-US" w:eastAsia="zh-CN"/>
          <w14:textFill>
            <w14:solidFill>
              <w14:schemeClr w14:val="tx1"/>
            </w14:solidFill>
          </w14:textFill>
        </w:rPr>
        <w:t>60</w:t>
      </w:r>
      <w:r>
        <w:rPr>
          <w:rFonts w:hint="eastAsia" w:ascii="宋体" w:hAnsi="宋体" w:eastAsia="宋体" w:cs="宋体"/>
          <w:color w:val="000000" w:themeColor="text1"/>
          <w:sz w:val="24"/>
          <w:highlight w:val="none"/>
          <w14:textFill>
            <w14:solidFill>
              <w14:schemeClr w14:val="tx1"/>
            </w14:solidFill>
          </w14:textFill>
        </w:rPr>
        <w:t>日历天（具体开工时间以采购人下达的开工令为准），缺陷责任期24个月。</w:t>
      </w:r>
    </w:p>
    <w:p w14:paraId="5998FC10">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建设地点：</w:t>
      </w:r>
      <w:r>
        <w:rPr>
          <w:rFonts w:hint="eastAsia" w:ascii="宋体" w:hAnsi="宋体" w:cs="宋体"/>
          <w:color w:val="000000" w:themeColor="text1"/>
          <w:sz w:val="24"/>
          <w:highlight w:val="none"/>
          <w:lang w:val="en-US" w:eastAsia="zh-CN"/>
          <w14:textFill>
            <w14:solidFill>
              <w14:schemeClr w14:val="tx1"/>
            </w14:solidFill>
          </w14:textFill>
        </w:rPr>
        <w:t>采购人指定地点</w:t>
      </w:r>
      <w:r>
        <w:rPr>
          <w:rFonts w:hint="eastAsia" w:ascii="宋体" w:hAnsi="宋体" w:eastAsia="宋体" w:cs="宋体"/>
          <w:color w:val="000000" w:themeColor="text1"/>
          <w:sz w:val="24"/>
          <w:highlight w:val="none"/>
          <w14:textFill>
            <w14:solidFill>
              <w14:schemeClr w14:val="tx1"/>
            </w14:solidFill>
          </w14:textFill>
        </w:rPr>
        <w:t>。</w:t>
      </w:r>
    </w:p>
    <w:p w14:paraId="4D475BBE">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缺陷责任期：竣工验收合格之日起2年。</w:t>
      </w:r>
    </w:p>
    <w:p w14:paraId="42F7FE2F">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2" w:firstLineChars="200"/>
        <w:textAlignment w:val="auto"/>
        <w:outlineLvl w:val="1"/>
        <w:rPr>
          <w:rFonts w:hint="eastAsia" w:ascii="宋体" w:hAnsi="宋体" w:eastAsia="宋体" w:cs="宋体"/>
          <w:color w:val="000000" w:themeColor="text1"/>
          <w:sz w:val="24"/>
          <w:highlight w:val="none"/>
          <w14:textFill>
            <w14:solidFill>
              <w14:schemeClr w14:val="tx1"/>
            </w14:solidFill>
          </w14:textFill>
        </w:rPr>
      </w:pPr>
      <w:bookmarkStart w:id="63" w:name="_Toc5973"/>
      <w:bookmarkStart w:id="64" w:name="_Toc11637"/>
      <w:r>
        <w:rPr>
          <w:rFonts w:hint="eastAsia" w:ascii="宋体" w:hAnsi="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、报价要求</w:t>
      </w:r>
      <w:bookmarkEnd w:id="63"/>
      <w:bookmarkEnd w:id="64"/>
    </w:p>
    <w:p w14:paraId="3F052D81">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1、本项目采用工程量清单计价。工程量清单应采用综合单价计价。各供应商以</w:t>
      </w:r>
      <w:r>
        <w:rPr>
          <w:rFonts w:hint="eastAsia" w:ascii="宋体" w:hAnsi="宋体" w:cs="宋体"/>
          <w:color w:val="000000" w:themeColor="text1"/>
          <w:kern w:val="0"/>
          <w:sz w:val="24"/>
          <w:szCs w:val="24"/>
          <w:highlight w:val="none"/>
          <w:lang w:val="en-US" w:eastAsia="zh-CN"/>
          <w14:textFill>
            <w14:solidFill>
              <w14:schemeClr w14:val="tx1"/>
            </w14:solidFill>
          </w14:textFill>
        </w:rPr>
        <w:t>比选</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文件、合同条件、工程量清单、本次采购范围的施工设计图纸、国家技术和经济规范及标准、《建设工程工程量清单计价规范》（GB50500-2013）、《房屋建筑与装饰工程工程量计算规范》（GB50854-2013）、《通用安装工程工程量计算规范》（GB50856-2013）、《重庆市建设工程工程量清单计价规则》（CQJJGZ-2013）、《重庆市建设工程工程量计算规则》（CQJLGZ－2013）、《重庆市绿色建筑工程计价定额》（CQLSJZDE-2018）、《重庆市通用安装工程计价定额》（CQAZDE-2018）、《重庆市房屋建筑与装饰工程计价定额》（CQJZZSDE-2018）、《重庆市房屋修缮工程计价定额》（CQXSDE-2018）、《重庆市建设工程费用定额》（CQFYDE-2018）、《重庆市建设工程混凝土及砂浆配合比表》（CQPHBB-2018）、《重庆市建设施工机械台班定额》（CQJXDE-2018）、《重庆市建设领域禁止限制使用落后技术通告(第一至八号)的通知》、《重庆市城乡建设委员会关于适用增值税新税率调整建设工程计价依据的通知》（渝建〔2019〕143号）、《重庆市建设工程安全文明施工费计取及使用管理规定》渝建管〔2024〕38 号的规定等为依据，由供应商结合自身实力、市场行情自主合理报价。供应商应在报价函其他补充说明中进行说明其本次</w:t>
      </w:r>
      <w:r>
        <w:rPr>
          <w:rFonts w:hint="eastAsia" w:ascii="宋体" w:hAnsi="宋体" w:cs="宋体"/>
          <w:color w:val="000000" w:themeColor="text1"/>
          <w:kern w:val="0"/>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报价应包括但不限于完成采购范围内工程项目的人工费、材料费、机械费、机械进出场费、措施费、安全文明施工费、保险费、运输费（含密闭运输费）、企业管理费、利润、规费、税金、二次转运费、风险费用、缺陷修复费、政策性文件规定费用等所有费用。采购人除此以外不支付其它费用。</w:t>
      </w:r>
    </w:p>
    <w:p w14:paraId="2046DAD9">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2、本工程各分部分项工程量清单子项不论其对应的项目特征和工作内容是否描述完整，都将被认为已包括《建设工程工程量清单计价规范》（GB50500-2013）、《重庆市建设工程工程量清单计价规则》（CQJJGZ-2013）中相应项目编码和项目名称及施工图纸、相关规范、标准、政策性文件、规定、限制和禁止使用通告等所有工程内容及完成此工作</w:t>
      </w:r>
      <w:r>
        <w:rPr>
          <w:rFonts w:hint="eastAsia" w:ascii="宋体" w:hAnsi="宋体" w:cs="宋体"/>
          <w:color w:val="000000" w:themeColor="text1"/>
          <w:kern w:val="0"/>
          <w:sz w:val="24"/>
          <w:szCs w:val="24"/>
          <w:highlight w:val="none"/>
          <w:lang w:val="en-US" w:eastAsia="zh-CN"/>
          <w14:textFill>
            <w14:solidFill>
              <w14:schemeClr w14:val="tx1"/>
            </w14:solidFill>
          </w14:textFill>
        </w:rPr>
        <w:t>所必</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须的各种主要、辅助工作。</w:t>
      </w:r>
    </w:p>
    <w:p w14:paraId="2D115220">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3、措施项目费清单包括施工组织措施项目清单和施工技术措施项目清单两部分。</w:t>
      </w:r>
    </w:p>
    <w:p w14:paraId="367FB64C">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3.1施工组织措施项目清单：采购人给出的施工组织措施项目清单仅供供应商参考，供应商在</w:t>
      </w:r>
      <w:r>
        <w:rPr>
          <w:rFonts w:hint="eastAsia" w:ascii="宋体" w:hAnsi="宋体" w:cs="宋体"/>
          <w:color w:val="000000" w:themeColor="text1"/>
          <w:kern w:val="0"/>
          <w:sz w:val="24"/>
          <w:szCs w:val="24"/>
          <w:highlight w:val="none"/>
          <w:lang w:eastAsia="zh-CN"/>
          <w14:textFill>
            <w14:solidFill>
              <w14:schemeClr w14:val="tx1"/>
            </w14:solidFill>
          </w14:textFill>
        </w:rPr>
        <w:t>响应报价</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时可参照采购人给出的施工组织措施项目清单并结合本工程的实际情况和国家及重庆市相关管理规定自行增减项目，并进行报价。如果漏项或不报价，视为已包含在其他组织措施项目报价内。中标后施工组织措施项目费用一概不作调整。</w:t>
      </w:r>
    </w:p>
    <w:p w14:paraId="5264B16D">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3.2 施工技术措施项目清单：技术措施清单中以项为单位计列的项目，由供应商根据现场踏勘情况及本工程的实际情况结合自身施工组织设计，在</w:t>
      </w:r>
      <w:r>
        <w:rPr>
          <w:rFonts w:hint="eastAsia" w:ascii="宋体" w:hAnsi="宋体" w:cs="宋体"/>
          <w:color w:val="000000" w:themeColor="text1"/>
          <w:kern w:val="0"/>
          <w:sz w:val="24"/>
          <w:szCs w:val="24"/>
          <w:highlight w:val="none"/>
          <w:lang w:eastAsia="zh-CN"/>
          <w14:textFill>
            <w14:solidFill>
              <w14:schemeClr w14:val="tx1"/>
            </w14:solidFill>
          </w14:textFill>
        </w:rPr>
        <w:t>响应报价</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时可参照采购人给出的措施项目清单并结合本工程的实际情况和国家及重庆市相关管理规定自行增减项目，以项为单位自行报价，包干使用，结算时不作调整。技术措施清单中以项目编码、项目名称、项目特征、主要工程内容、工程量及计量单位列项的项目，供应商必须按采购人给出的施工技术措施项目清单进行报价，不得擅自变改采购人提供的施工技术措施项目清单中的序号、项目编码、项目名称、项目特征及主要工程内容、工程量及计量单位。中标后不论何种因素影响，相应的综合单价不作调整。技术措施清单中以项目编码、项目名称、项目特征、工程内容、工程量及计量单位列项的项目（如果有），供应商必须按采购人给出的施工技术措施项目清单进行报价，不得擅自变改采购人提供的施工技术措施项目清单中的序号、项目编码、项目名称、项目特征、工程内容、工程量及计量单位。</w:t>
      </w:r>
    </w:p>
    <w:p w14:paraId="6D3420A3">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4、工程量清单中的项、量、综合单价：</w:t>
      </w:r>
    </w:p>
    <w:p w14:paraId="1CF5781F">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4.1除采购人对清单工程量主动补遗或对供应商质疑作修改外，供应商在编制</w:t>
      </w:r>
      <w:r>
        <w:rPr>
          <w:rFonts w:hint="eastAsia" w:ascii="宋体" w:hAnsi="宋体" w:cs="宋体"/>
          <w:color w:val="000000" w:themeColor="text1"/>
          <w:kern w:val="0"/>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报价时不得擅自改变采购人提供的分部分项工程量清单中的序号、项目编码、项目名称、项目特征、工程内容、工程量及计量单位，否则按否决竞标处理。</w:t>
      </w:r>
    </w:p>
    <w:p w14:paraId="44370619">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4.2供应商只有严格按采购人提供的《工程量清单》和本</w:t>
      </w:r>
      <w:r>
        <w:rPr>
          <w:rFonts w:hint="eastAsia" w:ascii="宋体" w:hAnsi="宋体" w:cs="宋体"/>
          <w:color w:val="000000" w:themeColor="text1"/>
          <w:kern w:val="0"/>
          <w:sz w:val="24"/>
          <w:szCs w:val="24"/>
          <w:highlight w:val="none"/>
          <w:lang w:val="en-US" w:eastAsia="zh-CN"/>
          <w14:textFill>
            <w14:solidFill>
              <w14:schemeClr w14:val="tx1"/>
            </w14:solidFill>
          </w14:textFill>
        </w:rPr>
        <w:t>比选</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文件中提供的已标价工程量清单表格格式内所有项目进行报价，并且必须列出每项分部分项工程量清单项目综合单价分析表，才能视为总体报价完整，不得出现漏项或增项。</w:t>
      </w:r>
    </w:p>
    <w:p w14:paraId="00929B4E">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4.3本项目合同价款采用固定综合单价包干，综合单价报价包含</w:t>
      </w:r>
      <w:r>
        <w:rPr>
          <w:rFonts w:hint="eastAsia" w:ascii="宋体" w:hAnsi="宋体" w:cs="宋体"/>
          <w:color w:val="000000" w:themeColor="text1"/>
          <w:kern w:val="0"/>
          <w:sz w:val="24"/>
          <w:szCs w:val="24"/>
          <w:highlight w:val="none"/>
          <w:lang w:val="en-US" w:eastAsia="zh-CN"/>
          <w14:textFill>
            <w14:solidFill>
              <w14:schemeClr w14:val="tx1"/>
            </w14:solidFill>
          </w14:textFill>
        </w:rPr>
        <w:t>比选</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文件、设计图纸、工程量清单、合同文件包含的全部内容。如供应商踏勘现场发现现场与设计图、图纸与预算清单有不一致，均视为已综合考虑在其综合单价报价中。除设计变更或新增项目外，招标清单、设计图或施工图范围内中标综合单价不</w:t>
      </w:r>
      <w:r>
        <w:rPr>
          <w:rFonts w:hint="eastAsia" w:ascii="宋体" w:hAnsi="宋体" w:cs="宋体"/>
          <w:color w:val="000000" w:themeColor="text1"/>
          <w:kern w:val="0"/>
          <w:sz w:val="24"/>
          <w:szCs w:val="24"/>
          <w:highlight w:val="none"/>
          <w:lang w:val="en-US" w:eastAsia="zh-CN"/>
          <w14:textFill>
            <w14:solidFill>
              <w14:schemeClr w14:val="tx1"/>
            </w14:solidFill>
          </w14:textFill>
        </w:rPr>
        <w:t>作</w:t>
      </w:r>
      <w:r>
        <w:rPr>
          <w:rFonts w:hint="eastAsia" w:ascii="宋体" w:hAnsi="宋体" w:eastAsia="宋体" w:cs="宋体"/>
          <w:color w:val="000000" w:themeColor="text1"/>
          <w:kern w:val="0"/>
          <w:sz w:val="24"/>
          <w:szCs w:val="24"/>
          <w:highlight w:val="none"/>
          <w:lang w:eastAsia="zh-CN"/>
          <w14:textFill>
            <w14:solidFill>
              <w14:schemeClr w14:val="tx1"/>
            </w14:solidFill>
          </w14:textFill>
        </w:rPr>
        <w:t>调整。</w:t>
      </w:r>
    </w:p>
    <w:p w14:paraId="553977E5">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供应商在工程量清单中多报的子目和单价或总价</w:t>
      </w:r>
      <w:r>
        <w:rPr>
          <w:rFonts w:hint="eastAsia" w:ascii="宋体" w:hAnsi="宋体" w:cs="宋体"/>
          <w:color w:val="000000" w:themeColor="text1"/>
          <w:kern w:val="0"/>
          <w:sz w:val="24"/>
          <w:szCs w:val="24"/>
          <w:highlight w:val="none"/>
          <w:lang w:eastAsia="zh-CN"/>
          <w14:textFill>
            <w14:solidFill>
              <w14:schemeClr w14:val="tx1"/>
            </w14:solidFill>
          </w14:textFill>
        </w:rPr>
        <w:t>采购人</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将不予接受。报价空白或报价为零，则视为该子项的价款已包括在工程量清单其他子目的单价和合价中，中标后必须完成该子项工作内容，采购人不对该子项进行结算与支付；施工过程中，因采购人原因需要对报价空白或报价为零的项目减少实施工程量或不予实施，采购人将按</w:t>
      </w:r>
      <w:r>
        <w:rPr>
          <w:rFonts w:hint="eastAsia" w:ascii="宋体" w:hAnsi="宋体" w:cs="宋体"/>
          <w:color w:val="000000" w:themeColor="text1"/>
          <w:kern w:val="0"/>
          <w:sz w:val="24"/>
          <w:szCs w:val="24"/>
          <w:highlight w:val="none"/>
          <w:lang w:eastAsia="zh-CN"/>
          <w14:textFill>
            <w14:solidFill>
              <w14:schemeClr w14:val="tx1"/>
            </w14:solidFill>
          </w14:textFill>
        </w:rPr>
        <w:t>响应报价</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时计价原则计算出该项目的综合单价以及相应的规费、措施费和税金，并据此从结算价中扣除。</w:t>
      </w:r>
    </w:p>
    <w:p w14:paraId="459058B1">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5、采购人在工程量清单中所列出的价格（包括暂列金额、暂估价等），供应商不得修改，否则按否决竞标处理。</w:t>
      </w:r>
    </w:p>
    <w:p w14:paraId="636B38FC">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6、安全文明施工措施费</w:t>
      </w:r>
    </w:p>
    <w:p w14:paraId="2F76FF27">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6.1根据《重庆市住房和城乡建设委员会关于印发&lt;重庆市建设工程安全文明施工费计取及使用管理规定(2024年版)&gt;的通知》（渝建管〔2024〕38号）规定，安全文明施工费由安全施工费、文明施工费、环境保护费及临时设施费组成。</w:t>
      </w:r>
    </w:p>
    <w:p w14:paraId="5F089C1B">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6.2本工程安全文明施工费由采购人根据《建设工程工程量清单计价规范》（GB50500-2013)、《重庆市建设工程工程量清单计价规则》（CQJJGZ-2013)、《重庆市住房和城乡建设委员会关于印发&lt;重庆市建设工程安全文明施工费计取及使用管理规定(2024年版)&gt;的通知》（渝建管〔2024〕38号）文件的相关规定和费用标准单列计算。报价函及工程量清单报价中的安全文明施工费必须按照采购人给出的暂定金额填报，</w:t>
      </w: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否则按否决竞标处理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p w14:paraId="7320898B">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7、材料采购及报价</w:t>
      </w:r>
    </w:p>
    <w:p w14:paraId="553DB591">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7.1本</w:t>
      </w:r>
      <w:r>
        <w:rPr>
          <w:rFonts w:hint="eastAsia" w:ascii="宋体" w:hAnsi="宋体" w:cs="宋体"/>
          <w:color w:val="000000" w:themeColor="text1"/>
          <w:kern w:val="0"/>
          <w:sz w:val="24"/>
          <w:szCs w:val="24"/>
          <w:highlight w:val="none"/>
          <w:lang w:val="en-US" w:eastAsia="zh-CN"/>
          <w14:textFill>
            <w14:solidFill>
              <w14:schemeClr w14:val="tx1"/>
            </w14:solidFill>
          </w14:textFill>
        </w:rPr>
        <w:t>项目</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所需材料、设备由成交供应商自行采购，但所采购的材料必须符合国家规范标准及设计文件、</w:t>
      </w:r>
      <w:r>
        <w:rPr>
          <w:rFonts w:hint="eastAsia" w:ascii="宋体" w:hAnsi="宋体" w:cs="宋体"/>
          <w:color w:val="000000" w:themeColor="text1"/>
          <w:kern w:val="0"/>
          <w:sz w:val="24"/>
          <w:szCs w:val="24"/>
          <w:highlight w:val="none"/>
          <w:lang w:val="en-US" w:eastAsia="zh-CN"/>
          <w14:textFill>
            <w14:solidFill>
              <w14:schemeClr w14:val="tx1"/>
            </w14:solidFill>
          </w14:textFill>
        </w:rPr>
        <w:t>比选</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文件要求，并提供相应合格证明资料、质保书等。</w:t>
      </w:r>
    </w:p>
    <w:p w14:paraId="641C9AD9">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7.2材料及设备均由成交供应商采购，必须保证所采购的材料设备符合国家和地方规范标准，材料品牌须承诺并使用采购人推荐品牌表（详见附件）同档次及以上的品牌。后期施工过程中，材料品牌不得更换。除非因特殊情况，须经采购人及监理（如有）同时书面确认，方可更换。否则视为不响应</w:t>
      </w:r>
      <w:r>
        <w:rPr>
          <w:rFonts w:hint="eastAsia" w:ascii="宋体" w:hAnsi="宋体" w:cs="宋体"/>
          <w:color w:val="000000" w:themeColor="text1"/>
          <w:kern w:val="0"/>
          <w:sz w:val="24"/>
          <w:szCs w:val="24"/>
          <w:highlight w:val="none"/>
          <w:lang w:val="en-US" w:eastAsia="zh-CN"/>
          <w14:textFill>
            <w14:solidFill>
              <w14:schemeClr w14:val="tx1"/>
            </w14:solidFill>
          </w14:textFill>
        </w:rPr>
        <w:t>比选</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文件实质性要求。</w:t>
      </w:r>
    </w:p>
    <w:p w14:paraId="1F015C7E">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7.3本</w:t>
      </w:r>
      <w:r>
        <w:rPr>
          <w:rFonts w:hint="eastAsia" w:ascii="宋体" w:hAnsi="宋体" w:cs="宋体"/>
          <w:color w:val="000000" w:themeColor="text1"/>
          <w:kern w:val="0"/>
          <w:sz w:val="24"/>
          <w:szCs w:val="24"/>
          <w:highlight w:val="none"/>
          <w:lang w:val="en-US" w:eastAsia="zh-CN"/>
          <w14:textFill>
            <w14:solidFill>
              <w14:schemeClr w14:val="tx1"/>
            </w14:solidFill>
          </w14:textFill>
        </w:rPr>
        <w:t>项目</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所需的材料、设备由各供应商参照《重庆工程造价》公布的2025年第1</w:t>
      </w:r>
      <w:r>
        <w:rPr>
          <w:rFonts w:hint="eastAsia" w:ascii="宋体" w:hAnsi="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期的信息价并结合市场行情以及供应商的自身实力自主报价。中标材料、设备价格均不作调整。</w:t>
      </w:r>
    </w:p>
    <w:p w14:paraId="59B66BF9">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7.4材料、设备运输距离由供应商根据自身情况及踏勘现场情况自行确定。</w:t>
      </w:r>
    </w:p>
    <w:p w14:paraId="1457E524">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8、人工费</w:t>
      </w:r>
    </w:p>
    <w:p w14:paraId="259E99E6">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本</w:t>
      </w:r>
      <w:r>
        <w:rPr>
          <w:rFonts w:hint="eastAsia" w:ascii="宋体" w:hAnsi="宋体" w:cs="宋体"/>
          <w:color w:val="000000" w:themeColor="text1"/>
          <w:kern w:val="0"/>
          <w:sz w:val="24"/>
          <w:szCs w:val="24"/>
          <w:highlight w:val="none"/>
          <w:lang w:val="en-US" w:eastAsia="zh-CN"/>
          <w14:textFill>
            <w14:solidFill>
              <w14:schemeClr w14:val="tx1"/>
            </w14:solidFill>
          </w14:textFill>
        </w:rPr>
        <w:t>项目</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人工单价参照《重庆工程造价》公布的202</w:t>
      </w:r>
      <w:r>
        <w:rPr>
          <w:rFonts w:hint="eastAsia" w:ascii="宋体" w:hAnsi="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年第</w:t>
      </w:r>
      <w:r>
        <w:rPr>
          <w:rFonts w:hint="eastAsia" w:ascii="宋体" w:hAnsi="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季度人工信息价，由各供应商结合市场行情自主测算计入各分部分项综合单价中，中标后不再调整。</w:t>
      </w:r>
    </w:p>
    <w:p w14:paraId="3CA8B335">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9、规费、税金：为不可竞争费用，按重庆市相关规定执行。</w:t>
      </w:r>
    </w:p>
    <w:p w14:paraId="4CA62BF2">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10、建设工程竣工档案编制费列入“施工组织措施项目清单计价表”中，供应商根据《关于调整建设工程竣工档案编制费计取标准与计算方法的通知》（渝建发〔2014〕26号）、《重庆市城乡建设委员会关于适用增值税新税率调整建设工程计价依据的通知》（渝建〔2019〕143号）规定的标准计算报价，中标后不作调整。</w:t>
      </w:r>
    </w:p>
    <w:p w14:paraId="72BF9A9D">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11、其他说明</w:t>
      </w:r>
    </w:p>
    <w:p w14:paraId="44BA36F1">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11.1 按政策和合同约定的应由成交供应商交纳的各种保险费由供应商自行投保，保险费由成交供应商承担并支付，并根据企业自身和本工程情况包含在综合单价报价中。</w:t>
      </w:r>
    </w:p>
    <w:p w14:paraId="0501B6BB">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11.2 供应商应进行合理的自主报价，评标委员会可对供应商报价的合理性进行评定，评标委员会认定不合理的可要求供应商进行澄清，供应商拒绝澄清或者澄清无效，评标委员会可以否决其竞标。若在评标时未发现，采购人将按照最不利于供应商的原则进行修正，对修正的结果供应商应无条件接受，如供应商拒绝接受，采购人有权取消授标或立即终止合同。</w:t>
      </w:r>
    </w:p>
    <w:p w14:paraId="201FDAD3">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11.3供应商应充分了解工地位置、地质情况、进出场道路、拆迁干扰、储存空间、装卸限制、行车干扰及任何其它足以影响承包价格的情况，任何因忽视或误解工地情况而导致的索赔或工期延长申请将不获批准。</w:t>
      </w:r>
    </w:p>
    <w:p w14:paraId="32C1D271">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11.4以下费用包含在</w:t>
      </w:r>
      <w:r>
        <w:rPr>
          <w:rFonts w:hint="eastAsia" w:ascii="宋体" w:hAnsi="宋体" w:cs="宋体"/>
          <w:color w:val="000000" w:themeColor="text1"/>
          <w:kern w:val="0"/>
          <w:sz w:val="24"/>
          <w:szCs w:val="24"/>
          <w:highlight w:val="none"/>
          <w:lang w:val="en-US" w:eastAsia="zh-CN"/>
          <w14:textFill>
            <w14:solidFill>
              <w14:schemeClr w14:val="tx1"/>
            </w14:solidFill>
          </w14:textFill>
        </w:rPr>
        <w:t>竞标</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报价中并由中标单位办理：</w:t>
      </w:r>
    </w:p>
    <w:p w14:paraId="10F706AA">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①前期协调报备手续；</w:t>
      </w:r>
    </w:p>
    <w:p w14:paraId="0A1A5580">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②出渣至渣场费用（含专柜进场装修后的出渣费用、水电费用）；</w:t>
      </w:r>
    </w:p>
    <w:p w14:paraId="4AE5F26C">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③施工用水、用电费用；</w:t>
      </w:r>
    </w:p>
    <w:p w14:paraId="74D51B74">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④脚手架搭设拆除及安全防护费；</w:t>
      </w:r>
    </w:p>
    <w:p w14:paraId="3738CA36">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⑤成品和半成品保护费；</w:t>
      </w:r>
    </w:p>
    <w:p w14:paraId="3138F3A8">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⑥所有材料运输费及二次转运费；</w:t>
      </w:r>
    </w:p>
    <w:p w14:paraId="4CA9F61F">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⑦电梯的成品保护</w:t>
      </w:r>
    </w:p>
    <w:p w14:paraId="13078DE4">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⑧施工过程应尽可能保证封闭式施工，严格做好防尘噪音管控，工人不得在办公区域随意走动，拆除时间应提前征得采购人同意，否则不得进行噪音施工，由供应商自行充分考虑夜间施工、抢工、窝工等情形；所有排风管、上下水管洞口均包含在竞标综合单价内，不单独增项或变更，以上施工内容请各供应商结合自身实力及市场情况综合考虑在竞标综合单价内，采购人不单独对以上内容另行计费。</w:t>
      </w:r>
    </w:p>
    <w:p w14:paraId="4AC9FCC6">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11.5本</w:t>
      </w:r>
      <w:r>
        <w:rPr>
          <w:rFonts w:hint="eastAsia" w:ascii="宋体" w:hAnsi="宋体" w:cs="宋体"/>
          <w:color w:val="000000" w:themeColor="text1"/>
          <w:kern w:val="0"/>
          <w:sz w:val="24"/>
          <w:szCs w:val="24"/>
          <w:highlight w:val="none"/>
          <w:lang w:val="en-US" w:eastAsia="zh-CN"/>
          <w14:textFill>
            <w14:solidFill>
              <w14:schemeClr w14:val="tx1"/>
            </w14:solidFill>
          </w14:textFill>
        </w:rPr>
        <w:t>项目</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将设置</w:t>
      </w:r>
      <w:r>
        <w:rPr>
          <w:rFonts w:hint="eastAsia" w:ascii="宋体" w:hAnsi="宋体" w:cs="宋体"/>
          <w:color w:val="000000" w:themeColor="text1"/>
          <w:kern w:val="0"/>
          <w:sz w:val="24"/>
          <w:szCs w:val="24"/>
          <w:highlight w:val="none"/>
          <w:lang w:val="en-US" w:eastAsia="zh-CN"/>
          <w14:textFill>
            <w14:solidFill>
              <w14:schemeClr w14:val="tx1"/>
            </w14:solidFill>
          </w14:textFill>
        </w:rPr>
        <w:t>比选</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总价报价、分部分项工程量清单综合单价和措施项目费总报价最高限价。</w:t>
      </w: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本工程</w:t>
      </w:r>
      <w:r>
        <w:rPr>
          <w:rFonts w:hint="eastAsia" w:ascii="宋体" w:hAnsi="宋体" w:cs="宋体"/>
          <w:b/>
          <w:bCs/>
          <w:color w:val="000000" w:themeColor="text1"/>
          <w:kern w:val="0"/>
          <w:sz w:val="24"/>
          <w:szCs w:val="24"/>
          <w:highlight w:val="none"/>
          <w:lang w:val="en-US" w:eastAsia="zh-CN"/>
          <w14:textFill>
            <w14:solidFill>
              <w14:schemeClr w14:val="tx1"/>
            </w14:solidFill>
          </w14:textFill>
        </w:rPr>
        <w:t>比选</w:t>
      </w: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总价报价最高限价为</w:t>
      </w:r>
      <w:r>
        <w:rPr>
          <w:rFonts w:hint="default" w:ascii="宋体" w:hAnsi="宋体" w:eastAsia="宋体" w:cs="宋体"/>
          <w:b/>
          <w:bCs/>
          <w:color w:val="000000" w:themeColor="text1"/>
          <w:kern w:val="0"/>
          <w:sz w:val="24"/>
          <w:szCs w:val="24"/>
          <w:highlight w:val="none"/>
          <w:lang w:val="en-US" w:eastAsia="zh-CN"/>
          <w14:textFill>
            <w14:solidFill>
              <w14:schemeClr w14:val="tx1"/>
            </w14:solidFill>
          </w14:textFill>
        </w:rPr>
        <w:t>471356.74</w:t>
      </w: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元（大写：人民币肆拾柒万壹仟叁佰伍拾陆元柒角肆分），其中含安全文明施工费暂定金额：11469.67元。</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供应商的</w:t>
      </w:r>
      <w:r>
        <w:rPr>
          <w:rFonts w:hint="eastAsia" w:ascii="宋体" w:hAnsi="宋体" w:cs="宋体"/>
          <w:color w:val="000000" w:themeColor="text1"/>
          <w:kern w:val="0"/>
          <w:sz w:val="24"/>
          <w:szCs w:val="24"/>
          <w:highlight w:val="none"/>
          <w:lang w:val="en-US" w:eastAsia="zh-CN"/>
          <w14:textFill>
            <w14:solidFill>
              <w14:schemeClr w14:val="tx1"/>
            </w14:solidFill>
          </w14:textFill>
        </w:rPr>
        <w:t>比选</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总价报价、分部分项工程量清单综合单价报价、措施项目费总价不得超过相应最高限价，否则由评标委员会作否决竞标处理。暂列金额</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如有</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和安全文明施工费必须按采购人给定的金额填报，不得浮动。</w:t>
      </w:r>
    </w:p>
    <w:p w14:paraId="49D95FAF">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11.6报价函中的</w:t>
      </w:r>
      <w:r>
        <w:rPr>
          <w:rFonts w:hint="eastAsia" w:ascii="宋体" w:hAnsi="宋体" w:cs="宋体"/>
          <w:color w:val="000000" w:themeColor="text1"/>
          <w:kern w:val="0"/>
          <w:sz w:val="24"/>
          <w:szCs w:val="24"/>
          <w:highlight w:val="none"/>
          <w:lang w:val="en-US" w:eastAsia="zh-CN"/>
          <w14:textFill>
            <w14:solidFill>
              <w14:schemeClr w14:val="tx1"/>
            </w14:solidFill>
          </w14:textFill>
        </w:rPr>
        <w:t>竞标</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总价报价必须与已标价工程量清单中的总报价一致。若发现成交供应商的总价金额与依据工程量清单综合单价计算出的结果不一致的，将按对采购人有利的原则调整工程量清单综合单价或竞标总价，成交供应商须无条件接受，否则采购人有权取消中标资格并没收竞标保证金或者解除合同没收履约担保）。供应商须在响应文件</w:t>
      </w:r>
      <w:r>
        <w:rPr>
          <w:rFonts w:hint="eastAsia" w:ascii="宋体" w:hAnsi="宋体" w:cs="宋体"/>
          <w:color w:val="000000" w:themeColor="text1"/>
          <w:kern w:val="0"/>
          <w:sz w:val="24"/>
          <w:szCs w:val="24"/>
          <w:highlight w:val="none"/>
          <w:lang w:val="en-US" w:eastAsia="zh-CN"/>
          <w14:textFill>
            <w14:solidFill>
              <w14:schemeClr w14:val="tx1"/>
            </w14:solidFill>
          </w14:textFill>
        </w:rPr>
        <w:t>中</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提供承诺函（格式自拟），承诺函包括以下内容：</w:t>
      </w:r>
    </w:p>
    <w:p w14:paraId="50F1DBCB">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（1）符合“工程量清单”给出的范围及数量。</w:t>
      </w:r>
    </w:p>
    <w:p w14:paraId="2D4252C5">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（2）</w:t>
      </w:r>
      <w:r>
        <w:rPr>
          <w:rFonts w:hint="eastAsia" w:ascii="宋体" w:hAnsi="宋体" w:cs="宋体"/>
          <w:color w:val="000000" w:themeColor="text1"/>
          <w:kern w:val="0"/>
          <w:sz w:val="24"/>
          <w:szCs w:val="24"/>
          <w:highlight w:val="none"/>
          <w:lang w:val="en-US" w:eastAsia="zh-CN"/>
          <w14:textFill>
            <w14:solidFill>
              <w14:schemeClr w14:val="tx1"/>
            </w14:solidFill>
          </w14:textFill>
        </w:rPr>
        <w:t>比选</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文件中规定工程量清单不允许修改的内容不得修改</w:t>
      </w:r>
      <w:r>
        <w:rPr>
          <w:rFonts w:hint="eastAsia" w:ascii="宋体" w:hAnsi="宋体" w:eastAsia="宋体" w:cs="宋体"/>
          <w:color w:val="000000" w:themeColor="text1"/>
          <w:sz w:val="24"/>
          <w:highlight w:val="none"/>
          <w14:textFill>
            <w14:solidFill>
              <w14:schemeClr w14:val="tx1"/>
            </w14:solidFill>
          </w14:textFill>
        </w:rPr>
        <w:t>。</w:t>
      </w:r>
    </w:p>
    <w:p w14:paraId="10012F8D">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2" w:firstLineChars="200"/>
        <w:textAlignment w:val="auto"/>
        <w:outlineLvl w:val="1"/>
        <w:rPr>
          <w:rFonts w:hint="eastAsia" w:ascii="宋体" w:hAnsi="宋体" w:eastAsia="宋体" w:cs="宋体"/>
          <w:color w:val="000000" w:themeColor="text1"/>
          <w:sz w:val="24"/>
          <w:highlight w:val="none"/>
          <w:lang w:val="en-US" w:eastAsia="zh-CN"/>
          <w14:textFill>
            <w14:solidFill>
              <w14:schemeClr w14:val="tx1"/>
            </w14:solidFill>
          </w14:textFill>
        </w:rPr>
      </w:pPr>
      <w:bookmarkStart w:id="65" w:name="_Toc27282"/>
      <w:bookmarkStart w:id="66" w:name="_Toc4016"/>
      <w:r>
        <w:rPr>
          <w:rFonts w:hint="eastAsia" w:ascii="宋体" w:hAnsi="宋体" w:cs="宋体"/>
          <w:b/>
          <w:bCs/>
          <w:color w:val="000000" w:themeColor="text1"/>
          <w:sz w:val="24"/>
          <w:highlight w:val="none"/>
          <w:lang w:val="en-US" w:eastAsia="zh-CN"/>
          <w14:textFill>
            <w14:solidFill>
              <w14:schemeClr w14:val="tx1"/>
            </w14:solidFill>
          </w14:textFill>
        </w:rPr>
        <w:t>三、付款方式</w:t>
      </w:r>
    </w:p>
    <w:p w14:paraId="69698A50">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1、本项目采购人与成交供应商双方签订合同，且成交供应商收到采购人发出的开工令并缴纳</w:t>
      </w:r>
      <w:r>
        <w:rPr>
          <w:rFonts w:hint="eastAsia" w:ascii="宋体" w:hAnsi="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%履约保证金（以银行转账、支票、汇票、本票或者金融机构、担保机构出具的保函（受益人为采购人）等非现金形式提交）后，成交供应商</w:t>
      </w:r>
      <w:r>
        <w:rPr>
          <w:rFonts w:hint="eastAsia" w:ascii="宋体" w:hAnsi="宋体" w:cs="宋体"/>
          <w:color w:val="000000" w:themeColor="text1"/>
          <w:kern w:val="0"/>
          <w:sz w:val="24"/>
          <w:szCs w:val="24"/>
          <w:highlight w:val="none"/>
          <w:lang w:val="en-US" w:eastAsia="zh-CN"/>
          <w14:textFill>
            <w14:solidFill>
              <w14:schemeClr w14:val="tx1"/>
            </w14:solidFill>
          </w14:textFill>
        </w:rPr>
        <w:t>开具</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合同金额</w:t>
      </w:r>
      <w:r>
        <w:rPr>
          <w:rFonts w:hint="eastAsia" w:ascii="宋体" w:hAnsi="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0%</w:t>
      </w:r>
      <w:r>
        <w:rPr>
          <w:rFonts w:hint="eastAsia" w:ascii="宋体" w:hAnsi="宋体" w:cs="宋体"/>
          <w:color w:val="000000" w:themeColor="text1"/>
          <w:kern w:val="0"/>
          <w:sz w:val="24"/>
          <w:szCs w:val="24"/>
          <w:highlight w:val="none"/>
          <w:lang w:val="en-US" w:eastAsia="zh-CN"/>
          <w14:textFill>
            <w14:solidFill>
              <w14:schemeClr w14:val="tx1"/>
            </w14:solidFill>
          </w14:textFill>
        </w:rPr>
        <w:t>的发票，</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采购人</w:t>
      </w:r>
      <w:r>
        <w:rPr>
          <w:rFonts w:hint="eastAsia" w:ascii="宋体" w:hAnsi="宋体" w:cs="宋体"/>
          <w:color w:val="000000" w:themeColor="text1"/>
          <w:kern w:val="0"/>
          <w:sz w:val="24"/>
          <w:szCs w:val="24"/>
          <w:highlight w:val="none"/>
          <w:lang w:val="en-US" w:eastAsia="zh-CN"/>
          <w14:textFill>
            <w14:solidFill>
              <w14:schemeClr w14:val="tx1"/>
            </w14:solidFill>
          </w14:textFill>
        </w:rPr>
        <w:t>收到发票后15个工作日内</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支付预付款。</w:t>
      </w:r>
    </w:p>
    <w:p w14:paraId="19D92804">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2、合同全部工作完成，竣工验收合格，</w:t>
      </w:r>
      <w:r>
        <w:rPr>
          <w:rFonts w:hint="eastAsia" w:ascii="宋体" w:hAnsi="宋体" w:cs="宋体"/>
          <w:color w:val="000000" w:themeColor="text1"/>
          <w:kern w:val="0"/>
          <w:sz w:val="24"/>
          <w:szCs w:val="24"/>
          <w:highlight w:val="none"/>
          <w:lang w:val="en-US" w:eastAsia="zh-CN"/>
          <w14:textFill>
            <w14:solidFill>
              <w14:schemeClr w14:val="tx1"/>
            </w14:solidFill>
          </w14:textFill>
        </w:rPr>
        <w:t>成交供应商</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向</w:t>
      </w:r>
      <w:r>
        <w:rPr>
          <w:rFonts w:hint="eastAsia" w:ascii="宋体" w:hAnsi="宋体" w:cs="宋体"/>
          <w:color w:val="000000" w:themeColor="text1"/>
          <w:kern w:val="0"/>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送交完整的工程竣工资料</w:t>
      </w:r>
      <w:r>
        <w:rPr>
          <w:rFonts w:hint="eastAsia" w:ascii="宋体" w:hAnsi="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结算资料经</w:t>
      </w:r>
      <w:r>
        <w:rPr>
          <w:rFonts w:hint="eastAsia" w:ascii="宋体" w:hAnsi="宋体" w:cs="宋体"/>
          <w:color w:val="000000" w:themeColor="text1"/>
          <w:kern w:val="0"/>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审核签字确认</w:t>
      </w:r>
      <w:r>
        <w:rPr>
          <w:rFonts w:hint="eastAsia" w:ascii="宋体" w:hAnsi="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成交供应商</w:t>
      </w:r>
      <w:r>
        <w:rPr>
          <w:rFonts w:hint="eastAsia" w:ascii="宋体" w:hAnsi="宋体" w:cs="宋体"/>
          <w:color w:val="000000" w:themeColor="text1"/>
          <w:kern w:val="0"/>
          <w:sz w:val="24"/>
          <w:szCs w:val="24"/>
          <w:highlight w:val="none"/>
          <w:lang w:val="en-US" w:eastAsia="zh-CN"/>
          <w14:textFill>
            <w14:solidFill>
              <w14:schemeClr w14:val="tx1"/>
            </w14:solidFill>
          </w14:textFill>
        </w:rPr>
        <w:t>开具</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至该审定结算价97%</w:t>
      </w:r>
      <w:r>
        <w:rPr>
          <w:rFonts w:hint="eastAsia" w:ascii="宋体" w:hAnsi="宋体" w:cs="宋体"/>
          <w:color w:val="000000" w:themeColor="text1"/>
          <w:kern w:val="0"/>
          <w:sz w:val="24"/>
          <w:szCs w:val="24"/>
          <w:highlight w:val="none"/>
          <w:lang w:val="en-US" w:eastAsia="zh-CN"/>
          <w14:textFill>
            <w14:solidFill>
              <w14:schemeClr w14:val="tx1"/>
            </w14:solidFill>
          </w14:textFill>
        </w:rPr>
        <w:t>的发票，采购人收到发票后</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1个月内支付</w:t>
      </w:r>
      <w:r>
        <w:rPr>
          <w:rFonts w:hint="eastAsia" w:ascii="宋体" w:hAnsi="宋体" w:cs="宋体"/>
          <w:color w:val="000000" w:themeColor="text1"/>
          <w:kern w:val="0"/>
          <w:sz w:val="24"/>
          <w:szCs w:val="24"/>
          <w:highlight w:val="none"/>
          <w:lang w:val="en-US" w:eastAsia="zh-CN"/>
          <w14:textFill>
            <w14:solidFill>
              <w14:schemeClr w14:val="tx1"/>
            </w14:solidFill>
          </w14:textFill>
        </w:rPr>
        <w:t>发票金额</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p>
    <w:p w14:paraId="2596F05E">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、剩余工程结算总价的3%作为质保金，缺陷责任期满经验收合格后，</w:t>
      </w:r>
      <w:r>
        <w:rPr>
          <w:rFonts w:hint="eastAsia" w:ascii="宋体" w:hAnsi="宋体" w:cs="宋体"/>
          <w:color w:val="000000" w:themeColor="text1"/>
          <w:kern w:val="0"/>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在向</w:t>
      </w:r>
      <w:r>
        <w:rPr>
          <w:rFonts w:hint="eastAsia" w:ascii="宋体" w:hAnsi="宋体" w:cs="宋体"/>
          <w:color w:val="000000" w:themeColor="text1"/>
          <w:kern w:val="0"/>
          <w:sz w:val="24"/>
          <w:szCs w:val="24"/>
          <w:highlight w:val="none"/>
          <w:lang w:val="en-US" w:eastAsia="zh-CN"/>
          <w14:textFill>
            <w14:solidFill>
              <w14:schemeClr w14:val="tx1"/>
            </w14:solidFill>
          </w14:textFill>
        </w:rPr>
        <w:t>成交供应商</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出具经</w:t>
      </w:r>
      <w:r>
        <w:rPr>
          <w:rFonts w:hint="eastAsia" w:ascii="宋体" w:hAnsi="宋体" w:cs="宋体"/>
          <w:color w:val="000000" w:themeColor="text1"/>
          <w:kern w:val="0"/>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签认的缺陷责任期终止证书后28日内，且</w:t>
      </w:r>
      <w:r>
        <w:rPr>
          <w:rFonts w:hint="eastAsia" w:ascii="宋体" w:hAnsi="宋体" w:cs="宋体"/>
          <w:color w:val="000000" w:themeColor="text1"/>
          <w:kern w:val="0"/>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在扣除缺陷责任期间发生的应当由</w:t>
      </w:r>
      <w:r>
        <w:rPr>
          <w:rFonts w:hint="eastAsia" w:ascii="宋体" w:hAnsi="宋体" w:cs="宋体"/>
          <w:color w:val="000000" w:themeColor="text1"/>
          <w:kern w:val="0"/>
          <w:sz w:val="24"/>
          <w:szCs w:val="24"/>
          <w:highlight w:val="none"/>
          <w:lang w:val="en-US" w:eastAsia="zh-CN"/>
          <w14:textFill>
            <w14:solidFill>
              <w14:schemeClr w14:val="tx1"/>
            </w14:solidFill>
          </w14:textFill>
        </w:rPr>
        <w:t>成交供应商</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承担的维修费用后（包括但不限于因</w:t>
      </w:r>
      <w:r>
        <w:rPr>
          <w:rFonts w:hint="eastAsia" w:ascii="宋体" w:hAnsi="宋体" w:cs="宋体"/>
          <w:color w:val="000000" w:themeColor="text1"/>
          <w:kern w:val="0"/>
          <w:sz w:val="24"/>
          <w:szCs w:val="24"/>
          <w:highlight w:val="none"/>
          <w:lang w:val="en-US" w:eastAsia="zh-CN"/>
          <w14:textFill>
            <w14:solidFill>
              <w14:schemeClr w14:val="tx1"/>
            </w14:solidFill>
          </w14:textFill>
        </w:rPr>
        <w:t>成交供应商</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未履行保修义务，由</w:t>
      </w:r>
      <w:r>
        <w:rPr>
          <w:rFonts w:hint="eastAsia" w:ascii="宋体" w:hAnsi="宋体" w:cs="宋体"/>
          <w:color w:val="000000" w:themeColor="text1"/>
          <w:kern w:val="0"/>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委托他人完成维修项目所产生的费用），无息退还相应的质量保证金。</w:t>
      </w:r>
    </w:p>
    <w:p w14:paraId="376F3BDD">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成交供应商</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提交的有效进度款支付申请资料包括：竣工验收报告（原件）、5套工程竣工资料（含档案资料、结算资料、竣工图资料）等。</w:t>
      </w:r>
    </w:p>
    <w:p w14:paraId="6C9D89DC">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2" w:firstLineChars="200"/>
        <w:textAlignment w:val="auto"/>
        <w:outlineLvl w:val="1"/>
        <w:rPr>
          <w:rFonts w:hint="eastAsia" w:ascii="宋体" w:hAnsi="宋体" w:cs="宋体"/>
          <w:b/>
          <w:bCs/>
          <w:color w:val="000000" w:themeColor="text1"/>
          <w:sz w:val="24"/>
          <w:highlight w:val="none"/>
          <w:lang w:val="en-US" w:eastAsia="zh-CN"/>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四、履约担保</w:t>
      </w:r>
      <w:bookmarkEnd w:id="65"/>
      <w:bookmarkEnd w:id="66"/>
    </w:p>
    <w:p w14:paraId="6AAB807F">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成交供应商</w:t>
      </w:r>
      <w:r>
        <w:rPr>
          <w:rFonts w:hint="eastAsia" w:ascii="宋体" w:hAnsi="宋体" w:eastAsia="宋体" w:cs="宋体"/>
          <w:color w:val="000000" w:themeColor="text1"/>
          <w:sz w:val="24"/>
          <w:highlight w:val="none"/>
          <w14:textFill>
            <w14:solidFill>
              <w14:schemeClr w14:val="tx1"/>
            </w14:solidFill>
          </w14:textFill>
        </w:rPr>
        <w:t>是否提供履约担保：提供。</w:t>
      </w:r>
    </w:p>
    <w:p w14:paraId="252CACFD">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lang w:val="en-US" w:eastAsia="zh-CN"/>
          <w14:textFill>
            <w14:solidFill>
              <w14:schemeClr w14:val="tx1"/>
            </w14:solidFill>
          </w14:textFill>
        </w:rPr>
        <w:t>成交供应商</w:t>
      </w:r>
      <w:r>
        <w:rPr>
          <w:rFonts w:hint="eastAsia" w:ascii="宋体" w:hAnsi="宋体" w:eastAsia="宋体" w:cs="宋体"/>
          <w:color w:val="000000" w:themeColor="text1"/>
          <w:sz w:val="24"/>
          <w:highlight w:val="none"/>
          <w14:textFill>
            <w14:solidFill>
              <w14:schemeClr w14:val="tx1"/>
            </w14:solidFill>
          </w14:textFill>
        </w:rPr>
        <w:t>提供履约担保的形式、金额及期限：</w:t>
      </w:r>
    </w:p>
    <w:p w14:paraId="7451B170">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履约担保的形式：现金或银行保函或现金+银行保函的组合；采用银行保函形式的，保函必须为不可撤销且见索即付。</w:t>
      </w:r>
    </w:p>
    <w:p w14:paraId="20A10ADB">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履约担保的金额：中标合同金额的5%。</w:t>
      </w:r>
    </w:p>
    <w:p w14:paraId="27E6FD97">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履约担保</w:t>
      </w:r>
      <w:r>
        <w:rPr>
          <w:rFonts w:hint="eastAsia" w:ascii="宋体" w:hAnsi="宋体" w:eastAsia="宋体" w:cs="宋体"/>
          <w:color w:val="000000" w:themeColor="text1"/>
          <w:sz w:val="24"/>
          <w:highlight w:val="none"/>
          <w:lang w:val="en-US" w:eastAsia="zh-CN"/>
          <w14:textFill>
            <w14:solidFill>
              <w14:schemeClr w14:val="tx1"/>
            </w14:solidFill>
          </w14:textFill>
        </w:rPr>
        <w:t>期限及</w:t>
      </w:r>
      <w:r>
        <w:rPr>
          <w:rFonts w:hint="eastAsia" w:ascii="宋体" w:hAnsi="宋体" w:eastAsia="宋体" w:cs="宋体"/>
          <w:color w:val="000000" w:themeColor="text1"/>
          <w:sz w:val="24"/>
          <w:highlight w:val="none"/>
          <w14:textFill>
            <w14:solidFill>
              <w14:schemeClr w14:val="tx1"/>
            </w14:solidFill>
          </w14:textFill>
        </w:rPr>
        <w:t>退还时间：履约保证金以现金方式缴纳的，供货安装完成并经</w:t>
      </w:r>
      <w:r>
        <w:rPr>
          <w:rFonts w:hint="eastAsia" w:ascii="宋体" w:hAnsi="宋体" w:cs="宋体"/>
          <w:color w:val="000000" w:themeColor="text1"/>
          <w:sz w:val="24"/>
          <w:highlight w:val="none"/>
          <w:lang w:val="en-US" w:eastAsia="zh-CN"/>
          <w14:textFill>
            <w14:solidFill>
              <w14:schemeClr w14:val="tx1"/>
            </w14:solidFill>
          </w14:textFill>
        </w:rPr>
        <w:t>成交供应商</w:t>
      </w:r>
      <w:r>
        <w:rPr>
          <w:rFonts w:hint="eastAsia" w:ascii="宋体" w:hAnsi="宋体" w:eastAsia="宋体" w:cs="宋体"/>
          <w:color w:val="000000" w:themeColor="text1"/>
          <w:sz w:val="24"/>
          <w:highlight w:val="none"/>
          <w14:textFill>
            <w14:solidFill>
              <w14:schemeClr w14:val="tx1"/>
            </w14:solidFill>
          </w14:textFill>
        </w:rPr>
        <w:t>申请后一个月内无息退还。履约保证金以银行保函方式缴纳的，供货安装完成并经</w:t>
      </w:r>
      <w:r>
        <w:rPr>
          <w:rFonts w:hint="eastAsia" w:ascii="宋体" w:hAnsi="宋体" w:cs="宋体"/>
          <w:color w:val="000000" w:themeColor="text1"/>
          <w:sz w:val="24"/>
          <w:highlight w:val="none"/>
          <w:lang w:val="en-US" w:eastAsia="zh-CN"/>
          <w14:textFill>
            <w14:solidFill>
              <w14:schemeClr w14:val="tx1"/>
            </w14:solidFill>
          </w14:textFill>
        </w:rPr>
        <w:t>成交供应商</w:t>
      </w:r>
      <w:r>
        <w:rPr>
          <w:rFonts w:hint="eastAsia" w:ascii="宋体" w:hAnsi="宋体" w:eastAsia="宋体" w:cs="宋体"/>
          <w:color w:val="000000" w:themeColor="text1"/>
          <w:sz w:val="24"/>
          <w:highlight w:val="none"/>
          <w14:textFill>
            <w14:solidFill>
              <w14:schemeClr w14:val="tx1"/>
            </w14:solidFill>
          </w14:textFill>
        </w:rPr>
        <w:t>申请后一个月内解保。</w:t>
      </w:r>
    </w:p>
    <w:p w14:paraId="15F05172">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2" w:firstLineChars="200"/>
        <w:textAlignment w:val="auto"/>
        <w:rPr>
          <w:rFonts w:hint="eastAsia" w:ascii="宋体" w:hAnsi="宋体" w:eastAsia="宋体" w:cs="宋体"/>
          <w:color w:val="000000" w:themeColor="text1"/>
          <w:sz w:val="24"/>
          <w:highlight w:val="none"/>
          <w:lang w:bidi="ar"/>
          <w14:textFill>
            <w14:solidFill>
              <w14:schemeClr w14:val="tx1"/>
            </w14:solidFill>
          </w14:textFill>
        </w:rPr>
      </w:pPr>
      <w:bookmarkStart w:id="67" w:name="_Toc28905"/>
      <w:r>
        <w:rPr>
          <w:rFonts w:hint="eastAsia" w:ascii="宋体" w:hAnsi="宋体" w:eastAsia="宋体" w:cs="宋体"/>
          <w:b/>
          <w:bCs/>
          <w:color w:val="000000" w:themeColor="text1"/>
          <w:sz w:val="24"/>
          <w:highlight w:val="none"/>
          <w:lang w:val="en-US" w:eastAsia="zh-CN"/>
          <w14:textFill>
            <w14:solidFill>
              <w14:schemeClr w14:val="tx1"/>
            </w14:solidFill>
          </w14:textFill>
        </w:rPr>
        <w:t>备注：若</w:t>
      </w:r>
      <w:r>
        <w:rPr>
          <w:rFonts w:hint="eastAsia" w:ascii="宋体" w:hAnsi="宋体" w:cs="宋体"/>
          <w:b/>
          <w:bCs/>
          <w:color w:val="000000" w:themeColor="text1"/>
          <w:sz w:val="24"/>
          <w:highlight w:val="none"/>
          <w:lang w:val="en-US" w:eastAsia="zh-CN"/>
          <w14:textFill>
            <w14:solidFill>
              <w14:schemeClr w14:val="tx1"/>
            </w14:solidFill>
          </w14:textFill>
        </w:rPr>
        <w:t>成交供应商</w:t>
      </w:r>
      <w:r>
        <w:rPr>
          <w:rFonts w:hint="eastAsia" w:ascii="宋体" w:hAnsi="宋体" w:eastAsia="宋体" w:cs="宋体"/>
          <w:b/>
          <w:bCs/>
          <w:color w:val="000000" w:themeColor="text1"/>
          <w:sz w:val="24"/>
          <w:highlight w:val="none"/>
          <w:lang w:val="en-US" w:eastAsia="zh-CN"/>
          <w14:textFill>
            <w14:solidFill>
              <w14:schemeClr w14:val="tx1"/>
            </w14:solidFill>
          </w14:textFill>
        </w:rPr>
        <w:t>中选总价低于总价最高限价的85%，按</w:t>
      </w:r>
      <w:r>
        <w:rPr>
          <w:rFonts w:hint="eastAsia" w:ascii="宋体" w:hAnsi="宋体" w:cs="宋体"/>
          <w:b/>
          <w:bCs/>
          <w:color w:val="000000" w:themeColor="text1"/>
          <w:sz w:val="24"/>
          <w:highlight w:val="none"/>
          <w:lang w:val="en-US" w:eastAsia="zh-CN"/>
          <w14:textFill>
            <w14:solidFill>
              <w14:schemeClr w14:val="tx1"/>
            </w14:solidFill>
          </w14:textFill>
        </w:rPr>
        <w:t>竞争性比选</w:t>
      </w:r>
      <w:r>
        <w:rPr>
          <w:rFonts w:hint="eastAsia" w:ascii="宋体" w:hAnsi="宋体" w:eastAsia="宋体" w:cs="宋体"/>
          <w:b/>
          <w:bCs/>
          <w:color w:val="000000" w:themeColor="text1"/>
          <w:sz w:val="24"/>
          <w:highlight w:val="none"/>
          <w:lang w:val="en-US" w:eastAsia="zh-CN"/>
          <w14:textFill>
            <w14:solidFill>
              <w14:schemeClr w14:val="tx1"/>
            </w14:solidFill>
          </w14:textFill>
        </w:rPr>
        <w:t>文件规定缴纳低价风险担保，则可不再单独缴纳履约担保。</w:t>
      </w:r>
      <w:bookmarkEnd w:id="67"/>
    </w:p>
    <w:p w14:paraId="33AD0F47">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2" w:firstLineChars="200"/>
        <w:textAlignment w:val="auto"/>
        <w:outlineLvl w:val="1"/>
        <w:rPr>
          <w:rFonts w:hint="eastAsia" w:ascii="宋体" w:hAnsi="宋体" w:eastAsia="宋体" w:cs="宋体"/>
          <w:b/>
          <w:bCs/>
          <w:color w:val="000000" w:themeColor="text1"/>
          <w:sz w:val="24"/>
          <w:highlight w:val="none"/>
          <w:lang w:val="en-US" w:eastAsia="zh-CN"/>
          <w14:textFill>
            <w14:solidFill>
              <w14:schemeClr w14:val="tx1"/>
            </w14:solidFill>
          </w14:textFill>
        </w:rPr>
      </w:pPr>
      <w:bookmarkStart w:id="68" w:name="_Toc190689291"/>
      <w:bookmarkStart w:id="69" w:name="_Toc1471"/>
      <w:bookmarkStart w:id="70" w:name="_Toc18794"/>
      <w:r>
        <w:rPr>
          <w:rFonts w:hint="eastAsia" w:ascii="宋体" w:hAnsi="宋体" w:eastAsia="宋体" w:cs="宋体"/>
          <w:b/>
          <w:bCs/>
          <w:color w:val="000000" w:themeColor="text1"/>
          <w:sz w:val="24"/>
          <w:highlight w:val="none"/>
          <w:lang w:val="en-US" w:eastAsia="zh-CN"/>
          <w14:textFill>
            <w14:solidFill>
              <w14:schemeClr w14:val="tx1"/>
            </w14:solidFill>
          </w14:textFill>
        </w:rPr>
        <w:t>五、结算原则</w:t>
      </w:r>
      <w:bookmarkEnd w:id="68"/>
      <w:bookmarkStart w:id="71" w:name="_Toc73626116"/>
      <w:bookmarkEnd w:id="71"/>
      <w:bookmarkStart w:id="72" w:name="_Toc8486"/>
      <w:bookmarkEnd w:id="72"/>
      <w:bookmarkStart w:id="73" w:name="_Toc74638456"/>
      <w:bookmarkEnd w:id="73"/>
      <w:bookmarkStart w:id="74" w:name="_Toc75530367"/>
      <w:bookmarkEnd w:id="74"/>
      <w:bookmarkStart w:id="75" w:name="_Toc69287475"/>
      <w:bookmarkEnd w:id="75"/>
      <w:bookmarkStart w:id="76" w:name="_Toc12980464"/>
      <w:bookmarkEnd w:id="76"/>
      <w:bookmarkStart w:id="77" w:name="_Toc86749641"/>
      <w:bookmarkEnd w:id="77"/>
    </w:p>
    <w:p w14:paraId="53EBEFE5">
      <w:pPr>
        <w:spacing w:line="360" w:lineRule="auto"/>
        <w:ind w:firstLine="564" w:firstLineChars="235"/>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按专用合同条款10.4.1 变更估价原则和14.2 竣工结算审核执行。</w:t>
      </w:r>
    </w:p>
    <w:p w14:paraId="037DF79B">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2" w:firstLineChars="200"/>
        <w:textAlignment w:val="auto"/>
        <w:outlineLvl w:val="1"/>
        <w:rPr>
          <w:rFonts w:hint="eastAsia" w:ascii="宋体" w:hAnsi="宋体" w:eastAsia="宋体" w:cs="宋体"/>
          <w:b/>
          <w:bCs/>
          <w:color w:val="000000" w:themeColor="text1"/>
          <w:sz w:val="24"/>
          <w:highlight w:val="none"/>
          <w:lang w:val="en-US" w:eastAsia="zh-CN"/>
          <w14:textFill>
            <w14:solidFill>
              <w14:schemeClr w14:val="tx1"/>
            </w14:solidFill>
          </w14:textFill>
        </w:rPr>
      </w:pPr>
      <w:bookmarkStart w:id="78" w:name="_Toc190689292"/>
      <w:r>
        <w:rPr>
          <w:rFonts w:hint="eastAsia" w:ascii="宋体" w:hAnsi="宋体" w:eastAsia="宋体" w:cs="宋体"/>
          <w:b/>
          <w:bCs/>
          <w:color w:val="000000" w:themeColor="text1"/>
          <w:sz w:val="24"/>
          <w:highlight w:val="none"/>
          <w:lang w:val="en-US" w:eastAsia="zh-CN"/>
          <w14:textFill>
            <w14:solidFill>
              <w14:schemeClr w14:val="tx1"/>
            </w14:solidFill>
          </w14:textFill>
        </w:rPr>
        <w:t>六、合同约定费用</w:t>
      </w:r>
      <w:bookmarkEnd w:id="78"/>
    </w:p>
    <w:p w14:paraId="668B48C3">
      <w:pPr>
        <w:spacing w:line="360" w:lineRule="auto"/>
        <w:ind w:firstLine="564" w:firstLineChars="235"/>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采购人要求成交供应商完成合同以外施工范围内或施工范围外但与本施工项目有密切关系的工程，成交供应商须接受采购人施工要求，并</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完善相关</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施工签证。</w:t>
      </w:r>
    </w:p>
    <w:p w14:paraId="2C02ED96">
      <w:pPr>
        <w:spacing w:line="360" w:lineRule="auto"/>
        <w:ind w:firstLine="564" w:firstLineChars="235"/>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合同其它条款约定的费用。</w:t>
      </w:r>
    </w:p>
    <w:p w14:paraId="5E3008F4">
      <w:pPr>
        <w:spacing w:line="360" w:lineRule="auto"/>
        <w:ind w:firstLine="564" w:firstLineChars="235"/>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成交供应商按照施工进度周期与设计要求自行组织采购，所选材料（设备）的产品质量均不得低于本工程设计的要求，并达到国家现行工程质量验收标准，不得使用不达标或国家明令淘汰产品，所采购的材料（设备）需经采购人和监理（如有）单位（如有）确认质量后方可用于现场施工。因市场设备产品质量及价格悬殊较大，为保证产品质量及售后维护，现将本项目重要设备产品配置要求作如下要求：为确保工程质量，本工程所需的主要材料（设备）须采用规定品牌（厂家）的</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同档次及以上档次的</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产品或采用与之相同档次的其他品牌（厂家）的产品，若成交供应商选用与之相同档次的其他品牌（厂家）的产品，应在采购前14日内将所采购材料（设备）的厂家、技术参数、品牌、质量等级等技术指标以书面形式通知采购人，采购人收到成交供应商的书面报告后14日内予以确认，经采购人认质、封样（如有必要）后成交供应商方可采购进场。采购人认为成交供应商所使用的材料（设备）品质存在缺陷，或者偏离图纸及规范要求（以设计和监理（如有）书面意见为准），不能适用于本工程的需要，采购人有权按下表中约定的该材料品牌（设备）中指定一种品牌产品供成交供应商使用，采购人不因更换材料（设备）品牌而调整材料价格及相关费用；若成交供应商拒绝按采购人要求更换，该种材料改为第三方单位予以供货，采购人将收取成交供应商该类材料费的20%作为违约金，并按采购人实际支付的该类材料（设备）货款从成交供应商的结算价款中扣除。</w:t>
      </w:r>
    </w:p>
    <w:p w14:paraId="61CBF273">
      <w:pPr>
        <w:spacing w:line="360" w:lineRule="auto"/>
        <w:ind w:firstLine="564" w:firstLineChars="235"/>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附件：</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本工程所需的主要材料（设备）必须为符合设计要求的下列（</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同档次</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或相当于下列品牌并报甲方批准的品牌）：</w:t>
      </w:r>
    </w:p>
    <w:p w14:paraId="0B2051F4">
      <w:pPr>
        <w:spacing w:line="360" w:lineRule="auto"/>
        <w:ind w:firstLine="564" w:firstLineChars="235"/>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bookmarkStart w:id="79" w:name="OLE_LINK2"/>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装饰工程</w:t>
      </w:r>
    </w:p>
    <w:p w14:paraId="3F3972FD">
      <w:pPr>
        <w:spacing w:line="360" w:lineRule="auto"/>
        <w:ind w:firstLine="564" w:firstLineChars="235"/>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水泥：小南海、红狮、拉法基</w:t>
      </w:r>
    </w:p>
    <w:p w14:paraId="440A44FA">
      <w:pPr>
        <w:spacing w:line="360" w:lineRule="auto"/>
        <w:ind w:firstLine="564" w:firstLineChars="235"/>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防火板、阻燃板：莫干山、腾飞、伟业</w:t>
      </w:r>
    </w:p>
    <w:p w14:paraId="37A28313">
      <w:pPr>
        <w:spacing w:line="360" w:lineRule="auto"/>
        <w:ind w:firstLine="564" w:firstLineChars="235"/>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装配式U型轻钢龙骨：龙牌、可耐福、拉法基</w:t>
      </w:r>
    </w:p>
    <w:p w14:paraId="707714E8">
      <w:pPr>
        <w:spacing w:line="360" w:lineRule="auto"/>
        <w:ind w:firstLine="564" w:firstLineChars="235"/>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防水石膏板：拉法基、可耐福、优时吉博罗</w:t>
      </w:r>
    </w:p>
    <w:p w14:paraId="35F8CBF2">
      <w:pPr>
        <w:spacing w:line="360" w:lineRule="auto"/>
        <w:ind w:firstLine="564" w:firstLineChars="235"/>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铝格栅</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吊顶：全佳、史泰博、特丽达</w:t>
      </w:r>
      <w:r>
        <w:rPr>
          <w:rFonts w:hint="eastAsia" w:ascii="宋体" w:hAnsi="宋体" w:cs="宋体"/>
          <w:color w:val="000000" w:themeColor="text1"/>
          <w:kern w:val="2"/>
          <w:sz w:val="24"/>
          <w:szCs w:val="24"/>
          <w:highlight w:val="none"/>
          <w:lang w:val="zh-CN" w:eastAsia="zh-CN" w:bidi="ar-SA"/>
          <w14:textFill>
            <w14:solidFill>
              <w14:schemeClr w14:val="tx1"/>
            </w14:solidFill>
          </w14:textFill>
        </w:rPr>
        <w:t>、雪君</w:t>
      </w:r>
    </w:p>
    <w:p w14:paraId="3E827AE1">
      <w:pPr>
        <w:spacing w:line="360" w:lineRule="auto"/>
        <w:ind w:firstLine="564" w:firstLineChars="235"/>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防水乳胶漆：立邦、多乐士5合1/ICI、华润</w:t>
      </w:r>
    </w:p>
    <w:p w14:paraId="62BCEF80">
      <w:pPr>
        <w:spacing w:line="360" w:lineRule="auto"/>
        <w:ind w:firstLine="564" w:firstLineChars="235"/>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门：优格、美心、欧派</w:t>
      </w:r>
    </w:p>
    <w:p w14:paraId="0B33637D">
      <w:pPr>
        <w:spacing w:line="360" w:lineRule="auto"/>
        <w:ind w:firstLine="564" w:firstLineChars="235"/>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门锁、闭门器：海福乐、伊可夫、多灵</w:t>
      </w:r>
    </w:p>
    <w:p w14:paraId="2D1BAAA1">
      <w:pPr>
        <w:spacing w:line="360" w:lineRule="auto"/>
        <w:ind w:firstLine="564" w:firstLineChars="235"/>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涂膜防水：德高、劳亚尔、汉高</w:t>
      </w:r>
    </w:p>
    <w:p w14:paraId="06E4853A">
      <w:pPr>
        <w:spacing w:line="360" w:lineRule="auto"/>
        <w:ind w:firstLine="564" w:firstLineChars="235"/>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电气工程</w:t>
      </w:r>
    </w:p>
    <w:p w14:paraId="5E13A711">
      <w:pPr>
        <w:spacing w:line="360" w:lineRule="auto"/>
        <w:ind w:firstLine="564" w:firstLineChars="235"/>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插座、开关：西蒙、西</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门子、ABB</w:t>
      </w:r>
    </w:p>
    <w:p w14:paraId="066E8BA7">
      <w:pPr>
        <w:spacing w:line="360" w:lineRule="auto"/>
        <w:ind w:firstLine="564" w:firstLineChars="235"/>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灯具：松下、飞利浦、雷士</w:t>
      </w:r>
    </w:p>
    <w:p w14:paraId="297CB9E5">
      <w:pPr>
        <w:spacing w:line="360" w:lineRule="auto"/>
        <w:ind w:firstLine="564" w:firstLineChars="235"/>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电线：泰山、南方、鸽牌</w:t>
      </w:r>
    </w:p>
    <w:p w14:paraId="717BCC67">
      <w:pPr>
        <w:spacing w:line="360" w:lineRule="auto"/>
        <w:ind w:firstLine="564" w:firstLineChars="235"/>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给/排水管：金牛、顾地、伟星</w:t>
      </w:r>
    </w:p>
    <w:bookmarkEnd w:id="79"/>
    <w:p w14:paraId="7E09BA88">
      <w:pPr>
        <w:spacing w:line="360" w:lineRule="auto"/>
        <w:ind w:firstLine="564" w:firstLineChars="235"/>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（3）成交供应商</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应自行前往项目实施区域进行必要的现场踏勘，以充分了解工地位置、区内及周边状况、道路通行、堆弃与装卸限制以及区域内及周边可能存在的地上（下）构（建）筑物、道路、各类管网（线）的保护、迁移、临时转接等任何足以影响承包价格的因素，任何因忽视或误解工地情况而导致的索赔或工期延长申请均将不被批准。</w:t>
      </w:r>
    </w:p>
    <w:p w14:paraId="753747D7">
      <w:pPr>
        <w:spacing w:line="360" w:lineRule="auto"/>
        <w:ind w:firstLine="564" w:firstLineChars="235"/>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竞标范围外的设备进场安装，成交供应商应全力配合，所需配合费用（吊顶开孔</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等</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）包含在</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比选</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报价中，中标后不作调整。</w:t>
      </w:r>
    </w:p>
    <w:p w14:paraId="0826B7D2">
      <w:pPr>
        <w:spacing w:line="360" w:lineRule="auto"/>
        <w:ind w:firstLine="564" w:firstLineChars="235"/>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（5）本工程拆除时，应保证其余区域的正常使用，此费用包含在响应报价中，中标后不作调整。</w:t>
      </w:r>
    </w:p>
    <w:p w14:paraId="1B6A9357">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outlineLvl w:val="1"/>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本工程弃渣(弃渣种类综合考虑)场内、外运距，易撒漏物资密闭运输费用及风险由各</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供应商</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自行综合考虑。弃渣费用等全部费用均已包含在相应的工程量清单项目的综合单价当中，结算时不再调整。</w:t>
      </w:r>
    </w:p>
    <w:p w14:paraId="682AE333">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2" w:firstLineChars="200"/>
        <w:textAlignment w:val="auto"/>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六、知识产权</w:t>
      </w:r>
      <w:bookmarkEnd w:id="69"/>
      <w:bookmarkEnd w:id="70"/>
    </w:p>
    <w:p w14:paraId="0E0B7F7C">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采购人在中华人民共和国境内使用成交供应商提供的服务时免受第三方提出的侵犯其专利权或</w:t>
      </w:r>
      <w:r>
        <w:rPr>
          <w:rFonts w:hint="eastAsia" w:ascii="宋体" w:hAnsi="宋体" w:cs="宋体"/>
          <w:color w:val="000000" w:themeColor="text1"/>
          <w:sz w:val="24"/>
          <w:highlight w:val="none"/>
          <w:lang w:val="en-US" w:eastAsia="zh-CN"/>
          <w14:textFill>
            <w14:solidFill>
              <w14:schemeClr w14:val="tx1"/>
            </w14:solidFill>
          </w14:textFill>
        </w:rPr>
        <w:t>其他</w:t>
      </w:r>
      <w:r>
        <w:rPr>
          <w:rFonts w:hint="eastAsia" w:ascii="宋体" w:hAnsi="宋体" w:eastAsia="宋体" w:cs="宋体"/>
          <w:color w:val="000000" w:themeColor="text1"/>
          <w:sz w:val="24"/>
          <w:highlight w:val="none"/>
          <w:lang w:eastAsia="zh-CN"/>
          <w14:textFill>
            <w14:solidFill>
              <w14:schemeClr w14:val="tx1"/>
            </w14:solidFill>
          </w14:textFill>
        </w:rPr>
        <w:t>知识产权的起诉。如果第三方提出侵权指控，成交供应商应承担由此而引起的一切法律责任和费用。</w:t>
      </w:r>
    </w:p>
    <w:p w14:paraId="54E879A7">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本项目知识产权由采购人所有，若有需要，成交供应商应配合采购人对本项目知识产权进行保护</w:t>
      </w:r>
      <w:r>
        <w:rPr>
          <w:rFonts w:hint="eastAsia" w:ascii="宋体" w:hAnsi="宋体" w:eastAsia="宋体" w:cs="宋体"/>
          <w:color w:val="000000" w:themeColor="text1"/>
          <w:sz w:val="24"/>
          <w:highlight w:val="none"/>
          <w14:textFill>
            <w14:solidFill>
              <w14:schemeClr w14:val="tx1"/>
            </w14:solidFill>
          </w14:textFill>
        </w:rPr>
        <w:t>。</w:t>
      </w:r>
    </w:p>
    <w:p w14:paraId="06F64F1B">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2" w:firstLineChars="200"/>
        <w:textAlignment w:val="auto"/>
        <w:outlineLvl w:val="1"/>
        <w:rPr>
          <w:rFonts w:hint="eastAsia" w:ascii="宋体" w:hAnsi="宋体" w:cs="宋体"/>
          <w:b/>
          <w:bCs/>
          <w:color w:val="000000" w:themeColor="text1"/>
          <w:sz w:val="24"/>
          <w:highlight w:val="none"/>
          <w:lang w:val="en-US" w:eastAsia="zh-CN"/>
          <w14:textFill>
            <w14:solidFill>
              <w14:schemeClr w14:val="tx1"/>
            </w14:solidFill>
          </w14:textFill>
        </w:rPr>
      </w:pPr>
      <w:bookmarkStart w:id="80" w:name="_Toc27659"/>
      <w:bookmarkStart w:id="81" w:name="_Toc6970"/>
      <w:bookmarkStart w:id="82" w:name="_Toc3205"/>
      <w:bookmarkStart w:id="83" w:name="_Toc16123"/>
      <w:bookmarkStart w:id="84" w:name="_Toc25971"/>
      <w:bookmarkStart w:id="85" w:name="_Toc23973"/>
      <w:bookmarkStart w:id="86" w:name="_Toc26309"/>
      <w:bookmarkStart w:id="87" w:name="_Toc1497"/>
      <w:bookmarkStart w:id="88" w:name="_Toc342913394"/>
      <w:bookmarkStart w:id="89" w:name="_Toc4071"/>
      <w:bookmarkStart w:id="90" w:name="_Toc14239"/>
      <w:bookmarkStart w:id="91" w:name="_Toc28903"/>
      <w:bookmarkStart w:id="92" w:name="_Toc8983"/>
      <w:bookmarkStart w:id="93" w:name="_Toc27081"/>
      <w:bookmarkStart w:id="94" w:name="_Toc65660349"/>
      <w:bookmarkStart w:id="95" w:name="_Toc106034789"/>
      <w:bookmarkStart w:id="96" w:name="_Toc14564"/>
      <w:bookmarkStart w:id="97" w:name="_Toc5266"/>
      <w:bookmarkStart w:id="98" w:name="_Toc28360"/>
      <w:bookmarkStart w:id="99" w:name="_Toc20541"/>
      <w:bookmarkStart w:id="100" w:name="_Toc5277"/>
      <w:bookmarkStart w:id="101" w:name="_Toc29755"/>
      <w:bookmarkStart w:id="102" w:name="_Toc21859"/>
      <w:bookmarkStart w:id="103" w:name="_Toc24195"/>
      <w:bookmarkStart w:id="104" w:name="_Toc102227320"/>
      <w:bookmarkStart w:id="105" w:name="_Toc12641"/>
      <w:bookmarkStart w:id="106" w:name="_Toc31282"/>
      <w:bookmarkStart w:id="107" w:name="_Toc75793518"/>
      <w:r>
        <w:rPr>
          <w:rFonts w:hint="eastAsia" w:ascii="宋体" w:hAnsi="宋体" w:cs="宋体"/>
          <w:b/>
          <w:bCs/>
          <w:color w:val="000000" w:themeColor="text1"/>
          <w:sz w:val="24"/>
          <w:highlight w:val="none"/>
          <w:lang w:val="en-US" w:eastAsia="zh-CN"/>
          <w14:textFill>
            <w14:solidFill>
              <w14:schemeClr w14:val="tx1"/>
            </w14:solidFill>
          </w14:textFill>
        </w:rPr>
        <w:t>七、其他</w:t>
      </w:r>
      <w:bookmarkEnd w:id="80"/>
      <w:bookmarkEnd w:id="81"/>
      <w:bookmarkEnd w:id="82"/>
    </w:p>
    <w:p w14:paraId="13A30967">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1.供应商必须在响应文件中对以上条款和服务承诺明确列出，承诺内容必须达到本篇及</w:t>
      </w:r>
      <w:r>
        <w:rPr>
          <w:rFonts w:hint="eastAsia" w:ascii="宋体" w:hAnsi="宋体" w:cs="宋体"/>
          <w:color w:val="000000" w:themeColor="text1"/>
          <w:sz w:val="24"/>
          <w:highlight w:val="none"/>
          <w:lang w:val="en-US" w:eastAsia="zh-CN"/>
          <w14:textFill>
            <w14:solidFill>
              <w14:schemeClr w14:val="tx1"/>
            </w14:solidFill>
          </w14:textFill>
        </w:rPr>
        <w:t>比选</w:t>
      </w:r>
      <w:r>
        <w:rPr>
          <w:rFonts w:hint="eastAsia" w:ascii="宋体" w:hAnsi="宋体" w:eastAsia="宋体" w:cs="宋体"/>
          <w:color w:val="000000" w:themeColor="text1"/>
          <w:sz w:val="24"/>
          <w:highlight w:val="none"/>
          <w:lang w:val="en-US" w:eastAsia="zh-CN"/>
          <w14:textFill>
            <w14:solidFill>
              <w14:schemeClr w14:val="tx1"/>
            </w14:solidFill>
          </w14:textFill>
        </w:rPr>
        <w:t>文件其他条款的要求。</w:t>
      </w:r>
    </w:p>
    <w:p w14:paraId="18046BFF">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2.其他未尽事宜由供需双方在采购合同中详细约定。</w:t>
      </w:r>
    </w:p>
    <w:p w14:paraId="29AB8F1D">
      <w:pPr>
        <w:pStyle w:val="4"/>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500" w:lineRule="exact"/>
        <w:jc w:val="center"/>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highlight w:val="none"/>
          <w:lang w:val="en-US" w:eastAsia="zh-CN"/>
        </w:rPr>
        <w:br w:type="page"/>
      </w:r>
      <w:bookmarkStart w:id="108" w:name="_Toc2487"/>
      <w:bookmarkStart w:id="109" w:name="_Toc24966"/>
      <w:bookmarkStart w:id="110" w:name="_Toc15693"/>
      <w:bookmarkStart w:id="111" w:name="_Toc3339"/>
      <w:bookmarkStart w:id="112" w:name="_Toc30067"/>
      <w:bookmarkStart w:id="113" w:name="_Toc25903"/>
      <w:bookmarkStart w:id="114" w:name="_Toc23377"/>
      <w:bookmarkStart w:id="115" w:name="_Toc75793517"/>
      <w:bookmarkStart w:id="116" w:name="_Toc25165"/>
      <w:bookmarkStart w:id="117" w:name="_Toc2406"/>
      <w:bookmarkStart w:id="118" w:name="_Toc22763"/>
      <w:bookmarkStart w:id="119" w:name="_Toc15186"/>
      <w:bookmarkStart w:id="120" w:name="_Toc11875"/>
      <w:bookmarkStart w:id="121" w:name="_Toc25911"/>
      <w:bookmarkStart w:id="122" w:name="_Toc26986"/>
      <w:bookmarkStart w:id="123" w:name="_Toc106030393"/>
      <w:bookmarkStart w:id="124" w:name="_Toc8133"/>
      <w:r>
        <w:rPr>
          <w:rFonts w:hint="eastAsia" w:ascii="宋体" w:hAnsi="宋体" w:eastAsia="宋体" w:cs="宋体"/>
          <w:b/>
          <w:bCs/>
          <w:color w:val="000000" w:themeColor="text1"/>
          <w:sz w:val="36"/>
          <w:szCs w:val="36"/>
          <w:highlight w:val="none"/>
          <w:lang w:val="en-US" w:eastAsia="zh-CN"/>
          <w14:textFill>
            <w14:solidFill>
              <w14:schemeClr w14:val="tx1"/>
            </w14:solidFill>
          </w14:textFill>
        </w:rPr>
        <w:t>第四篇  资格审查及评标办法</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Start w:id="125" w:name="_Toc24988"/>
      <w:bookmarkStart w:id="126" w:name="_Toc106030394"/>
    </w:p>
    <w:p w14:paraId="496C8BCC">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2" w:firstLineChars="200"/>
        <w:textAlignment w:val="auto"/>
        <w:outlineLvl w:val="1"/>
        <w:rPr>
          <w:rFonts w:hint="eastAsia" w:ascii="宋体" w:hAnsi="宋体" w:eastAsia="宋体" w:cs="宋体"/>
          <w:b/>
          <w:color w:val="000000" w:themeColor="text1"/>
          <w:sz w:val="24"/>
          <w:highlight w:val="none"/>
          <w14:textFill>
            <w14:solidFill>
              <w14:schemeClr w14:val="tx1"/>
            </w14:solidFill>
          </w14:textFill>
        </w:rPr>
      </w:pPr>
      <w:bookmarkStart w:id="127" w:name="_Toc30409"/>
      <w:bookmarkStart w:id="128" w:name="_Toc15615"/>
      <w:r>
        <w:rPr>
          <w:rFonts w:hint="eastAsia" w:ascii="宋体" w:hAnsi="宋体" w:eastAsia="宋体" w:cs="宋体"/>
          <w:b/>
          <w:color w:val="000000" w:themeColor="text1"/>
          <w:sz w:val="24"/>
          <w:highlight w:val="none"/>
          <w14:textFill>
            <w14:solidFill>
              <w14:schemeClr w14:val="tx1"/>
            </w14:solidFill>
          </w14:textFill>
        </w:rPr>
        <w:t>一、资格审查及符合性审查</w:t>
      </w:r>
      <w:bookmarkEnd w:id="125"/>
      <w:bookmarkEnd w:id="126"/>
      <w:bookmarkEnd w:id="127"/>
      <w:bookmarkEnd w:id="128"/>
    </w:p>
    <w:p w14:paraId="4098109A">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500" w:lineRule="exact"/>
        <w:ind w:firstLine="482"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lang w:bidi="ar"/>
          <w14:textFill>
            <w14:solidFill>
              <w14:schemeClr w14:val="tx1"/>
            </w14:solidFill>
          </w14:textFill>
        </w:rPr>
        <w:t>1.</w:t>
      </w:r>
      <w:r>
        <w:rPr>
          <w:rFonts w:hint="eastAsia" w:ascii="宋体" w:hAnsi="宋体" w:eastAsia="宋体" w:cs="宋体"/>
          <w:b/>
          <w:color w:val="000000" w:themeColor="text1"/>
          <w:sz w:val="24"/>
          <w:szCs w:val="24"/>
          <w:highlight w:val="none"/>
          <w:lang w:val="en-US" w:eastAsia="zh-CN"/>
          <w14:textFill>
            <w14:solidFill>
              <w14:schemeClr w14:val="tx1"/>
            </w14:solidFill>
          </w14:textFill>
        </w:rPr>
        <w:t>本项目的</w:t>
      </w:r>
      <w:r>
        <w:rPr>
          <w:rFonts w:hint="eastAsia" w:ascii="宋体" w:hAnsi="宋体" w:eastAsia="宋体" w:cs="宋体"/>
          <w:b/>
          <w:color w:val="000000" w:themeColor="text1"/>
          <w:sz w:val="24"/>
          <w:highlight w:val="none"/>
          <w:lang w:eastAsia="zh-CN" w:bidi="ar"/>
          <w14:textFill>
            <w14:solidFill>
              <w14:schemeClr w14:val="tx1"/>
            </w14:solidFill>
          </w14:textFill>
        </w:rPr>
        <w:t>比选小组</w:t>
      </w:r>
      <w:r>
        <w:rPr>
          <w:rFonts w:hint="eastAsia" w:ascii="宋体" w:hAnsi="宋体" w:eastAsia="宋体" w:cs="宋体"/>
          <w:b/>
          <w:color w:val="000000" w:themeColor="text1"/>
          <w:sz w:val="24"/>
          <w:highlight w:val="none"/>
          <w:lang w:val="en-US" w:eastAsia="zh-CN" w:bidi="ar"/>
          <w14:textFill>
            <w14:solidFill>
              <w14:schemeClr w14:val="tx1"/>
            </w14:solidFill>
          </w14:textFill>
        </w:rPr>
        <w:t>由</w:t>
      </w:r>
      <w:r>
        <w:rPr>
          <w:rFonts w:hint="eastAsia" w:ascii="宋体" w:hAnsi="宋体" w:cs="宋体"/>
          <w:b/>
          <w:color w:val="000000" w:themeColor="text1"/>
          <w:sz w:val="24"/>
          <w:highlight w:val="none"/>
          <w:lang w:val="en-US" w:eastAsia="zh-CN" w:bidi="ar"/>
          <w14:textFill>
            <w14:solidFill>
              <w14:schemeClr w14:val="tx1"/>
            </w14:solidFill>
          </w14:textFill>
        </w:rPr>
        <w:t>采购人</w:t>
      </w:r>
      <w:r>
        <w:rPr>
          <w:rFonts w:hint="eastAsia" w:ascii="宋体" w:hAnsi="宋体" w:eastAsia="宋体" w:cs="宋体"/>
          <w:b/>
          <w:color w:val="000000" w:themeColor="text1"/>
          <w:sz w:val="24"/>
          <w:highlight w:val="none"/>
          <w:lang w:val="en-US" w:eastAsia="zh-CN" w:bidi="ar"/>
          <w14:textFill>
            <w14:solidFill>
              <w14:schemeClr w14:val="tx1"/>
            </w14:solidFill>
          </w14:textFill>
        </w:rPr>
        <w:t>按规定组建</w:t>
      </w:r>
      <w:r>
        <w:rPr>
          <w:rFonts w:hint="eastAsia" w:ascii="宋体" w:hAnsi="宋体" w:eastAsia="宋体" w:cs="宋体"/>
          <w:b/>
          <w:color w:val="000000" w:themeColor="text1"/>
          <w:sz w:val="24"/>
          <w:highlight w:val="none"/>
          <w:lang w:bidi="ar"/>
          <w14:textFill>
            <w14:solidFill>
              <w14:schemeClr w14:val="tx1"/>
            </w14:solidFill>
          </w14:textFill>
        </w:rPr>
        <w:t>。</w:t>
      </w:r>
    </w:p>
    <w:p w14:paraId="7BAC0931">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2"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2.若未通过资格审查及符合性审查的</w:t>
      </w:r>
      <w:r>
        <w:rPr>
          <w:rFonts w:hint="eastAsia" w:ascii="宋体" w:hAnsi="宋体" w:cs="宋体"/>
          <w:b/>
          <w:color w:val="000000" w:themeColor="text1"/>
          <w:sz w:val="24"/>
          <w:highlight w:val="none"/>
          <w:lang w:eastAsia="zh-CN"/>
          <w14:textFill>
            <w14:solidFill>
              <w14:schemeClr w14:val="tx1"/>
            </w14:solidFill>
          </w14:textFill>
        </w:rPr>
        <w:t>响应文件</w:t>
      </w:r>
      <w:r>
        <w:rPr>
          <w:rFonts w:hint="eastAsia" w:ascii="宋体" w:hAnsi="宋体" w:eastAsia="宋体" w:cs="宋体"/>
          <w:b/>
          <w:color w:val="000000" w:themeColor="text1"/>
          <w:sz w:val="24"/>
          <w:highlight w:val="none"/>
          <w14:textFill>
            <w14:solidFill>
              <w14:schemeClr w14:val="tx1"/>
            </w14:solidFill>
          </w14:textFill>
        </w:rPr>
        <w:t>，不进入评审环节。</w:t>
      </w:r>
    </w:p>
    <w:p w14:paraId="4B5BE7E4">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500" w:lineRule="exact"/>
        <w:ind w:firstLine="482" w:firstLineChars="200"/>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（一）资格审查</w:t>
      </w:r>
    </w:p>
    <w:p w14:paraId="42844C13">
      <w:pPr>
        <w:keepNext w:val="0"/>
        <w:keepLines w:val="0"/>
        <w:pageBreakBefore w:val="0"/>
        <w:widowControl w:val="0"/>
        <w:kinsoku w:val="0"/>
        <w:wordWrap/>
        <w:topLinePunct w:val="0"/>
        <w:autoSpaceDE w:val="0"/>
        <w:autoSpaceDN w:val="0"/>
        <w:bidi w:val="0"/>
        <w:adjustRightInd w:val="0"/>
        <w:snapToGrid w:val="0"/>
        <w:spacing w:line="500" w:lineRule="exact"/>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依据采购相关法律法规规定，由</w:t>
      </w:r>
      <w:r>
        <w:rPr>
          <w:rFonts w:hint="eastAsia" w:ascii="宋体" w:hAnsi="宋体" w:eastAsia="宋体" w:cs="宋体"/>
          <w:color w:val="000000" w:themeColor="text1"/>
          <w:kern w:val="0"/>
          <w:sz w:val="24"/>
          <w:highlight w:val="none"/>
          <w:lang w:eastAsia="zh-CN"/>
          <w14:textFill>
            <w14:solidFill>
              <w14:schemeClr w14:val="tx1"/>
            </w14:solidFill>
          </w14:textFill>
        </w:rPr>
        <w:t>比选小组</w:t>
      </w:r>
      <w:r>
        <w:rPr>
          <w:rFonts w:hint="eastAsia" w:ascii="宋体" w:hAnsi="宋体" w:eastAsia="宋体" w:cs="宋体"/>
          <w:color w:val="000000" w:themeColor="text1"/>
          <w:kern w:val="0"/>
          <w:sz w:val="24"/>
          <w:highlight w:val="none"/>
          <w14:textFill>
            <w14:solidFill>
              <w14:schemeClr w14:val="tx1"/>
            </w14:solidFill>
          </w14:textFill>
        </w:rPr>
        <w:t>对</w:t>
      </w:r>
      <w:r>
        <w:rPr>
          <w:rFonts w:hint="eastAsia" w:ascii="宋体" w:hAnsi="宋体" w:cs="宋体"/>
          <w:color w:val="000000" w:themeColor="text1"/>
          <w:kern w:val="0"/>
          <w:sz w:val="24"/>
          <w:highlight w:val="none"/>
          <w:lang w:eastAsia="zh-CN"/>
          <w14:textFill>
            <w14:solidFill>
              <w14:schemeClr w14:val="tx1"/>
            </w14:solidFill>
          </w14:textFill>
        </w:rPr>
        <w:t>响应文件</w:t>
      </w:r>
      <w:r>
        <w:rPr>
          <w:rFonts w:hint="eastAsia" w:ascii="宋体" w:hAnsi="宋体" w:eastAsia="宋体" w:cs="宋体"/>
          <w:color w:val="000000" w:themeColor="text1"/>
          <w:kern w:val="0"/>
          <w:sz w:val="24"/>
          <w:highlight w:val="none"/>
          <w14:textFill>
            <w14:solidFill>
              <w14:schemeClr w14:val="tx1"/>
            </w14:solidFill>
          </w14:textFill>
        </w:rPr>
        <w:t>中的资格证明文件进行审查。资格审查资料表如下：</w:t>
      </w:r>
    </w:p>
    <w:tbl>
      <w:tblPr>
        <w:tblStyle w:val="14"/>
        <w:tblW w:w="9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63"/>
        <w:gridCol w:w="3045"/>
        <w:gridCol w:w="5025"/>
      </w:tblGrid>
      <w:tr w14:paraId="33771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7" w:type="dxa"/>
            <w:noWrap w:val="0"/>
            <w:vAlign w:val="center"/>
          </w:tcPr>
          <w:p w14:paraId="38ACAC92">
            <w:pPr>
              <w:keepNext w:val="0"/>
              <w:keepLines w:val="0"/>
              <w:pageBreakBefore w:val="0"/>
              <w:widowControl w:val="0"/>
              <w:kinsoku w:val="0"/>
              <w:wordWrap/>
              <w:overflowPunct/>
              <w:topLinePunct w:val="0"/>
              <w:autoSpaceDE w:val="0"/>
              <w:autoSpaceDN w:val="0"/>
              <w:bidi w:val="0"/>
              <w:adjustRightInd w:val="0"/>
              <w:snapToGrid w:val="0"/>
              <w:spacing w:line="500" w:lineRule="exact"/>
              <w:jc w:val="center"/>
              <w:textAlignment w:val="auto"/>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序号</w:t>
            </w:r>
          </w:p>
        </w:tc>
        <w:tc>
          <w:tcPr>
            <w:tcW w:w="3908" w:type="dxa"/>
            <w:gridSpan w:val="2"/>
            <w:noWrap w:val="0"/>
            <w:vAlign w:val="center"/>
          </w:tcPr>
          <w:p w14:paraId="25D171B3">
            <w:pPr>
              <w:keepNext w:val="0"/>
              <w:keepLines w:val="0"/>
              <w:pageBreakBefore w:val="0"/>
              <w:widowControl w:val="0"/>
              <w:kinsoku w:val="0"/>
              <w:wordWrap/>
              <w:overflowPunct/>
              <w:topLinePunct w:val="0"/>
              <w:autoSpaceDE w:val="0"/>
              <w:autoSpaceDN w:val="0"/>
              <w:bidi w:val="0"/>
              <w:adjustRightInd w:val="0"/>
              <w:snapToGrid w:val="0"/>
              <w:spacing w:line="500" w:lineRule="exact"/>
              <w:jc w:val="center"/>
              <w:textAlignment w:val="auto"/>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检查因素</w:t>
            </w:r>
          </w:p>
        </w:tc>
        <w:tc>
          <w:tcPr>
            <w:tcW w:w="5025" w:type="dxa"/>
            <w:noWrap w:val="0"/>
            <w:vAlign w:val="center"/>
          </w:tcPr>
          <w:p w14:paraId="5E2ACC04">
            <w:pPr>
              <w:keepNext w:val="0"/>
              <w:keepLines w:val="0"/>
              <w:pageBreakBefore w:val="0"/>
              <w:widowControl w:val="0"/>
              <w:kinsoku w:val="0"/>
              <w:wordWrap/>
              <w:overflowPunct/>
              <w:topLinePunct w:val="0"/>
              <w:autoSpaceDE w:val="0"/>
              <w:autoSpaceDN w:val="0"/>
              <w:bidi w:val="0"/>
              <w:adjustRightInd w:val="0"/>
              <w:snapToGrid w:val="0"/>
              <w:spacing w:line="500" w:lineRule="exact"/>
              <w:jc w:val="center"/>
              <w:textAlignment w:val="auto"/>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检查内容</w:t>
            </w:r>
          </w:p>
        </w:tc>
      </w:tr>
      <w:tr w14:paraId="0EA9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4779DB6D">
            <w:pPr>
              <w:keepNext w:val="0"/>
              <w:keepLines w:val="0"/>
              <w:pageBreakBefore w:val="0"/>
              <w:widowControl w:val="0"/>
              <w:kinsoku w:val="0"/>
              <w:wordWrap/>
              <w:overflowPunct/>
              <w:topLinePunct w:val="0"/>
              <w:autoSpaceDE w:val="0"/>
              <w:autoSpaceDN w:val="0"/>
              <w:bidi w:val="0"/>
              <w:adjustRightInd w:val="0"/>
              <w:snapToGrid w:val="0"/>
              <w:spacing w:line="5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w:t>
            </w:r>
          </w:p>
        </w:tc>
        <w:tc>
          <w:tcPr>
            <w:tcW w:w="863" w:type="dxa"/>
            <w:vMerge w:val="restart"/>
            <w:noWrap w:val="0"/>
            <w:vAlign w:val="center"/>
          </w:tcPr>
          <w:p w14:paraId="29773692">
            <w:pPr>
              <w:keepNext w:val="0"/>
              <w:keepLines w:val="0"/>
              <w:pageBreakBefore w:val="0"/>
              <w:widowControl w:val="0"/>
              <w:kinsoku w:val="0"/>
              <w:wordWrap/>
              <w:overflowPunct/>
              <w:topLinePunct w:val="0"/>
              <w:autoSpaceDE w:val="0"/>
              <w:autoSpaceDN w:val="0"/>
              <w:bidi w:val="0"/>
              <w:adjustRightInd w:val="0"/>
              <w:snapToGrid w:val="0"/>
              <w:spacing w:line="500" w:lineRule="exact"/>
              <w:jc w:val="center"/>
              <w:textAlignment w:val="auto"/>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《中华人民共和国政府采购法》第二十二条规定</w:t>
            </w:r>
          </w:p>
        </w:tc>
        <w:tc>
          <w:tcPr>
            <w:tcW w:w="3045" w:type="dxa"/>
            <w:noWrap w:val="0"/>
            <w:vAlign w:val="center"/>
          </w:tcPr>
          <w:p w14:paraId="034231E2">
            <w:pPr>
              <w:keepNext w:val="0"/>
              <w:keepLines w:val="0"/>
              <w:pageBreakBefore w:val="0"/>
              <w:widowControl w:val="0"/>
              <w:kinsoku w:val="0"/>
              <w:wordWrap/>
              <w:overflowPunct/>
              <w:topLinePunct w:val="0"/>
              <w:autoSpaceDE w:val="0"/>
              <w:autoSpaceDN w:val="0"/>
              <w:bidi w:val="0"/>
              <w:adjustRightInd w:val="0"/>
              <w:snapToGrid w:val="0"/>
              <w:spacing w:line="500" w:lineRule="exact"/>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1.具有独立承担民事责任的能力</w:t>
            </w:r>
          </w:p>
        </w:tc>
        <w:tc>
          <w:tcPr>
            <w:tcW w:w="5025" w:type="dxa"/>
            <w:noWrap w:val="0"/>
            <w:vAlign w:val="center"/>
          </w:tcPr>
          <w:p w14:paraId="4F847F2D">
            <w:pPr>
              <w:keepNext w:val="0"/>
              <w:keepLines w:val="0"/>
              <w:pageBreakBefore w:val="0"/>
              <w:widowControl w:val="0"/>
              <w:kinsoku w:val="0"/>
              <w:wordWrap/>
              <w:overflowPunct/>
              <w:topLinePunct w:val="0"/>
              <w:autoSpaceDE w:val="0"/>
              <w:autoSpaceDN w:val="0"/>
              <w:bidi w:val="0"/>
              <w:adjustRightInd w:val="0"/>
              <w:snapToGrid w:val="0"/>
              <w:spacing w:line="500" w:lineRule="exact"/>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法人营业执照（副本）或事业单位法人证书（副本）或个体工商户营业执照或有效的自然人身份证明或社会团体法人登记证书（提供复印件）。</w:t>
            </w:r>
          </w:p>
          <w:p w14:paraId="5F87F250">
            <w:pPr>
              <w:keepNext w:val="0"/>
              <w:keepLines w:val="0"/>
              <w:pageBreakBefore w:val="0"/>
              <w:widowControl w:val="0"/>
              <w:kinsoku w:val="0"/>
              <w:wordWrap/>
              <w:overflowPunct/>
              <w:topLinePunct w:val="0"/>
              <w:autoSpaceDE w:val="0"/>
              <w:autoSpaceDN w:val="0"/>
              <w:bidi w:val="0"/>
              <w:adjustRightInd w:val="0"/>
              <w:snapToGrid w:val="0"/>
              <w:spacing w:line="500" w:lineRule="exact"/>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法定代表人身份证明和法定代表人授权代表委托书。</w:t>
            </w:r>
          </w:p>
        </w:tc>
      </w:tr>
      <w:tr w14:paraId="6EF2B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2B6388FF">
            <w:pPr>
              <w:keepNext w:val="0"/>
              <w:keepLines w:val="0"/>
              <w:pageBreakBefore w:val="0"/>
              <w:widowControl w:val="0"/>
              <w:kinsoku w:val="0"/>
              <w:wordWrap/>
              <w:overflowPunct/>
              <w:topLinePunct w:val="0"/>
              <w:autoSpaceDE w:val="0"/>
              <w:autoSpaceDN w:val="0"/>
              <w:bidi w:val="0"/>
              <w:adjustRightInd w:val="0"/>
              <w:snapToGrid w:val="0"/>
              <w:spacing w:line="5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863" w:type="dxa"/>
            <w:vMerge w:val="continue"/>
            <w:noWrap w:val="0"/>
            <w:vAlign w:val="center"/>
          </w:tcPr>
          <w:p w14:paraId="5A75BB5F">
            <w:pPr>
              <w:keepNext w:val="0"/>
              <w:keepLines w:val="0"/>
              <w:pageBreakBefore w:val="0"/>
              <w:widowControl w:val="0"/>
              <w:kinsoku w:val="0"/>
              <w:wordWrap/>
              <w:overflowPunct/>
              <w:topLinePunct w:val="0"/>
              <w:autoSpaceDE w:val="0"/>
              <w:autoSpaceDN w:val="0"/>
              <w:bidi w:val="0"/>
              <w:adjustRightInd w:val="0"/>
              <w:snapToGrid w:val="0"/>
              <w:spacing w:line="500" w:lineRule="exact"/>
              <w:jc w:val="center"/>
              <w:textAlignment w:val="auto"/>
              <w:rPr>
                <w:rFonts w:hint="eastAsia" w:ascii="宋体" w:hAnsi="宋体" w:eastAsia="宋体" w:cs="宋体"/>
                <w:color w:val="000000" w:themeColor="text1"/>
                <w:szCs w:val="21"/>
                <w:highlight w:val="none"/>
                <w:lang w:val="zh-CN"/>
                <w14:textFill>
                  <w14:solidFill>
                    <w14:schemeClr w14:val="tx1"/>
                  </w14:solidFill>
                </w14:textFill>
              </w:rPr>
            </w:pPr>
          </w:p>
        </w:tc>
        <w:tc>
          <w:tcPr>
            <w:tcW w:w="3045" w:type="dxa"/>
            <w:noWrap w:val="0"/>
            <w:vAlign w:val="center"/>
          </w:tcPr>
          <w:p w14:paraId="4F8E3493">
            <w:pPr>
              <w:keepNext w:val="0"/>
              <w:keepLines w:val="0"/>
              <w:pageBreakBefore w:val="0"/>
              <w:widowControl w:val="0"/>
              <w:kinsoku w:val="0"/>
              <w:wordWrap/>
              <w:overflowPunct/>
              <w:topLinePunct w:val="0"/>
              <w:autoSpaceDE w:val="0"/>
              <w:autoSpaceDN w:val="0"/>
              <w:bidi w:val="0"/>
              <w:adjustRightInd w:val="0"/>
              <w:snapToGrid w:val="0"/>
              <w:spacing w:line="500" w:lineRule="exact"/>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具有良好的商业信誉和健全的财务会计制度</w:t>
            </w:r>
          </w:p>
        </w:tc>
        <w:tc>
          <w:tcPr>
            <w:tcW w:w="5025" w:type="dxa"/>
            <w:vMerge w:val="restart"/>
            <w:noWrap w:val="0"/>
            <w:vAlign w:val="center"/>
          </w:tcPr>
          <w:p w14:paraId="637586A2">
            <w:pPr>
              <w:keepNext w:val="0"/>
              <w:keepLines w:val="0"/>
              <w:pageBreakBefore w:val="0"/>
              <w:widowControl w:val="0"/>
              <w:kinsoku w:val="0"/>
              <w:wordWrap/>
              <w:overflowPunct/>
              <w:topLinePunct w:val="0"/>
              <w:autoSpaceDE w:val="0"/>
              <w:autoSpaceDN w:val="0"/>
              <w:bidi w:val="0"/>
              <w:adjustRightInd w:val="0"/>
              <w:snapToGrid w:val="0"/>
              <w:spacing w:line="500" w:lineRule="exact"/>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提供“基本资格条件承诺函”（格式详见第七篇）</w:t>
            </w:r>
          </w:p>
          <w:p w14:paraId="1E6D47C6">
            <w:pPr>
              <w:keepNext w:val="0"/>
              <w:keepLines w:val="0"/>
              <w:pageBreakBefore w:val="0"/>
              <w:widowControl w:val="0"/>
              <w:kinsoku w:val="0"/>
              <w:wordWrap/>
              <w:overflowPunct/>
              <w:topLinePunct w:val="0"/>
              <w:autoSpaceDE w:val="0"/>
              <w:autoSpaceDN w:val="0"/>
              <w:bidi w:val="0"/>
              <w:adjustRightInd w:val="0"/>
              <w:snapToGrid w:val="0"/>
              <w:spacing w:line="500" w:lineRule="exact"/>
              <w:jc w:val="left"/>
              <w:textAlignment w:val="auto"/>
              <w:rPr>
                <w:rFonts w:hint="eastAsia" w:ascii="宋体" w:hAnsi="宋体" w:eastAsia="宋体" w:cs="宋体"/>
                <w:b/>
                <w:color w:val="000000" w:themeColor="text1"/>
                <w:szCs w:val="21"/>
                <w:highlight w:val="none"/>
                <w14:textFill>
                  <w14:solidFill>
                    <w14:schemeClr w14:val="tx1"/>
                  </w14:solidFill>
                </w14:textFill>
              </w:rPr>
            </w:pPr>
          </w:p>
        </w:tc>
      </w:tr>
      <w:tr w14:paraId="65CB4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3D0D16C2">
            <w:pPr>
              <w:keepNext w:val="0"/>
              <w:keepLines w:val="0"/>
              <w:pageBreakBefore w:val="0"/>
              <w:widowControl w:val="0"/>
              <w:kinsoku w:val="0"/>
              <w:wordWrap/>
              <w:overflowPunct/>
              <w:topLinePunct w:val="0"/>
              <w:autoSpaceDE w:val="0"/>
              <w:autoSpaceDN w:val="0"/>
              <w:bidi w:val="0"/>
              <w:adjustRightInd w:val="0"/>
              <w:snapToGrid w:val="0"/>
              <w:spacing w:line="5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863" w:type="dxa"/>
            <w:vMerge w:val="continue"/>
            <w:noWrap w:val="0"/>
            <w:vAlign w:val="center"/>
          </w:tcPr>
          <w:p w14:paraId="4271C1BD">
            <w:pPr>
              <w:keepNext w:val="0"/>
              <w:keepLines w:val="0"/>
              <w:pageBreakBefore w:val="0"/>
              <w:widowControl w:val="0"/>
              <w:kinsoku w:val="0"/>
              <w:wordWrap/>
              <w:overflowPunct/>
              <w:topLinePunct w:val="0"/>
              <w:autoSpaceDE w:val="0"/>
              <w:autoSpaceDN w:val="0"/>
              <w:bidi w:val="0"/>
              <w:adjustRightInd w:val="0"/>
              <w:snapToGrid w:val="0"/>
              <w:spacing w:line="500" w:lineRule="exact"/>
              <w:jc w:val="center"/>
              <w:textAlignment w:val="auto"/>
              <w:rPr>
                <w:rFonts w:hint="eastAsia" w:ascii="宋体" w:hAnsi="宋体" w:eastAsia="宋体" w:cs="宋体"/>
                <w:color w:val="000000" w:themeColor="text1"/>
                <w:szCs w:val="21"/>
                <w:highlight w:val="none"/>
                <w:lang w:val="zh-CN"/>
                <w14:textFill>
                  <w14:solidFill>
                    <w14:schemeClr w14:val="tx1"/>
                  </w14:solidFill>
                </w14:textFill>
              </w:rPr>
            </w:pPr>
          </w:p>
        </w:tc>
        <w:tc>
          <w:tcPr>
            <w:tcW w:w="3045" w:type="dxa"/>
            <w:noWrap w:val="0"/>
            <w:vAlign w:val="center"/>
          </w:tcPr>
          <w:p w14:paraId="644F366C">
            <w:pPr>
              <w:keepNext w:val="0"/>
              <w:keepLines w:val="0"/>
              <w:pageBreakBefore w:val="0"/>
              <w:widowControl w:val="0"/>
              <w:kinsoku w:val="0"/>
              <w:wordWrap/>
              <w:overflowPunct/>
              <w:topLinePunct w:val="0"/>
              <w:autoSpaceDE w:val="0"/>
              <w:autoSpaceDN w:val="0"/>
              <w:bidi w:val="0"/>
              <w:adjustRightInd w:val="0"/>
              <w:snapToGrid w:val="0"/>
              <w:spacing w:line="500" w:lineRule="exact"/>
              <w:jc w:val="left"/>
              <w:textAlignment w:val="auto"/>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3.具有履行合同所必需的设备和专业技术能力</w:t>
            </w:r>
          </w:p>
        </w:tc>
        <w:tc>
          <w:tcPr>
            <w:tcW w:w="5025" w:type="dxa"/>
            <w:vMerge w:val="continue"/>
            <w:noWrap w:val="0"/>
            <w:vAlign w:val="center"/>
          </w:tcPr>
          <w:p w14:paraId="313C190D">
            <w:pPr>
              <w:keepNext w:val="0"/>
              <w:keepLines w:val="0"/>
              <w:pageBreakBefore w:val="0"/>
              <w:widowControl w:val="0"/>
              <w:kinsoku w:val="0"/>
              <w:wordWrap/>
              <w:overflowPunct/>
              <w:topLinePunct w:val="0"/>
              <w:autoSpaceDE w:val="0"/>
              <w:autoSpaceDN w:val="0"/>
              <w:bidi w:val="0"/>
              <w:adjustRightInd w:val="0"/>
              <w:snapToGrid w:val="0"/>
              <w:spacing w:line="500" w:lineRule="exact"/>
              <w:jc w:val="left"/>
              <w:textAlignment w:val="auto"/>
              <w:rPr>
                <w:rFonts w:hint="eastAsia" w:ascii="宋体" w:hAnsi="宋体" w:eastAsia="宋体" w:cs="宋体"/>
                <w:color w:val="000000" w:themeColor="text1"/>
                <w:szCs w:val="21"/>
                <w:highlight w:val="none"/>
                <w14:textFill>
                  <w14:solidFill>
                    <w14:schemeClr w14:val="tx1"/>
                  </w14:solidFill>
                </w14:textFill>
              </w:rPr>
            </w:pPr>
          </w:p>
        </w:tc>
      </w:tr>
      <w:tr w14:paraId="5887F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6C863145">
            <w:pPr>
              <w:keepNext w:val="0"/>
              <w:keepLines w:val="0"/>
              <w:pageBreakBefore w:val="0"/>
              <w:widowControl w:val="0"/>
              <w:kinsoku w:val="0"/>
              <w:wordWrap/>
              <w:overflowPunct/>
              <w:topLinePunct w:val="0"/>
              <w:autoSpaceDE w:val="0"/>
              <w:autoSpaceDN w:val="0"/>
              <w:bidi w:val="0"/>
              <w:adjustRightInd w:val="0"/>
              <w:snapToGrid w:val="0"/>
              <w:spacing w:line="5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863" w:type="dxa"/>
            <w:vMerge w:val="continue"/>
            <w:noWrap w:val="0"/>
            <w:vAlign w:val="center"/>
          </w:tcPr>
          <w:p w14:paraId="587EDF12">
            <w:pPr>
              <w:keepNext w:val="0"/>
              <w:keepLines w:val="0"/>
              <w:pageBreakBefore w:val="0"/>
              <w:widowControl w:val="0"/>
              <w:kinsoku w:val="0"/>
              <w:wordWrap/>
              <w:overflowPunct/>
              <w:topLinePunct w:val="0"/>
              <w:autoSpaceDE w:val="0"/>
              <w:autoSpaceDN w:val="0"/>
              <w:bidi w:val="0"/>
              <w:adjustRightInd w:val="0"/>
              <w:snapToGrid w:val="0"/>
              <w:spacing w:line="500" w:lineRule="exact"/>
              <w:jc w:val="center"/>
              <w:textAlignment w:val="auto"/>
              <w:rPr>
                <w:rFonts w:hint="eastAsia" w:ascii="宋体" w:hAnsi="宋体" w:eastAsia="宋体" w:cs="宋体"/>
                <w:color w:val="000000" w:themeColor="text1"/>
                <w:szCs w:val="21"/>
                <w:highlight w:val="none"/>
                <w:lang w:val="zh-CN"/>
                <w14:textFill>
                  <w14:solidFill>
                    <w14:schemeClr w14:val="tx1"/>
                  </w14:solidFill>
                </w14:textFill>
              </w:rPr>
            </w:pPr>
          </w:p>
        </w:tc>
        <w:tc>
          <w:tcPr>
            <w:tcW w:w="3045" w:type="dxa"/>
            <w:noWrap w:val="0"/>
            <w:vAlign w:val="center"/>
          </w:tcPr>
          <w:p w14:paraId="60E8E14E">
            <w:pPr>
              <w:keepNext w:val="0"/>
              <w:keepLines w:val="0"/>
              <w:pageBreakBefore w:val="0"/>
              <w:widowControl w:val="0"/>
              <w:kinsoku w:val="0"/>
              <w:wordWrap/>
              <w:overflowPunct/>
              <w:topLinePunct w:val="0"/>
              <w:autoSpaceDE w:val="0"/>
              <w:autoSpaceDN w:val="0"/>
              <w:bidi w:val="0"/>
              <w:adjustRightInd w:val="0"/>
              <w:snapToGrid w:val="0"/>
              <w:spacing w:line="500" w:lineRule="exact"/>
              <w:jc w:val="left"/>
              <w:textAlignment w:val="auto"/>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4.有依法缴纳税收和社会保障金的良好记录</w:t>
            </w:r>
          </w:p>
        </w:tc>
        <w:tc>
          <w:tcPr>
            <w:tcW w:w="5025" w:type="dxa"/>
            <w:vMerge w:val="continue"/>
            <w:noWrap w:val="0"/>
            <w:vAlign w:val="center"/>
          </w:tcPr>
          <w:p w14:paraId="2B265999">
            <w:pPr>
              <w:keepNext w:val="0"/>
              <w:keepLines w:val="0"/>
              <w:pageBreakBefore w:val="0"/>
              <w:widowControl w:val="0"/>
              <w:kinsoku w:val="0"/>
              <w:wordWrap/>
              <w:overflowPunct/>
              <w:topLinePunct w:val="0"/>
              <w:autoSpaceDE w:val="0"/>
              <w:autoSpaceDN w:val="0"/>
              <w:bidi w:val="0"/>
              <w:adjustRightInd w:val="0"/>
              <w:snapToGrid w:val="0"/>
              <w:spacing w:line="500" w:lineRule="exact"/>
              <w:jc w:val="left"/>
              <w:textAlignment w:val="auto"/>
              <w:rPr>
                <w:rFonts w:hint="eastAsia" w:ascii="宋体" w:hAnsi="宋体" w:eastAsia="宋体" w:cs="宋体"/>
                <w:color w:val="000000" w:themeColor="text1"/>
                <w:szCs w:val="21"/>
                <w:highlight w:val="none"/>
                <w14:textFill>
                  <w14:solidFill>
                    <w14:schemeClr w14:val="tx1"/>
                  </w14:solidFill>
                </w14:textFill>
              </w:rPr>
            </w:pPr>
          </w:p>
        </w:tc>
      </w:tr>
      <w:tr w14:paraId="2CDD5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389FDC85">
            <w:pPr>
              <w:keepNext w:val="0"/>
              <w:keepLines w:val="0"/>
              <w:pageBreakBefore w:val="0"/>
              <w:widowControl w:val="0"/>
              <w:kinsoku w:val="0"/>
              <w:wordWrap/>
              <w:overflowPunct/>
              <w:topLinePunct w:val="0"/>
              <w:autoSpaceDE w:val="0"/>
              <w:autoSpaceDN w:val="0"/>
              <w:bidi w:val="0"/>
              <w:adjustRightInd w:val="0"/>
              <w:snapToGrid w:val="0"/>
              <w:spacing w:line="5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863" w:type="dxa"/>
            <w:vMerge w:val="continue"/>
            <w:noWrap w:val="0"/>
            <w:vAlign w:val="center"/>
          </w:tcPr>
          <w:p w14:paraId="0CE7CB3F">
            <w:pPr>
              <w:keepNext w:val="0"/>
              <w:keepLines w:val="0"/>
              <w:pageBreakBefore w:val="0"/>
              <w:widowControl w:val="0"/>
              <w:kinsoku w:val="0"/>
              <w:wordWrap/>
              <w:overflowPunct/>
              <w:topLinePunct w:val="0"/>
              <w:autoSpaceDE w:val="0"/>
              <w:autoSpaceDN w:val="0"/>
              <w:bidi w:val="0"/>
              <w:adjustRightInd w:val="0"/>
              <w:snapToGrid w:val="0"/>
              <w:spacing w:line="500" w:lineRule="exact"/>
              <w:jc w:val="center"/>
              <w:textAlignment w:val="auto"/>
              <w:rPr>
                <w:rFonts w:hint="eastAsia" w:ascii="宋体" w:hAnsi="宋体" w:eastAsia="宋体" w:cs="宋体"/>
                <w:color w:val="000000" w:themeColor="text1"/>
                <w:szCs w:val="21"/>
                <w:highlight w:val="none"/>
                <w:lang w:val="zh-CN"/>
                <w14:textFill>
                  <w14:solidFill>
                    <w14:schemeClr w14:val="tx1"/>
                  </w14:solidFill>
                </w14:textFill>
              </w:rPr>
            </w:pPr>
          </w:p>
        </w:tc>
        <w:tc>
          <w:tcPr>
            <w:tcW w:w="3045" w:type="dxa"/>
            <w:noWrap w:val="0"/>
            <w:vAlign w:val="center"/>
          </w:tcPr>
          <w:p w14:paraId="348F39A2">
            <w:pPr>
              <w:keepNext w:val="0"/>
              <w:keepLines w:val="0"/>
              <w:pageBreakBefore w:val="0"/>
              <w:widowControl w:val="0"/>
              <w:kinsoku w:val="0"/>
              <w:wordWrap/>
              <w:overflowPunct/>
              <w:topLinePunct w:val="0"/>
              <w:autoSpaceDE w:val="0"/>
              <w:autoSpaceDN w:val="0"/>
              <w:bidi w:val="0"/>
              <w:adjustRightInd w:val="0"/>
              <w:snapToGrid w:val="0"/>
              <w:spacing w:line="500" w:lineRule="exact"/>
              <w:jc w:val="left"/>
              <w:textAlignment w:val="auto"/>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5.参加政府采购活动前三年内，在经营活动中没有重大违法记录（注</w:t>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EQ \o\ac(○,</w:instrText>
            </w:r>
            <w:r>
              <w:rPr>
                <w:rFonts w:hint="eastAsia" w:ascii="宋体" w:hAnsi="宋体" w:eastAsia="宋体" w:cs="宋体"/>
                <w:color w:val="000000" w:themeColor="text1"/>
                <w:position w:val="2"/>
                <w:sz w:val="14"/>
                <w:szCs w:val="21"/>
                <w:highlight w:val="none"/>
                <w14:textFill>
                  <w14:solidFill>
                    <w14:schemeClr w14:val="tx1"/>
                  </w14:solidFill>
                </w14:textFill>
              </w:rPr>
              <w:instrText xml:space="preserve">1</w:instrText>
            </w:r>
            <w:r>
              <w:rPr>
                <w:rFonts w:hint="eastAsia" w:ascii="宋体" w:hAnsi="宋体" w:eastAsia="宋体" w:cs="宋体"/>
                <w:color w:val="000000" w:themeColor="text1"/>
                <w:szCs w:val="21"/>
                <w:highlight w:val="none"/>
                <w14:textFill>
                  <w14:solidFill>
                    <w14:schemeClr w14:val="tx1"/>
                  </w14:solidFill>
                </w14:textFill>
              </w:rPr>
              <w:instrText xml:space="preserve">)</w:instrText>
            </w:r>
            <w:r>
              <w:rPr>
                <w:rFonts w:hint="eastAsia" w:ascii="宋体" w:hAnsi="宋体" w:eastAsia="宋体" w:cs="宋体"/>
                <w:color w:val="000000" w:themeColor="text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t>）</w:t>
            </w:r>
          </w:p>
        </w:tc>
        <w:tc>
          <w:tcPr>
            <w:tcW w:w="5025" w:type="dxa"/>
            <w:vMerge w:val="continue"/>
            <w:noWrap w:val="0"/>
            <w:vAlign w:val="center"/>
          </w:tcPr>
          <w:p w14:paraId="028A43D1">
            <w:pPr>
              <w:keepNext w:val="0"/>
              <w:keepLines w:val="0"/>
              <w:pageBreakBefore w:val="0"/>
              <w:widowControl w:val="0"/>
              <w:kinsoku w:val="0"/>
              <w:wordWrap/>
              <w:overflowPunct/>
              <w:topLinePunct w:val="0"/>
              <w:autoSpaceDE w:val="0"/>
              <w:autoSpaceDN w:val="0"/>
              <w:bidi w:val="0"/>
              <w:adjustRightInd w:val="0"/>
              <w:snapToGrid w:val="0"/>
              <w:spacing w:line="500" w:lineRule="exact"/>
              <w:jc w:val="left"/>
              <w:textAlignment w:val="auto"/>
              <w:rPr>
                <w:rFonts w:hint="eastAsia" w:ascii="宋体" w:hAnsi="宋体" w:eastAsia="宋体" w:cs="宋体"/>
                <w:b/>
                <w:color w:val="000000" w:themeColor="text1"/>
                <w:szCs w:val="21"/>
                <w:highlight w:val="none"/>
                <w14:textFill>
                  <w14:solidFill>
                    <w14:schemeClr w14:val="tx1"/>
                  </w14:solidFill>
                </w14:textFill>
              </w:rPr>
            </w:pPr>
          </w:p>
        </w:tc>
      </w:tr>
      <w:tr w14:paraId="35D01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62529E60">
            <w:pPr>
              <w:keepNext w:val="0"/>
              <w:keepLines w:val="0"/>
              <w:pageBreakBefore w:val="0"/>
              <w:widowControl w:val="0"/>
              <w:kinsoku w:val="0"/>
              <w:wordWrap/>
              <w:overflowPunct/>
              <w:topLinePunct w:val="0"/>
              <w:autoSpaceDE w:val="0"/>
              <w:autoSpaceDN w:val="0"/>
              <w:bidi w:val="0"/>
              <w:adjustRightInd w:val="0"/>
              <w:snapToGrid w:val="0"/>
              <w:spacing w:line="5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863" w:type="dxa"/>
            <w:vMerge w:val="continue"/>
            <w:noWrap w:val="0"/>
            <w:vAlign w:val="center"/>
          </w:tcPr>
          <w:p w14:paraId="3109DCFB">
            <w:pPr>
              <w:keepNext w:val="0"/>
              <w:keepLines w:val="0"/>
              <w:pageBreakBefore w:val="0"/>
              <w:widowControl w:val="0"/>
              <w:kinsoku w:val="0"/>
              <w:wordWrap/>
              <w:overflowPunct/>
              <w:topLinePunct w:val="0"/>
              <w:autoSpaceDE w:val="0"/>
              <w:autoSpaceDN w:val="0"/>
              <w:bidi w:val="0"/>
              <w:adjustRightInd w:val="0"/>
              <w:snapToGrid w:val="0"/>
              <w:spacing w:line="5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3045" w:type="dxa"/>
            <w:noWrap w:val="0"/>
            <w:vAlign w:val="center"/>
          </w:tcPr>
          <w:p w14:paraId="61D57C0E">
            <w:pPr>
              <w:keepNext w:val="0"/>
              <w:keepLines w:val="0"/>
              <w:pageBreakBefore w:val="0"/>
              <w:widowControl w:val="0"/>
              <w:kinsoku w:val="0"/>
              <w:wordWrap/>
              <w:overflowPunct/>
              <w:topLinePunct w:val="0"/>
              <w:autoSpaceDE w:val="0"/>
              <w:autoSpaceDN w:val="0"/>
              <w:bidi w:val="0"/>
              <w:adjustRightInd w:val="0"/>
              <w:snapToGrid w:val="0"/>
              <w:spacing w:line="500" w:lineRule="exact"/>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6.法律、行政法规规定的其他条件以及第一篇“六、其它有关规定”</w:t>
            </w:r>
          </w:p>
        </w:tc>
        <w:tc>
          <w:tcPr>
            <w:tcW w:w="5025" w:type="dxa"/>
            <w:vMerge w:val="continue"/>
            <w:noWrap w:val="0"/>
            <w:vAlign w:val="center"/>
          </w:tcPr>
          <w:p w14:paraId="21FBC9C5">
            <w:pPr>
              <w:keepNext w:val="0"/>
              <w:keepLines w:val="0"/>
              <w:pageBreakBefore w:val="0"/>
              <w:widowControl w:val="0"/>
              <w:kinsoku w:val="0"/>
              <w:wordWrap/>
              <w:overflowPunct/>
              <w:topLinePunct w:val="0"/>
              <w:autoSpaceDE w:val="0"/>
              <w:autoSpaceDN w:val="0"/>
              <w:bidi w:val="0"/>
              <w:adjustRightInd w:val="0"/>
              <w:snapToGrid w:val="0"/>
              <w:spacing w:line="500" w:lineRule="exact"/>
              <w:jc w:val="left"/>
              <w:textAlignment w:val="auto"/>
              <w:rPr>
                <w:rFonts w:hint="eastAsia" w:ascii="宋体" w:hAnsi="宋体" w:eastAsia="宋体" w:cs="宋体"/>
                <w:color w:val="000000" w:themeColor="text1"/>
                <w:szCs w:val="21"/>
                <w:highlight w:val="none"/>
                <w14:textFill>
                  <w14:solidFill>
                    <w14:schemeClr w14:val="tx1"/>
                  </w14:solidFill>
                </w14:textFill>
              </w:rPr>
            </w:pPr>
          </w:p>
        </w:tc>
      </w:tr>
      <w:tr w14:paraId="4DF66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79DB23C2">
            <w:pPr>
              <w:keepNext w:val="0"/>
              <w:keepLines w:val="0"/>
              <w:pageBreakBefore w:val="0"/>
              <w:widowControl w:val="0"/>
              <w:kinsoku w:val="0"/>
              <w:wordWrap/>
              <w:overflowPunct/>
              <w:topLinePunct w:val="0"/>
              <w:autoSpaceDE w:val="0"/>
              <w:autoSpaceDN w:val="0"/>
              <w:bidi w:val="0"/>
              <w:adjustRightInd w:val="0"/>
              <w:snapToGrid w:val="0"/>
              <w:spacing w:line="5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863" w:type="dxa"/>
            <w:vMerge w:val="continue"/>
            <w:noWrap w:val="0"/>
            <w:vAlign w:val="center"/>
          </w:tcPr>
          <w:p w14:paraId="34064DB4">
            <w:pPr>
              <w:keepNext w:val="0"/>
              <w:keepLines w:val="0"/>
              <w:pageBreakBefore w:val="0"/>
              <w:widowControl w:val="0"/>
              <w:kinsoku w:val="0"/>
              <w:wordWrap/>
              <w:overflowPunct/>
              <w:topLinePunct w:val="0"/>
              <w:autoSpaceDE w:val="0"/>
              <w:autoSpaceDN w:val="0"/>
              <w:bidi w:val="0"/>
              <w:adjustRightInd w:val="0"/>
              <w:snapToGrid w:val="0"/>
              <w:spacing w:line="5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3045" w:type="dxa"/>
            <w:noWrap w:val="0"/>
            <w:vAlign w:val="center"/>
          </w:tcPr>
          <w:p w14:paraId="3BF3EB09">
            <w:pPr>
              <w:keepNext w:val="0"/>
              <w:keepLines w:val="0"/>
              <w:pageBreakBefore w:val="0"/>
              <w:widowControl w:val="0"/>
              <w:kinsoku w:val="0"/>
              <w:wordWrap/>
              <w:overflowPunct/>
              <w:topLinePunct w:val="0"/>
              <w:autoSpaceDE w:val="0"/>
              <w:autoSpaceDN w:val="0"/>
              <w:bidi w:val="0"/>
              <w:adjustRightInd w:val="0"/>
              <w:snapToGrid w:val="0"/>
              <w:spacing w:line="500" w:lineRule="exact"/>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7.本项目的特定资格要求</w:t>
            </w:r>
          </w:p>
        </w:tc>
        <w:tc>
          <w:tcPr>
            <w:tcW w:w="5025" w:type="dxa"/>
            <w:noWrap w:val="0"/>
            <w:vAlign w:val="center"/>
          </w:tcPr>
          <w:p w14:paraId="08661651">
            <w:pPr>
              <w:keepNext w:val="0"/>
              <w:keepLines w:val="0"/>
              <w:pageBreakBefore w:val="0"/>
              <w:widowControl w:val="0"/>
              <w:kinsoku w:val="0"/>
              <w:wordWrap/>
              <w:overflowPunct/>
              <w:topLinePunct w:val="0"/>
              <w:autoSpaceDE w:val="0"/>
              <w:autoSpaceDN w:val="0"/>
              <w:bidi w:val="0"/>
              <w:adjustRightInd w:val="0"/>
              <w:snapToGrid w:val="0"/>
              <w:spacing w:line="500" w:lineRule="exact"/>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按第一篇“三、</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资格要求（</w:t>
            </w:r>
            <w:r>
              <w:rPr>
                <w:rFonts w:hint="eastAsia" w:ascii="宋体" w:hAnsi="宋体" w:eastAsia="宋体" w:cs="宋体"/>
                <w:color w:val="000000" w:themeColor="text1"/>
                <w:szCs w:val="21"/>
                <w:highlight w:val="none"/>
                <w:lang w:val="en-US" w:eastAsia="zh-CN"/>
                <w14:textFill>
                  <w14:solidFill>
                    <w14:schemeClr w14:val="tx1"/>
                  </w14:solidFill>
                </w14:textFill>
              </w:rPr>
              <w:t>二</w:t>
            </w:r>
            <w:r>
              <w:rPr>
                <w:rFonts w:hint="eastAsia" w:ascii="宋体" w:hAnsi="宋体" w:eastAsia="宋体" w:cs="宋体"/>
                <w:color w:val="000000" w:themeColor="text1"/>
                <w:szCs w:val="21"/>
                <w:highlight w:val="none"/>
                <w14:textFill>
                  <w14:solidFill>
                    <w14:schemeClr w14:val="tx1"/>
                  </w14:solidFill>
                </w14:textFill>
              </w:rPr>
              <w:t>）本项目的特定资格要求”的要求提交（如果有）。</w:t>
            </w:r>
          </w:p>
        </w:tc>
      </w:tr>
      <w:tr w14:paraId="4D26E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7" w:type="dxa"/>
            <w:noWrap w:val="0"/>
            <w:vAlign w:val="center"/>
          </w:tcPr>
          <w:p w14:paraId="6C9E31D5">
            <w:pPr>
              <w:keepNext w:val="0"/>
              <w:keepLines w:val="0"/>
              <w:pageBreakBefore w:val="0"/>
              <w:widowControl w:val="0"/>
              <w:kinsoku w:val="0"/>
              <w:wordWrap/>
              <w:overflowPunct/>
              <w:topLinePunct w:val="0"/>
              <w:autoSpaceDE w:val="0"/>
              <w:autoSpaceDN w:val="0"/>
              <w:bidi w:val="0"/>
              <w:adjustRightInd w:val="0"/>
              <w:snapToGrid w:val="0"/>
              <w:spacing w:line="5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w:t>
            </w:r>
          </w:p>
        </w:tc>
        <w:tc>
          <w:tcPr>
            <w:tcW w:w="3908" w:type="dxa"/>
            <w:gridSpan w:val="2"/>
            <w:noWrap w:val="0"/>
            <w:vAlign w:val="center"/>
          </w:tcPr>
          <w:p w14:paraId="4503F387">
            <w:pPr>
              <w:keepNext w:val="0"/>
              <w:keepLines w:val="0"/>
              <w:pageBreakBefore w:val="0"/>
              <w:widowControl w:val="0"/>
              <w:kinsoku w:val="0"/>
              <w:wordWrap/>
              <w:overflowPunct/>
              <w:topLinePunct w:val="0"/>
              <w:autoSpaceDE w:val="0"/>
              <w:autoSpaceDN w:val="0"/>
              <w:bidi w:val="0"/>
              <w:adjustRightInd w:val="0"/>
              <w:snapToGrid w:val="0"/>
              <w:spacing w:line="5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比选保证金</w:t>
            </w:r>
          </w:p>
        </w:tc>
        <w:tc>
          <w:tcPr>
            <w:tcW w:w="5025" w:type="dxa"/>
            <w:noWrap w:val="0"/>
            <w:vAlign w:val="center"/>
          </w:tcPr>
          <w:p w14:paraId="389066DD">
            <w:pPr>
              <w:keepNext w:val="0"/>
              <w:keepLines w:val="0"/>
              <w:pageBreakBefore w:val="0"/>
              <w:widowControl w:val="0"/>
              <w:kinsoku w:val="0"/>
              <w:wordWrap/>
              <w:overflowPunct/>
              <w:topLinePunct w:val="0"/>
              <w:autoSpaceDE w:val="0"/>
              <w:autoSpaceDN w:val="0"/>
              <w:bidi w:val="0"/>
              <w:adjustRightInd w:val="0"/>
              <w:snapToGrid w:val="0"/>
              <w:spacing w:line="500" w:lineRule="exact"/>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按照比选文件要求足额交纳所投包的比选保证金。</w:t>
            </w:r>
          </w:p>
        </w:tc>
      </w:tr>
    </w:tbl>
    <w:p w14:paraId="3BBE523E">
      <w:pPr>
        <w:keepNext w:val="0"/>
        <w:keepLines w:val="0"/>
        <w:pageBreakBefore w:val="0"/>
        <w:widowControl w:val="0"/>
        <w:kinsoku w:val="0"/>
        <w:wordWrap/>
        <w:topLinePunct w:val="0"/>
        <w:autoSpaceDE w:val="0"/>
        <w:autoSpaceDN w:val="0"/>
        <w:bidi w:val="0"/>
        <w:adjustRightInd w:val="0"/>
        <w:snapToGrid w:val="0"/>
        <w:spacing w:line="500" w:lineRule="exact"/>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注：</w:t>
      </w:r>
    </w:p>
    <w:p w14:paraId="373BBD24">
      <w:pPr>
        <w:keepNext w:val="0"/>
        <w:keepLines w:val="0"/>
        <w:pageBreakBefore w:val="0"/>
        <w:widowControl w:val="0"/>
        <w:kinsoku w:val="0"/>
        <w:wordWrap/>
        <w:topLinePunct w:val="0"/>
        <w:autoSpaceDE w:val="0"/>
        <w:autoSpaceDN w:val="0"/>
        <w:bidi w:val="0"/>
        <w:adjustRightInd w:val="0"/>
        <w:snapToGrid w:val="0"/>
        <w:spacing w:line="500" w:lineRule="exact"/>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fldChar w:fldCharType="begin"/>
      </w:r>
      <w:r>
        <w:rPr>
          <w:rFonts w:hint="eastAsia" w:ascii="宋体" w:hAnsi="宋体" w:eastAsia="宋体" w:cs="宋体"/>
          <w:color w:val="000000" w:themeColor="text1"/>
          <w:kern w:val="0"/>
          <w:sz w:val="24"/>
          <w:highlight w:val="none"/>
          <w14:textFill>
            <w14:solidFill>
              <w14:schemeClr w14:val="tx1"/>
            </w14:solidFill>
          </w14:textFill>
        </w:rPr>
        <w:instrText xml:space="preserve"> eq \o\ac(○,</w:instrText>
      </w:r>
      <w:r>
        <w:rPr>
          <w:rFonts w:hint="eastAsia" w:ascii="宋体" w:hAnsi="宋体" w:eastAsia="宋体" w:cs="宋体"/>
          <w:color w:val="000000" w:themeColor="text1"/>
          <w:kern w:val="0"/>
          <w:position w:val="3"/>
          <w:sz w:val="16"/>
          <w:highlight w:val="none"/>
          <w14:textFill>
            <w14:solidFill>
              <w14:schemeClr w14:val="tx1"/>
            </w14:solidFill>
          </w14:textFill>
        </w:rPr>
        <w:instrText xml:space="preserve">1</w:instrText>
      </w:r>
      <w:r>
        <w:rPr>
          <w:rFonts w:hint="eastAsia" w:ascii="宋体" w:hAnsi="宋体" w:eastAsia="宋体" w:cs="宋体"/>
          <w:color w:val="000000" w:themeColor="text1"/>
          <w:kern w:val="0"/>
          <w:sz w:val="24"/>
          <w:highlight w:val="none"/>
          <w14:textFill>
            <w14:solidFill>
              <w14:schemeClr w14:val="tx1"/>
            </w14:solidFill>
          </w14:textFill>
        </w:rPr>
        <w:instrText xml:space="preserve">)</w:instrText>
      </w:r>
      <w:r>
        <w:rPr>
          <w:rFonts w:hint="eastAsia" w:ascii="宋体" w:hAnsi="宋体" w:eastAsia="宋体" w:cs="宋体"/>
          <w:color w:val="000000" w:themeColor="text1"/>
          <w:kern w:val="0"/>
          <w:sz w:val="24"/>
          <w:highlight w:val="none"/>
          <w14:textFill>
            <w14:solidFill>
              <w14:schemeClr w14:val="tx1"/>
            </w14:solidFill>
          </w14:textFill>
        </w:rPr>
        <w:fldChar w:fldCharType="end"/>
      </w:r>
      <w:r>
        <w:rPr>
          <w:rFonts w:hint="eastAsia" w:ascii="宋体" w:hAnsi="宋体" w:eastAsia="宋体" w:cs="宋体"/>
          <w:color w:val="000000" w:themeColor="text1"/>
          <w:kern w:val="0"/>
          <w:sz w:val="24"/>
          <w:highlight w:val="none"/>
          <w14:textFill>
            <w14:solidFill>
              <w14:schemeClr w14:val="tx1"/>
            </w14:solidFill>
          </w14:textFill>
        </w:rPr>
        <w:t>根据《中华人民共和国政府采购法实施条例》第十九条“参加政府采购活动前三年内，在经营活动中没有重大违法记录”中“重大违法记录”，是指</w:t>
      </w:r>
      <w:r>
        <w:rPr>
          <w:rFonts w:hint="eastAsia" w:ascii="宋体" w:hAnsi="宋体" w:cs="宋体"/>
          <w:color w:val="000000" w:themeColor="text1"/>
          <w:kern w:val="0"/>
          <w:sz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highlight w:val="none"/>
          <w14:textFill>
            <w14:solidFill>
              <w14:schemeClr w14:val="tx1"/>
            </w14:solidFill>
          </w14:textFill>
        </w:rPr>
        <w:t>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w:t>
      </w:r>
      <w:r>
        <w:rPr>
          <w:rFonts w:hint="eastAsia" w:ascii="宋体" w:hAnsi="宋体" w:cs="宋体"/>
          <w:color w:val="000000" w:themeColor="text1"/>
          <w:kern w:val="0"/>
          <w:sz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highlight w:val="none"/>
          <w14:textFill>
            <w14:solidFill>
              <w14:schemeClr w14:val="tx1"/>
            </w14:solidFill>
          </w14:textFill>
        </w:rPr>
        <w:t>可于投标截止日期前通过 “信用中国”网站(www.creditchina.gov.cn)、"中国政府采购网"(www.ccgp.gov.cn)等渠道查询信用记录。</w:t>
      </w:r>
    </w:p>
    <w:p w14:paraId="112292F1">
      <w:pPr>
        <w:keepNext w:val="0"/>
        <w:keepLines w:val="0"/>
        <w:pageBreakBefore w:val="0"/>
        <w:widowControl w:val="0"/>
        <w:kinsoku w:val="0"/>
        <w:wordWrap/>
        <w:topLinePunct w:val="0"/>
        <w:autoSpaceDE w:val="0"/>
        <w:autoSpaceDN w:val="0"/>
        <w:bidi w:val="0"/>
        <w:adjustRightInd w:val="0"/>
        <w:snapToGrid w:val="0"/>
        <w:spacing w:line="500" w:lineRule="exact"/>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w:t>
      </w:r>
      <w:r>
        <w:rPr>
          <w:rFonts w:hint="eastAsia" w:ascii="宋体" w:hAnsi="宋体" w:eastAsia="宋体" w:cs="宋体"/>
          <w:b/>
          <w:color w:val="000000" w:themeColor="text1"/>
          <w:kern w:val="0"/>
          <w:sz w:val="24"/>
          <w:highlight w:val="none"/>
          <w14:textFill>
            <w14:solidFill>
              <w14:schemeClr w14:val="tx1"/>
            </w14:solidFill>
          </w14:textFill>
        </w:rPr>
        <w:t>二</w:t>
      </w:r>
      <w:r>
        <w:rPr>
          <w:rFonts w:hint="eastAsia" w:ascii="宋体" w:hAnsi="宋体" w:eastAsia="宋体" w:cs="宋体"/>
          <w:color w:val="000000" w:themeColor="text1"/>
          <w:kern w:val="0"/>
          <w:sz w:val="24"/>
          <w:highlight w:val="none"/>
          <w14:textFill>
            <w14:solidFill>
              <w14:schemeClr w14:val="tx1"/>
            </w14:solidFill>
          </w14:textFill>
        </w:rPr>
        <w:t>）符合性审查</w:t>
      </w:r>
    </w:p>
    <w:p w14:paraId="2566129E">
      <w:pPr>
        <w:keepNext w:val="0"/>
        <w:keepLines w:val="0"/>
        <w:pageBreakBefore w:val="0"/>
        <w:widowControl w:val="0"/>
        <w:kinsoku w:val="0"/>
        <w:wordWrap/>
        <w:topLinePunct w:val="0"/>
        <w:autoSpaceDE w:val="0"/>
        <w:autoSpaceDN w:val="0"/>
        <w:bidi w:val="0"/>
        <w:adjustRightInd w:val="0"/>
        <w:snapToGrid w:val="0"/>
        <w:spacing w:line="500" w:lineRule="exact"/>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比选小组</w:t>
      </w:r>
      <w:r>
        <w:rPr>
          <w:rFonts w:hint="eastAsia" w:ascii="宋体" w:hAnsi="宋体" w:eastAsia="宋体" w:cs="宋体"/>
          <w:color w:val="000000" w:themeColor="text1"/>
          <w:kern w:val="0"/>
          <w:sz w:val="24"/>
          <w:highlight w:val="none"/>
          <w14:textFill>
            <w14:solidFill>
              <w14:schemeClr w14:val="tx1"/>
            </w14:solidFill>
          </w14:textFill>
        </w:rPr>
        <w:t>应当对符合资格的</w:t>
      </w:r>
      <w:r>
        <w:rPr>
          <w:rFonts w:hint="eastAsia" w:ascii="宋体" w:hAnsi="宋体" w:cs="宋体"/>
          <w:color w:val="000000" w:themeColor="text1"/>
          <w:kern w:val="0"/>
          <w:sz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highlight w:val="none"/>
          <w14:textFill>
            <w14:solidFill>
              <w14:schemeClr w14:val="tx1"/>
            </w14:solidFill>
          </w14:textFill>
        </w:rPr>
        <w:t>的</w:t>
      </w:r>
      <w:r>
        <w:rPr>
          <w:rFonts w:hint="eastAsia" w:ascii="宋体" w:hAnsi="宋体" w:cs="宋体"/>
          <w:color w:val="000000" w:themeColor="text1"/>
          <w:kern w:val="0"/>
          <w:sz w:val="24"/>
          <w:highlight w:val="none"/>
          <w:lang w:eastAsia="zh-CN"/>
          <w14:textFill>
            <w14:solidFill>
              <w14:schemeClr w14:val="tx1"/>
            </w14:solidFill>
          </w14:textFill>
        </w:rPr>
        <w:t>响应文件</w:t>
      </w:r>
      <w:r>
        <w:rPr>
          <w:rFonts w:hint="eastAsia" w:ascii="宋体" w:hAnsi="宋体" w:eastAsia="宋体" w:cs="宋体"/>
          <w:color w:val="000000" w:themeColor="text1"/>
          <w:kern w:val="0"/>
          <w:sz w:val="24"/>
          <w:highlight w:val="none"/>
          <w14:textFill>
            <w14:solidFill>
              <w14:schemeClr w14:val="tx1"/>
            </w14:solidFill>
          </w14:textFill>
        </w:rPr>
        <w:t>进行符合性审查，以确定其是否满足比选文件的实质性要求。符合性审查资料表如下：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1575"/>
        <w:gridCol w:w="1980"/>
        <w:gridCol w:w="5295"/>
      </w:tblGrid>
      <w:tr w14:paraId="04ACC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005" w:type="dxa"/>
            <w:noWrap w:val="0"/>
            <w:vAlign w:val="center"/>
          </w:tcPr>
          <w:p w14:paraId="36795120">
            <w:pPr>
              <w:keepNext w:val="0"/>
              <w:keepLines w:val="0"/>
              <w:pageBreakBefore w:val="0"/>
              <w:widowControl w:val="0"/>
              <w:kinsoku w:val="0"/>
              <w:wordWrap/>
              <w:overflowPunct/>
              <w:topLinePunct w:val="0"/>
              <w:autoSpaceDE w:val="0"/>
              <w:autoSpaceDN w:val="0"/>
              <w:bidi w:val="0"/>
              <w:adjustRightInd w:val="0"/>
              <w:snapToGrid w:val="0"/>
              <w:spacing w:line="500" w:lineRule="exact"/>
              <w:textAlignment w:val="auto"/>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br w:type="page"/>
            </w:r>
            <w:r>
              <w:rPr>
                <w:rFonts w:hint="eastAsia" w:ascii="宋体" w:hAnsi="宋体" w:eastAsia="宋体" w:cs="宋体"/>
                <w:b/>
                <w:color w:val="000000" w:themeColor="text1"/>
                <w:kern w:val="0"/>
                <w:sz w:val="24"/>
                <w:szCs w:val="24"/>
                <w:highlight w:val="none"/>
                <w14:textFill>
                  <w14:solidFill>
                    <w14:schemeClr w14:val="tx1"/>
                  </w14:solidFill>
                </w14:textFill>
              </w:rPr>
              <w:t>序号</w:t>
            </w:r>
          </w:p>
        </w:tc>
        <w:tc>
          <w:tcPr>
            <w:tcW w:w="3555" w:type="dxa"/>
            <w:gridSpan w:val="2"/>
            <w:noWrap w:val="0"/>
            <w:vAlign w:val="center"/>
          </w:tcPr>
          <w:p w14:paraId="507989E3">
            <w:pPr>
              <w:keepNext w:val="0"/>
              <w:keepLines w:val="0"/>
              <w:pageBreakBefore w:val="0"/>
              <w:widowControl w:val="0"/>
              <w:kinsoku w:val="0"/>
              <w:wordWrap/>
              <w:overflowPunct/>
              <w:topLinePunct w:val="0"/>
              <w:autoSpaceDE w:val="0"/>
              <w:autoSpaceDN w:val="0"/>
              <w:bidi w:val="0"/>
              <w:adjustRightInd w:val="0"/>
              <w:snapToGrid w:val="0"/>
              <w:spacing w:line="500" w:lineRule="exact"/>
              <w:jc w:val="center"/>
              <w:textAlignment w:val="auto"/>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评审因素</w:t>
            </w:r>
          </w:p>
        </w:tc>
        <w:tc>
          <w:tcPr>
            <w:tcW w:w="5295" w:type="dxa"/>
            <w:noWrap w:val="0"/>
            <w:vAlign w:val="center"/>
          </w:tcPr>
          <w:p w14:paraId="1A8A2E25">
            <w:pPr>
              <w:keepNext w:val="0"/>
              <w:keepLines w:val="0"/>
              <w:pageBreakBefore w:val="0"/>
              <w:widowControl w:val="0"/>
              <w:kinsoku w:val="0"/>
              <w:wordWrap/>
              <w:overflowPunct/>
              <w:topLinePunct w:val="0"/>
              <w:autoSpaceDE w:val="0"/>
              <w:autoSpaceDN w:val="0"/>
              <w:bidi w:val="0"/>
              <w:adjustRightInd w:val="0"/>
              <w:snapToGrid w:val="0"/>
              <w:spacing w:line="500" w:lineRule="exact"/>
              <w:jc w:val="center"/>
              <w:textAlignment w:val="auto"/>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评审标准</w:t>
            </w:r>
          </w:p>
        </w:tc>
      </w:tr>
      <w:tr w14:paraId="50AC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005" w:type="dxa"/>
            <w:vMerge w:val="restart"/>
            <w:noWrap w:val="0"/>
            <w:vAlign w:val="center"/>
          </w:tcPr>
          <w:p w14:paraId="03BD8A45">
            <w:pPr>
              <w:keepNext w:val="0"/>
              <w:keepLines w:val="0"/>
              <w:pageBreakBefore w:val="0"/>
              <w:widowControl w:val="0"/>
              <w:kinsoku w:val="0"/>
              <w:wordWrap/>
              <w:overflowPunct/>
              <w:topLinePunct w:val="0"/>
              <w:autoSpaceDE w:val="0"/>
              <w:autoSpaceDN w:val="0"/>
              <w:bidi w:val="0"/>
              <w:adjustRightInd w:val="0"/>
              <w:snapToGrid w:val="0"/>
              <w:spacing w:line="5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1575" w:type="dxa"/>
            <w:vMerge w:val="restart"/>
            <w:noWrap w:val="0"/>
            <w:vAlign w:val="center"/>
          </w:tcPr>
          <w:p w14:paraId="4D8343AE">
            <w:pPr>
              <w:keepNext w:val="0"/>
              <w:keepLines w:val="0"/>
              <w:pageBreakBefore w:val="0"/>
              <w:widowControl w:val="0"/>
              <w:kinsoku w:val="0"/>
              <w:wordWrap/>
              <w:overflowPunct/>
              <w:topLinePunct w:val="0"/>
              <w:autoSpaceDE w:val="0"/>
              <w:autoSpaceDN w:val="0"/>
              <w:bidi w:val="0"/>
              <w:adjustRightInd w:val="0"/>
              <w:snapToGrid w:val="0"/>
              <w:spacing w:line="5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有效性审查</w:t>
            </w:r>
          </w:p>
        </w:tc>
        <w:tc>
          <w:tcPr>
            <w:tcW w:w="1980" w:type="dxa"/>
            <w:noWrap w:val="0"/>
            <w:vAlign w:val="center"/>
          </w:tcPr>
          <w:p w14:paraId="693F3665">
            <w:pPr>
              <w:keepNext w:val="0"/>
              <w:keepLines w:val="0"/>
              <w:pageBreakBefore w:val="0"/>
              <w:widowControl w:val="0"/>
              <w:kinsoku w:val="0"/>
              <w:wordWrap/>
              <w:overflowPunct/>
              <w:topLinePunct w:val="0"/>
              <w:autoSpaceDE w:val="0"/>
              <w:autoSpaceDN w:val="0"/>
              <w:bidi w:val="0"/>
              <w:adjustRightInd w:val="0"/>
              <w:snapToGrid w:val="0"/>
              <w:spacing w:line="5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14:textFill>
                  <w14:solidFill>
                    <w14:schemeClr w14:val="tx1"/>
                  </w14:solidFill>
                </w14:textFill>
              </w:rPr>
              <w:t>签署或盖章</w:t>
            </w:r>
          </w:p>
        </w:tc>
        <w:tc>
          <w:tcPr>
            <w:tcW w:w="5295" w:type="dxa"/>
            <w:noWrap w:val="0"/>
            <w:vAlign w:val="center"/>
          </w:tcPr>
          <w:p w14:paraId="40584B89">
            <w:pPr>
              <w:keepNext w:val="0"/>
              <w:keepLines w:val="0"/>
              <w:pageBreakBefore w:val="0"/>
              <w:widowControl w:val="0"/>
              <w:kinsoku w:val="0"/>
              <w:wordWrap/>
              <w:overflowPunct/>
              <w:topLinePunct w:val="0"/>
              <w:autoSpaceDE w:val="0"/>
              <w:autoSpaceDN w:val="0"/>
              <w:bidi w:val="0"/>
              <w:adjustRightInd w:val="0"/>
              <w:snapToGrid w:val="0"/>
              <w:spacing w:line="500" w:lineRule="exact"/>
              <w:ind w:left="0" w:leftChars="0" w:firstLine="249" w:firstLineChars="104"/>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14:textFill>
                  <w14:solidFill>
                    <w14:schemeClr w14:val="tx1"/>
                  </w14:solidFill>
                </w14:textFill>
              </w:rPr>
              <w:t>上法定代表人（或其授权代表）或自然人（</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为自然人）的签署或盖章齐全。</w:t>
            </w:r>
          </w:p>
        </w:tc>
      </w:tr>
      <w:tr w14:paraId="39598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005" w:type="dxa"/>
            <w:vMerge w:val="continue"/>
            <w:noWrap w:val="0"/>
            <w:vAlign w:val="center"/>
          </w:tcPr>
          <w:p w14:paraId="1757CEAC">
            <w:pPr>
              <w:keepNext w:val="0"/>
              <w:keepLines w:val="0"/>
              <w:pageBreakBefore w:val="0"/>
              <w:widowControl w:val="0"/>
              <w:kinsoku w:val="0"/>
              <w:wordWrap/>
              <w:overflowPunct/>
              <w:topLinePunct w:val="0"/>
              <w:autoSpaceDE w:val="0"/>
              <w:autoSpaceDN w:val="0"/>
              <w:bidi w:val="0"/>
              <w:adjustRightInd w:val="0"/>
              <w:snapToGrid w:val="0"/>
              <w:spacing w:line="5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p>
        </w:tc>
        <w:tc>
          <w:tcPr>
            <w:tcW w:w="1575" w:type="dxa"/>
            <w:vMerge w:val="continue"/>
            <w:noWrap w:val="0"/>
            <w:vAlign w:val="center"/>
          </w:tcPr>
          <w:p w14:paraId="286E8812">
            <w:pPr>
              <w:keepNext w:val="0"/>
              <w:keepLines w:val="0"/>
              <w:pageBreakBefore w:val="0"/>
              <w:widowControl w:val="0"/>
              <w:kinsoku w:val="0"/>
              <w:wordWrap/>
              <w:overflowPunct/>
              <w:topLinePunct w:val="0"/>
              <w:autoSpaceDE w:val="0"/>
              <w:autoSpaceDN w:val="0"/>
              <w:bidi w:val="0"/>
              <w:adjustRightInd w:val="0"/>
              <w:snapToGrid w:val="0"/>
              <w:spacing w:line="5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p>
        </w:tc>
        <w:tc>
          <w:tcPr>
            <w:tcW w:w="1980" w:type="dxa"/>
            <w:noWrap w:val="0"/>
            <w:vAlign w:val="center"/>
          </w:tcPr>
          <w:p w14:paraId="2815D718">
            <w:pPr>
              <w:keepNext w:val="0"/>
              <w:keepLines w:val="0"/>
              <w:pageBreakBefore w:val="0"/>
              <w:widowControl w:val="0"/>
              <w:kinsoku w:val="0"/>
              <w:wordWrap/>
              <w:overflowPunct/>
              <w:topLinePunct w:val="0"/>
              <w:autoSpaceDE w:val="0"/>
              <w:autoSpaceDN w:val="0"/>
              <w:bidi w:val="0"/>
              <w:adjustRightInd w:val="0"/>
              <w:snapToGrid w:val="0"/>
              <w:spacing w:line="500" w:lineRule="exact"/>
              <w:jc w:val="center"/>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投标方案</w:t>
            </w:r>
          </w:p>
        </w:tc>
        <w:tc>
          <w:tcPr>
            <w:tcW w:w="5295" w:type="dxa"/>
            <w:noWrap w:val="0"/>
            <w:vAlign w:val="center"/>
          </w:tcPr>
          <w:p w14:paraId="53DA5DC8">
            <w:pPr>
              <w:keepNext w:val="0"/>
              <w:keepLines w:val="0"/>
              <w:pageBreakBefore w:val="0"/>
              <w:widowControl w:val="0"/>
              <w:kinsoku w:val="0"/>
              <w:wordWrap/>
              <w:overflowPunct/>
              <w:topLinePunct w:val="0"/>
              <w:autoSpaceDE w:val="0"/>
              <w:autoSpaceDN w:val="0"/>
              <w:bidi w:val="0"/>
              <w:adjustRightInd w:val="0"/>
              <w:snapToGrid w:val="0"/>
              <w:spacing w:line="500" w:lineRule="exact"/>
              <w:ind w:left="0" w:leftChars="0" w:firstLine="249" w:firstLineChars="104"/>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每个包只能有一个投标方案。</w:t>
            </w:r>
          </w:p>
        </w:tc>
      </w:tr>
      <w:tr w14:paraId="2CBC9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5" w:type="dxa"/>
            <w:vMerge w:val="continue"/>
            <w:noWrap w:val="0"/>
            <w:vAlign w:val="center"/>
          </w:tcPr>
          <w:p w14:paraId="5FA8B539">
            <w:pPr>
              <w:keepNext w:val="0"/>
              <w:keepLines w:val="0"/>
              <w:pageBreakBefore w:val="0"/>
              <w:widowControl w:val="0"/>
              <w:kinsoku w:val="0"/>
              <w:wordWrap/>
              <w:overflowPunct/>
              <w:topLinePunct w:val="0"/>
              <w:autoSpaceDE w:val="0"/>
              <w:autoSpaceDN w:val="0"/>
              <w:bidi w:val="0"/>
              <w:adjustRightInd w:val="0"/>
              <w:snapToGrid w:val="0"/>
              <w:spacing w:line="5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p>
        </w:tc>
        <w:tc>
          <w:tcPr>
            <w:tcW w:w="1575" w:type="dxa"/>
            <w:vMerge w:val="continue"/>
            <w:noWrap w:val="0"/>
            <w:vAlign w:val="center"/>
          </w:tcPr>
          <w:p w14:paraId="0D395FFD">
            <w:pPr>
              <w:keepNext w:val="0"/>
              <w:keepLines w:val="0"/>
              <w:pageBreakBefore w:val="0"/>
              <w:widowControl w:val="0"/>
              <w:kinsoku w:val="0"/>
              <w:wordWrap/>
              <w:overflowPunct/>
              <w:topLinePunct w:val="0"/>
              <w:autoSpaceDE w:val="0"/>
              <w:autoSpaceDN w:val="0"/>
              <w:bidi w:val="0"/>
              <w:adjustRightInd w:val="0"/>
              <w:snapToGrid w:val="0"/>
              <w:spacing w:line="5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p>
        </w:tc>
        <w:tc>
          <w:tcPr>
            <w:tcW w:w="1980" w:type="dxa"/>
            <w:noWrap w:val="0"/>
            <w:vAlign w:val="center"/>
          </w:tcPr>
          <w:p w14:paraId="240E1290">
            <w:pPr>
              <w:keepNext w:val="0"/>
              <w:keepLines w:val="0"/>
              <w:pageBreakBefore w:val="0"/>
              <w:widowControl w:val="0"/>
              <w:kinsoku w:val="0"/>
              <w:wordWrap/>
              <w:overflowPunct/>
              <w:topLinePunct w:val="0"/>
              <w:autoSpaceDE w:val="0"/>
              <w:autoSpaceDN w:val="0"/>
              <w:bidi w:val="0"/>
              <w:adjustRightInd w:val="0"/>
              <w:snapToGrid w:val="0"/>
              <w:spacing w:line="500" w:lineRule="exact"/>
              <w:jc w:val="center"/>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报价唯一</w:t>
            </w:r>
          </w:p>
        </w:tc>
        <w:tc>
          <w:tcPr>
            <w:tcW w:w="5295" w:type="dxa"/>
            <w:noWrap w:val="0"/>
            <w:vAlign w:val="center"/>
          </w:tcPr>
          <w:p w14:paraId="36B1F361">
            <w:pPr>
              <w:keepNext w:val="0"/>
              <w:keepLines w:val="0"/>
              <w:pageBreakBefore w:val="0"/>
              <w:widowControl w:val="0"/>
              <w:kinsoku w:val="0"/>
              <w:wordWrap/>
              <w:overflowPunct/>
              <w:topLinePunct w:val="0"/>
              <w:autoSpaceDE w:val="0"/>
              <w:autoSpaceDN w:val="0"/>
              <w:bidi w:val="0"/>
              <w:adjustRightInd w:val="0"/>
              <w:snapToGrid w:val="0"/>
              <w:spacing w:line="500" w:lineRule="exact"/>
              <w:ind w:left="0" w:leftChars="0" w:firstLine="249" w:firstLineChars="104"/>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只能在预算金额和最高限价内报价，</w:t>
            </w:r>
            <w:r>
              <w:rPr>
                <w:rFonts w:hint="eastAsia" w:ascii="宋体" w:hAnsi="宋体" w:eastAsia="宋体" w:cs="宋体"/>
                <w:color w:val="000000" w:themeColor="text1"/>
                <w:sz w:val="24"/>
                <w:szCs w:val="24"/>
                <w:highlight w:val="none"/>
                <w14:textFill>
                  <w14:solidFill>
                    <w14:schemeClr w14:val="tx1"/>
                  </w14:solidFill>
                </w14:textFill>
              </w:rPr>
              <w:t>只能有一个有效报价，不得提交选择性报价。</w:t>
            </w:r>
          </w:p>
        </w:tc>
      </w:tr>
      <w:tr w14:paraId="6020A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05" w:type="dxa"/>
            <w:noWrap w:val="0"/>
            <w:vAlign w:val="center"/>
          </w:tcPr>
          <w:p w14:paraId="473F3728">
            <w:pPr>
              <w:keepNext w:val="0"/>
              <w:keepLines w:val="0"/>
              <w:pageBreakBefore w:val="0"/>
              <w:widowControl w:val="0"/>
              <w:kinsoku w:val="0"/>
              <w:wordWrap/>
              <w:overflowPunct/>
              <w:topLinePunct w:val="0"/>
              <w:autoSpaceDE w:val="0"/>
              <w:autoSpaceDN w:val="0"/>
              <w:bidi w:val="0"/>
              <w:adjustRightInd w:val="0"/>
              <w:snapToGrid w:val="0"/>
              <w:spacing w:line="5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p>
        </w:tc>
        <w:tc>
          <w:tcPr>
            <w:tcW w:w="1575" w:type="dxa"/>
            <w:noWrap w:val="0"/>
            <w:vAlign w:val="center"/>
          </w:tcPr>
          <w:p w14:paraId="4D742D77">
            <w:pPr>
              <w:keepNext w:val="0"/>
              <w:keepLines w:val="0"/>
              <w:pageBreakBefore w:val="0"/>
              <w:widowControl w:val="0"/>
              <w:kinsoku w:val="0"/>
              <w:wordWrap/>
              <w:overflowPunct/>
              <w:topLinePunct w:val="0"/>
              <w:autoSpaceDE w:val="0"/>
              <w:autoSpaceDN w:val="0"/>
              <w:bidi w:val="0"/>
              <w:adjustRightInd w:val="0"/>
              <w:snapToGrid w:val="0"/>
              <w:spacing w:line="5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完整性审查</w:t>
            </w:r>
          </w:p>
        </w:tc>
        <w:tc>
          <w:tcPr>
            <w:tcW w:w="1980" w:type="dxa"/>
            <w:noWrap w:val="0"/>
            <w:vAlign w:val="center"/>
          </w:tcPr>
          <w:p w14:paraId="1FFCEBCA">
            <w:pPr>
              <w:keepNext w:val="0"/>
              <w:keepLines w:val="0"/>
              <w:pageBreakBefore w:val="0"/>
              <w:widowControl w:val="0"/>
              <w:kinsoku w:val="0"/>
              <w:wordWrap/>
              <w:overflowPunct/>
              <w:topLinePunct w:val="0"/>
              <w:autoSpaceDE w:val="0"/>
              <w:autoSpaceDN w:val="0"/>
              <w:bidi w:val="0"/>
              <w:adjustRightInd w:val="0"/>
              <w:snapToGrid w:val="0"/>
              <w:spacing w:line="5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响应文件</w:t>
            </w:r>
            <w:r>
              <w:rPr>
                <w:rFonts w:hint="eastAsia" w:ascii="宋体" w:hAnsi="宋体" w:eastAsia="宋体" w:cs="宋体"/>
                <w:color w:val="000000" w:themeColor="text1"/>
                <w:sz w:val="24"/>
                <w:szCs w:val="24"/>
                <w:highlight w:val="none"/>
                <w:lang w:val="zh-CN"/>
                <w14:textFill>
                  <w14:solidFill>
                    <w14:schemeClr w14:val="tx1"/>
                  </w14:solidFill>
                </w14:textFill>
              </w:rPr>
              <w:t>份数</w:t>
            </w:r>
          </w:p>
        </w:tc>
        <w:tc>
          <w:tcPr>
            <w:tcW w:w="5295" w:type="dxa"/>
            <w:noWrap w:val="0"/>
            <w:vAlign w:val="center"/>
          </w:tcPr>
          <w:p w14:paraId="7E483381">
            <w:pPr>
              <w:keepNext w:val="0"/>
              <w:keepLines w:val="0"/>
              <w:pageBreakBefore w:val="0"/>
              <w:widowControl w:val="0"/>
              <w:kinsoku w:val="0"/>
              <w:wordWrap/>
              <w:overflowPunct/>
              <w:topLinePunct w:val="0"/>
              <w:autoSpaceDE w:val="0"/>
              <w:autoSpaceDN w:val="0"/>
              <w:bidi w:val="0"/>
              <w:adjustRightInd w:val="0"/>
              <w:snapToGrid w:val="0"/>
              <w:spacing w:line="500" w:lineRule="exact"/>
              <w:ind w:left="0" w:leftChars="0" w:firstLine="249" w:firstLineChars="104"/>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响应文件</w:t>
            </w:r>
            <w:r>
              <w:rPr>
                <w:rFonts w:hint="eastAsia" w:ascii="宋体" w:hAnsi="宋体" w:eastAsia="宋体" w:cs="宋体"/>
                <w:color w:val="000000" w:themeColor="text1"/>
                <w:sz w:val="24"/>
                <w:szCs w:val="24"/>
                <w:highlight w:val="none"/>
                <w:lang w:val="zh-CN"/>
                <w14:textFill>
                  <w14:solidFill>
                    <w14:schemeClr w14:val="tx1"/>
                  </w14:solidFill>
                </w14:textFill>
              </w:rPr>
              <w:t>正、副本数量（含电子文档）符合比选文件要求。</w:t>
            </w:r>
          </w:p>
        </w:tc>
      </w:tr>
      <w:tr w14:paraId="38698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05" w:type="dxa"/>
            <w:noWrap w:val="0"/>
            <w:vAlign w:val="center"/>
          </w:tcPr>
          <w:p w14:paraId="54720B87">
            <w:pPr>
              <w:keepNext w:val="0"/>
              <w:keepLines w:val="0"/>
              <w:pageBreakBefore w:val="0"/>
              <w:widowControl w:val="0"/>
              <w:kinsoku w:val="0"/>
              <w:wordWrap/>
              <w:overflowPunct/>
              <w:topLinePunct w:val="0"/>
              <w:autoSpaceDE w:val="0"/>
              <w:autoSpaceDN w:val="0"/>
              <w:bidi w:val="0"/>
              <w:adjustRightInd w:val="0"/>
              <w:snapToGrid w:val="0"/>
              <w:spacing w:line="5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w:t>
            </w:r>
          </w:p>
        </w:tc>
        <w:tc>
          <w:tcPr>
            <w:tcW w:w="1575" w:type="dxa"/>
            <w:noWrap w:val="0"/>
            <w:vAlign w:val="center"/>
          </w:tcPr>
          <w:p w14:paraId="13BCD335">
            <w:pPr>
              <w:keepNext w:val="0"/>
              <w:keepLines w:val="0"/>
              <w:pageBreakBefore w:val="0"/>
              <w:widowControl w:val="0"/>
              <w:kinsoku w:val="0"/>
              <w:wordWrap/>
              <w:overflowPunct/>
              <w:topLinePunct w:val="0"/>
              <w:autoSpaceDE w:val="0"/>
              <w:autoSpaceDN w:val="0"/>
              <w:bidi w:val="0"/>
              <w:adjustRightInd w:val="0"/>
              <w:snapToGrid w:val="0"/>
              <w:spacing w:line="5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技术部分</w:t>
            </w:r>
          </w:p>
        </w:tc>
        <w:tc>
          <w:tcPr>
            <w:tcW w:w="1980" w:type="dxa"/>
            <w:noWrap w:val="0"/>
            <w:vAlign w:val="center"/>
          </w:tcPr>
          <w:p w14:paraId="421FBC45">
            <w:pPr>
              <w:keepNext w:val="0"/>
              <w:keepLines w:val="0"/>
              <w:pageBreakBefore w:val="0"/>
              <w:widowControl w:val="0"/>
              <w:kinsoku w:val="0"/>
              <w:wordWrap/>
              <w:overflowPunct/>
              <w:topLinePunct w:val="0"/>
              <w:autoSpaceDE w:val="0"/>
              <w:autoSpaceDN w:val="0"/>
              <w:bidi w:val="0"/>
              <w:adjustRightInd w:val="0"/>
              <w:snapToGrid w:val="0"/>
              <w:spacing w:line="5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kern w:val="0"/>
                <w:sz w:val="24"/>
                <w:szCs w:val="24"/>
                <w:highlight w:val="none"/>
                <w14:textFill>
                  <w14:solidFill>
                    <w14:schemeClr w14:val="tx1"/>
                  </w14:solidFill>
                </w14:textFill>
              </w:rPr>
              <w:t>内容</w:t>
            </w:r>
          </w:p>
        </w:tc>
        <w:tc>
          <w:tcPr>
            <w:tcW w:w="5295" w:type="dxa"/>
            <w:noWrap w:val="0"/>
            <w:vAlign w:val="center"/>
          </w:tcPr>
          <w:p w14:paraId="42649CEC">
            <w:pPr>
              <w:keepNext w:val="0"/>
              <w:keepLines w:val="0"/>
              <w:pageBreakBefore w:val="0"/>
              <w:widowControl w:val="0"/>
              <w:kinsoku w:val="0"/>
              <w:wordWrap/>
              <w:overflowPunct/>
              <w:topLinePunct w:val="0"/>
              <w:autoSpaceDE w:val="0"/>
              <w:autoSpaceDN w:val="0"/>
              <w:bidi w:val="0"/>
              <w:adjustRightInd w:val="0"/>
              <w:snapToGrid w:val="0"/>
              <w:spacing w:line="500" w:lineRule="exact"/>
              <w:ind w:left="0" w:leftChars="0" w:firstLine="249" w:firstLineChars="104"/>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本比选文件第二篇</w:t>
            </w:r>
            <w:r>
              <w:rPr>
                <w:rFonts w:hint="eastAsia" w:ascii="宋体" w:hAnsi="宋体" w:cs="宋体"/>
                <w:color w:val="000000" w:themeColor="text1"/>
                <w:kern w:val="0"/>
                <w:sz w:val="24"/>
                <w:szCs w:val="24"/>
                <w:highlight w:val="none"/>
                <w:lang w:val="en-US" w:eastAsia="zh-CN"/>
                <w14:textFill>
                  <w14:solidFill>
                    <w14:schemeClr w14:val="tx1"/>
                  </w14:solidFill>
                </w14:textFill>
              </w:rPr>
              <w:t>内容</w:t>
            </w:r>
            <w:r>
              <w:rPr>
                <w:rFonts w:hint="eastAsia" w:ascii="宋体" w:hAnsi="宋体" w:eastAsia="宋体" w:cs="宋体"/>
                <w:color w:val="000000" w:themeColor="text1"/>
                <w:kern w:val="0"/>
                <w:sz w:val="24"/>
                <w:szCs w:val="24"/>
                <w:highlight w:val="none"/>
                <w14:textFill>
                  <w14:solidFill>
                    <w14:schemeClr w14:val="tx1"/>
                  </w14:solidFill>
                </w14:textFill>
              </w:rPr>
              <w:t>。</w:t>
            </w:r>
          </w:p>
        </w:tc>
      </w:tr>
      <w:tr w14:paraId="7F771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005" w:type="dxa"/>
            <w:noWrap w:val="0"/>
            <w:vAlign w:val="center"/>
          </w:tcPr>
          <w:p w14:paraId="54AD3BAD">
            <w:pPr>
              <w:keepNext w:val="0"/>
              <w:keepLines w:val="0"/>
              <w:pageBreakBefore w:val="0"/>
              <w:widowControl w:val="0"/>
              <w:kinsoku w:val="0"/>
              <w:wordWrap/>
              <w:overflowPunct/>
              <w:topLinePunct w:val="0"/>
              <w:autoSpaceDE w:val="0"/>
              <w:autoSpaceDN w:val="0"/>
              <w:bidi w:val="0"/>
              <w:adjustRightInd w:val="0"/>
              <w:snapToGrid w:val="0"/>
              <w:spacing w:line="5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w:t>
            </w:r>
          </w:p>
        </w:tc>
        <w:tc>
          <w:tcPr>
            <w:tcW w:w="1575" w:type="dxa"/>
            <w:noWrap w:val="0"/>
            <w:vAlign w:val="center"/>
          </w:tcPr>
          <w:p w14:paraId="1843AF72">
            <w:pPr>
              <w:keepNext w:val="0"/>
              <w:keepLines w:val="0"/>
              <w:pageBreakBefore w:val="0"/>
              <w:widowControl w:val="0"/>
              <w:kinsoku w:val="0"/>
              <w:wordWrap/>
              <w:overflowPunct/>
              <w:topLinePunct w:val="0"/>
              <w:autoSpaceDE w:val="0"/>
              <w:autoSpaceDN w:val="0"/>
              <w:bidi w:val="0"/>
              <w:adjustRightInd w:val="0"/>
              <w:snapToGrid w:val="0"/>
              <w:spacing w:line="5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商务部分</w:t>
            </w:r>
          </w:p>
        </w:tc>
        <w:tc>
          <w:tcPr>
            <w:tcW w:w="1980" w:type="dxa"/>
            <w:noWrap w:val="0"/>
            <w:vAlign w:val="center"/>
          </w:tcPr>
          <w:p w14:paraId="37963539">
            <w:pPr>
              <w:keepNext w:val="0"/>
              <w:keepLines w:val="0"/>
              <w:pageBreakBefore w:val="0"/>
              <w:widowControl w:val="0"/>
              <w:kinsoku w:val="0"/>
              <w:wordWrap/>
              <w:overflowPunct/>
              <w:topLinePunct w:val="0"/>
              <w:autoSpaceDE w:val="0"/>
              <w:autoSpaceDN w:val="0"/>
              <w:bidi w:val="0"/>
              <w:adjustRightInd w:val="0"/>
              <w:snapToGrid w:val="0"/>
              <w:spacing w:line="5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kern w:val="0"/>
                <w:sz w:val="24"/>
                <w:szCs w:val="24"/>
                <w:highlight w:val="none"/>
                <w14:textFill>
                  <w14:solidFill>
                    <w14:schemeClr w14:val="tx1"/>
                  </w14:solidFill>
                </w14:textFill>
              </w:rPr>
              <w:t>内容</w:t>
            </w:r>
          </w:p>
        </w:tc>
        <w:tc>
          <w:tcPr>
            <w:tcW w:w="5295" w:type="dxa"/>
            <w:noWrap w:val="0"/>
            <w:vAlign w:val="center"/>
          </w:tcPr>
          <w:p w14:paraId="3C556733">
            <w:pPr>
              <w:keepNext w:val="0"/>
              <w:keepLines w:val="0"/>
              <w:pageBreakBefore w:val="0"/>
              <w:widowControl w:val="0"/>
              <w:kinsoku w:val="0"/>
              <w:wordWrap/>
              <w:overflowPunct/>
              <w:topLinePunct w:val="0"/>
              <w:autoSpaceDE w:val="0"/>
              <w:autoSpaceDN w:val="0"/>
              <w:bidi w:val="0"/>
              <w:adjustRightInd w:val="0"/>
              <w:snapToGrid w:val="0"/>
              <w:spacing w:line="500" w:lineRule="exact"/>
              <w:ind w:left="0" w:leftChars="0" w:firstLine="249" w:firstLineChars="104"/>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本比选文件第三篇</w:t>
            </w:r>
            <w:r>
              <w:rPr>
                <w:rFonts w:hint="eastAsia" w:ascii="宋体" w:hAnsi="宋体" w:cs="宋体"/>
                <w:color w:val="000000" w:themeColor="text1"/>
                <w:kern w:val="0"/>
                <w:sz w:val="24"/>
                <w:szCs w:val="24"/>
                <w:highlight w:val="none"/>
                <w:lang w:val="en-US" w:eastAsia="zh-CN"/>
                <w14:textFill>
                  <w14:solidFill>
                    <w14:schemeClr w14:val="tx1"/>
                  </w14:solidFill>
                </w14:textFill>
              </w:rPr>
              <w:t>内容</w:t>
            </w:r>
            <w:r>
              <w:rPr>
                <w:rFonts w:hint="eastAsia" w:ascii="宋体" w:hAnsi="宋体" w:eastAsia="宋体" w:cs="宋体"/>
                <w:color w:val="000000" w:themeColor="text1"/>
                <w:kern w:val="0"/>
                <w:sz w:val="24"/>
                <w:szCs w:val="24"/>
                <w:highlight w:val="none"/>
                <w14:textFill>
                  <w14:solidFill>
                    <w14:schemeClr w14:val="tx1"/>
                  </w14:solidFill>
                </w14:textFill>
              </w:rPr>
              <w:t>。</w:t>
            </w:r>
          </w:p>
        </w:tc>
      </w:tr>
      <w:tr w14:paraId="0026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005" w:type="dxa"/>
            <w:noWrap w:val="0"/>
            <w:vAlign w:val="center"/>
          </w:tcPr>
          <w:p w14:paraId="076974E8">
            <w:pPr>
              <w:keepNext w:val="0"/>
              <w:keepLines w:val="0"/>
              <w:pageBreakBefore w:val="0"/>
              <w:widowControl w:val="0"/>
              <w:kinsoku w:val="0"/>
              <w:wordWrap/>
              <w:overflowPunct/>
              <w:topLinePunct w:val="0"/>
              <w:autoSpaceDE w:val="0"/>
              <w:autoSpaceDN w:val="0"/>
              <w:bidi w:val="0"/>
              <w:adjustRightInd w:val="0"/>
              <w:snapToGrid w:val="0"/>
              <w:spacing w:line="5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w:t>
            </w:r>
          </w:p>
        </w:tc>
        <w:tc>
          <w:tcPr>
            <w:tcW w:w="1575" w:type="dxa"/>
            <w:noWrap w:val="0"/>
            <w:vAlign w:val="center"/>
          </w:tcPr>
          <w:p w14:paraId="7A567CE3">
            <w:pPr>
              <w:keepNext w:val="0"/>
              <w:keepLines w:val="0"/>
              <w:pageBreakBefore w:val="0"/>
              <w:widowControl w:val="0"/>
              <w:kinsoku w:val="0"/>
              <w:wordWrap/>
              <w:overflowPunct/>
              <w:topLinePunct w:val="0"/>
              <w:autoSpaceDE w:val="0"/>
              <w:autoSpaceDN w:val="0"/>
              <w:bidi w:val="0"/>
              <w:adjustRightInd w:val="0"/>
              <w:snapToGrid w:val="0"/>
              <w:spacing w:line="5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投标有效期</w:t>
            </w:r>
          </w:p>
        </w:tc>
        <w:tc>
          <w:tcPr>
            <w:tcW w:w="1980" w:type="dxa"/>
            <w:noWrap w:val="0"/>
            <w:vAlign w:val="center"/>
          </w:tcPr>
          <w:p w14:paraId="4BB86051">
            <w:pPr>
              <w:keepNext w:val="0"/>
              <w:keepLines w:val="0"/>
              <w:pageBreakBefore w:val="0"/>
              <w:widowControl w:val="0"/>
              <w:kinsoku w:val="0"/>
              <w:wordWrap/>
              <w:overflowPunct/>
              <w:topLinePunct w:val="0"/>
              <w:autoSpaceDE w:val="0"/>
              <w:autoSpaceDN w:val="0"/>
              <w:bidi w:val="0"/>
              <w:adjustRightInd w:val="0"/>
              <w:snapToGrid w:val="0"/>
              <w:spacing w:line="5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kern w:val="0"/>
                <w:sz w:val="24"/>
                <w:szCs w:val="24"/>
                <w:highlight w:val="none"/>
                <w14:textFill>
                  <w14:solidFill>
                    <w14:schemeClr w14:val="tx1"/>
                  </w14:solidFill>
                </w14:textFill>
              </w:rPr>
              <w:t>内容</w:t>
            </w:r>
          </w:p>
        </w:tc>
        <w:tc>
          <w:tcPr>
            <w:tcW w:w="5295" w:type="dxa"/>
            <w:noWrap w:val="0"/>
            <w:vAlign w:val="center"/>
          </w:tcPr>
          <w:p w14:paraId="4E7FB8DC">
            <w:pPr>
              <w:keepNext w:val="0"/>
              <w:keepLines w:val="0"/>
              <w:pageBreakBefore w:val="0"/>
              <w:widowControl w:val="0"/>
              <w:kinsoku w:val="0"/>
              <w:wordWrap/>
              <w:overflowPunct/>
              <w:topLinePunct w:val="0"/>
              <w:autoSpaceDE w:val="0"/>
              <w:autoSpaceDN w:val="0"/>
              <w:bidi w:val="0"/>
              <w:adjustRightInd w:val="0"/>
              <w:snapToGrid w:val="0"/>
              <w:spacing w:line="500" w:lineRule="exact"/>
              <w:ind w:left="0" w:leftChars="0" w:firstLine="249" w:firstLineChars="104"/>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投标有效期为投标截止时间起90天。</w:t>
            </w:r>
          </w:p>
        </w:tc>
      </w:tr>
      <w:tr w14:paraId="6D86D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005" w:type="dxa"/>
            <w:noWrap w:val="0"/>
            <w:vAlign w:val="center"/>
          </w:tcPr>
          <w:p w14:paraId="50C4D272">
            <w:pPr>
              <w:keepNext w:val="0"/>
              <w:keepLines w:val="0"/>
              <w:pageBreakBefore w:val="0"/>
              <w:widowControl w:val="0"/>
              <w:kinsoku w:val="0"/>
              <w:wordWrap/>
              <w:overflowPunct/>
              <w:topLinePunct w:val="0"/>
              <w:autoSpaceDE w:val="0"/>
              <w:autoSpaceDN w:val="0"/>
              <w:bidi w:val="0"/>
              <w:adjustRightInd w:val="0"/>
              <w:snapToGrid w:val="0"/>
              <w:spacing w:line="50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bookmarkStart w:id="129" w:name="_Toc18192"/>
            <w:bookmarkStart w:id="130" w:name="_Toc106030395"/>
            <w:bookmarkStart w:id="131" w:name="_Toc18"/>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6</w:t>
            </w:r>
          </w:p>
        </w:tc>
        <w:tc>
          <w:tcPr>
            <w:tcW w:w="1575" w:type="dxa"/>
            <w:noWrap w:val="0"/>
            <w:vAlign w:val="center"/>
          </w:tcPr>
          <w:p w14:paraId="26041D29">
            <w:pPr>
              <w:keepNext w:val="0"/>
              <w:keepLines w:val="0"/>
              <w:pageBreakBefore w:val="0"/>
              <w:widowControl w:val="0"/>
              <w:kinsoku w:val="0"/>
              <w:wordWrap/>
              <w:overflowPunct/>
              <w:topLinePunct w:val="0"/>
              <w:autoSpaceDE w:val="0"/>
              <w:autoSpaceDN w:val="0"/>
              <w:bidi w:val="0"/>
              <w:adjustRightInd w:val="0"/>
              <w:snapToGrid w:val="0"/>
              <w:spacing w:line="5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委托代理人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若有</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1980" w:type="dxa"/>
            <w:noWrap w:val="0"/>
            <w:vAlign w:val="center"/>
          </w:tcPr>
          <w:p w14:paraId="177F09C7">
            <w:pPr>
              <w:keepNext w:val="0"/>
              <w:keepLines w:val="0"/>
              <w:pageBreakBefore w:val="0"/>
              <w:widowControl w:val="0"/>
              <w:kinsoku w:val="0"/>
              <w:wordWrap/>
              <w:overflowPunct/>
              <w:topLinePunct w:val="0"/>
              <w:autoSpaceDE w:val="0"/>
              <w:autoSpaceDN w:val="0"/>
              <w:bidi w:val="0"/>
              <w:adjustRightInd w:val="0"/>
              <w:snapToGrid w:val="0"/>
              <w:spacing w:line="50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kern w:val="0"/>
                <w:sz w:val="24"/>
                <w:szCs w:val="24"/>
                <w:highlight w:val="none"/>
                <w14:textFill>
                  <w14:solidFill>
                    <w14:schemeClr w14:val="tx1"/>
                  </w14:solidFill>
                </w14:textFill>
              </w:rPr>
              <w:t>内容</w:t>
            </w:r>
          </w:p>
        </w:tc>
        <w:tc>
          <w:tcPr>
            <w:tcW w:w="5295" w:type="dxa"/>
            <w:noWrap w:val="0"/>
            <w:vAlign w:val="center"/>
          </w:tcPr>
          <w:p w14:paraId="6D140EF7">
            <w:pPr>
              <w:keepNext w:val="0"/>
              <w:keepLines w:val="0"/>
              <w:pageBreakBefore w:val="0"/>
              <w:widowControl w:val="0"/>
              <w:kinsoku w:val="0"/>
              <w:wordWrap/>
              <w:overflowPunct/>
              <w:topLinePunct w:val="0"/>
              <w:autoSpaceDE w:val="0"/>
              <w:autoSpaceDN w:val="0"/>
              <w:bidi w:val="0"/>
              <w:adjustRightInd w:val="0"/>
              <w:snapToGrid w:val="0"/>
              <w:spacing w:line="500" w:lineRule="exact"/>
              <w:ind w:left="0" w:leftChars="0" w:firstLine="249" w:firstLineChars="104"/>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委托代理人必须为</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本单位人员，须提供</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为其缴纳的养老保险证明材料。</w:t>
            </w:r>
          </w:p>
        </w:tc>
      </w:tr>
    </w:tbl>
    <w:p w14:paraId="5977284C">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500" w:lineRule="exact"/>
        <w:ind w:firstLine="482" w:firstLineChars="200"/>
        <w:textAlignment w:val="auto"/>
        <w:outlineLvl w:val="1"/>
        <w:rPr>
          <w:rFonts w:hint="eastAsia" w:ascii="宋体" w:hAnsi="宋体" w:eastAsia="宋体" w:cs="宋体"/>
          <w:b/>
          <w:color w:val="000000" w:themeColor="text1"/>
          <w:sz w:val="24"/>
          <w:highlight w:val="none"/>
          <w14:textFill>
            <w14:solidFill>
              <w14:schemeClr w14:val="tx1"/>
            </w14:solidFill>
          </w14:textFill>
        </w:rPr>
      </w:pPr>
      <w:bookmarkStart w:id="132" w:name="_Toc12161"/>
      <w:r>
        <w:rPr>
          <w:rFonts w:hint="eastAsia" w:ascii="宋体" w:hAnsi="宋体" w:eastAsia="宋体" w:cs="宋体"/>
          <w:b/>
          <w:color w:val="000000" w:themeColor="text1"/>
          <w:sz w:val="24"/>
          <w:highlight w:val="none"/>
          <w14:textFill>
            <w14:solidFill>
              <w14:schemeClr w14:val="tx1"/>
            </w14:solidFill>
          </w14:textFill>
        </w:rPr>
        <w:t>二、评标方法</w:t>
      </w:r>
      <w:bookmarkEnd w:id="129"/>
      <w:bookmarkEnd w:id="130"/>
      <w:bookmarkEnd w:id="131"/>
      <w:bookmarkEnd w:id="132"/>
    </w:p>
    <w:p w14:paraId="4A4CAB55">
      <w:pPr>
        <w:keepNext w:val="0"/>
        <w:keepLines w:val="0"/>
        <w:pageBreakBefore w:val="0"/>
        <w:widowControl w:val="0"/>
        <w:kinsoku w:val="0"/>
        <w:wordWrap/>
        <w:topLinePunct w:val="0"/>
        <w:autoSpaceDE w:val="0"/>
        <w:autoSpaceDN w:val="0"/>
        <w:bidi w:val="0"/>
        <w:adjustRightInd w:val="0"/>
        <w:snapToGrid w:val="0"/>
        <w:spacing w:line="500" w:lineRule="exact"/>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本项目采用</w:t>
      </w:r>
      <w:r>
        <w:rPr>
          <w:rFonts w:hint="eastAsia" w:ascii="宋体" w:hAnsi="宋体" w:eastAsia="宋体" w:cs="宋体"/>
          <w:color w:val="000000" w:themeColor="text1"/>
          <w:kern w:val="0"/>
          <w:sz w:val="24"/>
          <w:highlight w:val="none"/>
          <w:lang w:eastAsia="zh-CN"/>
          <w14:textFill>
            <w14:solidFill>
              <w14:schemeClr w14:val="tx1"/>
            </w14:solidFill>
          </w14:textFill>
        </w:rPr>
        <w:t>综合评分</w:t>
      </w:r>
      <w:r>
        <w:rPr>
          <w:rFonts w:hint="eastAsia" w:ascii="宋体" w:hAnsi="宋体" w:eastAsia="宋体" w:cs="宋体"/>
          <w:color w:val="000000" w:themeColor="text1"/>
          <w:kern w:val="0"/>
          <w:sz w:val="24"/>
          <w:highlight w:val="none"/>
          <w14:textFill>
            <w14:solidFill>
              <w14:schemeClr w14:val="tx1"/>
            </w14:solidFill>
          </w14:textFill>
        </w:rPr>
        <w:t>法进行评标。</w:t>
      </w:r>
    </w:p>
    <w:p w14:paraId="5DA12A99">
      <w:pPr>
        <w:keepNext w:val="0"/>
        <w:keepLines w:val="0"/>
        <w:pageBreakBefore w:val="0"/>
        <w:widowControl w:val="0"/>
        <w:kinsoku w:val="0"/>
        <w:wordWrap/>
        <w:topLinePunct w:val="0"/>
        <w:autoSpaceDE w:val="0"/>
        <w:autoSpaceDN w:val="0"/>
        <w:bidi w:val="0"/>
        <w:adjustRightInd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综合评分法，是指</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满足比选文件全部实质性要求且按照评审因素的量化指标评审得分最高的</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为</w:t>
      </w:r>
      <w:r>
        <w:rPr>
          <w:rFonts w:hint="eastAsia" w:ascii="宋体" w:hAnsi="宋体" w:cs="宋体"/>
          <w:color w:val="000000" w:themeColor="text1"/>
          <w:sz w:val="24"/>
          <w:highlight w:val="none"/>
          <w:lang w:eastAsia="zh-CN"/>
          <w14:textFill>
            <w14:solidFill>
              <w14:schemeClr w14:val="tx1"/>
            </w14:solidFill>
          </w14:textFill>
        </w:rPr>
        <w:t>成交供应商候选人</w:t>
      </w:r>
      <w:r>
        <w:rPr>
          <w:rFonts w:hint="eastAsia" w:ascii="宋体" w:hAnsi="宋体" w:eastAsia="宋体" w:cs="宋体"/>
          <w:color w:val="000000" w:themeColor="text1"/>
          <w:sz w:val="24"/>
          <w:highlight w:val="none"/>
          <w14:textFill>
            <w14:solidFill>
              <w14:schemeClr w14:val="tx1"/>
            </w14:solidFill>
          </w14:textFill>
        </w:rPr>
        <w:t>的评标方法。</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总得分为价格、商务、技术（质量）等评定因素分别按照相应权重值计算分项得分后相加，满分为100分。</w:t>
      </w:r>
    </w:p>
    <w:p w14:paraId="5396E950">
      <w:pPr>
        <w:keepNext w:val="0"/>
        <w:keepLines w:val="0"/>
        <w:pageBreakBefore w:val="0"/>
        <w:widowControl w:val="0"/>
        <w:kinsoku w:val="0"/>
        <w:wordWrap/>
        <w:topLinePunct w:val="0"/>
        <w:autoSpaceDE w:val="0"/>
        <w:autoSpaceDN w:val="0"/>
        <w:bidi w:val="0"/>
        <w:adjustRightInd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澄清有关问题。对</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中含义不明确、同类问题表述不一致或者有明显文字和计算错误的内容，</w:t>
      </w:r>
      <w:r>
        <w:rPr>
          <w:rFonts w:hint="eastAsia" w:ascii="宋体" w:hAnsi="宋体" w:eastAsia="宋体" w:cs="宋体"/>
          <w:color w:val="000000" w:themeColor="text1"/>
          <w:sz w:val="24"/>
          <w:highlight w:val="none"/>
          <w:lang w:eastAsia="zh-CN"/>
          <w14:textFill>
            <w14:solidFill>
              <w14:schemeClr w14:val="tx1"/>
            </w14:solidFill>
          </w14:textFill>
        </w:rPr>
        <w:t>比选小组</w:t>
      </w:r>
      <w:r>
        <w:rPr>
          <w:rFonts w:hint="eastAsia" w:ascii="宋体" w:hAnsi="宋体" w:eastAsia="宋体" w:cs="宋体"/>
          <w:color w:val="000000" w:themeColor="text1"/>
          <w:sz w:val="24"/>
          <w:highlight w:val="none"/>
          <w14:textFill>
            <w14:solidFill>
              <w14:schemeClr w14:val="tx1"/>
            </w14:solidFill>
          </w14:textFill>
        </w:rPr>
        <w:t>可以（应当由</w:t>
      </w:r>
      <w:r>
        <w:rPr>
          <w:rFonts w:hint="eastAsia" w:ascii="宋体" w:hAnsi="宋体" w:eastAsia="宋体" w:cs="宋体"/>
          <w:color w:val="000000" w:themeColor="text1"/>
          <w:sz w:val="24"/>
          <w:highlight w:val="none"/>
          <w:lang w:eastAsia="zh-CN"/>
          <w14:textFill>
            <w14:solidFill>
              <w14:schemeClr w14:val="tx1"/>
            </w14:solidFill>
          </w14:textFill>
        </w:rPr>
        <w:t>比选小组</w:t>
      </w:r>
      <w:r>
        <w:rPr>
          <w:rFonts w:hint="eastAsia" w:ascii="宋体" w:hAnsi="宋体" w:eastAsia="宋体" w:cs="宋体"/>
          <w:color w:val="000000" w:themeColor="text1"/>
          <w:sz w:val="24"/>
          <w:highlight w:val="none"/>
          <w14:textFill>
            <w14:solidFill>
              <w14:schemeClr w14:val="tx1"/>
            </w14:solidFill>
          </w14:textFill>
        </w:rPr>
        <w:t>成员签字）要求</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作出必要澄清、说明或者纠正。</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的澄清、说明或者补正应当由其法定代表人（或其授权代表）或自然人（</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为自然人）签字，其澄清的内容不得超出</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的范围或者改变</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的实质性内容。</w:t>
      </w:r>
    </w:p>
    <w:p w14:paraId="0F23177D">
      <w:pPr>
        <w:keepNext w:val="0"/>
        <w:keepLines w:val="0"/>
        <w:pageBreakBefore w:val="0"/>
        <w:widowControl w:val="0"/>
        <w:kinsoku w:val="0"/>
        <w:wordWrap/>
        <w:topLinePunct w:val="0"/>
        <w:autoSpaceDE w:val="0"/>
        <w:autoSpaceDN w:val="0"/>
        <w:bidi w:val="0"/>
        <w:adjustRightInd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（一）比较与评价。按比选文件中规定的评标方法和标准，对资格审查和符合性审查合格的</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进行商务和技术评估。</w:t>
      </w:r>
    </w:p>
    <w:p w14:paraId="5426BBD1">
      <w:pPr>
        <w:keepNext w:val="0"/>
        <w:keepLines w:val="0"/>
        <w:pageBreakBefore w:val="0"/>
        <w:widowControl w:val="0"/>
        <w:kinsoku w:val="0"/>
        <w:wordWrap/>
        <w:topLinePunct w:val="0"/>
        <w:autoSpaceDE w:val="0"/>
        <w:autoSpaceDN w:val="0"/>
        <w:bidi w:val="0"/>
        <w:adjustRightInd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比选小组</w:t>
      </w:r>
      <w:r>
        <w:rPr>
          <w:rFonts w:hint="eastAsia" w:ascii="宋体" w:hAnsi="宋体" w:eastAsia="宋体" w:cs="宋体"/>
          <w:color w:val="000000" w:themeColor="text1"/>
          <w:sz w:val="24"/>
          <w:highlight w:val="none"/>
          <w14:textFill>
            <w14:solidFill>
              <w14:schemeClr w14:val="tx1"/>
            </w14:solidFill>
          </w14:textFill>
        </w:rPr>
        <w:t>各成员独立对每个有效</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（通过资格审查、符合性审查的</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）的</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进行评价、打分，然后由</w:t>
      </w:r>
      <w:r>
        <w:rPr>
          <w:rFonts w:hint="eastAsia" w:ascii="宋体" w:hAnsi="宋体" w:eastAsia="宋体" w:cs="宋体"/>
          <w:color w:val="000000" w:themeColor="text1"/>
          <w:sz w:val="24"/>
          <w:highlight w:val="none"/>
          <w:lang w:eastAsia="zh-CN"/>
          <w14:textFill>
            <w14:solidFill>
              <w14:schemeClr w14:val="tx1"/>
            </w14:solidFill>
          </w14:textFill>
        </w:rPr>
        <w:t>比选小组</w:t>
      </w:r>
      <w:r>
        <w:rPr>
          <w:rFonts w:hint="eastAsia" w:ascii="宋体" w:hAnsi="宋体" w:eastAsia="宋体" w:cs="宋体"/>
          <w:color w:val="000000" w:themeColor="text1"/>
          <w:sz w:val="24"/>
          <w:highlight w:val="none"/>
          <w14:textFill>
            <w14:solidFill>
              <w14:schemeClr w14:val="tx1"/>
            </w14:solidFill>
          </w14:textFill>
        </w:rPr>
        <w:t>对各成员打分情况进行核查及复核，个别成员对同一</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同一评分项的打分偏离较大的，应对</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的</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进行再次核对，确属打分有误的，应及时进行修正。</w:t>
      </w:r>
    </w:p>
    <w:p w14:paraId="2CC3C2AA">
      <w:pPr>
        <w:keepNext w:val="0"/>
        <w:keepLines w:val="0"/>
        <w:pageBreakBefore w:val="0"/>
        <w:widowControl w:val="0"/>
        <w:kinsoku w:val="0"/>
        <w:wordWrap/>
        <w:topLinePunct w:val="0"/>
        <w:autoSpaceDE w:val="0"/>
        <w:autoSpaceDN w:val="0"/>
        <w:bidi w:val="0"/>
        <w:adjustRightInd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复核后，</w:t>
      </w:r>
      <w:r>
        <w:rPr>
          <w:rFonts w:hint="eastAsia" w:ascii="宋体" w:hAnsi="宋体" w:eastAsia="宋体" w:cs="宋体"/>
          <w:color w:val="000000" w:themeColor="text1"/>
          <w:sz w:val="24"/>
          <w:highlight w:val="none"/>
          <w:lang w:eastAsia="zh-CN"/>
          <w14:textFill>
            <w14:solidFill>
              <w14:schemeClr w14:val="tx1"/>
            </w14:solidFill>
          </w14:textFill>
        </w:rPr>
        <w:t>比选小组</w:t>
      </w:r>
      <w:r>
        <w:rPr>
          <w:rFonts w:hint="eastAsia" w:ascii="宋体" w:hAnsi="宋体" w:eastAsia="宋体" w:cs="宋体"/>
          <w:color w:val="000000" w:themeColor="text1"/>
          <w:sz w:val="24"/>
          <w:highlight w:val="none"/>
          <w14:textFill>
            <w14:solidFill>
              <w14:schemeClr w14:val="tx1"/>
            </w14:solidFill>
          </w14:textFill>
        </w:rPr>
        <w:t>汇总每个</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每项评分因素的得分。</w:t>
      </w:r>
    </w:p>
    <w:p w14:paraId="0F660C8C">
      <w:pPr>
        <w:keepNext w:val="0"/>
        <w:keepLines w:val="0"/>
        <w:pageBreakBefore w:val="0"/>
        <w:widowControl w:val="0"/>
        <w:kinsoku w:val="0"/>
        <w:wordWrap/>
        <w:topLinePunct w:val="0"/>
        <w:autoSpaceDE w:val="0"/>
        <w:autoSpaceDN w:val="0"/>
        <w:bidi w:val="0"/>
        <w:adjustRightInd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（二）推荐</w:t>
      </w:r>
      <w:r>
        <w:rPr>
          <w:rFonts w:hint="eastAsia" w:ascii="宋体" w:hAnsi="宋体" w:cs="宋体"/>
          <w:color w:val="000000" w:themeColor="text1"/>
          <w:sz w:val="24"/>
          <w:highlight w:val="none"/>
          <w:lang w:eastAsia="zh-CN"/>
          <w14:textFill>
            <w14:solidFill>
              <w14:schemeClr w14:val="tx1"/>
            </w14:solidFill>
          </w14:textFill>
        </w:rPr>
        <w:t>成交供应商候选人</w:t>
      </w:r>
      <w:r>
        <w:rPr>
          <w:rFonts w:hint="eastAsia" w:ascii="宋体" w:hAnsi="宋体" w:eastAsia="宋体" w:cs="宋体"/>
          <w:color w:val="000000" w:themeColor="text1"/>
          <w:sz w:val="24"/>
          <w:highlight w:val="none"/>
          <w14:textFill>
            <w14:solidFill>
              <w14:schemeClr w14:val="tx1"/>
            </w14:solidFill>
          </w14:textFill>
        </w:rPr>
        <w:t>名单。</w:t>
      </w:r>
    </w:p>
    <w:p w14:paraId="51E1D2BD">
      <w:pPr>
        <w:keepNext w:val="0"/>
        <w:keepLines w:val="0"/>
        <w:pageBreakBefore w:val="0"/>
        <w:widowControl w:val="0"/>
        <w:kinsoku w:val="0"/>
        <w:wordWrap/>
        <w:topLinePunct w:val="0"/>
        <w:autoSpaceDE w:val="0"/>
        <w:autoSpaceDN w:val="0"/>
        <w:bidi w:val="0"/>
        <w:adjustRightInd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按评审后得分由高到低的排列顺序推荐综合得分排名前三的</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为本包（项目）</w:t>
      </w:r>
      <w:r>
        <w:rPr>
          <w:rFonts w:hint="eastAsia" w:ascii="宋体" w:hAnsi="宋体" w:cs="宋体"/>
          <w:color w:val="000000" w:themeColor="text1"/>
          <w:sz w:val="24"/>
          <w:highlight w:val="none"/>
          <w:lang w:eastAsia="zh-CN"/>
          <w14:textFill>
            <w14:solidFill>
              <w14:schemeClr w14:val="tx1"/>
            </w14:solidFill>
          </w14:textFill>
        </w:rPr>
        <w:t>成交供应商候选人</w:t>
      </w:r>
      <w:r>
        <w:rPr>
          <w:rFonts w:hint="eastAsia" w:ascii="宋体" w:hAnsi="宋体" w:eastAsia="宋体" w:cs="宋体"/>
          <w:color w:val="000000" w:themeColor="text1"/>
          <w:sz w:val="24"/>
          <w:highlight w:val="none"/>
          <w14:textFill>
            <w14:solidFill>
              <w14:schemeClr w14:val="tx1"/>
            </w14:solidFill>
          </w14:textFill>
        </w:rPr>
        <w:t>，排名第一的为第一</w:t>
      </w:r>
      <w:r>
        <w:rPr>
          <w:rFonts w:hint="eastAsia" w:ascii="宋体" w:hAnsi="宋体" w:cs="宋体"/>
          <w:color w:val="000000" w:themeColor="text1"/>
          <w:sz w:val="24"/>
          <w:highlight w:val="none"/>
          <w:lang w:eastAsia="zh-CN"/>
          <w14:textFill>
            <w14:solidFill>
              <w14:schemeClr w14:val="tx1"/>
            </w14:solidFill>
          </w14:textFill>
        </w:rPr>
        <w:t>成交供应商候选人</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评审</w:t>
      </w:r>
      <w:r>
        <w:rPr>
          <w:rFonts w:hint="eastAsia" w:ascii="宋体" w:hAnsi="宋体" w:eastAsia="宋体" w:cs="宋体"/>
          <w:color w:val="000000" w:themeColor="text1"/>
          <w:sz w:val="24"/>
          <w:highlight w:val="none"/>
          <w14:textFill>
            <w14:solidFill>
              <w14:schemeClr w14:val="tx1"/>
            </w14:solidFill>
          </w14:textFill>
        </w:rPr>
        <w:t>得分相同的，按</w:t>
      </w:r>
      <w:r>
        <w:rPr>
          <w:rFonts w:hint="eastAsia" w:ascii="宋体" w:hAnsi="宋体" w:cs="宋体"/>
          <w:color w:val="000000" w:themeColor="text1"/>
          <w:sz w:val="24"/>
          <w:highlight w:val="none"/>
          <w:lang w:val="en-US" w:eastAsia="zh-CN"/>
          <w14:textFill>
            <w14:solidFill>
              <w14:schemeClr w14:val="tx1"/>
            </w14:solidFill>
          </w14:textFill>
        </w:rPr>
        <w:t>响应</w:t>
      </w:r>
      <w:r>
        <w:rPr>
          <w:rFonts w:hint="eastAsia" w:ascii="宋体" w:hAnsi="宋体" w:eastAsia="宋体" w:cs="宋体"/>
          <w:color w:val="000000" w:themeColor="text1"/>
          <w:sz w:val="24"/>
          <w:highlight w:val="none"/>
          <w:lang w:eastAsia="zh-CN"/>
          <w14:textFill>
            <w14:solidFill>
              <w14:schemeClr w14:val="tx1"/>
            </w14:solidFill>
          </w14:textFill>
        </w:rPr>
        <w:t>报价</w:t>
      </w:r>
      <w:r>
        <w:rPr>
          <w:rFonts w:hint="eastAsia" w:ascii="宋体" w:hAnsi="宋体" w:eastAsia="宋体" w:cs="宋体"/>
          <w:color w:val="000000" w:themeColor="text1"/>
          <w:sz w:val="24"/>
          <w:highlight w:val="none"/>
          <w14:textFill>
            <w14:solidFill>
              <w14:schemeClr w14:val="tx1"/>
            </w14:solidFill>
          </w14:textFill>
        </w:rPr>
        <w:t>由低到高顺序排列。评审得分且</w:t>
      </w:r>
      <w:r>
        <w:rPr>
          <w:rFonts w:hint="eastAsia" w:ascii="宋体" w:hAnsi="宋体" w:cs="宋体"/>
          <w:color w:val="000000" w:themeColor="text1"/>
          <w:sz w:val="24"/>
          <w:highlight w:val="none"/>
          <w:lang w:val="en-US" w:eastAsia="zh-CN"/>
          <w14:textFill>
            <w14:solidFill>
              <w14:schemeClr w14:val="tx1"/>
            </w14:solidFill>
          </w14:textFill>
        </w:rPr>
        <w:t>响应</w:t>
      </w:r>
      <w:r>
        <w:rPr>
          <w:rFonts w:hint="eastAsia" w:ascii="宋体" w:hAnsi="宋体" w:eastAsia="宋体" w:cs="宋体"/>
          <w:color w:val="000000" w:themeColor="text1"/>
          <w:sz w:val="24"/>
          <w:highlight w:val="none"/>
          <w14:textFill>
            <w14:solidFill>
              <w14:schemeClr w14:val="tx1"/>
            </w14:solidFill>
          </w14:textFill>
        </w:rPr>
        <w:t>报价相同的，按照</w:t>
      </w:r>
      <w:r>
        <w:rPr>
          <w:rFonts w:hint="eastAsia" w:ascii="宋体" w:hAnsi="宋体" w:cs="宋体"/>
          <w:color w:val="000000" w:themeColor="text1"/>
          <w:sz w:val="24"/>
          <w:highlight w:val="none"/>
          <w:lang w:val="en-US" w:eastAsia="zh-CN"/>
          <w14:textFill>
            <w14:solidFill>
              <w14:schemeClr w14:val="tx1"/>
            </w14:solidFill>
          </w14:textFill>
        </w:rPr>
        <w:t>技术</w:t>
      </w:r>
      <w:r>
        <w:rPr>
          <w:rFonts w:hint="eastAsia" w:ascii="宋体" w:hAnsi="宋体" w:eastAsia="宋体" w:cs="宋体"/>
          <w:color w:val="000000" w:themeColor="text1"/>
          <w:sz w:val="24"/>
          <w:highlight w:val="none"/>
          <w14:textFill>
            <w14:solidFill>
              <w14:schemeClr w14:val="tx1"/>
            </w14:solidFill>
          </w14:textFill>
        </w:rPr>
        <w:t>部分得分高低顺序排列推荐；以上都相同的，按商务部分得分高低顺序排列推荐。</w:t>
      </w:r>
    </w:p>
    <w:p w14:paraId="04B44BEB">
      <w:pPr>
        <w:pStyle w:val="5"/>
        <w:keepNext w:val="0"/>
        <w:keepLines w:val="0"/>
        <w:pageBreakBefore w:val="0"/>
        <w:widowControl w:val="0"/>
        <w:kinsoku w:val="0"/>
        <w:wordWrap/>
        <w:topLinePunct w:val="0"/>
        <w:autoSpaceDE w:val="0"/>
        <w:autoSpaceDN w:val="0"/>
        <w:bidi w:val="0"/>
        <w:adjustRightInd w:val="0"/>
        <w:snapToGrid w:val="0"/>
        <w:spacing w:line="500" w:lineRule="exact"/>
        <w:ind w:firstLine="482" w:firstLineChars="200"/>
        <w:rPr>
          <w:rFonts w:hint="eastAsia" w:ascii="宋体" w:hAnsi="宋体" w:eastAsia="宋体" w:cs="宋体"/>
          <w:b/>
          <w:color w:val="auto"/>
          <w:sz w:val="24"/>
          <w:szCs w:val="24"/>
          <w:highlight w:val="none"/>
        </w:rPr>
      </w:pPr>
      <w:bookmarkStart w:id="133" w:name="_Toc22772"/>
      <w:bookmarkStart w:id="134" w:name="_Toc17116"/>
      <w:bookmarkStart w:id="135" w:name="_Toc20875"/>
      <w:bookmarkStart w:id="136" w:name="_Toc20354"/>
      <w:bookmarkStart w:id="137" w:name="_Toc75793520"/>
      <w:bookmarkStart w:id="138" w:name="_Toc20699"/>
      <w:bookmarkStart w:id="139" w:name="_Toc15716"/>
      <w:bookmarkStart w:id="140" w:name="_Toc4511"/>
      <w:bookmarkStart w:id="141" w:name="_Toc267320057"/>
      <w:bookmarkStart w:id="142" w:name="_Toc19924"/>
      <w:bookmarkStart w:id="143" w:name="_Toc25814"/>
      <w:bookmarkStart w:id="144" w:name="_Toc1055"/>
      <w:bookmarkStart w:id="145" w:name="_Toc20800"/>
      <w:bookmarkStart w:id="146" w:name="_Toc6342"/>
      <w:bookmarkStart w:id="147" w:name="_Toc5799"/>
      <w:bookmarkStart w:id="148" w:name="_Toc5694"/>
      <w:bookmarkStart w:id="149" w:name="_Toc17311"/>
      <w:r>
        <w:rPr>
          <w:rFonts w:hint="eastAsia" w:ascii="宋体" w:hAnsi="宋体" w:eastAsia="宋体" w:cs="宋体"/>
          <w:b/>
          <w:color w:val="auto"/>
          <w:sz w:val="24"/>
          <w:szCs w:val="24"/>
          <w:highlight w:val="none"/>
        </w:rPr>
        <w:t>三、评标标准</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50AC3C56">
      <w:pPr>
        <w:keepNext w:val="0"/>
        <w:keepLines w:val="0"/>
        <w:pageBreakBefore w:val="0"/>
        <w:widowControl w:val="0"/>
        <w:kinsoku w:val="0"/>
        <w:wordWrap/>
        <w:overflowPunct/>
        <w:topLinePunct w:val="0"/>
        <w:autoSpaceDE w:val="0"/>
        <w:autoSpaceDN w:val="0"/>
        <w:bidi w:val="0"/>
        <w:adjustRightInd w:val="0"/>
        <w:snapToGrid w:val="0"/>
        <w:spacing w:after="157" w:afterLines="50" w:line="5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（一）评审因素</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1"/>
        <w:gridCol w:w="1483"/>
        <w:gridCol w:w="997"/>
        <w:gridCol w:w="4819"/>
        <w:gridCol w:w="1985"/>
      </w:tblGrid>
      <w:tr w14:paraId="3267E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63FA933">
            <w:pPr>
              <w:spacing w:line="276" w:lineRule="auto"/>
              <w:jc w:val="center"/>
              <w:rPr>
                <w:rFonts w:asciiTheme="minorEastAsia" w:hAnsiTheme="minorEastAsia" w:eastAsiaTheme="minorEastAsia"/>
                <w:b/>
                <w:color w:val="auto"/>
                <w:sz w:val="22"/>
                <w:szCs w:val="22"/>
                <w:highlight w:val="none"/>
              </w:rPr>
            </w:pPr>
            <w:r>
              <w:rPr>
                <w:rFonts w:hint="eastAsia" w:asciiTheme="minorEastAsia" w:hAnsiTheme="minorEastAsia" w:eastAsiaTheme="minorEastAsia"/>
                <w:b/>
                <w:color w:val="auto"/>
                <w:sz w:val="22"/>
                <w:szCs w:val="22"/>
                <w:highlight w:val="none"/>
              </w:rPr>
              <w:t>序号</w:t>
            </w:r>
          </w:p>
        </w:tc>
        <w:tc>
          <w:tcPr>
            <w:tcW w:w="0" w:type="auto"/>
            <w:vAlign w:val="center"/>
          </w:tcPr>
          <w:p w14:paraId="1DE3C0A2">
            <w:pPr>
              <w:spacing w:line="276" w:lineRule="auto"/>
              <w:jc w:val="center"/>
              <w:rPr>
                <w:rFonts w:asciiTheme="minorEastAsia" w:hAnsiTheme="minorEastAsia" w:eastAsiaTheme="minorEastAsia"/>
                <w:b/>
                <w:color w:val="auto"/>
                <w:sz w:val="22"/>
                <w:szCs w:val="22"/>
                <w:highlight w:val="none"/>
              </w:rPr>
            </w:pPr>
            <w:r>
              <w:rPr>
                <w:rFonts w:hint="eastAsia" w:asciiTheme="minorEastAsia" w:hAnsiTheme="minorEastAsia" w:eastAsiaTheme="minorEastAsia"/>
                <w:b/>
                <w:color w:val="auto"/>
                <w:sz w:val="22"/>
                <w:szCs w:val="22"/>
                <w:highlight w:val="none"/>
              </w:rPr>
              <w:t>评分因素及权值</w:t>
            </w:r>
          </w:p>
        </w:tc>
        <w:tc>
          <w:tcPr>
            <w:tcW w:w="997" w:type="dxa"/>
            <w:vAlign w:val="center"/>
          </w:tcPr>
          <w:p w14:paraId="7E3B5E29">
            <w:pPr>
              <w:spacing w:line="276" w:lineRule="auto"/>
              <w:jc w:val="center"/>
              <w:rPr>
                <w:rFonts w:asciiTheme="minorEastAsia" w:hAnsiTheme="minorEastAsia" w:eastAsiaTheme="minorEastAsia"/>
                <w:b/>
                <w:color w:val="auto"/>
                <w:sz w:val="22"/>
                <w:szCs w:val="22"/>
                <w:highlight w:val="none"/>
              </w:rPr>
            </w:pPr>
            <w:r>
              <w:rPr>
                <w:rFonts w:hint="eastAsia" w:asciiTheme="minorEastAsia" w:hAnsiTheme="minorEastAsia" w:eastAsiaTheme="minorEastAsia"/>
                <w:b/>
                <w:color w:val="auto"/>
                <w:sz w:val="22"/>
                <w:szCs w:val="22"/>
                <w:highlight w:val="none"/>
              </w:rPr>
              <w:t>分值</w:t>
            </w:r>
          </w:p>
        </w:tc>
        <w:tc>
          <w:tcPr>
            <w:tcW w:w="4819" w:type="dxa"/>
            <w:vAlign w:val="center"/>
          </w:tcPr>
          <w:p w14:paraId="3DE79BDD">
            <w:pPr>
              <w:spacing w:line="276" w:lineRule="auto"/>
              <w:jc w:val="center"/>
              <w:rPr>
                <w:rFonts w:asciiTheme="minorEastAsia" w:hAnsiTheme="minorEastAsia" w:eastAsiaTheme="minorEastAsia"/>
                <w:b/>
                <w:color w:val="auto"/>
                <w:sz w:val="22"/>
                <w:szCs w:val="22"/>
                <w:highlight w:val="none"/>
              </w:rPr>
            </w:pPr>
            <w:r>
              <w:rPr>
                <w:rFonts w:hint="eastAsia" w:asciiTheme="minorEastAsia" w:hAnsiTheme="minorEastAsia" w:eastAsiaTheme="minorEastAsia"/>
                <w:b/>
                <w:color w:val="auto"/>
                <w:sz w:val="22"/>
                <w:szCs w:val="22"/>
                <w:highlight w:val="none"/>
              </w:rPr>
              <w:t>评分标准</w:t>
            </w:r>
          </w:p>
        </w:tc>
        <w:tc>
          <w:tcPr>
            <w:tcW w:w="1985" w:type="dxa"/>
            <w:vAlign w:val="center"/>
          </w:tcPr>
          <w:p w14:paraId="6D199E8D">
            <w:pPr>
              <w:spacing w:line="276" w:lineRule="auto"/>
              <w:jc w:val="center"/>
              <w:rPr>
                <w:rFonts w:asciiTheme="minorEastAsia" w:hAnsiTheme="minorEastAsia" w:eastAsiaTheme="minorEastAsia"/>
                <w:b/>
                <w:color w:val="auto"/>
                <w:sz w:val="22"/>
                <w:szCs w:val="22"/>
                <w:highlight w:val="none"/>
              </w:rPr>
            </w:pPr>
            <w:r>
              <w:rPr>
                <w:rFonts w:hint="eastAsia" w:asciiTheme="minorEastAsia" w:hAnsiTheme="minorEastAsia" w:eastAsiaTheme="minorEastAsia"/>
                <w:b/>
                <w:color w:val="auto"/>
                <w:sz w:val="22"/>
                <w:szCs w:val="22"/>
                <w:highlight w:val="none"/>
              </w:rPr>
              <w:t>说明</w:t>
            </w:r>
          </w:p>
        </w:tc>
      </w:tr>
      <w:tr w14:paraId="151EA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bottom w:val="single" w:color="auto" w:sz="4" w:space="0"/>
            </w:tcBorders>
            <w:vAlign w:val="center"/>
          </w:tcPr>
          <w:p w14:paraId="7C2C7575">
            <w:pPr>
              <w:spacing w:line="276"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0" w:type="auto"/>
            <w:tcBorders>
              <w:bottom w:val="single" w:color="auto" w:sz="4" w:space="0"/>
            </w:tcBorders>
            <w:vAlign w:val="center"/>
          </w:tcPr>
          <w:p w14:paraId="75E9B4B8">
            <w:pPr>
              <w:spacing w:line="276"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响应</w:t>
            </w:r>
            <w:r>
              <w:rPr>
                <w:rFonts w:hint="eastAsia" w:asciiTheme="minorEastAsia" w:hAnsiTheme="minorEastAsia" w:eastAsiaTheme="minorEastAsia"/>
                <w:color w:val="auto"/>
                <w:sz w:val="24"/>
                <w:szCs w:val="24"/>
                <w:highlight w:val="none"/>
              </w:rPr>
              <w:t>报价</w:t>
            </w:r>
          </w:p>
          <w:p w14:paraId="68A85AA9">
            <w:pPr>
              <w:spacing w:line="276"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15</w:t>
            </w:r>
            <w:r>
              <w:rPr>
                <w:rFonts w:hint="eastAsia" w:asciiTheme="minorEastAsia" w:hAnsiTheme="minorEastAsia" w:eastAsiaTheme="minorEastAsia"/>
                <w:color w:val="auto"/>
                <w:sz w:val="24"/>
                <w:szCs w:val="24"/>
                <w:highlight w:val="none"/>
              </w:rPr>
              <w:t>%）</w:t>
            </w:r>
          </w:p>
        </w:tc>
        <w:tc>
          <w:tcPr>
            <w:tcW w:w="997" w:type="dxa"/>
            <w:tcBorders>
              <w:bottom w:val="single" w:color="auto" w:sz="4" w:space="0"/>
            </w:tcBorders>
            <w:vAlign w:val="center"/>
          </w:tcPr>
          <w:p w14:paraId="4605B99D">
            <w:pPr>
              <w:spacing w:line="276"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15</w:t>
            </w:r>
            <w:r>
              <w:rPr>
                <w:rFonts w:hint="eastAsia" w:asciiTheme="minorEastAsia" w:hAnsiTheme="minorEastAsia" w:eastAsiaTheme="minorEastAsia"/>
                <w:color w:val="auto"/>
                <w:sz w:val="24"/>
                <w:szCs w:val="24"/>
                <w:highlight w:val="none"/>
              </w:rPr>
              <w:t>分</w:t>
            </w:r>
          </w:p>
        </w:tc>
        <w:tc>
          <w:tcPr>
            <w:tcW w:w="4819" w:type="dxa"/>
            <w:tcBorders>
              <w:bottom w:val="single" w:color="auto" w:sz="4" w:space="0"/>
            </w:tcBorders>
            <w:vAlign w:val="center"/>
          </w:tcPr>
          <w:p w14:paraId="79932E2D">
            <w:pPr>
              <w:spacing w:line="276"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有效的</w:t>
            </w:r>
            <w:r>
              <w:rPr>
                <w:rFonts w:hint="eastAsia" w:asciiTheme="minorEastAsia" w:hAnsiTheme="minorEastAsia" w:eastAsiaTheme="minorEastAsia"/>
                <w:color w:val="auto"/>
                <w:sz w:val="24"/>
                <w:szCs w:val="24"/>
                <w:highlight w:val="none"/>
                <w:lang w:eastAsia="zh-CN"/>
              </w:rPr>
              <w:t>响应报价</w:t>
            </w:r>
            <w:r>
              <w:rPr>
                <w:rFonts w:hint="eastAsia" w:asciiTheme="minorEastAsia" w:hAnsiTheme="minorEastAsia" w:eastAsiaTheme="minorEastAsia"/>
                <w:color w:val="auto"/>
                <w:sz w:val="24"/>
                <w:szCs w:val="24"/>
                <w:highlight w:val="none"/>
              </w:rPr>
              <w:t>中的最低价为评标基准价，其价格分为满分。其他供应商的价格分统一按照下列公式计算：</w:t>
            </w:r>
          </w:p>
          <w:p w14:paraId="64FBE63D">
            <w:pPr>
              <w:spacing w:line="276"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eastAsia="zh-CN"/>
              </w:rPr>
              <w:t>响应报价</w:t>
            </w:r>
            <w:r>
              <w:rPr>
                <w:rFonts w:hint="eastAsia" w:asciiTheme="minorEastAsia" w:hAnsiTheme="minorEastAsia" w:eastAsiaTheme="minorEastAsia"/>
                <w:color w:val="auto"/>
                <w:sz w:val="24"/>
                <w:szCs w:val="24"/>
                <w:highlight w:val="none"/>
              </w:rPr>
              <w:t>得分＝（评标基准价/</w:t>
            </w:r>
            <w:r>
              <w:rPr>
                <w:rFonts w:hint="eastAsia" w:asciiTheme="minorEastAsia" w:hAnsiTheme="minorEastAsia" w:eastAsiaTheme="minorEastAsia"/>
                <w:color w:val="auto"/>
                <w:sz w:val="24"/>
                <w:szCs w:val="24"/>
                <w:highlight w:val="none"/>
                <w:lang w:val="en-US" w:eastAsia="zh-CN"/>
              </w:rPr>
              <w:t>响应</w:t>
            </w:r>
            <w:r>
              <w:rPr>
                <w:rFonts w:hint="eastAsia" w:asciiTheme="minorEastAsia" w:hAnsiTheme="minorEastAsia" w:eastAsiaTheme="minorEastAsia"/>
                <w:color w:val="auto"/>
                <w:sz w:val="24"/>
                <w:szCs w:val="24"/>
                <w:highlight w:val="none"/>
              </w:rPr>
              <w:t xml:space="preserve">报价）×价格权重×100。 </w:t>
            </w:r>
          </w:p>
        </w:tc>
        <w:tc>
          <w:tcPr>
            <w:tcW w:w="1985" w:type="dxa"/>
            <w:tcBorders>
              <w:bottom w:val="single" w:color="auto" w:sz="4" w:space="0"/>
            </w:tcBorders>
            <w:vAlign w:val="center"/>
          </w:tcPr>
          <w:p w14:paraId="7CC9E88E">
            <w:pPr>
              <w:spacing w:line="276"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计算结果保留小数点后两位，第三位四舍五入。</w:t>
            </w:r>
          </w:p>
        </w:tc>
      </w:tr>
      <w:tr w14:paraId="46378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Borders>
              <w:top w:val="single" w:color="auto" w:sz="4" w:space="0"/>
            </w:tcBorders>
            <w:vAlign w:val="center"/>
          </w:tcPr>
          <w:p w14:paraId="10BA0C2E">
            <w:pPr>
              <w:spacing w:line="276"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0" w:type="auto"/>
            <w:vMerge w:val="restart"/>
            <w:tcBorders>
              <w:top w:val="single" w:color="auto" w:sz="4" w:space="0"/>
            </w:tcBorders>
            <w:vAlign w:val="center"/>
          </w:tcPr>
          <w:p w14:paraId="6844D9DF">
            <w:pPr>
              <w:spacing w:line="276"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技术部分</w:t>
            </w:r>
          </w:p>
          <w:p w14:paraId="20556DC7">
            <w:pPr>
              <w:spacing w:line="276"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（60%）</w:t>
            </w:r>
          </w:p>
        </w:tc>
        <w:tc>
          <w:tcPr>
            <w:tcW w:w="997" w:type="dxa"/>
            <w:tcBorders>
              <w:top w:val="single" w:color="auto" w:sz="4" w:space="0"/>
            </w:tcBorders>
            <w:vAlign w:val="center"/>
          </w:tcPr>
          <w:p w14:paraId="17D336A1">
            <w:pPr>
              <w:spacing w:line="276"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lang w:val="en-US" w:eastAsia="zh-CN"/>
              </w:rPr>
              <w:t>5</w:t>
            </w:r>
            <w:r>
              <w:rPr>
                <w:rFonts w:hint="eastAsia" w:asciiTheme="minorEastAsia" w:hAnsiTheme="minorEastAsia" w:eastAsiaTheme="minorEastAsia"/>
                <w:color w:val="auto"/>
                <w:sz w:val="24"/>
                <w:szCs w:val="24"/>
                <w:highlight w:val="none"/>
              </w:rPr>
              <w:t>分</w:t>
            </w:r>
          </w:p>
        </w:tc>
        <w:tc>
          <w:tcPr>
            <w:tcW w:w="4819" w:type="dxa"/>
            <w:tcBorders>
              <w:top w:val="single" w:color="auto" w:sz="4" w:space="0"/>
            </w:tcBorders>
            <w:vAlign w:val="center"/>
          </w:tcPr>
          <w:p w14:paraId="01BF8761">
            <w:pPr>
              <w:spacing w:line="276"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内容完整性和编制水平</w:t>
            </w:r>
          </w:p>
          <w:p w14:paraId="5048C698">
            <w:pPr>
              <w:spacing w:line="276"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编制要点：内容齐全，符合相关规定，语言简明、准确、规范。</w:t>
            </w:r>
          </w:p>
          <w:p w14:paraId="12A165CE">
            <w:pPr>
              <w:spacing w:line="276"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方案内容不存在瑕疵得1</w:t>
            </w:r>
            <w:r>
              <w:rPr>
                <w:rFonts w:hint="eastAsia" w:asciiTheme="minorEastAsia" w:hAnsiTheme="minorEastAsia" w:eastAsiaTheme="minorEastAsia"/>
                <w:color w:val="auto"/>
                <w:sz w:val="24"/>
                <w:szCs w:val="24"/>
                <w:highlight w:val="none"/>
                <w:lang w:val="en-US" w:eastAsia="zh-CN"/>
              </w:rPr>
              <w:t>5</w:t>
            </w:r>
            <w:r>
              <w:rPr>
                <w:rFonts w:hint="eastAsia" w:asciiTheme="minorEastAsia" w:hAnsiTheme="minorEastAsia" w:eastAsiaTheme="minorEastAsia"/>
                <w:color w:val="auto"/>
                <w:sz w:val="24"/>
                <w:szCs w:val="24"/>
                <w:highlight w:val="none"/>
              </w:rPr>
              <w:t>分；</w:t>
            </w:r>
          </w:p>
          <w:p w14:paraId="05F8FECC">
            <w:pPr>
              <w:spacing w:line="276"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方案内容存在</w:t>
            </w:r>
            <w:r>
              <w:rPr>
                <w:rFonts w:asciiTheme="minorEastAsia" w:hAnsiTheme="minorEastAsia" w:eastAsiaTheme="minorEastAsia"/>
                <w:color w:val="auto"/>
                <w:sz w:val="24"/>
                <w:szCs w:val="24"/>
                <w:highlight w:val="none"/>
              </w:rPr>
              <w:t>1处瑕疵得</w:t>
            </w:r>
            <w:r>
              <w:rPr>
                <w:rFonts w:hint="eastAsia" w:asciiTheme="minorEastAsia" w:hAnsiTheme="minorEastAsia" w:eastAsiaTheme="minorEastAsia"/>
                <w:color w:val="auto"/>
                <w:sz w:val="24"/>
                <w:szCs w:val="24"/>
                <w:highlight w:val="none"/>
                <w:lang w:val="en-US" w:eastAsia="zh-CN"/>
              </w:rPr>
              <w:t>10</w:t>
            </w:r>
            <w:r>
              <w:rPr>
                <w:rFonts w:hint="eastAsia" w:asciiTheme="minorEastAsia" w:hAnsiTheme="minorEastAsia" w:eastAsiaTheme="minorEastAsia"/>
                <w:color w:val="auto"/>
                <w:sz w:val="24"/>
                <w:szCs w:val="24"/>
                <w:highlight w:val="none"/>
              </w:rPr>
              <w:t>分；</w:t>
            </w:r>
          </w:p>
          <w:p w14:paraId="3ADC627B">
            <w:pPr>
              <w:spacing w:line="276"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方案内容存在</w:t>
            </w:r>
            <w:r>
              <w:rPr>
                <w:rFonts w:asciiTheme="minorEastAsia" w:hAnsiTheme="minorEastAsia" w:eastAsiaTheme="minorEastAsia"/>
                <w:color w:val="auto"/>
                <w:sz w:val="24"/>
                <w:szCs w:val="24"/>
                <w:highlight w:val="none"/>
              </w:rPr>
              <w:t>2处瑕疵的</w:t>
            </w:r>
            <w:r>
              <w:rPr>
                <w:rFonts w:hint="eastAsia" w:asciiTheme="minorEastAsia" w:hAnsiTheme="minorEastAsia" w:eastAsiaTheme="minorEastAsia"/>
                <w:color w:val="auto"/>
                <w:sz w:val="24"/>
                <w:szCs w:val="24"/>
                <w:highlight w:val="none"/>
                <w:lang w:val="en-US" w:eastAsia="zh-CN"/>
              </w:rPr>
              <w:t>5</w:t>
            </w:r>
            <w:r>
              <w:rPr>
                <w:rFonts w:hint="eastAsia" w:asciiTheme="minorEastAsia" w:hAnsiTheme="minorEastAsia" w:eastAsiaTheme="minorEastAsia"/>
                <w:color w:val="auto"/>
                <w:sz w:val="24"/>
                <w:szCs w:val="24"/>
                <w:highlight w:val="none"/>
              </w:rPr>
              <w:t>分；</w:t>
            </w:r>
          </w:p>
          <w:p w14:paraId="33B3252A">
            <w:pPr>
              <w:spacing w:line="276"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方案内容存在</w:t>
            </w:r>
            <w:r>
              <w:rPr>
                <w:rFonts w:asciiTheme="minorEastAsia" w:hAnsiTheme="minorEastAsia" w:eastAsiaTheme="minorEastAsia"/>
                <w:color w:val="auto"/>
                <w:sz w:val="24"/>
                <w:szCs w:val="24"/>
                <w:highlight w:val="none"/>
              </w:rPr>
              <w:t>3处及以上瑕疵的或未提供方案得0分。</w:t>
            </w:r>
          </w:p>
        </w:tc>
        <w:tc>
          <w:tcPr>
            <w:tcW w:w="1985" w:type="dxa"/>
            <w:vMerge w:val="restart"/>
            <w:tcBorders>
              <w:top w:val="single" w:color="auto" w:sz="4" w:space="0"/>
            </w:tcBorders>
            <w:vAlign w:val="bottom"/>
          </w:tcPr>
          <w:p w14:paraId="5BBB5647">
            <w:pPr>
              <w:kinsoku w:val="0"/>
              <w:autoSpaceDE w:val="0"/>
              <w:autoSpaceDN w:val="0"/>
              <w:adjustRightInd w:val="0"/>
              <w:snapToGrid w:val="0"/>
              <w:spacing w:line="360" w:lineRule="auto"/>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lang w:val="en-US" w:eastAsia="zh-CN"/>
              </w:rPr>
              <w:t>比选</w:t>
            </w:r>
            <w:r>
              <w:rPr>
                <w:rFonts w:hint="eastAsia" w:asciiTheme="minorEastAsia" w:hAnsiTheme="minorEastAsia" w:eastAsiaTheme="minorEastAsia"/>
                <w:b/>
                <w:color w:val="auto"/>
                <w:sz w:val="24"/>
                <w:szCs w:val="24"/>
                <w:highlight w:val="none"/>
              </w:rPr>
              <w:t>小组会根据采购服务要求为标准，对各供应商提供的各项书面方案进行综合评分。</w:t>
            </w:r>
          </w:p>
        </w:tc>
      </w:tr>
      <w:tr w14:paraId="281F3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17774CA7">
            <w:pPr>
              <w:spacing w:line="276" w:lineRule="auto"/>
              <w:jc w:val="center"/>
              <w:rPr>
                <w:rFonts w:asciiTheme="minorEastAsia" w:hAnsiTheme="minorEastAsia" w:eastAsiaTheme="minorEastAsia"/>
                <w:color w:val="auto"/>
                <w:sz w:val="24"/>
                <w:szCs w:val="24"/>
                <w:highlight w:val="none"/>
              </w:rPr>
            </w:pPr>
          </w:p>
        </w:tc>
        <w:tc>
          <w:tcPr>
            <w:tcW w:w="0" w:type="auto"/>
            <w:vMerge w:val="continue"/>
            <w:vAlign w:val="center"/>
          </w:tcPr>
          <w:p w14:paraId="0EAABDF3">
            <w:pPr>
              <w:spacing w:line="276" w:lineRule="auto"/>
              <w:jc w:val="center"/>
              <w:rPr>
                <w:rFonts w:asciiTheme="minorEastAsia" w:hAnsiTheme="minorEastAsia" w:eastAsiaTheme="minorEastAsia"/>
                <w:color w:val="auto"/>
                <w:sz w:val="24"/>
                <w:szCs w:val="24"/>
                <w:highlight w:val="none"/>
              </w:rPr>
            </w:pPr>
          </w:p>
        </w:tc>
        <w:tc>
          <w:tcPr>
            <w:tcW w:w="997" w:type="dxa"/>
            <w:vAlign w:val="center"/>
          </w:tcPr>
          <w:p w14:paraId="1B71A68B">
            <w:pPr>
              <w:spacing w:line="276"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10分</w:t>
            </w:r>
          </w:p>
        </w:tc>
        <w:tc>
          <w:tcPr>
            <w:tcW w:w="4819" w:type="dxa"/>
            <w:tcBorders>
              <w:top w:val="single" w:color="auto" w:sz="4" w:space="0"/>
            </w:tcBorders>
            <w:vAlign w:val="center"/>
          </w:tcPr>
          <w:p w14:paraId="3532015A">
            <w:pPr>
              <w:spacing w:line="276"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施工方案与技术措施</w:t>
            </w:r>
          </w:p>
          <w:p w14:paraId="598C08B2">
            <w:pPr>
              <w:spacing w:line="276"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编制要点：施工组织设计、规程措施针对性强，便于施工，施工技术适用性强。</w:t>
            </w:r>
          </w:p>
          <w:p w14:paraId="5F4F1D32">
            <w:pPr>
              <w:spacing w:line="276"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方案内容不存在瑕疵得10分；</w:t>
            </w:r>
          </w:p>
          <w:p w14:paraId="1FD02DEE">
            <w:pPr>
              <w:spacing w:line="276"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方案内容存在1处瑕疵得7分；</w:t>
            </w:r>
          </w:p>
          <w:p w14:paraId="6E2B0182">
            <w:pPr>
              <w:spacing w:line="276"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方案内容存在2处瑕疵的4分；</w:t>
            </w:r>
          </w:p>
          <w:p w14:paraId="0F431DD9">
            <w:pPr>
              <w:spacing w:line="276"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方案内容存在3处及以上瑕疵的或未提供方案得0分。</w:t>
            </w:r>
          </w:p>
        </w:tc>
        <w:tc>
          <w:tcPr>
            <w:tcW w:w="1985" w:type="dxa"/>
            <w:vMerge w:val="continue"/>
            <w:vAlign w:val="center"/>
          </w:tcPr>
          <w:p w14:paraId="7F377369">
            <w:pPr>
              <w:spacing w:line="276" w:lineRule="auto"/>
              <w:rPr>
                <w:rFonts w:asciiTheme="minorEastAsia" w:hAnsiTheme="minorEastAsia" w:eastAsiaTheme="minorEastAsia"/>
                <w:color w:val="auto"/>
                <w:sz w:val="24"/>
                <w:szCs w:val="24"/>
                <w:highlight w:val="none"/>
              </w:rPr>
            </w:pPr>
          </w:p>
        </w:tc>
      </w:tr>
      <w:tr w14:paraId="5DFCA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1183A830">
            <w:pPr>
              <w:spacing w:line="276" w:lineRule="auto"/>
              <w:jc w:val="center"/>
              <w:rPr>
                <w:rFonts w:asciiTheme="minorEastAsia" w:hAnsiTheme="minorEastAsia" w:eastAsiaTheme="minorEastAsia"/>
                <w:color w:val="auto"/>
                <w:sz w:val="24"/>
                <w:szCs w:val="24"/>
                <w:highlight w:val="none"/>
              </w:rPr>
            </w:pPr>
          </w:p>
        </w:tc>
        <w:tc>
          <w:tcPr>
            <w:tcW w:w="0" w:type="auto"/>
            <w:vMerge w:val="continue"/>
            <w:vAlign w:val="center"/>
          </w:tcPr>
          <w:p w14:paraId="1BC3D06A">
            <w:pPr>
              <w:spacing w:line="276" w:lineRule="auto"/>
              <w:jc w:val="center"/>
              <w:rPr>
                <w:rFonts w:asciiTheme="minorEastAsia" w:hAnsiTheme="minorEastAsia" w:eastAsiaTheme="minorEastAsia"/>
                <w:color w:val="auto"/>
                <w:sz w:val="24"/>
                <w:szCs w:val="24"/>
                <w:highlight w:val="none"/>
              </w:rPr>
            </w:pPr>
          </w:p>
        </w:tc>
        <w:tc>
          <w:tcPr>
            <w:tcW w:w="997" w:type="dxa"/>
            <w:vAlign w:val="center"/>
          </w:tcPr>
          <w:p w14:paraId="3AC33865">
            <w:pPr>
              <w:spacing w:line="276"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10分</w:t>
            </w:r>
          </w:p>
        </w:tc>
        <w:tc>
          <w:tcPr>
            <w:tcW w:w="4819" w:type="dxa"/>
            <w:tcBorders>
              <w:top w:val="single" w:color="auto" w:sz="4" w:space="0"/>
            </w:tcBorders>
            <w:vAlign w:val="center"/>
          </w:tcPr>
          <w:p w14:paraId="62A41AD2">
            <w:pPr>
              <w:spacing w:line="276"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质量管理体系与措施</w:t>
            </w:r>
          </w:p>
          <w:p w14:paraId="1933EC7E">
            <w:pPr>
              <w:spacing w:line="276"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编制要点：施工质量保证体系和质量检查监督机构健全，并有有效的控制措施和手段。</w:t>
            </w:r>
          </w:p>
          <w:p w14:paraId="3616DFC8">
            <w:pPr>
              <w:spacing w:line="276"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方案内容不存在瑕疵得10分；</w:t>
            </w:r>
          </w:p>
          <w:p w14:paraId="2C7EEC78">
            <w:pPr>
              <w:spacing w:line="276"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方案内容存在1处瑕疵得7分；</w:t>
            </w:r>
          </w:p>
          <w:p w14:paraId="63598A4A">
            <w:pPr>
              <w:spacing w:line="276"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方案内容存在2处瑕疵的4分；</w:t>
            </w:r>
          </w:p>
          <w:p w14:paraId="4F728BEA">
            <w:pPr>
              <w:spacing w:line="276"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方案内容存在3处及以上瑕疵的或未提供方案得0分。</w:t>
            </w:r>
          </w:p>
        </w:tc>
        <w:tc>
          <w:tcPr>
            <w:tcW w:w="1985" w:type="dxa"/>
            <w:vMerge w:val="continue"/>
            <w:vAlign w:val="center"/>
          </w:tcPr>
          <w:p w14:paraId="08394657">
            <w:pPr>
              <w:spacing w:line="276" w:lineRule="auto"/>
              <w:rPr>
                <w:rFonts w:asciiTheme="minorEastAsia" w:hAnsiTheme="minorEastAsia" w:eastAsiaTheme="minorEastAsia"/>
                <w:color w:val="auto"/>
                <w:sz w:val="24"/>
                <w:szCs w:val="24"/>
                <w:highlight w:val="none"/>
              </w:rPr>
            </w:pPr>
          </w:p>
        </w:tc>
      </w:tr>
      <w:tr w14:paraId="721A4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07BDFB64">
            <w:pPr>
              <w:spacing w:line="276" w:lineRule="auto"/>
              <w:rPr>
                <w:rFonts w:asciiTheme="minorEastAsia" w:hAnsiTheme="minorEastAsia" w:eastAsiaTheme="minorEastAsia"/>
                <w:color w:val="auto"/>
                <w:sz w:val="24"/>
                <w:szCs w:val="24"/>
                <w:highlight w:val="none"/>
              </w:rPr>
            </w:pPr>
          </w:p>
        </w:tc>
        <w:tc>
          <w:tcPr>
            <w:tcW w:w="0" w:type="auto"/>
            <w:vMerge w:val="continue"/>
            <w:vAlign w:val="center"/>
          </w:tcPr>
          <w:p w14:paraId="6C72E3CE">
            <w:pPr>
              <w:spacing w:line="276" w:lineRule="auto"/>
              <w:rPr>
                <w:rFonts w:asciiTheme="minorEastAsia" w:hAnsiTheme="minorEastAsia" w:eastAsiaTheme="minorEastAsia"/>
                <w:color w:val="auto"/>
                <w:sz w:val="24"/>
                <w:szCs w:val="24"/>
                <w:highlight w:val="none"/>
              </w:rPr>
            </w:pPr>
          </w:p>
        </w:tc>
        <w:tc>
          <w:tcPr>
            <w:tcW w:w="997" w:type="dxa"/>
            <w:vAlign w:val="center"/>
          </w:tcPr>
          <w:p w14:paraId="5FBC2789">
            <w:pPr>
              <w:spacing w:line="276"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10分</w:t>
            </w:r>
          </w:p>
        </w:tc>
        <w:tc>
          <w:tcPr>
            <w:tcW w:w="4819" w:type="dxa"/>
            <w:tcBorders>
              <w:top w:val="single" w:color="auto" w:sz="4" w:space="0"/>
            </w:tcBorders>
            <w:vAlign w:val="center"/>
          </w:tcPr>
          <w:p w14:paraId="058BC265">
            <w:pPr>
              <w:spacing w:line="276"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安全管理体系与措施</w:t>
            </w:r>
          </w:p>
          <w:p w14:paraId="0D9B1CB6">
            <w:pPr>
              <w:spacing w:line="276"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编制要点：建立了施工安全保障体系，施工现场管理人员安全生产职责明确、施工安全保证目标明确，针对工程特点、周边环境和施工工艺，确定危险源并制定具体的防护措施。</w:t>
            </w:r>
          </w:p>
          <w:p w14:paraId="7DA117B2">
            <w:pPr>
              <w:spacing w:line="276"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方案内容不存在瑕疵得10分；</w:t>
            </w:r>
          </w:p>
          <w:p w14:paraId="077D4569">
            <w:pPr>
              <w:spacing w:line="276"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方案内容存在1处瑕疵得7分；</w:t>
            </w:r>
          </w:p>
          <w:p w14:paraId="3FFBDF11">
            <w:pPr>
              <w:spacing w:line="276"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方案内容存在2处瑕疵的4分；</w:t>
            </w:r>
          </w:p>
          <w:p w14:paraId="73737B77">
            <w:pPr>
              <w:spacing w:line="276"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方案内容存在3处及以上瑕疵的或未提供方案得0分。</w:t>
            </w:r>
          </w:p>
        </w:tc>
        <w:tc>
          <w:tcPr>
            <w:tcW w:w="1985" w:type="dxa"/>
            <w:vMerge w:val="continue"/>
            <w:vAlign w:val="center"/>
          </w:tcPr>
          <w:p w14:paraId="08A2171D">
            <w:pPr>
              <w:spacing w:line="276" w:lineRule="auto"/>
              <w:rPr>
                <w:rFonts w:asciiTheme="minorEastAsia" w:hAnsiTheme="minorEastAsia" w:eastAsiaTheme="minorEastAsia"/>
                <w:color w:val="auto"/>
                <w:sz w:val="24"/>
                <w:szCs w:val="24"/>
                <w:highlight w:val="none"/>
              </w:rPr>
            </w:pPr>
          </w:p>
        </w:tc>
      </w:tr>
      <w:tr w14:paraId="5EE58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0470B3D2">
            <w:pPr>
              <w:spacing w:line="276" w:lineRule="auto"/>
              <w:rPr>
                <w:rFonts w:asciiTheme="minorEastAsia" w:hAnsiTheme="minorEastAsia" w:eastAsiaTheme="minorEastAsia"/>
                <w:color w:val="auto"/>
                <w:sz w:val="24"/>
                <w:szCs w:val="24"/>
                <w:highlight w:val="none"/>
              </w:rPr>
            </w:pPr>
          </w:p>
        </w:tc>
        <w:tc>
          <w:tcPr>
            <w:tcW w:w="0" w:type="auto"/>
            <w:vMerge w:val="continue"/>
            <w:vAlign w:val="center"/>
          </w:tcPr>
          <w:p w14:paraId="3BE448CA">
            <w:pPr>
              <w:spacing w:line="276" w:lineRule="auto"/>
              <w:rPr>
                <w:rFonts w:asciiTheme="minorEastAsia" w:hAnsiTheme="minorEastAsia" w:eastAsiaTheme="minorEastAsia"/>
                <w:color w:val="auto"/>
                <w:sz w:val="24"/>
                <w:szCs w:val="24"/>
                <w:highlight w:val="none"/>
              </w:rPr>
            </w:pPr>
          </w:p>
        </w:tc>
        <w:tc>
          <w:tcPr>
            <w:tcW w:w="997" w:type="dxa"/>
            <w:vAlign w:val="center"/>
          </w:tcPr>
          <w:p w14:paraId="18D97EC1">
            <w:pPr>
              <w:spacing w:line="276"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5分</w:t>
            </w:r>
          </w:p>
        </w:tc>
        <w:tc>
          <w:tcPr>
            <w:tcW w:w="4819" w:type="dxa"/>
            <w:tcBorders>
              <w:top w:val="single" w:color="auto" w:sz="4" w:space="0"/>
              <w:bottom w:val="single" w:color="auto" w:sz="4" w:space="0"/>
            </w:tcBorders>
            <w:vAlign w:val="center"/>
          </w:tcPr>
          <w:p w14:paraId="6138EEF1">
            <w:pPr>
              <w:spacing w:line="276"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工程进度计划与措施</w:t>
            </w:r>
          </w:p>
          <w:p w14:paraId="56CFCEF5">
            <w:pPr>
              <w:spacing w:line="276"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编制要点：具备有效的进度控制计划、赶工方案，冬雨季专项施工方案。</w:t>
            </w:r>
          </w:p>
          <w:p w14:paraId="20CFD9B8">
            <w:pPr>
              <w:spacing w:line="276"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方案内容不存在瑕疵得5分；</w:t>
            </w:r>
          </w:p>
          <w:p w14:paraId="47F0E51B">
            <w:pPr>
              <w:spacing w:line="276"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方案内容存在1处瑕疵得3分；</w:t>
            </w:r>
          </w:p>
          <w:p w14:paraId="75CF51F7">
            <w:pPr>
              <w:spacing w:line="276"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方案内容存在2处瑕疵的1分；</w:t>
            </w:r>
          </w:p>
          <w:p w14:paraId="5F490EC9">
            <w:pPr>
              <w:spacing w:line="276"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方案内容存在3处及以上瑕疵的或未提供方案得0分。</w:t>
            </w:r>
          </w:p>
        </w:tc>
        <w:tc>
          <w:tcPr>
            <w:tcW w:w="1985" w:type="dxa"/>
            <w:vMerge w:val="continue"/>
            <w:vAlign w:val="center"/>
          </w:tcPr>
          <w:p w14:paraId="17B23035">
            <w:pPr>
              <w:spacing w:line="276" w:lineRule="auto"/>
              <w:rPr>
                <w:rFonts w:asciiTheme="minorEastAsia" w:hAnsiTheme="minorEastAsia" w:eastAsiaTheme="minorEastAsia"/>
                <w:color w:val="auto"/>
                <w:sz w:val="24"/>
                <w:szCs w:val="24"/>
                <w:highlight w:val="none"/>
              </w:rPr>
            </w:pPr>
          </w:p>
        </w:tc>
      </w:tr>
      <w:tr w14:paraId="1636B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6C712F7B">
            <w:pPr>
              <w:spacing w:line="276" w:lineRule="auto"/>
              <w:rPr>
                <w:rFonts w:asciiTheme="minorEastAsia" w:hAnsiTheme="minorEastAsia" w:eastAsiaTheme="minorEastAsia"/>
                <w:color w:val="auto"/>
                <w:sz w:val="24"/>
                <w:szCs w:val="24"/>
                <w:highlight w:val="none"/>
              </w:rPr>
            </w:pPr>
          </w:p>
        </w:tc>
        <w:tc>
          <w:tcPr>
            <w:tcW w:w="0" w:type="auto"/>
            <w:vMerge w:val="continue"/>
            <w:vAlign w:val="center"/>
          </w:tcPr>
          <w:p w14:paraId="04A05DA4">
            <w:pPr>
              <w:spacing w:line="276" w:lineRule="auto"/>
              <w:rPr>
                <w:rFonts w:asciiTheme="minorEastAsia" w:hAnsiTheme="minorEastAsia" w:eastAsiaTheme="minorEastAsia"/>
                <w:color w:val="auto"/>
                <w:sz w:val="24"/>
                <w:szCs w:val="24"/>
                <w:highlight w:val="none"/>
              </w:rPr>
            </w:pPr>
          </w:p>
        </w:tc>
        <w:tc>
          <w:tcPr>
            <w:tcW w:w="997" w:type="dxa"/>
            <w:vAlign w:val="center"/>
          </w:tcPr>
          <w:p w14:paraId="48A2E2F6">
            <w:pPr>
              <w:spacing w:line="276"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10</w:t>
            </w:r>
            <w:r>
              <w:rPr>
                <w:rFonts w:hint="eastAsia" w:asciiTheme="minorEastAsia" w:hAnsiTheme="minorEastAsia" w:eastAsiaTheme="minorEastAsia"/>
                <w:color w:val="auto"/>
                <w:sz w:val="24"/>
                <w:szCs w:val="24"/>
                <w:highlight w:val="none"/>
              </w:rPr>
              <w:t>分</w:t>
            </w:r>
          </w:p>
        </w:tc>
        <w:tc>
          <w:tcPr>
            <w:tcW w:w="4819" w:type="dxa"/>
            <w:tcBorders>
              <w:top w:val="single" w:color="auto" w:sz="4" w:space="0"/>
              <w:bottom w:val="single" w:color="auto" w:sz="4" w:space="0"/>
            </w:tcBorders>
            <w:vAlign w:val="center"/>
          </w:tcPr>
          <w:p w14:paraId="37BA3B81">
            <w:pPr>
              <w:spacing w:line="276"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资源配备计划与先进性</w:t>
            </w:r>
          </w:p>
          <w:p w14:paraId="545924E1">
            <w:pPr>
              <w:spacing w:line="276"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编制要点：施工设备、材料和人力能保证施工顺畅，有备用计划。</w:t>
            </w:r>
          </w:p>
          <w:p w14:paraId="2F9CE851">
            <w:pPr>
              <w:spacing w:line="276"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方案内容不存在瑕疵得</w:t>
            </w:r>
            <w:r>
              <w:rPr>
                <w:rFonts w:hint="eastAsia" w:asciiTheme="minorEastAsia" w:hAnsiTheme="minorEastAsia" w:eastAsiaTheme="minorEastAsia"/>
                <w:color w:val="auto"/>
                <w:sz w:val="24"/>
                <w:szCs w:val="24"/>
                <w:highlight w:val="none"/>
                <w:lang w:val="en-US" w:eastAsia="zh-CN"/>
              </w:rPr>
              <w:t>10</w:t>
            </w:r>
            <w:r>
              <w:rPr>
                <w:rFonts w:hint="eastAsia" w:asciiTheme="minorEastAsia" w:hAnsiTheme="minorEastAsia" w:eastAsiaTheme="minorEastAsia"/>
                <w:color w:val="auto"/>
                <w:sz w:val="24"/>
                <w:szCs w:val="24"/>
                <w:highlight w:val="none"/>
              </w:rPr>
              <w:t>分；</w:t>
            </w:r>
          </w:p>
          <w:p w14:paraId="7D77503F">
            <w:pPr>
              <w:spacing w:line="276"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方案内容存在1处瑕疵得</w:t>
            </w:r>
            <w:r>
              <w:rPr>
                <w:rFonts w:hint="eastAsia" w:asciiTheme="minorEastAsia" w:hAnsiTheme="minorEastAsia" w:eastAsiaTheme="minorEastAsia"/>
                <w:color w:val="auto"/>
                <w:sz w:val="24"/>
                <w:szCs w:val="24"/>
                <w:highlight w:val="none"/>
                <w:lang w:val="en-US" w:eastAsia="zh-CN"/>
              </w:rPr>
              <w:t>7</w:t>
            </w:r>
            <w:r>
              <w:rPr>
                <w:rFonts w:hint="eastAsia" w:asciiTheme="minorEastAsia" w:hAnsiTheme="minorEastAsia" w:eastAsiaTheme="minorEastAsia"/>
                <w:color w:val="auto"/>
                <w:sz w:val="24"/>
                <w:szCs w:val="24"/>
                <w:highlight w:val="none"/>
              </w:rPr>
              <w:t>分；</w:t>
            </w:r>
          </w:p>
          <w:p w14:paraId="4F87E18A">
            <w:pPr>
              <w:spacing w:line="276"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方案内容存在2处瑕疵的</w:t>
            </w:r>
            <w:r>
              <w:rPr>
                <w:rFonts w:hint="eastAsia" w:asciiTheme="minorEastAsia" w:hAnsiTheme="minorEastAsia" w:eastAsiaTheme="minorEastAsia"/>
                <w:color w:val="auto"/>
                <w:sz w:val="24"/>
                <w:szCs w:val="24"/>
                <w:highlight w:val="none"/>
                <w:lang w:val="en-US" w:eastAsia="zh-CN"/>
              </w:rPr>
              <w:t>4</w:t>
            </w:r>
            <w:r>
              <w:rPr>
                <w:rFonts w:hint="eastAsia" w:asciiTheme="minorEastAsia" w:hAnsiTheme="minorEastAsia" w:eastAsiaTheme="minorEastAsia"/>
                <w:color w:val="auto"/>
                <w:sz w:val="24"/>
                <w:szCs w:val="24"/>
                <w:highlight w:val="none"/>
              </w:rPr>
              <w:t>分；</w:t>
            </w:r>
          </w:p>
          <w:p w14:paraId="0A063780">
            <w:pPr>
              <w:spacing w:line="276"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方案内容存在3处及以上瑕疵的或未提供方案得0分。</w:t>
            </w:r>
          </w:p>
        </w:tc>
        <w:tc>
          <w:tcPr>
            <w:tcW w:w="1985" w:type="dxa"/>
            <w:vMerge w:val="continue"/>
            <w:vAlign w:val="center"/>
          </w:tcPr>
          <w:p w14:paraId="2E895F52">
            <w:pPr>
              <w:spacing w:line="276" w:lineRule="auto"/>
              <w:rPr>
                <w:rFonts w:asciiTheme="minorEastAsia" w:hAnsiTheme="minorEastAsia" w:eastAsiaTheme="minorEastAsia"/>
                <w:color w:val="auto"/>
                <w:sz w:val="24"/>
                <w:szCs w:val="24"/>
                <w:highlight w:val="none"/>
              </w:rPr>
            </w:pPr>
          </w:p>
        </w:tc>
      </w:tr>
      <w:tr w14:paraId="488BF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14:paraId="53B368EC">
            <w:pPr>
              <w:spacing w:line="276"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w:t>
            </w:r>
          </w:p>
        </w:tc>
        <w:tc>
          <w:tcPr>
            <w:tcW w:w="0" w:type="auto"/>
            <w:vMerge w:val="restart"/>
            <w:vAlign w:val="center"/>
          </w:tcPr>
          <w:p w14:paraId="30D1F32E">
            <w:pPr>
              <w:spacing w:line="276"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商务部分</w:t>
            </w:r>
          </w:p>
        </w:tc>
        <w:tc>
          <w:tcPr>
            <w:tcW w:w="997" w:type="dxa"/>
            <w:vMerge w:val="restart"/>
            <w:vAlign w:val="center"/>
          </w:tcPr>
          <w:p w14:paraId="5EF7B5CB">
            <w:pPr>
              <w:spacing w:line="276"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25</w:t>
            </w:r>
            <w:r>
              <w:rPr>
                <w:rFonts w:hint="eastAsia" w:asciiTheme="minorEastAsia" w:hAnsiTheme="minorEastAsia" w:eastAsiaTheme="minorEastAsia"/>
                <w:color w:val="auto"/>
                <w:sz w:val="24"/>
                <w:szCs w:val="24"/>
                <w:highlight w:val="none"/>
              </w:rPr>
              <w:t>分</w:t>
            </w:r>
          </w:p>
        </w:tc>
        <w:tc>
          <w:tcPr>
            <w:tcW w:w="4819" w:type="dxa"/>
            <w:tcBorders>
              <w:top w:val="single" w:color="auto" w:sz="4" w:space="0"/>
              <w:bottom w:val="single" w:color="auto" w:sz="4" w:space="0"/>
            </w:tcBorders>
            <w:vAlign w:val="center"/>
          </w:tcPr>
          <w:p w14:paraId="79550D17">
            <w:pPr>
              <w:spacing w:line="276" w:lineRule="auto"/>
              <w:ind w:firstLine="0" w:firstLineChars="0"/>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项目负责人资质</w:t>
            </w:r>
          </w:p>
          <w:p w14:paraId="703A9594">
            <w:pPr>
              <w:spacing w:line="276" w:lineRule="auto"/>
              <w:ind w:firstLine="0" w:firstLineChars="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rPr>
              <w:t>项目负责人为一级建造师</w:t>
            </w:r>
            <w:r>
              <w:rPr>
                <w:rFonts w:hint="eastAsia" w:asciiTheme="minorEastAsia" w:hAnsiTheme="minorEastAsia" w:eastAsiaTheme="minorEastAsia"/>
                <w:color w:val="auto"/>
                <w:sz w:val="24"/>
                <w:szCs w:val="24"/>
                <w:highlight w:val="none"/>
                <w:lang w:eastAsia="zh-CN"/>
              </w:rPr>
              <w:t>得</w:t>
            </w:r>
            <w:r>
              <w:rPr>
                <w:rFonts w:hint="eastAsia" w:asciiTheme="minorEastAsia" w:hAnsiTheme="minorEastAsia" w:eastAsiaTheme="minorEastAsia"/>
                <w:color w:val="auto"/>
                <w:sz w:val="24"/>
                <w:szCs w:val="24"/>
                <w:highlight w:val="none"/>
                <w:lang w:val="en-US" w:eastAsia="zh-CN"/>
              </w:rPr>
              <w:t>5</w:t>
            </w:r>
            <w:r>
              <w:rPr>
                <w:rFonts w:hint="eastAsia" w:asciiTheme="minorEastAsia" w:hAnsiTheme="minorEastAsia" w:eastAsiaTheme="minorEastAsia"/>
                <w:color w:val="auto"/>
                <w:sz w:val="24"/>
                <w:szCs w:val="24"/>
                <w:highlight w:val="none"/>
              </w:rPr>
              <w:t>分，</w:t>
            </w:r>
            <w:r>
              <w:rPr>
                <w:rFonts w:hint="eastAsia" w:asciiTheme="minorEastAsia" w:hAnsiTheme="minorEastAsia" w:eastAsiaTheme="minorEastAsia"/>
                <w:color w:val="auto"/>
                <w:sz w:val="24"/>
                <w:szCs w:val="24"/>
                <w:highlight w:val="none"/>
                <w:lang w:eastAsia="zh-CN"/>
              </w:rPr>
              <w:t>二级建造师得</w:t>
            </w:r>
            <w:r>
              <w:rPr>
                <w:rFonts w:hint="eastAsia" w:asciiTheme="minorEastAsia" w:hAnsiTheme="minorEastAsia" w:eastAsiaTheme="minorEastAsia"/>
                <w:color w:val="auto"/>
                <w:sz w:val="24"/>
                <w:szCs w:val="24"/>
                <w:highlight w:val="none"/>
                <w:lang w:val="en-US" w:eastAsia="zh-CN"/>
              </w:rPr>
              <w:t>2分，未提供得0分；</w:t>
            </w:r>
          </w:p>
          <w:p w14:paraId="441D2D1E">
            <w:pPr>
              <w:spacing w:line="276" w:lineRule="auto"/>
              <w:ind w:firstLine="0" w:firstLineChars="0"/>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技术负责人为二级建造师</w:t>
            </w:r>
            <w:r>
              <w:rPr>
                <w:rFonts w:hint="eastAsia" w:asciiTheme="minorEastAsia" w:hAnsiTheme="minorEastAsia" w:eastAsiaTheme="minorEastAsia"/>
                <w:color w:val="auto"/>
                <w:sz w:val="24"/>
                <w:szCs w:val="24"/>
                <w:highlight w:val="none"/>
                <w:lang w:eastAsia="zh-CN"/>
              </w:rPr>
              <w:t>得</w:t>
            </w:r>
            <w:r>
              <w:rPr>
                <w:rFonts w:hint="eastAsia" w:asciiTheme="minorEastAsia" w:hAnsiTheme="minorEastAsia" w:eastAsiaTheme="minorEastAsia"/>
                <w:color w:val="auto"/>
                <w:sz w:val="24"/>
                <w:szCs w:val="24"/>
                <w:highlight w:val="none"/>
                <w:lang w:val="en-US" w:eastAsia="zh-CN"/>
              </w:rPr>
              <w:t>5</w:t>
            </w:r>
            <w:r>
              <w:rPr>
                <w:rFonts w:hint="eastAsia" w:asciiTheme="minorEastAsia" w:hAnsiTheme="minorEastAsia" w:eastAsiaTheme="minorEastAsia"/>
                <w:color w:val="auto"/>
                <w:sz w:val="24"/>
                <w:szCs w:val="24"/>
                <w:highlight w:val="none"/>
              </w:rPr>
              <w:t>分</w:t>
            </w:r>
            <w:r>
              <w:rPr>
                <w:rFonts w:hint="eastAsia" w:asciiTheme="minorEastAsia" w:hAnsiTheme="minorEastAsia" w:eastAsiaTheme="minorEastAsia"/>
                <w:color w:val="auto"/>
                <w:sz w:val="24"/>
                <w:szCs w:val="24"/>
                <w:highlight w:val="none"/>
                <w:lang w:eastAsia="zh-CN"/>
              </w:rPr>
              <w:t>，未提供得</w:t>
            </w:r>
            <w:r>
              <w:rPr>
                <w:rFonts w:hint="eastAsia" w:asciiTheme="minorEastAsia" w:hAnsiTheme="minorEastAsia" w:eastAsiaTheme="minorEastAsia"/>
                <w:color w:val="auto"/>
                <w:sz w:val="24"/>
                <w:szCs w:val="24"/>
                <w:highlight w:val="none"/>
                <w:lang w:val="en-US" w:eastAsia="zh-CN"/>
              </w:rPr>
              <w:t>0分</w:t>
            </w: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项目负责人和技术责任为不</w:t>
            </w:r>
            <w:r>
              <w:rPr>
                <w:rFonts w:hint="eastAsia" w:asciiTheme="minorEastAsia" w:hAnsiTheme="minorEastAsia" w:eastAsiaTheme="minorEastAsia"/>
                <w:color w:val="auto"/>
                <w:sz w:val="24"/>
                <w:szCs w:val="24"/>
                <w:highlight w:val="none"/>
                <w:lang w:eastAsia="zh-CN"/>
              </w:rPr>
              <w:t>得</w:t>
            </w:r>
            <w:r>
              <w:rPr>
                <w:rFonts w:hint="eastAsia" w:asciiTheme="minorEastAsia" w:hAnsiTheme="minorEastAsia" w:eastAsiaTheme="minorEastAsia"/>
                <w:color w:val="auto"/>
                <w:sz w:val="24"/>
                <w:szCs w:val="24"/>
                <w:highlight w:val="none"/>
              </w:rPr>
              <w:t>为同一人</w:t>
            </w:r>
            <w:r>
              <w:rPr>
                <w:rFonts w:hint="eastAsia" w:asciiTheme="minorEastAsia" w:hAnsiTheme="minorEastAsia" w:eastAsiaTheme="minorEastAsia"/>
                <w:color w:val="auto"/>
                <w:sz w:val="24"/>
                <w:szCs w:val="24"/>
                <w:highlight w:val="none"/>
                <w:lang w:eastAsia="zh-CN"/>
              </w:rPr>
              <w:t>。）</w:t>
            </w:r>
          </w:p>
        </w:tc>
        <w:tc>
          <w:tcPr>
            <w:tcW w:w="1985" w:type="dxa"/>
            <w:vAlign w:val="center"/>
          </w:tcPr>
          <w:p w14:paraId="77242979">
            <w:pPr>
              <w:spacing w:line="276"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需提供四库一平台人员信息及对应人员的建造师扫描件。</w:t>
            </w:r>
          </w:p>
          <w:p w14:paraId="5BA2B469">
            <w:pPr>
              <w:spacing w:line="276" w:lineRule="auto"/>
              <w:rPr>
                <w:rFonts w:asciiTheme="minorEastAsia" w:hAnsiTheme="minorEastAsia" w:eastAsiaTheme="minorEastAsia"/>
                <w:color w:val="auto"/>
                <w:sz w:val="24"/>
                <w:szCs w:val="24"/>
                <w:highlight w:val="none"/>
              </w:rPr>
            </w:pPr>
          </w:p>
        </w:tc>
      </w:tr>
      <w:tr w14:paraId="79AC8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71E70053">
            <w:pPr>
              <w:spacing w:line="276" w:lineRule="auto"/>
              <w:jc w:val="center"/>
              <w:rPr>
                <w:rFonts w:asciiTheme="minorEastAsia" w:hAnsiTheme="minorEastAsia" w:eastAsiaTheme="minorEastAsia"/>
                <w:color w:val="auto"/>
                <w:sz w:val="24"/>
                <w:szCs w:val="24"/>
                <w:highlight w:val="none"/>
              </w:rPr>
            </w:pPr>
          </w:p>
        </w:tc>
        <w:tc>
          <w:tcPr>
            <w:tcW w:w="0" w:type="auto"/>
            <w:vMerge w:val="continue"/>
            <w:vAlign w:val="center"/>
          </w:tcPr>
          <w:p w14:paraId="21C3C157">
            <w:pPr>
              <w:spacing w:line="276" w:lineRule="auto"/>
              <w:jc w:val="center"/>
              <w:rPr>
                <w:rFonts w:asciiTheme="minorEastAsia" w:hAnsiTheme="minorEastAsia" w:eastAsiaTheme="minorEastAsia"/>
                <w:color w:val="auto"/>
                <w:sz w:val="24"/>
                <w:szCs w:val="24"/>
                <w:highlight w:val="none"/>
              </w:rPr>
            </w:pPr>
          </w:p>
        </w:tc>
        <w:tc>
          <w:tcPr>
            <w:tcW w:w="997" w:type="dxa"/>
            <w:vMerge w:val="continue"/>
            <w:vAlign w:val="center"/>
          </w:tcPr>
          <w:p w14:paraId="4967FB67">
            <w:pPr>
              <w:spacing w:line="276" w:lineRule="auto"/>
              <w:jc w:val="center"/>
              <w:rPr>
                <w:rFonts w:asciiTheme="minorEastAsia" w:hAnsiTheme="minorEastAsia" w:eastAsiaTheme="minorEastAsia"/>
                <w:color w:val="auto"/>
                <w:sz w:val="24"/>
                <w:szCs w:val="24"/>
                <w:highlight w:val="none"/>
              </w:rPr>
            </w:pPr>
          </w:p>
        </w:tc>
        <w:tc>
          <w:tcPr>
            <w:tcW w:w="4819" w:type="dxa"/>
            <w:tcBorders>
              <w:top w:val="single" w:color="auto" w:sz="4" w:space="0"/>
              <w:bottom w:val="single" w:color="auto" w:sz="4" w:space="0"/>
            </w:tcBorders>
            <w:vAlign w:val="center"/>
          </w:tcPr>
          <w:p w14:paraId="0E8C5C75">
            <w:pPr>
              <w:spacing w:line="276"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质保期：在</w:t>
            </w:r>
            <w:r>
              <w:rPr>
                <w:rFonts w:hint="eastAsia" w:asciiTheme="minorEastAsia" w:hAnsiTheme="minorEastAsia" w:eastAsiaTheme="minorEastAsia"/>
                <w:color w:val="auto"/>
                <w:sz w:val="24"/>
                <w:szCs w:val="24"/>
                <w:highlight w:val="none"/>
                <w:lang w:val="en-US" w:eastAsia="zh-CN"/>
              </w:rPr>
              <w:t>比选</w:t>
            </w:r>
            <w:r>
              <w:rPr>
                <w:rFonts w:hint="eastAsia" w:asciiTheme="minorEastAsia" w:hAnsiTheme="minorEastAsia" w:eastAsiaTheme="minorEastAsia"/>
                <w:color w:val="auto"/>
                <w:sz w:val="24"/>
                <w:szCs w:val="24"/>
                <w:highlight w:val="none"/>
              </w:rPr>
              <w:t>文件要求质保期基础上，免费质保期每增加1年得</w:t>
            </w:r>
            <w:r>
              <w:rPr>
                <w:rFonts w:hint="eastAsia" w:asciiTheme="minorEastAsia" w:hAnsiTheme="minorEastAsia" w:eastAsiaTheme="minorEastAsia"/>
                <w:color w:val="auto"/>
                <w:sz w:val="24"/>
                <w:szCs w:val="24"/>
                <w:highlight w:val="none"/>
                <w:lang w:val="en-US" w:eastAsia="zh-CN"/>
              </w:rPr>
              <w:t>5</w:t>
            </w:r>
            <w:r>
              <w:rPr>
                <w:rFonts w:hint="eastAsia" w:asciiTheme="minorEastAsia" w:hAnsiTheme="minorEastAsia" w:eastAsiaTheme="minorEastAsia"/>
                <w:color w:val="auto"/>
                <w:sz w:val="24"/>
                <w:szCs w:val="24"/>
                <w:highlight w:val="none"/>
              </w:rPr>
              <w:t>分，本项最多得</w:t>
            </w:r>
            <w:r>
              <w:rPr>
                <w:rFonts w:hint="eastAsia" w:asciiTheme="minorEastAsia" w:hAnsiTheme="minorEastAsia" w:eastAsiaTheme="minorEastAsia"/>
                <w:color w:val="auto"/>
                <w:sz w:val="24"/>
                <w:szCs w:val="24"/>
                <w:highlight w:val="none"/>
                <w:lang w:val="en-US" w:eastAsia="zh-CN"/>
              </w:rPr>
              <w:t>15</w:t>
            </w:r>
            <w:r>
              <w:rPr>
                <w:rFonts w:hint="eastAsia" w:asciiTheme="minorEastAsia" w:hAnsiTheme="minorEastAsia" w:eastAsiaTheme="minorEastAsia"/>
                <w:color w:val="auto"/>
                <w:sz w:val="24"/>
                <w:szCs w:val="24"/>
                <w:highlight w:val="none"/>
              </w:rPr>
              <w:t>分。</w:t>
            </w:r>
          </w:p>
        </w:tc>
        <w:tc>
          <w:tcPr>
            <w:tcW w:w="1985" w:type="dxa"/>
            <w:vAlign w:val="center"/>
          </w:tcPr>
          <w:p w14:paraId="531B7D6E">
            <w:pPr>
              <w:spacing w:line="276" w:lineRule="auto"/>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提供质保期承诺书加盖单位公章及法定代表人签字。</w:t>
            </w:r>
          </w:p>
        </w:tc>
      </w:tr>
    </w:tbl>
    <w:p w14:paraId="565D347B">
      <w:pPr>
        <w:keepNext w:val="0"/>
        <w:keepLines w:val="0"/>
        <w:pageBreakBefore w:val="0"/>
        <w:widowControl w:val="0"/>
        <w:kinsoku w:val="0"/>
        <w:wordWrap/>
        <w:topLinePunct w:val="0"/>
        <w:autoSpaceDE w:val="0"/>
        <w:autoSpaceDN w:val="0"/>
        <w:bidi w:val="0"/>
        <w:adjustRightInd w:val="0"/>
        <w:snapToGrid w:val="0"/>
        <w:spacing w:line="500" w:lineRule="exact"/>
        <w:ind w:firstLine="465"/>
        <w:rPr>
          <w:rFonts w:hint="eastAsia" w:ascii="宋体" w:hAnsi="宋体" w:eastAsia="宋体" w:cs="宋体"/>
          <w:highlight w:val="none"/>
        </w:rPr>
      </w:pPr>
      <w:r>
        <w:rPr>
          <w:rFonts w:hint="eastAsia" w:ascii="宋体" w:hAnsi="宋体" w:eastAsia="宋体" w:cs="宋体"/>
          <w:color w:val="auto"/>
          <w:sz w:val="24"/>
          <w:szCs w:val="24"/>
          <w:highlight w:val="none"/>
        </w:rPr>
        <w:t>说明：</w:t>
      </w:r>
      <w:r>
        <w:rPr>
          <w:rFonts w:hint="eastAsia" w:ascii="宋体" w:hAnsi="宋体" w:eastAsia="宋体" w:cs="宋体"/>
          <w:color w:val="auto"/>
          <w:sz w:val="24"/>
          <w:szCs w:val="24"/>
          <w:highlight w:val="none"/>
          <w:lang w:eastAsia="zh-CN"/>
        </w:rPr>
        <w:t>比选小组</w:t>
      </w:r>
      <w:r>
        <w:rPr>
          <w:rFonts w:hint="eastAsia" w:ascii="宋体" w:hAnsi="宋体" w:eastAsia="宋体" w:cs="宋体"/>
          <w:color w:val="auto"/>
          <w:sz w:val="24"/>
          <w:szCs w:val="24"/>
          <w:highlight w:val="none"/>
        </w:rPr>
        <w:t>认为</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的报价明显低于其他通过符合性审查</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不能证明其报价合理性的，</w:t>
      </w:r>
      <w:r>
        <w:rPr>
          <w:rFonts w:hint="eastAsia" w:ascii="宋体" w:hAnsi="宋体" w:eastAsia="宋体" w:cs="宋体"/>
          <w:color w:val="auto"/>
          <w:sz w:val="24"/>
          <w:szCs w:val="24"/>
          <w:highlight w:val="none"/>
          <w:lang w:eastAsia="zh-CN"/>
        </w:rPr>
        <w:t>比选小组</w:t>
      </w:r>
      <w:r>
        <w:rPr>
          <w:rFonts w:hint="eastAsia" w:ascii="宋体" w:hAnsi="宋体" w:eastAsia="宋体" w:cs="宋体"/>
          <w:color w:val="auto"/>
          <w:sz w:val="24"/>
          <w:szCs w:val="24"/>
          <w:highlight w:val="none"/>
        </w:rPr>
        <w:t>应当将其作为无效投标处理。</w:t>
      </w:r>
    </w:p>
    <w:p w14:paraId="24660D57">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500" w:lineRule="exact"/>
        <w:ind w:firstLine="482" w:firstLineChars="200"/>
        <w:textAlignment w:val="auto"/>
        <w:outlineLvl w:val="1"/>
        <w:rPr>
          <w:rFonts w:hint="eastAsia" w:ascii="宋体" w:hAnsi="宋体" w:eastAsia="宋体" w:cs="宋体"/>
          <w:b/>
          <w:color w:val="000000" w:themeColor="text1"/>
          <w:sz w:val="24"/>
          <w:highlight w:val="none"/>
          <w14:textFill>
            <w14:solidFill>
              <w14:schemeClr w14:val="tx1"/>
            </w14:solidFill>
          </w14:textFill>
        </w:rPr>
      </w:pPr>
      <w:bookmarkStart w:id="150" w:name="_Toc13045"/>
      <w:bookmarkStart w:id="151" w:name="_Toc15625"/>
      <w:bookmarkStart w:id="152" w:name="_Toc10923"/>
      <w:bookmarkStart w:id="153" w:name="_Toc75793521"/>
      <w:bookmarkStart w:id="154" w:name="_Toc26747"/>
      <w:bookmarkStart w:id="155" w:name="_Toc18716"/>
      <w:bookmarkStart w:id="156" w:name="_Toc29586"/>
      <w:bookmarkStart w:id="157" w:name="_Toc5010"/>
      <w:bookmarkStart w:id="158" w:name="_Toc30659"/>
      <w:bookmarkStart w:id="159" w:name="_Toc2597"/>
      <w:bookmarkStart w:id="160" w:name="_Toc27926"/>
      <w:bookmarkStart w:id="161" w:name="_Toc22167"/>
      <w:bookmarkStart w:id="162" w:name="_Toc15200"/>
      <w:bookmarkStart w:id="163" w:name="_Toc4045"/>
      <w:bookmarkStart w:id="164" w:name="_Toc17065"/>
      <w:bookmarkStart w:id="165" w:name="_Toc20224"/>
      <w:bookmarkStart w:id="166" w:name="_Toc20423"/>
      <w:bookmarkStart w:id="167" w:name="_Toc106030397"/>
      <w:bookmarkStart w:id="168" w:name="_Toc13232"/>
      <w:r>
        <w:rPr>
          <w:rFonts w:hint="eastAsia" w:ascii="宋体" w:hAnsi="宋体" w:eastAsia="宋体" w:cs="宋体"/>
          <w:b/>
          <w:color w:val="000000" w:themeColor="text1"/>
          <w:sz w:val="24"/>
          <w:highlight w:val="none"/>
          <w:lang w:eastAsia="zh-CN"/>
          <w14:textFill>
            <w14:solidFill>
              <w14:schemeClr w14:val="tx1"/>
            </w14:solidFill>
          </w14:textFill>
        </w:rPr>
        <w:t>四</w:t>
      </w:r>
      <w:r>
        <w:rPr>
          <w:rFonts w:hint="eastAsia" w:ascii="宋体" w:hAnsi="宋体" w:eastAsia="宋体" w:cs="宋体"/>
          <w:b/>
          <w:color w:val="000000" w:themeColor="text1"/>
          <w:sz w:val="24"/>
          <w:highlight w:val="none"/>
          <w14:textFill>
            <w14:solidFill>
              <w14:schemeClr w14:val="tx1"/>
            </w14:solidFill>
          </w14:textFill>
        </w:rPr>
        <w:t>、无效投标条款</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400D4D18">
      <w:pPr>
        <w:keepNext w:val="0"/>
        <w:keepLines w:val="0"/>
        <w:pageBreakBefore w:val="0"/>
        <w:widowControl w:val="0"/>
        <w:kinsoku w:val="0"/>
        <w:wordWrap/>
        <w:topLinePunct w:val="0"/>
        <w:autoSpaceDE w:val="0"/>
        <w:autoSpaceDN w:val="0"/>
        <w:bidi w:val="0"/>
        <w:adjustRightInd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或其</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出现下列情况之一者，应为无效投标：</w:t>
      </w:r>
    </w:p>
    <w:p w14:paraId="4D91A840">
      <w:pPr>
        <w:keepNext w:val="0"/>
        <w:keepLines w:val="0"/>
        <w:pageBreakBefore w:val="0"/>
        <w:widowControl w:val="0"/>
        <w:kinsoku w:val="0"/>
        <w:wordWrap/>
        <w:topLinePunct w:val="0"/>
        <w:autoSpaceDE w:val="0"/>
        <w:autoSpaceDN w:val="0"/>
        <w:bidi w:val="0"/>
        <w:adjustRightInd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（一）未按照比选文件的规定提交比选保证金的；</w:t>
      </w:r>
    </w:p>
    <w:p w14:paraId="6F7FBCE9">
      <w:pPr>
        <w:keepNext w:val="0"/>
        <w:keepLines w:val="0"/>
        <w:pageBreakBefore w:val="0"/>
        <w:widowControl w:val="0"/>
        <w:kinsoku w:val="0"/>
        <w:wordWrap/>
        <w:topLinePunct w:val="0"/>
        <w:autoSpaceDE w:val="0"/>
        <w:autoSpaceDN w:val="0"/>
        <w:bidi w:val="0"/>
        <w:adjustRightInd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（二）</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未按比选文件要求签署、盖章的；</w:t>
      </w:r>
    </w:p>
    <w:p w14:paraId="17C3ACD9">
      <w:pPr>
        <w:keepNext w:val="0"/>
        <w:keepLines w:val="0"/>
        <w:pageBreakBefore w:val="0"/>
        <w:widowControl w:val="0"/>
        <w:kinsoku w:val="0"/>
        <w:wordWrap/>
        <w:topLinePunct w:val="0"/>
        <w:autoSpaceDE w:val="0"/>
        <w:autoSpaceDN w:val="0"/>
        <w:bidi w:val="0"/>
        <w:adjustRightInd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（三）不具备比选文件中规定的资格要求的；</w:t>
      </w:r>
    </w:p>
    <w:p w14:paraId="119778F3">
      <w:pPr>
        <w:keepNext w:val="0"/>
        <w:keepLines w:val="0"/>
        <w:pageBreakBefore w:val="0"/>
        <w:widowControl w:val="0"/>
        <w:kinsoku w:val="0"/>
        <w:wordWrap/>
        <w:topLinePunct w:val="0"/>
        <w:autoSpaceDE w:val="0"/>
        <w:autoSpaceDN w:val="0"/>
        <w:bidi w:val="0"/>
        <w:adjustRightInd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（四）报价超过比选文件中规定的预算金额或者最高限价的；</w:t>
      </w:r>
    </w:p>
    <w:p w14:paraId="27104681">
      <w:pPr>
        <w:keepNext w:val="0"/>
        <w:keepLines w:val="0"/>
        <w:pageBreakBefore w:val="0"/>
        <w:widowControl w:val="0"/>
        <w:kinsoku w:val="0"/>
        <w:wordWrap/>
        <w:topLinePunct w:val="0"/>
        <w:autoSpaceDE w:val="0"/>
        <w:autoSpaceDN w:val="0"/>
        <w:bidi w:val="0"/>
        <w:adjustRightInd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（五）</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含有</w:t>
      </w:r>
      <w:r>
        <w:rPr>
          <w:rFonts w:hint="eastAsia" w:ascii="宋体" w:hAnsi="宋体" w:cs="宋体"/>
          <w:color w:val="000000" w:themeColor="text1"/>
          <w:sz w:val="24"/>
          <w:highlight w:val="none"/>
          <w:lang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不能接受的附加条件的；</w:t>
      </w:r>
    </w:p>
    <w:p w14:paraId="43640D3D">
      <w:pPr>
        <w:keepNext w:val="0"/>
        <w:keepLines w:val="0"/>
        <w:pageBreakBefore w:val="0"/>
        <w:widowControl w:val="0"/>
        <w:kinsoku w:val="0"/>
        <w:wordWrap/>
        <w:topLinePunct w:val="0"/>
        <w:autoSpaceDE w:val="0"/>
        <w:autoSpaceDN w:val="0"/>
        <w:bidi w:val="0"/>
        <w:adjustRightInd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（六）</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串通投标的；</w:t>
      </w:r>
    </w:p>
    <w:p w14:paraId="30F0B44C">
      <w:pPr>
        <w:keepNext w:val="0"/>
        <w:keepLines w:val="0"/>
        <w:pageBreakBefore w:val="0"/>
        <w:widowControl w:val="0"/>
        <w:kinsoku w:val="0"/>
        <w:wordWrap/>
        <w:topLinePunct w:val="0"/>
        <w:autoSpaceDE w:val="0"/>
        <w:autoSpaceDN w:val="0"/>
        <w:bidi w:val="0"/>
        <w:adjustRightInd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（七）法律、法规和比选文件规定的其他无效情形。</w:t>
      </w:r>
    </w:p>
    <w:p w14:paraId="1BB6D105">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500" w:lineRule="exact"/>
        <w:ind w:firstLine="482" w:firstLineChars="200"/>
        <w:textAlignment w:val="auto"/>
        <w:outlineLvl w:val="1"/>
        <w:rPr>
          <w:rFonts w:hint="eastAsia" w:ascii="宋体" w:hAnsi="宋体" w:eastAsia="宋体" w:cs="宋体"/>
          <w:b/>
          <w:color w:val="000000" w:themeColor="text1"/>
          <w:sz w:val="24"/>
          <w:highlight w:val="none"/>
          <w14:textFill>
            <w14:solidFill>
              <w14:schemeClr w14:val="tx1"/>
            </w14:solidFill>
          </w14:textFill>
        </w:rPr>
      </w:pPr>
      <w:bookmarkStart w:id="169" w:name="_Toc25549"/>
      <w:bookmarkStart w:id="170" w:name="_Toc11293"/>
      <w:bookmarkStart w:id="171" w:name="_Toc6956"/>
      <w:bookmarkStart w:id="172" w:name="_Toc7802"/>
      <w:bookmarkStart w:id="173" w:name="_Toc30419"/>
      <w:bookmarkStart w:id="174" w:name="_Toc106030398"/>
      <w:bookmarkStart w:id="175" w:name="_Toc27133"/>
      <w:bookmarkStart w:id="176" w:name="_Toc20005"/>
      <w:bookmarkStart w:id="177" w:name="_Toc6204"/>
      <w:bookmarkStart w:id="178" w:name="_Toc4422"/>
      <w:bookmarkStart w:id="179" w:name="_Toc14355"/>
      <w:bookmarkStart w:id="180" w:name="_Toc23533"/>
      <w:bookmarkStart w:id="181" w:name="_Toc21885"/>
      <w:bookmarkStart w:id="182" w:name="_Toc25960"/>
      <w:bookmarkStart w:id="183" w:name="_Toc6710"/>
      <w:bookmarkStart w:id="184" w:name="_Toc6719"/>
      <w:bookmarkStart w:id="185" w:name="_Toc30605"/>
      <w:bookmarkStart w:id="186" w:name="_Toc21946"/>
      <w:bookmarkStart w:id="187" w:name="_Toc75793522"/>
      <w:r>
        <w:rPr>
          <w:rFonts w:hint="eastAsia" w:ascii="宋体" w:hAnsi="宋体" w:eastAsia="宋体" w:cs="宋体"/>
          <w:b/>
          <w:color w:val="000000" w:themeColor="text1"/>
          <w:sz w:val="24"/>
          <w:highlight w:val="none"/>
          <w:lang w:eastAsia="zh-CN"/>
          <w14:textFill>
            <w14:solidFill>
              <w14:schemeClr w14:val="tx1"/>
            </w14:solidFill>
          </w14:textFill>
        </w:rPr>
        <w:t>五</w:t>
      </w:r>
      <w:r>
        <w:rPr>
          <w:rFonts w:hint="eastAsia" w:ascii="宋体" w:hAnsi="宋体" w:eastAsia="宋体" w:cs="宋体"/>
          <w:b/>
          <w:color w:val="000000" w:themeColor="text1"/>
          <w:sz w:val="24"/>
          <w:highlight w:val="none"/>
          <w14:textFill>
            <w14:solidFill>
              <w14:schemeClr w14:val="tx1"/>
            </w14:solidFill>
          </w14:textFill>
        </w:rPr>
        <w:t>、废标条款</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5338291A">
      <w:pPr>
        <w:keepNext w:val="0"/>
        <w:keepLines w:val="0"/>
        <w:pageBreakBefore w:val="0"/>
        <w:widowControl w:val="0"/>
        <w:kinsoku w:val="0"/>
        <w:wordWrap/>
        <w:topLinePunct w:val="0"/>
        <w:autoSpaceDE w:val="0"/>
        <w:autoSpaceDN w:val="0"/>
        <w:bidi w:val="0"/>
        <w:adjustRightInd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在招标采购中，出现下列情形之一的，应予废标：</w:t>
      </w:r>
    </w:p>
    <w:p w14:paraId="4CF89285">
      <w:pPr>
        <w:keepNext w:val="0"/>
        <w:keepLines w:val="0"/>
        <w:pageBreakBefore w:val="0"/>
        <w:widowControl w:val="0"/>
        <w:numPr>
          <w:ilvl w:val="0"/>
          <w:numId w:val="1"/>
        </w:numPr>
        <w:kinsoku w:val="0"/>
        <w:wordWrap/>
        <w:topLinePunct w:val="0"/>
        <w:autoSpaceDE w:val="0"/>
        <w:autoSpaceDN w:val="0"/>
        <w:bidi w:val="0"/>
        <w:adjustRightInd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响应文件</w:t>
      </w:r>
      <w:r>
        <w:rPr>
          <w:rFonts w:hint="eastAsia" w:ascii="宋体" w:hAnsi="宋体" w:eastAsia="宋体" w:cs="宋体"/>
          <w:color w:val="000000" w:themeColor="text1"/>
          <w:sz w:val="24"/>
          <w:highlight w:val="none"/>
          <w:lang w:val="en-US" w:eastAsia="zh-CN"/>
          <w14:textFill>
            <w14:solidFill>
              <w14:schemeClr w14:val="tx1"/>
            </w14:solidFill>
          </w14:textFill>
        </w:rPr>
        <w:t>递交</w:t>
      </w:r>
      <w:r>
        <w:rPr>
          <w:rFonts w:hint="eastAsia" w:ascii="宋体" w:hAnsi="宋体" w:eastAsia="宋体" w:cs="宋体"/>
          <w:color w:val="000000" w:themeColor="text1"/>
          <w:sz w:val="24"/>
          <w:highlight w:val="none"/>
          <w14:textFill>
            <w14:solidFill>
              <w14:schemeClr w14:val="tx1"/>
            </w14:solidFill>
          </w14:textFill>
        </w:rPr>
        <w:t>截止时间止，</w:t>
      </w:r>
      <w:r>
        <w:rPr>
          <w:rFonts w:hint="eastAsia" w:ascii="宋体" w:hAnsi="宋体" w:cs="宋体"/>
          <w:color w:val="000000" w:themeColor="text1"/>
          <w:sz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少于3个的;</w:t>
      </w:r>
    </w:p>
    <w:p w14:paraId="4C93F900">
      <w:pPr>
        <w:keepNext w:val="0"/>
        <w:keepLines w:val="0"/>
        <w:pageBreakBefore w:val="0"/>
        <w:widowControl w:val="0"/>
        <w:numPr>
          <w:ilvl w:val="0"/>
          <w:numId w:val="1"/>
        </w:numPr>
        <w:kinsoku w:val="0"/>
        <w:wordWrap/>
        <w:topLinePunct w:val="0"/>
        <w:autoSpaceDE w:val="0"/>
        <w:autoSpaceDN w:val="0"/>
        <w:bidi w:val="0"/>
        <w:adjustRightInd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经</w:t>
      </w:r>
      <w:r>
        <w:rPr>
          <w:rFonts w:hint="eastAsia" w:ascii="宋体" w:hAnsi="宋体" w:eastAsia="宋体" w:cs="宋体"/>
          <w:color w:val="000000" w:themeColor="text1"/>
          <w:sz w:val="24"/>
          <w:highlight w:val="none"/>
          <w:lang w:eastAsia="zh-CN"/>
          <w14:textFill>
            <w14:solidFill>
              <w14:schemeClr w14:val="tx1"/>
            </w14:solidFill>
          </w14:textFill>
        </w:rPr>
        <w:t>比选小组</w:t>
      </w:r>
      <w:r>
        <w:rPr>
          <w:rFonts w:hint="eastAsia" w:ascii="宋体" w:hAnsi="宋体" w:eastAsia="宋体" w:cs="宋体"/>
          <w:color w:val="000000" w:themeColor="text1"/>
          <w:sz w:val="24"/>
          <w:highlight w:val="none"/>
          <w14:textFill>
            <w14:solidFill>
              <w14:schemeClr w14:val="tx1"/>
            </w14:solidFill>
          </w14:textFill>
        </w:rPr>
        <w:t>评审后否决所有</w:t>
      </w:r>
      <w:r>
        <w:rPr>
          <w:rFonts w:hint="eastAsia" w:ascii="宋体" w:hAnsi="宋体" w:eastAsia="宋体" w:cs="宋体"/>
          <w:color w:val="000000" w:themeColor="text1"/>
          <w:sz w:val="24"/>
          <w:highlight w:val="none"/>
          <w:lang w:val="en-US" w:eastAsia="zh-CN"/>
          <w14:textFill>
            <w14:solidFill>
              <w14:schemeClr w14:val="tx1"/>
            </w14:solidFill>
          </w14:textFill>
        </w:rPr>
        <w:t>响应</w:t>
      </w:r>
      <w:r>
        <w:rPr>
          <w:rFonts w:hint="eastAsia" w:ascii="宋体" w:hAnsi="宋体" w:eastAsia="宋体" w:cs="宋体"/>
          <w:color w:val="000000" w:themeColor="text1"/>
          <w:sz w:val="24"/>
          <w:highlight w:val="none"/>
          <w14:textFill>
            <w14:solidFill>
              <w14:schemeClr w14:val="tx1"/>
            </w14:solidFill>
          </w14:textFill>
        </w:rPr>
        <w:t>的</w:t>
      </w:r>
      <w:r>
        <w:rPr>
          <w:rFonts w:hint="eastAsia" w:ascii="宋体" w:hAnsi="宋体" w:eastAsia="宋体" w:cs="宋体"/>
          <w:color w:val="000000" w:themeColor="text1"/>
          <w:sz w:val="24"/>
          <w:highlight w:val="none"/>
          <w:lang w:eastAsia="zh-CN"/>
          <w14:textFill>
            <w14:solidFill>
              <w14:schemeClr w14:val="tx1"/>
            </w14:solidFill>
          </w14:textFill>
        </w:rPr>
        <w:t>；</w:t>
      </w:r>
    </w:p>
    <w:p w14:paraId="76716A31">
      <w:pPr>
        <w:keepNext w:val="0"/>
        <w:keepLines w:val="0"/>
        <w:pageBreakBefore w:val="0"/>
        <w:widowControl w:val="0"/>
        <w:numPr>
          <w:ilvl w:val="0"/>
          <w:numId w:val="1"/>
        </w:numPr>
        <w:kinsoku w:val="0"/>
        <w:wordWrap/>
        <w:topLinePunct w:val="0"/>
        <w:autoSpaceDE w:val="0"/>
        <w:autoSpaceDN w:val="0"/>
        <w:bidi w:val="0"/>
        <w:adjustRightInd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经</w:t>
      </w:r>
      <w:r>
        <w:rPr>
          <w:rFonts w:hint="eastAsia" w:ascii="宋体" w:hAnsi="宋体" w:eastAsia="宋体" w:cs="宋体"/>
          <w:color w:val="000000" w:themeColor="text1"/>
          <w:sz w:val="24"/>
          <w:highlight w:val="none"/>
          <w:lang w:eastAsia="zh-CN"/>
          <w14:textFill>
            <w14:solidFill>
              <w14:schemeClr w14:val="tx1"/>
            </w14:solidFill>
          </w14:textFill>
        </w:rPr>
        <w:t>比选小组</w:t>
      </w:r>
      <w:r>
        <w:rPr>
          <w:rFonts w:hint="eastAsia" w:ascii="宋体" w:hAnsi="宋体" w:eastAsia="宋体" w:cs="宋体"/>
          <w:color w:val="000000" w:themeColor="text1"/>
          <w:sz w:val="24"/>
          <w:highlight w:val="none"/>
          <w14:textFill>
            <w14:solidFill>
              <w14:schemeClr w14:val="tx1"/>
            </w14:solidFill>
          </w14:textFill>
        </w:rPr>
        <w:t>评审后部分</w:t>
      </w:r>
      <w:r>
        <w:rPr>
          <w:rFonts w:hint="eastAsia" w:ascii="宋体" w:hAnsi="宋体" w:cs="宋体"/>
          <w:color w:val="000000" w:themeColor="text1"/>
          <w:sz w:val="24"/>
          <w:highlight w:val="none"/>
          <w:lang w:val="en-US"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被否决，导致有效</w:t>
      </w:r>
      <w:r>
        <w:rPr>
          <w:rFonts w:hint="eastAsia" w:ascii="宋体" w:hAnsi="宋体" w:eastAsia="宋体" w:cs="宋体"/>
          <w:color w:val="000000" w:themeColor="text1"/>
          <w:sz w:val="24"/>
          <w:highlight w:val="none"/>
          <w:lang w:val="en-US" w:eastAsia="zh-CN"/>
          <w14:textFill>
            <w14:solidFill>
              <w14:schemeClr w14:val="tx1"/>
            </w14:solidFill>
          </w14:textFill>
        </w:rPr>
        <w:t>响应商</w:t>
      </w:r>
      <w:r>
        <w:rPr>
          <w:rFonts w:hint="eastAsia" w:ascii="宋体" w:hAnsi="宋体" w:eastAsia="宋体" w:cs="宋体"/>
          <w:color w:val="000000" w:themeColor="text1"/>
          <w:sz w:val="24"/>
          <w:highlight w:val="none"/>
          <w14:textFill>
            <w14:solidFill>
              <w14:schemeClr w14:val="tx1"/>
            </w14:solidFill>
          </w14:textFill>
        </w:rPr>
        <w:t>不足三个的，</w:t>
      </w:r>
      <w:r>
        <w:rPr>
          <w:rFonts w:hint="eastAsia" w:ascii="宋体" w:hAnsi="宋体" w:eastAsia="宋体" w:cs="宋体"/>
          <w:color w:val="000000" w:themeColor="text1"/>
          <w:sz w:val="24"/>
          <w:highlight w:val="none"/>
          <w:lang w:eastAsia="zh-CN"/>
          <w14:textFill>
            <w14:solidFill>
              <w14:schemeClr w14:val="tx1"/>
            </w14:solidFill>
          </w14:textFill>
        </w:rPr>
        <w:t>比选小组</w:t>
      </w:r>
      <w:r>
        <w:rPr>
          <w:rFonts w:hint="eastAsia" w:ascii="宋体" w:hAnsi="宋体" w:eastAsia="宋体" w:cs="宋体"/>
          <w:color w:val="000000" w:themeColor="text1"/>
          <w:sz w:val="24"/>
          <w:highlight w:val="none"/>
          <w14:textFill>
            <w14:solidFill>
              <w14:schemeClr w14:val="tx1"/>
            </w14:solidFill>
          </w14:textFill>
        </w:rPr>
        <w:t>应当否决所有</w:t>
      </w:r>
      <w:r>
        <w:rPr>
          <w:rFonts w:hint="eastAsia" w:ascii="宋体" w:hAnsi="宋体" w:cs="宋体"/>
          <w:color w:val="000000" w:themeColor="text1"/>
          <w:sz w:val="24"/>
          <w:highlight w:val="none"/>
          <w:lang w:val="en-US"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。但是有效</w:t>
      </w:r>
      <w:r>
        <w:rPr>
          <w:rFonts w:hint="eastAsia" w:ascii="宋体" w:hAnsi="宋体" w:cs="宋体"/>
          <w:color w:val="000000" w:themeColor="text1"/>
          <w:sz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的经济、技术等指标仍然具有市场竞争力，能够满足</w:t>
      </w:r>
      <w:r>
        <w:rPr>
          <w:rFonts w:hint="eastAsia" w:ascii="宋体" w:hAnsi="宋体" w:cs="宋体"/>
          <w:color w:val="000000" w:themeColor="text1"/>
          <w:sz w:val="24"/>
          <w:highlight w:val="none"/>
          <w:lang w:val="en-US" w:eastAsia="zh-CN"/>
          <w14:textFill>
            <w14:solidFill>
              <w14:schemeClr w14:val="tx1"/>
            </w14:solidFill>
          </w14:textFill>
        </w:rPr>
        <w:t>竞争性比选</w:t>
      </w:r>
      <w:r>
        <w:rPr>
          <w:rFonts w:hint="eastAsia" w:ascii="宋体" w:hAnsi="宋体" w:eastAsia="宋体" w:cs="宋体"/>
          <w:color w:val="000000" w:themeColor="text1"/>
          <w:sz w:val="24"/>
          <w:highlight w:val="none"/>
          <w:lang w:val="en-US" w:eastAsia="zh-CN"/>
          <w14:textFill>
            <w14:solidFill>
              <w14:schemeClr w14:val="tx1"/>
            </w14:solidFill>
          </w14:textFill>
        </w:rPr>
        <w:t>文件</w:t>
      </w:r>
      <w:r>
        <w:rPr>
          <w:rFonts w:hint="eastAsia" w:ascii="宋体" w:hAnsi="宋体" w:eastAsia="宋体" w:cs="宋体"/>
          <w:color w:val="000000" w:themeColor="text1"/>
          <w:sz w:val="24"/>
          <w:highlight w:val="none"/>
          <w14:textFill>
            <w14:solidFill>
              <w14:schemeClr w14:val="tx1"/>
            </w14:solidFill>
          </w14:textFill>
        </w:rPr>
        <w:t>要求的，</w:t>
      </w:r>
      <w:r>
        <w:rPr>
          <w:rFonts w:hint="eastAsia" w:ascii="宋体" w:hAnsi="宋体" w:eastAsia="宋体" w:cs="宋体"/>
          <w:color w:val="000000" w:themeColor="text1"/>
          <w:sz w:val="24"/>
          <w:highlight w:val="none"/>
          <w:lang w:eastAsia="zh-CN"/>
          <w14:textFill>
            <w14:solidFill>
              <w14:schemeClr w14:val="tx1"/>
            </w14:solidFill>
          </w14:textFill>
        </w:rPr>
        <w:t>比选小组</w:t>
      </w:r>
      <w:r>
        <w:rPr>
          <w:rFonts w:hint="eastAsia" w:ascii="宋体" w:hAnsi="宋体" w:eastAsia="宋体" w:cs="宋体"/>
          <w:color w:val="000000" w:themeColor="text1"/>
          <w:sz w:val="24"/>
          <w:highlight w:val="none"/>
          <w14:textFill>
            <w14:solidFill>
              <w14:schemeClr w14:val="tx1"/>
            </w14:solidFill>
          </w14:textFill>
        </w:rPr>
        <w:t>可以继续评标并确定</w:t>
      </w:r>
      <w:r>
        <w:rPr>
          <w:rFonts w:hint="eastAsia" w:ascii="宋体" w:hAnsi="宋体" w:cs="宋体"/>
          <w:color w:val="000000" w:themeColor="text1"/>
          <w:sz w:val="24"/>
          <w:highlight w:val="none"/>
          <w:lang w:eastAsia="zh-CN"/>
          <w14:textFill>
            <w14:solidFill>
              <w14:schemeClr w14:val="tx1"/>
            </w14:solidFill>
          </w14:textFill>
        </w:rPr>
        <w:t>成交供应商候选人</w:t>
      </w:r>
      <w:r>
        <w:rPr>
          <w:rFonts w:hint="eastAsia" w:ascii="宋体" w:hAnsi="宋体" w:eastAsia="宋体" w:cs="宋体"/>
          <w:color w:val="000000" w:themeColor="text1"/>
          <w:sz w:val="24"/>
          <w:highlight w:val="none"/>
          <w14:textFill>
            <w14:solidFill>
              <w14:schemeClr w14:val="tx1"/>
            </w14:solidFill>
          </w14:textFill>
        </w:rPr>
        <w:t>；</w:t>
      </w:r>
    </w:p>
    <w:p w14:paraId="3EDDA204">
      <w:pPr>
        <w:keepNext w:val="0"/>
        <w:keepLines w:val="0"/>
        <w:pageBreakBefore w:val="0"/>
        <w:widowControl w:val="0"/>
        <w:kinsoku w:val="0"/>
        <w:wordWrap/>
        <w:topLinePunct w:val="0"/>
        <w:autoSpaceDE w:val="0"/>
        <w:autoSpaceDN w:val="0"/>
        <w:bidi w:val="0"/>
        <w:adjustRightInd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四</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的报价均超过了采购预算，</w:t>
      </w:r>
      <w:r>
        <w:rPr>
          <w:rFonts w:hint="eastAsia" w:ascii="宋体" w:hAnsi="宋体" w:cs="宋体"/>
          <w:color w:val="000000" w:themeColor="text1"/>
          <w:sz w:val="24"/>
          <w:highlight w:val="none"/>
          <w:lang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不能支付的；</w:t>
      </w:r>
    </w:p>
    <w:p w14:paraId="160B3389">
      <w:pPr>
        <w:keepNext w:val="0"/>
        <w:keepLines w:val="0"/>
        <w:pageBreakBefore w:val="0"/>
        <w:widowControl w:val="0"/>
        <w:kinsoku w:val="0"/>
        <w:wordWrap/>
        <w:topLinePunct w:val="0"/>
        <w:autoSpaceDE w:val="0"/>
        <w:autoSpaceDN w:val="0"/>
        <w:bidi w:val="0"/>
        <w:adjustRightInd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五</w:t>
      </w:r>
      <w:r>
        <w:rPr>
          <w:rFonts w:hint="eastAsia" w:ascii="宋体" w:hAnsi="宋体" w:eastAsia="宋体" w:cs="宋体"/>
          <w:color w:val="000000" w:themeColor="text1"/>
          <w:sz w:val="24"/>
          <w:highlight w:val="none"/>
          <w14:textFill>
            <w14:solidFill>
              <w14:schemeClr w14:val="tx1"/>
            </w14:solidFill>
          </w14:textFill>
        </w:rPr>
        <w:t>）出现影响采购公正的违法、违规行为的；</w:t>
      </w:r>
    </w:p>
    <w:p w14:paraId="5C5B9A69">
      <w:pPr>
        <w:keepNext w:val="0"/>
        <w:keepLines w:val="0"/>
        <w:pageBreakBefore w:val="0"/>
        <w:widowControl w:val="0"/>
        <w:kinsoku w:val="0"/>
        <w:wordWrap/>
        <w:topLinePunct w:val="0"/>
        <w:autoSpaceDE w:val="0"/>
        <w:autoSpaceDN w:val="0"/>
        <w:bidi w:val="0"/>
        <w:adjustRightInd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六</w:t>
      </w:r>
      <w:r>
        <w:rPr>
          <w:rFonts w:hint="eastAsia" w:ascii="宋体" w:hAnsi="宋体" w:eastAsia="宋体" w:cs="宋体"/>
          <w:color w:val="000000" w:themeColor="text1"/>
          <w:sz w:val="24"/>
          <w:highlight w:val="none"/>
          <w14:textFill>
            <w14:solidFill>
              <w14:schemeClr w14:val="tx1"/>
            </w14:solidFill>
          </w14:textFill>
        </w:rPr>
        <w:t>）因重大变故，采购任务取消的。</w:t>
      </w:r>
    </w:p>
    <w:p w14:paraId="3504FB7B">
      <w:pPr>
        <w:keepNext w:val="0"/>
        <w:keepLines w:val="0"/>
        <w:pageBreakBefore w:val="0"/>
        <w:widowControl w:val="0"/>
        <w:kinsoku w:val="0"/>
        <w:wordWrap/>
        <w:topLinePunct w:val="0"/>
        <w:autoSpaceDE w:val="0"/>
        <w:autoSpaceDN w:val="0"/>
        <w:bidi w:val="0"/>
        <w:adjustRightInd w:val="0"/>
        <w:snapToGrid w:val="0"/>
        <w:spacing w:line="500" w:lineRule="exact"/>
        <w:ind w:firstLine="480" w:firstLineChars="200"/>
        <w:jc w:val="left"/>
        <w:rPr>
          <w:rFonts w:hint="eastAsia" w:ascii="宋体" w:hAnsi="宋体" w:eastAsia="宋体" w:cs="宋体"/>
          <w:color w:val="000000" w:themeColor="text1"/>
          <w:sz w:val="36"/>
          <w:szCs w:val="30"/>
          <w:highlight w:val="none"/>
          <w14:textFill>
            <w14:solidFill>
              <w14:schemeClr w14:val="tx1"/>
            </w14:solidFill>
          </w14:textFill>
        </w:rPr>
        <w:sectPr>
          <w:pgSz w:w="11907" w:h="16840"/>
          <w:pgMar w:top="1134" w:right="1134" w:bottom="1134" w:left="1134" w:header="964"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eastAsia="宋体" w:cs="宋体"/>
          <w:color w:val="000000" w:themeColor="text1"/>
          <w:sz w:val="24"/>
          <w:highlight w:val="none"/>
          <w14:textFill>
            <w14:solidFill>
              <w14:schemeClr w14:val="tx1"/>
            </w14:solidFill>
          </w14:textFill>
        </w:rPr>
        <w:t>废标后，除采购任务取消情形外，应当重新组织</w:t>
      </w:r>
      <w:r>
        <w:rPr>
          <w:rFonts w:hint="eastAsia" w:ascii="宋体" w:hAnsi="宋体" w:eastAsia="宋体" w:cs="宋体"/>
          <w:color w:val="000000" w:themeColor="text1"/>
          <w:sz w:val="24"/>
          <w:highlight w:val="none"/>
          <w:lang w:val="en-US" w:eastAsia="zh-CN"/>
          <w14:textFill>
            <w14:solidFill>
              <w14:schemeClr w14:val="tx1"/>
            </w14:solidFill>
          </w14:textFill>
        </w:rPr>
        <w:t>比选</w:t>
      </w:r>
      <w:r>
        <w:rPr>
          <w:rFonts w:hint="eastAsia" w:ascii="宋体" w:hAnsi="宋体" w:eastAsia="宋体" w:cs="宋体"/>
          <w:color w:val="000000" w:themeColor="text1"/>
          <w:sz w:val="24"/>
          <w:highlight w:val="none"/>
          <w:lang w:eastAsia="zh-CN"/>
          <w14:textFill>
            <w14:solidFill>
              <w14:schemeClr w14:val="tx1"/>
            </w14:solidFill>
          </w14:textFill>
        </w:rPr>
        <w:t>。重新比选的</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lang w:eastAsia="zh-CN"/>
          <w14:textFill>
            <w14:solidFill>
              <w14:schemeClr w14:val="tx1"/>
            </w14:solidFill>
          </w14:textFill>
        </w:rPr>
        <w:t>仍然少于三个的，按照招标投标法律法规规定的程序开标和评标。重新比选经评审有效</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lang w:eastAsia="zh-CN"/>
          <w14:textFill>
            <w14:solidFill>
              <w14:schemeClr w14:val="tx1"/>
            </w14:solidFill>
          </w14:textFill>
        </w:rPr>
        <w:t>的，应当依法确定</w:t>
      </w:r>
      <w:r>
        <w:rPr>
          <w:rFonts w:hint="eastAsia" w:ascii="宋体" w:hAnsi="宋体" w:cs="宋体"/>
          <w:color w:val="000000" w:themeColor="text1"/>
          <w:sz w:val="24"/>
          <w:highlight w:val="none"/>
          <w:lang w:eastAsia="zh-CN"/>
          <w14:textFill>
            <w14:solidFill>
              <w14:schemeClr w14:val="tx1"/>
            </w14:solidFill>
          </w14:textFill>
        </w:rPr>
        <w:t>成交供应商候选人</w:t>
      </w:r>
      <w:r>
        <w:rPr>
          <w:rFonts w:hint="eastAsia" w:ascii="宋体" w:hAnsi="宋体" w:eastAsia="宋体" w:cs="宋体"/>
          <w:color w:val="000000" w:themeColor="text1"/>
          <w:sz w:val="24"/>
          <w:highlight w:val="none"/>
          <w:lang w:eastAsia="zh-CN"/>
          <w14:textFill>
            <w14:solidFill>
              <w14:schemeClr w14:val="tx1"/>
            </w14:solidFill>
          </w14:textFill>
        </w:rPr>
        <w:t>。</w:t>
      </w:r>
    </w:p>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14:paraId="5FB1AA65">
      <w:pPr>
        <w:keepNext w:val="0"/>
        <w:keepLines w:val="0"/>
        <w:pageBreakBefore w:val="0"/>
        <w:widowControl w:val="0"/>
        <w:tabs>
          <w:tab w:val="left" w:pos="3360"/>
        </w:tabs>
        <w:kinsoku w:val="0"/>
        <w:wordWrap/>
        <w:topLinePunct w:val="0"/>
        <w:autoSpaceDE w:val="0"/>
        <w:autoSpaceDN w:val="0"/>
        <w:bidi w:val="0"/>
        <w:adjustRightInd w:val="0"/>
        <w:snapToGrid w:val="0"/>
        <w:spacing w:line="500" w:lineRule="exact"/>
        <w:jc w:val="center"/>
        <w:outlineLvl w:val="0"/>
        <w:rPr>
          <w:rFonts w:hint="eastAsia" w:ascii="宋体" w:hAnsi="宋体" w:eastAsia="宋体" w:cs="宋体"/>
          <w:color w:val="000000" w:themeColor="text1"/>
          <w:kern w:val="2"/>
          <w:sz w:val="44"/>
          <w:szCs w:val="44"/>
          <w:highlight w:val="none"/>
          <w:lang w:val="en-US" w:eastAsia="zh-CN" w:bidi="ar-SA"/>
          <w14:textFill>
            <w14:solidFill>
              <w14:schemeClr w14:val="tx1"/>
            </w14:solidFill>
          </w14:textFill>
        </w:rPr>
      </w:pPr>
      <w:bookmarkStart w:id="188" w:name="_Toc2631"/>
      <w:bookmarkStart w:id="189" w:name="_Toc23948"/>
      <w:bookmarkStart w:id="190" w:name="_Toc102227313"/>
      <w:r>
        <w:rPr>
          <w:rFonts w:hint="eastAsia" w:ascii="宋体" w:hAnsi="宋体" w:eastAsia="宋体" w:cs="宋体"/>
          <w:color w:val="000000" w:themeColor="text1"/>
          <w:kern w:val="2"/>
          <w:sz w:val="44"/>
          <w:szCs w:val="44"/>
          <w:highlight w:val="none"/>
          <w:lang w:val="en-US" w:eastAsia="zh-CN" w:bidi="ar-SA"/>
          <w14:textFill>
            <w14:solidFill>
              <w14:schemeClr w14:val="tx1"/>
            </w14:solidFill>
          </w14:textFill>
        </w:rPr>
        <w:t xml:space="preserve">第五篇  </w:t>
      </w:r>
      <w:r>
        <w:rPr>
          <w:rFonts w:hint="eastAsia" w:ascii="宋体" w:hAnsi="宋体" w:cs="宋体"/>
          <w:color w:val="000000" w:themeColor="text1"/>
          <w:kern w:val="2"/>
          <w:sz w:val="44"/>
          <w:szCs w:val="44"/>
          <w:highlight w:val="none"/>
          <w:lang w:val="en-US" w:eastAsia="zh-CN" w:bidi="ar-SA"/>
          <w14:textFill>
            <w14:solidFill>
              <w14:schemeClr w14:val="tx1"/>
            </w14:solidFill>
          </w14:textFill>
        </w:rPr>
        <w:t>供应商</w:t>
      </w:r>
      <w:r>
        <w:rPr>
          <w:rFonts w:hint="eastAsia" w:ascii="宋体" w:hAnsi="宋体" w:eastAsia="宋体" w:cs="宋体"/>
          <w:color w:val="000000" w:themeColor="text1"/>
          <w:kern w:val="2"/>
          <w:sz w:val="44"/>
          <w:szCs w:val="44"/>
          <w:highlight w:val="none"/>
          <w:lang w:val="en-US" w:eastAsia="zh-CN" w:bidi="ar-SA"/>
          <w14:textFill>
            <w14:solidFill>
              <w14:schemeClr w14:val="tx1"/>
            </w14:solidFill>
          </w14:textFill>
        </w:rPr>
        <w:t>须知</w:t>
      </w:r>
      <w:bookmarkEnd w:id="188"/>
      <w:bookmarkEnd w:id="189"/>
      <w:bookmarkEnd w:id="190"/>
    </w:p>
    <w:p w14:paraId="1353CB65">
      <w:pPr>
        <w:pStyle w:val="5"/>
        <w:keepNext w:val="0"/>
        <w:keepLines w:val="0"/>
        <w:pageBreakBefore w:val="0"/>
        <w:widowControl w:val="0"/>
        <w:shd w:val="clear"/>
        <w:kinsoku w:val="0"/>
        <w:wordWrap/>
        <w:overflowPunct/>
        <w:topLinePunct w:val="0"/>
        <w:autoSpaceDE w:val="0"/>
        <w:autoSpaceDN w:val="0"/>
        <w:bidi w:val="0"/>
        <w:adjustRightInd w:val="0"/>
        <w:snapToGrid w:val="0"/>
        <w:spacing w:before="0" w:beforeLines="0" w:after="0" w:afterLines="0" w:line="500" w:lineRule="exact"/>
        <w:ind w:left="0" w:leftChars="0" w:right="0" w:rightChars="0"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w:t>
      </w:r>
      <w:r>
        <w:rPr>
          <w:rFonts w:hint="eastAsia" w:cs="宋体"/>
          <w:b/>
          <w:bCs/>
          <w:color w:val="auto"/>
          <w:sz w:val="24"/>
          <w:szCs w:val="24"/>
          <w:highlight w:val="none"/>
          <w:lang w:eastAsia="zh-CN"/>
        </w:rPr>
        <w:t>供应商</w:t>
      </w:r>
    </w:p>
    <w:p w14:paraId="1DD06E14">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供应商</w:t>
      </w:r>
    </w:p>
    <w:p w14:paraId="70B4E28B">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是指响应</w:t>
      </w:r>
      <w:r>
        <w:rPr>
          <w:rFonts w:hint="eastAsia" w:ascii="宋体" w:hAnsi="宋体" w:eastAsia="宋体" w:cs="宋体"/>
          <w:color w:val="auto"/>
          <w:sz w:val="24"/>
          <w:szCs w:val="24"/>
          <w:highlight w:val="none"/>
          <w:lang w:eastAsia="zh-CN"/>
        </w:rPr>
        <w:t>比选文件</w:t>
      </w:r>
      <w:r>
        <w:rPr>
          <w:rFonts w:hint="eastAsia" w:ascii="宋体" w:hAnsi="宋体" w:eastAsia="宋体" w:cs="宋体"/>
          <w:color w:val="auto"/>
          <w:sz w:val="24"/>
          <w:szCs w:val="24"/>
          <w:highlight w:val="none"/>
        </w:rPr>
        <w:t>、参加</w:t>
      </w:r>
      <w:r>
        <w:rPr>
          <w:rFonts w:hint="eastAsia" w:ascii="宋体" w:hAnsi="宋体" w:eastAsia="宋体" w:cs="宋体"/>
          <w:color w:val="auto"/>
          <w:sz w:val="24"/>
          <w:szCs w:val="24"/>
          <w:highlight w:val="none"/>
          <w:lang w:eastAsia="zh-CN"/>
        </w:rPr>
        <w:t>公开</w:t>
      </w:r>
      <w:r>
        <w:rPr>
          <w:rFonts w:hint="eastAsia" w:ascii="宋体" w:hAnsi="宋体" w:eastAsia="宋体" w:cs="宋体"/>
          <w:color w:val="auto"/>
          <w:sz w:val="24"/>
          <w:szCs w:val="24"/>
          <w:highlight w:val="none"/>
        </w:rPr>
        <w:t>竞争的法人、其他组织或者自然人。</w:t>
      </w:r>
    </w:p>
    <w:p w14:paraId="4B0D1E48">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(二)合格</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条件</w:t>
      </w:r>
    </w:p>
    <w:p w14:paraId="3C071BC3">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应完全符合</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文件第一篇中规定的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资格条件，并对</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文件作出</w:t>
      </w:r>
    </w:p>
    <w:p w14:paraId="2A39BFC5">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实质性响应。</w:t>
      </w:r>
    </w:p>
    <w:p w14:paraId="366B91C0">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的风险</w:t>
      </w:r>
    </w:p>
    <w:p w14:paraId="3EEB37BD">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没有按照</w:t>
      </w:r>
      <w:r>
        <w:rPr>
          <w:rFonts w:hint="eastAsia" w:ascii="宋体" w:hAnsi="宋体" w:eastAsia="宋体" w:cs="宋体"/>
          <w:color w:val="auto"/>
          <w:sz w:val="24"/>
          <w:szCs w:val="24"/>
          <w:highlight w:val="none"/>
          <w:lang w:eastAsia="zh-CN"/>
        </w:rPr>
        <w:t>比选文件</w:t>
      </w:r>
      <w:r>
        <w:rPr>
          <w:rFonts w:hint="eastAsia" w:ascii="宋体" w:hAnsi="宋体" w:eastAsia="宋体" w:cs="宋体"/>
          <w:color w:val="auto"/>
          <w:sz w:val="24"/>
          <w:szCs w:val="24"/>
          <w:highlight w:val="none"/>
        </w:rPr>
        <w:t>要求提供全部资料，或者</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没有对</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文件在各方面作出实质性响应，可能导致</w:t>
      </w:r>
      <w:r>
        <w:rPr>
          <w:rFonts w:hint="eastAsia" w:ascii="宋体" w:hAnsi="宋体" w:eastAsia="宋体" w:cs="宋体"/>
          <w:color w:val="auto"/>
          <w:sz w:val="24"/>
          <w:szCs w:val="24"/>
          <w:highlight w:val="none"/>
          <w:lang w:eastAsia="zh-CN"/>
        </w:rPr>
        <w:t>竞标</w:t>
      </w:r>
      <w:r>
        <w:rPr>
          <w:rFonts w:hint="eastAsia" w:ascii="宋体" w:hAnsi="宋体" w:eastAsia="宋体" w:cs="宋体"/>
          <w:color w:val="auto"/>
          <w:sz w:val="24"/>
          <w:szCs w:val="24"/>
          <w:highlight w:val="none"/>
        </w:rPr>
        <w:t>被拒绝或评定为无效</w:t>
      </w:r>
      <w:r>
        <w:rPr>
          <w:rFonts w:hint="eastAsia" w:ascii="宋体" w:hAnsi="宋体" w:eastAsia="宋体" w:cs="宋体"/>
          <w:color w:val="auto"/>
          <w:sz w:val="24"/>
          <w:szCs w:val="24"/>
          <w:highlight w:val="none"/>
          <w:lang w:eastAsia="zh-CN"/>
        </w:rPr>
        <w:t>竞标</w:t>
      </w:r>
      <w:r>
        <w:rPr>
          <w:rFonts w:hint="eastAsia" w:ascii="宋体" w:hAnsi="宋体" w:eastAsia="宋体" w:cs="宋体"/>
          <w:color w:val="auto"/>
          <w:sz w:val="24"/>
          <w:szCs w:val="24"/>
          <w:highlight w:val="none"/>
        </w:rPr>
        <w:t>。</w:t>
      </w:r>
    </w:p>
    <w:p w14:paraId="1040BA91">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(四)法律责任</w:t>
      </w:r>
    </w:p>
    <w:p w14:paraId="24368840">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违反《中华人民共和国政府采购法》、《中华人民共和国政府采购</w:t>
      </w:r>
      <w:r>
        <w:rPr>
          <w:rFonts w:hint="eastAsia" w:ascii="宋体" w:hAnsi="宋体" w:cs="宋体"/>
          <w:color w:val="auto"/>
          <w:sz w:val="24"/>
          <w:szCs w:val="24"/>
          <w:highlight w:val="none"/>
          <w:lang w:val="en-US" w:eastAsia="zh-CN"/>
        </w:rPr>
        <w:t>法</w:t>
      </w:r>
      <w:r>
        <w:rPr>
          <w:rFonts w:hint="eastAsia" w:ascii="宋体" w:hAnsi="宋体" w:eastAsia="宋体" w:cs="宋体"/>
          <w:color w:val="auto"/>
          <w:sz w:val="24"/>
          <w:szCs w:val="24"/>
          <w:highlight w:val="none"/>
        </w:rPr>
        <w:t>实施条例》等相关规定，将按规定追究</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法律责任。</w:t>
      </w:r>
    </w:p>
    <w:p w14:paraId="095B1E26">
      <w:pPr>
        <w:pStyle w:val="5"/>
        <w:keepNext w:val="0"/>
        <w:keepLines w:val="0"/>
        <w:pageBreakBefore w:val="0"/>
        <w:widowControl w:val="0"/>
        <w:numPr>
          <w:ilvl w:val="-1"/>
          <w:numId w:val="0"/>
        </w:numPr>
        <w:shd w:val="clear"/>
        <w:kinsoku w:val="0"/>
        <w:wordWrap/>
        <w:overflowPunct/>
        <w:topLinePunct w:val="0"/>
        <w:autoSpaceDE w:val="0"/>
        <w:autoSpaceDN w:val="0"/>
        <w:bidi w:val="0"/>
        <w:adjustRightInd w:val="0"/>
        <w:snapToGrid w:val="0"/>
        <w:spacing w:before="0" w:beforeLines="0" w:after="0" w:afterLines="0" w:line="500" w:lineRule="exact"/>
        <w:ind w:left="0" w:leftChars="0" w:right="0" w:rightChars="0"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比选</w:t>
      </w:r>
      <w:r>
        <w:rPr>
          <w:rFonts w:hint="eastAsia" w:ascii="宋体" w:hAnsi="宋体" w:eastAsia="宋体" w:cs="宋体"/>
          <w:b/>
          <w:bCs/>
          <w:color w:val="auto"/>
          <w:sz w:val="24"/>
          <w:szCs w:val="24"/>
          <w:highlight w:val="none"/>
        </w:rPr>
        <w:t>文件</w:t>
      </w:r>
    </w:p>
    <w:p w14:paraId="072D2F23">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比选文件是</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编制</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的依据，是评标委员会评判</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依据和标准。比选文件也是</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与</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签订合同的基础。</w:t>
      </w:r>
    </w:p>
    <w:p w14:paraId="0974980A">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）比选文件由</w:t>
      </w:r>
      <w:r>
        <w:rPr>
          <w:rFonts w:hint="eastAsia" w:ascii="宋体" w:hAnsi="宋体" w:cs="宋体"/>
          <w:color w:val="auto"/>
          <w:sz w:val="24"/>
          <w:szCs w:val="24"/>
          <w:highlight w:val="none"/>
          <w:lang w:val="en-US" w:eastAsia="zh-CN"/>
        </w:rPr>
        <w:t>竞争性比选</w:t>
      </w:r>
      <w:r>
        <w:rPr>
          <w:rFonts w:hint="eastAsia" w:ascii="宋体" w:hAnsi="宋体" w:eastAsia="宋体" w:cs="宋体"/>
          <w:color w:val="auto"/>
          <w:sz w:val="24"/>
          <w:szCs w:val="24"/>
          <w:highlight w:val="none"/>
          <w:lang w:val="en-US" w:eastAsia="zh-CN"/>
        </w:rPr>
        <w:t>公告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项目</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lang w:val="en-US" w:eastAsia="zh-CN"/>
        </w:rPr>
        <w:t>需求、项目商务需求、资格审查及评标办法、</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lang w:val="en-US" w:eastAsia="zh-CN"/>
        </w:rPr>
        <w:t>须知、合同条款及格式、</w:t>
      </w:r>
      <w:r>
        <w:rPr>
          <w:rFonts w:hint="eastAsia" w:ascii="宋体" w:hAnsi="宋体" w:cs="宋体"/>
          <w:color w:val="auto"/>
          <w:sz w:val="24"/>
          <w:szCs w:val="24"/>
          <w:highlight w:val="none"/>
          <w:lang w:val="en-US" w:eastAsia="zh-CN"/>
        </w:rPr>
        <w:t>响应文件</w:t>
      </w:r>
      <w:r>
        <w:rPr>
          <w:rFonts w:hint="eastAsia" w:ascii="宋体" w:hAnsi="宋体" w:eastAsia="宋体" w:cs="宋体"/>
          <w:color w:val="auto"/>
          <w:sz w:val="24"/>
          <w:szCs w:val="24"/>
          <w:highlight w:val="none"/>
          <w:lang w:val="en-US" w:eastAsia="zh-CN"/>
        </w:rPr>
        <w:t>格式等七部分组成。</w:t>
      </w:r>
    </w:p>
    <w:p w14:paraId="3C5DEB49">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代理机构对比选文件所作的一切有效的书面通知、修改及补充，都是</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文件不可分割的部分。</w:t>
      </w:r>
    </w:p>
    <w:p w14:paraId="5BA3E624">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本项目的比选文件、澄清文件(如果有)一律在</w:t>
      </w:r>
      <w:r>
        <w:rPr>
          <w:rFonts w:hint="eastAsia" w:ascii="宋体" w:hAnsi="宋体" w:cs="宋体"/>
          <w:color w:val="auto"/>
          <w:sz w:val="24"/>
          <w:szCs w:val="24"/>
          <w:highlight w:val="none"/>
        </w:rPr>
        <w:t>“行采家”平台（http://www.gec123.com）</w:t>
      </w:r>
      <w:r>
        <w:rPr>
          <w:rFonts w:hint="eastAsia" w:ascii="宋体" w:hAnsi="宋体" w:eastAsia="宋体" w:cs="宋体"/>
          <w:color w:val="auto"/>
          <w:sz w:val="24"/>
          <w:szCs w:val="24"/>
          <w:highlight w:val="none"/>
          <w:lang w:eastAsia="zh-CN"/>
        </w:rPr>
        <w:t>网</w:t>
      </w:r>
      <w:r>
        <w:rPr>
          <w:rFonts w:hint="eastAsia" w:ascii="宋体" w:hAnsi="宋体" w:eastAsia="宋体" w:cs="宋体"/>
          <w:color w:val="auto"/>
          <w:sz w:val="24"/>
          <w:szCs w:val="24"/>
          <w:highlight w:val="none"/>
        </w:rPr>
        <w:t>上发布，请各供应商注意下载或到</w:t>
      </w:r>
      <w:r>
        <w:rPr>
          <w:rFonts w:hint="eastAsia" w:ascii="宋体" w:hAnsi="宋体" w:cs="宋体"/>
          <w:color w:val="auto"/>
          <w:sz w:val="24"/>
          <w:szCs w:val="24"/>
          <w:highlight w:val="none"/>
          <w:lang w:val="en-US" w:eastAsia="zh-CN"/>
        </w:rPr>
        <w:t>比选</w:t>
      </w:r>
      <w:r>
        <w:rPr>
          <w:rFonts w:hint="eastAsia" w:ascii="宋体" w:hAnsi="宋体" w:eastAsia="宋体" w:cs="宋体"/>
          <w:color w:val="auto"/>
          <w:sz w:val="24"/>
          <w:szCs w:val="24"/>
          <w:highlight w:val="none"/>
        </w:rPr>
        <w:t>代理机构处领取</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无论供应商下载或领取与否，均视同供应商已知晓本项目</w:t>
      </w:r>
      <w:r>
        <w:rPr>
          <w:rFonts w:hint="eastAsia" w:ascii="宋体" w:hAnsi="宋体" w:eastAsia="宋体" w:cs="宋体"/>
          <w:color w:val="auto"/>
          <w:sz w:val="24"/>
          <w:szCs w:val="24"/>
          <w:highlight w:val="none"/>
          <w:lang w:eastAsia="zh-CN"/>
        </w:rPr>
        <w:t>比选文件</w:t>
      </w:r>
      <w:r>
        <w:rPr>
          <w:rFonts w:hint="eastAsia" w:ascii="宋体" w:hAnsi="宋体" w:eastAsia="宋体" w:cs="宋体"/>
          <w:color w:val="auto"/>
          <w:sz w:val="24"/>
          <w:szCs w:val="24"/>
          <w:highlight w:val="none"/>
        </w:rPr>
        <w:t>、澄清文件的内容。</w:t>
      </w:r>
    </w:p>
    <w:p w14:paraId="5133B006">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beforeLines="0" w:afterLines="0" w:line="500" w:lineRule="exact"/>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代理机构对已发出的比选文件需要进行澄清或修改的，应以书面形式或公告形式通知所有</w:t>
      </w:r>
      <w:r>
        <w:rPr>
          <w:rFonts w:hint="eastAsia" w:ascii="宋体" w:hAnsi="宋体" w:eastAsia="宋体" w:cs="宋体"/>
          <w:color w:val="auto"/>
          <w:sz w:val="24"/>
          <w:szCs w:val="24"/>
          <w:highlight w:val="none"/>
          <w:lang w:eastAsia="zh-CN"/>
        </w:rPr>
        <w:t>比选文件</w:t>
      </w:r>
      <w:r>
        <w:rPr>
          <w:rFonts w:hint="eastAsia" w:ascii="宋体" w:hAnsi="宋体" w:eastAsia="宋体" w:cs="宋体"/>
          <w:color w:val="auto"/>
          <w:sz w:val="24"/>
          <w:szCs w:val="24"/>
          <w:highlight w:val="none"/>
        </w:rPr>
        <w:t>收受人。该澄清或者修改的内容为</w:t>
      </w:r>
      <w:r>
        <w:rPr>
          <w:rFonts w:hint="eastAsia" w:ascii="宋体" w:hAnsi="宋体" w:eastAsia="宋体" w:cs="宋体"/>
          <w:color w:val="auto"/>
          <w:sz w:val="24"/>
          <w:szCs w:val="24"/>
          <w:highlight w:val="none"/>
          <w:lang w:eastAsia="zh-CN"/>
        </w:rPr>
        <w:t>比选文件</w:t>
      </w:r>
      <w:r>
        <w:rPr>
          <w:rFonts w:hint="eastAsia" w:ascii="宋体" w:hAnsi="宋体" w:eastAsia="宋体" w:cs="宋体"/>
          <w:color w:val="auto"/>
          <w:sz w:val="24"/>
          <w:szCs w:val="24"/>
          <w:highlight w:val="none"/>
        </w:rPr>
        <w:t>的组成部分。</w:t>
      </w:r>
    </w:p>
    <w:p w14:paraId="3EB1892D">
      <w:pPr>
        <w:pStyle w:val="5"/>
        <w:keepNext w:val="0"/>
        <w:keepLines w:val="0"/>
        <w:pageBreakBefore w:val="0"/>
        <w:widowControl w:val="0"/>
        <w:shd w:val="clear"/>
        <w:kinsoku w:val="0"/>
        <w:wordWrap/>
        <w:overflowPunct/>
        <w:topLinePunct w:val="0"/>
        <w:autoSpaceDE w:val="0"/>
        <w:autoSpaceDN w:val="0"/>
        <w:bidi w:val="0"/>
        <w:adjustRightInd w:val="0"/>
        <w:snapToGrid w:val="0"/>
        <w:spacing w:before="0" w:beforeLines="0" w:after="0" w:afterLines="0" w:line="500" w:lineRule="exact"/>
        <w:ind w:left="0" w:leftChars="0" w:right="0" w:rightChars="0"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w:t>
      </w:r>
      <w:r>
        <w:rPr>
          <w:rFonts w:hint="eastAsia" w:cs="宋体"/>
          <w:b/>
          <w:bCs/>
          <w:color w:val="auto"/>
          <w:sz w:val="24"/>
          <w:szCs w:val="24"/>
          <w:highlight w:val="none"/>
          <w:lang w:eastAsia="zh-CN"/>
        </w:rPr>
        <w:t>响应文件</w:t>
      </w:r>
    </w:p>
    <w:p w14:paraId="61C85BCF">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应当按照</w:t>
      </w:r>
      <w:r>
        <w:rPr>
          <w:rFonts w:hint="eastAsia" w:ascii="宋体" w:hAnsi="宋体" w:eastAsia="宋体" w:cs="宋体"/>
          <w:color w:val="auto"/>
          <w:sz w:val="24"/>
          <w:szCs w:val="24"/>
          <w:highlight w:val="none"/>
          <w:lang w:eastAsia="zh-CN"/>
        </w:rPr>
        <w:t>比选文件</w:t>
      </w:r>
      <w:r>
        <w:rPr>
          <w:rFonts w:hint="eastAsia" w:ascii="宋体" w:hAnsi="宋体" w:eastAsia="宋体" w:cs="宋体"/>
          <w:color w:val="auto"/>
          <w:sz w:val="24"/>
          <w:szCs w:val="24"/>
          <w:highlight w:val="none"/>
        </w:rPr>
        <w:t>的要求编制</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，并对</w:t>
      </w:r>
      <w:r>
        <w:rPr>
          <w:rFonts w:hint="eastAsia" w:ascii="宋体" w:hAnsi="宋体" w:eastAsia="宋体" w:cs="宋体"/>
          <w:color w:val="auto"/>
          <w:sz w:val="24"/>
          <w:szCs w:val="24"/>
          <w:highlight w:val="none"/>
          <w:lang w:eastAsia="zh-CN"/>
        </w:rPr>
        <w:t>比选文件</w:t>
      </w:r>
      <w:r>
        <w:rPr>
          <w:rFonts w:hint="eastAsia" w:ascii="宋体" w:hAnsi="宋体" w:eastAsia="宋体" w:cs="宋体"/>
          <w:color w:val="auto"/>
          <w:sz w:val="24"/>
          <w:szCs w:val="24"/>
          <w:highlight w:val="none"/>
        </w:rPr>
        <w:t>提出的要求和条件作出实质性响应，</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原则上采用软面订本，同时应编制完整的页码、目录。</w:t>
      </w:r>
    </w:p>
    <w:p w14:paraId="5C6D3041">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组成</w:t>
      </w:r>
    </w:p>
    <w:p w14:paraId="1B724142">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eastAsia="zh-CN"/>
        </w:rPr>
        <w:t>第七篇</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格式”规定的部分和</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所作的一切有效补充、修改和承诺等文件组成，</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应按照</w:t>
      </w:r>
      <w:r>
        <w:rPr>
          <w:rFonts w:hint="eastAsia" w:ascii="宋体" w:hAnsi="宋体" w:eastAsia="宋体" w:cs="宋体"/>
          <w:color w:val="auto"/>
          <w:sz w:val="24"/>
          <w:szCs w:val="24"/>
          <w:highlight w:val="none"/>
          <w:lang w:eastAsia="zh-CN"/>
        </w:rPr>
        <w:t>第七篇</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格式”规定的目录顺序组织编写和装订，否则有可能影响评委对</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的评审。</w:t>
      </w:r>
    </w:p>
    <w:p w14:paraId="7A7C80B0">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(二)联合</w:t>
      </w:r>
      <w:r>
        <w:rPr>
          <w:rFonts w:hint="eastAsia" w:ascii="宋体" w:hAnsi="宋体" w:eastAsia="宋体" w:cs="宋体"/>
          <w:color w:val="auto"/>
          <w:sz w:val="24"/>
          <w:szCs w:val="24"/>
          <w:highlight w:val="none"/>
          <w:lang w:eastAsia="zh-CN"/>
        </w:rPr>
        <w:t>竞标</w:t>
      </w:r>
    </w:p>
    <w:p w14:paraId="23F85775">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本项目不接受联合体参与</w:t>
      </w:r>
      <w:r>
        <w:rPr>
          <w:rFonts w:hint="eastAsia" w:ascii="宋体" w:hAnsi="宋体" w:eastAsia="宋体" w:cs="宋体"/>
          <w:color w:val="auto"/>
          <w:sz w:val="24"/>
          <w:szCs w:val="24"/>
          <w:highlight w:val="none"/>
          <w:lang w:eastAsia="zh-CN"/>
        </w:rPr>
        <w:t>竞标</w:t>
      </w:r>
      <w:r>
        <w:rPr>
          <w:rFonts w:hint="eastAsia" w:ascii="宋体" w:hAnsi="宋体" w:eastAsia="宋体" w:cs="宋体"/>
          <w:color w:val="auto"/>
          <w:sz w:val="24"/>
          <w:szCs w:val="24"/>
          <w:highlight w:val="none"/>
        </w:rPr>
        <w:t>。</w:t>
      </w:r>
    </w:p>
    <w:p w14:paraId="5DA945C7">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竞标</w:t>
      </w:r>
      <w:r>
        <w:rPr>
          <w:rFonts w:hint="eastAsia" w:ascii="宋体" w:hAnsi="宋体" w:eastAsia="宋体" w:cs="宋体"/>
          <w:color w:val="auto"/>
          <w:sz w:val="24"/>
          <w:szCs w:val="24"/>
          <w:highlight w:val="none"/>
        </w:rPr>
        <w:t>有效期</w:t>
      </w:r>
    </w:p>
    <w:p w14:paraId="3390EEF1">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竞标</w:t>
      </w:r>
      <w:r>
        <w:rPr>
          <w:rFonts w:hint="eastAsia" w:ascii="宋体" w:hAnsi="宋体" w:eastAsia="宋体" w:cs="宋体"/>
          <w:color w:val="auto"/>
          <w:sz w:val="24"/>
          <w:szCs w:val="24"/>
          <w:highlight w:val="none"/>
        </w:rPr>
        <w:t>有效期为</w:t>
      </w:r>
      <w:r>
        <w:rPr>
          <w:rFonts w:hint="eastAsia" w:ascii="宋体" w:hAnsi="宋体" w:eastAsia="宋体" w:cs="宋体"/>
          <w:color w:val="auto"/>
          <w:sz w:val="24"/>
          <w:szCs w:val="24"/>
          <w:highlight w:val="none"/>
          <w:lang w:eastAsia="zh-CN"/>
        </w:rPr>
        <w:t>竞标</w:t>
      </w:r>
      <w:r>
        <w:rPr>
          <w:rFonts w:hint="eastAsia" w:ascii="宋体" w:hAnsi="宋体" w:eastAsia="宋体" w:cs="宋体"/>
          <w:color w:val="auto"/>
          <w:sz w:val="24"/>
          <w:szCs w:val="24"/>
          <w:highlight w:val="none"/>
        </w:rPr>
        <w:t>截止时间起90天内。</w:t>
      </w:r>
    </w:p>
    <w:p w14:paraId="5F4BAFD1">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cs="宋体"/>
          <w:color w:val="auto"/>
          <w:sz w:val="24"/>
          <w:szCs w:val="24"/>
          <w:highlight w:val="none"/>
          <w:lang w:eastAsia="zh-CN"/>
        </w:rPr>
        <w:t>比选保证金</w:t>
      </w:r>
    </w:p>
    <w:p w14:paraId="1BECF808">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lang w:eastAsia="zh-CN"/>
        </w:rPr>
        <w:t>竞标</w:t>
      </w:r>
      <w:r>
        <w:rPr>
          <w:rFonts w:hint="eastAsia" w:ascii="宋体" w:hAnsi="宋体" w:eastAsia="宋体" w:cs="宋体"/>
          <w:color w:val="auto"/>
          <w:sz w:val="24"/>
          <w:szCs w:val="24"/>
          <w:highlight w:val="none"/>
        </w:rPr>
        <w:t>截止时间前，按</w:t>
      </w:r>
      <w:r>
        <w:rPr>
          <w:rFonts w:hint="eastAsia" w:ascii="宋体" w:hAnsi="宋体" w:eastAsia="宋体" w:cs="宋体"/>
          <w:color w:val="auto"/>
          <w:sz w:val="24"/>
          <w:szCs w:val="24"/>
          <w:highlight w:val="none"/>
          <w:lang w:eastAsia="zh-CN"/>
        </w:rPr>
        <w:t>比选文件</w:t>
      </w:r>
      <w:r>
        <w:rPr>
          <w:rFonts w:hint="eastAsia" w:ascii="宋体" w:hAnsi="宋体" w:eastAsia="宋体" w:cs="宋体"/>
          <w:color w:val="auto"/>
          <w:sz w:val="24"/>
          <w:szCs w:val="24"/>
          <w:highlight w:val="none"/>
        </w:rPr>
        <w:t>第一篇规定交纳</w:t>
      </w:r>
      <w:r>
        <w:rPr>
          <w:rFonts w:hint="eastAsia" w:ascii="宋体" w:hAnsi="宋体" w:cs="宋体"/>
          <w:color w:val="auto"/>
          <w:sz w:val="24"/>
          <w:szCs w:val="24"/>
          <w:highlight w:val="none"/>
          <w:lang w:eastAsia="zh-CN"/>
        </w:rPr>
        <w:t>比选保证金</w:t>
      </w:r>
      <w:r>
        <w:rPr>
          <w:rFonts w:hint="eastAsia" w:ascii="宋体" w:hAnsi="宋体" w:eastAsia="宋体" w:cs="宋体"/>
          <w:color w:val="auto"/>
          <w:sz w:val="24"/>
          <w:szCs w:val="24"/>
          <w:highlight w:val="none"/>
          <w:lang w:eastAsia="zh-CN"/>
        </w:rPr>
        <w:t>；</w:t>
      </w:r>
    </w:p>
    <w:p w14:paraId="07E8072F">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比选保证金</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eastAsia="zh-CN"/>
        </w:rPr>
        <w:t>竞标</w:t>
      </w:r>
      <w:r>
        <w:rPr>
          <w:rFonts w:hint="eastAsia" w:ascii="宋体" w:hAnsi="宋体" w:eastAsia="宋体" w:cs="宋体"/>
          <w:color w:val="auto"/>
          <w:sz w:val="24"/>
          <w:szCs w:val="24"/>
          <w:highlight w:val="none"/>
        </w:rPr>
        <w:t>的有效约束条件</w:t>
      </w:r>
      <w:r>
        <w:rPr>
          <w:rFonts w:hint="eastAsia" w:ascii="宋体" w:hAnsi="宋体" w:eastAsia="宋体" w:cs="宋体"/>
          <w:color w:val="auto"/>
          <w:sz w:val="24"/>
          <w:szCs w:val="24"/>
          <w:highlight w:val="none"/>
          <w:lang w:eastAsia="zh-CN"/>
        </w:rPr>
        <w:t>；</w:t>
      </w:r>
    </w:p>
    <w:p w14:paraId="7F4E7600">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比选保证金</w:t>
      </w:r>
      <w:r>
        <w:rPr>
          <w:rFonts w:hint="eastAsia" w:ascii="宋体" w:hAnsi="宋体" w:eastAsia="宋体" w:cs="宋体"/>
          <w:color w:val="auto"/>
          <w:sz w:val="24"/>
          <w:szCs w:val="24"/>
          <w:highlight w:val="none"/>
        </w:rPr>
        <w:t>的有效期限在</w:t>
      </w:r>
      <w:r>
        <w:rPr>
          <w:rFonts w:hint="eastAsia" w:ascii="宋体" w:hAnsi="宋体" w:eastAsia="宋体" w:cs="宋体"/>
          <w:color w:val="auto"/>
          <w:sz w:val="24"/>
          <w:szCs w:val="24"/>
          <w:highlight w:val="none"/>
          <w:lang w:eastAsia="zh-CN"/>
        </w:rPr>
        <w:t>竞标</w:t>
      </w:r>
      <w:r>
        <w:rPr>
          <w:rFonts w:hint="eastAsia" w:ascii="宋体" w:hAnsi="宋体" w:eastAsia="宋体" w:cs="宋体"/>
          <w:color w:val="auto"/>
          <w:sz w:val="24"/>
          <w:szCs w:val="24"/>
          <w:highlight w:val="none"/>
        </w:rPr>
        <w:t>有效期过后三十天继续有效</w:t>
      </w:r>
      <w:r>
        <w:rPr>
          <w:rFonts w:hint="eastAsia" w:ascii="宋体" w:hAnsi="宋体" w:eastAsia="宋体" w:cs="宋体"/>
          <w:color w:val="auto"/>
          <w:sz w:val="24"/>
          <w:szCs w:val="24"/>
          <w:highlight w:val="none"/>
          <w:lang w:eastAsia="zh-CN"/>
        </w:rPr>
        <w:t>；</w:t>
      </w:r>
    </w:p>
    <w:p w14:paraId="14B2552C">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eastAsia="zh-CN"/>
        </w:rPr>
        <w:t>比选保证金</w:t>
      </w:r>
      <w:r>
        <w:rPr>
          <w:rFonts w:hint="eastAsia" w:ascii="宋体" w:hAnsi="宋体" w:eastAsia="宋体" w:cs="宋体"/>
          <w:color w:val="auto"/>
          <w:sz w:val="24"/>
          <w:szCs w:val="24"/>
          <w:highlight w:val="none"/>
        </w:rPr>
        <w:t>币种应与</w:t>
      </w:r>
      <w:r>
        <w:rPr>
          <w:rFonts w:hint="eastAsia" w:ascii="宋体" w:hAnsi="宋体" w:eastAsia="宋体" w:cs="宋体"/>
          <w:color w:val="auto"/>
          <w:sz w:val="24"/>
          <w:szCs w:val="24"/>
          <w:highlight w:val="none"/>
          <w:lang w:eastAsia="zh-CN"/>
        </w:rPr>
        <w:t>竞标</w:t>
      </w:r>
      <w:r>
        <w:rPr>
          <w:rFonts w:hint="eastAsia" w:ascii="宋体" w:hAnsi="宋体" w:eastAsia="宋体" w:cs="宋体"/>
          <w:color w:val="auto"/>
          <w:sz w:val="24"/>
          <w:szCs w:val="24"/>
          <w:highlight w:val="none"/>
        </w:rPr>
        <w:t>报价币种相同</w:t>
      </w:r>
      <w:r>
        <w:rPr>
          <w:rFonts w:hint="eastAsia" w:ascii="宋体" w:hAnsi="宋体" w:eastAsia="宋体" w:cs="宋体"/>
          <w:color w:val="auto"/>
          <w:sz w:val="24"/>
          <w:szCs w:val="24"/>
          <w:highlight w:val="none"/>
          <w:lang w:eastAsia="zh-CN"/>
        </w:rPr>
        <w:t>；</w:t>
      </w:r>
    </w:p>
    <w:p w14:paraId="14AC0813">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中选</w:t>
      </w:r>
      <w:r>
        <w:rPr>
          <w:rFonts w:hint="eastAsia" w:ascii="宋体" w:hAnsi="宋体" w:eastAsia="宋体" w:cs="宋体"/>
          <w:color w:val="auto"/>
          <w:sz w:val="24"/>
          <w:szCs w:val="24"/>
          <w:highlight w:val="none"/>
          <w:lang w:eastAsia="zh-CN"/>
        </w:rPr>
        <w:t>通知书</w:t>
      </w:r>
      <w:r>
        <w:rPr>
          <w:rFonts w:hint="eastAsia" w:ascii="宋体" w:hAnsi="宋体" w:eastAsia="宋体" w:cs="宋体"/>
          <w:color w:val="auto"/>
          <w:sz w:val="24"/>
          <w:szCs w:val="24"/>
          <w:highlight w:val="none"/>
        </w:rPr>
        <w:t>》发出后，由</w:t>
      </w:r>
      <w:r>
        <w:rPr>
          <w:rFonts w:hint="eastAsia" w:ascii="宋体" w:hAnsi="宋体" w:eastAsia="宋体" w:cs="宋体"/>
          <w:color w:val="auto"/>
          <w:sz w:val="24"/>
          <w:szCs w:val="24"/>
          <w:highlight w:val="none"/>
          <w:lang w:eastAsia="zh-CN"/>
        </w:rPr>
        <w:t>代理机构在</w:t>
      </w:r>
      <w:r>
        <w:rPr>
          <w:rFonts w:hint="eastAsia" w:ascii="宋体" w:hAnsi="宋体" w:eastAsia="宋体" w:cs="宋体"/>
          <w:color w:val="auto"/>
          <w:sz w:val="24"/>
          <w:szCs w:val="24"/>
          <w:highlight w:val="none"/>
        </w:rPr>
        <w:t>五个工作日内退还未</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val="en-US" w:eastAsia="zh-CN"/>
        </w:rPr>
        <w:t>比选</w:t>
      </w:r>
      <w:r>
        <w:rPr>
          <w:rFonts w:hint="eastAsia" w:ascii="宋体" w:hAnsi="宋体" w:eastAsia="宋体" w:cs="宋体"/>
          <w:color w:val="auto"/>
          <w:sz w:val="24"/>
          <w:szCs w:val="24"/>
          <w:highlight w:val="none"/>
        </w:rPr>
        <w:t>保证金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在采购合同签订后，由</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五个工作日退还</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val="en-US" w:eastAsia="zh-CN"/>
        </w:rPr>
        <w:t>比选</w:t>
      </w:r>
      <w:r>
        <w:rPr>
          <w:rFonts w:hint="eastAsia" w:ascii="宋体" w:hAnsi="宋体" w:eastAsia="宋体" w:cs="宋体"/>
          <w:color w:val="auto"/>
          <w:sz w:val="24"/>
          <w:szCs w:val="24"/>
          <w:highlight w:val="none"/>
        </w:rPr>
        <w:t>保证金</w:t>
      </w:r>
      <w:r>
        <w:rPr>
          <w:rFonts w:hint="eastAsia" w:ascii="宋体" w:hAnsi="宋体" w:eastAsia="宋体" w:cs="宋体"/>
          <w:color w:val="auto"/>
          <w:sz w:val="24"/>
          <w:szCs w:val="24"/>
          <w:highlight w:val="none"/>
          <w:lang w:eastAsia="zh-CN"/>
        </w:rPr>
        <w:t>；</w:t>
      </w:r>
    </w:p>
    <w:p w14:paraId="0FE17CAE">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代理机构可以不退还</w:t>
      </w:r>
      <w:r>
        <w:rPr>
          <w:rFonts w:hint="eastAsia" w:ascii="宋体" w:hAnsi="宋体" w:cs="宋体"/>
          <w:color w:val="auto"/>
          <w:sz w:val="24"/>
          <w:szCs w:val="24"/>
          <w:highlight w:val="none"/>
          <w:lang w:eastAsia="zh-CN"/>
        </w:rPr>
        <w:t>比选保证金</w:t>
      </w:r>
      <w:r>
        <w:rPr>
          <w:rFonts w:hint="eastAsia" w:ascii="宋体" w:hAnsi="宋体" w:eastAsia="宋体" w:cs="宋体"/>
          <w:color w:val="auto"/>
          <w:sz w:val="24"/>
          <w:szCs w:val="24"/>
          <w:highlight w:val="none"/>
        </w:rPr>
        <w:t>:</w:t>
      </w:r>
    </w:p>
    <w:p w14:paraId="551425EA">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6.1 </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竞标</w:t>
      </w:r>
      <w:r>
        <w:rPr>
          <w:rFonts w:hint="eastAsia" w:ascii="宋体" w:hAnsi="宋体" w:eastAsia="宋体" w:cs="宋体"/>
          <w:color w:val="auto"/>
          <w:sz w:val="24"/>
          <w:szCs w:val="24"/>
          <w:highlight w:val="none"/>
        </w:rPr>
        <w:t>有效期</w:t>
      </w:r>
      <w:r>
        <w:rPr>
          <w:rFonts w:hint="eastAsia" w:ascii="宋体" w:hAnsi="宋体" w:eastAsia="宋体" w:cs="宋体"/>
          <w:color w:val="auto"/>
          <w:sz w:val="24"/>
          <w:szCs w:val="24"/>
          <w:highlight w:val="none"/>
          <w:lang w:eastAsia="zh-CN"/>
        </w:rPr>
        <w:t>内</w:t>
      </w:r>
      <w:r>
        <w:rPr>
          <w:rFonts w:hint="eastAsia" w:ascii="宋体" w:hAnsi="宋体" w:eastAsia="宋体" w:cs="宋体"/>
          <w:color w:val="auto"/>
          <w:sz w:val="24"/>
          <w:szCs w:val="24"/>
          <w:highlight w:val="none"/>
        </w:rPr>
        <w:t>撤回</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w:t>
      </w:r>
    </w:p>
    <w:p w14:paraId="29C02B7D">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6.2 </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竞标</w:t>
      </w:r>
      <w:r>
        <w:rPr>
          <w:rFonts w:hint="eastAsia" w:ascii="宋体" w:hAnsi="宋体" w:eastAsia="宋体" w:cs="宋体"/>
          <w:color w:val="auto"/>
          <w:sz w:val="24"/>
          <w:szCs w:val="24"/>
          <w:highlight w:val="none"/>
        </w:rPr>
        <w:t>过程中弄虚作假，提供虚假材料的</w:t>
      </w:r>
      <w:r>
        <w:rPr>
          <w:rFonts w:hint="eastAsia" w:ascii="宋体" w:hAnsi="宋体" w:eastAsia="宋体" w:cs="宋体"/>
          <w:color w:val="auto"/>
          <w:sz w:val="24"/>
          <w:szCs w:val="24"/>
          <w:highlight w:val="none"/>
          <w:lang w:eastAsia="zh-CN"/>
        </w:rPr>
        <w:t>；</w:t>
      </w:r>
    </w:p>
    <w:p w14:paraId="18611E95">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无正当理由不与</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签订合同的</w:t>
      </w:r>
      <w:r>
        <w:rPr>
          <w:rFonts w:hint="eastAsia" w:ascii="宋体" w:hAnsi="宋体" w:eastAsia="宋体" w:cs="宋体"/>
          <w:color w:val="auto"/>
          <w:sz w:val="24"/>
          <w:szCs w:val="24"/>
          <w:highlight w:val="none"/>
          <w:lang w:eastAsia="zh-CN"/>
        </w:rPr>
        <w:t>；</w:t>
      </w:r>
    </w:p>
    <w:p w14:paraId="25B827AA">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将中标项目转让给他人或者在</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中未说明且未经</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同意，将中标项目分包给他人的</w:t>
      </w:r>
      <w:r>
        <w:rPr>
          <w:rFonts w:hint="eastAsia" w:ascii="宋体" w:hAnsi="宋体" w:eastAsia="宋体" w:cs="宋体"/>
          <w:color w:val="auto"/>
          <w:sz w:val="24"/>
          <w:szCs w:val="24"/>
          <w:highlight w:val="none"/>
          <w:lang w:eastAsia="zh-CN"/>
        </w:rPr>
        <w:t>；</w:t>
      </w:r>
    </w:p>
    <w:p w14:paraId="65D83E26">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拒绝履行合同义务的</w:t>
      </w:r>
      <w:r>
        <w:rPr>
          <w:rFonts w:hint="eastAsia" w:ascii="宋体" w:hAnsi="宋体" w:eastAsia="宋体" w:cs="宋体"/>
          <w:color w:val="auto"/>
          <w:sz w:val="24"/>
          <w:szCs w:val="24"/>
          <w:highlight w:val="none"/>
          <w:lang w:eastAsia="zh-CN"/>
        </w:rPr>
        <w:t>；</w:t>
      </w:r>
    </w:p>
    <w:p w14:paraId="5ECC7BFD">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其他严重扰乱招</w:t>
      </w:r>
      <w:r>
        <w:rPr>
          <w:rFonts w:hint="eastAsia" w:ascii="宋体" w:hAnsi="宋体" w:eastAsia="宋体" w:cs="宋体"/>
          <w:color w:val="auto"/>
          <w:sz w:val="24"/>
          <w:szCs w:val="24"/>
          <w:highlight w:val="none"/>
          <w:lang w:eastAsia="zh-CN"/>
        </w:rPr>
        <w:t>竞标</w:t>
      </w:r>
      <w:r>
        <w:rPr>
          <w:rFonts w:hint="eastAsia" w:ascii="宋体" w:hAnsi="宋体" w:eastAsia="宋体" w:cs="宋体"/>
          <w:color w:val="auto"/>
          <w:sz w:val="24"/>
          <w:szCs w:val="24"/>
          <w:highlight w:val="none"/>
        </w:rPr>
        <w:t>程序的。</w:t>
      </w:r>
    </w:p>
    <w:p w14:paraId="40714BBC">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（五）</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的份数和签</w:t>
      </w:r>
      <w:r>
        <w:rPr>
          <w:rFonts w:hint="eastAsia" w:ascii="宋体" w:hAnsi="宋体" w:eastAsia="宋体" w:cs="宋体"/>
          <w:color w:val="auto"/>
          <w:sz w:val="24"/>
          <w:szCs w:val="24"/>
          <w:highlight w:val="none"/>
          <w:lang w:eastAsia="zh-CN"/>
        </w:rPr>
        <w:t>字</w:t>
      </w:r>
    </w:p>
    <w:p w14:paraId="5E78A6E7">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一式</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份，其中正本一份，副本</w:t>
      </w:r>
      <w:r>
        <w:rPr>
          <w:rFonts w:hint="eastAsia" w:ascii="宋体" w:hAnsi="宋体" w:cs="宋体"/>
          <w:color w:val="auto"/>
          <w:sz w:val="24"/>
          <w:szCs w:val="24"/>
          <w:highlight w:val="none"/>
          <w:lang w:val="en-US" w:eastAsia="zh-CN"/>
        </w:rPr>
        <w:t>两</w:t>
      </w:r>
      <w:r>
        <w:rPr>
          <w:rFonts w:hint="eastAsia" w:ascii="宋体" w:hAnsi="宋体" w:eastAsia="宋体" w:cs="宋体"/>
          <w:color w:val="auto"/>
          <w:sz w:val="24"/>
          <w:szCs w:val="24"/>
          <w:highlight w:val="none"/>
        </w:rPr>
        <w:t>份，电子文档一份(电子文档内容应与</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正本一致，推荐采用光盘或U盘为文件载体)。每套纸质</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须在封面清楚地标明“正本”、“副本”或“电子文档”，副本应为正本的完整复印件，副本与正本不一致时以正本为准。</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电子文档与纸质</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正本不一致时，以纸质</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正</w:t>
      </w:r>
      <w:r>
        <w:rPr>
          <w:rFonts w:hint="eastAsia" w:ascii="宋体" w:hAnsi="宋体" w:eastAsia="宋体" w:cs="宋体"/>
          <w:color w:val="auto"/>
          <w:sz w:val="24"/>
          <w:szCs w:val="24"/>
          <w:highlight w:val="none"/>
          <w:lang w:eastAsia="zh-CN"/>
        </w:rPr>
        <w:t>本为准；</w:t>
      </w:r>
    </w:p>
    <w:p w14:paraId="55F550DF">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2.在</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正本中，</w:t>
      </w:r>
      <w:r>
        <w:rPr>
          <w:rFonts w:hint="eastAsia" w:ascii="宋体" w:hAnsi="宋体" w:eastAsia="宋体" w:cs="宋体"/>
          <w:color w:val="auto"/>
          <w:sz w:val="24"/>
          <w:szCs w:val="24"/>
          <w:highlight w:val="none"/>
          <w:lang w:eastAsia="zh-CN"/>
        </w:rPr>
        <w:t>比选文件第七篇</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格式中规定签字、盖章的地方必须</w:t>
      </w:r>
      <w:r>
        <w:rPr>
          <w:rFonts w:hint="eastAsia" w:ascii="宋体" w:hAnsi="宋体" w:eastAsia="宋体" w:cs="宋体"/>
          <w:color w:val="auto"/>
          <w:sz w:val="24"/>
          <w:szCs w:val="24"/>
          <w:highlight w:val="none"/>
          <w:lang w:eastAsia="zh-CN"/>
        </w:rPr>
        <w:t>按规定签字盖章；</w:t>
      </w:r>
    </w:p>
    <w:p w14:paraId="5EDFAA06">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3.若</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对</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的错处作必要修改，则应在修改处加盖</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公章或由法定代其规定签字、盖章</w:t>
      </w:r>
      <w:r>
        <w:rPr>
          <w:rFonts w:hint="eastAsia" w:ascii="宋体" w:hAnsi="宋体" w:eastAsia="宋体" w:cs="宋体"/>
          <w:color w:val="auto"/>
          <w:sz w:val="24"/>
          <w:szCs w:val="24"/>
          <w:highlight w:val="none"/>
          <w:lang w:eastAsia="zh-CN"/>
        </w:rPr>
        <w:t>；</w:t>
      </w:r>
    </w:p>
    <w:p w14:paraId="223FCE3B">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4.电报、电话、传真形式的</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概不接受</w:t>
      </w:r>
      <w:r>
        <w:rPr>
          <w:rFonts w:hint="eastAsia" w:ascii="宋体" w:hAnsi="宋体" w:eastAsia="宋体" w:cs="宋体"/>
          <w:color w:val="auto"/>
          <w:sz w:val="24"/>
          <w:szCs w:val="24"/>
          <w:highlight w:val="none"/>
          <w:lang w:val="en-US" w:eastAsia="zh-CN"/>
        </w:rPr>
        <w:t>。</w:t>
      </w:r>
    </w:p>
    <w:p w14:paraId="661BC260">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w:t>
      </w:r>
      <w:r>
        <w:rPr>
          <w:rFonts w:hint="eastAsia" w:ascii="宋体" w:hAnsi="宋体" w:eastAsia="宋体" w:cs="宋体"/>
          <w:color w:val="auto"/>
          <w:sz w:val="24"/>
          <w:szCs w:val="24"/>
          <w:highlight w:val="none"/>
          <w:lang w:eastAsia="zh-CN"/>
        </w:rPr>
        <w:t>竞标</w:t>
      </w:r>
      <w:r>
        <w:rPr>
          <w:rFonts w:hint="eastAsia" w:ascii="宋体" w:hAnsi="宋体" w:eastAsia="宋体" w:cs="宋体"/>
          <w:color w:val="auto"/>
          <w:sz w:val="24"/>
          <w:szCs w:val="24"/>
          <w:highlight w:val="none"/>
        </w:rPr>
        <w:t>报价</w:t>
      </w:r>
    </w:p>
    <w:p w14:paraId="516B7321">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应严格按照“</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格式”中“</w:t>
      </w:r>
      <w:r>
        <w:rPr>
          <w:rFonts w:hint="eastAsia" w:ascii="宋体" w:hAnsi="宋体" w:eastAsia="宋体" w:cs="宋体"/>
          <w:color w:val="auto"/>
          <w:sz w:val="24"/>
          <w:szCs w:val="24"/>
          <w:highlight w:val="none"/>
          <w:lang w:eastAsia="zh-CN"/>
        </w:rPr>
        <w:t>竞标</w:t>
      </w:r>
      <w:r>
        <w:rPr>
          <w:rFonts w:hint="eastAsia" w:ascii="宋体" w:hAnsi="宋体" w:eastAsia="宋体" w:cs="宋体"/>
          <w:color w:val="auto"/>
          <w:sz w:val="24"/>
          <w:szCs w:val="24"/>
          <w:highlight w:val="none"/>
        </w:rPr>
        <w:t>报价函”和“分项报价明细表”</w:t>
      </w:r>
      <w:r>
        <w:rPr>
          <w:rFonts w:hint="eastAsia" w:ascii="宋体" w:hAnsi="宋体" w:eastAsia="宋体" w:cs="宋体"/>
          <w:color w:val="auto"/>
          <w:sz w:val="24"/>
          <w:szCs w:val="24"/>
          <w:highlight w:val="none"/>
          <w:lang w:eastAsia="zh-CN"/>
        </w:rPr>
        <w:t>的格式</w:t>
      </w:r>
      <w:r>
        <w:rPr>
          <w:rFonts w:hint="eastAsia" w:ascii="宋体" w:hAnsi="宋体" w:eastAsia="宋体" w:cs="宋体"/>
          <w:color w:val="auto"/>
          <w:sz w:val="24"/>
          <w:szCs w:val="24"/>
          <w:highlight w:val="none"/>
        </w:rPr>
        <w:t>填写报价</w:t>
      </w:r>
      <w:r>
        <w:rPr>
          <w:rFonts w:hint="eastAsia" w:ascii="宋体" w:hAnsi="宋体" w:eastAsia="宋体" w:cs="宋体"/>
          <w:color w:val="auto"/>
          <w:sz w:val="24"/>
          <w:szCs w:val="24"/>
          <w:highlight w:val="none"/>
          <w:lang w:eastAsia="zh-CN"/>
        </w:rPr>
        <w:t>；</w:t>
      </w:r>
    </w:p>
    <w:p w14:paraId="481652BC">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的报价为一次性报价，即在</w:t>
      </w:r>
      <w:r>
        <w:rPr>
          <w:rFonts w:hint="eastAsia" w:ascii="宋体" w:hAnsi="宋体" w:eastAsia="宋体" w:cs="宋体"/>
          <w:color w:val="auto"/>
          <w:sz w:val="24"/>
          <w:szCs w:val="24"/>
          <w:highlight w:val="none"/>
          <w:lang w:eastAsia="zh-CN"/>
        </w:rPr>
        <w:t>竞标</w:t>
      </w:r>
      <w:r>
        <w:rPr>
          <w:rFonts w:hint="eastAsia" w:ascii="宋体" w:hAnsi="宋体" w:eastAsia="宋体" w:cs="宋体"/>
          <w:color w:val="auto"/>
          <w:sz w:val="24"/>
          <w:szCs w:val="24"/>
          <w:highlight w:val="none"/>
        </w:rPr>
        <w:t>有效期内</w:t>
      </w:r>
      <w:r>
        <w:rPr>
          <w:rFonts w:hint="eastAsia" w:ascii="宋体" w:hAnsi="宋体" w:eastAsia="宋体" w:cs="宋体"/>
          <w:color w:val="auto"/>
          <w:sz w:val="24"/>
          <w:szCs w:val="24"/>
          <w:highlight w:val="none"/>
          <w:lang w:eastAsia="zh-CN"/>
        </w:rPr>
        <w:t>竞标</w:t>
      </w:r>
      <w:r>
        <w:rPr>
          <w:rFonts w:hint="eastAsia" w:ascii="宋体" w:hAnsi="宋体" w:eastAsia="宋体" w:cs="宋体"/>
          <w:color w:val="auto"/>
          <w:sz w:val="24"/>
          <w:szCs w:val="24"/>
          <w:highlight w:val="none"/>
        </w:rPr>
        <w:t>价格固定不变</w:t>
      </w:r>
      <w:r>
        <w:rPr>
          <w:rFonts w:hint="eastAsia" w:ascii="宋体" w:hAnsi="宋体" w:eastAsia="宋体" w:cs="宋体"/>
          <w:color w:val="auto"/>
          <w:sz w:val="24"/>
          <w:szCs w:val="24"/>
          <w:highlight w:val="none"/>
          <w:lang w:eastAsia="zh-CN"/>
        </w:rPr>
        <w:t>；</w:t>
      </w:r>
    </w:p>
    <w:p w14:paraId="5B29FE27">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3.本项目只接受一个</w:t>
      </w:r>
      <w:r>
        <w:rPr>
          <w:rFonts w:hint="eastAsia" w:ascii="宋体" w:hAnsi="宋体" w:eastAsia="宋体" w:cs="宋体"/>
          <w:color w:val="auto"/>
          <w:sz w:val="24"/>
          <w:szCs w:val="24"/>
          <w:highlight w:val="none"/>
          <w:lang w:eastAsia="zh-CN"/>
        </w:rPr>
        <w:t>竞标</w:t>
      </w:r>
      <w:r>
        <w:rPr>
          <w:rFonts w:hint="eastAsia" w:ascii="宋体" w:hAnsi="宋体" w:eastAsia="宋体" w:cs="宋体"/>
          <w:color w:val="auto"/>
          <w:sz w:val="24"/>
          <w:szCs w:val="24"/>
          <w:highlight w:val="none"/>
        </w:rPr>
        <w:t>报价，有选择的或有条件的报价将不予接受</w:t>
      </w:r>
      <w:r>
        <w:rPr>
          <w:rFonts w:hint="eastAsia" w:ascii="宋体" w:hAnsi="宋体" w:eastAsia="宋体" w:cs="宋体"/>
          <w:color w:val="auto"/>
          <w:sz w:val="24"/>
          <w:szCs w:val="24"/>
          <w:highlight w:val="none"/>
          <w:lang w:eastAsia="zh-CN"/>
        </w:rPr>
        <w:t>。</w:t>
      </w:r>
    </w:p>
    <w:p w14:paraId="7B64AAE9">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(七)修正错误</w:t>
      </w:r>
    </w:p>
    <w:p w14:paraId="3C2F8279">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出现计算或表达上的错误，修正错误的原则如下:</w:t>
      </w:r>
    </w:p>
    <w:p w14:paraId="5ED5B52C">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eastAsia="zh-CN"/>
        </w:rPr>
        <w:t>竞标</w:t>
      </w:r>
      <w:r>
        <w:rPr>
          <w:rFonts w:hint="eastAsia" w:ascii="宋体" w:hAnsi="宋体" w:eastAsia="宋体" w:cs="宋体"/>
          <w:color w:val="auto"/>
          <w:sz w:val="24"/>
          <w:szCs w:val="24"/>
          <w:highlight w:val="none"/>
        </w:rPr>
        <w:t>报价函(报价表)内容与</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中相应内容不一致的，以</w:t>
      </w:r>
      <w:r>
        <w:rPr>
          <w:rFonts w:hint="eastAsia" w:ascii="宋体" w:hAnsi="宋体" w:eastAsia="宋体" w:cs="宋体"/>
          <w:color w:val="auto"/>
          <w:sz w:val="24"/>
          <w:szCs w:val="24"/>
          <w:highlight w:val="none"/>
          <w:lang w:eastAsia="zh-CN"/>
        </w:rPr>
        <w:t>竞标</w:t>
      </w:r>
      <w:r>
        <w:rPr>
          <w:rFonts w:hint="eastAsia" w:ascii="宋体" w:hAnsi="宋体" w:eastAsia="宋体" w:cs="宋体"/>
          <w:color w:val="auto"/>
          <w:sz w:val="24"/>
          <w:szCs w:val="24"/>
          <w:highlight w:val="none"/>
        </w:rPr>
        <w:t>报价函(报价表)为准</w:t>
      </w:r>
      <w:r>
        <w:rPr>
          <w:rFonts w:hint="eastAsia" w:ascii="宋体" w:hAnsi="宋体" w:eastAsia="宋体" w:cs="宋体"/>
          <w:color w:val="auto"/>
          <w:sz w:val="24"/>
          <w:szCs w:val="24"/>
          <w:highlight w:val="none"/>
          <w:lang w:eastAsia="zh-CN"/>
        </w:rPr>
        <w:t>；</w:t>
      </w:r>
    </w:p>
    <w:p w14:paraId="05AA80E6">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大写金额和小写金额不一致的，以大写金额为准</w:t>
      </w:r>
      <w:r>
        <w:rPr>
          <w:rFonts w:hint="eastAsia" w:ascii="宋体" w:hAnsi="宋体" w:eastAsia="宋体" w:cs="宋体"/>
          <w:color w:val="auto"/>
          <w:sz w:val="24"/>
          <w:szCs w:val="24"/>
          <w:highlight w:val="none"/>
          <w:lang w:eastAsia="zh-CN"/>
        </w:rPr>
        <w:t>；</w:t>
      </w:r>
    </w:p>
    <w:p w14:paraId="5251F7DA">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单价金额小数点或者百分比有明显错位的，以</w:t>
      </w:r>
      <w:r>
        <w:rPr>
          <w:rFonts w:hint="eastAsia" w:ascii="宋体" w:hAnsi="宋体" w:eastAsia="宋体" w:cs="宋体"/>
          <w:color w:val="auto"/>
          <w:sz w:val="24"/>
          <w:szCs w:val="24"/>
          <w:highlight w:val="none"/>
          <w:lang w:eastAsia="zh-CN"/>
        </w:rPr>
        <w:t>竞标</w:t>
      </w:r>
      <w:r>
        <w:rPr>
          <w:rFonts w:hint="eastAsia" w:ascii="宋体" w:hAnsi="宋体" w:eastAsia="宋体" w:cs="宋体"/>
          <w:color w:val="auto"/>
          <w:sz w:val="24"/>
          <w:szCs w:val="24"/>
          <w:highlight w:val="none"/>
        </w:rPr>
        <w:t>报价函的总价为准，并修改单价</w:t>
      </w:r>
      <w:r>
        <w:rPr>
          <w:rFonts w:hint="eastAsia" w:ascii="宋体" w:hAnsi="宋体" w:eastAsia="宋体" w:cs="宋体"/>
          <w:color w:val="auto"/>
          <w:sz w:val="24"/>
          <w:szCs w:val="24"/>
          <w:highlight w:val="none"/>
          <w:lang w:eastAsia="zh-CN"/>
        </w:rPr>
        <w:t>；</w:t>
      </w:r>
    </w:p>
    <w:p w14:paraId="533A6092">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总价金额与按单价汇总金额不一致的，以单价金额计算结果为准。</w:t>
      </w:r>
    </w:p>
    <w:p w14:paraId="5FECFF76">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评标委员会按上述修正错误的原则及方法调整或修正</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lang w:eastAsia="zh-CN"/>
        </w:rPr>
        <w:t>竞标</w:t>
      </w:r>
      <w:r>
        <w:rPr>
          <w:rFonts w:hint="eastAsia" w:ascii="宋体" w:hAnsi="宋体" w:eastAsia="宋体" w:cs="宋体"/>
          <w:color w:val="auto"/>
          <w:sz w:val="24"/>
          <w:szCs w:val="24"/>
          <w:highlight w:val="none"/>
        </w:rPr>
        <w:t>报价，若同时出现两种以上不一致的，按照前款规定的顺序修正，</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同意并签字确认后，调整后的</w:t>
      </w:r>
      <w:r>
        <w:rPr>
          <w:rFonts w:hint="eastAsia" w:ascii="宋体" w:hAnsi="宋体" w:eastAsia="宋体" w:cs="宋体"/>
          <w:color w:val="auto"/>
          <w:sz w:val="24"/>
          <w:szCs w:val="24"/>
          <w:highlight w:val="none"/>
          <w:lang w:eastAsia="zh-CN"/>
        </w:rPr>
        <w:t>竞标</w:t>
      </w:r>
      <w:r>
        <w:rPr>
          <w:rFonts w:hint="eastAsia" w:ascii="宋体" w:hAnsi="宋体" w:eastAsia="宋体" w:cs="宋体"/>
          <w:color w:val="auto"/>
          <w:sz w:val="24"/>
          <w:szCs w:val="24"/>
          <w:highlight w:val="none"/>
        </w:rPr>
        <w:t>报价对</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具有约束作用。如果</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不接受修正后的报价，则其</w:t>
      </w:r>
      <w:r>
        <w:rPr>
          <w:rFonts w:hint="eastAsia" w:ascii="宋体" w:hAnsi="宋体" w:eastAsia="宋体" w:cs="宋体"/>
          <w:color w:val="auto"/>
          <w:sz w:val="24"/>
          <w:szCs w:val="24"/>
          <w:highlight w:val="none"/>
          <w:lang w:eastAsia="zh-CN"/>
        </w:rPr>
        <w:t>竞标</w:t>
      </w:r>
      <w:r>
        <w:rPr>
          <w:rFonts w:hint="eastAsia" w:ascii="宋体" w:hAnsi="宋体" w:eastAsia="宋体" w:cs="宋体"/>
          <w:color w:val="auto"/>
          <w:sz w:val="24"/>
          <w:szCs w:val="24"/>
          <w:highlight w:val="none"/>
        </w:rPr>
        <w:t>将作为无效</w:t>
      </w:r>
      <w:r>
        <w:rPr>
          <w:rFonts w:hint="eastAsia" w:ascii="宋体" w:hAnsi="宋体" w:eastAsia="宋体" w:cs="宋体"/>
          <w:color w:val="auto"/>
          <w:sz w:val="24"/>
          <w:szCs w:val="24"/>
          <w:highlight w:val="none"/>
          <w:lang w:eastAsia="zh-CN"/>
        </w:rPr>
        <w:t>竞标</w:t>
      </w:r>
      <w:r>
        <w:rPr>
          <w:rFonts w:hint="eastAsia" w:ascii="宋体" w:hAnsi="宋体" w:eastAsia="宋体" w:cs="宋体"/>
          <w:color w:val="auto"/>
          <w:sz w:val="24"/>
          <w:szCs w:val="24"/>
          <w:highlight w:val="none"/>
        </w:rPr>
        <w:t>处理。</w:t>
      </w:r>
    </w:p>
    <w:p w14:paraId="24F222A6">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的递交</w:t>
      </w:r>
    </w:p>
    <w:p w14:paraId="1DD22A26">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的正本、副本以及电子文档均应密封送达</w:t>
      </w:r>
      <w:r>
        <w:rPr>
          <w:rFonts w:hint="eastAsia" w:ascii="宋体" w:hAnsi="宋体" w:eastAsia="宋体" w:cs="宋体"/>
          <w:color w:val="auto"/>
          <w:sz w:val="24"/>
          <w:szCs w:val="24"/>
          <w:highlight w:val="none"/>
          <w:lang w:eastAsia="zh-CN"/>
        </w:rPr>
        <w:t>竞标</w:t>
      </w:r>
      <w:r>
        <w:rPr>
          <w:rFonts w:hint="eastAsia" w:ascii="宋体" w:hAnsi="宋体" w:eastAsia="宋体" w:cs="宋体"/>
          <w:color w:val="auto"/>
          <w:sz w:val="24"/>
          <w:szCs w:val="24"/>
          <w:highlight w:val="none"/>
        </w:rPr>
        <w:t>地点，应在封套上注明项目名称、</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名称。若正本、副本以及电子文档分别进行密封的，还应在封套上注明“正本”“副本”、“电子文档”字样。</w:t>
      </w:r>
    </w:p>
    <w:p w14:paraId="5DB5FDBF">
      <w:pPr>
        <w:pStyle w:val="5"/>
        <w:keepNext w:val="0"/>
        <w:keepLines w:val="0"/>
        <w:pageBreakBefore w:val="0"/>
        <w:widowControl w:val="0"/>
        <w:shd w:val="clear"/>
        <w:kinsoku w:val="0"/>
        <w:wordWrap/>
        <w:overflowPunct/>
        <w:topLinePunct w:val="0"/>
        <w:autoSpaceDE w:val="0"/>
        <w:autoSpaceDN w:val="0"/>
        <w:bidi w:val="0"/>
        <w:adjustRightInd w:val="0"/>
        <w:snapToGrid w:val="0"/>
        <w:spacing w:before="0" w:beforeLines="0" w:after="0" w:afterLines="0" w:line="500" w:lineRule="exact"/>
        <w:ind w:left="0" w:leftChars="0" w:right="0" w:rightChars="0"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四、开标</w:t>
      </w:r>
    </w:p>
    <w:p w14:paraId="27DC3313">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开标应当在</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文件中“</w:t>
      </w:r>
      <w:r>
        <w:rPr>
          <w:rFonts w:hint="eastAsia" w:ascii="宋体" w:hAnsi="宋体" w:eastAsia="宋体" w:cs="宋体"/>
          <w:color w:val="auto"/>
          <w:sz w:val="24"/>
          <w:szCs w:val="24"/>
          <w:highlight w:val="none"/>
          <w:lang w:eastAsia="zh-CN"/>
        </w:rPr>
        <w:t>比选公告</w:t>
      </w:r>
      <w:r>
        <w:rPr>
          <w:rFonts w:hint="eastAsia" w:ascii="宋体" w:hAnsi="宋体" w:eastAsia="宋体" w:cs="宋体"/>
          <w:color w:val="auto"/>
          <w:sz w:val="24"/>
          <w:szCs w:val="24"/>
          <w:highlight w:val="none"/>
        </w:rPr>
        <w:t>”确定的时间和地点公开进行。</w:t>
      </w:r>
    </w:p>
    <w:p w14:paraId="06D0DEB3">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代理机构可视采购具体情况，延长</w:t>
      </w:r>
      <w:r>
        <w:rPr>
          <w:rFonts w:hint="eastAsia" w:ascii="宋体" w:hAnsi="宋体" w:eastAsia="宋体" w:cs="宋体"/>
          <w:color w:val="auto"/>
          <w:sz w:val="24"/>
          <w:szCs w:val="24"/>
          <w:highlight w:val="none"/>
          <w:lang w:eastAsia="zh-CN"/>
        </w:rPr>
        <w:t>竞标</w:t>
      </w:r>
      <w:r>
        <w:rPr>
          <w:rFonts w:hint="eastAsia" w:ascii="宋体" w:hAnsi="宋体" w:eastAsia="宋体" w:cs="宋体"/>
          <w:color w:val="auto"/>
          <w:sz w:val="24"/>
          <w:szCs w:val="24"/>
          <w:highlight w:val="none"/>
        </w:rPr>
        <w:t>截止时间和开标时间，并将变更时间书面通知所有</w:t>
      </w:r>
      <w:r>
        <w:rPr>
          <w:rFonts w:hint="eastAsia" w:ascii="宋体" w:hAnsi="宋体" w:eastAsia="宋体" w:cs="宋体"/>
          <w:color w:val="auto"/>
          <w:sz w:val="24"/>
          <w:szCs w:val="24"/>
          <w:highlight w:val="none"/>
          <w:lang w:eastAsia="zh-CN"/>
        </w:rPr>
        <w:t>比选文件</w:t>
      </w:r>
      <w:r>
        <w:rPr>
          <w:rFonts w:hint="eastAsia" w:ascii="宋体" w:hAnsi="宋体" w:eastAsia="宋体" w:cs="宋体"/>
          <w:color w:val="auto"/>
          <w:sz w:val="24"/>
          <w:szCs w:val="24"/>
          <w:highlight w:val="none"/>
        </w:rPr>
        <w:t>收受人。</w:t>
      </w:r>
    </w:p>
    <w:p w14:paraId="0AC6CDCF">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开标由</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代理机构主持，邀请</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和有关监督部门代表参加,有关监督部门可视情况派员现场监督。</w:t>
      </w:r>
    </w:p>
    <w:p w14:paraId="0E323C23">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开标时，由</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或者其推选的代表检查</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的密封情况</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经确认无误后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代理机构工作人员当众拆封，宣布</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竞标</w:t>
      </w:r>
      <w:r>
        <w:rPr>
          <w:rFonts w:hint="eastAsia" w:ascii="宋体" w:hAnsi="宋体" w:eastAsia="宋体" w:cs="宋体"/>
          <w:color w:val="auto"/>
          <w:sz w:val="24"/>
          <w:szCs w:val="24"/>
          <w:highlight w:val="none"/>
        </w:rPr>
        <w:t>价格和《</w:t>
      </w:r>
      <w:r>
        <w:rPr>
          <w:rFonts w:hint="eastAsia" w:ascii="宋体" w:hAnsi="宋体" w:cs="宋体"/>
          <w:color w:val="auto"/>
          <w:sz w:val="24"/>
          <w:szCs w:val="24"/>
          <w:highlight w:val="none"/>
          <w:lang w:val="en-US" w:eastAsia="zh-CN"/>
        </w:rPr>
        <w:t>响应报价报价函</w:t>
      </w:r>
      <w:r>
        <w:rPr>
          <w:rFonts w:hint="eastAsia" w:ascii="宋体" w:hAnsi="宋体" w:eastAsia="宋体" w:cs="宋体"/>
          <w:color w:val="auto"/>
          <w:sz w:val="24"/>
          <w:szCs w:val="24"/>
          <w:highlight w:val="none"/>
        </w:rPr>
        <w:t>》规定的需要宣布的其他内容。</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不足三家的，不得开标。</w:t>
      </w:r>
    </w:p>
    <w:p w14:paraId="35B35346">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未宣读的</w:t>
      </w:r>
      <w:r>
        <w:rPr>
          <w:rFonts w:hint="eastAsia" w:ascii="宋体" w:hAnsi="宋体" w:eastAsia="宋体" w:cs="宋体"/>
          <w:color w:val="auto"/>
          <w:sz w:val="24"/>
          <w:szCs w:val="24"/>
          <w:highlight w:val="none"/>
          <w:lang w:eastAsia="zh-CN"/>
        </w:rPr>
        <w:t>竞标</w:t>
      </w:r>
      <w:r>
        <w:rPr>
          <w:rFonts w:hint="eastAsia" w:ascii="宋体" w:hAnsi="宋体" w:eastAsia="宋体" w:cs="宋体"/>
          <w:color w:val="auto"/>
          <w:sz w:val="24"/>
          <w:szCs w:val="24"/>
          <w:highlight w:val="none"/>
        </w:rPr>
        <w:t>价格、价格折扣和</w:t>
      </w:r>
      <w:r>
        <w:rPr>
          <w:rFonts w:hint="eastAsia" w:ascii="宋体" w:hAnsi="宋体" w:eastAsia="宋体" w:cs="宋体"/>
          <w:color w:val="auto"/>
          <w:sz w:val="24"/>
          <w:szCs w:val="24"/>
          <w:highlight w:val="none"/>
          <w:lang w:eastAsia="zh-CN"/>
        </w:rPr>
        <w:t>比选文件</w:t>
      </w:r>
      <w:r>
        <w:rPr>
          <w:rFonts w:hint="eastAsia" w:ascii="宋体" w:hAnsi="宋体" w:eastAsia="宋体" w:cs="宋体"/>
          <w:color w:val="auto"/>
          <w:sz w:val="24"/>
          <w:szCs w:val="24"/>
          <w:highlight w:val="none"/>
        </w:rPr>
        <w:t>允许提供的备选</w:t>
      </w:r>
      <w:r>
        <w:rPr>
          <w:rFonts w:hint="eastAsia" w:ascii="宋体" w:hAnsi="宋体" w:eastAsia="宋体" w:cs="宋体"/>
          <w:color w:val="auto"/>
          <w:sz w:val="24"/>
          <w:szCs w:val="24"/>
          <w:highlight w:val="none"/>
          <w:lang w:eastAsia="zh-CN"/>
        </w:rPr>
        <w:t>竞标</w:t>
      </w:r>
      <w:r>
        <w:rPr>
          <w:rFonts w:hint="eastAsia" w:ascii="宋体" w:hAnsi="宋体" w:eastAsia="宋体" w:cs="宋体"/>
          <w:color w:val="auto"/>
          <w:sz w:val="24"/>
          <w:szCs w:val="24"/>
          <w:highlight w:val="none"/>
        </w:rPr>
        <w:t>方案等实质性内容等，评标时不予承认。</w:t>
      </w:r>
    </w:p>
    <w:p w14:paraId="1A16022F">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开标过程应由</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代理机构指定专人负责记录，并存档备查。</w:t>
      </w:r>
    </w:p>
    <w:p w14:paraId="39F1DA30">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未参加开标的，视同认可开标结果。</w:t>
      </w:r>
    </w:p>
    <w:p w14:paraId="4CEFE9BC">
      <w:pPr>
        <w:pStyle w:val="5"/>
        <w:keepNext w:val="0"/>
        <w:keepLines w:val="0"/>
        <w:pageBreakBefore w:val="0"/>
        <w:widowControl w:val="0"/>
        <w:shd w:val="clear"/>
        <w:kinsoku w:val="0"/>
        <w:wordWrap/>
        <w:overflowPunct/>
        <w:topLinePunct w:val="0"/>
        <w:autoSpaceDE w:val="0"/>
        <w:autoSpaceDN w:val="0"/>
        <w:bidi w:val="0"/>
        <w:adjustRightInd w:val="0"/>
        <w:snapToGrid w:val="0"/>
        <w:spacing w:before="0" w:beforeLines="0" w:after="0" w:afterLines="0" w:line="500" w:lineRule="exact"/>
        <w:ind w:left="0" w:leftChars="0" w:right="0" w:rightChars="0"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评标</w:t>
      </w:r>
    </w:p>
    <w:p w14:paraId="599BED21">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见第四篇“评标</w:t>
      </w:r>
      <w:r>
        <w:rPr>
          <w:rFonts w:hint="eastAsia" w:ascii="宋体" w:hAnsi="宋体" w:cs="宋体"/>
          <w:color w:val="auto"/>
          <w:sz w:val="24"/>
          <w:szCs w:val="24"/>
          <w:highlight w:val="none"/>
          <w:lang w:val="en-US" w:eastAsia="zh-CN"/>
        </w:rPr>
        <w:t>标准</w:t>
      </w:r>
      <w:r>
        <w:rPr>
          <w:rFonts w:hint="eastAsia" w:ascii="宋体" w:hAnsi="宋体" w:eastAsia="宋体" w:cs="宋体"/>
          <w:color w:val="auto"/>
          <w:sz w:val="24"/>
          <w:szCs w:val="24"/>
          <w:highlight w:val="none"/>
        </w:rPr>
        <w:t>”内容。</w:t>
      </w:r>
    </w:p>
    <w:p w14:paraId="1AD4C06B">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评标委员会的组成:将由</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依法组建。</w:t>
      </w:r>
    </w:p>
    <w:p w14:paraId="761010E3">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或其授权的评标委员会应按照评标报告中推荐的</w:t>
      </w:r>
      <w:r>
        <w:rPr>
          <w:rFonts w:hint="eastAsia" w:ascii="宋体" w:hAnsi="宋体" w:cs="宋体"/>
          <w:color w:val="auto"/>
          <w:sz w:val="24"/>
          <w:szCs w:val="24"/>
          <w:highlight w:val="none"/>
          <w:lang w:eastAsia="zh-CN"/>
        </w:rPr>
        <w:t>成交供应商候选人</w:t>
      </w:r>
      <w:r>
        <w:rPr>
          <w:rFonts w:hint="eastAsia" w:ascii="宋体" w:hAnsi="宋体" w:eastAsia="宋体" w:cs="宋体"/>
          <w:color w:val="auto"/>
          <w:sz w:val="24"/>
          <w:szCs w:val="24"/>
          <w:highlight w:val="none"/>
        </w:rPr>
        <w:t>排名顺序确定</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lang w:eastAsia="zh-CN"/>
        </w:rPr>
        <w:t>。</w:t>
      </w:r>
    </w:p>
    <w:p w14:paraId="01F3386A">
      <w:pPr>
        <w:pStyle w:val="5"/>
        <w:keepNext w:val="0"/>
        <w:keepLines w:val="0"/>
        <w:pageBreakBefore w:val="0"/>
        <w:widowControl w:val="0"/>
        <w:shd w:val="clear"/>
        <w:kinsoku w:val="0"/>
        <w:wordWrap/>
        <w:overflowPunct/>
        <w:topLinePunct w:val="0"/>
        <w:autoSpaceDE w:val="0"/>
        <w:autoSpaceDN w:val="0"/>
        <w:bidi w:val="0"/>
        <w:adjustRightInd w:val="0"/>
        <w:snapToGrid w:val="0"/>
        <w:spacing w:before="0" w:beforeLines="0" w:after="0" w:afterLines="0" w:line="500" w:lineRule="exact"/>
        <w:ind w:left="0" w:leftChars="0" w:right="0" w:rightChars="0"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六、定标</w:t>
      </w:r>
    </w:p>
    <w:p w14:paraId="5F4591C9">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定标</w:t>
      </w:r>
      <w:r>
        <w:rPr>
          <w:rFonts w:hint="eastAsia" w:ascii="宋体" w:hAnsi="宋体" w:eastAsia="宋体" w:cs="宋体"/>
          <w:color w:val="auto"/>
          <w:sz w:val="24"/>
          <w:szCs w:val="24"/>
          <w:highlight w:val="none"/>
          <w:lang w:eastAsia="zh-CN"/>
        </w:rPr>
        <w:t>程序：</w:t>
      </w:r>
      <w:r>
        <w:rPr>
          <w:rFonts w:hint="eastAsia" w:ascii="宋体" w:hAnsi="宋体" w:cs="宋体"/>
          <w:color w:val="auto"/>
          <w:sz w:val="24"/>
          <w:szCs w:val="24"/>
          <w:highlight w:val="none"/>
          <w:lang w:eastAsia="zh-CN"/>
        </w:rPr>
        <w:t>成交供应商候选人</w:t>
      </w:r>
      <w:r>
        <w:rPr>
          <w:rFonts w:hint="eastAsia" w:ascii="宋体" w:hAnsi="宋体" w:eastAsia="宋体" w:cs="宋体"/>
          <w:color w:val="auto"/>
          <w:sz w:val="24"/>
          <w:szCs w:val="24"/>
          <w:highlight w:val="none"/>
        </w:rPr>
        <w:t>并列的，由</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或者</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委托评标委员会按照</w:t>
      </w:r>
      <w:r>
        <w:rPr>
          <w:rFonts w:hint="eastAsia" w:ascii="宋体" w:hAnsi="宋体" w:cs="宋体"/>
          <w:color w:val="auto"/>
          <w:sz w:val="24"/>
          <w:szCs w:val="24"/>
          <w:highlight w:val="none"/>
          <w:lang w:val="en-US" w:eastAsia="zh-CN"/>
        </w:rPr>
        <w:t>技术</w:t>
      </w:r>
      <w:r>
        <w:rPr>
          <w:rFonts w:hint="eastAsia" w:ascii="宋体" w:hAnsi="宋体" w:eastAsia="宋体" w:cs="宋体"/>
          <w:color w:val="auto"/>
          <w:sz w:val="24"/>
          <w:szCs w:val="24"/>
          <w:highlight w:val="none"/>
        </w:rPr>
        <w:t>需求的优劣顺序排列</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技术</w:t>
      </w:r>
      <w:r>
        <w:rPr>
          <w:rFonts w:hint="eastAsia" w:ascii="宋体" w:hAnsi="宋体" w:eastAsia="宋体" w:cs="宋体"/>
          <w:color w:val="auto"/>
          <w:sz w:val="24"/>
          <w:szCs w:val="24"/>
          <w:highlight w:val="none"/>
        </w:rPr>
        <w:t>需求优劣顺序相同的，按商务条款的优劣顺序排列确定</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w:t>
      </w:r>
    </w:p>
    <w:p w14:paraId="06190A97">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定标原则</w:t>
      </w:r>
    </w:p>
    <w:p w14:paraId="11368D3C">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代理机构应当在评标结束后2个工作日内将评标报告送</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lang w:eastAsia="zh-CN"/>
        </w:rPr>
        <w:t>；</w:t>
      </w:r>
    </w:p>
    <w:p w14:paraId="670B8F31">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应当自收到评标报告之日起5个工作日内按评标报告推荐的</w:t>
      </w:r>
      <w:r>
        <w:rPr>
          <w:rFonts w:hint="eastAsia" w:ascii="宋体" w:hAnsi="宋体" w:cs="宋体"/>
          <w:color w:val="auto"/>
          <w:sz w:val="24"/>
          <w:szCs w:val="24"/>
          <w:highlight w:val="none"/>
          <w:lang w:eastAsia="zh-CN"/>
        </w:rPr>
        <w:t>成交供应商候选人</w:t>
      </w:r>
      <w:r>
        <w:rPr>
          <w:rFonts w:hint="eastAsia" w:ascii="宋体" w:hAnsi="宋体" w:eastAsia="宋体" w:cs="宋体"/>
          <w:color w:val="auto"/>
          <w:sz w:val="24"/>
          <w:szCs w:val="24"/>
          <w:highlight w:val="none"/>
        </w:rPr>
        <w:t>顺序确定</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lang w:eastAsia="zh-CN"/>
        </w:rPr>
        <w:t>；</w:t>
      </w:r>
    </w:p>
    <w:p w14:paraId="684EF29D">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right="0" w:righ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或者</w:t>
      </w:r>
      <w:r>
        <w:rPr>
          <w:rFonts w:hint="eastAsia" w:ascii="宋体" w:hAnsi="宋体" w:cs="宋体"/>
          <w:color w:val="auto"/>
          <w:sz w:val="24"/>
          <w:szCs w:val="24"/>
          <w:highlight w:val="none"/>
          <w:lang w:val="en-US" w:eastAsia="zh-CN"/>
        </w:rPr>
        <w:t>比选</w:t>
      </w:r>
      <w:r>
        <w:rPr>
          <w:rFonts w:hint="eastAsia" w:ascii="宋体" w:hAnsi="宋体" w:eastAsia="宋体" w:cs="宋体"/>
          <w:color w:val="auto"/>
          <w:sz w:val="24"/>
          <w:szCs w:val="24"/>
          <w:highlight w:val="none"/>
        </w:rPr>
        <w:t>代理机构应当自</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确定之日起2个工作日内，在行采家（https://www.gec123.com）</w:t>
      </w:r>
      <w:r>
        <w:rPr>
          <w:rFonts w:hint="eastAsia" w:ascii="宋体" w:hAnsi="宋体" w:eastAsia="宋体" w:cs="宋体"/>
          <w:color w:val="auto"/>
          <w:sz w:val="24"/>
          <w:szCs w:val="24"/>
          <w:highlight w:val="none"/>
          <w:lang w:eastAsia="zh-CN"/>
        </w:rPr>
        <w:t>网上发布</w:t>
      </w:r>
      <w:r>
        <w:rPr>
          <w:rFonts w:hint="eastAsia" w:ascii="宋体" w:hAnsi="宋体" w:eastAsia="宋体" w:cs="宋体"/>
          <w:color w:val="auto"/>
          <w:sz w:val="24"/>
          <w:szCs w:val="24"/>
          <w:highlight w:val="none"/>
        </w:rPr>
        <w:t>。中标公告期限为1个工作日</w:t>
      </w:r>
      <w:r>
        <w:rPr>
          <w:rFonts w:hint="eastAsia" w:ascii="宋体" w:hAnsi="宋体" w:eastAsia="宋体" w:cs="宋体"/>
          <w:color w:val="auto"/>
          <w:sz w:val="24"/>
          <w:szCs w:val="24"/>
          <w:highlight w:val="none"/>
          <w:lang w:eastAsia="zh-CN"/>
        </w:rPr>
        <w:t>；</w:t>
      </w:r>
    </w:p>
    <w:p w14:paraId="195CDFB8">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变更</w:t>
      </w:r>
    </w:p>
    <w:p w14:paraId="42436B37">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拒绝与</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签订合同的，</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可以按照评标报告推荐的</w:t>
      </w:r>
      <w:r>
        <w:rPr>
          <w:rFonts w:hint="eastAsia" w:ascii="宋体" w:hAnsi="宋体" w:cs="宋体"/>
          <w:color w:val="auto"/>
          <w:sz w:val="24"/>
          <w:szCs w:val="24"/>
          <w:highlight w:val="none"/>
          <w:lang w:eastAsia="zh-CN"/>
        </w:rPr>
        <w:t>成交供应商候选人</w:t>
      </w:r>
      <w:r>
        <w:rPr>
          <w:rFonts w:hint="eastAsia" w:ascii="宋体" w:hAnsi="宋体" w:eastAsia="宋体" w:cs="宋体"/>
          <w:color w:val="auto"/>
          <w:sz w:val="24"/>
          <w:szCs w:val="24"/>
          <w:highlight w:val="none"/>
        </w:rPr>
        <w:t>顺序确定排名下一位的候选人为</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，也可以重新开展</w:t>
      </w:r>
      <w:r>
        <w:rPr>
          <w:rFonts w:hint="eastAsia" w:ascii="宋体" w:hAnsi="宋体" w:eastAsia="宋体" w:cs="宋体"/>
          <w:color w:val="auto"/>
          <w:sz w:val="24"/>
          <w:szCs w:val="24"/>
          <w:highlight w:val="none"/>
          <w:lang w:eastAsia="zh-CN"/>
        </w:rPr>
        <w:t>采购比选</w:t>
      </w:r>
      <w:r>
        <w:rPr>
          <w:rFonts w:hint="eastAsia" w:ascii="宋体" w:hAnsi="宋体" w:eastAsia="宋体" w:cs="宋体"/>
          <w:color w:val="auto"/>
          <w:sz w:val="24"/>
          <w:szCs w:val="24"/>
          <w:highlight w:val="none"/>
        </w:rPr>
        <w:t>活动。</w:t>
      </w:r>
    </w:p>
    <w:p w14:paraId="487361BC">
      <w:pPr>
        <w:pStyle w:val="5"/>
        <w:keepNext w:val="0"/>
        <w:keepLines w:val="0"/>
        <w:pageBreakBefore w:val="0"/>
        <w:widowControl w:val="0"/>
        <w:numPr>
          <w:ilvl w:val="-1"/>
          <w:numId w:val="0"/>
        </w:numPr>
        <w:shd w:val="clear"/>
        <w:kinsoku w:val="0"/>
        <w:wordWrap/>
        <w:overflowPunct/>
        <w:topLinePunct w:val="0"/>
        <w:autoSpaceDE w:val="0"/>
        <w:autoSpaceDN w:val="0"/>
        <w:bidi w:val="0"/>
        <w:adjustRightInd w:val="0"/>
        <w:snapToGrid w:val="0"/>
        <w:spacing w:before="0" w:beforeLines="0" w:after="0" w:afterLines="0" w:line="500" w:lineRule="exact"/>
        <w:ind w:left="0" w:leftChars="0" w:right="0" w:rightChars="0"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中标</w:t>
      </w:r>
    </w:p>
    <w:p w14:paraId="50BD5DB3">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依法确定</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代理机构以书面形式发出</w:t>
      </w:r>
      <w:r>
        <w:rPr>
          <w:rFonts w:hint="eastAsia" w:ascii="宋体" w:hAnsi="宋体" w:eastAsia="宋体" w:cs="宋体"/>
          <w:color w:val="auto"/>
          <w:sz w:val="24"/>
          <w:szCs w:val="24"/>
          <w:highlight w:val="none"/>
          <w:lang w:val="en-US" w:eastAsia="zh-CN"/>
        </w:rPr>
        <w:t>中选</w:t>
      </w:r>
      <w:r>
        <w:rPr>
          <w:rFonts w:hint="eastAsia" w:ascii="宋体" w:hAnsi="宋体" w:eastAsia="宋体" w:cs="宋体"/>
          <w:color w:val="auto"/>
          <w:sz w:val="24"/>
          <w:szCs w:val="24"/>
          <w:highlight w:val="none"/>
          <w:lang w:eastAsia="zh-CN"/>
        </w:rPr>
        <w:t>通知书。</w:t>
      </w:r>
    </w:p>
    <w:p w14:paraId="3D11E534">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lang w:val="en-US" w:eastAsia="zh-CN"/>
        </w:rPr>
        <w:t>中选</w:t>
      </w:r>
      <w:r>
        <w:rPr>
          <w:rFonts w:hint="eastAsia" w:ascii="宋体" w:hAnsi="宋体" w:eastAsia="宋体" w:cs="宋体"/>
          <w:color w:val="auto"/>
          <w:sz w:val="24"/>
          <w:szCs w:val="24"/>
          <w:highlight w:val="none"/>
          <w:lang w:eastAsia="zh-CN"/>
        </w:rPr>
        <w:t>通知书</w:t>
      </w:r>
      <w:r>
        <w:rPr>
          <w:rFonts w:hint="eastAsia" w:ascii="宋体" w:hAnsi="宋体" w:eastAsia="宋体" w:cs="宋体"/>
          <w:color w:val="auto"/>
          <w:sz w:val="24"/>
          <w:szCs w:val="24"/>
          <w:highlight w:val="none"/>
        </w:rPr>
        <w:t>发出后，</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改变中标结果，或者</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放弃中标，应当承担相应的法律责任。</w:t>
      </w:r>
    </w:p>
    <w:p w14:paraId="7BF86006">
      <w:pPr>
        <w:pStyle w:val="5"/>
        <w:keepNext w:val="0"/>
        <w:keepLines w:val="0"/>
        <w:pageBreakBefore w:val="0"/>
        <w:widowControl w:val="0"/>
        <w:numPr>
          <w:ilvl w:val="-1"/>
          <w:numId w:val="0"/>
        </w:numPr>
        <w:shd w:val="clear"/>
        <w:kinsoku w:val="0"/>
        <w:wordWrap/>
        <w:overflowPunct/>
        <w:topLinePunct w:val="0"/>
        <w:autoSpaceDE w:val="0"/>
        <w:autoSpaceDN w:val="0"/>
        <w:bidi w:val="0"/>
        <w:adjustRightInd w:val="0"/>
        <w:snapToGrid w:val="0"/>
        <w:spacing w:before="0" w:beforeLines="0" w:after="0" w:afterLines="0" w:line="500" w:lineRule="exact"/>
        <w:ind w:left="0" w:leftChars="0" w:right="0" w:rightChars="0"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询问、质疑和投诉</w:t>
      </w:r>
    </w:p>
    <w:p w14:paraId="69F1717F">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beforeLines="0" w:afterLines="0" w:line="500" w:lineRule="exact"/>
        <w:ind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询问</w:t>
      </w:r>
    </w:p>
    <w:p w14:paraId="26981CD7">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代理机构应当在3个工作日内对</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依法提出的询问作出答复。投资询问可以是口头或书面形式。</w:t>
      </w:r>
    </w:p>
    <w:p w14:paraId="4B356F46">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质疑</w:t>
      </w:r>
    </w:p>
    <w:p w14:paraId="000AE6C7">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认为</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文件、采购过程和中标结果使自己的权益受到伤害的，可向</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代理机构以书面形式提出质疑。</w:t>
      </w:r>
    </w:p>
    <w:p w14:paraId="4C893BE4">
      <w:pPr>
        <w:keepNext w:val="0"/>
        <w:keepLines w:val="0"/>
        <w:pageBreakBefore w:val="0"/>
        <w:widowControl w:val="0"/>
        <w:kinsoku w:val="0"/>
        <w:wordWrap/>
        <w:topLinePunct w:val="0"/>
        <w:autoSpaceDE w:val="0"/>
        <w:autoSpaceDN w:val="0"/>
        <w:bidi w:val="0"/>
        <w:adjustRightInd w:val="0"/>
        <w:snapToGrid w:val="0"/>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highlight w:val="none"/>
        </w:rPr>
        <w:t>提出质疑的应当是参与所质疑项目采购活动的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14:paraId="13E18E5D">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500" w:lineRule="exact"/>
        <w:textAlignment w:val="auto"/>
        <w:outlineLvl w:val="1"/>
        <w:rPr>
          <w:rFonts w:hint="eastAsia" w:ascii="宋体" w:hAnsi="宋体" w:eastAsia="宋体" w:cs="宋体"/>
          <w:b/>
          <w:color w:val="000000" w:themeColor="text1"/>
          <w:sz w:val="24"/>
          <w:szCs w:val="24"/>
          <w:highlight w:val="none"/>
          <w14:textFill>
            <w14:solidFill>
              <w14:schemeClr w14:val="tx1"/>
            </w14:solidFill>
          </w14:textFill>
        </w:rPr>
      </w:pPr>
      <w:bookmarkStart w:id="191" w:name="_Toc25728"/>
      <w:bookmarkStart w:id="192" w:name="_Toc17821"/>
      <w:bookmarkStart w:id="193" w:name="_Toc1181"/>
      <w:bookmarkStart w:id="194" w:name="_Toc9056"/>
      <w:bookmarkStart w:id="195" w:name="_Toc5895"/>
      <w:bookmarkStart w:id="196" w:name="_Toc12789059"/>
      <w:bookmarkStart w:id="197" w:name="_Toc11641055"/>
      <w:r>
        <w:rPr>
          <w:rFonts w:hint="eastAsia" w:ascii="宋体" w:hAnsi="宋体" w:cs="宋体"/>
          <w:b/>
          <w:color w:val="000000" w:themeColor="text1"/>
          <w:sz w:val="24"/>
          <w:szCs w:val="24"/>
          <w:highlight w:val="none"/>
          <w:lang w:val="en-US" w:eastAsia="zh-CN"/>
          <w14:textFill>
            <w14:solidFill>
              <w14:schemeClr w14:val="tx1"/>
            </w14:solidFill>
          </w14:textFill>
        </w:rPr>
        <w:t>九</w:t>
      </w:r>
      <w:r>
        <w:rPr>
          <w:rFonts w:hint="eastAsia" w:ascii="宋体" w:hAnsi="宋体" w:eastAsia="宋体" w:cs="宋体"/>
          <w:b/>
          <w:color w:val="000000" w:themeColor="text1"/>
          <w:sz w:val="24"/>
          <w:szCs w:val="24"/>
          <w:highlight w:val="none"/>
          <w14:textFill>
            <w14:solidFill>
              <w14:schemeClr w14:val="tx1"/>
            </w14:solidFill>
          </w14:textFill>
        </w:rPr>
        <w:t>、代理服务费</w:t>
      </w:r>
      <w:bookmarkEnd w:id="191"/>
      <w:bookmarkEnd w:id="192"/>
      <w:bookmarkEnd w:id="193"/>
    </w:p>
    <w:p w14:paraId="7D3F481D">
      <w:pPr>
        <w:keepNext w:val="0"/>
        <w:keepLines w:val="0"/>
        <w:pageBreakBefore w:val="0"/>
        <w:widowControl w:val="0"/>
        <w:kinsoku w:val="0"/>
        <w:wordWrap/>
        <w:topLinePunct w:val="0"/>
        <w:autoSpaceDE w:val="0"/>
        <w:autoSpaceDN w:val="0"/>
        <w:bidi w:val="0"/>
        <w:adjustRightInd w:val="0"/>
        <w:snapToGrid w:val="0"/>
        <w:spacing w:line="5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（一）本次</w:t>
      </w:r>
      <w:r>
        <w:rPr>
          <w:rFonts w:hint="eastAsia" w:ascii="宋体" w:hAnsi="宋体" w:cs="宋体"/>
          <w:color w:val="000000" w:themeColor="text1"/>
          <w:sz w:val="24"/>
          <w:szCs w:val="24"/>
          <w:highlight w:val="none"/>
          <w:lang w:eastAsia="zh-CN"/>
          <w14:textFill>
            <w14:solidFill>
              <w14:schemeClr w14:val="tx1"/>
            </w14:solidFill>
          </w14:textFill>
        </w:rPr>
        <w:t>响应报价</w:t>
      </w:r>
      <w:r>
        <w:rPr>
          <w:rFonts w:hint="eastAsia" w:ascii="宋体" w:hAnsi="宋体" w:eastAsia="宋体" w:cs="宋体"/>
          <w:color w:val="000000" w:themeColor="text1"/>
          <w:sz w:val="24"/>
          <w:szCs w:val="24"/>
          <w:highlight w:val="none"/>
          <w14:textFill>
            <w14:solidFill>
              <w14:schemeClr w14:val="tx1"/>
            </w14:solidFill>
          </w14:textFill>
        </w:rPr>
        <w:t>代理服务费</w:t>
      </w:r>
      <w:r>
        <w:rPr>
          <w:rFonts w:hint="eastAsia" w:ascii="宋体" w:hAnsi="宋体" w:eastAsia="宋体" w:cs="宋体"/>
          <w:color w:val="000000" w:themeColor="text1"/>
          <w:sz w:val="24"/>
          <w:szCs w:val="24"/>
          <w:highlight w:val="none"/>
          <w:lang w:val="en-US" w:eastAsia="zh-CN"/>
          <w14:textFill>
            <w14:solidFill>
              <w14:schemeClr w14:val="tx1"/>
            </w14:solidFill>
          </w14:textFill>
        </w:rPr>
        <w:t>以</w:t>
      </w:r>
      <w:r>
        <w:rPr>
          <w:rFonts w:hint="eastAsia" w:ascii="宋体" w:hAnsi="宋体" w:eastAsia="宋体" w:cs="宋体"/>
          <w:color w:val="000000" w:themeColor="text1"/>
          <w:sz w:val="24"/>
          <w:szCs w:val="24"/>
          <w:highlight w:val="none"/>
          <w14:textFill>
            <w14:solidFill>
              <w14:schemeClr w14:val="tx1"/>
            </w14:solidFill>
          </w14:textFill>
        </w:rPr>
        <w:t>中标金额为计费基数，参照渝招投协〔2015〕11号收费标准计取（若计取的代理服务费不足3000.00元时，按3000.00元计取），由</w:t>
      </w:r>
      <w:r>
        <w:rPr>
          <w:rFonts w:hint="eastAsia" w:ascii="宋体" w:hAnsi="宋体" w:cs="宋体"/>
          <w:color w:val="000000" w:themeColor="text1"/>
          <w:sz w:val="24"/>
          <w:szCs w:val="24"/>
          <w:highlight w:val="none"/>
          <w:lang w:eastAsia="zh-CN"/>
          <w14:textFill>
            <w14:solidFill>
              <w14:schemeClr w14:val="tx1"/>
            </w14:solidFill>
          </w14:textFill>
        </w:rPr>
        <w:t>成交供应商</w:t>
      </w:r>
      <w:r>
        <w:rPr>
          <w:rFonts w:hint="eastAsia" w:ascii="宋体" w:hAnsi="宋体" w:eastAsia="宋体" w:cs="宋体"/>
          <w:color w:val="000000" w:themeColor="text1"/>
          <w:sz w:val="24"/>
          <w:szCs w:val="24"/>
          <w:highlight w:val="none"/>
          <w14:textFill>
            <w14:solidFill>
              <w14:schemeClr w14:val="tx1"/>
            </w14:solidFill>
          </w14:textFill>
        </w:rPr>
        <w:t>在领取中</w:t>
      </w:r>
      <w:r>
        <w:rPr>
          <w:rFonts w:hint="eastAsia" w:ascii="宋体" w:hAnsi="宋体" w:cs="宋体"/>
          <w:color w:val="000000" w:themeColor="text1"/>
          <w:sz w:val="24"/>
          <w:szCs w:val="24"/>
          <w:highlight w:val="none"/>
          <w:lang w:val="en-US" w:eastAsia="zh-CN"/>
          <w14:textFill>
            <w14:solidFill>
              <w14:schemeClr w14:val="tx1"/>
            </w14:solidFill>
          </w14:textFill>
        </w:rPr>
        <w:t>选</w:t>
      </w:r>
      <w:r>
        <w:rPr>
          <w:rFonts w:hint="eastAsia" w:ascii="宋体" w:hAnsi="宋体" w:eastAsia="宋体" w:cs="宋体"/>
          <w:color w:val="000000" w:themeColor="text1"/>
          <w:sz w:val="24"/>
          <w:szCs w:val="24"/>
          <w:highlight w:val="none"/>
          <w14:textFill>
            <w14:solidFill>
              <w14:schemeClr w14:val="tx1"/>
            </w14:solidFill>
          </w14:textFill>
        </w:rPr>
        <w:t>通知书时一次性向代理机构缴纳。</w:t>
      </w:r>
    </w:p>
    <w:p w14:paraId="26C2DBFC">
      <w:pPr>
        <w:keepNext w:val="0"/>
        <w:keepLines w:val="0"/>
        <w:pageBreakBefore w:val="0"/>
        <w:widowControl w:val="0"/>
        <w:kinsoku w:val="0"/>
        <w:wordWrap/>
        <w:topLinePunct w:val="0"/>
        <w:autoSpaceDE w:val="0"/>
        <w:autoSpaceDN w:val="0"/>
        <w:bidi w:val="0"/>
        <w:adjustRightInd w:val="0"/>
        <w:snapToGrid w:val="0"/>
        <w:spacing w:line="500" w:lineRule="exact"/>
        <w:ind w:firstLine="361" w:firstLineChars="15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代理费缴费账户信息如下：</w:t>
      </w:r>
    </w:p>
    <w:p w14:paraId="1ED15890">
      <w:pPr>
        <w:keepNext w:val="0"/>
        <w:keepLines w:val="0"/>
        <w:pageBreakBefore w:val="0"/>
        <w:widowControl w:val="0"/>
        <w:kinsoku w:val="0"/>
        <w:wordWrap/>
        <w:topLinePunct w:val="0"/>
        <w:autoSpaceDE w:val="0"/>
        <w:autoSpaceDN w:val="0"/>
        <w:bidi w:val="0"/>
        <w:adjustRightInd w:val="0"/>
        <w:snapToGrid w:val="0"/>
        <w:spacing w:line="5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账  号：50050110267600001694</w:t>
      </w:r>
    </w:p>
    <w:p w14:paraId="7D8FEEBC">
      <w:pPr>
        <w:keepNext w:val="0"/>
        <w:keepLines w:val="0"/>
        <w:pageBreakBefore w:val="0"/>
        <w:widowControl w:val="0"/>
        <w:kinsoku w:val="0"/>
        <w:wordWrap/>
        <w:topLinePunct w:val="0"/>
        <w:autoSpaceDE w:val="0"/>
        <w:autoSpaceDN w:val="0"/>
        <w:bidi w:val="0"/>
        <w:adjustRightInd w:val="0"/>
        <w:snapToGrid w:val="0"/>
        <w:spacing w:line="5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户  名：重庆渝富达项目管理有限公司</w:t>
      </w:r>
    </w:p>
    <w:p w14:paraId="4870E369">
      <w:pPr>
        <w:keepNext w:val="0"/>
        <w:keepLines w:val="0"/>
        <w:pageBreakBefore w:val="0"/>
        <w:widowControl w:val="0"/>
        <w:kinsoku w:val="0"/>
        <w:wordWrap/>
        <w:topLinePunct w:val="0"/>
        <w:autoSpaceDE w:val="0"/>
        <w:autoSpaceDN w:val="0"/>
        <w:bidi w:val="0"/>
        <w:adjustRightInd w:val="0"/>
        <w:snapToGrid w:val="0"/>
        <w:spacing w:line="5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开户行：中国建设银行股份有限公司重庆自由贸易试验区两江汽博支行 </w:t>
      </w:r>
    </w:p>
    <w:bookmarkEnd w:id="194"/>
    <w:bookmarkEnd w:id="195"/>
    <w:p w14:paraId="0AF7F378">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500" w:lineRule="exact"/>
        <w:textAlignment w:val="auto"/>
        <w:outlineLvl w:val="1"/>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十、成交通知</w:t>
      </w:r>
    </w:p>
    <w:p w14:paraId="485873EA">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确定后，</w:t>
      </w:r>
      <w:r>
        <w:rPr>
          <w:rFonts w:hint="eastAsia" w:ascii="宋体" w:hAnsi="宋体" w:cs="宋体"/>
          <w:color w:val="auto"/>
          <w:sz w:val="24"/>
          <w:szCs w:val="24"/>
          <w:highlight w:val="none"/>
          <w:lang w:val="en-US" w:eastAsia="zh-CN"/>
        </w:rPr>
        <w:t>比选</w:t>
      </w:r>
      <w:r>
        <w:rPr>
          <w:rFonts w:hint="eastAsia" w:ascii="宋体" w:hAnsi="宋体" w:eastAsia="宋体" w:cs="宋体"/>
          <w:color w:val="auto"/>
          <w:sz w:val="24"/>
          <w:szCs w:val="24"/>
          <w:highlight w:val="none"/>
        </w:rPr>
        <w:t>代理机构将在行采家（https://www.gec123.com）上发布成交结果公告。</w:t>
      </w:r>
    </w:p>
    <w:p w14:paraId="2A07FFD8">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（二）结果公</w:t>
      </w:r>
      <w:r>
        <w:rPr>
          <w:rFonts w:hint="eastAsia" w:ascii="宋体" w:hAnsi="宋体" w:eastAsia="宋体" w:cs="宋体"/>
          <w:color w:val="auto"/>
          <w:sz w:val="24"/>
          <w:szCs w:val="24"/>
          <w:highlight w:val="none"/>
          <w:lang w:eastAsia="zh-CN"/>
        </w:rPr>
        <w:t>告发出同时，</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lang w:eastAsia="zh-CN"/>
        </w:rPr>
        <w:t>代理机构将以书面形式发出《</w:t>
      </w:r>
      <w:r>
        <w:rPr>
          <w:rFonts w:hint="eastAsia" w:ascii="宋体" w:hAnsi="宋体" w:eastAsia="宋体" w:cs="宋体"/>
          <w:color w:val="auto"/>
          <w:sz w:val="24"/>
          <w:szCs w:val="24"/>
          <w:highlight w:val="none"/>
          <w:lang w:val="en-US" w:eastAsia="zh-CN"/>
        </w:rPr>
        <w:t>中选</w:t>
      </w:r>
      <w:r>
        <w:rPr>
          <w:rFonts w:hint="eastAsia" w:ascii="宋体" w:hAnsi="宋体" w:eastAsia="宋体" w:cs="宋体"/>
          <w:color w:val="auto"/>
          <w:sz w:val="24"/>
          <w:szCs w:val="24"/>
          <w:highlight w:val="none"/>
          <w:lang w:eastAsia="zh-CN"/>
        </w:rPr>
        <w:t>通知书》，《</w:t>
      </w:r>
      <w:r>
        <w:rPr>
          <w:rFonts w:hint="eastAsia" w:ascii="宋体" w:hAnsi="宋体" w:eastAsia="宋体" w:cs="宋体"/>
          <w:color w:val="auto"/>
          <w:sz w:val="24"/>
          <w:szCs w:val="24"/>
          <w:highlight w:val="none"/>
          <w:lang w:val="en-US" w:eastAsia="zh-CN"/>
        </w:rPr>
        <w:t>中选</w:t>
      </w:r>
      <w:r>
        <w:rPr>
          <w:rFonts w:hint="eastAsia" w:ascii="宋体" w:hAnsi="宋体" w:eastAsia="宋体" w:cs="宋体"/>
          <w:color w:val="auto"/>
          <w:sz w:val="24"/>
          <w:szCs w:val="24"/>
          <w:highlight w:val="none"/>
          <w:lang w:eastAsia="zh-CN"/>
        </w:rPr>
        <w:t>通知书》一经发出即发生法律效力。</w:t>
      </w:r>
    </w:p>
    <w:p w14:paraId="63954CC0">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中选</w:t>
      </w:r>
      <w:r>
        <w:rPr>
          <w:rFonts w:hint="eastAsia" w:ascii="宋体" w:hAnsi="宋体" w:eastAsia="宋体" w:cs="宋体"/>
          <w:color w:val="auto"/>
          <w:sz w:val="24"/>
          <w:szCs w:val="24"/>
          <w:highlight w:val="none"/>
          <w:lang w:eastAsia="zh-CN"/>
        </w:rPr>
        <w:t>通知书》将作为签订合同的依据。</w:t>
      </w:r>
    </w:p>
    <w:p w14:paraId="7C462F26">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应当自</w:t>
      </w:r>
      <w:r>
        <w:rPr>
          <w:rFonts w:hint="eastAsia" w:ascii="宋体" w:hAnsi="宋体" w:cs="宋体"/>
          <w:color w:val="auto"/>
          <w:sz w:val="24"/>
          <w:szCs w:val="24"/>
          <w:highlight w:val="none"/>
          <w:lang w:eastAsia="zh-CN"/>
        </w:rPr>
        <w:t>中选通知书</w:t>
      </w:r>
      <w:r>
        <w:rPr>
          <w:rFonts w:hint="eastAsia" w:ascii="宋体" w:hAnsi="宋体" w:eastAsia="宋体" w:cs="宋体"/>
          <w:color w:val="auto"/>
          <w:sz w:val="24"/>
          <w:szCs w:val="24"/>
          <w:highlight w:val="none"/>
          <w:lang w:eastAsia="zh-CN"/>
        </w:rPr>
        <w:t>发出之日起三十日内，按照比选文件和</w:t>
      </w:r>
      <w:r>
        <w:rPr>
          <w:rFonts w:hint="eastAsia" w:ascii="宋体" w:hAnsi="宋体" w:cs="宋体"/>
          <w:color w:val="auto"/>
          <w:sz w:val="24"/>
          <w:szCs w:val="24"/>
          <w:highlight w:val="none"/>
          <w:lang w:eastAsia="zh-CN"/>
        </w:rPr>
        <w:t>成交供应商响应文件</w:t>
      </w:r>
      <w:r>
        <w:rPr>
          <w:rFonts w:hint="eastAsia" w:ascii="宋体" w:hAnsi="宋体" w:eastAsia="宋体" w:cs="宋体"/>
          <w:color w:val="auto"/>
          <w:sz w:val="24"/>
          <w:szCs w:val="24"/>
          <w:highlight w:val="none"/>
          <w:lang w:eastAsia="zh-CN"/>
        </w:rPr>
        <w:t>的约定，与</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lang w:eastAsia="zh-CN"/>
        </w:rPr>
        <w:t>签订书面合同。所签订的合同不得对比选文件和</w:t>
      </w:r>
      <w:r>
        <w:rPr>
          <w:rFonts w:hint="eastAsia" w:ascii="宋体" w:hAnsi="宋体" w:cs="宋体"/>
          <w:color w:val="auto"/>
          <w:sz w:val="24"/>
          <w:szCs w:val="24"/>
          <w:highlight w:val="none"/>
          <w:lang w:eastAsia="zh-CN"/>
        </w:rPr>
        <w:t>成交供应商响应文件</w:t>
      </w:r>
      <w:r>
        <w:rPr>
          <w:rFonts w:hint="eastAsia" w:ascii="宋体" w:hAnsi="宋体" w:eastAsia="宋体" w:cs="宋体"/>
          <w:color w:val="auto"/>
          <w:sz w:val="24"/>
          <w:szCs w:val="24"/>
          <w:highlight w:val="none"/>
          <w:lang w:eastAsia="zh-CN"/>
        </w:rPr>
        <w:t>作实质性修改。</w:t>
      </w:r>
    </w:p>
    <w:p w14:paraId="3DD549C6">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500" w:lineRule="exact"/>
        <w:textAlignment w:val="auto"/>
        <w:outlineLvl w:val="1"/>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十一、签订合同</w:t>
      </w:r>
    </w:p>
    <w:p w14:paraId="0996DB15">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应当自</w:t>
      </w:r>
      <w:r>
        <w:rPr>
          <w:rFonts w:hint="eastAsia" w:ascii="宋体" w:hAnsi="宋体" w:cs="宋体"/>
          <w:color w:val="auto"/>
          <w:sz w:val="24"/>
          <w:szCs w:val="24"/>
          <w:highlight w:val="none"/>
          <w:lang w:eastAsia="zh-CN"/>
        </w:rPr>
        <w:t>中选通知书</w:t>
      </w:r>
      <w:r>
        <w:rPr>
          <w:rFonts w:hint="eastAsia" w:ascii="宋体" w:hAnsi="宋体" w:eastAsia="宋体" w:cs="宋体"/>
          <w:color w:val="auto"/>
          <w:sz w:val="24"/>
          <w:szCs w:val="24"/>
          <w:highlight w:val="none"/>
        </w:rPr>
        <w:t>发出之日起</w:t>
      </w:r>
      <w:r>
        <w:rPr>
          <w:rFonts w:hint="eastAsia" w:ascii="宋体" w:hAnsi="宋体" w:eastAsia="宋体" w:cs="宋体"/>
          <w:color w:val="auto"/>
          <w:sz w:val="24"/>
          <w:szCs w:val="24"/>
          <w:highlight w:val="none"/>
          <w:lang w:val="en-US" w:eastAsia="zh-CN"/>
        </w:rPr>
        <w:t>三十</w:t>
      </w:r>
      <w:r>
        <w:rPr>
          <w:rFonts w:hint="eastAsia" w:ascii="宋体" w:hAnsi="宋体" w:eastAsia="宋体" w:cs="宋体"/>
          <w:color w:val="auto"/>
          <w:sz w:val="24"/>
          <w:szCs w:val="24"/>
          <w:highlight w:val="none"/>
        </w:rPr>
        <w:t>日内，按照</w:t>
      </w:r>
      <w:r>
        <w:rPr>
          <w:rFonts w:hint="eastAsia" w:ascii="宋体" w:hAnsi="宋体" w:eastAsia="宋体" w:cs="宋体"/>
          <w:color w:val="auto"/>
          <w:sz w:val="24"/>
          <w:szCs w:val="24"/>
          <w:highlight w:val="none"/>
          <w:lang w:eastAsia="zh-CN"/>
        </w:rPr>
        <w:t>比选文件</w:t>
      </w:r>
      <w:r>
        <w:rPr>
          <w:rFonts w:hint="eastAsia" w:ascii="宋体" w:hAnsi="宋体" w:eastAsia="宋体" w:cs="宋体"/>
          <w:color w:val="auto"/>
          <w:sz w:val="24"/>
          <w:szCs w:val="24"/>
          <w:highlight w:val="none"/>
        </w:rPr>
        <w:t>和</w:t>
      </w:r>
      <w:r>
        <w:rPr>
          <w:rFonts w:hint="eastAsia" w:ascii="宋体" w:hAnsi="宋体" w:cs="宋体"/>
          <w:color w:val="auto"/>
          <w:sz w:val="24"/>
          <w:szCs w:val="24"/>
          <w:highlight w:val="none"/>
          <w:lang w:eastAsia="zh-CN"/>
        </w:rPr>
        <w:t>成交供应商响应文件</w:t>
      </w:r>
      <w:r>
        <w:rPr>
          <w:rFonts w:hint="eastAsia" w:ascii="宋体" w:hAnsi="宋体" w:eastAsia="宋体" w:cs="宋体"/>
          <w:color w:val="auto"/>
          <w:sz w:val="24"/>
          <w:szCs w:val="24"/>
          <w:highlight w:val="none"/>
        </w:rPr>
        <w:t>的约定，与</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签订书面合同。所签订的合同不得对</w:t>
      </w:r>
      <w:r>
        <w:rPr>
          <w:rFonts w:hint="eastAsia" w:ascii="宋体" w:hAnsi="宋体" w:eastAsia="宋体" w:cs="宋体"/>
          <w:color w:val="auto"/>
          <w:sz w:val="24"/>
          <w:szCs w:val="24"/>
          <w:highlight w:val="none"/>
          <w:lang w:eastAsia="zh-CN"/>
        </w:rPr>
        <w:t>比选文件</w:t>
      </w:r>
      <w:r>
        <w:rPr>
          <w:rFonts w:hint="eastAsia" w:ascii="宋体" w:hAnsi="宋体" w:eastAsia="宋体" w:cs="宋体"/>
          <w:color w:val="auto"/>
          <w:sz w:val="24"/>
          <w:szCs w:val="24"/>
          <w:highlight w:val="none"/>
        </w:rPr>
        <w:t>和</w:t>
      </w:r>
      <w:r>
        <w:rPr>
          <w:rFonts w:hint="eastAsia" w:ascii="宋体" w:hAnsi="宋体" w:cs="宋体"/>
          <w:color w:val="auto"/>
          <w:sz w:val="24"/>
          <w:szCs w:val="24"/>
          <w:highlight w:val="none"/>
          <w:lang w:eastAsia="zh-CN"/>
        </w:rPr>
        <w:t>成交供应商响应文件</w:t>
      </w:r>
      <w:r>
        <w:rPr>
          <w:rFonts w:hint="eastAsia" w:ascii="宋体" w:hAnsi="宋体" w:eastAsia="宋体" w:cs="宋体"/>
          <w:color w:val="auto"/>
          <w:sz w:val="24"/>
          <w:szCs w:val="24"/>
          <w:highlight w:val="none"/>
        </w:rPr>
        <w:t>作实质性修改，其他未尽事宜由</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和</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在采购合同中详细约定。</w:t>
      </w:r>
    </w:p>
    <w:p w14:paraId="29F065CB">
      <w:pPr>
        <w:keepNext w:val="0"/>
        <w:keepLines w:val="0"/>
        <w:pageBreakBefore w:val="0"/>
        <w:widowControl w:val="0"/>
        <w:shd w:val="clear"/>
        <w:kinsoku w:val="0"/>
        <w:wordWrap/>
        <w:overflowPunct/>
        <w:topLinePunct w:val="0"/>
        <w:autoSpaceDE w:val="0"/>
        <w:autoSpaceDN w:val="0"/>
        <w:bidi w:val="0"/>
        <w:adjustRightInd w:val="0"/>
        <w:snapToGrid w:val="0"/>
        <w:spacing w:beforeLines="0" w:afterLines="0" w:line="50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）比选文件</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及澄清文件等，均为签订采购合同的依据。</w:t>
      </w:r>
    </w:p>
    <w:p w14:paraId="18A37DF0">
      <w:pPr>
        <w:keepNext w:val="0"/>
        <w:keepLines w:val="0"/>
        <w:pageBreakBefore w:val="0"/>
        <w:widowControl w:val="0"/>
        <w:kinsoku w:val="0"/>
        <w:wordWrap/>
        <w:topLinePunct w:val="0"/>
        <w:autoSpaceDE w:val="0"/>
        <w:autoSpaceDN w:val="0"/>
        <w:bidi w:val="0"/>
        <w:adjustRightInd w:val="0"/>
        <w:snapToGrid w:val="0"/>
        <w:spacing w:line="500" w:lineRule="exact"/>
        <w:ind w:firstLine="360" w:firstLineChars="1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合同生效条款由供需双方约定，法律、行政法规规定应当办理批准、登记等手续后生效的合同，依照其规定</w:t>
      </w:r>
      <w:r>
        <w:rPr>
          <w:rFonts w:hint="eastAsia" w:ascii="宋体" w:hAnsi="宋体" w:eastAsia="宋体" w:cs="宋体"/>
          <w:color w:val="000000" w:themeColor="text1"/>
          <w:sz w:val="24"/>
          <w:highlight w:val="none"/>
          <w14:textFill>
            <w14:solidFill>
              <w14:schemeClr w14:val="tx1"/>
            </w14:solidFill>
          </w14:textFill>
        </w:rPr>
        <w:t>。</w:t>
      </w:r>
    </w:p>
    <w:p w14:paraId="0EC4B51E">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500" w:lineRule="exact"/>
        <w:jc w:val="center"/>
        <w:textAlignment w:val="auto"/>
        <w:outlineLvl w:val="0"/>
        <w:rPr>
          <w:rFonts w:hint="eastAsia" w:ascii="宋体" w:hAnsi="宋体" w:eastAsia="宋体" w:cs="宋体"/>
          <w:color w:val="000000" w:themeColor="text1"/>
          <w:sz w:val="36"/>
          <w:szCs w:val="30"/>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36"/>
          <w:szCs w:val="30"/>
          <w:highlight w:val="none"/>
          <w14:textFill>
            <w14:solidFill>
              <w14:schemeClr w14:val="tx1"/>
            </w14:solidFill>
          </w14:textFill>
        </w:rPr>
        <w:br w:type="page"/>
      </w:r>
      <w:bookmarkStart w:id="198" w:name="_Toc31106"/>
      <w:bookmarkStart w:id="199" w:name="_Toc10603"/>
      <w:r>
        <w:rPr>
          <w:rStyle w:val="21"/>
          <w:rFonts w:hint="eastAsia" w:ascii="宋体" w:hAnsi="宋体" w:eastAsia="宋体" w:cs="宋体"/>
          <w:color w:val="000000" w:themeColor="text1"/>
          <w:sz w:val="44"/>
          <w:szCs w:val="44"/>
          <w:highlight w:val="none"/>
          <w:lang w:val="en-US" w:eastAsia="zh-CN"/>
          <w14:textFill>
            <w14:solidFill>
              <w14:schemeClr w14:val="tx1"/>
            </w14:solidFill>
          </w14:textFill>
        </w:rPr>
        <w:t xml:space="preserve">第六篇  </w:t>
      </w:r>
      <w:bookmarkEnd w:id="196"/>
      <w:bookmarkEnd w:id="197"/>
      <w:r>
        <w:rPr>
          <w:rStyle w:val="21"/>
          <w:rFonts w:hint="eastAsia" w:ascii="宋体" w:hAnsi="宋体" w:eastAsia="宋体" w:cs="宋体"/>
          <w:color w:val="000000" w:themeColor="text1"/>
          <w:sz w:val="44"/>
          <w:szCs w:val="44"/>
          <w:highlight w:val="none"/>
          <w:lang w:val="en-US" w:eastAsia="zh-CN"/>
          <w14:textFill>
            <w14:solidFill>
              <w14:schemeClr w14:val="tx1"/>
            </w14:solidFill>
          </w14:textFill>
        </w:rPr>
        <w:t>采购合同（格式）</w:t>
      </w:r>
      <w:bookmarkEnd w:id="198"/>
      <w:bookmarkEnd w:id="199"/>
    </w:p>
    <w:p w14:paraId="108B281A">
      <w:pPr>
        <w:pStyle w:val="9"/>
        <w:keepNext w:val="0"/>
        <w:keepLines w:val="0"/>
        <w:pageBreakBefore w:val="0"/>
        <w:widowControl w:val="0"/>
        <w:kinsoku w:val="0"/>
        <w:wordWrap/>
        <w:topLinePunct w:val="0"/>
        <w:autoSpaceDE w:val="0"/>
        <w:autoSpaceDN w:val="0"/>
        <w:bidi w:val="0"/>
        <w:adjustRightInd w:val="0"/>
        <w:snapToGrid w:val="0"/>
        <w:spacing w:line="500" w:lineRule="exact"/>
        <w:ind w:firstLine="883" w:firstLineChars="200"/>
        <w:jc w:val="right"/>
        <w:rPr>
          <w:rFonts w:hint="eastAsia" w:ascii="宋体" w:hAnsi="宋体" w:eastAsia="宋体" w:cs="宋体"/>
          <w:b/>
          <w:bCs/>
          <w:color w:val="000000" w:themeColor="text1"/>
          <w:sz w:val="22"/>
          <w:szCs w:val="22"/>
          <w:highlight w:val="none"/>
          <w:lang w:eastAsia="zh-CN"/>
          <w14:textFill>
            <w14:solidFill>
              <w14:schemeClr w14:val="tx1"/>
            </w14:solidFill>
          </w14:textFill>
        </w:rPr>
      </w:pPr>
      <w:bookmarkStart w:id="200" w:name="_Toc277084870"/>
      <w:bookmarkStart w:id="201" w:name="_Toc285722712"/>
      <w:bookmarkStart w:id="202" w:name="_Toc1860"/>
      <w:bookmarkStart w:id="203" w:name="_Toc29502"/>
      <w:bookmarkStart w:id="204" w:name="_Toc75793537"/>
      <w:r>
        <w:rPr>
          <w:rFonts w:hint="eastAsia" w:ascii="宋体" w:hAnsi="宋体" w:eastAsia="宋体" w:cs="宋体"/>
          <w:b/>
          <w:bCs/>
          <w:color w:val="000000" w:themeColor="text1"/>
          <w:sz w:val="44"/>
          <w:szCs w:val="44"/>
          <w:highlight w:val="none"/>
          <w:lang w:bidi="ar"/>
          <w14:textFill>
            <w14:solidFill>
              <w14:schemeClr w14:val="tx1"/>
            </w14:solidFill>
          </w14:textFill>
        </w:rPr>
        <w:br w:type="page"/>
      </w:r>
    </w:p>
    <w:p w14:paraId="4475BD82">
      <w:pPr>
        <w:pStyle w:val="5"/>
        <w:jc w:val="center"/>
        <w:rPr>
          <w:rFonts w:hint="eastAsia" w:ascii="宋体" w:hAnsi="宋体" w:eastAsia="宋体" w:cs="宋体"/>
          <w:color w:val="auto"/>
          <w:sz w:val="24"/>
          <w:szCs w:val="24"/>
          <w:highlight w:val="none"/>
        </w:rPr>
      </w:pPr>
      <w:bookmarkStart w:id="205" w:name="_Toc190689310"/>
      <w:bookmarkStart w:id="206" w:name="_Toc534185765"/>
      <w:bookmarkStart w:id="207" w:name="_Toc351203494"/>
      <w:bookmarkStart w:id="208" w:name="_Toc38446827"/>
      <w:bookmarkStart w:id="209" w:name="_Toc509218786"/>
      <w:r>
        <w:rPr>
          <w:rFonts w:hint="eastAsia" w:ascii="宋体" w:hAnsi="宋体" w:eastAsia="宋体" w:cs="宋体"/>
          <w:b/>
          <w:bCs/>
          <w:color w:val="auto"/>
          <w:sz w:val="32"/>
          <w:szCs w:val="32"/>
          <w:highlight w:val="none"/>
        </w:rPr>
        <w:t>第一部分 合同协议书</w:t>
      </w:r>
      <w:bookmarkEnd w:id="205"/>
      <w:bookmarkEnd w:id="206"/>
      <w:bookmarkEnd w:id="207"/>
      <w:bookmarkEnd w:id="208"/>
      <w:bookmarkEnd w:id="209"/>
    </w:p>
    <w:p w14:paraId="7BC12E47">
      <w:pPr>
        <w:pageBreakBefore w:val="0"/>
        <w:widowControl w:val="0"/>
        <w:kinsoku w:val="0"/>
        <w:wordWrap/>
        <w:overflowPunct/>
        <w:topLinePunct w:val="0"/>
        <w:autoSpaceDE w:val="0"/>
        <w:autoSpaceDN w:val="0"/>
        <w:bidi w:val="0"/>
        <w:adjustRightInd w:val="0"/>
        <w:snapToGrid w:val="0"/>
        <w:spacing w:line="420" w:lineRule="exact"/>
        <w:ind w:firstLine="482" w:firstLineChars="200"/>
        <w:textAlignment w:val="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发包人（全称）：</w:t>
      </w:r>
      <w:r>
        <w:rPr>
          <w:rFonts w:hint="eastAsia" w:ascii="宋体" w:hAnsi="宋体" w:eastAsia="宋体" w:cs="宋体"/>
          <w:color w:val="auto"/>
          <w:sz w:val="24"/>
          <w:szCs w:val="24"/>
          <w:highlight w:val="none"/>
          <w:u w:val="single"/>
        </w:rPr>
        <w:t xml:space="preserve">                             </w:t>
      </w:r>
    </w:p>
    <w:p w14:paraId="366AE81B">
      <w:pPr>
        <w:pageBreakBefore w:val="0"/>
        <w:widowControl w:val="0"/>
        <w:kinsoku w:val="0"/>
        <w:wordWrap/>
        <w:overflowPunct/>
        <w:topLinePunct w:val="0"/>
        <w:autoSpaceDE w:val="0"/>
        <w:autoSpaceDN w:val="0"/>
        <w:bidi w:val="0"/>
        <w:adjustRightInd w:val="0"/>
        <w:snapToGrid w:val="0"/>
        <w:spacing w:line="420" w:lineRule="exact"/>
        <w:ind w:firstLine="482" w:firstLineChars="200"/>
        <w:textAlignment w:val="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承包人（全称）：</w:t>
      </w:r>
      <w:r>
        <w:rPr>
          <w:rFonts w:hint="eastAsia" w:ascii="宋体" w:hAnsi="宋体" w:eastAsia="宋体" w:cs="宋体"/>
          <w:color w:val="auto"/>
          <w:sz w:val="24"/>
          <w:szCs w:val="24"/>
          <w:highlight w:val="none"/>
          <w:u w:val="single"/>
        </w:rPr>
        <w:t xml:space="preserve">                             </w:t>
      </w:r>
    </w:p>
    <w:p w14:paraId="4DF7B65A">
      <w:pPr>
        <w:pageBreakBefore w:val="0"/>
        <w:widowControl w:val="0"/>
        <w:kinsoku w:val="0"/>
        <w:wordWrap/>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根据《中华人民共和国民法典》、《中华人民共和国建筑法》及有关法律、法规规定，遵循平等、自愿、公平和诚实信用的原则，双方就</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lang w:eastAsia="zh-CN"/>
        </w:rPr>
        <w:t>项目</w:t>
      </w:r>
      <w:r>
        <w:rPr>
          <w:rFonts w:hint="eastAsia" w:ascii="宋体" w:hAnsi="宋体" w:eastAsia="宋体" w:cs="宋体"/>
          <w:color w:val="auto"/>
          <w:sz w:val="24"/>
          <w:szCs w:val="24"/>
          <w:highlight w:val="none"/>
        </w:rPr>
        <w:t>施工及有关事项协商一致，共同达成如下协议：</w:t>
      </w:r>
    </w:p>
    <w:p w14:paraId="48E0FC4C">
      <w:pPr>
        <w:pStyle w:val="6"/>
        <w:pageBreakBefore w:val="0"/>
        <w:widowControl w:val="0"/>
        <w:wordWrap/>
        <w:overflowPunct/>
        <w:topLinePunct w:val="0"/>
        <w:bidi w:val="0"/>
        <w:adjustRightInd w:val="0"/>
        <w:snapToGrid w:val="0"/>
        <w:spacing w:before="0" w:after="0" w:line="420" w:lineRule="exact"/>
        <w:ind w:firstLine="482"/>
        <w:textAlignment w:val="auto"/>
        <w:rPr>
          <w:rFonts w:hint="eastAsia" w:ascii="宋体" w:hAnsi="宋体" w:eastAsia="宋体" w:cs="宋体"/>
          <w:b w:val="0"/>
          <w:color w:val="auto"/>
          <w:sz w:val="24"/>
          <w:szCs w:val="24"/>
          <w:highlight w:val="none"/>
        </w:rPr>
      </w:pPr>
      <w:bookmarkStart w:id="210" w:name="_Toc532375573"/>
      <w:bookmarkStart w:id="211" w:name="_Toc532377166"/>
      <w:bookmarkStart w:id="212" w:name="_Toc351203481"/>
      <w:bookmarkStart w:id="213" w:name="_Toc190689311"/>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项目</w:t>
      </w:r>
      <w:r>
        <w:rPr>
          <w:rFonts w:hint="eastAsia" w:ascii="宋体" w:hAnsi="宋体" w:eastAsia="宋体" w:cs="宋体"/>
          <w:color w:val="auto"/>
          <w:sz w:val="24"/>
          <w:szCs w:val="24"/>
          <w:highlight w:val="none"/>
        </w:rPr>
        <w:t>概况</w:t>
      </w:r>
      <w:bookmarkEnd w:id="210"/>
      <w:bookmarkEnd w:id="211"/>
      <w:bookmarkEnd w:id="212"/>
      <w:bookmarkEnd w:id="213"/>
    </w:p>
    <w:p w14:paraId="2EDB6C6A">
      <w:pPr>
        <w:pageBreakBefore w:val="0"/>
        <w:widowControl w:val="0"/>
        <w:kinsoku w:val="0"/>
        <w:wordWrap/>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1.</w:t>
      </w:r>
      <w:r>
        <w:rPr>
          <w:rFonts w:hint="eastAsia" w:ascii="宋体" w:hAnsi="宋体" w:cs="宋体"/>
          <w:bCs/>
          <w:color w:val="auto"/>
          <w:sz w:val="24"/>
          <w:szCs w:val="24"/>
          <w:highlight w:val="none"/>
          <w:lang w:eastAsia="zh-CN"/>
        </w:rPr>
        <w:t>项目</w:t>
      </w:r>
      <w:r>
        <w:rPr>
          <w:rFonts w:hint="eastAsia" w:ascii="宋体" w:hAnsi="宋体" w:eastAsia="宋体" w:cs="宋体"/>
          <w:bCs/>
          <w:color w:val="auto"/>
          <w:sz w:val="24"/>
          <w:szCs w:val="24"/>
          <w:highlight w:val="none"/>
        </w:rPr>
        <w:t>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46DF1D8">
      <w:pPr>
        <w:pageBreakBefore w:val="0"/>
        <w:widowControl w:val="0"/>
        <w:kinsoku w:val="0"/>
        <w:wordWrap/>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cs="宋体"/>
          <w:bCs/>
          <w:color w:val="auto"/>
          <w:sz w:val="24"/>
          <w:szCs w:val="24"/>
          <w:highlight w:val="none"/>
          <w:lang w:eastAsia="zh-CN"/>
        </w:rPr>
        <w:t>项目</w:t>
      </w:r>
      <w:r>
        <w:rPr>
          <w:rFonts w:hint="eastAsia" w:ascii="宋体" w:hAnsi="宋体" w:eastAsia="宋体" w:cs="宋体"/>
          <w:bCs/>
          <w:color w:val="auto"/>
          <w:sz w:val="24"/>
          <w:szCs w:val="24"/>
          <w:highlight w:val="none"/>
        </w:rPr>
        <w:t>地点：</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EA97CED">
      <w:pPr>
        <w:pageBreakBefore w:val="0"/>
        <w:widowControl w:val="0"/>
        <w:kinsoku w:val="0"/>
        <w:wordWrap/>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eastAsia="zh-CN"/>
        </w:rPr>
        <w:t>项目</w:t>
      </w:r>
      <w:r>
        <w:rPr>
          <w:rFonts w:hint="eastAsia" w:ascii="宋体" w:hAnsi="宋体" w:eastAsia="宋体" w:cs="宋体"/>
          <w:bCs/>
          <w:color w:val="auto"/>
          <w:sz w:val="24"/>
          <w:szCs w:val="24"/>
          <w:highlight w:val="none"/>
        </w:rPr>
        <w:t>内容：</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773C763">
      <w:pPr>
        <w:pStyle w:val="6"/>
        <w:pageBreakBefore w:val="0"/>
        <w:widowControl w:val="0"/>
        <w:wordWrap/>
        <w:overflowPunct/>
        <w:topLinePunct w:val="0"/>
        <w:bidi w:val="0"/>
        <w:adjustRightInd w:val="0"/>
        <w:snapToGrid w:val="0"/>
        <w:spacing w:before="0" w:after="0" w:line="420" w:lineRule="exact"/>
        <w:ind w:firstLine="482"/>
        <w:textAlignment w:val="auto"/>
        <w:rPr>
          <w:rFonts w:hint="eastAsia" w:ascii="宋体" w:hAnsi="宋体" w:eastAsia="宋体" w:cs="宋体"/>
          <w:color w:val="auto"/>
          <w:sz w:val="24"/>
          <w:szCs w:val="24"/>
          <w:highlight w:val="none"/>
        </w:rPr>
      </w:pPr>
      <w:bookmarkStart w:id="214" w:name="_Toc532375574"/>
      <w:bookmarkStart w:id="215" w:name="_Toc351203482"/>
      <w:bookmarkStart w:id="216" w:name="_Toc532377167"/>
      <w:bookmarkStart w:id="217" w:name="_Toc190689312"/>
      <w:r>
        <w:rPr>
          <w:rFonts w:hint="eastAsia" w:ascii="宋体" w:hAnsi="宋体" w:eastAsia="宋体" w:cs="宋体"/>
          <w:color w:val="auto"/>
          <w:sz w:val="24"/>
          <w:szCs w:val="24"/>
          <w:highlight w:val="none"/>
        </w:rPr>
        <w:t>二、合同工期</w:t>
      </w:r>
      <w:bookmarkEnd w:id="214"/>
      <w:bookmarkEnd w:id="215"/>
      <w:bookmarkEnd w:id="216"/>
      <w:bookmarkEnd w:id="217"/>
    </w:p>
    <w:p w14:paraId="3288A98A">
      <w:pPr>
        <w:pageBreakBefore w:val="0"/>
        <w:widowControl w:val="0"/>
        <w:kinsoku w:val="0"/>
        <w:wordWrap/>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承包人竞标函中承诺的工期：</w:t>
      </w:r>
      <w:r>
        <w:rPr>
          <w:rFonts w:hint="eastAsia" w:ascii="宋体" w:hAnsi="宋体" w:eastAsia="宋体" w:cs="宋体"/>
          <w:bCs/>
          <w:color w:val="auto"/>
          <w:sz w:val="24"/>
          <w:szCs w:val="24"/>
          <w:highlight w:val="none"/>
          <w:u w:val="single"/>
        </w:rPr>
        <w:t>日历</w:t>
      </w:r>
      <w:r>
        <w:rPr>
          <w:rFonts w:hint="eastAsia" w:ascii="宋体" w:hAnsi="宋体" w:eastAsia="宋体" w:cs="宋体"/>
          <w:bCs/>
          <w:color w:val="auto"/>
          <w:sz w:val="24"/>
          <w:szCs w:val="24"/>
          <w:highlight w:val="none"/>
        </w:rPr>
        <w:t>天。</w:t>
      </w:r>
    </w:p>
    <w:p w14:paraId="625B6FAA">
      <w:pPr>
        <w:pageBreakBefore w:val="0"/>
        <w:widowControl w:val="0"/>
        <w:kinsoku w:val="0"/>
        <w:wordWrap/>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计划开工日期：</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日，实际开工日期以监理（如有）工程师签发的工程开工通知明确的开工日期为准。</w:t>
      </w:r>
    </w:p>
    <w:p w14:paraId="1059D5BE">
      <w:pPr>
        <w:pageBreakBefore w:val="0"/>
        <w:widowControl w:val="0"/>
        <w:kinsoku w:val="0"/>
        <w:wordWrap/>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计划竣工日期：</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日，实际竣工日期以工程竣工验收合格之日为准。</w:t>
      </w:r>
    </w:p>
    <w:p w14:paraId="04ECB763">
      <w:pPr>
        <w:pStyle w:val="6"/>
        <w:pageBreakBefore w:val="0"/>
        <w:widowControl w:val="0"/>
        <w:wordWrap/>
        <w:overflowPunct/>
        <w:topLinePunct w:val="0"/>
        <w:bidi w:val="0"/>
        <w:adjustRightInd w:val="0"/>
        <w:snapToGrid w:val="0"/>
        <w:spacing w:before="0" w:after="0" w:line="420" w:lineRule="exact"/>
        <w:ind w:firstLine="482"/>
        <w:textAlignment w:val="auto"/>
        <w:rPr>
          <w:rFonts w:hint="eastAsia" w:ascii="宋体" w:hAnsi="宋体" w:eastAsia="宋体" w:cs="宋体"/>
          <w:color w:val="auto"/>
          <w:sz w:val="24"/>
          <w:szCs w:val="24"/>
          <w:highlight w:val="none"/>
        </w:rPr>
      </w:pPr>
      <w:bookmarkStart w:id="218" w:name="_Toc351203483"/>
      <w:bookmarkStart w:id="219" w:name="_Toc190689313"/>
      <w:bookmarkStart w:id="220" w:name="_Toc532377168"/>
      <w:bookmarkStart w:id="221" w:name="_Toc532375575"/>
      <w:r>
        <w:rPr>
          <w:rFonts w:hint="eastAsia" w:ascii="宋体" w:hAnsi="宋体" w:eastAsia="宋体" w:cs="宋体"/>
          <w:color w:val="auto"/>
          <w:sz w:val="24"/>
          <w:szCs w:val="24"/>
          <w:highlight w:val="none"/>
        </w:rPr>
        <w:t>三、质量标准</w:t>
      </w:r>
      <w:bookmarkEnd w:id="218"/>
      <w:bookmarkEnd w:id="219"/>
      <w:bookmarkEnd w:id="220"/>
      <w:bookmarkEnd w:id="221"/>
    </w:p>
    <w:p w14:paraId="6FBB1984">
      <w:pPr>
        <w:pageBreakBefore w:val="0"/>
        <w:widowControl w:val="0"/>
        <w:kinsoku w:val="0"/>
        <w:wordWrap/>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bCs/>
          <w:color w:val="auto"/>
          <w:sz w:val="24"/>
          <w:szCs w:val="24"/>
          <w:highlight w:val="none"/>
        </w:rPr>
      </w:pPr>
      <w:bookmarkStart w:id="222" w:name="_Toc351203484"/>
      <w:bookmarkStart w:id="223" w:name="_Toc532375576"/>
      <w:bookmarkStart w:id="224" w:name="_Toc532377169"/>
      <w:r>
        <w:rPr>
          <w:rFonts w:hint="eastAsia" w:ascii="宋体" w:hAnsi="宋体" w:eastAsia="宋体" w:cs="宋体"/>
          <w:bCs/>
          <w:color w:val="auto"/>
          <w:sz w:val="24"/>
          <w:szCs w:val="24"/>
          <w:highlight w:val="none"/>
        </w:rPr>
        <w:t>工程质量标准：</w:t>
      </w:r>
      <w:r>
        <w:rPr>
          <w:rFonts w:hint="eastAsia" w:ascii="宋体" w:hAnsi="宋体" w:eastAsia="宋体" w:cs="宋体"/>
          <w:bCs/>
          <w:color w:val="auto"/>
          <w:sz w:val="24"/>
          <w:szCs w:val="24"/>
          <w:highlight w:val="none"/>
          <w:u w:val="single"/>
        </w:rPr>
        <w:t xml:space="preserve"> 根据行业规范要求，并达到合格标准  </w:t>
      </w:r>
      <w:r>
        <w:rPr>
          <w:rFonts w:hint="eastAsia" w:ascii="宋体" w:hAnsi="宋体" w:eastAsia="宋体" w:cs="宋体"/>
          <w:bCs/>
          <w:color w:val="auto"/>
          <w:sz w:val="24"/>
          <w:szCs w:val="24"/>
          <w:highlight w:val="none"/>
        </w:rPr>
        <w:t>。</w:t>
      </w:r>
    </w:p>
    <w:p w14:paraId="117AD7A2">
      <w:pPr>
        <w:pStyle w:val="6"/>
        <w:pageBreakBefore w:val="0"/>
        <w:widowControl w:val="0"/>
        <w:wordWrap/>
        <w:overflowPunct/>
        <w:topLinePunct w:val="0"/>
        <w:bidi w:val="0"/>
        <w:adjustRightInd w:val="0"/>
        <w:snapToGrid w:val="0"/>
        <w:spacing w:before="0" w:after="0" w:line="420" w:lineRule="exact"/>
        <w:ind w:firstLine="482"/>
        <w:textAlignment w:val="auto"/>
        <w:rPr>
          <w:rFonts w:hint="eastAsia" w:ascii="宋体" w:hAnsi="宋体" w:eastAsia="宋体" w:cs="宋体"/>
          <w:bCs w:val="0"/>
          <w:color w:val="auto"/>
          <w:sz w:val="24"/>
          <w:szCs w:val="24"/>
          <w:highlight w:val="none"/>
        </w:rPr>
      </w:pPr>
      <w:bookmarkStart w:id="225" w:name="_Toc190689314"/>
      <w:r>
        <w:rPr>
          <w:rFonts w:hint="eastAsia" w:ascii="宋体" w:hAnsi="宋体" w:eastAsia="宋体" w:cs="宋体"/>
          <w:color w:val="auto"/>
          <w:sz w:val="24"/>
          <w:szCs w:val="24"/>
          <w:highlight w:val="none"/>
        </w:rPr>
        <w:t>四、签约合同价与合同价格形式</w:t>
      </w:r>
      <w:bookmarkEnd w:id="222"/>
      <w:bookmarkEnd w:id="223"/>
      <w:bookmarkEnd w:id="224"/>
      <w:bookmarkEnd w:id="225"/>
      <w:r>
        <w:rPr>
          <w:rFonts w:hint="eastAsia" w:ascii="宋体" w:hAnsi="宋体" w:eastAsia="宋体" w:cs="宋体"/>
          <w:color w:val="auto"/>
          <w:sz w:val="24"/>
          <w:szCs w:val="24"/>
          <w:highlight w:val="none"/>
        </w:rPr>
        <w:tab/>
      </w:r>
    </w:p>
    <w:p w14:paraId="4D9E5DC7">
      <w:pPr>
        <w:pageBreakBefore w:val="0"/>
        <w:widowControl w:val="0"/>
        <w:kinsoku w:val="0"/>
        <w:wordWrap/>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1.承包人竞标函中承诺的中标价为：</w:t>
      </w:r>
    </w:p>
    <w:p w14:paraId="58C6A95C">
      <w:pPr>
        <w:pageBreakBefore w:val="0"/>
        <w:widowControl w:val="0"/>
        <w:kinsoku w:val="0"/>
        <w:wordWrap/>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56780104">
      <w:pPr>
        <w:pageBreakBefore w:val="0"/>
        <w:widowControl w:val="0"/>
        <w:kinsoku w:val="0"/>
        <w:wordWrap/>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2.签约合同价为：人民币（大写）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4653C57D">
      <w:pPr>
        <w:pStyle w:val="6"/>
        <w:pageBreakBefore w:val="0"/>
        <w:widowControl w:val="0"/>
        <w:wordWrap/>
        <w:overflowPunct/>
        <w:topLinePunct w:val="0"/>
        <w:bidi w:val="0"/>
        <w:adjustRightInd w:val="0"/>
        <w:snapToGrid w:val="0"/>
        <w:spacing w:before="0" w:after="0" w:line="420" w:lineRule="exact"/>
        <w:ind w:firstLine="482"/>
        <w:textAlignment w:val="auto"/>
        <w:rPr>
          <w:rFonts w:hint="eastAsia" w:ascii="宋体" w:hAnsi="宋体" w:eastAsia="宋体" w:cs="宋体"/>
          <w:color w:val="auto"/>
          <w:sz w:val="24"/>
          <w:szCs w:val="24"/>
          <w:highlight w:val="none"/>
        </w:rPr>
      </w:pPr>
      <w:bookmarkStart w:id="226" w:name="_Toc351203485"/>
      <w:bookmarkStart w:id="227" w:name="_Toc532377170"/>
      <w:bookmarkStart w:id="228" w:name="_Toc532375577"/>
      <w:bookmarkStart w:id="229" w:name="_Toc190689315"/>
      <w:r>
        <w:rPr>
          <w:rFonts w:hint="eastAsia" w:ascii="宋体" w:hAnsi="宋体" w:eastAsia="宋体" w:cs="宋体"/>
          <w:color w:val="auto"/>
          <w:sz w:val="24"/>
          <w:szCs w:val="24"/>
          <w:highlight w:val="none"/>
        </w:rPr>
        <w:t>五、</w:t>
      </w:r>
      <w:bookmarkEnd w:id="226"/>
      <w:r>
        <w:rPr>
          <w:rFonts w:hint="eastAsia" w:ascii="宋体" w:hAnsi="宋体" w:eastAsia="宋体" w:cs="宋体"/>
          <w:color w:val="auto"/>
          <w:sz w:val="24"/>
          <w:szCs w:val="24"/>
          <w:highlight w:val="none"/>
        </w:rPr>
        <w:t>项目经理及技术负责人</w:t>
      </w:r>
      <w:bookmarkEnd w:id="227"/>
      <w:bookmarkEnd w:id="228"/>
      <w:bookmarkEnd w:id="229"/>
    </w:p>
    <w:p w14:paraId="07DCA27F">
      <w:pPr>
        <w:pageBreakBefore w:val="0"/>
        <w:widowControl w:val="0"/>
        <w:kinsoku w:val="0"/>
        <w:wordWrap/>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承包人响应文件中承诺的项目经理：</w:t>
      </w:r>
    </w:p>
    <w:p w14:paraId="4E17184E">
      <w:pPr>
        <w:pageBreakBefore w:val="0"/>
        <w:widowControl w:val="0"/>
        <w:kinsoku w:val="0"/>
        <w:wordWrap/>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FEDDBB8">
      <w:pPr>
        <w:pageBreakBefore w:val="0"/>
        <w:widowControl w:val="0"/>
        <w:kinsoku w:val="0"/>
        <w:wordWrap/>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AE11475">
      <w:pPr>
        <w:pageBreakBefore w:val="0"/>
        <w:widowControl w:val="0"/>
        <w:kinsoku w:val="0"/>
        <w:wordWrap/>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建造师注册证书号：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AAE829A">
      <w:pPr>
        <w:pageBreakBefore w:val="0"/>
        <w:widowControl w:val="0"/>
        <w:kinsoku w:val="0"/>
        <w:wordWrap/>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承包人响应文件中承诺的技术负责人：</w:t>
      </w:r>
    </w:p>
    <w:p w14:paraId="7D92A820">
      <w:pPr>
        <w:pageBreakBefore w:val="0"/>
        <w:widowControl w:val="0"/>
        <w:kinsoku w:val="0"/>
        <w:wordWrap/>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43C1E8C">
      <w:pPr>
        <w:pageBreakBefore w:val="0"/>
        <w:widowControl w:val="0"/>
        <w:kinsoku w:val="0"/>
        <w:wordWrap/>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E136B67">
      <w:pPr>
        <w:pStyle w:val="9"/>
        <w:pageBreakBefore w:val="0"/>
        <w:widowControl w:val="0"/>
        <w:kinsoku w:val="0"/>
        <w:wordWrap/>
        <w:overflowPunct/>
        <w:topLinePunct w:val="0"/>
        <w:autoSpaceDE w:val="0"/>
        <w:autoSpaceDN w:val="0"/>
        <w:bidi w:val="0"/>
        <w:adjustRightInd w:val="0"/>
        <w:snapToGrid w:val="0"/>
        <w:spacing w:after="0" w:afterLines="0"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证书名称及号码：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0A71BB3">
      <w:pPr>
        <w:pStyle w:val="6"/>
        <w:pageBreakBefore w:val="0"/>
        <w:widowControl w:val="0"/>
        <w:wordWrap/>
        <w:overflowPunct/>
        <w:topLinePunct w:val="0"/>
        <w:bidi w:val="0"/>
        <w:adjustRightInd w:val="0"/>
        <w:snapToGrid w:val="0"/>
        <w:spacing w:before="0" w:after="0" w:line="420" w:lineRule="exact"/>
        <w:ind w:firstLine="482"/>
        <w:textAlignment w:val="auto"/>
        <w:rPr>
          <w:rFonts w:hint="eastAsia" w:ascii="宋体" w:hAnsi="宋体" w:eastAsia="宋体" w:cs="宋体"/>
          <w:color w:val="auto"/>
          <w:sz w:val="24"/>
          <w:szCs w:val="24"/>
          <w:highlight w:val="none"/>
        </w:rPr>
      </w:pPr>
      <w:bookmarkStart w:id="230" w:name="_Toc351203486"/>
      <w:bookmarkStart w:id="231" w:name="_Toc190689316"/>
      <w:bookmarkStart w:id="232" w:name="_Toc532377171"/>
      <w:bookmarkStart w:id="233" w:name="_Toc532375578"/>
      <w:r>
        <w:rPr>
          <w:rFonts w:hint="eastAsia" w:ascii="宋体" w:hAnsi="宋体" w:eastAsia="宋体" w:cs="宋体"/>
          <w:color w:val="auto"/>
          <w:sz w:val="24"/>
          <w:szCs w:val="24"/>
          <w:highlight w:val="none"/>
        </w:rPr>
        <w:t>六、合同文件构成</w:t>
      </w:r>
      <w:bookmarkEnd w:id="230"/>
      <w:bookmarkEnd w:id="231"/>
      <w:bookmarkEnd w:id="232"/>
      <w:bookmarkEnd w:id="233"/>
    </w:p>
    <w:p w14:paraId="443431F5">
      <w:pPr>
        <w:pageBreakBefore w:val="0"/>
        <w:widowControl w:val="0"/>
        <w:kinsoku w:val="0"/>
        <w:wordWrap/>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合同由以下文件构成：</w:t>
      </w:r>
    </w:p>
    <w:p w14:paraId="2843ED05">
      <w:pPr>
        <w:pageBreakBefore w:val="0"/>
        <w:widowControl w:val="0"/>
        <w:kinsoku w:val="0"/>
        <w:wordWrap/>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（1）合同协议书；</w:t>
      </w:r>
    </w:p>
    <w:p w14:paraId="1B5E173B">
      <w:pPr>
        <w:pageBreakBefore w:val="0"/>
        <w:widowControl w:val="0"/>
        <w:kinsoku w:val="0"/>
        <w:wordWrap/>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（2）中标通知书；</w:t>
      </w:r>
    </w:p>
    <w:p w14:paraId="6E8632F5">
      <w:pPr>
        <w:pageBreakBefore w:val="0"/>
        <w:widowControl w:val="0"/>
        <w:kinsoku w:val="0"/>
        <w:wordWrap/>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（3）竞标函及竞标函附录；</w:t>
      </w:r>
    </w:p>
    <w:p w14:paraId="3A801C67">
      <w:pPr>
        <w:pageBreakBefore w:val="0"/>
        <w:widowControl w:val="0"/>
        <w:kinsoku w:val="0"/>
        <w:wordWrap/>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（4）专用合同条款及其附件；</w:t>
      </w:r>
    </w:p>
    <w:p w14:paraId="30781D9C">
      <w:pPr>
        <w:pageBreakBefore w:val="0"/>
        <w:widowControl w:val="0"/>
        <w:kinsoku w:val="0"/>
        <w:wordWrap/>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（5）通用合同条款；</w:t>
      </w:r>
    </w:p>
    <w:p w14:paraId="0E3459A4">
      <w:pPr>
        <w:pageBreakBefore w:val="0"/>
        <w:widowControl w:val="0"/>
        <w:kinsoku w:val="0"/>
        <w:wordWrap/>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（6）响应文件（竞标函及竞标函附录除外）；</w:t>
      </w:r>
    </w:p>
    <w:p w14:paraId="22EA26CB">
      <w:pPr>
        <w:pageBreakBefore w:val="0"/>
        <w:widowControl w:val="0"/>
        <w:kinsoku w:val="0"/>
        <w:wordWrap/>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文件及补遗文件；</w:t>
      </w:r>
    </w:p>
    <w:p w14:paraId="7B0A7935">
      <w:pPr>
        <w:pageBreakBefore w:val="0"/>
        <w:widowControl w:val="0"/>
        <w:kinsoku w:val="0"/>
        <w:wordWrap/>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）图纸；</w:t>
      </w:r>
    </w:p>
    <w:p w14:paraId="18B596DE">
      <w:pPr>
        <w:pageBreakBefore w:val="0"/>
        <w:widowControl w:val="0"/>
        <w:kinsoku w:val="0"/>
        <w:wordWrap/>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）其他合同文件。</w:t>
      </w:r>
    </w:p>
    <w:p w14:paraId="55BED79C">
      <w:pPr>
        <w:pageBreakBefore w:val="0"/>
        <w:widowControl w:val="0"/>
        <w:kinsoku w:val="0"/>
        <w:wordWrap/>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在合同订立、履行过程中形成的与合同有关的书面形式的文件均构成合同文件组成部分。</w:t>
      </w:r>
    </w:p>
    <w:p w14:paraId="719C3C51">
      <w:pPr>
        <w:pageBreakBefore w:val="0"/>
        <w:widowControl w:val="0"/>
        <w:kinsoku w:val="0"/>
        <w:wordWrap/>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5347E32F">
      <w:pPr>
        <w:pStyle w:val="6"/>
        <w:pageBreakBefore w:val="0"/>
        <w:widowControl w:val="0"/>
        <w:wordWrap/>
        <w:overflowPunct/>
        <w:topLinePunct w:val="0"/>
        <w:bidi w:val="0"/>
        <w:adjustRightInd w:val="0"/>
        <w:snapToGrid w:val="0"/>
        <w:spacing w:before="0" w:after="0" w:line="420" w:lineRule="exact"/>
        <w:ind w:firstLine="482"/>
        <w:textAlignment w:val="auto"/>
        <w:rPr>
          <w:rFonts w:hint="eastAsia" w:ascii="宋体" w:hAnsi="宋体" w:eastAsia="宋体" w:cs="宋体"/>
          <w:color w:val="auto"/>
          <w:sz w:val="24"/>
          <w:szCs w:val="24"/>
          <w:highlight w:val="none"/>
        </w:rPr>
      </w:pPr>
      <w:bookmarkStart w:id="234" w:name="_Toc532377172"/>
      <w:bookmarkStart w:id="235" w:name="_Toc351203487"/>
      <w:bookmarkStart w:id="236" w:name="_Toc532375579"/>
      <w:bookmarkStart w:id="237" w:name="_Toc190689317"/>
      <w:r>
        <w:rPr>
          <w:rFonts w:hint="eastAsia" w:ascii="宋体" w:hAnsi="宋体" w:eastAsia="宋体" w:cs="宋体"/>
          <w:color w:val="auto"/>
          <w:sz w:val="24"/>
          <w:szCs w:val="24"/>
          <w:highlight w:val="none"/>
        </w:rPr>
        <w:t>七、承诺</w:t>
      </w:r>
      <w:bookmarkEnd w:id="234"/>
      <w:bookmarkEnd w:id="235"/>
      <w:bookmarkEnd w:id="236"/>
      <w:bookmarkEnd w:id="237"/>
    </w:p>
    <w:p w14:paraId="6DE591A3">
      <w:pPr>
        <w:pageBreakBefore w:val="0"/>
        <w:widowControl w:val="0"/>
        <w:kinsoku w:val="0"/>
        <w:wordWrap/>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1.发包人承诺按照法律规定履行项目审批手续、筹集</w:t>
      </w:r>
      <w:r>
        <w:rPr>
          <w:rFonts w:hint="eastAsia" w:ascii="宋体" w:hAnsi="宋体" w:cs="宋体"/>
          <w:bCs/>
          <w:color w:val="auto"/>
          <w:sz w:val="24"/>
          <w:szCs w:val="24"/>
          <w:highlight w:val="none"/>
          <w:lang w:eastAsia="zh-CN"/>
        </w:rPr>
        <w:t>项目</w:t>
      </w:r>
      <w:r>
        <w:rPr>
          <w:rFonts w:hint="eastAsia" w:ascii="宋体" w:hAnsi="宋体" w:eastAsia="宋体" w:cs="宋体"/>
          <w:bCs/>
          <w:color w:val="auto"/>
          <w:sz w:val="24"/>
          <w:szCs w:val="24"/>
          <w:highlight w:val="none"/>
        </w:rPr>
        <w:t>建设资金并按照合同约定的期限和方式支付合同价款。</w:t>
      </w:r>
    </w:p>
    <w:p w14:paraId="300FDEFA">
      <w:pPr>
        <w:pageBreakBefore w:val="0"/>
        <w:widowControl w:val="0"/>
        <w:kinsoku w:val="0"/>
        <w:wordWrap/>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color w:val="auto"/>
          <w:sz w:val="24"/>
          <w:szCs w:val="24"/>
          <w:highlight w:val="none"/>
        </w:rPr>
        <w:t>承包人承诺按照法律规定及合同约定组织完成施工，确保</w:t>
      </w:r>
      <w:r>
        <w:rPr>
          <w:rFonts w:hint="eastAsia" w:ascii="宋体" w:hAnsi="宋体" w:cs="宋体"/>
          <w:color w:val="auto"/>
          <w:sz w:val="24"/>
          <w:szCs w:val="24"/>
          <w:highlight w:val="none"/>
          <w:lang w:eastAsia="zh-CN"/>
        </w:rPr>
        <w:t>项目</w:t>
      </w:r>
      <w:r>
        <w:rPr>
          <w:rFonts w:hint="eastAsia" w:ascii="宋体" w:hAnsi="宋体" w:eastAsia="宋体" w:cs="宋体"/>
          <w:color w:val="auto"/>
          <w:sz w:val="24"/>
          <w:szCs w:val="24"/>
          <w:highlight w:val="none"/>
        </w:rPr>
        <w:t>质量和安全，不进行转包及违法分包，并在缺陷责任期及保修期内承担相应的工程维修责任</w:t>
      </w:r>
      <w:r>
        <w:rPr>
          <w:rFonts w:hint="eastAsia" w:ascii="宋体" w:hAnsi="宋体" w:eastAsia="宋体" w:cs="宋体"/>
          <w:bCs/>
          <w:color w:val="auto"/>
          <w:sz w:val="24"/>
          <w:szCs w:val="24"/>
          <w:highlight w:val="none"/>
        </w:rPr>
        <w:t>。</w:t>
      </w:r>
    </w:p>
    <w:p w14:paraId="5579A81A">
      <w:pPr>
        <w:pageBreakBefore w:val="0"/>
        <w:widowControl w:val="0"/>
        <w:kinsoku w:val="0"/>
        <w:wordWrap/>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3.发包人和承包人通过招竞标形式签订合同的，双方理解并承诺不再就同一</w:t>
      </w:r>
      <w:r>
        <w:rPr>
          <w:rFonts w:hint="eastAsia" w:ascii="宋体" w:hAnsi="宋体" w:cs="宋体"/>
          <w:bCs/>
          <w:color w:val="auto"/>
          <w:sz w:val="24"/>
          <w:szCs w:val="24"/>
          <w:highlight w:val="none"/>
          <w:lang w:eastAsia="zh-CN"/>
        </w:rPr>
        <w:t>项目内容</w:t>
      </w:r>
      <w:r>
        <w:rPr>
          <w:rFonts w:hint="eastAsia" w:ascii="宋体" w:hAnsi="宋体" w:eastAsia="宋体" w:cs="宋体"/>
          <w:bCs/>
          <w:color w:val="auto"/>
          <w:sz w:val="24"/>
          <w:szCs w:val="24"/>
          <w:highlight w:val="none"/>
        </w:rPr>
        <w:t>另行签订与合同实质性内容相背离的协议。</w:t>
      </w:r>
    </w:p>
    <w:p w14:paraId="7AA66EF5">
      <w:pPr>
        <w:pStyle w:val="6"/>
        <w:pageBreakBefore w:val="0"/>
        <w:widowControl w:val="0"/>
        <w:wordWrap/>
        <w:overflowPunct/>
        <w:topLinePunct w:val="0"/>
        <w:bidi w:val="0"/>
        <w:adjustRightInd w:val="0"/>
        <w:snapToGrid w:val="0"/>
        <w:spacing w:before="0" w:after="0" w:line="420" w:lineRule="exact"/>
        <w:ind w:firstLine="482"/>
        <w:textAlignment w:val="auto"/>
        <w:rPr>
          <w:rFonts w:hint="eastAsia" w:ascii="宋体" w:hAnsi="宋体" w:eastAsia="宋体" w:cs="宋体"/>
          <w:bCs w:val="0"/>
          <w:color w:val="auto"/>
          <w:sz w:val="24"/>
          <w:szCs w:val="24"/>
          <w:highlight w:val="none"/>
        </w:rPr>
      </w:pPr>
      <w:bookmarkStart w:id="238" w:name="_Toc532375580"/>
      <w:bookmarkStart w:id="239" w:name="_Toc532377173"/>
      <w:bookmarkStart w:id="240" w:name="_Toc190689318"/>
      <w:bookmarkStart w:id="241" w:name="_Toc351203488"/>
      <w:r>
        <w:rPr>
          <w:rFonts w:hint="eastAsia" w:ascii="宋体" w:hAnsi="宋体" w:eastAsia="宋体" w:cs="宋体"/>
          <w:color w:val="auto"/>
          <w:sz w:val="24"/>
          <w:szCs w:val="24"/>
          <w:highlight w:val="none"/>
        </w:rPr>
        <w:t>八、词语含义</w:t>
      </w:r>
      <w:bookmarkEnd w:id="238"/>
      <w:bookmarkEnd w:id="239"/>
      <w:bookmarkEnd w:id="240"/>
      <w:bookmarkEnd w:id="241"/>
    </w:p>
    <w:p w14:paraId="3C44E89A">
      <w:pPr>
        <w:pageBreakBefore w:val="0"/>
        <w:widowControl w:val="0"/>
        <w:kinsoku w:val="0"/>
        <w:wordWrap/>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本协议书中词语含义与专用合同条款及通用合同条款中赋予的含义相同。</w:t>
      </w:r>
    </w:p>
    <w:p w14:paraId="1F959788">
      <w:pPr>
        <w:pStyle w:val="6"/>
        <w:pageBreakBefore w:val="0"/>
        <w:widowControl w:val="0"/>
        <w:wordWrap/>
        <w:overflowPunct/>
        <w:topLinePunct w:val="0"/>
        <w:bidi w:val="0"/>
        <w:adjustRightInd w:val="0"/>
        <w:snapToGrid w:val="0"/>
        <w:spacing w:before="0" w:after="0" w:line="420" w:lineRule="exact"/>
        <w:ind w:firstLine="482"/>
        <w:textAlignment w:val="auto"/>
        <w:rPr>
          <w:rFonts w:hint="eastAsia" w:ascii="宋体" w:hAnsi="宋体" w:eastAsia="宋体" w:cs="宋体"/>
          <w:bCs w:val="0"/>
          <w:color w:val="auto"/>
          <w:sz w:val="24"/>
          <w:szCs w:val="24"/>
          <w:highlight w:val="none"/>
        </w:rPr>
      </w:pPr>
      <w:r>
        <w:rPr>
          <w:rFonts w:hint="eastAsia" w:ascii="宋体" w:hAnsi="宋体" w:cs="宋体"/>
          <w:color w:val="auto"/>
          <w:sz w:val="24"/>
          <w:szCs w:val="24"/>
          <w:highlight w:val="none"/>
          <w:lang w:eastAsia="zh-CN"/>
        </w:rPr>
        <w:t>九</w:t>
      </w:r>
      <w:r>
        <w:rPr>
          <w:rFonts w:hint="eastAsia" w:ascii="宋体" w:hAnsi="宋体" w:eastAsia="宋体" w:cs="宋体"/>
          <w:color w:val="auto"/>
          <w:sz w:val="24"/>
          <w:szCs w:val="24"/>
          <w:highlight w:val="none"/>
        </w:rPr>
        <w:t>、补充协议</w:t>
      </w:r>
    </w:p>
    <w:p w14:paraId="56A2DA4C">
      <w:pPr>
        <w:pageBreakBefore w:val="0"/>
        <w:widowControl w:val="0"/>
        <w:kinsoku w:val="0"/>
        <w:wordWrap/>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合同未尽事宜，合同当事人另行签订补充协议，补充协议是合同的组成部分。</w:t>
      </w:r>
    </w:p>
    <w:p w14:paraId="3AE19A79">
      <w:pPr>
        <w:pStyle w:val="6"/>
        <w:pageBreakBefore w:val="0"/>
        <w:widowControl w:val="0"/>
        <w:wordWrap/>
        <w:overflowPunct/>
        <w:topLinePunct w:val="0"/>
        <w:bidi w:val="0"/>
        <w:adjustRightInd w:val="0"/>
        <w:snapToGrid w:val="0"/>
        <w:spacing w:before="0" w:after="0" w:line="420" w:lineRule="exact"/>
        <w:ind w:firstLine="482"/>
        <w:textAlignment w:val="auto"/>
        <w:rPr>
          <w:rFonts w:hint="eastAsia" w:ascii="宋体" w:hAnsi="宋体" w:eastAsia="宋体" w:cs="宋体"/>
          <w:b w:val="0"/>
          <w:bCs w:val="0"/>
          <w:color w:val="auto"/>
          <w:sz w:val="24"/>
          <w:szCs w:val="24"/>
          <w:highlight w:val="none"/>
        </w:rPr>
      </w:pPr>
      <w:bookmarkStart w:id="242" w:name="_Toc532375584"/>
      <w:bookmarkStart w:id="243" w:name="_Toc190689322"/>
      <w:bookmarkStart w:id="244" w:name="_Toc532377177"/>
      <w:bookmarkStart w:id="245" w:name="_Toc351203492"/>
      <w:r>
        <w:rPr>
          <w:rFonts w:hint="eastAsia" w:ascii="宋体" w:hAnsi="宋体" w:eastAsia="宋体" w:cs="宋体"/>
          <w:color w:val="auto"/>
          <w:sz w:val="24"/>
          <w:szCs w:val="24"/>
          <w:highlight w:val="none"/>
        </w:rPr>
        <w:t>十、合同生效</w:t>
      </w:r>
      <w:bookmarkEnd w:id="242"/>
      <w:bookmarkEnd w:id="243"/>
      <w:bookmarkEnd w:id="244"/>
      <w:bookmarkEnd w:id="245"/>
    </w:p>
    <w:p w14:paraId="4A5D3F8A">
      <w:pPr>
        <w:pageBreakBefore w:val="0"/>
        <w:widowControl w:val="0"/>
        <w:kinsoku w:val="0"/>
        <w:wordWrap/>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合同在以下条件全部满足之后生效：</w:t>
      </w:r>
    </w:p>
    <w:p w14:paraId="39DC7559">
      <w:pPr>
        <w:pageBreakBefore w:val="0"/>
        <w:widowControl w:val="0"/>
        <w:kinsoku w:val="0"/>
        <w:wordWrap/>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1.合同</w:t>
      </w:r>
      <w:r>
        <w:rPr>
          <w:rFonts w:hint="eastAsia" w:ascii="宋体" w:hAnsi="宋体" w:eastAsia="宋体" w:cs="宋体"/>
          <w:color w:val="auto"/>
          <w:sz w:val="24"/>
          <w:szCs w:val="24"/>
          <w:highlight w:val="none"/>
        </w:rPr>
        <w:t>经双方法定代表人或其委托代理人签字并加盖</w:t>
      </w:r>
      <w:r>
        <w:rPr>
          <w:rFonts w:hint="eastAsia" w:ascii="宋体" w:hAnsi="宋体" w:eastAsia="宋体" w:cs="宋体"/>
          <w:snapToGrid w:val="0"/>
          <w:color w:val="auto"/>
          <w:kern w:val="0"/>
          <w:sz w:val="24"/>
          <w:szCs w:val="24"/>
          <w:highlight w:val="none"/>
        </w:rPr>
        <w:t>公章或合同专用章</w:t>
      </w:r>
      <w:r>
        <w:rPr>
          <w:rFonts w:hint="eastAsia" w:ascii="宋体" w:hAnsi="宋体" w:eastAsia="宋体" w:cs="宋体"/>
          <w:color w:val="auto"/>
          <w:sz w:val="24"/>
          <w:szCs w:val="24"/>
          <w:highlight w:val="none"/>
        </w:rPr>
        <w:t>；</w:t>
      </w:r>
    </w:p>
    <w:p w14:paraId="427D69EC">
      <w:pPr>
        <w:pageBreakBefore w:val="0"/>
        <w:widowControl w:val="0"/>
        <w:kinsoku w:val="0"/>
        <w:wordWrap/>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9352340">
      <w:pPr>
        <w:pStyle w:val="6"/>
        <w:pageBreakBefore w:val="0"/>
        <w:widowControl w:val="0"/>
        <w:wordWrap/>
        <w:overflowPunct/>
        <w:topLinePunct w:val="0"/>
        <w:bidi w:val="0"/>
        <w:adjustRightInd w:val="0"/>
        <w:snapToGrid w:val="0"/>
        <w:spacing w:before="0" w:after="0" w:line="420" w:lineRule="exact"/>
        <w:ind w:firstLine="482"/>
        <w:textAlignment w:val="auto"/>
        <w:rPr>
          <w:rFonts w:hint="eastAsia" w:ascii="宋体" w:hAnsi="宋体" w:eastAsia="宋体" w:cs="宋体"/>
          <w:bCs w:val="0"/>
          <w:color w:val="auto"/>
          <w:sz w:val="24"/>
          <w:szCs w:val="24"/>
          <w:highlight w:val="none"/>
        </w:rPr>
      </w:pPr>
      <w:bookmarkStart w:id="246" w:name="_Toc190689323"/>
      <w:bookmarkStart w:id="247" w:name="_Toc351203493"/>
      <w:bookmarkStart w:id="248" w:name="_Toc532375585"/>
      <w:bookmarkStart w:id="249" w:name="_Toc532377178"/>
      <w:r>
        <w:rPr>
          <w:rFonts w:hint="eastAsia" w:ascii="宋体" w:hAnsi="宋体" w:eastAsia="宋体" w:cs="宋体"/>
          <w:color w:val="auto"/>
          <w:sz w:val="24"/>
          <w:szCs w:val="24"/>
          <w:highlight w:val="none"/>
        </w:rPr>
        <w:t>十</w:t>
      </w:r>
      <w:r>
        <w:rPr>
          <w:rFonts w:hint="eastAsia" w:ascii="宋体" w:hAnsi="宋体" w:cs="宋体"/>
          <w:color w:val="auto"/>
          <w:sz w:val="24"/>
          <w:szCs w:val="24"/>
          <w:highlight w:val="none"/>
          <w:lang w:eastAsia="zh-CN"/>
        </w:rPr>
        <w:t>一</w:t>
      </w:r>
      <w:r>
        <w:rPr>
          <w:rFonts w:hint="eastAsia" w:ascii="宋体" w:hAnsi="宋体" w:eastAsia="宋体" w:cs="宋体"/>
          <w:color w:val="auto"/>
          <w:sz w:val="24"/>
          <w:szCs w:val="24"/>
          <w:highlight w:val="none"/>
        </w:rPr>
        <w:t>、合同份数</w:t>
      </w:r>
      <w:bookmarkEnd w:id="246"/>
      <w:bookmarkEnd w:id="247"/>
      <w:bookmarkEnd w:id="248"/>
      <w:bookmarkEnd w:id="249"/>
    </w:p>
    <w:p w14:paraId="79694F64">
      <w:pPr>
        <w:pageBreakBefore w:val="0"/>
        <w:widowControl w:val="0"/>
        <w:kinsoku w:val="0"/>
        <w:wordWrap/>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合同一式</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份，其中正本</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份，双方各持</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份，副本</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份，双方各执</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份。副本与正本不一致时，以正本为准。</w:t>
      </w:r>
    </w:p>
    <w:p w14:paraId="7EAD5669">
      <w:pPr>
        <w:pageBreakBefore w:val="0"/>
        <w:widowControl w:val="0"/>
        <w:wordWrap/>
        <w:overflowPunct/>
        <w:topLinePunct w:val="0"/>
        <w:bidi w:val="0"/>
        <w:adjustRightInd w:val="0"/>
        <w:snapToGrid w:val="0"/>
        <w:spacing w:line="42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（以下为签字盖章页）。</w:t>
      </w:r>
    </w:p>
    <w:p w14:paraId="0AE19739">
      <w:pPr>
        <w:pageBreakBefore w:val="0"/>
        <w:widowControl w:val="0"/>
        <w:wordWrap/>
        <w:overflowPunct/>
        <w:topLinePunct w:val="0"/>
        <w:bidi w:val="0"/>
        <w:adjustRightInd w:val="0"/>
        <w:snapToGrid w:val="0"/>
        <w:spacing w:line="420" w:lineRule="exact"/>
        <w:ind w:firstLine="480" w:firstLineChars="200"/>
        <w:textAlignment w:val="auto"/>
        <w:rPr>
          <w:rFonts w:hint="eastAsia" w:ascii="宋体" w:hAnsi="宋体" w:eastAsia="宋体" w:cs="宋体"/>
          <w:snapToGrid w:val="0"/>
          <w:color w:val="auto"/>
          <w:kern w:val="0"/>
          <w:sz w:val="24"/>
          <w:szCs w:val="24"/>
          <w:highlight w:val="none"/>
        </w:rPr>
      </w:pPr>
      <w:bookmarkStart w:id="250" w:name="_Toc467689623"/>
      <w:r>
        <w:rPr>
          <w:rFonts w:hint="eastAsia" w:ascii="宋体" w:hAnsi="宋体" w:eastAsia="宋体" w:cs="宋体"/>
          <w:snapToGrid w:val="0"/>
          <w:color w:val="auto"/>
          <w:kern w:val="0"/>
          <w:sz w:val="24"/>
          <w:szCs w:val="24"/>
          <w:highlight w:val="none"/>
        </w:rPr>
        <w:t>发包人：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（公章）</w:t>
      </w:r>
    </w:p>
    <w:p w14:paraId="007DEFCA">
      <w:pPr>
        <w:pageBreakBefore w:val="0"/>
        <w:widowControl w:val="0"/>
        <w:wordWrap/>
        <w:overflowPunct/>
        <w:topLinePunct w:val="0"/>
        <w:bidi w:val="0"/>
        <w:adjustRightInd w:val="0"/>
        <w:snapToGrid w:val="0"/>
        <w:spacing w:line="42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法定代表人或其委托代理人：</w:t>
      </w:r>
      <w:r>
        <w:rPr>
          <w:rFonts w:hint="eastAsia" w:ascii="宋体" w:hAnsi="宋体" w:eastAsia="宋体" w:cs="宋体"/>
          <w:snapToGrid w:val="0"/>
          <w:color w:val="auto"/>
          <w:w w:val="200"/>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（签字）</w:t>
      </w:r>
    </w:p>
    <w:p w14:paraId="60F67DA0">
      <w:pPr>
        <w:pageBreakBefore w:val="0"/>
        <w:widowControl w:val="0"/>
        <w:wordWrap/>
        <w:overflowPunct/>
        <w:topLinePunct w:val="0"/>
        <w:bidi w:val="0"/>
        <w:adjustRightInd w:val="0"/>
        <w:snapToGrid w:val="0"/>
        <w:spacing w:line="42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统一社会信用代码：</w:t>
      </w:r>
      <w:r>
        <w:rPr>
          <w:rFonts w:hint="eastAsia" w:ascii="宋体" w:hAnsi="宋体" w:eastAsia="宋体" w:cs="宋体"/>
          <w:snapToGrid w:val="0"/>
          <w:color w:val="auto"/>
          <w:w w:val="200"/>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rPr>
        <w:t xml:space="preserve">                          </w:t>
      </w:r>
    </w:p>
    <w:p w14:paraId="71C75970">
      <w:pPr>
        <w:pageBreakBefore w:val="0"/>
        <w:widowControl w:val="0"/>
        <w:wordWrap/>
        <w:overflowPunct/>
        <w:topLinePunct w:val="0"/>
        <w:bidi w:val="0"/>
        <w:adjustRightInd w:val="0"/>
        <w:snapToGrid w:val="0"/>
        <w:spacing w:line="420" w:lineRule="exact"/>
        <w:ind w:firstLine="480" w:firstLineChars="200"/>
        <w:textAlignment w:val="auto"/>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纳税人识别号：</w:t>
      </w:r>
      <w:r>
        <w:rPr>
          <w:rFonts w:hint="eastAsia" w:ascii="宋体" w:hAnsi="宋体" w:eastAsia="宋体" w:cs="宋体"/>
          <w:snapToGrid w:val="0"/>
          <w:color w:val="auto"/>
          <w:w w:val="200"/>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rPr>
        <w:t xml:space="preserve">                              </w:t>
      </w:r>
    </w:p>
    <w:p w14:paraId="5C0538E0">
      <w:pPr>
        <w:pageBreakBefore w:val="0"/>
        <w:widowControl w:val="0"/>
        <w:wordWrap/>
        <w:overflowPunct/>
        <w:topLinePunct w:val="0"/>
        <w:bidi w:val="0"/>
        <w:adjustRightInd w:val="0"/>
        <w:snapToGrid w:val="0"/>
        <w:spacing w:line="420" w:lineRule="exact"/>
        <w:ind w:firstLine="480" w:firstLineChars="200"/>
        <w:textAlignment w:val="auto"/>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地    址：</w:t>
      </w:r>
      <w:r>
        <w:rPr>
          <w:rFonts w:hint="eastAsia" w:ascii="宋体" w:hAnsi="宋体" w:eastAsia="宋体" w:cs="宋体"/>
          <w:snapToGrid w:val="0"/>
          <w:color w:val="auto"/>
          <w:w w:val="200"/>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rPr>
        <w:t xml:space="preserve">                                  </w:t>
      </w:r>
    </w:p>
    <w:p w14:paraId="1EF6F379">
      <w:pPr>
        <w:pageBreakBefore w:val="0"/>
        <w:widowControl w:val="0"/>
        <w:wordWrap/>
        <w:overflowPunct/>
        <w:topLinePunct w:val="0"/>
        <w:bidi w:val="0"/>
        <w:adjustRightInd w:val="0"/>
        <w:snapToGrid w:val="0"/>
        <w:spacing w:line="420" w:lineRule="exact"/>
        <w:ind w:firstLine="480" w:firstLineChars="200"/>
        <w:textAlignment w:val="auto"/>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电    话：</w:t>
      </w:r>
      <w:r>
        <w:rPr>
          <w:rFonts w:hint="eastAsia" w:ascii="宋体" w:hAnsi="宋体" w:eastAsia="宋体" w:cs="宋体"/>
          <w:snapToGrid w:val="0"/>
          <w:color w:val="auto"/>
          <w:w w:val="200"/>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rPr>
        <w:t xml:space="preserve">                                  </w:t>
      </w:r>
    </w:p>
    <w:p w14:paraId="618041F4">
      <w:pPr>
        <w:pageBreakBefore w:val="0"/>
        <w:widowControl w:val="0"/>
        <w:wordWrap/>
        <w:overflowPunct/>
        <w:topLinePunct w:val="0"/>
        <w:bidi w:val="0"/>
        <w:adjustRightInd w:val="0"/>
        <w:snapToGrid w:val="0"/>
        <w:spacing w:line="420" w:lineRule="exact"/>
        <w:ind w:firstLine="480" w:firstLineChars="200"/>
        <w:textAlignment w:val="auto"/>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开户银行：</w:t>
      </w:r>
      <w:r>
        <w:rPr>
          <w:rFonts w:hint="eastAsia" w:ascii="宋体" w:hAnsi="宋体" w:eastAsia="宋体" w:cs="宋体"/>
          <w:snapToGrid w:val="0"/>
          <w:color w:val="auto"/>
          <w:w w:val="200"/>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rPr>
        <w:t xml:space="preserve">                                  </w:t>
      </w:r>
    </w:p>
    <w:p w14:paraId="017E1D1F">
      <w:pPr>
        <w:pageBreakBefore w:val="0"/>
        <w:widowControl w:val="0"/>
        <w:wordWrap/>
        <w:overflowPunct/>
        <w:topLinePunct w:val="0"/>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账    号：</w:t>
      </w:r>
      <w:r>
        <w:rPr>
          <w:rFonts w:hint="eastAsia" w:ascii="宋体" w:hAnsi="宋体" w:eastAsia="宋体" w:cs="宋体"/>
          <w:snapToGrid w:val="0"/>
          <w:color w:val="auto"/>
          <w:w w:val="200"/>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rPr>
        <w:t xml:space="preserve">                                 </w:t>
      </w:r>
    </w:p>
    <w:p w14:paraId="6BCC14C5">
      <w:pPr>
        <w:pageBreakBefore w:val="0"/>
        <w:widowControl w:val="0"/>
        <w:wordWrap/>
        <w:overflowPunct/>
        <w:topLinePunct w:val="0"/>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承包人：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（公章）</w:t>
      </w:r>
    </w:p>
    <w:p w14:paraId="55E12AF6">
      <w:pPr>
        <w:pageBreakBefore w:val="0"/>
        <w:widowControl w:val="0"/>
        <w:wordWrap/>
        <w:overflowPunct/>
        <w:topLinePunct w:val="0"/>
        <w:bidi w:val="0"/>
        <w:adjustRightInd w:val="0"/>
        <w:snapToGrid w:val="0"/>
        <w:spacing w:line="42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法定代表人或其委托代理人：</w:t>
      </w:r>
      <w:r>
        <w:rPr>
          <w:rFonts w:hint="eastAsia" w:ascii="宋体" w:hAnsi="宋体" w:eastAsia="宋体" w:cs="宋体"/>
          <w:snapToGrid w:val="0"/>
          <w:color w:val="auto"/>
          <w:w w:val="200"/>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（签字）</w:t>
      </w:r>
    </w:p>
    <w:p w14:paraId="39D9DF56">
      <w:pPr>
        <w:pageBreakBefore w:val="0"/>
        <w:widowControl w:val="0"/>
        <w:wordWrap/>
        <w:overflowPunct/>
        <w:topLinePunct w:val="0"/>
        <w:bidi w:val="0"/>
        <w:adjustRightInd w:val="0"/>
        <w:snapToGrid w:val="0"/>
        <w:spacing w:line="42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统一社会信用代码：</w:t>
      </w:r>
      <w:r>
        <w:rPr>
          <w:rFonts w:hint="eastAsia" w:ascii="宋体" w:hAnsi="宋体" w:eastAsia="宋体" w:cs="宋体"/>
          <w:snapToGrid w:val="0"/>
          <w:color w:val="auto"/>
          <w:w w:val="200"/>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rPr>
        <w:t xml:space="preserve">                          </w:t>
      </w:r>
    </w:p>
    <w:p w14:paraId="35FCA6C7">
      <w:pPr>
        <w:pageBreakBefore w:val="0"/>
        <w:widowControl w:val="0"/>
        <w:wordWrap/>
        <w:overflowPunct/>
        <w:topLinePunct w:val="0"/>
        <w:bidi w:val="0"/>
        <w:adjustRightInd w:val="0"/>
        <w:snapToGrid w:val="0"/>
        <w:spacing w:line="420" w:lineRule="exact"/>
        <w:ind w:firstLine="480" w:firstLineChars="200"/>
        <w:textAlignment w:val="auto"/>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纳税人识别号：</w:t>
      </w:r>
      <w:r>
        <w:rPr>
          <w:rFonts w:hint="eastAsia" w:ascii="宋体" w:hAnsi="宋体" w:eastAsia="宋体" w:cs="宋体"/>
          <w:snapToGrid w:val="0"/>
          <w:color w:val="auto"/>
          <w:w w:val="200"/>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rPr>
        <w:t xml:space="preserve">                              </w:t>
      </w:r>
    </w:p>
    <w:p w14:paraId="19C897AB">
      <w:pPr>
        <w:pageBreakBefore w:val="0"/>
        <w:widowControl w:val="0"/>
        <w:wordWrap/>
        <w:overflowPunct/>
        <w:topLinePunct w:val="0"/>
        <w:bidi w:val="0"/>
        <w:adjustRightInd w:val="0"/>
        <w:snapToGrid w:val="0"/>
        <w:spacing w:line="420" w:lineRule="exact"/>
        <w:ind w:firstLine="480" w:firstLineChars="200"/>
        <w:textAlignment w:val="auto"/>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地    址：</w:t>
      </w:r>
      <w:r>
        <w:rPr>
          <w:rFonts w:hint="eastAsia" w:ascii="宋体" w:hAnsi="宋体" w:eastAsia="宋体" w:cs="宋体"/>
          <w:snapToGrid w:val="0"/>
          <w:color w:val="auto"/>
          <w:w w:val="200"/>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rPr>
        <w:t xml:space="preserve">                                  </w:t>
      </w:r>
    </w:p>
    <w:p w14:paraId="0A393171">
      <w:pPr>
        <w:pageBreakBefore w:val="0"/>
        <w:widowControl w:val="0"/>
        <w:wordWrap/>
        <w:overflowPunct/>
        <w:topLinePunct w:val="0"/>
        <w:bidi w:val="0"/>
        <w:adjustRightInd w:val="0"/>
        <w:snapToGrid w:val="0"/>
        <w:spacing w:line="420" w:lineRule="exact"/>
        <w:ind w:firstLine="480" w:firstLineChars="200"/>
        <w:textAlignment w:val="auto"/>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电    话：</w:t>
      </w:r>
      <w:r>
        <w:rPr>
          <w:rFonts w:hint="eastAsia" w:ascii="宋体" w:hAnsi="宋体" w:eastAsia="宋体" w:cs="宋体"/>
          <w:snapToGrid w:val="0"/>
          <w:color w:val="auto"/>
          <w:w w:val="200"/>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rPr>
        <w:t xml:space="preserve">                                  </w:t>
      </w:r>
    </w:p>
    <w:p w14:paraId="5AD15E26">
      <w:pPr>
        <w:pageBreakBefore w:val="0"/>
        <w:widowControl w:val="0"/>
        <w:wordWrap/>
        <w:overflowPunct/>
        <w:topLinePunct w:val="0"/>
        <w:bidi w:val="0"/>
        <w:adjustRightInd w:val="0"/>
        <w:snapToGrid w:val="0"/>
        <w:spacing w:line="420" w:lineRule="exact"/>
        <w:ind w:firstLine="480" w:firstLineChars="200"/>
        <w:textAlignment w:val="auto"/>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开户银行：</w:t>
      </w:r>
      <w:r>
        <w:rPr>
          <w:rFonts w:hint="eastAsia" w:ascii="宋体" w:hAnsi="宋体" w:eastAsia="宋体" w:cs="宋体"/>
          <w:snapToGrid w:val="0"/>
          <w:color w:val="auto"/>
          <w:w w:val="200"/>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rPr>
        <w:t xml:space="preserve">                                  </w:t>
      </w:r>
    </w:p>
    <w:p w14:paraId="6641D0F9">
      <w:pPr>
        <w:pageBreakBefore w:val="0"/>
        <w:widowControl w:val="0"/>
        <w:wordWrap/>
        <w:overflowPunct/>
        <w:topLinePunct w:val="0"/>
        <w:bidi w:val="0"/>
        <w:adjustRightInd w:val="0"/>
        <w:snapToGrid w:val="0"/>
        <w:spacing w:line="42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账    号：</w:t>
      </w:r>
      <w:r>
        <w:rPr>
          <w:rFonts w:hint="eastAsia" w:ascii="宋体" w:hAnsi="宋体" w:eastAsia="宋体" w:cs="宋体"/>
          <w:snapToGrid w:val="0"/>
          <w:color w:val="auto"/>
          <w:w w:val="200"/>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rPr>
        <w:t xml:space="preserve">                                  </w:t>
      </w:r>
    </w:p>
    <w:p w14:paraId="6DDC1475">
      <w:pPr>
        <w:pageBreakBefore w:val="0"/>
        <w:widowControl w:val="0"/>
        <w:wordWrap/>
        <w:overflowPunct/>
        <w:topLinePunct w:val="0"/>
        <w:bidi w:val="0"/>
        <w:adjustRightInd w:val="0"/>
        <w:snapToGrid w:val="0"/>
        <w:spacing w:line="42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签约时间：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日</w:t>
      </w:r>
      <w:bookmarkEnd w:id="250"/>
    </w:p>
    <w:p w14:paraId="5A2C7137">
      <w:pPr>
        <w:spacing w:line="360" w:lineRule="auto"/>
        <w:rPr>
          <w:rFonts w:hint="eastAsia" w:ascii="宋体" w:hAnsi="宋体" w:eastAsia="宋体" w:cs="宋体"/>
          <w:b/>
          <w:bCs/>
          <w:color w:val="auto"/>
          <w:sz w:val="32"/>
          <w:szCs w:val="32"/>
          <w:highlight w:val="none"/>
        </w:rPr>
      </w:pPr>
    </w:p>
    <w:p w14:paraId="1D1AF83F">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第二部分 通用合同条款</w:t>
      </w:r>
    </w:p>
    <w:p w14:paraId="7C001B5A">
      <w:pPr>
        <w:kinsoku w:val="0"/>
        <w:autoSpaceDE w:val="0"/>
        <w:autoSpaceDN w:val="0"/>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详见建设工程施工合同示范文本&lt;GF-2017-0201&gt;。</w:t>
      </w:r>
    </w:p>
    <w:p w14:paraId="1753C20A">
      <w:pPr>
        <w:kinsoku w:val="0"/>
        <w:autoSpaceDE w:val="0"/>
        <w:autoSpaceDN w:val="0"/>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br w:type="page"/>
      </w:r>
    </w:p>
    <w:p w14:paraId="1AEFD969">
      <w:pPr>
        <w:pStyle w:val="5"/>
        <w:jc w:val="center"/>
        <w:rPr>
          <w:rFonts w:hint="eastAsia" w:ascii="宋体" w:hAnsi="宋体" w:eastAsia="宋体" w:cs="宋体"/>
          <w:b/>
          <w:bCs/>
          <w:color w:val="auto"/>
          <w:sz w:val="32"/>
          <w:szCs w:val="32"/>
          <w:highlight w:val="none"/>
        </w:rPr>
      </w:pPr>
      <w:bookmarkStart w:id="251" w:name="_Toc529388290"/>
      <w:bookmarkStart w:id="252" w:name="_Toc190689325"/>
      <w:bookmarkStart w:id="253" w:name="_Toc532377320"/>
      <w:bookmarkStart w:id="254" w:name="_Toc532375607"/>
      <w:bookmarkStart w:id="255" w:name="_Toc38446829"/>
      <w:r>
        <w:rPr>
          <w:rFonts w:hint="eastAsia" w:ascii="宋体" w:hAnsi="宋体" w:eastAsia="宋体" w:cs="宋体"/>
          <w:b/>
          <w:bCs/>
          <w:color w:val="auto"/>
          <w:sz w:val="32"/>
          <w:szCs w:val="32"/>
          <w:highlight w:val="none"/>
        </w:rPr>
        <w:t>第三部分 专用合同条款</w:t>
      </w:r>
      <w:bookmarkEnd w:id="251"/>
      <w:bookmarkEnd w:id="252"/>
      <w:bookmarkEnd w:id="253"/>
      <w:bookmarkEnd w:id="254"/>
      <w:bookmarkEnd w:id="255"/>
    </w:p>
    <w:p w14:paraId="3ED4B041">
      <w:pPr>
        <w:pStyle w:val="7"/>
        <w:kinsoku w:val="0"/>
        <w:autoSpaceDE w:val="0"/>
        <w:autoSpaceDN w:val="0"/>
        <w:adjustRightInd w:val="0"/>
        <w:snapToGrid w:val="0"/>
        <w:spacing w:before="0" w:after="0" w:line="360" w:lineRule="auto"/>
        <w:rPr>
          <w:rFonts w:hint="eastAsia" w:ascii="宋体" w:hAnsi="宋体" w:eastAsia="宋体" w:cs="宋体"/>
          <w:color w:val="auto"/>
          <w:sz w:val="24"/>
          <w:szCs w:val="24"/>
          <w:highlight w:val="none"/>
        </w:rPr>
      </w:pPr>
      <w:bookmarkStart w:id="256" w:name="_Toc532377321"/>
      <w:bookmarkStart w:id="257" w:name="_Toc351203633"/>
      <w:bookmarkStart w:id="258" w:name="_Toc532375608"/>
      <w:bookmarkStart w:id="259" w:name="_Hlk528927191"/>
      <w:r>
        <w:rPr>
          <w:rFonts w:hint="eastAsia" w:ascii="宋体" w:hAnsi="宋体" w:eastAsia="宋体" w:cs="宋体"/>
          <w:color w:val="auto"/>
          <w:sz w:val="24"/>
          <w:szCs w:val="24"/>
          <w:highlight w:val="none"/>
        </w:rPr>
        <w:t>1</w:t>
      </w:r>
      <w:bookmarkStart w:id="260" w:name="_Toc296944495"/>
      <w:bookmarkStart w:id="261" w:name="_Toc296891196"/>
      <w:bookmarkStart w:id="262" w:name="_Toc292559361"/>
      <w:bookmarkStart w:id="263" w:name="_Toc297120456"/>
      <w:bookmarkStart w:id="264" w:name="_Toc296890984"/>
      <w:bookmarkStart w:id="265" w:name="_Toc296346657"/>
      <w:bookmarkStart w:id="266" w:name="_Toc296503156"/>
      <w:bookmarkStart w:id="267" w:name="_Toc296347155"/>
      <w:bookmarkStart w:id="268" w:name="_Toc297048342"/>
      <w:bookmarkStart w:id="269" w:name="_Toc292559866"/>
      <w:r>
        <w:rPr>
          <w:rFonts w:hint="eastAsia" w:ascii="宋体" w:hAnsi="宋体" w:eastAsia="宋体" w:cs="宋体"/>
          <w:color w:val="auto"/>
          <w:sz w:val="24"/>
          <w:szCs w:val="24"/>
          <w:highlight w:val="none"/>
        </w:rPr>
        <w:t>. 一般约定</w:t>
      </w:r>
      <w:bookmarkEnd w:id="256"/>
      <w:bookmarkEnd w:id="257"/>
      <w:bookmarkEnd w:id="258"/>
    </w:p>
    <w:bookmarkEnd w:id="260"/>
    <w:bookmarkEnd w:id="261"/>
    <w:bookmarkEnd w:id="262"/>
    <w:bookmarkEnd w:id="263"/>
    <w:bookmarkEnd w:id="264"/>
    <w:bookmarkEnd w:id="265"/>
    <w:bookmarkEnd w:id="266"/>
    <w:bookmarkEnd w:id="267"/>
    <w:bookmarkEnd w:id="268"/>
    <w:bookmarkEnd w:id="269"/>
    <w:p w14:paraId="5337B1D5">
      <w:pPr>
        <w:pStyle w:val="8"/>
        <w:keepNext w:val="0"/>
        <w:keepLines w:val="0"/>
        <w:kinsoku w:val="0"/>
        <w:autoSpaceDE w:val="0"/>
        <w:autoSpaceDN w:val="0"/>
        <w:adjustRightInd w:val="0"/>
        <w:snapToGrid w:val="0"/>
        <w:spacing w:before="0" w:after="0" w:line="360" w:lineRule="auto"/>
        <w:ind w:firstLine="482" w:firstLineChars="200"/>
        <w:rPr>
          <w:rFonts w:hint="eastAsia" w:ascii="宋体" w:hAnsi="宋体" w:eastAsia="宋体" w:cs="宋体"/>
          <w:color w:val="auto"/>
          <w:kern w:val="0"/>
          <w:sz w:val="24"/>
          <w:szCs w:val="24"/>
          <w:highlight w:val="none"/>
        </w:rPr>
      </w:pPr>
      <w:bookmarkStart w:id="270" w:name="_Toc532377322"/>
      <w:r>
        <w:rPr>
          <w:rFonts w:hint="eastAsia" w:ascii="宋体" w:hAnsi="宋体" w:eastAsia="宋体" w:cs="宋体"/>
          <w:color w:val="auto"/>
          <w:sz w:val="24"/>
          <w:szCs w:val="24"/>
          <w:highlight w:val="none"/>
        </w:rPr>
        <w:t>1.1词语定义与解释</w:t>
      </w:r>
      <w:bookmarkEnd w:id="270"/>
    </w:p>
    <w:p w14:paraId="6738AE8B">
      <w:pPr>
        <w:kinsoku w:val="0"/>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 合同</w:t>
      </w:r>
    </w:p>
    <w:p w14:paraId="4200ED54">
      <w:pPr>
        <w:kinsoku w:val="0"/>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1.1.1.6技术标准和要求：</w:t>
      </w:r>
      <w:r>
        <w:rPr>
          <w:rFonts w:hint="eastAsia" w:ascii="宋体" w:hAnsi="宋体" w:eastAsia="宋体" w:cs="宋体"/>
          <w:color w:val="auto"/>
          <w:kern w:val="0"/>
          <w:sz w:val="24"/>
          <w:szCs w:val="24"/>
          <w:highlight w:val="none"/>
          <w:u w:val="single"/>
        </w:rPr>
        <w:t>本目中的技术标准和要求是指技术规范，即合同所约定的技术标准和要求，是合同文件的组成部分。通用合同条款中“技术标准和要求”一词具有相同含义，包括合同双方当事人约定对其所作的修改或补充</w:t>
      </w:r>
      <w:r>
        <w:rPr>
          <w:rFonts w:hint="eastAsia" w:ascii="宋体" w:hAnsi="宋体" w:eastAsia="宋体" w:cs="宋体"/>
          <w:color w:val="auto"/>
          <w:kern w:val="0"/>
          <w:sz w:val="24"/>
          <w:szCs w:val="24"/>
          <w:highlight w:val="none"/>
        </w:rPr>
        <w:t>。</w:t>
      </w:r>
    </w:p>
    <w:p w14:paraId="4E68A4F2">
      <w:pPr>
        <w:kinsoku w:val="0"/>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1.1.1.8 已标价工程量清单：</w:t>
      </w:r>
      <w:r>
        <w:rPr>
          <w:rFonts w:hint="eastAsia" w:ascii="宋体" w:hAnsi="宋体" w:eastAsia="宋体" w:cs="宋体"/>
          <w:color w:val="auto"/>
          <w:kern w:val="0"/>
          <w:sz w:val="24"/>
          <w:szCs w:val="24"/>
          <w:highlight w:val="none"/>
          <w:u w:val="single"/>
        </w:rPr>
        <w:t>指构成合同的由承包人按照发包人规定的格式和要求填写并标明价格、经算术性错误修订及其他错误修订（如有）且承包人已确认的工程量清单</w:t>
      </w:r>
      <w:r>
        <w:rPr>
          <w:rFonts w:hint="eastAsia" w:ascii="宋体" w:hAnsi="宋体" w:eastAsia="宋体" w:cs="宋体"/>
          <w:color w:val="auto"/>
          <w:kern w:val="0"/>
          <w:sz w:val="24"/>
          <w:szCs w:val="24"/>
          <w:highlight w:val="none"/>
        </w:rPr>
        <w:t>。</w:t>
      </w:r>
    </w:p>
    <w:p w14:paraId="63BC503D">
      <w:pPr>
        <w:kinsoku w:val="0"/>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本项补充1.1.1.11～1.1.1.14目：</w:t>
      </w:r>
    </w:p>
    <w:p w14:paraId="0C4A8850">
      <w:pPr>
        <w:kinsoku w:val="0"/>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1.1.1.11 </w:t>
      </w:r>
      <w:r>
        <w:rPr>
          <w:rFonts w:hint="default" w:ascii="宋体" w:hAnsi="宋体" w:cs="宋体"/>
          <w:color w:val="auto"/>
          <w:kern w:val="0"/>
          <w:sz w:val="24"/>
          <w:szCs w:val="24"/>
          <w:highlight w:val="none"/>
        </w:rPr>
        <w:t>比选</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u w:val="single"/>
        </w:rPr>
        <w:t>指本工程的</w:t>
      </w:r>
      <w:r>
        <w:rPr>
          <w:rFonts w:hint="eastAsia" w:ascii="宋体" w:hAnsi="宋体" w:cs="宋体"/>
          <w:color w:val="auto"/>
          <w:kern w:val="0"/>
          <w:sz w:val="24"/>
          <w:szCs w:val="24"/>
          <w:highlight w:val="none"/>
          <w:u w:val="single"/>
          <w:lang w:val="en-US" w:eastAsia="zh-CN"/>
        </w:rPr>
        <w:t>比选</w:t>
      </w:r>
      <w:r>
        <w:rPr>
          <w:rFonts w:hint="eastAsia" w:ascii="宋体" w:hAnsi="宋体" w:eastAsia="宋体" w:cs="宋体"/>
          <w:color w:val="auto"/>
          <w:kern w:val="0"/>
          <w:sz w:val="24"/>
          <w:szCs w:val="24"/>
          <w:highlight w:val="none"/>
          <w:u w:val="single"/>
        </w:rPr>
        <w:t>文件、图纸、其他技术资料及采购人发出的对</w:t>
      </w:r>
      <w:r>
        <w:rPr>
          <w:rFonts w:hint="default" w:ascii="宋体" w:hAnsi="宋体" w:cs="宋体"/>
          <w:color w:val="auto"/>
          <w:kern w:val="0"/>
          <w:sz w:val="24"/>
          <w:szCs w:val="24"/>
          <w:highlight w:val="none"/>
          <w:u w:val="single"/>
        </w:rPr>
        <w:t>比选</w:t>
      </w:r>
      <w:r>
        <w:rPr>
          <w:rFonts w:hint="eastAsia" w:ascii="宋体" w:hAnsi="宋体" w:eastAsia="宋体" w:cs="宋体"/>
          <w:color w:val="auto"/>
          <w:kern w:val="0"/>
          <w:sz w:val="24"/>
          <w:szCs w:val="24"/>
          <w:highlight w:val="none"/>
          <w:u w:val="single"/>
        </w:rPr>
        <w:t>文件所作的澄清、修改、补遗等资料</w:t>
      </w:r>
      <w:r>
        <w:rPr>
          <w:rFonts w:hint="eastAsia" w:ascii="宋体" w:hAnsi="宋体" w:eastAsia="宋体" w:cs="宋体"/>
          <w:color w:val="auto"/>
          <w:kern w:val="0"/>
          <w:sz w:val="24"/>
          <w:szCs w:val="24"/>
          <w:highlight w:val="none"/>
        </w:rPr>
        <w:t>。</w:t>
      </w:r>
    </w:p>
    <w:p w14:paraId="57320F3F">
      <w:pPr>
        <w:kinsoku w:val="0"/>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1.1.1.12 工作：</w:t>
      </w:r>
      <w:r>
        <w:rPr>
          <w:rFonts w:hint="eastAsia" w:ascii="宋体" w:hAnsi="宋体" w:eastAsia="宋体" w:cs="宋体"/>
          <w:color w:val="auto"/>
          <w:kern w:val="0"/>
          <w:sz w:val="24"/>
          <w:szCs w:val="24"/>
          <w:highlight w:val="none"/>
          <w:u w:val="single"/>
        </w:rPr>
        <w:t>指根据合同条款规定，或根据合同合理推及的，为本工程（包括永久工程和临时工程）施工与维护所需要的管理、劳务、材料、施工设备和其他物品的提供</w:t>
      </w:r>
      <w:r>
        <w:rPr>
          <w:rFonts w:hint="eastAsia" w:ascii="宋体" w:hAnsi="宋体" w:eastAsia="宋体" w:cs="宋体"/>
          <w:color w:val="auto"/>
          <w:kern w:val="0"/>
          <w:sz w:val="24"/>
          <w:szCs w:val="24"/>
          <w:highlight w:val="none"/>
        </w:rPr>
        <w:t>。</w:t>
      </w:r>
    </w:p>
    <w:bookmarkEnd w:id="259"/>
    <w:p w14:paraId="4E057E0F">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合同当事人及其他相关方</w:t>
      </w:r>
    </w:p>
    <w:p w14:paraId="7B578EE5">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1.1.2.4 监理（如有）人：</w:t>
      </w:r>
    </w:p>
    <w:p w14:paraId="437D2726">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151FF09">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7B47DBC1">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FE39F1D">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1.1.2.5 设计人：</w:t>
      </w:r>
    </w:p>
    <w:p w14:paraId="5752B3A2">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A00C6A6">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00437EEE">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897D5B6">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 其他</w:t>
      </w:r>
    </w:p>
    <w:p w14:paraId="572B5D58">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bookmarkStart w:id="271" w:name="_Hlk528927262"/>
      <w:r>
        <w:rPr>
          <w:rFonts w:hint="eastAsia" w:ascii="宋体" w:hAnsi="宋体" w:eastAsia="宋体" w:cs="宋体"/>
          <w:color w:val="auto"/>
          <w:sz w:val="24"/>
          <w:szCs w:val="24"/>
          <w:highlight w:val="none"/>
        </w:rPr>
        <w:t>本项补充1.1.6.2～1.1.6.3目：</w:t>
      </w:r>
    </w:p>
    <w:p w14:paraId="041A398D">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1.1.6.2 转包、违法分包及挂靠：指符合《住房和城乡建设部关于印发建筑工程施工发包与承包违法行为认定查处管理办法的通知》（建市规〔2019〕1号）规定认定条件的</w:t>
      </w:r>
      <w:r>
        <w:rPr>
          <w:rFonts w:hint="eastAsia" w:ascii="宋体" w:hAnsi="宋体" w:eastAsia="宋体" w:cs="宋体"/>
          <w:color w:val="auto"/>
          <w:kern w:val="0"/>
          <w:sz w:val="24"/>
          <w:szCs w:val="24"/>
          <w:highlight w:val="none"/>
        </w:rPr>
        <w:t>违法行为</w:t>
      </w:r>
      <w:r>
        <w:rPr>
          <w:rFonts w:hint="eastAsia" w:ascii="宋体" w:hAnsi="宋体" w:eastAsia="宋体" w:cs="宋体"/>
          <w:color w:val="auto"/>
          <w:sz w:val="24"/>
          <w:szCs w:val="24"/>
          <w:highlight w:val="none"/>
        </w:rPr>
        <w:t>。</w:t>
      </w:r>
    </w:p>
    <w:bookmarkEnd w:id="271"/>
    <w:p w14:paraId="6E1060B6">
      <w:pPr>
        <w:pStyle w:val="8"/>
        <w:keepNext w:val="0"/>
        <w:keepLines w:val="0"/>
        <w:kinsoku w:val="0"/>
        <w:autoSpaceDE w:val="0"/>
        <w:autoSpaceDN w:val="0"/>
        <w:adjustRightInd w:val="0"/>
        <w:snapToGrid w:val="0"/>
        <w:spacing w:before="0" w:after="0" w:line="360" w:lineRule="auto"/>
        <w:ind w:firstLine="482" w:firstLineChars="200"/>
        <w:rPr>
          <w:rFonts w:hint="eastAsia" w:ascii="宋体" w:hAnsi="宋体" w:eastAsia="宋体" w:cs="宋体"/>
          <w:color w:val="auto"/>
          <w:sz w:val="24"/>
          <w:szCs w:val="24"/>
          <w:highlight w:val="none"/>
        </w:rPr>
      </w:pPr>
      <w:bookmarkStart w:id="272" w:name="_Toc532377323"/>
      <w:r>
        <w:rPr>
          <w:rFonts w:hint="eastAsia" w:ascii="宋体" w:hAnsi="宋体" w:eastAsia="宋体" w:cs="宋体"/>
          <w:color w:val="auto"/>
          <w:sz w:val="24"/>
          <w:szCs w:val="24"/>
          <w:highlight w:val="none"/>
        </w:rPr>
        <w:t>1.4 标准和规范</w:t>
      </w:r>
      <w:bookmarkEnd w:id="272"/>
    </w:p>
    <w:p w14:paraId="2DD1B366">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适用于工程的标准规范包括：</w:t>
      </w:r>
    </w:p>
    <w:p w14:paraId="1D9EACE7">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（1）施工图所涉及的技术标准、规范、规程、图集等；</w:t>
      </w:r>
    </w:p>
    <w:p w14:paraId="6850B5C4">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（2）国家、行业或重庆市与本工程有关的标准，以及相应的规范、规程等，当这些标准、规范、规程不一致时，以标准、规范、规程要求最高的为准。</w:t>
      </w:r>
    </w:p>
    <w:p w14:paraId="6406ABCE">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CDC7007">
      <w:pPr>
        <w:kinsoku w:val="0"/>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 发包人提供国外标准、规范的名称：</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14:paraId="2EE977F9">
      <w:pPr>
        <w:kinsoku w:val="0"/>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发包人提供国外标准、规范的份数：</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14:paraId="62C713C0">
      <w:pPr>
        <w:kinsoku w:val="0"/>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发包人提供国外标准、规范的名称：</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14:paraId="690F6795">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发包人对工程的技术标准和功能要求的特殊要求：</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rPr>
        <w:t>。</w:t>
      </w:r>
    </w:p>
    <w:p w14:paraId="4F167123">
      <w:pPr>
        <w:pStyle w:val="8"/>
        <w:keepNext w:val="0"/>
        <w:keepLines w:val="0"/>
        <w:kinsoku w:val="0"/>
        <w:autoSpaceDE w:val="0"/>
        <w:autoSpaceDN w:val="0"/>
        <w:adjustRightInd w:val="0"/>
        <w:snapToGrid w:val="0"/>
        <w:spacing w:before="0" w:after="0" w:line="360" w:lineRule="auto"/>
        <w:ind w:firstLine="482" w:firstLineChars="200"/>
        <w:rPr>
          <w:rFonts w:hint="eastAsia" w:ascii="宋体" w:hAnsi="宋体" w:eastAsia="宋体" w:cs="宋体"/>
          <w:color w:val="auto"/>
          <w:sz w:val="24"/>
          <w:szCs w:val="24"/>
          <w:highlight w:val="none"/>
        </w:rPr>
      </w:pPr>
      <w:bookmarkStart w:id="273" w:name="_Toc532377324"/>
      <w:r>
        <w:rPr>
          <w:rFonts w:hint="eastAsia" w:ascii="宋体" w:hAnsi="宋体" w:eastAsia="宋体" w:cs="宋体"/>
          <w:color w:val="auto"/>
          <w:sz w:val="24"/>
          <w:szCs w:val="24"/>
          <w:highlight w:val="none"/>
        </w:rPr>
        <w:t>1.5 合同文件的优先顺序</w:t>
      </w:r>
      <w:bookmarkEnd w:id="273"/>
    </w:p>
    <w:p w14:paraId="0EA6C414">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合同文件组成及优先顺序为：</w:t>
      </w:r>
      <w:r>
        <w:rPr>
          <w:rFonts w:hint="eastAsia" w:ascii="宋体" w:hAnsi="宋体" w:eastAsia="宋体" w:cs="宋体"/>
          <w:color w:val="auto"/>
          <w:sz w:val="24"/>
          <w:szCs w:val="24"/>
          <w:highlight w:val="none"/>
          <w:u w:val="single"/>
        </w:rPr>
        <w:t>按照合同协议书</w:t>
      </w:r>
      <w:r>
        <w:rPr>
          <w:rFonts w:hint="eastAsia" w:ascii="宋体" w:hAnsi="宋体" w:eastAsia="宋体" w:cs="宋体"/>
          <w:bCs/>
          <w:color w:val="auto"/>
          <w:sz w:val="24"/>
          <w:szCs w:val="24"/>
          <w:highlight w:val="none"/>
          <w:u w:val="single"/>
        </w:rPr>
        <w:t>〔</w:t>
      </w:r>
      <w:r>
        <w:rPr>
          <w:rFonts w:hint="eastAsia" w:ascii="宋体" w:hAnsi="宋体" w:eastAsia="宋体" w:cs="宋体"/>
          <w:color w:val="auto"/>
          <w:sz w:val="24"/>
          <w:szCs w:val="24"/>
          <w:highlight w:val="none"/>
          <w:u w:val="single"/>
        </w:rPr>
        <w:t>第六条</w:t>
      </w:r>
      <w:r>
        <w:rPr>
          <w:rFonts w:hint="eastAsia" w:ascii="宋体" w:hAnsi="宋体" w:eastAsia="宋体" w:cs="宋体"/>
          <w:bCs/>
          <w:color w:val="auto"/>
          <w:sz w:val="24"/>
          <w:szCs w:val="24"/>
          <w:highlight w:val="none"/>
          <w:u w:val="single"/>
        </w:rPr>
        <w:t>〕</w:t>
      </w:r>
      <w:r>
        <w:rPr>
          <w:rFonts w:hint="eastAsia" w:ascii="宋体" w:hAnsi="宋体" w:eastAsia="宋体" w:cs="宋体"/>
          <w:color w:val="auto"/>
          <w:sz w:val="24"/>
          <w:szCs w:val="24"/>
          <w:highlight w:val="none"/>
          <w:u w:val="single"/>
        </w:rPr>
        <w:t>约定执行</w:t>
      </w:r>
      <w:r>
        <w:rPr>
          <w:rFonts w:hint="eastAsia" w:ascii="宋体" w:hAnsi="宋体" w:eastAsia="宋体" w:cs="宋体"/>
          <w:color w:val="auto"/>
          <w:sz w:val="24"/>
          <w:szCs w:val="24"/>
          <w:highlight w:val="none"/>
        </w:rPr>
        <w:t>。</w:t>
      </w:r>
    </w:p>
    <w:p w14:paraId="301FC09C">
      <w:pPr>
        <w:pStyle w:val="8"/>
        <w:keepNext w:val="0"/>
        <w:keepLines w:val="0"/>
        <w:kinsoku w:val="0"/>
        <w:autoSpaceDE w:val="0"/>
        <w:autoSpaceDN w:val="0"/>
        <w:adjustRightInd w:val="0"/>
        <w:snapToGrid w:val="0"/>
        <w:spacing w:before="0" w:after="0" w:line="360" w:lineRule="auto"/>
        <w:ind w:firstLine="482" w:firstLineChars="200"/>
        <w:rPr>
          <w:rFonts w:hint="eastAsia" w:ascii="宋体" w:hAnsi="宋体" w:eastAsia="宋体" w:cs="宋体"/>
          <w:color w:val="auto"/>
          <w:sz w:val="24"/>
          <w:szCs w:val="24"/>
          <w:highlight w:val="none"/>
        </w:rPr>
      </w:pPr>
      <w:bookmarkStart w:id="274" w:name="_Toc532377325"/>
      <w:r>
        <w:rPr>
          <w:rFonts w:hint="eastAsia" w:ascii="宋体" w:hAnsi="宋体" w:eastAsia="宋体" w:cs="宋体"/>
          <w:color w:val="auto"/>
          <w:sz w:val="24"/>
          <w:szCs w:val="24"/>
          <w:highlight w:val="none"/>
        </w:rPr>
        <w:t>1.6 图纸和承包人文件</w:t>
      </w:r>
      <w:bookmarkEnd w:id="274"/>
    </w:p>
    <w:p w14:paraId="6AADA346">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图纸的提供和交底</w:t>
      </w:r>
    </w:p>
    <w:p w14:paraId="060FD2C3">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发包人向承包人提供图纸的期限：</w:t>
      </w:r>
      <w:r>
        <w:rPr>
          <w:rFonts w:hint="eastAsia" w:ascii="宋体" w:hAnsi="宋体" w:eastAsia="宋体" w:cs="宋体"/>
          <w:color w:val="auto"/>
          <w:sz w:val="24"/>
          <w:szCs w:val="24"/>
          <w:highlight w:val="none"/>
          <w:u w:val="single"/>
        </w:rPr>
        <w:t>技术交底前</w:t>
      </w:r>
      <w:r>
        <w:rPr>
          <w:rFonts w:hint="eastAsia" w:ascii="宋体" w:hAnsi="宋体" w:eastAsia="宋体" w:cs="宋体"/>
          <w:color w:val="auto"/>
          <w:sz w:val="24"/>
          <w:szCs w:val="24"/>
          <w:highlight w:val="none"/>
        </w:rPr>
        <w:t>；</w:t>
      </w:r>
    </w:p>
    <w:p w14:paraId="227155A8">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发包人向承包人提供图纸的数量：</w:t>
      </w:r>
      <w:r>
        <w:rPr>
          <w:rFonts w:hint="eastAsia" w:ascii="宋体" w:hAnsi="宋体" w:eastAsia="宋体" w:cs="宋体"/>
          <w:color w:val="auto"/>
          <w:sz w:val="24"/>
          <w:szCs w:val="24"/>
          <w:highlight w:val="none"/>
          <w:u w:val="single"/>
        </w:rPr>
        <w:t>贰套</w:t>
      </w:r>
      <w:r>
        <w:rPr>
          <w:rFonts w:hint="eastAsia" w:ascii="宋体" w:hAnsi="宋体" w:eastAsia="宋体" w:cs="宋体"/>
          <w:color w:val="auto"/>
          <w:sz w:val="24"/>
          <w:szCs w:val="24"/>
          <w:highlight w:val="none"/>
        </w:rPr>
        <w:t xml:space="preserve">； </w:t>
      </w:r>
    </w:p>
    <w:p w14:paraId="16EB2BBA">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发包人向承包人提供图纸的内容：</w:t>
      </w:r>
      <w:r>
        <w:rPr>
          <w:rFonts w:hint="eastAsia" w:ascii="宋体" w:hAnsi="宋体" w:eastAsia="宋体" w:cs="宋体"/>
          <w:color w:val="auto"/>
          <w:sz w:val="24"/>
          <w:szCs w:val="24"/>
          <w:highlight w:val="none"/>
          <w:u w:val="single"/>
        </w:rPr>
        <w:t>工程承包范围内工程的施工图设计文件</w:t>
      </w:r>
      <w:r>
        <w:rPr>
          <w:rFonts w:hint="eastAsia" w:ascii="宋体" w:hAnsi="宋体" w:eastAsia="宋体" w:cs="宋体"/>
          <w:color w:val="auto"/>
          <w:sz w:val="24"/>
          <w:szCs w:val="24"/>
          <w:highlight w:val="none"/>
        </w:rPr>
        <w:t>；</w:t>
      </w:r>
    </w:p>
    <w:p w14:paraId="004CD982">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图纸的错误</w:t>
      </w:r>
    </w:p>
    <w:p w14:paraId="2C07B24F">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在收到发包人提供的图纸后，承包人应对收到的图纸进行仔细核查，并在开始施工前，将发现的图纸存在的差错、遗漏或缺陷及时通知监理（如有）人。监理（如有）人接到该通知后，应附相关意见并立即报送发包人，发包人应在收到监理（如有）人报送的通知后作出决定。</w:t>
      </w:r>
    </w:p>
    <w:p w14:paraId="76BE0FF0">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承包人不得利用图纸的差错、遗漏或缺陷，从中获得不正当的利益。</w:t>
      </w:r>
    </w:p>
    <w:p w14:paraId="6DBE414F">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 承包人文件</w:t>
      </w:r>
    </w:p>
    <w:p w14:paraId="75B5212C">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需要由承包人提供的书面文件，包括：</w:t>
      </w:r>
      <w:r>
        <w:rPr>
          <w:rFonts w:hint="eastAsia" w:ascii="宋体" w:hAnsi="宋体" w:eastAsia="宋体" w:cs="宋体"/>
          <w:color w:val="auto"/>
          <w:sz w:val="24"/>
          <w:szCs w:val="24"/>
          <w:highlight w:val="none"/>
          <w:u w:val="single"/>
        </w:rPr>
        <w:t>施工组织设计、施工安全技术措施、月进度报表、次月进度计划、竣工图及竣工资料、结算资料（含电子文档）、进度计划文件、各种专项施工方案（含电子文档）、响应文件（含软件版）等，具体以发包人、监理（如有）人或其他相关管理部门的要求为准</w:t>
      </w:r>
      <w:r>
        <w:rPr>
          <w:rFonts w:hint="eastAsia" w:ascii="宋体" w:hAnsi="宋体" w:eastAsia="宋体" w:cs="宋体"/>
          <w:color w:val="auto"/>
          <w:sz w:val="24"/>
          <w:szCs w:val="24"/>
          <w:highlight w:val="none"/>
        </w:rPr>
        <w:t>。</w:t>
      </w:r>
    </w:p>
    <w:p w14:paraId="6AE2059C">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承包人提供文件的期限、数量：</w:t>
      </w:r>
    </w:p>
    <w:p w14:paraId="1ADF71E1">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施工组织设计(施工方案)和进度计划在技术交底前3天提供；承包人于每月20日前，向发包人提交本周（月）完成进度及报表、下周（月）施工工作计划及进度、主要材料质量检验情况；工程竣工并验收合格后30日历天内，承包人必须向发包人提交全套竣工资料伍套（包含竣工结算资料叁套，另外提供所有竣工、结算资料电子版贰套）</w:t>
      </w:r>
      <w:r>
        <w:rPr>
          <w:rFonts w:hint="eastAsia" w:ascii="宋体" w:hAnsi="宋体" w:eastAsia="宋体" w:cs="宋体"/>
          <w:color w:val="auto"/>
          <w:sz w:val="24"/>
          <w:szCs w:val="24"/>
          <w:highlight w:val="none"/>
        </w:rPr>
        <w:t>。</w:t>
      </w:r>
    </w:p>
    <w:p w14:paraId="03F49AE0">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每月20日前报送月工程进度完成报表</w:t>
      </w:r>
      <w:r>
        <w:rPr>
          <w:rFonts w:hint="eastAsia" w:ascii="宋体" w:hAnsi="宋体" w:eastAsia="宋体" w:cs="宋体"/>
          <w:color w:val="auto"/>
          <w:sz w:val="24"/>
          <w:szCs w:val="24"/>
          <w:highlight w:val="none"/>
        </w:rPr>
        <w:t>。</w:t>
      </w:r>
    </w:p>
    <w:p w14:paraId="29CA7E21">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（3）合同另有约定的，按照其约定。</w:t>
      </w:r>
    </w:p>
    <w:p w14:paraId="288AD4F2">
      <w:pPr>
        <w:pStyle w:val="7"/>
        <w:kinsoku w:val="0"/>
        <w:autoSpaceDE w:val="0"/>
        <w:autoSpaceDN w:val="0"/>
        <w:adjustRightInd w:val="0"/>
        <w:snapToGrid w:val="0"/>
        <w:spacing w:before="0" w:after="0" w:line="360" w:lineRule="auto"/>
        <w:ind w:firstLine="482" w:firstLineChars="200"/>
        <w:rPr>
          <w:rFonts w:hint="eastAsia" w:ascii="宋体" w:hAnsi="宋体" w:eastAsia="宋体" w:cs="宋体"/>
          <w:color w:val="auto"/>
          <w:sz w:val="24"/>
          <w:szCs w:val="24"/>
          <w:highlight w:val="none"/>
        </w:rPr>
      </w:pPr>
      <w:bookmarkStart w:id="275" w:name="_Toc351203634"/>
      <w:bookmarkStart w:id="276" w:name="_Toc532375609"/>
      <w:bookmarkStart w:id="277" w:name="_Toc532377331"/>
      <w:r>
        <w:rPr>
          <w:rFonts w:hint="eastAsia" w:ascii="宋体" w:hAnsi="宋体" w:eastAsia="宋体" w:cs="宋体"/>
          <w:color w:val="auto"/>
          <w:sz w:val="24"/>
          <w:szCs w:val="24"/>
          <w:highlight w:val="none"/>
        </w:rPr>
        <w:t>2</w:t>
      </w:r>
      <w:bookmarkStart w:id="278" w:name="_Toc296503157"/>
      <w:bookmarkStart w:id="279" w:name="_Toc296347156"/>
      <w:bookmarkStart w:id="280" w:name="_Toc292559867"/>
      <w:bookmarkStart w:id="281" w:name="_Toc296346658"/>
      <w:bookmarkStart w:id="282" w:name="_Toc292559362"/>
      <w:bookmarkStart w:id="283" w:name="_Toc296944496"/>
      <w:bookmarkStart w:id="284" w:name="_Toc297048343"/>
      <w:bookmarkStart w:id="285" w:name="_Toc296891197"/>
      <w:bookmarkStart w:id="286" w:name="_Toc297120457"/>
      <w:bookmarkStart w:id="287" w:name="_Toc296890985"/>
      <w:r>
        <w:rPr>
          <w:rFonts w:hint="eastAsia" w:ascii="宋体" w:hAnsi="宋体" w:eastAsia="宋体" w:cs="宋体"/>
          <w:color w:val="auto"/>
          <w:sz w:val="24"/>
          <w:szCs w:val="24"/>
          <w:highlight w:val="none"/>
        </w:rPr>
        <w:t>. 发包人</w:t>
      </w:r>
      <w:bookmarkEnd w:id="275"/>
      <w:bookmarkEnd w:id="276"/>
      <w:bookmarkEnd w:id="277"/>
    </w:p>
    <w:bookmarkEnd w:id="278"/>
    <w:bookmarkEnd w:id="279"/>
    <w:bookmarkEnd w:id="280"/>
    <w:bookmarkEnd w:id="281"/>
    <w:bookmarkEnd w:id="282"/>
    <w:bookmarkEnd w:id="283"/>
    <w:bookmarkEnd w:id="284"/>
    <w:bookmarkEnd w:id="285"/>
    <w:bookmarkEnd w:id="286"/>
    <w:bookmarkEnd w:id="287"/>
    <w:p w14:paraId="0BDBC4D6">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发包人代表</w:t>
      </w:r>
    </w:p>
    <w:p w14:paraId="26F41FEB">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发包人代表：</w:t>
      </w:r>
    </w:p>
    <w:p w14:paraId="49683302">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6EBA271F">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82CB34A">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8FA34F2">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CF1A159">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编：</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6E959E61">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发包人对发包人代表的授权范围如下：</w:t>
      </w:r>
      <w:r>
        <w:rPr>
          <w:rFonts w:hint="eastAsia" w:ascii="宋体" w:hAnsi="宋体" w:eastAsia="宋体" w:cs="宋体"/>
          <w:color w:val="auto"/>
          <w:sz w:val="24"/>
          <w:szCs w:val="24"/>
          <w:highlight w:val="none"/>
          <w:u w:val="single"/>
        </w:rPr>
        <w:t>代表发包人对项目建设进行协调、管控、审查，确保安全、质量、环保、进度、成本可控，及时处理项目相关问题，向承包人、监理（如有）人等下达各类指令。由发包人授权的，以授权书载明的授权范围为准</w:t>
      </w:r>
      <w:r>
        <w:rPr>
          <w:rFonts w:hint="eastAsia" w:ascii="宋体" w:hAnsi="宋体" w:eastAsia="宋体" w:cs="宋体"/>
          <w:color w:val="auto"/>
          <w:sz w:val="24"/>
          <w:szCs w:val="24"/>
          <w:highlight w:val="none"/>
        </w:rPr>
        <w:t>。</w:t>
      </w:r>
    </w:p>
    <w:p w14:paraId="6E264421">
      <w:pPr>
        <w:pStyle w:val="8"/>
        <w:keepNext w:val="0"/>
        <w:keepLines w:val="0"/>
        <w:kinsoku w:val="0"/>
        <w:autoSpaceDE w:val="0"/>
        <w:autoSpaceDN w:val="0"/>
        <w:adjustRightInd w:val="0"/>
        <w:snapToGrid w:val="0"/>
        <w:spacing w:before="0" w:after="0" w:line="360" w:lineRule="auto"/>
        <w:ind w:firstLine="482" w:firstLineChars="200"/>
        <w:rPr>
          <w:rFonts w:hint="eastAsia" w:ascii="宋体" w:hAnsi="宋体" w:eastAsia="宋体" w:cs="宋体"/>
          <w:color w:val="auto"/>
          <w:sz w:val="24"/>
          <w:szCs w:val="24"/>
          <w:highlight w:val="none"/>
        </w:rPr>
      </w:pPr>
      <w:bookmarkStart w:id="288" w:name="_Toc532377332"/>
      <w:r>
        <w:rPr>
          <w:rFonts w:hint="eastAsia" w:ascii="宋体" w:hAnsi="宋体" w:eastAsia="宋体" w:cs="宋体"/>
          <w:color w:val="auto"/>
          <w:sz w:val="24"/>
          <w:szCs w:val="24"/>
          <w:highlight w:val="none"/>
        </w:rPr>
        <w:t>2.4 施工现场、施工条件和基础资料的提供</w:t>
      </w:r>
      <w:bookmarkEnd w:id="288"/>
    </w:p>
    <w:p w14:paraId="2689982B">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提供施工现场</w:t>
      </w:r>
    </w:p>
    <w:p w14:paraId="5A4FCDD2">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2.4.1.1 提供场地：</w:t>
      </w:r>
    </w:p>
    <w:p w14:paraId="4E60BFD6">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施工场地的提供采用以下第</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种方式：</w:t>
      </w:r>
    </w:p>
    <w:p w14:paraId="4F01ADED">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（1）一次提供全部施工场地：发包人于</w:t>
      </w:r>
      <w:r>
        <w:rPr>
          <w:rFonts w:hint="eastAsia" w:ascii="宋体" w:hAnsi="宋体" w:eastAsia="宋体" w:cs="宋体"/>
          <w:color w:val="auto"/>
          <w:sz w:val="24"/>
          <w:szCs w:val="24"/>
          <w:highlight w:val="none"/>
          <w:u w:val="single"/>
        </w:rPr>
        <w:t>开工</w:t>
      </w:r>
      <w:r>
        <w:rPr>
          <w:rFonts w:hint="eastAsia" w:ascii="宋体" w:hAnsi="宋体" w:eastAsia="宋体" w:cs="宋体"/>
          <w:color w:val="auto"/>
          <w:sz w:val="24"/>
          <w:szCs w:val="24"/>
          <w:highlight w:val="none"/>
        </w:rPr>
        <w:t>前向承包人提供合同工程所需的施工场地。</w:t>
      </w:r>
    </w:p>
    <w:p w14:paraId="27429939">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（2）分次提供全部施工场地：</w:t>
      </w:r>
      <w:r>
        <w:rPr>
          <w:rFonts w:hint="eastAsia" w:ascii="宋体" w:hAnsi="宋体" w:eastAsia="宋体" w:cs="宋体"/>
          <w:color w:val="auto"/>
          <w:sz w:val="24"/>
          <w:szCs w:val="24"/>
          <w:highlight w:val="none"/>
          <w:u w:val="single"/>
        </w:rPr>
        <w:t>发包人按约定的时间分次向承包人提供合同工程所需的施工场地</w:t>
      </w:r>
      <w:r>
        <w:rPr>
          <w:rFonts w:hint="eastAsia" w:ascii="宋体" w:hAnsi="宋体" w:eastAsia="宋体" w:cs="宋体"/>
          <w:color w:val="auto"/>
          <w:sz w:val="24"/>
          <w:szCs w:val="24"/>
          <w:highlight w:val="none"/>
        </w:rPr>
        <w:t>。</w:t>
      </w:r>
    </w:p>
    <w:p w14:paraId="20D6A66A">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提供施工条件</w:t>
      </w:r>
    </w:p>
    <w:p w14:paraId="65AEFBBC">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关于发包人应负责提供施工所需要的条件：</w:t>
      </w:r>
      <w:r>
        <w:rPr>
          <w:rFonts w:hint="eastAsia" w:ascii="宋体" w:hAnsi="宋体" w:eastAsia="宋体" w:cs="宋体"/>
          <w:bCs/>
          <w:color w:val="auto"/>
          <w:sz w:val="24"/>
          <w:szCs w:val="24"/>
          <w:highlight w:val="none"/>
          <w:u w:val="single"/>
        </w:rPr>
        <w:t>承包人自行解决，费用已包含在</w:t>
      </w:r>
      <w:r>
        <w:rPr>
          <w:rFonts w:hint="eastAsia" w:ascii="宋体" w:hAnsi="宋体" w:eastAsia="宋体" w:cs="宋体"/>
          <w:bCs/>
          <w:color w:val="auto"/>
          <w:sz w:val="24"/>
          <w:szCs w:val="24"/>
          <w:highlight w:val="none"/>
          <w:u w:val="single"/>
          <w:lang w:eastAsia="zh-CN"/>
        </w:rPr>
        <w:t>响应报价</w:t>
      </w:r>
      <w:r>
        <w:rPr>
          <w:rFonts w:hint="eastAsia" w:ascii="宋体" w:hAnsi="宋体" w:eastAsia="宋体" w:cs="宋体"/>
          <w:bCs/>
          <w:color w:val="auto"/>
          <w:sz w:val="24"/>
          <w:szCs w:val="24"/>
          <w:highlight w:val="none"/>
          <w:u w:val="single"/>
        </w:rPr>
        <w:t>中</w:t>
      </w:r>
      <w:r>
        <w:rPr>
          <w:rFonts w:hint="eastAsia" w:ascii="宋体" w:hAnsi="宋体" w:eastAsia="宋体" w:cs="宋体"/>
          <w:color w:val="auto"/>
          <w:sz w:val="24"/>
          <w:szCs w:val="24"/>
          <w:highlight w:val="none"/>
        </w:rPr>
        <w:t>。</w:t>
      </w:r>
    </w:p>
    <w:p w14:paraId="653EF63C">
      <w:pPr>
        <w:pStyle w:val="7"/>
        <w:kinsoku w:val="0"/>
        <w:autoSpaceDE w:val="0"/>
        <w:autoSpaceDN w:val="0"/>
        <w:adjustRightInd w:val="0"/>
        <w:snapToGrid w:val="0"/>
        <w:spacing w:before="0" w:after="0" w:line="360" w:lineRule="auto"/>
        <w:rPr>
          <w:rFonts w:hint="eastAsia" w:ascii="宋体" w:hAnsi="宋体" w:eastAsia="宋体" w:cs="宋体"/>
          <w:color w:val="auto"/>
          <w:sz w:val="24"/>
          <w:szCs w:val="24"/>
          <w:highlight w:val="none"/>
        </w:rPr>
      </w:pPr>
      <w:bookmarkStart w:id="289" w:name="_Toc532375610"/>
      <w:bookmarkStart w:id="290" w:name="_Toc532377334"/>
      <w:bookmarkStart w:id="291" w:name="_Toc351203635"/>
      <w:r>
        <w:rPr>
          <w:rFonts w:hint="eastAsia" w:ascii="宋体" w:hAnsi="宋体" w:eastAsia="宋体" w:cs="宋体"/>
          <w:color w:val="auto"/>
          <w:sz w:val="24"/>
          <w:szCs w:val="24"/>
          <w:highlight w:val="none"/>
        </w:rPr>
        <w:t>3</w:t>
      </w:r>
      <w:bookmarkStart w:id="292" w:name="_Toc292559868"/>
      <w:bookmarkStart w:id="293" w:name="_Toc296346659"/>
      <w:bookmarkStart w:id="294" w:name="_Toc296503158"/>
      <w:bookmarkStart w:id="295" w:name="_Toc296891198"/>
      <w:bookmarkStart w:id="296" w:name="_Toc296347157"/>
      <w:bookmarkStart w:id="297" w:name="_Toc297048344"/>
      <w:bookmarkStart w:id="298" w:name="_Toc292559363"/>
      <w:bookmarkStart w:id="299" w:name="_Toc297120458"/>
      <w:bookmarkStart w:id="300" w:name="_Toc296944497"/>
      <w:bookmarkStart w:id="301" w:name="_Toc296890986"/>
      <w:r>
        <w:rPr>
          <w:rFonts w:hint="eastAsia" w:ascii="宋体" w:hAnsi="宋体" w:eastAsia="宋体" w:cs="宋体"/>
          <w:color w:val="auto"/>
          <w:sz w:val="24"/>
          <w:szCs w:val="24"/>
          <w:highlight w:val="none"/>
        </w:rPr>
        <w:t>. 承包人</w:t>
      </w:r>
      <w:bookmarkEnd w:id="289"/>
      <w:bookmarkEnd w:id="290"/>
      <w:bookmarkEnd w:id="291"/>
    </w:p>
    <w:bookmarkEnd w:id="292"/>
    <w:bookmarkEnd w:id="293"/>
    <w:bookmarkEnd w:id="294"/>
    <w:bookmarkEnd w:id="295"/>
    <w:bookmarkEnd w:id="296"/>
    <w:bookmarkEnd w:id="297"/>
    <w:bookmarkEnd w:id="298"/>
    <w:bookmarkEnd w:id="299"/>
    <w:bookmarkEnd w:id="300"/>
    <w:bookmarkEnd w:id="301"/>
    <w:p w14:paraId="55D4FAD1">
      <w:pPr>
        <w:pStyle w:val="8"/>
        <w:keepNext w:val="0"/>
        <w:keepLines w:val="0"/>
        <w:kinsoku w:val="0"/>
        <w:autoSpaceDE w:val="0"/>
        <w:autoSpaceDN w:val="0"/>
        <w:adjustRightInd w:val="0"/>
        <w:snapToGrid w:val="0"/>
        <w:spacing w:before="0" w:after="0" w:line="360" w:lineRule="auto"/>
        <w:ind w:firstLine="482" w:firstLineChars="200"/>
        <w:rPr>
          <w:rFonts w:hint="eastAsia" w:ascii="宋体" w:hAnsi="宋体" w:eastAsia="宋体" w:cs="宋体"/>
          <w:color w:val="auto"/>
          <w:sz w:val="24"/>
          <w:szCs w:val="24"/>
          <w:highlight w:val="none"/>
        </w:rPr>
      </w:pPr>
      <w:bookmarkStart w:id="302" w:name="_Toc532377336"/>
      <w:r>
        <w:rPr>
          <w:rFonts w:hint="eastAsia" w:ascii="宋体" w:hAnsi="宋体" w:eastAsia="宋体" w:cs="宋体"/>
          <w:color w:val="auto"/>
          <w:sz w:val="24"/>
          <w:szCs w:val="24"/>
          <w:highlight w:val="none"/>
        </w:rPr>
        <w:t>3.2 项目经理</w:t>
      </w:r>
      <w:bookmarkEnd w:id="302"/>
    </w:p>
    <w:p w14:paraId="19D17A16">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3.2.1 </w:t>
      </w:r>
      <w:r>
        <w:rPr>
          <w:rFonts w:hint="eastAsia" w:ascii="宋体" w:hAnsi="宋体" w:eastAsia="宋体" w:cs="宋体"/>
          <w:color w:val="auto"/>
          <w:sz w:val="24"/>
          <w:szCs w:val="24"/>
          <w:highlight w:val="none"/>
        </w:rPr>
        <w:t>项目经理：</w:t>
      </w:r>
    </w:p>
    <w:p w14:paraId="5963557D">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0B8C80F5">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274A66E7">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建造师执业资格等级：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7FD714C">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建造师注册证书号：</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5CA9E3A5">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建造师执业印章号：</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753D1BD3">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安全生产考核合格证书号：</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19EB0AC8">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00A5DAD9">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承包人对项目经理的授权范围如下：</w:t>
      </w:r>
      <w:r>
        <w:rPr>
          <w:rFonts w:hint="eastAsia" w:ascii="宋体" w:hAnsi="宋体" w:eastAsia="宋体" w:cs="宋体"/>
          <w:color w:val="auto"/>
          <w:sz w:val="24"/>
          <w:szCs w:val="24"/>
          <w:highlight w:val="none"/>
          <w:u w:val="single"/>
        </w:rPr>
        <w:t>严格按设计图纸、现行国家施工规范及验收规范组织施工，保证工程质量、进度、安全；及时向监理（如有）人、发包人报告现场情况（以承包人书面授权范围为准）</w:t>
      </w:r>
      <w:r>
        <w:rPr>
          <w:rFonts w:hint="eastAsia" w:ascii="宋体" w:hAnsi="宋体" w:eastAsia="宋体" w:cs="宋体"/>
          <w:color w:val="auto"/>
          <w:sz w:val="24"/>
          <w:szCs w:val="24"/>
          <w:highlight w:val="none"/>
        </w:rPr>
        <w:t>。</w:t>
      </w:r>
    </w:p>
    <w:p w14:paraId="0C09AE3C">
      <w:pPr>
        <w:pStyle w:val="8"/>
        <w:keepNext w:val="0"/>
        <w:keepLines w:val="0"/>
        <w:kinsoku w:val="0"/>
        <w:autoSpaceDE w:val="0"/>
        <w:autoSpaceDN w:val="0"/>
        <w:adjustRightInd w:val="0"/>
        <w:snapToGrid w:val="0"/>
        <w:spacing w:before="0" w:after="0" w:line="360" w:lineRule="auto"/>
        <w:ind w:firstLine="482" w:firstLineChars="200"/>
        <w:rPr>
          <w:rFonts w:hint="eastAsia" w:ascii="宋体" w:hAnsi="宋体" w:eastAsia="宋体" w:cs="宋体"/>
          <w:color w:val="auto"/>
          <w:sz w:val="24"/>
          <w:szCs w:val="24"/>
          <w:highlight w:val="none"/>
        </w:rPr>
      </w:pPr>
      <w:bookmarkStart w:id="303" w:name="_Toc532377337"/>
      <w:r>
        <w:rPr>
          <w:rFonts w:hint="eastAsia" w:ascii="宋体" w:hAnsi="宋体" w:eastAsia="宋体" w:cs="宋体"/>
          <w:color w:val="auto"/>
          <w:sz w:val="24"/>
          <w:szCs w:val="24"/>
          <w:highlight w:val="none"/>
        </w:rPr>
        <w:t>3.3 承包人人员</w:t>
      </w:r>
      <w:bookmarkEnd w:id="303"/>
    </w:p>
    <w:p w14:paraId="0BF98C59">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承包人应按建设行政主管部门现行规定配备现场施工从业人员，具体要求如下：</w:t>
      </w:r>
      <w:r>
        <w:rPr>
          <w:rFonts w:hint="eastAsia" w:ascii="宋体" w:hAnsi="宋体" w:eastAsia="宋体" w:cs="宋体"/>
          <w:color w:val="auto"/>
          <w:sz w:val="24"/>
          <w:szCs w:val="24"/>
          <w:highlight w:val="none"/>
          <w:u w:val="single"/>
        </w:rPr>
        <w:t xml:space="preserve">      </w:t>
      </w:r>
    </w:p>
    <w:p w14:paraId="6B1E84D1">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3.3.4 承包人主要施工管理人员离开施工现场，指定的临时人员需满足：</w:t>
      </w:r>
      <w:r>
        <w:rPr>
          <w:rFonts w:hint="eastAsia" w:ascii="宋体" w:hAnsi="宋体" w:eastAsia="宋体" w:cs="宋体"/>
          <w:color w:val="auto"/>
          <w:sz w:val="24"/>
          <w:szCs w:val="24"/>
          <w:highlight w:val="none"/>
          <w:u w:val="single"/>
        </w:rPr>
        <w:t>《重庆市房屋建筑与市政基础设施工程现场施工从业人员配备标准》（DBJ50-157-2013）的相应要求</w:t>
      </w:r>
      <w:r>
        <w:rPr>
          <w:rFonts w:hint="eastAsia" w:ascii="宋体" w:hAnsi="宋体" w:eastAsia="宋体" w:cs="宋体"/>
          <w:color w:val="auto"/>
          <w:sz w:val="24"/>
          <w:szCs w:val="24"/>
          <w:highlight w:val="none"/>
        </w:rPr>
        <w:t>。</w:t>
      </w:r>
    </w:p>
    <w:p w14:paraId="5D7BB7D0">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bookmarkStart w:id="304" w:name="_Toc532377338"/>
      <w:r>
        <w:rPr>
          <w:rFonts w:hint="eastAsia" w:ascii="宋体" w:hAnsi="宋体" w:eastAsia="宋体" w:cs="宋体"/>
          <w:color w:val="auto"/>
          <w:sz w:val="24"/>
          <w:szCs w:val="24"/>
          <w:highlight w:val="none"/>
        </w:rPr>
        <w:t>3</w:t>
      </w:r>
      <w:bookmarkStart w:id="305" w:name="_Toc297048345"/>
      <w:bookmarkStart w:id="306" w:name="_Toc300934945"/>
      <w:bookmarkStart w:id="307" w:name="_Toc297123492"/>
      <w:bookmarkStart w:id="308" w:name="_Toc304295523"/>
      <w:bookmarkStart w:id="309" w:name="_Toc297216151"/>
      <w:bookmarkStart w:id="310" w:name="_Toc296346660"/>
      <w:bookmarkStart w:id="311" w:name="_Toc296890987"/>
      <w:bookmarkStart w:id="312" w:name="_Toc296891199"/>
      <w:bookmarkStart w:id="313" w:name="_Toc296944498"/>
      <w:bookmarkStart w:id="314" w:name="_Toc303539102"/>
      <w:bookmarkStart w:id="315" w:name="_Toc292559869"/>
      <w:bookmarkStart w:id="316" w:name="_Toc292559364"/>
      <w:bookmarkStart w:id="317" w:name="_Toc297120459"/>
      <w:bookmarkStart w:id="318" w:name="_Toc296503159"/>
      <w:bookmarkStart w:id="319" w:name="_Toc296347158"/>
      <w:bookmarkStart w:id="320" w:name="_Toc312677988"/>
      <w:r>
        <w:rPr>
          <w:rFonts w:hint="eastAsia" w:ascii="宋体" w:hAnsi="宋体" w:eastAsia="宋体" w:cs="宋体"/>
          <w:color w:val="auto"/>
          <w:sz w:val="24"/>
          <w:szCs w:val="24"/>
          <w:highlight w:val="none"/>
        </w:rPr>
        <w:t>.5 分包</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Pr>
          <w:rFonts w:hint="eastAsia" w:ascii="宋体" w:hAnsi="宋体" w:eastAsia="宋体" w:cs="宋体"/>
          <w:color w:val="auto"/>
          <w:sz w:val="24"/>
          <w:szCs w:val="24"/>
          <w:highlight w:val="none"/>
        </w:rPr>
        <w:t>：不允许。</w:t>
      </w:r>
    </w:p>
    <w:p w14:paraId="5B012D3F">
      <w:pPr>
        <w:pStyle w:val="8"/>
        <w:keepNext w:val="0"/>
        <w:keepLines w:val="0"/>
        <w:kinsoku w:val="0"/>
        <w:autoSpaceDE w:val="0"/>
        <w:autoSpaceDN w:val="0"/>
        <w:adjustRightInd w:val="0"/>
        <w:snapToGrid w:val="0"/>
        <w:spacing w:before="0" w:after="0" w:line="360" w:lineRule="auto"/>
        <w:ind w:firstLine="482" w:firstLineChars="200"/>
        <w:rPr>
          <w:rFonts w:hint="eastAsia" w:ascii="宋体" w:hAnsi="宋体" w:eastAsia="宋体" w:cs="宋体"/>
          <w:color w:val="auto"/>
          <w:sz w:val="24"/>
          <w:szCs w:val="24"/>
          <w:highlight w:val="none"/>
        </w:rPr>
      </w:pPr>
      <w:bookmarkStart w:id="321" w:name="_Toc532377339"/>
      <w:r>
        <w:rPr>
          <w:rFonts w:hint="eastAsia" w:ascii="宋体" w:hAnsi="宋体" w:eastAsia="宋体" w:cs="宋体"/>
          <w:color w:val="auto"/>
          <w:sz w:val="24"/>
          <w:szCs w:val="24"/>
          <w:highlight w:val="none"/>
        </w:rPr>
        <w:t>3.7 履约担保</w:t>
      </w:r>
      <w:bookmarkEnd w:id="321"/>
    </w:p>
    <w:p w14:paraId="3BF05B26">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3.7.1承包人是否提供履约担保：</w:t>
      </w:r>
      <w:r>
        <w:rPr>
          <w:rFonts w:hint="eastAsia" w:ascii="宋体" w:hAnsi="宋体" w:eastAsia="宋体" w:cs="宋体"/>
          <w:color w:val="auto"/>
          <w:sz w:val="24"/>
          <w:szCs w:val="24"/>
          <w:highlight w:val="none"/>
          <w:u w:val="single"/>
        </w:rPr>
        <w:t>提供</w:t>
      </w:r>
      <w:r>
        <w:rPr>
          <w:rFonts w:hint="eastAsia" w:ascii="宋体" w:hAnsi="宋体" w:eastAsia="宋体" w:cs="宋体"/>
          <w:color w:val="auto"/>
          <w:sz w:val="24"/>
          <w:szCs w:val="24"/>
          <w:highlight w:val="none"/>
        </w:rPr>
        <w:t>。</w:t>
      </w:r>
    </w:p>
    <w:p w14:paraId="0B15FE27">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3.7.2承包人提供履约担保的形式、金额及期限：</w:t>
      </w:r>
    </w:p>
    <w:p w14:paraId="7F887CEA">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（1）履约担保的形式：</w:t>
      </w:r>
      <w:r>
        <w:rPr>
          <w:rFonts w:hint="eastAsia" w:ascii="宋体" w:hAnsi="宋体" w:eastAsia="宋体" w:cs="宋体"/>
          <w:color w:val="auto"/>
          <w:sz w:val="24"/>
          <w:szCs w:val="24"/>
          <w:highlight w:val="none"/>
          <w:u w:val="single"/>
        </w:rPr>
        <w:t>现金或银行保函或现金+银行保函的组合</w:t>
      </w:r>
      <w:r>
        <w:rPr>
          <w:rFonts w:hint="eastAsia" w:ascii="宋体" w:hAnsi="宋体" w:eastAsia="宋体" w:cs="宋体"/>
          <w:color w:val="auto"/>
          <w:sz w:val="24"/>
          <w:szCs w:val="24"/>
          <w:highlight w:val="none"/>
        </w:rPr>
        <w:t>；</w:t>
      </w:r>
    </w:p>
    <w:p w14:paraId="3BA2A126">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（2）履约担保的金额：</w:t>
      </w:r>
      <w:r>
        <w:rPr>
          <w:rFonts w:hint="eastAsia" w:ascii="宋体" w:hAnsi="宋体" w:eastAsia="宋体" w:cs="宋体"/>
          <w:color w:val="auto"/>
          <w:sz w:val="24"/>
          <w:szCs w:val="24"/>
          <w:highlight w:val="none"/>
          <w:u w:val="single"/>
        </w:rPr>
        <w:t>（签约合同价的5%）即   万元</w:t>
      </w:r>
      <w:r>
        <w:rPr>
          <w:rFonts w:hint="eastAsia" w:ascii="宋体" w:hAnsi="宋体" w:eastAsia="宋体" w:cs="宋体"/>
          <w:color w:val="auto"/>
          <w:sz w:val="24"/>
          <w:szCs w:val="24"/>
          <w:highlight w:val="none"/>
        </w:rPr>
        <w:t>；</w:t>
      </w:r>
    </w:p>
    <w:p w14:paraId="4F939A9A">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（3）履约担保的提交时间：</w:t>
      </w:r>
      <w:r>
        <w:rPr>
          <w:rFonts w:hint="eastAsia" w:ascii="宋体" w:hAnsi="宋体" w:eastAsia="宋体" w:cs="宋体"/>
          <w:color w:val="auto"/>
          <w:sz w:val="24"/>
          <w:szCs w:val="24"/>
          <w:highlight w:val="none"/>
          <w:u w:val="single"/>
        </w:rPr>
        <w:t>在合同签订后7天内，承包人按担保金额向发包人提交履约担保</w:t>
      </w:r>
      <w:r>
        <w:rPr>
          <w:rFonts w:hint="eastAsia" w:ascii="宋体" w:hAnsi="宋体" w:eastAsia="宋体" w:cs="宋体"/>
          <w:color w:val="auto"/>
          <w:sz w:val="24"/>
          <w:szCs w:val="24"/>
          <w:highlight w:val="none"/>
        </w:rPr>
        <w:t>。</w:t>
      </w:r>
    </w:p>
    <w:p w14:paraId="1ED153C0">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（4）履约担保的期限：</w:t>
      </w:r>
      <w:r>
        <w:rPr>
          <w:rFonts w:hint="eastAsia" w:ascii="宋体" w:hAnsi="宋体" w:eastAsia="宋体" w:cs="宋体"/>
          <w:color w:val="auto"/>
          <w:sz w:val="24"/>
          <w:szCs w:val="24"/>
          <w:highlight w:val="none"/>
          <w:u w:val="single"/>
        </w:rPr>
        <w:t>自提交履约担保之日起至竣工验收合格之日止</w:t>
      </w:r>
      <w:r>
        <w:rPr>
          <w:rFonts w:hint="eastAsia" w:ascii="宋体" w:hAnsi="宋体" w:eastAsia="宋体" w:cs="宋体"/>
          <w:color w:val="auto"/>
          <w:sz w:val="24"/>
          <w:szCs w:val="24"/>
          <w:highlight w:val="none"/>
        </w:rPr>
        <w:t>。</w:t>
      </w:r>
    </w:p>
    <w:p w14:paraId="5DBC6B95">
      <w:pPr>
        <w:tabs>
          <w:tab w:val="left" w:pos="210"/>
          <w:tab w:val="left" w:pos="1134"/>
        </w:tabs>
        <w:kinsoku w:val="0"/>
        <w:autoSpaceDE w:val="0"/>
        <w:autoSpaceDN w:val="0"/>
        <w:adjustRightInd w:val="0"/>
        <w:snapToGrid w:val="0"/>
        <w:spacing w:line="360" w:lineRule="auto"/>
        <w:ind w:firstLine="468" w:firstLineChars="195"/>
        <w:rPr>
          <w:rFonts w:hint="default"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（5）履约担保的退还时间：</w:t>
      </w:r>
      <w:r>
        <w:rPr>
          <w:rFonts w:hint="eastAsia" w:ascii="宋体" w:hAnsi="宋体" w:eastAsia="宋体" w:cs="宋体"/>
          <w:color w:val="auto"/>
          <w:sz w:val="24"/>
          <w:szCs w:val="24"/>
          <w:highlight w:val="none"/>
          <w:u w:val="single"/>
        </w:rPr>
        <w:t xml:space="preserve">采用现金担保的，工程竣工验收合格后14天内无息退还；采用银行保函的，工程竣工验收合格后14天内退还，或按工程实际情况约定分阶段退还，阶段划分按以下标准执行： </w:t>
      </w:r>
      <w:bookmarkStart w:id="322" w:name="_Toc267251418"/>
      <w:bookmarkStart w:id="323" w:name="_Toc532377344"/>
      <w:bookmarkStart w:id="324" w:name="_Toc532375612"/>
      <w:bookmarkStart w:id="325" w:name="_Toc351203637"/>
      <w:r>
        <w:rPr>
          <w:rFonts w:hint="default" w:ascii="宋体" w:hAnsi="宋体" w:cs="宋体"/>
          <w:color w:val="auto"/>
          <w:sz w:val="24"/>
          <w:szCs w:val="24"/>
          <w:highlight w:val="none"/>
          <w:u w:val="single"/>
        </w:rPr>
        <w:t xml:space="preserve">     。</w:t>
      </w:r>
    </w:p>
    <w:p w14:paraId="3585F512">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bookmarkEnd w:id="322"/>
      <w:bookmarkStart w:id="326" w:name="_Toc292559367"/>
      <w:bookmarkStart w:id="327" w:name="_Toc296503163"/>
      <w:bookmarkStart w:id="328" w:name="_Toc297120463"/>
      <w:bookmarkStart w:id="329" w:name="_Toc296347162"/>
      <w:bookmarkStart w:id="330" w:name="_Toc296891203"/>
      <w:bookmarkStart w:id="331" w:name="_Toc296346664"/>
      <w:bookmarkStart w:id="332" w:name="_Toc296890991"/>
      <w:bookmarkStart w:id="333" w:name="_Toc296944502"/>
      <w:bookmarkStart w:id="334" w:name="_Toc297048349"/>
      <w:bookmarkStart w:id="335" w:name="_Toc292559872"/>
      <w:r>
        <w:rPr>
          <w:rFonts w:hint="eastAsia" w:ascii="宋体" w:hAnsi="宋体" w:eastAsia="宋体" w:cs="宋体"/>
          <w:color w:val="auto"/>
          <w:sz w:val="24"/>
          <w:szCs w:val="24"/>
          <w:highlight w:val="none"/>
        </w:rPr>
        <w:t>. 工程质量</w:t>
      </w:r>
      <w:bookmarkEnd w:id="323"/>
      <w:bookmarkEnd w:id="324"/>
      <w:bookmarkEnd w:id="325"/>
      <w:bookmarkStart w:id="336" w:name="_Toc532377345"/>
    </w:p>
    <w:p w14:paraId="409291B5">
      <w:pPr>
        <w:pStyle w:val="8"/>
        <w:keepNext w:val="0"/>
        <w:keepLines w:val="0"/>
        <w:kinsoku w:val="0"/>
        <w:autoSpaceDE w:val="0"/>
        <w:autoSpaceDN w:val="0"/>
        <w:adjustRightInd w:val="0"/>
        <w:snapToGrid w:val="0"/>
        <w:spacing w:before="0" w:after="0"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5.1 质量要求</w:t>
      </w:r>
      <w:bookmarkEnd w:id="336"/>
      <w:bookmarkStart w:id="337" w:name="_Hlk528909888"/>
      <w:bookmarkStart w:id="338" w:name="_Toc297216155"/>
      <w:bookmarkStart w:id="339" w:name="_Toc304295527"/>
      <w:bookmarkStart w:id="340" w:name="_Toc318581164"/>
      <w:bookmarkStart w:id="341" w:name="_Toc312677997"/>
      <w:bookmarkStart w:id="342" w:name="_Toc303539106"/>
      <w:bookmarkStart w:id="343" w:name="_Toc300934949"/>
      <w:bookmarkStart w:id="344" w:name="_Toc297123496"/>
    </w:p>
    <w:bookmarkEnd w:id="337"/>
    <w:p w14:paraId="1DDF34A7">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bookmarkStart w:id="345" w:name="_Toc532377346"/>
      <w:r>
        <w:rPr>
          <w:rFonts w:hint="eastAsia" w:ascii="宋体" w:hAnsi="宋体" w:eastAsia="宋体" w:cs="宋体"/>
          <w:color w:val="auto"/>
          <w:sz w:val="24"/>
          <w:szCs w:val="24"/>
          <w:highlight w:val="none"/>
        </w:rPr>
        <w:t>（一）必须符合国家《建设工程质量管理条例》规定的要求；</w:t>
      </w:r>
    </w:p>
    <w:p w14:paraId="2C1E94A0">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（二）必须符合国家现行施工及验收的规范及强制性标准的要求；</w:t>
      </w:r>
    </w:p>
    <w:p w14:paraId="7EB1A824">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（三）满足设计要求；</w:t>
      </w:r>
    </w:p>
    <w:p w14:paraId="551F8C4A">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（四）工程质量一次性验收合格；</w:t>
      </w:r>
    </w:p>
    <w:p w14:paraId="089BB9CC">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（五）本项目所需一切材料均由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行采购供应，经采购人确认后方可订货，并按采购人要求提供相应的合格证明资料，按规定抽检，进入现场的材料必须经采购人现场代表和监理（如有）签字验收合格后方可使用；施工图和业主均无明确要求的用材，必须达到国家标准合格品的要求,无国家标准的须达到行业标准 (业主认为有必要经法定</w:t>
      </w:r>
      <w:r>
        <w:rPr>
          <w:rFonts w:hint="eastAsia" w:ascii="宋体" w:hAnsi="宋体" w:eastAsia="宋体" w:cs="宋体"/>
          <w:color w:val="auto"/>
          <w:sz w:val="24"/>
          <w:szCs w:val="24"/>
          <w:highlight w:val="none"/>
          <w:lang w:val="en-US" w:eastAsia="zh-CN"/>
        </w:rPr>
        <w:t>质检</w:t>
      </w:r>
      <w:r>
        <w:rPr>
          <w:rFonts w:hint="eastAsia" w:ascii="宋体" w:hAnsi="宋体" w:eastAsia="宋体" w:cs="宋体"/>
          <w:color w:val="auto"/>
          <w:sz w:val="24"/>
          <w:szCs w:val="24"/>
          <w:highlight w:val="none"/>
        </w:rPr>
        <w:t>技术机构检验的，须经检验合格后方可使用)并达到国家现行有关施工质量验收规范要求。</w:t>
      </w:r>
    </w:p>
    <w:p w14:paraId="3A82ABFC">
      <w:pPr>
        <w:pStyle w:val="8"/>
        <w:keepNext w:val="0"/>
        <w:keepLines w:val="0"/>
        <w:kinsoku w:val="0"/>
        <w:autoSpaceDE w:val="0"/>
        <w:autoSpaceDN w:val="0"/>
        <w:adjustRightInd w:val="0"/>
        <w:snapToGrid w:val="0"/>
        <w:spacing w:before="0" w:after="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质量保证措施</w:t>
      </w:r>
      <w:bookmarkEnd w:id="345"/>
    </w:p>
    <w:p w14:paraId="78B54657">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承包人、监理（如有）人和发包人在工程建设中，应严格执行国家及重庆市现行标准，如上述标准及规范要求有出入则以较严格者为准。</w:t>
      </w:r>
    </w:p>
    <w:p w14:paraId="7A7F31DB">
      <w:pPr>
        <w:pStyle w:val="8"/>
        <w:keepNext w:val="0"/>
        <w:keepLines w:val="0"/>
        <w:kinsoku w:val="0"/>
        <w:autoSpaceDE w:val="0"/>
        <w:autoSpaceDN w:val="0"/>
        <w:adjustRightInd w:val="0"/>
        <w:snapToGrid w:val="0"/>
        <w:spacing w:before="0" w:after="0" w:line="360" w:lineRule="auto"/>
        <w:ind w:firstLine="482" w:firstLineChars="200"/>
        <w:rPr>
          <w:rFonts w:hint="eastAsia" w:ascii="宋体" w:hAnsi="宋体" w:eastAsia="宋体" w:cs="宋体"/>
          <w:color w:val="auto"/>
          <w:sz w:val="24"/>
          <w:szCs w:val="24"/>
          <w:highlight w:val="none"/>
        </w:rPr>
      </w:pPr>
      <w:bookmarkStart w:id="346" w:name="_Toc351203536"/>
      <w:bookmarkStart w:id="347" w:name="_Toc532377347"/>
      <w:bookmarkStart w:id="348" w:name="_Hlk528927873"/>
      <w:r>
        <w:rPr>
          <w:rFonts w:hint="eastAsia" w:ascii="宋体" w:hAnsi="宋体" w:eastAsia="宋体" w:cs="宋体"/>
          <w:color w:val="auto"/>
          <w:sz w:val="24"/>
          <w:szCs w:val="24"/>
          <w:highlight w:val="none"/>
        </w:rPr>
        <w:t>5.3隐蔽工程检查</w:t>
      </w:r>
    </w:p>
    <w:p w14:paraId="6E76F597">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5.3.2检查程序工程隐蔽部位经承包人自检确认具备覆盖条件的，承包人应在共同检查前</w:t>
      </w:r>
      <w:r>
        <w:rPr>
          <w:rFonts w:hint="eastAsia" w:ascii="宋体" w:hAnsi="宋体" w:eastAsia="宋体" w:cs="宋体"/>
          <w:color w:val="auto"/>
          <w:sz w:val="24"/>
          <w:szCs w:val="24"/>
          <w:highlight w:val="none"/>
          <w:u w:val="single"/>
        </w:rPr>
        <w:t>24</w:t>
      </w:r>
      <w:r>
        <w:rPr>
          <w:rFonts w:hint="eastAsia" w:ascii="宋体" w:hAnsi="宋体" w:eastAsia="宋体" w:cs="宋体"/>
          <w:color w:val="auto"/>
          <w:sz w:val="24"/>
          <w:szCs w:val="24"/>
          <w:highlight w:val="none"/>
        </w:rPr>
        <w:t>小时书面通知监理（如有）人检查，通知中应载明隐蔽检查的内容、时间和地点，并应附有自检记录和必要的检查资料。</w:t>
      </w:r>
    </w:p>
    <w:p w14:paraId="7E4C4C4E">
      <w:pPr>
        <w:pStyle w:val="8"/>
        <w:keepNext w:val="0"/>
        <w:keepLines w:val="0"/>
        <w:kinsoku w:val="0"/>
        <w:autoSpaceDE w:val="0"/>
        <w:autoSpaceDN w:val="0"/>
        <w:adjustRightInd w:val="0"/>
        <w:snapToGrid w:val="0"/>
        <w:spacing w:before="0" w:after="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bookmarkStart w:id="349" w:name="_Toc337558762"/>
      <w:r>
        <w:rPr>
          <w:rFonts w:hint="eastAsia" w:ascii="宋体" w:hAnsi="宋体" w:eastAsia="宋体" w:cs="宋体"/>
          <w:color w:val="auto"/>
          <w:sz w:val="24"/>
          <w:szCs w:val="24"/>
          <w:highlight w:val="none"/>
        </w:rPr>
        <w:t>.4 不合格工程的处理</w:t>
      </w:r>
      <w:bookmarkEnd w:id="346"/>
      <w:bookmarkEnd w:id="347"/>
    </w:p>
    <w:bookmarkEnd w:id="349"/>
    <w:p w14:paraId="3239B753">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本款补充5.4.3项：</w:t>
      </w:r>
    </w:p>
    <w:p w14:paraId="6EA7C4EB">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5.4.3 承包人在收到监理（如有）人发出的《不合格分项报告》或监理（如有）通知单后，必须在监理（如有）人规定时间内按要求完成整改，未能在限定时间内完成整改的，须承担相应违约责任。</w:t>
      </w:r>
    </w:p>
    <w:p w14:paraId="681212A6">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本条补充5.6款：</w:t>
      </w:r>
    </w:p>
    <w:bookmarkEnd w:id="348"/>
    <w:p w14:paraId="15A32B5C">
      <w:pPr>
        <w:pStyle w:val="8"/>
        <w:keepNext w:val="0"/>
        <w:keepLines w:val="0"/>
        <w:kinsoku w:val="0"/>
        <w:autoSpaceDE w:val="0"/>
        <w:autoSpaceDN w:val="0"/>
        <w:adjustRightInd w:val="0"/>
        <w:snapToGrid w:val="0"/>
        <w:spacing w:before="0" w:after="0" w:line="360" w:lineRule="auto"/>
        <w:ind w:firstLine="482" w:firstLineChars="200"/>
        <w:rPr>
          <w:rFonts w:hint="eastAsia" w:ascii="宋体" w:hAnsi="宋体" w:eastAsia="宋体" w:cs="宋体"/>
          <w:color w:val="auto"/>
          <w:sz w:val="24"/>
          <w:szCs w:val="24"/>
          <w:highlight w:val="none"/>
        </w:rPr>
      </w:pPr>
      <w:bookmarkStart w:id="350" w:name="_Toc532377348"/>
      <w:r>
        <w:rPr>
          <w:rFonts w:hint="eastAsia" w:ascii="宋体" w:hAnsi="宋体" w:eastAsia="宋体" w:cs="宋体"/>
          <w:color w:val="auto"/>
          <w:sz w:val="24"/>
          <w:szCs w:val="24"/>
          <w:highlight w:val="none"/>
        </w:rPr>
        <w:t>5.6 质量事故的处理</w:t>
      </w:r>
      <w:bookmarkEnd w:id="350"/>
    </w:p>
    <w:p w14:paraId="239E02DE">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5.6.1 合同履行过程中，发生工程质量事故的调查处理按照国家及重庆市现行规定处理。</w:t>
      </w:r>
    </w:p>
    <w:p w14:paraId="79855C97">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5.6.2 发包人在对工程质量、安全和环境保护、水土保持等建设全过程管理中发现有技术、质量和其他问题的，可通过监理（如有）人责令承包人返工或整改；对存在的隐患，有权责令承包人予以解决，承包人按照合同中其他条款约定承担违约责任。</w:t>
      </w:r>
    </w:p>
    <w:bookmarkEnd w:id="326"/>
    <w:bookmarkEnd w:id="327"/>
    <w:bookmarkEnd w:id="328"/>
    <w:bookmarkEnd w:id="329"/>
    <w:bookmarkEnd w:id="330"/>
    <w:bookmarkEnd w:id="331"/>
    <w:bookmarkEnd w:id="332"/>
    <w:bookmarkEnd w:id="333"/>
    <w:bookmarkEnd w:id="334"/>
    <w:bookmarkEnd w:id="335"/>
    <w:bookmarkEnd w:id="338"/>
    <w:bookmarkEnd w:id="339"/>
    <w:bookmarkEnd w:id="340"/>
    <w:bookmarkEnd w:id="341"/>
    <w:bookmarkEnd w:id="342"/>
    <w:bookmarkEnd w:id="343"/>
    <w:bookmarkEnd w:id="344"/>
    <w:p w14:paraId="02A0F24A">
      <w:pPr>
        <w:pStyle w:val="7"/>
        <w:kinsoku w:val="0"/>
        <w:autoSpaceDE w:val="0"/>
        <w:autoSpaceDN w:val="0"/>
        <w:adjustRightInd w:val="0"/>
        <w:snapToGrid w:val="0"/>
        <w:spacing w:before="0" w:after="0" w:line="360" w:lineRule="auto"/>
        <w:rPr>
          <w:rFonts w:hint="eastAsia" w:ascii="宋体" w:hAnsi="宋体" w:eastAsia="宋体" w:cs="宋体"/>
          <w:color w:val="auto"/>
          <w:sz w:val="24"/>
          <w:szCs w:val="24"/>
          <w:highlight w:val="none"/>
        </w:rPr>
      </w:pPr>
      <w:bookmarkStart w:id="351" w:name="_Toc351203638"/>
      <w:bookmarkStart w:id="352" w:name="_Toc532375613"/>
      <w:bookmarkStart w:id="353" w:name="_Toc532377349"/>
      <w:bookmarkStart w:id="354" w:name="_Toc296347172"/>
      <w:bookmarkStart w:id="355" w:name="_Toc297048359"/>
      <w:bookmarkStart w:id="356" w:name="_Toc292559883"/>
      <w:bookmarkStart w:id="357" w:name="_Toc296503173"/>
      <w:bookmarkStart w:id="358" w:name="_Toc267251427"/>
      <w:bookmarkStart w:id="359" w:name="_Toc296346674"/>
      <w:bookmarkStart w:id="360" w:name="_Toc296944512"/>
      <w:bookmarkStart w:id="361" w:name="_Toc296891213"/>
      <w:bookmarkStart w:id="362" w:name="_Toc292559378"/>
      <w:bookmarkStart w:id="363" w:name="_Toc351203642"/>
      <w:bookmarkStart w:id="364" w:name="_Toc297120473"/>
      <w:bookmarkStart w:id="365" w:name="_Toc296891001"/>
      <w:bookmarkStart w:id="366" w:name="_Toc267251428"/>
      <w:r>
        <w:rPr>
          <w:rFonts w:hint="eastAsia" w:ascii="宋体" w:hAnsi="宋体" w:eastAsia="宋体" w:cs="宋体"/>
          <w:color w:val="auto"/>
          <w:sz w:val="24"/>
          <w:szCs w:val="24"/>
          <w:highlight w:val="none"/>
        </w:rPr>
        <w:t>6. 安全文明施工与环境保护</w:t>
      </w:r>
      <w:bookmarkEnd w:id="351"/>
      <w:bookmarkEnd w:id="352"/>
      <w:bookmarkEnd w:id="353"/>
    </w:p>
    <w:p w14:paraId="42D88A57">
      <w:pPr>
        <w:pStyle w:val="8"/>
        <w:keepNext w:val="0"/>
        <w:keepLines w:val="0"/>
        <w:kinsoku w:val="0"/>
        <w:autoSpaceDE w:val="0"/>
        <w:autoSpaceDN w:val="0"/>
        <w:adjustRightInd w:val="0"/>
        <w:snapToGrid w:val="0"/>
        <w:spacing w:before="0" w:after="0" w:line="360" w:lineRule="auto"/>
        <w:ind w:firstLine="482" w:firstLineChars="200"/>
        <w:rPr>
          <w:rFonts w:hint="eastAsia" w:ascii="宋体" w:hAnsi="宋体" w:eastAsia="宋体" w:cs="宋体"/>
          <w:color w:val="auto"/>
          <w:kern w:val="0"/>
          <w:sz w:val="24"/>
          <w:szCs w:val="24"/>
          <w:highlight w:val="none"/>
        </w:rPr>
      </w:pPr>
      <w:bookmarkStart w:id="367" w:name="_Toc532377350"/>
      <w:bookmarkStart w:id="368" w:name="_Toc532375614"/>
      <w:r>
        <w:rPr>
          <w:rFonts w:hint="eastAsia" w:ascii="宋体" w:hAnsi="宋体" w:eastAsia="宋体" w:cs="宋体"/>
          <w:color w:val="auto"/>
          <w:sz w:val="24"/>
          <w:szCs w:val="24"/>
          <w:highlight w:val="none"/>
        </w:rPr>
        <w:t>6.1 安全文明施工</w:t>
      </w:r>
      <w:bookmarkEnd w:id="367"/>
      <w:bookmarkEnd w:id="368"/>
    </w:p>
    <w:p w14:paraId="200AAD00">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的施工要做到节能、环保，如果通过采用新材料、新设备、新工艺、新技术的手段来提高工程质量或节省工期，则必须保证新材料、新设备、新工艺、新技术是成熟的并获得相关部门正式批准的，同时使用前承包人必须组织专家论证，并得到发包人、监理（如有）人的批准。</w:t>
      </w:r>
    </w:p>
    <w:p w14:paraId="69AF66F3">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6.1.1 项目安全生产的达标目标及相应事项的约定：</w:t>
      </w:r>
      <w:r>
        <w:rPr>
          <w:rFonts w:hint="eastAsia" w:ascii="宋体" w:hAnsi="宋体" w:eastAsia="宋体" w:cs="宋体"/>
          <w:color w:val="auto"/>
          <w:sz w:val="24"/>
          <w:szCs w:val="24"/>
          <w:highlight w:val="none"/>
          <w:u w:val="single"/>
        </w:rPr>
        <w:t>达到《建筑施工安全检查标准》（JGJ59-2011）的要求</w:t>
      </w:r>
      <w:r>
        <w:rPr>
          <w:rFonts w:hint="eastAsia" w:ascii="宋体" w:hAnsi="宋体" w:eastAsia="宋体" w:cs="宋体"/>
          <w:color w:val="auto"/>
          <w:sz w:val="24"/>
          <w:szCs w:val="24"/>
          <w:highlight w:val="none"/>
        </w:rPr>
        <w:t>。</w:t>
      </w:r>
    </w:p>
    <w:p w14:paraId="7EFF9E50">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6.1.5 文明施工</w:t>
      </w:r>
    </w:p>
    <w:p w14:paraId="0EA3BF79">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合同当事人对文明施工的要求：</w:t>
      </w:r>
      <w:r>
        <w:rPr>
          <w:rFonts w:hint="eastAsia" w:ascii="宋体" w:hAnsi="宋体" w:eastAsia="宋体" w:cs="宋体"/>
          <w:color w:val="auto"/>
          <w:sz w:val="24"/>
          <w:szCs w:val="24"/>
          <w:highlight w:val="none"/>
          <w:u w:val="single"/>
        </w:rPr>
        <w:t>承包人应按照《房屋建筑和市政基础设施工程施工扬尘控制工作方案》（渝建发〔2009〕13号）、《重庆市房屋建筑和市政基础设施工程现场文明施工标准》（渝建发〔2008〕169号）等相关规定履行好施工扬尘控制、文明施工等责任</w:t>
      </w:r>
      <w:r>
        <w:rPr>
          <w:rFonts w:hint="eastAsia" w:ascii="宋体" w:hAnsi="宋体" w:eastAsia="宋体" w:cs="宋体"/>
          <w:color w:val="auto"/>
          <w:sz w:val="24"/>
          <w:szCs w:val="24"/>
          <w:highlight w:val="none"/>
        </w:rPr>
        <w:t>。</w:t>
      </w:r>
    </w:p>
    <w:p w14:paraId="5041B1ED">
      <w:pPr>
        <w:pStyle w:val="7"/>
        <w:kinsoku w:val="0"/>
        <w:autoSpaceDE w:val="0"/>
        <w:autoSpaceDN w:val="0"/>
        <w:adjustRightInd w:val="0"/>
        <w:snapToGrid w:val="0"/>
        <w:spacing w:before="0" w:after="0" w:line="360" w:lineRule="auto"/>
        <w:ind w:firstLine="482" w:firstLineChars="200"/>
        <w:rPr>
          <w:rFonts w:hint="eastAsia" w:ascii="宋体" w:hAnsi="宋体" w:eastAsia="宋体" w:cs="宋体"/>
          <w:color w:val="auto"/>
          <w:sz w:val="24"/>
          <w:szCs w:val="24"/>
          <w:highlight w:val="none"/>
        </w:rPr>
      </w:pPr>
      <w:bookmarkStart w:id="369" w:name="_Toc532375616"/>
      <w:bookmarkStart w:id="370" w:name="_Toc532377352"/>
      <w:bookmarkStart w:id="371" w:name="_Toc351203639"/>
      <w:r>
        <w:rPr>
          <w:rFonts w:hint="eastAsia" w:ascii="宋体" w:hAnsi="宋体" w:eastAsia="宋体" w:cs="宋体"/>
          <w:color w:val="auto"/>
          <w:sz w:val="24"/>
          <w:szCs w:val="24"/>
          <w:highlight w:val="none"/>
        </w:rPr>
        <w:t>7. 工期和进度</w:t>
      </w:r>
      <w:bookmarkEnd w:id="369"/>
      <w:bookmarkEnd w:id="370"/>
      <w:bookmarkEnd w:id="371"/>
    </w:p>
    <w:p w14:paraId="3BA7AD99">
      <w:pPr>
        <w:pStyle w:val="8"/>
        <w:keepNext w:val="0"/>
        <w:keepLines w:val="0"/>
        <w:kinsoku w:val="0"/>
        <w:autoSpaceDE w:val="0"/>
        <w:autoSpaceDN w:val="0"/>
        <w:adjustRightInd w:val="0"/>
        <w:snapToGrid w:val="0"/>
        <w:spacing w:before="0" w:after="0" w:line="360" w:lineRule="auto"/>
        <w:ind w:firstLine="482" w:firstLineChars="200"/>
        <w:rPr>
          <w:rFonts w:hint="eastAsia" w:ascii="宋体" w:hAnsi="宋体" w:eastAsia="宋体" w:cs="宋体"/>
          <w:color w:val="auto"/>
          <w:kern w:val="0"/>
          <w:sz w:val="24"/>
          <w:szCs w:val="24"/>
          <w:highlight w:val="none"/>
        </w:rPr>
      </w:pPr>
      <w:bookmarkStart w:id="372" w:name="_Toc532375617"/>
      <w:bookmarkStart w:id="373" w:name="_Toc532377353"/>
      <w:r>
        <w:rPr>
          <w:rFonts w:hint="eastAsia" w:ascii="宋体" w:hAnsi="宋体" w:eastAsia="宋体" w:cs="宋体"/>
          <w:color w:val="auto"/>
          <w:sz w:val="24"/>
          <w:szCs w:val="24"/>
          <w:highlight w:val="none"/>
        </w:rPr>
        <w:t>7.1 施工组织设计</w:t>
      </w:r>
      <w:bookmarkEnd w:id="372"/>
      <w:bookmarkEnd w:id="373"/>
    </w:p>
    <w:p w14:paraId="57D6E89E">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7.1.1 合同当事人约定的施工组织设计应包括的其他内容：</w:t>
      </w:r>
      <w:r>
        <w:rPr>
          <w:rFonts w:hint="eastAsia" w:ascii="宋体" w:hAnsi="宋体" w:eastAsia="宋体" w:cs="宋体"/>
          <w:color w:val="auto"/>
          <w:sz w:val="24"/>
          <w:szCs w:val="24"/>
          <w:highlight w:val="none"/>
          <w:u w:val="single"/>
        </w:rPr>
        <w:t>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r>
        <w:rPr>
          <w:rFonts w:hint="eastAsia" w:ascii="宋体" w:hAnsi="宋体" w:eastAsia="宋体" w:cs="宋体"/>
          <w:color w:val="auto"/>
          <w:sz w:val="24"/>
          <w:szCs w:val="24"/>
          <w:highlight w:val="none"/>
        </w:rPr>
        <w:t>。</w:t>
      </w:r>
    </w:p>
    <w:p w14:paraId="7913651F">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7.1.2 施工组织设计的提交和修改</w:t>
      </w:r>
    </w:p>
    <w:p w14:paraId="5632690F">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承包人提交详细施工组织设计的期限的约定：</w:t>
      </w:r>
      <w:r>
        <w:rPr>
          <w:rFonts w:hint="eastAsia" w:ascii="宋体" w:hAnsi="宋体" w:eastAsia="宋体" w:cs="宋体"/>
          <w:color w:val="auto"/>
          <w:sz w:val="24"/>
          <w:szCs w:val="24"/>
          <w:highlight w:val="none"/>
          <w:u w:val="single"/>
        </w:rPr>
        <w:t>合同签订后7天内，但最迟不得晚于开工通知载明的开工日期前7天</w:t>
      </w:r>
      <w:r>
        <w:rPr>
          <w:rFonts w:hint="eastAsia" w:ascii="宋体" w:hAnsi="宋体" w:eastAsia="宋体" w:cs="宋体"/>
          <w:color w:val="auto"/>
          <w:sz w:val="24"/>
          <w:szCs w:val="24"/>
          <w:highlight w:val="none"/>
        </w:rPr>
        <w:t>。</w:t>
      </w:r>
    </w:p>
    <w:p w14:paraId="19779135">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发包人和监理（如有）人在收到详细的施工组织设计后确认或提出修改意见的期限：</w:t>
      </w:r>
      <w:r>
        <w:rPr>
          <w:rFonts w:hint="eastAsia" w:ascii="宋体" w:hAnsi="宋体" w:eastAsia="宋体" w:cs="宋体"/>
          <w:color w:val="auto"/>
          <w:sz w:val="24"/>
          <w:szCs w:val="24"/>
          <w:highlight w:val="none"/>
          <w:u w:val="single"/>
        </w:rPr>
        <w:t>收到施工组织设计后3天内</w:t>
      </w:r>
      <w:r>
        <w:rPr>
          <w:rFonts w:hint="eastAsia" w:ascii="宋体" w:hAnsi="宋体" w:eastAsia="宋体" w:cs="宋体"/>
          <w:color w:val="auto"/>
          <w:sz w:val="24"/>
          <w:szCs w:val="24"/>
          <w:highlight w:val="none"/>
        </w:rPr>
        <w:t>。</w:t>
      </w:r>
    </w:p>
    <w:p w14:paraId="2414C36B">
      <w:pPr>
        <w:pStyle w:val="8"/>
        <w:keepNext w:val="0"/>
        <w:keepLines w:val="0"/>
        <w:kinsoku w:val="0"/>
        <w:autoSpaceDE w:val="0"/>
        <w:autoSpaceDN w:val="0"/>
        <w:adjustRightInd w:val="0"/>
        <w:snapToGrid w:val="0"/>
        <w:spacing w:before="0" w:after="0" w:line="360" w:lineRule="auto"/>
        <w:ind w:firstLine="482" w:firstLineChars="200"/>
        <w:rPr>
          <w:rFonts w:hint="eastAsia" w:ascii="宋体" w:hAnsi="宋体" w:eastAsia="宋体" w:cs="宋体"/>
          <w:color w:val="auto"/>
          <w:sz w:val="24"/>
          <w:szCs w:val="24"/>
          <w:highlight w:val="none"/>
        </w:rPr>
      </w:pPr>
      <w:bookmarkStart w:id="374" w:name="_Toc532375618"/>
      <w:bookmarkStart w:id="375" w:name="_Toc532377354"/>
      <w:r>
        <w:rPr>
          <w:rFonts w:hint="eastAsia" w:ascii="宋体" w:hAnsi="宋体" w:eastAsia="宋体" w:cs="宋体"/>
          <w:color w:val="auto"/>
          <w:sz w:val="24"/>
          <w:szCs w:val="24"/>
          <w:highlight w:val="none"/>
        </w:rPr>
        <w:t>7.2 施工进度计划</w:t>
      </w:r>
      <w:bookmarkEnd w:id="374"/>
      <w:bookmarkEnd w:id="375"/>
    </w:p>
    <w:p w14:paraId="23AA98BC">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7.2.2 施工进度计划的修订</w:t>
      </w:r>
    </w:p>
    <w:p w14:paraId="2628F4D5">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发包人和监理（如有）人在收到修订的施工进度计划后确认或提出修改意见的期限：</w:t>
      </w:r>
      <w:r>
        <w:rPr>
          <w:rFonts w:hint="eastAsia" w:ascii="宋体" w:hAnsi="宋体" w:eastAsia="宋体" w:cs="宋体"/>
          <w:color w:val="auto"/>
          <w:sz w:val="24"/>
          <w:szCs w:val="24"/>
          <w:highlight w:val="none"/>
          <w:u w:val="single"/>
        </w:rPr>
        <w:t>收到修订的施工进度计划后3天内</w:t>
      </w:r>
      <w:r>
        <w:rPr>
          <w:rFonts w:hint="eastAsia" w:ascii="宋体" w:hAnsi="宋体" w:eastAsia="宋体" w:cs="宋体"/>
          <w:color w:val="auto"/>
          <w:sz w:val="24"/>
          <w:szCs w:val="24"/>
          <w:highlight w:val="none"/>
        </w:rPr>
        <w:t>。</w:t>
      </w:r>
    </w:p>
    <w:p w14:paraId="2AD7FEE4">
      <w:pPr>
        <w:pStyle w:val="8"/>
        <w:keepNext w:val="0"/>
        <w:keepLines w:val="0"/>
        <w:kinsoku w:val="0"/>
        <w:autoSpaceDE w:val="0"/>
        <w:autoSpaceDN w:val="0"/>
        <w:adjustRightInd w:val="0"/>
        <w:snapToGrid w:val="0"/>
        <w:spacing w:before="0" w:after="0" w:line="360" w:lineRule="auto"/>
        <w:ind w:firstLine="482" w:firstLineChars="200"/>
        <w:rPr>
          <w:rFonts w:hint="eastAsia" w:ascii="宋体" w:hAnsi="宋体" w:eastAsia="宋体" w:cs="宋体"/>
          <w:color w:val="auto"/>
          <w:sz w:val="24"/>
          <w:szCs w:val="24"/>
          <w:highlight w:val="none"/>
        </w:rPr>
      </w:pPr>
      <w:bookmarkStart w:id="376" w:name="_Toc532375619"/>
      <w:bookmarkStart w:id="377" w:name="_Toc532377355"/>
      <w:bookmarkStart w:id="378" w:name="_Toc297216173"/>
      <w:bookmarkStart w:id="379" w:name="_Toc303539123"/>
      <w:bookmarkStart w:id="380" w:name="_Toc312678005"/>
      <w:bookmarkStart w:id="381" w:name="_Toc297123514"/>
      <w:bookmarkStart w:id="382" w:name="_Toc304295541"/>
      <w:bookmarkStart w:id="383" w:name="_Toc300934966"/>
      <w:bookmarkStart w:id="384" w:name="_Toc312677479"/>
      <w:r>
        <w:rPr>
          <w:rFonts w:hint="eastAsia" w:ascii="宋体" w:hAnsi="宋体" w:eastAsia="宋体" w:cs="宋体"/>
          <w:color w:val="auto"/>
          <w:sz w:val="24"/>
          <w:szCs w:val="24"/>
          <w:highlight w:val="none"/>
        </w:rPr>
        <w:t>7.3 开工</w:t>
      </w:r>
      <w:bookmarkEnd w:id="376"/>
      <w:bookmarkEnd w:id="377"/>
    </w:p>
    <w:p w14:paraId="7216D47E">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 开工准备</w:t>
      </w:r>
    </w:p>
    <w:bookmarkEnd w:id="378"/>
    <w:bookmarkEnd w:id="379"/>
    <w:bookmarkEnd w:id="380"/>
    <w:bookmarkEnd w:id="381"/>
    <w:bookmarkEnd w:id="382"/>
    <w:bookmarkEnd w:id="383"/>
    <w:bookmarkEnd w:id="384"/>
    <w:p w14:paraId="397EC061">
      <w:pPr>
        <w:pStyle w:val="8"/>
        <w:keepNext w:val="0"/>
        <w:keepLines w:val="0"/>
        <w:kinsoku w:val="0"/>
        <w:autoSpaceDE w:val="0"/>
        <w:autoSpaceDN w:val="0"/>
        <w:adjustRightInd w:val="0"/>
        <w:snapToGrid w:val="0"/>
        <w:spacing w:before="0" w:after="0" w:line="360" w:lineRule="auto"/>
        <w:ind w:firstLine="482" w:firstLineChars="200"/>
        <w:rPr>
          <w:rFonts w:hint="eastAsia" w:ascii="宋体" w:hAnsi="宋体" w:eastAsia="宋体" w:cs="宋体"/>
          <w:color w:val="auto"/>
          <w:sz w:val="24"/>
          <w:szCs w:val="24"/>
          <w:highlight w:val="none"/>
        </w:rPr>
      </w:pPr>
      <w:bookmarkStart w:id="385" w:name="_Toc532377356"/>
      <w:bookmarkStart w:id="386" w:name="_Toc532375620"/>
      <w:r>
        <w:rPr>
          <w:rFonts w:hint="eastAsia" w:ascii="宋体" w:hAnsi="宋体" w:eastAsia="宋体" w:cs="宋体"/>
          <w:color w:val="auto"/>
          <w:sz w:val="24"/>
          <w:szCs w:val="24"/>
          <w:highlight w:val="none"/>
        </w:rPr>
        <w:t>7.4 测量放线</w:t>
      </w:r>
      <w:bookmarkEnd w:id="385"/>
      <w:bookmarkEnd w:id="386"/>
    </w:p>
    <w:p w14:paraId="1C68C2D2">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7.4.1 发包人通过监理（如有）人向承包人提供测量基准点、基准线和水准点及其书面资料的期限：</w:t>
      </w:r>
      <w:r>
        <w:rPr>
          <w:rFonts w:hint="eastAsia" w:ascii="宋体" w:hAnsi="宋体" w:eastAsia="宋体" w:cs="宋体"/>
          <w:color w:val="auto"/>
          <w:sz w:val="24"/>
          <w:szCs w:val="24"/>
          <w:highlight w:val="none"/>
          <w:u w:val="single"/>
        </w:rPr>
        <w:t>不晚于开工前  天</w:t>
      </w:r>
      <w:r>
        <w:rPr>
          <w:rFonts w:hint="eastAsia" w:ascii="宋体" w:hAnsi="宋体" w:eastAsia="宋体" w:cs="宋体"/>
          <w:color w:val="auto"/>
          <w:sz w:val="24"/>
          <w:szCs w:val="24"/>
          <w:highlight w:val="none"/>
        </w:rPr>
        <w:t>。</w:t>
      </w:r>
    </w:p>
    <w:p w14:paraId="59D98D22">
      <w:pPr>
        <w:pStyle w:val="8"/>
        <w:keepNext w:val="0"/>
        <w:keepLines w:val="0"/>
        <w:kinsoku w:val="0"/>
        <w:autoSpaceDE w:val="0"/>
        <w:autoSpaceDN w:val="0"/>
        <w:adjustRightInd w:val="0"/>
        <w:snapToGrid w:val="0"/>
        <w:spacing w:before="0" w:after="0" w:line="360" w:lineRule="auto"/>
        <w:ind w:firstLine="482" w:firstLineChars="200"/>
        <w:rPr>
          <w:rFonts w:hint="eastAsia" w:ascii="宋体" w:hAnsi="宋体" w:eastAsia="宋体" w:cs="宋体"/>
          <w:color w:val="auto"/>
          <w:sz w:val="24"/>
          <w:szCs w:val="24"/>
          <w:highlight w:val="none"/>
        </w:rPr>
      </w:pPr>
      <w:bookmarkStart w:id="387" w:name="_Toc532377357"/>
      <w:bookmarkStart w:id="388" w:name="_Toc532375621"/>
      <w:r>
        <w:rPr>
          <w:rFonts w:hint="eastAsia" w:ascii="宋体" w:hAnsi="宋体" w:eastAsia="宋体" w:cs="宋体"/>
          <w:color w:val="auto"/>
          <w:sz w:val="24"/>
          <w:szCs w:val="24"/>
          <w:highlight w:val="none"/>
        </w:rPr>
        <w:t>7</w:t>
      </w:r>
      <w:bookmarkStart w:id="389" w:name="_Toc297216175"/>
      <w:bookmarkStart w:id="390" w:name="_Toc297123516"/>
      <w:bookmarkStart w:id="391" w:name="_Toc300934968"/>
      <w:bookmarkStart w:id="392" w:name="_Toc312678010"/>
      <w:bookmarkStart w:id="393" w:name="_Toc304295546"/>
      <w:bookmarkStart w:id="394" w:name="_Toc312677484"/>
      <w:bookmarkStart w:id="395" w:name="_Toc303539125"/>
      <w:r>
        <w:rPr>
          <w:rFonts w:hint="eastAsia" w:ascii="宋体" w:hAnsi="宋体" w:eastAsia="宋体" w:cs="宋体"/>
          <w:color w:val="auto"/>
          <w:sz w:val="24"/>
          <w:szCs w:val="24"/>
          <w:highlight w:val="none"/>
        </w:rPr>
        <w:t>.5 工期延误</w:t>
      </w:r>
      <w:bookmarkEnd w:id="387"/>
      <w:bookmarkEnd w:id="388"/>
    </w:p>
    <w:bookmarkEnd w:id="389"/>
    <w:bookmarkEnd w:id="390"/>
    <w:bookmarkEnd w:id="391"/>
    <w:bookmarkEnd w:id="392"/>
    <w:bookmarkEnd w:id="393"/>
    <w:bookmarkEnd w:id="394"/>
    <w:bookmarkEnd w:id="395"/>
    <w:p w14:paraId="17E8328B">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bookmarkStart w:id="396" w:name="_Hlk528927940"/>
      <w:r>
        <w:rPr>
          <w:rFonts w:hint="eastAsia" w:ascii="宋体" w:hAnsi="宋体" w:eastAsia="宋体" w:cs="宋体"/>
          <w:color w:val="auto"/>
          <w:sz w:val="24"/>
          <w:szCs w:val="24"/>
          <w:highlight w:val="none"/>
        </w:rPr>
        <w:t>7.5.1 因发包人原因导致工期延误：</w:t>
      </w:r>
    </w:p>
    <w:p w14:paraId="1088D5CB">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在合同履行过程中，除通用条款约定外，因下列情况导致工期延误和（或）费用增加的，由发包人承担由此延误的工期和（或）增加的费用：</w:t>
      </w:r>
    </w:p>
    <w:p w14:paraId="66CC481C">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（1）发包人未能按合同约定提供施工场地，且该未提供开工条件直接影响项目关键线路的；</w:t>
      </w:r>
    </w:p>
    <w:p w14:paraId="0AAF5117">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（2）发包人提供的测量基准点、基准线和水准点及其书面资料存在错误或疏漏，且该错误或疏漏直接影响项目关键线路的；</w:t>
      </w:r>
    </w:p>
    <w:p w14:paraId="0A9E5011">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（3）监理（如有）人未按合同约定发出指示、批准等文件，且该未按合同约定发出指示、批准直接影响项目关键线路的；</w:t>
      </w:r>
    </w:p>
    <w:p w14:paraId="0474A509">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（4）变更未及时审批，直接影响项目关键线路的；</w:t>
      </w:r>
    </w:p>
    <w:p w14:paraId="3C457161">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（5）实施变更直接影响项目关键线路的；</w:t>
      </w:r>
    </w:p>
    <w:p w14:paraId="1506AED8">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（6）因发包人原因导致工程暂停施工、停建、缓建的；</w:t>
      </w:r>
    </w:p>
    <w:p w14:paraId="2B9FC9BF">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（7）因征地拆迁、当地群众阻工等情形的；</w:t>
      </w:r>
    </w:p>
    <w:p w14:paraId="7D79150B">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u w:val="single"/>
        </w:rPr>
        <w:t>合同约定的其他情形</w:t>
      </w:r>
      <w:r>
        <w:rPr>
          <w:rFonts w:hint="eastAsia" w:ascii="宋体" w:hAnsi="宋体" w:eastAsia="宋体" w:cs="宋体"/>
          <w:color w:val="auto"/>
          <w:sz w:val="24"/>
          <w:szCs w:val="24"/>
          <w:highlight w:val="none"/>
        </w:rPr>
        <w:t>。</w:t>
      </w:r>
    </w:p>
    <w:p w14:paraId="534FDE00">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因发包人原因未按计划开工日期开工的，发包人应按实际开工日期顺延竣工日期。因发包人原因导致工期延误需要修订施工进度计划的，按照第7.2.2项〔施工进度计划的修订〕执行</w:t>
      </w:r>
      <w:r>
        <w:rPr>
          <w:rFonts w:hint="eastAsia" w:ascii="宋体" w:hAnsi="宋体" w:eastAsia="宋体" w:cs="宋体"/>
          <w:color w:val="auto"/>
          <w:sz w:val="24"/>
          <w:szCs w:val="24"/>
          <w:highlight w:val="none"/>
        </w:rPr>
        <w:t>。</w:t>
      </w:r>
    </w:p>
    <w:p w14:paraId="598336DA">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7.5.2 因承包人原因导致工期延误</w:t>
      </w:r>
    </w:p>
    <w:p w14:paraId="5497C15E">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因承包人原因造成工期延误，逾期竣工按16.2.2（6）目执行。</w:t>
      </w:r>
    </w:p>
    <w:bookmarkEnd w:id="396"/>
    <w:p w14:paraId="5D34ECDB">
      <w:pPr>
        <w:pStyle w:val="8"/>
        <w:keepNext w:val="0"/>
        <w:keepLines w:val="0"/>
        <w:kinsoku w:val="0"/>
        <w:autoSpaceDE w:val="0"/>
        <w:autoSpaceDN w:val="0"/>
        <w:adjustRightInd w:val="0"/>
        <w:snapToGrid w:val="0"/>
        <w:spacing w:before="0" w:after="0" w:line="360" w:lineRule="auto"/>
        <w:ind w:firstLine="482" w:firstLineChars="200"/>
        <w:rPr>
          <w:rFonts w:hint="eastAsia" w:ascii="宋体" w:hAnsi="宋体" w:eastAsia="宋体" w:cs="宋体"/>
          <w:color w:val="auto"/>
          <w:sz w:val="24"/>
          <w:szCs w:val="24"/>
          <w:highlight w:val="none"/>
        </w:rPr>
      </w:pPr>
      <w:bookmarkStart w:id="397" w:name="_Toc532377358"/>
      <w:bookmarkStart w:id="398" w:name="_Toc532375622"/>
      <w:bookmarkStart w:id="399" w:name="_Hlk528927997"/>
      <w:r>
        <w:rPr>
          <w:rFonts w:hint="eastAsia" w:ascii="宋体" w:hAnsi="宋体" w:eastAsia="宋体" w:cs="宋体"/>
          <w:color w:val="auto"/>
          <w:sz w:val="24"/>
          <w:szCs w:val="24"/>
          <w:highlight w:val="none"/>
        </w:rPr>
        <w:t>7</w:t>
      </w:r>
      <w:bookmarkStart w:id="400" w:name="_Toc297123519"/>
      <w:bookmarkStart w:id="401" w:name="_Toc300934971"/>
      <w:bookmarkStart w:id="402" w:name="_Toc304295549"/>
      <w:bookmarkStart w:id="403" w:name="_Toc297216178"/>
      <w:bookmarkStart w:id="404" w:name="_Toc312678015"/>
      <w:bookmarkStart w:id="405" w:name="_Toc303539128"/>
      <w:r>
        <w:rPr>
          <w:rFonts w:hint="eastAsia" w:ascii="宋体" w:hAnsi="宋体" w:eastAsia="宋体" w:cs="宋体"/>
          <w:color w:val="auto"/>
          <w:sz w:val="24"/>
          <w:szCs w:val="24"/>
          <w:highlight w:val="none"/>
        </w:rPr>
        <w:t>.6 不</w:t>
      </w:r>
      <w:bookmarkEnd w:id="400"/>
      <w:bookmarkEnd w:id="401"/>
      <w:bookmarkEnd w:id="402"/>
      <w:bookmarkEnd w:id="403"/>
      <w:bookmarkEnd w:id="404"/>
      <w:bookmarkEnd w:id="405"/>
      <w:r>
        <w:rPr>
          <w:rFonts w:hint="eastAsia" w:ascii="宋体" w:hAnsi="宋体" w:eastAsia="宋体" w:cs="宋体"/>
          <w:color w:val="auto"/>
          <w:sz w:val="24"/>
          <w:szCs w:val="24"/>
          <w:highlight w:val="none"/>
        </w:rPr>
        <w:t>利物质条件</w:t>
      </w:r>
      <w:bookmarkEnd w:id="397"/>
      <w:bookmarkEnd w:id="398"/>
    </w:p>
    <w:bookmarkEnd w:id="399"/>
    <w:p w14:paraId="113E8927">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bookmarkStart w:id="406" w:name="_Toc303539129"/>
      <w:bookmarkStart w:id="407" w:name="_Toc300934972"/>
      <w:bookmarkStart w:id="408" w:name="_Toc297216179"/>
      <w:bookmarkStart w:id="409" w:name="_Toc312678016"/>
      <w:bookmarkStart w:id="410" w:name="_Toc304295550"/>
      <w:bookmarkStart w:id="411" w:name="_Toc297123520"/>
      <w:bookmarkStart w:id="412" w:name="_Toc318581172"/>
      <w:r>
        <w:rPr>
          <w:rFonts w:hint="eastAsia" w:ascii="宋体" w:hAnsi="宋体" w:eastAsia="宋体" w:cs="宋体"/>
          <w:color w:val="auto"/>
          <w:sz w:val="24"/>
          <w:szCs w:val="24"/>
          <w:highlight w:val="none"/>
        </w:rPr>
        <w:t>不利物质条件的其他情形和有关约定：</w:t>
      </w:r>
      <w:bookmarkStart w:id="413" w:name="_Hlk528910274"/>
      <w:r>
        <w:rPr>
          <w:rFonts w:hint="eastAsia" w:ascii="宋体" w:hAnsi="宋体" w:eastAsia="宋体" w:cs="宋体"/>
          <w:color w:val="auto"/>
          <w:sz w:val="24"/>
          <w:szCs w:val="24"/>
          <w:highlight w:val="none"/>
          <w:u w:val="single"/>
        </w:rPr>
        <w:t xml:space="preserve"> 不采用   </w:t>
      </w:r>
      <w:r>
        <w:rPr>
          <w:rFonts w:hint="eastAsia" w:ascii="宋体" w:hAnsi="宋体" w:eastAsia="宋体" w:cs="宋体"/>
          <w:color w:val="auto"/>
          <w:sz w:val="24"/>
          <w:szCs w:val="24"/>
          <w:highlight w:val="none"/>
        </w:rPr>
        <w:t>。</w:t>
      </w:r>
    </w:p>
    <w:p w14:paraId="5DC1CA9F">
      <w:pPr>
        <w:pStyle w:val="8"/>
        <w:keepNext w:val="0"/>
        <w:keepLines w:val="0"/>
        <w:kinsoku w:val="0"/>
        <w:autoSpaceDE w:val="0"/>
        <w:autoSpaceDN w:val="0"/>
        <w:adjustRightInd w:val="0"/>
        <w:snapToGrid w:val="0"/>
        <w:spacing w:before="0" w:after="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 暂停施工</w:t>
      </w:r>
    </w:p>
    <w:p w14:paraId="05DC7E07">
      <w:pPr>
        <w:kinsoku w:val="0"/>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7.8.1 发包人原因引起的暂停施工：</w:t>
      </w:r>
      <w:bookmarkEnd w:id="406"/>
      <w:bookmarkEnd w:id="407"/>
      <w:bookmarkEnd w:id="408"/>
      <w:bookmarkEnd w:id="409"/>
      <w:bookmarkEnd w:id="410"/>
      <w:bookmarkEnd w:id="411"/>
      <w:bookmarkEnd w:id="412"/>
      <w:bookmarkEnd w:id="413"/>
      <w:bookmarkStart w:id="414" w:name="_Toc532377359"/>
      <w:bookmarkStart w:id="415" w:name="_Toc532375623"/>
      <w:r>
        <w:rPr>
          <w:rFonts w:hint="eastAsia" w:ascii="宋体" w:hAnsi="宋体" w:eastAsia="宋体" w:cs="宋体"/>
          <w:color w:val="auto"/>
          <w:kern w:val="0"/>
          <w:sz w:val="24"/>
          <w:szCs w:val="24"/>
          <w:highlight w:val="none"/>
        </w:rPr>
        <w:t>承包人在收到发包人和监理（如有）人共同签发的书面暂定施工指令后，方可按要求进行暂停施工和恢复施工。在暂停施工期间，承包人应按现行规范要求作好施工现场的安全保护等工作。</w:t>
      </w:r>
    </w:p>
    <w:p w14:paraId="12834A07">
      <w:pPr>
        <w:kinsoku w:val="0"/>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7.8.2 承包人原因引起的暂停施工：若由于承包人自身原因无故造成的工程停工，停工时间在7日历天（含7日历天）以内的，发包人、监理（如有）人责令其无条件整改并恢复施工，本工程工期不得顺延，且此停工造成的相关费用由承包人自行承担，不得纳入本工程结算中办理；此停工时间超过7日历天以上的或造成一定社会影响的，发包人有权解除合同，并对已建工程按本合同结算原则计算工程造价，经审核后按审核金额的80%进行结算和支付。发包人将向承包人追究其造成的经济损失及法律责任，同时向有关行政监督部门报告承包人的此种不诚信行为，并建议将其纳入黑名单中。</w:t>
      </w:r>
    </w:p>
    <w:bookmarkEnd w:id="414"/>
    <w:bookmarkEnd w:id="415"/>
    <w:p w14:paraId="12F468FB">
      <w:pPr>
        <w:pStyle w:val="7"/>
        <w:kinsoku w:val="0"/>
        <w:autoSpaceDE w:val="0"/>
        <w:autoSpaceDN w:val="0"/>
        <w:adjustRightInd w:val="0"/>
        <w:snapToGrid w:val="0"/>
        <w:spacing w:before="0" w:after="0" w:line="360" w:lineRule="auto"/>
        <w:ind w:firstLine="482" w:firstLineChars="200"/>
        <w:rPr>
          <w:rFonts w:hint="eastAsia" w:ascii="宋体" w:hAnsi="宋体" w:eastAsia="宋体" w:cs="宋体"/>
          <w:color w:val="auto"/>
          <w:sz w:val="24"/>
          <w:szCs w:val="24"/>
          <w:highlight w:val="none"/>
        </w:rPr>
      </w:pPr>
      <w:bookmarkStart w:id="416" w:name="_Toc532375625"/>
      <w:bookmarkStart w:id="417" w:name="_Toc532377361"/>
      <w:bookmarkStart w:id="418" w:name="_Toc351203640"/>
      <w:r>
        <w:rPr>
          <w:rFonts w:hint="eastAsia" w:ascii="宋体" w:hAnsi="宋体" w:eastAsia="宋体" w:cs="宋体"/>
          <w:color w:val="auto"/>
          <w:sz w:val="24"/>
          <w:szCs w:val="24"/>
          <w:highlight w:val="none"/>
        </w:rPr>
        <w:t>8. 材料与设备</w:t>
      </w:r>
      <w:bookmarkEnd w:id="416"/>
      <w:bookmarkEnd w:id="417"/>
      <w:bookmarkEnd w:id="418"/>
    </w:p>
    <w:p w14:paraId="5AB4D2BC">
      <w:pPr>
        <w:pStyle w:val="8"/>
        <w:keepNext w:val="0"/>
        <w:keepLines w:val="0"/>
        <w:kinsoku w:val="0"/>
        <w:autoSpaceDE w:val="0"/>
        <w:autoSpaceDN w:val="0"/>
        <w:adjustRightInd w:val="0"/>
        <w:snapToGrid w:val="0"/>
        <w:spacing w:before="0" w:after="0" w:line="360" w:lineRule="auto"/>
        <w:ind w:firstLine="482" w:firstLineChars="200"/>
        <w:rPr>
          <w:rFonts w:hint="eastAsia" w:ascii="宋体" w:hAnsi="宋体" w:eastAsia="宋体" w:cs="宋体"/>
          <w:color w:val="auto"/>
          <w:kern w:val="0"/>
          <w:sz w:val="24"/>
          <w:szCs w:val="24"/>
          <w:highlight w:val="none"/>
        </w:rPr>
      </w:pPr>
      <w:bookmarkStart w:id="419" w:name="_Toc532375626"/>
      <w:bookmarkStart w:id="420" w:name="_Toc532377362"/>
      <w:r>
        <w:rPr>
          <w:rFonts w:hint="eastAsia" w:ascii="宋体" w:hAnsi="宋体" w:eastAsia="宋体" w:cs="宋体"/>
          <w:color w:val="auto"/>
          <w:sz w:val="24"/>
          <w:szCs w:val="24"/>
          <w:highlight w:val="none"/>
        </w:rPr>
        <w:t>8.1发包人供应材料与工程设备</w:t>
      </w:r>
      <w:bookmarkEnd w:id="419"/>
      <w:bookmarkEnd w:id="420"/>
    </w:p>
    <w:p w14:paraId="7DEC11F1">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材料的名称、规格、数量和价格：</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3787E32">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发包人按约定的内容提供材料设备并对提供的材料设备质量负责，承包人按施工规范和检测规范对一切进场材料进行质量检验，承包人有权退回检验不合格的材料；承包人对投入使用的材料质量负责</w:t>
      </w:r>
      <w:r>
        <w:rPr>
          <w:rFonts w:hint="eastAsia" w:ascii="宋体" w:hAnsi="宋体" w:eastAsia="宋体" w:cs="宋体"/>
          <w:color w:val="auto"/>
          <w:sz w:val="24"/>
          <w:szCs w:val="24"/>
          <w:highlight w:val="none"/>
        </w:rPr>
        <w:t>。</w:t>
      </w:r>
    </w:p>
    <w:p w14:paraId="47C76E36">
      <w:pPr>
        <w:pStyle w:val="8"/>
        <w:keepNext w:val="0"/>
        <w:keepLines w:val="0"/>
        <w:kinsoku w:val="0"/>
        <w:autoSpaceDE w:val="0"/>
        <w:autoSpaceDN w:val="0"/>
        <w:adjustRightInd w:val="0"/>
        <w:snapToGrid w:val="0"/>
        <w:spacing w:before="0" w:after="0" w:line="360" w:lineRule="auto"/>
        <w:ind w:firstLine="482" w:firstLineChars="200"/>
        <w:rPr>
          <w:rFonts w:hint="eastAsia" w:ascii="宋体" w:hAnsi="宋体" w:eastAsia="宋体" w:cs="宋体"/>
          <w:color w:val="auto"/>
          <w:sz w:val="24"/>
          <w:szCs w:val="24"/>
          <w:highlight w:val="none"/>
        </w:rPr>
      </w:pPr>
      <w:bookmarkStart w:id="421" w:name="_Toc532375627"/>
      <w:bookmarkStart w:id="422" w:name="_Toc532377363"/>
      <w:bookmarkStart w:id="423" w:name="_Toc351203554"/>
      <w:r>
        <w:rPr>
          <w:rFonts w:hint="eastAsia" w:ascii="宋体" w:hAnsi="宋体" w:eastAsia="宋体" w:cs="宋体"/>
          <w:color w:val="auto"/>
          <w:sz w:val="24"/>
          <w:szCs w:val="24"/>
          <w:highlight w:val="none"/>
        </w:rPr>
        <w:t>8</w:t>
      </w:r>
      <w:bookmarkStart w:id="424" w:name="_Toc296503060"/>
      <w:bookmarkStart w:id="425" w:name="_Toc296346561"/>
      <w:bookmarkStart w:id="426" w:name="_Toc337558778"/>
      <w:r>
        <w:rPr>
          <w:rFonts w:hint="eastAsia" w:ascii="宋体" w:hAnsi="宋体" w:eastAsia="宋体" w:cs="宋体"/>
          <w:color w:val="auto"/>
          <w:sz w:val="24"/>
          <w:szCs w:val="24"/>
          <w:highlight w:val="none"/>
        </w:rPr>
        <w:t>.2 承包人采购材料与工程设备</w:t>
      </w:r>
      <w:bookmarkEnd w:id="421"/>
      <w:bookmarkEnd w:id="422"/>
      <w:bookmarkEnd w:id="423"/>
    </w:p>
    <w:bookmarkEnd w:id="424"/>
    <w:bookmarkEnd w:id="425"/>
    <w:bookmarkEnd w:id="426"/>
    <w:p w14:paraId="519FEAA5">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8.2.1承包人负责采购、运输和保管的材料、工程设备：</w:t>
      </w:r>
      <w:r>
        <w:rPr>
          <w:rFonts w:hint="eastAsia" w:ascii="宋体" w:hAnsi="宋体" w:eastAsia="宋体" w:cs="宋体"/>
          <w:color w:val="auto"/>
          <w:sz w:val="24"/>
          <w:szCs w:val="24"/>
          <w:highlight w:val="none"/>
          <w:u w:val="single"/>
        </w:rPr>
        <w:t>由承包人自行采购,采购人推荐品牌的材料，须将样品报送至采购人确认封样，待确认后方可进行批量采购和安装。承包人采购材料设备必须经监理（如有）人、设计单位、发包人批准，结算时由监理（如有）人和发包人按</w:t>
      </w:r>
      <w:r>
        <w:rPr>
          <w:rFonts w:hint="eastAsia" w:ascii="宋体" w:hAnsi="宋体" w:cs="宋体"/>
          <w:color w:val="auto"/>
          <w:sz w:val="24"/>
          <w:szCs w:val="24"/>
          <w:highlight w:val="none"/>
          <w:u w:val="single"/>
          <w:lang w:val="en-US" w:eastAsia="zh-CN"/>
        </w:rPr>
        <w:t>比选</w:t>
      </w:r>
      <w:r>
        <w:rPr>
          <w:rFonts w:hint="eastAsia" w:ascii="宋体" w:hAnsi="宋体" w:eastAsia="宋体" w:cs="宋体"/>
          <w:color w:val="auto"/>
          <w:sz w:val="24"/>
          <w:szCs w:val="24"/>
          <w:highlight w:val="none"/>
          <w:u w:val="single"/>
        </w:rPr>
        <w:t>文件规定审核的数量和合同约定价格计算</w:t>
      </w:r>
      <w:r>
        <w:rPr>
          <w:rFonts w:hint="eastAsia" w:ascii="宋体" w:hAnsi="宋体" w:eastAsia="宋体" w:cs="宋体"/>
          <w:color w:val="auto"/>
          <w:sz w:val="24"/>
          <w:szCs w:val="24"/>
          <w:highlight w:val="none"/>
        </w:rPr>
        <w:t>。</w:t>
      </w:r>
    </w:p>
    <w:p w14:paraId="379C70A2">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8.2.2承包人报送监理（如有）人审批的时间：</w:t>
      </w:r>
      <w:r>
        <w:rPr>
          <w:rFonts w:hint="eastAsia" w:ascii="宋体" w:hAnsi="宋体" w:eastAsia="宋体" w:cs="宋体"/>
          <w:color w:val="auto"/>
          <w:sz w:val="24"/>
          <w:szCs w:val="24"/>
          <w:highlight w:val="none"/>
          <w:u w:val="single"/>
        </w:rPr>
        <w:t>按发包人及监理（如有）单位的相关规定执行</w:t>
      </w:r>
      <w:r>
        <w:rPr>
          <w:rFonts w:hint="eastAsia" w:ascii="宋体" w:hAnsi="宋体" w:eastAsia="宋体" w:cs="宋体"/>
          <w:color w:val="auto"/>
          <w:sz w:val="24"/>
          <w:szCs w:val="24"/>
          <w:highlight w:val="none"/>
        </w:rPr>
        <w:t>。</w:t>
      </w:r>
    </w:p>
    <w:p w14:paraId="58B2F666">
      <w:pPr>
        <w:pStyle w:val="8"/>
        <w:keepNext w:val="0"/>
        <w:keepLines w:val="0"/>
        <w:kinsoku w:val="0"/>
        <w:autoSpaceDE w:val="0"/>
        <w:autoSpaceDN w:val="0"/>
        <w:adjustRightInd w:val="0"/>
        <w:snapToGrid w:val="0"/>
        <w:spacing w:before="0" w:after="0" w:line="360" w:lineRule="auto"/>
        <w:ind w:firstLine="482" w:firstLineChars="200"/>
        <w:rPr>
          <w:rFonts w:hint="eastAsia" w:ascii="宋体" w:hAnsi="宋体" w:eastAsia="宋体" w:cs="宋体"/>
          <w:color w:val="auto"/>
          <w:sz w:val="24"/>
          <w:szCs w:val="24"/>
          <w:highlight w:val="none"/>
        </w:rPr>
      </w:pPr>
      <w:bookmarkStart w:id="427" w:name="_Toc532377364"/>
      <w:bookmarkStart w:id="428" w:name="_Toc532375628"/>
      <w:r>
        <w:rPr>
          <w:rFonts w:hint="eastAsia" w:ascii="宋体" w:hAnsi="宋体" w:eastAsia="宋体" w:cs="宋体"/>
          <w:color w:val="auto"/>
          <w:sz w:val="24"/>
          <w:szCs w:val="24"/>
          <w:highlight w:val="none"/>
        </w:rPr>
        <w:t>8</w:t>
      </w:r>
      <w:bookmarkStart w:id="429" w:name="_Toc292559372"/>
      <w:bookmarkStart w:id="430" w:name="_Toc303539136"/>
      <w:bookmarkStart w:id="431" w:name="_Toc297048353"/>
      <w:bookmarkStart w:id="432" w:name="_Toc297216186"/>
      <w:bookmarkStart w:id="433" w:name="_Toc296890995"/>
      <w:bookmarkStart w:id="434" w:name="_Toc296346668"/>
      <w:bookmarkStart w:id="435" w:name="_Toc297120467"/>
      <w:bookmarkStart w:id="436" w:name="_Toc312678019"/>
      <w:bookmarkStart w:id="437" w:name="_Toc312677493"/>
      <w:bookmarkStart w:id="438" w:name="_Toc296891207"/>
      <w:bookmarkStart w:id="439" w:name="_Toc280868654"/>
      <w:bookmarkStart w:id="440" w:name="_Toc292559877"/>
      <w:bookmarkStart w:id="441" w:name="_Toc296503167"/>
      <w:bookmarkStart w:id="442" w:name="_Toc297123527"/>
      <w:bookmarkStart w:id="443" w:name="_Toc304295556"/>
      <w:bookmarkStart w:id="444" w:name="_Toc296944506"/>
      <w:bookmarkStart w:id="445" w:name="_Toc300934979"/>
      <w:bookmarkStart w:id="446" w:name="_Toc296347166"/>
      <w:bookmarkStart w:id="447" w:name="_Toc267251424"/>
      <w:bookmarkStart w:id="448" w:name="_Toc280868656"/>
      <w:bookmarkStart w:id="449" w:name="_Toc280868655"/>
      <w:r>
        <w:rPr>
          <w:rFonts w:hint="eastAsia" w:ascii="宋体" w:hAnsi="宋体" w:eastAsia="宋体" w:cs="宋体"/>
          <w:color w:val="auto"/>
          <w:sz w:val="24"/>
          <w:szCs w:val="24"/>
          <w:highlight w:val="none"/>
        </w:rPr>
        <w:t>.4 材料与工程设备的保管与使用</w:t>
      </w:r>
      <w:bookmarkEnd w:id="427"/>
      <w:bookmarkEnd w:id="428"/>
    </w:p>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14:paraId="193D6FF3">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bookmarkStart w:id="450" w:name="_Toc292559878"/>
      <w:bookmarkStart w:id="451" w:name="_Toc292559373"/>
      <w:bookmarkStart w:id="452" w:name="_Toc296944507"/>
      <w:bookmarkStart w:id="453" w:name="_Toc300934980"/>
      <w:bookmarkStart w:id="454" w:name="_Toc303539137"/>
      <w:bookmarkStart w:id="455" w:name="_Toc296347167"/>
      <w:bookmarkStart w:id="456" w:name="_Toc297048354"/>
      <w:bookmarkStart w:id="457" w:name="_Toc297123528"/>
      <w:bookmarkStart w:id="458" w:name="_Toc296891208"/>
      <w:bookmarkStart w:id="459" w:name="_Toc296346669"/>
      <w:bookmarkStart w:id="460" w:name="_Toc296503168"/>
      <w:bookmarkStart w:id="461" w:name="_Toc304295557"/>
      <w:bookmarkStart w:id="462" w:name="_Toc297216187"/>
      <w:bookmarkStart w:id="463" w:name="_Toc297120468"/>
      <w:bookmarkStart w:id="464" w:name="_Toc318581173"/>
      <w:bookmarkStart w:id="465" w:name="_Toc312678020"/>
      <w:bookmarkStart w:id="466" w:name="_Toc312677494"/>
      <w:bookmarkStart w:id="467" w:name="_Toc296890996"/>
      <w:r>
        <w:rPr>
          <w:rFonts w:hint="eastAsia" w:ascii="宋体" w:hAnsi="宋体" w:eastAsia="宋体" w:cs="宋体"/>
          <w:color w:val="auto"/>
          <w:sz w:val="24"/>
          <w:szCs w:val="24"/>
          <w:highlight w:val="none"/>
        </w:rPr>
        <w:t>.4.1 发包人供应的材料设备的保管费用的承担：</w:t>
      </w:r>
      <w:r>
        <w:rPr>
          <w:rFonts w:hint="eastAsia" w:ascii="宋体" w:hAnsi="宋体" w:eastAsia="宋体" w:cs="宋体"/>
          <w:color w:val="auto"/>
          <w:sz w:val="24"/>
          <w:szCs w:val="24"/>
          <w:highlight w:val="none"/>
          <w:u w:val="single"/>
        </w:rPr>
        <w:t xml:space="preserve"> 承包人自行承担</w:t>
      </w:r>
      <w:r>
        <w:rPr>
          <w:rFonts w:hint="eastAsia" w:ascii="宋体" w:hAnsi="宋体" w:eastAsia="宋体" w:cs="宋体"/>
          <w:color w:val="auto"/>
          <w:sz w:val="24"/>
          <w:szCs w:val="24"/>
          <w:highlight w:val="none"/>
        </w:rPr>
        <w:t>。</w:t>
      </w:r>
      <w:bookmarkEnd w:id="450"/>
      <w:bookmarkEnd w:id="451"/>
      <w:bookmarkStart w:id="468" w:name="_Toc532375629"/>
      <w:bookmarkStart w:id="469" w:name="_Toc532377365"/>
    </w:p>
    <w:p w14:paraId="73E475CB">
      <w:pPr>
        <w:pStyle w:val="8"/>
        <w:keepNext w:val="0"/>
        <w:keepLines w:val="0"/>
        <w:kinsoku w:val="0"/>
        <w:autoSpaceDE w:val="0"/>
        <w:autoSpaceDN w:val="0"/>
        <w:adjustRightInd w:val="0"/>
        <w:snapToGrid w:val="0"/>
        <w:spacing w:before="0" w:after="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 样品</w:t>
      </w:r>
      <w:bookmarkEnd w:id="468"/>
      <w:bookmarkEnd w:id="469"/>
    </w:p>
    <w:p w14:paraId="7C9F3C8E">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8.6.1 样品的报送与封存</w:t>
      </w:r>
    </w:p>
    <w:p w14:paraId="5E2FEA86">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需要承包人报送样品的材料或工程设备，样品的种类、名称、规格、数量要求：</w:t>
      </w:r>
      <w:r>
        <w:rPr>
          <w:rFonts w:hint="eastAsia" w:ascii="宋体" w:hAnsi="宋体" w:eastAsia="宋体" w:cs="宋体"/>
          <w:color w:val="auto"/>
          <w:sz w:val="24"/>
          <w:szCs w:val="24"/>
          <w:highlight w:val="none"/>
          <w:u w:val="single"/>
        </w:rPr>
        <w:t>按采购人要求提供</w:t>
      </w:r>
      <w:r>
        <w:rPr>
          <w:rFonts w:hint="eastAsia" w:ascii="宋体" w:hAnsi="宋体" w:eastAsia="宋体" w:cs="宋体"/>
          <w:color w:val="auto"/>
          <w:sz w:val="24"/>
          <w:szCs w:val="24"/>
          <w:highlight w:val="none"/>
        </w:rPr>
        <w:t>。</w:t>
      </w:r>
    </w:p>
    <w:bookmarkEnd w:id="447"/>
    <w:bookmarkEnd w:id="448"/>
    <w:bookmarkEnd w:id="449"/>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14:paraId="5D95B94D">
      <w:pPr>
        <w:tabs>
          <w:tab w:val="left" w:pos="711"/>
          <w:tab w:val="left" w:pos="2580"/>
        </w:tabs>
        <w:kinsoku w:val="0"/>
        <w:autoSpaceDE w:val="0"/>
        <w:autoSpaceDN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发包人委托的第三方检测试验机构检测试验的试件所需的材料、取样、送检及相关配合工作由承包人负责完成并承担由此产生的所有相关费用。</w:t>
      </w:r>
    </w:p>
    <w:p w14:paraId="2E09039B">
      <w:pPr>
        <w:tabs>
          <w:tab w:val="left" w:pos="711"/>
          <w:tab w:val="left" w:pos="2580"/>
        </w:tabs>
        <w:kinsoku w:val="0"/>
        <w:autoSpaceDE w:val="0"/>
        <w:autoSpaceDN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（2）施工措施的检测、试验：因施工措施需要而做的相关检测、试验由承包人负责实施，其费用由承包人承担。</w:t>
      </w:r>
    </w:p>
    <w:p w14:paraId="4DC27E55">
      <w:pPr>
        <w:tabs>
          <w:tab w:val="left" w:pos="711"/>
          <w:tab w:val="left" w:pos="2580"/>
        </w:tabs>
        <w:kinsoku w:val="0"/>
        <w:autoSpaceDE w:val="0"/>
        <w:autoSpaceDN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9.4.3专项检测：</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6C8C96EF">
      <w:pPr>
        <w:tabs>
          <w:tab w:val="left" w:pos="711"/>
          <w:tab w:val="left" w:pos="2580"/>
        </w:tabs>
        <w:kinsoku w:val="0"/>
        <w:autoSpaceDE w:val="0"/>
        <w:autoSpaceDN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9.4.4若因承包人取样、制样、送检及相关配合不及时而导致工程的工期和费用增加，影响的工期不予延长，增加费用由承包人承担。</w:t>
      </w:r>
    </w:p>
    <w:p w14:paraId="6A95C942">
      <w:pPr>
        <w:tabs>
          <w:tab w:val="left" w:pos="711"/>
          <w:tab w:val="left" w:pos="2580"/>
        </w:tabs>
        <w:kinsoku w:val="0"/>
        <w:autoSpaceDE w:val="0"/>
        <w:autoSpaceDN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9.4.5检测试验不合格的项目，其缺陷处理和复测费用由承包人承担，工期不予延长。</w:t>
      </w:r>
    </w:p>
    <w:bookmarkEnd w:id="354"/>
    <w:bookmarkEnd w:id="355"/>
    <w:bookmarkEnd w:id="356"/>
    <w:bookmarkEnd w:id="357"/>
    <w:bookmarkEnd w:id="358"/>
    <w:bookmarkEnd w:id="359"/>
    <w:bookmarkEnd w:id="360"/>
    <w:bookmarkEnd w:id="361"/>
    <w:bookmarkEnd w:id="362"/>
    <w:bookmarkEnd w:id="363"/>
    <w:bookmarkEnd w:id="364"/>
    <w:bookmarkEnd w:id="365"/>
    <w:bookmarkEnd w:id="366"/>
    <w:p w14:paraId="5AD35A17">
      <w:pPr>
        <w:pStyle w:val="7"/>
        <w:kinsoku w:val="0"/>
        <w:autoSpaceDE w:val="0"/>
        <w:autoSpaceDN w:val="0"/>
        <w:adjustRightInd w:val="0"/>
        <w:snapToGrid w:val="0"/>
        <w:spacing w:before="0" w:after="0" w:line="360" w:lineRule="auto"/>
        <w:rPr>
          <w:rFonts w:hint="eastAsia" w:ascii="宋体" w:hAnsi="宋体" w:eastAsia="宋体" w:cs="宋体"/>
          <w:color w:val="auto"/>
          <w:sz w:val="24"/>
          <w:szCs w:val="24"/>
          <w:highlight w:val="none"/>
        </w:rPr>
      </w:pPr>
      <w:bookmarkStart w:id="470" w:name="_Toc532375634"/>
      <w:bookmarkStart w:id="471" w:name="_Toc532377370"/>
      <w:bookmarkStart w:id="472" w:name="_Toc267251488"/>
      <w:bookmarkStart w:id="473" w:name="_Hlk524298112"/>
      <w:bookmarkStart w:id="474" w:name="_Toc267251482"/>
      <w:bookmarkStart w:id="475" w:name="_Toc267251486"/>
      <w:bookmarkStart w:id="476" w:name="_Toc267251484"/>
      <w:bookmarkStart w:id="477" w:name="_Toc267251489"/>
      <w:bookmarkStart w:id="478" w:name="_Toc267251490"/>
      <w:bookmarkStart w:id="479" w:name="_Toc267251485"/>
      <w:bookmarkStart w:id="480" w:name="_Toc267251494"/>
      <w:bookmarkStart w:id="481" w:name="_Toc267251506"/>
      <w:bookmarkStart w:id="482" w:name="_Toc267251513"/>
      <w:bookmarkStart w:id="483" w:name="_Toc267251498"/>
      <w:bookmarkStart w:id="484" w:name="_Toc267251514"/>
      <w:bookmarkStart w:id="485" w:name="_Toc267251502"/>
      <w:bookmarkStart w:id="486" w:name="_Toc267251495"/>
      <w:bookmarkStart w:id="487" w:name="_Toc267251497"/>
      <w:bookmarkStart w:id="488" w:name="_Toc267251510"/>
      <w:bookmarkStart w:id="489" w:name="_Toc267251509"/>
      <w:bookmarkStart w:id="490" w:name="_Toc267251499"/>
      <w:bookmarkStart w:id="491" w:name="_Toc267251515"/>
      <w:bookmarkStart w:id="492" w:name="_Toc267251496"/>
      <w:bookmarkStart w:id="493" w:name="_Toc267251503"/>
      <w:bookmarkStart w:id="494" w:name="_Toc267251491"/>
      <w:bookmarkStart w:id="495" w:name="_Toc267251511"/>
      <w:bookmarkStart w:id="496" w:name="_Toc267251507"/>
      <w:bookmarkStart w:id="497" w:name="_Toc267251508"/>
      <w:bookmarkStart w:id="498" w:name="_Toc267251493"/>
      <w:bookmarkStart w:id="499" w:name="_Toc267251504"/>
      <w:bookmarkStart w:id="500" w:name="_Toc267251492"/>
      <w:bookmarkStart w:id="501" w:name="_Toc267251501"/>
      <w:r>
        <w:rPr>
          <w:rFonts w:hint="eastAsia" w:ascii="宋体" w:hAnsi="宋体" w:eastAsia="宋体" w:cs="宋体"/>
          <w:color w:val="auto"/>
          <w:sz w:val="24"/>
          <w:szCs w:val="24"/>
          <w:highlight w:val="none"/>
        </w:rPr>
        <w:t>1</w:t>
      </w:r>
      <w:bookmarkStart w:id="502" w:name="_Toc297048379"/>
      <w:bookmarkStart w:id="503" w:name="_Toc296944532"/>
      <w:bookmarkStart w:id="504" w:name="_Toc296347192"/>
      <w:bookmarkStart w:id="505" w:name="_Toc296503193"/>
      <w:bookmarkStart w:id="506" w:name="_Toc296346694"/>
      <w:bookmarkStart w:id="507" w:name="_Toc304295566"/>
      <w:bookmarkStart w:id="508" w:name="_Toc297120493"/>
      <w:bookmarkStart w:id="509" w:name="_Toc296891021"/>
      <w:bookmarkStart w:id="510" w:name="_Toc297216199"/>
      <w:bookmarkStart w:id="511" w:name="_Toc292559903"/>
      <w:bookmarkStart w:id="512" w:name="_Toc297123540"/>
      <w:bookmarkStart w:id="513" w:name="_Toc292559398"/>
      <w:bookmarkStart w:id="514" w:name="_Toc300934989"/>
      <w:bookmarkStart w:id="515" w:name="_Toc296891233"/>
      <w:bookmarkStart w:id="516" w:name="_Toc303539146"/>
      <w:bookmarkStart w:id="517" w:name="_Toc312677499"/>
      <w:bookmarkStart w:id="518" w:name="_Toc312678025"/>
      <w:bookmarkStart w:id="519" w:name="_Toc267251433"/>
      <w:bookmarkStart w:id="520" w:name="_Toc267251440"/>
      <w:bookmarkStart w:id="521" w:name="_Toc267251439"/>
      <w:bookmarkStart w:id="522" w:name="_Toc267251435"/>
      <w:bookmarkStart w:id="523" w:name="_Toc267251441"/>
      <w:bookmarkStart w:id="524" w:name="_Toc267251437"/>
      <w:r>
        <w:rPr>
          <w:rFonts w:hint="eastAsia" w:ascii="宋体" w:hAnsi="宋体" w:eastAsia="宋体" w:cs="宋体"/>
          <w:color w:val="auto"/>
          <w:sz w:val="24"/>
          <w:szCs w:val="24"/>
          <w:highlight w:val="none"/>
        </w:rPr>
        <w:t>0. 变更</w:t>
      </w:r>
      <w:bookmarkEnd w:id="470"/>
      <w:bookmarkEnd w:id="47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bookmarkEnd w:id="517"/>
    <w:bookmarkEnd w:id="518"/>
    <w:p w14:paraId="6B4852C0">
      <w:pPr>
        <w:pStyle w:val="8"/>
        <w:keepNext w:val="0"/>
        <w:keepLines w:val="0"/>
        <w:kinsoku w:val="0"/>
        <w:autoSpaceDE w:val="0"/>
        <w:autoSpaceDN w:val="0"/>
        <w:adjustRightInd w:val="0"/>
        <w:snapToGrid w:val="0"/>
        <w:spacing w:before="0" w:after="0" w:line="360" w:lineRule="auto"/>
        <w:ind w:firstLine="482" w:firstLineChars="200"/>
        <w:rPr>
          <w:rFonts w:hint="eastAsia" w:ascii="宋体" w:hAnsi="宋体" w:eastAsia="宋体" w:cs="宋体"/>
          <w:color w:val="auto"/>
          <w:kern w:val="0"/>
          <w:sz w:val="24"/>
          <w:szCs w:val="24"/>
          <w:highlight w:val="none"/>
        </w:rPr>
      </w:pPr>
      <w:bookmarkStart w:id="525" w:name="_Toc532375635"/>
      <w:bookmarkStart w:id="526" w:name="_Toc532377371"/>
      <w:r>
        <w:rPr>
          <w:rFonts w:hint="eastAsia" w:ascii="宋体" w:hAnsi="宋体" w:eastAsia="宋体" w:cs="宋体"/>
          <w:color w:val="auto"/>
          <w:sz w:val="24"/>
          <w:szCs w:val="24"/>
          <w:highlight w:val="none"/>
        </w:rPr>
        <w:t>1</w:t>
      </w:r>
      <w:bookmarkStart w:id="527" w:name="_Toc300934990"/>
      <w:bookmarkStart w:id="528" w:name="_Toc303539147"/>
      <w:bookmarkStart w:id="529" w:name="_Toc296944533"/>
      <w:bookmarkStart w:id="530" w:name="_Toc296891234"/>
      <w:bookmarkStart w:id="531" w:name="_Toc296346695"/>
      <w:bookmarkStart w:id="532" w:name="_Toc292559904"/>
      <w:bookmarkStart w:id="533" w:name="_Toc296347193"/>
      <w:bookmarkStart w:id="534" w:name="_Toc292559399"/>
      <w:bookmarkStart w:id="535" w:name="_Toc297048380"/>
      <w:bookmarkStart w:id="536" w:name="_Toc296503194"/>
      <w:bookmarkStart w:id="537" w:name="_Toc297120494"/>
      <w:bookmarkStart w:id="538" w:name="_Toc312678026"/>
      <w:bookmarkStart w:id="539" w:name="_Toc312677500"/>
      <w:bookmarkStart w:id="540" w:name="_Toc296891022"/>
      <w:bookmarkStart w:id="541" w:name="_Toc304295567"/>
      <w:bookmarkStart w:id="542" w:name="_Toc297123541"/>
      <w:bookmarkStart w:id="543" w:name="_Toc297216200"/>
      <w:r>
        <w:rPr>
          <w:rFonts w:hint="eastAsia" w:ascii="宋体" w:hAnsi="宋体" w:eastAsia="宋体" w:cs="宋体"/>
          <w:color w:val="auto"/>
          <w:sz w:val="24"/>
          <w:szCs w:val="24"/>
          <w:highlight w:val="none"/>
        </w:rPr>
        <w:t>0.1变更的范围</w:t>
      </w:r>
      <w:bookmarkEnd w:id="525"/>
      <w:bookmarkEnd w:id="526"/>
    </w:p>
    <w:p w14:paraId="31DC10A5">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关于变更范围的约定：</w:t>
      </w:r>
    </w:p>
    <w:p w14:paraId="0FC05D99">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（1）增加或减少合同中任何工作，或追加额外的工作；</w:t>
      </w:r>
    </w:p>
    <w:p w14:paraId="0298E619">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（2）取消合同中任何工作；</w:t>
      </w:r>
    </w:p>
    <w:p w14:paraId="7F711154">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（3）改变合同中任何工作的质量标准或其他特性；</w:t>
      </w:r>
    </w:p>
    <w:p w14:paraId="04D1456D">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（4）改变工程的基线、标高、位置和尺寸；</w:t>
      </w:r>
    </w:p>
    <w:p w14:paraId="6A7486EA">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（5）适用于工程的标准和（或）规范变化导致需要对工程进行改变，且该改变导致工期和（或）费用变化的；</w:t>
      </w:r>
    </w:p>
    <w:p w14:paraId="553C1AD2">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（6）勘察设计变更；</w:t>
      </w:r>
    </w:p>
    <w:p w14:paraId="2FF8984C">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（7）实施内容变更，包括因设计变更和非设计变更引起的实施地点、投资规模、结构型式、采购数量、服务内容等进行调整，以及因此导致的合同价格、工期变更；</w:t>
      </w:r>
    </w:p>
    <w:p w14:paraId="67D1CC2A">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（8）项目管理人员变更；</w:t>
      </w:r>
    </w:p>
    <w:p w14:paraId="1B867B57">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（9）非实施内容变化导致的工期变更；</w:t>
      </w:r>
    </w:p>
    <w:p w14:paraId="08B91926">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E8647C5">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承包人对其提供的材料、工程设备、施工、无负荷试车、热负荷试车及图纸参数存在的缺陷，自费修正、调整和完善，不属于变更。</w:t>
      </w:r>
    </w:p>
    <w:p w14:paraId="24B4F1D7">
      <w:pPr>
        <w:pStyle w:val="8"/>
        <w:keepNext w:val="0"/>
        <w:keepLines w:val="0"/>
        <w:kinsoku w:val="0"/>
        <w:autoSpaceDE w:val="0"/>
        <w:autoSpaceDN w:val="0"/>
        <w:adjustRightInd w:val="0"/>
        <w:snapToGrid w:val="0"/>
        <w:spacing w:before="0" w:after="0" w:line="360" w:lineRule="auto"/>
        <w:ind w:firstLine="482" w:firstLineChars="200"/>
        <w:rPr>
          <w:rFonts w:hint="eastAsia" w:ascii="宋体" w:hAnsi="宋体" w:eastAsia="宋体" w:cs="宋体"/>
          <w:color w:val="auto"/>
          <w:sz w:val="24"/>
          <w:szCs w:val="24"/>
          <w:highlight w:val="none"/>
        </w:rPr>
      </w:pPr>
      <w:bookmarkStart w:id="544" w:name="_Toc532375637"/>
      <w:bookmarkStart w:id="545" w:name="_Toc532377373"/>
      <w:bookmarkStart w:id="546" w:name="_Toc351203570"/>
      <w:bookmarkStart w:id="547" w:name="_Hlk528928195"/>
      <w:r>
        <w:rPr>
          <w:rFonts w:hint="eastAsia" w:ascii="宋体" w:hAnsi="宋体" w:eastAsia="宋体" w:cs="宋体"/>
          <w:color w:val="auto"/>
          <w:sz w:val="24"/>
          <w:szCs w:val="24"/>
          <w:highlight w:val="none"/>
        </w:rPr>
        <w:t>1</w:t>
      </w:r>
      <w:bookmarkStart w:id="548" w:name="_Toc337558790"/>
      <w:bookmarkStart w:id="549" w:name="_Toc296503086"/>
      <w:bookmarkStart w:id="550" w:name="_Toc296346587"/>
      <w:r>
        <w:rPr>
          <w:rFonts w:hint="eastAsia" w:ascii="宋体" w:hAnsi="宋体" w:eastAsia="宋体" w:cs="宋体"/>
          <w:color w:val="auto"/>
          <w:sz w:val="24"/>
          <w:szCs w:val="24"/>
          <w:highlight w:val="none"/>
        </w:rPr>
        <w:t>0.3变更程序</w:t>
      </w:r>
      <w:bookmarkEnd w:id="544"/>
      <w:bookmarkEnd w:id="545"/>
    </w:p>
    <w:bookmarkEnd w:id="548"/>
    <w:bookmarkEnd w:id="549"/>
    <w:bookmarkEnd w:id="550"/>
    <w:p w14:paraId="5DA4B3D3">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bookmarkStart w:id="551" w:name="_Hlk524353972"/>
      <w:r>
        <w:rPr>
          <w:rFonts w:hint="eastAsia" w:ascii="宋体" w:hAnsi="宋体" w:eastAsia="宋体" w:cs="宋体"/>
          <w:color w:val="auto"/>
          <w:sz w:val="24"/>
          <w:szCs w:val="24"/>
          <w:highlight w:val="none"/>
        </w:rPr>
        <w:t>10.3.3 变更执行</w:t>
      </w:r>
    </w:p>
    <w:p w14:paraId="211FBD3C">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一般设计变更：承包人收到监理（如有）人下达的变更指示后，应按照监理（如有）人下达的变更指示执行，并书面说明实施该变更指示对合同价格和工期的影响，按照第10.4.1项〔变更估价原则〕约定执行。</w:t>
      </w:r>
    </w:p>
    <w:p w14:paraId="6CFC0E56">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重大设计变更：需经设计人、监理（如有）人和发包人三方签字认可并报相关行业部门审查同意后实施。</w:t>
      </w:r>
    </w:p>
    <w:bookmarkEnd w:id="546"/>
    <w:bookmarkEnd w:id="547"/>
    <w:bookmarkEnd w:id="551"/>
    <w:p w14:paraId="28DEB65C">
      <w:pPr>
        <w:pStyle w:val="8"/>
        <w:keepNext w:val="0"/>
        <w:keepLines w:val="0"/>
        <w:kinsoku w:val="0"/>
        <w:autoSpaceDE w:val="0"/>
        <w:autoSpaceDN w:val="0"/>
        <w:adjustRightInd w:val="0"/>
        <w:snapToGrid w:val="0"/>
        <w:spacing w:before="0" w:after="0" w:line="360" w:lineRule="auto"/>
        <w:ind w:firstLine="482" w:firstLineChars="200"/>
        <w:rPr>
          <w:rFonts w:hint="eastAsia" w:ascii="宋体" w:hAnsi="宋体" w:eastAsia="宋体" w:cs="宋体"/>
          <w:color w:val="auto"/>
          <w:sz w:val="24"/>
          <w:szCs w:val="24"/>
          <w:highlight w:val="none"/>
        </w:rPr>
      </w:pPr>
      <w:bookmarkStart w:id="552" w:name="_Toc532375638"/>
      <w:bookmarkStart w:id="553" w:name="_Toc532377374"/>
      <w:r>
        <w:rPr>
          <w:rFonts w:hint="eastAsia" w:ascii="宋体" w:hAnsi="宋体" w:eastAsia="宋体" w:cs="宋体"/>
          <w:color w:val="auto"/>
          <w:sz w:val="24"/>
          <w:szCs w:val="24"/>
          <w:highlight w:val="none"/>
        </w:rPr>
        <w:t>10.4 变更估价</w:t>
      </w:r>
      <w:bookmarkEnd w:id="552"/>
      <w:bookmarkEnd w:id="553"/>
    </w:p>
    <w:p w14:paraId="1D4EFE3E">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bookmarkStart w:id="554" w:name="_Hlk524296629"/>
      <w:r>
        <w:rPr>
          <w:rFonts w:hint="eastAsia" w:ascii="宋体" w:hAnsi="宋体" w:eastAsia="宋体" w:cs="宋体"/>
          <w:color w:val="auto"/>
          <w:sz w:val="24"/>
          <w:szCs w:val="24"/>
          <w:highlight w:val="none"/>
        </w:rPr>
        <w:t>10.4.1 变更估价原则</w:t>
      </w:r>
    </w:p>
    <w:p w14:paraId="617948D0">
      <w:pPr>
        <w:pStyle w:val="9"/>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当发生工程变更时，按以下办法计价：</w:t>
      </w:r>
      <w:bookmarkStart w:id="555" w:name="_Hlk524770102"/>
    </w:p>
    <w:bookmarkEnd w:id="555"/>
    <w:p w14:paraId="3847C2EC">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10.4.1.1已标价工程量清单中有相同项目的，按照相同项目单价计算；</w:t>
      </w:r>
    </w:p>
    <w:p w14:paraId="46426CFC">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10.4.1.2已标价工程量清单中有类似项目的，参考类似项目单价计算；即：</w:t>
      </w:r>
      <w:r>
        <w:rPr>
          <w:rFonts w:hint="eastAsia" w:ascii="宋体" w:hAnsi="宋体" w:eastAsia="宋体" w:cs="宋体"/>
          <w:bCs/>
          <w:color w:val="auto"/>
          <w:kern w:val="0"/>
          <w:sz w:val="24"/>
          <w:szCs w:val="24"/>
          <w:highlight w:val="none"/>
          <w:u w:val="single"/>
        </w:rPr>
        <w:t>只调整类似清单项目中综合单价组成发生变化的主要材料价格，其余同类别的人工、机械费用、管理费、利润不调整</w:t>
      </w:r>
      <w:r>
        <w:rPr>
          <w:rFonts w:hint="eastAsia" w:ascii="宋体" w:hAnsi="宋体" w:eastAsia="宋体" w:cs="宋体"/>
          <w:color w:val="auto"/>
          <w:sz w:val="24"/>
          <w:szCs w:val="24"/>
          <w:highlight w:val="none"/>
        </w:rPr>
        <w:t>；</w:t>
      </w:r>
    </w:p>
    <w:p w14:paraId="540BFAA7">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10.4.1.3已标价工程量清单中无相同项目亦无类似项目的，按照以下原则执行：</w:t>
      </w:r>
    </w:p>
    <w:p w14:paraId="74D67FD2">
      <w:pPr>
        <w:pStyle w:val="9"/>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以</w:t>
      </w:r>
      <w:r>
        <w:rPr>
          <w:rFonts w:hint="eastAsia" w:ascii="宋体" w:hAnsi="宋体" w:cs="宋体"/>
          <w:color w:val="auto"/>
          <w:sz w:val="24"/>
          <w:szCs w:val="24"/>
          <w:highlight w:val="none"/>
          <w:u w:val="single"/>
          <w:lang w:val="en-US" w:eastAsia="zh-CN"/>
        </w:rPr>
        <w:t>比选</w:t>
      </w:r>
      <w:r>
        <w:rPr>
          <w:rFonts w:hint="eastAsia" w:ascii="宋体" w:hAnsi="宋体" w:eastAsia="宋体" w:cs="宋体"/>
          <w:color w:val="auto"/>
          <w:sz w:val="24"/>
          <w:szCs w:val="24"/>
          <w:highlight w:val="none"/>
          <w:u w:val="single"/>
        </w:rPr>
        <w:t>文件、合同条件、工程量清单、本次采购范围的施工设计图纸、国家技术和经济规范及标准《建设工程工程量清单计价规范》（GB50500-2013）、《房屋建筑与装饰工程工程量计算规范》（GB50854-2013）、《通用安装工程工程量计算规范》（GB50856-2013）、《重庆市建设工程工程量清单计价规则》（CQJJGZ-2013）、《重庆市建设工程工程量计算规则》（CQJLGZ－2013）、《重庆市绿色建筑工程计价定额》（CQLSJZDE-2018）、《重庆市通用安装工程计价定额》（CQAZDE-2018）、《重庆市房屋建筑与装饰工程计价定额》（CQJZZSDE-2018）、《重庆市房屋修缮工程计价定额》（CQXSDE-2018）、《重庆市建设工程费用定额》（CQFYDE-2018）、《重庆市建设工程混凝土及砂浆配合比表》（CQPHBB-2018）、《重庆市建设施工机械台班定额》（CQJXDE-2018）、《重庆市建设领域禁止限制使用落后技术通告(第一至八号)的通知》、《重庆市城乡建设委员会关于适用增值税新税率调整建设工程计价依据的通知》（渝建〔2019〕143号）、《重庆市建设工程安全文明施工费计取及使用管理规定》渝建管〔2024〕38号文的规定等为依据</w:t>
      </w:r>
      <w:r>
        <w:rPr>
          <w:rFonts w:hint="eastAsia" w:ascii="宋体" w:hAnsi="宋体" w:eastAsia="宋体" w:cs="宋体"/>
          <w:color w:val="auto"/>
          <w:sz w:val="24"/>
          <w:szCs w:val="24"/>
          <w:highlight w:val="none"/>
          <w:u w:val="single"/>
          <w:lang w:val="en-US" w:eastAsia="zh-CN"/>
        </w:rPr>
        <w:t>进行组价并按承包人报价浮动率下浮（认质核价的设备和材料不参与浮动），经监理人、跟审单位、发包人审定后执行。</w:t>
      </w:r>
    </w:p>
    <w:p w14:paraId="11FC1D15">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承包人报价浮动</w:t>
      </w:r>
      <w:r>
        <w:rPr>
          <w:rFonts w:hint="eastAsia" w:ascii="宋体" w:hAnsi="宋体" w:eastAsia="宋体" w:cs="宋体"/>
          <w:color w:val="auto"/>
          <w:sz w:val="24"/>
          <w:szCs w:val="24"/>
          <w:highlight w:val="none"/>
          <w:u w:val="single"/>
          <w:lang w:val="en-US" w:eastAsia="zh-CN"/>
        </w:rPr>
        <w:t>下浮</w:t>
      </w:r>
      <w:r>
        <w:rPr>
          <w:rFonts w:hint="eastAsia" w:ascii="宋体" w:hAnsi="宋体" w:eastAsia="宋体" w:cs="宋体"/>
          <w:color w:val="auto"/>
          <w:sz w:val="24"/>
          <w:szCs w:val="24"/>
          <w:highlight w:val="none"/>
          <w:u w:val="single"/>
        </w:rPr>
        <w:t>率按下列公式计算：</w:t>
      </w:r>
      <w:r>
        <w:rPr>
          <w:rFonts w:hint="eastAsia" w:ascii="宋体" w:hAnsi="宋体" w:eastAsia="宋体" w:cs="宋体"/>
          <w:color w:val="auto"/>
          <w:sz w:val="24"/>
          <w:szCs w:val="24"/>
          <w:highlight w:val="none"/>
          <w:u w:val="single"/>
          <w:lang w:val="en-US" w:eastAsia="zh-CN"/>
        </w:rPr>
        <w:t>（最高限价-中标价）÷最高限价</w:t>
      </w:r>
    </w:p>
    <w:p w14:paraId="512A4D1A">
      <w:pPr>
        <w:pStyle w:val="9"/>
        <w:kinsoku w:val="0"/>
        <w:autoSpaceDE w:val="0"/>
        <w:autoSpaceDN w:val="0"/>
        <w:adjustRightInd w:val="0"/>
        <w:snapToGrid w:val="0"/>
        <w:spacing w:line="360" w:lineRule="auto"/>
        <w:ind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）人工单价：按工程造价总站主办的施工当期《重庆工程造价》的人工单价执行。</w:t>
      </w:r>
    </w:p>
    <w:p w14:paraId="0A9AE1DF">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bookmarkStart w:id="556" w:name="_Hlk529023896"/>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）材料单价：</w:t>
      </w:r>
    </w:p>
    <w:p w14:paraId="3B7EDC85">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①按</w:t>
      </w:r>
      <w:bookmarkStart w:id="557" w:name="_Hlk529023354"/>
      <w:r>
        <w:rPr>
          <w:rFonts w:hint="eastAsia" w:ascii="宋体" w:hAnsi="宋体" w:eastAsia="宋体" w:cs="宋体"/>
          <w:color w:val="auto"/>
          <w:sz w:val="24"/>
          <w:szCs w:val="24"/>
          <w:highlight w:val="none"/>
        </w:rPr>
        <w:t>《重庆工程造价》施工当期发布的项目所在地的信息价</w:t>
      </w:r>
      <w:bookmarkEnd w:id="557"/>
      <w:r>
        <w:rPr>
          <w:rFonts w:hint="eastAsia" w:ascii="宋体" w:hAnsi="宋体" w:eastAsia="宋体" w:cs="宋体"/>
          <w:color w:val="auto"/>
          <w:sz w:val="24"/>
          <w:szCs w:val="24"/>
          <w:highlight w:val="none"/>
        </w:rPr>
        <w:t>执行；</w:t>
      </w:r>
    </w:p>
    <w:p w14:paraId="1CD1CDC5">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②《重庆工程造价》施工当期中没有的，承包人</w:t>
      </w:r>
      <w:r>
        <w:rPr>
          <w:rFonts w:hint="eastAsia" w:ascii="宋体" w:hAnsi="宋体" w:eastAsia="宋体" w:cs="宋体"/>
          <w:color w:val="auto"/>
          <w:sz w:val="24"/>
          <w:szCs w:val="24"/>
          <w:highlight w:val="none"/>
          <w:lang w:eastAsia="zh-CN"/>
        </w:rPr>
        <w:t>响应报价</w:t>
      </w:r>
      <w:r>
        <w:rPr>
          <w:rFonts w:hint="eastAsia" w:ascii="宋体" w:hAnsi="宋体" w:eastAsia="宋体" w:cs="宋体"/>
          <w:color w:val="auto"/>
          <w:sz w:val="24"/>
          <w:szCs w:val="24"/>
          <w:highlight w:val="none"/>
        </w:rPr>
        <w:t>中有的，按承包人</w:t>
      </w:r>
      <w:r>
        <w:rPr>
          <w:rFonts w:hint="eastAsia" w:ascii="宋体" w:hAnsi="宋体" w:eastAsia="宋体" w:cs="宋体"/>
          <w:color w:val="auto"/>
          <w:sz w:val="24"/>
          <w:szCs w:val="24"/>
          <w:highlight w:val="none"/>
          <w:lang w:eastAsia="zh-CN"/>
        </w:rPr>
        <w:t>响应报价</w:t>
      </w:r>
      <w:r>
        <w:rPr>
          <w:rFonts w:hint="eastAsia" w:ascii="宋体" w:hAnsi="宋体" w:eastAsia="宋体" w:cs="宋体"/>
          <w:color w:val="auto"/>
          <w:sz w:val="24"/>
          <w:szCs w:val="24"/>
          <w:highlight w:val="none"/>
        </w:rPr>
        <w:t>中相同材料单价的最低值执行；</w:t>
      </w:r>
    </w:p>
    <w:p w14:paraId="0EBE9EC3">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③《重庆工程造价》施工当期和承包人</w:t>
      </w:r>
      <w:r>
        <w:rPr>
          <w:rFonts w:hint="eastAsia" w:ascii="宋体" w:hAnsi="宋体" w:eastAsia="宋体" w:cs="宋体"/>
          <w:color w:val="auto"/>
          <w:sz w:val="24"/>
          <w:szCs w:val="24"/>
          <w:highlight w:val="none"/>
          <w:lang w:eastAsia="zh-CN"/>
        </w:rPr>
        <w:t>响应报价</w:t>
      </w:r>
      <w:r>
        <w:rPr>
          <w:rFonts w:hint="eastAsia" w:ascii="宋体" w:hAnsi="宋体" w:eastAsia="宋体" w:cs="宋体"/>
          <w:color w:val="auto"/>
          <w:sz w:val="24"/>
          <w:szCs w:val="24"/>
          <w:highlight w:val="none"/>
        </w:rPr>
        <w:t>没有的，由承包人申报、监理（如有）人会同跟审单位、发包人根据市场行情认质核价确定。</w:t>
      </w:r>
    </w:p>
    <w:bookmarkEnd w:id="556"/>
    <w:p w14:paraId="0CA1B96A">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）企业管理费和利润：按承包人</w:t>
      </w:r>
      <w:r>
        <w:rPr>
          <w:rFonts w:hint="eastAsia" w:ascii="宋体" w:hAnsi="宋体" w:eastAsia="宋体" w:cs="宋体"/>
          <w:color w:val="auto"/>
          <w:sz w:val="24"/>
          <w:szCs w:val="24"/>
          <w:highlight w:val="none"/>
          <w:lang w:eastAsia="zh-CN"/>
        </w:rPr>
        <w:t>响应报价</w:t>
      </w:r>
      <w:r>
        <w:rPr>
          <w:rFonts w:hint="eastAsia" w:ascii="宋体" w:hAnsi="宋体" w:eastAsia="宋体" w:cs="宋体"/>
          <w:color w:val="auto"/>
          <w:sz w:val="24"/>
          <w:szCs w:val="24"/>
          <w:highlight w:val="none"/>
        </w:rPr>
        <w:t>中相同工程分类的费用标准执行（</w:t>
      </w:r>
      <w:r>
        <w:rPr>
          <w:rFonts w:hint="eastAsia" w:ascii="宋体" w:hAnsi="宋体" w:eastAsia="宋体" w:cs="宋体"/>
          <w:color w:val="auto"/>
          <w:sz w:val="24"/>
          <w:szCs w:val="24"/>
          <w:highlight w:val="none"/>
          <w:lang w:eastAsia="zh-CN"/>
        </w:rPr>
        <w:t>响应报价</w:t>
      </w:r>
      <w:r>
        <w:rPr>
          <w:rFonts w:hint="eastAsia" w:ascii="宋体" w:hAnsi="宋体" w:eastAsia="宋体" w:cs="宋体"/>
          <w:color w:val="auto"/>
          <w:sz w:val="24"/>
          <w:szCs w:val="24"/>
          <w:highlight w:val="none"/>
        </w:rPr>
        <w:t>中费用标准高于《重庆市建设工程费用定额》（CQFYDE-2018）费用标准的，按《重庆市建设工程费用定额》（CQFYDE-2018）费用标准执行）。</w:t>
      </w:r>
    </w:p>
    <w:p w14:paraId="301A5D08">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）规费：按《重庆市建设工程费用定额》（CQFYDE-2018）费用标准进行计算。</w:t>
      </w:r>
    </w:p>
    <w:p w14:paraId="4A15A8BE">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）税金：包含增值税、城市维护建设税、教育费附加、地方教育附加以及环境保护税。其中增值税按《重庆市建设工程费用定额》（CQFYDE-2018）规定及配套文件执行。</w:t>
      </w:r>
    </w:p>
    <w:p w14:paraId="3F94D961">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10.4.1.4已标价工程量清单中无相同项目亦无类似项目，也无定额可套用的，由承包人会同监理（如有）人、跟审单位、发包人按相关原则、编制方法编制补充定额（人工、材料、机械基价执行2018年计价定额的基价，2018年计价定额没有的基价，按市场价计），按照第10.4.1项〔变更估价原则〕（3）目约定执行；或参照重庆市场相同工作的市场价格上报监理（如有）人，最终价格按承包人、监理（如有）人、跟审单位、发包人共同询价确认的价格执行。</w:t>
      </w:r>
    </w:p>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54"/>
    <w:p w14:paraId="3BB52005">
      <w:pPr>
        <w:pStyle w:val="7"/>
        <w:kinsoku w:val="0"/>
        <w:autoSpaceDE w:val="0"/>
        <w:autoSpaceDN w:val="0"/>
        <w:adjustRightInd w:val="0"/>
        <w:snapToGrid w:val="0"/>
        <w:spacing w:before="0" w:after="0" w:line="360" w:lineRule="auto"/>
        <w:ind w:firstLine="482" w:firstLineChars="200"/>
        <w:rPr>
          <w:rFonts w:hint="eastAsia" w:ascii="宋体" w:hAnsi="宋体" w:eastAsia="宋体" w:cs="宋体"/>
          <w:color w:val="auto"/>
          <w:sz w:val="24"/>
          <w:szCs w:val="24"/>
          <w:highlight w:val="none"/>
        </w:rPr>
      </w:pPr>
      <w:bookmarkStart w:id="558" w:name="_Toc351203643"/>
      <w:bookmarkStart w:id="559" w:name="_Toc532375642"/>
      <w:bookmarkStart w:id="560" w:name="_Toc532377378"/>
      <w:r>
        <w:rPr>
          <w:rFonts w:hint="eastAsia" w:ascii="宋体" w:hAnsi="宋体" w:eastAsia="宋体" w:cs="宋体"/>
          <w:color w:val="auto"/>
          <w:sz w:val="24"/>
          <w:szCs w:val="24"/>
          <w:highlight w:val="none"/>
        </w:rPr>
        <w:t>11. 价格调整</w:t>
      </w:r>
      <w:bookmarkEnd w:id="558"/>
      <w:bookmarkEnd w:id="559"/>
      <w:bookmarkEnd w:id="560"/>
    </w:p>
    <w:p w14:paraId="25E43BE0">
      <w:pPr>
        <w:pStyle w:val="8"/>
        <w:keepNext w:val="0"/>
        <w:keepLines w:val="0"/>
        <w:kinsoku w:val="0"/>
        <w:autoSpaceDE w:val="0"/>
        <w:autoSpaceDN w:val="0"/>
        <w:adjustRightInd w:val="0"/>
        <w:snapToGrid w:val="0"/>
        <w:spacing w:before="0" w:after="0" w:line="360" w:lineRule="auto"/>
        <w:ind w:firstLine="482" w:firstLineChars="200"/>
        <w:rPr>
          <w:rFonts w:hint="eastAsia" w:ascii="宋体" w:hAnsi="宋体" w:eastAsia="宋体" w:cs="宋体"/>
          <w:color w:val="auto"/>
          <w:kern w:val="0"/>
          <w:sz w:val="24"/>
          <w:szCs w:val="24"/>
          <w:highlight w:val="none"/>
        </w:rPr>
      </w:pPr>
      <w:bookmarkStart w:id="561" w:name="_Toc532375643"/>
      <w:bookmarkStart w:id="562" w:name="_Toc532377379"/>
      <w:bookmarkStart w:id="563" w:name="_Toc296347200"/>
      <w:bookmarkStart w:id="564" w:name="_Toc312678039"/>
      <w:bookmarkStart w:id="565" w:name="_Toc296891241"/>
      <w:bookmarkStart w:id="566" w:name="_Toc296944540"/>
      <w:bookmarkStart w:id="567" w:name="_Toc303539157"/>
      <w:bookmarkStart w:id="568" w:name="_Toc297123550"/>
      <w:bookmarkStart w:id="569" w:name="_Toc297048387"/>
      <w:bookmarkStart w:id="570" w:name="_Toc297120501"/>
      <w:bookmarkStart w:id="571" w:name="_Toc292559911"/>
      <w:bookmarkStart w:id="572" w:name="_Toc304295577"/>
      <w:bookmarkStart w:id="573" w:name="_Toc296891029"/>
      <w:bookmarkStart w:id="574" w:name="_Toc300935000"/>
      <w:bookmarkStart w:id="575" w:name="_Toc292559406"/>
      <w:bookmarkStart w:id="576" w:name="_Toc296346702"/>
      <w:bookmarkStart w:id="577" w:name="_Toc297216209"/>
      <w:bookmarkStart w:id="578" w:name="_Toc296503201"/>
      <w:r>
        <w:rPr>
          <w:rFonts w:hint="eastAsia" w:ascii="宋体" w:hAnsi="宋体" w:eastAsia="宋体" w:cs="宋体"/>
          <w:color w:val="auto"/>
          <w:sz w:val="24"/>
          <w:szCs w:val="24"/>
          <w:highlight w:val="none"/>
        </w:rPr>
        <w:t>11.1 市场价格波动引起的调整</w:t>
      </w:r>
      <w:bookmarkEnd w:id="561"/>
      <w:bookmarkEnd w:id="562"/>
    </w:p>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14:paraId="5E04CA7D">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bookmarkStart w:id="579" w:name="_Toc466913963"/>
      <w:bookmarkStart w:id="580" w:name="_Toc466913513"/>
      <w:bookmarkStart w:id="581" w:name="_Toc467689641"/>
      <w:bookmarkStart w:id="582" w:name="_Toc466911545"/>
      <w:r>
        <w:rPr>
          <w:rFonts w:hint="eastAsia" w:ascii="宋体" w:hAnsi="宋体" w:eastAsia="宋体" w:cs="宋体"/>
          <w:color w:val="auto"/>
          <w:sz w:val="24"/>
          <w:szCs w:val="24"/>
          <w:highlight w:val="none"/>
        </w:rPr>
        <w:t>市场价格波动是否调整合同价格的约定：</w:t>
      </w:r>
      <w:r>
        <w:rPr>
          <w:rFonts w:hint="eastAsia" w:ascii="宋体" w:hAnsi="宋体" w:eastAsia="宋体" w:cs="宋体"/>
          <w:color w:val="auto"/>
          <w:sz w:val="24"/>
          <w:szCs w:val="24"/>
          <w:highlight w:val="none"/>
          <w:u w:val="single"/>
        </w:rPr>
        <w:t>不调整</w:t>
      </w:r>
      <w:r>
        <w:rPr>
          <w:rFonts w:hint="eastAsia" w:ascii="宋体" w:hAnsi="宋体" w:eastAsia="宋体" w:cs="宋体"/>
          <w:color w:val="auto"/>
          <w:sz w:val="24"/>
          <w:szCs w:val="24"/>
          <w:highlight w:val="none"/>
        </w:rPr>
        <w:t>。</w:t>
      </w:r>
    </w:p>
    <w:p w14:paraId="0564E4E0">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因市场价格波动调整合同价格，采用以下第2种方式对合同价格进行调整：</w:t>
      </w:r>
    </w:p>
    <w:p w14:paraId="70365A82">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第1种方式：</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305FC312">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关于各可调因子、定值和变值权重，以及基本价格指数及其来源的约定：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72709DB">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第2种方式：</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53EEB885">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bookmarkStart w:id="583" w:name="_Hlk524296901"/>
      <w:r>
        <w:rPr>
          <w:rFonts w:hint="eastAsia" w:ascii="宋体" w:hAnsi="宋体" w:eastAsia="宋体" w:cs="宋体"/>
          <w:color w:val="auto"/>
          <w:sz w:val="24"/>
          <w:szCs w:val="24"/>
          <w:highlight w:val="none"/>
        </w:rPr>
        <w:t>11.1.1人工费价差调整办法</w:t>
      </w:r>
      <w:bookmarkEnd w:id="579"/>
      <w:bookmarkEnd w:id="580"/>
      <w:bookmarkEnd w:id="581"/>
      <w:bookmarkEnd w:id="582"/>
      <w:r>
        <w:rPr>
          <w:rFonts w:hint="eastAsia" w:ascii="宋体" w:hAnsi="宋体" w:eastAsia="宋体" w:cs="宋体"/>
          <w:color w:val="auto"/>
          <w:sz w:val="24"/>
          <w:szCs w:val="24"/>
          <w:highlight w:val="none"/>
        </w:rPr>
        <w:t>：不调整</w:t>
      </w:r>
    </w:p>
    <w:bookmarkEnd w:id="583"/>
    <w:p w14:paraId="23FD8BB5">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bookmarkStart w:id="584" w:name="_Toc466913516"/>
      <w:bookmarkStart w:id="585" w:name="_Toc467689644"/>
      <w:bookmarkStart w:id="586" w:name="_Toc466913966"/>
      <w:bookmarkStart w:id="587" w:name="_Toc466911548"/>
      <w:bookmarkStart w:id="588" w:name="_Hlk524297138"/>
      <w:r>
        <w:rPr>
          <w:rFonts w:hint="eastAsia" w:ascii="宋体" w:hAnsi="宋体" w:eastAsia="宋体" w:cs="宋体"/>
          <w:color w:val="auto"/>
          <w:sz w:val="24"/>
          <w:szCs w:val="24"/>
          <w:highlight w:val="none"/>
        </w:rPr>
        <w:t>11.1.2 材料费价差调整</w:t>
      </w:r>
      <w:bookmarkEnd w:id="584"/>
      <w:bookmarkEnd w:id="585"/>
      <w:bookmarkEnd w:id="586"/>
      <w:bookmarkEnd w:id="587"/>
      <w:r>
        <w:rPr>
          <w:rFonts w:hint="eastAsia" w:ascii="宋体" w:hAnsi="宋体" w:eastAsia="宋体" w:cs="宋体"/>
          <w:color w:val="auto"/>
          <w:sz w:val="24"/>
          <w:szCs w:val="24"/>
          <w:highlight w:val="none"/>
        </w:rPr>
        <w:t>办法：不调整</w:t>
      </w:r>
    </w:p>
    <w:bookmarkEnd w:id="519"/>
    <w:bookmarkEnd w:id="520"/>
    <w:bookmarkEnd w:id="521"/>
    <w:bookmarkEnd w:id="522"/>
    <w:bookmarkEnd w:id="523"/>
    <w:bookmarkEnd w:id="524"/>
    <w:bookmarkEnd w:id="588"/>
    <w:p w14:paraId="304ED449">
      <w:pPr>
        <w:pStyle w:val="8"/>
        <w:keepNext w:val="0"/>
        <w:keepLines w:val="0"/>
        <w:kinsoku w:val="0"/>
        <w:autoSpaceDE w:val="0"/>
        <w:autoSpaceDN w:val="0"/>
        <w:adjustRightInd w:val="0"/>
        <w:snapToGrid w:val="0"/>
        <w:spacing w:before="0" w:after="0" w:line="360" w:lineRule="auto"/>
        <w:ind w:firstLine="482" w:firstLineChars="200"/>
        <w:rPr>
          <w:rFonts w:hint="eastAsia" w:ascii="宋体" w:hAnsi="宋体" w:eastAsia="宋体" w:cs="宋体"/>
          <w:color w:val="auto"/>
          <w:sz w:val="24"/>
          <w:szCs w:val="24"/>
          <w:highlight w:val="none"/>
        </w:rPr>
      </w:pPr>
      <w:bookmarkStart w:id="589" w:name="_Toc532377381"/>
      <w:bookmarkStart w:id="590" w:name="_Toc532375645"/>
      <w:bookmarkStart w:id="591" w:name="_Toc296346706"/>
      <w:bookmarkStart w:id="592" w:name="_Toc296891033"/>
      <w:bookmarkStart w:id="593" w:name="_Toc296891245"/>
      <w:bookmarkStart w:id="594" w:name="_Toc297048391"/>
      <w:bookmarkStart w:id="595" w:name="_Toc296944544"/>
      <w:bookmarkStart w:id="596" w:name="_Toc296503205"/>
      <w:bookmarkStart w:id="597" w:name="_Toc297120505"/>
      <w:bookmarkStart w:id="598" w:name="_Toc296347204"/>
      <w:bookmarkStart w:id="599" w:name="_Toc292559410"/>
      <w:bookmarkStart w:id="600" w:name="_Toc292559915"/>
      <w:bookmarkStart w:id="601" w:name="_Toc351203644"/>
      <w:bookmarkStart w:id="602" w:name="_Toc304295579"/>
      <w:bookmarkStart w:id="603" w:name="_Toc297216211"/>
      <w:bookmarkStart w:id="604" w:name="_Toc303539159"/>
      <w:bookmarkStart w:id="605" w:name="_Toc297123552"/>
      <w:bookmarkStart w:id="606" w:name="_Toc300935002"/>
      <w:bookmarkStart w:id="607" w:name="_Toc312678040"/>
      <w:r>
        <w:rPr>
          <w:rFonts w:hint="eastAsia" w:ascii="宋体" w:hAnsi="宋体" w:eastAsia="宋体" w:cs="宋体"/>
          <w:color w:val="auto"/>
          <w:sz w:val="24"/>
          <w:szCs w:val="24"/>
          <w:highlight w:val="none"/>
        </w:rPr>
        <w:t>11.3 严重不平衡报价引起的调整</w:t>
      </w:r>
      <w:bookmarkEnd w:id="589"/>
      <w:bookmarkEnd w:id="590"/>
      <w:r>
        <w:rPr>
          <w:rFonts w:hint="eastAsia" w:ascii="宋体" w:hAnsi="宋体" w:eastAsia="宋体" w:cs="宋体"/>
          <w:color w:val="auto"/>
          <w:sz w:val="24"/>
          <w:szCs w:val="24"/>
          <w:highlight w:val="none"/>
        </w:rPr>
        <w:t>：不调整</w:t>
      </w:r>
    </w:p>
    <w:p w14:paraId="31F32A43">
      <w:pPr>
        <w:pStyle w:val="7"/>
        <w:kinsoku w:val="0"/>
        <w:autoSpaceDE w:val="0"/>
        <w:autoSpaceDN w:val="0"/>
        <w:adjustRightInd w:val="0"/>
        <w:snapToGrid w:val="0"/>
        <w:spacing w:before="0" w:after="0" w:line="360" w:lineRule="auto"/>
        <w:ind w:firstLine="482" w:firstLineChars="200"/>
        <w:rPr>
          <w:rFonts w:hint="eastAsia" w:ascii="宋体" w:hAnsi="宋体" w:eastAsia="宋体" w:cs="宋体"/>
          <w:color w:val="auto"/>
          <w:sz w:val="24"/>
          <w:szCs w:val="24"/>
          <w:highlight w:val="none"/>
        </w:rPr>
      </w:pPr>
      <w:bookmarkStart w:id="608" w:name="_Toc532377382"/>
      <w:bookmarkStart w:id="609" w:name="_Toc532375646"/>
      <w:r>
        <w:rPr>
          <w:rFonts w:hint="eastAsia" w:ascii="宋体" w:hAnsi="宋体" w:eastAsia="宋体" w:cs="宋体"/>
          <w:color w:val="auto"/>
          <w:sz w:val="24"/>
          <w:szCs w:val="24"/>
          <w:highlight w:val="none"/>
        </w:rPr>
        <w:t xml:space="preserve">12. </w:t>
      </w:r>
      <w:bookmarkEnd w:id="591"/>
      <w:bookmarkEnd w:id="592"/>
      <w:bookmarkEnd w:id="593"/>
      <w:bookmarkEnd w:id="594"/>
      <w:bookmarkEnd w:id="595"/>
      <w:bookmarkEnd w:id="596"/>
      <w:bookmarkEnd w:id="597"/>
      <w:bookmarkEnd w:id="598"/>
      <w:bookmarkEnd w:id="599"/>
      <w:bookmarkEnd w:id="600"/>
      <w:r>
        <w:rPr>
          <w:rFonts w:hint="eastAsia" w:ascii="宋体" w:hAnsi="宋体" w:eastAsia="宋体" w:cs="宋体"/>
          <w:color w:val="auto"/>
          <w:sz w:val="24"/>
          <w:szCs w:val="24"/>
          <w:highlight w:val="none"/>
        </w:rPr>
        <w:t>合同价格、计量与支付</w:t>
      </w:r>
      <w:bookmarkEnd w:id="601"/>
      <w:bookmarkEnd w:id="608"/>
      <w:bookmarkEnd w:id="609"/>
    </w:p>
    <w:bookmarkEnd w:id="602"/>
    <w:bookmarkEnd w:id="603"/>
    <w:bookmarkEnd w:id="604"/>
    <w:bookmarkEnd w:id="605"/>
    <w:bookmarkEnd w:id="606"/>
    <w:bookmarkEnd w:id="607"/>
    <w:p w14:paraId="7129E255">
      <w:pPr>
        <w:pStyle w:val="8"/>
        <w:keepNext w:val="0"/>
        <w:keepLines w:val="0"/>
        <w:kinsoku w:val="0"/>
        <w:autoSpaceDE w:val="0"/>
        <w:autoSpaceDN w:val="0"/>
        <w:adjustRightInd w:val="0"/>
        <w:snapToGrid w:val="0"/>
        <w:spacing w:before="0" w:after="0" w:line="360" w:lineRule="auto"/>
        <w:ind w:firstLine="482" w:firstLineChars="200"/>
        <w:rPr>
          <w:rFonts w:hint="eastAsia" w:ascii="宋体" w:hAnsi="宋体" w:eastAsia="宋体" w:cs="宋体"/>
          <w:color w:val="auto"/>
          <w:kern w:val="0"/>
          <w:sz w:val="24"/>
          <w:szCs w:val="24"/>
          <w:highlight w:val="none"/>
        </w:rPr>
      </w:pPr>
      <w:bookmarkStart w:id="610" w:name="_Toc292559916"/>
      <w:bookmarkStart w:id="611" w:name="_Toc292559411"/>
      <w:bookmarkStart w:id="612" w:name="_Toc267251461"/>
      <w:bookmarkStart w:id="613" w:name="_Toc296944545"/>
      <w:bookmarkStart w:id="614" w:name="_Toc296347205"/>
      <w:bookmarkStart w:id="615" w:name="_Toc296891246"/>
      <w:bookmarkStart w:id="616" w:name="_Toc296503206"/>
      <w:bookmarkStart w:id="617" w:name="_Toc297048392"/>
      <w:bookmarkStart w:id="618" w:name="_Toc297120506"/>
      <w:bookmarkStart w:id="619" w:name="_Toc296891034"/>
      <w:bookmarkStart w:id="620" w:name="_Toc296346707"/>
      <w:bookmarkStart w:id="621" w:name="_Toc532375647"/>
      <w:bookmarkStart w:id="622" w:name="_Toc532377383"/>
      <w:bookmarkStart w:id="623" w:name="_Toc300935003"/>
      <w:bookmarkStart w:id="624" w:name="_Toc312678041"/>
      <w:bookmarkStart w:id="625" w:name="_Toc297123553"/>
      <w:bookmarkStart w:id="626" w:name="_Toc297216212"/>
      <w:bookmarkStart w:id="627" w:name="_Toc304295580"/>
      <w:bookmarkStart w:id="628" w:name="_Toc303539160"/>
      <w:r>
        <w:rPr>
          <w:rFonts w:hint="eastAsia" w:ascii="宋体" w:hAnsi="宋体" w:eastAsia="宋体" w:cs="宋体"/>
          <w:color w:val="auto"/>
          <w:sz w:val="24"/>
          <w:szCs w:val="24"/>
          <w:highlight w:val="none"/>
        </w:rPr>
        <w:t>12.1 合</w:t>
      </w:r>
      <w:bookmarkEnd w:id="610"/>
      <w:bookmarkEnd w:id="611"/>
      <w:bookmarkEnd w:id="612"/>
      <w:r>
        <w:rPr>
          <w:rFonts w:hint="eastAsia" w:ascii="宋体" w:hAnsi="宋体" w:eastAsia="宋体" w:cs="宋体"/>
          <w:color w:val="auto"/>
          <w:sz w:val="24"/>
          <w:szCs w:val="24"/>
          <w:highlight w:val="none"/>
        </w:rPr>
        <w:t>同价</w:t>
      </w:r>
      <w:bookmarkEnd w:id="613"/>
      <w:bookmarkEnd w:id="614"/>
      <w:bookmarkEnd w:id="615"/>
      <w:bookmarkEnd w:id="616"/>
      <w:bookmarkEnd w:id="617"/>
      <w:bookmarkEnd w:id="618"/>
      <w:bookmarkEnd w:id="619"/>
      <w:bookmarkEnd w:id="620"/>
      <w:r>
        <w:rPr>
          <w:rFonts w:hint="eastAsia" w:ascii="宋体" w:hAnsi="宋体" w:eastAsia="宋体" w:cs="宋体"/>
          <w:color w:val="auto"/>
          <w:sz w:val="24"/>
          <w:szCs w:val="24"/>
          <w:highlight w:val="none"/>
        </w:rPr>
        <w:t>格形式</w:t>
      </w:r>
      <w:bookmarkEnd w:id="621"/>
      <w:bookmarkEnd w:id="622"/>
    </w:p>
    <w:bookmarkEnd w:id="623"/>
    <w:bookmarkEnd w:id="624"/>
    <w:bookmarkEnd w:id="625"/>
    <w:bookmarkEnd w:id="626"/>
    <w:bookmarkEnd w:id="627"/>
    <w:bookmarkEnd w:id="628"/>
    <w:p w14:paraId="53427079">
      <w:pPr>
        <w:tabs>
          <w:tab w:val="left" w:pos="1134"/>
        </w:tabs>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1、单价合同。</w:t>
      </w:r>
    </w:p>
    <w:p w14:paraId="071DE542">
      <w:pPr>
        <w:tabs>
          <w:tab w:val="left" w:pos="1134"/>
        </w:tabs>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包含的风险范围：包括但不限于为实施和完成合同工程所需的人工费、材料费、施工机具使用费、企业管理费、利润、风险费、施工技术措施项目费、施工组织措施项目费、总承包服务费、规费和税金及缺陷修复等费用，以及第11.1款〔市场价格波动引起的调整〕约定范围内的市场价格波动风险、政策性文件规定的各项应有费用、比选文件和合同明示或暗示的应由承包人承担的所有责任、义务和风险等所需的费用。</w:t>
      </w:r>
    </w:p>
    <w:p w14:paraId="70346E17">
      <w:pPr>
        <w:tabs>
          <w:tab w:val="left" w:pos="1134"/>
        </w:tabs>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风险费用的计算方法：由承包人自行考虑并计入签约合同价格中，包干使用，不作单独调整。</w:t>
      </w:r>
    </w:p>
    <w:p w14:paraId="5C3306FD">
      <w:pPr>
        <w:tabs>
          <w:tab w:val="left" w:pos="1134"/>
        </w:tabs>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风险范围以外合同价格的调整方法：不采用。</w:t>
      </w:r>
    </w:p>
    <w:p w14:paraId="7714607F">
      <w:pPr>
        <w:pStyle w:val="8"/>
        <w:keepNext w:val="0"/>
        <w:keepLines w:val="0"/>
        <w:kinsoku w:val="0"/>
        <w:autoSpaceDE w:val="0"/>
        <w:autoSpaceDN w:val="0"/>
        <w:adjustRightInd w:val="0"/>
        <w:snapToGrid w:val="0"/>
        <w:spacing w:before="0" w:after="0" w:line="360" w:lineRule="auto"/>
        <w:ind w:firstLine="482" w:firstLineChars="200"/>
        <w:rPr>
          <w:rFonts w:hint="eastAsia" w:ascii="宋体" w:hAnsi="宋体" w:eastAsia="宋体" w:cs="宋体"/>
          <w:color w:val="auto"/>
          <w:sz w:val="24"/>
          <w:szCs w:val="24"/>
          <w:highlight w:val="none"/>
        </w:rPr>
      </w:pPr>
      <w:bookmarkStart w:id="629" w:name="_Toc532377384"/>
      <w:bookmarkStart w:id="630" w:name="_Toc532375648"/>
      <w:bookmarkStart w:id="631" w:name="_Toc312678042"/>
      <w:bookmarkStart w:id="632" w:name="_Toc303539161"/>
      <w:bookmarkStart w:id="633" w:name="_Toc304295581"/>
      <w:bookmarkStart w:id="634" w:name="_Toc297123554"/>
      <w:bookmarkStart w:id="635" w:name="_Toc300935004"/>
      <w:bookmarkStart w:id="636" w:name="_Toc297216213"/>
      <w:bookmarkStart w:id="637" w:name="_Toc296891035"/>
      <w:bookmarkStart w:id="638" w:name="_Toc296891247"/>
      <w:bookmarkStart w:id="639" w:name="_Toc297048393"/>
      <w:bookmarkStart w:id="640" w:name="_Toc296503207"/>
      <w:bookmarkStart w:id="641" w:name="_Toc297120507"/>
      <w:bookmarkStart w:id="642" w:name="_Toc292559412"/>
      <w:bookmarkStart w:id="643" w:name="_Toc292559917"/>
      <w:bookmarkStart w:id="644" w:name="_Toc296346708"/>
      <w:bookmarkStart w:id="645" w:name="_Toc296347206"/>
      <w:bookmarkStart w:id="646" w:name="_Toc296944546"/>
      <w:r>
        <w:rPr>
          <w:rFonts w:hint="eastAsia" w:ascii="宋体" w:hAnsi="宋体" w:eastAsia="宋体" w:cs="宋体"/>
          <w:color w:val="auto"/>
          <w:sz w:val="24"/>
          <w:szCs w:val="24"/>
          <w:highlight w:val="none"/>
        </w:rPr>
        <w:t>12.2 预付款</w:t>
      </w:r>
      <w:bookmarkEnd w:id="629"/>
      <w:bookmarkEnd w:id="630"/>
    </w:p>
    <w:bookmarkEnd w:id="631"/>
    <w:bookmarkEnd w:id="632"/>
    <w:bookmarkEnd w:id="633"/>
    <w:bookmarkEnd w:id="634"/>
    <w:bookmarkEnd w:id="635"/>
    <w:bookmarkEnd w:id="636"/>
    <w:p w14:paraId="27AF70EC">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12.2.1 预付款的支付</w:t>
      </w:r>
    </w:p>
    <w:p w14:paraId="08E11CA7">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预付款支付比例或金额：</w:t>
      </w:r>
      <w:r>
        <w:rPr>
          <w:rFonts w:hint="eastAsia" w:ascii="宋体" w:hAnsi="宋体" w:eastAsia="宋体" w:cs="宋体"/>
          <w:color w:val="auto"/>
          <w:sz w:val="24"/>
          <w:szCs w:val="24"/>
          <w:highlight w:val="none"/>
          <w:u w:val="single"/>
        </w:rPr>
        <w:t>无预付款</w:t>
      </w:r>
      <w:r>
        <w:rPr>
          <w:rFonts w:hint="eastAsia" w:ascii="宋体" w:hAnsi="宋体" w:eastAsia="宋体" w:cs="宋体"/>
          <w:color w:val="auto"/>
          <w:sz w:val="24"/>
          <w:szCs w:val="24"/>
          <w:highlight w:val="none"/>
        </w:rPr>
        <w:t>。</w:t>
      </w:r>
    </w:p>
    <w:p w14:paraId="08ED4D6C">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预付款支付期限：</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166CC8A2">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预付款扣回的方式：</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bookmarkEnd w:id="637"/>
    <w:bookmarkEnd w:id="638"/>
    <w:bookmarkEnd w:id="639"/>
    <w:bookmarkEnd w:id="640"/>
    <w:bookmarkEnd w:id="641"/>
    <w:bookmarkEnd w:id="642"/>
    <w:bookmarkEnd w:id="643"/>
    <w:bookmarkEnd w:id="644"/>
    <w:bookmarkEnd w:id="645"/>
    <w:bookmarkEnd w:id="646"/>
    <w:p w14:paraId="09FA0438">
      <w:pPr>
        <w:pStyle w:val="8"/>
        <w:keepNext w:val="0"/>
        <w:keepLines w:val="0"/>
        <w:kinsoku w:val="0"/>
        <w:autoSpaceDE w:val="0"/>
        <w:autoSpaceDN w:val="0"/>
        <w:adjustRightInd w:val="0"/>
        <w:snapToGrid w:val="0"/>
        <w:spacing w:before="0" w:after="0" w:line="360" w:lineRule="auto"/>
        <w:ind w:firstLine="482" w:firstLineChars="200"/>
        <w:rPr>
          <w:rFonts w:hint="eastAsia" w:ascii="宋体" w:hAnsi="宋体" w:eastAsia="宋体" w:cs="宋体"/>
          <w:color w:val="auto"/>
          <w:sz w:val="24"/>
          <w:szCs w:val="24"/>
          <w:highlight w:val="none"/>
        </w:rPr>
      </w:pPr>
      <w:bookmarkStart w:id="647" w:name="_Toc532375649"/>
      <w:bookmarkStart w:id="648" w:name="_Toc532377385"/>
      <w:r>
        <w:rPr>
          <w:rFonts w:hint="eastAsia" w:ascii="宋体" w:hAnsi="宋体" w:eastAsia="宋体" w:cs="宋体"/>
          <w:color w:val="auto"/>
          <w:sz w:val="24"/>
          <w:szCs w:val="24"/>
          <w:highlight w:val="none"/>
        </w:rPr>
        <w:t>12.3 计量</w:t>
      </w:r>
      <w:bookmarkEnd w:id="647"/>
      <w:bookmarkEnd w:id="648"/>
    </w:p>
    <w:p w14:paraId="573BD79D">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bookmarkStart w:id="649" w:name="_Hlk528928260"/>
      <w:r>
        <w:rPr>
          <w:rFonts w:hint="eastAsia" w:ascii="宋体" w:hAnsi="宋体" w:eastAsia="宋体" w:cs="宋体"/>
          <w:color w:val="auto"/>
          <w:sz w:val="24"/>
          <w:szCs w:val="24"/>
          <w:highlight w:val="none"/>
        </w:rPr>
        <w:t>12.3.1 计量原则</w:t>
      </w:r>
    </w:p>
    <w:p w14:paraId="290B7FC1">
      <w:pPr>
        <w:tabs>
          <w:tab w:val="left" w:pos="1134"/>
        </w:tabs>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工程量按</w:t>
      </w:r>
      <w:r>
        <w:rPr>
          <w:rFonts w:hint="eastAsia" w:ascii="宋体" w:hAnsi="宋体" w:eastAsia="宋体" w:cs="宋体"/>
          <w:color w:val="auto"/>
          <w:sz w:val="24"/>
          <w:szCs w:val="24"/>
          <w:highlight w:val="none"/>
          <w:lang w:val="zh-CN"/>
        </w:rPr>
        <w:t>《建设工程工程量清单计价规范》（GB50500-2013）、《房屋建筑与装饰工程工程量计算规范》（GB50854-2013）、《通用安装工程工程量计算规范》（GB50856-2013）、《重庆市建设工程工程量清单计价规则》（CQJJGZ-2013）、《重庆市建设工程工程量计算规则》（CQJLGZ－2013）</w:t>
      </w:r>
      <w:r>
        <w:rPr>
          <w:rFonts w:hint="eastAsia" w:ascii="宋体" w:hAnsi="宋体" w:eastAsia="宋体" w:cs="宋体"/>
          <w:color w:val="auto"/>
          <w:sz w:val="24"/>
          <w:szCs w:val="24"/>
          <w:highlight w:val="none"/>
        </w:rPr>
        <w:t>等规定的计算规则及已标价工程量清单规定的工程量计算规则计量。</w:t>
      </w:r>
    </w:p>
    <w:bookmarkEnd w:id="649"/>
    <w:p w14:paraId="1280CB9F">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12.3.2 计量周期</w:t>
      </w:r>
    </w:p>
    <w:p w14:paraId="3B1EFA4D">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关于计量周期的约定：</w:t>
      </w:r>
      <w:r>
        <w:rPr>
          <w:rFonts w:hint="eastAsia" w:ascii="宋体" w:hAnsi="宋体" w:eastAsia="宋体" w:cs="宋体"/>
          <w:color w:val="auto"/>
          <w:sz w:val="24"/>
          <w:szCs w:val="24"/>
          <w:highlight w:val="none"/>
          <w:u w:val="single"/>
        </w:rPr>
        <w:t>按月计量</w:t>
      </w:r>
      <w:r>
        <w:rPr>
          <w:rFonts w:hint="eastAsia" w:ascii="宋体" w:hAnsi="宋体" w:eastAsia="宋体" w:cs="宋体"/>
          <w:color w:val="auto"/>
          <w:sz w:val="24"/>
          <w:szCs w:val="24"/>
          <w:highlight w:val="none"/>
        </w:rPr>
        <w:t>。</w:t>
      </w:r>
    </w:p>
    <w:p w14:paraId="463A77B6">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12.3.3 单价合同的计量</w:t>
      </w:r>
    </w:p>
    <w:p w14:paraId="72E70828">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关于单价合同计量的约定：</w:t>
      </w:r>
    </w:p>
    <w:p w14:paraId="6DCD4F40">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u w:val="single"/>
        </w:rPr>
      </w:pPr>
      <w:bookmarkStart w:id="650" w:name="_Hlk528926162"/>
      <w:r>
        <w:rPr>
          <w:rFonts w:hint="eastAsia" w:ascii="宋体" w:hAnsi="宋体" w:eastAsia="宋体" w:cs="宋体"/>
          <w:color w:val="auto"/>
          <w:sz w:val="24"/>
          <w:szCs w:val="24"/>
          <w:highlight w:val="none"/>
          <w:u w:val="single"/>
        </w:rPr>
        <w:t>（1）承包人应于当月20日前向监理（如有）人报送上月已完成的工程量，并附进度付款申请单、已完成工程量报表和其他有关资料</w:t>
      </w:r>
      <w:r>
        <w:rPr>
          <w:rFonts w:hint="eastAsia" w:ascii="宋体" w:hAnsi="宋体" w:eastAsia="宋体" w:cs="宋体"/>
          <w:color w:val="auto"/>
          <w:sz w:val="24"/>
          <w:szCs w:val="24"/>
          <w:highlight w:val="none"/>
        </w:rPr>
        <w:t>。</w:t>
      </w:r>
    </w:p>
    <w:bookmarkEnd w:id="650"/>
    <w:p w14:paraId="4E4D5027">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（2）承包人未在已标价的工程量清单中填入单价和（或）总价的子目，视为该子目的费用已包含合同工程的其他子目的单价或总价中，不再另行计量支付</w:t>
      </w:r>
      <w:r>
        <w:rPr>
          <w:rFonts w:hint="eastAsia" w:ascii="宋体" w:hAnsi="宋体" w:eastAsia="宋体" w:cs="宋体"/>
          <w:color w:val="auto"/>
          <w:sz w:val="24"/>
          <w:szCs w:val="24"/>
          <w:highlight w:val="none"/>
        </w:rPr>
        <w:t>。</w:t>
      </w:r>
    </w:p>
    <w:p w14:paraId="62CB74E2">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监理（如有）人应在收到承包人提交的工程量报表后7天内完成对承包人提交的工程量报表的审核并报送发包人；发包人收到监理（如有）人报送资料后7天内完成审批，以确定当月实际完成的工程量。监理（如有）人、发包人任一方对工程量有异议的，均有权要求承包人进行共同复核或抽样复测。承包人应协助监理（如有）人进行复核或抽样复测，并按监理（如有）人要求提供补充计量资料。承包人未按监理（如有）人要求参加复核或抽样复测的，监理（如有）人复核或修正的工程量视为承包人实际完成的工程量</w:t>
      </w:r>
      <w:r>
        <w:rPr>
          <w:rFonts w:hint="eastAsia" w:ascii="宋体" w:hAnsi="宋体" w:eastAsia="宋体" w:cs="宋体"/>
          <w:color w:val="auto"/>
          <w:sz w:val="24"/>
          <w:szCs w:val="24"/>
          <w:highlight w:val="none"/>
        </w:rPr>
        <w:t>。</w:t>
      </w:r>
    </w:p>
    <w:p w14:paraId="76F1C2A7">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（4）工程量的计量仅作为进度付款和工程施工进度控制的依据，不应认为是承包人履行合同义务完成工程的实际和准确的工程量，实际和准确工程量按竣工图和第12.3.1项〔计量原则〕约定确认的工程量为准</w:t>
      </w:r>
      <w:r>
        <w:rPr>
          <w:rFonts w:hint="eastAsia" w:ascii="宋体" w:hAnsi="宋体" w:eastAsia="宋体" w:cs="宋体"/>
          <w:color w:val="auto"/>
          <w:sz w:val="24"/>
          <w:szCs w:val="24"/>
          <w:highlight w:val="none"/>
        </w:rPr>
        <w:t>。</w:t>
      </w:r>
    </w:p>
    <w:p w14:paraId="43D616B5">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12.3.4 总价合同的计量</w:t>
      </w:r>
    </w:p>
    <w:p w14:paraId="1A091969">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关于总价合同计量的约定：</w:t>
      </w:r>
      <w:r>
        <w:rPr>
          <w:rFonts w:hint="eastAsia" w:ascii="宋体" w:hAnsi="宋体" w:eastAsia="宋体" w:cs="宋体"/>
          <w:color w:val="auto"/>
          <w:sz w:val="24"/>
          <w:szCs w:val="24"/>
          <w:highlight w:val="none"/>
          <w:u w:val="single"/>
        </w:rPr>
        <w:t>按月进度比例支付</w:t>
      </w:r>
      <w:r>
        <w:rPr>
          <w:rFonts w:hint="eastAsia" w:ascii="宋体" w:hAnsi="宋体" w:eastAsia="宋体" w:cs="宋体"/>
          <w:color w:val="auto"/>
          <w:sz w:val="24"/>
          <w:szCs w:val="24"/>
          <w:highlight w:val="none"/>
        </w:rPr>
        <w:t>。</w:t>
      </w:r>
    </w:p>
    <w:p w14:paraId="5E69303C">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12.3.5总价合同采用支付分解表计量支付的，是否适用第12.3.4项〔总价合同的计量〕约定进行计量：</w:t>
      </w:r>
      <w:r>
        <w:rPr>
          <w:rFonts w:hint="eastAsia" w:ascii="宋体" w:hAnsi="宋体" w:eastAsia="宋体" w:cs="宋体"/>
          <w:color w:val="auto"/>
          <w:sz w:val="24"/>
          <w:szCs w:val="24"/>
          <w:highlight w:val="none"/>
          <w:u w:val="single"/>
        </w:rPr>
        <w:t>适用</w:t>
      </w:r>
      <w:r>
        <w:rPr>
          <w:rFonts w:hint="eastAsia" w:ascii="宋体" w:hAnsi="宋体" w:eastAsia="宋体" w:cs="宋体"/>
          <w:color w:val="auto"/>
          <w:sz w:val="24"/>
          <w:szCs w:val="24"/>
          <w:highlight w:val="none"/>
        </w:rPr>
        <w:t>。</w:t>
      </w:r>
    </w:p>
    <w:p w14:paraId="08BCE3DC">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12.3.6 其他价格形式合同的计量</w:t>
      </w:r>
    </w:p>
    <w:p w14:paraId="1D55DF7C">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其他价格形式的计量方式和程序：</w:t>
      </w:r>
      <w:r>
        <w:rPr>
          <w:rFonts w:hint="eastAsia" w:ascii="宋体" w:hAnsi="宋体" w:eastAsia="宋体" w:cs="宋体"/>
          <w:color w:val="auto"/>
          <w:sz w:val="24"/>
          <w:szCs w:val="24"/>
          <w:highlight w:val="none"/>
          <w:u w:val="single"/>
        </w:rPr>
        <w:t>不采用</w:t>
      </w:r>
      <w:r>
        <w:rPr>
          <w:rFonts w:hint="eastAsia" w:ascii="宋体" w:hAnsi="宋体" w:eastAsia="宋体" w:cs="宋体"/>
          <w:color w:val="auto"/>
          <w:sz w:val="24"/>
          <w:szCs w:val="24"/>
          <w:highlight w:val="none"/>
        </w:rPr>
        <w:t>。</w:t>
      </w:r>
    </w:p>
    <w:p w14:paraId="25480ADE">
      <w:pPr>
        <w:pStyle w:val="8"/>
        <w:keepNext w:val="0"/>
        <w:keepLines w:val="0"/>
        <w:kinsoku w:val="0"/>
        <w:autoSpaceDE w:val="0"/>
        <w:autoSpaceDN w:val="0"/>
        <w:adjustRightInd w:val="0"/>
        <w:snapToGrid w:val="0"/>
        <w:spacing w:before="0" w:after="0" w:line="360" w:lineRule="auto"/>
        <w:ind w:firstLine="482" w:firstLineChars="200"/>
        <w:rPr>
          <w:rFonts w:hint="eastAsia" w:ascii="宋体" w:hAnsi="宋体" w:eastAsia="宋体" w:cs="宋体"/>
          <w:color w:val="auto"/>
          <w:sz w:val="24"/>
          <w:szCs w:val="24"/>
          <w:highlight w:val="none"/>
        </w:rPr>
      </w:pPr>
      <w:bookmarkStart w:id="651" w:name="_Toc532377386"/>
      <w:bookmarkStart w:id="652" w:name="_Toc532375650"/>
      <w:bookmarkStart w:id="653" w:name="_Hlk528928289"/>
      <w:r>
        <w:rPr>
          <w:rFonts w:hint="eastAsia" w:ascii="宋体" w:hAnsi="宋体" w:eastAsia="宋体" w:cs="宋体"/>
          <w:color w:val="auto"/>
          <w:sz w:val="24"/>
          <w:szCs w:val="24"/>
          <w:highlight w:val="none"/>
        </w:rPr>
        <w:t>12.4 工程进度款支付</w:t>
      </w:r>
      <w:bookmarkEnd w:id="651"/>
      <w:bookmarkEnd w:id="652"/>
    </w:p>
    <w:bookmarkEnd w:id="653"/>
    <w:p w14:paraId="6B678177">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12.4.1 付款周期</w:t>
      </w:r>
    </w:p>
    <w:p w14:paraId="76259204">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bookmarkStart w:id="654" w:name="_Toc532377387"/>
      <w:bookmarkStart w:id="655" w:name="_Toc351203585"/>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1、本项目采购人与成交供应商双方签订合同，且成交供应商收到采购人发出的开工令并缴纳</w:t>
      </w:r>
      <w:r>
        <w:rPr>
          <w:rFonts w:hint="eastAsia" w:ascii="宋体" w:hAnsi="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%履约保证金（以银行转账、支票、汇票、本票或者金融机构、担保机构出具的保函（受益人为采购人）等非现金形式提交）后，成交供应商</w:t>
      </w:r>
      <w:r>
        <w:rPr>
          <w:rFonts w:hint="eastAsia" w:ascii="宋体" w:hAnsi="宋体" w:cs="宋体"/>
          <w:color w:val="000000" w:themeColor="text1"/>
          <w:kern w:val="0"/>
          <w:sz w:val="24"/>
          <w:szCs w:val="24"/>
          <w:highlight w:val="none"/>
          <w:lang w:val="en-US" w:eastAsia="zh-CN"/>
          <w14:textFill>
            <w14:solidFill>
              <w14:schemeClr w14:val="tx1"/>
            </w14:solidFill>
          </w14:textFill>
        </w:rPr>
        <w:t>开具</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合同金额</w:t>
      </w:r>
      <w:r>
        <w:rPr>
          <w:rFonts w:hint="eastAsia" w:ascii="宋体" w:hAnsi="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0%</w:t>
      </w:r>
      <w:r>
        <w:rPr>
          <w:rFonts w:hint="eastAsia" w:ascii="宋体" w:hAnsi="宋体" w:cs="宋体"/>
          <w:color w:val="000000" w:themeColor="text1"/>
          <w:kern w:val="0"/>
          <w:sz w:val="24"/>
          <w:szCs w:val="24"/>
          <w:highlight w:val="none"/>
          <w:lang w:val="en-US" w:eastAsia="zh-CN"/>
          <w14:textFill>
            <w14:solidFill>
              <w14:schemeClr w14:val="tx1"/>
            </w14:solidFill>
          </w14:textFill>
        </w:rPr>
        <w:t>的发票，</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采购人</w:t>
      </w:r>
      <w:r>
        <w:rPr>
          <w:rFonts w:hint="eastAsia" w:ascii="宋体" w:hAnsi="宋体" w:cs="宋体"/>
          <w:color w:val="000000" w:themeColor="text1"/>
          <w:kern w:val="0"/>
          <w:sz w:val="24"/>
          <w:szCs w:val="24"/>
          <w:highlight w:val="none"/>
          <w:lang w:val="en-US" w:eastAsia="zh-CN"/>
          <w14:textFill>
            <w14:solidFill>
              <w14:schemeClr w14:val="tx1"/>
            </w14:solidFill>
          </w14:textFill>
        </w:rPr>
        <w:t>收到发票后15个工作日内</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支付预付款。</w:t>
      </w:r>
    </w:p>
    <w:p w14:paraId="31681A1C">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2、合同全部工作完成，竣工验收合格，</w:t>
      </w:r>
      <w:r>
        <w:rPr>
          <w:rFonts w:hint="eastAsia" w:ascii="宋体" w:hAnsi="宋体" w:cs="宋体"/>
          <w:color w:val="000000" w:themeColor="text1"/>
          <w:kern w:val="0"/>
          <w:sz w:val="24"/>
          <w:szCs w:val="24"/>
          <w:highlight w:val="none"/>
          <w:lang w:val="en-US" w:eastAsia="zh-CN"/>
          <w14:textFill>
            <w14:solidFill>
              <w14:schemeClr w14:val="tx1"/>
            </w14:solidFill>
          </w14:textFill>
        </w:rPr>
        <w:t>成交供应商</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向</w:t>
      </w:r>
      <w:r>
        <w:rPr>
          <w:rFonts w:hint="eastAsia" w:ascii="宋体" w:hAnsi="宋体" w:cs="宋体"/>
          <w:color w:val="000000" w:themeColor="text1"/>
          <w:kern w:val="0"/>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送交完整的工程竣工资料</w:t>
      </w:r>
      <w:r>
        <w:rPr>
          <w:rFonts w:hint="eastAsia" w:ascii="宋体" w:hAnsi="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结算资料经</w:t>
      </w:r>
      <w:r>
        <w:rPr>
          <w:rFonts w:hint="eastAsia" w:ascii="宋体" w:hAnsi="宋体" w:cs="宋体"/>
          <w:color w:val="000000" w:themeColor="text1"/>
          <w:kern w:val="0"/>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审核签字确认</w:t>
      </w:r>
      <w:r>
        <w:rPr>
          <w:rFonts w:hint="eastAsia" w:ascii="宋体" w:hAnsi="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成交供应商</w:t>
      </w:r>
      <w:r>
        <w:rPr>
          <w:rFonts w:hint="eastAsia" w:ascii="宋体" w:hAnsi="宋体" w:cs="宋体"/>
          <w:color w:val="000000" w:themeColor="text1"/>
          <w:kern w:val="0"/>
          <w:sz w:val="24"/>
          <w:szCs w:val="24"/>
          <w:highlight w:val="none"/>
          <w:lang w:val="en-US" w:eastAsia="zh-CN"/>
          <w14:textFill>
            <w14:solidFill>
              <w14:schemeClr w14:val="tx1"/>
            </w14:solidFill>
          </w14:textFill>
        </w:rPr>
        <w:t>开具</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至该审定结算价97%</w:t>
      </w:r>
      <w:r>
        <w:rPr>
          <w:rFonts w:hint="eastAsia" w:ascii="宋体" w:hAnsi="宋体" w:cs="宋体"/>
          <w:color w:val="000000" w:themeColor="text1"/>
          <w:kern w:val="0"/>
          <w:sz w:val="24"/>
          <w:szCs w:val="24"/>
          <w:highlight w:val="none"/>
          <w:lang w:val="en-US" w:eastAsia="zh-CN"/>
          <w14:textFill>
            <w14:solidFill>
              <w14:schemeClr w14:val="tx1"/>
            </w14:solidFill>
          </w14:textFill>
        </w:rPr>
        <w:t>发票，采购人收到发票后</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1个月内支付</w:t>
      </w:r>
      <w:r>
        <w:rPr>
          <w:rFonts w:hint="eastAsia" w:ascii="宋体" w:hAnsi="宋体" w:cs="宋体"/>
          <w:color w:val="000000" w:themeColor="text1"/>
          <w:kern w:val="0"/>
          <w:sz w:val="24"/>
          <w:szCs w:val="24"/>
          <w:highlight w:val="none"/>
          <w:lang w:val="en-US" w:eastAsia="zh-CN"/>
          <w14:textFill>
            <w14:solidFill>
              <w14:schemeClr w14:val="tx1"/>
            </w14:solidFill>
          </w14:textFill>
        </w:rPr>
        <w:t>发票金额</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p>
    <w:p w14:paraId="28D14FCF">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、剩余工程结算总价的3%作为质保金，缺陷责任期满经验收合格后，</w:t>
      </w:r>
      <w:r>
        <w:rPr>
          <w:rFonts w:hint="eastAsia" w:ascii="宋体" w:hAnsi="宋体" w:cs="宋体"/>
          <w:color w:val="000000" w:themeColor="text1"/>
          <w:kern w:val="0"/>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在向</w:t>
      </w:r>
      <w:r>
        <w:rPr>
          <w:rFonts w:hint="eastAsia" w:ascii="宋体" w:hAnsi="宋体" w:cs="宋体"/>
          <w:color w:val="000000" w:themeColor="text1"/>
          <w:kern w:val="0"/>
          <w:sz w:val="24"/>
          <w:szCs w:val="24"/>
          <w:highlight w:val="none"/>
          <w:lang w:val="en-US" w:eastAsia="zh-CN"/>
          <w14:textFill>
            <w14:solidFill>
              <w14:schemeClr w14:val="tx1"/>
            </w14:solidFill>
          </w14:textFill>
        </w:rPr>
        <w:t>成交供应商</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出具经</w:t>
      </w:r>
      <w:r>
        <w:rPr>
          <w:rFonts w:hint="eastAsia" w:ascii="宋体" w:hAnsi="宋体" w:cs="宋体"/>
          <w:color w:val="000000" w:themeColor="text1"/>
          <w:kern w:val="0"/>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签认的缺陷责任期终止证书后28日内，且</w:t>
      </w:r>
      <w:r>
        <w:rPr>
          <w:rFonts w:hint="eastAsia" w:ascii="宋体" w:hAnsi="宋体" w:cs="宋体"/>
          <w:color w:val="000000" w:themeColor="text1"/>
          <w:kern w:val="0"/>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在扣除缺陷责任期间发生的应当由</w:t>
      </w:r>
      <w:r>
        <w:rPr>
          <w:rFonts w:hint="eastAsia" w:ascii="宋体" w:hAnsi="宋体" w:cs="宋体"/>
          <w:color w:val="000000" w:themeColor="text1"/>
          <w:kern w:val="0"/>
          <w:sz w:val="24"/>
          <w:szCs w:val="24"/>
          <w:highlight w:val="none"/>
          <w:lang w:val="en-US" w:eastAsia="zh-CN"/>
          <w14:textFill>
            <w14:solidFill>
              <w14:schemeClr w14:val="tx1"/>
            </w14:solidFill>
          </w14:textFill>
        </w:rPr>
        <w:t>成交供应商</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承担的维修费用后（包括但不限于因</w:t>
      </w:r>
      <w:r>
        <w:rPr>
          <w:rFonts w:hint="eastAsia" w:ascii="宋体" w:hAnsi="宋体" w:cs="宋体"/>
          <w:color w:val="000000" w:themeColor="text1"/>
          <w:kern w:val="0"/>
          <w:sz w:val="24"/>
          <w:szCs w:val="24"/>
          <w:highlight w:val="none"/>
          <w:lang w:val="en-US" w:eastAsia="zh-CN"/>
          <w14:textFill>
            <w14:solidFill>
              <w14:schemeClr w14:val="tx1"/>
            </w14:solidFill>
          </w14:textFill>
        </w:rPr>
        <w:t>成交供应商</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未履行保修义务，由</w:t>
      </w:r>
      <w:r>
        <w:rPr>
          <w:rFonts w:hint="eastAsia" w:ascii="宋体" w:hAnsi="宋体" w:cs="宋体"/>
          <w:color w:val="000000" w:themeColor="text1"/>
          <w:kern w:val="0"/>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委托他人完成维修项目所产生的费用），无息退还相应的质量保证金。</w:t>
      </w:r>
    </w:p>
    <w:p w14:paraId="2E3BFDB0">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成交供应商</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提交的有效进度款支付申请资料包括：竣工验收报告（原件）、5套工程竣工资料（含档案资料、结算资料、竣工图资料）等。</w:t>
      </w:r>
    </w:p>
    <w:p w14:paraId="786FA753">
      <w:pPr>
        <w:pStyle w:val="8"/>
        <w:keepNext w:val="0"/>
        <w:keepLines w:val="0"/>
        <w:kinsoku w:val="0"/>
        <w:autoSpaceDE w:val="0"/>
        <w:autoSpaceDN w:val="0"/>
        <w:adjustRightInd w:val="0"/>
        <w:snapToGrid w:val="0"/>
        <w:spacing w:before="0" w:after="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12.5支付账户</w:t>
      </w:r>
      <w:bookmarkEnd w:id="654"/>
      <w:bookmarkEnd w:id="655"/>
    </w:p>
    <w:p w14:paraId="430755E7">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发包人应将合同价款支付至如下承包人指定的开户银行及银行账户：</w:t>
      </w:r>
    </w:p>
    <w:p w14:paraId="6496A78D">
      <w:pPr>
        <w:kinsoku w:val="0"/>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收款单位名称：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0210F60">
      <w:pPr>
        <w:kinsoku w:val="0"/>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收款账号：</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66C1CE91">
      <w:pPr>
        <w:kinsoku w:val="0"/>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收款开户银行：</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599D617A">
      <w:pPr>
        <w:pStyle w:val="8"/>
        <w:keepNext w:val="0"/>
        <w:keepLines w:val="0"/>
        <w:kinsoku w:val="0"/>
        <w:autoSpaceDE w:val="0"/>
        <w:autoSpaceDN w:val="0"/>
        <w:adjustRightInd w:val="0"/>
        <w:snapToGrid w:val="0"/>
        <w:spacing w:before="0" w:after="0" w:line="360" w:lineRule="auto"/>
        <w:ind w:firstLine="482" w:firstLineChars="200"/>
        <w:rPr>
          <w:rFonts w:hint="eastAsia" w:ascii="宋体" w:hAnsi="宋体" w:eastAsia="宋体" w:cs="宋体"/>
          <w:color w:val="auto"/>
          <w:sz w:val="24"/>
          <w:szCs w:val="24"/>
          <w:highlight w:val="none"/>
        </w:rPr>
      </w:pPr>
      <w:bookmarkStart w:id="656" w:name="_Toc532377390"/>
      <w:bookmarkStart w:id="657" w:name="_Toc532375653"/>
      <w:bookmarkStart w:id="658" w:name="_Toc303539173"/>
      <w:bookmarkStart w:id="659" w:name="_Toc292559428"/>
      <w:bookmarkStart w:id="660" w:name="_Toc300935016"/>
      <w:bookmarkStart w:id="661" w:name="_Toc296891263"/>
      <w:bookmarkStart w:id="662" w:name="_Toc296944562"/>
      <w:bookmarkStart w:id="663" w:name="_Toc296347222"/>
      <w:bookmarkStart w:id="664" w:name="_Toc296346724"/>
      <w:bookmarkStart w:id="665" w:name="_Toc297123565"/>
      <w:bookmarkStart w:id="666" w:name="_Toc296891051"/>
      <w:bookmarkStart w:id="667" w:name="_Toc296503223"/>
      <w:bookmarkStart w:id="668" w:name="_Toc304295596"/>
      <w:bookmarkStart w:id="669" w:name="_Toc292559933"/>
      <w:bookmarkStart w:id="670" w:name="_Toc297216224"/>
      <w:bookmarkStart w:id="671" w:name="_Toc312678056"/>
      <w:bookmarkStart w:id="672" w:name="_Toc297120523"/>
      <w:bookmarkStart w:id="673" w:name="_Toc297048409"/>
      <w:bookmarkStart w:id="674" w:name="_Toc280868704"/>
      <w:bookmarkStart w:id="675" w:name="_Toc280868705"/>
      <w:bookmarkStart w:id="676" w:name="_Toc280868706"/>
      <w:bookmarkStart w:id="677" w:name="_Toc280868707"/>
      <w:bookmarkStart w:id="678" w:name="_Toc280868708"/>
      <w:bookmarkStart w:id="679" w:name="_Toc267251475"/>
      <w:bookmarkStart w:id="680" w:name="_Toc267251470"/>
      <w:bookmarkStart w:id="681" w:name="_Toc267251473"/>
      <w:bookmarkStart w:id="682" w:name="_Toc280868709"/>
      <w:bookmarkStart w:id="683" w:name="_Toc267251471"/>
      <w:bookmarkStart w:id="684" w:name="_Toc267251472"/>
      <w:bookmarkStart w:id="685" w:name="_Toc267251476"/>
      <w:bookmarkStart w:id="686" w:name="_Toc267251474"/>
      <w:r>
        <w:rPr>
          <w:rFonts w:hint="eastAsia" w:ascii="宋体" w:hAnsi="宋体" w:eastAsia="宋体" w:cs="宋体"/>
          <w:color w:val="auto"/>
          <w:sz w:val="24"/>
          <w:szCs w:val="24"/>
          <w:highlight w:val="none"/>
        </w:rPr>
        <w:t>13.2 竣工验收</w:t>
      </w:r>
      <w:bookmarkEnd w:id="656"/>
      <w:bookmarkEnd w:id="657"/>
    </w:p>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14:paraId="152527E8">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13.2.2竣工验收程序</w:t>
      </w:r>
    </w:p>
    <w:bookmarkEnd w:id="674"/>
    <w:p w14:paraId="65A3035B">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关于竣工验收程序的约定：工程完工且符合下列条件时，承包人可向发包人提供竣工报告，并要求验收：</w:t>
      </w:r>
    </w:p>
    <w:p w14:paraId="5576CCA6">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（1）除发包人同意的甩项工作和缺陷修补工作外，合同范围内的全部工程以及有关工作，包括合同要求的试验、试运行以及检验均已完成，并符合合同要求；</w:t>
      </w:r>
    </w:p>
    <w:p w14:paraId="7D5BAE37">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（2）已按合同约定编制了甩项工作和缺陷修补工作清单以及相应的施工计划；</w:t>
      </w:r>
    </w:p>
    <w:p w14:paraId="57C5A799">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（3）已按合同约定的内容和份数备齐竣工资料。</w:t>
      </w:r>
    </w:p>
    <w:p w14:paraId="27E74650">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必须通过相关部门及行业监管部门根据国家相关法律、法规、行业规范等对本工程进行验收合格后，才能进行竣工验收。经发包人、行业主管部门、设计人、监理（如有）人、承包人根据行业规范、国家法律法规，共同对本工程进行竣工验收其工程质量是否合格。</w:t>
      </w:r>
    </w:p>
    <w:p w14:paraId="76C0B2E8">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工程竣工及竣工资料：</w:t>
      </w:r>
    </w:p>
    <w:bookmarkEnd w:id="675"/>
    <w:p w14:paraId="42EA762C">
      <w:pPr>
        <w:numPr>
          <w:ilvl w:val="0"/>
          <w:numId w:val="2"/>
        </w:num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发包人收到竣工验收报告后28天内组织有关单位验收，并在验收后14天内给予认可或提出整改意见。承包人按要求整改，并承担由自身原因造成整改的费用和责任 。</w:t>
      </w:r>
    </w:p>
    <w:p w14:paraId="20A054E5">
      <w:pPr>
        <w:numPr>
          <w:ilvl w:val="0"/>
          <w:numId w:val="2"/>
        </w:num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当工程具备竣工验收条件时，承包人应及时向发包人提交竣工报告及竣工资料、办理移交手续。否则发包人有权依据监理（如有）人出具的鉴定结论书，自行组织有关部门验收，并提出整改意见。承包人必须按要求整改，并承担整改费用；如承包人拒绝按发包人提出的要求整改，发包人有权请第三方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p>
    <w:p w14:paraId="26F38F91">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（3）承包人提供竣工资料的约定：</w:t>
      </w:r>
      <w:r>
        <w:rPr>
          <w:rFonts w:hint="eastAsia" w:ascii="宋体" w:hAnsi="宋体" w:eastAsia="宋体" w:cs="宋体"/>
          <w:bCs/>
          <w:color w:val="auto"/>
          <w:kern w:val="0"/>
          <w:sz w:val="24"/>
          <w:szCs w:val="24"/>
          <w:highlight w:val="none"/>
          <w:u w:val="single"/>
        </w:rPr>
        <w:t>承包人必须向发包人提交全套竣工资料伍套（包含竣工结算资料叁套、竣工资料伍套、以上</w:t>
      </w:r>
      <w:r>
        <w:rPr>
          <w:rFonts w:hint="eastAsia" w:ascii="宋体" w:hAnsi="宋体" w:eastAsia="宋体" w:cs="宋体"/>
          <w:bCs/>
          <w:color w:val="auto"/>
          <w:sz w:val="24"/>
          <w:szCs w:val="24"/>
          <w:highlight w:val="none"/>
          <w:u w:val="single"/>
        </w:rPr>
        <w:t>资料电子版光盘贰张）</w:t>
      </w:r>
      <w:r>
        <w:rPr>
          <w:rFonts w:hint="eastAsia" w:ascii="宋体" w:hAnsi="宋体" w:eastAsia="宋体" w:cs="宋体"/>
          <w:color w:val="auto"/>
          <w:sz w:val="24"/>
          <w:szCs w:val="24"/>
          <w:highlight w:val="none"/>
        </w:rPr>
        <w:t>。</w:t>
      </w:r>
    </w:p>
    <w:p w14:paraId="270E296D">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13.2.5 移交、接收全部与部分工程</w:t>
      </w:r>
    </w:p>
    <w:bookmarkEnd w:id="676"/>
    <w:p w14:paraId="2886A251">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承包人向发包人移交工程的期限：</w:t>
      </w:r>
      <w:r>
        <w:rPr>
          <w:rFonts w:hint="eastAsia" w:ascii="宋体" w:hAnsi="宋体" w:eastAsia="宋体" w:cs="宋体"/>
          <w:color w:val="auto"/>
          <w:sz w:val="24"/>
          <w:szCs w:val="24"/>
          <w:highlight w:val="none"/>
          <w:u w:val="single"/>
        </w:rPr>
        <w:t>颁发工程接收证书后28天内完成工程的移交</w:t>
      </w:r>
      <w:r>
        <w:rPr>
          <w:rFonts w:hint="eastAsia" w:ascii="宋体" w:hAnsi="宋体" w:eastAsia="宋体" w:cs="宋体"/>
          <w:color w:val="auto"/>
          <w:sz w:val="24"/>
          <w:szCs w:val="24"/>
          <w:highlight w:val="none"/>
        </w:rPr>
        <w:t>。</w:t>
      </w:r>
    </w:p>
    <w:bookmarkEnd w:id="677"/>
    <w:p w14:paraId="6870E52C">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发包人未按合同约定接收全部或部分工程的，违约金的计算方法为：</w:t>
      </w:r>
      <w:r>
        <w:rPr>
          <w:rFonts w:hint="eastAsia" w:ascii="宋体" w:hAnsi="宋体" w:eastAsia="宋体" w:cs="宋体"/>
          <w:color w:val="auto"/>
          <w:sz w:val="24"/>
          <w:szCs w:val="24"/>
          <w:highlight w:val="none"/>
          <w:u w:val="single"/>
        </w:rPr>
        <w:t>不采用</w:t>
      </w:r>
      <w:r>
        <w:rPr>
          <w:rFonts w:hint="eastAsia" w:ascii="宋体" w:hAnsi="宋体" w:eastAsia="宋体" w:cs="宋体"/>
          <w:color w:val="auto"/>
          <w:sz w:val="24"/>
          <w:szCs w:val="24"/>
          <w:highlight w:val="none"/>
        </w:rPr>
        <w:t>。</w:t>
      </w:r>
    </w:p>
    <w:p w14:paraId="3F5B6A7D">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因承包人自身原因未按时移交工程的，违约金的计算方法为：</w:t>
      </w:r>
      <w:r>
        <w:rPr>
          <w:rFonts w:hint="eastAsia" w:ascii="宋体" w:hAnsi="宋体" w:eastAsia="宋体" w:cs="宋体"/>
          <w:color w:val="auto"/>
          <w:sz w:val="24"/>
          <w:szCs w:val="24"/>
          <w:highlight w:val="none"/>
          <w:u w:val="single"/>
        </w:rPr>
        <w:t>承包人应承担工程照管、成品保护、保管等与工程有关的各项费用，并按经审定结算金额的0.5‰/天支付违约金</w:t>
      </w:r>
      <w:r>
        <w:rPr>
          <w:rFonts w:hint="eastAsia" w:ascii="宋体" w:hAnsi="宋体" w:eastAsia="宋体" w:cs="宋体"/>
          <w:color w:val="auto"/>
          <w:sz w:val="24"/>
          <w:szCs w:val="24"/>
          <w:highlight w:val="none"/>
        </w:rPr>
        <w:t>。</w:t>
      </w:r>
    </w:p>
    <w:p w14:paraId="2B2E1EF8">
      <w:pPr>
        <w:pStyle w:val="8"/>
        <w:keepNext w:val="0"/>
        <w:keepLines w:val="0"/>
        <w:kinsoku w:val="0"/>
        <w:autoSpaceDE w:val="0"/>
        <w:autoSpaceDN w:val="0"/>
        <w:adjustRightInd w:val="0"/>
        <w:snapToGrid w:val="0"/>
        <w:spacing w:before="0" w:after="0" w:line="360" w:lineRule="auto"/>
        <w:ind w:firstLine="482" w:firstLineChars="200"/>
        <w:rPr>
          <w:rFonts w:hint="eastAsia" w:ascii="宋体" w:hAnsi="宋体" w:eastAsia="宋体" w:cs="宋体"/>
          <w:color w:val="auto"/>
          <w:sz w:val="24"/>
          <w:szCs w:val="24"/>
          <w:highlight w:val="none"/>
        </w:rPr>
      </w:pPr>
      <w:bookmarkStart w:id="687" w:name="_Toc532377392"/>
      <w:bookmarkStart w:id="688" w:name="_Toc532375655"/>
      <w:r>
        <w:rPr>
          <w:rFonts w:hint="eastAsia" w:ascii="宋体" w:hAnsi="宋体" w:eastAsia="宋体" w:cs="宋体"/>
          <w:color w:val="auto"/>
          <w:sz w:val="24"/>
          <w:szCs w:val="24"/>
          <w:highlight w:val="none"/>
        </w:rPr>
        <w:t>13.6 竣工退场</w:t>
      </w:r>
      <w:bookmarkEnd w:id="687"/>
      <w:bookmarkEnd w:id="688"/>
    </w:p>
    <w:p w14:paraId="0904975E">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13.6.1 竣工退场</w:t>
      </w:r>
    </w:p>
    <w:p w14:paraId="1CA3A60A">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承包人完成竣工退场的期限：</w:t>
      </w:r>
      <w:r>
        <w:rPr>
          <w:rFonts w:hint="eastAsia" w:ascii="宋体" w:hAnsi="宋体" w:eastAsia="宋体" w:cs="宋体"/>
          <w:color w:val="auto"/>
          <w:sz w:val="24"/>
          <w:szCs w:val="24"/>
          <w:highlight w:val="none"/>
          <w:u w:val="single"/>
        </w:rPr>
        <w:t>工程接收证书颁发后28天内，承包人的施工人员、剩余材料、施工设备和临时工程应完全撤离施工场地并对施工场地进行清理、平整、复原，直至监理（如有）人检验合格为止，由此发生的费用已包含在签约合同价内。承包人未在限期内拆除的，发包人可委托其他单位代为拆除，由此发生的费用（发包人可从应付承包人的款项中扣除）由承包人承担，承包人还应按审定结算金额的0.5‰/天的标准向发包人支付违约金。因工程维修需要部分人员必须留在施工现场的，需征得发包人同意</w:t>
      </w:r>
      <w:r>
        <w:rPr>
          <w:rFonts w:hint="eastAsia" w:ascii="宋体" w:hAnsi="宋体" w:eastAsia="宋体" w:cs="宋体"/>
          <w:color w:val="auto"/>
          <w:sz w:val="24"/>
          <w:szCs w:val="24"/>
          <w:highlight w:val="none"/>
        </w:rPr>
        <w:t>。</w:t>
      </w:r>
    </w:p>
    <w:bookmarkEnd w:id="678"/>
    <w:p w14:paraId="1263B205">
      <w:pPr>
        <w:pStyle w:val="7"/>
        <w:kinsoku w:val="0"/>
        <w:autoSpaceDE w:val="0"/>
        <w:autoSpaceDN w:val="0"/>
        <w:adjustRightInd w:val="0"/>
        <w:snapToGrid w:val="0"/>
        <w:spacing w:before="0" w:after="0" w:line="360" w:lineRule="auto"/>
        <w:ind w:firstLine="482" w:firstLineChars="200"/>
        <w:rPr>
          <w:rFonts w:hint="eastAsia" w:ascii="宋体" w:hAnsi="宋体" w:eastAsia="宋体" w:cs="宋体"/>
          <w:color w:val="auto"/>
          <w:sz w:val="24"/>
          <w:szCs w:val="24"/>
          <w:highlight w:val="none"/>
        </w:rPr>
      </w:pPr>
      <w:bookmarkStart w:id="689" w:name="_Toc532375656"/>
      <w:bookmarkStart w:id="690" w:name="_Toc351203646"/>
      <w:bookmarkStart w:id="691" w:name="_Toc532377393"/>
      <w:r>
        <w:rPr>
          <w:rFonts w:hint="eastAsia" w:ascii="宋体" w:hAnsi="宋体" w:eastAsia="宋体" w:cs="宋体"/>
          <w:color w:val="auto"/>
          <w:sz w:val="24"/>
          <w:szCs w:val="24"/>
          <w:highlight w:val="none"/>
        </w:rPr>
        <w:t>14. 竣工结算</w:t>
      </w:r>
      <w:bookmarkEnd w:id="689"/>
      <w:bookmarkEnd w:id="690"/>
      <w:bookmarkEnd w:id="691"/>
    </w:p>
    <w:p w14:paraId="76AE9D66">
      <w:pPr>
        <w:pStyle w:val="8"/>
        <w:keepNext w:val="0"/>
        <w:keepLines w:val="0"/>
        <w:kinsoku w:val="0"/>
        <w:autoSpaceDE w:val="0"/>
        <w:autoSpaceDN w:val="0"/>
        <w:adjustRightInd w:val="0"/>
        <w:snapToGrid w:val="0"/>
        <w:spacing w:before="0" w:after="0" w:line="360" w:lineRule="auto"/>
        <w:ind w:firstLine="482" w:firstLineChars="200"/>
        <w:rPr>
          <w:rFonts w:hint="eastAsia" w:ascii="宋体" w:hAnsi="宋体" w:eastAsia="宋体" w:cs="宋体"/>
          <w:color w:val="auto"/>
          <w:kern w:val="0"/>
          <w:sz w:val="24"/>
          <w:szCs w:val="24"/>
          <w:highlight w:val="none"/>
        </w:rPr>
      </w:pPr>
      <w:bookmarkStart w:id="692" w:name="_Toc532375657"/>
      <w:bookmarkStart w:id="693" w:name="_Toc532377394"/>
      <w:r>
        <w:rPr>
          <w:rFonts w:hint="eastAsia" w:ascii="宋体" w:hAnsi="宋体" w:eastAsia="宋体" w:cs="宋体"/>
          <w:color w:val="auto"/>
          <w:sz w:val="24"/>
          <w:szCs w:val="24"/>
          <w:highlight w:val="none"/>
        </w:rPr>
        <w:t>14.1 竣工结算申请</w:t>
      </w:r>
      <w:bookmarkEnd w:id="692"/>
      <w:bookmarkEnd w:id="693"/>
    </w:p>
    <w:p w14:paraId="4883BE67">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承包人提交竣工结算申请单的期限：</w:t>
      </w:r>
      <w:r>
        <w:rPr>
          <w:rFonts w:hint="eastAsia" w:ascii="宋体" w:hAnsi="宋体" w:eastAsia="宋体" w:cs="宋体"/>
          <w:color w:val="auto"/>
          <w:sz w:val="24"/>
          <w:szCs w:val="24"/>
          <w:highlight w:val="none"/>
          <w:u w:val="single"/>
        </w:rPr>
        <w:t>承包人应在工程竣工验收合格且报送完整工程竣工资料之日起28天内向监理（如有）人、发包人提交竣工结算申请单，并向发包人报送完整的工程竣工资料及经监理（如有）人初审确认的完整的竣工结算资料</w:t>
      </w:r>
      <w:bookmarkStart w:id="694" w:name="_Hlk524297994"/>
      <w:r>
        <w:rPr>
          <w:rFonts w:hint="eastAsia" w:ascii="宋体" w:hAnsi="宋体" w:eastAsia="宋体" w:cs="宋体"/>
          <w:color w:val="auto"/>
          <w:sz w:val="24"/>
          <w:szCs w:val="24"/>
          <w:highlight w:val="none"/>
          <w:u w:val="single"/>
        </w:rPr>
        <w:t>。监理（如有）人或发包人对竣工结算申请单有异议的，应在接到竣工结算申请单后14天内要求承包人进行修正和提供补充资料，承包人在接到监理（如有）人或发包人提出的审核意见后，应在28天内按监理（如有）人或发包人提出的合理要求补充资料、修改竣工结算资料，并再次提交监理（如有）人或发包人审核。承包人未在规定时间内报送竣工结算资料给发包人造成经济损失的，承包人应承担赔偿责任。</w:t>
      </w:r>
    </w:p>
    <w:p w14:paraId="5F8E9884">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竣工结算申请单包括但不限于以下内容：</w:t>
      </w:r>
    </w:p>
    <w:p w14:paraId="13D671D6">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（1）竣工结算合同价格；</w:t>
      </w:r>
    </w:p>
    <w:p w14:paraId="68E43725">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（2）变更增减金额；</w:t>
      </w:r>
    </w:p>
    <w:p w14:paraId="457F8279">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（3）现场签证增减金额；</w:t>
      </w:r>
    </w:p>
    <w:p w14:paraId="11FE741A">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（4）索赔增减金额；</w:t>
      </w:r>
    </w:p>
    <w:p w14:paraId="531A90F5">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（5）奖励、罚金及违约金；</w:t>
      </w:r>
    </w:p>
    <w:p w14:paraId="2D16A89F">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（6）发包人已支付承包人的款项；</w:t>
      </w:r>
    </w:p>
    <w:p w14:paraId="0D247F4B">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（7）应扣留的质量保证金；</w:t>
      </w:r>
    </w:p>
    <w:p w14:paraId="16EAB9D9">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（8）发包人应支付承包人的合同价款。</w:t>
      </w:r>
      <w:bookmarkEnd w:id="694"/>
    </w:p>
    <w:p w14:paraId="1368EF71">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u w:val="single"/>
        </w:rPr>
        <w:t>进度款支付申请、竣工验收意见书（原件）、已提交竣工结算资料及竣工资料的凭证、进度工程量完成情况资料、进度工程量完成情况对应的工程价款资料等</w:t>
      </w:r>
      <w:r>
        <w:rPr>
          <w:rFonts w:hint="eastAsia" w:ascii="宋体" w:hAnsi="宋体" w:eastAsia="宋体" w:cs="宋体"/>
          <w:color w:val="auto"/>
          <w:sz w:val="24"/>
          <w:szCs w:val="24"/>
          <w:highlight w:val="none"/>
        </w:rPr>
        <w:t>。</w:t>
      </w:r>
    </w:p>
    <w:p w14:paraId="2F9ABAB4">
      <w:pPr>
        <w:pStyle w:val="8"/>
        <w:keepNext w:val="0"/>
        <w:keepLines w:val="0"/>
        <w:kinsoku w:val="0"/>
        <w:autoSpaceDE w:val="0"/>
        <w:autoSpaceDN w:val="0"/>
        <w:adjustRightInd w:val="0"/>
        <w:snapToGrid w:val="0"/>
        <w:spacing w:before="0" w:after="0" w:line="360" w:lineRule="auto"/>
        <w:ind w:firstLine="482" w:firstLineChars="200"/>
        <w:rPr>
          <w:rFonts w:hint="eastAsia" w:ascii="宋体" w:hAnsi="宋体" w:eastAsia="宋体" w:cs="宋体"/>
          <w:color w:val="auto"/>
          <w:sz w:val="24"/>
          <w:szCs w:val="24"/>
          <w:highlight w:val="none"/>
        </w:rPr>
      </w:pPr>
      <w:bookmarkStart w:id="695" w:name="_Toc532377395"/>
      <w:bookmarkStart w:id="696" w:name="_Toc532375658"/>
      <w:r>
        <w:rPr>
          <w:rFonts w:hint="eastAsia" w:ascii="宋体" w:hAnsi="宋体" w:eastAsia="宋体" w:cs="宋体"/>
          <w:color w:val="auto"/>
          <w:sz w:val="24"/>
          <w:szCs w:val="24"/>
          <w:highlight w:val="none"/>
        </w:rPr>
        <w:t>14.2 竣工结算审核</w:t>
      </w:r>
      <w:bookmarkEnd w:id="695"/>
      <w:bookmarkEnd w:id="696"/>
    </w:p>
    <w:bookmarkEnd w:id="472"/>
    <w:bookmarkEnd w:id="473"/>
    <w:bookmarkEnd w:id="474"/>
    <w:bookmarkEnd w:id="475"/>
    <w:bookmarkEnd w:id="476"/>
    <w:bookmarkEnd w:id="477"/>
    <w:bookmarkEnd w:id="478"/>
    <w:bookmarkEnd w:id="479"/>
    <w:bookmarkEnd w:id="679"/>
    <w:bookmarkEnd w:id="680"/>
    <w:bookmarkEnd w:id="681"/>
    <w:bookmarkEnd w:id="682"/>
    <w:bookmarkEnd w:id="683"/>
    <w:bookmarkEnd w:id="684"/>
    <w:bookmarkEnd w:id="685"/>
    <w:bookmarkEnd w:id="686"/>
    <w:p w14:paraId="6BA465B6">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bookmarkStart w:id="697" w:name="_Toc351203647"/>
      <w:bookmarkStart w:id="698" w:name="_Toc532375661"/>
      <w:bookmarkStart w:id="699" w:name="_Toc532377398"/>
      <w:bookmarkStart w:id="700" w:name="_Toc267251483"/>
      <w:bookmarkStart w:id="701" w:name="_Toc280868718"/>
      <w:bookmarkStart w:id="702" w:name="_Toc280868717"/>
      <w:r>
        <w:rPr>
          <w:rFonts w:hint="eastAsia" w:ascii="宋体" w:hAnsi="宋体" w:eastAsia="宋体" w:cs="宋体"/>
          <w:color w:val="auto"/>
          <w:sz w:val="24"/>
          <w:szCs w:val="24"/>
          <w:highlight w:val="none"/>
        </w:rPr>
        <w:t>14.2.1 竣工结算办法</w:t>
      </w:r>
    </w:p>
    <w:p w14:paraId="45BFEE4D">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14.2.1.1计量原则</w:t>
      </w:r>
    </w:p>
    <w:p w14:paraId="47FBB20A">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按照第12.3.1项〔计量原则〕约定执行。</w:t>
      </w:r>
    </w:p>
    <w:p w14:paraId="3EDBD8FB">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14.2.1.2计价原则</w:t>
      </w:r>
    </w:p>
    <w:p w14:paraId="59A3A56E">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（1）采购范围内的固定综合单价包干。本项目合同价款采用固定综合单价合同，综合单价包含采购文件、设计图纸、工程量清单、合同文件包含的全部内容。如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踏勘现场发现现场与设计图、图纸与预算清单有不一致，在</w:t>
      </w:r>
      <w:r>
        <w:rPr>
          <w:rFonts w:hint="eastAsia" w:ascii="宋体" w:hAnsi="宋体" w:eastAsia="宋体" w:cs="宋体"/>
          <w:color w:val="auto"/>
          <w:sz w:val="24"/>
          <w:szCs w:val="24"/>
          <w:highlight w:val="none"/>
          <w:lang w:eastAsia="zh-CN"/>
        </w:rPr>
        <w:t>响应报价</w:t>
      </w:r>
      <w:r>
        <w:rPr>
          <w:rFonts w:hint="eastAsia" w:ascii="宋体" w:hAnsi="宋体" w:eastAsia="宋体" w:cs="宋体"/>
          <w:color w:val="auto"/>
          <w:sz w:val="24"/>
          <w:szCs w:val="24"/>
          <w:highlight w:val="none"/>
        </w:rPr>
        <w:t>中通过综合单价统筹考虑。除设计变更或新增项目外，工程量清单、设计图或施工图范围内中标综合单价不做调整。</w:t>
      </w:r>
    </w:p>
    <w:p w14:paraId="5DA2A537">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（2）增减工程结算：按10.4.1项规定执行</w:t>
      </w:r>
      <w:r>
        <w:rPr>
          <w:rFonts w:hint="eastAsia" w:ascii="宋体" w:hAnsi="宋体" w:eastAsia="宋体" w:cs="宋体"/>
          <w:color w:val="auto"/>
          <w:sz w:val="24"/>
          <w:szCs w:val="24"/>
          <w:highlight w:val="none"/>
          <w:u w:val="none"/>
        </w:rPr>
        <w:t>。</w:t>
      </w:r>
    </w:p>
    <w:p w14:paraId="5B018C89">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①增减工程总价结算下浮比例为：</w:t>
      </w:r>
      <w:r>
        <w:rPr>
          <w:rFonts w:hint="eastAsia" w:ascii="宋体" w:hAnsi="宋体" w:eastAsia="宋体" w:cs="宋体"/>
          <w:color w:val="auto"/>
          <w:sz w:val="24"/>
          <w:szCs w:val="24"/>
          <w:highlight w:val="none"/>
          <w:lang w:val="en-US" w:eastAsia="zh-CN"/>
        </w:rPr>
        <w:t>（最高限价-中标价）÷最高限价。</w:t>
      </w:r>
    </w:p>
    <w:p w14:paraId="500CC143">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②增减工程由业主按规定报批审核同意后实施，由业主、施工单位、监理（如有）单位现场签证。</w:t>
      </w:r>
    </w:p>
    <w:p w14:paraId="5BCA918E">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（3）工程结算价=</w:t>
      </w:r>
      <w:r>
        <w:rPr>
          <w:rStyle w:val="22"/>
          <w:rFonts w:hint="eastAsia" w:ascii="宋体" w:hAnsi="宋体" w:eastAsia="宋体" w:cs="宋体"/>
          <w:color w:val="auto"/>
          <w:sz w:val="24"/>
          <w:szCs w:val="24"/>
          <w:highlight w:val="none"/>
          <w:u w:val="single"/>
        </w:rPr>
        <w:t>Σ分部分项工程结算价+Σ措施项目结算价+Σ其他项目结算价±Σ价格调整（如有）±Σ变更、索赔与现场签证结算价±Σ奖励、罚金、违约金及其他费用+Σ规费+Σ税金</w:t>
      </w:r>
      <w:r>
        <w:rPr>
          <w:rStyle w:val="22"/>
          <w:rFonts w:hint="eastAsia" w:ascii="宋体" w:hAnsi="宋体" w:eastAsia="宋体" w:cs="宋体"/>
          <w:color w:val="auto"/>
          <w:sz w:val="24"/>
          <w:szCs w:val="24"/>
          <w:highlight w:val="none"/>
        </w:rPr>
        <w:t>。</w:t>
      </w:r>
    </w:p>
    <w:p w14:paraId="2CAD7275">
      <w:pPr>
        <w:widowControl/>
        <w:spacing w:line="360" w:lineRule="auto"/>
        <w:ind w:firstLine="480" w:firstLineChars="200"/>
        <w:jc w:val="left"/>
        <w:textAlignment w:val="baseline"/>
        <w:rPr>
          <w:rStyle w:val="22"/>
          <w:rFonts w:hint="eastAsia" w:ascii="宋体" w:hAnsi="宋体" w:eastAsia="宋体" w:cs="宋体"/>
          <w:color w:val="auto"/>
          <w:sz w:val="24"/>
          <w:szCs w:val="24"/>
          <w:highlight w:val="none"/>
        </w:rPr>
      </w:pPr>
      <w:r>
        <w:rPr>
          <w:rStyle w:val="22"/>
          <w:rFonts w:hint="eastAsia" w:ascii="宋体" w:hAnsi="宋体" w:eastAsia="宋体" w:cs="宋体"/>
          <w:color w:val="auto"/>
          <w:sz w:val="24"/>
          <w:szCs w:val="24"/>
          <w:highlight w:val="none"/>
        </w:rPr>
        <w:t>具体结算办法如下：</w:t>
      </w:r>
    </w:p>
    <w:p w14:paraId="507530D0">
      <w:pPr>
        <w:widowControl/>
        <w:tabs>
          <w:tab w:val="left" w:pos="711"/>
          <w:tab w:val="left" w:pos="2580"/>
        </w:tabs>
        <w:spacing w:line="360" w:lineRule="auto"/>
        <w:ind w:firstLine="0" w:firstLineChars="0"/>
        <w:jc w:val="left"/>
        <w:textAlignment w:val="baseline"/>
        <w:rPr>
          <w:rStyle w:val="22"/>
          <w:rFonts w:hint="eastAsia" w:ascii="宋体" w:hAnsi="宋体" w:eastAsia="宋体" w:cs="宋体"/>
          <w:color w:val="auto"/>
          <w:sz w:val="24"/>
          <w:szCs w:val="24"/>
          <w:highlight w:val="none"/>
        </w:rPr>
      </w:pPr>
      <w:r>
        <w:rPr>
          <w:rStyle w:val="22"/>
          <w:rFonts w:hint="eastAsia" w:ascii="宋体" w:hAnsi="宋体" w:eastAsia="宋体" w:cs="宋体"/>
          <w:color w:val="auto"/>
          <w:sz w:val="24"/>
          <w:szCs w:val="24"/>
          <w:highlight w:val="none"/>
        </w:rPr>
        <w:t>1）分部分项工程：</w:t>
      </w:r>
    </w:p>
    <w:p w14:paraId="30DDDAEE">
      <w:pPr>
        <w:widowControl/>
        <w:tabs>
          <w:tab w:val="left" w:pos="711"/>
          <w:tab w:val="left" w:pos="2580"/>
        </w:tabs>
        <w:spacing w:line="360" w:lineRule="auto"/>
        <w:ind w:firstLine="480" w:firstLineChars="200"/>
        <w:jc w:val="left"/>
        <w:textAlignment w:val="baseline"/>
        <w:rPr>
          <w:rStyle w:val="22"/>
          <w:rFonts w:hint="eastAsia" w:ascii="宋体" w:hAnsi="宋体" w:eastAsia="宋体" w:cs="宋体"/>
          <w:color w:val="auto"/>
          <w:sz w:val="24"/>
          <w:szCs w:val="24"/>
          <w:highlight w:val="none"/>
          <w:u w:val="single"/>
        </w:rPr>
      </w:pPr>
      <w:r>
        <w:rPr>
          <w:rStyle w:val="22"/>
          <w:rFonts w:hint="eastAsia" w:ascii="宋体" w:hAnsi="宋体" w:eastAsia="宋体" w:cs="宋体"/>
          <w:color w:val="auto"/>
          <w:sz w:val="24"/>
          <w:szCs w:val="24"/>
          <w:highlight w:val="none"/>
          <w:u w:val="single"/>
        </w:rPr>
        <w:t>①已标价工程量清单子目综合单价按合同约定无需调整的，以按照施工设计图+图纸会审+签证+设计变更和第12.3.1项〔计量原则〕约定确定的工程量乘以相应的已标价工程量清单子目综合单价确定该部分分部分项工程结算价</w:t>
      </w:r>
      <w:r>
        <w:rPr>
          <w:rStyle w:val="22"/>
          <w:rFonts w:hint="eastAsia" w:ascii="宋体" w:hAnsi="宋体" w:eastAsia="宋体" w:cs="宋体"/>
          <w:color w:val="auto"/>
          <w:sz w:val="24"/>
          <w:szCs w:val="24"/>
          <w:highlight w:val="none"/>
        </w:rPr>
        <w:t>；</w:t>
      </w:r>
    </w:p>
    <w:p w14:paraId="01A95A62">
      <w:pPr>
        <w:widowControl/>
        <w:tabs>
          <w:tab w:val="left" w:pos="711"/>
          <w:tab w:val="left" w:pos="2580"/>
        </w:tabs>
        <w:spacing w:line="360" w:lineRule="auto"/>
        <w:ind w:firstLine="480" w:firstLineChars="200"/>
        <w:jc w:val="left"/>
        <w:textAlignment w:val="baseline"/>
        <w:rPr>
          <w:rStyle w:val="22"/>
          <w:rFonts w:hint="eastAsia" w:ascii="宋体" w:hAnsi="宋体" w:eastAsia="宋体" w:cs="宋体"/>
          <w:color w:val="auto"/>
          <w:sz w:val="24"/>
          <w:szCs w:val="24"/>
          <w:highlight w:val="none"/>
          <w:u w:val="single"/>
        </w:rPr>
      </w:pPr>
      <w:r>
        <w:rPr>
          <w:rStyle w:val="22"/>
          <w:rFonts w:hint="eastAsia" w:ascii="宋体" w:hAnsi="宋体" w:eastAsia="宋体" w:cs="宋体"/>
          <w:color w:val="auto"/>
          <w:sz w:val="24"/>
          <w:szCs w:val="24"/>
          <w:highlight w:val="none"/>
          <w:u w:val="single"/>
        </w:rPr>
        <w:t>②需要对没有填入综合单价或总额价的子目项目进行扣减的，第12.3.1项〔计量原则〕约定确定的工程量乘以按照10.4.1〔变更估价原则〕（3）目约定的综合单价进行扣减</w:t>
      </w:r>
      <w:r>
        <w:rPr>
          <w:rStyle w:val="22"/>
          <w:rFonts w:hint="eastAsia" w:ascii="宋体" w:hAnsi="宋体" w:eastAsia="宋体" w:cs="宋体"/>
          <w:color w:val="auto"/>
          <w:sz w:val="24"/>
          <w:szCs w:val="24"/>
          <w:highlight w:val="none"/>
        </w:rPr>
        <w:t>；</w:t>
      </w:r>
    </w:p>
    <w:p w14:paraId="52AFD8EC">
      <w:pPr>
        <w:widowControl/>
        <w:tabs>
          <w:tab w:val="left" w:pos="711"/>
          <w:tab w:val="left" w:pos="2580"/>
        </w:tabs>
        <w:spacing w:line="360" w:lineRule="auto"/>
        <w:ind w:firstLine="480" w:firstLineChars="200"/>
        <w:jc w:val="left"/>
        <w:textAlignment w:val="baseline"/>
        <w:rPr>
          <w:rStyle w:val="22"/>
          <w:rFonts w:hint="eastAsia" w:ascii="宋体" w:hAnsi="宋体" w:eastAsia="宋体" w:cs="宋体"/>
          <w:color w:val="auto"/>
          <w:sz w:val="24"/>
          <w:szCs w:val="24"/>
          <w:highlight w:val="none"/>
          <w:u w:val="single"/>
        </w:rPr>
      </w:pPr>
      <w:r>
        <w:rPr>
          <w:rStyle w:val="22"/>
          <w:rFonts w:hint="eastAsia" w:ascii="宋体" w:hAnsi="宋体" w:eastAsia="宋体" w:cs="宋体"/>
          <w:color w:val="auto"/>
          <w:sz w:val="24"/>
          <w:szCs w:val="24"/>
          <w:highlight w:val="none"/>
          <w:u w:val="single"/>
        </w:rPr>
        <w:t>③合同、已标价工程量清单和招标文件另有约定的，按照其约定执行</w:t>
      </w:r>
      <w:r>
        <w:rPr>
          <w:rStyle w:val="22"/>
          <w:rFonts w:hint="eastAsia" w:ascii="宋体" w:hAnsi="宋体" w:eastAsia="宋体" w:cs="宋体"/>
          <w:color w:val="auto"/>
          <w:sz w:val="24"/>
          <w:szCs w:val="24"/>
          <w:highlight w:val="none"/>
        </w:rPr>
        <w:t>。</w:t>
      </w:r>
    </w:p>
    <w:p w14:paraId="701BACF5">
      <w:pPr>
        <w:widowControl/>
        <w:tabs>
          <w:tab w:val="left" w:pos="711"/>
          <w:tab w:val="left" w:pos="2580"/>
        </w:tabs>
        <w:spacing w:line="360" w:lineRule="auto"/>
        <w:ind w:firstLine="0" w:firstLineChars="0"/>
        <w:jc w:val="left"/>
        <w:textAlignment w:val="baseline"/>
        <w:rPr>
          <w:rStyle w:val="22"/>
          <w:rFonts w:hint="eastAsia" w:ascii="宋体" w:hAnsi="宋体" w:eastAsia="宋体" w:cs="宋体"/>
          <w:color w:val="auto"/>
          <w:sz w:val="24"/>
          <w:szCs w:val="24"/>
          <w:highlight w:val="none"/>
        </w:rPr>
      </w:pPr>
      <w:r>
        <w:rPr>
          <w:rStyle w:val="22"/>
          <w:rFonts w:hint="eastAsia" w:ascii="宋体" w:hAnsi="宋体" w:eastAsia="宋体" w:cs="宋体"/>
          <w:color w:val="auto"/>
          <w:sz w:val="24"/>
          <w:szCs w:val="24"/>
          <w:highlight w:val="none"/>
        </w:rPr>
        <w:t>2）措施项目：</w:t>
      </w:r>
    </w:p>
    <w:p w14:paraId="22C1C438">
      <w:pPr>
        <w:widowControl/>
        <w:tabs>
          <w:tab w:val="left" w:pos="711"/>
          <w:tab w:val="left" w:pos="2580"/>
        </w:tabs>
        <w:spacing w:line="360" w:lineRule="auto"/>
        <w:ind w:firstLine="480" w:firstLineChars="200"/>
        <w:jc w:val="left"/>
        <w:textAlignment w:val="baseline"/>
        <w:rPr>
          <w:rStyle w:val="22"/>
          <w:rFonts w:hint="eastAsia" w:ascii="宋体" w:hAnsi="宋体" w:eastAsia="宋体" w:cs="宋体"/>
          <w:color w:val="auto"/>
          <w:sz w:val="24"/>
          <w:szCs w:val="24"/>
          <w:highlight w:val="none"/>
          <w:u w:val="single"/>
        </w:rPr>
      </w:pPr>
      <w:r>
        <w:rPr>
          <w:rStyle w:val="22"/>
          <w:rFonts w:hint="eastAsia" w:ascii="宋体" w:hAnsi="宋体" w:eastAsia="宋体" w:cs="宋体"/>
          <w:color w:val="auto"/>
          <w:sz w:val="24"/>
          <w:szCs w:val="24"/>
          <w:highlight w:val="none"/>
          <w:u w:val="single"/>
        </w:rPr>
        <w:t>①施工组织措施费（安全文明施工费除外）：按中标价包干使用，不作调整</w:t>
      </w:r>
      <w:r>
        <w:rPr>
          <w:rStyle w:val="22"/>
          <w:rFonts w:hint="eastAsia" w:ascii="宋体" w:hAnsi="宋体" w:eastAsia="宋体" w:cs="宋体"/>
          <w:color w:val="auto"/>
          <w:sz w:val="24"/>
          <w:szCs w:val="24"/>
          <w:highlight w:val="none"/>
        </w:rPr>
        <w:t>。</w:t>
      </w:r>
    </w:p>
    <w:p w14:paraId="6B0B2DDD">
      <w:pPr>
        <w:widowControl/>
        <w:tabs>
          <w:tab w:val="left" w:pos="711"/>
          <w:tab w:val="left" w:pos="2580"/>
        </w:tabs>
        <w:spacing w:line="360" w:lineRule="auto"/>
        <w:ind w:firstLine="480" w:firstLineChars="200"/>
        <w:jc w:val="left"/>
        <w:textAlignment w:val="baseline"/>
        <w:rPr>
          <w:rStyle w:val="22"/>
          <w:rFonts w:hint="eastAsia" w:ascii="宋体" w:hAnsi="宋体" w:eastAsia="宋体" w:cs="宋体"/>
          <w:color w:val="auto"/>
          <w:sz w:val="24"/>
          <w:szCs w:val="24"/>
          <w:highlight w:val="none"/>
          <w:u w:val="single"/>
        </w:rPr>
      </w:pPr>
      <w:r>
        <w:rPr>
          <w:rStyle w:val="22"/>
          <w:rFonts w:hint="eastAsia" w:ascii="宋体" w:hAnsi="宋体" w:eastAsia="宋体" w:cs="宋体"/>
          <w:color w:val="auto"/>
          <w:sz w:val="24"/>
          <w:szCs w:val="24"/>
          <w:highlight w:val="none"/>
          <w:u w:val="single"/>
        </w:rPr>
        <w:t>②技术措施费：技术措施清单中以项为单位计列的项目，按已标价工程量清单执行，不作调整。技术措施清单中其他以项目编码、项目名称、项目特征、主要工程内容、工程量及计量单位列项的项目，相应的综合单价按已标价清单执行，不作调整，工程量按《建设工程工程量清单计价规范》（GB50500-2013）、《重庆市建设工程工程量计算规则》（CQJLGZ-2013）、《房屋建筑与装饰工程工程量计算规范》（GB50854-2013）、《通用安装工程工程量计算规范》（GB50856-2013）规定的计量规则及工程量清单说明按实计量</w:t>
      </w:r>
      <w:r>
        <w:rPr>
          <w:rStyle w:val="22"/>
          <w:rFonts w:hint="eastAsia" w:ascii="宋体" w:hAnsi="宋体" w:eastAsia="宋体" w:cs="宋体"/>
          <w:color w:val="auto"/>
          <w:sz w:val="24"/>
          <w:szCs w:val="24"/>
          <w:highlight w:val="none"/>
        </w:rPr>
        <w:t>。</w:t>
      </w:r>
    </w:p>
    <w:p w14:paraId="6A23FCB8">
      <w:pPr>
        <w:spacing w:line="360" w:lineRule="auto"/>
        <w:ind w:firstLine="480" w:firstLineChars="200"/>
        <w:rPr>
          <w:rStyle w:val="22"/>
          <w:rFonts w:hint="eastAsia" w:ascii="宋体" w:hAnsi="宋体" w:eastAsia="宋体" w:cs="宋体"/>
          <w:color w:val="auto"/>
          <w:sz w:val="24"/>
          <w:szCs w:val="24"/>
          <w:highlight w:val="none"/>
          <w:u w:val="single"/>
        </w:rPr>
      </w:pPr>
      <w:r>
        <w:rPr>
          <w:rStyle w:val="22"/>
          <w:rFonts w:hint="eastAsia" w:ascii="宋体" w:hAnsi="宋体" w:eastAsia="宋体" w:cs="宋体"/>
          <w:color w:val="auto"/>
          <w:sz w:val="24"/>
          <w:szCs w:val="24"/>
          <w:highlight w:val="none"/>
          <w:u w:val="single"/>
        </w:rPr>
        <w:t>③</w:t>
      </w:r>
      <w:r>
        <w:rPr>
          <w:rFonts w:hint="eastAsia" w:ascii="宋体" w:hAnsi="宋体" w:eastAsia="宋体" w:cs="宋体"/>
          <w:color w:val="auto"/>
          <w:sz w:val="24"/>
          <w:szCs w:val="24"/>
          <w:highlight w:val="none"/>
        </w:rPr>
        <w:t>安全文明施工费</w:t>
      </w:r>
      <w:r>
        <w:rPr>
          <w:rStyle w:val="22"/>
          <w:rFonts w:hint="eastAsia" w:ascii="宋体" w:hAnsi="宋体" w:eastAsia="宋体" w:cs="宋体"/>
          <w:color w:val="auto"/>
          <w:sz w:val="24"/>
          <w:szCs w:val="24"/>
          <w:highlight w:val="none"/>
          <w:u w:val="single"/>
        </w:rPr>
        <w:t>按照《重庆市建设工程安全文明施工费计取及使用管理规定》渝建管〔2024〕38号文、《重庆市城乡建设委员会关于适用增值税新税率调整建设工程计价依据的通知》（渝建〔2019〕143号）的规定进行结算；安全文明施工综合评定结果为不合格，则不计取。</w:t>
      </w:r>
    </w:p>
    <w:p w14:paraId="68BB9000">
      <w:pPr>
        <w:widowControl/>
        <w:tabs>
          <w:tab w:val="left" w:pos="711"/>
          <w:tab w:val="left" w:pos="2580"/>
        </w:tabs>
        <w:spacing w:line="360" w:lineRule="auto"/>
        <w:ind w:left="420" w:leftChars="200"/>
        <w:jc w:val="left"/>
        <w:textAlignment w:val="baseline"/>
        <w:rPr>
          <w:rStyle w:val="22"/>
          <w:rFonts w:hint="eastAsia" w:ascii="宋体" w:hAnsi="宋体" w:eastAsia="宋体" w:cs="宋体"/>
          <w:color w:val="auto"/>
          <w:sz w:val="24"/>
          <w:szCs w:val="24"/>
          <w:highlight w:val="none"/>
        </w:rPr>
      </w:pPr>
      <w:r>
        <w:rPr>
          <w:rStyle w:val="22"/>
          <w:rFonts w:hint="eastAsia" w:ascii="宋体" w:hAnsi="宋体" w:eastAsia="宋体" w:cs="宋体"/>
          <w:color w:val="auto"/>
          <w:sz w:val="24"/>
          <w:szCs w:val="24"/>
          <w:highlight w:val="none"/>
        </w:rPr>
        <w:t>施工期间，若相关行政主管部门颁布了新的安全文明施工标准（或规范），</w:t>
      </w:r>
    </w:p>
    <w:p w14:paraId="4C9C14D3">
      <w:pPr>
        <w:widowControl/>
        <w:tabs>
          <w:tab w:val="left" w:pos="711"/>
          <w:tab w:val="left" w:pos="2580"/>
        </w:tabs>
        <w:spacing w:line="360" w:lineRule="auto"/>
        <w:jc w:val="left"/>
        <w:textAlignment w:val="baseline"/>
        <w:rPr>
          <w:rStyle w:val="22"/>
          <w:rFonts w:hint="eastAsia" w:ascii="宋体" w:hAnsi="宋体" w:eastAsia="宋体" w:cs="宋体"/>
          <w:color w:val="auto"/>
          <w:sz w:val="24"/>
          <w:szCs w:val="24"/>
          <w:highlight w:val="none"/>
        </w:rPr>
      </w:pPr>
      <w:r>
        <w:rPr>
          <w:rStyle w:val="22"/>
          <w:rFonts w:hint="eastAsia" w:ascii="宋体" w:hAnsi="宋体" w:eastAsia="宋体" w:cs="宋体"/>
          <w:color w:val="auto"/>
          <w:sz w:val="24"/>
          <w:szCs w:val="24"/>
          <w:highlight w:val="none"/>
        </w:rPr>
        <w:t>承包人应无条件按新颁布的安全文明施工标准（或规范）的要求执行，涉及安全文明施工费用的变化和调整的，按新颁布的安全文明施工相关文件规定执行。</w:t>
      </w:r>
    </w:p>
    <w:p w14:paraId="233EDAAE">
      <w:pPr>
        <w:keepNext w:val="0"/>
        <w:keepLines w:val="0"/>
        <w:pageBreakBefore w:val="0"/>
        <w:widowControl/>
        <w:numPr>
          <w:ilvl w:val="0"/>
          <w:numId w:val="3"/>
        </w:numPr>
        <w:tabs>
          <w:tab w:val="left" w:pos="711"/>
          <w:tab w:val="left" w:pos="2580"/>
        </w:tabs>
        <w:kinsoku/>
        <w:wordWrap/>
        <w:overflowPunct/>
        <w:topLinePunct w:val="0"/>
        <w:autoSpaceDE/>
        <w:autoSpaceDN/>
        <w:bidi w:val="0"/>
        <w:adjustRightInd/>
        <w:snapToGrid/>
        <w:spacing w:line="360" w:lineRule="auto"/>
        <w:ind w:left="0" w:leftChars="0" w:right="0" w:rightChars="0" w:firstLine="0" w:firstLineChars="0"/>
        <w:jc w:val="left"/>
        <w:textAlignment w:val="baseline"/>
        <w:rPr>
          <w:rStyle w:val="22"/>
          <w:rFonts w:hint="eastAsia" w:ascii="宋体" w:hAnsi="宋体" w:eastAsia="宋体" w:cs="宋体"/>
          <w:color w:val="auto"/>
          <w:sz w:val="24"/>
          <w:szCs w:val="24"/>
          <w:highlight w:val="none"/>
          <w:u w:val="single"/>
        </w:rPr>
      </w:pPr>
      <w:r>
        <w:rPr>
          <w:rStyle w:val="22"/>
          <w:rFonts w:hint="eastAsia" w:ascii="宋体" w:hAnsi="宋体" w:eastAsia="宋体" w:cs="宋体"/>
          <w:color w:val="auto"/>
          <w:sz w:val="24"/>
          <w:szCs w:val="24"/>
          <w:highlight w:val="none"/>
          <w:u w:val="single"/>
          <w:lang w:val="en-US" w:eastAsia="zh-CN"/>
        </w:rPr>
        <w:t>其他项目</w:t>
      </w:r>
    </w:p>
    <w:p w14:paraId="4AFDB890">
      <w:pPr>
        <w:widowControl/>
        <w:spacing w:line="360" w:lineRule="auto"/>
        <w:ind w:firstLine="480" w:firstLineChars="200"/>
        <w:jc w:val="left"/>
        <w:textAlignment w:val="baseline"/>
        <w:rPr>
          <w:rStyle w:val="22"/>
          <w:rFonts w:hint="eastAsia" w:ascii="宋体" w:hAnsi="宋体" w:eastAsia="宋体" w:cs="宋体"/>
          <w:color w:val="auto"/>
          <w:sz w:val="24"/>
          <w:szCs w:val="24"/>
          <w:highlight w:val="none"/>
        </w:rPr>
      </w:pPr>
      <w:r>
        <w:rPr>
          <w:rStyle w:val="22"/>
          <w:rFonts w:hint="eastAsia" w:ascii="宋体" w:hAnsi="宋体" w:eastAsia="宋体" w:cs="宋体"/>
          <w:color w:val="auto"/>
          <w:sz w:val="24"/>
          <w:szCs w:val="24"/>
          <w:highlight w:val="none"/>
          <w:u w:val="single"/>
        </w:rPr>
        <w:t>①</w:t>
      </w:r>
      <w:r>
        <w:rPr>
          <w:rStyle w:val="22"/>
          <w:rFonts w:hint="eastAsia" w:ascii="宋体" w:hAnsi="宋体" w:eastAsia="宋体" w:cs="宋体"/>
          <w:color w:val="auto"/>
          <w:sz w:val="24"/>
          <w:szCs w:val="24"/>
          <w:highlight w:val="none"/>
        </w:rPr>
        <w:t>暂列金额：按实发生计取。</w:t>
      </w:r>
    </w:p>
    <w:p w14:paraId="0EC9D44D">
      <w:pPr>
        <w:widowControl/>
        <w:spacing w:line="360" w:lineRule="auto"/>
        <w:ind w:firstLine="480" w:firstLineChars="200"/>
        <w:jc w:val="left"/>
        <w:textAlignment w:val="baseline"/>
        <w:rPr>
          <w:rStyle w:val="22"/>
          <w:rFonts w:hint="eastAsia" w:ascii="宋体" w:hAnsi="宋体" w:eastAsia="宋体" w:cs="宋体"/>
          <w:color w:val="auto"/>
          <w:sz w:val="24"/>
          <w:szCs w:val="24"/>
          <w:highlight w:val="none"/>
        </w:rPr>
      </w:pPr>
      <w:r>
        <w:rPr>
          <w:rStyle w:val="22"/>
          <w:rFonts w:hint="eastAsia" w:ascii="宋体" w:hAnsi="宋体" w:eastAsia="宋体" w:cs="宋体"/>
          <w:color w:val="auto"/>
          <w:sz w:val="24"/>
          <w:szCs w:val="24"/>
          <w:highlight w:val="none"/>
          <w:u w:val="single"/>
        </w:rPr>
        <w:t>②</w:t>
      </w:r>
      <w:r>
        <w:rPr>
          <w:rStyle w:val="22"/>
          <w:rFonts w:hint="eastAsia" w:ascii="宋体" w:hAnsi="宋体" w:eastAsia="宋体" w:cs="宋体"/>
          <w:color w:val="auto"/>
          <w:sz w:val="24"/>
          <w:szCs w:val="24"/>
          <w:highlight w:val="none"/>
        </w:rPr>
        <w:t>专业工程暂估价：</w:t>
      </w:r>
    </w:p>
    <w:p w14:paraId="75E18854">
      <w:pPr>
        <w:widowControl/>
        <w:spacing w:line="360" w:lineRule="auto"/>
        <w:ind w:firstLine="480" w:firstLineChars="200"/>
        <w:jc w:val="left"/>
        <w:textAlignment w:val="baseline"/>
        <w:rPr>
          <w:rStyle w:val="22"/>
          <w:rFonts w:hint="eastAsia" w:ascii="宋体" w:hAnsi="宋体" w:eastAsia="宋体" w:cs="宋体"/>
          <w:color w:val="auto"/>
          <w:sz w:val="24"/>
          <w:szCs w:val="24"/>
          <w:highlight w:val="none"/>
        </w:rPr>
      </w:pPr>
      <w:r>
        <w:rPr>
          <w:rStyle w:val="22"/>
          <w:rFonts w:hint="eastAsia" w:ascii="宋体" w:hAnsi="宋体" w:eastAsia="宋体" w:cs="宋体"/>
          <w:color w:val="auto"/>
          <w:sz w:val="24"/>
          <w:szCs w:val="24"/>
          <w:highlight w:val="none"/>
          <w:u w:val="single"/>
        </w:rPr>
        <w:t>对于不属于依法必须招标的暂估价项目：按发包人审定的价格进行结算</w:t>
      </w:r>
      <w:r>
        <w:rPr>
          <w:rStyle w:val="22"/>
          <w:rFonts w:hint="eastAsia" w:ascii="宋体" w:hAnsi="宋体" w:eastAsia="宋体" w:cs="宋体"/>
          <w:color w:val="auto"/>
          <w:sz w:val="24"/>
          <w:szCs w:val="24"/>
          <w:highlight w:val="none"/>
        </w:rPr>
        <w:t>。</w:t>
      </w:r>
    </w:p>
    <w:p w14:paraId="3405C639">
      <w:pPr>
        <w:widowControl/>
        <w:spacing w:line="360" w:lineRule="auto"/>
        <w:ind w:firstLine="480" w:firstLineChars="200"/>
        <w:jc w:val="left"/>
        <w:textAlignment w:val="baseline"/>
        <w:rPr>
          <w:rStyle w:val="22"/>
          <w:rFonts w:hint="eastAsia" w:ascii="宋体" w:hAnsi="宋体" w:eastAsia="宋体" w:cs="宋体"/>
          <w:color w:val="auto"/>
          <w:sz w:val="24"/>
          <w:szCs w:val="24"/>
          <w:highlight w:val="none"/>
        </w:rPr>
      </w:pPr>
      <w:r>
        <w:rPr>
          <w:rStyle w:val="22"/>
          <w:rFonts w:hint="eastAsia" w:ascii="宋体" w:hAnsi="宋体" w:eastAsia="宋体" w:cs="宋体"/>
          <w:color w:val="auto"/>
          <w:sz w:val="24"/>
          <w:szCs w:val="24"/>
          <w:highlight w:val="none"/>
          <w:u w:val="single"/>
        </w:rPr>
        <w:t>对于依法必须招标的暂估价项目：达到招标规模标准的暂估价内容，包括专业工程暂估价和材料设备暂估价均应招标确定，并按暂估价招标文件约定结算</w:t>
      </w:r>
      <w:r>
        <w:rPr>
          <w:rStyle w:val="22"/>
          <w:rFonts w:hint="eastAsia" w:ascii="宋体" w:hAnsi="宋体" w:eastAsia="宋体" w:cs="宋体"/>
          <w:color w:val="auto"/>
          <w:sz w:val="24"/>
          <w:szCs w:val="24"/>
          <w:highlight w:val="none"/>
        </w:rPr>
        <w:t>。</w:t>
      </w:r>
    </w:p>
    <w:p w14:paraId="29D2BCA8">
      <w:pPr>
        <w:widowControl/>
        <w:spacing w:line="360" w:lineRule="auto"/>
        <w:ind w:firstLine="480" w:firstLineChars="200"/>
        <w:jc w:val="left"/>
        <w:textAlignment w:val="baseline"/>
        <w:rPr>
          <w:rStyle w:val="22"/>
          <w:rFonts w:hint="eastAsia" w:ascii="宋体" w:hAnsi="宋体" w:eastAsia="宋体" w:cs="宋体"/>
          <w:color w:val="auto"/>
          <w:sz w:val="24"/>
          <w:szCs w:val="24"/>
          <w:highlight w:val="none"/>
        </w:rPr>
      </w:pPr>
      <w:r>
        <w:rPr>
          <w:rStyle w:val="22"/>
          <w:rFonts w:hint="eastAsia" w:ascii="宋体" w:hAnsi="宋体" w:eastAsia="宋体" w:cs="宋体"/>
          <w:color w:val="auto"/>
          <w:sz w:val="24"/>
          <w:szCs w:val="24"/>
          <w:highlight w:val="none"/>
          <w:u w:val="single"/>
        </w:rPr>
        <w:t>③总承包服务费：包干使用，不作调整</w:t>
      </w:r>
      <w:r>
        <w:rPr>
          <w:rStyle w:val="22"/>
          <w:rFonts w:hint="eastAsia" w:ascii="宋体" w:hAnsi="宋体" w:eastAsia="宋体" w:cs="宋体"/>
          <w:color w:val="auto"/>
          <w:sz w:val="24"/>
          <w:szCs w:val="24"/>
          <w:highlight w:val="none"/>
        </w:rPr>
        <w:t>。</w:t>
      </w:r>
    </w:p>
    <w:p w14:paraId="28E9FFCE">
      <w:pPr>
        <w:keepNext w:val="0"/>
        <w:keepLines w:val="0"/>
        <w:pageBreakBefore w:val="0"/>
        <w:widowControl/>
        <w:numPr>
          <w:ilvl w:val="0"/>
          <w:numId w:val="3"/>
        </w:numPr>
        <w:tabs>
          <w:tab w:val="left" w:pos="711"/>
          <w:tab w:val="left" w:pos="2580"/>
        </w:tabs>
        <w:kinsoku/>
        <w:wordWrap/>
        <w:overflowPunct/>
        <w:topLinePunct w:val="0"/>
        <w:autoSpaceDE/>
        <w:autoSpaceDN/>
        <w:bidi w:val="0"/>
        <w:adjustRightInd/>
        <w:snapToGrid/>
        <w:spacing w:line="360" w:lineRule="auto"/>
        <w:ind w:left="0" w:leftChars="0" w:right="0" w:rightChars="0" w:firstLine="0" w:firstLineChars="0"/>
        <w:jc w:val="left"/>
        <w:textAlignment w:val="baseline"/>
        <w:rPr>
          <w:rStyle w:val="22"/>
          <w:rFonts w:hint="eastAsia" w:ascii="宋体" w:hAnsi="宋体" w:eastAsia="宋体" w:cs="宋体"/>
          <w:color w:val="auto"/>
          <w:sz w:val="24"/>
          <w:szCs w:val="24"/>
          <w:highlight w:val="none"/>
        </w:rPr>
      </w:pPr>
      <w:r>
        <w:rPr>
          <w:rStyle w:val="22"/>
          <w:rFonts w:hint="eastAsia" w:ascii="宋体" w:hAnsi="宋体" w:eastAsia="宋体" w:cs="宋体"/>
          <w:color w:val="auto"/>
          <w:sz w:val="24"/>
          <w:szCs w:val="24"/>
          <w:highlight w:val="none"/>
        </w:rPr>
        <w:t>价格调整：</w:t>
      </w:r>
      <w:r>
        <w:rPr>
          <w:rStyle w:val="22"/>
          <w:rFonts w:hint="eastAsia" w:ascii="宋体" w:hAnsi="宋体" w:eastAsia="宋体" w:cs="宋体"/>
          <w:color w:val="auto"/>
          <w:sz w:val="24"/>
          <w:szCs w:val="24"/>
          <w:highlight w:val="none"/>
          <w:u w:val="single"/>
        </w:rPr>
        <w:t>按照第11条〔价格调整〕约定执行</w:t>
      </w:r>
      <w:r>
        <w:rPr>
          <w:rStyle w:val="22"/>
          <w:rFonts w:hint="eastAsia" w:ascii="宋体" w:hAnsi="宋体" w:eastAsia="宋体" w:cs="宋体"/>
          <w:color w:val="auto"/>
          <w:sz w:val="24"/>
          <w:szCs w:val="24"/>
          <w:highlight w:val="none"/>
        </w:rPr>
        <w:t>。</w:t>
      </w:r>
    </w:p>
    <w:p w14:paraId="28F9BEF4">
      <w:pPr>
        <w:keepNext w:val="0"/>
        <w:keepLines w:val="0"/>
        <w:pageBreakBefore w:val="0"/>
        <w:widowControl/>
        <w:numPr>
          <w:ilvl w:val="0"/>
          <w:numId w:val="3"/>
        </w:numPr>
        <w:tabs>
          <w:tab w:val="left" w:pos="711"/>
          <w:tab w:val="left" w:pos="2580"/>
        </w:tabs>
        <w:kinsoku/>
        <w:wordWrap/>
        <w:overflowPunct/>
        <w:topLinePunct w:val="0"/>
        <w:autoSpaceDE/>
        <w:autoSpaceDN/>
        <w:bidi w:val="0"/>
        <w:adjustRightInd/>
        <w:snapToGrid/>
        <w:spacing w:line="360" w:lineRule="auto"/>
        <w:ind w:left="0" w:leftChars="0" w:right="0" w:rightChars="0" w:firstLine="0" w:firstLineChars="0"/>
        <w:jc w:val="left"/>
        <w:textAlignment w:val="baseline"/>
        <w:rPr>
          <w:rStyle w:val="22"/>
          <w:rFonts w:hint="eastAsia" w:ascii="宋体" w:hAnsi="宋体" w:eastAsia="宋体" w:cs="宋体"/>
          <w:color w:val="auto"/>
          <w:sz w:val="24"/>
          <w:szCs w:val="24"/>
          <w:highlight w:val="none"/>
        </w:rPr>
      </w:pPr>
      <w:r>
        <w:rPr>
          <w:rStyle w:val="22"/>
          <w:rFonts w:hint="eastAsia" w:ascii="宋体" w:hAnsi="宋体" w:eastAsia="宋体" w:cs="宋体"/>
          <w:color w:val="auto"/>
          <w:sz w:val="24"/>
          <w:szCs w:val="24"/>
          <w:highlight w:val="none"/>
        </w:rPr>
        <w:t>工程变更、索赔与现场签证：</w:t>
      </w:r>
    </w:p>
    <w:p w14:paraId="3806BFB4">
      <w:pPr>
        <w:keepNext w:val="0"/>
        <w:keepLines w:val="0"/>
        <w:pageBreakBefore w:val="0"/>
        <w:widowControl/>
        <w:numPr>
          <w:ilvl w:val="-1"/>
          <w:numId w:val="0"/>
        </w:numPr>
        <w:tabs>
          <w:tab w:val="left" w:pos="711"/>
          <w:tab w:val="left" w:pos="2580"/>
        </w:tabs>
        <w:kinsoku/>
        <w:wordWrap/>
        <w:overflowPunct/>
        <w:topLinePunct w:val="0"/>
        <w:autoSpaceDE/>
        <w:autoSpaceDN/>
        <w:bidi w:val="0"/>
        <w:adjustRightInd/>
        <w:snapToGrid/>
        <w:spacing w:line="360" w:lineRule="auto"/>
        <w:ind w:left="0" w:leftChars="0" w:right="0" w:rightChars="0" w:firstLine="240" w:firstLineChars="100"/>
        <w:jc w:val="left"/>
        <w:textAlignment w:val="baseline"/>
        <w:rPr>
          <w:rStyle w:val="22"/>
          <w:rFonts w:hint="eastAsia" w:ascii="宋体" w:hAnsi="宋体" w:eastAsia="宋体" w:cs="宋体"/>
          <w:color w:val="auto"/>
          <w:sz w:val="24"/>
          <w:szCs w:val="24"/>
          <w:highlight w:val="none"/>
        </w:rPr>
      </w:pPr>
      <w:r>
        <w:rPr>
          <w:rStyle w:val="22"/>
          <w:rFonts w:hint="eastAsia" w:ascii="宋体" w:hAnsi="宋体" w:eastAsia="宋体" w:cs="宋体"/>
          <w:color w:val="auto"/>
          <w:sz w:val="24"/>
          <w:szCs w:val="24"/>
          <w:highlight w:val="none"/>
        </w:rPr>
        <w:t>①工程变更：按照第10.4.1项〔变更估价原则〕约定确定为总价包干的，按审定包干总价计入结算；其余项目按照有效的竣工结算资料和第12.3.1项〔计量原则〕约定确定的工程量乘以相应的按照第10.4.1项〔变更估价原则〕约定确定综合单价来确定该部分结算价。</w:t>
      </w:r>
    </w:p>
    <w:p w14:paraId="02AC52C7">
      <w:pPr>
        <w:keepNext w:val="0"/>
        <w:keepLines w:val="0"/>
        <w:pageBreakBefore w:val="0"/>
        <w:widowControl/>
        <w:numPr>
          <w:ilvl w:val="-1"/>
          <w:numId w:val="0"/>
        </w:numPr>
        <w:tabs>
          <w:tab w:val="left" w:pos="711"/>
          <w:tab w:val="left" w:pos="2580"/>
        </w:tabs>
        <w:kinsoku/>
        <w:wordWrap/>
        <w:overflowPunct/>
        <w:topLinePunct w:val="0"/>
        <w:autoSpaceDE/>
        <w:autoSpaceDN/>
        <w:bidi w:val="0"/>
        <w:adjustRightInd/>
        <w:snapToGrid/>
        <w:spacing w:line="360" w:lineRule="auto"/>
        <w:ind w:left="0" w:leftChars="0" w:right="0" w:rightChars="0" w:firstLine="240" w:firstLineChars="100"/>
        <w:jc w:val="left"/>
        <w:textAlignment w:val="baseline"/>
        <w:rPr>
          <w:rStyle w:val="22"/>
          <w:rFonts w:hint="eastAsia" w:ascii="宋体" w:hAnsi="宋体" w:eastAsia="宋体" w:cs="宋体"/>
          <w:color w:val="auto"/>
          <w:sz w:val="24"/>
          <w:szCs w:val="24"/>
          <w:highlight w:val="none"/>
        </w:rPr>
      </w:pPr>
      <w:r>
        <w:rPr>
          <w:rStyle w:val="22"/>
          <w:rFonts w:hint="eastAsia" w:ascii="宋体" w:hAnsi="宋体" w:eastAsia="宋体" w:cs="宋体"/>
          <w:color w:val="auto"/>
          <w:sz w:val="24"/>
          <w:szCs w:val="24"/>
          <w:highlight w:val="none"/>
        </w:rPr>
        <w:t>②索赔：按照第10.4.1项〔变更估价原则〕和第14.2.1项〔竣工结算办法〕约定执行。</w:t>
      </w:r>
    </w:p>
    <w:p w14:paraId="3EF12FEB">
      <w:pPr>
        <w:keepNext w:val="0"/>
        <w:keepLines w:val="0"/>
        <w:pageBreakBefore w:val="0"/>
        <w:widowControl/>
        <w:numPr>
          <w:ilvl w:val="-1"/>
          <w:numId w:val="0"/>
        </w:numPr>
        <w:tabs>
          <w:tab w:val="left" w:pos="711"/>
          <w:tab w:val="left" w:pos="2580"/>
        </w:tabs>
        <w:kinsoku/>
        <w:wordWrap/>
        <w:overflowPunct/>
        <w:topLinePunct w:val="0"/>
        <w:autoSpaceDE/>
        <w:autoSpaceDN/>
        <w:bidi w:val="0"/>
        <w:adjustRightInd/>
        <w:snapToGrid/>
        <w:spacing w:line="360" w:lineRule="auto"/>
        <w:ind w:left="0" w:leftChars="0" w:right="0" w:rightChars="0" w:firstLine="240" w:firstLineChars="100"/>
        <w:jc w:val="left"/>
        <w:textAlignment w:val="baseline"/>
        <w:rPr>
          <w:rStyle w:val="22"/>
          <w:rFonts w:hint="eastAsia" w:ascii="宋体" w:hAnsi="宋体" w:eastAsia="宋体" w:cs="宋体"/>
          <w:color w:val="auto"/>
          <w:sz w:val="24"/>
          <w:szCs w:val="24"/>
          <w:highlight w:val="none"/>
        </w:rPr>
      </w:pPr>
      <w:r>
        <w:rPr>
          <w:rStyle w:val="22"/>
          <w:rFonts w:hint="eastAsia" w:ascii="宋体" w:hAnsi="宋体" w:eastAsia="宋体" w:cs="宋体"/>
          <w:color w:val="auto"/>
          <w:sz w:val="24"/>
          <w:szCs w:val="24"/>
          <w:highlight w:val="none"/>
        </w:rPr>
        <w:t>③现场签证：按照第10.4.1项〔变更估价原则〕和第14.2.1项〔竣工结算办法〕约定执行。</w:t>
      </w:r>
    </w:p>
    <w:p w14:paraId="07C36E8B">
      <w:pPr>
        <w:keepNext w:val="0"/>
        <w:keepLines w:val="0"/>
        <w:pageBreakBefore w:val="0"/>
        <w:widowControl/>
        <w:numPr>
          <w:ilvl w:val="0"/>
          <w:numId w:val="3"/>
        </w:numPr>
        <w:tabs>
          <w:tab w:val="left" w:pos="711"/>
          <w:tab w:val="left" w:pos="2580"/>
        </w:tabs>
        <w:kinsoku/>
        <w:wordWrap/>
        <w:overflowPunct/>
        <w:topLinePunct w:val="0"/>
        <w:autoSpaceDE/>
        <w:autoSpaceDN/>
        <w:bidi w:val="0"/>
        <w:adjustRightInd/>
        <w:snapToGrid/>
        <w:spacing w:line="360" w:lineRule="auto"/>
        <w:ind w:left="0" w:leftChars="0" w:right="0" w:rightChars="0" w:firstLine="0" w:firstLineChars="0"/>
        <w:jc w:val="left"/>
        <w:textAlignment w:val="baseline"/>
        <w:rPr>
          <w:rStyle w:val="22"/>
          <w:rFonts w:hint="eastAsia" w:ascii="宋体" w:hAnsi="宋体" w:eastAsia="宋体" w:cs="宋体"/>
          <w:color w:val="auto"/>
          <w:sz w:val="24"/>
          <w:szCs w:val="24"/>
          <w:highlight w:val="none"/>
        </w:rPr>
      </w:pPr>
      <w:r>
        <w:rPr>
          <w:rStyle w:val="22"/>
          <w:rFonts w:hint="eastAsia" w:ascii="宋体" w:hAnsi="宋体" w:eastAsia="宋体" w:cs="宋体"/>
          <w:color w:val="auto"/>
          <w:sz w:val="24"/>
          <w:szCs w:val="24"/>
          <w:highlight w:val="none"/>
        </w:rPr>
        <w:t>奖励、罚金、违约金及其他费用：</w:t>
      </w:r>
      <w:r>
        <w:rPr>
          <w:rStyle w:val="22"/>
          <w:rFonts w:hint="eastAsia" w:ascii="宋体" w:hAnsi="宋体" w:eastAsia="宋体" w:cs="宋体"/>
          <w:color w:val="auto"/>
          <w:sz w:val="24"/>
          <w:szCs w:val="24"/>
          <w:highlight w:val="none"/>
          <w:u w:val="single"/>
        </w:rPr>
        <w:t>按实进行结算</w:t>
      </w:r>
      <w:r>
        <w:rPr>
          <w:rStyle w:val="22"/>
          <w:rFonts w:hint="eastAsia" w:ascii="宋体" w:hAnsi="宋体" w:eastAsia="宋体" w:cs="宋体"/>
          <w:color w:val="auto"/>
          <w:sz w:val="24"/>
          <w:szCs w:val="24"/>
          <w:highlight w:val="none"/>
        </w:rPr>
        <w:t>。</w:t>
      </w:r>
    </w:p>
    <w:p w14:paraId="3A459735">
      <w:pPr>
        <w:keepNext w:val="0"/>
        <w:keepLines w:val="0"/>
        <w:pageBreakBefore w:val="0"/>
        <w:widowControl/>
        <w:numPr>
          <w:ilvl w:val="0"/>
          <w:numId w:val="3"/>
        </w:numPr>
        <w:tabs>
          <w:tab w:val="left" w:pos="711"/>
          <w:tab w:val="left" w:pos="2580"/>
        </w:tabs>
        <w:kinsoku/>
        <w:wordWrap/>
        <w:overflowPunct/>
        <w:topLinePunct w:val="0"/>
        <w:autoSpaceDE/>
        <w:autoSpaceDN/>
        <w:bidi w:val="0"/>
        <w:adjustRightInd/>
        <w:snapToGrid/>
        <w:spacing w:line="360" w:lineRule="auto"/>
        <w:ind w:left="0" w:leftChars="0" w:right="0" w:rightChars="0" w:firstLine="0" w:firstLineChars="0"/>
        <w:jc w:val="left"/>
        <w:textAlignment w:val="baseline"/>
        <w:rPr>
          <w:rStyle w:val="22"/>
          <w:rFonts w:hint="eastAsia" w:ascii="宋体" w:hAnsi="宋体" w:eastAsia="宋体" w:cs="宋体"/>
          <w:color w:val="auto"/>
          <w:sz w:val="24"/>
          <w:szCs w:val="24"/>
          <w:highlight w:val="none"/>
        </w:rPr>
      </w:pPr>
      <w:r>
        <w:rPr>
          <w:rStyle w:val="22"/>
          <w:rFonts w:hint="eastAsia" w:ascii="宋体" w:hAnsi="宋体" w:eastAsia="宋体" w:cs="宋体"/>
          <w:color w:val="auto"/>
          <w:sz w:val="24"/>
          <w:szCs w:val="24"/>
          <w:highlight w:val="none"/>
        </w:rPr>
        <w:t>规费：按《重庆市建设工程费用定额》（CQFYDE-2018）执行。</w:t>
      </w:r>
    </w:p>
    <w:p w14:paraId="37CF4208">
      <w:pPr>
        <w:keepNext w:val="0"/>
        <w:keepLines w:val="0"/>
        <w:pageBreakBefore w:val="0"/>
        <w:widowControl/>
        <w:numPr>
          <w:ilvl w:val="0"/>
          <w:numId w:val="3"/>
        </w:numPr>
        <w:tabs>
          <w:tab w:val="left" w:pos="711"/>
          <w:tab w:val="left" w:pos="2580"/>
        </w:tabs>
        <w:kinsoku/>
        <w:wordWrap/>
        <w:overflowPunct/>
        <w:topLinePunct w:val="0"/>
        <w:autoSpaceDE/>
        <w:autoSpaceDN/>
        <w:bidi w:val="0"/>
        <w:adjustRightInd/>
        <w:snapToGrid/>
        <w:spacing w:line="360" w:lineRule="auto"/>
        <w:ind w:left="0" w:leftChars="0" w:right="0" w:rightChars="0" w:firstLine="0" w:firstLineChars="0"/>
        <w:jc w:val="left"/>
        <w:textAlignment w:val="baseline"/>
        <w:rPr>
          <w:rStyle w:val="22"/>
          <w:rFonts w:hint="eastAsia" w:ascii="宋体" w:hAnsi="宋体" w:eastAsia="宋体" w:cs="宋体"/>
          <w:color w:val="auto"/>
          <w:sz w:val="24"/>
          <w:szCs w:val="24"/>
          <w:highlight w:val="none"/>
          <w:lang w:val="en-US" w:eastAsia="zh-CN"/>
        </w:rPr>
      </w:pPr>
      <w:r>
        <w:rPr>
          <w:rStyle w:val="22"/>
          <w:rFonts w:hint="eastAsia" w:ascii="宋体" w:hAnsi="宋体" w:eastAsia="宋体" w:cs="宋体"/>
          <w:color w:val="auto"/>
          <w:sz w:val="24"/>
          <w:szCs w:val="24"/>
          <w:highlight w:val="none"/>
        </w:rPr>
        <w:t>税金：包含增值税、城市维护建设税、教育费附加、地方教育附加以及环境保护税。其中增值税按《重庆市建设工程费用定额》（CQFYDE-2018）、《重庆市城乡建设委员会关于适用增值税新税率调整建设工程计价依据的通知》（渝建〔2019〕143号）</w:t>
      </w:r>
      <w:r>
        <w:rPr>
          <w:rStyle w:val="22"/>
          <w:rFonts w:hint="eastAsia" w:ascii="宋体" w:hAnsi="宋体" w:eastAsia="宋体" w:cs="宋体"/>
          <w:color w:val="auto"/>
          <w:sz w:val="24"/>
          <w:szCs w:val="24"/>
          <w:highlight w:val="none"/>
          <w:lang w:eastAsia="zh-CN"/>
        </w:rPr>
        <w:t>、</w:t>
      </w:r>
      <w:r>
        <w:rPr>
          <w:rStyle w:val="22"/>
          <w:rFonts w:hint="eastAsia" w:ascii="宋体" w:hAnsi="宋体" w:eastAsia="宋体" w:cs="宋体"/>
          <w:color w:val="auto"/>
          <w:sz w:val="24"/>
          <w:szCs w:val="24"/>
          <w:highlight w:val="none"/>
          <w:u w:val="single"/>
        </w:rPr>
        <w:t>《重庆市建设工程安全文明施工费计取及使用管理规定》渝建管〔2024〕38号文</w:t>
      </w:r>
      <w:r>
        <w:rPr>
          <w:rStyle w:val="22"/>
          <w:rFonts w:hint="eastAsia" w:ascii="宋体" w:hAnsi="宋体" w:eastAsia="宋体" w:cs="宋体"/>
          <w:color w:val="auto"/>
          <w:sz w:val="24"/>
          <w:szCs w:val="24"/>
          <w:highlight w:val="none"/>
        </w:rPr>
        <w:t>规定执行，环境保护税按实结算。</w:t>
      </w:r>
    </w:p>
    <w:p w14:paraId="5E9D11EC">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工程最终结算以有资质的第三方审计机构审</w:t>
      </w:r>
      <w:r>
        <w:rPr>
          <w:rFonts w:hint="eastAsia" w:ascii="宋体" w:hAnsi="宋体" w:eastAsia="宋体" w:cs="宋体"/>
          <w:color w:val="auto"/>
          <w:sz w:val="24"/>
          <w:szCs w:val="24"/>
          <w:highlight w:val="none"/>
          <w:lang w:val="en-US" w:eastAsia="zh-CN"/>
        </w:rPr>
        <w:t>核</w:t>
      </w:r>
      <w:r>
        <w:rPr>
          <w:rFonts w:hint="eastAsia" w:ascii="宋体" w:hAnsi="宋体" w:eastAsia="宋体" w:cs="宋体"/>
          <w:color w:val="auto"/>
          <w:sz w:val="24"/>
          <w:szCs w:val="24"/>
          <w:highlight w:val="none"/>
        </w:rPr>
        <w:t>为准。</w:t>
      </w:r>
    </w:p>
    <w:p w14:paraId="2C340A7A">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其中对合同内工程费约定：</w:t>
      </w:r>
      <w:r>
        <w:rPr>
          <w:rFonts w:hint="eastAsia" w:ascii="宋体" w:hAnsi="宋体" w:eastAsia="宋体" w:cs="宋体"/>
          <w:bCs/>
          <w:color w:val="auto"/>
          <w:sz w:val="24"/>
          <w:szCs w:val="24"/>
          <w:highlight w:val="none"/>
        </w:rPr>
        <w:t>若经审核的</w:t>
      </w:r>
      <w:r>
        <w:rPr>
          <w:rFonts w:hint="eastAsia" w:ascii="宋体" w:hAnsi="宋体" w:eastAsia="宋体" w:cs="宋体"/>
          <w:bCs/>
          <w:color w:val="auto"/>
          <w:sz w:val="24"/>
          <w:szCs w:val="24"/>
          <w:highlight w:val="none"/>
          <w:lang w:val="en-US" w:eastAsia="zh-CN"/>
        </w:rPr>
        <w:t>最终结算</w:t>
      </w:r>
      <w:r>
        <w:rPr>
          <w:rFonts w:hint="eastAsia" w:ascii="宋体" w:hAnsi="宋体" w:eastAsia="宋体" w:cs="宋体"/>
          <w:bCs/>
          <w:color w:val="auto"/>
          <w:sz w:val="24"/>
          <w:szCs w:val="24"/>
          <w:highlight w:val="none"/>
        </w:rPr>
        <w:t>金额</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不含变更工程造价</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超过工程费投标价，则以工程费投标价作为合同工程费包干价；若经审核的</w:t>
      </w:r>
      <w:r>
        <w:rPr>
          <w:rFonts w:hint="eastAsia" w:ascii="宋体" w:hAnsi="宋体" w:eastAsia="宋体" w:cs="宋体"/>
          <w:bCs/>
          <w:color w:val="auto"/>
          <w:sz w:val="24"/>
          <w:szCs w:val="24"/>
          <w:highlight w:val="none"/>
          <w:lang w:val="en-US" w:eastAsia="zh-CN"/>
        </w:rPr>
        <w:t>最终结算</w:t>
      </w:r>
      <w:r>
        <w:rPr>
          <w:rFonts w:hint="eastAsia" w:ascii="宋体" w:hAnsi="宋体" w:eastAsia="宋体" w:cs="宋体"/>
          <w:bCs/>
          <w:color w:val="auto"/>
          <w:sz w:val="24"/>
          <w:szCs w:val="24"/>
          <w:highlight w:val="none"/>
        </w:rPr>
        <w:t>金额</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不含变更工程造价</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低于工程费投标价，则以经审核的</w:t>
      </w:r>
      <w:r>
        <w:rPr>
          <w:rFonts w:hint="eastAsia" w:ascii="宋体" w:hAnsi="宋体" w:eastAsia="宋体" w:cs="宋体"/>
          <w:bCs/>
          <w:color w:val="auto"/>
          <w:sz w:val="24"/>
          <w:szCs w:val="24"/>
          <w:highlight w:val="none"/>
          <w:lang w:val="en-US" w:eastAsia="zh-CN"/>
        </w:rPr>
        <w:t>最终结算金额</w:t>
      </w:r>
      <w:r>
        <w:rPr>
          <w:rFonts w:hint="eastAsia" w:ascii="宋体" w:hAnsi="宋体" w:eastAsia="宋体" w:cs="宋体"/>
          <w:bCs/>
          <w:color w:val="auto"/>
          <w:sz w:val="24"/>
          <w:szCs w:val="24"/>
          <w:highlight w:val="none"/>
        </w:rPr>
        <w:t>作为合同工程费包干价。</w:t>
      </w:r>
    </w:p>
    <w:p w14:paraId="4128DC58">
      <w:pPr>
        <w:pStyle w:val="8"/>
        <w:keepNext w:val="0"/>
        <w:keepLines w:val="0"/>
        <w:kinsoku w:val="0"/>
        <w:autoSpaceDE w:val="0"/>
        <w:autoSpaceDN w:val="0"/>
        <w:adjustRightInd w:val="0"/>
        <w:snapToGrid w:val="0"/>
        <w:spacing w:before="0" w:after="0" w:line="360" w:lineRule="auto"/>
        <w:ind w:firstLine="482" w:firstLineChars="200"/>
        <w:rPr>
          <w:rFonts w:hint="eastAsia" w:ascii="宋体" w:hAnsi="宋体" w:eastAsia="宋体" w:cs="宋体"/>
          <w:color w:val="auto"/>
          <w:sz w:val="24"/>
          <w:szCs w:val="24"/>
          <w:highlight w:val="none"/>
        </w:rPr>
      </w:pPr>
      <w:bookmarkStart w:id="703" w:name="_Toc532375659"/>
      <w:bookmarkStart w:id="704" w:name="_Toc532377396"/>
      <w:r>
        <w:rPr>
          <w:rFonts w:hint="eastAsia" w:ascii="宋体" w:hAnsi="宋体" w:eastAsia="宋体" w:cs="宋体"/>
          <w:color w:val="auto"/>
          <w:sz w:val="24"/>
          <w:szCs w:val="24"/>
          <w:highlight w:val="none"/>
        </w:rPr>
        <w:t>14.4 最终结清</w:t>
      </w:r>
      <w:bookmarkEnd w:id="703"/>
      <w:bookmarkEnd w:id="704"/>
    </w:p>
    <w:p w14:paraId="0D23CDCF">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14.4.1 最终结清申请单</w:t>
      </w:r>
    </w:p>
    <w:p w14:paraId="70AD8570">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承包人提交最终结清申请单的份数：</w:t>
      </w:r>
      <w:r>
        <w:rPr>
          <w:rFonts w:hint="eastAsia" w:ascii="宋体" w:hAnsi="宋体" w:eastAsia="宋体" w:cs="宋体"/>
          <w:color w:val="auto"/>
          <w:sz w:val="24"/>
          <w:szCs w:val="24"/>
          <w:highlight w:val="none"/>
          <w:u w:val="single"/>
        </w:rPr>
        <w:t>伍份</w:t>
      </w:r>
      <w:r>
        <w:rPr>
          <w:rFonts w:hint="eastAsia" w:ascii="宋体" w:hAnsi="宋体" w:eastAsia="宋体" w:cs="宋体"/>
          <w:color w:val="auto"/>
          <w:sz w:val="24"/>
          <w:szCs w:val="24"/>
          <w:highlight w:val="none"/>
        </w:rPr>
        <w:t>。</w:t>
      </w:r>
    </w:p>
    <w:p w14:paraId="6B3C2E2D">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承包人提交最终结算申请单的期限：</w:t>
      </w:r>
      <w:r>
        <w:rPr>
          <w:rFonts w:hint="eastAsia" w:ascii="宋体" w:hAnsi="宋体" w:eastAsia="宋体" w:cs="宋体"/>
          <w:color w:val="auto"/>
          <w:sz w:val="24"/>
          <w:szCs w:val="24"/>
          <w:highlight w:val="none"/>
          <w:u w:val="single"/>
        </w:rPr>
        <w:t>缺陷责任期终止证书颁发后14天内</w:t>
      </w:r>
      <w:r>
        <w:rPr>
          <w:rFonts w:hint="eastAsia" w:ascii="宋体" w:hAnsi="宋体" w:eastAsia="宋体" w:cs="宋体"/>
          <w:color w:val="auto"/>
          <w:sz w:val="24"/>
          <w:szCs w:val="24"/>
          <w:highlight w:val="none"/>
        </w:rPr>
        <w:t>。</w:t>
      </w:r>
    </w:p>
    <w:p w14:paraId="1B97998B">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14.4.2 最终结清证书和支付</w:t>
      </w:r>
    </w:p>
    <w:p w14:paraId="53827449">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（1）发包人完成最终结清申请单的审批并颁发最终结清证书的期限：</w:t>
      </w:r>
      <w:r>
        <w:rPr>
          <w:rFonts w:hint="eastAsia" w:ascii="宋体" w:hAnsi="宋体" w:eastAsia="宋体" w:cs="宋体"/>
          <w:color w:val="auto"/>
          <w:sz w:val="24"/>
          <w:szCs w:val="24"/>
          <w:highlight w:val="none"/>
          <w:u w:val="single"/>
        </w:rPr>
        <w:t>发包人收到完整资料后14天内完成审批并颁发最终结清证书</w:t>
      </w:r>
      <w:r>
        <w:rPr>
          <w:rFonts w:hint="eastAsia" w:ascii="宋体" w:hAnsi="宋体" w:eastAsia="宋体" w:cs="宋体"/>
          <w:color w:val="auto"/>
          <w:sz w:val="24"/>
          <w:szCs w:val="24"/>
          <w:highlight w:val="none"/>
        </w:rPr>
        <w:t>。</w:t>
      </w:r>
    </w:p>
    <w:p w14:paraId="263518FE">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（2）发包人完成支付的期限：</w:t>
      </w:r>
      <w:r>
        <w:rPr>
          <w:rFonts w:hint="eastAsia" w:ascii="宋体" w:hAnsi="宋体" w:eastAsia="宋体" w:cs="宋体"/>
          <w:color w:val="auto"/>
          <w:sz w:val="24"/>
          <w:szCs w:val="24"/>
          <w:highlight w:val="none"/>
          <w:u w:val="single"/>
        </w:rPr>
        <w:t>颁发最终结清证书的14天内</w:t>
      </w:r>
      <w:r>
        <w:rPr>
          <w:rFonts w:hint="eastAsia" w:ascii="宋体" w:hAnsi="宋体" w:eastAsia="宋体" w:cs="宋体"/>
          <w:color w:val="auto"/>
          <w:sz w:val="24"/>
          <w:szCs w:val="24"/>
          <w:highlight w:val="none"/>
        </w:rPr>
        <w:t>。</w:t>
      </w:r>
    </w:p>
    <w:p w14:paraId="75D7BC42">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本条补充14.5款：</w:t>
      </w:r>
    </w:p>
    <w:p w14:paraId="0D8B5764">
      <w:pPr>
        <w:pStyle w:val="7"/>
        <w:kinsoku w:val="0"/>
        <w:autoSpaceDE w:val="0"/>
        <w:autoSpaceDN w:val="0"/>
        <w:adjustRightInd w:val="0"/>
        <w:snapToGrid w:val="0"/>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缺陷责任期与保修</w:t>
      </w:r>
      <w:bookmarkEnd w:id="697"/>
      <w:bookmarkEnd w:id="698"/>
      <w:bookmarkEnd w:id="699"/>
    </w:p>
    <w:bookmarkEnd w:id="700"/>
    <w:p w14:paraId="29E729B0">
      <w:pPr>
        <w:pStyle w:val="8"/>
        <w:keepNext w:val="0"/>
        <w:keepLines w:val="0"/>
        <w:kinsoku w:val="0"/>
        <w:autoSpaceDE w:val="0"/>
        <w:autoSpaceDN w:val="0"/>
        <w:adjustRightInd w:val="0"/>
        <w:snapToGrid w:val="0"/>
        <w:spacing w:before="0" w:after="0" w:line="360" w:lineRule="auto"/>
        <w:ind w:firstLine="482" w:firstLineChars="200"/>
        <w:rPr>
          <w:rFonts w:hint="eastAsia" w:ascii="宋体" w:hAnsi="宋体" w:eastAsia="宋体" w:cs="宋体"/>
          <w:color w:val="auto"/>
          <w:kern w:val="0"/>
          <w:sz w:val="24"/>
          <w:szCs w:val="24"/>
          <w:highlight w:val="none"/>
        </w:rPr>
      </w:pPr>
      <w:bookmarkStart w:id="705" w:name="_Toc532375662"/>
      <w:bookmarkStart w:id="706" w:name="_Toc532377399"/>
      <w:r>
        <w:rPr>
          <w:rFonts w:hint="eastAsia" w:ascii="宋体" w:hAnsi="宋体" w:eastAsia="宋体" w:cs="宋体"/>
          <w:color w:val="auto"/>
          <w:sz w:val="24"/>
          <w:szCs w:val="24"/>
          <w:highlight w:val="none"/>
        </w:rPr>
        <w:t>15.3 质量保证金</w:t>
      </w:r>
      <w:bookmarkEnd w:id="705"/>
      <w:bookmarkEnd w:id="706"/>
    </w:p>
    <w:p w14:paraId="56E24B73">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15.3.1 承包人提供质量保证金的方式</w:t>
      </w:r>
    </w:p>
    <w:p w14:paraId="5C679463">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质量保证金采用以下第</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种方式：</w:t>
      </w:r>
    </w:p>
    <w:p w14:paraId="0DA08CBD">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（1）质量保证金保函</w:t>
      </w:r>
    </w:p>
    <w:p w14:paraId="5DBD58E8">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1）按</w:t>
      </w:r>
      <w:r>
        <w:rPr>
          <w:rFonts w:hint="eastAsia" w:ascii="宋体" w:hAnsi="宋体" w:cs="宋体"/>
          <w:color w:val="auto"/>
          <w:sz w:val="24"/>
          <w:szCs w:val="24"/>
          <w:highlight w:val="none"/>
          <w:u w:val="single"/>
          <w:lang w:val="en-US" w:eastAsia="zh-CN"/>
        </w:rPr>
        <w:t>比选</w:t>
      </w:r>
      <w:r>
        <w:rPr>
          <w:rFonts w:hint="eastAsia" w:ascii="宋体" w:hAnsi="宋体" w:eastAsia="宋体" w:cs="宋体"/>
          <w:color w:val="auto"/>
          <w:sz w:val="24"/>
          <w:szCs w:val="24"/>
          <w:highlight w:val="none"/>
          <w:u w:val="single"/>
        </w:rPr>
        <w:t>文件载明的格式或发包人认可的格式向发包人提交不可撤销的见索即付银行保函</w:t>
      </w:r>
      <w:r>
        <w:rPr>
          <w:rFonts w:hint="eastAsia" w:ascii="宋体" w:hAnsi="宋体" w:eastAsia="宋体" w:cs="宋体"/>
          <w:color w:val="auto"/>
          <w:sz w:val="24"/>
          <w:szCs w:val="24"/>
          <w:highlight w:val="none"/>
        </w:rPr>
        <w:t>；</w:t>
      </w:r>
    </w:p>
    <w:p w14:paraId="43F9A53E">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2）出具保函的银行级别：</w:t>
      </w:r>
      <w:r>
        <w:rPr>
          <w:rFonts w:hint="eastAsia" w:ascii="宋体" w:hAnsi="宋体" w:eastAsia="宋体" w:cs="宋体"/>
          <w:color w:val="auto"/>
          <w:sz w:val="24"/>
          <w:szCs w:val="24"/>
          <w:highlight w:val="none"/>
          <w:u w:val="single"/>
        </w:rPr>
        <w:t>地市级及以上国家政策性银行或股份制商业银行的支行或其上级银行</w:t>
      </w:r>
      <w:r>
        <w:rPr>
          <w:rFonts w:hint="eastAsia" w:ascii="宋体" w:hAnsi="宋体" w:eastAsia="宋体" w:cs="宋体"/>
          <w:color w:val="auto"/>
          <w:sz w:val="24"/>
          <w:szCs w:val="24"/>
          <w:highlight w:val="none"/>
        </w:rPr>
        <w:t>；</w:t>
      </w:r>
    </w:p>
    <w:p w14:paraId="7467A884">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3）保函金额为：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30C0BB9">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4）提交时间：</w:t>
      </w:r>
      <w:r>
        <w:rPr>
          <w:rFonts w:hint="eastAsia" w:ascii="宋体" w:hAnsi="宋体" w:eastAsia="宋体" w:cs="宋体"/>
          <w:color w:val="auto"/>
          <w:sz w:val="24"/>
          <w:szCs w:val="24"/>
          <w:highlight w:val="none"/>
          <w:u w:val="single"/>
        </w:rPr>
        <w:t>工程竣工验收合格后14天内</w:t>
      </w:r>
      <w:r>
        <w:rPr>
          <w:rFonts w:hint="eastAsia" w:ascii="宋体" w:hAnsi="宋体" w:eastAsia="宋体" w:cs="宋体"/>
          <w:color w:val="auto"/>
          <w:sz w:val="24"/>
          <w:szCs w:val="24"/>
          <w:highlight w:val="none"/>
        </w:rPr>
        <w:t>。</w:t>
      </w:r>
    </w:p>
    <w:p w14:paraId="16B5C415">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承包人提交质量保证金保函的，发包人应同时退还（若有）扣留的作为质量保证金的工程价款、履约担保、低价风险担保；保函金额不得超过工程价款结算总额的3%</w:t>
      </w:r>
      <w:r>
        <w:rPr>
          <w:rFonts w:hint="eastAsia" w:ascii="宋体" w:hAnsi="宋体" w:eastAsia="宋体" w:cs="宋体"/>
          <w:color w:val="auto"/>
          <w:sz w:val="24"/>
          <w:szCs w:val="24"/>
          <w:highlight w:val="none"/>
        </w:rPr>
        <w:t>。</w:t>
      </w:r>
    </w:p>
    <w:p w14:paraId="4EF06E9C">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（2）竣工结算价的</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w:t>
      </w:r>
    </w:p>
    <w:p w14:paraId="1B37902F">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（3）其他方式:</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67ED25A">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15.3.2 质量保证金的扣留</w:t>
      </w:r>
    </w:p>
    <w:p w14:paraId="2FD646C2">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质量保证金的扣留采取以下第</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种方式：</w:t>
      </w:r>
    </w:p>
    <w:p w14:paraId="1841265B">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（1）在支付工程进度款时逐次扣留，在此情形下，质量保证金的计算基数不包括预付款的支付、扣回以及价格调整的金额；</w:t>
      </w:r>
    </w:p>
    <w:p w14:paraId="3AFC007B">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（2）工程竣工结算时一次性扣留质量保证金；</w:t>
      </w:r>
    </w:p>
    <w:p w14:paraId="206277D4">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（3）其他扣留方式：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B274B22">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15.3.3质量保证金的退还</w:t>
      </w:r>
    </w:p>
    <w:p w14:paraId="2F62ADA7">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（1）在发包人颁发缺陷责任期终止证书之日起</w:t>
      </w: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天内退还。</w:t>
      </w:r>
    </w:p>
    <w:p w14:paraId="616EF47E">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（2）缺陷责任期内，承包人认真履行合同约定的责任，到期后，承包人可向发包人申请返还质量保证金。</w:t>
      </w:r>
    </w:p>
    <w:p w14:paraId="5421BC90">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（3）质量保证金是否支付利息采取以下第②种方式：</w:t>
      </w:r>
    </w:p>
    <w:p w14:paraId="5922D8B1">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①按照中国人民银行发布的同期同类贷款基准利率支付利息</w:t>
      </w:r>
      <w:r>
        <w:rPr>
          <w:rFonts w:hint="eastAsia" w:ascii="宋体" w:hAnsi="宋体" w:eastAsia="宋体" w:cs="宋体"/>
          <w:color w:val="auto"/>
          <w:sz w:val="24"/>
          <w:szCs w:val="24"/>
          <w:highlight w:val="none"/>
        </w:rPr>
        <w:t>。</w:t>
      </w:r>
    </w:p>
    <w:p w14:paraId="0D6E2D42">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②不采用</w:t>
      </w:r>
      <w:r>
        <w:rPr>
          <w:rFonts w:hint="eastAsia" w:ascii="宋体" w:hAnsi="宋体" w:eastAsia="宋体" w:cs="宋体"/>
          <w:color w:val="auto"/>
          <w:sz w:val="24"/>
          <w:szCs w:val="24"/>
          <w:highlight w:val="none"/>
        </w:rPr>
        <w:t>。</w:t>
      </w:r>
    </w:p>
    <w:p w14:paraId="72121F84">
      <w:pPr>
        <w:pStyle w:val="8"/>
        <w:keepNext w:val="0"/>
        <w:keepLines w:val="0"/>
        <w:kinsoku w:val="0"/>
        <w:autoSpaceDE w:val="0"/>
        <w:autoSpaceDN w:val="0"/>
        <w:adjustRightInd w:val="0"/>
        <w:snapToGrid w:val="0"/>
        <w:spacing w:before="0" w:after="0" w:line="360" w:lineRule="auto"/>
        <w:ind w:firstLine="482" w:firstLineChars="200"/>
        <w:rPr>
          <w:rFonts w:hint="eastAsia" w:ascii="宋体" w:hAnsi="宋体" w:eastAsia="宋体" w:cs="宋体"/>
          <w:color w:val="auto"/>
          <w:sz w:val="24"/>
          <w:szCs w:val="24"/>
          <w:highlight w:val="none"/>
        </w:rPr>
      </w:pPr>
      <w:bookmarkStart w:id="707" w:name="_Toc532375663"/>
      <w:bookmarkStart w:id="708" w:name="_Toc532377400"/>
      <w:r>
        <w:rPr>
          <w:rFonts w:hint="eastAsia" w:ascii="宋体" w:hAnsi="宋体" w:eastAsia="宋体" w:cs="宋体"/>
          <w:color w:val="auto"/>
          <w:sz w:val="24"/>
          <w:szCs w:val="24"/>
          <w:highlight w:val="none"/>
        </w:rPr>
        <w:t>15.4 保修</w:t>
      </w:r>
      <w:bookmarkEnd w:id="707"/>
      <w:bookmarkEnd w:id="708"/>
    </w:p>
    <w:p w14:paraId="1110896C">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15.4.1 保修责任</w:t>
      </w:r>
    </w:p>
    <w:p w14:paraId="48A7112D">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工程保修期为：</w:t>
      </w:r>
      <w:bookmarkStart w:id="709" w:name="_Hlk524381274"/>
      <w:r>
        <w:rPr>
          <w:rFonts w:hint="eastAsia" w:ascii="宋体" w:hAnsi="宋体" w:eastAsia="宋体" w:cs="宋体"/>
          <w:color w:val="auto"/>
          <w:sz w:val="24"/>
          <w:szCs w:val="24"/>
          <w:highlight w:val="none"/>
        </w:rPr>
        <w:t>按照附件1《工程质量保修书》的规定执行。</w:t>
      </w:r>
      <w:bookmarkEnd w:id="709"/>
    </w:p>
    <w:p w14:paraId="42031BA8">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15.4.3 修复通知</w:t>
      </w:r>
    </w:p>
    <w:p w14:paraId="6D5C706C">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承包人收到保修通知并到达工程现场的合理时间：</w:t>
      </w:r>
      <w:r>
        <w:rPr>
          <w:rFonts w:hint="eastAsia" w:ascii="宋体" w:hAnsi="宋体" w:eastAsia="宋体" w:cs="宋体"/>
          <w:color w:val="auto"/>
          <w:sz w:val="24"/>
          <w:szCs w:val="24"/>
          <w:highlight w:val="none"/>
          <w:u w:val="single"/>
        </w:rPr>
        <w:t>72小时内，最长不能超过 7天，若承包人另有承诺的，按其承诺执行</w:t>
      </w:r>
      <w:r>
        <w:rPr>
          <w:rFonts w:hint="eastAsia" w:ascii="宋体" w:hAnsi="宋体" w:eastAsia="宋体" w:cs="宋体"/>
          <w:color w:val="auto"/>
          <w:sz w:val="24"/>
          <w:szCs w:val="24"/>
          <w:highlight w:val="none"/>
        </w:rPr>
        <w:t>。</w:t>
      </w:r>
    </w:p>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701"/>
    <w:bookmarkEnd w:id="702"/>
    <w:p w14:paraId="05EC2143">
      <w:pPr>
        <w:pStyle w:val="7"/>
        <w:kinsoku w:val="0"/>
        <w:autoSpaceDE w:val="0"/>
        <w:autoSpaceDN w:val="0"/>
        <w:adjustRightInd w:val="0"/>
        <w:snapToGrid w:val="0"/>
        <w:spacing w:before="0" w:after="0" w:line="360" w:lineRule="auto"/>
        <w:rPr>
          <w:rFonts w:hint="eastAsia" w:ascii="宋体" w:hAnsi="宋体" w:eastAsia="宋体" w:cs="宋体"/>
          <w:color w:val="auto"/>
          <w:sz w:val="24"/>
          <w:szCs w:val="24"/>
          <w:highlight w:val="none"/>
        </w:rPr>
      </w:pPr>
      <w:bookmarkStart w:id="710" w:name="_Toc351203651"/>
      <w:bookmarkStart w:id="711" w:name="_Toc532377419"/>
      <w:bookmarkStart w:id="712" w:name="_Toc532375680"/>
      <w:bookmarkStart w:id="713" w:name="_Hlk528928440"/>
      <w:r>
        <w:rPr>
          <w:rFonts w:hint="eastAsia" w:ascii="宋体" w:hAnsi="宋体" w:eastAsia="宋体" w:cs="宋体"/>
          <w:color w:val="auto"/>
          <w:sz w:val="24"/>
          <w:szCs w:val="24"/>
          <w:highlight w:val="none"/>
        </w:rPr>
        <w:t>20. 争议解决</w:t>
      </w:r>
      <w:bookmarkEnd w:id="710"/>
      <w:bookmarkEnd w:id="711"/>
      <w:bookmarkEnd w:id="712"/>
    </w:p>
    <w:p w14:paraId="7EC8E62C">
      <w:pPr>
        <w:pStyle w:val="8"/>
        <w:keepNext w:val="0"/>
        <w:keepLines w:val="0"/>
        <w:kinsoku w:val="0"/>
        <w:autoSpaceDE w:val="0"/>
        <w:autoSpaceDN w:val="0"/>
        <w:adjustRightInd w:val="0"/>
        <w:snapToGrid w:val="0"/>
        <w:spacing w:before="0" w:after="0" w:line="360" w:lineRule="auto"/>
        <w:ind w:firstLine="482" w:firstLineChars="200"/>
        <w:rPr>
          <w:rFonts w:hint="eastAsia" w:ascii="宋体" w:hAnsi="宋体" w:eastAsia="宋体" w:cs="宋体"/>
          <w:color w:val="auto"/>
          <w:kern w:val="0"/>
          <w:sz w:val="24"/>
          <w:szCs w:val="24"/>
          <w:highlight w:val="none"/>
        </w:rPr>
      </w:pPr>
      <w:bookmarkStart w:id="714" w:name="_Toc532377420"/>
      <w:bookmarkStart w:id="715" w:name="_Toc532375681"/>
      <w:r>
        <w:rPr>
          <w:rFonts w:hint="eastAsia" w:ascii="宋体" w:hAnsi="宋体" w:eastAsia="宋体" w:cs="宋体"/>
          <w:color w:val="auto"/>
          <w:sz w:val="24"/>
          <w:szCs w:val="24"/>
          <w:highlight w:val="none"/>
        </w:rPr>
        <w:t>20.3 争议评审</w:t>
      </w:r>
      <w:bookmarkEnd w:id="714"/>
      <w:bookmarkEnd w:id="715"/>
    </w:p>
    <w:p w14:paraId="003D2A22">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合同当事人是否同意将工程争议提交争议评审小组决定：</w:t>
      </w:r>
      <w:r>
        <w:rPr>
          <w:rFonts w:hint="eastAsia" w:ascii="宋体" w:hAnsi="宋体" w:eastAsia="宋体" w:cs="宋体"/>
          <w:color w:val="auto"/>
          <w:sz w:val="24"/>
          <w:szCs w:val="24"/>
          <w:highlight w:val="none"/>
          <w:u w:val="single"/>
        </w:rPr>
        <w:t xml:space="preserve">    否     </w:t>
      </w:r>
      <w:r>
        <w:rPr>
          <w:rFonts w:hint="eastAsia" w:ascii="宋体" w:hAnsi="宋体" w:eastAsia="宋体" w:cs="宋体"/>
          <w:color w:val="auto"/>
          <w:sz w:val="24"/>
          <w:szCs w:val="24"/>
          <w:highlight w:val="none"/>
        </w:rPr>
        <w:t>。</w:t>
      </w:r>
    </w:p>
    <w:p w14:paraId="010ACE64">
      <w:pPr>
        <w:pStyle w:val="8"/>
        <w:keepNext w:val="0"/>
        <w:keepLines w:val="0"/>
        <w:kinsoku w:val="0"/>
        <w:autoSpaceDE w:val="0"/>
        <w:autoSpaceDN w:val="0"/>
        <w:adjustRightInd w:val="0"/>
        <w:snapToGrid w:val="0"/>
        <w:spacing w:before="0" w:after="0" w:line="360" w:lineRule="auto"/>
        <w:ind w:firstLine="482" w:firstLineChars="200"/>
        <w:rPr>
          <w:rFonts w:hint="eastAsia" w:ascii="宋体" w:hAnsi="宋体" w:eastAsia="宋体" w:cs="宋体"/>
          <w:color w:val="auto"/>
          <w:sz w:val="24"/>
          <w:szCs w:val="24"/>
          <w:highlight w:val="none"/>
        </w:rPr>
      </w:pPr>
      <w:bookmarkStart w:id="716" w:name="_Toc532375682"/>
      <w:bookmarkStart w:id="717" w:name="_Toc532377421"/>
      <w:r>
        <w:rPr>
          <w:rFonts w:hint="eastAsia" w:ascii="宋体" w:hAnsi="宋体" w:eastAsia="宋体" w:cs="宋体"/>
          <w:color w:val="auto"/>
          <w:sz w:val="24"/>
          <w:szCs w:val="24"/>
          <w:highlight w:val="none"/>
        </w:rPr>
        <w:t>20.4 仲裁或诉讼</w:t>
      </w:r>
      <w:bookmarkEnd w:id="716"/>
      <w:bookmarkEnd w:id="717"/>
    </w:p>
    <w:p w14:paraId="23AD74E3">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因合同及合同有关事项发生的争议，按下列第</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种方式解决：</w:t>
      </w:r>
    </w:p>
    <w:p w14:paraId="3FD6B3CE">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（1）向</w:t>
      </w:r>
      <w:r>
        <w:rPr>
          <w:rFonts w:hint="eastAsia" w:ascii="宋体" w:hAnsi="宋体" w:eastAsia="宋体" w:cs="宋体"/>
          <w:color w:val="auto"/>
          <w:sz w:val="24"/>
          <w:szCs w:val="24"/>
          <w:highlight w:val="none"/>
          <w:u w:val="single"/>
        </w:rPr>
        <w:t xml:space="preserve">重庆  </w:t>
      </w:r>
      <w:r>
        <w:rPr>
          <w:rFonts w:hint="eastAsia" w:ascii="宋体" w:hAnsi="宋体" w:eastAsia="宋体" w:cs="宋体"/>
          <w:color w:val="auto"/>
          <w:sz w:val="24"/>
          <w:szCs w:val="24"/>
          <w:highlight w:val="none"/>
        </w:rPr>
        <w:t>仲裁委员会申请仲裁；</w:t>
      </w:r>
    </w:p>
    <w:p w14:paraId="265FD7FD">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（2）向</w:t>
      </w:r>
      <w:r>
        <w:rPr>
          <w:rFonts w:hint="eastAsia" w:ascii="宋体" w:hAnsi="宋体" w:eastAsia="宋体" w:cs="宋体"/>
          <w:color w:val="auto"/>
          <w:sz w:val="24"/>
          <w:szCs w:val="24"/>
          <w:highlight w:val="none"/>
          <w:u w:val="single"/>
        </w:rPr>
        <w:t>项目所在地</w:t>
      </w:r>
      <w:r>
        <w:rPr>
          <w:rFonts w:hint="eastAsia" w:ascii="宋体" w:hAnsi="宋体" w:eastAsia="宋体" w:cs="宋体"/>
          <w:color w:val="auto"/>
          <w:sz w:val="24"/>
          <w:szCs w:val="24"/>
          <w:highlight w:val="none"/>
        </w:rPr>
        <w:t>人民法院起诉。</w:t>
      </w:r>
    </w:p>
    <w:p w14:paraId="20D6A472">
      <w:pPr>
        <w:pStyle w:val="7"/>
        <w:kinsoku w:val="0"/>
        <w:autoSpaceDE w:val="0"/>
        <w:autoSpaceDN w:val="0"/>
        <w:adjustRightInd w:val="0"/>
        <w:snapToGrid w:val="0"/>
        <w:spacing w:before="0" w:after="0" w:line="360" w:lineRule="auto"/>
        <w:rPr>
          <w:rFonts w:hint="eastAsia" w:ascii="宋体" w:hAnsi="宋体" w:eastAsia="宋体" w:cs="宋体"/>
          <w:color w:val="auto"/>
          <w:sz w:val="24"/>
          <w:szCs w:val="24"/>
          <w:highlight w:val="none"/>
        </w:rPr>
      </w:pPr>
      <w:bookmarkStart w:id="718" w:name="_Toc532377422"/>
      <w:bookmarkStart w:id="719" w:name="_Toc532375683"/>
      <w:r>
        <w:rPr>
          <w:rFonts w:hint="eastAsia" w:ascii="宋体" w:hAnsi="宋体" w:eastAsia="宋体" w:cs="宋体"/>
          <w:color w:val="auto"/>
          <w:sz w:val="24"/>
          <w:szCs w:val="24"/>
          <w:highlight w:val="none"/>
        </w:rPr>
        <w:t>21. 补充条款</w:t>
      </w:r>
      <w:bookmarkEnd w:id="718"/>
      <w:bookmarkEnd w:id="719"/>
    </w:p>
    <w:p w14:paraId="523C0551">
      <w:pPr>
        <w:pStyle w:val="8"/>
        <w:keepNext w:val="0"/>
        <w:keepLines w:val="0"/>
        <w:kinsoku w:val="0"/>
        <w:autoSpaceDE w:val="0"/>
        <w:autoSpaceDN w:val="0"/>
        <w:adjustRightInd w:val="0"/>
        <w:snapToGrid w:val="0"/>
        <w:spacing w:before="0" w:after="0" w:line="360" w:lineRule="auto"/>
        <w:ind w:firstLine="482" w:firstLineChars="200"/>
        <w:rPr>
          <w:rFonts w:hint="eastAsia" w:ascii="宋体" w:hAnsi="宋体" w:eastAsia="宋体" w:cs="宋体"/>
          <w:color w:val="auto"/>
          <w:kern w:val="0"/>
          <w:sz w:val="24"/>
          <w:szCs w:val="24"/>
          <w:highlight w:val="none"/>
        </w:rPr>
      </w:pPr>
      <w:bookmarkStart w:id="720" w:name="_Toc532377423"/>
      <w:bookmarkStart w:id="721" w:name="_Toc532375684"/>
      <w:r>
        <w:rPr>
          <w:rFonts w:hint="eastAsia" w:ascii="宋体" w:hAnsi="宋体" w:eastAsia="宋体" w:cs="宋体"/>
          <w:color w:val="auto"/>
          <w:sz w:val="24"/>
          <w:szCs w:val="24"/>
          <w:highlight w:val="none"/>
        </w:rPr>
        <w:t>21.1 退出机制</w:t>
      </w:r>
      <w:bookmarkEnd w:id="720"/>
      <w:bookmarkEnd w:id="721"/>
    </w:p>
    <w:p w14:paraId="3ADB83BE">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21.1.1有下列情形之一的，发包人有权解除合同，亦有权兑付履约担保，并对承包人做清退出场处理</w:t>
      </w:r>
      <w:r>
        <w:rPr>
          <w:rFonts w:hint="eastAsia" w:ascii="宋体" w:hAnsi="宋体" w:eastAsia="宋体" w:cs="宋体"/>
          <w:color w:val="auto"/>
          <w:kern w:val="0"/>
          <w:sz w:val="24"/>
          <w:szCs w:val="24"/>
          <w:highlight w:val="none"/>
        </w:rPr>
        <w:t>：</w:t>
      </w:r>
    </w:p>
    <w:p w14:paraId="233D68AD">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（1）因承包人原因造成较大及以上等级生产安全事故或工程质量事故的；</w:t>
      </w:r>
    </w:p>
    <w:p w14:paraId="6FD8E523">
      <w:pPr>
        <w:kinsoku w:val="0"/>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（2）因承包人债权债务纠纷或其他纠纷导致工程无法正常施工的。</w:t>
      </w:r>
    </w:p>
    <w:p w14:paraId="047DA844">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515A631D">
      <w:pPr>
        <w:pStyle w:val="9"/>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21.1.2有下列情形之一的，承包人有权解除合同，并按16.1.4约定执行：</w:t>
      </w:r>
    </w:p>
    <w:p w14:paraId="0ED86F00">
      <w:pPr>
        <w:pStyle w:val="9"/>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（1）因发包人征地、拆迁、补偿、审批手续等原因致使本工程延期开工超过90天的。</w:t>
      </w:r>
    </w:p>
    <w:p w14:paraId="163731BE">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7D9607C6">
      <w:pPr>
        <w:pStyle w:val="8"/>
        <w:keepNext w:val="0"/>
        <w:keepLines w:val="0"/>
        <w:kinsoku w:val="0"/>
        <w:autoSpaceDE w:val="0"/>
        <w:autoSpaceDN w:val="0"/>
        <w:adjustRightInd w:val="0"/>
        <w:snapToGrid w:val="0"/>
        <w:spacing w:before="0" w:after="0" w:line="360" w:lineRule="auto"/>
        <w:ind w:firstLine="482" w:firstLineChars="200"/>
        <w:rPr>
          <w:rFonts w:hint="eastAsia" w:ascii="宋体" w:hAnsi="宋体" w:eastAsia="宋体" w:cs="宋体"/>
          <w:color w:val="auto"/>
          <w:sz w:val="24"/>
          <w:szCs w:val="24"/>
          <w:highlight w:val="none"/>
        </w:rPr>
      </w:pPr>
      <w:bookmarkStart w:id="722" w:name="_Toc532377424"/>
      <w:bookmarkStart w:id="723" w:name="_Toc532375685"/>
      <w:r>
        <w:rPr>
          <w:rFonts w:hint="eastAsia" w:ascii="宋体" w:hAnsi="宋体" w:eastAsia="宋体" w:cs="宋体"/>
          <w:color w:val="auto"/>
          <w:sz w:val="24"/>
          <w:szCs w:val="24"/>
          <w:highlight w:val="none"/>
        </w:rPr>
        <w:t>21.2智慧工地</w:t>
      </w:r>
      <w:bookmarkEnd w:id="722"/>
      <w:bookmarkEnd w:id="723"/>
    </w:p>
    <w:p w14:paraId="32B03C89">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工地建设可参照重庆市城乡建设委员会《关于印发“智慧工地”建设工作方案的通知》（渝建〔2017〕414号）的相关要求建设。</w:t>
      </w:r>
      <w:bookmarkEnd w:id="713"/>
    </w:p>
    <w:p w14:paraId="7EFD79F2">
      <w:pPr>
        <w:pStyle w:val="8"/>
        <w:keepNext w:val="0"/>
        <w:keepLines w:val="0"/>
        <w:kinsoku w:val="0"/>
        <w:autoSpaceDE w:val="0"/>
        <w:autoSpaceDN w:val="0"/>
        <w:adjustRightInd w:val="0"/>
        <w:snapToGrid w:val="0"/>
        <w:spacing w:before="0" w:after="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21.3 </w:t>
      </w:r>
      <w:r>
        <w:rPr>
          <w:rFonts w:hint="eastAsia" w:ascii="宋体" w:hAnsi="宋体" w:eastAsia="宋体" w:cs="宋体"/>
          <w:color w:val="auto"/>
          <w:sz w:val="24"/>
          <w:szCs w:val="24"/>
          <w:highlight w:val="none"/>
          <w:u w:val="single"/>
        </w:rPr>
        <w:t xml:space="preserve">       </w:t>
      </w:r>
    </w:p>
    <w:p w14:paraId="7256584B">
      <w:pPr>
        <w:pStyle w:val="7"/>
        <w:kinsoku w:val="0"/>
        <w:autoSpaceDE w:val="0"/>
        <w:autoSpaceDN w:val="0"/>
        <w:adjustRightInd w:val="0"/>
        <w:snapToGrid w:val="0"/>
        <w:spacing w:before="0" w:after="0" w:line="360" w:lineRule="auto"/>
        <w:jc w:val="left"/>
        <w:rPr>
          <w:rFonts w:hint="eastAsia" w:ascii="宋体" w:hAnsi="宋体" w:eastAsia="宋体" w:cs="宋体"/>
          <w:color w:val="auto"/>
          <w:sz w:val="24"/>
          <w:szCs w:val="24"/>
          <w:highlight w:val="none"/>
        </w:rPr>
      </w:pPr>
      <w:bookmarkStart w:id="724" w:name="baidusnap7"/>
      <w:bookmarkEnd w:id="724"/>
      <w:bookmarkStart w:id="725" w:name="baidusnap3"/>
      <w:bookmarkEnd w:id="725"/>
      <w:bookmarkStart w:id="726" w:name="_Toc532375686"/>
      <w:bookmarkStart w:id="727" w:name="_Toc532377425"/>
      <w:r>
        <w:rPr>
          <w:rFonts w:hint="eastAsia" w:ascii="宋体" w:hAnsi="宋体" w:eastAsia="宋体" w:cs="宋体"/>
          <w:color w:val="auto"/>
          <w:sz w:val="24"/>
          <w:szCs w:val="24"/>
          <w:highlight w:val="none"/>
        </w:rPr>
        <w:t>22. 合同附件</w:t>
      </w:r>
      <w:bookmarkEnd w:id="726"/>
      <w:bookmarkEnd w:id="727"/>
    </w:p>
    <w:p w14:paraId="7DA22FD4">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w:t>
      </w:r>
      <w:r>
        <w:rPr>
          <w:rFonts w:hint="eastAsia" w:ascii="宋体" w:hAnsi="宋体" w:cs="宋体"/>
          <w:color w:val="auto"/>
          <w:sz w:val="24"/>
          <w:szCs w:val="24"/>
          <w:highlight w:val="none"/>
          <w:lang w:eastAsia="zh-CN"/>
        </w:rPr>
        <w:t>项目</w:t>
      </w:r>
      <w:r>
        <w:rPr>
          <w:rFonts w:hint="eastAsia" w:ascii="宋体" w:hAnsi="宋体" w:eastAsia="宋体" w:cs="宋体"/>
          <w:color w:val="auto"/>
          <w:sz w:val="24"/>
          <w:szCs w:val="24"/>
          <w:highlight w:val="none"/>
        </w:rPr>
        <w:t>质量保修书</w:t>
      </w:r>
    </w:p>
    <w:p w14:paraId="486B03A1">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附件2：主要建设工程文件目录</w:t>
      </w:r>
    </w:p>
    <w:p w14:paraId="7D9057CA">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附件3：承包人项目管理机构组成表</w:t>
      </w:r>
    </w:p>
    <w:p w14:paraId="6225E990">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default" w:ascii="宋体" w:hAnsi="宋体" w:cs="宋体"/>
          <w:color w:val="auto"/>
          <w:sz w:val="24"/>
          <w:szCs w:val="24"/>
          <w:highlight w:val="none"/>
        </w:rPr>
        <w:t>4</w:t>
      </w:r>
      <w:r>
        <w:rPr>
          <w:rFonts w:hint="eastAsia" w:ascii="宋体" w:hAnsi="宋体" w:eastAsia="宋体" w:cs="宋体"/>
          <w:color w:val="auto"/>
          <w:sz w:val="24"/>
          <w:szCs w:val="24"/>
          <w:highlight w:val="none"/>
        </w:rPr>
        <w:t>：廉洁从业协议</w:t>
      </w:r>
    </w:p>
    <w:p w14:paraId="395CD03B">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default" w:ascii="宋体" w:hAnsi="宋体" w:cs="宋体"/>
          <w:color w:val="auto"/>
          <w:sz w:val="24"/>
          <w:szCs w:val="24"/>
          <w:highlight w:val="none"/>
        </w:rPr>
        <w:t>5</w:t>
      </w:r>
      <w:r>
        <w:rPr>
          <w:rFonts w:hint="eastAsia" w:ascii="宋体" w:hAnsi="宋体" w:eastAsia="宋体" w:cs="宋体"/>
          <w:color w:val="auto"/>
          <w:sz w:val="24"/>
          <w:szCs w:val="24"/>
          <w:highlight w:val="none"/>
        </w:rPr>
        <w:t>：安全管理协议</w:t>
      </w:r>
    </w:p>
    <w:p w14:paraId="07D76C2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F347772">
      <w:pPr>
        <w:kinsoku w:val="0"/>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w:t>
      </w:r>
      <w:bookmarkStart w:id="728" w:name="_Toc296347225"/>
      <w:bookmarkStart w:id="729" w:name="_Toc296503226"/>
      <w:bookmarkStart w:id="730" w:name="_Toc296891054"/>
      <w:bookmarkStart w:id="731" w:name="_Toc296944565"/>
      <w:bookmarkStart w:id="732" w:name="_Toc296346727"/>
      <w:bookmarkStart w:id="733" w:name="_Toc296891266"/>
      <w:bookmarkStart w:id="734" w:name="_Toc267261693"/>
      <w:r>
        <w:rPr>
          <w:rFonts w:hint="eastAsia" w:ascii="宋体" w:hAnsi="宋体" w:eastAsia="宋体" w:cs="宋体"/>
          <w:color w:val="auto"/>
          <w:sz w:val="24"/>
          <w:szCs w:val="24"/>
          <w:highlight w:val="none"/>
        </w:rPr>
        <w:t>件1：</w:t>
      </w:r>
      <w:bookmarkEnd w:id="728"/>
      <w:bookmarkEnd w:id="729"/>
      <w:bookmarkEnd w:id="730"/>
      <w:bookmarkEnd w:id="731"/>
      <w:bookmarkEnd w:id="732"/>
      <w:bookmarkEnd w:id="733"/>
      <w:bookmarkEnd w:id="734"/>
    </w:p>
    <w:p w14:paraId="107ADA08">
      <w:pPr>
        <w:kinsoku w:val="0"/>
        <w:autoSpaceDE w:val="0"/>
        <w:autoSpaceDN w:val="0"/>
        <w:adjustRightInd w:val="0"/>
        <w:snapToGrid w:val="0"/>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项目</w:t>
      </w:r>
      <w:r>
        <w:rPr>
          <w:rFonts w:hint="eastAsia" w:ascii="宋体" w:hAnsi="宋体" w:eastAsia="宋体" w:cs="宋体"/>
          <w:color w:val="auto"/>
          <w:sz w:val="24"/>
          <w:szCs w:val="24"/>
          <w:highlight w:val="none"/>
        </w:rPr>
        <w:t>质量保修书</w:t>
      </w:r>
    </w:p>
    <w:p w14:paraId="2ED23EC6">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发包人（全称）：</w:t>
      </w:r>
      <w:r>
        <w:rPr>
          <w:rFonts w:hint="eastAsia" w:ascii="宋体" w:hAnsi="宋体" w:eastAsia="宋体" w:cs="宋体"/>
          <w:color w:val="auto"/>
          <w:sz w:val="24"/>
          <w:szCs w:val="24"/>
          <w:highlight w:val="none"/>
          <w:u w:val="single"/>
        </w:rPr>
        <w:t xml:space="preserve">                </w:t>
      </w:r>
    </w:p>
    <w:p w14:paraId="4F4F9EB7">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承包人（全称）：</w:t>
      </w:r>
      <w:r>
        <w:rPr>
          <w:rFonts w:hint="eastAsia" w:ascii="宋体" w:hAnsi="宋体" w:eastAsia="宋体" w:cs="宋体"/>
          <w:color w:val="auto"/>
          <w:sz w:val="24"/>
          <w:szCs w:val="24"/>
          <w:highlight w:val="none"/>
          <w:u w:val="single"/>
        </w:rPr>
        <w:t xml:space="preserve">                </w:t>
      </w:r>
    </w:p>
    <w:p w14:paraId="013AB704">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p w14:paraId="0C3EA2BD">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发包人和承包人根据《中华人民共和国建筑法》和《建设工程质量管理条例》，经协商一致就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（工程全称）签订工程质量保修书。</w:t>
      </w:r>
    </w:p>
    <w:p w14:paraId="1D246033">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bookmarkStart w:id="735" w:name="_Toc532375687"/>
      <w:r>
        <w:rPr>
          <w:rFonts w:hint="eastAsia" w:ascii="宋体" w:hAnsi="宋体" w:eastAsia="宋体" w:cs="宋体"/>
          <w:color w:val="auto"/>
          <w:sz w:val="24"/>
          <w:szCs w:val="24"/>
          <w:highlight w:val="none"/>
        </w:rPr>
        <w:t>一、工程质量保修范围和内容</w:t>
      </w:r>
      <w:bookmarkEnd w:id="735"/>
    </w:p>
    <w:p w14:paraId="570767E8">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承包人在质量保修期内，按照有关法律规定和合同约定，承担工程质量保修责任。</w:t>
      </w:r>
    </w:p>
    <w:p w14:paraId="1D8F0B6F">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75913F78">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承包人承包范围内容均属质量保修范围内容；其中：</w:t>
      </w:r>
    </w:p>
    <w:p w14:paraId="382668B3">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1.属于设计原因造成的质量问题，承包人负责维修，不留隐患，费用由发包人承担；</w:t>
      </w:r>
    </w:p>
    <w:p w14:paraId="50522501">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2.属于施工造成的质量问题，承包人负责维修，不留隐患；</w:t>
      </w:r>
    </w:p>
    <w:p w14:paraId="0ABDCCC4">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3.属于业主使用不当造成的质量问题，配合抢修，费用由发包人承担。</w:t>
      </w:r>
    </w:p>
    <w:p w14:paraId="34AED568">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bookmarkStart w:id="736" w:name="_Toc532375688"/>
      <w:r>
        <w:rPr>
          <w:rFonts w:hint="eastAsia" w:ascii="宋体" w:hAnsi="宋体" w:eastAsia="宋体" w:cs="宋体"/>
          <w:color w:val="auto"/>
          <w:sz w:val="24"/>
          <w:szCs w:val="24"/>
          <w:highlight w:val="none"/>
        </w:rPr>
        <w:t>二、质量保修期</w:t>
      </w:r>
      <w:bookmarkEnd w:id="736"/>
    </w:p>
    <w:p w14:paraId="44B9909F">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根据《建设工程质量管理条例》及有关规定，本工程质量保修期约定如下：</w:t>
      </w:r>
    </w:p>
    <w:p w14:paraId="4BC141A5">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1.基础设施工程、房屋建筑的地基基础工程和主体结构工程，为设计文件规定的该工程的合理使用年限；</w:t>
      </w:r>
    </w:p>
    <w:p w14:paraId="16461372">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2.屋面防水工程、有防水要求的卫生间、房间和外墙面的防渗漏，为</w:t>
      </w:r>
      <w:r>
        <w:rPr>
          <w:rFonts w:hint="eastAsia" w:ascii="宋体" w:hAnsi="宋体" w:eastAsia="宋体" w:cs="宋体"/>
          <w:color w:val="auto"/>
          <w:sz w:val="24"/>
          <w:szCs w:val="24"/>
          <w:highlight w:val="none"/>
          <w:u w:val="single"/>
        </w:rPr>
        <w:t>5</w:t>
      </w:r>
      <w:r>
        <w:rPr>
          <w:rFonts w:hint="eastAsia" w:ascii="宋体" w:hAnsi="宋体" w:eastAsia="宋体" w:cs="宋体"/>
          <w:color w:val="auto"/>
          <w:sz w:val="24"/>
          <w:szCs w:val="24"/>
          <w:highlight w:val="none"/>
        </w:rPr>
        <w:t>年；</w:t>
      </w:r>
    </w:p>
    <w:p w14:paraId="6B205379">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3.供热与供冷系统，为2个采暖期、供冷期；</w:t>
      </w:r>
    </w:p>
    <w:p w14:paraId="3A7E139B">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4.电气管线、给排水管道、设备安装和装修工程，为</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rPr>
        <w:t>年；</w:t>
      </w:r>
    </w:p>
    <w:p w14:paraId="6776FF68">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5.其他项目保修期限：</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rPr>
        <w:t>年；</w:t>
      </w:r>
    </w:p>
    <w:p w14:paraId="186D5F14">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建设工程的保修期，自工程竣工验收合格之日起计算。</w:t>
      </w:r>
    </w:p>
    <w:p w14:paraId="5B496862">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bookmarkStart w:id="737" w:name="_Toc532375689"/>
      <w:r>
        <w:rPr>
          <w:rFonts w:hint="eastAsia" w:ascii="宋体" w:hAnsi="宋体" w:eastAsia="宋体" w:cs="宋体"/>
          <w:color w:val="auto"/>
          <w:sz w:val="24"/>
          <w:szCs w:val="24"/>
          <w:highlight w:val="none"/>
        </w:rPr>
        <w:t>三、质量保修责任</w:t>
      </w:r>
      <w:bookmarkEnd w:id="737"/>
    </w:p>
    <w:p w14:paraId="0FC7D19D">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1.4.2.1.乙方接到甲方的工程质量投诉处理或工程质量缺陷、未完工程通知(包括：口头、电话、书面通知),应立即组织专业技术人员对出现的工程质量问题进行科学的论证，认真组织施工并最终对维修结果承担全部责任。乙方应根据工程实体质量，在工程交付前一个月准备充足的部品、材料、配件，避免因材料不能及时到场造成的一切损失由乙方承担。同时，乙方授权甲方在材料不及时的情况下，委派他人采购、维修、安装，所有费用加10%违约金从保修款中扣除。</w:t>
      </w:r>
    </w:p>
    <w:p w14:paraId="5995F95A">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"file:///K:\\永明&amp;渝富达\\机关办公大楼卫生间翻新改造工程\\4.2.1.1"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4.2.1.1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.一般常规性工程质量问题乙方必须4小时内赶到现场，72小时内完成维修责任，并需业主 和甲方管理人员确认。</w:t>
      </w:r>
    </w:p>
    <w:p w14:paraId="2125A333">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"file:///K:\\永明&amp;渝富达\\机关办公大楼卫生间翻新改造工程\\4.2.1.2"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4.2.1.2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.紧急情况(包括但不限于：管道爆管、堵塞冒水、门窗卡死无法开关、电器线路漏电、打火、跳闸、突然停水停电等)乙方必须30分钟内赶到现场，4小时内完成维修工程项目，并需业主和甲方管理人员确认。</w:t>
      </w:r>
    </w:p>
    <w:p w14:paraId="1749D727">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"file:///K:\\永明&amp;渝富达\\机关办公大楼卫生间翻新改造工程\\4.2.1.3"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4.2.1.3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防水工程渗漏水(外墙、厨卫间楼板、屋面、门窗塞缝处)2小时内赶到现场，采取防护措施防止扩大影响，在天晴情况下同防水施工单位96小时内协同完成维修工程项目，并需业主和甲方管理人员确认；如有推诿、拖延、不准时、不配合、维修两次以上(包括两次)无效等情况发生，可由甲方另行安排其它单位施工。乙方承担全部维修费用并支付维修费20%的违约金，并同意从保修款中扣除。</w:t>
      </w:r>
    </w:p>
    <w:p w14:paraId="1A40F6A2">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4.2.2.甲方接到用户(业主)报修通知，到现场勘察确认属于保修范围内工程质量问题后，通知乙方维修，在乙方人员到达之前，甲方可采取适当的应急措施，由此发生的费用由乙方承担。</w:t>
      </w:r>
    </w:p>
    <w:p w14:paraId="6158DF7A">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由于乙方无法联系或维修到场不及时、材料配备不及时，视为乙方同意由甲方处理，甲方将委派他方处理，处理结果由用户、甲方签字认可后即生效，不再经由乙方确认(甲方将处理情况知会乙方),因此所发生的一切费用并加20%违约金从乙方保修款中扣除。但不解除乙方的任何应负的责任。</w:t>
      </w:r>
    </w:p>
    <w:p w14:paraId="40CAE333">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4.2.4.如乙方不能维修或未能在甲方指定的合理期限内维修完好，维修过程中乙方维修质量无法达到甲方及业主要求，甲方有权自行另请他人代为维修并确定价格。所有修复费用及赔偿费用加上相应违约金(修复及赔偿费的20%),可以从甲方支付乙方的任何款项(包括保修款)中扣除，但不解除乙方的任何应负的责任。</w:t>
      </w:r>
    </w:p>
    <w:p w14:paraId="4D96B4EA">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5EB6433F">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4.质量保修完成后，由发包人组织验收。</w:t>
      </w:r>
    </w:p>
    <w:p w14:paraId="41FEBFA8">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bookmarkStart w:id="738" w:name="_Toc532375690"/>
      <w:r>
        <w:rPr>
          <w:rFonts w:hint="eastAsia" w:ascii="宋体" w:hAnsi="宋体" w:eastAsia="宋体" w:cs="宋体"/>
          <w:color w:val="auto"/>
          <w:sz w:val="24"/>
          <w:szCs w:val="24"/>
          <w:highlight w:val="none"/>
        </w:rPr>
        <w:t>四、保修费用</w:t>
      </w:r>
      <w:bookmarkEnd w:id="738"/>
    </w:p>
    <w:p w14:paraId="3C4ABE38">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保修费用由质量缺陷的责任方承担。</w:t>
      </w:r>
    </w:p>
    <w:p w14:paraId="181764B7">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bookmarkStart w:id="739" w:name="_Toc532375691"/>
      <w:r>
        <w:rPr>
          <w:rFonts w:hint="eastAsia" w:ascii="宋体" w:hAnsi="宋体" w:eastAsia="宋体" w:cs="宋体"/>
          <w:color w:val="auto"/>
          <w:sz w:val="24"/>
          <w:szCs w:val="24"/>
          <w:highlight w:val="none"/>
        </w:rPr>
        <w:t>五、双方约定的其他工程质量保修事项</w:t>
      </w:r>
    </w:p>
    <w:p w14:paraId="08F54570">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按国家相关法律和规定执行。</w:t>
      </w:r>
      <w:bookmarkEnd w:id="739"/>
    </w:p>
    <w:p w14:paraId="52BC4E98">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本工程质量保修书由发包人、承包人在工程竣工验收前共同签署，作为施工合同附件，其有效期限至保修期满。</w:t>
      </w:r>
    </w:p>
    <w:p w14:paraId="7C170DD1">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                                （盖单位公章）</w:t>
      </w:r>
    </w:p>
    <w:p w14:paraId="60673AEE">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                （签字）</w:t>
      </w:r>
    </w:p>
    <w:p w14:paraId="0E162EF8">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                                （盖单位公章）</w:t>
      </w:r>
    </w:p>
    <w:p w14:paraId="22953B10">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                （签字）</w:t>
      </w:r>
    </w:p>
    <w:p w14:paraId="7514318C">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签约时间：     年     月     日</w:t>
      </w:r>
    </w:p>
    <w:p w14:paraId="287C5FDD">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附件2：</w:t>
      </w:r>
    </w:p>
    <w:p w14:paraId="633FBC45">
      <w:pPr>
        <w:kinsoku w:val="0"/>
        <w:autoSpaceDE w:val="0"/>
        <w:autoSpaceDN w:val="0"/>
        <w:adjustRightInd w:val="0"/>
        <w:snapToGrid w:val="0"/>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主要建设工程文件目录</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536"/>
        <w:gridCol w:w="1418"/>
        <w:gridCol w:w="1418"/>
        <w:gridCol w:w="2917"/>
      </w:tblGrid>
      <w:tr w14:paraId="0A2EF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536" w:type="dxa"/>
            <w:tcBorders>
              <w:top w:val="single" w:color="auto" w:sz="4" w:space="0"/>
              <w:left w:val="single" w:color="auto" w:sz="4" w:space="0"/>
              <w:bottom w:val="single" w:color="auto" w:sz="4" w:space="0"/>
              <w:right w:val="single" w:color="auto" w:sz="4" w:space="0"/>
            </w:tcBorders>
            <w:vAlign w:val="center"/>
          </w:tcPr>
          <w:p w14:paraId="53B3B95F">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文件名称</w:t>
            </w:r>
          </w:p>
        </w:tc>
        <w:tc>
          <w:tcPr>
            <w:tcW w:w="1418" w:type="dxa"/>
            <w:tcBorders>
              <w:top w:val="single" w:color="auto" w:sz="4" w:space="0"/>
              <w:left w:val="single" w:color="auto" w:sz="4" w:space="0"/>
              <w:bottom w:val="single" w:color="auto" w:sz="4" w:space="0"/>
              <w:right w:val="single" w:color="auto" w:sz="4" w:space="0"/>
            </w:tcBorders>
            <w:vAlign w:val="center"/>
          </w:tcPr>
          <w:p w14:paraId="0568B52B">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套数</w:t>
            </w:r>
          </w:p>
        </w:tc>
        <w:tc>
          <w:tcPr>
            <w:tcW w:w="1418" w:type="dxa"/>
            <w:tcBorders>
              <w:top w:val="single" w:color="auto" w:sz="4" w:space="0"/>
              <w:left w:val="single" w:color="auto" w:sz="4" w:space="0"/>
              <w:bottom w:val="single" w:color="auto" w:sz="4" w:space="0"/>
              <w:right w:val="single" w:color="auto" w:sz="4" w:space="0"/>
            </w:tcBorders>
          </w:tcPr>
          <w:p w14:paraId="4BA6661A">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移交时间</w:t>
            </w:r>
          </w:p>
        </w:tc>
        <w:tc>
          <w:tcPr>
            <w:tcW w:w="2917" w:type="dxa"/>
            <w:tcBorders>
              <w:top w:val="single" w:color="auto" w:sz="4" w:space="0"/>
              <w:left w:val="single" w:color="auto" w:sz="4" w:space="0"/>
              <w:bottom w:val="single" w:color="auto" w:sz="4" w:space="0"/>
              <w:right w:val="single" w:color="auto" w:sz="4" w:space="0"/>
            </w:tcBorders>
          </w:tcPr>
          <w:p w14:paraId="75DD8971">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责任人</w:t>
            </w:r>
          </w:p>
        </w:tc>
      </w:tr>
      <w:tr w14:paraId="0C7EA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Borders>
              <w:top w:val="single" w:color="auto" w:sz="4" w:space="0"/>
              <w:left w:val="single" w:color="auto" w:sz="4" w:space="0"/>
              <w:bottom w:val="single" w:color="auto" w:sz="4" w:space="0"/>
              <w:right w:val="single" w:color="auto" w:sz="4" w:space="0"/>
            </w:tcBorders>
            <w:vAlign w:val="center"/>
          </w:tcPr>
          <w:p w14:paraId="41995349">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52932F05">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0E329AD3">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2917" w:type="dxa"/>
            <w:tcBorders>
              <w:top w:val="single" w:color="auto" w:sz="4" w:space="0"/>
              <w:left w:val="single" w:color="auto" w:sz="4" w:space="0"/>
              <w:bottom w:val="single" w:color="auto" w:sz="4" w:space="0"/>
              <w:right w:val="single" w:color="auto" w:sz="4" w:space="0"/>
            </w:tcBorders>
            <w:vAlign w:val="center"/>
          </w:tcPr>
          <w:p w14:paraId="5430ED5D">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r>
      <w:tr w14:paraId="4CABF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Borders>
              <w:top w:val="single" w:color="auto" w:sz="4" w:space="0"/>
              <w:left w:val="single" w:color="auto" w:sz="4" w:space="0"/>
              <w:bottom w:val="single" w:color="auto" w:sz="4" w:space="0"/>
              <w:right w:val="single" w:color="auto" w:sz="4" w:space="0"/>
            </w:tcBorders>
            <w:vAlign w:val="center"/>
          </w:tcPr>
          <w:p w14:paraId="206D3C43">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4C73B964">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0D171098">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2917" w:type="dxa"/>
            <w:tcBorders>
              <w:top w:val="single" w:color="auto" w:sz="4" w:space="0"/>
              <w:left w:val="single" w:color="auto" w:sz="4" w:space="0"/>
              <w:bottom w:val="single" w:color="auto" w:sz="4" w:space="0"/>
              <w:right w:val="single" w:color="auto" w:sz="4" w:space="0"/>
            </w:tcBorders>
            <w:vAlign w:val="center"/>
          </w:tcPr>
          <w:p w14:paraId="235CABC3">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r>
      <w:tr w14:paraId="20C43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Borders>
              <w:top w:val="single" w:color="auto" w:sz="4" w:space="0"/>
              <w:left w:val="single" w:color="auto" w:sz="4" w:space="0"/>
              <w:bottom w:val="single" w:color="auto" w:sz="4" w:space="0"/>
              <w:right w:val="single" w:color="auto" w:sz="4" w:space="0"/>
            </w:tcBorders>
            <w:vAlign w:val="center"/>
          </w:tcPr>
          <w:p w14:paraId="6C97F6E6">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3C29A551">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174FA24A">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2917" w:type="dxa"/>
            <w:tcBorders>
              <w:top w:val="single" w:color="auto" w:sz="4" w:space="0"/>
              <w:left w:val="single" w:color="auto" w:sz="4" w:space="0"/>
              <w:bottom w:val="single" w:color="auto" w:sz="4" w:space="0"/>
              <w:right w:val="single" w:color="auto" w:sz="4" w:space="0"/>
            </w:tcBorders>
            <w:vAlign w:val="center"/>
          </w:tcPr>
          <w:p w14:paraId="27D69305">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r>
      <w:tr w14:paraId="38999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Borders>
              <w:top w:val="single" w:color="auto" w:sz="4" w:space="0"/>
              <w:left w:val="single" w:color="auto" w:sz="4" w:space="0"/>
              <w:bottom w:val="single" w:color="auto" w:sz="4" w:space="0"/>
              <w:right w:val="single" w:color="auto" w:sz="4" w:space="0"/>
            </w:tcBorders>
            <w:vAlign w:val="center"/>
          </w:tcPr>
          <w:p w14:paraId="7C9CECA5">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120A80A8">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61A72FF3">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2917" w:type="dxa"/>
            <w:tcBorders>
              <w:top w:val="single" w:color="auto" w:sz="4" w:space="0"/>
              <w:left w:val="single" w:color="auto" w:sz="4" w:space="0"/>
              <w:bottom w:val="single" w:color="auto" w:sz="4" w:space="0"/>
              <w:right w:val="single" w:color="auto" w:sz="4" w:space="0"/>
            </w:tcBorders>
            <w:vAlign w:val="center"/>
          </w:tcPr>
          <w:p w14:paraId="772F56DC">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r>
      <w:tr w14:paraId="17F5A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Borders>
              <w:top w:val="single" w:color="auto" w:sz="4" w:space="0"/>
              <w:left w:val="single" w:color="auto" w:sz="4" w:space="0"/>
              <w:bottom w:val="single" w:color="auto" w:sz="4" w:space="0"/>
              <w:right w:val="single" w:color="auto" w:sz="4" w:space="0"/>
            </w:tcBorders>
            <w:vAlign w:val="center"/>
          </w:tcPr>
          <w:p w14:paraId="24ACDC0B">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0BD008DC">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439A4061">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2917" w:type="dxa"/>
            <w:tcBorders>
              <w:top w:val="single" w:color="auto" w:sz="4" w:space="0"/>
              <w:left w:val="single" w:color="auto" w:sz="4" w:space="0"/>
              <w:bottom w:val="single" w:color="auto" w:sz="4" w:space="0"/>
              <w:right w:val="single" w:color="auto" w:sz="4" w:space="0"/>
            </w:tcBorders>
            <w:vAlign w:val="center"/>
          </w:tcPr>
          <w:p w14:paraId="38C971B6">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r>
      <w:tr w14:paraId="54450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Borders>
              <w:top w:val="single" w:color="auto" w:sz="4" w:space="0"/>
              <w:left w:val="single" w:color="auto" w:sz="4" w:space="0"/>
              <w:bottom w:val="single" w:color="auto" w:sz="4" w:space="0"/>
              <w:right w:val="single" w:color="auto" w:sz="4" w:space="0"/>
            </w:tcBorders>
            <w:vAlign w:val="center"/>
          </w:tcPr>
          <w:p w14:paraId="698B316F">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6BAF1334">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59D7639A">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2917" w:type="dxa"/>
            <w:tcBorders>
              <w:top w:val="single" w:color="auto" w:sz="4" w:space="0"/>
              <w:left w:val="single" w:color="auto" w:sz="4" w:space="0"/>
              <w:bottom w:val="single" w:color="auto" w:sz="4" w:space="0"/>
              <w:right w:val="single" w:color="auto" w:sz="4" w:space="0"/>
            </w:tcBorders>
            <w:vAlign w:val="center"/>
          </w:tcPr>
          <w:p w14:paraId="5BAC715D">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r>
      <w:tr w14:paraId="2FA68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Borders>
              <w:top w:val="single" w:color="auto" w:sz="4" w:space="0"/>
              <w:left w:val="single" w:color="auto" w:sz="4" w:space="0"/>
              <w:bottom w:val="single" w:color="auto" w:sz="4" w:space="0"/>
              <w:right w:val="single" w:color="auto" w:sz="4" w:space="0"/>
            </w:tcBorders>
            <w:vAlign w:val="center"/>
          </w:tcPr>
          <w:p w14:paraId="34083633">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6352D50A">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05995515">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2917" w:type="dxa"/>
            <w:tcBorders>
              <w:top w:val="single" w:color="auto" w:sz="4" w:space="0"/>
              <w:left w:val="single" w:color="auto" w:sz="4" w:space="0"/>
              <w:bottom w:val="single" w:color="auto" w:sz="4" w:space="0"/>
              <w:right w:val="single" w:color="auto" w:sz="4" w:space="0"/>
            </w:tcBorders>
            <w:vAlign w:val="center"/>
          </w:tcPr>
          <w:p w14:paraId="741FCE65">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r>
      <w:tr w14:paraId="3DBF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Borders>
              <w:top w:val="single" w:color="auto" w:sz="4" w:space="0"/>
              <w:left w:val="single" w:color="auto" w:sz="4" w:space="0"/>
              <w:bottom w:val="single" w:color="auto" w:sz="4" w:space="0"/>
              <w:right w:val="single" w:color="auto" w:sz="4" w:space="0"/>
            </w:tcBorders>
            <w:vAlign w:val="center"/>
          </w:tcPr>
          <w:p w14:paraId="16F52234">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17ACEC13">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1E545A6E">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2917" w:type="dxa"/>
            <w:tcBorders>
              <w:top w:val="single" w:color="auto" w:sz="4" w:space="0"/>
              <w:left w:val="single" w:color="auto" w:sz="4" w:space="0"/>
              <w:bottom w:val="single" w:color="auto" w:sz="4" w:space="0"/>
              <w:right w:val="single" w:color="auto" w:sz="4" w:space="0"/>
            </w:tcBorders>
            <w:vAlign w:val="center"/>
          </w:tcPr>
          <w:p w14:paraId="16C8E6FD">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r>
      <w:tr w14:paraId="33B22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Borders>
              <w:top w:val="single" w:color="auto" w:sz="4" w:space="0"/>
              <w:left w:val="single" w:color="auto" w:sz="4" w:space="0"/>
              <w:bottom w:val="single" w:color="auto" w:sz="4" w:space="0"/>
              <w:right w:val="single" w:color="auto" w:sz="4" w:space="0"/>
            </w:tcBorders>
          </w:tcPr>
          <w:p w14:paraId="1C4E7061">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0DD6A856">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32D0A3B2">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2917" w:type="dxa"/>
            <w:tcBorders>
              <w:top w:val="single" w:color="auto" w:sz="4" w:space="0"/>
              <w:left w:val="single" w:color="auto" w:sz="4" w:space="0"/>
              <w:bottom w:val="single" w:color="auto" w:sz="4" w:space="0"/>
              <w:right w:val="single" w:color="auto" w:sz="4" w:space="0"/>
            </w:tcBorders>
          </w:tcPr>
          <w:p w14:paraId="5E825B07">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r>
      <w:tr w14:paraId="5B7C2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Borders>
              <w:top w:val="single" w:color="auto" w:sz="4" w:space="0"/>
              <w:left w:val="single" w:color="auto" w:sz="4" w:space="0"/>
              <w:bottom w:val="single" w:color="auto" w:sz="4" w:space="0"/>
              <w:right w:val="single" w:color="auto" w:sz="4" w:space="0"/>
            </w:tcBorders>
            <w:vAlign w:val="center"/>
          </w:tcPr>
          <w:p w14:paraId="017D38C4">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3A8ED725">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207EF6CD">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2917" w:type="dxa"/>
            <w:tcBorders>
              <w:top w:val="single" w:color="auto" w:sz="4" w:space="0"/>
              <w:left w:val="single" w:color="auto" w:sz="4" w:space="0"/>
              <w:bottom w:val="single" w:color="auto" w:sz="4" w:space="0"/>
              <w:right w:val="single" w:color="auto" w:sz="4" w:space="0"/>
            </w:tcBorders>
            <w:vAlign w:val="center"/>
          </w:tcPr>
          <w:p w14:paraId="35FE58DD">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r>
      <w:tr w14:paraId="34E5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Borders>
              <w:top w:val="single" w:color="auto" w:sz="4" w:space="0"/>
              <w:left w:val="single" w:color="auto" w:sz="4" w:space="0"/>
              <w:bottom w:val="single" w:color="auto" w:sz="4" w:space="0"/>
              <w:right w:val="single" w:color="auto" w:sz="4" w:space="0"/>
            </w:tcBorders>
          </w:tcPr>
          <w:p w14:paraId="119413F7">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19B4F3D3">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2B6AEA38">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2917" w:type="dxa"/>
            <w:tcBorders>
              <w:top w:val="single" w:color="auto" w:sz="4" w:space="0"/>
              <w:left w:val="single" w:color="auto" w:sz="4" w:space="0"/>
              <w:bottom w:val="single" w:color="auto" w:sz="4" w:space="0"/>
              <w:right w:val="single" w:color="auto" w:sz="4" w:space="0"/>
            </w:tcBorders>
          </w:tcPr>
          <w:p w14:paraId="4EB575A8">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r>
      <w:tr w14:paraId="223A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Borders>
              <w:top w:val="single" w:color="auto" w:sz="4" w:space="0"/>
              <w:left w:val="single" w:color="auto" w:sz="4" w:space="0"/>
              <w:bottom w:val="single" w:color="auto" w:sz="4" w:space="0"/>
              <w:right w:val="single" w:color="auto" w:sz="4" w:space="0"/>
            </w:tcBorders>
          </w:tcPr>
          <w:p w14:paraId="0BF3CE3A">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2034348D">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53F853AF">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2917" w:type="dxa"/>
            <w:tcBorders>
              <w:top w:val="single" w:color="auto" w:sz="4" w:space="0"/>
              <w:left w:val="single" w:color="auto" w:sz="4" w:space="0"/>
              <w:bottom w:val="single" w:color="auto" w:sz="4" w:space="0"/>
              <w:right w:val="single" w:color="auto" w:sz="4" w:space="0"/>
            </w:tcBorders>
          </w:tcPr>
          <w:p w14:paraId="0A88F73C">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r>
      <w:tr w14:paraId="06451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Borders>
              <w:top w:val="single" w:color="auto" w:sz="4" w:space="0"/>
              <w:left w:val="single" w:color="auto" w:sz="4" w:space="0"/>
              <w:bottom w:val="single" w:color="auto" w:sz="4" w:space="0"/>
              <w:right w:val="single" w:color="auto" w:sz="4" w:space="0"/>
            </w:tcBorders>
          </w:tcPr>
          <w:p w14:paraId="38128C6B">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17A7B060">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34385C9C">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2917" w:type="dxa"/>
            <w:tcBorders>
              <w:top w:val="single" w:color="auto" w:sz="4" w:space="0"/>
              <w:left w:val="single" w:color="auto" w:sz="4" w:space="0"/>
              <w:bottom w:val="single" w:color="auto" w:sz="4" w:space="0"/>
              <w:right w:val="single" w:color="auto" w:sz="4" w:space="0"/>
            </w:tcBorders>
          </w:tcPr>
          <w:p w14:paraId="0EE1F5FE">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r>
      <w:tr w14:paraId="5094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Borders>
              <w:top w:val="single" w:color="auto" w:sz="4" w:space="0"/>
              <w:left w:val="single" w:color="auto" w:sz="4" w:space="0"/>
              <w:bottom w:val="single" w:color="auto" w:sz="4" w:space="0"/>
              <w:right w:val="single" w:color="auto" w:sz="4" w:space="0"/>
            </w:tcBorders>
          </w:tcPr>
          <w:p w14:paraId="4CC29A01">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7808F288">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41924491">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2917" w:type="dxa"/>
            <w:tcBorders>
              <w:top w:val="single" w:color="auto" w:sz="4" w:space="0"/>
              <w:left w:val="single" w:color="auto" w:sz="4" w:space="0"/>
              <w:bottom w:val="single" w:color="auto" w:sz="4" w:space="0"/>
              <w:right w:val="single" w:color="auto" w:sz="4" w:space="0"/>
            </w:tcBorders>
          </w:tcPr>
          <w:p w14:paraId="33736C2F">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r>
      <w:tr w14:paraId="5EEE9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Borders>
              <w:top w:val="single" w:color="auto" w:sz="4" w:space="0"/>
              <w:left w:val="single" w:color="auto" w:sz="4" w:space="0"/>
              <w:bottom w:val="single" w:color="auto" w:sz="4" w:space="0"/>
              <w:right w:val="single" w:color="auto" w:sz="4" w:space="0"/>
            </w:tcBorders>
          </w:tcPr>
          <w:p w14:paraId="27976622">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0D265B1E">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060B5A0E">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2917" w:type="dxa"/>
            <w:tcBorders>
              <w:top w:val="single" w:color="auto" w:sz="4" w:space="0"/>
              <w:left w:val="single" w:color="auto" w:sz="4" w:space="0"/>
              <w:bottom w:val="single" w:color="auto" w:sz="4" w:space="0"/>
              <w:right w:val="single" w:color="auto" w:sz="4" w:space="0"/>
            </w:tcBorders>
          </w:tcPr>
          <w:p w14:paraId="426722D7">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r>
      <w:tr w14:paraId="4D29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Borders>
              <w:top w:val="single" w:color="auto" w:sz="4" w:space="0"/>
              <w:left w:val="single" w:color="auto" w:sz="4" w:space="0"/>
              <w:bottom w:val="single" w:color="auto" w:sz="4" w:space="0"/>
              <w:right w:val="single" w:color="auto" w:sz="4" w:space="0"/>
            </w:tcBorders>
          </w:tcPr>
          <w:p w14:paraId="67146F96">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703416A1">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6BB281BE">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2917" w:type="dxa"/>
            <w:tcBorders>
              <w:top w:val="single" w:color="auto" w:sz="4" w:space="0"/>
              <w:left w:val="single" w:color="auto" w:sz="4" w:space="0"/>
              <w:bottom w:val="single" w:color="auto" w:sz="4" w:space="0"/>
              <w:right w:val="single" w:color="auto" w:sz="4" w:space="0"/>
            </w:tcBorders>
          </w:tcPr>
          <w:p w14:paraId="04AE57E1">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r>
      <w:tr w14:paraId="3A7E4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Borders>
              <w:top w:val="single" w:color="auto" w:sz="4" w:space="0"/>
              <w:left w:val="single" w:color="auto" w:sz="4" w:space="0"/>
              <w:bottom w:val="single" w:color="auto" w:sz="4" w:space="0"/>
              <w:right w:val="single" w:color="auto" w:sz="4" w:space="0"/>
            </w:tcBorders>
          </w:tcPr>
          <w:p w14:paraId="4E5E68A7">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191EB9D8">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087EDCC1">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2917" w:type="dxa"/>
            <w:tcBorders>
              <w:top w:val="single" w:color="auto" w:sz="4" w:space="0"/>
              <w:left w:val="single" w:color="auto" w:sz="4" w:space="0"/>
              <w:bottom w:val="single" w:color="auto" w:sz="4" w:space="0"/>
              <w:right w:val="single" w:color="auto" w:sz="4" w:space="0"/>
            </w:tcBorders>
          </w:tcPr>
          <w:p w14:paraId="20E93BF8">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r>
      <w:tr w14:paraId="41783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Borders>
              <w:top w:val="single" w:color="auto" w:sz="4" w:space="0"/>
              <w:left w:val="single" w:color="auto" w:sz="4" w:space="0"/>
              <w:bottom w:val="single" w:color="auto" w:sz="4" w:space="0"/>
              <w:right w:val="single" w:color="auto" w:sz="4" w:space="0"/>
            </w:tcBorders>
          </w:tcPr>
          <w:p w14:paraId="0A81CF90">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636A9315">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3A1A2266">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2917" w:type="dxa"/>
            <w:tcBorders>
              <w:top w:val="single" w:color="auto" w:sz="4" w:space="0"/>
              <w:left w:val="single" w:color="auto" w:sz="4" w:space="0"/>
              <w:bottom w:val="single" w:color="auto" w:sz="4" w:space="0"/>
              <w:right w:val="single" w:color="auto" w:sz="4" w:space="0"/>
            </w:tcBorders>
          </w:tcPr>
          <w:p w14:paraId="0368B2D7">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r>
    </w:tbl>
    <w:p w14:paraId="4E94F459">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p w14:paraId="4E9BA176">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附</w:t>
      </w:r>
      <w:bookmarkStart w:id="740" w:name="_Toc296891268"/>
      <w:bookmarkStart w:id="741" w:name="_Toc296503228"/>
      <w:bookmarkStart w:id="742" w:name="_Toc296346729"/>
      <w:bookmarkStart w:id="743" w:name="_Toc296944567"/>
      <w:bookmarkStart w:id="744" w:name="_Toc296347227"/>
      <w:bookmarkStart w:id="745" w:name="_Toc296891056"/>
      <w:bookmarkStart w:id="746" w:name="_Toc267261699"/>
      <w:r>
        <w:rPr>
          <w:rFonts w:hint="eastAsia" w:ascii="宋体" w:hAnsi="宋体" w:eastAsia="宋体" w:cs="宋体"/>
          <w:color w:val="auto"/>
          <w:sz w:val="24"/>
          <w:szCs w:val="24"/>
          <w:highlight w:val="none"/>
        </w:rPr>
        <w:t>件3：</w:t>
      </w:r>
    </w:p>
    <w:bookmarkEnd w:id="740"/>
    <w:bookmarkEnd w:id="741"/>
    <w:bookmarkEnd w:id="742"/>
    <w:bookmarkEnd w:id="743"/>
    <w:bookmarkEnd w:id="744"/>
    <w:bookmarkEnd w:id="745"/>
    <w:bookmarkEnd w:id="746"/>
    <w:p w14:paraId="1638A6A4">
      <w:pPr>
        <w:kinsoku w:val="0"/>
        <w:autoSpaceDE w:val="0"/>
        <w:autoSpaceDN w:val="0"/>
        <w:adjustRightInd w:val="0"/>
        <w:snapToGrid w:val="0"/>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承包人项目管理机构组成表</w:t>
      </w:r>
    </w:p>
    <w:tbl>
      <w:tblPr>
        <w:tblStyle w:val="14"/>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3403"/>
      </w:tblGrid>
      <w:tr w14:paraId="23A0DEBF">
        <w:tblPrEx>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0F6AE8DD">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p>
        </w:tc>
        <w:tc>
          <w:tcPr>
            <w:tcW w:w="1418" w:type="dxa"/>
            <w:tcBorders>
              <w:top w:val="single" w:color="auto" w:sz="4" w:space="0"/>
              <w:left w:val="single" w:color="auto" w:sz="4" w:space="0"/>
              <w:bottom w:val="single" w:color="auto" w:sz="4" w:space="0"/>
              <w:right w:val="single" w:color="auto" w:sz="4" w:space="0"/>
            </w:tcBorders>
            <w:vAlign w:val="center"/>
          </w:tcPr>
          <w:p w14:paraId="64F2C621">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134" w:type="dxa"/>
            <w:tcBorders>
              <w:top w:val="single" w:color="auto" w:sz="4" w:space="0"/>
              <w:left w:val="single" w:color="auto" w:sz="4" w:space="0"/>
              <w:bottom w:val="single" w:color="auto" w:sz="4" w:space="0"/>
              <w:right w:val="single" w:color="auto" w:sz="4" w:space="0"/>
            </w:tcBorders>
            <w:vAlign w:val="center"/>
          </w:tcPr>
          <w:p w14:paraId="5D524139">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1134" w:type="dxa"/>
            <w:tcBorders>
              <w:top w:val="single" w:color="auto" w:sz="4" w:space="0"/>
              <w:left w:val="single" w:color="auto" w:sz="4" w:space="0"/>
              <w:bottom w:val="single" w:color="auto" w:sz="4" w:space="0"/>
              <w:right w:val="single" w:color="auto" w:sz="4" w:space="0"/>
            </w:tcBorders>
            <w:vAlign w:val="center"/>
          </w:tcPr>
          <w:p w14:paraId="25175E93">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3403" w:type="dxa"/>
            <w:tcBorders>
              <w:top w:val="single" w:color="auto" w:sz="4" w:space="0"/>
              <w:left w:val="single" w:color="auto" w:sz="4" w:space="0"/>
              <w:bottom w:val="single" w:color="auto" w:sz="4" w:space="0"/>
              <w:right w:val="single" w:color="auto" w:sz="4" w:space="0"/>
            </w:tcBorders>
            <w:vAlign w:val="center"/>
          </w:tcPr>
          <w:p w14:paraId="5AEFEDB3">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主要资历、经验及承担过的项目</w:t>
            </w:r>
          </w:p>
        </w:tc>
      </w:tr>
      <w:tr w14:paraId="0201F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7" w:hRule="atLeast"/>
          <w:jc w:val="center"/>
        </w:trPr>
        <w:tc>
          <w:tcPr>
            <w:tcW w:w="8960" w:type="dxa"/>
            <w:gridSpan w:val="5"/>
            <w:tcBorders>
              <w:top w:val="single" w:color="auto" w:sz="4" w:space="0"/>
              <w:left w:val="single" w:color="auto" w:sz="4" w:space="0"/>
              <w:bottom w:val="single" w:color="auto" w:sz="4" w:space="0"/>
              <w:right w:val="single" w:color="auto" w:sz="4" w:space="0"/>
            </w:tcBorders>
            <w:vAlign w:val="center"/>
          </w:tcPr>
          <w:p w14:paraId="51C18D2E">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一、总部人员</w:t>
            </w:r>
          </w:p>
        </w:tc>
      </w:tr>
      <w:tr w14:paraId="32F42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343ED220">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项目主管</w:t>
            </w:r>
          </w:p>
        </w:tc>
        <w:tc>
          <w:tcPr>
            <w:tcW w:w="1418" w:type="dxa"/>
            <w:tcBorders>
              <w:top w:val="single" w:color="auto" w:sz="4" w:space="0"/>
              <w:left w:val="single" w:color="auto" w:sz="4" w:space="0"/>
              <w:bottom w:val="single" w:color="auto" w:sz="4" w:space="0"/>
              <w:right w:val="single" w:color="auto" w:sz="4" w:space="0"/>
            </w:tcBorders>
            <w:vAlign w:val="center"/>
          </w:tcPr>
          <w:p w14:paraId="57FF1319">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71C7843">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15C7038">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3403" w:type="dxa"/>
            <w:tcBorders>
              <w:top w:val="single" w:color="auto" w:sz="4" w:space="0"/>
              <w:left w:val="single" w:color="auto" w:sz="4" w:space="0"/>
              <w:bottom w:val="single" w:color="auto" w:sz="4" w:space="0"/>
              <w:right w:val="single" w:color="auto" w:sz="4" w:space="0"/>
            </w:tcBorders>
            <w:vAlign w:val="center"/>
          </w:tcPr>
          <w:p w14:paraId="2A42CAB1">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r>
      <w:tr w14:paraId="43715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7F87C15F">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6BFD6CFE">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D336676">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314E83B">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3403" w:type="dxa"/>
            <w:tcBorders>
              <w:top w:val="single" w:color="auto" w:sz="4" w:space="0"/>
              <w:left w:val="single" w:color="auto" w:sz="4" w:space="0"/>
              <w:bottom w:val="single" w:color="auto" w:sz="4" w:space="0"/>
              <w:right w:val="single" w:color="auto" w:sz="4" w:space="0"/>
            </w:tcBorders>
            <w:vAlign w:val="center"/>
          </w:tcPr>
          <w:p w14:paraId="5D574BE3">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r>
      <w:tr w14:paraId="6B489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41B70FE4">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其他人员</w:t>
            </w:r>
          </w:p>
        </w:tc>
        <w:tc>
          <w:tcPr>
            <w:tcW w:w="1418" w:type="dxa"/>
            <w:tcBorders>
              <w:top w:val="single" w:color="auto" w:sz="4" w:space="0"/>
              <w:left w:val="single" w:color="auto" w:sz="4" w:space="0"/>
              <w:bottom w:val="single" w:color="auto" w:sz="4" w:space="0"/>
              <w:right w:val="single" w:color="auto" w:sz="4" w:space="0"/>
            </w:tcBorders>
            <w:vAlign w:val="center"/>
          </w:tcPr>
          <w:p w14:paraId="75DD065E">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CCB8C1C">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35C3378">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3403" w:type="dxa"/>
            <w:tcBorders>
              <w:top w:val="single" w:color="auto" w:sz="4" w:space="0"/>
              <w:left w:val="single" w:color="auto" w:sz="4" w:space="0"/>
              <w:bottom w:val="single" w:color="auto" w:sz="4" w:space="0"/>
              <w:right w:val="single" w:color="auto" w:sz="4" w:space="0"/>
            </w:tcBorders>
            <w:vAlign w:val="center"/>
          </w:tcPr>
          <w:p w14:paraId="08204F48">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r>
      <w:tr w14:paraId="5F82F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69BC9200">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2E4265C5">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C36D0A5">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9E803A9">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3403" w:type="dxa"/>
            <w:tcBorders>
              <w:top w:val="single" w:color="auto" w:sz="4" w:space="0"/>
              <w:left w:val="single" w:color="auto" w:sz="4" w:space="0"/>
              <w:bottom w:val="single" w:color="auto" w:sz="4" w:space="0"/>
              <w:right w:val="single" w:color="auto" w:sz="4" w:space="0"/>
            </w:tcBorders>
            <w:vAlign w:val="center"/>
          </w:tcPr>
          <w:p w14:paraId="79BB3496">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r>
      <w:tr w14:paraId="6650C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960" w:type="dxa"/>
            <w:gridSpan w:val="5"/>
            <w:tcBorders>
              <w:top w:val="single" w:color="auto" w:sz="4" w:space="0"/>
              <w:left w:val="single" w:color="auto" w:sz="4" w:space="0"/>
              <w:bottom w:val="single" w:color="auto" w:sz="4" w:space="0"/>
              <w:right w:val="single" w:color="auto" w:sz="4" w:space="0"/>
            </w:tcBorders>
            <w:vAlign w:val="center"/>
          </w:tcPr>
          <w:p w14:paraId="1910FA46">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二、现场人员</w:t>
            </w:r>
          </w:p>
        </w:tc>
      </w:tr>
      <w:tr w14:paraId="15F8D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06B6546B">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项目经理</w:t>
            </w:r>
          </w:p>
        </w:tc>
        <w:tc>
          <w:tcPr>
            <w:tcW w:w="1418" w:type="dxa"/>
            <w:tcBorders>
              <w:top w:val="single" w:color="auto" w:sz="4" w:space="0"/>
              <w:left w:val="single" w:color="auto" w:sz="4" w:space="0"/>
              <w:bottom w:val="single" w:color="auto" w:sz="4" w:space="0"/>
              <w:right w:val="single" w:color="auto" w:sz="4" w:space="0"/>
            </w:tcBorders>
            <w:vAlign w:val="center"/>
          </w:tcPr>
          <w:p w14:paraId="25EE9212">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F3EF1CE">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4929836">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3403" w:type="dxa"/>
            <w:tcBorders>
              <w:top w:val="single" w:color="auto" w:sz="4" w:space="0"/>
              <w:left w:val="single" w:color="auto" w:sz="4" w:space="0"/>
              <w:bottom w:val="single" w:color="auto" w:sz="4" w:space="0"/>
              <w:right w:val="single" w:color="auto" w:sz="4" w:space="0"/>
            </w:tcBorders>
            <w:vAlign w:val="center"/>
          </w:tcPr>
          <w:p w14:paraId="57683EE7">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r>
      <w:tr w14:paraId="3418E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6BBD104D">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项目副经理</w:t>
            </w:r>
          </w:p>
        </w:tc>
        <w:tc>
          <w:tcPr>
            <w:tcW w:w="1418" w:type="dxa"/>
            <w:tcBorders>
              <w:top w:val="single" w:color="auto" w:sz="4" w:space="0"/>
              <w:left w:val="single" w:color="auto" w:sz="4" w:space="0"/>
              <w:bottom w:val="single" w:color="auto" w:sz="4" w:space="0"/>
              <w:right w:val="single" w:color="auto" w:sz="4" w:space="0"/>
            </w:tcBorders>
            <w:vAlign w:val="center"/>
          </w:tcPr>
          <w:p w14:paraId="3E9251F1">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16D591F">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8FA5868">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3403" w:type="dxa"/>
            <w:tcBorders>
              <w:top w:val="single" w:color="auto" w:sz="4" w:space="0"/>
              <w:left w:val="single" w:color="auto" w:sz="4" w:space="0"/>
              <w:bottom w:val="single" w:color="auto" w:sz="4" w:space="0"/>
              <w:right w:val="single" w:color="auto" w:sz="4" w:space="0"/>
            </w:tcBorders>
            <w:vAlign w:val="center"/>
          </w:tcPr>
          <w:p w14:paraId="6524B611">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r>
      <w:tr w14:paraId="1F7A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56D61263">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技术负责人</w:t>
            </w:r>
          </w:p>
        </w:tc>
        <w:tc>
          <w:tcPr>
            <w:tcW w:w="1418" w:type="dxa"/>
            <w:tcBorders>
              <w:top w:val="single" w:color="auto" w:sz="4" w:space="0"/>
              <w:left w:val="single" w:color="auto" w:sz="4" w:space="0"/>
              <w:bottom w:val="single" w:color="auto" w:sz="4" w:space="0"/>
              <w:right w:val="single" w:color="auto" w:sz="4" w:space="0"/>
            </w:tcBorders>
            <w:vAlign w:val="center"/>
          </w:tcPr>
          <w:p w14:paraId="5E8BE2E9">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AA409F9">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5BE0DD3">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3403" w:type="dxa"/>
            <w:tcBorders>
              <w:top w:val="single" w:color="auto" w:sz="4" w:space="0"/>
              <w:left w:val="single" w:color="auto" w:sz="4" w:space="0"/>
              <w:bottom w:val="single" w:color="auto" w:sz="4" w:space="0"/>
              <w:right w:val="single" w:color="auto" w:sz="4" w:space="0"/>
            </w:tcBorders>
            <w:vAlign w:val="center"/>
          </w:tcPr>
          <w:p w14:paraId="4E90ACD8">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r>
      <w:tr w14:paraId="00DC6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62277D40">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造价管理</w:t>
            </w:r>
          </w:p>
        </w:tc>
        <w:tc>
          <w:tcPr>
            <w:tcW w:w="1418" w:type="dxa"/>
            <w:tcBorders>
              <w:top w:val="single" w:color="auto" w:sz="4" w:space="0"/>
              <w:left w:val="single" w:color="auto" w:sz="4" w:space="0"/>
              <w:bottom w:val="single" w:color="auto" w:sz="4" w:space="0"/>
              <w:right w:val="single" w:color="auto" w:sz="4" w:space="0"/>
            </w:tcBorders>
            <w:vAlign w:val="center"/>
          </w:tcPr>
          <w:p w14:paraId="740DECAD">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15C5C35">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FF68AF0">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3403" w:type="dxa"/>
            <w:tcBorders>
              <w:top w:val="single" w:color="auto" w:sz="4" w:space="0"/>
              <w:left w:val="single" w:color="auto" w:sz="4" w:space="0"/>
              <w:bottom w:val="single" w:color="auto" w:sz="4" w:space="0"/>
              <w:right w:val="single" w:color="auto" w:sz="4" w:space="0"/>
            </w:tcBorders>
            <w:vAlign w:val="center"/>
          </w:tcPr>
          <w:p w14:paraId="33CC52B6">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r>
      <w:tr w14:paraId="6E07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448012FB">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质量管理</w:t>
            </w:r>
          </w:p>
        </w:tc>
        <w:tc>
          <w:tcPr>
            <w:tcW w:w="1418" w:type="dxa"/>
            <w:tcBorders>
              <w:top w:val="single" w:color="auto" w:sz="4" w:space="0"/>
              <w:left w:val="single" w:color="auto" w:sz="4" w:space="0"/>
              <w:bottom w:val="single" w:color="auto" w:sz="4" w:space="0"/>
              <w:right w:val="single" w:color="auto" w:sz="4" w:space="0"/>
            </w:tcBorders>
            <w:vAlign w:val="center"/>
          </w:tcPr>
          <w:p w14:paraId="7CBB82E0">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471C089">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74CA4A4">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3403" w:type="dxa"/>
            <w:tcBorders>
              <w:top w:val="single" w:color="auto" w:sz="4" w:space="0"/>
              <w:left w:val="single" w:color="auto" w:sz="4" w:space="0"/>
              <w:bottom w:val="single" w:color="auto" w:sz="4" w:space="0"/>
              <w:right w:val="single" w:color="auto" w:sz="4" w:space="0"/>
            </w:tcBorders>
            <w:vAlign w:val="center"/>
          </w:tcPr>
          <w:p w14:paraId="5C322F96">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r>
      <w:tr w14:paraId="2165D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1259B9A8">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材料管理</w:t>
            </w:r>
          </w:p>
        </w:tc>
        <w:tc>
          <w:tcPr>
            <w:tcW w:w="1418" w:type="dxa"/>
            <w:tcBorders>
              <w:top w:val="single" w:color="auto" w:sz="4" w:space="0"/>
              <w:left w:val="single" w:color="auto" w:sz="4" w:space="0"/>
              <w:bottom w:val="single" w:color="auto" w:sz="4" w:space="0"/>
              <w:right w:val="single" w:color="auto" w:sz="4" w:space="0"/>
            </w:tcBorders>
            <w:vAlign w:val="center"/>
          </w:tcPr>
          <w:p w14:paraId="5DB4C752">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81F36BD">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51E4ED9">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3403" w:type="dxa"/>
            <w:tcBorders>
              <w:top w:val="single" w:color="auto" w:sz="4" w:space="0"/>
              <w:left w:val="single" w:color="auto" w:sz="4" w:space="0"/>
              <w:bottom w:val="single" w:color="auto" w:sz="4" w:space="0"/>
              <w:right w:val="single" w:color="auto" w:sz="4" w:space="0"/>
            </w:tcBorders>
            <w:vAlign w:val="center"/>
          </w:tcPr>
          <w:p w14:paraId="61201BA5">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r>
      <w:tr w14:paraId="45AB4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5966E223">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计划管理</w:t>
            </w:r>
          </w:p>
        </w:tc>
        <w:tc>
          <w:tcPr>
            <w:tcW w:w="1418" w:type="dxa"/>
            <w:tcBorders>
              <w:top w:val="single" w:color="auto" w:sz="4" w:space="0"/>
              <w:left w:val="single" w:color="auto" w:sz="4" w:space="0"/>
              <w:bottom w:val="single" w:color="auto" w:sz="4" w:space="0"/>
              <w:right w:val="single" w:color="auto" w:sz="4" w:space="0"/>
            </w:tcBorders>
            <w:vAlign w:val="center"/>
          </w:tcPr>
          <w:p w14:paraId="3F70A6E5">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EE4BB7E">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3F188CE">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3403" w:type="dxa"/>
            <w:tcBorders>
              <w:top w:val="single" w:color="auto" w:sz="4" w:space="0"/>
              <w:left w:val="single" w:color="auto" w:sz="4" w:space="0"/>
              <w:bottom w:val="single" w:color="auto" w:sz="4" w:space="0"/>
              <w:right w:val="single" w:color="auto" w:sz="4" w:space="0"/>
            </w:tcBorders>
            <w:vAlign w:val="center"/>
          </w:tcPr>
          <w:p w14:paraId="47EC65D6">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r>
      <w:tr w14:paraId="17CA3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2D2242D4">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安全管理</w:t>
            </w:r>
          </w:p>
        </w:tc>
        <w:tc>
          <w:tcPr>
            <w:tcW w:w="1418" w:type="dxa"/>
            <w:tcBorders>
              <w:top w:val="single" w:color="auto" w:sz="4" w:space="0"/>
              <w:left w:val="single" w:color="auto" w:sz="4" w:space="0"/>
              <w:bottom w:val="single" w:color="auto" w:sz="4" w:space="0"/>
              <w:right w:val="single" w:color="auto" w:sz="4" w:space="0"/>
            </w:tcBorders>
            <w:vAlign w:val="center"/>
          </w:tcPr>
          <w:p w14:paraId="0028BCB7">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AA07E3E">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FB27DE3">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3403" w:type="dxa"/>
            <w:tcBorders>
              <w:top w:val="single" w:color="auto" w:sz="4" w:space="0"/>
              <w:left w:val="single" w:color="auto" w:sz="4" w:space="0"/>
              <w:bottom w:val="single" w:color="auto" w:sz="4" w:space="0"/>
              <w:right w:val="single" w:color="auto" w:sz="4" w:space="0"/>
            </w:tcBorders>
            <w:vAlign w:val="center"/>
          </w:tcPr>
          <w:p w14:paraId="5E479579">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r>
      <w:tr w14:paraId="5D3F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tcBorders>
              <w:top w:val="single" w:color="auto" w:sz="4" w:space="0"/>
              <w:left w:val="single" w:color="auto" w:sz="4" w:space="0"/>
              <w:bottom w:val="single" w:color="auto" w:sz="4" w:space="0"/>
              <w:right w:val="single" w:color="auto" w:sz="4" w:space="0"/>
            </w:tcBorders>
            <w:vAlign w:val="center"/>
          </w:tcPr>
          <w:p w14:paraId="176C585E">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其他人员</w:t>
            </w:r>
          </w:p>
        </w:tc>
        <w:tc>
          <w:tcPr>
            <w:tcW w:w="1418" w:type="dxa"/>
            <w:tcBorders>
              <w:top w:val="single" w:color="auto" w:sz="4" w:space="0"/>
              <w:left w:val="single" w:color="auto" w:sz="4" w:space="0"/>
              <w:bottom w:val="single" w:color="auto" w:sz="4" w:space="0"/>
              <w:right w:val="single" w:color="auto" w:sz="4" w:space="0"/>
            </w:tcBorders>
            <w:vAlign w:val="center"/>
          </w:tcPr>
          <w:p w14:paraId="38F264DC">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7FB6C85">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3BB1240">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3403" w:type="dxa"/>
            <w:tcBorders>
              <w:top w:val="single" w:color="auto" w:sz="4" w:space="0"/>
              <w:left w:val="single" w:color="auto" w:sz="4" w:space="0"/>
              <w:bottom w:val="single" w:color="auto" w:sz="4" w:space="0"/>
              <w:right w:val="single" w:color="auto" w:sz="4" w:space="0"/>
            </w:tcBorders>
            <w:vAlign w:val="center"/>
          </w:tcPr>
          <w:p w14:paraId="41DCD9DA">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r>
      <w:tr w14:paraId="499CA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vAlign w:val="center"/>
          </w:tcPr>
          <w:p w14:paraId="2B1A5EB8">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635B4431">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4BC12CD">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94E714F">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3403" w:type="dxa"/>
            <w:tcBorders>
              <w:top w:val="single" w:color="auto" w:sz="4" w:space="0"/>
              <w:left w:val="single" w:color="auto" w:sz="4" w:space="0"/>
              <w:bottom w:val="single" w:color="auto" w:sz="4" w:space="0"/>
              <w:right w:val="single" w:color="auto" w:sz="4" w:space="0"/>
            </w:tcBorders>
            <w:vAlign w:val="center"/>
          </w:tcPr>
          <w:p w14:paraId="7DE112DE">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r>
      <w:tr w14:paraId="3F85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vAlign w:val="center"/>
          </w:tcPr>
          <w:p w14:paraId="23385A53">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12FDE54F">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23590E0">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690B584">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3403" w:type="dxa"/>
            <w:tcBorders>
              <w:top w:val="single" w:color="auto" w:sz="4" w:space="0"/>
              <w:left w:val="single" w:color="auto" w:sz="4" w:space="0"/>
              <w:bottom w:val="single" w:color="auto" w:sz="4" w:space="0"/>
              <w:right w:val="single" w:color="auto" w:sz="4" w:space="0"/>
            </w:tcBorders>
            <w:vAlign w:val="center"/>
          </w:tcPr>
          <w:p w14:paraId="5211DFC3">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r>
      <w:tr w14:paraId="3AB5E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7" w:hRule="atLeast"/>
          <w:jc w:val="center"/>
        </w:trPr>
        <w:tc>
          <w:tcPr>
            <w:tcW w:w="1871" w:type="dxa"/>
            <w:vMerge w:val="continue"/>
            <w:tcBorders>
              <w:top w:val="single" w:color="auto" w:sz="4" w:space="0"/>
              <w:left w:val="single" w:color="auto" w:sz="4" w:space="0"/>
              <w:bottom w:val="single" w:color="auto" w:sz="4" w:space="0"/>
              <w:right w:val="single" w:color="auto" w:sz="4" w:space="0"/>
            </w:tcBorders>
            <w:vAlign w:val="center"/>
          </w:tcPr>
          <w:p w14:paraId="42812174">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63437B4C">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F6A3AF8">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5C1876F">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3403" w:type="dxa"/>
            <w:tcBorders>
              <w:top w:val="single" w:color="auto" w:sz="4" w:space="0"/>
              <w:left w:val="single" w:color="auto" w:sz="4" w:space="0"/>
              <w:bottom w:val="single" w:color="auto" w:sz="4" w:space="0"/>
              <w:right w:val="single" w:color="auto" w:sz="4" w:space="0"/>
            </w:tcBorders>
            <w:vAlign w:val="center"/>
          </w:tcPr>
          <w:p w14:paraId="1506DDEF">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r>
      <w:tr w14:paraId="569C9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 w:hRule="atLeast"/>
          <w:jc w:val="center"/>
        </w:trPr>
        <w:tc>
          <w:tcPr>
            <w:tcW w:w="1871" w:type="dxa"/>
            <w:vMerge w:val="continue"/>
            <w:tcBorders>
              <w:top w:val="single" w:color="auto" w:sz="4" w:space="0"/>
              <w:left w:val="single" w:color="auto" w:sz="4" w:space="0"/>
              <w:bottom w:val="single" w:color="auto" w:sz="4" w:space="0"/>
              <w:right w:val="single" w:color="auto" w:sz="4" w:space="0"/>
            </w:tcBorders>
            <w:vAlign w:val="center"/>
          </w:tcPr>
          <w:p w14:paraId="66A62F03">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482F5289">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761B1AF">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EF1DC91">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3403" w:type="dxa"/>
            <w:tcBorders>
              <w:top w:val="single" w:color="auto" w:sz="4" w:space="0"/>
              <w:left w:val="single" w:color="auto" w:sz="4" w:space="0"/>
              <w:bottom w:val="single" w:color="auto" w:sz="4" w:space="0"/>
              <w:right w:val="single" w:color="auto" w:sz="4" w:space="0"/>
            </w:tcBorders>
            <w:vAlign w:val="center"/>
          </w:tcPr>
          <w:p w14:paraId="111F71C1">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tc>
      </w:tr>
    </w:tbl>
    <w:p w14:paraId="4B23318B">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747" w:name="_Toc267261701"/>
      <w:r>
        <w:rPr>
          <w:rFonts w:hint="eastAsia" w:ascii="宋体" w:hAnsi="宋体" w:eastAsia="宋体" w:cs="宋体"/>
          <w:color w:val="auto"/>
          <w:sz w:val="24"/>
          <w:szCs w:val="24"/>
          <w:highlight w:val="none"/>
        </w:rPr>
        <w:t>附</w:t>
      </w:r>
      <w:bookmarkStart w:id="748" w:name="_Toc296891271"/>
      <w:bookmarkStart w:id="749" w:name="_Toc296891059"/>
      <w:bookmarkStart w:id="750" w:name="_Toc296346732"/>
      <w:bookmarkStart w:id="751" w:name="_Toc296347230"/>
      <w:bookmarkStart w:id="752" w:name="_Toc296944570"/>
      <w:bookmarkStart w:id="753" w:name="_Toc296503231"/>
      <w:r>
        <w:rPr>
          <w:rFonts w:hint="eastAsia" w:ascii="宋体" w:hAnsi="宋体" w:eastAsia="宋体" w:cs="宋体"/>
          <w:color w:val="auto"/>
          <w:sz w:val="24"/>
          <w:szCs w:val="24"/>
          <w:highlight w:val="none"/>
        </w:rPr>
        <w:t>件4：</w:t>
      </w:r>
    </w:p>
    <w:bookmarkEnd w:id="747"/>
    <w:bookmarkEnd w:id="748"/>
    <w:bookmarkEnd w:id="749"/>
    <w:bookmarkEnd w:id="750"/>
    <w:bookmarkEnd w:id="751"/>
    <w:bookmarkEnd w:id="752"/>
    <w:bookmarkEnd w:id="753"/>
    <w:p w14:paraId="296E9D52">
      <w:pPr>
        <w:kinsoku w:val="0"/>
        <w:autoSpaceDE w:val="0"/>
        <w:autoSpaceDN w:val="0"/>
        <w:adjustRightInd w:val="0"/>
        <w:snapToGrid w:val="0"/>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履约担保</w:t>
      </w:r>
    </w:p>
    <w:p w14:paraId="1C634549">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（发包人名称）：</w:t>
      </w:r>
    </w:p>
    <w:p w14:paraId="07B10047">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p w14:paraId="4591834B">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鉴于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（发包人名称，以下简称“发包人”）与</w:t>
      </w:r>
    </w:p>
    <w:p w14:paraId="4B1EA8AC">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（承包人名称）（以下称“承包人”）于    年  月  日就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（工程名称）施工及有关事项协商一致共同签订《建设工程施工合同》。我方愿意无条件地、不可撤销地就承包人履行与你方签订的合同，向你方提供连带责任担保。</w:t>
      </w:r>
    </w:p>
    <w:p w14:paraId="2E03D9B8">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担保金额人民币（大写）        元（¥        ）。</w:t>
      </w:r>
    </w:p>
    <w:p w14:paraId="53FBABAC">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担保有效期自你方与承包人签订的合同生效之日起至你方签发或应签发工程接收证书之日止。</w:t>
      </w:r>
    </w:p>
    <w:p w14:paraId="0CF40174">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在本担保有效期内，因承包人违反合同约定的义务给你方造成经济损失时，我方在收到你方以书面形式提出的在担保金额内的赔偿要求后，在7天内无条件支付。</w:t>
      </w:r>
    </w:p>
    <w:p w14:paraId="70F6675E">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你方和承包人按合同约定变更合同时，我方承担本担保规定的义务不变。</w:t>
      </w:r>
    </w:p>
    <w:p w14:paraId="30CEDA6A">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因本保函发生的纠纷，可由双方协商解决，协商不成的，按下列第    种方式解决：</w:t>
      </w:r>
    </w:p>
    <w:p w14:paraId="6334A15E">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（1）向                     仲裁委员会申请仲裁；</w:t>
      </w:r>
    </w:p>
    <w:p w14:paraId="6DE3F81A">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（2）向                     人民法院起诉。</w:t>
      </w:r>
    </w:p>
    <w:p w14:paraId="30A57B00">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本保函自我方法定代表人（或其委托代理人）签字并加盖公章之日起生效。</w:t>
      </w:r>
    </w:p>
    <w:p w14:paraId="3842699C">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 保 人：                           （盖单位章）</w:t>
      </w:r>
    </w:p>
    <w:p w14:paraId="37A309DB">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               （签字）</w:t>
      </w:r>
    </w:p>
    <w:p w14:paraId="721D7206">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    址：                                      </w:t>
      </w:r>
    </w:p>
    <w:p w14:paraId="34EB7CB2">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邮政编码：                                      </w:t>
      </w:r>
    </w:p>
    <w:p w14:paraId="6A066EE5">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    话：                                      </w:t>
      </w:r>
    </w:p>
    <w:p w14:paraId="268D6F18">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传    真：                                      </w:t>
      </w:r>
    </w:p>
    <w:p w14:paraId="10443173">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0113E73A">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A979C13">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default" w:ascii="宋体" w:hAnsi="宋体" w:cs="宋体"/>
          <w:color w:val="auto"/>
          <w:sz w:val="24"/>
          <w:szCs w:val="24"/>
          <w:highlight w:val="none"/>
        </w:rPr>
        <w:t>5</w:t>
      </w:r>
      <w:r>
        <w:rPr>
          <w:rFonts w:hint="eastAsia" w:ascii="宋体" w:hAnsi="宋体" w:eastAsia="宋体" w:cs="宋体"/>
          <w:color w:val="auto"/>
          <w:sz w:val="24"/>
          <w:szCs w:val="24"/>
          <w:highlight w:val="none"/>
        </w:rPr>
        <w:t>：廉洁从业协议</w:t>
      </w:r>
    </w:p>
    <w:p w14:paraId="447EF61D">
      <w:pPr>
        <w:kinsoku w:val="0"/>
        <w:autoSpaceDE w:val="0"/>
        <w:autoSpaceDN w:val="0"/>
        <w:adjustRightInd w:val="0"/>
        <w:snapToGrid w:val="0"/>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廉洁从业协议</w:t>
      </w:r>
    </w:p>
    <w:p w14:paraId="0F7F8EF6">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合同。</w:t>
      </w:r>
    </w:p>
    <w:p w14:paraId="6FBA5576">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 发包人承包人的权利和义务</w:t>
      </w:r>
    </w:p>
    <w:p w14:paraId="68096583">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（1）严格遵守党的政策规定和国家有关法律法规及相关部门的有关规定。</w:t>
      </w:r>
    </w:p>
    <w:p w14:paraId="7539759B">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（2）严格执行 工程的合同文件，自觉按合同办事。</w:t>
      </w:r>
    </w:p>
    <w:p w14:paraId="7052CA4A">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（3）双方的业务活动坚持公开、公正、诚信、透明的原则（法律认定的商业秘密和合同文件另有规定除外），不得损害国家和集体利益，违反工程建设管理规章制度。</w:t>
      </w:r>
    </w:p>
    <w:p w14:paraId="1A10A002">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（4）建立健全廉政制度，开展廉政教育，设立廉政告示牌，公布举报电话，监督并认真查处违法违纪行为。</w:t>
      </w:r>
    </w:p>
    <w:p w14:paraId="43195319">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（5）发现对方在业务活动中有违反廉政规定的行为，有及时提醒对方纠正的权利和义务。</w:t>
      </w:r>
    </w:p>
    <w:p w14:paraId="0B3D219C">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（6）发现对方严重违反协议义务条款的行为，有向其上级有关部门举报、建议给予处理并要求告知处理结果的权利。</w:t>
      </w:r>
    </w:p>
    <w:p w14:paraId="1417F780">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发包人的义务</w:t>
      </w:r>
    </w:p>
    <w:p w14:paraId="75EECA34">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（1）发包人及其工作人员不得索要或接受承包人的礼金、有价证券和贵重物品，不得在承包人报销任何应由发包人或发包人工作人员个人支付的费用等。</w:t>
      </w:r>
    </w:p>
    <w:p w14:paraId="360043EE">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（2）发包人工作人员不得参加承包人安排的超标准宴请和娱乐活动；不得接受承包人提供的通讯工具、交通工具和高档办公用品等。</w:t>
      </w:r>
    </w:p>
    <w:p w14:paraId="4A52EA2E">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（3）发包人及其工作人员不得要求或者接受承包人为其住房装修、婚丧嫁娶活动、配偶子女的工作安排以及出国出境、旅游等提供方便等。</w:t>
      </w:r>
    </w:p>
    <w:p w14:paraId="6E2945CF">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（4）发包人工作人员及其配偶、子女不得从事与发包人工程有关的材料设备供应、工程分包、劳务等经济活动等。</w:t>
      </w:r>
    </w:p>
    <w:p w14:paraId="6A45FEF4">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（5）发包人及其工作人员不得以任何理由向承包人推荐分包单位或推销材料，不得要求承包人购买合同规定外的材料和设备。</w:t>
      </w:r>
    </w:p>
    <w:p w14:paraId="10109A25">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（6）发包人工作人员要秉公办事，不准营私舞弊，不准利用职权从事各种个人有偿中介活动和安排个人施工队伍。</w:t>
      </w:r>
    </w:p>
    <w:p w14:paraId="640D2534">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承包人义务</w:t>
      </w:r>
    </w:p>
    <w:p w14:paraId="12D3CD57">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（1）承包人不得以任何理由向发包人及其工作人员行贿或馈赠礼金、有价证券、贵重礼品。</w:t>
      </w:r>
    </w:p>
    <w:p w14:paraId="7CECDCCE">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（2）承包人不得以任何名义为发包人及其工作人员报销应由发包人单位或个人支付的任何费用。</w:t>
      </w:r>
    </w:p>
    <w:p w14:paraId="02D54C56">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（3）承包人不得以任何理由安排发包人工作人员参加超标准宴请及娱乐活动。</w:t>
      </w:r>
    </w:p>
    <w:p w14:paraId="1DCED6A4">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（4）承包人不得为发包人单位和个人购置或提供通讯工具、交通工具和高档办公用品等。</w:t>
      </w:r>
    </w:p>
    <w:p w14:paraId="0F069874">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违约责任</w:t>
      </w:r>
    </w:p>
    <w:p w14:paraId="774F41C8">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（1）发包人及其工作人员违反合同第1、2条，按管理权限，依据有关规定给予党纪、政纪或组织处理；涉嫌犯罪的，移交司法机关追究刑事责任；给承包人单位造成经济损失的，应予以赔偿。</w:t>
      </w:r>
    </w:p>
    <w:p w14:paraId="02E23CEB">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（2）承包人及其工作人员违反合同第1、3条，按管理权限，依据有关规定给予党纪、政纪或组织处理；给发包人单位造成经济损失的，应予以赔偿。</w:t>
      </w:r>
    </w:p>
    <w:p w14:paraId="13BD8344">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14:paraId="7B4C35C0">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协议有效期为甲乙双方签署之日起至该工程项目竣工验收后止。</w:t>
      </w:r>
    </w:p>
    <w:p w14:paraId="0BF685EF">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7.协议作为 工程施工合同的附件，与工程施工合同具有同等的法律效力，经合同双方签署立即生效。</w:t>
      </w:r>
    </w:p>
    <w:p w14:paraId="07EF26B9">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p>
    <w:p w14:paraId="33D1BCA8">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     方：                         乙     方：</w:t>
      </w:r>
    </w:p>
    <w:p w14:paraId="63A5FF75">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                          法定代表人                      </w:t>
      </w:r>
    </w:p>
    <w:p w14:paraId="2B6E811A">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或其授权的代理人：                  或授权的代理人：</w:t>
      </w:r>
    </w:p>
    <w:p w14:paraId="34CC1D9E">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附件</w:t>
      </w:r>
      <w:r>
        <w:rPr>
          <w:rFonts w:hint="default" w:ascii="宋体" w:hAnsi="宋体" w:cs="宋体"/>
          <w:color w:val="auto"/>
          <w:sz w:val="24"/>
          <w:szCs w:val="24"/>
          <w:highlight w:val="none"/>
        </w:rPr>
        <w:t>6</w:t>
      </w:r>
      <w:r>
        <w:rPr>
          <w:rFonts w:hint="eastAsia" w:ascii="宋体" w:hAnsi="宋体" w:eastAsia="宋体" w:cs="宋体"/>
          <w:color w:val="auto"/>
          <w:sz w:val="24"/>
          <w:szCs w:val="24"/>
          <w:highlight w:val="none"/>
        </w:rPr>
        <w:t>：安全管理协议</w:t>
      </w:r>
    </w:p>
    <w:p w14:paraId="52CA47E7">
      <w:pPr>
        <w:kinsoku w:val="0"/>
        <w:autoSpaceDE w:val="0"/>
        <w:autoSpaceDN w:val="0"/>
        <w:adjustRightInd w:val="0"/>
        <w:snapToGrid w:val="0"/>
        <w:spacing w:line="360" w:lineRule="auto"/>
        <w:ind w:firstLine="480" w:firstLineChars="200"/>
        <w:jc w:val="center"/>
        <w:rPr>
          <w:rFonts w:hint="eastAsia" w:ascii="宋体" w:hAnsi="宋体" w:eastAsia="宋体" w:cs="宋体"/>
          <w:color w:val="auto"/>
          <w:sz w:val="24"/>
          <w:szCs w:val="24"/>
          <w:highlight w:val="none"/>
        </w:rPr>
      </w:pPr>
      <w:bookmarkStart w:id="754" w:name="_Toc239510288"/>
      <w:bookmarkStart w:id="755" w:name="_Toc435690184"/>
      <w:bookmarkStart w:id="756" w:name="_Toc448406299"/>
      <w:bookmarkStart w:id="757" w:name="_Toc247431422"/>
      <w:bookmarkStart w:id="758" w:name="_Toc336680145"/>
      <w:bookmarkStart w:id="759" w:name="_Toc435689499"/>
      <w:r>
        <w:rPr>
          <w:rFonts w:hint="eastAsia" w:ascii="宋体" w:hAnsi="宋体" w:eastAsia="宋体" w:cs="宋体"/>
          <w:color w:val="auto"/>
          <w:sz w:val="24"/>
          <w:szCs w:val="24"/>
          <w:highlight w:val="none"/>
        </w:rPr>
        <w:t>安全管理协议</w:t>
      </w:r>
      <w:bookmarkEnd w:id="754"/>
      <w:bookmarkEnd w:id="755"/>
      <w:bookmarkEnd w:id="756"/>
      <w:bookmarkEnd w:id="757"/>
      <w:bookmarkEnd w:id="758"/>
      <w:bookmarkEnd w:id="759"/>
    </w:p>
    <w:p w14:paraId="06E89BFF">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为了确保实现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安全生产目标，进一步明确双方的安全管理责任，加强安全生产管理工作的协调、管理力度，</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（以下简称“发包人”）与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0A956C33">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bookmarkStart w:id="760" w:name="_Toc247418263"/>
      <w:bookmarkStart w:id="761" w:name="_Toc239510289"/>
      <w:bookmarkStart w:id="762" w:name="_Toc532375700"/>
      <w:bookmarkStart w:id="763" w:name="_Toc247431423"/>
      <w:r>
        <w:rPr>
          <w:rFonts w:hint="eastAsia" w:ascii="宋体" w:hAnsi="宋体" w:eastAsia="宋体" w:cs="宋体"/>
          <w:color w:val="auto"/>
          <w:sz w:val="24"/>
          <w:szCs w:val="24"/>
          <w:highlight w:val="none"/>
        </w:rPr>
        <w:t>一、协议有效期限</w:t>
      </w:r>
      <w:bookmarkEnd w:id="760"/>
      <w:bookmarkEnd w:id="761"/>
      <w:bookmarkEnd w:id="762"/>
      <w:bookmarkEnd w:id="763"/>
    </w:p>
    <w:p w14:paraId="5073E4F4">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本协议中所涉及的安全管理责任自合同签订之日起开始生效，至合同工程全部完工验收且经发包人与承包人签订移交协议生效之日终止。</w:t>
      </w:r>
    </w:p>
    <w:p w14:paraId="0DE273FA">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bookmarkStart w:id="764" w:name="_Toc532375701"/>
      <w:bookmarkStart w:id="765" w:name="_Toc239510290"/>
      <w:bookmarkStart w:id="766" w:name="_Toc247418264"/>
      <w:bookmarkStart w:id="767" w:name="_Toc247431424"/>
      <w:r>
        <w:rPr>
          <w:rFonts w:hint="eastAsia" w:ascii="宋体" w:hAnsi="宋体" w:eastAsia="宋体" w:cs="宋体"/>
          <w:color w:val="auto"/>
          <w:sz w:val="24"/>
          <w:szCs w:val="24"/>
          <w:highlight w:val="none"/>
        </w:rPr>
        <w:t>二、责任目标</w:t>
      </w:r>
      <w:bookmarkEnd w:id="764"/>
      <w:bookmarkEnd w:id="765"/>
      <w:bookmarkEnd w:id="766"/>
      <w:bookmarkEnd w:id="767"/>
    </w:p>
    <w:p w14:paraId="1CB47B80">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（一）承包人承诺承担和履行合同和发包人所规定的安全责任，且满足要求。</w:t>
      </w:r>
    </w:p>
    <w:p w14:paraId="36AB7965">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（二）承包人的安全控制目标是确保本工程在实施过程中：</w:t>
      </w:r>
    </w:p>
    <w:p w14:paraId="3A37F607">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1．不发生人身重伤事故；</w:t>
      </w:r>
    </w:p>
    <w:p w14:paraId="12EC0EDF">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2．不发生火灾事故；</w:t>
      </w:r>
    </w:p>
    <w:p w14:paraId="7FDCF43F">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3．不发生负有同等及以上事故责任的造成人身重伤的一般交通事故；</w:t>
      </w:r>
    </w:p>
    <w:p w14:paraId="0C58FE21">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4．不发生集体食物中毒事件（同时5人及以上的食物中毒）；</w:t>
      </w:r>
    </w:p>
    <w:p w14:paraId="00677DD6">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5．不发生流行性传染病 （无甲型传染病、其他常见传染病未形成多人同时患病）</w:t>
      </w:r>
    </w:p>
    <w:p w14:paraId="4A722BDE">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6．不发生重大环境污染事件（生活、工业垃圾及其他污染物造成环境污染和大面积水土流失）；</w:t>
      </w:r>
    </w:p>
    <w:p w14:paraId="3CDBF6BC">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7．不发生对施工区附近生产、生活造成重大影响的事件（如造成重大设备损坏、重大财产损失、人员伤害等）；</w:t>
      </w:r>
    </w:p>
    <w:p w14:paraId="563C3B49">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8．不发生治安保卫事件（构成刑事拘留及以上的事件、盗窃直接损失超过1万元人民币的事件）。</w:t>
      </w:r>
    </w:p>
    <w:p w14:paraId="760D7774">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bookmarkStart w:id="768" w:name="_Toc239510291"/>
      <w:bookmarkStart w:id="769" w:name="_Toc247418265"/>
      <w:bookmarkStart w:id="770" w:name="_Toc247431425"/>
      <w:r>
        <w:rPr>
          <w:rFonts w:hint="eastAsia" w:ascii="宋体" w:hAnsi="宋体" w:eastAsia="宋体" w:cs="宋体"/>
          <w:color w:val="auto"/>
          <w:sz w:val="24"/>
          <w:szCs w:val="24"/>
          <w:highlight w:val="none"/>
        </w:rPr>
        <w:t>（三）承包人承诺在施工中控制以下安全事故的发生：</w:t>
      </w:r>
      <w:bookmarkEnd w:id="768"/>
      <w:bookmarkEnd w:id="769"/>
      <w:bookmarkEnd w:id="770"/>
    </w:p>
    <w:p w14:paraId="7A62DF4E">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1．人员轻伤事故。</w:t>
      </w:r>
    </w:p>
    <w:p w14:paraId="4963BD24">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2．负有同等及以上事故责任的人身轻伤交通事故。</w:t>
      </w:r>
    </w:p>
    <w:p w14:paraId="78B735BD">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3．其他安全未遂事故和异常事件。</w:t>
      </w:r>
    </w:p>
    <w:p w14:paraId="7DA7880F">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bookmarkStart w:id="771" w:name="_Toc532375702"/>
      <w:bookmarkStart w:id="772" w:name="_Toc247431426"/>
      <w:bookmarkStart w:id="773" w:name="_Toc247418266"/>
      <w:bookmarkStart w:id="774" w:name="_Toc239510292"/>
      <w:r>
        <w:rPr>
          <w:rFonts w:hint="eastAsia" w:ascii="宋体" w:hAnsi="宋体" w:eastAsia="宋体" w:cs="宋体"/>
          <w:color w:val="auto"/>
          <w:sz w:val="24"/>
          <w:szCs w:val="24"/>
          <w:highlight w:val="none"/>
        </w:rPr>
        <w:t>三、安全责任</w:t>
      </w:r>
      <w:bookmarkEnd w:id="771"/>
      <w:bookmarkEnd w:id="772"/>
      <w:bookmarkEnd w:id="773"/>
      <w:bookmarkEnd w:id="774"/>
    </w:p>
    <w:p w14:paraId="6EA38B80">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1．承包人负有安全生产的管理责任和直接责任。</w:t>
      </w:r>
    </w:p>
    <w:p w14:paraId="3E423D5F">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2．承包人的法人或签署合同的公司总经理或受委托的代理人对合同安全负有全面的领导责任。</w:t>
      </w:r>
    </w:p>
    <w:p w14:paraId="6B723FF2">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3．承包人项目经理对施工现场的安全工作负有全面的直接领导责任。</w:t>
      </w:r>
    </w:p>
    <w:p w14:paraId="3C228239">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4．承包人保证执行“谁施工、谁负责”的施工安全原则。</w:t>
      </w:r>
    </w:p>
    <w:p w14:paraId="25D433F4">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5．承包人保证服从发包人对安全工作的统一协调和管理。</w:t>
      </w:r>
    </w:p>
    <w:p w14:paraId="24B9B6DF">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6．承包人保证对本工程项目安全生产条件及其管理资源自行投入，保证安全资金的专款专用。</w:t>
      </w:r>
    </w:p>
    <w:p w14:paraId="2575D012">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7．承包人保证建立本工程项目的安全管理体系及安全保证体系（注：项目安全管理大纲/手册、管理性的程序文件等）。</w:t>
      </w:r>
    </w:p>
    <w:p w14:paraId="1A79D21B">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8．承包人保证现场的安全管理专职人员必须持有建设主管部门安全生产培训考核合格证书。</w:t>
      </w:r>
    </w:p>
    <w:p w14:paraId="2F04881A">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9．承包人保证为现场所有工作人员（含分包商员工及劳务人员）配备符合国家标准的有承包人和/或其下属分包商标志的个人基本劳动保护用品。</w:t>
      </w:r>
    </w:p>
    <w:p w14:paraId="257296FA">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10．承包人保证按照国家法律规定为现场所有工作人员（含分包商员工及劳务人员）购买意外伤害保险。</w:t>
      </w:r>
    </w:p>
    <w:p w14:paraId="28C045C3">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11．承包人保证施工生活营地（包括自建的和租用的营地）满足消防、安全用电、卫生防疫、防暴雨、防雷击等方面的安全要求。</w:t>
      </w:r>
    </w:p>
    <w:p w14:paraId="33D690FB">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12．承包人保证对带入现场的设备、工具、材料按照国家法规和标准进行检测、试验，并持有法定部门出具的检验证书。</w:t>
      </w:r>
    </w:p>
    <w:p w14:paraId="08CD969A">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13．承包人保证制订施工现场的文明施工措施，保护环境、树木和植被，保持施工现场的良好秩序和整洁的作业环境。</w:t>
      </w:r>
    </w:p>
    <w:p w14:paraId="6DDA5B8A">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14．承包人负责在施工过程中与当地政府、周边群众及其他承包商保持良好的沟通和交流。承包人遇到与周边群众发生纠纷时，应负责协调工作，确保工程能够顺利进行。</w:t>
      </w:r>
    </w:p>
    <w:p w14:paraId="7FD63356">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bookmarkStart w:id="775" w:name="_Toc239510293"/>
      <w:bookmarkStart w:id="776" w:name="_Toc532375703"/>
      <w:bookmarkStart w:id="777" w:name="_Toc247418267"/>
      <w:bookmarkStart w:id="778" w:name="_Toc247431427"/>
      <w:r>
        <w:rPr>
          <w:rFonts w:hint="eastAsia" w:ascii="宋体" w:hAnsi="宋体" w:eastAsia="宋体" w:cs="宋体"/>
          <w:color w:val="auto"/>
          <w:sz w:val="24"/>
          <w:szCs w:val="24"/>
          <w:highlight w:val="none"/>
        </w:rPr>
        <w:t>四、接口及协调</w:t>
      </w:r>
      <w:bookmarkEnd w:id="775"/>
      <w:bookmarkEnd w:id="776"/>
      <w:bookmarkEnd w:id="777"/>
      <w:bookmarkEnd w:id="778"/>
    </w:p>
    <w:p w14:paraId="378E90C9">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1．发包人委托监理（如有）公司对该工程实施监理（如有），监理（如有）公司在安全管理方面代表发包人行使监督检查职能，承包人必须给予配合和支持。</w:t>
      </w:r>
    </w:p>
    <w:p w14:paraId="49154B1B">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2．承包人人员、车辆的出入，带入现场的设备、机具、材料，在现场使用的或直接管理的办公、生活、生产性设施的安全管理须满足发包人现场管理的基本要求。</w:t>
      </w:r>
    </w:p>
    <w:p w14:paraId="5DA2792E">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应指定专职安全管理人员与发包人委托的监理（如有）公司接口，参与安全协调和管理。安全协调和管理的内容包括职业健康、工业安全、消防安全、卫生防疫、交通安全、环境保护、治安保卫等各方面。</w:t>
      </w:r>
    </w:p>
    <w:p w14:paraId="3524470F">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包人的专职安全管理人员应具备协调安全工作的能力和授权。发包人委托的监理（如有）公司有权对专职安全管理人员的能力和权力做出评价，对于不能胜任的专职安全管理人员，发包人委托的监理（如有）公司有权要求承包人换人。</w:t>
      </w:r>
    </w:p>
    <w:p w14:paraId="24D8C3AA">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5．承包人指定的专职安全管理人员应与发包人委托的监理（如有）公司建立联系，在业务上接受发包人委托的监理（如有）公司的协调和指导。</w:t>
      </w:r>
    </w:p>
    <w:p w14:paraId="74B4204C">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6．开工后承包人的专职安全管理人员应按照发包人委托的监理（如有）公司的规定，定期报送安全月度快报、季报、年报和各种专项事故报告等。</w:t>
      </w:r>
    </w:p>
    <w:p w14:paraId="7BF5D665">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7．在工程实体未全部正式移交发包人施工管理部门之前，承包人依旧对施工范围内的安全管理负责。</w:t>
      </w:r>
    </w:p>
    <w:p w14:paraId="2383A389">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bookmarkStart w:id="779" w:name="_Toc247431428"/>
      <w:bookmarkStart w:id="780" w:name="_Toc532375704"/>
      <w:bookmarkStart w:id="781" w:name="_Toc239510294"/>
      <w:bookmarkStart w:id="782" w:name="_Toc247418268"/>
      <w:r>
        <w:rPr>
          <w:rFonts w:hint="eastAsia" w:ascii="宋体" w:hAnsi="宋体" w:eastAsia="宋体" w:cs="宋体"/>
          <w:color w:val="auto"/>
          <w:sz w:val="24"/>
          <w:szCs w:val="24"/>
          <w:highlight w:val="none"/>
        </w:rPr>
        <w:t>五、安全资质审查</w:t>
      </w:r>
      <w:bookmarkEnd w:id="779"/>
      <w:bookmarkEnd w:id="780"/>
      <w:bookmarkEnd w:id="781"/>
      <w:bookmarkEnd w:id="782"/>
    </w:p>
    <w:p w14:paraId="37FC41BE">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承包人在项目开工前5个工作天内向发包人委托的监理（如有）公司提供以下安全资质供审查和存档：</w:t>
      </w:r>
    </w:p>
    <w:p w14:paraId="7A83B38B">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1．企业安全生产许可证书复印件。</w:t>
      </w:r>
    </w:p>
    <w:p w14:paraId="595CCDA5">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2．企业近三年的施工简历及安全施工业绩证明文件。</w:t>
      </w:r>
    </w:p>
    <w:p w14:paraId="7967DBEF">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3．企业主要安全管理人员（包括项目经理、专职安全管理人员）经建设主管部门安全生产知识考核合格证书。</w:t>
      </w:r>
    </w:p>
    <w:p w14:paraId="7531A2C7">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4．特种作业人员资格证书。</w:t>
      </w:r>
    </w:p>
    <w:p w14:paraId="48C96887">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5．项目安全管理机构及其人员配备（承包人必须配有专职的安全员）。</w:t>
      </w:r>
    </w:p>
    <w:p w14:paraId="103CCD07">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6．适用于项目的安全管理体系及保证体系文件（安全管理大纲及管理程序文件）</w:t>
      </w:r>
    </w:p>
    <w:p w14:paraId="45C94211">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bookmarkStart w:id="783" w:name="_Toc239510295"/>
      <w:bookmarkStart w:id="784" w:name="_Toc532375705"/>
      <w:bookmarkStart w:id="785" w:name="_Toc247431429"/>
      <w:bookmarkStart w:id="786" w:name="_Toc247418269"/>
      <w:r>
        <w:rPr>
          <w:rFonts w:hint="eastAsia" w:ascii="宋体" w:hAnsi="宋体" w:eastAsia="宋体" w:cs="宋体"/>
          <w:color w:val="auto"/>
          <w:sz w:val="24"/>
          <w:szCs w:val="24"/>
          <w:highlight w:val="none"/>
        </w:rPr>
        <w:t>六、人员基本素质</w:t>
      </w:r>
      <w:bookmarkEnd w:id="783"/>
      <w:bookmarkEnd w:id="784"/>
      <w:bookmarkEnd w:id="785"/>
      <w:bookmarkEnd w:id="786"/>
    </w:p>
    <w:p w14:paraId="205B25E5">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承包人提供的人员必须满足下列要求:</w:t>
      </w:r>
    </w:p>
    <w:p w14:paraId="4C664CA8">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1．身体健康，无影响工作的精神疾病、无传染病和其他重大疾病；承包人需对其雇用的施工人员签发健康声明并保证其健康。其中体检证明材料（县级以上医院）和健康声明作为人员办理入场证件的必备材料。</w:t>
      </w:r>
    </w:p>
    <w:p w14:paraId="40030127">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2．无刑事案件牵连。</w:t>
      </w:r>
    </w:p>
    <w:p w14:paraId="74F1CD46">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3．无吸毒、酗酒、赌博、嫖娼等恶习及违法行为。</w:t>
      </w:r>
    </w:p>
    <w:p w14:paraId="587A8434">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bookmarkStart w:id="787" w:name="_Toc532375706"/>
      <w:bookmarkStart w:id="788" w:name="_Toc247431430"/>
      <w:bookmarkStart w:id="789" w:name="_Toc247418270"/>
      <w:bookmarkStart w:id="790" w:name="_Toc239510296"/>
      <w:r>
        <w:rPr>
          <w:rFonts w:hint="eastAsia" w:ascii="宋体" w:hAnsi="宋体" w:eastAsia="宋体" w:cs="宋体"/>
          <w:color w:val="auto"/>
          <w:sz w:val="24"/>
          <w:szCs w:val="24"/>
          <w:highlight w:val="none"/>
        </w:rPr>
        <w:t>七、劳动保护</w:t>
      </w:r>
      <w:bookmarkEnd w:id="787"/>
      <w:bookmarkEnd w:id="788"/>
      <w:bookmarkEnd w:id="789"/>
      <w:bookmarkEnd w:id="790"/>
    </w:p>
    <w:p w14:paraId="453AD65C">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1．承包人负责为本单位任何用工形式的员工提供个人劳动保护用品（包括工作服、安全帽、安全鞋等）。</w:t>
      </w:r>
    </w:p>
    <w:p w14:paraId="2B1CA529">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2．承包人负责向特殊工种的员工提供特殊劳动保护，否则不得从事特殊工种作业。</w:t>
      </w:r>
    </w:p>
    <w:p w14:paraId="13B34661">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3．发包人委托的监理（如有）公司有权检查承包人的个人劳动保护用品是否符合国家的相应标准。</w:t>
      </w:r>
    </w:p>
    <w:p w14:paraId="7AC02E87">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承包人在特殊风险场所作业而需要特殊防护用品或安全仪表时，必须在上述防护用品全部到位后才能开工。</w:t>
      </w:r>
    </w:p>
    <w:p w14:paraId="74B9D6F2">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5．承包人应配备临时安全围栏、警示带、警告标志、防火布等集体防护用品。</w:t>
      </w:r>
    </w:p>
    <w:p w14:paraId="137BCBE2">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bookmarkStart w:id="791" w:name="_Toc247418271"/>
      <w:bookmarkStart w:id="792" w:name="_Toc239510297"/>
      <w:bookmarkStart w:id="793" w:name="_Toc247431431"/>
      <w:bookmarkStart w:id="794" w:name="_Toc532375707"/>
      <w:r>
        <w:rPr>
          <w:rFonts w:hint="eastAsia" w:ascii="宋体" w:hAnsi="宋体" w:eastAsia="宋体" w:cs="宋体"/>
          <w:color w:val="auto"/>
          <w:sz w:val="24"/>
          <w:szCs w:val="24"/>
          <w:highlight w:val="none"/>
        </w:rPr>
        <w:t>八、施工机具与材料</w:t>
      </w:r>
      <w:bookmarkEnd w:id="791"/>
      <w:bookmarkEnd w:id="792"/>
      <w:bookmarkEnd w:id="793"/>
      <w:bookmarkEnd w:id="794"/>
    </w:p>
    <w:p w14:paraId="7DBF0088">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1．承包人对带入现场的施工机械和工器具的安全负责。</w:t>
      </w:r>
    </w:p>
    <w:p w14:paraId="7082010E">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2．对于承包人带入现场的特殊工器具，如起重设备、索具、机动车辆、压缩气瓶等，承包人必须按国家法规和标准进行检测、试验，并持有法定部门出具的检验证书。</w:t>
      </w:r>
    </w:p>
    <w:p w14:paraId="29C2BFEC">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3．对于不属于法定检测的工器具，承包人也必须建立相应的管理、检测制度，这些工器具包括登高工具、脚手架材料、电动工具、安全防护设备及用具等。</w:t>
      </w:r>
    </w:p>
    <w:p w14:paraId="7B7B0AC2">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bookmarkStart w:id="795" w:name="_Toc247418272"/>
      <w:bookmarkStart w:id="796" w:name="_Toc532375708"/>
      <w:bookmarkStart w:id="797" w:name="_Toc239510298"/>
      <w:bookmarkStart w:id="798" w:name="_Toc247431432"/>
      <w:r>
        <w:rPr>
          <w:rFonts w:hint="eastAsia" w:ascii="宋体" w:hAnsi="宋体" w:eastAsia="宋体" w:cs="宋体"/>
          <w:color w:val="auto"/>
          <w:sz w:val="24"/>
          <w:szCs w:val="24"/>
          <w:highlight w:val="none"/>
        </w:rPr>
        <w:t>九、开工前安全条件检查</w:t>
      </w:r>
      <w:bookmarkEnd w:id="795"/>
      <w:bookmarkEnd w:id="796"/>
      <w:bookmarkEnd w:id="797"/>
      <w:bookmarkEnd w:id="798"/>
    </w:p>
    <w:p w14:paraId="58BED269">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委托的监理（如有）公司将在合同生效后，工程项目正式开工5个工作日前，依据合同安全条款的要求逐项对承包人安全准备情况进行检查。不满足开工安全条件时，承包人将不得开工，由此产生的工期和成本的影响，由承包人自行负责。</w:t>
      </w:r>
    </w:p>
    <w:p w14:paraId="3D875121">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6FB17742">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包人委托的监理（如有）公司检查发现的缺陷，承包人应在规定期限内完成整改。对于重大缺陷，发包人委托的监理（如有）公司有权要求承包人推迟开工，由此对工期产生的影响或经济损失，由承包人承担。</w:t>
      </w:r>
    </w:p>
    <w:p w14:paraId="4B9798E7">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bookmarkStart w:id="799" w:name="_Toc247418273"/>
      <w:bookmarkStart w:id="800" w:name="_Toc532375709"/>
      <w:bookmarkStart w:id="801" w:name="_Toc247431433"/>
      <w:bookmarkStart w:id="802" w:name="_Toc239510299"/>
      <w:r>
        <w:rPr>
          <w:rFonts w:hint="eastAsia" w:ascii="宋体" w:hAnsi="宋体" w:eastAsia="宋体" w:cs="宋体"/>
          <w:color w:val="auto"/>
          <w:sz w:val="24"/>
          <w:szCs w:val="24"/>
          <w:highlight w:val="none"/>
        </w:rPr>
        <w:t>十、安全监督</w:t>
      </w:r>
      <w:bookmarkEnd w:id="799"/>
      <w:bookmarkEnd w:id="800"/>
      <w:bookmarkEnd w:id="801"/>
      <w:bookmarkEnd w:id="802"/>
    </w:p>
    <w:p w14:paraId="58CC4136">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1．承包人应配备有满足项目安全管理需要的专职安全管理人员。</w:t>
      </w:r>
    </w:p>
    <w:p w14:paraId="0BC4D354">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2．承包人的专职安全管理人员必须持建设主管部门颁发的安全生产知识考核合格证书。</w:t>
      </w:r>
    </w:p>
    <w:p w14:paraId="545A475D">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3．承包人的专职安全管理人员在业务上接受发包人委托的监理（如有）公司和发包人安全管理部门的协调和指导。</w:t>
      </w:r>
    </w:p>
    <w:p w14:paraId="16F0BB67">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4．承包人应建立班前安全交底制度；施工期间坚持开展安全检查和日常安全监督并形成相应的记录。</w:t>
      </w:r>
    </w:p>
    <w:p w14:paraId="4483BF5A">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5．承包人应在每个作业区任命兼职安全员，赋予兼职安全员相应的授权和义务，并对兼职安全员进行定期考核。</w:t>
      </w:r>
    </w:p>
    <w:p w14:paraId="5BC5F539">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6．承包人应接受和配合发包人专业部门及委托的监理（如有）公司的监督与安全评价。</w:t>
      </w:r>
    </w:p>
    <w:p w14:paraId="63526D54">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7．发包人和委托的监理（如有）公司有权对承包人履行安全管理协议的情况进行监督，并有权对违章行为实行停工和处罚，处罚情况将通知承包人。涉及经济处罚时将直接通知合同管理部门从合同结算中扣除。</w:t>
      </w:r>
    </w:p>
    <w:p w14:paraId="6308F128">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bookmarkStart w:id="803" w:name="_Toc532375710"/>
      <w:bookmarkStart w:id="804" w:name="_Toc247431434"/>
      <w:bookmarkStart w:id="805" w:name="_Toc239510300"/>
      <w:bookmarkStart w:id="806" w:name="_Toc247418274"/>
      <w:r>
        <w:rPr>
          <w:rFonts w:hint="eastAsia" w:ascii="宋体" w:hAnsi="宋体" w:eastAsia="宋体" w:cs="宋体"/>
          <w:color w:val="auto"/>
          <w:sz w:val="24"/>
          <w:szCs w:val="24"/>
          <w:highlight w:val="none"/>
        </w:rPr>
        <w:t>十一、安全培训与授权</w:t>
      </w:r>
      <w:bookmarkEnd w:id="803"/>
      <w:bookmarkEnd w:id="804"/>
      <w:bookmarkEnd w:id="805"/>
      <w:bookmarkEnd w:id="806"/>
    </w:p>
    <w:p w14:paraId="187DB05F">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所有特殊工种人员必须持证上岗，发包人和发包人委托的监理（如有）公司有权对其进行抽查。承包人要建立特殊工种定期培训和检查计划，这些工种包括但不限于：机动车驾驶员、焊工、起重工、电工等。</w:t>
      </w:r>
    </w:p>
    <w:p w14:paraId="248C6CA2">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2．承包人应在特殊工种之外的其他工种中，筛选出高风险工种，并对其开展针对性的专题安全培训。</w:t>
      </w:r>
    </w:p>
    <w:p w14:paraId="2DA646BD">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3．承包人应组织 “入场培训”和考核。发包人委托的监理（如有）公司有权监督培训、考核情况或组织抽查考核。</w:t>
      </w:r>
    </w:p>
    <w:p w14:paraId="3C5B1FD3">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4．承包人应建立安全培训和考核机制，编制培训教材和培训滚动计划。承包人应组织安全考试/考核，建立培训考核记录，发包人委托的监理（如有）公司有权查看这些记录。</w:t>
      </w:r>
    </w:p>
    <w:p w14:paraId="1A6B586E">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bookmarkStart w:id="807" w:name="_Toc247431435"/>
      <w:bookmarkStart w:id="808" w:name="_Toc239510301"/>
      <w:bookmarkStart w:id="809" w:name="_Toc532375711"/>
      <w:bookmarkStart w:id="810" w:name="_Toc247418275"/>
      <w:r>
        <w:rPr>
          <w:rFonts w:hint="eastAsia" w:ascii="宋体" w:hAnsi="宋体" w:eastAsia="宋体" w:cs="宋体"/>
          <w:color w:val="auto"/>
          <w:sz w:val="24"/>
          <w:szCs w:val="24"/>
          <w:highlight w:val="none"/>
        </w:rPr>
        <w:t>十二、职业健康与卫生防疫</w:t>
      </w:r>
      <w:bookmarkEnd w:id="807"/>
      <w:bookmarkEnd w:id="808"/>
      <w:bookmarkEnd w:id="809"/>
      <w:bookmarkEnd w:id="810"/>
    </w:p>
    <w:p w14:paraId="584ABC82">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1．承包人应有特殊健康检查制度，预防有禁忌症患者从事有关职业，如恐高症患者不得从事高空作业，患有心血管疾病的人员不得从事繁重的体力劳动，特殊工种人员的体检应符合国家的规定。</w:t>
      </w:r>
    </w:p>
    <w:p w14:paraId="33D094D0">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2．承包人应保证卫生防疫基本设施的投入，以满足医疗、急救的要求，建立外部医疗支持渠道。</w:t>
      </w:r>
    </w:p>
    <w:p w14:paraId="1BD725CF">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14:paraId="399648C5">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bookmarkStart w:id="811" w:name="_Toc239510302"/>
      <w:bookmarkStart w:id="812" w:name="_Toc247431436"/>
      <w:bookmarkStart w:id="813" w:name="_Toc532375712"/>
      <w:bookmarkStart w:id="814" w:name="_Toc247418276"/>
      <w:r>
        <w:rPr>
          <w:rFonts w:hint="eastAsia" w:ascii="宋体" w:hAnsi="宋体" w:eastAsia="宋体" w:cs="宋体"/>
          <w:color w:val="auto"/>
          <w:sz w:val="24"/>
          <w:szCs w:val="24"/>
          <w:highlight w:val="none"/>
        </w:rPr>
        <w:t>十三、文明施工与环保要求</w:t>
      </w:r>
      <w:bookmarkEnd w:id="811"/>
      <w:bookmarkEnd w:id="812"/>
      <w:bookmarkEnd w:id="813"/>
      <w:bookmarkEnd w:id="814"/>
    </w:p>
    <w:p w14:paraId="51A6E3AD">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1．承包人需制订施工现场的文明施工措施，保持良好的施工现场秩序。施工现场的物料堆放要摆放整齐，安全标志和宣传标志要清楚醒目，废料、废物要分类收集，安全通道要畅通。</w:t>
      </w:r>
    </w:p>
    <w:p w14:paraId="7F5AE573">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2．承包人作业时应避免建筑材料抛洒、飞扬、流淌；应尽可能降低噪音、震动。</w:t>
      </w:r>
    </w:p>
    <w:p w14:paraId="2CC02214">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3．承包人应根据实际需要，在施工现场布置临时卫生设施（洗手间、卫生间等），施工作业不破坏环境卫生，不污染现场环境。</w:t>
      </w:r>
    </w:p>
    <w:p w14:paraId="05187C59">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4．承包人在施工中应充分重视对环境的保护，保护绿色植被，保护古树。施工如需伤害古树，必须报告发包人委托的监理（如有）公司，在未得到指令前，禁止擅自伤害古树。</w:t>
      </w:r>
    </w:p>
    <w:p w14:paraId="6C11C97C">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743A9580">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6．承包人在施工中应禁止向环境，排放工业污水、生活污水、废油或其他有害物质。</w:t>
      </w:r>
    </w:p>
    <w:p w14:paraId="57231A39">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14:paraId="6530F1B2">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bookmarkStart w:id="815" w:name="_Toc247418277"/>
      <w:bookmarkStart w:id="816" w:name="_Toc239510303"/>
      <w:bookmarkStart w:id="817" w:name="_Toc247431437"/>
      <w:bookmarkStart w:id="818" w:name="_Toc532375713"/>
      <w:r>
        <w:rPr>
          <w:rFonts w:hint="eastAsia" w:ascii="宋体" w:hAnsi="宋体" w:eastAsia="宋体" w:cs="宋体"/>
          <w:color w:val="auto"/>
          <w:sz w:val="24"/>
          <w:szCs w:val="24"/>
          <w:highlight w:val="none"/>
        </w:rPr>
        <w:t>十四、工程风险管理与事故预防</w:t>
      </w:r>
      <w:bookmarkEnd w:id="815"/>
      <w:bookmarkEnd w:id="816"/>
      <w:bookmarkEnd w:id="817"/>
      <w:bookmarkEnd w:id="818"/>
    </w:p>
    <w:p w14:paraId="12D75196">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bookmarkStart w:id="819" w:name="_Toc247431438"/>
      <w:bookmarkStart w:id="820" w:name="_Toc247418278"/>
      <w:bookmarkStart w:id="821" w:name="_Toc239510304"/>
      <w:r>
        <w:rPr>
          <w:rFonts w:hint="eastAsia" w:ascii="宋体" w:hAnsi="宋体" w:eastAsia="宋体" w:cs="宋体"/>
          <w:color w:val="auto"/>
          <w:sz w:val="24"/>
          <w:szCs w:val="24"/>
          <w:highlight w:val="none"/>
        </w:rPr>
        <w:t>（一）基本要求</w:t>
      </w:r>
      <w:bookmarkEnd w:id="819"/>
      <w:bookmarkEnd w:id="820"/>
      <w:bookmarkEnd w:id="821"/>
    </w:p>
    <w:p w14:paraId="5C844109">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bookmarkStart w:id="822" w:name="_Toc532375714"/>
      <w:r>
        <w:rPr>
          <w:rFonts w:hint="eastAsia" w:ascii="宋体" w:hAnsi="宋体" w:eastAsia="宋体" w:cs="宋体"/>
          <w:color w:val="auto"/>
          <w:sz w:val="24"/>
          <w:szCs w:val="24"/>
          <w:highlight w:val="none"/>
        </w:rPr>
        <w:t>1．承包人应对施工过程进行全面、深入的危险源识别和风险分析。在施工安全组织设计中提供危险源及重要危险源清单、作业风险分析报告，该报告应包括（但不限于）如下信息：</w:t>
      </w:r>
      <w:bookmarkEnd w:id="822"/>
    </w:p>
    <w:p w14:paraId="17434B19">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（1）高风险作业和工种清单：作业名称、类别和数量、主要事故风险。</w:t>
      </w:r>
    </w:p>
    <w:p w14:paraId="48C5079C">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（2）施工能源和机械的种类、数量和主要事故风险。</w:t>
      </w:r>
    </w:p>
    <w:p w14:paraId="42FAE32F">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（3）施工作业条件的类型和主要事故风险。</w:t>
      </w:r>
    </w:p>
    <w:p w14:paraId="4340362A">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（4）主要工艺过程（或施工活动）的类别及其相关的事故风险。</w:t>
      </w:r>
    </w:p>
    <w:p w14:paraId="5AD17E99">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（5）主要火灾危险（可燃物、点火源）。</w:t>
      </w:r>
    </w:p>
    <w:p w14:paraId="0F030E67">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（6）主要自然灾害（洪水、大风、雷暴、暴雨、地质灾害等）。</w:t>
      </w:r>
    </w:p>
    <w:p w14:paraId="4F64BF06">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（7）主要环境保护事件（有害垃圾、机械的跑冒滴漏、原材料流失、水土流失等）。</w:t>
      </w:r>
    </w:p>
    <w:p w14:paraId="5C5F28BF">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（8）其他。</w:t>
      </w:r>
    </w:p>
    <w:p w14:paraId="385FCE64">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2．承包人应针对识别出的危险源制定有针对性的事故预防措施并确保在施工中得到有效落实。</w:t>
      </w:r>
    </w:p>
    <w:p w14:paraId="648C3EE0">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3．承包人应建立日常施工活动的动态作业风险分析和安全交底制度。该制度应明确规定风险分析的方法、责任和交底的内容、时间及记录。</w:t>
      </w:r>
    </w:p>
    <w:p w14:paraId="6F1FB91E">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bookmarkStart w:id="823" w:name="_Toc239510305"/>
      <w:bookmarkStart w:id="824" w:name="_Toc247431439"/>
      <w:bookmarkStart w:id="825" w:name="_Toc247418279"/>
      <w:r>
        <w:rPr>
          <w:rFonts w:hint="eastAsia" w:ascii="宋体" w:hAnsi="宋体" w:eastAsia="宋体" w:cs="宋体"/>
          <w:color w:val="auto"/>
          <w:sz w:val="24"/>
          <w:szCs w:val="24"/>
          <w:highlight w:val="none"/>
        </w:rPr>
        <w:t>（二）现场作业基本安全条件</w:t>
      </w:r>
      <w:bookmarkEnd w:id="823"/>
      <w:bookmarkEnd w:id="824"/>
      <w:bookmarkEnd w:id="825"/>
    </w:p>
    <w:p w14:paraId="18C4D26A">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29D156FB">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bookmarkStart w:id="826" w:name="_Toc247431440"/>
      <w:bookmarkStart w:id="827" w:name="_Toc532375715"/>
      <w:bookmarkStart w:id="828" w:name="_Toc239510306"/>
      <w:bookmarkStart w:id="829" w:name="_Toc247418280"/>
      <w:r>
        <w:rPr>
          <w:rFonts w:hint="eastAsia" w:ascii="宋体" w:hAnsi="宋体" w:eastAsia="宋体" w:cs="宋体"/>
          <w:color w:val="auto"/>
          <w:sz w:val="24"/>
          <w:szCs w:val="24"/>
          <w:highlight w:val="none"/>
        </w:rPr>
        <w:t>十五、事故报告与应急救援</w:t>
      </w:r>
      <w:bookmarkEnd w:id="826"/>
      <w:bookmarkEnd w:id="827"/>
      <w:bookmarkEnd w:id="828"/>
      <w:bookmarkEnd w:id="829"/>
    </w:p>
    <w:p w14:paraId="7A5755BA">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1．承包人应制定对于未遂事故及以上级别的安全事件和事故，定期报送安全月度快报、季报、年报和各种专项事故报告等。</w:t>
      </w:r>
    </w:p>
    <w:p w14:paraId="5DFA99F7">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2．承包人应建立安全事故统计记录、未遂事故统计记录、违章统计记录，并根据统计情况进行分析，并就分析结果制定相应的预防措施。</w:t>
      </w:r>
    </w:p>
    <w:p w14:paraId="525E691C">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3．承包人应建立事故应急救援机制，明确事故处置的基本原则，即现场发生事故时，首先抢救生命，向救援组织报警，并采取措施限制事故扩大。</w:t>
      </w:r>
    </w:p>
    <w:p w14:paraId="111B9618">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4．承包人应建立相应的应急响应组织，以便能迅速处理突发意外。</w:t>
      </w:r>
    </w:p>
    <w:p w14:paraId="5FC2DAB1">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5．承包人应建立专项应急响应预案，包括重大人身伤亡事故的救护预案、火灾响应预案、“四防”预案（防风、防冻、防雷、防暴雨）、重大疫病防护预案、环境污染防护预案、地质灾害防护预案等。</w:t>
      </w:r>
    </w:p>
    <w:p w14:paraId="3C3DD536">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6．承包人应对应急预案进行适当演练，保证应急预案的可操作性。</w:t>
      </w:r>
    </w:p>
    <w:p w14:paraId="025FAE81">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7．在工地的其他施工单位发生重大事故时，承包人应无条件立即配合、支持事故抢险。</w:t>
      </w:r>
    </w:p>
    <w:p w14:paraId="43D174ED">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8．承包人必须为事故处置支付各项费用，包括受伤者的抚恤、补偿等费用，并按合同要求赔偿对发包人造成的损失。</w:t>
      </w:r>
    </w:p>
    <w:p w14:paraId="1011DF9B">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9．由于发包人原因而造成的事故，发包人应负责按事故的具体损失情况给予承包人经济赔偿。</w:t>
      </w:r>
    </w:p>
    <w:p w14:paraId="482E3389">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10．涉及承包人员工的伤害事故，承包人除要报告发包人委托的监理（如有）公司外，还应负责按照国家、行业和本单位上级公司的要求，上报事故。</w:t>
      </w:r>
    </w:p>
    <w:p w14:paraId="4E3B14AC">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bookmarkStart w:id="830" w:name="_Toc247418281"/>
      <w:bookmarkStart w:id="831" w:name="_Toc239510307"/>
      <w:bookmarkStart w:id="832" w:name="_Toc532375716"/>
      <w:bookmarkStart w:id="833" w:name="_Toc247431441"/>
      <w:r>
        <w:rPr>
          <w:rFonts w:hint="eastAsia" w:ascii="宋体" w:hAnsi="宋体" w:eastAsia="宋体" w:cs="宋体"/>
          <w:color w:val="auto"/>
          <w:sz w:val="24"/>
          <w:szCs w:val="24"/>
          <w:highlight w:val="none"/>
        </w:rPr>
        <w:t>十六、安全业绩考核</w:t>
      </w:r>
      <w:bookmarkEnd w:id="830"/>
      <w:bookmarkEnd w:id="831"/>
      <w:bookmarkEnd w:id="832"/>
      <w:bookmarkEnd w:id="833"/>
    </w:p>
    <w:p w14:paraId="63D9CA56">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为了落实安全管理的责任，承包人在施工过程中发生安全事故时，承包人除应按国家有关规定承担责任和处罚外，发包人还将按照以下标准进行考核：</w:t>
      </w:r>
    </w:p>
    <w:tbl>
      <w:tblPr>
        <w:tblStyle w:val="14"/>
        <w:tblW w:w="0" w:type="auto"/>
        <w:jc w:val="center"/>
        <w:tblLayout w:type="fixed"/>
        <w:tblCellMar>
          <w:top w:w="0" w:type="dxa"/>
          <w:left w:w="0" w:type="dxa"/>
          <w:bottom w:w="0" w:type="dxa"/>
          <w:right w:w="0" w:type="dxa"/>
        </w:tblCellMar>
      </w:tblPr>
      <w:tblGrid>
        <w:gridCol w:w="3240"/>
        <w:gridCol w:w="3765"/>
      </w:tblGrid>
      <w:tr w14:paraId="1B0BCBDD">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4B0AD76">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事件类型</w:t>
            </w:r>
          </w:p>
        </w:tc>
        <w:tc>
          <w:tcPr>
            <w:tcW w:w="37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E279905">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违约金额</w:t>
            </w:r>
          </w:p>
        </w:tc>
      </w:tr>
      <w:tr w14:paraId="282E9427">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841F379">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较大事故</w:t>
            </w:r>
          </w:p>
        </w:tc>
        <w:tc>
          <w:tcPr>
            <w:tcW w:w="3765" w:type="dxa"/>
            <w:tcBorders>
              <w:top w:val="single" w:color="auto" w:sz="8" w:space="0"/>
              <w:left w:val="nil"/>
              <w:bottom w:val="single" w:color="auto" w:sz="8" w:space="0"/>
              <w:right w:val="single" w:color="auto" w:sz="8" w:space="0"/>
            </w:tcBorders>
            <w:vAlign w:val="center"/>
          </w:tcPr>
          <w:p w14:paraId="2DAEEAB1">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签约合同价的0.5‰</w:t>
            </w:r>
          </w:p>
        </w:tc>
      </w:tr>
      <w:tr w14:paraId="3AD6C9ED">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CDD2E6">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重大事故</w:t>
            </w:r>
          </w:p>
        </w:tc>
        <w:tc>
          <w:tcPr>
            <w:tcW w:w="3765" w:type="dxa"/>
            <w:tcBorders>
              <w:top w:val="single" w:color="auto" w:sz="8" w:space="0"/>
              <w:left w:val="nil"/>
              <w:bottom w:val="single" w:color="auto" w:sz="8" w:space="0"/>
              <w:right w:val="single" w:color="auto" w:sz="8" w:space="0"/>
            </w:tcBorders>
            <w:vAlign w:val="center"/>
          </w:tcPr>
          <w:p w14:paraId="37F5CC6F">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签约合同价的2‰</w:t>
            </w:r>
          </w:p>
        </w:tc>
      </w:tr>
      <w:tr w14:paraId="62C2D485">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0C6CCDC">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特别重大事故</w:t>
            </w:r>
          </w:p>
        </w:tc>
        <w:tc>
          <w:tcPr>
            <w:tcW w:w="3765" w:type="dxa"/>
            <w:tcBorders>
              <w:top w:val="single" w:color="auto" w:sz="8" w:space="0"/>
              <w:left w:val="nil"/>
              <w:bottom w:val="single" w:color="auto" w:sz="8" w:space="0"/>
              <w:right w:val="single" w:color="auto" w:sz="8" w:space="0"/>
            </w:tcBorders>
            <w:vAlign w:val="center"/>
          </w:tcPr>
          <w:p w14:paraId="29B8AD8E">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签约合同价的4‰</w:t>
            </w:r>
          </w:p>
        </w:tc>
      </w:tr>
    </w:tbl>
    <w:p w14:paraId="5F039CA7">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（1）较大事故，是指造成3人以上10人以下死亡，或者10人以上50人以下重伤，或者1000万元以上5000万元以下直接经济损失的事故；</w:t>
      </w:r>
    </w:p>
    <w:p w14:paraId="6CE7522E">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（2）重大事故，是指造成10人以上30人以下死亡，或者50人以上100人以下重伤，或者5000万元以上1亿元以下直接经济损失的事故；</w:t>
      </w:r>
    </w:p>
    <w:p w14:paraId="6A17EA83">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（3）特别重大事故，是指造成30人以上死亡，或者100人以上重伤（包括急性工业中毒，下同），或者1亿元以上直接经济损失的事故；</w:t>
      </w:r>
    </w:p>
    <w:p w14:paraId="4B1B2686">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（4）所称的“以上”包括本数，所称的“以下”不包括本数。</w:t>
      </w:r>
    </w:p>
    <w:p w14:paraId="247F1F57">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（5）如整个施工过程未发生以上安全事故，则给予承包人建安费总额的1‰的安全奖励。</w:t>
      </w:r>
    </w:p>
    <w:p w14:paraId="543E1494">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发包人委托的监理（如有）公司负责对承包人的安全业绩进行考核。每次合同支付前，承包人提交自我安全业绩评估报告，然后交发包人委托的监理（如有）公司评价。发包人委托的监理（如有）公司在签署评价意见后，将作为合同支付依据之一，同时也作为是否可接受承包人再次参加发包人项目竞标的依据之一。 </w:t>
      </w:r>
    </w:p>
    <w:p w14:paraId="4C426A63">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bookmarkStart w:id="834" w:name="_Toc247418282"/>
      <w:bookmarkStart w:id="835" w:name="_Toc247431442"/>
      <w:bookmarkStart w:id="836" w:name="_Toc532375717"/>
      <w:bookmarkStart w:id="837" w:name="_Toc239510308"/>
      <w:r>
        <w:rPr>
          <w:rFonts w:hint="eastAsia" w:ascii="宋体" w:hAnsi="宋体" w:eastAsia="宋体" w:cs="宋体"/>
          <w:color w:val="auto"/>
          <w:sz w:val="24"/>
          <w:szCs w:val="24"/>
          <w:highlight w:val="none"/>
        </w:rPr>
        <w:t>十七、协议条款的修订</w:t>
      </w:r>
      <w:bookmarkEnd w:id="834"/>
      <w:bookmarkEnd w:id="835"/>
      <w:bookmarkEnd w:id="836"/>
      <w:bookmarkEnd w:id="837"/>
    </w:p>
    <w:p w14:paraId="4B1181D3">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在项目实施过程中，经双方友好协商，本协议的有关条款也可做出相应的修改。</w:t>
      </w:r>
    </w:p>
    <w:p w14:paraId="3A83D77C">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本工程安全管理协议，由发包人、承包人双方在施工承包合同签订后7天内共同签署，作为施工合同附件。</w:t>
      </w:r>
    </w:p>
    <w:p w14:paraId="253AA5AE">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发  包  人（公章）：                       </w:t>
      </w:r>
    </w:p>
    <w:p w14:paraId="7FB7B5F5">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法定代表人（签字）：                         </w:t>
      </w:r>
    </w:p>
    <w:p w14:paraId="51626B55">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或其委托代理人（签字）：                     </w:t>
      </w:r>
    </w:p>
    <w:p w14:paraId="1C79C40E">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承  包  人（公章）：                       </w:t>
      </w:r>
    </w:p>
    <w:p w14:paraId="33B3BBD5">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法定代表人（签字）：                       </w:t>
      </w:r>
    </w:p>
    <w:p w14:paraId="4B4BE97C">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或其委托代理人（签字）：                   </w:t>
      </w:r>
    </w:p>
    <w:p w14:paraId="6B9C32F0">
      <w:pPr>
        <w:kinsoku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bookmarkEnd w:id="200"/>
    <w:bookmarkEnd w:id="201"/>
    <w:bookmarkEnd w:id="202"/>
    <w:bookmarkEnd w:id="203"/>
    <w:bookmarkEnd w:id="204"/>
    <w:p w14:paraId="0E741A9B">
      <w:pPr>
        <w:kinsoku w:val="0"/>
        <w:autoSpaceDE w:val="0"/>
        <w:autoSpaceDN w:val="0"/>
        <w:adjustRightInd w:val="0"/>
        <w:snapToGrid w:val="0"/>
        <w:spacing w:line="360" w:lineRule="auto"/>
        <w:ind w:firstLine="643" w:firstLineChars="200"/>
        <w:jc w:val="center"/>
        <w:rPr>
          <w:rFonts w:hint="eastAsia" w:ascii="宋体" w:hAnsi="宋体" w:eastAsia="宋体" w:cs="宋体"/>
          <w:color w:val="000000" w:themeColor="text1"/>
          <w:kern w:val="2"/>
          <w:sz w:val="36"/>
          <w:szCs w:val="30"/>
          <w:highlight w:val="none"/>
          <w:lang w:val="en-US" w:eastAsia="zh-CN" w:bidi="ar-SA"/>
          <w14:textFill>
            <w14:solidFill>
              <w14:schemeClr w14:val="tx1"/>
            </w14:solidFill>
          </w14:textFill>
        </w:rPr>
      </w:pPr>
      <w:bookmarkStart w:id="838" w:name="_Toc534185829"/>
      <w:bookmarkStart w:id="839" w:name="_Toc430530528"/>
      <w:bookmarkStart w:id="840" w:name="_Toc25506"/>
      <w:bookmarkStart w:id="841" w:name="_Toc351"/>
      <w:bookmarkStart w:id="842" w:name="_Toc57820646"/>
      <w:bookmarkStart w:id="843" w:name="_Toc11482"/>
      <w:bookmarkStart w:id="844" w:name="_Toc509218852"/>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t xml:space="preserve">第七篇  </w:t>
      </w:r>
      <w:r>
        <w:rPr>
          <w:rFonts w:hint="eastAsia" w:ascii="宋体" w:hAnsi="宋体" w:cs="宋体"/>
          <w:b/>
          <w:bCs/>
          <w:color w:val="000000" w:themeColor="text1"/>
          <w:kern w:val="2"/>
          <w:sz w:val="32"/>
          <w:szCs w:val="32"/>
          <w:highlight w:val="none"/>
          <w:lang w:val="en-US" w:eastAsia="zh-CN" w:bidi="ar-SA"/>
          <w14:textFill>
            <w14:solidFill>
              <w14:schemeClr w14:val="tx1"/>
            </w14:solidFill>
          </w14:textFill>
        </w:rPr>
        <w:t>响应文件</w:t>
      </w:r>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t>格式</w:t>
      </w:r>
      <w:bookmarkEnd w:id="838"/>
      <w:bookmarkEnd w:id="839"/>
      <w:bookmarkEnd w:id="840"/>
      <w:bookmarkEnd w:id="841"/>
      <w:bookmarkEnd w:id="842"/>
      <w:bookmarkEnd w:id="843"/>
      <w:bookmarkEnd w:id="844"/>
    </w:p>
    <w:p w14:paraId="04084BAC">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2"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bookmarkStart w:id="845" w:name="_Toc11173"/>
      <w:bookmarkStart w:id="846" w:name="_Toc25582"/>
      <w:bookmarkStart w:id="847" w:name="_Toc224103493"/>
      <w:r>
        <w:rPr>
          <w:rFonts w:hint="eastAsia" w:ascii="宋体" w:hAnsi="宋体" w:eastAsia="宋体" w:cs="宋体"/>
          <w:b/>
          <w:bCs/>
          <w:color w:val="000000" w:themeColor="text1"/>
          <w:sz w:val="24"/>
          <w:highlight w:val="none"/>
          <w14:textFill>
            <w14:solidFill>
              <w14:schemeClr w14:val="tx1"/>
            </w14:solidFill>
          </w14:textFill>
        </w:rPr>
        <w:t>一、经济文件</w:t>
      </w:r>
      <w:bookmarkEnd w:id="845"/>
      <w:bookmarkEnd w:id="846"/>
    </w:p>
    <w:p w14:paraId="445A6B8C">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（一）竞选函（格式）</w:t>
      </w:r>
    </w:p>
    <w:p w14:paraId="0C43C88D">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（二）竞选函</w:t>
      </w:r>
      <w:r>
        <w:rPr>
          <w:rFonts w:hint="eastAsia" w:ascii="宋体" w:hAnsi="宋体" w:eastAsia="宋体" w:cs="宋体"/>
          <w:color w:val="000000" w:themeColor="text1"/>
          <w:sz w:val="24"/>
          <w:highlight w:val="none"/>
          <w:lang w:val="en-US" w:eastAsia="zh-CN"/>
          <w14:textFill>
            <w14:solidFill>
              <w14:schemeClr w14:val="tx1"/>
            </w14:solidFill>
          </w14:textFill>
        </w:rPr>
        <w:t>附录</w:t>
      </w:r>
    </w:p>
    <w:p w14:paraId="5CE983FD">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2" w:firstLineChars="200"/>
        <w:textAlignment w:val="auto"/>
        <w:rPr>
          <w:rFonts w:hint="eastAsia" w:ascii="宋体" w:hAnsi="宋体" w:eastAsia="宋体" w:cs="宋体"/>
          <w:color w:val="000000" w:themeColor="text1"/>
          <w:sz w:val="24"/>
          <w:highlight w:val="none"/>
          <w14:textFill>
            <w14:solidFill>
              <w14:schemeClr w14:val="tx1"/>
            </w14:solidFill>
          </w14:textFill>
        </w:rPr>
      </w:pPr>
      <w:bookmarkStart w:id="848" w:name="_Toc6658"/>
      <w:bookmarkStart w:id="849" w:name="_Toc28369"/>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、商务文件</w:t>
      </w:r>
      <w:bookmarkEnd w:id="848"/>
      <w:bookmarkEnd w:id="849"/>
    </w:p>
    <w:p w14:paraId="2F9AF079">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（一）已标价工程量清单纸质版</w:t>
      </w:r>
    </w:p>
    <w:p w14:paraId="55DCD2F3">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2" w:firstLineChars="200"/>
        <w:textAlignment w:val="auto"/>
        <w:rPr>
          <w:rFonts w:hint="eastAsia" w:ascii="宋体" w:hAnsi="宋体" w:eastAsia="宋体" w:cs="宋体"/>
          <w:color w:val="000000" w:themeColor="text1"/>
          <w:sz w:val="24"/>
          <w:highlight w:val="none"/>
          <w14:textFill>
            <w14:solidFill>
              <w14:schemeClr w14:val="tx1"/>
            </w14:solidFill>
          </w14:textFill>
        </w:rPr>
      </w:pPr>
      <w:bookmarkStart w:id="850" w:name="_Toc27563"/>
      <w:bookmarkStart w:id="851" w:name="_Toc23028"/>
      <w:r>
        <w:rPr>
          <w:rFonts w:hint="eastAsia" w:ascii="宋体" w:hAnsi="宋体" w:eastAsia="宋体" w:cs="宋体"/>
          <w:b/>
          <w:bCs/>
          <w:color w:val="000000" w:themeColor="text1"/>
          <w:sz w:val="24"/>
          <w:highlight w:val="none"/>
          <w:lang w:val="en-US" w:eastAsia="zh-CN"/>
          <w14:textFill>
            <w14:solidFill>
              <w14:schemeClr w14:val="tx1"/>
            </w14:solidFill>
          </w14:textFill>
        </w:rPr>
        <w:t>三</w:t>
      </w:r>
      <w:r>
        <w:rPr>
          <w:rFonts w:hint="eastAsia" w:ascii="宋体" w:hAnsi="宋体" w:eastAsia="宋体" w:cs="宋体"/>
          <w:b/>
          <w:bCs/>
          <w:color w:val="000000" w:themeColor="text1"/>
          <w:sz w:val="24"/>
          <w:highlight w:val="none"/>
          <w14:textFill>
            <w14:solidFill>
              <w14:schemeClr w14:val="tx1"/>
            </w14:solidFill>
          </w14:textFill>
        </w:rPr>
        <w:t>、</w:t>
      </w:r>
      <w:bookmarkEnd w:id="850"/>
      <w:bookmarkEnd w:id="851"/>
      <w:r>
        <w:rPr>
          <w:rFonts w:hint="eastAsia" w:ascii="宋体" w:hAnsi="宋体" w:eastAsia="宋体" w:cs="宋体"/>
          <w:b/>
          <w:bCs/>
          <w:color w:val="000000" w:themeColor="text1"/>
          <w:sz w:val="24"/>
          <w:highlight w:val="none"/>
          <w:lang w:val="en-US" w:eastAsia="zh-CN"/>
          <w14:textFill>
            <w14:solidFill>
              <w14:schemeClr w14:val="tx1"/>
            </w14:solidFill>
          </w14:textFill>
        </w:rPr>
        <w:t>技术方案</w:t>
      </w:r>
    </w:p>
    <w:p w14:paraId="2A98CD35">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2" w:firstLineChars="200"/>
        <w:textAlignment w:val="auto"/>
        <w:rPr>
          <w:rFonts w:hint="eastAsia" w:ascii="宋体" w:hAnsi="宋体" w:eastAsia="宋体" w:cs="宋体"/>
          <w:b/>
          <w:bCs/>
          <w:color w:val="000000" w:themeColor="text1"/>
          <w:sz w:val="24"/>
          <w:highlight w:val="none"/>
          <w:lang w:val="en-US" w:eastAsia="zh-CN"/>
          <w14:textFill>
            <w14:solidFill>
              <w14:schemeClr w14:val="tx1"/>
            </w14:solidFill>
          </w14:textFill>
        </w:rPr>
      </w:pPr>
      <w:bookmarkStart w:id="852" w:name="_Toc16407"/>
      <w:bookmarkStart w:id="853" w:name="_Toc6286"/>
      <w:r>
        <w:rPr>
          <w:rFonts w:hint="eastAsia" w:ascii="宋体" w:hAnsi="宋体" w:eastAsia="宋体" w:cs="宋体"/>
          <w:b/>
          <w:bCs/>
          <w:color w:val="000000" w:themeColor="text1"/>
          <w:sz w:val="24"/>
          <w:highlight w:val="none"/>
          <w:lang w:val="en-US" w:eastAsia="zh-CN"/>
          <w14:textFill>
            <w14:solidFill>
              <w14:schemeClr w14:val="tx1"/>
            </w14:solidFill>
          </w14:textFill>
        </w:rPr>
        <w:t>四、资格文件</w:t>
      </w:r>
      <w:bookmarkEnd w:id="852"/>
      <w:bookmarkEnd w:id="853"/>
    </w:p>
    <w:p w14:paraId="5CD32552">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（一）法人营业执照（副本）或事业单位法人证书（副本）或个体工商户营业执照或有效的自然人身份证明或社会团体法人登记证书复印件</w:t>
      </w:r>
    </w:p>
    <w:p w14:paraId="532E41DF">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（二）法定代表人身份证明书（格式）</w:t>
      </w:r>
    </w:p>
    <w:p w14:paraId="5B67C354">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（三）法定代表人授权委托书（格式）</w:t>
      </w:r>
    </w:p>
    <w:p w14:paraId="36F0A483">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（四）</w:t>
      </w:r>
      <w:r>
        <w:rPr>
          <w:rFonts w:hint="eastAsia" w:ascii="宋体" w:hAnsi="宋体" w:cs="宋体"/>
          <w:color w:val="000000" w:themeColor="text1"/>
          <w:sz w:val="24"/>
          <w:highlight w:val="none"/>
          <w:lang w:val="en-US" w:eastAsia="zh-CN"/>
          <w14:textFill>
            <w14:solidFill>
              <w14:schemeClr w14:val="tx1"/>
            </w14:solidFill>
          </w14:textFill>
        </w:rPr>
        <w:t>基本资格条件承诺函</w:t>
      </w:r>
    </w:p>
    <w:p w14:paraId="6167495E">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五</w:t>
      </w:r>
      <w:r>
        <w:rPr>
          <w:rFonts w:hint="eastAsia" w:ascii="宋体" w:hAnsi="宋体" w:eastAsia="宋体" w:cs="宋体"/>
          <w:color w:val="000000" w:themeColor="text1"/>
          <w:sz w:val="24"/>
          <w:highlight w:val="none"/>
          <w14:textFill>
            <w14:solidFill>
              <w14:schemeClr w14:val="tx1"/>
            </w14:solidFill>
          </w14:textFill>
        </w:rPr>
        <w:t>）供应商基本情况表</w:t>
      </w:r>
    </w:p>
    <w:p w14:paraId="2C8883CF">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六</w:t>
      </w:r>
      <w:r>
        <w:rPr>
          <w:rFonts w:hint="eastAsia" w:ascii="宋体" w:hAnsi="宋体" w:eastAsia="宋体" w:cs="宋体"/>
          <w:color w:val="000000" w:themeColor="text1"/>
          <w:sz w:val="24"/>
          <w:highlight w:val="none"/>
          <w14:textFill>
            <w14:solidFill>
              <w14:schemeClr w14:val="tx1"/>
            </w14:solidFill>
          </w14:textFill>
        </w:rPr>
        <w:t>）项目管理机构</w:t>
      </w:r>
    </w:p>
    <w:p w14:paraId="01C2A810">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七</w:t>
      </w:r>
      <w:r>
        <w:rPr>
          <w:rFonts w:hint="eastAsia" w:ascii="宋体" w:hAnsi="宋体" w:eastAsia="宋体" w:cs="宋体"/>
          <w:color w:val="000000" w:themeColor="text1"/>
          <w:sz w:val="24"/>
          <w:highlight w:val="none"/>
          <w14:textFill>
            <w14:solidFill>
              <w14:schemeClr w14:val="tx1"/>
            </w14:solidFill>
          </w14:textFill>
        </w:rPr>
        <w:t>）信誉要求</w:t>
      </w:r>
    </w:p>
    <w:p w14:paraId="1B53D1E9">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八</w:t>
      </w:r>
      <w:r>
        <w:rPr>
          <w:rFonts w:hint="eastAsia" w:ascii="宋体" w:hAnsi="宋体" w:eastAsia="宋体" w:cs="宋体"/>
          <w:color w:val="000000" w:themeColor="text1"/>
          <w:sz w:val="24"/>
          <w:highlight w:val="none"/>
          <w14:textFill>
            <w14:solidFill>
              <w14:schemeClr w14:val="tx1"/>
            </w14:solidFill>
          </w14:textFill>
        </w:rPr>
        <w:t>）特定资格条件证书或证明文件</w:t>
      </w:r>
    </w:p>
    <w:p w14:paraId="27F067CC">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九</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其他材料</w:t>
      </w:r>
    </w:p>
    <w:p w14:paraId="25BE8ED6">
      <w:pPr>
        <w:rPr>
          <w:rFonts w:hint="eastAsia" w:ascii="宋体" w:hAnsi="宋体" w:eastAsia="宋体" w:cs="宋体"/>
          <w:b/>
          <w:color w:val="000000" w:themeColor="text1"/>
          <w:sz w:val="32"/>
          <w:szCs w:val="28"/>
          <w:highlight w:val="none"/>
          <w14:textFill>
            <w14:solidFill>
              <w14:schemeClr w14:val="tx1"/>
            </w14:solidFill>
          </w14:textFill>
        </w:rPr>
      </w:pPr>
      <w:bookmarkStart w:id="854" w:name="_Toc27943"/>
      <w:bookmarkStart w:id="855" w:name="_Toc30904"/>
      <w:bookmarkStart w:id="856" w:name="_Toc31828"/>
      <w:bookmarkStart w:id="857" w:name="_Toc27612"/>
      <w:bookmarkStart w:id="858" w:name="_Toc18349"/>
      <w:bookmarkStart w:id="859" w:name="_Toc14552"/>
      <w:bookmarkStart w:id="860" w:name="_Toc15893"/>
      <w:bookmarkStart w:id="861" w:name="_Toc31914"/>
      <w:bookmarkStart w:id="862" w:name="_Toc29821"/>
      <w:bookmarkStart w:id="863" w:name="_Toc13547"/>
      <w:bookmarkStart w:id="864" w:name="_Toc25659"/>
      <w:bookmarkStart w:id="865" w:name="_Toc75793540"/>
      <w:bookmarkStart w:id="866" w:name="_Toc23361"/>
      <w:bookmarkStart w:id="867" w:name="_Toc10124"/>
      <w:bookmarkStart w:id="868" w:name="_Toc21561"/>
      <w:bookmarkStart w:id="869" w:name="_Toc106030417"/>
      <w:bookmarkStart w:id="870" w:name="_Toc14568"/>
      <w:bookmarkStart w:id="871" w:name="_Toc28669"/>
      <w:bookmarkStart w:id="872" w:name="_Toc429584884"/>
      <w:r>
        <w:rPr>
          <w:rFonts w:hint="eastAsia" w:ascii="宋体" w:hAnsi="宋体" w:eastAsia="宋体" w:cs="宋体"/>
          <w:b/>
          <w:color w:val="000000" w:themeColor="text1"/>
          <w:sz w:val="32"/>
          <w:szCs w:val="28"/>
          <w:highlight w:val="none"/>
          <w14:textFill>
            <w14:solidFill>
              <w14:schemeClr w14:val="tx1"/>
            </w14:solidFill>
          </w14:textFill>
        </w:rPr>
        <w:br w:type="page"/>
      </w:r>
    </w:p>
    <w:p w14:paraId="22156254">
      <w:pPr>
        <w:keepNext w:val="0"/>
        <w:keepLines w:val="0"/>
        <w:pageBreakBefore w:val="0"/>
        <w:widowControl w:val="0"/>
        <w:kinsoku w:val="0"/>
        <w:wordWrap/>
        <w:topLinePunct w:val="0"/>
        <w:autoSpaceDE w:val="0"/>
        <w:autoSpaceDN w:val="0"/>
        <w:bidi w:val="0"/>
        <w:adjustRightInd w:val="0"/>
        <w:snapToGrid w:val="0"/>
        <w:spacing w:before="260" w:after="260" w:line="500" w:lineRule="exact"/>
        <w:ind w:firstLine="643" w:firstLineChars="200"/>
        <w:outlineLvl w:val="9"/>
        <w:rPr>
          <w:rFonts w:hint="eastAsia" w:ascii="宋体" w:hAnsi="宋体" w:eastAsia="宋体" w:cs="宋体"/>
          <w:b/>
          <w:color w:val="000000" w:themeColor="text1"/>
          <w:sz w:val="32"/>
          <w:szCs w:val="28"/>
          <w:highlight w:val="none"/>
          <w14:textFill>
            <w14:solidFill>
              <w14:schemeClr w14:val="tx1"/>
            </w14:solidFill>
          </w14:textFill>
        </w:rPr>
      </w:pPr>
      <w:r>
        <w:rPr>
          <w:rFonts w:hint="eastAsia" w:ascii="宋体" w:hAnsi="宋体" w:eastAsia="宋体" w:cs="宋体"/>
          <w:b/>
          <w:color w:val="000000" w:themeColor="text1"/>
          <w:sz w:val="32"/>
          <w:szCs w:val="28"/>
          <w:highlight w:val="none"/>
          <w14:textFill>
            <w14:solidFill>
              <w14:schemeClr w14:val="tx1"/>
            </w14:solidFill>
          </w14:textFill>
        </w:rPr>
        <w:t>一、经济文件</w:t>
      </w:r>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p>
    <w:p w14:paraId="33BB5E60">
      <w:pPr>
        <w:tabs>
          <w:tab w:val="left" w:pos="6300"/>
        </w:tabs>
        <w:snapToGrid w:val="0"/>
        <w:spacing w:line="360" w:lineRule="auto"/>
        <w:jc w:val="center"/>
        <w:rPr>
          <w:rFonts w:hint="eastAsia" w:ascii="宋体" w:hAnsi="宋体" w:eastAsia="宋体" w:cs="宋体"/>
          <w:color w:val="auto"/>
          <w:sz w:val="24"/>
          <w:szCs w:val="24"/>
          <w:highlight w:val="none"/>
          <w:u w:val="single"/>
        </w:rPr>
      </w:pPr>
      <w:r>
        <w:rPr>
          <w:rFonts w:hint="eastAsia" w:ascii="宋体" w:hAnsi="宋体" w:eastAsia="宋体" w:cs="宋体"/>
          <w:b/>
          <w:bCs/>
          <w:color w:val="000000" w:themeColor="text1"/>
          <w:sz w:val="24"/>
          <w:highlight w:val="none"/>
          <w14:textFill>
            <w14:solidFill>
              <w14:schemeClr w14:val="tx1"/>
            </w14:solidFill>
          </w14:textFill>
        </w:rPr>
        <w:t>竞选函（格式）</w:t>
      </w:r>
    </w:p>
    <w:p w14:paraId="424D0D02">
      <w:pPr>
        <w:tabs>
          <w:tab w:val="left" w:pos="6300"/>
        </w:tabs>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（采购人名称）</w:t>
      </w:r>
      <w:r>
        <w:rPr>
          <w:rFonts w:hint="eastAsia" w:ascii="宋体" w:hAnsi="宋体" w:eastAsia="宋体" w:cs="宋体"/>
          <w:color w:val="auto"/>
          <w:sz w:val="24"/>
          <w:szCs w:val="24"/>
          <w:highlight w:val="none"/>
        </w:rPr>
        <w:t>：</w:t>
      </w:r>
    </w:p>
    <w:p w14:paraId="24BAAD39">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我方收到_________________（项目名称）的</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文件，经详细研究，决定参加该项目的</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w:t>
      </w:r>
    </w:p>
    <w:p w14:paraId="69D52629">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1.愿意按照</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文件中的一切要求，提供本项目采购内容及相关服务，</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总价报价为人民币大写：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，人民币小写：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snapToGrid w:val="0"/>
          <w:color w:val="auto"/>
          <w:kern w:val="0"/>
          <w:sz w:val="24"/>
          <w:szCs w:val="24"/>
          <w:highlight w:val="none"/>
        </w:rPr>
        <w:t>其中</w:t>
      </w:r>
      <w:r>
        <w:rPr>
          <w:rStyle w:val="23"/>
          <w:rFonts w:hint="eastAsia" w:ascii="宋体" w:hAnsi="宋体" w:eastAsia="宋体" w:cs="宋体"/>
          <w:color w:val="auto"/>
          <w:sz w:val="24"/>
          <w:szCs w:val="24"/>
          <w:highlight w:val="none"/>
        </w:rPr>
        <w:t>安</w:t>
      </w:r>
      <w:r>
        <w:rPr>
          <w:rFonts w:hint="eastAsia" w:ascii="宋体" w:hAnsi="宋体" w:eastAsia="宋体" w:cs="宋体"/>
          <w:snapToGrid w:val="0"/>
          <w:color w:val="auto"/>
          <w:kern w:val="0"/>
          <w:sz w:val="24"/>
          <w:szCs w:val="24"/>
          <w:highlight w:val="none"/>
        </w:rPr>
        <w:t>全文明施工费暂定金额为</w:t>
      </w:r>
      <w:bookmarkStart w:id="873" w:name="cqzdje"/>
      <w:bookmarkEnd w:id="873"/>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元，该工程项目经理为</w:t>
      </w:r>
      <w:bookmarkStart w:id="874" w:name="cqxmjl"/>
      <w:bookmarkEnd w:id="874"/>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。工期</w:t>
      </w:r>
      <w:bookmarkStart w:id="875" w:name="cqgq"/>
      <w:bookmarkEnd w:id="875"/>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日历天，缺陷责任期24个月，按合同约定实施和完成承包工程，修补工程中的任何缺陷，工程质量达到</w:t>
      </w:r>
      <w:bookmarkStart w:id="876" w:name="cqzlbz"/>
      <w:bookmarkEnd w:id="876"/>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w:t>
      </w:r>
    </w:p>
    <w:p w14:paraId="1A86B991">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2.我方现提交的响应文件为：响应文件正本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，电子文档</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份</w:t>
      </w:r>
      <w:r>
        <w:rPr>
          <w:rFonts w:hint="eastAsia" w:ascii="宋体" w:hAnsi="宋体" w:eastAsia="宋体" w:cs="宋体"/>
          <w:color w:val="auto"/>
          <w:sz w:val="24"/>
          <w:szCs w:val="24"/>
          <w:highlight w:val="none"/>
        </w:rPr>
        <w:t>。</w:t>
      </w:r>
    </w:p>
    <w:p w14:paraId="14DE375E">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的有效期为90天。</w:t>
      </w:r>
    </w:p>
    <w:p w14:paraId="18F59EE2">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文件的一切规定和要求及评审办法。</w:t>
      </w:r>
    </w:p>
    <w:p w14:paraId="73093BF6">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过程中，我方若有违规行为，接受按照《</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文件》之规定给予惩罚。</w:t>
      </w:r>
    </w:p>
    <w:p w14:paraId="48565B0B">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6.我方若成为成交供应商，将按照最终</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结果签订合同，并且严格履行合同义务。本承诺函将成为合同不可分割的一部分，与合同具有同等的法律效力。</w:t>
      </w:r>
    </w:p>
    <w:p w14:paraId="028B94D3">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7.我方同意按</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文件规定。如果我方成为成交供应商，保证在接到成交通知书前，向采购代理机构缴纳</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文件规定的采购代理服务费。</w:t>
      </w:r>
    </w:p>
    <w:p w14:paraId="206BDB0D">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8.其他补充说明：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76DBFAB8">
      <w:pPr>
        <w:tabs>
          <w:tab w:val="left" w:pos="6300"/>
        </w:tabs>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p w14:paraId="13403DD4">
      <w:pPr>
        <w:tabs>
          <w:tab w:val="left" w:pos="6300"/>
        </w:tabs>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30D7F9FC">
      <w:pPr>
        <w:tabs>
          <w:tab w:val="left" w:pos="6300"/>
        </w:tabs>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传真：</w:t>
      </w:r>
    </w:p>
    <w:p w14:paraId="6AC96056">
      <w:pPr>
        <w:tabs>
          <w:tab w:val="left" w:pos="6300"/>
        </w:tabs>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                                        邮编：</w:t>
      </w:r>
    </w:p>
    <w:p w14:paraId="7850A706">
      <w:pPr>
        <w:tabs>
          <w:tab w:val="left" w:pos="6300"/>
        </w:tabs>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702D9C12">
      <w:pPr>
        <w:keepNext w:val="0"/>
        <w:keepLines w:val="0"/>
        <w:pageBreakBefore w:val="0"/>
        <w:widowControl w:val="0"/>
        <w:kinsoku w:val="0"/>
        <w:wordWrap/>
        <w:topLinePunct w:val="0"/>
        <w:autoSpaceDE w:val="0"/>
        <w:autoSpaceDN w:val="0"/>
        <w:bidi w:val="0"/>
        <w:adjustRightInd w:val="0"/>
        <w:snapToGrid w:val="0"/>
        <w:spacing w:line="500" w:lineRule="exact"/>
        <w:ind w:firstLine="480" w:firstLineChars="200"/>
        <w:jc w:val="right"/>
        <w:rPr>
          <w:rFonts w:hint="eastAsia" w:ascii="宋体" w:hAnsi="宋体" w:eastAsia="宋体" w:cs="宋体"/>
          <w:color w:val="000000" w:themeColor="text1"/>
          <w:sz w:val="24"/>
          <w:szCs w:val="24"/>
          <w:highlight w:val="none"/>
          <w14:textFill>
            <w14:solidFill>
              <w14:schemeClr w14:val="tx1"/>
            </w14:solidFill>
          </w14:textFill>
        </w:rPr>
        <w:sectPr>
          <w:headerReference r:id="rId8" w:type="default"/>
          <w:footerReference r:id="rId9" w:type="default"/>
          <w:pgSz w:w="11906" w:h="16838"/>
          <w:pgMar w:top="2098" w:right="1474" w:bottom="1984" w:left="1587" w:header="850" w:footer="1587" w:gutter="0"/>
          <w:pgBorders>
            <w:top w:val="none" w:sz="0" w:space="0"/>
            <w:left w:val="none" w:sz="0" w:space="0"/>
            <w:bottom w:val="none" w:sz="0" w:space="0"/>
            <w:right w:val="none" w:sz="0" w:space="0"/>
          </w:pgBorders>
          <w:pgNumType w:fmt="decimal"/>
          <w:cols w:space="720" w:num="1"/>
          <w:docGrid w:type="lines" w:linePitch="435" w:charSpace="0"/>
        </w:sectPr>
      </w:pPr>
      <w:r>
        <w:rPr>
          <w:rFonts w:hint="eastAsia" w:ascii="宋体" w:hAnsi="宋体" w:eastAsia="宋体" w:cs="宋体"/>
          <w:color w:val="auto"/>
          <w:sz w:val="24"/>
          <w:szCs w:val="24"/>
          <w:highlight w:val="none"/>
        </w:rPr>
        <w:t>年  月  日</w:t>
      </w:r>
    </w:p>
    <w:p w14:paraId="38AA9AE7">
      <w:pPr>
        <w:keepNext w:val="0"/>
        <w:keepLines w:val="0"/>
        <w:pageBreakBefore w:val="0"/>
        <w:widowControl w:val="0"/>
        <w:kinsoku w:val="0"/>
        <w:wordWrap/>
        <w:topLinePunct w:val="0"/>
        <w:autoSpaceDE w:val="0"/>
        <w:autoSpaceDN w:val="0"/>
        <w:bidi w:val="0"/>
        <w:adjustRightInd w:val="0"/>
        <w:snapToGrid w:val="0"/>
        <w:spacing w:line="500" w:lineRule="exact"/>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（二）竞选函附录</w:t>
      </w:r>
    </w:p>
    <w:tbl>
      <w:tblPr>
        <w:tblStyle w:val="14"/>
        <w:tblW w:w="0" w:type="auto"/>
        <w:tblInd w:w="249" w:type="dxa"/>
        <w:tblLayout w:type="fixed"/>
        <w:tblCellMar>
          <w:top w:w="0" w:type="dxa"/>
          <w:left w:w="0" w:type="dxa"/>
          <w:bottom w:w="0" w:type="dxa"/>
          <w:right w:w="0" w:type="dxa"/>
        </w:tblCellMar>
      </w:tblPr>
      <w:tblGrid>
        <w:gridCol w:w="651"/>
        <w:gridCol w:w="2336"/>
        <w:gridCol w:w="3715"/>
        <w:gridCol w:w="1140"/>
      </w:tblGrid>
      <w:tr w14:paraId="4B8D1392">
        <w:tblPrEx>
          <w:tblCellMar>
            <w:top w:w="0" w:type="dxa"/>
            <w:left w:w="0" w:type="dxa"/>
            <w:bottom w:w="0" w:type="dxa"/>
            <w:right w:w="0" w:type="dxa"/>
          </w:tblCellMar>
        </w:tblPrEx>
        <w:trPr>
          <w:trHeight w:val="450" w:hRule="exact"/>
        </w:trPr>
        <w:tc>
          <w:tcPr>
            <w:tcW w:w="651" w:type="dxa"/>
            <w:tcBorders>
              <w:top w:val="single" w:color="000000" w:sz="4" w:space="0"/>
              <w:left w:val="single" w:color="000000" w:sz="4" w:space="0"/>
              <w:bottom w:val="single" w:color="000000" w:sz="6" w:space="0"/>
              <w:right w:val="single" w:color="000000" w:sz="6" w:space="0"/>
            </w:tcBorders>
            <w:vAlign w:val="center"/>
          </w:tcPr>
          <w:p w14:paraId="66573F3A">
            <w:pPr>
              <w:keepNext w:val="0"/>
              <w:keepLines w:val="0"/>
              <w:pageBreakBefore w:val="0"/>
              <w:widowControl w:val="0"/>
              <w:kinsoku/>
              <w:wordWrap/>
              <w:overflowPunct/>
              <w:topLinePunct w:val="0"/>
              <w:autoSpaceDE w:val="0"/>
              <w:autoSpaceDN w:val="0"/>
              <w:bidi w:val="0"/>
              <w:adjustRightInd w:val="0"/>
              <w:snapToGrid/>
              <w:spacing w:line="320" w:lineRule="exact"/>
              <w:ind w:left="0" w:right="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2336" w:type="dxa"/>
            <w:tcBorders>
              <w:top w:val="single" w:color="000000" w:sz="4" w:space="0"/>
              <w:left w:val="single" w:color="000000" w:sz="6" w:space="0"/>
              <w:bottom w:val="single" w:color="000000" w:sz="6" w:space="0"/>
              <w:right w:val="single" w:color="000000" w:sz="6" w:space="0"/>
            </w:tcBorders>
            <w:vAlign w:val="center"/>
          </w:tcPr>
          <w:p w14:paraId="44F43909">
            <w:pPr>
              <w:keepNext w:val="0"/>
              <w:keepLines w:val="0"/>
              <w:pageBreakBefore w:val="0"/>
              <w:widowControl w:val="0"/>
              <w:kinsoku/>
              <w:wordWrap/>
              <w:overflowPunct/>
              <w:topLinePunct w:val="0"/>
              <w:autoSpaceDE w:val="0"/>
              <w:autoSpaceDN w:val="0"/>
              <w:bidi w:val="0"/>
              <w:adjustRightInd w:val="0"/>
              <w:snapToGrid/>
              <w:spacing w:line="320" w:lineRule="exact"/>
              <w:ind w:left="0" w:right="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条款名称</w:t>
            </w:r>
          </w:p>
        </w:tc>
        <w:tc>
          <w:tcPr>
            <w:tcW w:w="3715" w:type="dxa"/>
            <w:tcBorders>
              <w:top w:val="single" w:color="000000" w:sz="4" w:space="0"/>
              <w:left w:val="single" w:color="000000" w:sz="6" w:space="0"/>
              <w:bottom w:val="single" w:color="000000" w:sz="6" w:space="0"/>
              <w:right w:val="single" w:color="000000" w:sz="6" w:space="0"/>
            </w:tcBorders>
            <w:vAlign w:val="center"/>
          </w:tcPr>
          <w:p w14:paraId="6E92F62C">
            <w:pPr>
              <w:keepNext w:val="0"/>
              <w:keepLines w:val="0"/>
              <w:pageBreakBefore w:val="0"/>
              <w:widowControl w:val="0"/>
              <w:kinsoku/>
              <w:wordWrap/>
              <w:overflowPunct/>
              <w:topLinePunct w:val="0"/>
              <w:autoSpaceDE w:val="0"/>
              <w:autoSpaceDN w:val="0"/>
              <w:bidi w:val="0"/>
              <w:adjustRightInd w:val="0"/>
              <w:snapToGrid/>
              <w:spacing w:line="320" w:lineRule="exact"/>
              <w:ind w:left="0" w:right="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约定内容</w:t>
            </w:r>
          </w:p>
        </w:tc>
        <w:tc>
          <w:tcPr>
            <w:tcW w:w="1140" w:type="dxa"/>
            <w:tcBorders>
              <w:top w:val="single" w:color="000000" w:sz="4" w:space="0"/>
              <w:left w:val="single" w:color="000000" w:sz="6" w:space="0"/>
              <w:bottom w:val="single" w:color="000000" w:sz="6" w:space="0"/>
              <w:right w:val="single" w:color="000000" w:sz="4" w:space="0"/>
            </w:tcBorders>
            <w:vAlign w:val="center"/>
          </w:tcPr>
          <w:p w14:paraId="18B87DF8">
            <w:pPr>
              <w:autoSpaceDE w:val="0"/>
              <w:autoSpaceDN w:val="0"/>
              <w:adjustRightInd w:val="0"/>
              <w:spacing w:line="360" w:lineRule="auto"/>
              <w:ind w:left="143" w:right="-20" w:firstLine="1579" w:firstLineChars="658"/>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注</w:t>
            </w:r>
          </w:p>
        </w:tc>
      </w:tr>
      <w:tr w14:paraId="411E3E3F">
        <w:tblPrEx>
          <w:tblCellMar>
            <w:top w:w="0" w:type="dxa"/>
            <w:left w:w="0" w:type="dxa"/>
            <w:bottom w:w="0" w:type="dxa"/>
            <w:right w:w="0" w:type="dxa"/>
          </w:tblCellMar>
        </w:tblPrEx>
        <w:trPr>
          <w:trHeight w:val="450" w:hRule="exact"/>
        </w:trPr>
        <w:tc>
          <w:tcPr>
            <w:tcW w:w="651" w:type="dxa"/>
            <w:tcBorders>
              <w:top w:val="single" w:color="000000" w:sz="6" w:space="0"/>
              <w:left w:val="single" w:color="000000" w:sz="4" w:space="0"/>
              <w:bottom w:val="single" w:color="000000" w:sz="6" w:space="0"/>
              <w:right w:val="single" w:color="000000" w:sz="6" w:space="0"/>
            </w:tcBorders>
            <w:vAlign w:val="center"/>
          </w:tcPr>
          <w:p w14:paraId="3D8D2E1C">
            <w:pPr>
              <w:keepNext w:val="0"/>
              <w:keepLines w:val="0"/>
              <w:pageBreakBefore w:val="0"/>
              <w:widowControl w:val="0"/>
              <w:kinsoku/>
              <w:wordWrap/>
              <w:overflowPunct/>
              <w:topLinePunct w:val="0"/>
              <w:autoSpaceDE w:val="0"/>
              <w:autoSpaceDN w:val="0"/>
              <w:bidi w:val="0"/>
              <w:adjustRightInd w:val="0"/>
              <w:snapToGrid/>
              <w:spacing w:line="320" w:lineRule="exact"/>
              <w:ind w:left="0" w:right="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c>
          <w:tcPr>
            <w:tcW w:w="2336" w:type="dxa"/>
            <w:tcBorders>
              <w:top w:val="single" w:color="000000" w:sz="6" w:space="0"/>
              <w:left w:val="single" w:color="000000" w:sz="6" w:space="0"/>
              <w:bottom w:val="single" w:color="000000" w:sz="6" w:space="0"/>
              <w:right w:val="single" w:color="000000" w:sz="6" w:space="0"/>
            </w:tcBorders>
            <w:vAlign w:val="center"/>
          </w:tcPr>
          <w:p w14:paraId="6BE7A738">
            <w:pPr>
              <w:keepNext w:val="0"/>
              <w:keepLines w:val="0"/>
              <w:pageBreakBefore w:val="0"/>
              <w:widowControl w:val="0"/>
              <w:kinsoku/>
              <w:wordWrap/>
              <w:overflowPunct/>
              <w:topLinePunct w:val="0"/>
              <w:autoSpaceDE w:val="0"/>
              <w:autoSpaceDN w:val="0"/>
              <w:bidi w:val="0"/>
              <w:adjustRightInd w:val="0"/>
              <w:snapToGrid/>
              <w:spacing w:line="320" w:lineRule="exact"/>
              <w:ind w:left="0" w:right="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项目经理</w:t>
            </w:r>
          </w:p>
        </w:tc>
        <w:tc>
          <w:tcPr>
            <w:tcW w:w="3715" w:type="dxa"/>
            <w:tcBorders>
              <w:top w:val="single" w:color="000000" w:sz="6" w:space="0"/>
              <w:left w:val="single" w:color="000000" w:sz="6" w:space="0"/>
              <w:bottom w:val="single" w:color="000000" w:sz="6" w:space="0"/>
              <w:right w:val="single" w:color="000000" w:sz="6" w:space="0"/>
            </w:tcBorders>
            <w:vAlign w:val="center"/>
          </w:tcPr>
          <w:p w14:paraId="7235F73E">
            <w:pPr>
              <w:keepNext w:val="0"/>
              <w:keepLines w:val="0"/>
              <w:pageBreakBefore w:val="0"/>
              <w:widowControl w:val="0"/>
              <w:tabs>
                <w:tab w:val="left" w:pos="1560"/>
              </w:tabs>
              <w:kinsoku/>
              <w:wordWrap/>
              <w:overflowPunct/>
              <w:topLinePunct w:val="0"/>
              <w:autoSpaceDE w:val="0"/>
              <w:autoSpaceDN w:val="0"/>
              <w:bidi w:val="0"/>
              <w:adjustRightInd w:val="0"/>
              <w:snapToGrid/>
              <w:spacing w:line="320" w:lineRule="exact"/>
              <w:ind w:left="0" w:right="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姓名：</w:t>
            </w:r>
          </w:p>
        </w:tc>
        <w:tc>
          <w:tcPr>
            <w:tcW w:w="1140" w:type="dxa"/>
            <w:tcBorders>
              <w:top w:val="single" w:color="000000" w:sz="6" w:space="0"/>
              <w:left w:val="single" w:color="000000" w:sz="6" w:space="0"/>
              <w:bottom w:val="single" w:color="000000" w:sz="6" w:space="0"/>
              <w:right w:val="single" w:color="000000" w:sz="4" w:space="0"/>
            </w:tcBorders>
            <w:vAlign w:val="center"/>
          </w:tcPr>
          <w:p w14:paraId="50B8FEAB">
            <w:pPr>
              <w:autoSpaceDE w:val="0"/>
              <w:autoSpaceDN w:val="0"/>
              <w:adjustRightInd w:val="0"/>
              <w:spacing w:line="360" w:lineRule="auto"/>
              <w:ind w:firstLine="1579" w:firstLineChars="658"/>
              <w:jc w:val="center"/>
              <w:rPr>
                <w:rFonts w:hint="eastAsia" w:ascii="宋体" w:hAnsi="宋体" w:eastAsia="宋体" w:cs="宋体"/>
                <w:snapToGrid w:val="0"/>
                <w:color w:val="auto"/>
                <w:kern w:val="0"/>
                <w:sz w:val="24"/>
                <w:szCs w:val="24"/>
                <w:highlight w:val="none"/>
              </w:rPr>
            </w:pPr>
          </w:p>
        </w:tc>
      </w:tr>
      <w:tr w14:paraId="49740A81">
        <w:tblPrEx>
          <w:tblCellMar>
            <w:top w:w="0" w:type="dxa"/>
            <w:left w:w="0" w:type="dxa"/>
            <w:bottom w:w="0" w:type="dxa"/>
            <w:right w:w="0" w:type="dxa"/>
          </w:tblCellMar>
        </w:tblPrEx>
        <w:trPr>
          <w:trHeight w:val="450" w:hRule="exact"/>
        </w:trPr>
        <w:tc>
          <w:tcPr>
            <w:tcW w:w="651" w:type="dxa"/>
            <w:tcBorders>
              <w:top w:val="single" w:color="000000" w:sz="6" w:space="0"/>
              <w:left w:val="single" w:color="000000" w:sz="4" w:space="0"/>
              <w:bottom w:val="single" w:color="000000" w:sz="6" w:space="0"/>
              <w:right w:val="single" w:color="000000" w:sz="6" w:space="0"/>
            </w:tcBorders>
            <w:vAlign w:val="center"/>
          </w:tcPr>
          <w:p w14:paraId="38F4E076">
            <w:pPr>
              <w:keepNext w:val="0"/>
              <w:keepLines w:val="0"/>
              <w:pageBreakBefore w:val="0"/>
              <w:widowControl w:val="0"/>
              <w:kinsoku/>
              <w:wordWrap/>
              <w:overflowPunct/>
              <w:topLinePunct w:val="0"/>
              <w:autoSpaceDE w:val="0"/>
              <w:autoSpaceDN w:val="0"/>
              <w:bidi w:val="0"/>
              <w:adjustRightInd w:val="0"/>
              <w:snapToGrid/>
              <w:spacing w:line="320" w:lineRule="exact"/>
              <w:ind w:left="0" w:right="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p>
        </w:tc>
        <w:tc>
          <w:tcPr>
            <w:tcW w:w="2336" w:type="dxa"/>
            <w:tcBorders>
              <w:top w:val="single" w:color="000000" w:sz="6" w:space="0"/>
              <w:left w:val="single" w:color="000000" w:sz="6" w:space="0"/>
              <w:bottom w:val="single" w:color="000000" w:sz="6" w:space="0"/>
              <w:right w:val="single" w:color="000000" w:sz="6" w:space="0"/>
            </w:tcBorders>
            <w:vAlign w:val="center"/>
          </w:tcPr>
          <w:p w14:paraId="4EC34AB6">
            <w:pPr>
              <w:keepNext w:val="0"/>
              <w:keepLines w:val="0"/>
              <w:pageBreakBefore w:val="0"/>
              <w:widowControl w:val="0"/>
              <w:kinsoku/>
              <w:wordWrap/>
              <w:overflowPunct/>
              <w:topLinePunct w:val="0"/>
              <w:autoSpaceDE w:val="0"/>
              <w:autoSpaceDN w:val="0"/>
              <w:bidi w:val="0"/>
              <w:adjustRightInd w:val="0"/>
              <w:snapToGrid/>
              <w:spacing w:line="320" w:lineRule="exact"/>
              <w:ind w:left="0" w:right="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工期</w:t>
            </w:r>
          </w:p>
        </w:tc>
        <w:tc>
          <w:tcPr>
            <w:tcW w:w="3715" w:type="dxa"/>
            <w:tcBorders>
              <w:top w:val="single" w:color="000000" w:sz="6" w:space="0"/>
              <w:left w:val="single" w:color="000000" w:sz="6" w:space="0"/>
              <w:bottom w:val="single" w:color="000000" w:sz="6" w:space="0"/>
              <w:right w:val="single" w:color="000000" w:sz="6" w:space="0"/>
            </w:tcBorders>
            <w:vAlign w:val="center"/>
          </w:tcPr>
          <w:p w14:paraId="39BF945E">
            <w:pPr>
              <w:keepNext w:val="0"/>
              <w:keepLines w:val="0"/>
              <w:pageBreakBefore w:val="0"/>
              <w:widowControl w:val="0"/>
              <w:tabs>
                <w:tab w:val="left" w:pos="1560"/>
              </w:tabs>
              <w:kinsoku/>
              <w:wordWrap/>
              <w:overflowPunct/>
              <w:topLinePunct w:val="0"/>
              <w:autoSpaceDE w:val="0"/>
              <w:autoSpaceDN w:val="0"/>
              <w:bidi w:val="0"/>
              <w:adjustRightInd w:val="0"/>
              <w:snapToGrid/>
              <w:spacing w:line="320" w:lineRule="exact"/>
              <w:ind w:left="0" w:right="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天数：</w:t>
            </w:r>
            <w:r>
              <w:rPr>
                <w:rFonts w:hint="eastAsia" w:ascii="宋体" w:hAnsi="宋体" w:eastAsia="宋体" w:cs="宋体"/>
                <w:snapToGrid w:val="0"/>
                <w:color w:val="auto"/>
                <w:kern w:val="0"/>
                <w:sz w:val="24"/>
                <w:szCs w:val="24"/>
                <w:highlight w:val="none"/>
                <w:u w:val="single"/>
              </w:rPr>
              <w:tab/>
            </w:r>
            <w:r>
              <w:rPr>
                <w:rFonts w:hint="eastAsia" w:ascii="宋体" w:hAnsi="宋体" w:eastAsia="宋体" w:cs="宋体"/>
                <w:snapToGrid w:val="0"/>
                <w:color w:val="auto"/>
                <w:kern w:val="0"/>
                <w:sz w:val="24"/>
                <w:szCs w:val="24"/>
                <w:highlight w:val="none"/>
              </w:rPr>
              <w:t>日历天</w:t>
            </w:r>
          </w:p>
        </w:tc>
        <w:tc>
          <w:tcPr>
            <w:tcW w:w="1140" w:type="dxa"/>
            <w:tcBorders>
              <w:top w:val="single" w:color="000000" w:sz="6" w:space="0"/>
              <w:left w:val="single" w:color="000000" w:sz="6" w:space="0"/>
              <w:bottom w:val="single" w:color="000000" w:sz="6" w:space="0"/>
              <w:right w:val="single" w:color="000000" w:sz="4" w:space="0"/>
            </w:tcBorders>
            <w:vAlign w:val="center"/>
          </w:tcPr>
          <w:p w14:paraId="7CCAB0EF">
            <w:pPr>
              <w:autoSpaceDE w:val="0"/>
              <w:autoSpaceDN w:val="0"/>
              <w:adjustRightInd w:val="0"/>
              <w:spacing w:line="360" w:lineRule="auto"/>
              <w:ind w:firstLine="1579" w:firstLineChars="658"/>
              <w:jc w:val="center"/>
              <w:rPr>
                <w:rFonts w:hint="eastAsia" w:ascii="宋体" w:hAnsi="宋体" w:eastAsia="宋体" w:cs="宋体"/>
                <w:snapToGrid w:val="0"/>
                <w:color w:val="auto"/>
                <w:kern w:val="0"/>
                <w:sz w:val="24"/>
                <w:szCs w:val="24"/>
                <w:highlight w:val="none"/>
              </w:rPr>
            </w:pPr>
          </w:p>
        </w:tc>
      </w:tr>
      <w:tr w14:paraId="70E13D47">
        <w:tblPrEx>
          <w:tblCellMar>
            <w:top w:w="0" w:type="dxa"/>
            <w:left w:w="0" w:type="dxa"/>
            <w:bottom w:w="0" w:type="dxa"/>
            <w:right w:w="0" w:type="dxa"/>
          </w:tblCellMar>
        </w:tblPrEx>
        <w:trPr>
          <w:trHeight w:val="450" w:hRule="exact"/>
        </w:trPr>
        <w:tc>
          <w:tcPr>
            <w:tcW w:w="651" w:type="dxa"/>
            <w:tcBorders>
              <w:top w:val="single" w:color="000000" w:sz="6" w:space="0"/>
              <w:left w:val="single" w:color="000000" w:sz="4" w:space="0"/>
              <w:bottom w:val="single" w:color="000000" w:sz="6" w:space="0"/>
              <w:right w:val="single" w:color="000000" w:sz="6" w:space="0"/>
            </w:tcBorders>
            <w:vAlign w:val="center"/>
          </w:tcPr>
          <w:p w14:paraId="39F65987">
            <w:pPr>
              <w:keepNext w:val="0"/>
              <w:keepLines w:val="0"/>
              <w:pageBreakBefore w:val="0"/>
              <w:widowControl w:val="0"/>
              <w:kinsoku/>
              <w:wordWrap/>
              <w:overflowPunct/>
              <w:topLinePunct w:val="0"/>
              <w:autoSpaceDE w:val="0"/>
              <w:autoSpaceDN w:val="0"/>
              <w:bidi w:val="0"/>
              <w:adjustRightInd w:val="0"/>
              <w:snapToGrid/>
              <w:spacing w:line="320" w:lineRule="exact"/>
              <w:ind w:left="0" w:right="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p>
        </w:tc>
        <w:tc>
          <w:tcPr>
            <w:tcW w:w="2336" w:type="dxa"/>
            <w:tcBorders>
              <w:top w:val="single" w:color="000000" w:sz="6" w:space="0"/>
              <w:left w:val="single" w:color="000000" w:sz="6" w:space="0"/>
              <w:bottom w:val="single" w:color="000000" w:sz="6" w:space="0"/>
              <w:right w:val="single" w:color="000000" w:sz="6" w:space="0"/>
            </w:tcBorders>
            <w:vAlign w:val="center"/>
          </w:tcPr>
          <w:p w14:paraId="64CA8939">
            <w:pPr>
              <w:keepNext w:val="0"/>
              <w:keepLines w:val="0"/>
              <w:pageBreakBefore w:val="0"/>
              <w:widowControl w:val="0"/>
              <w:kinsoku/>
              <w:wordWrap/>
              <w:overflowPunct/>
              <w:topLinePunct w:val="0"/>
              <w:autoSpaceDE w:val="0"/>
              <w:autoSpaceDN w:val="0"/>
              <w:bidi w:val="0"/>
              <w:adjustRightInd w:val="0"/>
              <w:snapToGrid/>
              <w:spacing w:line="320" w:lineRule="exact"/>
              <w:ind w:left="0" w:right="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缺陷责任期</w:t>
            </w:r>
          </w:p>
        </w:tc>
        <w:tc>
          <w:tcPr>
            <w:tcW w:w="3715" w:type="dxa"/>
            <w:tcBorders>
              <w:top w:val="single" w:color="000000" w:sz="6" w:space="0"/>
              <w:left w:val="single" w:color="000000" w:sz="6" w:space="0"/>
              <w:bottom w:val="single" w:color="000000" w:sz="6" w:space="0"/>
              <w:right w:val="single" w:color="000000" w:sz="6" w:space="0"/>
            </w:tcBorders>
            <w:vAlign w:val="center"/>
          </w:tcPr>
          <w:p w14:paraId="5E34206D">
            <w:pPr>
              <w:keepNext w:val="0"/>
              <w:keepLines w:val="0"/>
              <w:pageBreakBefore w:val="0"/>
              <w:widowControl w:val="0"/>
              <w:tabs>
                <w:tab w:val="left" w:pos="1560"/>
              </w:tabs>
              <w:kinsoku/>
              <w:wordWrap/>
              <w:overflowPunct/>
              <w:topLinePunct w:val="0"/>
              <w:autoSpaceDE w:val="0"/>
              <w:autoSpaceDN w:val="0"/>
              <w:bidi w:val="0"/>
              <w:adjustRightInd w:val="0"/>
              <w:snapToGrid/>
              <w:spacing w:line="320" w:lineRule="exact"/>
              <w:ind w:left="0" w:right="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24个月</w:t>
            </w:r>
          </w:p>
        </w:tc>
        <w:tc>
          <w:tcPr>
            <w:tcW w:w="1140" w:type="dxa"/>
            <w:tcBorders>
              <w:top w:val="single" w:color="000000" w:sz="6" w:space="0"/>
              <w:left w:val="single" w:color="000000" w:sz="6" w:space="0"/>
              <w:bottom w:val="single" w:color="000000" w:sz="6" w:space="0"/>
              <w:right w:val="single" w:color="000000" w:sz="4" w:space="0"/>
            </w:tcBorders>
            <w:vAlign w:val="center"/>
          </w:tcPr>
          <w:p w14:paraId="7B27E96C">
            <w:pPr>
              <w:autoSpaceDE w:val="0"/>
              <w:autoSpaceDN w:val="0"/>
              <w:adjustRightInd w:val="0"/>
              <w:spacing w:line="360" w:lineRule="auto"/>
              <w:ind w:firstLine="1579" w:firstLineChars="658"/>
              <w:jc w:val="center"/>
              <w:rPr>
                <w:rFonts w:hint="eastAsia" w:ascii="宋体" w:hAnsi="宋体" w:eastAsia="宋体" w:cs="宋体"/>
                <w:snapToGrid w:val="0"/>
                <w:color w:val="auto"/>
                <w:kern w:val="0"/>
                <w:sz w:val="24"/>
                <w:szCs w:val="24"/>
                <w:highlight w:val="none"/>
              </w:rPr>
            </w:pPr>
          </w:p>
        </w:tc>
      </w:tr>
    </w:tbl>
    <w:p w14:paraId="6DF489E4">
      <w:pPr>
        <w:spacing w:line="360" w:lineRule="auto"/>
        <w:rPr>
          <w:rFonts w:hint="eastAsia" w:ascii="宋体" w:hAnsi="宋体" w:eastAsia="宋体" w:cs="宋体"/>
          <w:color w:val="auto"/>
          <w:sz w:val="24"/>
          <w:szCs w:val="24"/>
          <w:highlight w:val="none"/>
        </w:rPr>
      </w:pPr>
    </w:p>
    <w:p w14:paraId="69A79E03">
      <w:pPr>
        <w:spacing w:line="360" w:lineRule="auto"/>
        <w:rPr>
          <w:rFonts w:hint="eastAsia" w:ascii="宋体" w:hAnsi="宋体" w:eastAsia="宋体" w:cs="宋体"/>
          <w:color w:val="auto"/>
          <w:sz w:val="24"/>
          <w:szCs w:val="24"/>
          <w:highlight w:val="none"/>
        </w:rPr>
      </w:pPr>
    </w:p>
    <w:p w14:paraId="3E08AE3F">
      <w:pPr>
        <w:spacing w:line="360" w:lineRule="auto"/>
        <w:rPr>
          <w:rFonts w:hint="eastAsia" w:ascii="宋体" w:hAnsi="宋体" w:eastAsia="宋体" w:cs="宋体"/>
          <w:color w:val="auto"/>
          <w:sz w:val="24"/>
          <w:szCs w:val="24"/>
          <w:highlight w:val="none"/>
        </w:rPr>
      </w:pPr>
    </w:p>
    <w:p w14:paraId="2E5FDCED">
      <w:pPr>
        <w:tabs>
          <w:tab w:val="left" w:pos="7140"/>
          <w:tab w:val="left" w:pos="7560"/>
          <w:tab w:val="left" w:pos="8300"/>
        </w:tabs>
        <w:autoSpaceDE w:val="0"/>
        <w:autoSpaceDN w:val="0"/>
        <w:adjustRightInd w:val="0"/>
        <w:spacing w:line="360" w:lineRule="auto"/>
        <w:ind w:right="210" w:firstLine="2268" w:firstLineChars="945"/>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供应商：</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 xml:space="preserve">（盖单位公章） </w:t>
      </w:r>
    </w:p>
    <w:p w14:paraId="085CD1EE">
      <w:pPr>
        <w:tabs>
          <w:tab w:val="left" w:pos="7140"/>
          <w:tab w:val="left" w:pos="7560"/>
          <w:tab w:val="left" w:pos="8300"/>
        </w:tabs>
        <w:autoSpaceDE w:val="0"/>
        <w:autoSpaceDN w:val="0"/>
        <w:adjustRightInd w:val="0"/>
        <w:spacing w:line="360" w:lineRule="auto"/>
        <w:ind w:right="210" w:firstLine="2280" w:firstLineChars="95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法定代表人或其委托代理人：</w:t>
      </w:r>
      <w:r>
        <w:rPr>
          <w:rFonts w:hint="eastAsia" w:ascii="宋体" w:hAnsi="宋体" w:eastAsia="宋体" w:cs="宋体"/>
          <w:snapToGrid w:val="0"/>
          <w:color w:val="auto"/>
          <w:kern w:val="0"/>
          <w:sz w:val="24"/>
          <w:szCs w:val="24"/>
          <w:highlight w:val="none"/>
          <w:u w:val="single"/>
        </w:rPr>
        <w:tab/>
      </w:r>
      <w:r>
        <w:rPr>
          <w:rFonts w:hint="eastAsia" w:ascii="宋体" w:hAnsi="宋体" w:eastAsia="宋体" w:cs="宋体"/>
          <w:snapToGrid w:val="0"/>
          <w:color w:val="auto"/>
          <w:kern w:val="0"/>
          <w:sz w:val="24"/>
          <w:szCs w:val="24"/>
          <w:highlight w:val="none"/>
        </w:rPr>
        <w:t xml:space="preserve">（签字） </w:t>
      </w:r>
    </w:p>
    <w:p w14:paraId="69A54F4D">
      <w:pPr>
        <w:keepNext w:val="0"/>
        <w:keepLines w:val="0"/>
        <w:pageBreakBefore w:val="0"/>
        <w:widowControl w:val="0"/>
        <w:kinsoku w:val="0"/>
        <w:wordWrap/>
        <w:topLinePunct w:val="0"/>
        <w:autoSpaceDE w:val="0"/>
        <w:autoSpaceDN w:val="0"/>
        <w:bidi w:val="0"/>
        <w:adjustRightInd w:val="0"/>
        <w:snapToGrid w:val="0"/>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sectPr>
          <w:pgSz w:w="11906" w:h="16838"/>
          <w:pgMar w:top="1304" w:right="1134" w:bottom="1134" w:left="1701" w:header="720" w:footer="720" w:gutter="0"/>
          <w:pgBorders>
            <w:top w:val="none" w:sz="0" w:space="0"/>
            <w:left w:val="none" w:sz="0" w:space="0"/>
            <w:bottom w:val="none" w:sz="0" w:space="0"/>
            <w:right w:val="none" w:sz="0" w:space="0"/>
          </w:pgBorders>
          <w:pgNumType w:fmt="decimal"/>
          <w:cols w:space="0" w:num="1"/>
          <w:titlePg/>
          <w:rtlGutter w:val="0"/>
          <w:docGrid w:linePitch="435" w:charSpace="0"/>
        </w:sectPr>
      </w:pPr>
    </w:p>
    <w:p w14:paraId="66FAFB53">
      <w:pPr>
        <w:keepNext w:val="0"/>
        <w:keepLines w:val="0"/>
        <w:pageBreakBefore w:val="0"/>
        <w:widowControl w:val="0"/>
        <w:kinsoku w:val="0"/>
        <w:wordWrap/>
        <w:topLinePunct w:val="0"/>
        <w:autoSpaceDE w:val="0"/>
        <w:autoSpaceDN w:val="0"/>
        <w:bidi w:val="0"/>
        <w:adjustRightInd w:val="0"/>
        <w:snapToGrid w:val="0"/>
        <w:spacing w:before="260" w:after="260" w:line="500" w:lineRule="exact"/>
        <w:ind w:firstLine="643" w:firstLineChars="200"/>
        <w:outlineLvl w:val="9"/>
        <w:rPr>
          <w:rFonts w:hint="eastAsia" w:ascii="宋体" w:hAnsi="宋体" w:eastAsia="宋体" w:cs="宋体"/>
          <w:b/>
          <w:color w:val="000000" w:themeColor="text1"/>
          <w:sz w:val="32"/>
          <w:szCs w:val="28"/>
          <w:highlight w:val="none"/>
          <w14:textFill>
            <w14:solidFill>
              <w14:schemeClr w14:val="tx1"/>
            </w14:solidFill>
          </w14:textFill>
        </w:rPr>
      </w:pPr>
      <w:bookmarkStart w:id="877" w:name="_Toc7069"/>
      <w:bookmarkStart w:id="878" w:name="_Toc22113"/>
      <w:bookmarkStart w:id="879" w:name="_Toc14954"/>
      <w:bookmarkStart w:id="880" w:name="_Toc32417"/>
      <w:bookmarkStart w:id="881" w:name="_Toc5573"/>
      <w:bookmarkStart w:id="882" w:name="_Toc5257"/>
      <w:bookmarkStart w:id="883" w:name="_Toc10372"/>
      <w:bookmarkStart w:id="884" w:name="_Toc32670"/>
      <w:bookmarkStart w:id="885" w:name="_Toc6786"/>
      <w:bookmarkStart w:id="886" w:name="_Toc23523"/>
      <w:bookmarkStart w:id="887" w:name="_Toc30496"/>
      <w:bookmarkStart w:id="888" w:name="_Toc75793542"/>
      <w:bookmarkStart w:id="889" w:name="_Toc4362"/>
      <w:bookmarkStart w:id="890" w:name="_Toc8958"/>
      <w:bookmarkStart w:id="891" w:name="_Toc26494"/>
      <w:bookmarkStart w:id="892" w:name="_Toc492721039"/>
      <w:bookmarkStart w:id="893" w:name="_Toc17290"/>
      <w:bookmarkStart w:id="894" w:name="_Toc28242"/>
      <w:bookmarkStart w:id="895" w:name="_Toc493178791"/>
      <w:bookmarkStart w:id="896" w:name="_Toc106030419"/>
      <w:r>
        <w:rPr>
          <w:rFonts w:hint="eastAsia" w:ascii="宋体" w:hAnsi="宋体" w:cs="宋体"/>
          <w:b/>
          <w:color w:val="000000" w:themeColor="text1"/>
          <w:sz w:val="32"/>
          <w:szCs w:val="28"/>
          <w:highlight w:val="none"/>
          <w:lang w:val="en-US" w:eastAsia="zh-CN"/>
          <w14:textFill>
            <w14:solidFill>
              <w14:schemeClr w14:val="tx1"/>
            </w14:solidFill>
          </w14:textFill>
        </w:rPr>
        <w:t>二</w:t>
      </w:r>
      <w:r>
        <w:rPr>
          <w:rFonts w:hint="eastAsia" w:ascii="宋体" w:hAnsi="宋体" w:eastAsia="宋体" w:cs="宋体"/>
          <w:b/>
          <w:color w:val="000000" w:themeColor="text1"/>
          <w:sz w:val="32"/>
          <w:szCs w:val="28"/>
          <w:highlight w:val="none"/>
          <w14:textFill>
            <w14:solidFill>
              <w14:schemeClr w14:val="tx1"/>
            </w14:solidFill>
          </w14:textFill>
        </w:rPr>
        <w:t>、商务文件</w:t>
      </w:r>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14:paraId="4ED690BD">
      <w:pPr>
        <w:rPr>
          <w:rFonts w:ascii="宋体" w:hAnsi="宋体" w:cs="宋体"/>
          <w:color w:val="auto"/>
          <w:sz w:val="24"/>
          <w:szCs w:val="32"/>
          <w:highlight w:val="none"/>
        </w:rPr>
      </w:pPr>
      <w:r>
        <w:rPr>
          <w:rFonts w:hint="eastAsia" w:ascii="宋体" w:hAnsi="宋体" w:cs="宋体"/>
          <w:color w:val="auto"/>
          <w:sz w:val="24"/>
          <w:szCs w:val="32"/>
          <w:highlight w:val="none"/>
        </w:rPr>
        <w:t>已标价工程量清单纸质版</w:t>
      </w:r>
    </w:p>
    <w:p w14:paraId="752BE3E0">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57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8"/>
          <w:szCs w:val="44"/>
          <w:highlight w:val="none"/>
          <w14:textFill>
            <w14:solidFill>
              <w14:schemeClr w14:val="tx1"/>
            </w14:solidFill>
          </w14:textFill>
        </w:rPr>
        <w:br w:type="page"/>
      </w:r>
    </w:p>
    <w:p w14:paraId="7AAAEAE8">
      <w:pPr>
        <w:keepNext w:val="0"/>
        <w:keepLines w:val="0"/>
        <w:pageBreakBefore w:val="0"/>
        <w:widowControl w:val="0"/>
        <w:kinsoku w:val="0"/>
        <w:wordWrap/>
        <w:topLinePunct w:val="0"/>
        <w:autoSpaceDE w:val="0"/>
        <w:autoSpaceDN w:val="0"/>
        <w:bidi w:val="0"/>
        <w:adjustRightInd w:val="0"/>
        <w:snapToGrid w:val="0"/>
        <w:spacing w:before="260" w:after="260" w:line="500" w:lineRule="exact"/>
        <w:ind w:firstLine="643" w:firstLineChars="200"/>
        <w:outlineLvl w:val="9"/>
        <w:rPr>
          <w:rFonts w:hint="eastAsia" w:ascii="宋体" w:hAnsi="宋体" w:eastAsia="宋体" w:cs="宋体"/>
          <w:b/>
          <w:color w:val="000000" w:themeColor="text1"/>
          <w:sz w:val="32"/>
          <w:szCs w:val="28"/>
          <w:highlight w:val="none"/>
          <w:lang w:val="en-US" w:eastAsia="zh-CN"/>
          <w14:textFill>
            <w14:solidFill>
              <w14:schemeClr w14:val="tx1"/>
            </w14:solidFill>
          </w14:textFill>
        </w:rPr>
      </w:pPr>
      <w:r>
        <w:rPr>
          <w:rFonts w:hint="eastAsia" w:ascii="宋体" w:hAnsi="宋体" w:cs="宋体"/>
          <w:b/>
          <w:color w:val="000000" w:themeColor="text1"/>
          <w:sz w:val="32"/>
          <w:szCs w:val="28"/>
          <w:highlight w:val="none"/>
          <w:lang w:val="en-US" w:eastAsia="zh-CN"/>
          <w14:textFill>
            <w14:solidFill>
              <w14:schemeClr w14:val="tx1"/>
            </w14:solidFill>
          </w14:textFill>
        </w:rPr>
        <w:t>三</w:t>
      </w:r>
      <w:r>
        <w:rPr>
          <w:rFonts w:hint="eastAsia" w:ascii="宋体" w:hAnsi="宋体" w:eastAsia="宋体" w:cs="宋体"/>
          <w:b/>
          <w:color w:val="000000" w:themeColor="text1"/>
          <w:sz w:val="32"/>
          <w:szCs w:val="28"/>
          <w:highlight w:val="none"/>
          <w:lang w:val="en-US" w:eastAsia="zh-CN"/>
          <w14:textFill>
            <w14:solidFill>
              <w14:schemeClr w14:val="tx1"/>
            </w14:solidFill>
          </w14:textFill>
        </w:rPr>
        <w:t>、技术方案</w:t>
      </w:r>
    </w:p>
    <w:p w14:paraId="3236CED4">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57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w:t>
      </w:r>
      <w:r>
        <w:rPr>
          <w:rFonts w:hint="eastAsia" w:ascii="宋体" w:hAnsi="宋体" w:cs="宋体"/>
          <w:color w:val="000000" w:themeColor="text1"/>
          <w:sz w:val="24"/>
          <w:szCs w:val="28"/>
          <w:highlight w:val="none"/>
          <w:lang w:eastAsia="zh-CN"/>
          <w14:textFill>
            <w14:solidFill>
              <w14:schemeClr w14:val="tx1"/>
            </w14:solidFill>
          </w14:textFill>
        </w:rPr>
        <w:t>供应商</w:t>
      </w:r>
      <w:r>
        <w:rPr>
          <w:rFonts w:hint="eastAsia" w:ascii="宋体" w:hAnsi="宋体" w:eastAsia="宋体" w:cs="宋体"/>
          <w:color w:val="000000" w:themeColor="text1"/>
          <w:sz w:val="24"/>
          <w:szCs w:val="28"/>
          <w:highlight w:val="none"/>
          <w14:textFill>
            <w14:solidFill>
              <w14:schemeClr w14:val="tx1"/>
            </w14:solidFill>
          </w14:textFill>
        </w:rPr>
        <w:t>编制技术方案的要求：编制时应采用文字并结合图表形式说明施工方法； 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疫情防控等。</w:t>
      </w:r>
    </w:p>
    <w:p w14:paraId="40D5E3E2">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57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 xml:space="preserve">2.技术方案除采用文字表述外可附下列图表，图表及格式要求附后。 </w:t>
      </w:r>
    </w:p>
    <w:p w14:paraId="536E2E1D">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570"/>
        <w:rPr>
          <w:rFonts w:hint="eastAsia" w:ascii="宋体" w:hAnsi="宋体" w:eastAsia="宋体" w:cs="宋体"/>
          <w:color w:val="000000" w:themeColor="text1"/>
          <w:sz w:val="24"/>
          <w:szCs w:val="28"/>
          <w:highlight w:val="none"/>
          <w14:textFill>
            <w14:solidFill>
              <w14:schemeClr w14:val="tx1"/>
            </w14:solidFill>
          </w14:textFill>
        </w:rPr>
      </w:pPr>
    </w:p>
    <w:p w14:paraId="4D6949E6">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57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附表一  劳动力计划表</w:t>
      </w:r>
    </w:p>
    <w:p w14:paraId="2F2901CD">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57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附表</w:t>
      </w:r>
      <w:r>
        <w:rPr>
          <w:rFonts w:hint="eastAsia" w:ascii="宋体" w:hAnsi="宋体" w:cs="宋体"/>
          <w:color w:val="000000" w:themeColor="text1"/>
          <w:sz w:val="24"/>
          <w:szCs w:val="28"/>
          <w:highlight w:val="none"/>
          <w:lang w:eastAsia="zh-CN"/>
          <w14:textFill>
            <w14:solidFill>
              <w14:schemeClr w14:val="tx1"/>
            </w14:solidFill>
          </w14:textFill>
        </w:rPr>
        <w:t>二</w:t>
      </w:r>
      <w:r>
        <w:rPr>
          <w:rFonts w:hint="eastAsia" w:ascii="宋体" w:hAnsi="宋体" w:eastAsia="宋体" w:cs="宋体"/>
          <w:color w:val="000000" w:themeColor="text1"/>
          <w:sz w:val="24"/>
          <w:szCs w:val="28"/>
          <w:highlight w:val="none"/>
          <w14:textFill>
            <w14:solidFill>
              <w14:schemeClr w14:val="tx1"/>
            </w14:solidFill>
          </w14:textFill>
        </w:rPr>
        <w:t xml:space="preserve">  计划开、竣工日期和施工进度网络图</w:t>
      </w:r>
    </w:p>
    <w:p w14:paraId="552F736B">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57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附表</w:t>
      </w:r>
      <w:r>
        <w:rPr>
          <w:rFonts w:hint="eastAsia" w:ascii="宋体" w:hAnsi="宋体" w:cs="宋体"/>
          <w:color w:val="000000" w:themeColor="text1"/>
          <w:sz w:val="24"/>
          <w:szCs w:val="28"/>
          <w:highlight w:val="none"/>
          <w:lang w:eastAsia="zh-CN"/>
          <w14:textFill>
            <w14:solidFill>
              <w14:schemeClr w14:val="tx1"/>
            </w14:solidFill>
          </w14:textFill>
        </w:rPr>
        <w:t>三</w:t>
      </w:r>
      <w:r>
        <w:rPr>
          <w:rFonts w:hint="eastAsia" w:ascii="宋体" w:hAnsi="宋体" w:eastAsia="宋体" w:cs="宋体"/>
          <w:color w:val="000000" w:themeColor="text1"/>
          <w:sz w:val="24"/>
          <w:szCs w:val="28"/>
          <w:highlight w:val="none"/>
          <w14:textFill>
            <w14:solidFill>
              <w14:schemeClr w14:val="tx1"/>
            </w14:solidFill>
          </w14:textFill>
        </w:rPr>
        <w:t xml:space="preserve">  施工总平面图</w:t>
      </w:r>
    </w:p>
    <w:p w14:paraId="5277AC7C">
      <w:pPr>
        <w:jc w:val="both"/>
        <w:rPr>
          <w:rFonts w:ascii="宋体" w:hAnsi="宋体" w:cs="宋体"/>
          <w:color w:val="auto"/>
          <w:sz w:val="32"/>
          <w:szCs w:val="32"/>
          <w:highlight w:val="none"/>
        </w:rPr>
      </w:pPr>
      <w:r>
        <w:rPr>
          <w:rFonts w:hint="eastAsia" w:ascii="宋体" w:hAnsi="宋体" w:eastAsia="宋体" w:cs="宋体"/>
          <w:color w:val="000000" w:themeColor="text1"/>
          <w:sz w:val="28"/>
          <w:szCs w:val="28"/>
          <w:highlight w:val="none"/>
          <w14:textFill>
            <w14:solidFill>
              <w14:schemeClr w14:val="tx1"/>
            </w14:solidFill>
          </w14:textFill>
        </w:rPr>
        <w:br w:type="page"/>
      </w:r>
      <w:r>
        <w:rPr>
          <w:rFonts w:hint="eastAsia" w:ascii="宋体" w:hAnsi="宋体" w:cs="宋体"/>
          <w:color w:val="auto"/>
          <w:sz w:val="32"/>
          <w:szCs w:val="32"/>
          <w:highlight w:val="none"/>
        </w:rPr>
        <w:t>附表</w:t>
      </w:r>
      <w:r>
        <w:rPr>
          <w:rFonts w:hint="eastAsia" w:ascii="宋体" w:hAnsi="宋体" w:cs="宋体"/>
          <w:color w:val="auto"/>
          <w:sz w:val="32"/>
          <w:szCs w:val="32"/>
          <w:highlight w:val="none"/>
          <w:lang w:eastAsia="zh-CN"/>
        </w:rPr>
        <w:t>一</w:t>
      </w:r>
      <w:r>
        <w:rPr>
          <w:rFonts w:hint="eastAsia" w:ascii="宋体" w:hAnsi="宋体" w:cs="宋体"/>
          <w:color w:val="auto"/>
          <w:sz w:val="32"/>
          <w:szCs w:val="32"/>
          <w:highlight w:val="none"/>
        </w:rPr>
        <w:t>：劳动力计划表</w:t>
      </w:r>
    </w:p>
    <w:p w14:paraId="79F9B3D7">
      <w:pPr>
        <w:autoSpaceDE w:val="0"/>
        <w:autoSpaceDN w:val="0"/>
        <w:adjustRightInd w:val="0"/>
        <w:snapToGrid w:val="0"/>
        <w:spacing w:line="360" w:lineRule="auto"/>
        <w:ind w:right="210"/>
        <w:jc w:val="right"/>
        <w:rPr>
          <w:rFonts w:ascii="宋体" w:hAnsi="宋体" w:cs="宋体"/>
          <w:color w:val="auto"/>
          <w:kern w:val="0"/>
          <w:sz w:val="21"/>
          <w:szCs w:val="21"/>
          <w:highlight w:val="none"/>
        </w:rPr>
      </w:pPr>
      <w:r>
        <w:rPr>
          <w:rFonts w:hint="eastAsia" w:ascii="宋体" w:hAnsi="宋体" w:cs="宋体"/>
          <w:color w:val="auto"/>
          <w:kern w:val="0"/>
          <w:sz w:val="21"/>
          <w:szCs w:val="21"/>
          <w:highlight w:val="none"/>
        </w:rPr>
        <w:t>单位：人</w:t>
      </w:r>
    </w:p>
    <w:tbl>
      <w:tblPr>
        <w:tblStyle w:val="14"/>
        <w:tblW w:w="9498"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924"/>
        <w:gridCol w:w="1453"/>
        <w:gridCol w:w="1186"/>
        <w:gridCol w:w="1188"/>
        <w:gridCol w:w="1186"/>
        <w:gridCol w:w="1188"/>
        <w:gridCol w:w="1186"/>
        <w:gridCol w:w="1187"/>
      </w:tblGrid>
      <w:tr w14:paraId="688AE3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jc w:val="center"/>
        </w:trPr>
        <w:tc>
          <w:tcPr>
            <w:tcW w:w="924" w:type="dxa"/>
            <w:vMerge w:val="restart"/>
            <w:vAlign w:val="center"/>
          </w:tcPr>
          <w:p w14:paraId="6F864BFC">
            <w:pPr>
              <w:autoSpaceDE w:val="0"/>
              <w:autoSpaceDN w:val="0"/>
              <w:adjustRightInd w:val="0"/>
              <w:snapToGrid w:val="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工种</w:t>
            </w:r>
          </w:p>
        </w:tc>
        <w:tc>
          <w:tcPr>
            <w:tcW w:w="8574" w:type="dxa"/>
            <w:gridSpan w:val="7"/>
            <w:vAlign w:val="center"/>
          </w:tcPr>
          <w:p w14:paraId="4D21040A">
            <w:pPr>
              <w:autoSpaceDE w:val="0"/>
              <w:autoSpaceDN w:val="0"/>
              <w:adjustRightInd w:val="0"/>
              <w:snapToGrid w:val="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按施工阶段投入劳动力情况</w:t>
            </w:r>
          </w:p>
        </w:tc>
      </w:tr>
      <w:tr w14:paraId="519515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jc w:val="center"/>
        </w:trPr>
        <w:tc>
          <w:tcPr>
            <w:tcW w:w="924" w:type="dxa"/>
            <w:vMerge w:val="continue"/>
          </w:tcPr>
          <w:p w14:paraId="7D52AF79">
            <w:pPr>
              <w:autoSpaceDE w:val="0"/>
              <w:autoSpaceDN w:val="0"/>
              <w:adjustRightInd w:val="0"/>
              <w:snapToGrid w:val="0"/>
              <w:rPr>
                <w:rFonts w:ascii="宋体" w:hAnsi="宋体" w:cs="宋体"/>
                <w:color w:val="auto"/>
                <w:kern w:val="0"/>
                <w:sz w:val="21"/>
                <w:szCs w:val="21"/>
                <w:highlight w:val="none"/>
              </w:rPr>
            </w:pPr>
          </w:p>
        </w:tc>
        <w:tc>
          <w:tcPr>
            <w:tcW w:w="1453" w:type="dxa"/>
          </w:tcPr>
          <w:p w14:paraId="37D5E0D0">
            <w:pPr>
              <w:autoSpaceDE w:val="0"/>
              <w:autoSpaceDN w:val="0"/>
              <w:adjustRightInd w:val="0"/>
              <w:snapToGrid w:val="0"/>
              <w:rPr>
                <w:rFonts w:ascii="宋体" w:hAnsi="宋体" w:cs="宋体"/>
                <w:color w:val="auto"/>
                <w:kern w:val="0"/>
                <w:sz w:val="21"/>
                <w:szCs w:val="21"/>
                <w:highlight w:val="none"/>
              </w:rPr>
            </w:pPr>
          </w:p>
        </w:tc>
        <w:tc>
          <w:tcPr>
            <w:tcW w:w="1186" w:type="dxa"/>
          </w:tcPr>
          <w:p w14:paraId="4134B14F">
            <w:pPr>
              <w:autoSpaceDE w:val="0"/>
              <w:autoSpaceDN w:val="0"/>
              <w:adjustRightInd w:val="0"/>
              <w:snapToGrid w:val="0"/>
              <w:rPr>
                <w:rFonts w:ascii="宋体" w:hAnsi="宋体" w:cs="宋体"/>
                <w:color w:val="auto"/>
                <w:kern w:val="0"/>
                <w:sz w:val="21"/>
                <w:szCs w:val="21"/>
                <w:highlight w:val="none"/>
              </w:rPr>
            </w:pPr>
          </w:p>
        </w:tc>
        <w:tc>
          <w:tcPr>
            <w:tcW w:w="1188" w:type="dxa"/>
          </w:tcPr>
          <w:p w14:paraId="32B6E6A7">
            <w:pPr>
              <w:autoSpaceDE w:val="0"/>
              <w:autoSpaceDN w:val="0"/>
              <w:adjustRightInd w:val="0"/>
              <w:snapToGrid w:val="0"/>
              <w:rPr>
                <w:rFonts w:ascii="宋体" w:hAnsi="宋体" w:cs="宋体"/>
                <w:color w:val="auto"/>
                <w:kern w:val="0"/>
                <w:sz w:val="21"/>
                <w:szCs w:val="21"/>
                <w:highlight w:val="none"/>
              </w:rPr>
            </w:pPr>
          </w:p>
        </w:tc>
        <w:tc>
          <w:tcPr>
            <w:tcW w:w="1186" w:type="dxa"/>
          </w:tcPr>
          <w:p w14:paraId="426129FB">
            <w:pPr>
              <w:autoSpaceDE w:val="0"/>
              <w:autoSpaceDN w:val="0"/>
              <w:adjustRightInd w:val="0"/>
              <w:snapToGrid w:val="0"/>
              <w:rPr>
                <w:rFonts w:ascii="宋体" w:hAnsi="宋体" w:cs="宋体"/>
                <w:color w:val="auto"/>
                <w:kern w:val="0"/>
                <w:sz w:val="21"/>
                <w:szCs w:val="21"/>
                <w:highlight w:val="none"/>
              </w:rPr>
            </w:pPr>
          </w:p>
        </w:tc>
        <w:tc>
          <w:tcPr>
            <w:tcW w:w="1188" w:type="dxa"/>
          </w:tcPr>
          <w:p w14:paraId="6FD1C8EF">
            <w:pPr>
              <w:autoSpaceDE w:val="0"/>
              <w:autoSpaceDN w:val="0"/>
              <w:adjustRightInd w:val="0"/>
              <w:snapToGrid w:val="0"/>
              <w:rPr>
                <w:rFonts w:ascii="宋体" w:hAnsi="宋体" w:cs="宋体"/>
                <w:color w:val="auto"/>
                <w:kern w:val="0"/>
                <w:sz w:val="21"/>
                <w:szCs w:val="21"/>
                <w:highlight w:val="none"/>
              </w:rPr>
            </w:pPr>
          </w:p>
        </w:tc>
        <w:tc>
          <w:tcPr>
            <w:tcW w:w="1186" w:type="dxa"/>
          </w:tcPr>
          <w:p w14:paraId="3D89B875">
            <w:pPr>
              <w:autoSpaceDE w:val="0"/>
              <w:autoSpaceDN w:val="0"/>
              <w:adjustRightInd w:val="0"/>
              <w:snapToGrid w:val="0"/>
              <w:rPr>
                <w:rFonts w:ascii="宋体" w:hAnsi="宋体" w:cs="宋体"/>
                <w:color w:val="auto"/>
                <w:kern w:val="0"/>
                <w:sz w:val="21"/>
                <w:szCs w:val="21"/>
                <w:highlight w:val="none"/>
              </w:rPr>
            </w:pPr>
          </w:p>
        </w:tc>
        <w:tc>
          <w:tcPr>
            <w:tcW w:w="1187" w:type="dxa"/>
          </w:tcPr>
          <w:p w14:paraId="221B0A69">
            <w:pPr>
              <w:autoSpaceDE w:val="0"/>
              <w:autoSpaceDN w:val="0"/>
              <w:adjustRightInd w:val="0"/>
              <w:snapToGrid w:val="0"/>
              <w:rPr>
                <w:rFonts w:ascii="宋体" w:hAnsi="宋体" w:cs="宋体"/>
                <w:color w:val="auto"/>
                <w:kern w:val="0"/>
                <w:sz w:val="21"/>
                <w:szCs w:val="21"/>
                <w:highlight w:val="none"/>
              </w:rPr>
            </w:pPr>
          </w:p>
        </w:tc>
      </w:tr>
      <w:tr w14:paraId="046C6D6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jc w:val="center"/>
        </w:trPr>
        <w:tc>
          <w:tcPr>
            <w:tcW w:w="924" w:type="dxa"/>
          </w:tcPr>
          <w:p w14:paraId="1D591E78">
            <w:pPr>
              <w:autoSpaceDE w:val="0"/>
              <w:autoSpaceDN w:val="0"/>
              <w:adjustRightInd w:val="0"/>
              <w:snapToGrid w:val="0"/>
              <w:rPr>
                <w:rFonts w:ascii="宋体" w:hAnsi="宋体" w:cs="宋体"/>
                <w:color w:val="auto"/>
                <w:kern w:val="0"/>
                <w:sz w:val="21"/>
                <w:szCs w:val="21"/>
                <w:highlight w:val="none"/>
              </w:rPr>
            </w:pPr>
          </w:p>
        </w:tc>
        <w:tc>
          <w:tcPr>
            <w:tcW w:w="1453" w:type="dxa"/>
          </w:tcPr>
          <w:p w14:paraId="3840702D">
            <w:pPr>
              <w:autoSpaceDE w:val="0"/>
              <w:autoSpaceDN w:val="0"/>
              <w:adjustRightInd w:val="0"/>
              <w:snapToGrid w:val="0"/>
              <w:rPr>
                <w:rFonts w:ascii="宋体" w:hAnsi="宋体" w:cs="宋体"/>
                <w:color w:val="auto"/>
                <w:kern w:val="0"/>
                <w:sz w:val="21"/>
                <w:szCs w:val="21"/>
                <w:highlight w:val="none"/>
              </w:rPr>
            </w:pPr>
          </w:p>
        </w:tc>
        <w:tc>
          <w:tcPr>
            <w:tcW w:w="1186" w:type="dxa"/>
          </w:tcPr>
          <w:p w14:paraId="4C401FAB">
            <w:pPr>
              <w:autoSpaceDE w:val="0"/>
              <w:autoSpaceDN w:val="0"/>
              <w:adjustRightInd w:val="0"/>
              <w:snapToGrid w:val="0"/>
              <w:rPr>
                <w:rFonts w:ascii="宋体" w:hAnsi="宋体" w:cs="宋体"/>
                <w:color w:val="auto"/>
                <w:kern w:val="0"/>
                <w:sz w:val="21"/>
                <w:szCs w:val="21"/>
                <w:highlight w:val="none"/>
              </w:rPr>
            </w:pPr>
          </w:p>
        </w:tc>
        <w:tc>
          <w:tcPr>
            <w:tcW w:w="1188" w:type="dxa"/>
          </w:tcPr>
          <w:p w14:paraId="1AD6868E">
            <w:pPr>
              <w:autoSpaceDE w:val="0"/>
              <w:autoSpaceDN w:val="0"/>
              <w:adjustRightInd w:val="0"/>
              <w:snapToGrid w:val="0"/>
              <w:rPr>
                <w:rFonts w:ascii="宋体" w:hAnsi="宋体" w:cs="宋体"/>
                <w:color w:val="auto"/>
                <w:kern w:val="0"/>
                <w:sz w:val="21"/>
                <w:szCs w:val="21"/>
                <w:highlight w:val="none"/>
              </w:rPr>
            </w:pPr>
          </w:p>
        </w:tc>
        <w:tc>
          <w:tcPr>
            <w:tcW w:w="1186" w:type="dxa"/>
          </w:tcPr>
          <w:p w14:paraId="43F1DEB5">
            <w:pPr>
              <w:autoSpaceDE w:val="0"/>
              <w:autoSpaceDN w:val="0"/>
              <w:adjustRightInd w:val="0"/>
              <w:snapToGrid w:val="0"/>
              <w:rPr>
                <w:rFonts w:ascii="宋体" w:hAnsi="宋体" w:cs="宋体"/>
                <w:color w:val="auto"/>
                <w:kern w:val="0"/>
                <w:sz w:val="21"/>
                <w:szCs w:val="21"/>
                <w:highlight w:val="none"/>
              </w:rPr>
            </w:pPr>
          </w:p>
        </w:tc>
        <w:tc>
          <w:tcPr>
            <w:tcW w:w="1188" w:type="dxa"/>
          </w:tcPr>
          <w:p w14:paraId="43D10846">
            <w:pPr>
              <w:autoSpaceDE w:val="0"/>
              <w:autoSpaceDN w:val="0"/>
              <w:adjustRightInd w:val="0"/>
              <w:snapToGrid w:val="0"/>
              <w:rPr>
                <w:rFonts w:ascii="宋体" w:hAnsi="宋体" w:cs="宋体"/>
                <w:color w:val="auto"/>
                <w:kern w:val="0"/>
                <w:sz w:val="21"/>
                <w:szCs w:val="21"/>
                <w:highlight w:val="none"/>
              </w:rPr>
            </w:pPr>
          </w:p>
        </w:tc>
        <w:tc>
          <w:tcPr>
            <w:tcW w:w="1186" w:type="dxa"/>
          </w:tcPr>
          <w:p w14:paraId="641C533F">
            <w:pPr>
              <w:autoSpaceDE w:val="0"/>
              <w:autoSpaceDN w:val="0"/>
              <w:adjustRightInd w:val="0"/>
              <w:snapToGrid w:val="0"/>
              <w:rPr>
                <w:rFonts w:ascii="宋体" w:hAnsi="宋体" w:cs="宋体"/>
                <w:color w:val="auto"/>
                <w:kern w:val="0"/>
                <w:sz w:val="21"/>
                <w:szCs w:val="21"/>
                <w:highlight w:val="none"/>
              </w:rPr>
            </w:pPr>
          </w:p>
        </w:tc>
        <w:tc>
          <w:tcPr>
            <w:tcW w:w="1187" w:type="dxa"/>
          </w:tcPr>
          <w:p w14:paraId="2EB5FC16">
            <w:pPr>
              <w:autoSpaceDE w:val="0"/>
              <w:autoSpaceDN w:val="0"/>
              <w:adjustRightInd w:val="0"/>
              <w:snapToGrid w:val="0"/>
              <w:rPr>
                <w:rFonts w:ascii="宋体" w:hAnsi="宋体" w:cs="宋体"/>
                <w:color w:val="auto"/>
                <w:kern w:val="0"/>
                <w:sz w:val="21"/>
                <w:szCs w:val="21"/>
                <w:highlight w:val="none"/>
              </w:rPr>
            </w:pPr>
          </w:p>
        </w:tc>
      </w:tr>
      <w:tr w14:paraId="2C6556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jc w:val="center"/>
        </w:trPr>
        <w:tc>
          <w:tcPr>
            <w:tcW w:w="924" w:type="dxa"/>
          </w:tcPr>
          <w:p w14:paraId="2B161402">
            <w:pPr>
              <w:autoSpaceDE w:val="0"/>
              <w:autoSpaceDN w:val="0"/>
              <w:adjustRightInd w:val="0"/>
              <w:snapToGrid w:val="0"/>
              <w:rPr>
                <w:rFonts w:ascii="宋体" w:hAnsi="宋体" w:cs="宋体"/>
                <w:color w:val="auto"/>
                <w:kern w:val="0"/>
                <w:sz w:val="21"/>
                <w:szCs w:val="21"/>
                <w:highlight w:val="none"/>
              </w:rPr>
            </w:pPr>
          </w:p>
        </w:tc>
        <w:tc>
          <w:tcPr>
            <w:tcW w:w="1453" w:type="dxa"/>
          </w:tcPr>
          <w:p w14:paraId="1A92EDAB">
            <w:pPr>
              <w:autoSpaceDE w:val="0"/>
              <w:autoSpaceDN w:val="0"/>
              <w:adjustRightInd w:val="0"/>
              <w:snapToGrid w:val="0"/>
              <w:rPr>
                <w:rFonts w:ascii="宋体" w:hAnsi="宋体" w:cs="宋体"/>
                <w:color w:val="auto"/>
                <w:kern w:val="0"/>
                <w:sz w:val="21"/>
                <w:szCs w:val="21"/>
                <w:highlight w:val="none"/>
              </w:rPr>
            </w:pPr>
          </w:p>
        </w:tc>
        <w:tc>
          <w:tcPr>
            <w:tcW w:w="1186" w:type="dxa"/>
          </w:tcPr>
          <w:p w14:paraId="1A9C5B33">
            <w:pPr>
              <w:autoSpaceDE w:val="0"/>
              <w:autoSpaceDN w:val="0"/>
              <w:adjustRightInd w:val="0"/>
              <w:snapToGrid w:val="0"/>
              <w:rPr>
                <w:rFonts w:ascii="宋体" w:hAnsi="宋体" w:cs="宋体"/>
                <w:color w:val="auto"/>
                <w:kern w:val="0"/>
                <w:sz w:val="21"/>
                <w:szCs w:val="21"/>
                <w:highlight w:val="none"/>
              </w:rPr>
            </w:pPr>
          </w:p>
        </w:tc>
        <w:tc>
          <w:tcPr>
            <w:tcW w:w="1188" w:type="dxa"/>
          </w:tcPr>
          <w:p w14:paraId="79065930">
            <w:pPr>
              <w:autoSpaceDE w:val="0"/>
              <w:autoSpaceDN w:val="0"/>
              <w:adjustRightInd w:val="0"/>
              <w:snapToGrid w:val="0"/>
              <w:rPr>
                <w:rFonts w:ascii="宋体" w:hAnsi="宋体" w:cs="宋体"/>
                <w:color w:val="auto"/>
                <w:kern w:val="0"/>
                <w:sz w:val="21"/>
                <w:szCs w:val="21"/>
                <w:highlight w:val="none"/>
              </w:rPr>
            </w:pPr>
          </w:p>
        </w:tc>
        <w:tc>
          <w:tcPr>
            <w:tcW w:w="1186" w:type="dxa"/>
          </w:tcPr>
          <w:p w14:paraId="33B4458F">
            <w:pPr>
              <w:autoSpaceDE w:val="0"/>
              <w:autoSpaceDN w:val="0"/>
              <w:adjustRightInd w:val="0"/>
              <w:snapToGrid w:val="0"/>
              <w:rPr>
                <w:rFonts w:ascii="宋体" w:hAnsi="宋体" w:cs="宋体"/>
                <w:color w:val="auto"/>
                <w:kern w:val="0"/>
                <w:sz w:val="21"/>
                <w:szCs w:val="21"/>
                <w:highlight w:val="none"/>
              </w:rPr>
            </w:pPr>
          </w:p>
        </w:tc>
        <w:tc>
          <w:tcPr>
            <w:tcW w:w="1188" w:type="dxa"/>
          </w:tcPr>
          <w:p w14:paraId="6AD01BC0">
            <w:pPr>
              <w:autoSpaceDE w:val="0"/>
              <w:autoSpaceDN w:val="0"/>
              <w:adjustRightInd w:val="0"/>
              <w:snapToGrid w:val="0"/>
              <w:rPr>
                <w:rFonts w:ascii="宋体" w:hAnsi="宋体" w:cs="宋体"/>
                <w:color w:val="auto"/>
                <w:kern w:val="0"/>
                <w:sz w:val="21"/>
                <w:szCs w:val="21"/>
                <w:highlight w:val="none"/>
              </w:rPr>
            </w:pPr>
          </w:p>
        </w:tc>
        <w:tc>
          <w:tcPr>
            <w:tcW w:w="1186" w:type="dxa"/>
          </w:tcPr>
          <w:p w14:paraId="71A3BE4A">
            <w:pPr>
              <w:autoSpaceDE w:val="0"/>
              <w:autoSpaceDN w:val="0"/>
              <w:adjustRightInd w:val="0"/>
              <w:snapToGrid w:val="0"/>
              <w:rPr>
                <w:rFonts w:ascii="宋体" w:hAnsi="宋体" w:cs="宋体"/>
                <w:color w:val="auto"/>
                <w:kern w:val="0"/>
                <w:sz w:val="21"/>
                <w:szCs w:val="21"/>
                <w:highlight w:val="none"/>
              </w:rPr>
            </w:pPr>
          </w:p>
        </w:tc>
        <w:tc>
          <w:tcPr>
            <w:tcW w:w="1187" w:type="dxa"/>
          </w:tcPr>
          <w:p w14:paraId="6327EEC3">
            <w:pPr>
              <w:autoSpaceDE w:val="0"/>
              <w:autoSpaceDN w:val="0"/>
              <w:adjustRightInd w:val="0"/>
              <w:snapToGrid w:val="0"/>
              <w:rPr>
                <w:rFonts w:ascii="宋体" w:hAnsi="宋体" w:cs="宋体"/>
                <w:color w:val="auto"/>
                <w:kern w:val="0"/>
                <w:sz w:val="21"/>
                <w:szCs w:val="21"/>
                <w:highlight w:val="none"/>
              </w:rPr>
            </w:pPr>
          </w:p>
        </w:tc>
      </w:tr>
      <w:tr w14:paraId="41887C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jc w:val="center"/>
        </w:trPr>
        <w:tc>
          <w:tcPr>
            <w:tcW w:w="924" w:type="dxa"/>
          </w:tcPr>
          <w:p w14:paraId="5CD654BF">
            <w:pPr>
              <w:autoSpaceDE w:val="0"/>
              <w:autoSpaceDN w:val="0"/>
              <w:adjustRightInd w:val="0"/>
              <w:snapToGrid w:val="0"/>
              <w:rPr>
                <w:rFonts w:ascii="宋体" w:hAnsi="宋体" w:cs="宋体"/>
                <w:color w:val="auto"/>
                <w:kern w:val="0"/>
                <w:sz w:val="21"/>
                <w:szCs w:val="21"/>
                <w:highlight w:val="none"/>
              </w:rPr>
            </w:pPr>
          </w:p>
        </w:tc>
        <w:tc>
          <w:tcPr>
            <w:tcW w:w="1453" w:type="dxa"/>
          </w:tcPr>
          <w:p w14:paraId="650DFBAF">
            <w:pPr>
              <w:autoSpaceDE w:val="0"/>
              <w:autoSpaceDN w:val="0"/>
              <w:adjustRightInd w:val="0"/>
              <w:snapToGrid w:val="0"/>
              <w:rPr>
                <w:rFonts w:ascii="宋体" w:hAnsi="宋体" w:cs="宋体"/>
                <w:color w:val="auto"/>
                <w:kern w:val="0"/>
                <w:sz w:val="21"/>
                <w:szCs w:val="21"/>
                <w:highlight w:val="none"/>
              </w:rPr>
            </w:pPr>
          </w:p>
        </w:tc>
        <w:tc>
          <w:tcPr>
            <w:tcW w:w="1186" w:type="dxa"/>
          </w:tcPr>
          <w:p w14:paraId="504E51F2">
            <w:pPr>
              <w:autoSpaceDE w:val="0"/>
              <w:autoSpaceDN w:val="0"/>
              <w:adjustRightInd w:val="0"/>
              <w:snapToGrid w:val="0"/>
              <w:rPr>
                <w:rFonts w:ascii="宋体" w:hAnsi="宋体" w:cs="宋体"/>
                <w:color w:val="auto"/>
                <w:kern w:val="0"/>
                <w:sz w:val="21"/>
                <w:szCs w:val="21"/>
                <w:highlight w:val="none"/>
              </w:rPr>
            </w:pPr>
          </w:p>
        </w:tc>
        <w:tc>
          <w:tcPr>
            <w:tcW w:w="1188" w:type="dxa"/>
          </w:tcPr>
          <w:p w14:paraId="7000B3C8">
            <w:pPr>
              <w:autoSpaceDE w:val="0"/>
              <w:autoSpaceDN w:val="0"/>
              <w:adjustRightInd w:val="0"/>
              <w:snapToGrid w:val="0"/>
              <w:rPr>
                <w:rFonts w:ascii="宋体" w:hAnsi="宋体" w:cs="宋体"/>
                <w:color w:val="auto"/>
                <w:kern w:val="0"/>
                <w:sz w:val="21"/>
                <w:szCs w:val="21"/>
                <w:highlight w:val="none"/>
              </w:rPr>
            </w:pPr>
          </w:p>
        </w:tc>
        <w:tc>
          <w:tcPr>
            <w:tcW w:w="1186" w:type="dxa"/>
          </w:tcPr>
          <w:p w14:paraId="483B11DE">
            <w:pPr>
              <w:autoSpaceDE w:val="0"/>
              <w:autoSpaceDN w:val="0"/>
              <w:adjustRightInd w:val="0"/>
              <w:snapToGrid w:val="0"/>
              <w:rPr>
                <w:rFonts w:ascii="宋体" w:hAnsi="宋体" w:cs="宋体"/>
                <w:color w:val="auto"/>
                <w:kern w:val="0"/>
                <w:sz w:val="21"/>
                <w:szCs w:val="21"/>
                <w:highlight w:val="none"/>
              </w:rPr>
            </w:pPr>
          </w:p>
        </w:tc>
        <w:tc>
          <w:tcPr>
            <w:tcW w:w="1188" w:type="dxa"/>
          </w:tcPr>
          <w:p w14:paraId="434DC249">
            <w:pPr>
              <w:autoSpaceDE w:val="0"/>
              <w:autoSpaceDN w:val="0"/>
              <w:adjustRightInd w:val="0"/>
              <w:snapToGrid w:val="0"/>
              <w:rPr>
                <w:rFonts w:ascii="宋体" w:hAnsi="宋体" w:cs="宋体"/>
                <w:color w:val="auto"/>
                <w:kern w:val="0"/>
                <w:sz w:val="21"/>
                <w:szCs w:val="21"/>
                <w:highlight w:val="none"/>
              </w:rPr>
            </w:pPr>
          </w:p>
        </w:tc>
        <w:tc>
          <w:tcPr>
            <w:tcW w:w="1186" w:type="dxa"/>
          </w:tcPr>
          <w:p w14:paraId="35B24664">
            <w:pPr>
              <w:autoSpaceDE w:val="0"/>
              <w:autoSpaceDN w:val="0"/>
              <w:adjustRightInd w:val="0"/>
              <w:snapToGrid w:val="0"/>
              <w:rPr>
                <w:rFonts w:ascii="宋体" w:hAnsi="宋体" w:cs="宋体"/>
                <w:color w:val="auto"/>
                <w:kern w:val="0"/>
                <w:sz w:val="21"/>
                <w:szCs w:val="21"/>
                <w:highlight w:val="none"/>
              </w:rPr>
            </w:pPr>
          </w:p>
        </w:tc>
        <w:tc>
          <w:tcPr>
            <w:tcW w:w="1187" w:type="dxa"/>
          </w:tcPr>
          <w:p w14:paraId="5614C9A5">
            <w:pPr>
              <w:autoSpaceDE w:val="0"/>
              <w:autoSpaceDN w:val="0"/>
              <w:adjustRightInd w:val="0"/>
              <w:snapToGrid w:val="0"/>
              <w:rPr>
                <w:rFonts w:ascii="宋体" w:hAnsi="宋体" w:cs="宋体"/>
                <w:color w:val="auto"/>
                <w:kern w:val="0"/>
                <w:sz w:val="21"/>
                <w:szCs w:val="21"/>
                <w:highlight w:val="none"/>
              </w:rPr>
            </w:pPr>
          </w:p>
        </w:tc>
      </w:tr>
      <w:tr w14:paraId="0F4B5F6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jc w:val="center"/>
        </w:trPr>
        <w:tc>
          <w:tcPr>
            <w:tcW w:w="924" w:type="dxa"/>
          </w:tcPr>
          <w:p w14:paraId="2567E914">
            <w:pPr>
              <w:autoSpaceDE w:val="0"/>
              <w:autoSpaceDN w:val="0"/>
              <w:adjustRightInd w:val="0"/>
              <w:snapToGrid w:val="0"/>
              <w:rPr>
                <w:rFonts w:ascii="宋体" w:hAnsi="宋体" w:cs="宋体"/>
                <w:color w:val="auto"/>
                <w:kern w:val="0"/>
                <w:sz w:val="21"/>
                <w:szCs w:val="21"/>
                <w:highlight w:val="none"/>
              </w:rPr>
            </w:pPr>
          </w:p>
        </w:tc>
        <w:tc>
          <w:tcPr>
            <w:tcW w:w="1453" w:type="dxa"/>
          </w:tcPr>
          <w:p w14:paraId="48C4A41A">
            <w:pPr>
              <w:autoSpaceDE w:val="0"/>
              <w:autoSpaceDN w:val="0"/>
              <w:adjustRightInd w:val="0"/>
              <w:snapToGrid w:val="0"/>
              <w:rPr>
                <w:rFonts w:ascii="宋体" w:hAnsi="宋体" w:cs="宋体"/>
                <w:color w:val="auto"/>
                <w:kern w:val="0"/>
                <w:sz w:val="21"/>
                <w:szCs w:val="21"/>
                <w:highlight w:val="none"/>
              </w:rPr>
            </w:pPr>
          </w:p>
        </w:tc>
        <w:tc>
          <w:tcPr>
            <w:tcW w:w="1186" w:type="dxa"/>
          </w:tcPr>
          <w:p w14:paraId="0603C850">
            <w:pPr>
              <w:autoSpaceDE w:val="0"/>
              <w:autoSpaceDN w:val="0"/>
              <w:adjustRightInd w:val="0"/>
              <w:snapToGrid w:val="0"/>
              <w:rPr>
                <w:rFonts w:ascii="宋体" w:hAnsi="宋体" w:cs="宋体"/>
                <w:color w:val="auto"/>
                <w:kern w:val="0"/>
                <w:sz w:val="21"/>
                <w:szCs w:val="21"/>
                <w:highlight w:val="none"/>
              </w:rPr>
            </w:pPr>
          </w:p>
        </w:tc>
        <w:tc>
          <w:tcPr>
            <w:tcW w:w="1188" w:type="dxa"/>
          </w:tcPr>
          <w:p w14:paraId="3BDCC7AC">
            <w:pPr>
              <w:autoSpaceDE w:val="0"/>
              <w:autoSpaceDN w:val="0"/>
              <w:adjustRightInd w:val="0"/>
              <w:snapToGrid w:val="0"/>
              <w:rPr>
                <w:rFonts w:ascii="宋体" w:hAnsi="宋体" w:cs="宋体"/>
                <w:color w:val="auto"/>
                <w:kern w:val="0"/>
                <w:sz w:val="21"/>
                <w:szCs w:val="21"/>
                <w:highlight w:val="none"/>
              </w:rPr>
            </w:pPr>
          </w:p>
        </w:tc>
        <w:tc>
          <w:tcPr>
            <w:tcW w:w="1186" w:type="dxa"/>
          </w:tcPr>
          <w:p w14:paraId="157F2B9C">
            <w:pPr>
              <w:autoSpaceDE w:val="0"/>
              <w:autoSpaceDN w:val="0"/>
              <w:adjustRightInd w:val="0"/>
              <w:snapToGrid w:val="0"/>
              <w:rPr>
                <w:rFonts w:ascii="宋体" w:hAnsi="宋体" w:cs="宋体"/>
                <w:color w:val="auto"/>
                <w:kern w:val="0"/>
                <w:sz w:val="21"/>
                <w:szCs w:val="21"/>
                <w:highlight w:val="none"/>
              </w:rPr>
            </w:pPr>
          </w:p>
        </w:tc>
        <w:tc>
          <w:tcPr>
            <w:tcW w:w="1188" w:type="dxa"/>
          </w:tcPr>
          <w:p w14:paraId="4B020162">
            <w:pPr>
              <w:autoSpaceDE w:val="0"/>
              <w:autoSpaceDN w:val="0"/>
              <w:adjustRightInd w:val="0"/>
              <w:snapToGrid w:val="0"/>
              <w:rPr>
                <w:rFonts w:ascii="宋体" w:hAnsi="宋体" w:cs="宋体"/>
                <w:color w:val="auto"/>
                <w:kern w:val="0"/>
                <w:sz w:val="21"/>
                <w:szCs w:val="21"/>
                <w:highlight w:val="none"/>
              </w:rPr>
            </w:pPr>
          </w:p>
        </w:tc>
        <w:tc>
          <w:tcPr>
            <w:tcW w:w="1186" w:type="dxa"/>
          </w:tcPr>
          <w:p w14:paraId="5C91D3DC">
            <w:pPr>
              <w:autoSpaceDE w:val="0"/>
              <w:autoSpaceDN w:val="0"/>
              <w:adjustRightInd w:val="0"/>
              <w:snapToGrid w:val="0"/>
              <w:rPr>
                <w:rFonts w:ascii="宋体" w:hAnsi="宋体" w:cs="宋体"/>
                <w:color w:val="auto"/>
                <w:kern w:val="0"/>
                <w:sz w:val="21"/>
                <w:szCs w:val="21"/>
                <w:highlight w:val="none"/>
              </w:rPr>
            </w:pPr>
          </w:p>
        </w:tc>
        <w:tc>
          <w:tcPr>
            <w:tcW w:w="1187" w:type="dxa"/>
          </w:tcPr>
          <w:p w14:paraId="1ACBDE75">
            <w:pPr>
              <w:autoSpaceDE w:val="0"/>
              <w:autoSpaceDN w:val="0"/>
              <w:adjustRightInd w:val="0"/>
              <w:snapToGrid w:val="0"/>
              <w:rPr>
                <w:rFonts w:ascii="宋体" w:hAnsi="宋体" w:cs="宋体"/>
                <w:color w:val="auto"/>
                <w:kern w:val="0"/>
                <w:sz w:val="21"/>
                <w:szCs w:val="21"/>
                <w:highlight w:val="none"/>
              </w:rPr>
            </w:pPr>
          </w:p>
        </w:tc>
      </w:tr>
      <w:tr w14:paraId="1AA4702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jc w:val="center"/>
        </w:trPr>
        <w:tc>
          <w:tcPr>
            <w:tcW w:w="924" w:type="dxa"/>
          </w:tcPr>
          <w:p w14:paraId="62EA534F">
            <w:pPr>
              <w:autoSpaceDE w:val="0"/>
              <w:autoSpaceDN w:val="0"/>
              <w:adjustRightInd w:val="0"/>
              <w:snapToGrid w:val="0"/>
              <w:rPr>
                <w:rFonts w:ascii="宋体" w:hAnsi="宋体" w:cs="宋体"/>
                <w:color w:val="auto"/>
                <w:kern w:val="0"/>
                <w:sz w:val="21"/>
                <w:szCs w:val="21"/>
                <w:highlight w:val="none"/>
              </w:rPr>
            </w:pPr>
          </w:p>
        </w:tc>
        <w:tc>
          <w:tcPr>
            <w:tcW w:w="1453" w:type="dxa"/>
          </w:tcPr>
          <w:p w14:paraId="7AD58DC3">
            <w:pPr>
              <w:autoSpaceDE w:val="0"/>
              <w:autoSpaceDN w:val="0"/>
              <w:adjustRightInd w:val="0"/>
              <w:snapToGrid w:val="0"/>
              <w:rPr>
                <w:rFonts w:ascii="宋体" w:hAnsi="宋体" w:cs="宋体"/>
                <w:color w:val="auto"/>
                <w:kern w:val="0"/>
                <w:sz w:val="21"/>
                <w:szCs w:val="21"/>
                <w:highlight w:val="none"/>
              </w:rPr>
            </w:pPr>
          </w:p>
        </w:tc>
        <w:tc>
          <w:tcPr>
            <w:tcW w:w="1186" w:type="dxa"/>
          </w:tcPr>
          <w:p w14:paraId="01DB4E58">
            <w:pPr>
              <w:autoSpaceDE w:val="0"/>
              <w:autoSpaceDN w:val="0"/>
              <w:adjustRightInd w:val="0"/>
              <w:snapToGrid w:val="0"/>
              <w:rPr>
                <w:rFonts w:ascii="宋体" w:hAnsi="宋体" w:cs="宋体"/>
                <w:color w:val="auto"/>
                <w:kern w:val="0"/>
                <w:sz w:val="21"/>
                <w:szCs w:val="21"/>
                <w:highlight w:val="none"/>
              </w:rPr>
            </w:pPr>
          </w:p>
        </w:tc>
        <w:tc>
          <w:tcPr>
            <w:tcW w:w="1188" w:type="dxa"/>
          </w:tcPr>
          <w:p w14:paraId="55F81B26">
            <w:pPr>
              <w:autoSpaceDE w:val="0"/>
              <w:autoSpaceDN w:val="0"/>
              <w:adjustRightInd w:val="0"/>
              <w:snapToGrid w:val="0"/>
              <w:rPr>
                <w:rFonts w:ascii="宋体" w:hAnsi="宋体" w:cs="宋体"/>
                <w:color w:val="auto"/>
                <w:kern w:val="0"/>
                <w:sz w:val="21"/>
                <w:szCs w:val="21"/>
                <w:highlight w:val="none"/>
              </w:rPr>
            </w:pPr>
          </w:p>
        </w:tc>
        <w:tc>
          <w:tcPr>
            <w:tcW w:w="1186" w:type="dxa"/>
          </w:tcPr>
          <w:p w14:paraId="10D070EB">
            <w:pPr>
              <w:autoSpaceDE w:val="0"/>
              <w:autoSpaceDN w:val="0"/>
              <w:adjustRightInd w:val="0"/>
              <w:snapToGrid w:val="0"/>
              <w:rPr>
                <w:rFonts w:ascii="宋体" w:hAnsi="宋体" w:cs="宋体"/>
                <w:color w:val="auto"/>
                <w:kern w:val="0"/>
                <w:sz w:val="21"/>
                <w:szCs w:val="21"/>
                <w:highlight w:val="none"/>
              </w:rPr>
            </w:pPr>
          </w:p>
        </w:tc>
        <w:tc>
          <w:tcPr>
            <w:tcW w:w="1188" w:type="dxa"/>
          </w:tcPr>
          <w:p w14:paraId="7CE8A503">
            <w:pPr>
              <w:autoSpaceDE w:val="0"/>
              <w:autoSpaceDN w:val="0"/>
              <w:adjustRightInd w:val="0"/>
              <w:snapToGrid w:val="0"/>
              <w:rPr>
                <w:rFonts w:ascii="宋体" w:hAnsi="宋体" w:cs="宋体"/>
                <w:color w:val="auto"/>
                <w:kern w:val="0"/>
                <w:sz w:val="21"/>
                <w:szCs w:val="21"/>
                <w:highlight w:val="none"/>
              </w:rPr>
            </w:pPr>
          </w:p>
        </w:tc>
        <w:tc>
          <w:tcPr>
            <w:tcW w:w="1186" w:type="dxa"/>
          </w:tcPr>
          <w:p w14:paraId="2DB5D04C">
            <w:pPr>
              <w:autoSpaceDE w:val="0"/>
              <w:autoSpaceDN w:val="0"/>
              <w:adjustRightInd w:val="0"/>
              <w:snapToGrid w:val="0"/>
              <w:rPr>
                <w:rFonts w:ascii="宋体" w:hAnsi="宋体" w:cs="宋体"/>
                <w:color w:val="auto"/>
                <w:kern w:val="0"/>
                <w:sz w:val="21"/>
                <w:szCs w:val="21"/>
                <w:highlight w:val="none"/>
              </w:rPr>
            </w:pPr>
          </w:p>
        </w:tc>
        <w:tc>
          <w:tcPr>
            <w:tcW w:w="1187" w:type="dxa"/>
          </w:tcPr>
          <w:p w14:paraId="7FA47D44">
            <w:pPr>
              <w:autoSpaceDE w:val="0"/>
              <w:autoSpaceDN w:val="0"/>
              <w:adjustRightInd w:val="0"/>
              <w:snapToGrid w:val="0"/>
              <w:rPr>
                <w:rFonts w:ascii="宋体" w:hAnsi="宋体" w:cs="宋体"/>
                <w:color w:val="auto"/>
                <w:kern w:val="0"/>
                <w:sz w:val="21"/>
                <w:szCs w:val="21"/>
                <w:highlight w:val="none"/>
              </w:rPr>
            </w:pPr>
          </w:p>
        </w:tc>
      </w:tr>
      <w:tr w14:paraId="04AD65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jc w:val="center"/>
        </w:trPr>
        <w:tc>
          <w:tcPr>
            <w:tcW w:w="924" w:type="dxa"/>
          </w:tcPr>
          <w:p w14:paraId="7457FE7F">
            <w:pPr>
              <w:autoSpaceDE w:val="0"/>
              <w:autoSpaceDN w:val="0"/>
              <w:adjustRightInd w:val="0"/>
              <w:snapToGrid w:val="0"/>
              <w:rPr>
                <w:rFonts w:ascii="宋体" w:hAnsi="宋体" w:cs="宋体"/>
                <w:color w:val="auto"/>
                <w:kern w:val="0"/>
                <w:sz w:val="21"/>
                <w:szCs w:val="21"/>
                <w:highlight w:val="none"/>
              </w:rPr>
            </w:pPr>
          </w:p>
        </w:tc>
        <w:tc>
          <w:tcPr>
            <w:tcW w:w="1453" w:type="dxa"/>
          </w:tcPr>
          <w:p w14:paraId="377936D6">
            <w:pPr>
              <w:autoSpaceDE w:val="0"/>
              <w:autoSpaceDN w:val="0"/>
              <w:adjustRightInd w:val="0"/>
              <w:snapToGrid w:val="0"/>
              <w:rPr>
                <w:rFonts w:ascii="宋体" w:hAnsi="宋体" w:cs="宋体"/>
                <w:color w:val="auto"/>
                <w:kern w:val="0"/>
                <w:sz w:val="21"/>
                <w:szCs w:val="21"/>
                <w:highlight w:val="none"/>
              </w:rPr>
            </w:pPr>
          </w:p>
        </w:tc>
        <w:tc>
          <w:tcPr>
            <w:tcW w:w="1186" w:type="dxa"/>
          </w:tcPr>
          <w:p w14:paraId="2F81E757">
            <w:pPr>
              <w:autoSpaceDE w:val="0"/>
              <w:autoSpaceDN w:val="0"/>
              <w:adjustRightInd w:val="0"/>
              <w:snapToGrid w:val="0"/>
              <w:rPr>
                <w:rFonts w:ascii="宋体" w:hAnsi="宋体" w:cs="宋体"/>
                <w:color w:val="auto"/>
                <w:kern w:val="0"/>
                <w:sz w:val="21"/>
                <w:szCs w:val="21"/>
                <w:highlight w:val="none"/>
              </w:rPr>
            </w:pPr>
          </w:p>
        </w:tc>
        <w:tc>
          <w:tcPr>
            <w:tcW w:w="1188" w:type="dxa"/>
          </w:tcPr>
          <w:p w14:paraId="0F2C7EA3">
            <w:pPr>
              <w:autoSpaceDE w:val="0"/>
              <w:autoSpaceDN w:val="0"/>
              <w:adjustRightInd w:val="0"/>
              <w:snapToGrid w:val="0"/>
              <w:rPr>
                <w:rFonts w:ascii="宋体" w:hAnsi="宋体" w:cs="宋体"/>
                <w:color w:val="auto"/>
                <w:kern w:val="0"/>
                <w:sz w:val="21"/>
                <w:szCs w:val="21"/>
                <w:highlight w:val="none"/>
              </w:rPr>
            </w:pPr>
          </w:p>
        </w:tc>
        <w:tc>
          <w:tcPr>
            <w:tcW w:w="1186" w:type="dxa"/>
          </w:tcPr>
          <w:p w14:paraId="4B102441">
            <w:pPr>
              <w:autoSpaceDE w:val="0"/>
              <w:autoSpaceDN w:val="0"/>
              <w:adjustRightInd w:val="0"/>
              <w:snapToGrid w:val="0"/>
              <w:rPr>
                <w:rFonts w:ascii="宋体" w:hAnsi="宋体" w:cs="宋体"/>
                <w:color w:val="auto"/>
                <w:kern w:val="0"/>
                <w:sz w:val="21"/>
                <w:szCs w:val="21"/>
                <w:highlight w:val="none"/>
              </w:rPr>
            </w:pPr>
          </w:p>
        </w:tc>
        <w:tc>
          <w:tcPr>
            <w:tcW w:w="1188" w:type="dxa"/>
          </w:tcPr>
          <w:p w14:paraId="380BD740">
            <w:pPr>
              <w:autoSpaceDE w:val="0"/>
              <w:autoSpaceDN w:val="0"/>
              <w:adjustRightInd w:val="0"/>
              <w:snapToGrid w:val="0"/>
              <w:rPr>
                <w:rFonts w:ascii="宋体" w:hAnsi="宋体" w:cs="宋体"/>
                <w:color w:val="auto"/>
                <w:kern w:val="0"/>
                <w:sz w:val="21"/>
                <w:szCs w:val="21"/>
                <w:highlight w:val="none"/>
              </w:rPr>
            </w:pPr>
          </w:p>
        </w:tc>
        <w:tc>
          <w:tcPr>
            <w:tcW w:w="1186" w:type="dxa"/>
          </w:tcPr>
          <w:p w14:paraId="3195AB78">
            <w:pPr>
              <w:autoSpaceDE w:val="0"/>
              <w:autoSpaceDN w:val="0"/>
              <w:adjustRightInd w:val="0"/>
              <w:snapToGrid w:val="0"/>
              <w:rPr>
                <w:rFonts w:ascii="宋体" w:hAnsi="宋体" w:cs="宋体"/>
                <w:color w:val="auto"/>
                <w:kern w:val="0"/>
                <w:sz w:val="21"/>
                <w:szCs w:val="21"/>
                <w:highlight w:val="none"/>
              </w:rPr>
            </w:pPr>
          </w:p>
        </w:tc>
        <w:tc>
          <w:tcPr>
            <w:tcW w:w="1187" w:type="dxa"/>
          </w:tcPr>
          <w:p w14:paraId="2D1A3CD4">
            <w:pPr>
              <w:autoSpaceDE w:val="0"/>
              <w:autoSpaceDN w:val="0"/>
              <w:adjustRightInd w:val="0"/>
              <w:snapToGrid w:val="0"/>
              <w:rPr>
                <w:rFonts w:ascii="宋体" w:hAnsi="宋体" w:cs="宋体"/>
                <w:color w:val="auto"/>
                <w:kern w:val="0"/>
                <w:sz w:val="21"/>
                <w:szCs w:val="21"/>
                <w:highlight w:val="none"/>
              </w:rPr>
            </w:pPr>
          </w:p>
        </w:tc>
      </w:tr>
      <w:tr w14:paraId="36E0B2A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jc w:val="center"/>
        </w:trPr>
        <w:tc>
          <w:tcPr>
            <w:tcW w:w="924" w:type="dxa"/>
          </w:tcPr>
          <w:p w14:paraId="351FD1D0">
            <w:pPr>
              <w:autoSpaceDE w:val="0"/>
              <w:autoSpaceDN w:val="0"/>
              <w:adjustRightInd w:val="0"/>
              <w:snapToGrid w:val="0"/>
              <w:rPr>
                <w:rFonts w:ascii="宋体" w:hAnsi="宋体" w:cs="宋体"/>
                <w:color w:val="auto"/>
                <w:kern w:val="0"/>
                <w:sz w:val="21"/>
                <w:szCs w:val="21"/>
                <w:highlight w:val="none"/>
              </w:rPr>
            </w:pPr>
          </w:p>
        </w:tc>
        <w:tc>
          <w:tcPr>
            <w:tcW w:w="1453" w:type="dxa"/>
          </w:tcPr>
          <w:p w14:paraId="5929B1B6">
            <w:pPr>
              <w:autoSpaceDE w:val="0"/>
              <w:autoSpaceDN w:val="0"/>
              <w:adjustRightInd w:val="0"/>
              <w:snapToGrid w:val="0"/>
              <w:rPr>
                <w:rFonts w:ascii="宋体" w:hAnsi="宋体" w:cs="宋体"/>
                <w:color w:val="auto"/>
                <w:kern w:val="0"/>
                <w:sz w:val="21"/>
                <w:szCs w:val="21"/>
                <w:highlight w:val="none"/>
              </w:rPr>
            </w:pPr>
          </w:p>
        </w:tc>
        <w:tc>
          <w:tcPr>
            <w:tcW w:w="1186" w:type="dxa"/>
          </w:tcPr>
          <w:p w14:paraId="78734172">
            <w:pPr>
              <w:autoSpaceDE w:val="0"/>
              <w:autoSpaceDN w:val="0"/>
              <w:adjustRightInd w:val="0"/>
              <w:snapToGrid w:val="0"/>
              <w:rPr>
                <w:rFonts w:ascii="宋体" w:hAnsi="宋体" w:cs="宋体"/>
                <w:color w:val="auto"/>
                <w:kern w:val="0"/>
                <w:sz w:val="21"/>
                <w:szCs w:val="21"/>
                <w:highlight w:val="none"/>
              </w:rPr>
            </w:pPr>
          </w:p>
        </w:tc>
        <w:tc>
          <w:tcPr>
            <w:tcW w:w="1188" w:type="dxa"/>
          </w:tcPr>
          <w:p w14:paraId="3A709C36">
            <w:pPr>
              <w:autoSpaceDE w:val="0"/>
              <w:autoSpaceDN w:val="0"/>
              <w:adjustRightInd w:val="0"/>
              <w:snapToGrid w:val="0"/>
              <w:rPr>
                <w:rFonts w:ascii="宋体" w:hAnsi="宋体" w:cs="宋体"/>
                <w:color w:val="auto"/>
                <w:kern w:val="0"/>
                <w:sz w:val="21"/>
                <w:szCs w:val="21"/>
                <w:highlight w:val="none"/>
              </w:rPr>
            </w:pPr>
          </w:p>
        </w:tc>
        <w:tc>
          <w:tcPr>
            <w:tcW w:w="1186" w:type="dxa"/>
          </w:tcPr>
          <w:p w14:paraId="1111412E">
            <w:pPr>
              <w:autoSpaceDE w:val="0"/>
              <w:autoSpaceDN w:val="0"/>
              <w:adjustRightInd w:val="0"/>
              <w:snapToGrid w:val="0"/>
              <w:rPr>
                <w:rFonts w:ascii="宋体" w:hAnsi="宋体" w:cs="宋体"/>
                <w:color w:val="auto"/>
                <w:kern w:val="0"/>
                <w:sz w:val="21"/>
                <w:szCs w:val="21"/>
                <w:highlight w:val="none"/>
              </w:rPr>
            </w:pPr>
          </w:p>
        </w:tc>
        <w:tc>
          <w:tcPr>
            <w:tcW w:w="1188" w:type="dxa"/>
          </w:tcPr>
          <w:p w14:paraId="6DF6FA31">
            <w:pPr>
              <w:autoSpaceDE w:val="0"/>
              <w:autoSpaceDN w:val="0"/>
              <w:adjustRightInd w:val="0"/>
              <w:snapToGrid w:val="0"/>
              <w:rPr>
                <w:rFonts w:ascii="宋体" w:hAnsi="宋体" w:cs="宋体"/>
                <w:color w:val="auto"/>
                <w:kern w:val="0"/>
                <w:sz w:val="21"/>
                <w:szCs w:val="21"/>
                <w:highlight w:val="none"/>
              </w:rPr>
            </w:pPr>
          </w:p>
        </w:tc>
        <w:tc>
          <w:tcPr>
            <w:tcW w:w="1186" w:type="dxa"/>
          </w:tcPr>
          <w:p w14:paraId="31D74617">
            <w:pPr>
              <w:autoSpaceDE w:val="0"/>
              <w:autoSpaceDN w:val="0"/>
              <w:adjustRightInd w:val="0"/>
              <w:snapToGrid w:val="0"/>
              <w:rPr>
                <w:rFonts w:ascii="宋体" w:hAnsi="宋体" w:cs="宋体"/>
                <w:color w:val="auto"/>
                <w:kern w:val="0"/>
                <w:sz w:val="21"/>
                <w:szCs w:val="21"/>
                <w:highlight w:val="none"/>
              </w:rPr>
            </w:pPr>
          </w:p>
        </w:tc>
        <w:tc>
          <w:tcPr>
            <w:tcW w:w="1187" w:type="dxa"/>
          </w:tcPr>
          <w:p w14:paraId="001849F0">
            <w:pPr>
              <w:autoSpaceDE w:val="0"/>
              <w:autoSpaceDN w:val="0"/>
              <w:adjustRightInd w:val="0"/>
              <w:snapToGrid w:val="0"/>
              <w:rPr>
                <w:rFonts w:ascii="宋体" w:hAnsi="宋体" w:cs="宋体"/>
                <w:color w:val="auto"/>
                <w:kern w:val="0"/>
                <w:sz w:val="21"/>
                <w:szCs w:val="21"/>
                <w:highlight w:val="none"/>
              </w:rPr>
            </w:pPr>
          </w:p>
        </w:tc>
      </w:tr>
      <w:tr w14:paraId="2EA855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jc w:val="center"/>
        </w:trPr>
        <w:tc>
          <w:tcPr>
            <w:tcW w:w="924" w:type="dxa"/>
          </w:tcPr>
          <w:p w14:paraId="6250A794">
            <w:pPr>
              <w:autoSpaceDE w:val="0"/>
              <w:autoSpaceDN w:val="0"/>
              <w:adjustRightInd w:val="0"/>
              <w:snapToGrid w:val="0"/>
              <w:rPr>
                <w:rFonts w:ascii="宋体" w:hAnsi="宋体" w:cs="宋体"/>
                <w:color w:val="auto"/>
                <w:kern w:val="0"/>
                <w:sz w:val="21"/>
                <w:szCs w:val="21"/>
                <w:highlight w:val="none"/>
              </w:rPr>
            </w:pPr>
          </w:p>
        </w:tc>
        <w:tc>
          <w:tcPr>
            <w:tcW w:w="1453" w:type="dxa"/>
          </w:tcPr>
          <w:p w14:paraId="024B4FF0">
            <w:pPr>
              <w:autoSpaceDE w:val="0"/>
              <w:autoSpaceDN w:val="0"/>
              <w:adjustRightInd w:val="0"/>
              <w:snapToGrid w:val="0"/>
              <w:rPr>
                <w:rFonts w:ascii="宋体" w:hAnsi="宋体" w:cs="宋体"/>
                <w:color w:val="auto"/>
                <w:kern w:val="0"/>
                <w:sz w:val="21"/>
                <w:szCs w:val="21"/>
                <w:highlight w:val="none"/>
              </w:rPr>
            </w:pPr>
          </w:p>
        </w:tc>
        <w:tc>
          <w:tcPr>
            <w:tcW w:w="1186" w:type="dxa"/>
          </w:tcPr>
          <w:p w14:paraId="202BB57E">
            <w:pPr>
              <w:autoSpaceDE w:val="0"/>
              <w:autoSpaceDN w:val="0"/>
              <w:adjustRightInd w:val="0"/>
              <w:snapToGrid w:val="0"/>
              <w:rPr>
                <w:rFonts w:ascii="宋体" w:hAnsi="宋体" w:cs="宋体"/>
                <w:color w:val="auto"/>
                <w:kern w:val="0"/>
                <w:sz w:val="21"/>
                <w:szCs w:val="21"/>
                <w:highlight w:val="none"/>
              </w:rPr>
            </w:pPr>
          </w:p>
        </w:tc>
        <w:tc>
          <w:tcPr>
            <w:tcW w:w="1188" w:type="dxa"/>
          </w:tcPr>
          <w:p w14:paraId="05DA090B">
            <w:pPr>
              <w:autoSpaceDE w:val="0"/>
              <w:autoSpaceDN w:val="0"/>
              <w:adjustRightInd w:val="0"/>
              <w:snapToGrid w:val="0"/>
              <w:rPr>
                <w:rFonts w:ascii="宋体" w:hAnsi="宋体" w:cs="宋体"/>
                <w:color w:val="auto"/>
                <w:kern w:val="0"/>
                <w:sz w:val="21"/>
                <w:szCs w:val="21"/>
                <w:highlight w:val="none"/>
              </w:rPr>
            </w:pPr>
          </w:p>
        </w:tc>
        <w:tc>
          <w:tcPr>
            <w:tcW w:w="1186" w:type="dxa"/>
          </w:tcPr>
          <w:p w14:paraId="38C9B0F8">
            <w:pPr>
              <w:autoSpaceDE w:val="0"/>
              <w:autoSpaceDN w:val="0"/>
              <w:adjustRightInd w:val="0"/>
              <w:snapToGrid w:val="0"/>
              <w:rPr>
                <w:rFonts w:ascii="宋体" w:hAnsi="宋体" w:cs="宋体"/>
                <w:color w:val="auto"/>
                <w:kern w:val="0"/>
                <w:sz w:val="21"/>
                <w:szCs w:val="21"/>
                <w:highlight w:val="none"/>
              </w:rPr>
            </w:pPr>
          </w:p>
        </w:tc>
        <w:tc>
          <w:tcPr>
            <w:tcW w:w="1188" w:type="dxa"/>
          </w:tcPr>
          <w:p w14:paraId="5B366F61">
            <w:pPr>
              <w:autoSpaceDE w:val="0"/>
              <w:autoSpaceDN w:val="0"/>
              <w:adjustRightInd w:val="0"/>
              <w:snapToGrid w:val="0"/>
              <w:rPr>
                <w:rFonts w:ascii="宋体" w:hAnsi="宋体" w:cs="宋体"/>
                <w:color w:val="auto"/>
                <w:kern w:val="0"/>
                <w:sz w:val="21"/>
                <w:szCs w:val="21"/>
                <w:highlight w:val="none"/>
              </w:rPr>
            </w:pPr>
          </w:p>
        </w:tc>
        <w:tc>
          <w:tcPr>
            <w:tcW w:w="1186" w:type="dxa"/>
          </w:tcPr>
          <w:p w14:paraId="79356D7E">
            <w:pPr>
              <w:autoSpaceDE w:val="0"/>
              <w:autoSpaceDN w:val="0"/>
              <w:adjustRightInd w:val="0"/>
              <w:snapToGrid w:val="0"/>
              <w:rPr>
                <w:rFonts w:ascii="宋体" w:hAnsi="宋体" w:cs="宋体"/>
                <w:color w:val="auto"/>
                <w:kern w:val="0"/>
                <w:sz w:val="21"/>
                <w:szCs w:val="21"/>
                <w:highlight w:val="none"/>
              </w:rPr>
            </w:pPr>
          </w:p>
        </w:tc>
        <w:tc>
          <w:tcPr>
            <w:tcW w:w="1187" w:type="dxa"/>
          </w:tcPr>
          <w:p w14:paraId="62706A14">
            <w:pPr>
              <w:autoSpaceDE w:val="0"/>
              <w:autoSpaceDN w:val="0"/>
              <w:adjustRightInd w:val="0"/>
              <w:snapToGrid w:val="0"/>
              <w:rPr>
                <w:rFonts w:ascii="宋体" w:hAnsi="宋体" w:cs="宋体"/>
                <w:color w:val="auto"/>
                <w:kern w:val="0"/>
                <w:sz w:val="21"/>
                <w:szCs w:val="21"/>
                <w:highlight w:val="none"/>
              </w:rPr>
            </w:pPr>
          </w:p>
        </w:tc>
      </w:tr>
      <w:tr w14:paraId="2B4D79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jc w:val="center"/>
        </w:trPr>
        <w:tc>
          <w:tcPr>
            <w:tcW w:w="924" w:type="dxa"/>
          </w:tcPr>
          <w:p w14:paraId="3358F5A2">
            <w:pPr>
              <w:autoSpaceDE w:val="0"/>
              <w:autoSpaceDN w:val="0"/>
              <w:adjustRightInd w:val="0"/>
              <w:snapToGrid w:val="0"/>
              <w:rPr>
                <w:rFonts w:ascii="宋体" w:hAnsi="宋体" w:cs="宋体"/>
                <w:color w:val="auto"/>
                <w:kern w:val="0"/>
                <w:sz w:val="21"/>
                <w:szCs w:val="21"/>
                <w:highlight w:val="none"/>
              </w:rPr>
            </w:pPr>
          </w:p>
        </w:tc>
        <w:tc>
          <w:tcPr>
            <w:tcW w:w="1453" w:type="dxa"/>
          </w:tcPr>
          <w:p w14:paraId="3627132E">
            <w:pPr>
              <w:autoSpaceDE w:val="0"/>
              <w:autoSpaceDN w:val="0"/>
              <w:adjustRightInd w:val="0"/>
              <w:snapToGrid w:val="0"/>
              <w:rPr>
                <w:rFonts w:ascii="宋体" w:hAnsi="宋体" w:cs="宋体"/>
                <w:color w:val="auto"/>
                <w:kern w:val="0"/>
                <w:sz w:val="21"/>
                <w:szCs w:val="21"/>
                <w:highlight w:val="none"/>
              </w:rPr>
            </w:pPr>
          </w:p>
        </w:tc>
        <w:tc>
          <w:tcPr>
            <w:tcW w:w="1186" w:type="dxa"/>
          </w:tcPr>
          <w:p w14:paraId="781E6533">
            <w:pPr>
              <w:autoSpaceDE w:val="0"/>
              <w:autoSpaceDN w:val="0"/>
              <w:adjustRightInd w:val="0"/>
              <w:snapToGrid w:val="0"/>
              <w:rPr>
                <w:rFonts w:ascii="宋体" w:hAnsi="宋体" w:cs="宋体"/>
                <w:color w:val="auto"/>
                <w:kern w:val="0"/>
                <w:sz w:val="21"/>
                <w:szCs w:val="21"/>
                <w:highlight w:val="none"/>
              </w:rPr>
            </w:pPr>
          </w:p>
        </w:tc>
        <w:tc>
          <w:tcPr>
            <w:tcW w:w="1188" w:type="dxa"/>
          </w:tcPr>
          <w:p w14:paraId="1345CA5D">
            <w:pPr>
              <w:autoSpaceDE w:val="0"/>
              <w:autoSpaceDN w:val="0"/>
              <w:adjustRightInd w:val="0"/>
              <w:snapToGrid w:val="0"/>
              <w:rPr>
                <w:rFonts w:ascii="宋体" w:hAnsi="宋体" w:cs="宋体"/>
                <w:color w:val="auto"/>
                <w:kern w:val="0"/>
                <w:sz w:val="21"/>
                <w:szCs w:val="21"/>
                <w:highlight w:val="none"/>
              </w:rPr>
            </w:pPr>
          </w:p>
        </w:tc>
        <w:tc>
          <w:tcPr>
            <w:tcW w:w="1186" w:type="dxa"/>
          </w:tcPr>
          <w:p w14:paraId="6C20A783">
            <w:pPr>
              <w:autoSpaceDE w:val="0"/>
              <w:autoSpaceDN w:val="0"/>
              <w:adjustRightInd w:val="0"/>
              <w:snapToGrid w:val="0"/>
              <w:rPr>
                <w:rFonts w:ascii="宋体" w:hAnsi="宋体" w:cs="宋体"/>
                <w:color w:val="auto"/>
                <w:kern w:val="0"/>
                <w:sz w:val="21"/>
                <w:szCs w:val="21"/>
                <w:highlight w:val="none"/>
              </w:rPr>
            </w:pPr>
          </w:p>
        </w:tc>
        <w:tc>
          <w:tcPr>
            <w:tcW w:w="1188" w:type="dxa"/>
          </w:tcPr>
          <w:p w14:paraId="25044A98">
            <w:pPr>
              <w:autoSpaceDE w:val="0"/>
              <w:autoSpaceDN w:val="0"/>
              <w:adjustRightInd w:val="0"/>
              <w:snapToGrid w:val="0"/>
              <w:rPr>
                <w:rFonts w:ascii="宋体" w:hAnsi="宋体" w:cs="宋体"/>
                <w:color w:val="auto"/>
                <w:kern w:val="0"/>
                <w:sz w:val="21"/>
                <w:szCs w:val="21"/>
                <w:highlight w:val="none"/>
              </w:rPr>
            </w:pPr>
          </w:p>
        </w:tc>
        <w:tc>
          <w:tcPr>
            <w:tcW w:w="1186" w:type="dxa"/>
          </w:tcPr>
          <w:p w14:paraId="294E2338">
            <w:pPr>
              <w:autoSpaceDE w:val="0"/>
              <w:autoSpaceDN w:val="0"/>
              <w:adjustRightInd w:val="0"/>
              <w:snapToGrid w:val="0"/>
              <w:rPr>
                <w:rFonts w:ascii="宋体" w:hAnsi="宋体" w:cs="宋体"/>
                <w:color w:val="auto"/>
                <w:kern w:val="0"/>
                <w:sz w:val="21"/>
                <w:szCs w:val="21"/>
                <w:highlight w:val="none"/>
              </w:rPr>
            </w:pPr>
          </w:p>
        </w:tc>
        <w:tc>
          <w:tcPr>
            <w:tcW w:w="1187" w:type="dxa"/>
          </w:tcPr>
          <w:p w14:paraId="2976A989">
            <w:pPr>
              <w:autoSpaceDE w:val="0"/>
              <w:autoSpaceDN w:val="0"/>
              <w:adjustRightInd w:val="0"/>
              <w:snapToGrid w:val="0"/>
              <w:rPr>
                <w:rFonts w:ascii="宋体" w:hAnsi="宋体" w:cs="宋体"/>
                <w:color w:val="auto"/>
                <w:kern w:val="0"/>
                <w:sz w:val="21"/>
                <w:szCs w:val="21"/>
                <w:highlight w:val="none"/>
              </w:rPr>
            </w:pPr>
          </w:p>
        </w:tc>
      </w:tr>
      <w:tr w14:paraId="0C33850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jc w:val="center"/>
        </w:trPr>
        <w:tc>
          <w:tcPr>
            <w:tcW w:w="924" w:type="dxa"/>
          </w:tcPr>
          <w:p w14:paraId="30D76CDE">
            <w:pPr>
              <w:autoSpaceDE w:val="0"/>
              <w:autoSpaceDN w:val="0"/>
              <w:adjustRightInd w:val="0"/>
              <w:snapToGrid w:val="0"/>
              <w:rPr>
                <w:rFonts w:ascii="宋体" w:hAnsi="宋体" w:cs="宋体"/>
                <w:color w:val="auto"/>
                <w:kern w:val="0"/>
                <w:sz w:val="21"/>
                <w:szCs w:val="21"/>
                <w:highlight w:val="none"/>
              </w:rPr>
            </w:pPr>
          </w:p>
        </w:tc>
        <w:tc>
          <w:tcPr>
            <w:tcW w:w="1453" w:type="dxa"/>
          </w:tcPr>
          <w:p w14:paraId="718C575E">
            <w:pPr>
              <w:autoSpaceDE w:val="0"/>
              <w:autoSpaceDN w:val="0"/>
              <w:adjustRightInd w:val="0"/>
              <w:snapToGrid w:val="0"/>
              <w:rPr>
                <w:rFonts w:ascii="宋体" w:hAnsi="宋体" w:cs="宋体"/>
                <w:color w:val="auto"/>
                <w:kern w:val="0"/>
                <w:sz w:val="21"/>
                <w:szCs w:val="21"/>
                <w:highlight w:val="none"/>
              </w:rPr>
            </w:pPr>
          </w:p>
        </w:tc>
        <w:tc>
          <w:tcPr>
            <w:tcW w:w="1186" w:type="dxa"/>
          </w:tcPr>
          <w:p w14:paraId="5AF895D9">
            <w:pPr>
              <w:autoSpaceDE w:val="0"/>
              <w:autoSpaceDN w:val="0"/>
              <w:adjustRightInd w:val="0"/>
              <w:snapToGrid w:val="0"/>
              <w:rPr>
                <w:rFonts w:ascii="宋体" w:hAnsi="宋体" w:cs="宋体"/>
                <w:color w:val="auto"/>
                <w:kern w:val="0"/>
                <w:sz w:val="21"/>
                <w:szCs w:val="21"/>
                <w:highlight w:val="none"/>
              </w:rPr>
            </w:pPr>
          </w:p>
        </w:tc>
        <w:tc>
          <w:tcPr>
            <w:tcW w:w="1188" w:type="dxa"/>
          </w:tcPr>
          <w:p w14:paraId="1D679E78">
            <w:pPr>
              <w:autoSpaceDE w:val="0"/>
              <w:autoSpaceDN w:val="0"/>
              <w:adjustRightInd w:val="0"/>
              <w:snapToGrid w:val="0"/>
              <w:rPr>
                <w:rFonts w:ascii="宋体" w:hAnsi="宋体" w:cs="宋体"/>
                <w:color w:val="auto"/>
                <w:kern w:val="0"/>
                <w:sz w:val="21"/>
                <w:szCs w:val="21"/>
                <w:highlight w:val="none"/>
              </w:rPr>
            </w:pPr>
          </w:p>
        </w:tc>
        <w:tc>
          <w:tcPr>
            <w:tcW w:w="1186" w:type="dxa"/>
          </w:tcPr>
          <w:p w14:paraId="4F15841D">
            <w:pPr>
              <w:autoSpaceDE w:val="0"/>
              <w:autoSpaceDN w:val="0"/>
              <w:adjustRightInd w:val="0"/>
              <w:snapToGrid w:val="0"/>
              <w:rPr>
                <w:rFonts w:ascii="宋体" w:hAnsi="宋体" w:cs="宋体"/>
                <w:color w:val="auto"/>
                <w:kern w:val="0"/>
                <w:sz w:val="21"/>
                <w:szCs w:val="21"/>
                <w:highlight w:val="none"/>
              </w:rPr>
            </w:pPr>
          </w:p>
        </w:tc>
        <w:tc>
          <w:tcPr>
            <w:tcW w:w="1188" w:type="dxa"/>
          </w:tcPr>
          <w:p w14:paraId="27726A6E">
            <w:pPr>
              <w:autoSpaceDE w:val="0"/>
              <w:autoSpaceDN w:val="0"/>
              <w:adjustRightInd w:val="0"/>
              <w:snapToGrid w:val="0"/>
              <w:rPr>
                <w:rFonts w:ascii="宋体" w:hAnsi="宋体" w:cs="宋体"/>
                <w:color w:val="auto"/>
                <w:kern w:val="0"/>
                <w:sz w:val="21"/>
                <w:szCs w:val="21"/>
                <w:highlight w:val="none"/>
              </w:rPr>
            </w:pPr>
          </w:p>
        </w:tc>
        <w:tc>
          <w:tcPr>
            <w:tcW w:w="1186" w:type="dxa"/>
          </w:tcPr>
          <w:p w14:paraId="37CF6150">
            <w:pPr>
              <w:autoSpaceDE w:val="0"/>
              <w:autoSpaceDN w:val="0"/>
              <w:adjustRightInd w:val="0"/>
              <w:snapToGrid w:val="0"/>
              <w:rPr>
                <w:rFonts w:ascii="宋体" w:hAnsi="宋体" w:cs="宋体"/>
                <w:color w:val="auto"/>
                <w:kern w:val="0"/>
                <w:sz w:val="21"/>
                <w:szCs w:val="21"/>
                <w:highlight w:val="none"/>
              </w:rPr>
            </w:pPr>
          </w:p>
        </w:tc>
        <w:tc>
          <w:tcPr>
            <w:tcW w:w="1187" w:type="dxa"/>
          </w:tcPr>
          <w:p w14:paraId="41C5A8B0">
            <w:pPr>
              <w:autoSpaceDE w:val="0"/>
              <w:autoSpaceDN w:val="0"/>
              <w:adjustRightInd w:val="0"/>
              <w:snapToGrid w:val="0"/>
              <w:rPr>
                <w:rFonts w:ascii="宋体" w:hAnsi="宋体" w:cs="宋体"/>
                <w:color w:val="auto"/>
                <w:kern w:val="0"/>
                <w:sz w:val="21"/>
                <w:szCs w:val="21"/>
                <w:highlight w:val="none"/>
              </w:rPr>
            </w:pPr>
          </w:p>
        </w:tc>
      </w:tr>
      <w:tr w14:paraId="560EEA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jc w:val="center"/>
        </w:trPr>
        <w:tc>
          <w:tcPr>
            <w:tcW w:w="924" w:type="dxa"/>
          </w:tcPr>
          <w:p w14:paraId="61F03A95">
            <w:pPr>
              <w:autoSpaceDE w:val="0"/>
              <w:autoSpaceDN w:val="0"/>
              <w:adjustRightInd w:val="0"/>
              <w:snapToGrid w:val="0"/>
              <w:rPr>
                <w:rFonts w:ascii="宋体" w:hAnsi="宋体" w:cs="宋体"/>
                <w:color w:val="auto"/>
                <w:kern w:val="0"/>
                <w:sz w:val="21"/>
                <w:szCs w:val="21"/>
                <w:highlight w:val="none"/>
              </w:rPr>
            </w:pPr>
          </w:p>
        </w:tc>
        <w:tc>
          <w:tcPr>
            <w:tcW w:w="1453" w:type="dxa"/>
          </w:tcPr>
          <w:p w14:paraId="2A8625D6">
            <w:pPr>
              <w:autoSpaceDE w:val="0"/>
              <w:autoSpaceDN w:val="0"/>
              <w:adjustRightInd w:val="0"/>
              <w:snapToGrid w:val="0"/>
              <w:rPr>
                <w:rFonts w:ascii="宋体" w:hAnsi="宋体" w:cs="宋体"/>
                <w:color w:val="auto"/>
                <w:kern w:val="0"/>
                <w:sz w:val="21"/>
                <w:szCs w:val="21"/>
                <w:highlight w:val="none"/>
              </w:rPr>
            </w:pPr>
          </w:p>
        </w:tc>
        <w:tc>
          <w:tcPr>
            <w:tcW w:w="1186" w:type="dxa"/>
          </w:tcPr>
          <w:p w14:paraId="48C75DB2">
            <w:pPr>
              <w:autoSpaceDE w:val="0"/>
              <w:autoSpaceDN w:val="0"/>
              <w:adjustRightInd w:val="0"/>
              <w:snapToGrid w:val="0"/>
              <w:rPr>
                <w:rFonts w:ascii="宋体" w:hAnsi="宋体" w:cs="宋体"/>
                <w:color w:val="auto"/>
                <w:kern w:val="0"/>
                <w:sz w:val="21"/>
                <w:szCs w:val="21"/>
                <w:highlight w:val="none"/>
              </w:rPr>
            </w:pPr>
          </w:p>
        </w:tc>
        <w:tc>
          <w:tcPr>
            <w:tcW w:w="1188" w:type="dxa"/>
          </w:tcPr>
          <w:p w14:paraId="3A7695D3">
            <w:pPr>
              <w:autoSpaceDE w:val="0"/>
              <w:autoSpaceDN w:val="0"/>
              <w:adjustRightInd w:val="0"/>
              <w:snapToGrid w:val="0"/>
              <w:rPr>
                <w:rFonts w:ascii="宋体" w:hAnsi="宋体" w:cs="宋体"/>
                <w:color w:val="auto"/>
                <w:kern w:val="0"/>
                <w:sz w:val="21"/>
                <w:szCs w:val="21"/>
                <w:highlight w:val="none"/>
              </w:rPr>
            </w:pPr>
          </w:p>
        </w:tc>
        <w:tc>
          <w:tcPr>
            <w:tcW w:w="1186" w:type="dxa"/>
          </w:tcPr>
          <w:p w14:paraId="735F7C65">
            <w:pPr>
              <w:autoSpaceDE w:val="0"/>
              <w:autoSpaceDN w:val="0"/>
              <w:adjustRightInd w:val="0"/>
              <w:snapToGrid w:val="0"/>
              <w:rPr>
                <w:rFonts w:ascii="宋体" w:hAnsi="宋体" w:cs="宋体"/>
                <w:color w:val="auto"/>
                <w:kern w:val="0"/>
                <w:sz w:val="21"/>
                <w:szCs w:val="21"/>
                <w:highlight w:val="none"/>
              </w:rPr>
            </w:pPr>
          </w:p>
        </w:tc>
        <w:tc>
          <w:tcPr>
            <w:tcW w:w="1188" w:type="dxa"/>
          </w:tcPr>
          <w:p w14:paraId="0497DA9E">
            <w:pPr>
              <w:autoSpaceDE w:val="0"/>
              <w:autoSpaceDN w:val="0"/>
              <w:adjustRightInd w:val="0"/>
              <w:snapToGrid w:val="0"/>
              <w:rPr>
                <w:rFonts w:ascii="宋体" w:hAnsi="宋体" w:cs="宋体"/>
                <w:color w:val="auto"/>
                <w:kern w:val="0"/>
                <w:sz w:val="21"/>
                <w:szCs w:val="21"/>
                <w:highlight w:val="none"/>
              </w:rPr>
            </w:pPr>
          </w:p>
        </w:tc>
        <w:tc>
          <w:tcPr>
            <w:tcW w:w="1186" w:type="dxa"/>
          </w:tcPr>
          <w:p w14:paraId="26A3B8F9">
            <w:pPr>
              <w:autoSpaceDE w:val="0"/>
              <w:autoSpaceDN w:val="0"/>
              <w:adjustRightInd w:val="0"/>
              <w:snapToGrid w:val="0"/>
              <w:rPr>
                <w:rFonts w:ascii="宋体" w:hAnsi="宋体" w:cs="宋体"/>
                <w:color w:val="auto"/>
                <w:kern w:val="0"/>
                <w:sz w:val="21"/>
                <w:szCs w:val="21"/>
                <w:highlight w:val="none"/>
              </w:rPr>
            </w:pPr>
          </w:p>
        </w:tc>
        <w:tc>
          <w:tcPr>
            <w:tcW w:w="1187" w:type="dxa"/>
          </w:tcPr>
          <w:p w14:paraId="4040F728">
            <w:pPr>
              <w:autoSpaceDE w:val="0"/>
              <w:autoSpaceDN w:val="0"/>
              <w:adjustRightInd w:val="0"/>
              <w:snapToGrid w:val="0"/>
              <w:rPr>
                <w:rFonts w:ascii="宋体" w:hAnsi="宋体" w:cs="宋体"/>
                <w:color w:val="auto"/>
                <w:kern w:val="0"/>
                <w:sz w:val="21"/>
                <w:szCs w:val="21"/>
                <w:highlight w:val="none"/>
              </w:rPr>
            </w:pPr>
          </w:p>
        </w:tc>
      </w:tr>
      <w:tr w14:paraId="0F83645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jc w:val="center"/>
        </w:trPr>
        <w:tc>
          <w:tcPr>
            <w:tcW w:w="924" w:type="dxa"/>
          </w:tcPr>
          <w:p w14:paraId="0B681B39">
            <w:pPr>
              <w:autoSpaceDE w:val="0"/>
              <w:autoSpaceDN w:val="0"/>
              <w:adjustRightInd w:val="0"/>
              <w:snapToGrid w:val="0"/>
              <w:rPr>
                <w:rFonts w:ascii="宋体" w:hAnsi="宋体" w:cs="宋体"/>
                <w:color w:val="auto"/>
                <w:kern w:val="0"/>
                <w:sz w:val="21"/>
                <w:szCs w:val="21"/>
                <w:highlight w:val="none"/>
              </w:rPr>
            </w:pPr>
          </w:p>
        </w:tc>
        <w:tc>
          <w:tcPr>
            <w:tcW w:w="1453" w:type="dxa"/>
          </w:tcPr>
          <w:p w14:paraId="621A5A98">
            <w:pPr>
              <w:autoSpaceDE w:val="0"/>
              <w:autoSpaceDN w:val="0"/>
              <w:adjustRightInd w:val="0"/>
              <w:snapToGrid w:val="0"/>
              <w:rPr>
                <w:rFonts w:ascii="宋体" w:hAnsi="宋体" w:cs="宋体"/>
                <w:color w:val="auto"/>
                <w:kern w:val="0"/>
                <w:sz w:val="21"/>
                <w:szCs w:val="21"/>
                <w:highlight w:val="none"/>
              </w:rPr>
            </w:pPr>
          </w:p>
        </w:tc>
        <w:tc>
          <w:tcPr>
            <w:tcW w:w="1186" w:type="dxa"/>
          </w:tcPr>
          <w:p w14:paraId="4D7901E0">
            <w:pPr>
              <w:autoSpaceDE w:val="0"/>
              <w:autoSpaceDN w:val="0"/>
              <w:adjustRightInd w:val="0"/>
              <w:snapToGrid w:val="0"/>
              <w:rPr>
                <w:rFonts w:ascii="宋体" w:hAnsi="宋体" w:cs="宋体"/>
                <w:color w:val="auto"/>
                <w:kern w:val="0"/>
                <w:sz w:val="21"/>
                <w:szCs w:val="21"/>
                <w:highlight w:val="none"/>
              </w:rPr>
            </w:pPr>
          </w:p>
        </w:tc>
        <w:tc>
          <w:tcPr>
            <w:tcW w:w="1188" w:type="dxa"/>
          </w:tcPr>
          <w:p w14:paraId="58A45EAA">
            <w:pPr>
              <w:autoSpaceDE w:val="0"/>
              <w:autoSpaceDN w:val="0"/>
              <w:adjustRightInd w:val="0"/>
              <w:snapToGrid w:val="0"/>
              <w:rPr>
                <w:rFonts w:ascii="宋体" w:hAnsi="宋体" w:cs="宋体"/>
                <w:color w:val="auto"/>
                <w:kern w:val="0"/>
                <w:sz w:val="21"/>
                <w:szCs w:val="21"/>
                <w:highlight w:val="none"/>
              </w:rPr>
            </w:pPr>
          </w:p>
        </w:tc>
        <w:tc>
          <w:tcPr>
            <w:tcW w:w="1186" w:type="dxa"/>
          </w:tcPr>
          <w:p w14:paraId="4DB4ADE1">
            <w:pPr>
              <w:autoSpaceDE w:val="0"/>
              <w:autoSpaceDN w:val="0"/>
              <w:adjustRightInd w:val="0"/>
              <w:snapToGrid w:val="0"/>
              <w:rPr>
                <w:rFonts w:ascii="宋体" w:hAnsi="宋体" w:cs="宋体"/>
                <w:color w:val="auto"/>
                <w:kern w:val="0"/>
                <w:sz w:val="21"/>
                <w:szCs w:val="21"/>
                <w:highlight w:val="none"/>
              </w:rPr>
            </w:pPr>
          </w:p>
        </w:tc>
        <w:tc>
          <w:tcPr>
            <w:tcW w:w="1188" w:type="dxa"/>
          </w:tcPr>
          <w:p w14:paraId="630E6C9F">
            <w:pPr>
              <w:autoSpaceDE w:val="0"/>
              <w:autoSpaceDN w:val="0"/>
              <w:adjustRightInd w:val="0"/>
              <w:snapToGrid w:val="0"/>
              <w:rPr>
                <w:rFonts w:ascii="宋体" w:hAnsi="宋体" w:cs="宋体"/>
                <w:color w:val="auto"/>
                <w:kern w:val="0"/>
                <w:sz w:val="21"/>
                <w:szCs w:val="21"/>
                <w:highlight w:val="none"/>
              </w:rPr>
            </w:pPr>
          </w:p>
        </w:tc>
        <w:tc>
          <w:tcPr>
            <w:tcW w:w="1186" w:type="dxa"/>
          </w:tcPr>
          <w:p w14:paraId="799C1401">
            <w:pPr>
              <w:autoSpaceDE w:val="0"/>
              <w:autoSpaceDN w:val="0"/>
              <w:adjustRightInd w:val="0"/>
              <w:snapToGrid w:val="0"/>
              <w:rPr>
                <w:rFonts w:ascii="宋体" w:hAnsi="宋体" w:cs="宋体"/>
                <w:color w:val="auto"/>
                <w:kern w:val="0"/>
                <w:sz w:val="21"/>
                <w:szCs w:val="21"/>
                <w:highlight w:val="none"/>
              </w:rPr>
            </w:pPr>
          </w:p>
        </w:tc>
        <w:tc>
          <w:tcPr>
            <w:tcW w:w="1187" w:type="dxa"/>
          </w:tcPr>
          <w:p w14:paraId="4B12507F">
            <w:pPr>
              <w:autoSpaceDE w:val="0"/>
              <w:autoSpaceDN w:val="0"/>
              <w:adjustRightInd w:val="0"/>
              <w:snapToGrid w:val="0"/>
              <w:rPr>
                <w:rFonts w:ascii="宋体" w:hAnsi="宋体" w:cs="宋体"/>
                <w:color w:val="auto"/>
                <w:kern w:val="0"/>
                <w:sz w:val="21"/>
                <w:szCs w:val="21"/>
                <w:highlight w:val="none"/>
              </w:rPr>
            </w:pPr>
          </w:p>
        </w:tc>
      </w:tr>
      <w:tr w14:paraId="7410A1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jc w:val="center"/>
        </w:trPr>
        <w:tc>
          <w:tcPr>
            <w:tcW w:w="924" w:type="dxa"/>
          </w:tcPr>
          <w:p w14:paraId="563F02D7">
            <w:pPr>
              <w:autoSpaceDE w:val="0"/>
              <w:autoSpaceDN w:val="0"/>
              <w:adjustRightInd w:val="0"/>
              <w:snapToGrid w:val="0"/>
              <w:rPr>
                <w:rFonts w:ascii="宋体" w:hAnsi="宋体" w:cs="宋体"/>
                <w:color w:val="auto"/>
                <w:kern w:val="0"/>
                <w:sz w:val="21"/>
                <w:szCs w:val="21"/>
                <w:highlight w:val="none"/>
              </w:rPr>
            </w:pPr>
          </w:p>
        </w:tc>
        <w:tc>
          <w:tcPr>
            <w:tcW w:w="1453" w:type="dxa"/>
          </w:tcPr>
          <w:p w14:paraId="14EB53F3">
            <w:pPr>
              <w:autoSpaceDE w:val="0"/>
              <w:autoSpaceDN w:val="0"/>
              <w:adjustRightInd w:val="0"/>
              <w:snapToGrid w:val="0"/>
              <w:rPr>
                <w:rFonts w:ascii="宋体" w:hAnsi="宋体" w:cs="宋体"/>
                <w:color w:val="auto"/>
                <w:kern w:val="0"/>
                <w:sz w:val="21"/>
                <w:szCs w:val="21"/>
                <w:highlight w:val="none"/>
              </w:rPr>
            </w:pPr>
          </w:p>
        </w:tc>
        <w:tc>
          <w:tcPr>
            <w:tcW w:w="1186" w:type="dxa"/>
          </w:tcPr>
          <w:p w14:paraId="5C962F31">
            <w:pPr>
              <w:autoSpaceDE w:val="0"/>
              <w:autoSpaceDN w:val="0"/>
              <w:adjustRightInd w:val="0"/>
              <w:snapToGrid w:val="0"/>
              <w:rPr>
                <w:rFonts w:ascii="宋体" w:hAnsi="宋体" w:cs="宋体"/>
                <w:color w:val="auto"/>
                <w:kern w:val="0"/>
                <w:sz w:val="21"/>
                <w:szCs w:val="21"/>
                <w:highlight w:val="none"/>
              </w:rPr>
            </w:pPr>
          </w:p>
        </w:tc>
        <w:tc>
          <w:tcPr>
            <w:tcW w:w="1188" w:type="dxa"/>
          </w:tcPr>
          <w:p w14:paraId="14041A91">
            <w:pPr>
              <w:autoSpaceDE w:val="0"/>
              <w:autoSpaceDN w:val="0"/>
              <w:adjustRightInd w:val="0"/>
              <w:snapToGrid w:val="0"/>
              <w:rPr>
                <w:rFonts w:ascii="宋体" w:hAnsi="宋体" w:cs="宋体"/>
                <w:color w:val="auto"/>
                <w:kern w:val="0"/>
                <w:sz w:val="21"/>
                <w:szCs w:val="21"/>
                <w:highlight w:val="none"/>
              </w:rPr>
            </w:pPr>
          </w:p>
        </w:tc>
        <w:tc>
          <w:tcPr>
            <w:tcW w:w="1186" w:type="dxa"/>
          </w:tcPr>
          <w:p w14:paraId="2ACD9C1A">
            <w:pPr>
              <w:autoSpaceDE w:val="0"/>
              <w:autoSpaceDN w:val="0"/>
              <w:adjustRightInd w:val="0"/>
              <w:snapToGrid w:val="0"/>
              <w:rPr>
                <w:rFonts w:ascii="宋体" w:hAnsi="宋体" w:cs="宋体"/>
                <w:color w:val="auto"/>
                <w:kern w:val="0"/>
                <w:sz w:val="21"/>
                <w:szCs w:val="21"/>
                <w:highlight w:val="none"/>
              </w:rPr>
            </w:pPr>
          </w:p>
        </w:tc>
        <w:tc>
          <w:tcPr>
            <w:tcW w:w="1188" w:type="dxa"/>
          </w:tcPr>
          <w:p w14:paraId="7C6B172C">
            <w:pPr>
              <w:autoSpaceDE w:val="0"/>
              <w:autoSpaceDN w:val="0"/>
              <w:adjustRightInd w:val="0"/>
              <w:snapToGrid w:val="0"/>
              <w:rPr>
                <w:rFonts w:ascii="宋体" w:hAnsi="宋体" w:cs="宋体"/>
                <w:color w:val="auto"/>
                <w:kern w:val="0"/>
                <w:sz w:val="21"/>
                <w:szCs w:val="21"/>
                <w:highlight w:val="none"/>
              </w:rPr>
            </w:pPr>
          </w:p>
        </w:tc>
        <w:tc>
          <w:tcPr>
            <w:tcW w:w="1186" w:type="dxa"/>
          </w:tcPr>
          <w:p w14:paraId="17C649ED">
            <w:pPr>
              <w:autoSpaceDE w:val="0"/>
              <w:autoSpaceDN w:val="0"/>
              <w:adjustRightInd w:val="0"/>
              <w:snapToGrid w:val="0"/>
              <w:rPr>
                <w:rFonts w:ascii="宋体" w:hAnsi="宋体" w:cs="宋体"/>
                <w:color w:val="auto"/>
                <w:kern w:val="0"/>
                <w:sz w:val="21"/>
                <w:szCs w:val="21"/>
                <w:highlight w:val="none"/>
              </w:rPr>
            </w:pPr>
          </w:p>
        </w:tc>
        <w:tc>
          <w:tcPr>
            <w:tcW w:w="1187" w:type="dxa"/>
          </w:tcPr>
          <w:p w14:paraId="28B767E1">
            <w:pPr>
              <w:autoSpaceDE w:val="0"/>
              <w:autoSpaceDN w:val="0"/>
              <w:adjustRightInd w:val="0"/>
              <w:snapToGrid w:val="0"/>
              <w:rPr>
                <w:rFonts w:ascii="宋体" w:hAnsi="宋体" w:cs="宋体"/>
                <w:color w:val="auto"/>
                <w:kern w:val="0"/>
                <w:sz w:val="21"/>
                <w:szCs w:val="21"/>
                <w:highlight w:val="none"/>
              </w:rPr>
            </w:pPr>
          </w:p>
        </w:tc>
      </w:tr>
      <w:tr w14:paraId="54D2A6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jc w:val="center"/>
        </w:trPr>
        <w:tc>
          <w:tcPr>
            <w:tcW w:w="924" w:type="dxa"/>
          </w:tcPr>
          <w:p w14:paraId="1C9CEBD8">
            <w:pPr>
              <w:autoSpaceDE w:val="0"/>
              <w:autoSpaceDN w:val="0"/>
              <w:adjustRightInd w:val="0"/>
              <w:snapToGrid w:val="0"/>
              <w:rPr>
                <w:rFonts w:ascii="宋体" w:hAnsi="宋体" w:cs="宋体"/>
                <w:color w:val="auto"/>
                <w:kern w:val="0"/>
                <w:sz w:val="21"/>
                <w:szCs w:val="21"/>
                <w:highlight w:val="none"/>
              </w:rPr>
            </w:pPr>
          </w:p>
        </w:tc>
        <w:tc>
          <w:tcPr>
            <w:tcW w:w="1453" w:type="dxa"/>
          </w:tcPr>
          <w:p w14:paraId="060E9BB8">
            <w:pPr>
              <w:autoSpaceDE w:val="0"/>
              <w:autoSpaceDN w:val="0"/>
              <w:adjustRightInd w:val="0"/>
              <w:snapToGrid w:val="0"/>
              <w:rPr>
                <w:rFonts w:ascii="宋体" w:hAnsi="宋体" w:cs="宋体"/>
                <w:color w:val="auto"/>
                <w:kern w:val="0"/>
                <w:sz w:val="21"/>
                <w:szCs w:val="21"/>
                <w:highlight w:val="none"/>
              </w:rPr>
            </w:pPr>
          </w:p>
        </w:tc>
        <w:tc>
          <w:tcPr>
            <w:tcW w:w="1186" w:type="dxa"/>
          </w:tcPr>
          <w:p w14:paraId="540FC3C5">
            <w:pPr>
              <w:autoSpaceDE w:val="0"/>
              <w:autoSpaceDN w:val="0"/>
              <w:adjustRightInd w:val="0"/>
              <w:snapToGrid w:val="0"/>
              <w:rPr>
                <w:rFonts w:ascii="宋体" w:hAnsi="宋体" w:cs="宋体"/>
                <w:color w:val="auto"/>
                <w:kern w:val="0"/>
                <w:sz w:val="21"/>
                <w:szCs w:val="21"/>
                <w:highlight w:val="none"/>
              </w:rPr>
            </w:pPr>
          </w:p>
        </w:tc>
        <w:tc>
          <w:tcPr>
            <w:tcW w:w="1188" w:type="dxa"/>
          </w:tcPr>
          <w:p w14:paraId="0F74D350">
            <w:pPr>
              <w:autoSpaceDE w:val="0"/>
              <w:autoSpaceDN w:val="0"/>
              <w:adjustRightInd w:val="0"/>
              <w:snapToGrid w:val="0"/>
              <w:rPr>
                <w:rFonts w:ascii="宋体" w:hAnsi="宋体" w:cs="宋体"/>
                <w:color w:val="auto"/>
                <w:kern w:val="0"/>
                <w:sz w:val="21"/>
                <w:szCs w:val="21"/>
                <w:highlight w:val="none"/>
              </w:rPr>
            </w:pPr>
          </w:p>
        </w:tc>
        <w:tc>
          <w:tcPr>
            <w:tcW w:w="1186" w:type="dxa"/>
          </w:tcPr>
          <w:p w14:paraId="3F367671">
            <w:pPr>
              <w:autoSpaceDE w:val="0"/>
              <w:autoSpaceDN w:val="0"/>
              <w:adjustRightInd w:val="0"/>
              <w:snapToGrid w:val="0"/>
              <w:rPr>
                <w:rFonts w:ascii="宋体" w:hAnsi="宋体" w:cs="宋体"/>
                <w:color w:val="auto"/>
                <w:kern w:val="0"/>
                <w:sz w:val="21"/>
                <w:szCs w:val="21"/>
                <w:highlight w:val="none"/>
              </w:rPr>
            </w:pPr>
          </w:p>
        </w:tc>
        <w:tc>
          <w:tcPr>
            <w:tcW w:w="1188" w:type="dxa"/>
          </w:tcPr>
          <w:p w14:paraId="3436D7EA">
            <w:pPr>
              <w:autoSpaceDE w:val="0"/>
              <w:autoSpaceDN w:val="0"/>
              <w:adjustRightInd w:val="0"/>
              <w:snapToGrid w:val="0"/>
              <w:rPr>
                <w:rFonts w:ascii="宋体" w:hAnsi="宋体" w:cs="宋体"/>
                <w:color w:val="auto"/>
                <w:kern w:val="0"/>
                <w:sz w:val="21"/>
                <w:szCs w:val="21"/>
                <w:highlight w:val="none"/>
              </w:rPr>
            </w:pPr>
          </w:p>
        </w:tc>
        <w:tc>
          <w:tcPr>
            <w:tcW w:w="1186" w:type="dxa"/>
          </w:tcPr>
          <w:p w14:paraId="1141D839">
            <w:pPr>
              <w:autoSpaceDE w:val="0"/>
              <w:autoSpaceDN w:val="0"/>
              <w:adjustRightInd w:val="0"/>
              <w:snapToGrid w:val="0"/>
              <w:rPr>
                <w:rFonts w:ascii="宋体" w:hAnsi="宋体" w:cs="宋体"/>
                <w:color w:val="auto"/>
                <w:kern w:val="0"/>
                <w:sz w:val="21"/>
                <w:szCs w:val="21"/>
                <w:highlight w:val="none"/>
              </w:rPr>
            </w:pPr>
          </w:p>
        </w:tc>
        <w:tc>
          <w:tcPr>
            <w:tcW w:w="1187" w:type="dxa"/>
          </w:tcPr>
          <w:p w14:paraId="71012F02">
            <w:pPr>
              <w:autoSpaceDE w:val="0"/>
              <w:autoSpaceDN w:val="0"/>
              <w:adjustRightInd w:val="0"/>
              <w:snapToGrid w:val="0"/>
              <w:rPr>
                <w:rFonts w:ascii="宋体" w:hAnsi="宋体" w:cs="宋体"/>
                <w:color w:val="auto"/>
                <w:kern w:val="0"/>
                <w:sz w:val="21"/>
                <w:szCs w:val="21"/>
                <w:highlight w:val="none"/>
              </w:rPr>
            </w:pPr>
          </w:p>
        </w:tc>
      </w:tr>
      <w:tr w14:paraId="17C18C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jc w:val="center"/>
        </w:trPr>
        <w:tc>
          <w:tcPr>
            <w:tcW w:w="924" w:type="dxa"/>
          </w:tcPr>
          <w:p w14:paraId="5D6E8F18">
            <w:pPr>
              <w:autoSpaceDE w:val="0"/>
              <w:autoSpaceDN w:val="0"/>
              <w:adjustRightInd w:val="0"/>
              <w:snapToGrid w:val="0"/>
              <w:rPr>
                <w:rFonts w:ascii="宋体" w:hAnsi="宋体" w:cs="宋体"/>
                <w:color w:val="auto"/>
                <w:kern w:val="0"/>
                <w:sz w:val="21"/>
                <w:szCs w:val="21"/>
                <w:highlight w:val="none"/>
              </w:rPr>
            </w:pPr>
          </w:p>
        </w:tc>
        <w:tc>
          <w:tcPr>
            <w:tcW w:w="1453" w:type="dxa"/>
          </w:tcPr>
          <w:p w14:paraId="0631A114">
            <w:pPr>
              <w:autoSpaceDE w:val="0"/>
              <w:autoSpaceDN w:val="0"/>
              <w:adjustRightInd w:val="0"/>
              <w:snapToGrid w:val="0"/>
              <w:rPr>
                <w:rFonts w:ascii="宋体" w:hAnsi="宋体" w:cs="宋体"/>
                <w:color w:val="auto"/>
                <w:kern w:val="0"/>
                <w:sz w:val="21"/>
                <w:szCs w:val="21"/>
                <w:highlight w:val="none"/>
              </w:rPr>
            </w:pPr>
          </w:p>
        </w:tc>
        <w:tc>
          <w:tcPr>
            <w:tcW w:w="1186" w:type="dxa"/>
          </w:tcPr>
          <w:p w14:paraId="564A548E">
            <w:pPr>
              <w:autoSpaceDE w:val="0"/>
              <w:autoSpaceDN w:val="0"/>
              <w:adjustRightInd w:val="0"/>
              <w:snapToGrid w:val="0"/>
              <w:rPr>
                <w:rFonts w:ascii="宋体" w:hAnsi="宋体" w:cs="宋体"/>
                <w:color w:val="auto"/>
                <w:kern w:val="0"/>
                <w:sz w:val="21"/>
                <w:szCs w:val="21"/>
                <w:highlight w:val="none"/>
              </w:rPr>
            </w:pPr>
          </w:p>
        </w:tc>
        <w:tc>
          <w:tcPr>
            <w:tcW w:w="1188" w:type="dxa"/>
          </w:tcPr>
          <w:p w14:paraId="704FD1E2">
            <w:pPr>
              <w:autoSpaceDE w:val="0"/>
              <w:autoSpaceDN w:val="0"/>
              <w:adjustRightInd w:val="0"/>
              <w:snapToGrid w:val="0"/>
              <w:rPr>
                <w:rFonts w:ascii="宋体" w:hAnsi="宋体" w:cs="宋体"/>
                <w:color w:val="auto"/>
                <w:kern w:val="0"/>
                <w:sz w:val="21"/>
                <w:szCs w:val="21"/>
                <w:highlight w:val="none"/>
              </w:rPr>
            </w:pPr>
          </w:p>
        </w:tc>
        <w:tc>
          <w:tcPr>
            <w:tcW w:w="1186" w:type="dxa"/>
          </w:tcPr>
          <w:p w14:paraId="0A13E17F">
            <w:pPr>
              <w:autoSpaceDE w:val="0"/>
              <w:autoSpaceDN w:val="0"/>
              <w:adjustRightInd w:val="0"/>
              <w:snapToGrid w:val="0"/>
              <w:rPr>
                <w:rFonts w:ascii="宋体" w:hAnsi="宋体" w:cs="宋体"/>
                <w:color w:val="auto"/>
                <w:kern w:val="0"/>
                <w:sz w:val="21"/>
                <w:szCs w:val="21"/>
                <w:highlight w:val="none"/>
              </w:rPr>
            </w:pPr>
          </w:p>
        </w:tc>
        <w:tc>
          <w:tcPr>
            <w:tcW w:w="1188" w:type="dxa"/>
          </w:tcPr>
          <w:p w14:paraId="4486866B">
            <w:pPr>
              <w:autoSpaceDE w:val="0"/>
              <w:autoSpaceDN w:val="0"/>
              <w:adjustRightInd w:val="0"/>
              <w:snapToGrid w:val="0"/>
              <w:rPr>
                <w:rFonts w:ascii="宋体" w:hAnsi="宋体" w:cs="宋体"/>
                <w:color w:val="auto"/>
                <w:kern w:val="0"/>
                <w:sz w:val="21"/>
                <w:szCs w:val="21"/>
                <w:highlight w:val="none"/>
              </w:rPr>
            </w:pPr>
          </w:p>
        </w:tc>
        <w:tc>
          <w:tcPr>
            <w:tcW w:w="1186" w:type="dxa"/>
          </w:tcPr>
          <w:p w14:paraId="581600C9">
            <w:pPr>
              <w:autoSpaceDE w:val="0"/>
              <w:autoSpaceDN w:val="0"/>
              <w:adjustRightInd w:val="0"/>
              <w:snapToGrid w:val="0"/>
              <w:rPr>
                <w:rFonts w:ascii="宋体" w:hAnsi="宋体" w:cs="宋体"/>
                <w:color w:val="auto"/>
                <w:kern w:val="0"/>
                <w:sz w:val="21"/>
                <w:szCs w:val="21"/>
                <w:highlight w:val="none"/>
              </w:rPr>
            </w:pPr>
          </w:p>
        </w:tc>
        <w:tc>
          <w:tcPr>
            <w:tcW w:w="1187" w:type="dxa"/>
          </w:tcPr>
          <w:p w14:paraId="3B23D5A5">
            <w:pPr>
              <w:autoSpaceDE w:val="0"/>
              <w:autoSpaceDN w:val="0"/>
              <w:adjustRightInd w:val="0"/>
              <w:snapToGrid w:val="0"/>
              <w:rPr>
                <w:rFonts w:ascii="宋体" w:hAnsi="宋体" w:cs="宋体"/>
                <w:color w:val="auto"/>
                <w:kern w:val="0"/>
                <w:sz w:val="21"/>
                <w:szCs w:val="21"/>
                <w:highlight w:val="none"/>
              </w:rPr>
            </w:pPr>
          </w:p>
        </w:tc>
      </w:tr>
      <w:tr w14:paraId="0B65142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jc w:val="center"/>
        </w:trPr>
        <w:tc>
          <w:tcPr>
            <w:tcW w:w="924" w:type="dxa"/>
          </w:tcPr>
          <w:p w14:paraId="1FC5A1A7">
            <w:pPr>
              <w:autoSpaceDE w:val="0"/>
              <w:autoSpaceDN w:val="0"/>
              <w:adjustRightInd w:val="0"/>
              <w:snapToGrid w:val="0"/>
              <w:rPr>
                <w:rFonts w:ascii="宋体" w:hAnsi="宋体" w:cs="宋体"/>
                <w:color w:val="auto"/>
                <w:kern w:val="0"/>
                <w:sz w:val="21"/>
                <w:szCs w:val="21"/>
                <w:highlight w:val="none"/>
              </w:rPr>
            </w:pPr>
          </w:p>
        </w:tc>
        <w:tc>
          <w:tcPr>
            <w:tcW w:w="1453" w:type="dxa"/>
          </w:tcPr>
          <w:p w14:paraId="35399E2C">
            <w:pPr>
              <w:autoSpaceDE w:val="0"/>
              <w:autoSpaceDN w:val="0"/>
              <w:adjustRightInd w:val="0"/>
              <w:snapToGrid w:val="0"/>
              <w:rPr>
                <w:rFonts w:ascii="宋体" w:hAnsi="宋体" w:cs="宋体"/>
                <w:color w:val="auto"/>
                <w:kern w:val="0"/>
                <w:sz w:val="21"/>
                <w:szCs w:val="21"/>
                <w:highlight w:val="none"/>
              </w:rPr>
            </w:pPr>
          </w:p>
        </w:tc>
        <w:tc>
          <w:tcPr>
            <w:tcW w:w="1186" w:type="dxa"/>
          </w:tcPr>
          <w:p w14:paraId="413A56BD">
            <w:pPr>
              <w:autoSpaceDE w:val="0"/>
              <w:autoSpaceDN w:val="0"/>
              <w:adjustRightInd w:val="0"/>
              <w:snapToGrid w:val="0"/>
              <w:rPr>
                <w:rFonts w:ascii="宋体" w:hAnsi="宋体" w:cs="宋体"/>
                <w:color w:val="auto"/>
                <w:kern w:val="0"/>
                <w:sz w:val="21"/>
                <w:szCs w:val="21"/>
                <w:highlight w:val="none"/>
              </w:rPr>
            </w:pPr>
          </w:p>
        </w:tc>
        <w:tc>
          <w:tcPr>
            <w:tcW w:w="1188" w:type="dxa"/>
          </w:tcPr>
          <w:p w14:paraId="174E0B17">
            <w:pPr>
              <w:autoSpaceDE w:val="0"/>
              <w:autoSpaceDN w:val="0"/>
              <w:adjustRightInd w:val="0"/>
              <w:snapToGrid w:val="0"/>
              <w:rPr>
                <w:rFonts w:ascii="宋体" w:hAnsi="宋体" w:cs="宋体"/>
                <w:color w:val="auto"/>
                <w:kern w:val="0"/>
                <w:sz w:val="21"/>
                <w:szCs w:val="21"/>
                <w:highlight w:val="none"/>
              </w:rPr>
            </w:pPr>
          </w:p>
        </w:tc>
        <w:tc>
          <w:tcPr>
            <w:tcW w:w="1186" w:type="dxa"/>
          </w:tcPr>
          <w:p w14:paraId="2889CCF9">
            <w:pPr>
              <w:autoSpaceDE w:val="0"/>
              <w:autoSpaceDN w:val="0"/>
              <w:adjustRightInd w:val="0"/>
              <w:snapToGrid w:val="0"/>
              <w:rPr>
                <w:rFonts w:ascii="宋体" w:hAnsi="宋体" w:cs="宋体"/>
                <w:color w:val="auto"/>
                <w:kern w:val="0"/>
                <w:sz w:val="21"/>
                <w:szCs w:val="21"/>
                <w:highlight w:val="none"/>
              </w:rPr>
            </w:pPr>
          </w:p>
        </w:tc>
        <w:tc>
          <w:tcPr>
            <w:tcW w:w="1188" w:type="dxa"/>
          </w:tcPr>
          <w:p w14:paraId="2E30442E">
            <w:pPr>
              <w:autoSpaceDE w:val="0"/>
              <w:autoSpaceDN w:val="0"/>
              <w:adjustRightInd w:val="0"/>
              <w:snapToGrid w:val="0"/>
              <w:rPr>
                <w:rFonts w:ascii="宋体" w:hAnsi="宋体" w:cs="宋体"/>
                <w:color w:val="auto"/>
                <w:kern w:val="0"/>
                <w:sz w:val="21"/>
                <w:szCs w:val="21"/>
                <w:highlight w:val="none"/>
              </w:rPr>
            </w:pPr>
          </w:p>
        </w:tc>
        <w:tc>
          <w:tcPr>
            <w:tcW w:w="1186" w:type="dxa"/>
          </w:tcPr>
          <w:p w14:paraId="4572240F">
            <w:pPr>
              <w:autoSpaceDE w:val="0"/>
              <w:autoSpaceDN w:val="0"/>
              <w:adjustRightInd w:val="0"/>
              <w:snapToGrid w:val="0"/>
              <w:rPr>
                <w:rFonts w:ascii="宋体" w:hAnsi="宋体" w:cs="宋体"/>
                <w:color w:val="auto"/>
                <w:kern w:val="0"/>
                <w:sz w:val="21"/>
                <w:szCs w:val="21"/>
                <w:highlight w:val="none"/>
              </w:rPr>
            </w:pPr>
          </w:p>
        </w:tc>
        <w:tc>
          <w:tcPr>
            <w:tcW w:w="1187" w:type="dxa"/>
          </w:tcPr>
          <w:p w14:paraId="1A1FA915">
            <w:pPr>
              <w:autoSpaceDE w:val="0"/>
              <w:autoSpaceDN w:val="0"/>
              <w:adjustRightInd w:val="0"/>
              <w:snapToGrid w:val="0"/>
              <w:rPr>
                <w:rFonts w:ascii="宋体" w:hAnsi="宋体" w:cs="宋体"/>
                <w:color w:val="auto"/>
                <w:kern w:val="0"/>
                <w:sz w:val="21"/>
                <w:szCs w:val="21"/>
                <w:highlight w:val="none"/>
              </w:rPr>
            </w:pPr>
          </w:p>
        </w:tc>
      </w:tr>
      <w:tr w14:paraId="265AF9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jc w:val="center"/>
        </w:trPr>
        <w:tc>
          <w:tcPr>
            <w:tcW w:w="924" w:type="dxa"/>
          </w:tcPr>
          <w:p w14:paraId="603CCB30">
            <w:pPr>
              <w:autoSpaceDE w:val="0"/>
              <w:autoSpaceDN w:val="0"/>
              <w:adjustRightInd w:val="0"/>
              <w:snapToGrid w:val="0"/>
              <w:rPr>
                <w:rFonts w:ascii="宋体" w:hAnsi="宋体" w:cs="宋体"/>
                <w:color w:val="auto"/>
                <w:kern w:val="0"/>
                <w:sz w:val="21"/>
                <w:szCs w:val="21"/>
                <w:highlight w:val="none"/>
              </w:rPr>
            </w:pPr>
          </w:p>
        </w:tc>
        <w:tc>
          <w:tcPr>
            <w:tcW w:w="1453" w:type="dxa"/>
          </w:tcPr>
          <w:p w14:paraId="176C6D1E">
            <w:pPr>
              <w:autoSpaceDE w:val="0"/>
              <w:autoSpaceDN w:val="0"/>
              <w:adjustRightInd w:val="0"/>
              <w:snapToGrid w:val="0"/>
              <w:rPr>
                <w:rFonts w:ascii="宋体" w:hAnsi="宋体" w:cs="宋体"/>
                <w:color w:val="auto"/>
                <w:kern w:val="0"/>
                <w:sz w:val="21"/>
                <w:szCs w:val="21"/>
                <w:highlight w:val="none"/>
              </w:rPr>
            </w:pPr>
          </w:p>
        </w:tc>
        <w:tc>
          <w:tcPr>
            <w:tcW w:w="1186" w:type="dxa"/>
          </w:tcPr>
          <w:p w14:paraId="1E6FE46E">
            <w:pPr>
              <w:autoSpaceDE w:val="0"/>
              <w:autoSpaceDN w:val="0"/>
              <w:adjustRightInd w:val="0"/>
              <w:snapToGrid w:val="0"/>
              <w:rPr>
                <w:rFonts w:ascii="宋体" w:hAnsi="宋体" w:cs="宋体"/>
                <w:color w:val="auto"/>
                <w:kern w:val="0"/>
                <w:sz w:val="21"/>
                <w:szCs w:val="21"/>
                <w:highlight w:val="none"/>
              </w:rPr>
            </w:pPr>
          </w:p>
        </w:tc>
        <w:tc>
          <w:tcPr>
            <w:tcW w:w="1188" w:type="dxa"/>
          </w:tcPr>
          <w:p w14:paraId="0EB8C74C">
            <w:pPr>
              <w:autoSpaceDE w:val="0"/>
              <w:autoSpaceDN w:val="0"/>
              <w:adjustRightInd w:val="0"/>
              <w:snapToGrid w:val="0"/>
              <w:rPr>
                <w:rFonts w:ascii="宋体" w:hAnsi="宋体" w:cs="宋体"/>
                <w:color w:val="auto"/>
                <w:kern w:val="0"/>
                <w:sz w:val="21"/>
                <w:szCs w:val="21"/>
                <w:highlight w:val="none"/>
              </w:rPr>
            </w:pPr>
          </w:p>
        </w:tc>
        <w:tc>
          <w:tcPr>
            <w:tcW w:w="1186" w:type="dxa"/>
          </w:tcPr>
          <w:p w14:paraId="368384AE">
            <w:pPr>
              <w:autoSpaceDE w:val="0"/>
              <w:autoSpaceDN w:val="0"/>
              <w:adjustRightInd w:val="0"/>
              <w:snapToGrid w:val="0"/>
              <w:rPr>
                <w:rFonts w:ascii="宋体" w:hAnsi="宋体" w:cs="宋体"/>
                <w:color w:val="auto"/>
                <w:kern w:val="0"/>
                <w:sz w:val="21"/>
                <w:szCs w:val="21"/>
                <w:highlight w:val="none"/>
              </w:rPr>
            </w:pPr>
          </w:p>
        </w:tc>
        <w:tc>
          <w:tcPr>
            <w:tcW w:w="1188" w:type="dxa"/>
          </w:tcPr>
          <w:p w14:paraId="3CDCD1AC">
            <w:pPr>
              <w:autoSpaceDE w:val="0"/>
              <w:autoSpaceDN w:val="0"/>
              <w:adjustRightInd w:val="0"/>
              <w:snapToGrid w:val="0"/>
              <w:rPr>
                <w:rFonts w:ascii="宋体" w:hAnsi="宋体" w:cs="宋体"/>
                <w:color w:val="auto"/>
                <w:kern w:val="0"/>
                <w:sz w:val="21"/>
                <w:szCs w:val="21"/>
                <w:highlight w:val="none"/>
              </w:rPr>
            </w:pPr>
          </w:p>
        </w:tc>
        <w:tc>
          <w:tcPr>
            <w:tcW w:w="1186" w:type="dxa"/>
          </w:tcPr>
          <w:p w14:paraId="19EDD5AD">
            <w:pPr>
              <w:autoSpaceDE w:val="0"/>
              <w:autoSpaceDN w:val="0"/>
              <w:adjustRightInd w:val="0"/>
              <w:snapToGrid w:val="0"/>
              <w:rPr>
                <w:rFonts w:ascii="宋体" w:hAnsi="宋体" w:cs="宋体"/>
                <w:color w:val="auto"/>
                <w:kern w:val="0"/>
                <w:sz w:val="21"/>
                <w:szCs w:val="21"/>
                <w:highlight w:val="none"/>
              </w:rPr>
            </w:pPr>
          </w:p>
        </w:tc>
        <w:tc>
          <w:tcPr>
            <w:tcW w:w="1187" w:type="dxa"/>
          </w:tcPr>
          <w:p w14:paraId="6BBFE120">
            <w:pPr>
              <w:autoSpaceDE w:val="0"/>
              <w:autoSpaceDN w:val="0"/>
              <w:adjustRightInd w:val="0"/>
              <w:snapToGrid w:val="0"/>
              <w:rPr>
                <w:rFonts w:ascii="宋体" w:hAnsi="宋体" w:cs="宋体"/>
                <w:color w:val="auto"/>
                <w:kern w:val="0"/>
                <w:sz w:val="21"/>
                <w:szCs w:val="21"/>
                <w:highlight w:val="none"/>
              </w:rPr>
            </w:pPr>
          </w:p>
        </w:tc>
      </w:tr>
      <w:tr w14:paraId="662492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jc w:val="center"/>
        </w:trPr>
        <w:tc>
          <w:tcPr>
            <w:tcW w:w="924" w:type="dxa"/>
          </w:tcPr>
          <w:p w14:paraId="3C3F01D5">
            <w:pPr>
              <w:autoSpaceDE w:val="0"/>
              <w:autoSpaceDN w:val="0"/>
              <w:adjustRightInd w:val="0"/>
              <w:snapToGrid w:val="0"/>
              <w:rPr>
                <w:rFonts w:ascii="宋体" w:hAnsi="宋体" w:cs="宋体"/>
                <w:color w:val="auto"/>
                <w:kern w:val="0"/>
                <w:sz w:val="21"/>
                <w:szCs w:val="21"/>
                <w:highlight w:val="none"/>
              </w:rPr>
            </w:pPr>
          </w:p>
        </w:tc>
        <w:tc>
          <w:tcPr>
            <w:tcW w:w="1453" w:type="dxa"/>
          </w:tcPr>
          <w:p w14:paraId="729C3AFD">
            <w:pPr>
              <w:autoSpaceDE w:val="0"/>
              <w:autoSpaceDN w:val="0"/>
              <w:adjustRightInd w:val="0"/>
              <w:snapToGrid w:val="0"/>
              <w:rPr>
                <w:rFonts w:ascii="宋体" w:hAnsi="宋体" w:cs="宋体"/>
                <w:color w:val="auto"/>
                <w:kern w:val="0"/>
                <w:sz w:val="21"/>
                <w:szCs w:val="21"/>
                <w:highlight w:val="none"/>
              </w:rPr>
            </w:pPr>
          </w:p>
        </w:tc>
        <w:tc>
          <w:tcPr>
            <w:tcW w:w="1186" w:type="dxa"/>
          </w:tcPr>
          <w:p w14:paraId="46A0B5DA">
            <w:pPr>
              <w:autoSpaceDE w:val="0"/>
              <w:autoSpaceDN w:val="0"/>
              <w:adjustRightInd w:val="0"/>
              <w:snapToGrid w:val="0"/>
              <w:rPr>
                <w:rFonts w:ascii="宋体" w:hAnsi="宋体" w:cs="宋体"/>
                <w:color w:val="auto"/>
                <w:kern w:val="0"/>
                <w:sz w:val="21"/>
                <w:szCs w:val="21"/>
                <w:highlight w:val="none"/>
              </w:rPr>
            </w:pPr>
          </w:p>
        </w:tc>
        <w:tc>
          <w:tcPr>
            <w:tcW w:w="1188" w:type="dxa"/>
          </w:tcPr>
          <w:p w14:paraId="003E58A8">
            <w:pPr>
              <w:autoSpaceDE w:val="0"/>
              <w:autoSpaceDN w:val="0"/>
              <w:adjustRightInd w:val="0"/>
              <w:snapToGrid w:val="0"/>
              <w:rPr>
                <w:rFonts w:ascii="宋体" w:hAnsi="宋体" w:cs="宋体"/>
                <w:color w:val="auto"/>
                <w:kern w:val="0"/>
                <w:sz w:val="21"/>
                <w:szCs w:val="21"/>
                <w:highlight w:val="none"/>
              </w:rPr>
            </w:pPr>
          </w:p>
        </w:tc>
        <w:tc>
          <w:tcPr>
            <w:tcW w:w="1186" w:type="dxa"/>
          </w:tcPr>
          <w:p w14:paraId="27188F5E">
            <w:pPr>
              <w:autoSpaceDE w:val="0"/>
              <w:autoSpaceDN w:val="0"/>
              <w:adjustRightInd w:val="0"/>
              <w:snapToGrid w:val="0"/>
              <w:rPr>
                <w:rFonts w:ascii="宋体" w:hAnsi="宋体" w:cs="宋体"/>
                <w:color w:val="auto"/>
                <w:kern w:val="0"/>
                <w:sz w:val="21"/>
                <w:szCs w:val="21"/>
                <w:highlight w:val="none"/>
              </w:rPr>
            </w:pPr>
          </w:p>
        </w:tc>
        <w:tc>
          <w:tcPr>
            <w:tcW w:w="1188" w:type="dxa"/>
          </w:tcPr>
          <w:p w14:paraId="00C56A90">
            <w:pPr>
              <w:autoSpaceDE w:val="0"/>
              <w:autoSpaceDN w:val="0"/>
              <w:adjustRightInd w:val="0"/>
              <w:snapToGrid w:val="0"/>
              <w:rPr>
                <w:rFonts w:ascii="宋体" w:hAnsi="宋体" w:cs="宋体"/>
                <w:color w:val="auto"/>
                <w:kern w:val="0"/>
                <w:sz w:val="21"/>
                <w:szCs w:val="21"/>
                <w:highlight w:val="none"/>
              </w:rPr>
            </w:pPr>
          </w:p>
        </w:tc>
        <w:tc>
          <w:tcPr>
            <w:tcW w:w="1186" w:type="dxa"/>
          </w:tcPr>
          <w:p w14:paraId="46DFA9D4">
            <w:pPr>
              <w:autoSpaceDE w:val="0"/>
              <w:autoSpaceDN w:val="0"/>
              <w:adjustRightInd w:val="0"/>
              <w:snapToGrid w:val="0"/>
              <w:rPr>
                <w:rFonts w:ascii="宋体" w:hAnsi="宋体" w:cs="宋体"/>
                <w:color w:val="auto"/>
                <w:kern w:val="0"/>
                <w:sz w:val="21"/>
                <w:szCs w:val="21"/>
                <w:highlight w:val="none"/>
              </w:rPr>
            </w:pPr>
          </w:p>
        </w:tc>
        <w:tc>
          <w:tcPr>
            <w:tcW w:w="1187" w:type="dxa"/>
          </w:tcPr>
          <w:p w14:paraId="0F8841C7">
            <w:pPr>
              <w:autoSpaceDE w:val="0"/>
              <w:autoSpaceDN w:val="0"/>
              <w:adjustRightInd w:val="0"/>
              <w:snapToGrid w:val="0"/>
              <w:rPr>
                <w:rFonts w:ascii="宋体" w:hAnsi="宋体" w:cs="宋体"/>
                <w:color w:val="auto"/>
                <w:kern w:val="0"/>
                <w:sz w:val="21"/>
                <w:szCs w:val="21"/>
                <w:highlight w:val="none"/>
              </w:rPr>
            </w:pPr>
          </w:p>
        </w:tc>
      </w:tr>
      <w:tr w14:paraId="0C9DE78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jc w:val="center"/>
        </w:trPr>
        <w:tc>
          <w:tcPr>
            <w:tcW w:w="924" w:type="dxa"/>
          </w:tcPr>
          <w:p w14:paraId="08E927F6">
            <w:pPr>
              <w:autoSpaceDE w:val="0"/>
              <w:autoSpaceDN w:val="0"/>
              <w:adjustRightInd w:val="0"/>
              <w:snapToGrid w:val="0"/>
              <w:rPr>
                <w:rFonts w:ascii="宋体" w:hAnsi="宋体" w:cs="宋体"/>
                <w:color w:val="auto"/>
                <w:kern w:val="0"/>
                <w:sz w:val="21"/>
                <w:szCs w:val="21"/>
                <w:highlight w:val="none"/>
              </w:rPr>
            </w:pPr>
          </w:p>
        </w:tc>
        <w:tc>
          <w:tcPr>
            <w:tcW w:w="1453" w:type="dxa"/>
          </w:tcPr>
          <w:p w14:paraId="3BE2FD73">
            <w:pPr>
              <w:autoSpaceDE w:val="0"/>
              <w:autoSpaceDN w:val="0"/>
              <w:adjustRightInd w:val="0"/>
              <w:snapToGrid w:val="0"/>
              <w:rPr>
                <w:rFonts w:ascii="宋体" w:hAnsi="宋体" w:cs="宋体"/>
                <w:color w:val="auto"/>
                <w:kern w:val="0"/>
                <w:sz w:val="21"/>
                <w:szCs w:val="21"/>
                <w:highlight w:val="none"/>
              </w:rPr>
            </w:pPr>
          </w:p>
        </w:tc>
        <w:tc>
          <w:tcPr>
            <w:tcW w:w="1186" w:type="dxa"/>
          </w:tcPr>
          <w:p w14:paraId="1A021BEA">
            <w:pPr>
              <w:autoSpaceDE w:val="0"/>
              <w:autoSpaceDN w:val="0"/>
              <w:adjustRightInd w:val="0"/>
              <w:snapToGrid w:val="0"/>
              <w:rPr>
                <w:rFonts w:ascii="宋体" w:hAnsi="宋体" w:cs="宋体"/>
                <w:color w:val="auto"/>
                <w:kern w:val="0"/>
                <w:sz w:val="21"/>
                <w:szCs w:val="21"/>
                <w:highlight w:val="none"/>
              </w:rPr>
            </w:pPr>
          </w:p>
        </w:tc>
        <w:tc>
          <w:tcPr>
            <w:tcW w:w="1188" w:type="dxa"/>
          </w:tcPr>
          <w:p w14:paraId="4A9FBF86">
            <w:pPr>
              <w:autoSpaceDE w:val="0"/>
              <w:autoSpaceDN w:val="0"/>
              <w:adjustRightInd w:val="0"/>
              <w:snapToGrid w:val="0"/>
              <w:rPr>
                <w:rFonts w:ascii="宋体" w:hAnsi="宋体" w:cs="宋体"/>
                <w:color w:val="auto"/>
                <w:kern w:val="0"/>
                <w:sz w:val="21"/>
                <w:szCs w:val="21"/>
                <w:highlight w:val="none"/>
              </w:rPr>
            </w:pPr>
          </w:p>
        </w:tc>
        <w:tc>
          <w:tcPr>
            <w:tcW w:w="1186" w:type="dxa"/>
          </w:tcPr>
          <w:p w14:paraId="09A7902A">
            <w:pPr>
              <w:autoSpaceDE w:val="0"/>
              <w:autoSpaceDN w:val="0"/>
              <w:adjustRightInd w:val="0"/>
              <w:snapToGrid w:val="0"/>
              <w:rPr>
                <w:rFonts w:ascii="宋体" w:hAnsi="宋体" w:cs="宋体"/>
                <w:color w:val="auto"/>
                <w:kern w:val="0"/>
                <w:sz w:val="21"/>
                <w:szCs w:val="21"/>
                <w:highlight w:val="none"/>
              </w:rPr>
            </w:pPr>
          </w:p>
        </w:tc>
        <w:tc>
          <w:tcPr>
            <w:tcW w:w="1188" w:type="dxa"/>
          </w:tcPr>
          <w:p w14:paraId="2ED84230">
            <w:pPr>
              <w:autoSpaceDE w:val="0"/>
              <w:autoSpaceDN w:val="0"/>
              <w:adjustRightInd w:val="0"/>
              <w:snapToGrid w:val="0"/>
              <w:rPr>
                <w:rFonts w:ascii="宋体" w:hAnsi="宋体" w:cs="宋体"/>
                <w:color w:val="auto"/>
                <w:kern w:val="0"/>
                <w:sz w:val="21"/>
                <w:szCs w:val="21"/>
                <w:highlight w:val="none"/>
              </w:rPr>
            </w:pPr>
          </w:p>
        </w:tc>
        <w:tc>
          <w:tcPr>
            <w:tcW w:w="1186" w:type="dxa"/>
          </w:tcPr>
          <w:p w14:paraId="7D624A79">
            <w:pPr>
              <w:autoSpaceDE w:val="0"/>
              <w:autoSpaceDN w:val="0"/>
              <w:adjustRightInd w:val="0"/>
              <w:snapToGrid w:val="0"/>
              <w:rPr>
                <w:rFonts w:ascii="宋体" w:hAnsi="宋体" w:cs="宋体"/>
                <w:color w:val="auto"/>
                <w:kern w:val="0"/>
                <w:sz w:val="21"/>
                <w:szCs w:val="21"/>
                <w:highlight w:val="none"/>
              </w:rPr>
            </w:pPr>
          </w:p>
        </w:tc>
        <w:tc>
          <w:tcPr>
            <w:tcW w:w="1187" w:type="dxa"/>
          </w:tcPr>
          <w:p w14:paraId="7D8FD164">
            <w:pPr>
              <w:autoSpaceDE w:val="0"/>
              <w:autoSpaceDN w:val="0"/>
              <w:adjustRightInd w:val="0"/>
              <w:snapToGrid w:val="0"/>
              <w:rPr>
                <w:rFonts w:ascii="宋体" w:hAnsi="宋体" w:cs="宋体"/>
                <w:color w:val="auto"/>
                <w:kern w:val="0"/>
                <w:sz w:val="21"/>
                <w:szCs w:val="21"/>
                <w:highlight w:val="none"/>
              </w:rPr>
            </w:pPr>
          </w:p>
        </w:tc>
      </w:tr>
      <w:tr w14:paraId="7684DEA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jc w:val="center"/>
        </w:trPr>
        <w:tc>
          <w:tcPr>
            <w:tcW w:w="924" w:type="dxa"/>
          </w:tcPr>
          <w:p w14:paraId="37A7A352">
            <w:pPr>
              <w:autoSpaceDE w:val="0"/>
              <w:autoSpaceDN w:val="0"/>
              <w:adjustRightInd w:val="0"/>
              <w:snapToGrid w:val="0"/>
              <w:rPr>
                <w:rFonts w:ascii="宋体" w:hAnsi="宋体" w:cs="宋体"/>
                <w:color w:val="auto"/>
                <w:kern w:val="0"/>
                <w:sz w:val="21"/>
                <w:szCs w:val="21"/>
                <w:highlight w:val="none"/>
              </w:rPr>
            </w:pPr>
          </w:p>
        </w:tc>
        <w:tc>
          <w:tcPr>
            <w:tcW w:w="1453" w:type="dxa"/>
          </w:tcPr>
          <w:p w14:paraId="29CB6517">
            <w:pPr>
              <w:autoSpaceDE w:val="0"/>
              <w:autoSpaceDN w:val="0"/>
              <w:adjustRightInd w:val="0"/>
              <w:snapToGrid w:val="0"/>
              <w:rPr>
                <w:rFonts w:ascii="宋体" w:hAnsi="宋体" w:cs="宋体"/>
                <w:color w:val="auto"/>
                <w:kern w:val="0"/>
                <w:sz w:val="21"/>
                <w:szCs w:val="21"/>
                <w:highlight w:val="none"/>
              </w:rPr>
            </w:pPr>
          </w:p>
        </w:tc>
        <w:tc>
          <w:tcPr>
            <w:tcW w:w="1186" w:type="dxa"/>
          </w:tcPr>
          <w:p w14:paraId="3871C85D">
            <w:pPr>
              <w:autoSpaceDE w:val="0"/>
              <w:autoSpaceDN w:val="0"/>
              <w:adjustRightInd w:val="0"/>
              <w:snapToGrid w:val="0"/>
              <w:rPr>
                <w:rFonts w:ascii="宋体" w:hAnsi="宋体" w:cs="宋体"/>
                <w:color w:val="auto"/>
                <w:kern w:val="0"/>
                <w:sz w:val="21"/>
                <w:szCs w:val="21"/>
                <w:highlight w:val="none"/>
              </w:rPr>
            </w:pPr>
          </w:p>
        </w:tc>
        <w:tc>
          <w:tcPr>
            <w:tcW w:w="1188" w:type="dxa"/>
          </w:tcPr>
          <w:p w14:paraId="7BD4BA6E">
            <w:pPr>
              <w:autoSpaceDE w:val="0"/>
              <w:autoSpaceDN w:val="0"/>
              <w:adjustRightInd w:val="0"/>
              <w:snapToGrid w:val="0"/>
              <w:rPr>
                <w:rFonts w:ascii="宋体" w:hAnsi="宋体" w:cs="宋体"/>
                <w:color w:val="auto"/>
                <w:kern w:val="0"/>
                <w:sz w:val="21"/>
                <w:szCs w:val="21"/>
                <w:highlight w:val="none"/>
              </w:rPr>
            </w:pPr>
          </w:p>
        </w:tc>
        <w:tc>
          <w:tcPr>
            <w:tcW w:w="1186" w:type="dxa"/>
          </w:tcPr>
          <w:p w14:paraId="7133ED24">
            <w:pPr>
              <w:autoSpaceDE w:val="0"/>
              <w:autoSpaceDN w:val="0"/>
              <w:adjustRightInd w:val="0"/>
              <w:snapToGrid w:val="0"/>
              <w:rPr>
                <w:rFonts w:ascii="宋体" w:hAnsi="宋体" w:cs="宋体"/>
                <w:color w:val="auto"/>
                <w:kern w:val="0"/>
                <w:sz w:val="21"/>
                <w:szCs w:val="21"/>
                <w:highlight w:val="none"/>
              </w:rPr>
            </w:pPr>
          </w:p>
        </w:tc>
        <w:tc>
          <w:tcPr>
            <w:tcW w:w="1188" w:type="dxa"/>
          </w:tcPr>
          <w:p w14:paraId="4E32E16F">
            <w:pPr>
              <w:autoSpaceDE w:val="0"/>
              <w:autoSpaceDN w:val="0"/>
              <w:adjustRightInd w:val="0"/>
              <w:snapToGrid w:val="0"/>
              <w:rPr>
                <w:rFonts w:ascii="宋体" w:hAnsi="宋体" w:cs="宋体"/>
                <w:color w:val="auto"/>
                <w:kern w:val="0"/>
                <w:sz w:val="21"/>
                <w:szCs w:val="21"/>
                <w:highlight w:val="none"/>
              </w:rPr>
            </w:pPr>
          </w:p>
        </w:tc>
        <w:tc>
          <w:tcPr>
            <w:tcW w:w="1186" w:type="dxa"/>
          </w:tcPr>
          <w:p w14:paraId="651C3FF4">
            <w:pPr>
              <w:autoSpaceDE w:val="0"/>
              <w:autoSpaceDN w:val="0"/>
              <w:adjustRightInd w:val="0"/>
              <w:snapToGrid w:val="0"/>
              <w:rPr>
                <w:rFonts w:ascii="宋体" w:hAnsi="宋体" w:cs="宋体"/>
                <w:color w:val="auto"/>
                <w:kern w:val="0"/>
                <w:sz w:val="21"/>
                <w:szCs w:val="21"/>
                <w:highlight w:val="none"/>
              </w:rPr>
            </w:pPr>
          </w:p>
        </w:tc>
        <w:tc>
          <w:tcPr>
            <w:tcW w:w="1187" w:type="dxa"/>
          </w:tcPr>
          <w:p w14:paraId="012C0BD7">
            <w:pPr>
              <w:autoSpaceDE w:val="0"/>
              <w:autoSpaceDN w:val="0"/>
              <w:adjustRightInd w:val="0"/>
              <w:snapToGrid w:val="0"/>
              <w:rPr>
                <w:rFonts w:ascii="宋体" w:hAnsi="宋体" w:cs="宋体"/>
                <w:color w:val="auto"/>
                <w:kern w:val="0"/>
                <w:sz w:val="21"/>
                <w:szCs w:val="21"/>
                <w:highlight w:val="none"/>
              </w:rPr>
            </w:pPr>
          </w:p>
        </w:tc>
      </w:tr>
      <w:tr w14:paraId="1DFD6E3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jc w:val="center"/>
        </w:trPr>
        <w:tc>
          <w:tcPr>
            <w:tcW w:w="924" w:type="dxa"/>
          </w:tcPr>
          <w:p w14:paraId="799191B9">
            <w:pPr>
              <w:autoSpaceDE w:val="0"/>
              <w:autoSpaceDN w:val="0"/>
              <w:adjustRightInd w:val="0"/>
              <w:snapToGrid w:val="0"/>
              <w:rPr>
                <w:rFonts w:ascii="宋体" w:hAnsi="宋体" w:cs="宋体"/>
                <w:color w:val="auto"/>
                <w:kern w:val="0"/>
                <w:sz w:val="21"/>
                <w:szCs w:val="21"/>
                <w:highlight w:val="none"/>
              </w:rPr>
            </w:pPr>
          </w:p>
        </w:tc>
        <w:tc>
          <w:tcPr>
            <w:tcW w:w="1453" w:type="dxa"/>
          </w:tcPr>
          <w:p w14:paraId="3085BEA5">
            <w:pPr>
              <w:autoSpaceDE w:val="0"/>
              <w:autoSpaceDN w:val="0"/>
              <w:adjustRightInd w:val="0"/>
              <w:snapToGrid w:val="0"/>
              <w:rPr>
                <w:rFonts w:ascii="宋体" w:hAnsi="宋体" w:cs="宋体"/>
                <w:color w:val="auto"/>
                <w:kern w:val="0"/>
                <w:sz w:val="21"/>
                <w:szCs w:val="21"/>
                <w:highlight w:val="none"/>
              </w:rPr>
            </w:pPr>
          </w:p>
        </w:tc>
        <w:tc>
          <w:tcPr>
            <w:tcW w:w="1186" w:type="dxa"/>
          </w:tcPr>
          <w:p w14:paraId="7FB2FB91">
            <w:pPr>
              <w:autoSpaceDE w:val="0"/>
              <w:autoSpaceDN w:val="0"/>
              <w:adjustRightInd w:val="0"/>
              <w:snapToGrid w:val="0"/>
              <w:rPr>
                <w:rFonts w:ascii="宋体" w:hAnsi="宋体" w:cs="宋体"/>
                <w:color w:val="auto"/>
                <w:kern w:val="0"/>
                <w:sz w:val="21"/>
                <w:szCs w:val="21"/>
                <w:highlight w:val="none"/>
              </w:rPr>
            </w:pPr>
          </w:p>
        </w:tc>
        <w:tc>
          <w:tcPr>
            <w:tcW w:w="1188" w:type="dxa"/>
          </w:tcPr>
          <w:p w14:paraId="2FECB647">
            <w:pPr>
              <w:autoSpaceDE w:val="0"/>
              <w:autoSpaceDN w:val="0"/>
              <w:adjustRightInd w:val="0"/>
              <w:snapToGrid w:val="0"/>
              <w:rPr>
                <w:rFonts w:ascii="宋体" w:hAnsi="宋体" w:cs="宋体"/>
                <w:color w:val="auto"/>
                <w:kern w:val="0"/>
                <w:sz w:val="21"/>
                <w:szCs w:val="21"/>
                <w:highlight w:val="none"/>
              </w:rPr>
            </w:pPr>
          </w:p>
        </w:tc>
        <w:tc>
          <w:tcPr>
            <w:tcW w:w="1186" w:type="dxa"/>
          </w:tcPr>
          <w:p w14:paraId="7DC5C4A4">
            <w:pPr>
              <w:autoSpaceDE w:val="0"/>
              <w:autoSpaceDN w:val="0"/>
              <w:adjustRightInd w:val="0"/>
              <w:snapToGrid w:val="0"/>
              <w:rPr>
                <w:rFonts w:ascii="宋体" w:hAnsi="宋体" w:cs="宋体"/>
                <w:color w:val="auto"/>
                <w:kern w:val="0"/>
                <w:sz w:val="21"/>
                <w:szCs w:val="21"/>
                <w:highlight w:val="none"/>
              </w:rPr>
            </w:pPr>
          </w:p>
        </w:tc>
        <w:tc>
          <w:tcPr>
            <w:tcW w:w="1188" w:type="dxa"/>
          </w:tcPr>
          <w:p w14:paraId="007D3C34">
            <w:pPr>
              <w:autoSpaceDE w:val="0"/>
              <w:autoSpaceDN w:val="0"/>
              <w:adjustRightInd w:val="0"/>
              <w:snapToGrid w:val="0"/>
              <w:rPr>
                <w:rFonts w:ascii="宋体" w:hAnsi="宋体" w:cs="宋体"/>
                <w:color w:val="auto"/>
                <w:kern w:val="0"/>
                <w:sz w:val="21"/>
                <w:szCs w:val="21"/>
                <w:highlight w:val="none"/>
              </w:rPr>
            </w:pPr>
          </w:p>
        </w:tc>
        <w:tc>
          <w:tcPr>
            <w:tcW w:w="1186" w:type="dxa"/>
          </w:tcPr>
          <w:p w14:paraId="234F4CDE">
            <w:pPr>
              <w:autoSpaceDE w:val="0"/>
              <w:autoSpaceDN w:val="0"/>
              <w:adjustRightInd w:val="0"/>
              <w:snapToGrid w:val="0"/>
              <w:rPr>
                <w:rFonts w:ascii="宋体" w:hAnsi="宋体" w:cs="宋体"/>
                <w:color w:val="auto"/>
                <w:kern w:val="0"/>
                <w:sz w:val="21"/>
                <w:szCs w:val="21"/>
                <w:highlight w:val="none"/>
              </w:rPr>
            </w:pPr>
          </w:p>
        </w:tc>
        <w:tc>
          <w:tcPr>
            <w:tcW w:w="1187" w:type="dxa"/>
          </w:tcPr>
          <w:p w14:paraId="2CC7C8E4">
            <w:pPr>
              <w:autoSpaceDE w:val="0"/>
              <w:autoSpaceDN w:val="0"/>
              <w:adjustRightInd w:val="0"/>
              <w:snapToGrid w:val="0"/>
              <w:rPr>
                <w:rFonts w:ascii="宋体" w:hAnsi="宋体" w:cs="宋体"/>
                <w:color w:val="auto"/>
                <w:kern w:val="0"/>
                <w:sz w:val="21"/>
                <w:szCs w:val="21"/>
                <w:highlight w:val="none"/>
              </w:rPr>
            </w:pPr>
          </w:p>
        </w:tc>
      </w:tr>
      <w:tr w14:paraId="7A6C4C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jc w:val="center"/>
        </w:trPr>
        <w:tc>
          <w:tcPr>
            <w:tcW w:w="924" w:type="dxa"/>
          </w:tcPr>
          <w:p w14:paraId="3584833A">
            <w:pPr>
              <w:autoSpaceDE w:val="0"/>
              <w:autoSpaceDN w:val="0"/>
              <w:adjustRightInd w:val="0"/>
              <w:snapToGrid w:val="0"/>
              <w:rPr>
                <w:rFonts w:ascii="宋体" w:hAnsi="宋体" w:cs="宋体"/>
                <w:color w:val="auto"/>
                <w:kern w:val="0"/>
                <w:sz w:val="21"/>
                <w:szCs w:val="21"/>
                <w:highlight w:val="none"/>
              </w:rPr>
            </w:pPr>
          </w:p>
        </w:tc>
        <w:tc>
          <w:tcPr>
            <w:tcW w:w="1453" w:type="dxa"/>
          </w:tcPr>
          <w:p w14:paraId="7CEE5DD2">
            <w:pPr>
              <w:autoSpaceDE w:val="0"/>
              <w:autoSpaceDN w:val="0"/>
              <w:adjustRightInd w:val="0"/>
              <w:snapToGrid w:val="0"/>
              <w:rPr>
                <w:rFonts w:ascii="宋体" w:hAnsi="宋体" w:cs="宋体"/>
                <w:color w:val="auto"/>
                <w:kern w:val="0"/>
                <w:sz w:val="21"/>
                <w:szCs w:val="21"/>
                <w:highlight w:val="none"/>
              </w:rPr>
            </w:pPr>
          </w:p>
        </w:tc>
        <w:tc>
          <w:tcPr>
            <w:tcW w:w="1186" w:type="dxa"/>
          </w:tcPr>
          <w:p w14:paraId="15C5C5DF">
            <w:pPr>
              <w:autoSpaceDE w:val="0"/>
              <w:autoSpaceDN w:val="0"/>
              <w:adjustRightInd w:val="0"/>
              <w:snapToGrid w:val="0"/>
              <w:rPr>
                <w:rFonts w:ascii="宋体" w:hAnsi="宋体" w:cs="宋体"/>
                <w:color w:val="auto"/>
                <w:kern w:val="0"/>
                <w:sz w:val="21"/>
                <w:szCs w:val="21"/>
                <w:highlight w:val="none"/>
              </w:rPr>
            </w:pPr>
          </w:p>
        </w:tc>
        <w:tc>
          <w:tcPr>
            <w:tcW w:w="1188" w:type="dxa"/>
          </w:tcPr>
          <w:p w14:paraId="78EB629C">
            <w:pPr>
              <w:autoSpaceDE w:val="0"/>
              <w:autoSpaceDN w:val="0"/>
              <w:adjustRightInd w:val="0"/>
              <w:snapToGrid w:val="0"/>
              <w:rPr>
                <w:rFonts w:ascii="宋体" w:hAnsi="宋体" w:cs="宋体"/>
                <w:color w:val="auto"/>
                <w:kern w:val="0"/>
                <w:sz w:val="21"/>
                <w:szCs w:val="21"/>
                <w:highlight w:val="none"/>
              </w:rPr>
            </w:pPr>
          </w:p>
        </w:tc>
        <w:tc>
          <w:tcPr>
            <w:tcW w:w="1186" w:type="dxa"/>
          </w:tcPr>
          <w:p w14:paraId="317046DA">
            <w:pPr>
              <w:autoSpaceDE w:val="0"/>
              <w:autoSpaceDN w:val="0"/>
              <w:adjustRightInd w:val="0"/>
              <w:snapToGrid w:val="0"/>
              <w:rPr>
                <w:rFonts w:ascii="宋体" w:hAnsi="宋体" w:cs="宋体"/>
                <w:color w:val="auto"/>
                <w:kern w:val="0"/>
                <w:sz w:val="21"/>
                <w:szCs w:val="21"/>
                <w:highlight w:val="none"/>
              </w:rPr>
            </w:pPr>
          </w:p>
        </w:tc>
        <w:tc>
          <w:tcPr>
            <w:tcW w:w="1188" w:type="dxa"/>
          </w:tcPr>
          <w:p w14:paraId="0116F1D6">
            <w:pPr>
              <w:autoSpaceDE w:val="0"/>
              <w:autoSpaceDN w:val="0"/>
              <w:adjustRightInd w:val="0"/>
              <w:snapToGrid w:val="0"/>
              <w:rPr>
                <w:rFonts w:ascii="宋体" w:hAnsi="宋体" w:cs="宋体"/>
                <w:color w:val="auto"/>
                <w:kern w:val="0"/>
                <w:sz w:val="21"/>
                <w:szCs w:val="21"/>
                <w:highlight w:val="none"/>
              </w:rPr>
            </w:pPr>
          </w:p>
        </w:tc>
        <w:tc>
          <w:tcPr>
            <w:tcW w:w="1186" w:type="dxa"/>
          </w:tcPr>
          <w:p w14:paraId="27A5C8C4">
            <w:pPr>
              <w:autoSpaceDE w:val="0"/>
              <w:autoSpaceDN w:val="0"/>
              <w:adjustRightInd w:val="0"/>
              <w:snapToGrid w:val="0"/>
              <w:rPr>
                <w:rFonts w:ascii="宋体" w:hAnsi="宋体" w:cs="宋体"/>
                <w:color w:val="auto"/>
                <w:kern w:val="0"/>
                <w:sz w:val="21"/>
                <w:szCs w:val="21"/>
                <w:highlight w:val="none"/>
              </w:rPr>
            </w:pPr>
          </w:p>
        </w:tc>
        <w:tc>
          <w:tcPr>
            <w:tcW w:w="1187" w:type="dxa"/>
          </w:tcPr>
          <w:p w14:paraId="039AD46D">
            <w:pPr>
              <w:autoSpaceDE w:val="0"/>
              <w:autoSpaceDN w:val="0"/>
              <w:adjustRightInd w:val="0"/>
              <w:snapToGrid w:val="0"/>
              <w:rPr>
                <w:rFonts w:ascii="宋体" w:hAnsi="宋体" w:cs="宋体"/>
                <w:color w:val="auto"/>
                <w:kern w:val="0"/>
                <w:sz w:val="21"/>
                <w:szCs w:val="21"/>
                <w:highlight w:val="none"/>
              </w:rPr>
            </w:pPr>
          </w:p>
        </w:tc>
      </w:tr>
      <w:tr w14:paraId="2FEE20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jc w:val="center"/>
        </w:trPr>
        <w:tc>
          <w:tcPr>
            <w:tcW w:w="924" w:type="dxa"/>
          </w:tcPr>
          <w:p w14:paraId="5043E818">
            <w:pPr>
              <w:autoSpaceDE w:val="0"/>
              <w:autoSpaceDN w:val="0"/>
              <w:adjustRightInd w:val="0"/>
              <w:snapToGrid w:val="0"/>
              <w:rPr>
                <w:rFonts w:ascii="宋体" w:hAnsi="宋体" w:cs="宋体"/>
                <w:color w:val="auto"/>
                <w:kern w:val="0"/>
                <w:sz w:val="21"/>
                <w:szCs w:val="21"/>
                <w:highlight w:val="none"/>
              </w:rPr>
            </w:pPr>
          </w:p>
        </w:tc>
        <w:tc>
          <w:tcPr>
            <w:tcW w:w="1453" w:type="dxa"/>
          </w:tcPr>
          <w:p w14:paraId="5F26847F">
            <w:pPr>
              <w:autoSpaceDE w:val="0"/>
              <w:autoSpaceDN w:val="0"/>
              <w:adjustRightInd w:val="0"/>
              <w:snapToGrid w:val="0"/>
              <w:rPr>
                <w:rFonts w:ascii="宋体" w:hAnsi="宋体" w:cs="宋体"/>
                <w:color w:val="auto"/>
                <w:kern w:val="0"/>
                <w:sz w:val="21"/>
                <w:szCs w:val="21"/>
                <w:highlight w:val="none"/>
              </w:rPr>
            </w:pPr>
          </w:p>
        </w:tc>
        <w:tc>
          <w:tcPr>
            <w:tcW w:w="1186" w:type="dxa"/>
          </w:tcPr>
          <w:p w14:paraId="40AA26E9">
            <w:pPr>
              <w:autoSpaceDE w:val="0"/>
              <w:autoSpaceDN w:val="0"/>
              <w:adjustRightInd w:val="0"/>
              <w:snapToGrid w:val="0"/>
              <w:rPr>
                <w:rFonts w:ascii="宋体" w:hAnsi="宋体" w:cs="宋体"/>
                <w:color w:val="auto"/>
                <w:kern w:val="0"/>
                <w:sz w:val="21"/>
                <w:szCs w:val="21"/>
                <w:highlight w:val="none"/>
              </w:rPr>
            </w:pPr>
          </w:p>
        </w:tc>
        <w:tc>
          <w:tcPr>
            <w:tcW w:w="1188" w:type="dxa"/>
          </w:tcPr>
          <w:p w14:paraId="2BF65653">
            <w:pPr>
              <w:autoSpaceDE w:val="0"/>
              <w:autoSpaceDN w:val="0"/>
              <w:adjustRightInd w:val="0"/>
              <w:snapToGrid w:val="0"/>
              <w:rPr>
                <w:rFonts w:ascii="宋体" w:hAnsi="宋体" w:cs="宋体"/>
                <w:color w:val="auto"/>
                <w:kern w:val="0"/>
                <w:sz w:val="21"/>
                <w:szCs w:val="21"/>
                <w:highlight w:val="none"/>
              </w:rPr>
            </w:pPr>
          </w:p>
        </w:tc>
        <w:tc>
          <w:tcPr>
            <w:tcW w:w="1186" w:type="dxa"/>
          </w:tcPr>
          <w:p w14:paraId="0BD95747">
            <w:pPr>
              <w:autoSpaceDE w:val="0"/>
              <w:autoSpaceDN w:val="0"/>
              <w:adjustRightInd w:val="0"/>
              <w:snapToGrid w:val="0"/>
              <w:rPr>
                <w:rFonts w:ascii="宋体" w:hAnsi="宋体" w:cs="宋体"/>
                <w:color w:val="auto"/>
                <w:kern w:val="0"/>
                <w:sz w:val="21"/>
                <w:szCs w:val="21"/>
                <w:highlight w:val="none"/>
              </w:rPr>
            </w:pPr>
          </w:p>
        </w:tc>
        <w:tc>
          <w:tcPr>
            <w:tcW w:w="1188" w:type="dxa"/>
          </w:tcPr>
          <w:p w14:paraId="1F2DA447">
            <w:pPr>
              <w:autoSpaceDE w:val="0"/>
              <w:autoSpaceDN w:val="0"/>
              <w:adjustRightInd w:val="0"/>
              <w:snapToGrid w:val="0"/>
              <w:rPr>
                <w:rFonts w:ascii="宋体" w:hAnsi="宋体" w:cs="宋体"/>
                <w:color w:val="auto"/>
                <w:kern w:val="0"/>
                <w:sz w:val="21"/>
                <w:szCs w:val="21"/>
                <w:highlight w:val="none"/>
              </w:rPr>
            </w:pPr>
          </w:p>
        </w:tc>
        <w:tc>
          <w:tcPr>
            <w:tcW w:w="1186" w:type="dxa"/>
          </w:tcPr>
          <w:p w14:paraId="7AF16185">
            <w:pPr>
              <w:autoSpaceDE w:val="0"/>
              <w:autoSpaceDN w:val="0"/>
              <w:adjustRightInd w:val="0"/>
              <w:snapToGrid w:val="0"/>
              <w:rPr>
                <w:rFonts w:ascii="宋体" w:hAnsi="宋体" w:cs="宋体"/>
                <w:color w:val="auto"/>
                <w:kern w:val="0"/>
                <w:sz w:val="21"/>
                <w:szCs w:val="21"/>
                <w:highlight w:val="none"/>
              </w:rPr>
            </w:pPr>
          </w:p>
        </w:tc>
        <w:tc>
          <w:tcPr>
            <w:tcW w:w="1187" w:type="dxa"/>
          </w:tcPr>
          <w:p w14:paraId="4E2727AE">
            <w:pPr>
              <w:autoSpaceDE w:val="0"/>
              <w:autoSpaceDN w:val="0"/>
              <w:adjustRightInd w:val="0"/>
              <w:snapToGrid w:val="0"/>
              <w:rPr>
                <w:rFonts w:ascii="宋体" w:hAnsi="宋体" w:cs="宋体"/>
                <w:color w:val="auto"/>
                <w:kern w:val="0"/>
                <w:sz w:val="21"/>
                <w:szCs w:val="21"/>
                <w:highlight w:val="none"/>
              </w:rPr>
            </w:pPr>
          </w:p>
        </w:tc>
      </w:tr>
      <w:tr w14:paraId="587573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jc w:val="center"/>
        </w:trPr>
        <w:tc>
          <w:tcPr>
            <w:tcW w:w="924" w:type="dxa"/>
          </w:tcPr>
          <w:p w14:paraId="01245696">
            <w:pPr>
              <w:autoSpaceDE w:val="0"/>
              <w:autoSpaceDN w:val="0"/>
              <w:adjustRightInd w:val="0"/>
              <w:snapToGrid w:val="0"/>
              <w:rPr>
                <w:rFonts w:ascii="宋体" w:hAnsi="宋体" w:cs="宋体"/>
                <w:color w:val="auto"/>
                <w:kern w:val="0"/>
                <w:sz w:val="21"/>
                <w:szCs w:val="21"/>
                <w:highlight w:val="none"/>
              </w:rPr>
            </w:pPr>
          </w:p>
        </w:tc>
        <w:tc>
          <w:tcPr>
            <w:tcW w:w="1453" w:type="dxa"/>
          </w:tcPr>
          <w:p w14:paraId="08C89F7C">
            <w:pPr>
              <w:autoSpaceDE w:val="0"/>
              <w:autoSpaceDN w:val="0"/>
              <w:adjustRightInd w:val="0"/>
              <w:snapToGrid w:val="0"/>
              <w:rPr>
                <w:rFonts w:ascii="宋体" w:hAnsi="宋体" w:cs="宋体"/>
                <w:color w:val="auto"/>
                <w:kern w:val="0"/>
                <w:sz w:val="21"/>
                <w:szCs w:val="21"/>
                <w:highlight w:val="none"/>
              </w:rPr>
            </w:pPr>
          </w:p>
        </w:tc>
        <w:tc>
          <w:tcPr>
            <w:tcW w:w="1186" w:type="dxa"/>
          </w:tcPr>
          <w:p w14:paraId="027EAAA3">
            <w:pPr>
              <w:autoSpaceDE w:val="0"/>
              <w:autoSpaceDN w:val="0"/>
              <w:adjustRightInd w:val="0"/>
              <w:snapToGrid w:val="0"/>
              <w:rPr>
                <w:rFonts w:ascii="宋体" w:hAnsi="宋体" w:cs="宋体"/>
                <w:color w:val="auto"/>
                <w:kern w:val="0"/>
                <w:sz w:val="21"/>
                <w:szCs w:val="21"/>
                <w:highlight w:val="none"/>
              </w:rPr>
            </w:pPr>
          </w:p>
        </w:tc>
        <w:tc>
          <w:tcPr>
            <w:tcW w:w="1188" w:type="dxa"/>
          </w:tcPr>
          <w:p w14:paraId="18735480">
            <w:pPr>
              <w:autoSpaceDE w:val="0"/>
              <w:autoSpaceDN w:val="0"/>
              <w:adjustRightInd w:val="0"/>
              <w:snapToGrid w:val="0"/>
              <w:rPr>
                <w:rFonts w:ascii="宋体" w:hAnsi="宋体" w:cs="宋体"/>
                <w:color w:val="auto"/>
                <w:kern w:val="0"/>
                <w:sz w:val="21"/>
                <w:szCs w:val="21"/>
                <w:highlight w:val="none"/>
              </w:rPr>
            </w:pPr>
          </w:p>
        </w:tc>
        <w:tc>
          <w:tcPr>
            <w:tcW w:w="1186" w:type="dxa"/>
          </w:tcPr>
          <w:p w14:paraId="4F8F6985">
            <w:pPr>
              <w:autoSpaceDE w:val="0"/>
              <w:autoSpaceDN w:val="0"/>
              <w:adjustRightInd w:val="0"/>
              <w:snapToGrid w:val="0"/>
              <w:rPr>
                <w:rFonts w:ascii="宋体" w:hAnsi="宋体" w:cs="宋体"/>
                <w:color w:val="auto"/>
                <w:kern w:val="0"/>
                <w:sz w:val="21"/>
                <w:szCs w:val="21"/>
                <w:highlight w:val="none"/>
              </w:rPr>
            </w:pPr>
          </w:p>
        </w:tc>
        <w:tc>
          <w:tcPr>
            <w:tcW w:w="1188" w:type="dxa"/>
          </w:tcPr>
          <w:p w14:paraId="1F0B22D7">
            <w:pPr>
              <w:autoSpaceDE w:val="0"/>
              <w:autoSpaceDN w:val="0"/>
              <w:adjustRightInd w:val="0"/>
              <w:snapToGrid w:val="0"/>
              <w:rPr>
                <w:rFonts w:ascii="宋体" w:hAnsi="宋体" w:cs="宋体"/>
                <w:color w:val="auto"/>
                <w:kern w:val="0"/>
                <w:sz w:val="21"/>
                <w:szCs w:val="21"/>
                <w:highlight w:val="none"/>
              </w:rPr>
            </w:pPr>
          </w:p>
        </w:tc>
        <w:tc>
          <w:tcPr>
            <w:tcW w:w="1186" w:type="dxa"/>
          </w:tcPr>
          <w:p w14:paraId="7782AB83">
            <w:pPr>
              <w:autoSpaceDE w:val="0"/>
              <w:autoSpaceDN w:val="0"/>
              <w:adjustRightInd w:val="0"/>
              <w:snapToGrid w:val="0"/>
              <w:rPr>
                <w:rFonts w:ascii="宋体" w:hAnsi="宋体" w:cs="宋体"/>
                <w:color w:val="auto"/>
                <w:kern w:val="0"/>
                <w:sz w:val="21"/>
                <w:szCs w:val="21"/>
                <w:highlight w:val="none"/>
              </w:rPr>
            </w:pPr>
          </w:p>
        </w:tc>
        <w:tc>
          <w:tcPr>
            <w:tcW w:w="1187" w:type="dxa"/>
          </w:tcPr>
          <w:p w14:paraId="6EEDF042">
            <w:pPr>
              <w:autoSpaceDE w:val="0"/>
              <w:autoSpaceDN w:val="0"/>
              <w:adjustRightInd w:val="0"/>
              <w:snapToGrid w:val="0"/>
              <w:rPr>
                <w:rFonts w:ascii="宋体" w:hAnsi="宋体" w:cs="宋体"/>
                <w:color w:val="auto"/>
                <w:kern w:val="0"/>
                <w:sz w:val="21"/>
                <w:szCs w:val="21"/>
                <w:highlight w:val="none"/>
              </w:rPr>
            </w:pPr>
          </w:p>
        </w:tc>
      </w:tr>
    </w:tbl>
    <w:p w14:paraId="1E3757CF">
      <w:pPr>
        <w:autoSpaceDE w:val="0"/>
        <w:autoSpaceDN w:val="0"/>
        <w:adjustRightInd w:val="0"/>
        <w:snapToGrid w:val="0"/>
        <w:spacing w:line="20" w:lineRule="exact"/>
        <w:rPr>
          <w:rFonts w:ascii="宋体" w:hAnsi="宋体" w:cs="宋体"/>
          <w:color w:val="auto"/>
          <w:kern w:val="0"/>
          <w:sz w:val="21"/>
          <w:szCs w:val="21"/>
          <w:highlight w:val="none"/>
        </w:rPr>
      </w:pPr>
    </w:p>
    <w:p w14:paraId="6D94AA07">
      <w:pPr>
        <w:jc w:val="center"/>
        <w:rPr>
          <w:rFonts w:ascii="宋体" w:hAnsi="宋体" w:cs="宋体"/>
          <w:color w:val="auto"/>
          <w:sz w:val="32"/>
          <w:szCs w:val="32"/>
          <w:highlight w:val="none"/>
        </w:rPr>
      </w:pPr>
      <w:r>
        <w:rPr>
          <w:rFonts w:hint="eastAsia" w:ascii="宋体" w:hAnsi="宋体" w:cs="宋体"/>
          <w:color w:val="auto"/>
          <w:sz w:val="21"/>
          <w:szCs w:val="21"/>
          <w:highlight w:val="none"/>
        </w:rPr>
        <w:br w:type="page"/>
      </w:r>
      <w:r>
        <w:rPr>
          <w:rFonts w:hint="eastAsia" w:ascii="宋体" w:hAnsi="宋体" w:cs="宋体"/>
          <w:color w:val="auto"/>
          <w:sz w:val="32"/>
          <w:szCs w:val="32"/>
          <w:highlight w:val="none"/>
        </w:rPr>
        <w:t>附表</w:t>
      </w:r>
      <w:r>
        <w:rPr>
          <w:rFonts w:hint="eastAsia" w:ascii="宋体" w:hAnsi="宋体" w:cs="宋体"/>
          <w:color w:val="auto"/>
          <w:sz w:val="32"/>
          <w:szCs w:val="32"/>
          <w:highlight w:val="none"/>
          <w:lang w:eastAsia="zh-CN"/>
        </w:rPr>
        <w:t>二</w:t>
      </w:r>
      <w:r>
        <w:rPr>
          <w:rFonts w:hint="eastAsia" w:ascii="宋体" w:hAnsi="宋体" w:cs="宋体"/>
          <w:color w:val="auto"/>
          <w:sz w:val="32"/>
          <w:szCs w:val="32"/>
          <w:highlight w:val="none"/>
        </w:rPr>
        <w:t>：计划开、竣工日期和施工进度网络图</w:t>
      </w:r>
    </w:p>
    <w:p w14:paraId="4F0C9899">
      <w:pPr>
        <w:autoSpaceDE w:val="0"/>
        <w:autoSpaceDN w:val="0"/>
        <w:adjustRightInd w:val="0"/>
        <w:snapToGrid w:val="0"/>
        <w:spacing w:line="360" w:lineRule="auto"/>
        <w:rPr>
          <w:rFonts w:ascii="宋体" w:hAnsi="宋体" w:cs="宋体"/>
          <w:color w:val="auto"/>
          <w:kern w:val="0"/>
          <w:sz w:val="21"/>
          <w:szCs w:val="21"/>
          <w:highlight w:val="none"/>
        </w:rPr>
      </w:pPr>
    </w:p>
    <w:p w14:paraId="65D99EDB">
      <w:pPr>
        <w:autoSpaceDE w:val="0"/>
        <w:autoSpaceDN w:val="0"/>
        <w:adjustRightInd w:val="0"/>
        <w:snapToGrid w:val="0"/>
        <w:spacing w:line="360" w:lineRule="auto"/>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1. </w:t>
      </w:r>
      <w:r>
        <w:rPr>
          <w:rFonts w:hint="eastAsia" w:ascii="宋体" w:hAnsi="宋体" w:cs="宋体"/>
          <w:color w:val="auto"/>
          <w:spacing w:val="1"/>
          <w:kern w:val="0"/>
          <w:sz w:val="21"/>
          <w:szCs w:val="21"/>
          <w:highlight w:val="none"/>
        </w:rPr>
        <w:t>竞标人</w:t>
      </w:r>
      <w:r>
        <w:rPr>
          <w:rFonts w:hint="eastAsia" w:ascii="宋体" w:hAnsi="宋体" w:cs="宋体"/>
          <w:color w:val="auto"/>
          <w:spacing w:val="2"/>
          <w:kern w:val="0"/>
          <w:sz w:val="21"/>
          <w:szCs w:val="21"/>
          <w:highlight w:val="none"/>
        </w:rPr>
        <w:t>应</w:t>
      </w:r>
      <w:r>
        <w:rPr>
          <w:rFonts w:hint="eastAsia" w:ascii="宋体" w:hAnsi="宋体" w:cs="宋体"/>
          <w:color w:val="auto"/>
          <w:spacing w:val="1"/>
          <w:kern w:val="0"/>
          <w:sz w:val="21"/>
          <w:szCs w:val="21"/>
          <w:highlight w:val="none"/>
        </w:rPr>
        <w:t>递交</w:t>
      </w:r>
      <w:r>
        <w:rPr>
          <w:rFonts w:hint="eastAsia" w:ascii="宋体" w:hAnsi="宋体" w:cs="宋体"/>
          <w:color w:val="auto"/>
          <w:spacing w:val="2"/>
          <w:kern w:val="0"/>
          <w:sz w:val="21"/>
          <w:szCs w:val="21"/>
          <w:highlight w:val="none"/>
        </w:rPr>
        <w:t>施</w:t>
      </w:r>
      <w:r>
        <w:rPr>
          <w:rFonts w:hint="eastAsia" w:ascii="宋体" w:hAnsi="宋体" w:cs="宋体"/>
          <w:color w:val="auto"/>
          <w:spacing w:val="1"/>
          <w:kern w:val="0"/>
          <w:sz w:val="21"/>
          <w:szCs w:val="21"/>
          <w:highlight w:val="none"/>
        </w:rPr>
        <w:t>工</w:t>
      </w:r>
      <w:r>
        <w:rPr>
          <w:rFonts w:hint="eastAsia" w:ascii="宋体" w:hAnsi="宋体" w:cs="宋体"/>
          <w:color w:val="auto"/>
          <w:spacing w:val="2"/>
          <w:kern w:val="0"/>
          <w:sz w:val="21"/>
          <w:szCs w:val="21"/>
          <w:highlight w:val="none"/>
        </w:rPr>
        <w:t>进</w:t>
      </w:r>
      <w:r>
        <w:rPr>
          <w:rFonts w:hint="eastAsia" w:ascii="宋体" w:hAnsi="宋体" w:cs="宋体"/>
          <w:color w:val="auto"/>
          <w:spacing w:val="1"/>
          <w:kern w:val="0"/>
          <w:sz w:val="21"/>
          <w:szCs w:val="21"/>
          <w:highlight w:val="none"/>
        </w:rPr>
        <w:t>度网</w:t>
      </w:r>
      <w:r>
        <w:rPr>
          <w:rFonts w:hint="eastAsia" w:ascii="宋体" w:hAnsi="宋体" w:cs="宋体"/>
          <w:color w:val="auto"/>
          <w:spacing w:val="2"/>
          <w:kern w:val="0"/>
          <w:sz w:val="21"/>
          <w:szCs w:val="21"/>
          <w:highlight w:val="none"/>
        </w:rPr>
        <w:t>络</w:t>
      </w:r>
      <w:r>
        <w:rPr>
          <w:rFonts w:hint="eastAsia" w:ascii="宋体" w:hAnsi="宋体" w:cs="宋体"/>
          <w:color w:val="auto"/>
          <w:spacing w:val="1"/>
          <w:kern w:val="0"/>
          <w:sz w:val="21"/>
          <w:szCs w:val="21"/>
          <w:highlight w:val="none"/>
        </w:rPr>
        <w:t>图</w:t>
      </w:r>
      <w:r>
        <w:rPr>
          <w:rFonts w:hint="eastAsia" w:ascii="宋体" w:hAnsi="宋体" w:cs="宋体"/>
          <w:color w:val="auto"/>
          <w:spacing w:val="2"/>
          <w:kern w:val="0"/>
          <w:sz w:val="21"/>
          <w:szCs w:val="21"/>
          <w:highlight w:val="none"/>
        </w:rPr>
        <w:t>或</w:t>
      </w:r>
      <w:r>
        <w:rPr>
          <w:rFonts w:hint="eastAsia" w:ascii="宋体" w:hAnsi="宋体" w:cs="宋体"/>
          <w:color w:val="auto"/>
          <w:spacing w:val="1"/>
          <w:kern w:val="0"/>
          <w:sz w:val="21"/>
          <w:szCs w:val="21"/>
          <w:highlight w:val="none"/>
        </w:rPr>
        <w:t>施工</w:t>
      </w:r>
      <w:r>
        <w:rPr>
          <w:rFonts w:hint="eastAsia" w:ascii="宋体" w:hAnsi="宋体" w:cs="宋体"/>
          <w:color w:val="auto"/>
          <w:spacing w:val="2"/>
          <w:kern w:val="0"/>
          <w:sz w:val="21"/>
          <w:szCs w:val="21"/>
          <w:highlight w:val="none"/>
        </w:rPr>
        <w:t>进</w:t>
      </w:r>
      <w:r>
        <w:rPr>
          <w:rFonts w:hint="eastAsia" w:ascii="宋体" w:hAnsi="宋体" w:cs="宋体"/>
          <w:color w:val="auto"/>
          <w:spacing w:val="1"/>
          <w:kern w:val="0"/>
          <w:sz w:val="21"/>
          <w:szCs w:val="21"/>
          <w:highlight w:val="none"/>
        </w:rPr>
        <w:t>度</w:t>
      </w:r>
      <w:r>
        <w:rPr>
          <w:rFonts w:hint="eastAsia" w:ascii="宋体" w:hAnsi="宋体" w:cs="宋体"/>
          <w:color w:val="auto"/>
          <w:spacing w:val="2"/>
          <w:kern w:val="0"/>
          <w:sz w:val="21"/>
          <w:szCs w:val="21"/>
          <w:highlight w:val="none"/>
        </w:rPr>
        <w:t>表</w:t>
      </w:r>
      <w:r>
        <w:rPr>
          <w:rFonts w:hint="eastAsia" w:ascii="宋体" w:hAnsi="宋体" w:cs="宋体"/>
          <w:color w:val="auto"/>
          <w:spacing w:val="1"/>
          <w:kern w:val="0"/>
          <w:sz w:val="21"/>
          <w:szCs w:val="21"/>
          <w:highlight w:val="none"/>
        </w:rPr>
        <w:t>，说</w:t>
      </w:r>
      <w:r>
        <w:rPr>
          <w:rFonts w:hint="eastAsia" w:ascii="宋体" w:hAnsi="宋体" w:cs="宋体"/>
          <w:color w:val="auto"/>
          <w:spacing w:val="2"/>
          <w:kern w:val="0"/>
          <w:sz w:val="21"/>
          <w:szCs w:val="21"/>
          <w:highlight w:val="none"/>
        </w:rPr>
        <w:t>明</w:t>
      </w:r>
      <w:r>
        <w:rPr>
          <w:rFonts w:hint="eastAsia" w:ascii="宋体" w:hAnsi="宋体" w:cs="宋体"/>
          <w:color w:val="auto"/>
          <w:spacing w:val="1"/>
          <w:kern w:val="0"/>
          <w:sz w:val="21"/>
          <w:szCs w:val="21"/>
          <w:highlight w:val="none"/>
        </w:rPr>
        <w:t>按</w:t>
      </w:r>
      <w:r>
        <w:rPr>
          <w:rFonts w:hint="eastAsia" w:ascii="宋体" w:hAnsi="宋体" w:cs="宋体"/>
          <w:color w:val="auto"/>
          <w:spacing w:val="2"/>
          <w:kern w:val="0"/>
          <w:sz w:val="21"/>
          <w:szCs w:val="21"/>
          <w:highlight w:val="none"/>
          <w:lang w:val="en-US" w:eastAsia="zh-CN"/>
        </w:rPr>
        <w:t>比选</w:t>
      </w:r>
      <w:r>
        <w:rPr>
          <w:rFonts w:hint="eastAsia" w:ascii="宋体" w:hAnsi="宋体" w:cs="宋体"/>
          <w:color w:val="auto"/>
          <w:spacing w:val="2"/>
          <w:kern w:val="0"/>
          <w:sz w:val="21"/>
          <w:szCs w:val="21"/>
          <w:highlight w:val="none"/>
        </w:rPr>
        <w:t>文件</w:t>
      </w:r>
      <w:r>
        <w:rPr>
          <w:rFonts w:hint="eastAsia" w:ascii="宋体" w:hAnsi="宋体" w:cs="宋体"/>
          <w:color w:val="auto"/>
          <w:spacing w:val="1"/>
          <w:kern w:val="0"/>
          <w:sz w:val="21"/>
          <w:szCs w:val="21"/>
          <w:highlight w:val="none"/>
        </w:rPr>
        <w:t>要</w:t>
      </w:r>
      <w:r>
        <w:rPr>
          <w:rFonts w:hint="eastAsia" w:ascii="宋体" w:hAnsi="宋体" w:cs="宋体"/>
          <w:color w:val="auto"/>
          <w:spacing w:val="2"/>
          <w:kern w:val="0"/>
          <w:sz w:val="21"/>
          <w:szCs w:val="21"/>
          <w:highlight w:val="none"/>
        </w:rPr>
        <w:t>求</w:t>
      </w:r>
      <w:r>
        <w:rPr>
          <w:rFonts w:hint="eastAsia" w:ascii="宋体" w:hAnsi="宋体" w:cs="宋体"/>
          <w:color w:val="auto"/>
          <w:spacing w:val="1"/>
          <w:kern w:val="0"/>
          <w:sz w:val="21"/>
          <w:szCs w:val="21"/>
          <w:highlight w:val="none"/>
        </w:rPr>
        <w:t>的计</w:t>
      </w:r>
      <w:r>
        <w:rPr>
          <w:rFonts w:hint="eastAsia" w:ascii="宋体" w:hAnsi="宋体" w:cs="宋体"/>
          <w:color w:val="auto"/>
          <w:spacing w:val="2"/>
          <w:kern w:val="0"/>
          <w:sz w:val="21"/>
          <w:szCs w:val="21"/>
          <w:highlight w:val="none"/>
        </w:rPr>
        <w:t>划</w:t>
      </w:r>
      <w:r>
        <w:rPr>
          <w:rFonts w:hint="eastAsia" w:ascii="宋体" w:hAnsi="宋体" w:cs="宋体"/>
          <w:color w:val="auto"/>
          <w:spacing w:val="1"/>
          <w:kern w:val="0"/>
          <w:sz w:val="21"/>
          <w:szCs w:val="21"/>
          <w:highlight w:val="none"/>
        </w:rPr>
        <w:t>工</w:t>
      </w:r>
      <w:r>
        <w:rPr>
          <w:rFonts w:hint="eastAsia" w:ascii="宋体" w:hAnsi="宋体" w:cs="宋体"/>
          <w:color w:val="auto"/>
          <w:spacing w:val="4"/>
          <w:kern w:val="0"/>
          <w:sz w:val="21"/>
          <w:szCs w:val="21"/>
          <w:highlight w:val="none"/>
        </w:rPr>
        <w:t>期</w:t>
      </w:r>
      <w:r>
        <w:rPr>
          <w:rFonts w:hint="eastAsia" w:ascii="宋体" w:hAnsi="宋体" w:cs="宋体"/>
          <w:color w:val="auto"/>
          <w:spacing w:val="2"/>
          <w:kern w:val="0"/>
          <w:sz w:val="21"/>
          <w:szCs w:val="21"/>
          <w:highlight w:val="none"/>
        </w:rPr>
        <w:t>进</w:t>
      </w:r>
      <w:r>
        <w:rPr>
          <w:rFonts w:hint="eastAsia" w:ascii="宋体" w:hAnsi="宋体" w:cs="宋体"/>
          <w:color w:val="auto"/>
          <w:spacing w:val="1"/>
          <w:kern w:val="0"/>
          <w:sz w:val="21"/>
          <w:szCs w:val="21"/>
          <w:highlight w:val="none"/>
        </w:rPr>
        <w:t>行</w:t>
      </w:r>
      <w:r>
        <w:rPr>
          <w:rFonts w:hint="eastAsia" w:ascii="宋体" w:hAnsi="宋体" w:cs="宋体"/>
          <w:color w:val="auto"/>
          <w:kern w:val="0"/>
          <w:sz w:val="21"/>
          <w:szCs w:val="21"/>
          <w:highlight w:val="none"/>
        </w:rPr>
        <w:t>施工的各个关键日期。</w:t>
      </w:r>
    </w:p>
    <w:p w14:paraId="32090611">
      <w:pPr>
        <w:autoSpaceDE w:val="0"/>
        <w:autoSpaceDN w:val="0"/>
        <w:adjustRightInd w:val="0"/>
        <w:snapToGrid w:val="0"/>
        <w:spacing w:line="360" w:lineRule="auto"/>
        <w:ind w:firstLine="424" w:firstLineChars="202"/>
        <w:rPr>
          <w:rFonts w:ascii="宋体" w:hAnsi="宋体" w:cs="宋体"/>
          <w:color w:val="auto"/>
          <w:kern w:val="0"/>
          <w:sz w:val="21"/>
          <w:szCs w:val="21"/>
          <w:highlight w:val="none"/>
        </w:rPr>
      </w:pPr>
      <w:r>
        <w:rPr>
          <w:rFonts w:hint="eastAsia" w:ascii="宋体" w:hAnsi="宋体" w:cs="宋体"/>
          <w:color w:val="auto"/>
          <w:kern w:val="0"/>
          <w:sz w:val="21"/>
          <w:szCs w:val="21"/>
          <w:highlight w:val="none"/>
        </w:rPr>
        <w:t>2.施工进</w:t>
      </w:r>
      <w:r>
        <w:rPr>
          <w:rFonts w:hint="eastAsia" w:ascii="宋体" w:hAnsi="宋体" w:cs="宋体"/>
          <w:color w:val="auto"/>
          <w:spacing w:val="-1"/>
          <w:kern w:val="0"/>
          <w:sz w:val="21"/>
          <w:szCs w:val="21"/>
          <w:highlight w:val="none"/>
        </w:rPr>
        <w:t>度</w:t>
      </w:r>
      <w:r>
        <w:rPr>
          <w:rFonts w:hint="eastAsia" w:ascii="宋体" w:hAnsi="宋体" w:cs="宋体"/>
          <w:color w:val="auto"/>
          <w:kern w:val="0"/>
          <w:sz w:val="21"/>
          <w:szCs w:val="21"/>
          <w:highlight w:val="none"/>
        </w:rPr>
        <w:t>表可采用网络图（或横道图）表示。</w:t>
      </w:r>
    </w:p>
    <w:p w14:paraId="251CC658">
      <w:pPr>
        <w:autoSpaceDE w:val="0"/>
        <w:autoSpaceDN w:val="0"/>
        <w:adjustRightInd w:val="0"/>
        <w:snapToGrid w:val="0"/>
        <w:spacing w:line="360" w:lineRule="auto"/>
        <w:rPr>
          <w:rFonts w:ascii="宋体" w:hAnsi="宋体" w:cs="宋体"/>
          <w:color w:val="auto"/>
          <w:kern w:val="0"/>
          <w:sz w:val="21"/>
          <w:szCs w:val="21"/>
          <w:highlight w:val="none"/>
        </w:rPr>
      </w:pPr>
    </w:p>
    <w:p w14:paraId="45101EE1">
      <w:pPr>
        <w:autoSpaceDE w:val="0"/>
        <w:autoSpaceDN w:val="0"/>
        <w:adjustRightInd w:val="0"/>
        <w:snapToGrid w:val="0"/>
        <w:spacing w:line="360" w:lineRule="auto"/>
        <w:rPr>
          <w:rFonts w:ascii="宋体" w:hAnsi="宋体" w:cs="宋体"/>
          <w:color w:val="auto"/>
          <w:kern w:val="0"/>
          <w:sz w:val="21"/>
          <w:szCs w:val="21"/>
          <w:highlight w:val="none"/>
        </w:rPr>
      </w:pPr>
    </w:p>
    <w:p w14:paraId="6142A02D">
      <w:pPr>
        <w:autoSpaceDE w:val="0"/>
        <w:autoSpaceDN w:val="0"/>
        <w:adjustRightInd w:val="0"/>
        <w:snapToGrid w:val="0"/>
        <w:spacing w:line="360" w:lineRule="auto"/>
        <w:rPr>
          <w:rFonts w:ascii="宋体" w:hAnsi="宋体" w:cs="宋体"/>
          <w:color w:val="auto"/>
          <w:kern w:val="0"/>
          <w:sz w:val="21"/>
          <w:szCs w:val="21"/>
          <w:highlight w:val="none"/>
        </w:rPr>
      </w:pPr>
    </w:p>
    <w:p w14:paraId="747D1EDA">
      <w:pPr>
        <w:autoSpaceDE w:val="0"/>
        <w:autoSpaceDN w:val="0"/>
        <w:adjustRightInd w:val="0"/>
        <w:snapToGrid w:val="0"/>
        <w:spacing w:line="360" w:lineRule="auto"/>
        <w:rPr>
          <w:rFonts w:ascii="宋体" w:hAnsi="宋体" w:cs="宋体"/>
          <w:color w:val="auto"/>
          <w:kern w:val="0"/>
          <w:sz w:val="21"/>
          <w:szCs w:val="21"/>
          <w:highlight w:val="none"/>
        </w:rPr>
      </w:pPr>
    </w:p>
    <w:p w14:paraId="6D97CBDD">
      <w:pPr>
        <w:autoSpaceDE w:val="0"/>
        <w:autoSpaceDN w:val="0"/>
        <w:adjustRightInd w:val="0"/>
        <w:snapToGrid w:val="0"/>
        <w:spacing w:line="360" w:lineRule="auto"/>
        <w:rPr>
          <w:rFonts w:ascii="宋体" w:hAnsi="宋体" w:cs="宋体"/>
          <w:color w:val="auto"/>
          <w:kern w:val="0"/>
          <w:sz w:val="21"/>
          <w:szCs w:val="21"/>
          <w:highlight w:val="none"/>
        </w:rPr>
      </w:pPr>
    </w:p>
    <w:p w14:paraId="5D259889">
      <w:pPr>
        <w:autoSpaceDE w:val="0"/>
        <w:autoSpaceDN w:val="0"/>
        <w:adjustRightInd w:val="0"/>
        <w:snapToGrid w:val="0"/>
        <w:spacing w:line="360" w:lineRule="auto"/>
        <w:rPr>
          <w:rFonts w:ascii="宋体" w:hAnsi="宋体" w:cs="宋体"/>
          <w:color w:val="auto"/>
          <w:kern w:val="0"/>
          <w:sz w:val="21"/>
          <w:szCs w:val="21"/>
          <w:highlight w:val="none"/>
        </w:rPr>
      </w:pPr>
    </w:p>
    <w:p w14:paraId="3352C58E">
      <w:pPr>
        <w:autoSpaceDE w:val="0"/>
        <w:autoSpaceDN w:val="0"/>
        <w:adjustRightInd w:val="0"/>
        <w:snapToGrid w:val="0"/>
        <w:spacing w:line="360" w:lineRule="auto"/>
        <w:rPr>
          <w:rFonts w:ascii="宋体" w:hAnsi="宋体" w:cs="宋体"/>
          <w:color w:val="auto"/>
          <w:kern w:val="0"/>
          <w:sz w:val="21"/>
          <w:szCs w:val="21"/>
          <w:highlight w:val="none"/>
        </w:rPr>
      </w:pPr>
    </w:p>
    <w:p w14:paraId="7C1725C0">
      <w:pPr>
        <w:autoSpaceDE w:val="0"/>
        <w:autoSpaceDN w:val="0"/>
        <w:adjustRightInd w:val="0"/>
        <w:snapToGrid w:val="0"/>
        <w:spacing w:line="360" w:lineRule="auto"/>
        <w:rPr>
          <w:rFonts w:ascii="宋体" w:hAnsi="宋体" w:cs="宋体"/>
          <w:color w:val="auto"/>
          <w:kern w:val="0"/>
          <w:sz w:val="21"/>
          <w:szCs w:val="21"/>
          <w:highlight w:val="none"/>
        </w:rPr>
      </w:pPr>
    </w:p>
    <w:p w14:paraId="7D46BE4E">
      <w:pPr>
        <w:autoSpaceDE w:val="0"/>
        <w:autoSpaceDN w:val="0"/>
        <w:adjustRightInd w:val="0"/>
        <w:snapToGrid w:val="0"/>
        <w:spacing w:line="360" w:lineRule="auto"/>
        <w:rPr>
          <w:rFonts w:ascii="宋体" w:hAnsi="宋体" w:cs="宋体"/>
          <w:color w:val="auto"/>
          <w:kern w:val="0"/>
          <w:sz w:val="21"/>
          <w:szCs w:val="21"/>
          <w:highlight w:val="none"/>
        </w:rPr>
      </w:pPr>
    </w:p>
    <w:p w14:paraId="0A241446">
      <w:pPr>
        <w:autoSpaceDE w:val="0"/>
        <w:autoSpaceDN w:val="0"/>
        <w:adjustRightInd w:val="0"/>
        <w:snapToGrid w:val="0"/>
        <w:spacing w:line="360" w:lineRule="auto"/>
        <w:rPr>
          <w:rFonts w:ascii="宋体" w:hAnsi="宋体" w:cs="宋体"/>
          <w:color w:val="auto"/>
          <w:kern w:val="0"/>
          <w:sz w:val="21"/>
          <w:szCs w:val="21"/>
          <w:highlight w:val="none"/>
        </w:rPr>
      </w:pPr>
    </w:p>
    <w:p w14:paraId="7F5A3129">
      <w:pPr>
        <w:autoSpaceDE w:val="0"/>
        <w:autoSpaceDN w:val="0"/>
        <w:adjustRightInd w:val="0"/>
        <w:snapToGrid w:val="0"/>
        <w:spacing w:line="360" w:lineRule="auto"/>
        <w:rPr>
          <w:rFonts w:ascii="宋体" w:hAnsi="宋体" w:cs="宋体"/>
          <w:color w:val="auto"/>
          <w:kern w:val="0"/>
          <w:sz w:val="21"/>
          <w:szCs w:val="21"/>
          <w:highlight w:val="none"/>
        </w:rPr>
      </w:pPr>
    </w:p>
    <w:p w14:paraId="2EC80E72">
      <w:pPr>
        <w:autoSpaceDE w:val="0"/>
        <w:autoSpaceDN w:val="0"/>
        <w:adjustRightInd w:val="0"/>
        <w:snapToGrid w:val="0"/>
        <w:spacing w:line="360" w:lineRule="auto"/>
        <w:rPr>
          <w:rFonts w:ascii="宋体" w:hAnsi="宋体" w:cs="宋体"/>
          <w:color w:val="auto"/>
          <w:kern w:val="0"/>
          <w:sz w:val="21"/>
          <w:szCs w:val="21"/>
          <w:highlight w:val="none"/>
        </w:rPr>
      </w:pPr>
    </w:p>
    <w:p w14:paraId="242C0CEA">
      <w:pPr>
        <w:autoSpaceDE w:val="0"/>
        <w:autoSpaceDN w:val="0"/>
        <w:adjustRightInd w:val="0"/>
        <w:snapToGrid w:val="0"/>
        <w:spacing w:line="360" w:lineRule="auto"/>
        <w:rPr>
          <w:rFonts w:ascii="宋体" w:hAnsi="宋体" w:cs="宋体"/>
          <w:color w:val="auto"/>
          <w:kern w:val="0"/>
          <w:sz w:val="21"/>
          <w:szCs w:val="21"/>
          <w:highlight w:val="none"/>
        </w:rPr>
      </w:pPr>
    </w:p>
    <w:p w14:paraId="1B3CF64B">
      <w:pPr>
        <w:autoSpaceDE w:val="0"/>
        <w:autoSpaceDN w:val="0"/>
        <w:adjustRightInd w:val="0"/>
        <w:snapToGrid w:val="0"/>
        <w:spacing w:line="360" w:lineRule="auto"/>
        <w:rPr>
          <w:rFonts w:ascii="宋体" w:hAnsi="宋体" w:cs="宋体"/>
          <w:color w:val="auto"/>
          <w:kern w:val="0"/>
          <w:sz w:val="21"/>
          <w:szCs w:val="21"/>
          <w:highlight w:val="none"/>
        </w:rPr>
      </w:pPr>
    </w:p>
    <w:p w14:paraId="0B756104">
      <w:pPr>
        <w:autoSpaceDE w:val="0"/>
        <w:autoSpaceDN w:val="0"/>
        <w:adjustRightInd w:val="0"/>
        <w:snapToGrid w:val="0"/>
        <w:spacing w:line="360" w:lineRule="auto"/>
        <w:rPr>
          <w:rFonts w:ascii="宋体" w:hAnsi="宋体" w:cs="宋体"/>
          <w:color w:val="auto"/>
          <w:kern w:val="0"/>
          <w:sz w:val="21"/>
          <w:szCs w:val="21"/>
          <w:highlight w:val="none"/>
        </w:rPr>
      </w:pPr>
    </w:p>
    <w:p w14:paraId="602F38CB">
      <w:pPr>
        <w:autoSpaceDE w:val="0"/>
        <w:autoSpaceDN w:val="0"/>
        <w:adjustRightInd w:val="0"/>
        <w:snapToGrid w:val="0"/>
        <w:spacing w:line="360" w:lineRule="auto"/>
        <w:rPr>
          <w:rFonts w:ascii="宋体" w:hAnsi="宋体" w:cs="宋体"/>
          <w:color w:val="auto"/>
          <w:kern w:val="0"/>
          <w:sz w:val="21"/>
          <w:szCs w:val="21"/>
          <w:highlight w:val="none"/>
        </w:rPr>
      </w:pPr>
    </w:p>
    <w:p w14:paraId="413752C3">
      <w:pPr>
        <w:autoSpaceDE w:val="0"/>
        <w:autoSpaceDN w:val="0"/>
        <w:adjustRightInd w:val="0"/>
        <w:snapToGrid w:val="0"/>
        <w:spacing w:line="360" w:lineRule="auto"/>
        <w:rPr>
          <w:rFonts w:ascii="宋体" w:hAnsi="宋体" w:cs="宋体"/>
          <w:color w:val="auto"/>
          <w:kern w:val="0"/>
          <w:sz w:val="21"/>
          <w:szCs w:val="21"/>
          <w:highlight w:val="none"/>
        </w:rPr>
      </w:pPr>
    </w:p>
    <w:p w14:paraId="56EF8E39">
      <w:pPr>
        <w:autoSpaceDE w:val="0"/>
        <w:autoSpaceDN w:val="0"/>
        <w:adjustRightInd w:val="0"/>
        <w:snapToGrid w:val="0"/>
        <w:spacing w:line="360" w:lineRule="auto"/>
        <w:rPr>
          <w:rFonts w:ascii="宋体" w:hAnsi="宋体" w:cs="宋体"/>
          <w:color w:val="auto"/>
          <w:kern w:val="0"/>
          <w:sz w:val="21"/>
          <w:szCs w:val="21"/>
          <w:highlight w:val="none"/>
        </w:rPr>
      </w:pPr>
    </w:p>
    <w:p w14:paraId="6865128B">
      <w:pPr>
        <w:autoSpaceDE w:val="0"/>
        <w:autoSpaceDN w:val="0"/>
        <w:adjustRightInd w:val="0"/>
        <w:snapToGrid w:val="0"/>
        <w:spacing w:line="360" w:lineRule="auto"/>
        <w:rPr>
          <w:rFonts w:ascii="宋体" w:hAnsi="宋体" w:cs="宋体"/>
          <w:color w:val="auto"/>
          <w:kern w:val="0"/>
          <w:sz w:val="21"/>
          <w:szCs w:val="21"/>
          <w:highlight w:val="none"/>
        </w:rPr>
      </w:pPr>
    </w:p>
    <w:p w14:paraId="661BA715">
      <w:pPr>
        <w:autoSpaceDE w:val="0"/>
        <w:autoSpaceDN w:val="0"/>
        <w:adjustRightInd w:val="0"/>
        <w:snapToGrid w:val="0"/>
        <w:spacing w:line="360" w:lineRule="auto"/>
        <w:rPr>
          <w:rFonts w:ascii="宋体" w:hAnsi="宋体" w:cs="宋体"/>
          <w:color w:val="auto"/>
          <w:kern w:val="0"/>
          <w:sz w:val="21"/>
          <w:szCs w:val="21"/>
          <w:highlight w:val="none"/>
        </w:rPr>
      </w:pPr>
    </w:p>
    <w:p w14:paraId="73CE85DD">
      <w:pPr>
        <w:autoSpaceDE w:val="0"/>
        <w:autoSpaceDN w:val="0"/>
        <w:adjustRightInd w:val="0"/>
        <w:snapToGrid w:val="0"/>
        <w:spacing w:line="360" w:lineRule="auto"/>
        <w:rPr>
          <w:rFonts w:ascii="宋体" w:hAnsi="宋体" w:cs="宋体"/>
          <w:color w:val="auto"/>
          <w:kern w:val="0"/>
          <w:sz w:val="21"/>
          <w:szCs w:val="21"/>
          <w:highlight w:val="none"/>
        </w:rPr>
      </w:pPr>
    </w:p>
    <w:p w14:paraId="11FEECE7">
      <w:pPr>
        <w:autoSpaceDE w:val="0"/>
        <w:autoSpaceDN w:val="0"/>
        <w:adjustRightInd w:val="0"/>
        <w:snapToGrid w:val="0"/>
        <w:spacing w:line="360" w:lineRule="auto"/>
        <w:rPr>
          <w:rFonts w:ascii="宋体" w:hAnsi="宋体" w:cs="宋体"/>
          <w:color w:val="auto"/>
          <w:kern w:val="0"/>
          <w:sz w:val="21"/>
          <w:szCs w:val="21"/>
          <w:highlight w:val="none"/>
        </w:rPr>
      </w:pPr>
    </w:p>
    <w:p w14:paraId="2564FC5E">
      <w:pPr>
        <w:autoSpaceDE w:val="0"/>
        <w:autoSpaceDN w:val="0"/>
        <w:adjustRightInd w:val="0"/>
        <w:snapToGrid w:val="0"/>
        <w:spacing w:line="360" w:lineRule="auto"/>
        <w:rPr>
          <w:rFonts w:ascii="宋体" w:hAnsi="宋体" w:cs="宋体"/>
          <w:color w:val="auto"/>
          <w:kern w:val="0"/>
          <w:sz w:val="21"/>
          <w:szCs w:val="21"/>
          <w:highlight w:val="none"/>
        </w:rPr>
      </w:pPr>
    </w:p>
    <w:p w14:paraId="519346A1">
      <w:pPr>
        <w:autoSpaceDE w:val="0"/>
        <w:autoSpaceDN w:val="0"/>
        <w:adjustRightInd w:val="0"/>
        <w:snapToGrid w:val="0"/>
        <w:spacing w:line="360" w:lineRule="auto"/>
        <w:rPr>
          <w:rFonts w:ascii="宋体" w:hAnsi="宋体" w:cs="宋体"/>
          <w:color w:val="auto"/>
          <w:kern w:val="0"/>
          <w:sz w:val="21"/>
          <w:szCs w:val="21"/>
          <w:highlight w:val="none"/>
        </w:rPr>
      </w:pPr>
    </w:p>
    <w:p w14:paraId="62ABC98D">
      <w:pPr>
        <w:jc w:val="center"/>
        <w:rPr>
          <w:rFonts w:ascii="宋体" w:hAnsi="宋体" w:cs="宋体"/>
          <w:color w:val="auto"/>
          <w:sz w:val="32"/>
          <w:szCs w:val="32"/>
          <w:highlight w:val="none"/>
        </w:rPr>
      </w:pPr>
      <w:r>
        <w:rPr>
          <w:rFonts w:hint="eastAsia" w:ascii="宋体" w:hAnsi="宋体" w:cs="宋体"/>
          <w:color w:val="auto"/>
          <w:sz w:val="21"/>
          <w:szCs w:val="21"/>
          <w:highlight w:val="none"/>
        </w:rPr>
        <w:br w:type="page"/>
      </w:r>
      <w:r>
        <w:rPr>
          <w:rFonts w:hint="eastAsia" w:ascii="宋体" w:hAnsi="宋体" w:cs="宋体"/>
          <w:color w:val="auto"/>
          <w:sz w:val="32"/>
          <w:szCs w:val="32"/>
          <w:highlight w:val="none"/>
        </w:rPr>
        <w:t>附表</w:t>
      </w:r>
      <w:r>
        <w:rPr>
          <w:rFonts w:hint="eastAsia" w:ascii="宋体" w:hAnsi="宋体" w:cs="宋体"/>
          <w:color w:val="auto"/>
          <w:sz w:val="32"/>
          <w:szCs w:val="32"/>
          <w:highlight w:val="none"/>
          <w:lang w:eastAsia="zh-CN"/>
        </w:rPr>
        <w:t>三</w:t>
      </w:r>
      <w:r>
        <w:rPr>
          <w:rFonts w:hint="eastAsia" w:ascii="宋体" w:hAnsi="宋体" w:cs="宋体"/>
          <w:color w:val="auto"/>
          <w:sz w:val="32"/>
          <w:szCs w:val="32"/>
          <w:highlight w:val="none"/>
        </w:rPr>
        <w:t>：施工总平面图</w:t>
      </w:r>
    </w:p>
    <w:p w14:paraId="5CC7EA01">
      <w:pPr>
        <w:autoSpaceDE w:val="0"/>
        <w:autoSpaceDN w:val="0"/>
        <w:adjustRightInd w:val="0"/>
        <w:snapToGrid w:val="0"/>
        <w:spacing w:line="360" w:lineRule="auto"/>
        <w:rPr>
          <w:rFonts w:ascii="宋体" w:hAnsi="宋体" w:cs="宋体"/>
          <w:color w:val="auto"/>
          <w:kern w:val="0"/>
          <w:sz w:val="21"/>
          <w:szCs w:val="21"/>
          <w:highlight w:val="none"/>
        </w:rPr>
      </w:pPr>
    </w:p>
    <w:p w14:paraId="52349C31">
      <w:pPr>
        <w:autoSpaceDE w:val="0"/>
        <w:autoSpaceDN w:val="0"/>
        <w:adjustRightInd w:val="0"/>
        <w:snapToGrid w:val="0"/>
        <w:spacing w:line="360" w:lineRule="auto"/>
        <w:ind w:firstLine="424" w:firstLineChars="202"/>
        <w:rPr>
          <w:rFonts w:ascii="宋体" w:hAnsi="宋体" w:cs="宋体"/>
          <w:color w:val="auto"/>
          <w:kern w:val="0"/>
          <w:sz w:val="21"/>
          <w:szCs w:val="21"/>
          <w:highlight w:val="none"/>
        </w:rPr>
      </w:pPr>
      <w:r>
        <w:rPr>
          <w:rFonts w:hint="eastAsia" w:ascii="宋体" w:hAnsi="宋体" w:cs="宋体"/>
          <w:color w:val="auto"/>
          <w:kern w:val="0"/>
          <w:sz w:val="21"/>
          <w:szCs w:val="21"/>
          <w:highlight w:val="none"/>
        </w:rPr>
        <w:t>竞标人应递交一份施工总平面图</w:t>
      </w:r>
      <w:r>
        <w:rPr>
          <w:rFonts w:hint="eastAsia" w:ascii="宋体" w:hAnsi="宋体" w:cs="宋体"/>
          <w:color w:val="auto"/>
          <w:spacing w:val="-47"/>
          <w:kern w:val="0"/>
          <w:sz w:val="21"/>
          <w:szCs w:val="21"/>
          <w:highlight w:val="none"/>
        </w:rPr>
        <w:t>，</w:t>
      </w:r>
      <w:r>
        <w:rPr>
          <w:rFonts w:hint="eastAsia" w:ascii="宋体" w:hAnsi="宋体" w:cs="宋体"/>
          <w:color w:val="auto"/>
          <w:kern w:val="0"/>
          <w:sz w:val="21"/>
          <w:szCs w:val="21"/>
          <w:highlight w:val="none"/>
        </w:rPr>
        <w:t>绘出现场临时设施布置图表并附文字说明</w:t>
      </w:r>
      <w:r>
        <w:rPr>
          <w:rFonts w:hint="eastAsia" w:ascii="宋体" w:hAnsi="宋体" w:cs="宋体"/>
          <w:color w:val="auto"/>
          <w:spacing w:val="-47"/>
          <w:kern w:val="0"/>
          <w:sz w:val="21"/>
          <w:szCs w:val="21"/>
          <w:highlight w:val="none"/>
        </w:rPr>
        <w:t>，</w:t>
      </w:r>
      <w:r>
        <w:rPr>
          <w:rFonts w:hint="eastAsia" w:ascii="宋体" w:hAnsi="宋体" w:cs="宋体"/>
          <w:color w:val="auto"/>
          <w:kern w:val="0"/>
          <w:sz w:val="21"/>
          <w:szCs w:val="21"/>
          <w:highlight w:val="none"/>
        </w:rPr>
        <w:t>说明临时设施</w:t>
      </w:r>
      <w:r>
        <w:rPr>
          <w:rFonts w:hint="eastAsia" w:ascii="宋体" w:hAnsi="宋体" w:cs="宋体"/>
          <w:color w:val="auto"/>
          <w:spacing w:val="-11"/>
          <w:kern w:val="0"/>
          <w:sz w:val="21"/>
          <w:szCs w:val="21"/>
          <w:highlight w:val="none"/>
        </w:rPr>
        <w:t>、</w:t>
      </w:r>
      <w:r>
        <w:rPr>
          <w:rFonts w:hint="eastAsia" w:ascii="宋体" w:hAnsi="宋体" w:cs="宋体"/>
          <w:color w:val="auto"/>
          <w:kern w:val="0"/>
          <w:sz w:val="21"/>
          <w:szCs w:val="21"/>
          <w:highlight w:val="none"/>
        </w:rPr>
        <w:t>现场办公</w:t>
      </w:r>
      <w:r>
        <w:rPr>
          <w:rFonts w:hint="eastAsia" w:ascii="宋体" w:hAnsi="宋体" w:cs="宋体"/>
          <w:color w:val="auto"/>
          <w:spacing w:val="-11"/>
          <w:kern w:val="0"/>
          <w:sz w:val="21"/>
          <w:szCs w:val="21"/>
          <w:highlight w:val="none"/>
        </w:rPr>
        <w:t>、</w:t>
      </w:r>
      <w:r>
        <w:rPr>
          <w:rFonts w:hint="eastAsia" w:ascii="宋体" w:hAnsi="宋体" w:cs="宋体"/>
          <w:color w:val="auto"/>
          <w:kern w:val="0"/>
          <w:sz w:val="21"/>
          <w:szCs w:val="21"/>
          <w:highlight w:val="none"/>
        </w:rPr>
        <w:t>设备及仓储</w:t>
      </w:r>
      <w:r>
        <w:rPr>
          <w:rFonts w:hint="eastAsia" w:ascii="宋体" w:hAnsi="宋体" w:cs="宋体"/>
          <w:color w:val="auto"/>
          <w:spacing w:val="-11"/>
          <w:kern w:val="0"/>
          <w:sz w:val="21"/>
          <w:szCs w:val="21"/>
          <w:highlight w:val="none"/>
        </w:rPr>
        <w:t>、</w:t>
      </w:r>
      <w:r>
        <w:rPr>
          <w:rFonts w:hint="eastAsia" w:ascii="宋体" w:hAnsi="宋体" w:cs="宋体"/>
          <w:color w:val="auto"/>
          <w:kern w:val="0"/>
          <w:sz w:val="21"/>
          <w:szCs w:val="21"/>
          <w:highlight w:val="none"/>
        </w:rPr>
        <w:t>供电</w:t>
      </w:r>
      <w:r>
        <w:rPr>
          <w:rFonts w:hint="eastAsia" w:ascii="宋体" w:hAnsi="宋体" w:cs="宋体"/>
          <w:color w:val="auto"/>
          <w:spacing w:val="-11"/>
          <w:kern w:val="0"/>
          <w:sz w:val="21"/>
          <w:szCs w:val="21"/>
          <w:highlight w:val="none"/>
        </w:rPr>
        <w:t>、</w:t>
      </w:r>
      <w:r>
        <w:rPr>
          <w:rFonts w:hint="eastAsia" w:ascii="宋体" w:hAnsi="宋体" w:cs="宋体"/>
          <w:color w:val="auto"/>
          <w:kern w:val="0"/>
          <w:sz w:val="21"/>
          <w:szCs w:val="21"/>
          <w:highlight w:val="none"/>
        </w:rPr>
        <w:t>供水</w:t>
      </w:r>
      <w:r>
        <w:rPr>
          <w:rFonts w:hint="eastAsia" w:ascii="宋体" w:hAnsi="宋体" w:cs="宋体"/>
          <w:color w:val="auto"/>
          <w:spacing w:val="-10"/>
          <w:kern w:val="0"/>
          <w:sz w:val="21"/>
          <w:szCs w:val="21"/>
          <w:highlight w:val="none"/>
        </w:rPr>
        <w:t>、</w:t>
      </w:r>
      <w:r>
        <w:rPr>
          <w:rFonts w:hint="eastAsia" w:ascii="宋体" w:hAnsi="宋体" w:cs="宋体"/>
          <w:color w:val="auto"/>
          <w:kern w:val="0"/>
          <w:sz w:val="21"/>
          <w:szCs w:val="21"/>
          <w:highlight w:val="none"/>
        </w:rPr>
        <w:t>卫生</w:t>
      </w:r>
      <w:r>
        <w:rPr>
          <w:rFonts w:hint="eastAsia" w:ascii="宋体" w:hAnsi="宋体" w:cs="宋体"/>
          <w:color w:val="auto"/>
          <w:spacing w:val="-11"/>
          <w:kern w:val="0"/>
          <w:sz w:val="21"/>
          <w:szCs w:val="21"/>
          <w:highlight w:val="none"/>
        </w:rPr>
        <w:t>、</w:t>
      </w:r>
      <w:r>
        <w:rPr>
          <w:rFonts w:hint="eastAsia" w:ascii="宋体" w:hAnsi="宋体" w:cs="宋体"/>
          <w:color w:val="auto"/>
          <w:kern w:val="0"/>
          <w:sz w:val="21"/>
          <w:szCs w:val="21"/>
          <w:highlight w:val="none"/>
        </w:rPr>
        <w:t>生活</w:t>
      </w:r>
      <w:r>
        <w:rPr>
          <w:rFonts w:hint="eastAsia" w:ascii="宋体" w:hAnsi="宋体" w:cs="宋体"/>
          <w:color w:val="auto"/>
          <w:spacing w:val="-11"/>
          <w:kern w:val="0"/>
          <w:sz w:val="21"/>
          <w:szCs w:val="21"/>
          <w:highlight w:val="none"/>
        </w:rPr>
        <w:t>、</w:t>
      </w:r>
      <w:r>
        <w:rPr>
          <w:rFonts w:hint="eastAsia" w:ascii="宋体" w:hAnsi="宋体" w:cs="宋体"/>
          <w:color w:val="auto"/>
          <w:spacing w:val="1"/>
          <w:kern w:val="0"/>
          <w:sz w:val="21"/>
          <w:szCs w:val="21"/>
          <w:highlight w:val="none"/>
        </w:rPr>
        <w:t>消</w:t>
      </w:r>
      <w:r>
        <w:rPr>
          <w:rFonts w:hint="eastAsia" w:ascii="宋体" w:hAnsi="宋体" w:cs="宋体"/>
          <w:color w:val="auto"/>
          <w:kern w:val="0"/>
          <w:sz w:val="21"/>
          <w:szCs w:val="21"/>
          <w:highlight w:val="none"/>
        </w:rPr>
        <w:t>防等设施的情况和布置。</w:t>
      </w:r>
    </w:p>
    <w:p w14:paraId="033B668B">
      <w:pPr>
        <w:autoSpaceDE w:val="0"/>
        <w:autoSpaceDN w:val="0"/>
        <w:adjustRightInd w:val="0"/>
        <w:snapToGrid w:val="0"/>
        <w:spacing w:line="360" w:lineRule="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br w:type="page"/>
      </w:r>
    </w:p>
    <w:p w14:paraId="33CCA87B">
      <w:pPr>
        <w:keepNext w:val="0"/>
        <w:keepLines w:val="0"/>
        <w:pageBreakBefore w:val="0"/>
        <w:widowControl w:val="0"/>
        <w:kinsoku w:val="0"/>
        <w:wordWrap/>
        <w:topLinePunct w:val="0"/>
        <w:autoSpaceDE w:val="0"/>
        <w:autoSpaceDN w:val="0"/>
        <w:bidi w:val="0"/>
        <w:adjustRightInd w:val="0"/>
        <w:snapToGrid w:val="0"/>
        <w:spacing w:before="260" w:after="260" w:line="500" w:lineRule="exact"/>
        <w:ind w:firstLine="482" w:firstLineChars="200"/>
        <w:outlineLvl w:val="9"/>
        <w:rPr>
          <w:rFonts w:hint="eastAsia" w:ascii="宋体" w:hAnsi="宋体" w:eastAsia="宋体" w:cs="宋体"/>
          <w:b/>
          <w:color w:val="000000" w:themeColor="text1"/>
          <w:sz w:val="32"/>
          <w:szCs w:val="28"/>
          <w:highlight w:val="none"/>
          <w14:textFill>
            <w14:solidFill>
              <w14:schemeClr w14:val="tx1"/>
            </w14:solidFill>
          </w14:textFill>
        </w:rPr>
      </w:pPr>
      <w:bookmarkStart w:id="897" w:name="_Toc106030421"/>
      <w:bookmarkStart w:id="898" w:name="_Toc30818"/>
      <w:bookmarkStart w:id="899" w:name="_Toc16577"/>
      <w:bookmarkStart w:id="900" w:name="_Toc26381"/>
      <w:bookmarkStart w:id="901" w:name="_Toc4463"/>
      <w:bookmarkStart w:id="902" w:name="_Toc11324"/>
      <w:bookmarkStart w:id="903" w:name="_Toc21394"/>
      <w:bookmarkStart w:id="904" w:name="_Toc12509"/>
      <w:bookmarkStart w:id="905" w:name="_Toc75793544"/>
      <w:bookmarkStart w:id="906" w:name="_Toc6108"/>
      <w:bookmarkStart w:id="907" w:name="_Toc4000"/>
      <w:bookmarkStart w:id="908" w:name="_Toc30988"/>
      <w:bookmarkStart w:id="909" w:name="_Toc492721038"/>
      <w:bookmarkStart w:id="910" w:name="_Toc493178793"/>
      <w:bookmarkStart w:id="911" w:name="_Toc17848"/>
      <w:bookmarkStart w:id="912" w:name="_Toc17829"/>
      <w:bookmarkStart w:id="913" w:name="_Toc13249"/>
      <w:bookmarkStart w:id="914" w:name="_Toc28432"/>
      <w:bookmarkStart w:id="915" w:name="_Toc21121"/>
      <w:bookmarkStart w:id="916" w:name="_Toc23187"/>
      <w:r>
        <w:rPr>
          <w:rFonts w:hint="eastAsia" w:ascii="宋体" w:hAnsi="宋体" w:cs="宋体"/>
          <w:b/>
          <w:color w:val="000000" w:themeColor="text1"/>
          <w:sz w:val="24"/>
          <w:szCs w:val="28"/>
          <w:highlight w:val="none"/>
          <w:lang w:val="en-US" w:eastAsia="zh-CN"/>
          <w14:textFill>
            <w14:solidFill>
              <w14:schemeClr w14:val="tx1"/>
            </w14:solidFill>
          </w14:textFill>
        </w:rPr>
        <w:t>四</w:t>
      </w:r>
      <w:r>
        <w:rPr>
          <w:rFonts w:hint="eastAsia" w:ascii="宋体" w:hAnsi="宋体" w:eastAsia="宋体" w:cs="宋体"/>
          <w:b/>
          <w:color w:val="000000" w:themeColor="text1"/>
          <w:sz w:val="32"/>
          <w:szCs w:val="28"/>
          <w:highlight w:val="none"/>
          <w14:textFill>
            <w14:solidFill>
              <w14:schemeClr w14:val="tx1"/>
            </w14:solidFill>
          </w14:textFill>
        </w:rPr>
        <w:t>、资格文件</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p>
    <w:p w14:paraId="0C2685A4">
      <w:pPr>
        <w:keepNext w:val="0"/>
        <w:keepLines w:val="0"/>
        <w:pageBreakBefore w:val="0"/>
        <w:widowControl w:val="0"/>
        <w:kinsoku w:val="0"/>
        <w:wordWrap/>
        <w:topLinePunct w:val="0"/>
        <w:autoSpaceDE w:val="0"/>
        <w:autoSpaceDN w:val="0"/>
        <w:bidi w:val="0"/>
        <w:adjustRightInd w:val="0"/>
        <w:snapToGrid w:val="0"/>
        <w:spacing w:line="500" w:lineRule="exact"/>
        <w:ind w:firstLine="482"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（一）法人营业执照（副本）或事业单位法人证书（副本）或个体工商户营业执照或有效的自然人身份证明或社会团体法人登记证书复印件</w:t>
      </w:r>
    </w:p>
    <w:p w14:paraId="4E87310B">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570"/>
        <w:rPr>
          <w:rFonts w:hint="eastAsia" w:ascii="宋体" w:hAnsi="宋体" w:eastAsia="宋体" w:cs="宋体"/>
          <w:color w:val="000000" w:themeColor="text1"/>
          <w:sz w:val="28"/>
          <w:szCs w:val="20"/>
          <w:highlight w:val="none"/>
          <w14:textFill>
            <w14:solidFill>
              <w14:schemeClr w14:val="tx1"/>
            </w14:solidFill>
          </w14:textFill>
        </w:rPr>
      </w:pPr>
    </w:p>
    <w:p w14:paraId="7B9B0F1B">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570"/>
        <w:rPr>
          <w:rFonts w:hint="eastAsia" w:ascii="宋体" w:hAnsi="宋体" w:eastAsia="宋体" w:cs="宋体"/>
          <w:color w:val="000000" w:themeColor="text1"/>
          <w:sz w:val="28"/>
          <w:szCs w:val="20"/>
          <w:highlight w:val="none"/>
          <w14:textFill>
            <w14:solidFill>
              <w14:schemeClr w14:val="tx1"/>
            </w14:solidFill>
          </w14:textFill>
        </w:rPr>
      </w:pPr>
    </w:p>
    <w:p w14:paraId="0D8E7F54">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570"/>
        <w:rPr>
          <w:rFonts w:hint="eastAsia" w:ascii="宋体" w:hAnsi="宋体" w:eastAsia="宋体" w:cs="宋体"/>
          <w:color w:val="000000" w:themeColor="text1"/>
          <w:sz w:val="28"/>
          <w:szCs w:val="20"/>
          <w:highlight w:val="none"/>
          <w14:textFill>
            <w14:solidFill>
              <w14:schemeClr w14:val="tx1"/>
            </w14:solidFill>
          </w14:textFill>
        </w:rPr>
      </w:pPr>
    </w:p>
    <w:p w14:paraId="61DC8ECA">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570"/>
        <w:rPr>
          <w:rFonts w:hint="eastAsia" w:ascii="宋体" w:hAnsi="宋体" w:eastAsia="宋体" w:cs="宋体"/>
          <w:color w:val="000000" w:themeColor="text1"/>
          <w:sz w:val="28"/>
          <w:szCs w:val="20"/>
          <w:highlight w:val="none"/>
          <w14:textFill>
            <w14:solidFill>
              <w14:schemeClr w14:val="tx1"/>
            </w14:solidFill>
          </w14:textFill>
        </w:rPr>
      </w:pPr>
    </w:p>
    <w:p w14:paraId="5B2B786A">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570"/>
        <w:rPr>
          <w:rFonts w:hint="eastAsia" w:ascii="宋体" w:hAnsi="宋体" w:eastAsia="宋体" w:cs="宋体"/>
          <w:color w:val="000000" w:themeColor="text1"/>
          <w:sz w:val="28"/>
          <w:szCs w:val="20"/>
          <w:highlight w:val="none"/>
          <w14:textFill>
            <w14:solidFill>
              <w14:schemeClr w14:val="tx1"/>
            </w14:solidFill>
          </w14:textFill>
        </w:rPr>
      </w:pPr>
    </w:p>
    <w:p w14:paraId="5E6E1B2B">
      <w:pPr>
        <w:keepNext w:val="0"/>
        <w:keepLines w:val="0"/>
        <w:pageBreakBefore w:val="0"/>
        <w:widowControl w:val="0"/>
        <w:kinsoku w:val="0"/>
        <w:wordWrap/>
        <w:topLinePunct w:val="0"/>
        <w:autoSpaceDE w:val="0"/>
        <w:autoSpaceDN w:val="0"/>
        <w:bidi w:val="0"/>
        <w:adjustRightInd w:val="0"/>
        <w:snapToGrid w:val="0"/>
        <w:spacing w:line="500" w:lineRule="exact"/>
        <w:ind w:firstLine="56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8"/>
          <w:szCs w:val="20"/>
          <w:highlight w:val="none"/>
          <w14:textFill>
            <w14:solidFill>
              <w14:schemeClr w14:val="tx1"/>
            </w14:solidFill>
          </w14:textFill>
        </w:rPr>
        <w:br w:type="page"/>
      </w:r>
      <w:r>
        <w:rPr>
          <w:rFonts w:hint="eastAsia" w:ascii="宋体" w:hAnsi="宋体" w:eastAsia="宋体" w:cs="宋体"/>
          <w:b/>
          <w:bCs/>
          <w:color w:val="000000" w:themeColor="text1"/>
          <w:sz w:val="24"/>
          <w:szCs w:val="28"/>
          <w:highlight w:val="none"/>
          <w14:textFill>
            <w14:solidFill>
              <w14:schemeClr w14:val="tx1"/>
            </w14:solidFill>
          </w14:textFill>
        </w:rPr>
        <w:t>（二）法定代表人身份证明书（格式）</w:t>
      </w:r>
    </w:p>
    <w:p w14:paraId="606558A9">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570"/>
        <w:rPr>
          <w:rFonts w:hint="eastAsia" w:ascii="宋体" w:hAnsi="宋体" w:eastAsia="宋体" w:cs="宋体"/>
          <w:color w:val="000000" w:themeColor="text1"/>
          <w:sz w:val="24"/>
          <w:szCs w:val="20"/>
          <w:highlight w:val="none"/>
          <w14:textFill>
            <w14:solidFill>
              <w14:schemeClr w14:val="tx1"/>
            </w14:solidFill>
          </w14:textFill>
        </w:rPr>
      </w:pPr>
    </w:p>
    <w:p w14:paraId="4D529AAE">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570"/>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比选项目名称：</w:t>
      </w:r>
      <w:r>
        <w:rPr>
          <w:rFonts w:hint="eastAsia" w:ascii="宋体" w:hAnsi="宋体" w:eastAsia="宋体" w:cs="宋体"/>
          <w:color w:val="000000" w:themeColor="text1"/>
          <w:sz w:val="24"/>
          <w:szCs w:val="20"/>
          <w:highlight w:val="none"/>
          <w:u w:val="single"/>
          <w14:textFill>
            <w14:solidFill>
              <w14:schemeClr w14:val="tx1"/>
            </w14:solidFill>
          </w14:textFill>
        </w:rPr>
        <w:t xml:space="preserve">                                                </w:t>
      </w:r>
    </w:p>
    <w:p w14:paraId="19418531">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570"/>
        <w:rPr>
          <w:rFonts w:hint="eastAsia" w:ascii="宋体" w:hAnsi="宋体" w:eastAsia="宋体" w:cs="宋体"/>
          <w:color w:val="000000" w:themeColor="text1"/>
          <w:sz w:val="24"/>
          <w:szCs w:val="20"/>
          <w:highlight w:val="none"/>
          <w14:textFill>
            <w14:solidFill>
              <w14:schemeClr w14:val="tx1"/>
            </w14:solidFill>
          </w14:textFill>
        </w:rPr>
      </w:pPr>
    </w:p>
    <w:p w14:paraId="47FD3175">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致：</w:t>
      </w:r>
      <w:r>
        <w:rPr>
          <w:rFonts w:hint="eastAsia" w:ascii="宋体" w:hAnsi="宋体" w:eastAsia="宋体" w:cs="宋体"/>
          <w:color w:val="000000" w:themeColor="text1"/>
          <w:sz w:val="24"/>
          <w:szCs w:val="20"/>
          <w:highlight w:val="none"/>
          <w:u w:val="single"/>
          <w14:textFill>
            <w14:solidFill>
              <w14:schemeClr w14:val="tx1"/>
            </w14:solidFill>
          </w14:textFill>
        </w:rPr>
        <w:t xml:space="preserve">                     </w:t>
      </w:r>
      <w:r>
        <w:rPr>
          <w:rFonts w:hint="eastAsia" w:ascii="宋体" w:hAnsi="宋体" w:eastAsia="宋体" w:cs="宋体"/>
          <w:color w:val="000000" w:themeColor="text1"/>
          <w:sz w:val="24"/>
          <w:szCs w:val="20"/>
          <w:highlight w:val="none"/>
          <w14:textFill>
            <w14:solidFill>
              <w14:schemeClr w14:val="tx1"/>
            </w14:solidFill>
          </w14:textFill>
        </w:rPr>
        <w:t>（</w:t>
      </w:r>
      <w:r>
        <w:rPr>
          <w:rFonts w:hint="eastAsia" w:ascii="宋体" w:hAnsi="宋体" w:eastAsia="宋体" w:cs="宋体"/>
          <w:color w:val="000000" w:themeColor="text1"/>
          <w:sz w:val="24"/>
          <w:szCs w:val="20"/>
          <w:highlight w:val="none"/>
          <w:lang w:eastAsia="zh-CN"/>
          <w14:textFill>
            <w14:solidFill>
              <w14:schemeClr w14:val="tx1"/>
            </w14:solidFill>
          </w14:textFill>
        </w:rPr>
        <w:t>比选代理机构</w:t>
      </w:r>
      <w:r>
        <w:rPr>
          <w:rFonts w:hint="eastAsia" w:ascii="宋体" w:hAnsi="宋体" w:eastAsia="宋体" w:cs="宋体"/>
          <w:color w:val="000000" w:themeColor="text1"/>
          <w:sz w:val="24"/>
          <w:szCs w:val="20"/>
          <w:highlight w:val="none"/>
          <w14:textFill>
            <w14:solidFill>
              <w14:schemeClr w14:val="tx1"/>
            </w14:solidFill>
          </w14:textFill>
        </w:rPr>
        <w:t>名称）：</w:t>
      </w:r>
    </w:p>
    <w:p w14:paraId="73A665C2">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570"/>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u w:val="single"/>
          <w14:textFill>
            <w14:solidFill>
              <w14:schemeClr w14:val="tx1"/>
            </w14:solidFill>
          </w14:textFill>
        </w:rPr>
        <w:t xml:space="preserve">        </w:t>
      </w:r>
      <w:r>
        <w:rPr>
          <w:rFonts w:hint="eastAsia" w:ascii="宋体" w:hAnsi="宋体" w:eastAsia="宋体" w:cs="宋体"/>
          <w:color w:val="000000" w:themeColor="text1"/>
          <w:sz w:val="24"/>
          <w:szCs w:val="20"/>
          <w:highlight w:val="none"/>
          <w14:textFill>
            <w14:solidFill>
              <w14:schemeClr w14:val="tx1"/>
            </w14:solidFill>
          </w14:textFill>
        </w:rPr>
        <w:t>（法定代表人姓名）在</w:t>
      </w:r>
      <w:r>
        <w:rPr>
          <w:rFonts w:hint="eastAsia" w:ascii="宋体" w:hAnsi="宋体" w:eastAsia="宋体" w:cs="宋体"/>
          <w:color w:val="000000" w:themeColor="text1"/>
          <w:sz w:val="24"/>
          <w:szCs w:val="20"/>
          <w:highlight w:val="none"/>
          <w:u w:val="single"/>
          <w14:textFill>
            <w14:solidFill>
              <w14:schemeClr w14:val="tx1"/>
            </w14:solidFill>
          </w14:textFill>
        </w:rPr>
        <w:t xml:space="preserve">                       </w:t>
      </w:r>
      <w:r>
        <w:rPr>
          <w:rFonts w:hint="eastAsia" w:ascii="宋体" w:hAnsi="宋体" w:eastAsia="宋体" w:cs="宋体"/>
          <w:color w:val="000000" w:themeColor="text1"/>
          <w:sz w:val="24"/>
          <w:szCs w:val="20"/>
          <w:highlight w:val="none"/>
          <w14:textFill>
            <w14:solidFill>
              <w14:schemeClr w14:val="tx1"/>
            </w14:solidFill>
          </w14:textFill>
        </w:rPr>
        <w:t>（</w:t>
      </w:r>
      <w:r>
        <w:rPr>
          <w:rFonts w:hint="eastAsia" w:ascii="宋体" w:hAnsi="宋体" w:cs="宋体"/>
          <w:color w:val="000000" w:themeColor="text1"/>
          <w:sz w:val="24"/>
          <w:szCs w:val="20"/>
          <w:highlight w:val="none"/>
          <w:lang w:eastAsia="zh-CN"/>
          <w14:textFill>
            <w14:solidFill>
              <w14:schemeClr w14:val="tx1"/>
            </w14:solidFill>
          </w14:textFill>
        </w:rPr>
        <w:t>供应商</w:t>
      </w:r>
      <w:r>
        <w:rPr>
          <w:rFonts w:hint="eastAsia" w:ascii="宋体" w:hAnsi="宋体" w:eastAsia="宋体" w:cs="宋体"/>
          <w:color w:val="000000" w:themeColor="text1"/>
          <w:sz w:val="24"/>
          <w:szCs w:val="20"/>
          <w:highlight w:val="none"/>
          <w14:textFill>
            <w14:solidFill>
              <w14:schemeClr w14:val="tx1"/>
            </w14:solidFill>
          </w14:textFill>
        </w:rPr>
        <w:t>名称）任</w:t>
      </w:r>
      <w:r>
        <w:rPr>
          <w:rFonts w:hint="eastAsia" w:ascii="宋体" w:hAnsi="宋体" w:eastAsia="宋体" w:cs="宋体"/>
          <w:color w:val="000000" w:themeColor="text1"/>
          <w:sz w:val="24"/>
          <w:szCs w:val="20"/>
          <w:highlight w:val="none"/>
          <w:u w:val="single"/>
          <w14:textFill>
            <w14:solidFill>
              <w14:schemeClr w14:val="tx1"/>
            </w14:solidFill>
          </w14:textFill>
        </w:rPr>
        <w:t xml:space="preserve">    </w:t>
      </w:r>
      <w:r>
        <w:rPr>
          <w:rFonts w:hint="eastAsia" w:ascii="宋体" w:hAnsi="宋体" w:eastAsia="宋体" w:cs="宋体"/>
          <w:color w:val="000000" w:themeColor="text1"/>
          <w:sz w:val="24"/>
          <w:szCs w:val="20"/>
          <w:highlight w:val="none"/>
          <w14:textFill>
            <w14:solidFill>
              <w14:schemeClr w14:val="tx1"/>
            </w14:solidFill>
          </w14:textFill>
        </w:rPr>
        <w:t>（职务名称）职务，是（</w:t>
      </w:r>
      <w:r>
        <w:rPr>
          <w:rFonts w:hint="eastAsia" w:ascii="宋体" w:hAnsi="宋体" w:cs="宋体"/>
          <w:color w:val="000000" w:themeColor="text1"/>
          <w:sz w:val="24"/>
          <w:szCs w:val="20"/>
          <w:highlight w:val="none"/>
          <w:lang w:eastAsia="zh-CN"/>
          <w14:textFill>
            <w14:solidFill>
              <w14:schemeClr w14:val="tx1"/>
            </w14:solidFill>
          </w14:textFill>
        </w:rPr>
        <w:t>供应商</w:t>
      </w:r>
      <w:r>
        <w:rPr>
          <w:rFonts w:hint="eastAsia" w:ascii="宋体" w:hAnsi="宋体" w:eastAsia="宋体" w:cs="宋体"/>
          <w:color w:val="000000" w:themeColor="text1"/>
          <w:sz w:val="24"/>
          <w:szCs w:val="20"/>
          <w:highlight w:val="none"/>
          <w14:textFill>
            <w14:solidFill>
              <w14:schemeClr w14:val="tx1"/>
            </w14:solidFill>
          </w14:textFill>
        </w:rPr>
        <w:t>名称）</w:t>
      </w:r>
      <w:r>
        <w:rPr>
          <w:rFonts w:hint="eastAsia" w:ascii="宋体" w:hAnsi="宋体" w:eastAsia="宋体" w:cs="宋体"/>
          <w:color w:val="000000" w:themeColor="text1"/>
          <w:sz w:val="24"/>
          <w:szCs w:val="20"/>
          <w:highlight w:val="none"/>
          <w:u w:val="single"/>
          <w14:textFill>
            <w14:solidFill>
              <w14:schemeClr w14:val="tx1"/>
            </w14:solidFill>
          </w14:textFill>
        </w:rPr>
        <w:t xml:space="preserve">              </w:t>
      </w:r>
      <w:r>
        <w:rPr>
          <w:rFonts w:hint="eastAsia" w:ascii="宋体" w:hAnsi="宋体" w:eastAsia="宋体" w:cs="宋体"/>
          <w:color w:val="000000" w:themeColor="text1"/>
          <w:sz w:val="24"/>
          <w:szCs w:val="20"/>
          <w:highlight w:val="none"/>
          <w14:textFill>
            <w14:solidFill>
              <w14:schemeClr w14:val="tx1"/>
            </w14:solidFill>
          </w14:textFill>
        </w:rPr>
        <w:t>的法定代表人。</w:t>
      </w:r>
    </w:p>
    <w:p w14:paraId="5D825D6F">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570"/>
        <w:rPr>
          <w:rFonts w:hint="eastAsia" w:ascii="宋体" w:hAnsi="宋体" w:eastAsia="宋体" w:cs="宋体"/>
          <w:color w:val="000000" w:themeColor="text1"/>
          <w:sz w:val="24"/>
          <w:szCs w:val="20"/>
          <w:highlight w:val="none"/>
          <w14:textFill>
            <w14:solidFill>
              <w14:schemeClr w14:val="tx1"/>
            </w14:solidFill>
          </w14:textFill>
        </w:rPr>
      </w:pPr>
    </w:p>
    <w:p w14:paraId="28A57189">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570"/>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特此证明。</w:t>
      </w:r>
    </w:p>
    <w:p w14:paraId="56F213C2">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570"/>
        <w:rPr>
          <w:rFonts w:hint="eastAsia" w:ascii="宋体" w:hAnsi="宋体" w:eastAsia="宋体" w:cs="宋体"/>
          <w:color w:val="000000" w:themeColor="text1"/>
          <w:sz w:val="24"/>
          <w:szCs w:val="20"/>
          <w:highlight w:val="none"/>
          <w14:textFill>
            <w14:solidFill>
              <w14:schemeClr w14:val="tx1"/>
            </w14:solidFill>
          </w14:textFill>
        </w:rPr>
      </w:pPr>
    </w:p>
    <w:p w14:paraId="15C86257">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570"/>
        <w:rPr>
          <w:rFonts w:hint="eastAsia" w:ascii="宋体" w:hAnsi="宋体" w:eastAsia="宋体" w:cs="宋体"/>
          <w:color w:val="000000" w:themeColor="text1"/>
          <w:sz w:val="24"/>
          <w:szCs w:val="20"/>
          <w:highlight w:val="none"/>
          <w14:textFill>
            <w14:solidFill>
              <w14:schemeClr w14:val="tx1"/>
            </w14:solidFill>
          </w14:textFill>
        </w:rPr>
      </w:pPr>
    </w:p>
    <w:p w14:paraId="503EE858">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570"/>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 xml:space="preserve">                                             </w:t>
      </w:r>
      <w:r>
        <w:rPr>
          <w:rFonts w:hint="eastAsia" w:ascii="宋体" w:hAnsi="宋体" w:cs="宋体"/>
          <w:color w:val="000000" w:themeColor="text1"/>
          <w:sz w:val="24"/>
          <w:szCs w:val="20"/>
          <w:highlight w:val="none"/>
          <w:lang w:eastAsia="zh-CN"/>
          <w14:textFill>
            <w14:solidFill>
              <w14:schemeClr w14:val="tx1"/>
            </w14:solidFill>
          </w14:textFill>
        </w:rPr>
        <w:t>供应商</w:t>
      </w:r>
      <w:r>
        <w:rPr>
          <w:rFonts w:hint="eastAsia" w:ascii="宋体" w:hAnsi="宋体" w:eastAsia="宋体" w:cs="宋体"/>
          <w:color w:val="000000" w:themeColor="text1"/>
          <w:sz w:val="24"/>
          <w:szCs w:val="20"/>
          <w:highlight w:val="none"/>
          <w14:textFill>
            <w14:solidFill>
              <w14:schemeClr w14:val="tx1"/>
            </w14:solidFill>
          </w14:textFill>
        </w:rPr>
        <w:t>：</w:t>
      </w:r>
    </w:p>
    <w:p w14:paraId="11008E4E">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5848" w:firstLineChars="2437"/>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w:t>
      </w:r>
      <w:r>
        <w:rPr>
          <w:rFonts w:hint="eastAsia" w:ascii="宋体" w:hAnsi="宋体" w:cs="宋体"/>
          <w:color w:val="000000" w:themeColor="text1"/>
          <w:sz w:val="24"/>
          <w:szCs w:val="20"/>
          <w:highlight w:val="none"/>
          <w:lang w:eastAsia="zh-CN"/>
          <w14:textFill>
            <w14:solidFill>
              <w14:schemeClr w14:val="tx1"/>
            </w14:solidFill>
          </w14:textFill>
        </w:rPr>
        <w:t>供应商</w:t>
      </w:r>
      <w:r>
        <w:rPr>
          <w:rFonts w:hint="eastAsia" w:ascii="宋体" w:hAnsi="宋体" w:eastAsia="宋体" w:cs="宋体"/>
          <w:color w:val="000000" w:themeColor="text1"/>
          <w:sz w:val="24"/>
          <w:szCs w:val="20"/>
          <w:highlight w:val="none"/>
          <w14:textFill>
            <w14:solidFill>
              <w14:schemeClr w14:val="tx1"/>
            </w14:solidFill>
          </w14:textFill>
        </w:rPr>
        <w:t>公章）</w:t>
      </w:r>
    </w:p>
    <w:p w14:paraId="70C5A825">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570"/>
        <w:rPr>
          <w:rFonts w:hint="eastAsia" w:ascii="宋体" w:hAnsi="宋体" w:eastAsia="宋体" w:cs="宋体"/>
          <w:color w:val="000000" w:themeColor="text1"/>
          <w:sz w:val="24"/>
          <w:szCs w:val="20"/>
          <w:highlight w:val="none"/>
          <w14:textFill>
            <w14:solidFill>
              <w14:schemeClr w14:val="tx1"/>
            </w14:solidFill>
          </w14:textFill>
        </w:rPr>
      </w:pPr>
    </w:p>
    <w:p w14:paraId="20C12A8F">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570"/>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 xml:space="preserve">                                             年   月   日</w:t>
      </w:r>
    </w:p>
    <w:p w14:paraId="06B6398B">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570"/>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法定代表人电话：XXXXXXX      电子邮箱：XXXXXX@XXXXX（若授权他人办理并签署</w:t>
      </w:r>
      <w:r>
        <w:rPr>
          <w:rFonts w:hint="eastAsia" w:ascii="宋体" w:hAnsi="宋体" w:cs="宋体"/>
          <w:color w:val="000000" w:themeColor="text1"/>
          <w:sz w:val="24"/>
          <w:szCs w:val="20"/>
          <w:highlight w:val="none"/>
          <w:lang w:eastAsia="zh-CN"/>
          <w14:textFill>
            <w14:solidFill>
              <w14:schemeClr w14:val="tx1"/>
            </w14:solidFill>
          </w14:textFill>
        </w:rPr>
        <w:t>响应文件</w:t>
      </w:r>
      <w:r>
        <w:rPr>
          <w:rFonts w:hint="eastAsia" w:ascii="宋体" w:hAnsi="宋体" w:eastAsia="宋体" w:cs="宋体"/>
          <w:color w:val="000000" w:themeColor="text1"/>
          <w:sz w:val="24"/>
          <w:szCs w:val="20"/>
          <w:highlight w:val="none"/>
          <w14:textFill>
            <w14:solidFill>
              <w14:schemeClr w14:val="tx1"/>
            </w14:solidFill>
          </w14:textFill>
        </w:rPr>
        <w:t>的可不填写）</w:t>
      </w:r>
    </w:p>
    <w:p w14:paraId="263B0545">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570"/>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（附：法定代表人身份证正反面复印件）</w:t>
      </w:r>
    </w:p>
    <w:p w14:paraId="2E6E3CD9">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570"/>
        <w:rPr>
          <w:rFonts w:hint="eastAsia" w:ascii="宋体" w:hAnsi="宋体" w:eastAsia="宋体" w:cs="宋体"/>
          <w:color w:val="000000" w:themeColor="text1"/>
          <w:sz w:val="24"/>
          <w:szCs w:val="20"/>
          <w:highlight w:val="none"/>
          <w14:textFill>
            <w14:solidFill>
              <w14:schemeClr w14:val="tx1"/>
            </w14:solidFill>
          </w14:textFill>
        </w:rPr>
      </w:pPr>
    </w:p>
    <w:p w14:paraId="0730799A">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570"/>
        <w:rPr>
          <w:rFonts w:hint="eastAsia" w:ascii="宋体" w:hAnsi="宋体" w:eastAsia="宋体" w:cs="宋体"/>
          <w:color w:val="000000" w:themeColor="text1"/>
          <w:sz w:val="24"/>
          <w:szCs w:val="20"/>
          <w:highlight w:val="none"/>
          <w14:textFill>
            <w14:solidFill>
              <w14:schemeClr w14:val="tx1"/>
            </w14:solidFill>
          </w14:textFill>
        </w:rPr>
      </w:pPr>
    </w:p>
    <w:p w14:paraId="06272989">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570"/>
        <w:rPr>
          <w:rFonts w:hint="eastAsia" w:ascii="宋体" w:hAnsi="宋体" w:eastAsia="宋体" w:cs="宋体"/>
          <w:color w:val="000000" w:themeColor="text1"/>
          <w:sz w:val="24"/>
          <w:szCs w:val="20"/>
          <w:highlight w:val="none"/>
          <w14:textFill>
            <w14:solidFill>
              <w14:schemeClr w14:val="tx1"/>
            </w14:solidFill>
          </w14:textFill>
        </w:rPr>
      </w:pPr>
    </w:p>
    <w:p w14:paraId="7B9C81EB">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570"/>
        <w:rPr>
          <w:rFonts w:hint="eastAsia" w:ascii="宋体" w:hAnsi="宋体" w:eastAsia="宋体" w:cs="宋体"/>
          <w:color w:val="000000" w:themeColor="text1"/>
          <w:sz w:val="24"/>
          <w:szCs w:val="20"/>
          <w:highlight w:val="none"/>
          <w14:textFill>
            <w14:solidFill>
              <w14:schemeClr w14:val="tx1"/>
            </w14:solidFill>
          </w14:textFill>
        </w:rPr>
      </w:pPr>
    </w:p>
    <w:p w14:paraId="5A367C12">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570"/>
        <w:rPr>
          <w:rFonts w:hint="eastAsia" w:ascii="宋体" w:hAnsi="宋体" w:eastAsia="宋体" w:cs="宋体"/>
          <w:color w:val="000000" w:themeColor="text1"/>
          <w:sz w:val="24"/>
          <w:szCs w:val="20"/>
          <w:highlight w:val="none"/>
          <w14:textFill>
            <w14:solidFill>
              <w14:schemeClr w14:val="tx1"/>
            </w14:solidFill>
          </w14:textFill>
        </w:rPr>
      </w:pPr>
    </w:p>
    <w:p w14:paraId="350FB7AF">
      <w:pPr>
        <w:keepNext w:val="0"/>
        <w:keepLines w:val="0"/>
        <w:pageBreakBefore w:val="0"/>
        <w:widowControl w:val="0"/>
        <w:kinsoku w:val="0"/>
        <w:wordWrap/>
        <w:topLinePunct w:val="0"/>
        <w:autoSpaceDE w:val="0"/>
        <w:autoSpaceDN w:val="0"/>
        <w:bidi w:val="0"/>
        <w:adjustRightInd w:val="0"/>
        <w:snapToGrid w:val="0"/>
        <w:spacing w:line="500" w:lineRule="exact"/>
        <w:ind w:firstLine="56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8"/>
          <w:szCs w:val="20"/>
          <w:highlight w:val="none"/>
          <w14:textFill>
            <w14:solidFill>
              <w14:schemeClr w14:val="tx1"/>
            </w14:solidFill>
          </w14:textFill>
        </w:rPr>
        <w:br w:type="column"/>
      </w:r>
      <w:r>
        <w:rPr>
          <w:rFonts w:hint="eastAsia" w:ascii="宋体" w:hAnsi="宋体" w:eastAsia="宋体" w:cs="宋体"/>
          <w:b/>
          <w:bCs/>
          <w:color w:val="000000" w:themeColor="text1"/>
          <w:sz w:val="24"/>
          <w:szCs w:val="28"/>
          <w:highlight w:val="none"/>
          <w14:textFill>
            <w14:solidFill>
              <w14:schemeClr w14:val="tx1"/>
            </w14:solidFill>
          </w14:textFill>
        </w:rPr>
        <w:t>（三）法定代表人授权委托书（格式）</w:t>
      </w:r>
    </w:p>
    <w:p w14:paraId="2A966A79">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570"/>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 xml:space="preserve">    </w:t>
      </w:r>
    </w:p>
    <w:p w14:paraId="0E06C47B">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480" w:firstLineChars="200"/>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比选项目名称</w:t>
      </w:r>
      <w:r>
        <w:rPr>
          <w:rFonts w:hint="eastAsia" w:ascii="宋体" w:hAnsi="宋体" w:eastAsia="宋体" w:cs="宋体"/>
          <w:color w:val="000000" w:themeColor="text1"/>
          <w:sz w:val="24"/>
          <w:szCs w:val="20"/>
          <w:highlight w:val="none"/>
          <w14:textFill>
            <w14:solidFill>
              <w14:schemeClr w14:val="tx1"/>
            </w14:solidFill>
          </w14:textFill>
        </w:rPr>
        <w:t>：</w:t>
      </w:r>
      <w:r>
        <w:rPr>
          <w:rFonts w:hint="eastAsia" w:ascii="宋体" w:hAnsi="宋体" w:eastAsia="宋体" w:cs="宋体"/>
          <w:color w:val="000000" w:themeColor="text1"/>
          <w:sz w:val="24"/>
          <w:szCs w:val="20"/>
          <w:highlight w:val="none"/>
          <w:u w:val="single"/>
          <w14:textFill>
            <w14:solidFill>
              <w14:schemeClr w14:val="tx1"/>
            </w14:solidFill>
          </w14:textFill>
        </w:rPr>
        <w:t xml:space="preserve">                                                </w:t>
      </w:r>
    </w:p>
    <w:p w14:paraId="3BEDC698">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570"/>
        <w:rPr>
          <w:rFonts w:hint="eastAsia" w:ascii="宋体" w:hAnsi="宋体" w:eastAsia="宋体" w:cs="宋体"/>
          <w:color w:val="000000" w:themeColor="text1"/>
          <w:sz w:val="24"/>
          <w:szCs w:val="20"/>
          <w:highlight w:val="none"/>
          <w14:textFill>
            <w14:solidFill>
              <w14:schemeClr w14:val="tx1"/>
            </w14:solidFill>
          </w14:textFill>
        </w:rPr>
      </w:pPr>
    </w:p>
    <w:p w14:paraId="7468308A">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致：</w:t>
      </w:r>
      <w:r>
        <w:rPr>
          <w:rFonts w:hint="eastAsia" w:ascii="宋体" w:hAnsi="宋体" w:eastAsia="宋体" w:cs="宋体"/>
          <w:color w:val="000000" w:themeColor="text1"/>
          <w:sz w:val="24"/>
          <w:szCs w:val="20"/>
          <w:highlight w:val="none"/>
          <w:u w:val="single"/>
          <w14:textFill>
            <w14:solidFill>
              <w14:schemeClr w14:val="tx1"/>
            </w14:solidFill>
          </w14:textFill>
        </w:rPr>
        <w:t xml:space="preserve">                     </w:t>
      </w:r>
      <w:r>
        <w:rPr>
          <w:rFonts w:hint="eastAsia" w:ascii="宋体" w:hAnsi="宋体" w:eastAsia="宋体" w:cs="宋体"/>
          <w:color w:val="000000" w:themeColor="text1"/>
          <w:sz w:val="24"/>
          <w:szCs w:val="20"/>
          <w:highlight w:val="none"/>
          <w14:textFill>
            <w14:solidFill>
              <w14:schemeClr w14:val="tx1"/>
            </w14:solidFill>
          </w14:textFill>
        </w:rPr>
        <w:t>（</w:t>
      </w:r>
      <w:r>
        <w:rPr>
          <w:rFonts w:hint="eastAsia" w:ascii="宋体" w:hAnsi="宋体" w:eastAsia="宋体" w:cs="宋体"/>
          <w:color w:val="000000" w:themeColor="text1"/>
          <w:sz w:val="24"/>
          <w:szCs w:val="20"/>
          <w:highlight w:val="none"/>
          <w:lang w:eastAsia="zh-CN"/>
          <w14:textFill>
            <w14:solidFill>
              <w14:schemeClr w14:val="tx1"/>
            </w14:solidFill>
          </w14:textFill>
        </w:rPr>
        <w:t>比选代理机构</w:t>
      </w:r>
      <w:r>
        <w:rPr>
          <w:rFonts w:hint="eastAsia" w:ascii="宋体" w:hAnsi="宋体" w:eastAsia="宋体" w:cs="宋体"/>
          <w:color w:val="000000" w:themeColor="text1"/>
          <w:sz w:val="24"/>
          <w:szCs w:val="20"/>
          <w:highlight w:val="none"/>
          <w14:textFill>
            <w14:solidFill>
              <w14:schemeClr w14:val="tx1"/>
            </w14:solidFill>
          </w14:textFill>
        </w:rPr>
        <w:t>名称）：</w:t>
      </w:r>
    </w:p>
    <w:p w14:paraId="289D3C0E">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480" w:firstLineChars="200"/>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u w:val="single"/>
          <w14:textFill>
            <w14:solidFill>
              <w14:schemeClr w14:val="tx1"/>
            </w14:solidFill>
          </w14:textFill>
        </w:rPr>
        <w:t xml:space="preserve">            </w:t>
      </w:r>
      <w:r>
        <w:rPr>
          <w:rFonts w:hint="eastAsia" w:ascii="宋体" w:hAnsi="宋体" w:eastAsia="宋体" w:cs="宋体"/>
          <w:color w:val="000000" w:themeColor="text1"/>
          <w:sz w:val="24"/>
          <w:szCs w:val="20"/>
          <w:highlight w:val="none"/>
          <w14:textFill>
            <w14:solidFill>
              <w14:schemeClr w14:val="tx1"/>
            </w14:solidFill>
          </w14:textFill>
        </w:rPr>
        <w:t>（</w:t>
      </w:r>
      <w:r>
        <w:rPr>
          <w:rFonts w:hint="eastAsia" w:ascii="宋体" w:hAnsi="宋体" w:cs="宋体"/>
          <w:color w:val="000000" w:themeColor="text1"/>
          <w:sz w:val="24"/>
          <w:szCs w:val="20"/>
          <w:highlight w:val="none"/>
          <w:lang w:eastAsia="zh-CN"/>
          <w14:textFill>
            <w14:solidFill>
              <w14:schemeClr w14:val="tx1"/>
            </w14:solidFill>
          </w14:textFill>
        </w:rPr>
        <w:t>供应商</w:t>
      </w:r>
      <w:r>
        <w:rPr>
          <w:rFonts w:hint="eastAsia" w:ascii="宋体" w:hAnsi="宋体" w:eastAsia="宋体" w:cs="宋体"/>
          <w:color w:val="000000" w:themeColor="text1"/>
          <w:sz w:val="24"/>
          <w:szCs w:val="20"/>
          <w:highlight w:val="none"/>
          <w14:textFill>
            <w14:solidFill>
              <w14:schemeClr w14:val="tx1"/>
            </w14:solidFill>
          </w14:textFill>
        </w:rPr>
        <w:t>法定代表人名称）是</w:t>
      </w:r>
      <w:r>
        <w:rPr>
          <w:rFonts w:hint="eastAsia" w:ascii="宋体" w:hAnsi="宋体" w:eastAsia="宋体" w:cs="宋体"/>
          <w:color w:val="000000" w:themeColor="text1"/>
          <w:sz w:val="24"/>
          <w:szCs w:val="20"/>
          <w:highlight w:val="none"/>
          <w:u w:val="single"/>
          <w14:textFill>
            <w14:solidFill>
              <w14:schemeClr w14:val="tx1"/>
            </w14:solidFill>
          </w14:textFill>
        </w:rPr>
        <w:t xml:space="preserve">                    </w:t>
      </w:r>
      <w:r>
        <w:rPr>
          <w:rFonts w:hint="eastAsia" w:ascii="宋体" w:hAnsi="宋体" w:eastAsia="宋体" w:cs="宋体"/>
          <w:color w:val="000000" w:themeColor="text1"/>
          <w:sz w:val="24"/>
          <w:szCs w:val="20"/>
          <w:highlight w:val="none"/>
          <w14:textFill>
            <w14:solidFill>
              <w14:schemeClr w14:val="tx1"/>
            </w14:solidFill>
          </w14:textFill>
        </w:rPr>
        <w:t>（</w:t>
      </w:r>
      <w:r>
        <w:rPr>
          <w:rFonts w:hint="eastAsia" w:ascii="宋体" w:hAnsi="宋体" w:cs="宋体"/>
          <w:color w:val="000000" w:themeColor="text1"/>
          <w:sz w:val="24"/>
          <w:szCs w:val="20"/>
          <w:highlight w:val="none"/>
          <w:lang w:eastAsia="zh-CN"/>
          <w14:textFill>
            <w14:solidFill>
              <w14:schemeClr w14:val="tx1"/>
            </w14:solidFill>
          </w14:textFill>
        </w:rPr>
        <w:t>供应商</w:t>
      </w:r>
      <w:r>
        <w:rPr>
          <w:rFonts w:hint="eastAsia" w:ascii="宋体" w:hAnsi="宋体" w:eastAsia="宋体" w:cs="宋体"/>
          <w:color w:val="000000" w:themeColor="text1"/>
          <w:sz w:val="24"/>
          <w:szCs w:val="20"/>
          <w:highlight w:val="none"/>
          <w14:textFill>
            <w14:solidFill>
              <w14:schemeClr w14:val="tx1"/>
            </w14:solidFill>
          </w14:textFill>
        </w:rPr>
        <w:t>名称）的法定代表人，特授权</w:t>
      </w:r>
      <w:r>
        <w:rPr>
          <w:rFonts w:hint="eastAsia" w:ascii="宋体" w:hAnsi="宋体" w:eastAsia="宋体" w:cs="宋体"/>
          <w:color w:val="000000" w:themeColor="text1"/>
          <w:sz w:val="24"/>
          <w:szCs w:val="20"/>
          <w:highlight w:val="none"/>
          <w:u w:val="single"/>
          <w14:textFill>
            <w14:solidFill>
              <w14:schemeClr w14:val="tx1"/>
            </w14:solidFill>
          </w14:textFill>
        </w:rPr>
        <w:t xml:space="preserve">          </w:t>
      </w:r>
      <w:r>
        <w:rPr>
          <w:rFonts w:hint="eastAsia" w:ascii="宋体" w:hAnsi="宋体" w:eastAsia="宋体" w:cs="宋体"/>
          <w:color w:val="000000" w:themeColor="text1"/>
          <w:sz w:val="24"/>
          <w:szCs w:val="20"/>
          <w:highlight w:val="none"/>
          <w14:textFill>
            <w14:solidFill>
              <w14:schemeClr w14:val="tx1"/>
            </w14:solidFill>
          </w14:textFill>
        </w:rPr>
        <w:t>（被授权人姓名及身份证代码）代表我单位全权办理上述项目的竞选、谈判、签约等具体工作，并签署全部有关文件、协议及合同。</w:t>
      </w:r>
    </w:p>
    <w:p w14:paraId="2C23303D">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480" w:firstLineChars="200"/>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我单位对被授权人的签署负全部责任。</w:t>
      </w:r>
    </w:p>
    <w:p w14:paraId="078130D5">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480" w:firstLineChars="200"/>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在</w:t>
      </w:r>
      <w:r>
        <w:rPr>
          <w:rFonts w:hint="eastAsia" w:ascii="宋体" w:hAnsi="宋体" w:cs="宋体"/>
          <w:color w:val="000000" w:themeColor="text1"/>
          <w:sz w:val="24"/>
          <w:szCs w:val="20"/>
          <w:highlight w:val="none"/>
          <w:lang w:val="en-US" w:eastAsia="zh-CN"/>
          <w14:textFill>
            <w14:solidFill>
              <w14:schemeClr w14:val="tx1"/>
            </w14:solidFill>
          </w14:textFill>
        </w:rPr>
        <w:t>撤销</w:t>
      </w:r>
      <w:r>
        <w:rPr>
          <w:rFonts w:hint="eastAsia" w:ascii="宋体" w:hAnsi="宋体" w:eastAsia="宋体" w:cs="宋体"/>
          <w:color w:val="000000" w:themeColor="text1"/>
          <w:sz w:val="24"/>
          <w:szCs w:val="20"/>
          <w:highlight w:val="none"/>
          <w14:textFill>
            <w14:solidFill>
              <w14:schemeClr w14:val="tx1"/>
            </w14:solidFill>
          </w14:textFill>
        </w:rPr>
        <w:t>授权的书面通知以前，本授权书一直有效。被授权人在授权书有效期内签署的所有文件不因授权的撤销而失效。</w:t>
      </w:r>
    </w:p>
    <w:p w14:paraId="6AB0D270">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570"/>
        <w:rPr>
          <w:rFonts w:hint="eastAsia" w:ascii="宋体" w:hAnsi="宋体" w:eastAsia="宋体" w:cs="宋体"/>
          <w:color w:val="000000" w:themeColor="text1"/>
          <w:sz w:val="24"/>
          <w:szCs w:val="20"/>
          <w:highlight w:val="none"/>
          <w14:textFill>
            <w14:solidFill>
              <w14:schemeClr w14:val="tx1"/>
            </w14:solidFill>
          </w14:textFill>
        </w:rPr>
      </w:pPr>
    </w:p>
    <w:p w14:paraId="19494F60">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570"/>
        <w:rPr>
          <w:rFonts w:hint="eastAsia" w:ascii="宋体" w:hAnsi="宋体" w:eastAsia="宋体" w:cs="宋体"/>
          <w:color w:val="000000" w:themeColor="text1"/>
          <w:sz w:val="24"/>
          <w:szCs w:val="20"/>
          <w:highlight w:val="none"/>
          <w14:textFill>
            <w14:solidFill>
              <w14:schemeClr w14:val="tx1"/>
            </w14:solidFill>
          </w14:textFill>
        </w:rPr>
      </w:pPr>
    </w:p>
    <w:p w14:paraId="7EA37683">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570"/>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 xml:space="preserve">被授权人：                                 </w:t>
      </w:r>
      <w:r>
        <w:rPr>
          <w:rFonts w:hint="eastAsia" w:ascii="宋体" w:hAnsi="宋体" w:cs="宋体"/>
          <w:color w:val="000000" w:themeColor="text1"/>
          <w:sz w:val="24"/>
          <w:szCs w:val="20"/>
          <w:highlight w:val="none"/>
          <w:lang w:eastAsia="zh-CN"/>
          <w14:textFill>
            <w14:solidFill>
              <w14:schemeClr w14:val="tx1"/>
            </w14:solidFill>
          </w14:textFill>
        </w:rPr>
        <w:t>供应商</w:t>
      </w:r>
      <w:r>
        <w:rPr>
          <w:rFonts w:hint="eastAsia" w:ascii="宋体" w:hAnsi="宋体" w:eastAsia="宋体" w:cs="宋体"/>
          <w:color w:val="000000" w:themeColor="text1"/>
          <w:sz w:val="24"/>
          <w:szCs w:val="20"/>
          <w:highlight w:val="none"/>
          <w14:textFill>
            <w14:solidFill>
              <w14:schemeClr w14:val="tx1"/>
            </w14:solidFill>
          </w14:textFill>
        </w:rPr>
        <w:t>法定代表人：</w:t>
      </w:r>
    </w:p>
    <w:p w14:paraId="16922F7A">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57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（签署或盖章）                                （签署或盖章）</w:t>
      </w:r>
    </w:p>
    <w:p w14:paraId="4A7438A7">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570"/>
        <w:rPr>
          <w:rFonts w:hint="eastAsia" w:ascii="宋体" w:hAnsi="宋体" w:eastAsia="宋体" w:cs="宋体"/>
          <w:color w:val="000000" w:themeColor="text1"/>
          <w:sz w:val="24"/>
          <w:szCs w:val="20"/>
          <w:highlight w:val="none"/>
          <w14:textFill>
            <w14:solidFill>
              <w14:schemeClr w14:val="tx1"/>
            </w14:solidFill>
          </w14:textFill>
        </w:rPr>
      </w:pPr>
    </w:p>
    <w:p w14:paraId="22615301">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570"/>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（附：被授权人身份证正反面复印件）</w:t>
      </w:r>
    </w:p>
    <w:p w14:paraId="76AE9F90">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570"/>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 xml:space="preserve">                                          </w:t>
      </w:r>
    </w:p>
    <w:p w14:paraId="6C854ED8">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570"/>
        <w:rPr>
          <w:rFonts w:hint="eastAsia" w:ascii="宋体" w:hAnsi="宋体" w:eastAsia="宋体" w:cs="宋体"/>
          <w:color w:val="000000" w:themeColor="text1"/>
          <w:sz w:val="24"/>
          <w:szCs w:val="20"/>
          <w:highlight w:val="none"/>
          <w14:textFill>
            <w14:solidFill>
              <w14:schemeClr w14:val="tx1"/>
            </w14:solidFill>
          </w14:textFill>
        </w:rPr>
      </w:pPr>
    </w:p>
    <w:p w14:paraId="48309032">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right="480" w:firstLine="570"/>
        <w:jc w:val="right"/>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w:t>
      </w:r>
      <w:r>
        <w:rPr>
          <w:rFonts w:hint="eastAsia" w:ascii="宋体" w:hAnsi="宋体" w:cs="宋体"/>
          <w:color w:val="000000" w:themeColor="text1"/>
          <w:sz w:val="24"/>
          <w:szCs w:val="20"/>
          <w:highlight w:val="none"/>
          <w:lang w:eastAsia="zh-CN"/>
          <w14:textFill>
            <w14:solidFill>
              <w14:schemeClr w14:val="tx1"/>
            </w14:solidFill>
          </w14:textFill>
        </w:rPr>
        <w:t>供应商</w:t>
      </w:r>
      <w:r>
        <w:rPr>
          <w:rFonts w:hint="eastAsia" w:ascii="宋体" w:hAnsi="宋体" w:eastAsia="宋体" w:cs="宋体"/>
          <w:color w:val="000000" w:themeColor="text1"/>
          <w:sz w:val="24"/>
          <w:szCs w:val="20"/>
          <w:highlight w:val="none"/>
          <w14:textFill>
            <w14:solidFill>
              <w14:schemeClr w14:val="tx1"/>
            </w14:solidFill>
          </w14:textFill>
        </w:rPr>
        <w:t>公章）</w:t>
      </w:r>
    </w:p>
    <w:p w14:paraId="3373842C">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right="480" w:firstLine="570"/>
        <w:jc w:val="right"/>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年   月   日</w:t>
      </w:r>
    </w:p>
    <w:p w14:paraId="5C6FC8DF">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right="720" w:firstLine="570"/>
        <w:jc w:val="right"/>
        <w:rPr>
          <w:rFonts w:hint="eastAsia" w:ascii="宋体" w:hAnsi="宋体" w:eastAsia="宋体" w:cs="宋体"/>
          <w:color w:val="000000" w:themeColor="text1"/>
          <w:sz w:val="24"/>
          <w:szCs w:val="20"/>
          <w:highlight w:val="none"/>
          <w14:textFill>
            <w14:solidFill>
              <w14:schemeClr w14:val="tx1"/>
            </w14:solidFill>
          </w14:textFill>
        </w:rPr>
      </w:pPr>
    </w:p>
    <w:p w14:paraId="4E632EB3">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right="480" w:firstLine="570"/>
        <w:jc w:val="left"/>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被授权人电话：XXXXXXX     电子邮箱：XXXXXX@XXXXX（若法定代表人办理并签署</w:t>
      </w:r>
      <w:r>
        <w:rPr>
          <w:rFonts w:hint="eastAsia" w:ascii="宋体" w:hAnsi="宋体" w:cs="宋体"/>
          <w:color w:val="000000" w:themeColor="text1"/>
          <w:sz w:val="24"/>
          <w:szCs w:val="20"/>
          <w:highlight w:val="none"/>
          <w:lang w:eastAsia="zh-CN"/>
          <w14:textFill>
            <w14:solidFill>
              <w14:schemeClr w14:val="tx1"/>
            </w14:solidFill>
          </w14:textFill>
        </w:rPr>
        <w:t>响应文件</w:t>
      </w:r>
      <w:r>
        <w:rPr>
          <w:rFonts w:hint="eastAsia" w:ascii="宋体" w:hAnsi="宋体" w:eastAsia="宋体" w:cs="宋体"/>
          <w:color w:val="000000" w:themeColor="text1"/>
          <w:sz w:val="24"/>
          <w:szCs w:val="20"/>
          <w:highlight w:val="none"/>
          <w14:textFill>
            <w14:solidFill>
              <w14:schemeClr w14:val="tx1"/>
            </w14:solidFill>
          </w14:textFill>
        </w:rPr>
        <w:t>的可不填写）</w:t>
      </w:r>
    </w:p>
    <w:p w14:paraId="056BDA4B">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right="480" w:firstLine="570"/>
        <w:jc w:val="left"/>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注：</w:t>
      </w:r>
    </w:p>
    <w:p w14:paraId="6125A631">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right="480" w:firstLine="570"/>
        <w:jc w:val="left"/>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1.若为法定代表人办理并签署</w:t>
      </w:r>
      <w:r>
        <w:rPr>
          <w:rFonts w:hint="eastAsia" w:ascii="宋体" w:hAnsi="宋体" w:cs="宋体"/>
          <w:color w:val="000000" w:themeColor="text1"/>
          <w:sz w:val="24"/>
          <w:szCs w:val="20"/>
          <w:highlight w:val="none"/>
          <w:lang w:eastAsia="zh-CN"/>
          <w14:textFill>
            <w14:solidFill>
              <w14:schemeClr w14:val="tx1"/>
            </w14:solidFill>
          </w14:textFill>
        </w:rPr>
        <w:t>响应文件</w:t>
      </w:r>
      <w:r>
        <w:rPr>
          <w:rFonts w:hint="eastAsia" w:ascii="宋体" w:hAnsi="宋体" w:eastAsia="宋体" w:cs="宋体"/>
          <w:color w:val="000000" w:themeColor="text1"/>
          <w:sz w:val="24"/>
          <w:szCs w:val="20"/>
          <w:highlight w:val="none"/>
          <w14:textFill>
            <w14:solidFill>
              <w14:schemeClr w14:val="tx1"/>
            </w14:solidFill>
          </w14:textFill>
        </w:rPr>
        <w:t>的，不提供此文件。</w:t>
      </w:r>
    </w:p>
    <w:p w14:paraId="21F20087">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480" w:firstLineChars="200"/>
        <w:jc w:val="right"/>
        <w:rPr>
          <w:rFonts w:hint="eastAsia" w:ascii="宋体" w:hAnsi="宋体" w:eastAsia="宋体" w:cs="宋体"/>
          <w:color w:val="000000" w:themeColor="text1"/>
          <w:sz w:val="24"/>
          <w:szCs w:val="20"/>
          <w:highlight w:val="none"/>
          <w14:textFill>
            <w14:solidFill>
              <w14:schemeClr w14:val="tx1"/>
            </w14:solidFill>
          </w14:textFill>
        </w:rPr>
      </w:pPr>
    </w:p>
    <w:p w14:paraId="4C0B234C">
      <w:pPr>
        <w:keepNext w:val="0"/>
        <w:keepLines w:val="0"/>
        <w:pageBreakBefore w:val="0"/>
        <w:widowControl w:val="0"/>
        <w:kinsoku w:val="0"/>
        <w:wordWrap/>
        <w:topLinePunct w:val="0"/>
        <w:autoSpaceDE w:val="0"/>
        <w:autoSpaceDN w:val="0"/>
        <w:bidi w:val="0"/>
        <w:adjustRightInd w:val="0"/>
        <w:snapToGrid w:val="0"/>
        <w:spacing w:line="500" w:lineRule="exact"/>
        <w:ind w:firstLine="482" w:firstLineChars="200"/>
        <w:rPr>
          <w:rFonts w:hint="eastAsia" w:ascii="宋体" w:hAnsi="宋体" w:eastAsia="宋体" w:cs="宋体"/>
          <w:b/>
          <w:bCs/>
          <w:color w:val="000000" w:themeColor="text1"/>
          <w:sz w:val="24"/>
          <w:szCs w:val="28"/>
          <w:highlight w:val="none"/>
          <w:lang w:eastAsia="zh-CN"/>
          <w14:textFill>
            <w14:solidFill>
              <w14:schemeClr w14:val="tx1"/>
            </w14:solidFill>
          </w14:textFill>
        </w:rPr>
      </w:pPr>
      <w:bookmarkStart w:id="917" w:name="_Toc190689333"/>
      <w:bookmarkStart w:id="918" w:name="_Toc7115876"/>
      <w:bookmarkStart w:id="919" w:name="_Toc879"/>
      <w:r>
        <w:rPr>
          <w:rFonts w:hint="eastAsia" w:ascii="宋体" w:hAnsi="宋体" w:eastAsia="宋体" w:cs="宋体"/>
          <w:b/>
          <w:bCs/>
          <w:color w:val="000000" w:themeColor="text1"/>
          <w:sz w:val="24"/>
          <w:szCs w:val="28"/>
          <w:highlight w:val="none"/>
          <w:lang w:eastAsia="zh-CN"/>
          <w14:textFill>
            <w14:solidFill>
              <w14:schemeClr w14:val="tx1"/>
            </w14:solidFill>
          </w14:textFill>
        </w:rPr>
        <w:t>（</w:t>
      </w:r>
      <w:r>
        <w:rPr>
          <w:rFonts w:hint="eastAsia" w:ascii="宋体" w:hAnsi="宋体" w:eastAsia="宋体" w:cs="宋体"/>
          <w:b/>
          <w:bCs/>
          <w:color w:val="000000" w:themeColor="text1"/>
          <w:sz w:val="24"/>
          <w:szCs w:val="28"/>
          <w:highlight w:val="none"/>
          <w:lang w:val="en-US" w:eastAsia="zh-CN"/>
          <w14:textFill>
            <w14:solidFill>
              <w14:schemeClr w14:val="tx1"/>
            </w14:solidFill>
          </w14:textFill>
        </w:rPr>
        <w:t>四</w:t>
      </w:r>
      <w:r>
        <w:rPr>
          <w:rFonts w:hint="eastAsia" w:ascii="宋体" w:hAnsi="宋体" w:eastAsia="宋体" w:cs="宋体"/>
          <w:b/>
          <w:bCs/>
          <w:color w:val="000000" w:themeColor="text1"/>
          <w:sz w:val="24"/>
          <w:szCs w:val="28"/>
          <w:highlight w:val="none"/>
          <w:lang w:eastAsia="zh-CN"/>
          <w14:textFill>
            <w14:solidFill>
              <w14:schemeClr w14:val="tx1"/>
            </w14:solidFill>
          </w14:textFill>
        </w:rPr>
        <w:t>）基本资格条件承诺函</w:t>
      </w:r>
    </w:p>
    <w:p w14:paraId="60F24FE4">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570"/>
        <w:jc w:val="center"/>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基本资格条件承诺函</w:t>
      </w:r>
    </w:p>
    <w:p w14:paraId="36F28338">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570"/>
        <w:rPr>
          <w:rFonts w:hint="eastAsia" w:ascii="宋体" w:hAnsi="宋体" w:eastAsia="宋体" w:cs="宋体"/>
          <w:color w:val="000000" w:themeColor="text1"/>
          <w:sz w:val="24"/>
          <w:szCs w:val="20"/>
          <w:highlight w:val="none"/>
          <w14:textFill>
            <w14:solidFill>
              <w14:schemeClr w14:val="tx1"/>
            </w14:solidFill>
          </w14:textFill>
        </w:rPr>
      </w:pPr>
    </w:p>
    <w:p w14:paraId="6A6116B7">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570"/>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致</w:t>
      </w:r>
      <w:r>
        <w:rPr>
          <w:rFonts w:hint="eastAsia" w:ascii="宋体" w:hAnsi="宋体" w:eastAsia="宋体" w:cs="宋体"/>
          <w:color w:val="000000" w:themeColor="text1"/>
          <w:sz w:val="24"/>
          <w:szCs w:val="20"/>
          <w:highlight w:val="none"/>
          <w:u w:val="single"/>
          <w14:textFill>
            <w14:solidFill>
              <w14:schemeClr w14:val="tx1"/>
            </w14:solidFill>
          </w14:textFill>
        </w:rPr>
        <w:t xml:space="preserve">                   </w:t>
      </w:r>
      <w:r>
        <w:rPr>
          <w:rFonts w:hint="eastAsia" w:ascii="宋体" w:hAnsi="宋体" w:eastAsia="宋体" w:cs="宋体"/>
          <w:color w:val="000000" w:themeColor="text1"/>
          <w:sz w:val="24"/>
          <w:szCs w:val="20"/>
          <w:highlight w:val="none"/>
          <w14:textFill>
            <w14:solidFill>
              <w14:schemeClr w14:val="tx1"/>
            </w14:solidFill>
          </w14:textFill>
        </w:rPr>
        <w:t>（采购</w:t>
      </w:r>
      <w:r>
        <w:rPr>
          <w:rFonts w:hint="eastAsia" w:ascii="宋体" w:hAnsi="宋体" w:eastAsia="宋体" w:cs="宋体"/>
          <w:color w:val="000000" w:themeColor="text1"/>
          <w:sz w:val="24"/>
          <w:szCs w:val="20"/>
          <w:highlight w:val="none"/>
          <w:lang w:val="en-US" w:eastAsia="zh-CN"/>
          <w14:textFill>
            <w14:solidFill>
              <w14:schemeClr w14:val="tx1"/>
            </w14:solidFill>
          </w14:textFill>
        </w:rPr>
        <w:t>人</w:t>
      </w:r>
      <w:r>
        <w:rPr>
          <w:rFonts w:hint="eastAsia" w:ascii="宋体" w:hAnsi="宋体" w:eastAsia="宋体" w:cs="宋体"/>
          <w:color w:val="000000" w:themeColor="text1"/>
          <w:sz w:val="24"/>
          <w:szCs w:val="20"/>
          <w:highlight w:val="none"/>
          <w14:textFill>
            <w14:solidFill>
              <w14:schemeClr w14:val="tx1"/>
            </w14:solidFill>
          </w14:textFill>
        </w:rPr>
        <w:t>名称）：</w:t>
      </w:r>
    </w:p>
    <w:p w14:paraId="7F3F8C86">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570"/>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u w:val="single"/>
          <w14:textFill>
            <w14:solidFill>
              <w14:schemeClr w14:val="tx1"/>
            </w14:solidFill>
          </w14:textFill>
        </w:rPr>
        <w:t xml:space="preserve">               </w:t>
      </w:r>
      <w:r>
        <w:rPr>
          <w:rFonts w:hint="eastAsia" w:ascii="宋体" w:hAnsi="宋体" w:eastAsia="宋体" w:cs="宋体"/>
          <w:color w:val="000000" w:themeColor="text1"/>
          <w:sz w:val="24"/>
          <w:szCs w:val="20"/>
          <w:highlight w:val="none"/>
          <w14:textFill>
            <w14:solidFill>
              <w14:schemeClr w14:val="tx1"/>
            </w14:solidFill>
          </w14:textFill>
        </w:rPr>
        <w:t>（供应商名称）郑重承诺：</w:t>
      </w:r>
    </w:p>
    <w:p w14:paraId="065859AF">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570"/>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1.我方具有良好的商业信誉和健全的财务会计制度，具有履行合同所必需的设备和专业技术能力，具</w:t>
      </w:r>
      <w:r>
        <w:rPr>
          <w:rFonts w:hint="eastAsia" w:ascii="宋体" w:hAnsi="宋体" w:eastAsia="宋体" w:cs="宋体"/>
          <w:color w:val="000000" w:themeColor="text1"/>
          <w:sz w:val="24"/>
          <w:szCs w:val="20"/>
          <w:highlight w:val="none"/>
          <w:lang w:val="zh-CN"/>
          <w14:textFill>
            <w14:solidFill>
              <w14:schemeClr w14:val="tx1"/>
            </w14:solidFill>
          </w14:textFill>
        </w:rPr>
        <w:t>有依法缴纳税收和社会保障金的良好记录</w:t>
      </w:r>
      <w:r>
        <w:rPr>
          <w:rFonts w:hint="eastAsia" w:ascii="宋体" w:hAnsi="宋体" w:eastAsia="宋体" w:cs="宋体"/>
          <w:color w:val="000000" w:themeColor="text1"/>
          <w:sz w:val="24"/>
          <w:szCs w:val="20"/>
          <w:highlight w:val="none"/>
          <w14:textFill>
            <w14:solidFill>
              <w14:schemeClr w14:val="tx1"/>
            </w14:solidFill>
          </w14:textFill>
        </w:rPr>
        <w:t>，参加本项目采购活动前三年内无重大违法活动记录。</w:t>
      </w:r>
    </w:p>
    <w:p w14:paraId="269953A2">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570"/>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2.我方未列入在信用中国网站（www.creditchina.gov.cn）“失信被执行人”、“重大税收违法案件当事人名单”中，也未列入中国政府采购网（www.ccgp.gov.cn）“政府采购严重违法失信行为记录名单”中。</w:t>
      </w:r>
    </w:p>
    <w:p w14:paraId="6AA35B41">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570"/>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3.我方在采购项目评审（评标）环节结束后，随时接受采购人、采购代理机构的检查验证，配合提供相关证明材料，证明符合《中华人民共和国政府采购法》规定的供应商基本资格条件。</w:t>
      </w:r>
    </w:p>
    <w:p w14:paraId="238110E1">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570"/>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我方对以上承诺负全部法律责任。</w:t>
      </w:r>
    </w:p>
    <w:p w14:paraId="5E09F48D">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570"/>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特此承诺。</w:t>
      </w:r>
    </w:p>
    <w:p w14:paraId="3BD7F09F">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570"/>
        <w:rPr>
          <w:rFonts w:hint="eastAsia" w:ascii="宋体" w:hAnsi="宋体" w:eastAsia="宋体" w:cs="宋体"/>
          <w:color w:val="000000" w:themeColor="text1"/>
          <w:sz w:val="24"/>
          <w:szCs w:val="20"/>
          <w:highlight w:val="none"/>
          <w14:textFill>
            <w14:solidFill>
              <w14:schemeClr w14:val="tx1"/>
            </w14:solidFill>
          </w14:textFill>
        </w:rPr>
      </w:pPr>
    </w:p>
    <w:p w14:paraId="331872DD">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570"/>
        <w:rPr>
          <w:rFonts w:hint="eastAsia" w:ascii="宋体" w:hAnsi="宋体" w:eastAsia="宋体" w:cs="宋体"/>
          <w:color w:val="000000" w:themeColor="text1"/>
          <w:sz w:val="24"/>
          <w:szCs w:val="20"/>
          <w:highlight w:val="none"/>
          <w14:textFill>
            <w14:solidFill>
              <w14:schemeClr w14:val="tx1"/>
            </w14:solidFill>
          </w14:textFill>
        </w:rPr>
      </w:pPr>
    </w:p>
    <w:p w14:paraId="0F923FAE">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570"/>
        <w:jc w:val="right"/>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（供应商公章）</w:t>
      </w:r>
    </w:p>
    <w:p w14:paraId="446B706C">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570"/>
        <w:jc w:val="right"/>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 xml:space="preserve">年   月  </w:t>
      </w:r>
      <w:r>
        <w:rPr>
          <w:rFonts w:hint="eastAsia" w:ascii="宋体" w:hAnsi="宋体" w:cs="宋体"/>
          <w:color w:val="000000" w:themeColor="text1"/>
          <w:sz w:val="24"/>
          <w:szCs w:val="20"/>
          <w:highlight w:val="none"/>
          <w:lang w:val="en-US" w:eastAsia="zh-CN"/>
          <w14:textFill>
            <w14:solidFill>
              <w14:schemeClr w14:val="tx1"/>
            </w14:solidFill>
          </w14:textFill>
        </w:rPr>
        <w:t>日</w:t>
      </w:r>
      <w:r>
        <w:rPr>
          <w:rFonts w:hint="eastAsia" w:ascii="宋体" w:hAnsi="宋体" w:eastAsia="宋体" w:cs="宋体"/>
          <w:color w:val="000000" w:themeColor="text1"/>
          <w:sz w:val="24"/>
          <w:szCs w:val="20"/>
          <w:highlight w:val="none"/>
          <w14:textFill>
            <w14:solidFill>
              <w14:schemeClr w14:val="tx1"/>
            </w14:solidFill>
          </w14:textFill>
        </w:rPr>
        <w:br w:type="page"/>
      </w:r>
    </w:p>
    <w:p w14:paraId="6828926C">
      <w:pPr>
        <w:pStyle w:val="6"/>
        <w:spacing w:before="0" w:after="0" w:line="360" w:lineRule="auto"/>
        <w:rPr>
          <w:rFonts w:ascii="宋体" w:hAnsi="宋体" w:cs="宋体"/>
          <w:color w:val="auto"/>
          <w:sz w:val="28"/>
          <w:szCs w:val="28"/>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rPr>
        <w:t>供应商</w:t>
      </w:r>
      <w:r>
        <w:rPr>
          <w:rFonts w:hint="eastAsia" w:ascii="宋体" w:hAnsi="宋体" w:eastAsia="宋体" w:cs="宋体"/>
          <w:color w:val="auto"/>
          <w:sz w:val="24"/>
          <w:szCs w:val="24"/>
          <w:highlight w:val="none"/>
        </w:rPr>
        <w:t>基本情况表</w:t>
      </w:r>
      <w:bookmarkEnd w:id="917"/>
      <w:bookmarkEnd w:id="918"/>
      <w:bookmarkEnd w:id="919"/>
    </w:p>
    <w:tbl>
      <w:tblPr>
        <w:tblStyle w:val="14"/>
        <w:tblW w:w="8568" w:type="dxa"/>
        <w:jc w:val="center"/>
        <w:tblLayout w:type="fixed"/>
        <w:tblCellMar>
          <w:top w:w="0" w:type="dxa"/>
          <w:left w:w="0" w:type="dxa"/>
          <w:bottom w:w="0" w:type="dxa"/>
          <w:right w:w="0" w:type="dxa"/>
        </w:tblCellMar>
      </w:tblPr>
      <w:tblGrid>
        <w:gridCol w:w="1728"/>
        <w:gridCol w:w="898"/>
        <w:gridCol w:w="951"/>
        <w:gridCol w:w="840"/>
        <w:gridCol w:w="516"/>
        <w:gridCol w:w="112"/>
        <w:gridCol w:w="1181"/>
        <w:gridCol w:w="491"/>
        <w:gridCol w:w="859"/>
        <w:gridCol w:w="992"/>
      </w:tblGrid>
      <w:tr w14:paraId="504C1CB3">
        <w:tblPrEx>
          <w:tblCellMar>
            <w:top w:w="0" w:type="dxa"/>
            <w:left w:w="0" w:type="dxa"/>
            <w:bottom w:w="0" w:type="dxa"/>
            <w:right w:w="0" w:type="dxa"/>
          </w:tblCellMar>
        </w:tblPrEx>
        <w:trPr>
          <w:trHeight w:val="789" w:hRule="exact"/>
          <w:jc w:val="center"/>
        </w:trPr>
        <w:tc>
          <w:tcPr>
            <w:tcW w:w="1728" w:type="dxa"/>
            <w:tcBorders>
              <w:top w:val="single" w:color="000000" w:sz="4" w:space="0"/>
              <w:left w:val="single" w:color="000000" w:sz="4" w:space="0"/>
              <w:bottom w:val="single" w:color="000000" w:sz="4" w:space="0"/>
              <w:right w:val="single" w:color="000000" w:sz="4" w:space="0"/>
            </w:tcBorders>
            <w:vAlign w:val="center"/>
          </w:tcPr>
          <w:p w14:paraId="49519F5C">
            <w:pPr>
              <w:autoSpaceDE w:val="0"/>
              <w:autoSpaceDN w:val="0"/>
              <w:adjustRightInd w:val="0"/>
              <w:snapToGrid w:val="0"/>
              <w:spacing w:line="360" w:lineRule="auto"/>
              <w:rPr>
                <w:rFonts w:ascii="宋体" w:hAnsi="宋体" w:cs="宋体"/>
                <w:color w:val="auto"/>
                <w:kern w:val="0"/>
                <w:sz w:val="21"/>
                <w:szCs w:val="21"/>
                <w:highlight w:val="none"/>
              </w:rPr>
            </w:pPr>
            <w:bookmarkStart w:id="920" w:name="_Toc209605700"/>
            <w:r>
              <w:rPr>
                <w:rFonts w:hint="eastAsia" w:ascii="宋体" w:hAnsi="宋体" w:cs="宋体"/>
                <w:color w:val="auto"/>
                <w:kern w:val="0"/>
                <w:sz w:val="21"/>
                <w:szCs w:val="21"/>
                <w:highlight w:val="none"/>
              </w:rPr>
              <w:t>供应商</w:t>
            </w:r>
            <w:r>
              <w:rPr>
                <w:rFonts w:hint="eastAsia" w:ascii="宋体" w:hAnsi="宋体" w:eastAsia="宋体" w:cs="宋体"/>
                <w:color w:val="auto"/>
                <w:kern w:val="0"/>
                <w:sz w:val="21"/>
                <w:szCs w:val="21"/>
                <w:highlight w:val="none"/>
              </w:rPr>
              <w:t>名称</w:t>
            </w:r>
          </w:p>
        </w:tc>
        <w:tc>
          <w:tcPr>
            <w:tcW w:w="6840" w:type="dxa"/>
            <w:gridSpan w:val="9"/>
            <w:tcBorders>
              <w:top w:val="single" w:color="000000" w:sz="4" w:space="0"/>
              <w:left w:val="single" w:color="000000" w:sz="4" w:space="0"/>
              <w:bottom w:val="single" w:color="000000" w:sz="4" w:space="0"/>
              <w:right w:val="single" w:color="000000" w:sz="4" w:space="0"/>
            </w:tcBorders>
            <w:vAlign w:val="center"/>
          </w:tcPr>
          <w:p w14:paraId="2395ACCB">
            <w:pPr>
              <w:autoSpaceDE w:val="0"/>
              <w:autoSpaceDN w:val="0"/>
              <w:adjustRightInd w:val="0"/>
              <w:snapToGrid w:val="0"/>
              <w:spacing w:line="360" w:lineRule="auto"/>
              <w:rPr>
                <w:rFonts w:ascii="宋体" w:hAnsi="宋体" w:cs="宋体"/>
                <w:color w:val="auto"/>
                <w:kern w:val="0"/>
                <w:sz w:val="21"/>
                <w:szCs w:val="21"/>
                <w:highlight w:val="none"/>
              </w:rPr>
            </w:pPr>
          </w:p>
        </w:tc>
      </w:tr>
      <w:tr w14:paraId="7F8A1123">
        <w:tblPrEx>
          <w:tblCellMar>
            <w:top w:w="0" w:type="dxa"/>
            <w:left w:w="0" w:type="dxa"/>
            <w:bottom w:w="0" w:type="dxa"/>
            <w:right w:w="0" w:type="dxa"/>
          </w:tblCellMar>
        </w:tblPrEx>
        <w:trPr>
          <w:trHeight w:val="771" w:hRule="exact"/>
          <w:jc w:val="center"/>
        </w:trPr>
        <w:tc>
          <w:tcPr>
            <w:tcW w:w="1728" w:type="dxa"/>
            <w:tcBorders>
              <w:top w:val="single" w:color="000000" w:sz="4" w:space="0"/>
              <w:left w:val="single" w:color="000000" w:sz="4" w:space="0"/>
              <w:bottom w:val="single" w:color="000000" w:sz="4" w:space="0"/>
              <w:right w:val="single" w:color="000000" w:sz="4" w:space="0"/>
            </w:tcBorders>
            <w:vAlign w:val="center"/>
          </w:tcPr>
          <w:p w14:paraId="1756F417">
            <w:pPr>
              <w:autoSpaceDE w:val="0"/>
              <w:autoSpaceDN w:val="0"/>
              <w:adjustRightInd w:val="0"/>
              <w:snapToGrid w:val="0"/>
              <w:spacing w:line="360" w:lineRule="auto"/>
              <w:rPr>
                <w:rFonts w:ascii="宋体" w:hAnsi="宋体" w:cs="宋体"/>
                <w:color w:val="auto"/>
                <w:kern w:val="0"/>
                <w:sz w:val="21"/>
                <w:szCs w:val="21"/>
                <w:highlight w:val="none"/>
              </w:rPr>
            </w:pPr>
            <w:r>
              <w:rPr>
                <w:rFonts w:hint="eastAsia" w:ascii="宋体" w:hAnsi="宋体" w:eastAsia="宋体" w:cs="宋体"/>
                <w:color w:val="auto"/>
                <w:kern w:val="0"/>
                <w:sz w:val="21"/>
                <w:szCs w:val="21"/>
                <w:highlight w:val="none"/>
              </w:rPr>
              <w:t>注册地址</w:t>
            </w:r>
          </w:p>
        </w:tc>
        <w:tc>
          <w:tcPr>
            <w:tcW w:w="3205" w:type="dxa"/>
            <w:gridSpan w:val="4"/>
            <w:tcBorders>
              <w:top w:val="single" w:color="000000" w:sz="4" w:space="0"/>
              <w:left w:val="single" w:color="000000" w:sz="4" w:space="0"/>
              <w:bottom w:val="single" w:color="000000" w:sz="4" w:space="0"/>
              <w:right w:val="single" w:color="000000" w:sz="4" w:space="0"/>
            </w:tcBorders>
            <w:vAlign w:val="center"/>
          </w:tcPr>
          <w:p w14:paraId="717C8F2B">
            <w:pPr>
              <w:autoSpaceDE w:val="0"/>
              <w:autoSpaceDN w:val="0"/>
              <w:adjustRightInd w:val="0"/>
              <w:snapToGrid w:val="0"/>
              <w:spacing w:line="360" w:lineRule="auto"/>
              <w:ind w:firstLine="1381" w:firstLineChars="658"/>
              <w:jc w:val="center"/>
              <w:rPr>
                <w:rFonts w:ascii="宋体" w:hAnsi="宋体" w:cs="宋体"/>
                <w:color w:val="auto"/>
                <w:kern w:val="0"/>
                <w:sz w:val="21"/>
                <w:szCs w:val="21"/>
                <w:highlight w:val="none"/>
              </w:rPr>
            </w:pPr>
          </w:p>
        </w:tc>
        <w:tc>
          <w:tcPr>
            <w:tcW w:w="1293" w:type="dxa"/>
            <w:gridSpan w:val="2"/>
            <w:tcBorders>
              <w:top w:val="single" w:color="000000" w:sz="4" w:space="0"/>
              <w:left w:val="single" w:color="000000" w:sz="4" w:space="0"/>
              <w:bottom w:val="single" w:color="000000" w:sz="4" w:space="0"/>
              <w:right w:val="single" w:color="000000" w:sz="4" w:space="0"/>
            </w:tcBorders>
            <w:vAlign w:val="center"/>
          </w:tcPr>
          <w:p w14:paraId="08C156F9">
            <w:pPr>
              <w:autoSpaceDE w:val="0"/>
              <w:autoSpaceDN w:val="0"/>
              <w:adjustRightInd w:val="0"/>
              <w:snapToGrid w:val="0"/>
              <w:spacing w:line="360" w:lineRule="auto"/>
              <w:rPr>
                <w:rFonts w:ascii="宋体" w:hAnsi="宋体" w:cs="宋体"/>
                <w:color w:val="auto"/>
                <w:kern w:val="0"/>
                <w:sz w:val="21"/>
                <w:szCs w:val="21"/>
                <w:highlight w:val="none"/>
              </w:rPr>
            </w:pPr>
            <w:r>
              <w:rPr>
                <w:rFonts w:hint="eastAsia" w:ascii="宋体" w:hAnsi="宋体" w:eastAsia="宋体" w:cs="宋体"/>
                <w:color w:val="auto"/>
                <w:kern w:val="0"/>
                <w:sz w:val="21"/>
                <w:szCs w:val="21"/>
                <w:highlight w:val="none"/>
              </w:rPr>
              <w:t>邮政编码</w:t>
            </w: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14:paraId="1FB3CEA8">
            <w:pPr>
              <w:autoSpaceDE w:val="0"/>
              <w:autoSpaceDN w:val="0"/>
              <w:adjustRightInd w:val="0"/>
              <w:snapToGrid w:val="0"/>
              <w:spacing w:line="360" w:lineRule="auto"/>
              <w:ind w:firstLine="1381" w:firstLineChars="658"/>
              <w:jc w:val="center"/>
              <w:rPr>
                <w:rFonts w:ascii="宋体" w:hAnsi="宋体" w:cs="宋体"/>
                <w:color w:val="auto"/>
                <w:kern w:val="0"/>
                <w:sz w:val="21"/>
                <w:szCs w:val="21"/>
                <w:highlight w:val="none"/>
              </w:rPr>
            </w:pPr>
          </w:p>
        </w:tc>
      </w:tr>
      <w:tr w14:paraId="190627C5">
        <w:tblPrEx>
          <w:tblCellMar>
            <w:top w:w="0" w:type="dxa"/>
            <w:left w:w="0" w:type="dxa"/>
            <w:bottom w:w="0" w:type="dxa"/>
            <w:right w:w="0" w:type="dxa"/>
          </w:tblCellMar>
        </w:tblPrEx>
        <w:trPr>
          <w:cantSplit/>
          <w:trHeight w:val="625" w:hRule="exact"/>
          <w:jc w:val="center"/>
        </w:trPr>
        <w:tc>
          <w:tcPr>
            <w:tcW w:w="1728" w:type="dxa"/>
            <w:vMerge w:val="restart"/>
            <w:tcBorders>
              <w:top w:val="single" w:color="000000" w:sz="4" w:space="0"/>
              <w:left w:val="single" w:color="000000" w:sz="4" w:space="0"/>
              <w:bottom w:val="single" w:color="000000" w:sz="4" w:space="0"/>
              <w:right w:val="single" w:color="000000" w:sz="4" w:space="0"/>
            </w:tcBorders>
            <w:vAlign w:val="center"/>
          </w:tcPr>
          <w:p w14:paraId="184DCD21">
            <w:pPr>
              <w:autoSpaceDE w:val="0"/>
              <w:autoSpaceDN w:val="0"/>
              <w:adjustRightInd w:val="0"/>
              <w:snapToGrid w:val="0"/>
              <w:spacing w:line="360" w:lineRule="auto"/>
              <w:rPr>
                <w:rFonts w:ascii="宋体" w:hAnsi="宋体" w:cs="宋体"/>
                <w:color w:val="auto"/>
                <w:kern w:val="0"/>
                <w:sz w:val="21"/>
                <w:szCs w:val="21"/>
                <w:highlight w:val="none"/>
              </w:rPr>
            </w:pPr>
            <w:r>
              <w:rPr>
                <w:rFonts w:hint="eastAsia" w:ascii="宋体" w:hAnsi="宋体" w:eastAsia="宋体" w:cs="宋体"/>
                <w:color w:val="auto"/>
                <w:kern w:val="0"/>
                <w:sz w:val="21"/>
                <w:szCs w:val="21"/>
                <w:highlight w:val="none"/>
              </w:rPr>
              <w:t>联系方式</w:t>
            </w:r>
          </w:p>
        </w:tc>
        <w:tc>
          <w:tcPr>
            <w:tcW w:w="898" w:type="dxa"/>
            <w:tcBorders>
              <w:top w:val="single" w:color="000000" w:sz="4" w:space="0"/>
              <w:left w:val="single" w:color="000000" w:sz="4" w:space="0"/>
              <w:bottom w:val="single" w:color="000000" w:sz="4" w:space="0"/>
              <w:right w:val="single" w:color="000000" w:sz="4" w:space="0"/>
            </w:tcBorders>
            <w:vAlign w:val="center"/>
          </w:tcPr>
          <w:p w14:paraId="751B88B3">
            <w:pPr>
              <w:autoSpaceDE w:val="0"/>
              <w:autoSpaceDN w:val="0"/>
              <w:adjustRightInd w:val="0"/>
              <w:snapToGrid w:val="0"/>
              <w:spacing w:line="360" w:lineRule="auto"/>
              <w:rPr>
                <w:rFonts w:ascii="宋体" w:hAnsi="宋体" w:cs="宋体"/>
                <w:color w:val="auto"/>
                <w:kern w:val="0"/>
                <w:sz w:val="21"/>
                <w:szCs w:val="21"/>
                <w:highlight w:val="none"/>
              </w:rPr>
            </w:pPr>
            <w:r>
              <w:rPr>
                <w:rFonts w:hint="eastAsia" w:ascii="宋体" w:hAnsi="宋体" w:eastAsia="宋体" w:cs="宋体"/>
                <w:color w:val="auto"/>
                <w:kern w:val="0"/>
                <w:sz w:val="21"/>
                <w:szCs w:val="21"/>
                <w:highlight w:val="none"/>
              </w:rPr>
              <w:t>联系人</w:t>
            </w:r>
          </w:p>
        </w:tc>
        <w:tc>
          <w:tcPr>
            <w:tcW w:w="2307" w:type="dxa"/>
            <w:gridSpan w:val="3"/>
            <w:tcBorders>
              <w:top w:val="single" w:color="000000" w:sz="4" w:space="0"/>
              <w:left w:val="single" w:color="000000" w:sz="4" w:space="0"/>
              <w:bottom w:val="single" w:color="000000" w:sz="4" w:space="0"/>
              <w:right w:val="single" w:color="000000" w:sz="4" w:space="0"/>
            </w:tcBorders>
            <w:vAlign w:val="center"/>
          </w:tcPr>
          <w:p w14:paraId="0F14F361">
            <w:pPr>
              <w:autoSpaceDE w:val="0"/>
              <w:autoSpaceDN w:val="0"/>
              <w:adjustRightInd w:val="0"/>
              <w:snapToGrid w:val="0"/>
              <w:spacing w:line="360" w:lineRule="auto"/>
              <w:ind w:firstLine="1381" w:firstLineChars="658"/>
              <w:jc w:val="center"/>
              <w:rPr>
                <w:rFonts w:ascii="宋体" w:hAnsi="宋体" w:cs="宋体"/>
                <w:color w:val="auto"/>
                <w:kern w:val="0"/>
                <w:sz w:val="21"/>
                <w:szCs w:val="21"/>
                <w:highlight w:val="none"/>
              </w:rPr>
            </w:pPr>
          </w:p>
        </w:tc>
        <w:tc>
          <w:tcPr>
            <w:tcW w:w="1293" w:type="dxa"/>
            <w:gridSpan w:val="2"/>
            <w:tcBorders>
              <w:top w:val="single" w:color="000000" w:sz="4" w:space="0"/>
              <w:left w:val="single" w:color="000000" w:sz="4" w:space="0"/>
              <w:bottom w:val="single" w:color="000000" w:sz="4" w:space="0"/>
              <w:right w:val="single" w:color="000000" w:sz="4" w:space="0"/>
            </w:tcBorders>
            <w:vAlign w:val="center"/>
          </w:tcPr>
          <w:p w14:paraId="348126D8">
            <w:pPr>
              <w:autoSpaceDE w:val="0"/>
              <w:autoSpaceDN w:val="0"/>
              <w:adjustRightInd w:val="0"/>
              <w:snapToGrid w:val="0"/>
              <w:spacing w:line="360" w:lineRule="auto"/>
              <w:rPr>
                <w:rFonts w:ascii="宋体" w:hAnsi="宋体" w:cs="宋体"/>
                <w:color w:val="auto"/>
                <w:kern w:val="0"/>
                <w:sz w:val="21"/>
                <w:szCs w:val="21"/>
                <w:highlight w:val="none"/>
              </w:rPr>
            </w:pPr>
            <w:r>
              <w:rPr>
                <w:rFonts w:hint="eastAsia" w:ascii="宋体" w:hAnsi="宋体" w:eastAsia="宋体" w:cs="宋体"/>
                <w:color w:val="auto"/>
                <w:kern w:val="0"/>
                <w:sz w:val="21"/>
                <w:szCs w:val="21"/>
                <w:highlight w:val="none"/>
              </w:rPr>
              <w:t>电话</w:t>
            </w: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14:paraId="65A55E48">
            <w:pPr>
              <w:autoSpaceDE w:val="0"/>
              <w:autoSpaceDN w:val="0"/>
              <w:adjustRightInd w:val="0"/>
              <w:snapToGrid w:val="0"/>
              <w:spacing w:line="360" w:lineRule="auto"/>
              <w:ind w:firstLine="1381" w:firstLineChars="658"/>
              <w:jc w:val="center"/>
              <w:rPr>
                <w:rFonts w:ascii="宋体" w:hAnsi="宋体" w:cs="宋体"/>
                <w:color w:val="auto"/>
                <w:kern w:val="0"/>
                <w:sz w:val="21"/>
                <w:szCs w:val="21"/>
                <w:highlight w:val="none"/>
              </w:rPr>
            </w:pPr>
          </w:p>
        </w:tc>
      </w:tr>
      <w:tr w14:paraId="1F8F9FD3">
        <w:tblPrEx>
          <w:tblCellMar>
            <w:top w:w="0" w:type="dxa"/>
            <w:left w:w="0" w:type="dxa"/>
            <w:bottom w:w="0" w:type="dxa"/>
            <w:right w:w="0" w:type="dxa"/>
          </w:tblCellMar>
        </w:tblPrEx>
        <w:trPr>
          <w:cantSplit/>
          <w:trHeight w:val="618" w:hRule="exact"/>
          <w:jc w:val="center"/>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14:paraId="5CAEEB2E">
            <w:pPr>
              <w:autoSpaceDE w:val="0"/>
              <w:autoSpaceDN w:val="0"/>
              <w:adjustRightInd w:val="0"/>
              <w:snapToGrid w:val="0"/>
              <w:spacing w:line="360" w:lineRule="auto"/>
              <w:ind w:firstLine="1381" w:firstLineChars="658"/>
              <w:jc w:val="center"/>
              <w:rPr>
                <w:rFonts w:ascii="宋体" w:hAnsi="宋体" w:cs="宋体"/>
                <w:color w:val="auto"/>
                <w:kern w:val="0"/>
                <w:sz w:val="21"/>
                <w:szCs w:val="21"/>
                <w:highlight w:val="none"/>
              </w:rPr>
            </w:pPr>
          </w:p>
        </w:tc>
        <w:tc>
          <w:tcPr>
            <w:tcW w:w="898" w:type="dxa"/>
            <w:tcBorders>
              <w:top w:val="single" w:color="000000" w:sz="4" w:space="0"/>
              <w:left w:val="single" w:color="000000" w:sz="4" w:space="0"/>
              <w:bottom w:val="single" w:color="000000" w:sz="4" w:space="0"/>
              <w:right w:val="single" w:color="000000" w:sz="4" w:space="0"/>
            </w:tcBorders>
            <w:vAlign w:val="center"/>
          </w:tcPr>
          <w:p w14:paraId="481ABFDB">
            <w:pPr>
              <w:tabs>
                <w:tab w:val="left" w:pos="540"/>
              </w:tabs>
              <w:autoSpaceDE w:val="0"/>
              <w:autoSpaceDN w:val="0"/>
              <w:adjustRightInd w:val="0"/>
              <w:snapToGrid w:val="0"/>
              <w:spacing w:line="360" w:lineRule="auto"/>
              <w:rPr>
                <w:rFonts w:ascii="宋体" w:hAnsi="宋体" w:cs="宋体"/>
                <w:color w:val="auto"/>
                <w:kern w:val="0"/>
                <w:sz w:val="21"/>
                <w:szCs w:val="21"/>
                <w:highlight w:val="none"/>
              </w:rPr>
            </w:pPr>
            <w:r>
              <w:rPr>
                <w:rFonts w:hint="eastAsia" w:ascii="宋体" w:hAnsi="宋体" w:eastAsia="宋体" w:cs="宋体"/>
                <w:color w:val="auto"/>
                <w:kern w:val="0"/>
                <w:sz w:val="21"/>
                <w:szCs w:val="21"/>
                <w:highlight w:val="none"/>
              </w:rPr>
              <w:t>传</w:t>
            </w:r>
            <w:r>
              <w:rPr>
                <w:rFonts w:hint="eastAsia" w:ascii="宋体" w:hAnsi="宋体" w:eastAsia="宋体" w:cs="宋体"/>
                <w:color w:val="auto"/>
                <w:kern w:val="0"/>
                <w:sz w:val="21"/>
                <w:szCs w:val="21"/>
                <w:highlight w:val="none"/>
              </w:rPr>
              <w:tab/>
            </w:r>
            <w:r>
              <w:rPr>
                <w:rFonts w:hint="eastAsia" w:ascii="宋体" w:hAnsi="宋体" w:eastAsia="宋体" w:cs="宋体"/>
                <w:color w:val="auto"/>
                <w:kern w:val="0"/>
                <w:sz w:val="21"/>
                <w:szCs w:val="21"/>
                <w:highlight w:val="none"/>
              </w:rPr>
              <w:t>真</w:t>
            </w:r>
          </w:p>
        </w:tc>
        <w:tc>
          <w:tcPr>
            <w:tcW w:w="2307" w:type="dxa"/>
            <w:gridSpan w:val="3"/>
            <w:tcBorders>
              <w:top w:val="single" w:color="000000" w:sz="4" w:space="0"/>
              <w:left w:val="single" w:color="000000" w:sz="4" w:space="0"/>
              <w:bottom w:val="single" w:color="000000" w:sz="4" w:space="0"/>
              <w:right w:val="single" w:color="000000" w:sz="4" w:space="0"/>
            </w:tcBorders>
            <w:vAlign w:val="center"/>
          </w:tcPr>
          <w:p w14:paraId="3B4B8A19">
            <w:pPr>
              <w:autoSpaceDE w:val="0"/>
              <w:autoSpaceDN w:val="0"/>
              <w:adjustRightInd w:val="0"/>
              <w:snapToGrid w:val="0"/>
              <w:spacing w:line="360" w:lineRule="auto"/>
              <w:ind w:firstLine="1381" w:firstLineChars="658"/>
              <w:jc w:val="center"/>
              <w:rPr>
                <w:rFonts w:ascii="宋体" w:hAnsi="宋体" w:cs="宋体"/>
                <w:color w:val="auto"/>
                <w:kern w:val="0"/>
                <w:sz w:val="21"/>
                <w:szCs w:val="21"/>
                <w:highlight w:val="none"/>
              </w:rPr>
            </w:pPr>
          </w:p>
        </w:tc>
        <w:tc>
          <w:tcPr>
            <w:tcW w:w="1293" w:type="dxa"/>
            <w:gridSpan w:val="2"/>
            <w:tcBorders>
              <w:top w:val="single" w:color="000000" w:sz="4" w:space="0"/>
              <w:left w:val="single" w:color="000000" w:sz="4" w:space="0"/>
              <w:bottom w:val="single" w:color="000000" w:sz="4" w:space="0"/>
              <w:right w:val="single" w:color="000000" w:sz="4" w:space="0"/>
            </w:tcBorders>
            <w:vAlign w:val="center"/>
          </w:tcPr>
          <w:p w14:paraId="53B2B1A8">
            <w:pPr>
              <w:autoSpaceDE w:val="0"/>
              <w:autoSpaceDN w:val="0"/>
              <w:adjustRightInd w:val="0"/>
              <w:snapToGrid w:val="0"/>
              <w:spacing w:line="360" w:lineRule="auto"/>
              <w:rPr>
                <w:rFonts w:ascii="宋体" w:hAnsi="宋体" w:cs="宋体"/>
                <w:color w:val="auto"/>
                <w:kern w:val="0"/>
                <w:sz w:val="21"/>
                <w:szCs w:val="21"/>
                <w:highlight w:val="none"/>
              </w:rPr>
            </w:pPr>
            <w:r>
              <w:rPr>
                <w:rFonts w:hint="eastAsia" w:ascii="宋体" w:hAnsi="宋体" w:eastAsia="宋体" w:cs="宋体"/>
                <w:color w:val="auto"/>
                <w:kern w:val="0"/>
                <w:sz w:val="21"/>
                <w:szCs w:val="21"/>
                <w:highlight w:val="none"/>
              </w:rPr>
              <w:t>网址</w:t>
            </w: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14:paraId="3F070678">
            <w:pPr>
              <w:autoSpaceDE w:val="0"/>
              <w:autoSpaceDN w:val="0"/>
              <w:adjustRightInd w:val="0"/>
              <w:snapToGrid w:val="0"/>
              <w:spacing w:line="360" w:lineRule="auto"/>
              <w:ind w:firstLine="1381" w:firstLineChars="658"/>
              <w:jc w:val="center"/>
              <w:rPr>
                <w:rFonts w:ascii="宋体" w:hAnsi="宋体" w:cs="宋体"/>
                <w:color w:val="auto"/>
                <w:kern w:val="0"/>
                <w:sz w:val="21"/>
                <w:szCs w:val="21"/>
                <w:highlight w:val="none"/>
              </w:rPr>
            </w:pPr>
          </w:p>
        </w:tc>
      </w:tr>
      <w:tr w14:paraId="71A2CFB0">
        <w:tblPrEx>
          <w:tblCellMar>
            <w:top w:w="0" w:type="dxa"/>
            <w:left w:w="0" w:type="dxa"/>
            <w:bottom w:w="0" w:type="dxa"/>
            <w:right w:w="0" w:type="dxa"/>
          </w:tblCellMar>
        </w:tblPrEx>
        <w:trPr>
          <w:trHeight w:val="471" w:hRule="exact"/>
          <w:jc w:val="center"/>
        </w:trPr>
        <w:tc>
          <w:tcPr>
            <w:tcW w:w="1728" w:type="dxa"/>
            <w:tcBorders>
              <w:top w:val="single" w:color="000000" w:sz="4" w:space="0"/>
              <w:left w:val="single" w:color="000000" w:sz="4" w:space="0"/>
              <w:bottom w:val="single" w:color="000000" w:sz="4" w:space="0"/>
              <w:right w:val="single" w:color="000000" w:sz="4" w:space="0"/>
            </w:tcBorders>
            <w:vAlign w:val="center"/>
          </w:tcPr>
          <w:p w14:paraId="775486DE">
            <w:pPr>
              <w:autoSpaceDE w:val="0"/>
              <w:autoSpaceDN w:val="0"/>
              <w:adjustRightInd w:val="0"/>
              <w:snapToGrid w:val="0"/>
              <w:spacing w:line="360" w:lineRule="auto"/>
              <w:rPr>
                <w:rFonts w:ascii="宋体" w:hAnsi="宋体" w:cs="宋体"/>
                <w:color w:val="auto"/>
                <w:kern w:val="0"/>
                <w:sz w:val="21"/>
                <w:szCs w:val="21"/>
                <w:highlight w:val="none"/>
              </w:rPr>
            </w:pPr>
            <w:r>
              <w:rPr>
                <w:rFonts w:hint="eastAsia" w:ascii="宋体" w:hAnsi="宋体" w:eastAsia="宋体" w:cs="宋体"/>
                <w:color w:val="auto"/>
                <w:kern w:val="0"/>
                <w:sz w:val="21"/>
                <w:szCs w:val="21"/>
                <w:highlight w:val="none"/>
              </w:rPr>
              <w:t>组织结构</w:t>
            </w:r>
          </w:p>
        </w:tc>
        <w:tc>
          <w:tcPr>
            <w:tcW w:w="6840" w:type="dxa"/>
            <w:gridSpan w:val="9"/>
            <w:tcBorders>
              <w:top w:val="single" w:color="000000" w:sz="4" w:space="0"/>
              <w:left w:val="single" w:color="000000" w:sz="4" w:space="0"/>
              <w:bottom w:val="single" w:color="000000" w:sz="4" w:space="0"/>
              <w:right w:val="single" w:color="000000" w:sz="4" w:space="0"/>
            </w:tcBorders>
            <w:vAlign w:val="center"/>
          </w:tcPr>
          <w:p w14:paraId="2D265BCC">
            <w:pPr>
              <w:autoSpaceDE w:val="0"/>
              <w:autoSpaceDN w:val="0"/>
              <w:adjustRightInd w:val="0"/>
              <w:snapToGrid w:val="0"/>
              <w:spacing w:line="360" w:lineRule="auto"/>
              <w:ind w:firstLine="1381" w:firstLineChars="658"/>
              <w:jc w:val="center"/>
              <w:rPr>
                <w:rFonts w:ascii="宋体" w:hAnsi="宋体" w:cs="宋体"/>
                <w:color w:val="auto"/>
                <w:kern w:val="0"/>
                <w:sz w:val="21"/>
                <w:szCs w:val="21"/>
                <w:highlight w:val="none"/>
              </w:rPr>
            </w:pPr>
          </w:p>
        </w:tc>
      </w:tr>
      <w:tr w14:paraId="28C939C6">
        <w:tblPrEx>
          <w:tblCellMar>
            <w:top w:w="0" w:type="dxa"/>
            <w:left w:w="0" w:type="dxa"/>
            <w:bottom w:w="0" w:type="dxa"/>
            <w:right w:w="0" w:type="dxa"/>
          </w:tblCellMar>
        </w:tblPrEx>
        <w:trPr>
          <w:trHeight w:val="633" w:hRule="exact"/>
          <w:jc w:val="center"/>
        </w:trPr>
        <w:tc>
          <w:tcPr>
            <w:tcW w:w="1728" w:type="dxa"/>
            <w:tcBorders>
              <w:top w:val="single" w:color="000000" w:sz="4" w:space="0"/>
              <w:left w:val="single" w:color="000000" w:sz="4" w:space="0"/>
              <w:bottom w:val="single" w:color="000000" w:sz="4" w:space="0"/>
              <w:right w:val="single" w:color="000000" w:sz="4" w:space="0"/>
            </w:tcBorders>
            <w:vAlign w:val="center"/>
          </w:tcPr>
          <w:p w14:paraId="114C32EB">
            <w:pPr>
              <w:autoSpaceDE w:val="0"/>
              <w:autoSpaceDN w:val="0"/>
              <w:adjustRightInd w:val="0"/>
              <w:snapToGrid w:val="0"/>
              <w:spacing w:line="360" w:lineRule="auto"/>
              <w:rPr>
                <w:rFonts w:ascii="宋体" w:hAnsi="宋体" w:cs="宋体"/>
                <w:color w:val="auto"/>
                <w:kern w:val="0"/>
                <w:sz w:val="21"/>
                <w:szCs w:val="21"/>
                <w:highlight w:val="none"/>
              </w:rPr>
            </w:pPr>
            <w:r>
              <w:rPr>
                <w:rFonts w:hint="eastAsia" w:ascii="宋体" w:hAnsi="宋体" w:eastAsia="宋体" w:cs="宋体"/>
                <w:color w:val="auto"/>
                <w:kern w:val="0"/>
                <w:sz w:val="21"/>
                <w:szCs w:val="21"/>
                <w:highlight w:val="none"/>
              </w:rPr>
              <w:t>法定代表人</w:t>
            </w:r>
          </w:p>
        </w:tc>
        <w:tc>
          <w:tcPr>
            <w:tcW w:w="898" w:type="dxa"/>
            <w:tcBorders>
              <w:top w:val="single" w:color="000000" w:sz="4" w:space="0"/>
              <w:left w:val="single" w:color="000000" w:sz="4" w:space="0"/>
              <w:bottom w:val="single" w:color="000000" w:sz="4" w:space="0"/>
              <w:right w:val="single" w:color="000000" w:sz="4" w:space="0"/>
            </w:tcBorders>
            <w:vAlign w:val="center"/>
          </w:tcPr>
          <w:p w14:paraId="5C658930">
            <w:pPr>
              <w:autoSpaceDE w:val="0"/>
              <w:autoSpaceDN w:val="0"/>
              <w:adjustRightInd w:val="0"/>
              <w:snapToGrid w:val="0"/>
              <w:spacing w:line="360" w:lineRule="auto"/>
              <w:rPr>
                <w:rFonts w:ascii="宋体" w:hAnsi="宋体" w:cs="宋体"/>
                <w:color w:val="auto"/>
                <w:kern w:val="0"/>
                <w:sz w:val="21"/>
                <w:szCs w:val="21"/>
                <w:highlight w:val="none"/>
              </w:rPr>
            </w:pPr>
            <w:r>
              <w:rPr>
                <w:rFonts w:hint="eastAsia" w:ascii="宋体" w:hAnsi="宋体" w:eastAsia="宋体" w:cs="宋体"/>
                <w:color w:val="auto"/>
                <w:kern w:val="0"/>
                <w:sz w:val="21"/>
                <w:szCs w:val="21"/>
                <w:highlight w:val="none"/>
              </w:rPr>
              <w:t>姓名</w:t>
            </w:r>
          </w:p>
        </w:tc>
        <w:tc>
          <w:tcPr>
            <w:tcW w:w="951" w:type="dxa"/>
            <w:tcBorders>
              <w:top w:val="single" w:color="000000" w:sz="4" w:space="0"/>
              <w:left w:val="single" w:color="000000" w:sz="4" w:space="0"/>
              <w:bottom w:val="single" w:color="000000" w:sz="4" w:space="0"/>
              <w:right w:val="single" w:color="000000" w:sz="4" w:space="0"/>
            </w:tcBorders>
            <w:vAlign w:val="center"/>
          </w:tcPr>
          <w:p w14:paraId="616707C6">
            <w:pPr>
              <w:autoSpaceDE w:val="0"/>
              <w:autoSpaceDN w:val="0"/>
              <w:adjustRightInd w:val="0"/>
              <w:snapToGrid w:val="0"/>
              <w:spacing w:line="360" w:lineRule="auto"/>
              <w:ind w:firstLine="1381" w:firstLineChars="658"/>
              <w:jc w:val="center"/>
              <w:rPr>
                <w:rFonts w:ascii="宋体" w:hAnsi="宋体" w:cs="宋体"/>
                <w:color w:val="auto"/>
                <w:kern w:val="0"/>
                <w:sz w:val="21"/>
                <w:szCs w:val="21"/>
                <w:highlight w:val="none"/>
              </w:rPr>
            </w:pPr>
          </w:p>
        </w:tc>
        <w:tc>
          <w:tcPr>
            <w:tcW w:w="1468" w:type="dxa"/>
            <w:gridSpan w:val="3"/>
            <w:tcBorders>
              <w:top w:val="single" w:color="000000" w:sz="4" w:space="0"/>
              <w:left w:val="single" w:color="000000" w:sz="4" w:space="0"/>
              <w:bottom w:val="single" w:color="000000" w:sz="4" w:space="0"/>
              <w:right w:val="single" w:color="000000" w:sz="4" w:space="0"/>
            </w:tcBorders>
            <w:vAlign w:val="center"/>
          </w:tcPr>
          <w:p w14:paraId="5D842A40">
            <w:pPr>
              <w:autoSpaceDE w:val="0"/>
              <w:autoSpaceDN w:val="0"/>
              <w:adjustRightInd w:val="0"/>
              <w:snapToGrid w:val="0"/>
              <w:spacing w:line="360" w:lineRule="auto"/>
              <w:rPr>
                <w:rFonts w:ascii="宋体" w:hAnsi="宋体" w:cs="宋体"/>
                <w:color w:val="auto"/>
                <w:kern w:val="0"/>
                <w:sz w:val="21"/>
                <w:szCs w:val="21"/>
                <w:highlight w:val="none"/>
              </w:rPr>
            </w:pPr>
            <w:r>
              <w:rPr>
                <w:rFonts w:hint="eastAsia" w:ascii="宋体" w:hAnsi="宋体" w:eastAsia="宋体" w:cs="宋体"/>
                <w:color w:val="auto"/>
                <w:kern w:val="0"/>
                <w:sz w:val="21"/>
                <w:szCs w:val="21"/>
                <w:highlight w:val="none"/>
              </w:rPr>
              <w:t>技术职称</w:t>
            </w:r>
          </w:p>
        </w:tc>
        <w:tc>
          <w:tcPr>
            <w:tcW w:w="1672" w:type="dxa"/>
            <w:gridSpan w:val="2"/>
            <w:tcBorders>
              <w:top w:val="single" w:color="000000" w:sz="4" w:space="0"/>
              <w:left w:val="single" w:color="000000" w:sz="4" w:space="0"/>
              <w:bottom w:val="single" w:color="000000" w:sz="4" w:space="0"/>
              <w:right w:val="single" w:color="000000" w:sz="4" w:space="0"/>
            </w:tcBorders>
            <w:vAlign w:val="center"/>
          </w:tcPr>
          <w:p w14:paraId="45EBAA02">
            <w:pPr>
              <w:autoSpaceDE w:val="0"/>
              <w:autoSpaceDN w:val="0"/>
              <w:adjustRightInd w:val="0"/>
              <w:snapToGrid w:val="0"/>
              <w:spacing w:line="360" w:lineRule="auto"/>
              <w:ind w:firstLine="1381" w:firstLineChars="658"/>
              <w:jc w:val="center"/>
              <w:rPr>
                <w:rFonts w:ascii="宋体" w:hAnsi="宋体" w:cs="宋体"/>
                <w:color w:val="auto"/>
                <w:kern w:val="0"/>
                <w:sz w:val="21"/>
                <w:szCs w:val="21"/>
                <w:highlight w:val="none"/>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556EC9C0">
            <w:pPr>
              <w:autoSpaceDE w:val="0"/>
              <w:autoSpaceDN w:val="0"/>
              <w:adjustRightInd w:val="0"/>
              <w:snapToGrid w:val="0"/>
              <w:spacing w:line="360" w:lineRule="auto"/>
              <w:rPr>
                <w:rFonts w:ascii="宋体" w:hAnsi="宋体" w:cs="宋体"/>
                <w:color w:val="auto"/>
                <w:kern w:val="0"/>
                <w:sz w:val="21"/>
                <w:szCs w:val="21"/>
                <w:highlight w:val="none"/>
              </w:rPr>
            </w:pPr>
            <w:r>
              <w:rPr>
                <w:rFonts w:hint="eastAsia" w:ascii="宋体" w:hAnsi="宋体" w:eastAsia="宋体" w:cs="宋体"/>
                <w:color w:val="auto"/>
                <w:kern w:val="0"/>
                <w:sz w:val="21"/>
                <w:szCs w:val="21"/>
                <w:highlight w:val="none"/>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14:paraId="70B54728">
            <w:pPr>
              <w:autoSpaceDE w:val="0"/>
              <w:autoSpaceDN w:val="0"/>
              <w:adjustRightInd w:val="0"/>
              <w:snapToGrid w:val="0"/>
              <w:spacing w:line="360" w:lineRule="auto"/>
              <w:ind w:firstLine="1381" w:firstLineChars="658"/>
              <w:jc w:val="center"/>
              <w:rPr>
                <w:rFonts w:ascii="宋体" w:hAnsi="宋体" w:cs="宋体"/>
                <w:color w:val="auto"/>
                <w:kern w:val="0"/>
                <w:sz w:val="21"/>
                <w:szCs w:val="21"/>
                <w:highlight w:val="none"/>
              </w:rPr>
            </w:pPr>
          </w:p>
        </w:tc>
      </w:tr>
      <w:tr w14:paraId="26CBEB73">
        <w:tblPrEx>
          <w:tblCellMar>
            <w:top w:w="0" w:type="dxa"/>
            <w:left w:w="0" w:type="dxa"/>
            <w:bottom w:w="0" w:type="dxa"/>
            <w:right w:w="0" w:type="dxa"/>
          </w:tblCellMar>
        </w:tblPrEx>
        <w:trPr>
          <w:trHeight w:val="782" w:hRule="exact"/>
          <w:jc w:val="center"/>
        </w:trPr>
        <w:tc>
          <w:tcPr>
            <w:tcW w:w="1728" w:type="dxa"/>
            <w:tcBorders>
              <w:top w:val="single" w:color="000000" w:sz="4" w:space="0"/>
              <w:left w:val="single" w:color="000000" w:sz="4" w:space="0"/>
              <w:bottom w:val="single" w:color="000000" w:sz="4" w:space="0"/>
              <w:right w:val="single" w:color="000000" w:sz="4" w:space="0"/>
            </w:tcBorders>
            <w:vAlign w:val="center"/>
          </w:tcPr>
          <w:p w14:paraId="43B763E7">
            <w:pPr>
              <w:autoSpaceDE w:val="0"/>
              <w:autoSpaceDN w:val="0"/>
              <w:adjustRightInd w:val="0"/>
              <w:snapToGrid w:val="0"/>
              <w:spacing w:line="360" w:lineRule="auto"/>
              <w:rPr>
                <w:rFonts w:ascii="宋体" w:hAnsi="宋体" w:cs="宋体"/>
                <w:color w:val="auto"/>
                <w:kern w:val="0"/>
                <w:sz w:val="21"/>
                <w:szCs w:val="21"/>
                <w:highlight w:val="none"/>
              </w:rPr>
            </w:pPr>
            <w:r>
              <w:rPr>
                <w:rFonts w:hint="eastAsia" w:ascii="宋体" w:hAnsi="宋体" w:eastAsia="宋体" w:cs="宋体"/>
                <w:color w:val="auto"/>
                <w:kern w:val="0"/>
                <w:sz w:val="21"/>
                <w:szCs w:val="21"/>
                <w:highlight w:val="none"/>
              </w:rPr>
              <w:t>技术负责人</w:t>
            </w:r>
          </w:p>
        </w:tc>
        <w:tc>
          <w:tcPr>
            <w:tcW w:w="898" w:type="dxa"/>
            <w:tcBorders>
              <w:top w:val="single" w:color="000000" w:sz="4" w:space="0"/>
              <w:left w:val="single" w:color="000000" w:sz="4" w:space="0"/>
              <w:bottom w:val="single" w:color="000000" w:sz="4" w:space="0"/>
              <w:right w:val="single" w:color="000000" w:sz="4" w:space="0"/>
            </w:tcBorders>
            <w:vAlign w:val="center"/>
          </w:tcPr>
          <w:p w14:paraId="16FE914E">
            <w:pPr>
              <w:autoSpaceDE w:val="0"/>
              <w:autoSpaceDN w:val="0"/>
              <w:adjustRightInd w:val="0"/>
              <w:snapToGrid w:val="0"/>
              <w:spacing w:line="360" w:lineRule="auto"/>
              <w:rPr>
                <w:rFonts w:ascii="宋体" w:hAnsi="宋体" w:cs="宋体"/>
                <w:color w:val="auto"/>
                <w:kern w:val="0"/>
                <w:sz w:val="21"/>
                <w:szCs w:val="21"/>
                <w:highlight w:val="none"/>
              </w:rPr>
            </w:pPr>
            <w:r>
              <w:rPr>
                <w:rFonts w:hint="eastAsia" w:ascii="宋体" w:hAnsi="宋体" w:eastAsia="宋体" w:cs="宋体"/>
                <w:color w:val="auto"/>
                <w:kern w:val="0"/>
                <w:sz w:val="21"/>
                <w:szCs w:val="21"/>
                <w:highlight w:val="none"/>
              </w:rPr>
              <w:t>姓名</w:t>
            </w:r>
          </w:p>
        </w:tc>
        <w:tc>
          <w:tcPr>
            <w:tcW w:w="951" w:type="dxa"/>
            <w:tcBorders>
              <w:top w:val="single" w:color="000000" w:sz="4" w:space="0"/>
              <w:left w:val="single" w:color="000000" w:sz="4" w:space="0"/>
              <w:bottom w:val="single" w:color="000000" w:sz="4" w:space="0"/>
              <w:right w:val="single" w:color="000000" w:sz="4" w:space="0"/>
            </w:tcBorders>
            <w:vAlign w:val="center"/>
          </w:tcPr>
          <w:p w14:paraId="364E8B5C">
            <w:pPr>
              <w:autoSpaceDE w:val="0"/>
              <w:autoSpaceDN w:val="0"/>
              <w:adjustRightInd w:val="0"/>
              <w:snapToGrid w:val="0"/>
              <w:spacing w:line="360" w:lineRule="auto"/>
              <w:ind w:firstLine="1381" w:firstLineChars="658"/>
              <w:jc w:val="center"/>
              <w:rPr>
                <w:rFonts w:ascii="宋体" w:hAnsi="宋体" w:cs="宋体"/>
                <w:color w:val="auto"/>
                <w:kern w:val="0"/>
                <w:sz w:val="21"/>
                <w:szCs w:val="21"/>
                <w:highlight w:val="none"/>
              </w:rPr>
            </w:pPr>
          </w:p>
        </w:tc>
        <w:tc>
          <w:tcPr>
            <w:tcW w:w="1468" w:type="dxa"/>
            <w:gridSpan w:val="3"/>
            <w:tcBorders>
              <w:top w:val="single" w:color="000000" w:sz="4" w:space="0"/>
              <w:left w:val="single" w:color="000000" w:sz="4" w:space="0"/>
              <w:bottom w:val="single" w:color="000000" w:sz="4" w:space="0"/>
              <w:right w:val="single" w:color="000000" w:sz="4" w:space="0"/>
            </w:tcBorders>
            <w:vAlign w:val="center"/>
          </w:tcPr>
          <w:p w14:paraId="403D80C3">
            <w:pPr>
              <w:autoSpaceDE w:val="0"/>
              <w:autoSpaceDN w:val="0"/>
              <w:adjustRightInd w:val="0"/>
              <w:snapToGrid w:val="0"/>
              <w:spacing w:line="360" w:lineRule="auto"/>
              <w:rPr>
                <w:rFonts w:ascii="宋体" w:hAnsi="宋体" w:cs="宋体"/>
                <w:color w:val="auto"/>
                <w:kern w:val="0"/>
                <w:sz w:val="21"/>
                <w:szCs w:val="21"/>
                <w:highlight w:val="none"/>
              </w:rPr>
            </w:pPr>
            <w:r>
              <w:rPr>
                <w:rFonts w:hint="eastAsia" w:ascii="宋体" w:hAnsi="宋体" w:eastAsia="宋体" w:cs="宋体"/>
                <w:color w:val="auto"/>
                <w:kern w:val="0"/>
                <w:sz w:val="21"/>
                <w:szCs w:val="21"/>
                <w:highlight w:val="none"/>
              </w:rPr>
              <w:t>技术职称</w:t>
            </w:r>
          </w:p>
        </w:tc>
        <w:tc>
          <w:tcPr>
            <w:tcW w:w="1672" w:type="dxa"/>
            <w:gridSpan w:val="2"/>
            <w:tcBorders>
              <w:top w:val="single" w:color="000000" w:sz="4" w:space="0"/>
              <w:left w:val="single" w:color="000000" w:sz="4" w:space="0"/>
              <w:bottom w:val="single" w:color="000000" w:sz="4" w:space="0"/>
              <w:right w:val="single" w:color="000000" w:sz="4" w:space="0"/>
            </w:tcBorders>
            <w:vAlign w:val="center"/>
          </w:tcPr>
          <w:p w14:paraId="3496EEAA">
            <w:pPr>
              <w:autoSpaceDE w:val="0"/>
              <w:autoSpaceDN w:val="0"/>
              <w:adjustRightInd w:val="0"/>
              <w:snapToGrid w:val="0"/>
              <w:spacing w:line="360" w:lineRule="auto"/>
              <w:ind w:firstLine="1381" w:firstLineChars="658"/>
              <w:jc w:val="center"/>
              <w:rPr>
                <w:rFonts w:ascii="宋体" w:hAnsi="宋体" w:cs="宋体"/>
                <w:color w:val="auto"/>
                <w:kern w:val="0"/>
                <w:sz w:val="21"/>
                <w:szCs w:val="21"/>
                <w:highlight w:val="none"/>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5844E3B1">
            <w:pPr>
              <w:autoSpaceDE w:val="0"/>
              <w:autoSpaceDN w:val="0"/>
              <w:adjustRightInd w:val="0"/>
              <w:snapToGrid w:val="0"/>
              <w:spacing w:line="360" w:lineRule="auto"/>
              <w:rPr>
                <w:rFonts w:ascii="宋体" w:hAnsi="宋体" w:cs="宋体"/>
                <w:color w:val="auto"/>
                <w:kern w:val="0"/>
                <w:sz w:val="21"/>
                <w:szCs w:val="21"/>
                <w:highlight w:val="none"/>
              </w:rPr>
            </w:pPr>
            <w:r>
              <w:rPr>
                <w:rFonts w:hint="eastAsia" w:ascii="宋体" w:hAnsi="宋体" w:eastAsia="宋体" w:cs="宋体"/>
                <w:color w:val="auto"/>
                <w:kern w:val="0"/>
                <w:sz w:val="21"/>
                <w:szCs w:val="21"/>
                <w:highlight w:val="none"/>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14:paraId="11515865">
            <w:pPr>
              <w:autoSpaceDE w:val="0"/>
              <w:autoSpaceDN w:val="0"/>
              <w:adjustRightInd w:val="0"/>
              <w:snapToGrid w:val="0"/>
              <w:spacing w:line="360" w:lineRule="auto"/>
              <w:ind w:firstLine="1381" w:firstLineChars="658"/>
              <w:jc w:val="center"/>
              <w:rPr>
                <w:rFonts w:ascii="宋体" w:hAnsi="宋体" w:cs="宋体"/>
                <w:color w:val="auto"/>
                <w:kern w:val="0"/>
                <w:sz w:val="21"/>
                <w:szCs w:val="21"/>
                <w:highlight w:val="none"/>
              </w:rPr>
            </w:pPr>
          </w:p>
        </w:tc>
      </w:tr>
      <w:tr w14:paraId="45DCAD8F">
        <w:tblPrEx>
          <w:tblCellMar>
            <w:top w:w="0" w:type="dxa"/>
            <w:left w:w="0" w:type="dxa"/>
            <w:bottom w:w="0" w:type="dxa"/>
            <w:right w:w="0" w:type="dxa"/>
          </w:tblCellMar>
        </w:tblPrEx>
        <w:trPr>
          <w:trHeight w:val="608" w:hRule="exact"/>
          <w:jc w:val="center"/>
        </w:trPr>
        <w:tc>
          <w:tcPr>
            <w:tcW w:w="1728" w:type="dxa"/>
            <w:tcBorders>
              <w:top w:val="single" w:color="000000" w:sz="4" w:space="0"/>
              <w:left w:val="single" w:color="000000" w:sz="4" w:space="0"/>
              <w:bottom w:val="single" w:color="000000" w:sz="4" w:space="0"/>
              <w:right w:val="single" w:color="000000" w:sz="4" w:space="0"/>
            </w:tcBorders>
            <w:vAlign w:val="center"/>
          </w:tcPr>
          <w:p w14:paraId="6BC505E5">
            <w:pPr>
              <w:autoSpaceDE w:val="0"/>
              <w:autoSpaceDN w:val="0"/>
              <w:adjustRightInd w:val="0"/>
              <w:snapToGrid w:val="0"/>
              <w:spacing w:line="360" w:lineRule="auto"/>
              <w:rPr>
                <w:rFonts w:ascii="宋体" w:hAnsi="宋体" w:cs="宋体"/>
                <w:color w:val="auto"/>
                <w:kern w:val="0"/>
                <w:sz w:val="21"/>
                <w:szCs w:val="21"/>
                <w:highlight w:val="none"/>
              </w:rPr>
            </w:pPr>
            <w:r>
              <w:rPr>
                <w:rFonts w:hint="eastAsia" w:ascii="宋体" w:hAnsi="宋体" w:eastAsia="宋体" w:cs="宋体"/>
                <w:color w:val="auto"/>
                <w:kern w:val="0"/>
                <w:sz w:val="21"/>
                <w:szCs w:val="21"/>
                <w:highlight w:val="none"/>
              </w:rPr>
              <w:t>成立时间</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49675BDD">
            <w:pPr>
              <w:autoSpaceDE w:val="0"/>
              <w:autoSpaceDN w:val="0"/>
              <w:adjustRightInd w:val="0"/>
              <w:snapToGrid w:val="0"/>
              <w:spacing w:line="360" w:lineRule="auto"/>
              <w:ind w:firstLine="1381" w:firstLineChars="658"/>
              <w:jc w:val="center"/>
              <w:rPr>
                <w:rFonts w:ascii="宋体" w:hAnsi="宋体" w:cs="宋体"/>
                <w:color w:val="auto"/>
                <w:kern w:val="0"/>
                <w:sz w:val="21"/>
                <w:szCs w:val="21"/>
                <w:highlight w:val="none"/>
              </w:rPr>
            </w:pPr>
          </w:p>
        </w:tc>
        <w:tc>
          <w:tcPr>
            <w:tcW w:w="4991" w:type="dxa"/>
            <w:gridSpan w:val="7"/>
            <w:tcBorders>
              <w:top w:val="single" w:color="000000" w:sz="4" w:space="0"/>
              <w:left w:val="single" w:color="000000" w:sz="4" w:space="0"/>
              <w:bottom w:val="single" w:color="000000" w:sz="4" w:space="0"/>
              <w:right w:val="single" w:color="000000" w:sz="4" w:space="0"/>
            </w:tcBorders>
            <w:vAlign w:val="center"/>
          </w:tcPr>
          <w:p w14:paraId="0F4190DD">
            <w:pPr>
              <w:autoSpaceDE w:val="0"/>
              <w:autoSpaceDN w:val="0"/>
              <w:adjustRightInd w:val="0"/>
              <w:snapToGrid w:val="0"/>
              <w:spacing w:line="360" w:lineRule="auto"/>
              <w:ind w:firstLine="105" w:firstLineChars="50"/>
              <w:rPr>
                <w:rFonts w:ascii="宋体" w:hAnsi="宋体" w:cs="宋体"/>
                <w:color w:val="auto"/>
                <w:kern w:val="0"/>
                <w:sz w:val="21"/>
                <w:szCs w:val="21"/>
                <w:highlight w:val="none"/>
              </w:rPr>
            </w:pPr>
            <w:r>
              <w:rPr>
                <w:rFonts w:hint="eastAsia" w:ascii="宋体" w:hAnsi="宋体" w:eastAsia="宋体" w:cs="宋体"/>
                <w:color w:val="auto"/>
                <w:kern w:val="0"/>
                <w:sz w:val="21"/>
                <w:szCs w:val="21"/>
                <w:highlight w:val="none"/>
              </w:rPr>
              <w:t>员工总人数：</w:t>
            </w:r>
          </w:p>
        </w:tc>
      </w:tr>
      <w:tr w14:paraId="3B244A67">
        <w:tblPrEx>
          <w:tblCellMar>
            <w:top w:w="0" w:type="dxa"/>
            <w:left w:w="0" w:type="dxa"/>
            <w:bottom w:w="0" w:type="dxa"/>
            <w:right w:w="0" w:type="dxa"/>
          </w:tblCellMar>
        </w:tblPrEx>
        <w:trPr>
          <w:cantSplit/>
          <w:trHeight w:val="772" w:hRule="exact"/>
          <w:jc w:val="center"/>
        </w:trPr>
        <w:tc>
          <w:tcPr>
            <w:tcW w:w="1728" w:type="dxa"/>
            <w:tcBorders>
              <w:top w:val="single" w:color="000000" w:sz="4" w:space="0"/>
              <w:left w:val="single" w:color="000000" w:sz="4" w:space="0"/>
              <w:bottom w:val="single" w:color="000000" w:sz="4" w:space="0"/>
              <w:right w:val="single" w:color="000000" w:sz="4" w:space="0"/>
            </w:tcBorders>
            <w:vAlign w:val="center"/>
          </w:tcPr>
          <w:p w14:paraId="67A7A058">
            <w:pPr>
              <w:autoSpaceDE w:val="0"/>
              <w:autoSpaceDN w:val="0"/>
              <w:adjustRightInd w:val="0"/>
              <w:snapToGrid w:val="0"/>
              <w:spacing w:line="360" w:lineRule="auto"/>
              <w:rPr>
                <w:rFonts w:ascii="宋体" w:hAnsi="宋体" w:cs="宋体"/>
                <w:color w:val="auto"/>
                <w:kern w:val="0"/>
                <w:sz w:val="21"/>
                <w:szCs w:val="21"/>
                <w:highlight w:val="none"/>
              </w:rPr>
            </w:pPr>
            <w:r>
              <w:rPr>
                <w:rFonts w:hint="eastAsia" w:ascii="宋体" w:hAnsi="宋体" w:eastAsia="宋体" w:cs="宋体"/>
                <w:color w:val="auto"/>
                <w:kern w:val="0"/>
                <w:sz w:val="21"/>
                <w:szCs w:val="21"/>
                <w:highlight w:val="none"/>
              </w:rPr>
              <w:t>企业资质等级</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357D1BA5">
            <w:pPr>
              <w:autoSpaceDE w:val="0"/>
              <w:autoSpaceDN w:val="0"/>
              <w:adjustRightInd w:val="0"/>
              <w:snapToGrid w:val="0"/>
              <w:spacing w:line="360" w:lineRule="auto"/>
              <w:ind w:firstLine="1381" w:firstLineChars="658"/>
              <w:jc w:val="center"/>
              <w:rPr>
                <w:rFonts w:ascii="宋体" w:hAnsi="宋体" w:cs="宋体"/>
                <w:color w:val="auto"/>
                <w:kern w:val="0"/>
                <w:sz w:val="21"/>
                <w:szCs w:val="21"/>
                <w:highlight w:val="none"/>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14:paraId="2EC09E60">
            <w:pPr>
              <w:autoSpaceDE w:val="0"/>
              <w:autoSpaceDN w:val="0"/>
              <w:adjustRightInd w:val="0"/>
              <w:snapToGrid w:val="0"/>
              <w:spacing w:line="360" w:lineRule="auto"/>
              <w:rPr>
                <w:rFonts w:ascii="宋体" w:hAnsi="宋体" w:cs="宋体"/>
                <w:color w:val="auto"/>
                <w:kern w:val="0"/>
                <w:sz w:val="21"/>
                <w:szCs w:val="21"/>
                <w:highlight w:val="none"/>
              </w:rPr>
            </w:pPr>
            <w:r>
              <w:rPr>
                <w:rFonts w:hint="eastAsia" w:ascii="宋体" w:hAnsi="宋体" w:eastAsia="宋体" w:cs="宋体"/>
                <w:color w:val="auto"/>
                <w:kern w:val="0"/>
                <w:sz w:val="21"/>
                <w:szCs w:val="21"/>
                <w:highlight w:val="none"/>
              </w:rPr>
              <w:t>其中</w:t>
            </w: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37ECAEAB">
            <w:pPr>
              <w:autoSpaceDE w:val="0"/>
              <w:autoSpaceDN w:val="0"/>
              <w:adjustRightInd w:val="0"/>
              <w:snapToGrid w:val="0"/>
              <w:spacing w:line="360" w:lineRule="auto"/>
              <w:rPr>
                <w:rFonts w:ascii="宋体" w:hAnsi="宋体" w:cs="宋体"/>
                <w:color w:val="auto"/>
                <w:kern w:val="0"/>
                <w:sz w:val="21"/>
                <w:szCs w:val="21"/>
                <w:highlight w:val="none"/>
              </w:rPr>
            </w:pPr>
            <w:r>
              <w:rPr>
                <w:rFonts w:hint="eastAsia" w:ascii="宋体" w:hAnsi="宋体" w:eastAsia="宋体" w:cs="宋体"/>
                <w:color w:val="auto"/>
                <w:kern w:val="0"/>
                <w:sz w:val="21"/>
                <w:szCs w:val="21"/>
                <w:highlight w:val="none"/>
              </w:rPr>
              <w:t>项目经理</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40CBC5A9">
            <w:pPr>
              <w:autoSpaceDE w:val="0"/>
              <w:autoSpaceDN w:val="0"/>
              <w:adjustRightInd w:val="0"/>
              <w:snapToGrid w:val="0"/>
              <w:spacing w:line="360" w:lineRule="auto"/>
              <w:ind w:firstLine="1381" w:firstLineChars="658"/>
              <w:jc w:val="center"/>
              <w:rPr>
                <w:rFonts w:ascii="宋体" w:hAnsi="宋体" w:cs="宋体"/>
                <w:color w:val="auto"/>
                <w:kern w:val="0"/>
                <w:sz w:val="21"/>
                <w:szCs w:val="21"/>
                <w:highlight w:val="none"/>
              </w:rPr>
            </w:pPr>
          </w:p>
        </w:tc>
      </w:tr>
      <w:tr w14:paraId="02A3F75B">
        <w:tblPrEx>
          <w:tblCellMar>
            <w:top w:w="0" w:type="dxa"/>
            <w:left w:w="0" w:type="dxa"/>
            <w:bottom w:w="0" w:type="dxa"/>
            <w:right w:w="0" w:type="dxa"/>
          </w:tblCellMar>
        </w:tblPrEx>
        <w:trPr>
          <w:cantSplit/>
          <w:trHeight w:val="768" w:hRule="exact"/>
          <w:jc w:val="center"/>
        </w:trPr>
        <w:tc>
          <w:tcPr>
            <w:tcW w:w="1728" w:type="dxa"/>
            <w:tcBorders>
              <w:top w:val="single" w:color="000000" w:sz="4" w:space="0"/>
              <w:left w:val="single" w:color="000000" w:sz="4" w:space="0"/>
              <w:bottom w:val="single" w:color="000000" w:sz="4" w:space="0"/>
              <w:right w:val="single" w:color="000000" w:sz="4" w:space="0"/>
            </w:tcBorders>
            <w:vAlign w:val="center"/>
          </w:tcPr>
          <w:p w14:paraId="599FF46A">
            <w:pPr>
              <w:autoSpaceDE w:val="0"/>
              <w:autoSpaceDN w:val="0"/>
              <w:adjustRightInd w:val="0"/>
              <w:snapToGrid w:val="0"/>
              <w:spacing w:line="360" w:lineRule="auto"/>
              <w:rPr>
                <w:rFonts w:ascii="宋体" w:hAnsi="宋体" w:cs="宋体"/>
                <w:color w:val="auto"/>
                <w:kern w:val="0"/>
                <w:sz w:val="21"/>
                <w:szCs w:val="21"/>
                <w:highlight w:val="none"/>
              </w:rPr>
            </w:pPr>
            <w:r>
              <w:rPr>
                <w:rFonts w:hint="eastAsia" w:ascii="宋体" w:hAnsi="宋体" w:eastAsia="宋体" w:cs="宋体"/>
                <w:color w:val="auto"/>
                <w:kern w:val="0"/>
                <w:sz w:val="21"/>
                <w:szCs w:val="21"/>
                <w:highlight w:val="none"/>
              </w:rPr>
              <w:t>营业执照号</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4628FB08">
            <w:pPr>
              <w:autoSpaceDE w:val="0"/>
              <w:autoSpaceDN w:val="0"/>
              <w:adjustRightInd w:val="0"/>
              <w:snapToGrid w:val="0"/>
              <w:spacing w:line="360" w:lineRule="auto"/>
              <w:ind w:firstLine="1381" w:firstLineChars="658"/>
              <w:jc w:val="center"/>
              <w:rPr>
                <w:rFonts w:ascii="宋体" w:hAnsi="宋体" w:cs="宋体"/>
                <w:color w:val="auto"/>
                <w:kern w:val="0"/>
                <w:sz w:val="21"/>
                <w:szCs w:val="21"/>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79D758E5">
            <w:pPr>
              <w:autoSpaceDE w:val="0"/>
              <w:autoSpaceDN w:val="0"/>
              <w:adjustRightInd w:val="0"/>
              <w:snapToGrid w:val="0"/>
              <w:spacing w:line="360" w:lineRule="auto"/>
              <w:ind w:firstLine="1381" w:firstLineChars="658"/>
              <w:jc w:val="center"/>
              <w:rPr>
                <w:rFonts w:ascii="宋体" w:hAnsi="宋体" w:cs="宋体"/>
                <w:color w:val="auto"/>
                <w:kern w:val="0"/>
                <w:sz w:val="21"/>
                <w:szCs w:val="21"/>
                <w:highlight w:val="none"/>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45EA3529">
            <w:pPr>
              <w:autoSpaceDE w:val="0"/>
              <w:autoSpaceDN w:val="0"/>
              <w:adjustRightInd w:val="0"/>
              <w:snapToGrid w:val="0"/>
              <w:spacing w:line="360" w:lineRule="auto"/>
              <w:rPr>
                <w:rFonts w:ascii="宋体" w:hAnsi="宋体" w:cs="宋体"/>
                <w:color w:val="auto"/>
                <w:kern w:val="0"/>
                <w:sz w:val="21"/>
                <w:szCs w:val="21"/>
                <w:highlight w:val="none"/>
              </w:rPr>
            </w:pPr>
            <w:r>
              <w:rPr>
                <w:rFonts w:hint="eastAsia" w:ascii="宋体" w:hAnsi="宋体" w:eastAsia="宋体" w:cs="宋体"/>
                <w:color w:val="auto"/>
                <w:kern w:val="0"/>
                <w:sz w:val="21"/>
                <w:szCs w:val="21"/>
                <w:highlight w:val="none"/>
              </w:rPr>
              <w:t>高级职称人员</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2666D04D">
            <w:pPr>
              <w:autoSpaceDE w:val="0"/>
              <w:autoSpaceDN w:val="0"/>
              <w:adjustRightInd w:val="0"/>
              <w:snapToGrid w:val="0"/>
              <w:spacing w:line="360" w:lineRule="auto"/>
              <w:ind w:firstLine="1381" w:firstLineChars="658"/>
              <w:jc w:val="center"/>
              <w:rPr>
                <w:rFonts w:ascii="宋体" w:hAnsi="宋体" w:cs="宋体"/>
                <w:color w:val="auto"/>
                <w:kern w:val="0"/>
                <w:sz w:val="21"/>
                <w:szCs w:val="21"/>
                <w:highlight w:val="none"/>
              </w:rPr>
            </w:pPr>
          </w:p>
        </w:tc>
      </w:tr>
      <w:tr w14:paraId="32755EF7">
        <w:tblPrEx>
          <w:tblCellMar>
            <w:top w:w="0" w:type="dxa"/>
            <w:left w:w="0" w:type="dxa"/>
            <w:bottom w:w="0" w:type="dxa"/>
            <w:right w:w="0" w:type="dxa"/>
          </w:tblCellMar>
        </w:tblPrEx>
        <w:trPr>
          <w:cantSplit/>
          <w:trHeight w:val="792" w:hRule="exact"/>
          <w:jc w:val="center"/>
        </w:trPr>
        <w:tc>
          <w:tcPr>
            <w:tcW w:w="1728" w:type="dxa"/>
            <w:tcBorders>
              <w:top w:val="single" w:color="000000" w:sz="4" w:space="0"/>
              <w:left w:val="single" w:color="000000" w:sz="4" w:space="0"/>
              <w:bottom w:val="single" w:color="000000" w:sz="4" w:space="0"/>
              <w:right w:val="single" w:color="000000" w:sz="4" w:space="0"/>
            </w:tcBorders>
            <w:vAlign w:val="center"/>
          </w:tcPr>
          <w:p w14:paraId="5A1CB0C5">
            <w:pPr>
              <w:autoSpaceDE w:val="0"/>
              <w:autoSpaceDN w:val="0"/>
              <w:adjustRightInd w:val="0"/>
              <w:snapToGrid w:val="0"/>
              <w:spacing w:line="360" w:lineRule="auto"/>
              <w:rPr>
                <w:rFonts w:ascii="宋体" w:hAnsi="宋体" w:cs="宋体"/>
                <w:color w:val="auto"/>
                <w:kern w:val="0"/>
                <w:sz w:val="21"/>
                <w:szCs w:val="21"/>
                <w:highlight w:val="none"/>
              </w:rPr>
            </w:pPr>
            <w:r>
              <w:rPr>
                <w:rFonts w:hint="eastAsia" w:ascii="宋体" w:hAnsi="宋体" w:eastAsia="宋体" w:cs="宋体"/>
                <w:color w:val="auto"/>
                <w:kern w:val="0"/>
                <w:sz w:val="21"/>
                <w:szCs w:val="21"/>
                <w:highlight w:val="none"/>
              </w:rPr>
              <w:t>注册资金</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7DD8CA6D">
            <w:pPr>
              <w:autoSpaceDE w:val="0"/>
              <w:autoSpaceDN w:val="0"/>
              <w:adjustRightInd w:val="0"/>
              <w:snapToGrid w:val="0"/>
              <w:spacing w:line="360" w:lineRule="auto"/>
              <w:ind w:firstLine="1381" w:firstLineChars="658"/>
              <w:jc w:val="center"/>
              <w:rPr>
                <w:rFonts w:ascii="宋体" w:hAnsi="宋体" w:cs="宋体"/>
                <w:color w:val="auto"/>
                <w:kern w:val="0"/>
                <w:sz w:val="21"/>
                <w:szCs w:val="21"/>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347D041A">
            <w:pPr>
              <w:autoSpaceDE w:val="0"/>
              <w:autoSpaceDN w:val="0"/>
              <w:adjustRightInd w:val="0"/>
              <w:snapToGrid w:val="0"/>
              <w:spacing w:line="360" w:lineRule="auto"/>
              <w:ind w:firstLine="1381" w:firstLineChars="658"/>
              <w:jc w:val="center"/>
              <w:rPr>
                <w:rFonts w:ascii="宋体" w:hAnsi="宋体" w:cs="宋体"/>
                <w:color w:val="auto"/>
                <w:kern w:val="0"/>
                <w:sz w:val="21"/>
                <w:szCs w:val="21"/>
                <w:highlight w:val="none"/>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236A32F1">
            <w:pPr>
              <w:autoSpaceDE w:val="0"/>
              <w:autoSpaceDN w:val="0"/>
              <w:adjustRightInd w:val="0"/>
              <w:snapToGrid w:val="0"/>
              <w:spacing w:line="360" w:lineRule="auto"/>
              <w:rPr>
                <w:rFonts w:ascii="宋体" w:hAnsi="宋体" w:cs="宋体"/>
                <w:color w:val="auto"/>
                <w:kern w:val="0"/>
                <w:sz w:val="21"/>
                <w:szCs w:val="21"/>
                <w:highlight w:val="none"/>
              </w:rPr>
            </w:pPr>
            <w:r>
              <w:rPr>
                <w:rFonts w:hint="eastAsia" w:ascii="宋体" w:hAnsi="宋体" w:eastAsia="宋体" w:cs="宋体"/>
                <w:color w:val="auto"/>
                <w:kern w:val="0"/>
                <w:sz w:val="21"/>
                <w:szCs w:val="21"/>
                <w:highlight w:val="none"/>
              </w:rPr>
              <w:t>中级职称人员</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38FDDC12">
            <w:pPr>
              <w:autoSpaceDE w:val="0"/>
              <w:autoSpaceDN w:val="0"/>
              <w:adjustRightInd w:val="0"/>
              <w:snapToGrid w:val="0"/>
              <w:spacing w:line="360" w:lineRule="auto"/>
              <w:ind w:firstLine="1381" w:firstLineChars="658"/>
              <w:jc w:val="center"/>
              <w:rPr>
                <w:rFonts w:ascii="宋体" w:hAnsi="宋体" w:cs="宋体"/>
                <w:color w:val="auto"/>
                <w:kern w:val="0"/>
                <w:sz w:val="21"/>
                <w:szCs w:val="21"/>
                <w:highlight w:val="none"/>
              </w:rPr>
            </w:pPr>
          </w:p>
        </w:tc>
      </w:tr>
      <w:tr w14:paraId="3536BA11">
        <w:tblPrEx>
          <w:tblCellMar>
            <w:top w:w="0" w:type="dxa"/>
            <w:left w:w="0" w:type="dxa"/>
            <w:bottom w:w="0" w:type="dxa"/>
            <w:right w:w="0" w:type="dxa"/>
          </w:tblCellMar>
        </w:tblPrEx>
        <w:trPr>
          <w:cantSplit/>
          <w:trHeight w:val="774" w:hRule="exact"/>
          <w:jc w:val="center"/>
        </w:trPr>
        <w:tc>
          <w:tcPr>
            <w:tcW w:w="1728" w:type="dxa"/>
            <w:tcBorders>
              <w:top w:val="single" w:color="000000" w:sz="4" w:space="0"/>
              <w:left w:val="single" w:color="000000" w:sz="4" w:space="0"/>
              <w:bottom w:val="single" w:color="000000" w:sz="4" w:space="0"/>
              <w:right w:val="single" w:color="000000" w:sz="4" w:space="0"/>
            </w:tcBorders>
            <w:vAlign w:val="center"/>
          </w:tcPr>
          <w:p w14:paraId="197FDC5B">
            <w:pPr>
              <w:autoSpaceDE w:val="0"/>
              <w:autoSpaceDN w:val="0"/>
              <w:adjustRightInd w:val="0"/>
              <w:snapToGrid w:val="0"/>
              <w:spacing w:line="360" w:lineRule="auto"/>
              <w:rPr>
                <w:rFonts w:ascii="宋体" w:hAnsi="宋体" w:cs="宋体"/>
                <w:color w:val="auto"/>
                <w:kern w:val="0"/>
                <w:sz w:val="21"/>
                <w:szCs w:val="21"/>
                <w:highlight w:val="none"/>
              </w:rPr>
            </w:pPr>
            <w:r>
              <w:rPr>
                <w:rFonts w:hint="eastAsia" w:ascii="宋体" w:hAnsi="宋体" w:eastAsia="宋体" w:cs="宋体"/>
                <w:color w:val="auto"/>
                <w:kern w:val="0"/>
                <w:sz w:val="21"/>
                <w:szCs w:val="21"/>
                <w:highlight w:val="none"/>
              </w:rPr>
              <w:t>开户银行</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1E236266">
            <w:pPr>
              <w:autoSpaceDE w:val="0"/>
              <w:autoSpaceDN w:val="0"/>
              <w:adjustRightInd w:val="0"/>
              <w:snapToGrid w:val="0"/>
              <w:spacing w:line="360" w:lineRule="auto"/>
              <w:ind w:firstLine="1381" w:firstLineChars="658"/>
              <w:jc w:val="center"/>
              <w:rPr>
                <w:rFonts w:ascii="宋体" w:hAnsi="宋体" w:cs="宋体"/>
                <w:color w:val="auto"/>
                <w:kern w:val="0"/>
                <w:sz w:val="21"/>
                <w:szCs w:val="21"/>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573F59B1">
            <w:pPr>
              <w:autoSpaceDE w:val="0"/>
              <w:autoSpaceDN w:val="0"/>
              <w:adjustRightInd w:val="0"/>
              <w:snapToGrid w:val="0"/>
              <w:spacing w:line="360" w:lineRule="auto"/>
              <w:ind w:firstLine="1381" w:firstLineChars="658"/>
              <w:jc w:val="center"/>
              <w:rPr>
                <w:rFonts w:ascii="宋体" w:hAnsi="宋体" w:cs="宋体"/>
                <w:color w:val="auto"/>
                <w:kern w:val="0"/>
                <w:sz w:val="21"/>
                <w:szCs w:val="21"/>
                <w:highlight w:val="none"/>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1009C575">
            <w:pPr>
              <w:autoSpaceDE w:val="0"/>
              <w:autoSpaceDN w:val="0"/>
              <w:adjustRightInd w:val="0"/>
              <w:snapToGrid w:val="0"/>
              <w:spacing w:line="360" w:lineRule="auto"/>
              <w:rPr>
                <w:rFonts w:ascii="宋体" w:hAnsi="宋体" w:cs="宋体"/>
                <w:color w:val="auto"/>
                <w:kern w:val="0"/>
                <w:sz w:val="21"/>
                <w:szCs w:val="21"/>
                <w:highlight w:val="none"/>
              </w:rPr>
            </w:pPr>
            <w:r>
              <w:rPr>
                <w:rFonts w:hint="eastAsia" w:ascii="宋体" w:hAnsi="宋体" w:eastAsia="宋体" w:cs="宋体"/>
                <w:color w:val="auto"/>
                <w:kern w:val="0"/>
                <w:sz w:val="21"/>
                <w:szCs w:val="21"/>
                <w:highlight w:val="none"/>
              </w:rPr>
              <w:t>初级职称人员</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64D8212F">
            <w:pPr>
              <w:autoSpaceDE w:val="0"/>
              <w:autoSpaceDN w:val="0"/>
              <w:adjustRightInd w:val="0"/>
              <w:snapToGrid w:val="0"/>
              <w:spacing w:line="360" w:lineRule="auto"/>
              <w:ind w:firstLine="1381" w:firstLineChars="658"/>
              <w:jc w:val="center"/>
              <w:rPr>
                <w:rFonts w:ascii="宋体" w:hAnsi="宋体" w:cs="宋体"/>
                <w:color w:val="auto"/>
                <w:kern w:val="0"/>
                <w:sz w:val="21"/>
                <w:szCs w:val="21"/>
                <w:highlight w:val="none"/>
              </w:rPr>
            </w:pPr>
          </w:p>
        </w:tc>
      </w:tr>
      <w:tr w14:paraId="2E24F799">
        <w:tblPrEx>
          <w:tblCellMar>
            <w:top w:w="0" w:type="dxa"/>
            <w:left w:w="0" w:type="dxa"/>
            <w:bottom w:w="0" w:type="dxa"/>
            <w:right w:w="0" w:type="dxa"/>
          </w:tblCellMar>
        </w:tblPrEx>
        <w:trPr>
          <w:cantSplit/>
          <w:trHeight w:val="615" w:hRule="exact"/>
          <w:jc w:val="center"/>
        </w:trPr>
        <w:tc>
          <w:tcPr>
            <w:tcW w:w="1728" w:type="dxa"/>
            <w:tcBorders>
              <w:top w:val="single" w:color="000000" w:sz="4" w:space="0"/>
              <w:left w:val="single" w:color="000000" w:sz="4" w:space="0"/>
              <w:bottom w:val="single" w:color="000000" w:sz="4" w:space="0"/>
              <w:right w:val="single" w:color="000000" w:sz="4" w:space="0"/>
            </w:tcBorders>
            <w:vAlign w:val="center"/>
          </w:tcPr>
          <w:p w14:paraId="2DA2697C">
            <w:pPr>
              <w:autoSpaceDE w:val="0"/>
              <w:autoSpaceDN w:val="0"/>
              <w:adjustRightInd w:val="0"/>
              <w:snapToGrid w:val="0"/>
              <w:spacing w:line="360" w:lineRule="auto"/>
              <w:rPr>
                <w:rFonts w:ascii="宋体" w:hAnsi="宋体" w:cs="宋体"/>
                <w:color w:val="auto"/>
                <w:kern w:val="0"/>
                <w:sz w:val="21"/>
                <w:szCs w:val="21"/>
                <w:highlight w:val="none"/>
              </w:rPr>
            </w:pPr>
            <w:r>
              <w:rPr>
                <w:rFonts w:hint="eastAsia" w:ascii="宋体" w:hAnsi="宋体" w:eastAsia="宋体" w:cs="宋体"/>
                <w:color w:val="auto"/>
                <w:kern w:val="0"/>
                <w:sz w:val="21"/>
                <w:szCs w:val="21"/>
                <w:highlight w:val="none"/>
              </w:rPr>
              <w:t>账号</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38409ECB">
            <w:pPr>
              <w:autoSpaceDE w:val="0"/>
              <w:autoSpaceDN w:val="0"/>
              <w:adjustRightInd w:val="0"/>
              <w:snapToGrid w:val="0"/>
              <w:spacing w:line="360" w:lineRule="auto"/>
              <w:ind w:firstLine="1381" w:firstLineChars="658"/>
              <w:jc w:val="center"/>
              <w:rPr>
                <w:rFonts w:ascii="宋体" w:hAnsi="宋体" w:cs="宋体"/>
                <w:color w:val="auto"/>
                <w:kern w:val="0"/>
                <w:sz w:val="21"/>
                <w:szCs w:val="21"/>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5A8CEFAA">
            <w:pPr>
              <w:autoSpaceDE w:val="0"/>
              <w:autoSpaceDN w:val="0"/>
              <w:adjustRightInd w:val="0"/>
              <w:snapToGrid w:val="0"/>
              <w:spacing w:line="360" w:lineRule="auto"/>
              <w:ind w:firstLine="1381" w:firstLineChars="658"/>
              <w:jc w:val="center"/>
              <w:rPr>
                <w:rFonts w:ascii="宋体" w:hAnsi="宋体" w:cs="宋体"/>
                <w:color w:val="auto"/>
                <w:kern w:val="0"/>
                <w:sz w:val="21"/>
                <w:szCs w:val="21"/>
                <w:highlight w:val="none"/>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7949EEEE">
            <w:pPr>
              <w:tabs>
                <w:tab w:val="left" w:pos="1240"/>
              </w:tabs>
              <w:autoSpaceDE w:val="0"/>
              <w:autoSpaceDN w:val="0"/>
              <w:adjustRightInd w:val="0"/>
              <w:snapToGrid w:val="0"/>
              <w:spacing w:line="360" w:lineRule="auto"/>
              <w:rPr>
                <w:rFonts w:ascii="宋体" w:hAnsi="宋体" w:cs="宋体"/>
                <w:color w:val="auto"/>
                <w:kern w:val="0"/>
                <w:sz w:val="21"/>
                <w:szCs w:val="21"/>
                <w:highlight w:val="none"/>
              </w:rPr>
            </w:pPr>
            <w:r>
              <w:rPr>
                <w:rFonts w:hint="eastAsia" w:ascii="宋体" w:hAnsi="宋体" w:eastAsia="宋体" w:cs="宋体"/>
                <w:color w:val="auto"/>
                <w:kern w:val="0"/>
                <w:sz w:val="21"/>
                <w:szCs w:val="21"/>
                <w:highlight w:val="none"/>
              </w:rPr>
              <w:t>技</w:t>
            </w:r>
            <w:r>
              <w:rPr>
                <w:rFonts w:hint="eastAsia" w:ascii="宋体" w:hAnsi="宋体" w:eastAsia="宋体" w:cs="宋体"/>
                <w:color w:val="auto"/>
                <w:kern w:val="0"/>
                <w:sz w:val="21"/>
                <w:szCs w:val="21"/>
                <w:highlight w:val="none"/>
              </w:rPr>
              <w:tab/>
            </w:r>
            <w:r>
              <w:rPr>
                <w:rFonts w:hint="eastAsia" w:ascii="宋体" w:hAnsi="宋体" w:eastAsia="宋体" w:cs="宋体"/>
                <w:color w:val="auto"/>
                <w:kern w:val="0"/>
                <w:sz w:val="21"/>
                <w:szCs w:val="21"/>
                <w:highlight w:val="none"/>
              </w:rPr>
              <w:t>工</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39C88A19">
            <w:pPr>
              <w:autoSpaceDE w:val="0"/>
              <w:autoSpaceDN w:val="0"/>
              <w:adjustRightInd w:val="0"/>
              <w:snapToGrid w:val="0"/>
              <w:spacing w:line="360" w:lineRule="auto"/>
              <w:ind w:firstLine="1381" w:firstLineChars="658"/>
              <w:jc w:val="center"/>
              <w:rPr>
                <w:rFonts w:ascii="宋体" w:hAnsi="宋体" w:cs="宋体"/>
                <w:color w:val="auto"/>
                <w:kern w:val="0"/>
                <w:sz w:val="21"/>
                <w:szCs w:val="21"/>
                <w:highlight w:val="none"/>
              </w:rPr>
            </w:pPr>
          </w:p>
        </w:tc>
      </w:tr>
      <w:tr w14:paraId="60F50AA1">
        <w:tblPrEx>
          <w:tblCellMar>
            <w:top w:w="0" w:type="dxa"/>
            <w:left w:w="0" w:type="dxa"/>
            <w:bottom w:w="0" w:type="dxa"/>
            <w:right w:w="0" w:type="dxa"/>
          </w:tblCellMar>
        </w:tblPrEx>
        <w:trPr>
          <w:trHeight w:val="960" w:hRule="exact"/>
          <w:jc w:val="center"/>
        </w:trPr>
        <w:tc>
          <w:tcPr>
            <w:tcW w:w="1728" w:type="dxa"/>
            <w:tcBorders>
              <w:top w:val="single" w:color="000000" w:sz="4" w:space="0"/>
              <w:left w:val="single" w:color="000000" w:sz="4" w:space="0"/>
              <w:bottom w:val="single" w:color="000000" w:sz="4" w:space="0"/>
              <w:right w:val="single" w:color="000000" w:sz="4" w:space="0"/>
            </w:tcBorders>
            <w:vAlign w:val="center"/>
          </w:tcPr>
          <w:p w14:paraId="72DE457B">
            <w:pPr>
              <w:autoSpaceDE w:val="0"/>
              <w:autoSpaceDN w:val="0"/>
              <w:adjustRightInd w:val="0"/>
              <w:snapToGrid w:val="0"/>
              <w:spacing w:line="360" w:lineRule="auto"/>
              <w:rPr>
                <w:rFonts w:ascii="宋体" w:hAnsi="宋体" w:cs="宋体"/>
                <w:color w:val="auto"/>
                <w:kern w:val="0"/>
                <w:sz w:val="21"/>
                <w:szCs w:val="21"/>
                <w:highlight w:val="none"/>
              </w:rPr>
            </w:pPr>
            <w:r>
              <w:rPr>
                <w:rFonts w:hint="eastAsia" w:ascii="宋体" w:hAnsi="宋体" w:eastAsia="宋体" w:cs="宋体"/>
                <w:color w:val="auto"/>
                <w:kern w:val="0"/>
                <w:sz w:val="21"/>
                <w:szCs w:val="21"/>
                <w:highlight w:val="none"/>
              </w:rPr>
              <w:t>经营范围</w:t>
            </w:r>
          </w:p>
        </w:tc>
        <w:tc>
          <w:tcPr>
            <w:tcW w:w="6840" w:type="dxa"/>
            <w:gridSpan w:val="9"/>
            <w:tcBorders>
              <w:top w:val="single" w:color="000000" w:sz="4" w:space="0"/>
              <w:left w:val="single" w:color="000000" w:sz="4" w:space="0"/>
              <w:bottom w:val="single" w:color="000000" w:sz="4" w:space="0"/>
              <w:right w:val="single" w:color="000000" w:sz="4" w:space="0"/>
            </w:tcBorders>
            <w:vAlign w:val="center"/>
          </w:tcPr>
          <w:p w14:paraId="2BEC9334">
            <w:pPr>
              <w:autoSpaceDE w:val="0"/>
              <w:autoSpaceDN w:val="0"/>
              <w:adjustRightInd w:val="0"/>
              <w:snapToGrid w:val="0"/>
              <w:spacing w:line="360" w:lineRule="auto"/>
              <w:ind w:firstLine="1381" w:firstLineChars="658"/>
              <w:jc w:val="center"/>
              <w:rPr>
                <w:rFonts w:ascii="宋体" w:hAnsi="宋体" w:cs="宋体"/>
                <w:color w:val="auto"/>
                <w:kern w:val="0"/>
                <w:sz w:val="21"/>
                <w:szCs w:val="21"/>
                <w:highlight w:val="none"/>
              </w:rPr>
            </w:pPr>
          </w:p>
        </w:tc>
      </w:tr>
      <w:tr w14:paraId="64796914">
        <w:tblPrEx>
          <w:tblCellMar>
            <w:top w:w="0" w:type="dxa"/>
            <w:left w:w="0" w:type="dxa"/>
            <w:bottom w:w="0" w:type="dxa"/>
            <w:right w:w="0" w:type="dxa"/>
          </w:tblCellMar>
        </w:tblPrEx>
        <w:trPr>
          <w:trHeight w:val="750" w:hRule="exact"/>
          <w:jc w:val="center"/>
        </w:trPr>
        <w:tc>
          <w:tcPr>
            <w:tcW w:w="1728" w:type="dxa"/>
            <w:tcBorders>
              <w:top w:val="single" w:color="000000" w:sz="4" w:space="0"/>
              <w:left w:val="single" w:color="000000" w:sz="4" w:space="0"/>
              <w:bottom w:val="single" w:color="000000" w:sz="4" w:space="0"/>
              <w:right w:val="single" w:color="000000" w:sz="4" w:space="0"/>
            </w:tcBorders>
            <w:vAlign w:val="center"/>
          </w:tcPr>
          <w:p w14:paraId="49DC65B0">
            <w:pPr>
              <w:autoSpaceDE w:val="0"/>
              <w:autoSpaceDN w:val="0"/>
              <w:adjustRightInd w:val="0"/>
              <w:snapToGrid w:val="0"/>
              <w:spacing w:line="360" w:lineRule="auto"/>
              <w:rPr>
                <w:rFonts w:ascii="宋体" w:hAnsi="宋体" w:cs="宋体"/>
                <w:color w:val="auto"/>
                <w:kern w:val="0"/>
                <w:sz w:val="21"/>
                <w:szCs w:val="21"/>
                <w:highlight w:val="none"/>
              </w:rPr>
            </w:pPr>
            <w:r>
              <w:rPr>
                <w:rFonts w:hint="eastAsia" w:ascii="宋体" w:hAnsi="宋体" w:eastAsia="宋体" w:cs="宋体"/>
                <w:color w:val="auto"/>
                <w:kern w:val="0"/>
                <w:sz w:val="21"/>
                <w:szCs w:val="21"/>
                <w:highlight w:val="none"/>
              </w:rPr>
              <w:t>备注</w:t>
            </w:r>
          </w:p>
        </w:tc>
        <w:tc>
          <w:tcPr>
            <w:tcW w:w="6840" w:type="dxa"/>
            <w:gridSpan w:val="9"/>
            <w:tcBorders>
              <w:top w:val="single" w:color="000000" w:sz="4" w:space="0"/>
              <w:left w:val="single" w:color="000000" w:sz="4" w:space="0"/>
              <w:bottom w:val="single" w:color="000000" w:sz="4" w:space="0"/>
              <w:right w:val="single" w:color="000000" w:sz="4" w:space="0"/>
            </w:tcBorders>
            <w:vAlign w:val="center"/>
          </w:tcPr>
          <w:p w14:paraId="26A75347">
            <w:pPr>
              <w:autoSpaceDE w:val="0"/>
              <w:autoSpaceDN w:val="0"/>
              <w:adjustRightInd w:val="0"/>
              <w:snapToGrid w:val="0"/>
              <w:spacing w:line="360" w:lineRule="auto"/>
              <w:ind w:firstLine="1381" w:firstLineChars="658"/>
              <w:jc w:val="center"/>
              <w:rPr>
                <w:rFonts w:ascii="宋体" w:hAnsi="宋体" w:cs="宋体"/>
                <w:color w:val="auto"/>
                <w:kern w:val="0"/>
                <w:sz w:val="21"/>
                <w:szCs w:val="21"/>
                <w:highlight w:val="none"/>
              </w:rPr>
            </w:pPr>
          </w:p>
        </w:tc>
      </w:tr>
    </w:tbl>
    <w:p w14:paraId="1048A7D2">
      <w:pPr>
        <w:autoSpaceDE w:val="0"/>
        <w:autoSpaceDN w:val="0"/>
        <w:adjustRightInd w:val="0"/>
        <w:snapToGrid w:val="0"/>
        <w:spacing w:line="360" w:lineRule="auto"/>
        <w:ind w:right="-110"/>
        <w:rPr>
          <w:rFonts w:ascii="宋体" w:hAnsi="宋体" w:cs="宋体"/>
          <w:b/>
          <w:color w:val="auto"/>
          <w:sz w:val="32"/>
          <w:szCs w:val="32"/>
          <w:highlight w:val="none"/>
        </w:rPr>
      </w:pPr>
    </w:p>
    <w:p w14:paraId="1AD27096">
      <w:pPr>
        <w:autoSpaceDE w:val="0"/>
        <w:autoSpaceDN w:val="0"/>
        <w:adjustRightInd w:val="0"/>
        <w:snapToGrid w:val="0"/>
        <w:spacing w:line="360" w:lineRule="auto"/>
        <w:ind w:right="-110"/>
        <w:rPr>
          <w:rFonts w:ascii="宋体" w:hAnsi="宋体" w:cs="宋体"/>
          <w:b/>
          <w:color w:val="auto"/>
          <w:sz w:val="32"/>
          <w:szCs w:val="32"/>
          <w:highlight w:val="none"/>
        </w:rPr>
      </w:pPr>
    </w:p>
    <w:p w14:paraId="02A4ECF9">
      <w:pPr>
        <w:autoSpaceDE w:val="0"/>
        <w:autoSpaceDN w:val="0"/>
        <w:adjustRightInd w:val="0"/>
        <w:snapToGrid w:val="0"/>
        <w:spacing w:line="360" w:lineRule="auto"/>
        <w:ind w:right="-110"/>
        <w:rPr>
          <w:rFonts w:ascii="宋体" w:hAnsi="宋体" w:cs="宋体"/>
          <w:b/>
          <w:color w:val="auto"/>
          <w:sz w:val="32"/>
          <w:szCs w:val="32"/>
          <w:highlight w:val="none"/>
        </w:rPr>
      </w:pPr>
    </w:p>
    <w:p w14:paraId="7D8A2175">
      <w:pPr>
        <w:autoSpaceDE w:val="0"/>
        <w:autoSpaceDN w:val="0"/>
        <w:adjustRightInd w:val="0"/>
        <w:snapToGrid w:val="0"/>
        <w:spacing w:line="360" w:lineRule="auto"/>
        <w:rPr>
          <w:rFonts w:ascii="宋体" w:hAnsi="宋体" w:cs="宋体"/>
          <w:color w:val="auto"/>
          <w:kern w:val="0"/>
          <w:highlight w:val="none"/>
        </w:rPr>
      </w:pPr>
      <w:bookmarkStart w:id="921" w:name="_Toc509"/>
    </w:p>
    <w:p w14:paraId="65115EF6">
      <w:pPr>
        <w:pStyle w:val="6"/>
        <w:spacing w:before="0" w:after="0" w:line="360" w:lineRule="auto"/>
        <w:rPr>
          <w:rFonts w:ascii="宋体" w:hAnsi="宋体" w:cs="宋体"/>
          <w:color w:val="auto"/>
          <w:sz w:val="28"/>
          <w:szCs w:val="28"/>
          <w:highlight w:val="none"/>
        </w:rPr>
      </w:pPr>
      <w:bookmarkStart w:id="922" w:name="_Toc7115877"/>
      <w:bookmarkStart w:id="923" w:name="_Toc190689334"/>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六</w:t>
      </w:r>
      <w:r>
        <w:rPr>
          <w:rFonts w:hint="eastAsia" w:ascii="宋体" w:hAnsi="宋体" w:eastAsia="宋体" w:cs="宋体"/>
          <w:color w:val="auto"/>
          <w:sz w:val="28"/>
          <w:szCs w:val="28"/>
          <w:highlight w:val="none"/>
        </w:rPr>
        <w:t>）项目管理机构</w:t>
      </w:r>
      <w:bookmarkEnd w:id="920"/>
      <w:bookmarkEnd w:id="921"/>
      <w:bookmarkEnd w:id="922"/>
      <w:bookmarkEnd w:id="923"/>
    </w:p>
    <w:p w14:paraId="41480002">
      <w:pPr>
        <w:autoSpaceDE w:val="0"/>
        <w:autoSpaceDN w:val="0"/>
        <w:adjustRightInd w:val="0"/>
        <w:snapToGrid w:val="0"/>
        <w:spacing w:line="360" w:lineRule="auto"/>
        <w:ind w:right="-110"/>
        <w:jc w:val="center"/>
        <w:rPr>
          <w:rFonts w:ascii="宋体" w:hAnsi="宋体" w:cs="宋体"/>
          <w:color w:val="auto"/>
          <w:highlight w:val="none"/>
        </w:rPr>
      </w:pPr>
      <w:r>
        <w:rPr>
          <w:rFonts w:hint="eastAsia" w:ascii="宋体" w:hAnsi="宋体" w:eastAsia="宋体" w:cs="宋体"/>
          <w:b/>
          <w:color w:val="auto"/>
          <w:sz w:val="28"/>
          <w:szCs w:val="28"/>
          <w:highlight w:val="none"/>
        </w:rPr>
        <w:t>项目管理机构组成表</w:t>
      </w:r>
    </w:p>
    <w:tbl>
      <w:tblPr>
        <w:tblStyle w:val="14"/>
        <w:tblW w:w="0" w:type="auto"/>
        <w:jc w:val="center"/>
        <w:tblLayout w:type="fixed"/>
        <w:tblCellMar>
          <w:top w:w="0" w:type="dxa"/>
          <w:left w:w="0" w:type="dxa"/>
          <w:bottom w:w="0" w:type="dxa"/>
          <w:right w:w="0" w:type="dxa"/>
        </w:tblCellMar>
      </w:tblPr>
      <w:tblGrid>
        <w:gridCol w:w="648"/>
        <w:gridCol w:w="721"/>
        <w:gridCol w:w="718"/>
        <w:gridCol w:w="850"/>
        <w:gridCol w:w="923"/>
        <w:gridCol w:w="718"/>
        <w:gridCol w:w="720"/>
        <w:gridCol w:w="520"/>
        <w:gridCol w:w="2721"/>
        <w:gridCol w:w="671"/>
      </w:tblGrid>
      <w:tr w14:paraId="29AF14A5">
        <w:tblPrEx>
          <w:tblCellMar>
            <w:top w:w="0" w:type="dxa"/>
            <w:left w:w="0" w:type="dxa"/>
            <w:bottom w:w="0" w:type="dxa"/>
            <w:right w:w="0" w:type="dxa"/>
          </w:tblCellMar>
        </w:tblPrEx>
        <w:trPr>
          <w:trHeight w:val="450" w:hRule="exact"/>
          <w:jc w:val="center"/>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25A5BA25">
            <w:pPr>
              <w:autoSpaceDE w:val="0"/>
              <w:autoSpaceDN w:val="0"/>
              <w:adjustRightInd w:val="0"/>
              <w:snapToGrid w:val="0"/>
              <w:spacing w:line="360" w:lineRule="auto"/>
              <w:rPr>
                <w:rFonts w:ascii="宋体" w:hAnsi="宋体" w:cs="宋体"/>
                <w:color w:val="auto"/>
                <w:kern w:val="0"/>
                <w:sz w:val="21"/>
                <w:szCs w:val="21"/>
                <w:highlight w:val="none"/>
              </w:rPr>
            </w:pPr>
            <w:r>
              <w:rPr>
                <w:rFonts w:hint="eastAsia" w:ascii="宋体" w:hAnsi="宋体" w:eastAsia="宋体" w:cs="宋体"/>
                <w:color w:val="auto"/>
                <w:kern w:val="0"/>
                <w:sz w:val="21"/>
                <w:szCs w:val="21"/>
                <w:highlight w:val="none"/>
              </w:rPr>
              <w:t>职务</w:t>
            </w:r>
          </w:p>
        </w:tc>
        <w:tc>
          <w:tcPr>
            <w:tcW w:w="721" w:type="dxa"/>
            <w:vMerge w:val="restart"/>
            <w:tcBorders>
              <w:top w:val="single" w:color="000000" w:sz="4" w:space="0"/>
              <w:left w:val="single" w:color="000000" w:sz="4" w:space="0"/>
              <w:bottom w:val="single" w:color="000000" w:sz="4" w:space="0"/>
              <w:right w:val="single" w:color="000000" w:sz="4" w:space="0"/>
            </w:tcBorders>
            <w:vAlign w:val="center"/>
          </w:tcPr>
          <w:p w14:paraId="30143FA8">
            <w:pPr>
              <w:autoSpaceDE w:val="0"/>
              <w:autoSpaceDN w:val="0"/>
              <w:adjustRightInd w:val="0"/>
              <w:snapToGrid w:val="0"/>
              <w:spacing w:line="360" w:lineRule="auto"/>
              <w:rPr>
                <w:rFonts w:ascii="宋体" w:hAnsi="宋体" w:cs="宋体"/>
                <w:color w:val="auto"/>
                <w:kern w:val="0"/>
                <w:sz w:val="21"/>
                <w:szCs w:val="21"/>
                <w:highlight w:val="none"/>
              </w:rPr>
            </w:pPr>
            <w:r>
              <w:rPr>
                <w:rFonts w:hint="eastAsia" w:ascii="宋体" w:hAnsi="宋体" w:eastAsia="宋体" w:cs="宋体"/>
                <w:color w:val="auto"/>
                <w:kern w:val="0"/>
                <w:sz w:val="21"/>
                <w:szCs w:val="21"/>
                <w:highlight w:val="none"/>
              </w:rPr>
              <w:t>姓名</w:t>
            </w:r>
          </w:p>
        </w:tc>
        <w:tc>
          <w:tcPr>
            <w:tcW w:w="718" w:type="dxa"/>
            <w:vMerge w:val="restart"/>
            <w:tcBorders>
              <w:top w:val="single" w:color="000000" w:sz="4" w:space="0"/>
              <w:left w:val="single" w:color="000000" w:sz="4" w:space="0"/>
              <w:bottom w:val="single" w:color="000000" w:sz="4" w:space="0"/>
              <w:right w:val="single" w:color="000000" w:sz="4" w:space="0"/>
            </w:tcBorders>
            <w:vAlign w:val="center"/>
          </w:tcPr>
          <w:p w14:paraId="388C8410">
            <w:pPr>
              <w:autoSpaceDE w:val="0"/>
              <w:autoSpaceDN w:val="0"/>
              <w:adjustRightInd w:val="0"/>
              <w:snapToGrid w:val="0"/>
              <w:spacing w:line="360" w:lineRule="auto"/>
              <w:rPr>
                <w:rFonts w:ascii="宋体" w:hAnsi="宋体" w:cs="宋体"/>
                <w:color w:val="auto"/>
                <w:kern w:val="0"/>
                <w:sz w:val="21"/>
                <w:szCs w:val="21"/>
                <w:highlight w:val="none"/>
              </w:rPr>
            </w:pPr>
            <w:r>
              <w:rPr>
                <w:rFonts w:hint="eastAsia" w:ascii="宋体" w:hAnsi="宋体" w:eastAsia="宋体" w:cs="宋体"/>
                <w:color w:val="auto"/>
                <w:kern w:val="0"/>
                <w:sz w:val="21"/>
                <w:szCs w:val="21"/>
                <w:highlight w:val="none"/>
              </w:rPr>
              <w:t>职称</w:t>
            </w:r>
          </w:p>
        </w:tc>
        <w:tc>
          <w:tcPr>
            <w:tcW w:w="850" w:type="dxa"/>
            <w:vMerge w:val="restart"/>
            <w:tcBorders>
              <w:top w:val="single" w:color="000000" w:sz="4" w:space="0"/>
              <w:left w:val="single" w:color="000000" w:sz="4" w:space="0"/>
              <w:bottom w:val="single" w:color="000000" w:sz="4" w:space="0"/>
              <w:right w:val="single" w:color="000000" w:sz="4" w:space="0"/>
            </w:tcBorders>
            <w:vAlign w:val="center"/>
          </w:tcPr>
          <w:p w14:paraId="7B48BF8D">
            <w:pPr>
              <w:autoSpaceDE w:val="0"/>
              <w:autoSpaceDN w:val="0"/>
              <w:adjustRightInd w:val="0"/>
              <w:snapToGrid w:val="0"/>
              <w:spacing w:line="360" w:lineRule="auto"/>
              <w:rPr>
                <w:rFonts w:ascii="宋体" w:hAnsi="宋体" w:cs="宋体"/>
                <w:color w:val="auto"/>
                <w:kern w:val="0"/>
                <w:sz w:val="21"/>
                <w:szCs w:val="21"/>
                <w:highlight w:val="none"/>
              </w:rPr>
            </w:pPr>
            <w:r>
              <w:rPr>
                <w:rFonts w:hint="eastAsia" w:ascii="宋体" w:hAnsi="宋体" w:eastAsia="宋体" w:cs="宋体"/>
                <w:color w:val="auto"/>
                <w:kern w:val="0"/>
                <w:sz w:val="21"/>
                <w:szCs w:val="21"/>
                <w:highlight w:val="none"/>
              </w:rPr>
              <w:t>联系电话</w:t>
            </w:r>
          </w:p>
        </w:tc>
        <w:tc>
          <w:tcPr>
            <w:tcW w:w="5602" w:type="dxa"/>
            <w:gridSpan w:val="5"/>
            <w:tcBorders>
              <w:top w:val="single" w:color="000000" w:sz="4" w:space="0"/>
              <w:left w:val="single" w:color="000000" w:sz="4" w:space="0"/>
              <w:bottom w:val="single" w:color="000000" w:sz="4" w:space="0"/>
              <w:right w:val="single" w:color="000000" w:sz="4" w:space="0"/>
            </w:tcBorders>
            <w:vAlign w:val="center"/>
          </w:tcPr>
          <w:p w14:paraId="5EAA5E51">
            <w:pPr>
              <w:autoSpaceDE w:val="0"/>
              <w:autoSpaceDN w:val="0"/>
              <w:adjustRightInd w:val="0"/>
              <w:snapToGrid w:val="0"/>
              <w:spacing w:line="360" w:lineRule="auto"/>
              <w:ind w:firstLine="1381" w:firstLineChars="658"/>
              <w:jc w:val="center"/>
              <w:rPr>
                <w:rFonts w:ascii="宋体" w:hAnsi="宋体" w:cs="宋体"/>
                <w:color w:val="auto"/>
                <w:kern w:val="0"/>
                <w:sz w:val="21"/>
                <w:szCs w:val="21"/>
                <w:highlight w:val="none"/>
              </w:rPr>
            </w:pPr>
            <w:r>
              <w:rPr>
                <w:rFonts w:hint="eastAsia" w:ascii="宋体" w:hAnsi="宋体" w:eastAsia="宋体" w:cs="宋体"/>
                <w:color w:val="auto"/>
                <w:kern w:val="0"/>
                <w:sz w:val="21"/>
                <w:szCs w:val="21"/>
                <w:highlight w:val="none"/>
              </w:rPr>
              <w:t>执业或职业资格证明</w:t>
            </w:r>
          </w:p>
        </w:tc>
        <w:tc>
          <w:tcPr>
            <w:tcW w:w="671" w:type="dxa"/>
            <w:vMerge w:val="restart"/>
            <w:tcBorders>
              <w:top w:val="single" w:color="000000" w:sz="4" w:space="0"/>
              <w:left w:val="single" w:color="000000" w:sz="4" w:space="0"/>
              <w:right w:val="single" w:color="000000" w:sz="4" w:space="0"/>
            </w:tcBorders>
            <w:vAlign w:val="center"/>
          </w:tcPr>
          <w:p w14:paraId="7AAFB725">
            <w:pPr>
              <w:autoSpaceDE w:val="0"/>
              <w:autoSpaceDN w:val="0"/>
              <w:adjustRightInd w:val="0"/>
              <w:snapToGrid w:val="0"/>
              <w:spacing w:line="360" w:lineRule="auto"/>
              <w:ind w:firstLine="1381" w:firstLineChars="658"/>
              <w:jc w:val="center"/>
              <w:rPr>
                <w:rFonts w:ascii="宋体" w:hAnsi="宋体" w:cs="宋体"/>
                <w:color w:val="auto"/>
                <w:kern w:val="0"/>
                <w:sz w:val="21"/>
                <w:szCs w:val="21"/>
                <w:highlight w:val="none"/>
              </w:rPr>
            </w:pPr>
            <w:r>
              <w:rPr>
                <w:rFonts w:hint="eastAsia" w:ascii="宋体" w:hAnsi="宋体" w:eastAsia="宋体" w:cs="宋体"/>
                <w:color w:val="auto"/>
                <w:kern w:val="0"/>
                <w:sz w:val="21"/>
                <w:szCs w:val="21"/>
                <w:highlight w:val="none"/>
              </w:rPr>
              <w:t>备注</w:t>
            </w:r>
          </w:p>
        </w:tc>
      </w:tr>
      <w:tr w14:paraId="517E8044">
        <w:tblPrEx>
          <w:tblCellMar>
            <w:top w:w="0" w:type="dxa"/>
            <w:left w:w="0" w:type="dxa"/>
            <w:bottom w:w="0" w:type="dxa"/>
            <w:right w:w="0" w:type="dxa"/>
          </w:tblCellMar>
        </w:tblPrEx>
        <w:trPr>
          <w:trHeight w:val="590" w:hRule="exact"/>
          <w:jc w:val="center"/>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3061CEAB">
            <w:pPr>
              <w:widowControl/>
              <w:spacing w:line="360" w:lineRule="auto"/>
              <w:ind w:firstLine="1381" w:firstLineChars="658"/>
              <w:rPr>
                <w:rFonts w:ascii="宋体" w:hAnsi="宋体" w:cs="宋体"/>
                <w:color w:val="auto"/>
                <w:kern w:val="0"/>
                <w:sz w:val="21"/>
                <w:szCs w:val="21"/>
                <w:highlight w:val="none"/>
              </w:rPr>
            </w:pPr>
          </w:p>
        </w:tc>
        <w:tc>
          <w:tcPr>
            <w:tcW w:w="721" w:type="dxa"/>
            <w:vMerge w:val="continue"/>
            <w:tcBorders>
              <w:top w:val="single" w:color="000000" w:sz="4" w:space="0"/>
              <w:left w:val="single" w:color="000000" w:sz="4" w:space="0"/>
              <w:bottom w:val="single" w:color="000000" w:sz="4" w:space="0"/>
              <w:right w:val="single" w:color="000000" w:sz="4" w:space="0"/>
            </w:tcBorders>
            <w:vAlign w:val="center"/>
          </w:tcPr>
          <w:p w14:paraId="7CC8A263">
            <w:pPr>
              <w:widowControl/>
              <w:spacing w:line="360" w:lineRule="auto"/>
              <w:ind w:firstLine="1381" w:firstLineChars="658"/>
              <w:rPr>
                <w:rFonts w:ascii="宋体" w:hAnsi="宋体" w:cs="宋体"/>
                <w:color w:val="auto"/>
                <w:kern w:val="0"/>
                <w:sz w:val="21"/>
                <w:szCs w:val="21"/>
                <w:highlight w:val="none"/>
              </w:rPr>
            </w:pPr>
          </w:p>
        </w:tc>
        <w:tc>
          <w:tcPr>
            <w:tcW w:w="718" w:type="dxa"/>
            <w:vMerge w:val="continue"/>
            <w:tcBorders>
              <w:top w:val="single" w:color="000000" w:sz="4" w:space="0"/>
              <w:left w:val="single" w:color="000000" w:sz="4" w:space="0"/>
              <w:bottom w:val="single" w:color="000000" w:sz="4" w:space="0"/>
              <w:right w:val="single" w:color="000000" w:sz="4" w:space="0"/>
            </w:tcBorders>
            <w:vAlign w:val="center"/>
          </w:tcPr>
          <w:p w14:paraId="5D837D3E">
            <w:pPr>
              <w:widowControl/>
              <w:spacing w:line="360" w:lineRule="auto"/>
              <w:ind w:firstLine="1381" w:firstLineChars="658"/>
              <w:rPr>
                <w:rFonts w:ascii="宋体" w:hAnsi="宋体" w:cs="宋体"/>
                <w:color w:val="auto"/>
                <w:kern w:val="0"/>
                <w:sz w:val="21"/>
                <w:szCs w:val="21"/>
                <w:highlight w:val="none"/>
              </w:rPr>
            </w:pP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14:paraId="7C31106E">
            <w:pPr>
              <w:widowControl/>
              <w:spacing w:line="360" w:lineRule="auto"/>
              <w:ind w:firstLine="1381" w:firstLineChars="658"/>
              <w:rPr>
                <w:rFonts w:ascii="宋体" w:hAnsi="宋体" w:cs="宋体"/>
                <w:color w:val="auto"/>
                <w:kern w:val="0"/>
                <w:sz w:val="21"/>
                <w:szCs w:val="21"/>
                <w:highlight w:val="none"/>
              </w:rPr>
            </w:pPr>
          </w:p>
        </w:tc>
        <w:tc>
          <w:tcPr>
            <w:tcW w:w="923" w:type="dxa"/>
            <w:tcBorders>
              <w:top w:val="single" w:color="000000" w:sz="4" w:space="0"/>
              <w:left w:val="single" w:color="000000" w:sz="4" w:space="0"/>
              <w:bottom w:val="single" w:color="000000" w:sz="4" w:space="0"/>
              <w:right w:val="single" w:color="000000" w:sz="4" w:space="0"/>
            </w:tcBorders>
            <w:vAlign w:val="center"/>
          </w:tcPr>
          <w:p w14:paraId="49BD5D06">
            <w:pPr>
              <w:autoSpaceDE w:val="0"/>
              <w:autoSpaceDN w:val="0"/>
              <w:adjustRightInd w:val="0"/>
              <w:snapToGrid w:val="0"/>
              <w:spacing w:line="360" w:lineRule="auto"/>
              <w:jc w:val="center"/>
              <w:rPr>
                <w:rFonts w:ascii="宋体" w:hAnsi="宋体" w:cs="宋体"/>
                <w:color w:val="auto"/>
                <w:kern w:val="0"/>
                <w:sz w:val="21"/>
                <w:szCs w:val="21"/>
                <w:highlight w:val="none"/>
              </w:rPr>
            </w:pPr>
            <w:r>
              <w:rPr>
                <w:rFonts w:hint="eastAsia" w:ascii="宋体" w:hAnsi="宋体" w:eastAsia="宋体" w:cs="宋体"/>
                <w:color w:val="auto"/>
                <w:kern w:val="0"/>
                <w:sz w:val="21"/>
                <w:szCs w:val="21"/>
                <w:highlight w:val="none"/>
              </w:rPr>
              <w:t>证书名称</w:t>
            </w:r>
          </w:p>
        </w:tc>
        <w:tc>
          <w:tcPr>
            <w:tcW w:w="718" w:type="dxa"/>
            <w:tcBorders>
              <w:top w:val="single" w:color="000000" w:sz="4" w:space="0"/>
              <w:left w:val="single" w:color="000000" w:sz="4" w:space="0"/>
              <w:bottom w:val="single" w:color="000000" w:sz="4" w:space="0"/>
              <w:right w:val="single" w:color="000000" w:sz="4" w:space="0"/>
            </w:tcBorders>
            <w:vAlign w:val="center"/>
          </w:tcPr>
          <w:p w14:paraId="4057E816">
            <w:pPr>
              <w:autoSpaceDE w:val="0"/>
              <w:autoSpaceDN w:val="0"/>
              <w:adjustRightInd w:val="0"/>
              <w:snapToGrid w:val="0"/>
              <w:spacing w:line="360" w:lineRule="auto"/>
              <w:jc w:val="center"/>
              <w:rPr>
                <w:rFonts w:ascii="宋体" w:hAnsi="宋体" w:cs="宋体"/>
                <w:color w:val="auto"/>
                <w:kern w:val="0"/>
                <w:sz w:val="21"/>
                <w:szCs w:val="21"/>
                <w:highlight w:val="none"/>
              </w:rPr>
            </w:pPr>
            <w:r>
              <w:rPr>
                <w:rFonts w:hint="eastAsia" w:ascii="宋体" w:hAnsi="宋体" w:eastAsia="宋体" w:cs="宋体"/>
                <w:color w:val="auto"/>
                <w:kern w:val="0"/>
                <w:sz w:val="21"/>
                <w:szCs w:val="21"/>
                <w:highlight w:val="none"/>
              </w:rPr>
              <w:t>级别</w:t>
            </w:r>
          </w:p>
        </w:tc>
        <w:tc>
          <w:tcPr>
            <w:tcW w:w="720" w:type="dxa"/>
            <w:tcBorders>
              <w:top w:val="single" w:color="000000" w:sz="4" w:space="0"/>
              <w:left w:val="single" w:color="000000" w:sz="4" w:space="0"/>
              <w:bottom w:val="single" w:color="000000" w:sz="4" w:space="0"/>
              <w:right w:val="single" w:color="000000" w:sz="4" w:space="0"/>
            </w:tcBorders>
            <w:vAlign w:val="center"/>
          </w:tcPr>
          <w:p w14:paraId="27E03CAA">
            <w:pPr>
              <w:autoSpaceDE w:val="0"/>
              <w:autoSpaceDN w:val="0"/>
              <w:adjustRightInd w:val="0"/>
              <w:snapToGrid w:val="0"/>
              <w:spacing w:line="360" w:lineRule="auto"/>
              <w:jc w:val="center"/>
              <w:rPr>
                <w:rFonts w:ascii="宋体" w:hAnsi="宋体" w:cs="宋体"/>
                <w:color w:val="auto"/>
                <w:kern w:val="0"/>
                <w:sz w:val="21"/>
                <w:szCs w:val="21"/>
                <w:highlight w:val="none"/>
              </w:rPr>
            </w:pPr>
            <w:r>
              <w:rPr>
                <w:rFonts w:hint="eastAsia" w:ascii="宋体" w:hAnsi="宋体" w:eastAsia="宋体" w:cs="宋体"/>
                <w:color w:val="auto"/>
                <w:kern w:val="0"/>
                <w:sz w:val="21"/>
                <w:szCs w:val="21"/>
                <w:highlight w:val="none"/>
              </w:rPr>
              <w:t>证号</w:t>
            </w:r>
          </w:p>
        </w:tc>
        <w:tc>
          <w:tcPr>
            <w:tcW w:w="520" w:type="dxa"/>
            <w:tcBorders>
              <w:top w:val="single" w:color="000000" w:sz="4" w:space="0"/>
              <w:left w:val="single" w:color="000000" w:sz="4" w:space="0"/>
              <w:bottom w:val="single" w:color="000000" w:sz="4" w:space="0"/>
              <w:right w:val="single" w:color="000000" w:sz="4" w:space="0"/>
            </w:tcBorders>
            <w:vAlign w:val="center"/>
          </w:tcPr>
          <w:p w14:paraId="45906FDE">
            <w:pPr>
              <w:autoSpaceDE w:val="0"/>
              <w:autoSpaceDN w:val="0"/>
              <w:adjustRightInd w:val="0"/>
              <w:snapToGrid w:val="0"/>
              <w:spacing w:line="360" w:lineRule="auto"/>
              <w:jc w:val="center"/>
              <w:rPr>
                <w:rFonts w:ascii="宋体" w:hAnsi="宋体" w:cs="宋体"/>
                <w:color w:val="auto"/>
                <w:kern w:val="0"/>
                <w:sz w:val="21"/>
                <w:szCs w:val="21"/>
                <w:highlight w:val="none"/>
              </w:rPr>
            </w:pPr>
            <w:r>
              <w:rPr>
                <w:rFonts w:hint="eastAsia" w:ascii="宋体" w:hAnsi="宋体" w:eastAsia="宋体" w:cs="宋体"/>
                <w:color w:val="auto"/>
                <w:kern w:val="0"/>
                <w:sz w:val="21"/>
                <w:szCs w:val="21"/>
                <w:highlight w:val="none"/>
              </w:rPr>
              <w:t>专业</w:t>
            </w:r>
          </w:p>
        </w:tc>
        <w:tc>
          <w:tcPr>
            <w:tcW w:w="2721" w:type="dxa"/>
            <w:tcBorders>
              <w:top w:val="single" w:color="000000" w:sz="4" w:space="0"/>
              <w:left w:val="single" w:color="000000" w:sz="4" w:space="0"/>
              <w:bottom w:val="single" w:color="000000" w:sz="4" w:space="0"/>
              <w:right w:val="single" w:color="000000" w:sz="4" w:space="0"/>
            </w:tcBorders>
            <w:vAlign w:val="center"/>
          </w:tcPr>
          <w:p w14:paraId="6CDB12C3">
            <w:pPr>
              <w:autoSpaceDE w:val="0"/>
              <w:autoSpaceDN w:val="0"/>
              <w:adjustRightInd w:val="0"/>
              <w:snapToGrid w:val="0"/>
              <w:spacing w:line="360" w:lineRule="auto"/>
              <w:jc w:val="center"/>
              <w:rPr>
                <w:rFonts w:ascii="宋体" w:hAnsi="宋体" w:cs="宋体"/>
                <w:color w:val="auto"/>
                <w:kern w:val="0"/>
                <w:sz w:val="21"/>
                <w:szCs w:val="21"/>
                <w:highlight w:val="none"/>
              </w:rPr>
            </w:pPr>
            <w:r>
              <w:rPr>
                <w:rFonts w:hint="eastAsia" w:ascii="宋体" w:hAnsi="宋体" w:eastAsia="宋体" w:cs="宋体"/>
                <w:color w:val="auto"/>
                <w:kern w:val="0"/>
                <w:sz w:val="21"/>
                <w:szCs w:val="21"/>
                <w:highlight w:val="none"/>
              </w:rPr>
              <w:t>养老保险编号</w:t>
            </w:r>
          </w:p>
        </w:tc>
        <w:tc>
          <w:tcPr>
            <w:tcW w:w="671" w:type="dxa"/>
            <w:vMerge w:val="continue"/>
            <w:tcBorders>
              <w:left w:val="single" w:color="000000" w:sz="4" w:space="0"/>
              <w:bottom w:val="single" w:color="000000" w:sz="4" w:space="0"/>
              <w:right w:val="single" w:color="000000" w:sz="4" w:space="0"/>
            </w:tcBorders>
          </w:tcPr>
          <w:p w14:paraId="5943ACC8">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r>
      <w:tr w14:paraId="6BE4459F">
        <w:tblPrEx>
          <w:tblCellMar>
            <w:top w:w="0" w:type="dxa"/>
            <w:left w:w="0" w:type="dxa"/>
            <w:bottom w:w="0" w:type="dxa"/>
            <w:right w:w="0" w:type="dxa"/>
          </w:tblCellMar>
        </w:tblPrEx>
        <w:trPr>
          <w:trHeight w:val="450" w:hRule="exact"/>
          <w:jc w:val="center"/>
        </w:trPr>
        <w:tc>
          <w:tcPr>
            <w:tcW w:w="648" w:type="dxa"/>
            <w:tcBorders>
              <w:top w:val="single" w:color="000000" w:sz="4" w:space="0"/>
              <w:left w:val="single" w:color="000000" w:sz="4" w:space="0"/>
              <w:bottom w:val="single" w:color="000000" w:sz="4" w:space="0"/>
              <w:right w:val="single" w:color="000000" w:sz="4" w:space="0"/>
            </w:tcBorders>
          </w:tcPr>
          <w:p w14:paraId="7B77950E">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21" w:type="dxa"/>
            <w:tcBorders>
              <w:top w:val="single" w:color="000000" w:sz="4" w:space="0"/>
              <w:left w:val="single" w:color="000000" w:sz="4" w:space="0"/>
              <w:bottom w:val="single" w:color="000000" w:sz="4" w:space="0"/>
              <w:right w:val="single" w:color="000000" w:sz="4" w:space="0"/>
            </w:tcBorders>
          </w:tcPr>
          <w:p w14:paraId="5E8E1C4B">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18" w:type="dxa"/>
            <w:tcBorders>
              <w:top w:val="single" w:color="000000" w:sz="4" w:space="0"/>
              <w:left w:val="single" w:color="000000" w:sz="4" w:space="0"/>
              <w:bottom w:val="single" w:color="000000" w:sz="4" w:space="0"/>
              <w:right w:val="single" w:color="000000" w:sz="4" w:space="0"/>
            </w:tcBorders>
          </w:tcPr>
          <w:p w14:paraId="1B8E0049">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14:paraId="061EA9F1">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923" w:type="dxa"/>
            <w:tcBorders>
              <w:top w:val="single" w:color="000000" w:sz="4" w:space="0"/>
              <w:left w:val="single" w:color="000000" w:sz="4" w:space="0"/>
              <w:bottom w:val="single" w:color="000000" w:sz="4" w:space="0"/>
              <w:right w:val="single" w:color="000000" w:sz="4" w:space="0"/>
            </w:tcBorders>
          </w:tcPr>
          <w:p w14:paraId="7A9BEE15">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18" w:type="dxa"/>
            <w:tcBorders>
              <w:top w:val="single" w:color="000000" w:sz="4" w:space="0"/>
              <w:left w:val="single" w:color="000000" w:sz="4" w:space="0"/>
              <w:bottom w:val="single" w:color="000000" w:sz="4" w:space="0"/>
              <w:right w:val="single" w:color="000000" w:sz="4" w:space="0"/>
            </w:tcBorders>
          </w:tcPr>
          <w:p w14:paraId="080DA491">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20" w:type="dxa"/>
            <w:tcBorders>
              <w:top w:val="single" w:color="000000" w:sz="4" w:space="0"/>
              <w:left w:val="single" w:color="000000" w:sz="4" w:space="0"/>
              <w:bottom w:val="single" w:color="000000" w:sz="4" w:space="0"/>
              <w:right w:val="single" w:color="000000" w:sz="4" w:space="0"/>
            </w:tcBorders>
          </w:tcPr>
          <w:p w14:paraId="38DEFFC5">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520" w:type="dxa"/>
            <w:tcBorders>
              <w:top w:val="single" w:color="000000" w:sz="4" w:space="0"/>
              <w:left w:val="single" w:color="000000" w:sz="4" w:space="0"/>
              <w:bottom w:val="single" w:color="000000" w:sz="4" w:space="0"/>
              <w:right w:val="single" w:color="000000" w:sz="4" w:space="0"/>
            </w:tcBorders>
          </w:tcPr>
          <w:p w14:paraId="3F756D43">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2721" w:type="dxa"/>
            <w:tcBorders>
              <w:top w:val="single" w:color="000000" w:sz="4" w:space="0"/>
              <w:left w:val="single" w:color="000000" w:sz="4" w:space="0"/>
              <w:bottom w:val="single" w:color="000000" w:sz="4" w:space="0"/>
              <w:right w:val="single" w:color="000000" w:sz="4" w:space="0"/>
            </w:tcBorders>
          </w:tcPr>
          <w:p w14:paraId="7DC44966">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671" w:type="dxa"/>
            <w:tcBorders>
              <w:top w:val="single" w:color="000000" w:sz="4" w:space="0"/>
              <w:left w:val="single" w:color="000000" w:sz="4" w:space="0"/>
              <w:bottom w:val="single" w:color="000000" w:sz="4" w:space="0"/>
              <w:right w:val="single" w:color="000000" w:sz="4" w:space="0"/>
            </w:tcBorders>
          </w:tcPr>
          <w:p w14:paraId="770587E9">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r>
      <w:tr w14:paraId="65189C1B">
        <w:tblPrEx>
          <w:tblCellMar>
            <w:top w:w="0" w:type="dxa"/>
            <w:left w:w="0" w:type="dxa"/>
            <w:bottom w:w="0" w:type="dxa"/>
            <w:right w:w="0" w:type="dxa"/>
          </w:tblCellMar>
        </w:tblPrEx>
        <w:trPr>
          <w:trHeight w:val="450" w:hRule="exact"/>
          <w:jc w:val="center"/>
        </w:trPr>
        <w:tc>
          <w:tcPr>
            <w:tcW w:w="648" w:type="dxa"/>
            <w:tcBorders>
              <w:top w:val="single" w:color="000000" w:sz="4" w:space="0"/>
              <w:left w:val="single" w:color="000000" w:sz="4" w:space="0"/>
              <w:bottom w:val="single" w:color="000000" w:sz="4" w:space="0"/>
              <w:right w:val="single" w:color="000000" w:sz="4" w:space="0"/>
            </w:tcBorders>
          </w:tcPr>
          <w:p w14:paraId="1E69AEC1">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21" w:type="dxa"/>
            <w:tcBorders>
              <w:top w:val="single" w:color="000000" w:sz="4" w:space="0"/>
              <w:left w:val="single" w:color="000000" w:sz="4" w:space="0"/>
              <w:bottom w:val="single" w:color="000000" w:sz="4" w:space="0"/>
              <w:right w:val="single" w:color="000000" w:sz="4" w:space="0"/>
            </w:tcBorders>
          </w:tcPr>
          <w:p w14:paraId="2DDDADD7">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18" w:type="dxa"/>
            <w:tcBorders>
              <w:top w:val="single" w:color="000000" w:sz="4" w:space="0"/>
              <w:left w:val="single" w:color="000000" w:sz="4" w:space="0"/>
              <w:bottom w:val="single" w:color="000000" w:sz="4" w:space="0"/>
              <w:right w:val="single" w:color="000000" w:sz="4" w:space="0"/>
            </w:tcBorders>
          </w:tcPr>
          <w:p w14:paraId="292B5951">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14:paraId="5C41BAD9">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923" w:type="dxa"/>
            <w:tcBorders>
              <w:top w:val="single" w:color="000000" w:sz="4" w:space="0"/>
              <w:left w:val="single" w:color="000000" w:sz="4" w:space="0"/>
              <w:bottom w:val="single" w:color="000000" w:sz="4" w:space="0"/>
              <w:right w:val="single" w:color="000000" w:sz="4" w:space="0"/>
            </w:tcBorders>
          </w:tcPr>
          <w:p w14:paraId="5A654ECC">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18" w:type="dxa"/>
            <w:tcBorders>
              <w:top w:val="single" w:color="000000" w:sz="4" w:space="0"/>
              <w:left w:val="single" w:color="000000" w:sz="4" w:space="0"/>
              <w:bottom w:val="single" w:color="000000" w:sz="4" w:space="0"/>
              <w:right w:val="single" w:color="000000" w:sz="4" w:space="0"/>
            </w:tcBorders>
          </w:tcPr>
          <w:p w14:paraId="37A51C02">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20" w:type="dxa"/>
            <w:tcBorders>
              <w:top w:val="single" w:color="000000" w:sz="4" w:space="0"/>
              <w:left w:val="single" w:color="000000" w:sz="4" w:space="0"/>
              <w:bottom w:val="single" w:color="000000" w:sz="4" w:space="0"/>
              <w:right w:val="single" w:color="000000" w:sz="4" w:space="0"/>
            </w:tcBorders>
          </w:tcPr>
          <w:p w14:paraId="14CC7D12">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520" w:type="dxa"/>
            <w:tcBorders>
              <w:top w:val="single" w:color="000000" w:sz="4" w:space="0"/>
              <w:left w:val="single" w:color="000000" w:sz="4" w:space="0"/>
              <w:bottom w:val="single" w:color="000000" w:sz="4" w:space="0"/>
              <w:right w:val="single" w:color="000000" w:sz="4" w:space="0"/>
            </w:tcBorders>
          </w:tcPr>
          <w:p w14:paraId="5A3F6BF9">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2721" w:type="dxa"/>
            <w:tcBorders>
              <w:top w:val="single" w:color="000000" w:sz="4" w:space="0"/>
              <w:left w:val="single" w:color="000000" w:sz="4" w:space="0"/>
              <w:bottom w:val="single" w:color="000000" w:sz="4" w:space="0"/>
              <w:right w:val="single" w:color="000000" w:sz="4" w:space="0"/>
            </w:tcBorders>
          </w:tcPr>
          <w:p w14:paraId="64455D9C">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671" w:type="dxa"/>
            <w:tcBorders>
              <w:top w:val="single" w:color="000000" w:sz="4" w:space="0"/>
              <w:left w:val="single" w:color="000000" w:sz="4" w:space="0"/>
              <w:bottom w:val="single" w:color="000000" w:sz="4" w:space="0"/>
              <w:right w:val="single" w:color="000000" w:sz="4" w:space="0"/>
            </w:tcBorders>
          </w:tcPr>
          <w:p w14:paraId="57398229">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r>
      <w:tr w14:paraId="1391227E">
        <w:tblPrEx>
          <w:tblCellMar>
            <w:top w:w="0" w:type="dxa"/>
            <w:left w:w="0" w:type="dxa"/>
            <w:bottom w:w="0" w:type="dxa"/>
            <w:right w:w="0" w:type="dxa"/>
          </w:tblCellMar>
        </w:tblPrEx>
        <w:trPr>
          <w:trHeight w:val="450" w:hRule="exact"/>
          <w:jc w:val="center"/>
        </w:trPr>
        <w:tc>
          <w:tcPr>
            <w:tcW w:w="648" w:type="dxa"/>
            <w:tcBorders>
              <w:top w:val="single" w:color="000000" w:sz="4" w:space="0"/>
              <w:left w:val="single" w:color="000000" w:sz="4" w:space="0"/>
              <w:bottom w:val="single" w:color="000000" w:sz="4" w:space="0"/>
              <w:right w:val="single" w:color="000000" w:sz="4" w:space="0"/>
            </w:tcBorders>
          </w:tcPr>
          <w:p w14:paraId="7CFD88CD">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21" w:type="dxa"/>
            <w:tcBorders>
              <w:top w:val="single" w:color="000000" w:sz="4" w:space="0"/>
              <w:left w:val="single" w:color="000000" w:sz="4" w:space="0"/>
              <w:bottom w:val="single" w:color="000000" w:sz="4" w:space="0"/>
              <w:right w:val="single" w:color="000000" w:sz="4" w:space="0"/>
            </w:tcBorders>
          </w:tcPr>
          <w:p w14:paraId="7967D29A">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18" w:type="dxa"/>
            <w:tcBorders>
              <w:top w:val="single" w:color="000000" w:sz="4" w:space="0"/>
              <w:left w:val="single" w:color="000000" w:sz="4" w:space="0"/>
              <w:bottom w:val="single" w:color="000000" w:sz="4" w:space="0"/>
              <w:right w:val="single" w:color="000000" w:sz="4" w:space="0"/>
            </w:tcBorders>
          </w:tcPr>
          <w:p w14:paraId="2841C559">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14:paraId="19D03942">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923" w:type="dxa"/>
            <w:tcBorders>
              <w:top w:val="single" w:color="000000" w:sz="4" w:space="0"/>
              <w:left w:val="single" w:color="000000" w:sz="4" w:space="0"/>
              <w:bottom w:val="single" w:color="000000" w:sz="4" w:space="0"/>
              <w:right w:val="single" w:color="000000" w:sz="4" w:space="0"/>
            </w:tcBorders>
          </w:tcPr>
          <w:p w14:paraId="4B844EE2">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18" w:type="dxa"/>
            <w:tcBorders>
              <w:top w:val="single" w:color="000000" w:sz="4" w:space="0"/>
              <w:left w:val="single" w:color="000000" w:sz="4" w:space="0"/>
              <w:bottom w:val="single" w:color="000000" w:sz="4" w:space="0"/>
              <w:right w:val="single" w:color="000000" w:sz="4" w:space="0"/>
            </w:tcBorders>
          </w:tcPr>
          <w:p w14:paraId="4714C505">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20" w:type="dxa"/>
            <w:tcBorders>
              <w:top w:val="single" w:color="000000" w:sz="4" w:space="0"/>
              <w:left w:val="single" w:color="000000" w:sz="4" w:space="0"/>
              <w:bottom w:val="single" w:color="000000" w:sz="4" w:space="0"/>
              <w:right w:val="single" w:color="000000" w:sz="4" w:space="0"/>
            </w:tcBorders>
          </w:tcPr>
          <w:p w14:paraId="75D13614">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520" w:type="dxa"/>
            <w:tcBorders>
              <w:top w:val="single" w:color="000000" w:sz="4" w:space="0"/>
              <w:left w:val="single" w:color="000000" w:sz="4" w:space="0"/>
              <w:bottom w:val="single" w:color="000000" w:sz="4" w:space="0"/>
              <w:right w:val="single" w:color="000000" w:sz="4" w:space="0"/>
            </w:tcBorders>
          </w:tcPr>
          <w:p w14:paraId="0BBC0EB1">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2721" w:type="dxa"/>
            <w:tcBorders>
              <w:top w:val="single" w:color="000000" w:sz="4" w:space="0"/>
              <w:left w:val="single" w:color="000000" w:sz="4" w:space="0"/>
              <w:bottom w:val="single" w:color="000000" w:sz="4" w:space="0"/>
              <w:right w:val="single" w:color="000000" w:sz="4" w:space="0"/>
            </w:tcBorders>
          </w:tcPr>
          <w:p w14:paraId="1A81BF0A">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671" w:type="dxa"/>
            <w:tcBorders>
              <w:top w:val="single" w:color="000000" w:sz="4" w:space="0"/>
              <w:left w:val="single" w:color="000000" w:sz="4" w:space="0"/>
              <w:bottom w:val="single" w:color="000000" w:sz="4" w:space="0"/>
              <w:right w:val="single" w:color="000000" w:sz="4" w:space="0"/>
            </w:tcBorders>
          </w:tcPr>
          <w:p w14:paraId="1CBA7AA3">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r>
      <w:tr w14:paraId="7156378B">
        <w:tblPrEx>
          <w:tblCellMar>
            <w:top w:w="0" w:type="dxa"/>
            <w:left w:w="0" w:type="dxa"/>
            <w:bottom w:w="0" w:type="dxa"/>
            <w:right w:w="0" w:type="dxa"/>
          </w:tblCellMar>
        </w:tblPrEx>
        <w:trPr>
          <w:trHeight w:val="450" w:hRule="exact"/>
          <w:jc w:val="center"/>
        </w:trPr>
        <w:tc>
          <w:tcPr>
            <w:tcW w:w="648" w:type="dxa"/>
            <w:tcBorders>
              <w:top w:val="single" w:color="000000" w:sz="4" w:space="0"/>
              <w:left w:val="single" w:color="000000" w:sz="4" w:space="0"/>
              <w:bottom w:val="single" w:color="000000" w:sz="4" w:space="0"/>
              <w:right w:val="single" w:color="000000" w:sz="4" w:space="0"/>
            </w:tcBorders>
          </w:tcPr>
          <w:p w14:paraId="660C2BC8">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21" w:type="dxa"/>
            <w:tcBorders>
              <w:top w:val="single" w:color="000000" w:sz="4" w:space="0"/>
              <w:left w:val="single" w:color="000000" w:sz="4" w:space="0"/>
              <w:bottom w:val="single" w:color="000000" w:sz="4" w:space="0"/>
              <w:right w:val="single" w:color="000000" w:sz="4" w:space="0"/>
            </w:tcBorders>
          </w:tcPr>
          <w:p w14:paraId="2697C96C">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18" w:type="dxa"/>
            <w:tcBorders>
              <w:top w:val="single" w:color="000000" w:sz="4" w:space="0"/>
              <w:left w:val="single" w:color="000000" w:sz="4" w:space="0"/>
              <w:bottom w:val="single" w:color="000000" w:sz="4" w:space="0"/>
              <w:right w:val="single" w:color="000000" w:sz="4" w:space="0"/>
            </w:tcBorders>
          </w:tcPr>
          <w:p w14:paraId="56FC70D8">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14:paraId="0489632C">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923" w:type="dxa"/>
            <w:tcBorders>
              <w:top w:val="single" w:color="000000" w:sz="4" w:space="0"/>
              <w:left w:val="single" w:color="000000" w:sz="4" w:space="0"/>
              <w:bottom w:val="single" w:color="000000" w:sz="4" w:space="0"/>
              <w:right w:val="single" w:color="000000" w:sz="4" w:space="0"/>
            </w:tcBorders>
          </w:tcPr>
          <w:p w14:paraId="62FBEC5D">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18" w:type="dxa"/>
            <w:tcBorders>
              <w:top w:val="single" w:color="000000" w:sz="4" w:space="0"/>
              <w:left w:val="single" w:color="000000" w:sz="4" w:space="0"/>
              <w:bottom w:val="single" w:color="000000" w:sz="4" w:space="0"/>
              <w:right w:val="single" w:color="000000" w:sz="4" w:space="0"/>
            </w:tcBorders>
          </w:tcPr>
          <w:p w14:paraId="5C4F30CE">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20" w:type="dxa"/>
            <w:tcBorders>
              <w:top w:val="single" w:color="000000" w:sz="4" w:space="0"/>
              <w:left w:val="single" w:color="000000" w:sz="4" w:space="0"/>
              <w:bottom w:val="single" w:color="000000" w:sz="4" w:space="0"/>
              <w:right w:val="single" w:color="000000" w:sz="4" w:space="0"/>
            </w:tcBorders>
          </w:tcPr>
          <w:p w14:paraId="7579839F">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520" w:type="dxa"/>
            <w:tcBorders>
              <w:top w:val="single" w:color="000000" w:sz="4" w:space="0"/>
              <w:left w:val="single" w:color="000000" w:sz="4" w:space="0"/>
              <w:bottom w:val="single" w:color="000000" w:sz="4" w:space="0"/>
              <w:right w:val="single" w:color="000000" w:sz="4" w:space="0"/>
            </w:tcBorders>
          </w:tcPr>
          <w:p w14:paraId="0E9B5CE4">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2721" w:type="dxa"/>
            <w:tcBorders>
              <w:top w:val="single" w:color="000000" w:sz="4" w:space="0"/>
              <w:left w:val="single" w:color="000000" w:sz="4" w:space="0"/>
              <w:bottom w:val="single" w:color="000000" w:sz="4" w:space="0"/>
              <w:right w:val="single" w:color="000000" w:sz="4" w:space="0"/>
            </w:tcBorders>
          </w:tcPr>
          <w:p w14:paraId="00123755">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671" w:type="dxa"/>
            <w:tcBorders>
              <w:top w:val="single" w:color="000000" w:sz="4" w:space="0"/>
              <w:left w:val="single" w:color="000000" w:sz="4" w:space="0"/>
              <w:bottom w:val="single" w:color="000000" w:sz="4" w:space="0"/>
              <w:right w:val="single" w:color="000000" w:sz="4" w:space="0"/>
            </w:tcBorders>
          </w:tcPr>
          <w:p w14:paraId="584F3C40">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r>
      <w:tr w14:paraId="62D471EC">
        <w:tblPrEx>
          <w:tblCellMar>
            <w:top w:w="0" w:type="dxa"/>
            <w:left w:w="0" w:type="dxa"/>
            <w:bottom w:w="0" w:type="dxa"/>
            <w:right w:w="0" w:type="dxa"/>
          </w:tblCellMar>
        </w:tblPrEx>
        <w:trPr>
          <w:trHeight w:val="450" w:hRule="exact"/>
          <w:jc w:val="center"/>
        </w:trPr>
        <w:tc>
          <w:tcPr>
            <w:tcW w:w="648" w:type="dxa"/>
            <w:tcBorders>
              <w:top w:val="single" w:color="000000" w:sz="4" w:space="0"/>
              <w:left w:val="single" w:color="000000" w:sz="4" w:space="0"/>
              <w:bottom w:val="single" w:color="000000" w:sz="4" w:space="0"/>
              <w:right w:val="single" w:color="000000" w:sz="4" w:space="0"/>
            </w:tcBorders>
          </w:tcPr>
          <w:p w14:paraId="682E184D">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21" w:type="dxa"/>
            <w:tcBorders>
              <w:top w:val="single" w:color="000000" w:sz="4" w:space="0"/>
              <w:left w:val="single" w:color="000000" w:sz="4" w:space="0"/>
              <w:bottom w:val="single" w:color="000000" w:sz="4" w:space="0"/>
              <w:right w:val="single" w:color="000000" w:sz="4" w:space="0"/>
            </w:tcBorders>
          </w:tcPr>
          <w:p w14:paraId="6C81C64C">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18" w:type="dxa"/>
            <w:tcBorders>
              <w:top w:val="single" w:color="000000" w:sz="4" w:space="0"/>
              <w:left w:val="single" w:color="000000" w:sz="4" w:space="0"/>
              <w:bottom w:val="single" w:color="000000" w:sz="4" w:space="0"/>
              <w:right w:val="single" w:color="000000" w:sz="4" w:space="0"/>
            </w:tcBorders>
          </w:tcPr>
          <w:p w14:paraId="336FFFE3">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14:paraId="1A385B4B">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923" w:type="dxa"/>
            <w:tcBorders>
              <w:top w:val="single" w:color="000000" w:sz="4" w:space="0"/>
              <w:left w:val="single" w:color="000000" w:sz="4" w:space="0"/>
              <w:bottom w:val="single" w:color="000000" w:sz="4" w:space="0"/>
              <w:right w:val="single" w:color="000000" w:sz="4" w:space="0"/>
            </w:tcBorders>
          </w:tcPr>
          <w:p w14:paraId="53F6DD27">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18" w:type="dxa"/>
            <w:tcBorders>
              <w:top w:val="single" w:color="000000" w:sz="4" w:space="0"/>
              <w:left w:val="single" w:color="000000" w:sz="4" w:space="0"/>
              <w:bottom w:val="single" w:color="000000" w:sz="4" w:space="0"/>
              <w:right w:val="single" w:color="000000" w:sz="4" w:space="0"/>
            </w:tcBorders>
          </w:tcPr>
          <w:p w14:paraId="1A08A1F3">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20" w:type="dxa"/>
            <w:tcBorders>
              <w:top w:val="single" w:color="000000" w:sz="4" w:space="0"/>
              <w:left w:val="single" w:color="000000" w:sz="4" w:space="0"/>
              <w:bottom w:val="single" w:color="000000" w:sz="4" w:space="0"/>
              <w:right w:val="single" w:color="000000" w:sz="4" w:space="0"/>
            </w:tcBorders>
          </w:tcPr>
          <w:p w14:paraId="7053CC86">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520" w:type="dxa"/>
            <w:tcBorders>
              <w:top w:val="single" w:color="000000" w:sz="4" w:space="0"/>
              <w:left w:val="single" w:color="000000" w:sz="4" w:space="0"/>
              <w:bottom w:val="single" w:color="000000" w:sz="4" w:space="0"/>
              <w:right w:val="single" w:color="000000" w:sz="4" w:space="0"/>
            </w:tcBorders>
          </w:tcPr>
          <w:p w14:paraId="42B308EF">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2721" w:type="dxa"/>
            <w:tcBorders>
              <w:top w:val="single" w:color="000000" w:sz="4" w:space="0"/>
              <w:left w:val="single" w:color="000000" w:sz="4" w:space="0"/>
              <w:bottom w:val="single" w:color="000000" w:sz="4" w:space="0"/>
              <w:right w:val="single" w:color="000000" w:sz="4" w:space="0"/>
            </w:tcBorders>
          </w:tcPr>
          <w:p w14:paraId="2BAB2F97">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671" w:type="dxa"/>
            <w:tcBorders>
              <w:top w:val="single" w:color="000000" w:sz="4" w:space="0"/>
              <w:left w:val="single" w:color="000000" w:sz="4" w:space="0"/>
              <w:bottom w:val="single" w:color="000000" w:sz="4" w:space="0"/>
              <w:right w:val="single" w:color="000000" w:sz="4" w:space="0"/>
            </w:tcBorders>
          </w:tcPr>
          <w:p w14:paraId="3FB41122">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r>
      <w:tr w14:paraId="418BD401">
        <w:tblPrEx>
          <w:tblCellMar>
            <w:top w:w="0" w:type="dxa"/>
            <w:left w:w="0" w:type="dxa"/>
            <w:bottom w:w="0" w:type="dxa"/>
            <w:right w:w="0" w:type="dxa"/>
          </w:tblCellMar>
        </w:tblPrEx>
        <w:trPr>
          <w:trHeight w:val="450" w:hRule="exact"/>
          <w:jc w:val="center"/>
        </w:trPr>
        <w:tc>
          <w:tcPr>
            <w:tcW w:w="648" w:type="dxa"/>
            <w:tcBorders>
              <w:top w:val="single" w:color="000000" w:sz="4" w:space="0"/>
              <w:left w:val="single" w:color="000000" w:sz="4" w:space="0"/>
              <w:bottom w:val="single" w:color="000000" w:sz="4" w:space="0"/>
              <w:right w:val="single" w:color="000000" w:sz="4" w:space="0"/>
            </w:tcBorders>
          </w:tcPr>
          <w:p w14:paraId="53B619E3">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21" w:type="dxa"/>
            <w:tcBorders>
              <w:top w:val="single" w:color="000000" w:sz="4" w:space="0"/>
              <w:left w:val="single" w:color="000000" w:sz="4" w:space="0"/>
              <w:bottom w:val="single" w:color="000000" w:sz="4" w:space="0"/>
              <w:right w:val="single" w:color="000000" w:sz="4" w:space="0"/>
            </w:tcBorders>
          </w:tcPr>
          <w:p w14:paraId="1C2D438F">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18" w:type="dxa"/>
            <w:tcBorders>
              <w:top w:val="single" w:color="000000" w:sz="4" w:space="0"/>
              <w:left w:val="single" w:color="000000" w:sz="4" w:space="0"/>
              <w:bottom w:val="single" w:color="000000" w:sz="4" w:space="0"/>
              <w:right w:val="single" w:color="000000" w:sz="4" w:space="0"/>
            </w:tcBorders>
          </w:tcPr>
          <w:p w14:paraId="69B63400">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14:paraId="22C02757">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923" w:type="dxa"/>
            <w:tcBorders>
              <w:top w:val="single" w:color="000000" w:sz="4" w:space="0"/>
              <w:left w:val="single" w:color="000000" w:sz="4" w:space="0"/>
              <w:bottom w:val="single" w:color="000000" w:sz="4" w:space="0"/>
              <w:right w:val="single" w:color="000000" w:sz="4" w:space="0"/>
            </w:tcBorders>
          </w:tcPr>
          <w:p w14:paraId="75A67A4A">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18" w:type="dxa"/>
            <w:tcBorders>
              <w:top w:val="single" w:color="000000" w:sz="4" w:space="0"/>
              <w:left w:val="single" w:color="000000" w:sz="4" w:space="0"/>
              <w:bottom w:val="single" w:color="000000" w:sz="4" w:space="0"/>
              <w:right w:val="single" w:color="000000" w:sz="4" w:space="0"/>
            </w:tcBorders>
          </w:tcPr>
          <w:p w14:paraId="20B9175C">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20" w:type="dxa"/>
            <w:tcBorders>
              <w:top w:val="single" w:color="000000" w:sz="4" w:space="0"/>
              <w:left w:val="single" w:color="000000" w:sz="4" w:space="0"/>
              <w:bottom w:val="single" w:color="000000" w:sz="4" w:space="0"/>
              <w:right w:val="single" w:color="000000" w:sz="4" w:space="0"/>
            </w:tcBorders>
          </w:tcPr>
          <w:p w14:paraId="0C5BD8DE">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520" w:type="dxa"/>
            <w:tcBorders>
              <w:top w:val="single" w:color="000000" w:sz="4" w:space="0"/>
              <w:left w:val="single" w:color="000000" w:sz="4" w:space="0"/>
              <w:bottom w:val="single" w:color="000000" w:sz="4" w:space="0"/>
              <w:right w:val="single" w:color="000000" w:sz="4" w:space="0"/>
            </w:tcBorders>
          </w:tcPr>
          <w:p w14:paraId="41FF7DF3">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2721" w:type="dxa"/>
            <w:tcBorders>
              <w:top w:val="single" w:color="000000" w:sz="4" w:space="0"/>
              <w:left w:val="single" w:color="000000" w:sz="4" w:space="0"/>
              <w:bottom w:val="single" w:color="000000" w:sz="4" w:space="0"/>
              <w:right w:val="single" w:color="000000" w:sz="4" w:space="0"/>
            </w:tcBorders>
          </w:tcPr>
          <w:p w14:paraId="577ECFD3">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671" w:type="dxa"/>
            <w:tcBorders>
              <w:top w:val="single" w:color="000000" w:sz="4" w:space="0"/>
              <w:left w:val="single" w:color="000000" w:sz="4" w:space="0"/>
              <w:bottom w:val="single" w:color="000000" w:sz="4" w:space="0"/>
              <w:right w:val="single" w:color="000000" w:sz="4" w:space="0"/>
            </w:tcBorders>
          </w:tcPr>
          <w:p w14:paraId="68168B54">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r>
      <w:tr w14:paraId="0A9B7F7A">
        <w:tblPrEx>
          <w:tblCellMar>
            <w:top w:w="0" w:type="dxa"/>
            <w:left w:w="0" w:type="dxa"/>
            <w:bottom w:w="0" w:type="dxa"/>
            <w:right w:w="0" w:type="dxa"/>
          </w:tblCellMar>
        </w:tblPrEx>
        <w:trPr>
          <w:trHeight w:val="450" w:hRule="exact"/>
          <w:jc w:val="center"/>
        </w:trPr>
        <w:tc>
          <w:tcPr>
            <w:tcW w:w="648" w:type="dxa"/>
            <w:tcBorders>
              <w:top w:val="single" w:color="000000" w:sz="4" w:space="0"/>
              <w:left w:val="single" w:color="000000" w:sz="4" w:space="0"/>
              <w:bottom w:val="single" w:color="000000" w:sz="4" w:space="0"/>
              <w:right w:val="single" w:color="000000" w:sz="4" w:space="0"/>
            </w:tcBorders>
          </w:tcPr>
          <w:p w14:paraId="00BB70C2">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21" w:type="dxa"/>
            <w:tcBorders>
              <w:top w:val="single" w:color="000000" w:sz="4" w:space="0"/>
              <w:left w:val="single" w:color="000000" w:sz="4" w:space="0"/>
              <w:bottom w:val="single" w:color="000000" w:sz="4" w:space="0"/>
              <w:right w:val="single" w:color="000000" w:sz="4" w:space="0"/>
            </w:tcBorders>
          </w:tcPr>
          <w:p w14:paraId="7E914050">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18" w:type="dxa"/>
            <w:tcBorders>
              <w:top w:val="single" w:color="000000" w:sz="4" w:space="0"/>
              <w:left w:val="single" w:color="000000" w:sz="4" w:space="0"/>
              <w:bottom w:val="single" w:color="000000" w:sz="4" w:space="0"/>
              <w:right w:val="single" w:color="000000" w:sz="4" w:space="0"/>
            </w:tcBorders>
          </w:tcPr>
          <w:p w14:paraId="4E07F896">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14:paraId="74B41813">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923" w:type="dxa"/>
            <w:tcBorders>
              <w:top w:val="single" w:color="000000" w:sz="4" w:space="0"/>
              <w:left w:val="single" w:color="000000" w:sz="4" w:space="0"/>
              <w:bottom w:val="single" w:color="000000" w:sz="4" w:space="0"/>
              <w:right w:val="single" w:color="000000" w:sz="4" w:space="0"/>
            </w:tcBorders>
          </w:tcPr>
          <w:p w14:paraId="4171F7DE">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18" w:type="dxa"/>
            <w:tcBorders>
              <w:top w:val="single" w:color="000000" w:sz="4" w:space="0"/>
              <w:left w:val="single" w:color="000000" w:sz="4" w:space="0"/>
              <w:bottom w:val="single" w:color="000000" w:sz="4" w:space="0"/>
              <w:right w:val="single" w:color="000000" w:sz="4" w:space="0"/>
            </w:tcBorders>
          </w:tcPr>
          <w:p w14:paraId="296584E2">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20" w:type="dxa"/>
            <w:tcBorders>
              <w:top w:val="single" w:color="000000" w:sz="4" w:space="0"/>
              <w:left w:val="single" w:color="000000" w:sz="4" w:space="0"/>
              <w:bottom w:val="single" w:color="000000" w:sz="4" w:space="0"/>
              <w:right w:val="single" w:color="000000" w:sz="4" w:space="0"/>
            </w:tcBorders>
          </w:tcPr>
          <w:p w14:paraId="7AC64270">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520" w:type="dxa"/>
            <w:tcBorders>
              <w:top w:val="single" w:color="000000" w:sz="4" w:space="0"/>
              <w:left w:val="single" w:color="000000" w:sz="4" w:space="0"/>
              <w:bottom w:val="single" w:color="000000" w:sz="4" w:space="0"/>
              <w:right w:val="single" w:color="000000" w:sz="4" w:space="0"/>
            </w:tcBorders>
          </w:tcPr>
          <w:p w14:paraId="098B7D94">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2721" w:type="dxa"/>
            <w:tcBorders>
              <w:top w:val="single" w:color="000000" w:sz="4" w:space="0"/>
              <w:left w:val="single" w:color="000000" w:sz="4" w:space="0"/>
              <w:bottom w:val="single" w:color="000000" w:sz="4" w:space="0"/>
              <w:right w:val="single" w:color="000000" w:sz="4" w:space="0"/>
            </w:tcBorders>
          </w:tcPr>
          <w:p w14:paraId="11E2479C">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671" w:type="dxa"/>
            <w:tcBorders>
              <w:top w:val="single" w:color="000000" w:sz="4" w:space="0"/>
              <w:left w:val="single" w:color="000000" w:sz="4" w:space="0"/>
              <w:bottom w:val="single" w:color="000000" w:sz="4" w:space="0"/>
              <w:right w:val="single" w:color="000000" w:sz="4" w:space="0"/>
            </w:tcBorders>
          </w:tcPr>
          <w:p w14:paraId="1E76AB82">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r>
      <w:tr w14:paraId="607C4E0F">
        <w:tblPrEx>
          <w:tblCellMar>
            <w:top w:w="0" w:type="dxa"/>
            <w:left w:w="0" w:type="dxa"/>
            <w:bottom w:w="0" w:type="dxa"/>
            <w:right w:w="0" w:type="dxa"/>
          </w:tblCellMar>
        </w:tblPrEx>
        <w:trPr>
          <w:trHeight w:val="450" w:hRule="exact"/>
          <w:jc w:val="center"/>
        </w:trPr>
        <w:tc>
          <w:tcPr>
            <w:tcW w:w="648" w:type="dxa"/>
            <w:tcBorders>
              <w:top w:val="single" w:color="000000" w:sz="4" w:space="0"/>
              <w:left w:val="single" w:color="000000" w:sz="4" w:space="0"/>
              <w:bottom w:val="single" w:color="000000" w:sz="4" w:space="0"/>
              <w:right w:val="single" w:color="000000" w:sz="4" w:space="0"/>
            </w:tcBorders>
          </w:tcPr>
          <w:p w14:paraId="39C94A61">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21" w:type="dxa"/>
            <w:tcBorders>
              <w:top w:val="single" w:color="000000" w:sz="4" w:space="0"/>
              <w:left w:val="single" w:color="000000" w:sz="4" w:space="0"/>
              <w:bottom w:val="single" w:color="000000" w:sz="4" w:space="0"/>
              <w:right w:val="single" w:color="000000" w:sz="4" w:space="0"/>
            </w:tcBorders>
          </w:tcPr>
          <w:p w14:paraId="423C783E">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18" w:type="dxa"/>
            <w:tcBorders>
              <w:top w:val="single" w:color="000000" w:sz="4" w:space="0"/>
              <w:left w:val="single" w:color="000000" w:sz="4" w:space="0"/>
              <w:bottom w:val="single" w:color="000000" w:sz="4" w:space="0"/>
              <w:right w:val="single" w:color="000000" w:sz="4" w:space="0"/>
            </w:tcBorders>
          </w:tcPr>
          <w:p w14:paraId="4E89C5F0">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14:paraId="5C6DC15A">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923" w:type="dxa"/>
            <w:tcBorders>
              <w:top w:val="single" w:color="000000" w:sz="4" w:space="0"/>
              <w:left w:val="single" w:color="000000" w:sz="4" w:space="0"/>
              <w:bottom w:val="single" w:color="000000" w:sz="4" w:space="0"/>
              <w:right w:val="single" w:color="000000" w:sz="4" w:space="0"/>
            </w:tcBorders>
          </w:tcPr>
          <w:p w14:paraId="5ED90C32">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18" w:type="dxa"/>
            <w:tcBorders>
              <w:top w:val="single" w:color="000000" w:sz="4" w:space="0"/>
              <w:left w:val="single" w:color="000000" w:sz="4" w:space="0"/>
              <w:bottom w:val="single" w:color="000000" w:sz="4" w:space="0"/>
              <w:right w:val="single" w:color="000000" w:sz="4" w:space="0"/>
            </w:tcBorders>
          </w:tcPr>
          <w:p w14:paraId="003D34BB">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20" w:type="dxa"/>
            <w:tcBorders>
              <w:top w:val="single" w:color="000000" w:sz="4" w:space="0"/>
              <w:left w:val="single" w:color="000000" w:sz="4" w:space="0"/>
              <w:bottom w:val="single" w:color="000000" w:sz="4" w:space="0"/>
              <w:right w:val="single" w:color="000000" w:sz="4" w:space="0"/>
            </w:tcBorders>
          </w:tcPr>
          <w:p w14:paraId="20DA014D">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520" w:type="dxa"/>
            <w:tcBorders>
              <w:top w:val="single" w:color="000000" w:sz="4" w:space="0"/>
              <w:left w:val="single" w:color="000000" w:sz="4" w:space="0"/>
              <w:bottom w:val="single" w:color="000000" w:sz="4" w:space="0"/>
              <w:right w:val="single" w:color="000000" w:sz="4" w:space="0"/>
            </w:tcBorders>
          </w:tcPr>
          <w:p w14:paraId="6B2D6BC4">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2721" w:type="dxa"/>
            <w:tcBorders>
              <w:top w:val="single" w:color="000000" w:sz="4" w:space="0"/>
              <w:left w:val="single" w:color="000000" w:sz="4" w:space="0"/>
              <w:bottom w:val="single" w:color="000000" w:sz="4" w:space="0"/>
              <w:right w:val="single" w:color="000000" w:sz="4" w:space="0"/>
            </w:tcBorders>
          </w:tcPr>
          <w:p w14:paraId="215F31D0">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671" w:type="dxa"/>
            <w:tcBorders>
              <w:top w:val="single" w:color="000000" w:sz="4" w:space="0"/>
              <w:left w:val="single" w:color="000000" w:sz="4" w:space="0"/>
              <w:bottom w:val="single" w:color="000000" w:sz="4" w:space="0"/>
              <w:right w:val="single" w:color="000000" w:sz="4" w:space="0"/>
            </w:tcBorders>
          </w:tcPr>
          <w:p w14:paraId="5F99CEE7">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r>
      <w:tr w14:paraId="2F16400C">
        <w:tblPrEx>
          <w:tblCellMar>
            <w:top w:w="0" w:type="dxa"/>
            <w:left w:w="0" w:type="dxa"/>
            <w:bottom w:w="0" w:type="dxa"/>
            <w:right w:w="0" w:type="dxa"/>
          </w:tblCellMar>
        </w:tblPrEx>
        <w:trPr>
          <w:trHeight w:val="450" w:hRule="exact"/>
          <w:jc w:val="center"/>
        </w:trPr>
        <w:tc>
          <w:tcPr>
            <w:tcW w:w="648" w:type="dxa"/>
            <w:tcBorders>
              <w:top w:val="single" w:color="000000" w:sz="4" w:space="0"/>
              <w:left w:val="single" w:color="000000" w:sz="4" w:space="0"/>
              <w:bottom w:val="single" w:color="000000" w:sz="4" w:space="0"/>
              <w:right w:val="single" w:color="000000" w:sz="4" w:space="0"/>
            </w:tcBorders>
          </w:tcPr>
          <w:p w14:paraId="1ED3A3F0">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21" w:type="dxa"/>
            <w:tcBorders>
              <w:top w:val="single" w:color="000000" w:sz="4" w:space="0"/>
              <w:left w:val="single" w:color="000000" w:sz="4" w:space="0"/>
              <w:bottom w:val="single" w:color="000000" w:sz="4" w:space="0"/>
              <w:right w:val="single" w:color="000000" w:sz="4" w:space="0"/>
            </w:tcBorders>
          </w:tcPr>
          <w:p w14:paraId="0B91F13D">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18" w:type="dxa"/>
            <w:tcBorders>
              <w:top w:val="single" w:color="000000" w:sz="4" w:space="0"/>
              <w:left w:val="single" w:color="000000" w:sz="4" w:space="0"/>
              <w:bottom w:val="single" w:color="000000" w:sz="4" w:space="0"/>
              <w:right w:val="single" w:color="000000" w:sz="4" w:space="0"/>
            </w:tcBorders>
          </w:tcPr>
          <w:p w14:paraId="2F87FE7D">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14:paraId="21C52BA1">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923" w:type="dxa"/>
            <w:tcBorders>
              <w:top w:val="single" w:color="000000" w:sz="4" w:space="0"/>
              <w:left w:val="single" w:color="000000" w:sz="4" w:space="0"/>
              <w:bottom w:val="single" w:color="000000" w:sz="4" w:space="0"/>
              <w:right w:val="single" w:color="000000" w:sz="4" w:space="0"/>
            </w:tcBorders>
          </w:tcPr>
          <w:p w14:paraId="72300EC5">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18" w:type="dxa"/>
            <w:tcBorders>
              <w:top w:val="single" w:color="000000" w:sz="4" w:space="0"/>
              <w:left w:val="single" w:color="000000" w:sz="4" w:space="0"/>
              <w:bottom w:val="single" w:color="000000" w:sz="4" w:space="0"/>
              <w:right w:val="single" w:color="000000" w:sz="4" w:space="0"/>
            </w:tcBorders>
          </w:tcPr>
          <w:p w14:paraId="5B4FC9C1">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20" w:type="dxa"/>
            <w:tcBorders>
              <w:top w:val="single" w:color="000000" w:sz="4" w:space="0"/>
              <w:left w:val="single" w:color="000000" w:sz="4" w:space="0"/>
              <w:bottom w:val="single" w:color="000000" w:sz="4" w:space="0"/>
              <w:right w:val="single" w:color="000000" w:sz="4" w:space="0"/>
            </w:tcBorders>
          </w:tcPr>
          <w:p w14:paraId="6127DFE5">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520" w:type="dxa"/>
            <w:tcBorders>
              <w:top w:val="single" w:color="000000" w:sz="4" w:space="0"/>
              <w:left w:val="single" w:color="000000" w:sz="4" w:space="0"/>
              <w:bottom w:val="single" w:color="000000" w:sz="4" w:space="0"/>
              <w:right w:val="single" w:color="000000" w:sz="4" w:space="0"/>
            </w:tcBorders>
          </w:tcPr>
          <w:p w14:paraId="30F4A9C7">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2721" w:type="dxa"/>
            <w:tcBorders>
              <w:top w:val="single" w:color="000000" w:sz="4" w:space="0"/>
              <w:left w:val="single" w:color="000000" w:sz="4" w:space="0"/>
              <w:bottom w:val="single" w:color="000000" w:sz="4" w:space="0"/>
              <w:right w:val="single" w:color="000000" w:sz="4" w:space="0"/>
            </w:tcBorders>
          </w:tcPr>
          <w:p w14:paraId="3A546627">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671" w:type="dxa"/>
            <w:tcBorders>
              <w:top w:val="single" w:color="000000" w:sz="4" w:space="0"/>
              <w:left w:val="single" w:color="000000" w:sz="4" w:space="0"/>
              <w:bottom w:val="single" w:color="000000" w:sz="4" w:space="0"/>
              <w:right w:val="single" w:color="000000" w:sz="4" w:space="0"/>
            </w:tcBorders>
          </w:tcPr>
          <w:p w14:paraId="42C2D951">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r>
      <w:tr w14:paraId="4A8B8BAD">
        <w:tblPrEx>
          <w:tblCellMar>
            <w:top w:w="0" w:type="dxa"/>
            <w:left w:w="0" w:type="dxa"/>
            <w:bottom w:w="0" w:type="dxa"/>
            <w:right w:w="0" w:type="dxa"/>
          </w:tblCellMar>
        </w:tblPrEx>
        <w:trPr>
          <w:trHeight w:val="450" w:hRule="exact"/>
          <w:jc w:val="center"/>
        </w:trPr>
        <w:tc>
          <w:tcPr>
            <w:tcW w:w="648" w:type="dxa"/>
            <w:tcBorders>
              <w:top w:val="single" w:color="000000" w:sz="4" w:space="0"/>
              <w:left w:val="single" w:color="000000" w:sz="4" w:space="0"/>
              <w:bottom w:val="single" w:color="000000" w:sz="4" w:space="0"/>
              <w:right w:val="single" w:color="000000" w:sz="4" w:space="0"/>
            </w:tcBorders>
          </w:tcPr>
          <w:p w14:paraId="0B9CC671">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21" w:type="dxa"/>
            <w:tcBorders>
              <w:top w:val="single" w:color="000000" w:sz="4" w:space="0"/>
              <w:left w:val="single" w:color="000000" w:sz="4" w:space="0"/>
              <w:bottom w:val="single" w:color="000000" w:sz="4" w:space="0"/>
              <w:right w:val="single" w:color="000000" w:sz="4" w:space="0"/>
            </w:tcBorders>
          </w:tcPr>
          <w:p w14:paraId="2826CC22">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18" w:type="dxa"/>
            <w:tcBorders>
              <w:top w:val="single" w:color="000000" w:sz="4" w:space="0"/>
              <w:left w:val="single" w:color="000000" w:sz="4" w:space="0"/>
              <w:bottom w:val="single" w:color="000000" w:sz="4" w:space="0"/>
              <w:right w:val="single" w:color="000000" w:sz="4" w:space="0"/>
            </w:tcBorders>
          </w:tcPr>
          <w:p w14:paraId="32589FCB">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14:paraId="79F89428">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923" w:type="dxa"/>
            <w:tcBorders>
              <w:top w:val="single" w:color="000000" w:sz="4" w:space="0"/>
              <w:left w:val="single" w:color="000000" w:sz="4" w:space="0"/>
              <w:bottom w:val="single" w:color="000000" w:sz="4" w:space="0"/>
              <w:right w:val="single" w:color="000000" w:sz="4" w:space="0"/>
            </w:tcBorders>
          </w:tcPr>
          <w:p w14:paraId="7650CD0B">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18" w:type="dxa"/>
            <w:tcBorders>
              <w:top w:val="single" w:color="000000" w:sz="4" w:space="0"/>
              <w:left w:val="single" w:color="000000" w:sz="4" w:space="0"/>
              <w:bottom w:val="single" w:color="000000" w:sz="4" w:space="0"/>
              <w:right w:val="single" w:color="000000" w:sz="4" w:space="0"/>
            </w:tcBorders>
          </w:tcPr>
          <w:p w14:paraId="1537AAF9">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20" w:type="dxa"/>
            <w:tcBorders>
              <w:top w:val="single" w:color="000000" w:sz="4" w:space="0"/>
              <w:left w:val="single" w:color="000000" w:sz="4" w:space="0"/>
              <w:bottom w:val="single" w:color="000000" w:sz="4" w:space="0"/>
              <w:right w:val="single" w:color="000000" w:sz="4" w:space="0"/>
            </w:tcBorders>
          </w:tcPr>
          <w:p w14:paraId="745D3042">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520" w:type="dxa"/>
            <w:tcBorders>
              <w:top w:val="single" w:color="000000" w:sz="4" w:space="0"/>
              <w:left w:val="single" w:color="000000" w:sz="4" w:space="0"/>
              <w:bottom w:val="single" w:color="000000" w:sz="4" w:space="0"/>
              <w:right w:val="single" w:color="000000" w:sz="4" w:space="0"/>
            </w:tcBorders>
          </w:tcPr>
          <w:p w14:paraId="2633FF12">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2721" w:type="dxa"/>
            <w:tcBorders>
              <w:top w:val="single" w:color="000000" w:sz="4" w:space="0"/>
              <w:left w:val="single" w:color="000000" w:sz="4" w:space="0"/>
              <w:bottom w:val="single" w:color="000000" w:sz="4" w:space="0"/>
              <w:right w:val="single" w:color="000000" w:sz="4" w:space="0"/>
            </w:tcBorders>
          </w:tcPr>
          <w:p w14:paraId="4769222E">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671" w:type="dxa"/>
            <w:tcBorders>
              <w:top w:val="single" w:color="000000" w:sz="4" w:space="0"/>
              <w:left w:val="single" w:color="000000" w:sz="4" w:space="0"/>
              <w:bottom w:val="single" w:color="000000" w:sz="4" w:space="0"/>
              <w:right w:val="single" w:color="000000" w:sz="4" w:space="0"/>
            </w:tcBorders>
          </w:tcPr>
          <w:p w14:paraId="076814A8">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r>
      <w:tr w14:paraId="6E973C06">
        <w:tblPrEx>
          <w:tblCellMar>
            <w:top w:w="0" w:type="dxa"/>
            <w:left w:w="0" w:type="dxa"/>
            <w:bottom w:w="0" w:type="dxa"/>
            <w:right w:w="0" w:type="dxa"/>
          </w:tblCellMar>
        </w:tblPrEx>
        <w:trPr>
          <w:trHeight w:val="450" w:hRule="exact"/>
          <w:jc w:val="center"/>
        </w:trPr>
        <w:tc>
          <w:tcPr>
            <w:tcW w:w="648" w:type="dxa"/>
            <w:tcBorders>
              <w:top w:val="single" w:color="000000" w:sz="4" w:space="0"/>
              <w:left w:val="single" w:color="000000" w:sz="4" w:space="0"/>
              <w:bottom w:val="single" w:color="000000" w:sz="4" w:space="0"/>
              <w:right w:val="single" w:color="000000" w:sz="4" w:space="0"/>
            </w:tcBorders>
          </w:tcPr>
          <w:p w14:paraId="16485CCE">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21" w:type="dxa"/>
            <w:tcBorders>
              <w:top w:val="single" w:color="000000" w:sz="4" w:space="0"/>
              <w:left w:val="single" w:color="000000" w:sz="4" w:space="0"/>
              <w:bottom w:val="single" w:color="000000" w:sz="4" w:space="0"/>
              <w:right w:val="single" w:color="000000" w:sz="4" w:space="0"/>
            </w:tcBorders>
          </w:tcPr>
          <w:p w14:paraId="67DE7FE9">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18" w:type="dxa"/>
            <w:tcBorders>
              <w:top w:val="single" w:color="000000" w:sz="4" w:space="0"/>
              <w:left w:val="single" w:color="000000" w:sz="4" w:space="0"/>
              <w:bottom w:val="single" w:color="000000" w:sz="4" w:space="0"/>
              <w:right w:val="single" w:color="000000" w:sz="4" w:space="0"/>
            </w:tcBorders>
          </w:tcPr>
          <w:p w14:paraId="6CED2227">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14:paraId="36072AFB">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923" w:type="dxa"/>
            <w:tcBorders>
              <w:top w:val="single" w:color="000000" w:sz="4" w:space="0"/>
              <w:left w:val="single" w:color="000000" w:sz="4" w:space="0"/>
              <w:bottom w:val="single" w:color="000000" w:sz="4" w:space="0"/>
              <w:right w:val="single" w:color="000000" w:sz="4" w:space="0"/>
            </w:tcBorders>
          </w:tcPr>
          <w:p w14:paraId="6BD4F4AD">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18" w:type="dxa"/>
            <w:tcBorders>
              <w:top w:val="single" w:color="000000" w:sz="4" w:space="0"/>
              <w:left w:val="single" w:color="000000" w:sz="4" w:space="0"/>
              <w:bottom w:val="single" w:color="000000" w:sz="4" w:space="0"/>
              <w:right w:val="single" w:color="000000" w:sz="4" w:space="0"/>
            </w:tcBorders>
          </w:tcPr>
          <w:p w14:paraId="3AE9FF47">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20" w:type="dxa"/>
            <w:tcBorders>
              <w:top w:val="single" w:color="000000" w:sz="4" w:space="0"/>
              <w:left w:val="single" w:color="000000" w:sz="4" w:space="0"/>
              <w:bottom w:val="single" w:color="000000" w:sz="4" w:space="0"/>
              <w:right w:val="single" w:color="000000" w:sz="4" w:space="0"/>
            </w:tcBorders>
          </w:tcPr>
          <w:p w14:paraId="4C7608BB">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520" w:type="dxa"/>
            <w:tcBorders>
              <w:top w:val="single" w:color="000000" w:sz="4" w:space="0"/>
              <w:left w:val="single" w:color="000000" w:sz="4" w:space="0"/>
              <w:bottom w:val="single" w:color="000000" w:sz="4" w:space="0"/>
              <w:right w:val="single" w:color="000000" w:sz="4" w:space="0"/>
            </w:tcBorders>
          </w:tcPr>
          <w:p w14:paraId="26F24A7A">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2721" w:type="dxa"/>
            <w:tcBorders>
              <w:top w:val="single" w:color="000000" w:sz="4" w:space="0"/>
              <w:left w:val="single" w:color="000000" w:sz="4" w:space="0"/>
              <w:bottom w:val="single" w:color="000000" w:sz="4" w:space="0"/>
              <w:right w:val="single" w:color="000000" w:sz="4" w:space="0"/>
            </w:tcBorders>
          </w:tcPr>
          <w:p w14:paraId="706886D3">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671" w:type="dxa"/>
            <w:tcBorders>
              <w:top w:val="single" w:color="000000" w:sz="4" w:space="0"/>
              <w:left w:val="single" w:color="000000" w:sz="4" w:space="0"/>
              <w:bottom w:val="single" w:color="000000" w:sz="4" w:space="0"/>
              <w:right w:val="single" w:color="000000" w:sz="4" w:space="0"/>
            </w:tcBorders>
          </w:tcPr>
          <w:p w14:paraId="6BD3D0C7">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r>
      <w:tr w14:paraId="02C119E4">
        <w:tblPrEx>
          <w:tblCellMar>
            <w:top w:w="0" w:type="dxa"/>
            <w:left w:w="0" w:type="dxa"/>
            <w:bottom w:w="0" w:type="dxa"/>
            <w:right w:w="0" w:type="dxa"/>
          </w:tblCellMar>
        </w:tblPrEx>
        <w:trPr>
          <w:trHeight w:val="450" w:hRule="exact"/>
          <w:jc w:val="center"/>
        </w:trPr>
        <w:tc>
          <w:tcPr>
            <w:tcW w:w="648" w:type="dxa"/>
            <w:tcBorders>
              <w:top w:val="single" w:color="000000" w:sz="4" w:space="0"/>
              <w:left w:val="single" w:color="000000" w:sz="4" w:space="0"/>
              <w:bottom w:val="single" w:color="000000" w:sz="4" w:space="0"/>
              <w:right w:val="single" w:color="000000" w:sz="4" w:space="0"/>
            </w:tcBorders>
          </w:tcPr>
          <w:p w14:paraId="63166190">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21" w:type="dxa"/>
            <w:tcBorders>
              <w:top w:val="single" w:color="000000" w:sz="4" w:space="0"/>
              <w:left w:val="single" w:color="000000" w:sz="4" w:space="0"/>
              <w:bottom w:val="single" w:color="000000" w:sz="4" w:space="0"/>
              <w:right w:val="single" w:color="000000" w:sz="4" w:space="0"/>
            </w:tcBorders>
          </w:tcPr>
          <w:p w14:paraId="2CA93419">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18" w:type="dxa"/>
            <w:tcBorders>
              <w:top w:val="single" w:color="000000" w:sz="4" w:space="0"/>
              <w:left w:val="single" w:color="000000" w:sz="4" w:space="0"/>
              <w:bottom w:val="single" w:color="000000" w:sz="4" w:space="0"/>
              <w:right w:val="single" w:color="000000" w:sz="4" w:space="0"/>
            </w:tcBorders>
          </w:tcPr>
          <w:p w14:paraId="00BF8292">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14:paraId="2E1ABAFE">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923" w:type="dxa"/>
            <w:tcBorders>
              <w:top w:val="single" w:color="000000" w:sz="4" w:space="0"/>
              <w:left w:val="single" w:color="000000" w:sz="4" w:space="0"/>
              <w:bottom w:val="single" w:color="000000" w:sz="4" w:space="0"/>
              <w:right w:val="single" w:color="000000" w:sz="4" w:space="0"/>
            </w:tcBorders>
          </w:tcPr>
          <w:p w14:paraId="443BD54D">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18" w:type="dxa"/>
            <w:tcBorders>
              <w:top w:val="single" w:color="000000" w:sz="4" w:space="0"/>
              <w:left w:val="single" w:color="000000" w:sz="4" w:space="0"/>
              <w:bottom w:val="single" w:color="000000" w:sz="4" w:space="0"/>
              <w:right w:val="single" w:color="000000" w:sz="4" w:space="0"/>
            </w:tcBorders>
          </w:tcPr>
          <w:p w14:paraId="74356092">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20" w:type="dxa"/>
            <w:tcBorders>
              <w:top w:val="single" w:color="000000" w:sz="4" w:space="0"/>
              <w:left w:val="single" w:color="000000" w:sz="4" w:space="0"/>
              <w:bottom w:val="single" w:color="000000" w:sz="4" w:space="0"/>
              <w:right w:val="single" w:color="000000" w:sz="4" w:space="0"/>
            </w:tcBorders>
          </w:tcPr>
          <w:p w14:paraId="005F0AAA">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520" w:type="dxa"/>
            <w:tcBorders>
              <w:top w:val="single" w:color="000000" w:sz="4" w:space="0"/>
              <w:left w:val="single" w:color="000000" w:sz="4" w:space="0"/>
              <w:bottom w:val="single" w:color="000000" w:sz="4" w:space="0"/>
              <w:right w:val="single" w:color="000000" w:sz="4" w:space="0"/>
            </w:tcBorders>
          </w:tcPr>
          <w:p w14:paraId="1940A686">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2721" w:type="dxa"/>
            <w:tcBorders>
              <w:top w:val="single" w:color="000000" w:sz="4" w:space="0"/>
              <w:left w:val="single" w:color="000000" w:sz="4" w:space="0"/>
              <w:bottom w:val="single" w:color="000000" w:sz="4" w:space="0"/>
              <w:right w:val="single" w:color="000000" w:sz="4" w:space="0"/>
            </w:tcBorders>
          </w:tcPr>
          <w:p w14:paraId="32233A4C">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671" w:type="dxa"/>
            <w:tcBorders>
              <w:top w:val="single" w:color="000000" w:sz="4" w:space="0"/>
              <w:left w:val="single" w:color="000000" w:sz="4" w:space="0"/>
              <w:bottom w:val="single" w:color="000000" w:sz="4" w:space="0"/>
              <w:right w:val="single" w:color="000000" w:sz="4" w:space="0"/>
            </w:tcBorders>
          </w:tcPr>
          <w:p w14:paraId="24CA7F09">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r>
      <w:tr w14:paraId="28B5AF4C">
        <w:tblPrEx>
          <w:tblCellMar>
            <w:top w:w="0" w:type="dxa"/>
            <w:left w:w="0" w:type="dxa"/>
            <w:bottom w:w="0" w:type="dxa"/>
            <w:right w:w="0" w:type="dxa"/>
          </w:tblCellMar>
        </w:tblPrEx>
        <w:trPr>
          <w:trHeight w:val="450" w:hRule="exact"/>
          <w:jc w:val="center"/>
        </w:trPr>
        <w:tc>
          <w:tcPr>
            <w:tcW w:w="648" w:type="dxa"/>
            <w:tcBorders>
              <w:top w:val="single" w:color="000000" w:sz="4" w:space="0"/>
              <w:left w:val="single" w:color="000000" w:sz="4" w:space="0"/>
              <w:bottom w:val="single" w:color="000000" w:sz="4" w:space="0"/>
              <w:right w:val="single" w:color="000000" w:sz="4" w:space="0"/>
            </w:tcBorders>
          </w:tcPr>
          <w:p w14:paraId="2510F4EF">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21" w:type="dxa"/>
            <w:tcBorders>
              <w:top w:val="single" w:color="000000" w:sz="4" w:space="0"/>
              <w:left w:val="single" w:color="000000" w:sz="4" w:space="0"/>
              <w:bottom w:val="single" w:color="000000" w:sz="4" w:space="0"/>
              <w:right w:val="single" w:color="000000" w:sz="4" w:space="0"/>
            </w:tcBorders>
          </w:tcPr>
          <w:p w14:paraId="774AA0EF">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18" w:type="dxa"/>
            <w:tcBorders>
              <w:top w:val="single" w:color="000000" w:sz="4" w:space="0"/>
              <w:left w:val="single" w:color="000000" w:sz="4" w:space="0"/>
              <w:bottom w:val="single" w:color="000000" w:sz="4" w:space="0"/>
              <w:right w:val="single" w:color="000000" w:sz="4" w:space="0"/>
            </w:tcBorders>
          </w:tcPr>
          <w:p w14:paraId="76E9F115">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14:paraId="7FFA70B2">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923" w:type="dxa"/>
            <w:tcBorders>
              <w:top w:val="single" w:color="000000" w:sz="4" w:space="0"/>
              <w:left w:val="single" w:color="000000" w:sz="4" w:space="0"/>
              <w:bottom w:val="single" w:color="000000" w:sz="4" w:space="0"/>
              <w:right w:val="single" w:color="000000" w:sz="4" w:space="0"/>
            </w:tcBorders>
          </w:tcPr>
          <w:p w14:paraId="4BB46CEC">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18" w:type="dxa"/>
            <w:tcBorders>
              <w:top w:val="single" w:color="000000" w:sz="4" w:space="0"/>
              <w:left w:val="single" w:color="000000" w:sz="4" w:space="0"/>
              <w:bottom w:val="single" w:color="000000" w:sz="4" w:space="0"/>
              <w:right w:val="single" w:color="000000" w:sz="4" w:space="0"/>
            </w:tcBorders>
          </w:tcPr>
          <w:p w14:paraId="0B0E4A8C">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20" w:type="dxa"/>
            <w:tcBorders>
              <w:top w:val="single" w:color="000000" w:sz="4" w:space="0"/>
              <w:left w:val="single" w:color="000000" w:sz="4" w:space="0"/>
              <w:bottom w:val="single" w:color="000000" w:sz="4" w:space="0"/>
              <w:right w:val="single" w:color="000000" w:sz="4" w:space="0"/>
            </w:tcBorders>
          </w:tcPr>
          <w:p w14:paraId="151BB51D">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520" w:type="dxa"/>
            <w:tcBorders>
              <w:top w:val="single" w:color="000000" w:sz="4" w:space="0"/>
              <w:left w:val="single" w:color="000000" w:sz="4" w:space="0"/>
              <w:bottom w:val="single" w:color="000000" w:sz="4" w:space="0"/>
              <w:right w:val="single" w:color="000000" w:sz="4" w:space="0"/>
            </w:tcBorders>
          </w:tcPr>
          <w:p w14:paraId="2518E602">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2721" w:type="dxa"/>
            <w:tcBorders>
              <w:top w:val="single" w:color="000000" w:sz="4" w:space="0"/>
              <w:left w:val="single" w:color="000000" w:sz="4" w:space="0"/>
              <w:bottom w:val="single" w:color="000000" w:sz="4" w:space="0"/>
              <w:right w:val="single" w:color="000000" w:sz="4" w:space="0"/>
            </w:tcBorders>
          </w:tcPr>
          <w:p w14:paraId="225E2C37">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671" w:type="dxa"/>
            <w:tcBorders>
              <w:top w:val="single" w:color="000000" w:sz="4" w:space="0"/>
              <w:left w:val="single" w:color="000000" w:sz="4" w:space="0"/>
              <w:bottom w:val="single" w:color="000000" w:sz="4" w:space="0"/>
              <w:right w:val="single" w:color="000000" w:sz="4" w:space="0"/>
            </w:tcBorders>
          </w:tcPr>
          <w:p w14:paraId="5BA5D7D6">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r>
      <w:tr w14:paraId="3554F09A">
        <w:tblPrEx>
          <w:tblCellMar>
            <w:top w:w="0" w:type="dxa"/>
            <w:left w:w="0" w:type="dxa"/>
            <w:bottom w:w="0" w:type="dxa"/>
            <w:right w:w="0" w:type="dxa"/>
          </w:tblCellMar>
        </w:tblPrEx>
        <w:trPr>
          <w:trHeight w:val="450" w:hRule="exact"/>
          <w:jc w:val="center"/>
        </w:trPr>
        <w:tc>
          <w:tcPr>
            <w:tcW w:w="648" w:type="dxa"/>
            <w:tcBorders>
              <w:top w:val="single" w:color="000000" w:sz="4" w:space="0"/>
              <w:left w:val="single" w:color="000000" w:sz="4" w:space="0"/>
              <w:bottom w:val="single" w:color="000000" w:sz="4" w:space="0"/>
              <w:right w:val="single" w:color="000000" w:sz="4" w:space="0"/>
            </w:tcBorders>
          </w:tcPr>
          <w:p w14:paraId="5BC53AFD">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21" w:type="dxa"/>
            <w:tcBorders>
              <w:top w:val="single" w:color="000000" w:sz="4" w:space="0"/>
              <w:left w:val="single" w:color="000000" w:sz="4" w:space="0"/>
              <w:bottom w:val="single" w:color="000000" w:sz="4" w:space="0"/>
              <w:right w:val="single" w:color="000000" w:sz="4" w:space="0"/>
            </w:tcBorders>
          </w:tcPr>
          <w:p w14:paraId="24040BBB">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18" w:type="dxa"/>
            <w:tcBorders>
              <w:top w:val="single" w:color="000000" w:sz="4" w:space="0"/>
              <w:left w:val="single" w:color="000000" w:sz="4" w:space="0"/>
              <w:bottom w:val="single" w:color="000000" w:sz="4" w:space="0"/>
              <w:right w:val="single" w:color="000000" w:sz="4" w:space="0"/>
            </w:tcBorders>
          </w:tcPr>
          <w:p w14:paraId="3CD61B7E">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14:paraId="10E50477">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923" w:type="dxa"/>
            <w:tcBorders>
              <w:top w:val="single" w:color="000000" w:sz="4" w:space="0"/>
              <w:left w:val="single" w:color="000000" w:sz="4" w:space="0"/>
              <w:bottom w:val="single" w:color="000000" w:sz="4" w:space="0"/>
              <w:right w:val="single" w:color="000000" w:sz="4" w:space="0"/>
            </w:tcBorders>
          </w:tcPr>
          <w:p w14:paraId="3F519365">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18" w:type="dxa"/>
            <w:tcBorders>
              <w:top w:val="single" w:color="000000" w:sz="4" w:space="0"/>
              <w:left w:val="single" w:color="000000" w:sz="4" w:space="0"/>
              <w:bottom w:val="single" w:color="000000" w:sz="4" w:space="0"/>
              <w:right w:val="single" w:color="000000" w:sz="4" w:space="0"/>
            </w:tcBorders>
          </w:tcPr>
          <w:p w14:paraId="3D5F8C17">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20" w:type="dxa"/>
            <w:tcBorders>
              <w:top w:val="single" w:color="000000" w:sz="4" w:space="0"/>
              <w:left w:val="single" w:color="000000" w:sz="4" w:space="0"/>
              <w:bottom w:val="single" w:color="000000" w:sz="4" w:space="0"/>
              <w:right w:val="single" w:color="000000" w:sz="4" w:space="0"/>
            </w:tcBorders>
          </w:tcPr>
          <w:p w14:paraId="2EAFA783">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520" w:type="dxa"/>
            <w:tcBorders>
              <w:top w:val="single" w:color="000000" w:sz="4" w:space="0"/>
              <w:left w:val="single" w:color="000000" w:sz="4" w:space="0"/>
              <w:bottom w:val="single" w:color="000000" w:sz="4" w:space="0"/>
              <w:right w:val="single" w:color="000000" w:sz="4" w:space="0"/>
            </w:tcBorders>
          </w:tcPr>
          <w:p w14:paraId="1C274446">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2721" w:type="dxa"/>
            <w:tcBorders>
              <w:top w:val="single" w:color="000000" w:sz="4" w:space="0"/>
              <w:left w:val="single" w:color="000000" w:sz="4" w:space="0"/>
              <w:bottom w:val="single" w:color="000000" w:sz="4" w:space="0"/>
              <w:right w:val="single" w:color="000000" w:sz="4" w:space="0"/>
            </w:tcBorders>
          </w:tcPr>
          <w:p w14:paraId="78EC5E48">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671" w:type="dxa"/>
            <w:tcBorders>
              <w:top w:val="single" w:color="000000" w:sz="4" w:space="0"/>
              <w:left w:val="single" w:color="000000" w:sz="4" w:space="0"/>
              <w:bottom w:val="single" w:color="000000" w:sz="4" w:space="0"/>
              <w:right w:val="single" w:color="000000" w:sz="4" w:space="0"/>
            </w:tcBorders>
          </w:tcPr>
          <w:p w14:paraId="3B75F106">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r>
      <w:tr w14:paraId="09572611">
        <w:tblPrEx>
          <w:tblCellMar>
            <w:top w:w="0" w:type="dxa"/>
            <w:left w:w="0" w:type="dxa"/>
            <w:bottom w:w="0" w:type="dxa"/>
            <w:right w:w="0" w:type="dxa"/>
          </w:tblCellMar>
        </w:tblPrEx>
        <w:trPr>
          <w:trHeight w:val="450" w:hRule="exact"/>
          <w:jc w:val="center"/>
        </w:trPr>
        <w:tc>
          <w:tcPr>
            <w:tcW w:w="648" w:type="dxa"/>
            <w:tcBorders>
              <w:top w:val="single" w:color="000000" w:sz="4" w:space="0"/>
              <w:left w:val="single" w:color="000000" w:sz="4" w:space="0"/>
              <w:bottom w:val="single" w:color="000000" w:sz="4" w:space="0"/>
              <w:right w:val="single" w:color="000000" w:sz="4" w:space="0"/>
            </w:tcBorders>
          </w:tcPr>
          <w:p w14:paraId="32E7117D">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21" w:type="dxa"/>
            <w:tcBorders>
              <w:top w:val="single" w:color="000000" w:sz="4" w:space="0"/>
              <w:left w:val="single" w:color="000000" w:sz="4" w:space="0"/>
              <w:bottom w:val="single" w:color="000000" w:sz="4" w:space="0"/>
              <w:right w:val="single" w:color="000000" w:sz="4" w:space="0"/>
            </w:tcBorders>
          </w:tcPr>
          <w:p w14:paraId="6CD1BC35">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18" w:type="dxa"/>
            <w:tcBorders>
              <w:top w:val="single" w:color="000000" w:sz="4" w:space="0"/>
              <w:left w:val="single" w:color="000000" w:sz="4" w:space="0"/>
              <w:bottom w:val="single" w:color="000000" w:sz="4" w:space="0"/>
              <w:right w:val="single" w:color="000000" w:sz="4" w:space="0"/>
            </w:tcBorders>
          </w:tcPr>
          <w:p w14:paraId="078BC778">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14:paraId="6DB3F1D0">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923" w:type="dxa"/>
            <w:tcBorders>
              <w:top w:val="single" w:color="000000" w:sz="4" w:space="0"/>
              <w:left w:val="single" w:color="000000" w:sz="4" w:space="0"/>
              <w:bottom w:val="single" w:color="000000" w:sz="4" w:space="0"/>
              <w:right w:val="single" w:color="000000" w:sz="4" w:space="0"/>
            </w:tcBorders>
          </w:tcPr>
          <w:p w14:paraId="7A50CE0B">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18" w:type="dxa"/>
            <w:tcBorders>
              <w:top w:val="single" w:color="000000" w:sz="4" w:space="0"/>
              <w:left w:val="single" w:color="000000" w:sz="4" w:space="0"/>
              <w:bottom w:val="single" w:color="000000" w:sz="4" w:space="0"/>
              <w:right w:val="single" w:color="000000" w:sz="4" w:space="0"/>
            </w:tcBorders>
          </w:tcPr>
          <w:p w14:paraId="04378CD1">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20" w:type="dxa"/>
            <w:tcBorders>
              <w:top w:val="single" w:color="000000" w:sz="4" w:space="0"/>
              <w:left w:val="single" w:color="000000" w:sz="4" w:space="0"/>
              <w:bottom w:val="single" w:color="000000" w:sz="4" w:space="0"/>
              <w:right w:val="single" w:color="000000" w:sz="4" w:space="0"/>
            </w:tcBorders>
          </w:tcPr>
          <w:p w14:paraId="32DA04B6">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520" w:type="dxa"/>
            <w:tcBorders>
              <w:top w:val="single" w:color="000000" w:sz="4" w:space="0"/>
              <w:left w:val="single" w:color="000000" w:sz="4" w:space="0"/>
              <w:bottom w:val="single" w:color="000000" w:sz="4" w:space="0"/>
              <w:right w:val="single" w:color="000000" w:sz="4" w:space="0"/>
            </w:tcBorders>
          </w:tcPr>
          <w:p w14:paraId="2DE89474">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2721" w:type="dxa"/>
            <w:tcBorders>
              <w:top w:val="single" w:color="000000" w:sz="4" w:space="0"/>
              <w:left w:val="single" w:color="000000" w:sz="4" w:space="0"/>
              <w:bottom w:val="single" w:color="000000" w:sz="4" w:space="0"/>
              <w:right w:val="single" w:color="000000" w:sz="4" w:space="0"/>
            </w:tcBorders>
          </w:tcPr>
          <w:p w14:paraId="791EC5E0">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671" w:type="dxa"/>
            <w:tcBorders>
              <w:top w:val="single" w:color="000000" w:sz="4" w:space="0"/>
              <w:left w:val="single" w:color="000000" w:sz="4" w:space="0"/>
              <w:bottom w:val="single" w:color="000000" w:sz="4" w:space="0"/>
              <w:right w:val="single" w:color="000000" w:sz="4" w:space="0"/>
            </w:tcBorders>
          </w:tcPr>
          <w:p w14:paraId="1C60E086">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r>
      <w:tr w14:paraId="4AC6898A">
        <w:tblPrEx>
          <w:tblCellMar>
            <w:top w:w="0" w:type="dxa"/>
            <w:left w:w="0" w:type="dxa"/>
            <w:bottom w:w="0" w:type="dxa"/>
            <w:right w:w="0" w:type="dxa"/>
          </w:tblCellMar>
        </w:tblPrEx>
        <w:trPr>
          <w:trHeight w:val="450" w:hRule="exact"/>
          <w:jc w:val="center"/>
        </w:trPr>
        <w:tc>
          <w:tcPr>
            <w:tcW w:w="648" w:type="dxa"/>
            <w:tcBorders>
              <w:top w:val="single" w:color="000000" w:sz="4" w:space="0"/>
              <w:left w:val="single" w:color="000000" w:sz="4" w:space="0"/>
              <w:bottom w:val="single" w:color="000000" w:sz="4" w:space="0"/>
              <w:right w:val="single" w:color="000000" w:sz="4" w:space="0"/>
            </w:tcBorders>
          </w:tcPr>
          <w:p w14:paraId="631998E6">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21" w:type="dxa"/>
            <w:tcBorders>
              <w:top w:val="single" w:color="000000" w:sz="4" w:space="0"/>
              <w:left w:val="single" w:color="000000" w:sz="4" w:space="0"/>
              <w:bottom w:val="single" w:color="000000" w:sz="4" w:space="0"/>
              <w:right w:val="single" w:color="000000" w:sz="4" w:space="0"/>
            </w:tcBorders>
          </w:tcPr>
          <w:p w14:paraId="4CD94F71">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18" w:type="dxa"/>
            <w:tcBorders>
              <w:top w:val="single" w:color="000000" w:sz="4" w:space="0"/>
              <w:left w:val="single" w:color="000000" w:sz="4" w:space="0"/>
              <w:bottom w:val="single" w:color="000000" w:sz="4" w:space="0"/>
              <w:right w:val="single" w:color="000000" w:sz="4" w:space="0"/>
            </w:tcBorders>
          </w:tcPr>
          <w:p w14:paraId="47776CC0">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14:paraId="70FC5CBE">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923" w:type="dxa"/>
            <w:tcBorders>
              <w:top w:val="single" w:color="000000" w:sz="4" w:space="0"/>
              <w:left w:val="single" w:color="000000" w:sz="4" w:space="0"/>
              <w:bottom w:val="single" w:color="000000" w:sz="4" w:space="0"/>
              <w:right w:val="single" w:color="000000" w:sz="4" w:space="0"/>
            </w:tcBorders>
          </w:tcPr>
          <w:p w14:paraId="46CBE2C0">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18" w:type="dxa"/>
            <w:tcBorders>
              <w:top w:val="single" w:color="000000" w:sz="4" w:space="0"/>
              <w:left w:val="single" w:color="000000" w:sz="4" w:space="0"/>
              <w:bottom w:val="single" w:color="000000" w:sz="4" w:space="0"/>
              <w:right w:val="single" w:color="000000" w:sz="4" w:space="0"/>
            </w:tcBorders>
          </w:tcPr>
          <w:p w14:paraId="05EE98A1">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20" w:type="dxa"/>
            <w:tcBorders>
              <w:top w:val="single" w:color="000000" w:sz="4" w:space="0"/>
              <w:left w:val="single" w:color="000000" w:sz="4" w:space="0"/>
              <w:bottom w:val="single" w:color="000000" w:sz="4" w:space="0"/>
              <w:right w:val="single" w:color="000000" w:sz="4" w:space="0"/>
            </w:tcBorders>
          </w:tcPr>
          <w:p w14:paraId="462F8DCB">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520" w:type="dxa"/>
            <w:tcBorders>
              <w:top w:val="single" w:color="000000" w:sz="4" w:space="0"/>
              <w:left w:val="single" w:color="000000" w:sz="4" w:space="0"/>
              <w:bottom w:val="single" w:color="000000" w:sz="4" w:space="0"/>
              <w:right w:val="single" w:color="000000" w:sz="4" w:space="0"/>
            </w:tcBorders>
          </w:tcPr>
          <w:p w14:paraId="2FCFF25E">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2721" w:type="dxa"/>
            <w:tcBorders>
              <w:top w:val="single" w:color="000000" w:sz="4" w:space="0"/>
              <w:left w:val="single" w:color="000000" w:sz="4" w:space="0"/>
              <w:bottom w:val="single" w:color="000000" w:sz="4" w:space="0"/>
              <w:right w:val="single" w:color="000000" w:sz="4" w:space="0"/>
            </w:tcBorders>
          </w:tcPr>
          <w:p w14:paraId="376F4291">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671" w:type="dxa"/>
            <w:tcBorders>
              <w:top w:val="single" w:color="000000" w:sz="4" w:space="0"/>
              <w:left w:val="single" w:color="000000" w:sz="4" w:space="0"/>
              <w:bottom w:val="single" w:color="000000" w:sz="4" w:space="0"/>
              <w:right w:val="single" w:color="000000" w:sz="4" w:space="0"/>
            </w:tcBorders>
          </w:tcPr>
          <w:p w14:paraId="0E205AAB">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r>
      <w:tr w14:paraId="15581AFD">
        <w:tblPrEx>
          <w:tblCellMar>
            <w:top w:w="0" w:type="dxa"/>
            <w:left w:w="0" w:type="dxa"/>
            <w:bottom w:w="0" w:type="dxa"/>
            <w:right w:w="0" w:type="dxa"/>
          </w:tblCellMar>
        </w:tblPrEx>
        <w:trPr>
          <w:trHeight w:val="450" w:hRule="exact"/>
          <w:jc w:val="center"/>
        </w:trPr>
        <w:tc>
          <w:tcPr>
            <w:tcW w:w="648" w:type="dxa"/>
            <w:tcBorders>
              <w:top w:val="single" w:color="000000" w:sz="4" w:space="0"/>
              <w:left w:val="single" w:color="000000" w:sz="4" w:space="0"/>
              <w:bottom w:val="single" w:color="000000" w:sz="4" w:space="0"/>
              <w:right w:val="single" w:color="000000" w:sz="4" w:space="0"/>
            </w:tcBorders>
          </w:tcPr>
          <w:p w14:paraId="3E0C8C19">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21" w:type="dxa"/>
            <w:tcBorders>
              <w:top w:val="single" w:color="000000" w:sz="4" w:space="0"/>
              <w:left w:val="single" w:color="000000" w:sz="4" w:space="0"/>
              <w:bottom w:val="single" w:color="000000" w:sz="4" w:space="0"/>
              <w:right w:val="single" w:color="000000" w:sz="4" w:space="0"/>
            </w:tcBorders>
          </w:tcPr>
          <w:p w14:paraId="300A2345">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18" w:type="dxa"/>
            <w:tcBorders>
              <w:top w:val="single" w:color="000000" w:sz="4" w:space="0"/>
              <w:left w:val="single" w:color="000000" w:sz="4" w:space="0"/>
              <w:bottom w:val="single" w:color="000000" w:sz="4" w:space="0"/>
              <w:right w:val="single" w:color="000000" w:sz="4" w:space="0"/>
            </w:tcBorders>
          </w:tcPr>
          <w:p w14:paraId="6C7E6663">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14:paraId="024F67E1">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923" w:type="dxa"/>
            <w:tcBorders>
              <w:top w:val="single" w:color="000000" w:sz="4" w:space="0"/>
              <w:left w:val="single" w:color="000000" w:sz="4" w:space="0"/>
              <w:bottom w:val="single" w:color="000000" w:sz="4" w:space="0"/>
              <w:right w:val="single" w:color="000000" w:sz="4" w:space="0"/>
            </w:tcBorders>
          </w:tcPr>
          <w:p w14:paraId="62E43732">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18" w:type="dxa"/>
            <w:tcBorders>
              <w:top w:val="single" w:color="000000" w:sz="4" w:space="0"/>
              <w:left w:val="single" w:color="000000" w:sz="4" w:space="0"/>
              <w:bottom w:val="single" w:color="000000" w:sz="4" w:space="0"/>
              <w:right w:val="single" w:color="000000" w:sz="4" w:space="0"/>
            </w:tcBorders>
          </w:tcPr>
          <w:p w14:paraId="2A1938CC">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20" w:type="dxa"/>
            <w:tcBorders>
              <w:top w:val="single" w:color="000000" w:sz="4" w:space="0"/>
              <w:left w:val="single" w:color="000000" w:sz="4" w:space="0"/>
              <w:bottom w:val="single" w:color="000000" w:sz="4" w:space="0"/>
              <w:right w:val="single" w:color="000000" w:sz="4" w:space="0"/>
            </w:tcBorders>
          </w:tcPr>
          <w:p w14:paraId="6DD4E40E">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520" w:type="dxa"/>
            <w:tcBorders>
              <w:top w:val="single" w:color="000000" w:sz="4" w:space="0"/>
              <w:left w:val="single" w:color="000000" w:sz="4" w:space="0"/>
              <w:bottom w:val="single" w:color="000000" w:sz="4" w:space="0"/>
              <w:right w:val="single" w:color="000000" w:sz="4" w:space="0"/>
            </w:tcBorders>
          </w:tcPr>
          <w:p w14:paraId="0689C1D4">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2721" w:type="dxa"/>
            <w:tcBorders>
              <w:top w:val="single" w:color="000000" w:sz="4" w:space="0"/>
              <w:left w:val="single" w:color="000000" w:sz="4" w:space="0"/>
              <w:bottom w:val="single" w:color="000000" w:sz="4" w:space="0"/>
              <w:right w:val="single" w:color="000000" w:sz="4" w:space="0"/>
            </w:tcBorders>
          </w:tcPr>
          <w:p w14:paraId="68E5FB40">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671" w:type="dxa"/>
            <w:tcBorders>
              <w:top w:val="single" w:color="000000" w:sz="4" w:space="0"/>
              <w:left w:val="single" w:color="000000" w:sz="4" w:space="0"/>
              <w:bottom w:val="single" w:color="000000" w:sz="4" w:space="0"/>
              <w:right w:val="single" w:color="000000" w:sz="4" w:space="0"/>
            </w:tcBorders>
          </w:tcPr>
          <w:p w14:paraId="5816E501">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r>
      <w:tr w14:paraId="0E4DE97D">
        <w:tblPrEx>
          <w:tblCellMar>
            <w:top w:w="0" w:type="dxa"/>
            <w:left w:w="0" w:type="dxa"/>
            <w:bottom w:w="0" w:type="dxa"/>
            <w:right w:w="0" w:type="dxa"/>
          </w:tblCellMar>
        </w:tblPrEx>
        <w:trPr>
          <w:trHeight w:val="450" w:hRule="exact"/>
          <w:jc w:val="center"/>
        </w:trPr>
        <w:tc>
          <w:tcPr>
            <w:tcW w:w="648" w:type="dxa"/>
            <w:tcBorders>
              <w:top w:val="single" w:color="000000" w:sz="4" w:space="0"/>
              <w:left w:val="single" w:color="000000" w:sz="4" w:space="0"/>
              <w:bottom w:val="single" w:color="000000" w:sz="4" w:space="0"/>
              <w:right w:val="single" w:color="000000" w:sz="4" w:space="0"/>
            </w:tcBorders>
          </w:tcPr>
          <w:p w14:paraId="2CA8641D">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21" w:type="dxa"/>
            <w:tcBorders>
              <w:top w:val="single" w:color="000000" w:sz="4" w:space="0"/>
              <w:left w:val="single" w:color="000000" w:sz="4" w:space="0"/>
              <w:bottom w:val="single" w:color="000000" w:sz="4" w:space="0"/>
              <w:right w:val="single" w:color="000000" w:sz="4" w:space="0"/>
            </w:tcBorders>
          </w:tcPr>
          <w:p w14:paraId="2B574EDB">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18" w:type="dxa"/>
            <w:tcBorders>
              <w:top w:val="single" w:color="000000" w:sz="4" w:space="0"/>
              <w:left w:val="single" w:color="000000" w:sz="4" w:space="0"/>
              <w:bottom w:val="single" w:color="000000" w:sz="4" w:space="0"/>
              <w:right w:val="single" w:color="000000" w:sz="4" w:space="0"/>
            </w:tcBorders>
          </w:tcPr>
          <w:p w14:paraId="180CB5C4">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14:paraId="42F76CE2">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923" w:type="dxa"/>
            <w:tcBorders>
              <w:top w:val="single" w:color="000000" w:sz="4" w:space="0"/>
              <w:left w:val="single" w:color="000000" w:sz="4" w:space="0"/>
              <w:bottom w:val="single" w:color="000000" w:sz="4" w:space="0"/>
              <w:right w:val="single" w:color="000000" w:sz="4" w:space="0"/>
            </w:tcBorders>
          </w:tcPr>
          <w:p w14:paraId="3A78687F">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18" w:type="dxa"/>
            <w:tcBorders>
              <w:top w:val="single" w:color="000000" w:sz="4" w:space="0"/>
              <w:left w:val="single" w:color="000000" w:sz="4" w:space="0"/>
              <w:bottom w:val="single" w:color="000000" w:sz="4" w:space="0"/>
              <w:right w:val="single" w:color="000000" w:sz="4" w:space="0"/>
            </w:tcBorders>
          </w:tcPr>
          <w:p w14:paraId="05BCE3EB">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20" w:type="dxa"/>
            <w:tcBorders>
              <w:top w:val="single" w:color="000000" w:sz="4" w:space="0"/>
              <w:left w:val="single" w:color="000000" w:sz="4" w:space="0"/>
              <w:bottom w:val="single" w:color="000000" w:sz="4" w:space="0"/>
              <w:right w:val="single" w:color="000000" w:sz="4" w:space="0"/>
            </w:tcBorders>
          </w:tcPr>
          <w:p w14:paraId="02ABD967">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520" w:type="dxa"/>
            <w:tcBorders>
              <w:top w:val="single" w:color="000000" w:sz="4" w:space="0"/>
              <w:left w:val="single" w:color="000000" w:sz="4" w:space="0"/>
              <w:bottom w:val="single" w:color="000000" w:sz="4" w:space="0"/>
              <w:right w:val="single" w:color="000000" w:sz="4" w:space="0"/>
            </w:tcBorders>
          </w:tcPr>
          <w:p w14:paraId="3AF47895">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2721" w:type="dxa"/>
            <w:tcBorders>
              <w:top w:val="single" w:color="000000" w:sz="4" w:space="0"/>
              <w:left w:val="single" w:color="000000" w:sz="4" w:space="0"/>
              <w:bottom w:val="single" w:color="000000" w:sz="4" w:space="0"/>
              <w:right w:val="single" w:color="000000" w:sz="4" w:space="0"/>
            </w:tcBorders>
          </w:tcPr>
          <w:p w14:paraId="3099F0CD">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671" w:type="dxa"/>
            <w:tcBorders>
              <w:top w:val="single" w:color="000000" w:sz="4" w:space="0"/>
              <w:left w:val="single" w:color="000000" w:sz="4" w:space="0"/>
              <w:bottom w:val="single" w:color="000000" w:sz="4" w:space="0"/>
              <w:right w:val="single" w:color="000000" w:sz="4" w:space="0"/>
            </w:tcBorders>
          </w:tcPr>
          <w:p w14:paraId="3928B4FF">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r>
      <w:tr w14:paraId="3EA7FC29">
        <w:tblPrEx>
          <w:tblCellMar>
            <w:top w:w="0" w:type="dxa"/>
            <w:left w:w="0" w:type="dxa"/>
            <w:bottom w:w="0" w:type="dxa"/>
            <w:right w:w="0" w:type="dxa"/>
          </w:tblCellMar>
        </w:tblPrEx>
        <w:trPr>
          <w:trHeight w:val="450" w:hRule="exact"/>
          <w:jc w:val="center"/>
        </w:trPr>
        <w:tc>
          <w:tcPr>
            <w:tcW w:w="648" w:type="dxa"/>
            <w:tcBorders>
              <w:top w:val="single" w:color="000000" w:sz="4" w:space="0"/>
              <w:left w:val="single" w:color="000000" w:sz="4" w:space="0"/>
              <w:bottom w:val="single" w:color="000000" w:sz="4" w:space="0"/>
              <w:right w:val="single" w:color="000000" w:sz="4" w:space="0"/>
            </w:tcBorders>
          </w:tcPr>
          <w:p w14:paraId="094C8F93">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21" w:type="dxa"/>
            <w:tcBorders>
              <w:top w:val="single" w:color="000000" w:sz="4" w:space="0"/>
              <w:left w:val="single" w:color="000000" w:sz="4" w:space="0"/>
              <w:bottom w:val="single" w:color="000000" w:sz="4" w:space="0"/>
              <w:right w:val="single" w:color="000000" w:sz="4" w:space="0"/>
            </w:tcBorders>
          </w:tcPr>
          <w:p w14:paraId="325C4573">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18" w:type="dxa"/>
            <w:tcBorders>
              <w:top w:val="single" w:color="000000" w:sz="4" w:space="0"/>
              <w:left w:val="single" w:color="000000" w:sz="4" w:space="0"/>
              <w:bottom w:val="single" w:color="000000" w:sz="4" w:space="0"/>
              <w:right w:val="single" w:color="000000" w:sz="4" w:space="0"/>
            </w:tcBorders>
          </w:tcPr>
          <w:p w14:paraId="5C058F1A">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14:paraId="4E2589DE">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923" w:type="dxa"/>
            <w:tcBorders>
              <w:top w:val="single" w:color="000000" w:sz="4" w:space="0"/>
              <w:left w:val="single" w:color="000000" w:sz="4" w:space="0"/>
              <w:bottom w:val="single" w:color="000000" w:sz="4" w:space="0"/>
              <w:right w:val="single" w:color="000000" w:sz="4" w:space="0"/>
            </w:tcBorders>
          </w:tcPr>
          <w:p w14:paraId="330B6E3C">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18" w:type="dxa"/>
            <w:tcBorders>
              <w:top w:val="single" w:color="000000" w:sz="4" w:space="0"/>
              <w:left w:val="single" w:color="000000" w:sz="4" w:space="0"/>
              <w:bottom w:val="single" w:color="000000" w:sz="4" w:space="0"/>
              <w:right w:val="single" w:color="000000" w:sz="4" w:space="0"/>
            </w:tcBorders>
          </w:tcPr>
          <w:p w14:paraId="5D2CE965">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20" w:type="dxa"/>
            <w:tcBorders>
              <w:top w:val="single" w:color="000000" w:sz="4" w:space="0"/>
              <w:left w:val="single" w:color="000000" w:sz="4" w:space="0"/>
              <w:bottom w:val="single" w:color="000000" w:sz="4" w:space="0"/>
              <w:right w:val="single" w:color="000000" w:sz="4" w:space="0"/>
            </w:tcBorders>
          </w:tcPr>
          <w:p w14:paraId="2F3C06A5">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520" w:type="dxa"/>
            <w:tcBorders>
              <w:top w:val="single" w:color="000000" w:sz="4" w:space="0"/>
              <w:left w:val="single" w:color="000000" w:sz="4" w:space="0"/>
              <w:bottom w:val="single" w:color="000000" w:sz="4" w:space="0"/>
              <w:right w:val="single" w:color="000000" w:sz="4" w:space="0"/>
            </w:tcBorders>
          </w:tcPr>
          <w:p w14:paraId="63070CCB">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2721" w:type="dxa"/>
            <w:tcBorders>
              <w:top w:val="single" w:color="000000" w:sz="4" w:space="0"/>
              <w:left w:val="single" w:color="000000" w:sz="4" w:space="0"/>
              <w:bottom w:val="single" w:color="000000" w:sz="4" w:space="0"/>
              <w:right w:val="single" w:color="000000" w:sz="4" w:space="0"/>
            </w:tcBorders>
          </w:tcPr>
          <w:p w14:paraId="758DBFEB">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671" w:type="dxa"/>
            <w:tcBorders>
              <w:top w:val="single" w:color="000000" w:sz="4" w:space="0"/>
              <w:left w:val="single" w:color="000000" w:sz="4" w:space="0"/>
              <w:bottom w:val="single" w:color="000000" w:sz="4" w:space="0"/>
              <w:right w:val="single" w:color="000000" w:sz="4" w:space="0"/>
            </w:tcBorders>
          </w:tcPr>
          <w:p w14:paraId="4A84C977">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r>
      <w:tr w14:paraId="3BA81D26">
        <w:tblPrEx>
          <w:tblCellMar>
            <w:top w:w="0" w:type="dxa"/>
            <w:left w:w="0" w:type="dxa"/>
            <w:bottom w:w="0" w:type="dxa"/>
            <w:right w:w="0" w:type="dxa"/>
          </w:tblCellMar>
        </w:tblPrEx>
        <w:trPr>
          <w:trHeight w:val="450" w:hRule="exact"/>
          <w:jc w:val="center"/>
        </w:trPr>
        <w:tc>
          <w:tcPr>
            <w:tcW w:w="648" w:type="dxa"/>
            <w:tcBorders>
              <w:top w:val="single" w:color="000000" w:sz="4" w:space="0"/>
              <w:left w:val="single" w:color="000000" w:sz="4" w:space="0"/>
              <w:bottom w:val="single" w:color="000000" w:sz="4" w:space="0"/>
              <w:right w:val="single" w:color="000000" w:sz="4" w:space="0"/>
            </w:tcBorders>
          </w:tcPr>
          <w:p w14:paraId="78BF194E">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21" w:type="dxa"/>
            <w:tcBorders>
              <w:top w:val="single" w:color="000000" w:sz="4" w:space="0"/>
              <w:left w:val="single" w:color="000000" w:sz="4" w:space="0"/>
              <w:bottom w:val="single" w:color="000000" w:sz="4" w:space="0"/>
              <w:right w:val="single" w:color="000000" w:sz="4" w:space="0"/>
            </w:tcBorders>
          </w:tcPr>
          <w:p w14:paraId="7A4F7D11">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18" w:type="dxa"/>
            <w:tcBorders>
              <w:top w:val="single" w:color="000000" w:sz="4" w:space="0"/>
              <w:left w:val="single" w:color="000000" w:sz="4" w:space="0"/>
              <w:bottom w:val="single" w:color="000000" w:sz="4" w:space="0"/>
              <w:right w:val="single" w:color="000000" w:sz="4" w:space="0"/>
            </w:tcBorders>
          </w:tcPr>
          <w:p w14:paraId="38EE81D9">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14:paraId="40DD9885">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923" w:type="dxa"/>
            <w:tcBorders>
              <w:top w:val="single" w:color="000000" w:sz="4" w:space="0"/>
              <w:left w:val="single" w:color="000000" w:sz="4" w:space="0"/>
              <w:bottom w:val="single" w:color="000000" w:sz="4" w:space="0"/>
              <w:right w:val="single" w:color="000000" w:sz="4" w:space="0"/>
            </w:tcBorders>
          </w:tcPr>
          <w:p w14:paraId="7E1765F6">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18" w:type="dxa"/>
            <w:tcBorders>
              <w:top w:val="single" w:color="000000" w:sz="4" w:space="0"/>
              <w:left w:val="single" w:color="000000" w:sz="4" w:space="0"/>
              <w:bottom w:val="single" w:color="000000" w:sz="4" w:space="0"/>
              <w:right w:val="single" w:color="000000" w:sz="4" w:space="0"/>
            </w:tcBorders>
          </w:tcPr>
          <w:p w14:paraId="1A2B6B3C">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20" w:type="dxa"/>
            <w:tcBorders>
              <w:top w:val="single" w:color="000000" w:sz="4" w:space="0"/>
              <w:left w:val="single" w:color="000000" w:sz="4" w:space="0"/>
              <w:bottom w:val="single" w:color="000000" w:sz="4" w:space="0"/>
              <w:right w:val="single" w:color="000000" w:sz="4" w:space="0"/>
            </w:tcBorders>
          </w:tcPr>
          <w:p w14:paraId="5BBA5314">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520" w:type="dxa"/>
            <w:tcBorders>
              <w:top w:val="single" w:color="000000" w:sz="4" w:space="0"/>
              <w:left w:val="single" w:color="000000" w:sz="4" w:space="0"/>
              <w:bottom w:val="single" w:color="000000" w:sz="4" w:space="0"/>
              <w:right w:val="single" w:color="000000" w:sz="4" w:space="0"/>
            </w:tcBorders>
          </w:tcPr>
          <w:p w14:paraId="439C5953">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2721" w:type="dxa"/>
            <w:tcBorders>
              <w:top w:val="single" w:color="000000" w:sz="4" w:space="0"/>
              <w:left w:val="single" w:color="000000" w:sz="4" w:space="0"/>
              <w:bottom w:val="single" w:color="000000" w:sz="4" w:space="0"/>
              <w:right w:val="single" w:color="000000" w:sz="4" w:space="0"/>
            </w:tcBorders>
          </w:tcPr>
          <w:p w14:paraId="775CA632">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671" w:type="dxa"/>
            <w:tcBorders>
              <w:top w:val="single" w:color="000000" w:sz="4" w:space="0"/>
              <w:left w:val="single" w:color="000000" w:sz="4" w:space="0"/>
              <w:bottom w:val="single" w:color="000000" w:sz="4" w:space="0"/>
              <w:right w:val="single" w:color="000000" w:sz="4" w:space="0"/>
            </w:tcBorders>
          </w:tcPr>
          <w:p w14:paraId="4D477C2E">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r>
      <w:tr w14:paraId="1C7FF02F">
        <w:tblPrEx>
          <w:tblCellMar>
            <w:top w:w="0" w:type="dxa"/>
            <w:left w:w="0" w:type="dxa"/>
            <w:bottom w:w="0" w:type="dxa"/>
            <w:right w:w="0" w:type="dxa"/>
          </w:tblCellMar>
        </w:tblPrEx>
        <w:trPr>
          <w:trHeight w:val="450" w:hRule="exact"/>
          <w:jc w:val="center"/>
        </w:trPr>
        <w:tc>
          <w:tcPr>
            <w:tcW w:w="648" w:type="dxa"/>
            <w:tcBorders>
              <w:top w:val="single" w:color="000000" w:sz="4" w:space="0"/>
              <w:left w:val="single" w:color="000000" w:sz="4" w:space="0"/>
              <w:bottom w:val="single" w:color="000000" w:sz="4" w:space="0"/>
              <w:right w:val="single" w:color="000000" w:sz="4" w:space="0"/>
            </w:tcBorders>
          </w:tcPr>
          <w:p w14:paraId="2CE8DFAD">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21" w:type="dxa"/>
            <w:tcBorders>
              <w:top w:val="single" w:color="000000" w:sz="4" w:space="0"/>
              <w:left w:val="single" w:color="000000" w:sz="4" w:space="0"/>
              <w:bottom w:val="single" w:color="000000" w:sz="4" w:space="0"/>
              <w:right w:val="single" w:color="000000" w:sz="4" w:space="0"/>
            </w:tcBorders>
          </w:tcPr>
          <w:p w14:paraId="2313C21E">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18" w:type="dxa"/>
            <w:tcBorders>
              <w:top w:val="single" w:color="000000" w:sz="4" w:space="0"/>
              <w:left w:val="single" w:color="000000" w:sz="4" w:space="0"/>
              <w:bottom w:val="single" w:color="000000" w:sz="4" w:space="0"/>
              <w:right w:val="single" w:color="000000" w:sz="4" w:space="0"/>
            </w:tcBorders>
          </w:tcPr>
          <w:p w14:paraId="53C6933F">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14:paraId="29957783">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923" w:type="dxa"/>
            <w:tcBorders>
              <w:top w:val="single" w:color="000000" w:sz="4" w:space="0"/>
              <w:left w:val="single" w:color="000000" w:sz="4" w:space="0"/>
              <w:bottom w:val="single" w:color="000000" w:sz="4" w:space="0"/>
              <w:right w:val="single" w:color="000000" w:sz="4" w:space="0"/>
            </w:tcBorders>
          </w:tcPr>
          <w:p w14:paraId="3DE158BB">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18" w:type="dxa"/>
            <w:tcBorders>
              <w:top w:val="single" w:color="000000" w:sz="4" w:space="0"/>
              <w:left w:val="single" w:color="000000" w:sz="4" w:space="0"/>
              <w:bottom w:val="single" w:color="000000" w:sz="4" w:space="0"/>
              <w:right w:val="single" w:color="000000" w:sz="4" w:space="0"/>
            </w:tcBorders>
          </w:tcPr>
          <w:p w14:paraId="3A4135CE">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720" w:type="dxa"/>
            <w:tcBorders>
              <w:top w:val="single" w:color="000000" w:sz="4" w:space="0"/>
              <w:left w:val="single" w:color="000000" w:sz="4" w:space="0"/>
              <w:bottom w:val="single" w:color="000000" w:sz="4" w:space="0"/>
              <w:right w:val="single" w:color="000000" w:sz="4" w:space="0"/>
            </w:tcBorders>
          </w:tcPr>
          <w:p w14:paraId="2A487973">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520" w:type="dxa"/>
            <w:tcBorders>
              <w:top w:val="single" w:color="000000" w:sz="4" w:space="0"/>
              <w:left w:val="single" w:color="000000" w:sz="4" w:space="0"/>
              <w:bottom w:val="single" w:color="000000" w:sz="4" w:space="0"/>
              <w:right w:val="single" w:color="000000" w:sz="4" w:space="0"/>
            </w:tcBorders>
          </w:tcPr>
          <w:p w14:paraId="11AE59DE">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2721" w:type="dxa"/>
            <w:tcBorders>
              <w:top w:val="single" w:color="000000" w:sz="4" w:space="0"/>
              <w:left w:val="single" w:color="000000" w:sz="4" w:space="0"/>
              <w:bottom w:val="single" w:color="000000" w:sz="4" w:space="0"/>
              <w:right w:val="single" w:color="000000" w:sz="4" w:space="0"/>
            </w:tcBorders>
          </w:tcPr>
          <w:p w14:paraId="043B8075">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671" w:type="dxa"/>
            <w:tcBorders>
              <w:top w:val="single" w:color="000000" w:sz="4" w:space="0"/>
              <w:left w:val="single" w:color="000000" w:sz="4" w:space="0"/>
              <w:bottom w:val="single" w:color="000000" w:sz="4" w:space="0"/>
              <w:right w:val="single" w:color="000000" w:sz="4" w:space="0"/>
            </w:tcBorders>
          </w:tcPr>
          <w:p w14:paraId="3F571D44">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r>
    </w:tbl>
    <w:p w14:paraId="5BD5D1C6">
      <w:pPr>
        <w:autoSpaceDE w:val="0"/>
        <w:autoSpaceDN w:val="0"/>
        <w:adjustRightInd w:val="0"/>
        <w:snapToGrid w:val="0"/>
        <w:spacing w:line="360" w:lineRule="auto"/>
        <w:ind w:right="-110"/>
        <w:jc w:val="center"/>
        <w:rPr>
          <w:rFonts w:ascii="宋体" w:hAnsi="宋体" w:cs="宋体"/>
          <w:color w:val="auto"/>
          <w:szCs w:val="28"/>
          <w:highlight w:val="none"/>
        </w:rPr>
      </w:pPr>
      <w:r>
        <w:rPr>
          <w:rFonts w:hint="eastAsia" w:ascii="宋体" w:hAnsi="宋体" w:eastAsia="宋体" w:cs="宋体"/>
          <w:color w:val="auto"/>
          <w:highlight w:val="none"/>
        </w:rPr>
        <w:br w:type="page"/>
      </w:r>
      <w:bookmarkStart w:id="924" w:name="_Toc429610177"/>
      <w:bookmarkStart w:id="925" w:name="_Toc433116137"/>
      <w:bookmarkStart w:id="926" w:name="_Toc429610041"/>
      <w:bookmarkStart w:id="927" w:name="_Toc208823046"/>
      <w:bookmarkStart w:id="928" w:name="_Toc432756779"/>
      <w:r>
        <w:rPr>
          <w:rFonts w:hint="eastAsia" w:ascii="宋体" w:hAnsi="宋体" w:eastAsia="宋体" w:cs="宋体"/>
          <w:b/>
          <w:color w:val="auto"/>
          <w:sz w:val="28"/>
          <w:szCs w:val="28"/>
          <w:highlight w:val="none"/>
        </w:rPr>
        <w:t>主要人员简历表</w:t>
      </w:r>
      <w:bookmarkEnd w:id="924"/>
      <w:bookmarkEnd w:id="925"/>
      <w:bookmarkEnd w:id="926"/>
      <w:bookmarkEnd w:id="927"/>
      <w:bookmarkEnd w:id="928"/>
    </w:p>
    <w:tbl>
      <w:tblPr>
        <w:tblStyle w:val="14"/>
        <w:tblW w:w="0" w:type="auto"/>
        <w:jc w:val="center"/>
        <w:tblLayout w:type="fixed"/>
        <w:tblCellMar>
          <w:top w:w="0" w:type="dxa"/>
          <w:left w:w="0" w:type="dxa"/>
          <w:bottom w:w="0" w:type="dxa"/>
          <w:right w:w="0" w:type="dxa"/>
        </w:tblCellMar>
      </w:tblPr>
      <w:tblGrid>
        <w:gridCol w:w="1186"/>
        <w:gridCol w:w="360"/>
        <w:gridCol w:w="720"/>
        <w:gridCol w:w="926"/>
        <w:gridCol w:w="1066"/>
        <w:gridCol w:w="708"/>
        <w:gridCol w:w="1260"/>
        <w:gridCol w:w="162"/>
        <w:gridCol w:w="2135"/>
      </w:tblGrid>
      <w:tr w14:paraId="6F3934AA">
        <w:tblPrEx>
          <w:tblCellMar>
            <w:top w:w="0" w:type="dxa"/>
            <w:left w:w="0" w:type="dxa"/>
            <w:bottom w:w="0" w:type="dxa"/>
            <w:right w:w="0" w:type="dxa"/>
          </w:tblCellMar>
        </w:tblPrEx>
        <w:trPr>
          <w:trHeight w:val="450" w:hRule="exact"/>
          <w:jc w:val="center"/>
        </w:trPr>
        <w:tc>
          <w:tcPr>
            <w:tcW w:w="1186" w:type="dxa"/>
            <w:tcBorders>
              <w:top w:val="single" w:color="000000" w:sz="4" w:space="0"/>
              <w:left w:val="single" w:color="000000" w:sz="4" w:space="0"/>
              <w:bottom w:val="single" w:color="000000" w:sz="4" w:space="0"/>
              <w:right w:val="single" w:color="000000" w:sz="4" w:space="0"/>
            </w:tcBorders>
            <w:vAlign w:val="center"/>
          </w:tcPr>
          <w:p w14:paraId="7EABCCB4">
            <w:pPr>
              <w:tabs>
                <w:tab w:val="left" w:pos="520"/>
              </w:tabs>
              <w:autoSpaceDE w:val="0"/>
              <w:autoSpaceDN w:val="0"/>
              <w:adjustRightInd w:val="0"/>
              <w:snapToGrid w:val="0"/>
              <w:spacing w:line="360" w:lineRule="auto"/>
              <w:rPr>
                <w:rFonts w:ascii="宋体" w:hAnsi="宋体" w:cs="宋体"/>
                <w:color w:val="auto"/>
                <w:kern w:val="0"/>
                <w:sz w:val="21"/>
                <w:szCs w:val="21"/>
                <w:highlight w:val="none"/>
              </w:rPr>
            </w:pPr>
            <w:r>
              <w:rPr>
                <w:rFonts w:hint="eastAsia" w:ascii="宋体" w:hAnsi="宋体" w:eastAsia="宋体" w:cs="宋体"/>
                <w:color w:val="auto"/>
                <w:kern w:val="0"/>
                <w:sz w:val="21"/>
                <w:szCs w:val="21"/>
                <w:highlight w:val="none"/>
              </w:rPr>
              <w:t>姓</w:t>
            </w:r>
            <w:r>
              <w:rPr>
                <w:rFonts w:hint="eastAsia" w:ascii="宋体" w:hAnsi="宋体" w:eastAsia="宋体" w:cs="宋体"/>
                <w:color w:val="auto"/>
                <w:kern w:val="0"/>
                <w:sz w:val="21"/>
                <w:szCs w:val="21"/>
                <w:highlight w:val="none"/>
              </w:rPr>
              <w:tab/>
            </w:r>
            <w:r>
              <w:rPr>
                <w:rFonts w:hint="eastAsia" w:ascii="宋体" w:hAnsi="宋体" w:eastAsia="宋体" w:cs="宋体"/>
                <w:color w:val="auto"/>
                <w:kern w:val="0"/>
                <w:sz w:val="21"/>
                <w:szCs w:val="21"/>
                <w:highlight w:val="none"/>
              </w:rPr>
              <w:t>名</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16D1D916">
            <w:pPr>
              <w:autoSpaceDE w:val="0"/>
              <w:autoSpaceDN w:val="0"/>
              <w:adjustRightInd w:val="0"/>
              <w:snapToGrid w:val="0"/>
              <w:spacing w:line="360" w:lineRule="auto"/>
              <w:rPr>
                <w:rFonts w:ascii="宋体" w:hAnsi="宋体" w:cs="宋体"/>
                <w:color w:val="auto"/>
                <w:kern w:val="0"/>
                <w:sz w:val="21"/>
                <w:szCs w:val="21"/>
                <w:highlight w:val="none"/>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0480A669">
            <w:pPr>
              <w:autoSpaceDE w:val="0"/>
              <w:autoSpaceDN w:val="0"/>
              <w:adjustRightInd w:val="0"/>
              <w:snapToGrid w:val="0"/>
              <w:spacing w:line="360" w:lineRule="auto"/>
              <w:rPr>
                <w:rFonts w:ascii="宋体" w:hAnsi="宋体" w:cs="宋体"/>
                <w:color w:val="auto"/>
                <w:kern w:val="0"/>
                <w:sz w:val="21"/>
                <w:szCs w:val="21"/>
                <w:highlight w:val="none"/>
              </w:rPr>
            </w:pPr>
            <w:r>
              <w:rPr>
                <w:rFonts w:hint="eastAsia" w:ascii="宋体" w:hAnsi="宋体" w:eastAsia="宋体" w:cs="宋体"/>
                <w:color w:val="auto"/>
                <w:kern w:val="0"/>
                <w:sz w:val="21"/>
                <w:szCs w:val="21"/>
                <w:highlight w:val="none"/>
              </w:rPr>
              <w:t>年龄</w:t>
            </w:r>
          </w:p>
        </w:tc>
        <w:tc>
          <w:tcPr>
            <w:tcW w:w="1066" w:type="dxa"/>
            <w:tcBorders>
              <w:top w:val="single" w:color="000000" w:sz="4" w:space="0"/>
              <w:left w:val="single" w:color="000000" w:sz="4" w:space="0"/>
              <w:bottom w:val="single" w:color="000000" w:sz="4" w:space="0"/>
              <w:right w:val="single" w:color="000000" w:sz="4" w:space="0"/>
            </w:tcBorders>
            <w:vAlign w:val="center"/>
          </w:tcPr>
          <w:p w14:paraId="75B51EBC">
            <w:pPr>
              <w:autoSpaceDE w:val="0"/>
              <w:autoSpaceDN w:val="0"/>
              <w:adjustRightInd w:val="0"/>
              <w:snapToGrid w:val="0"/>
              <w:spacing w:line="360" w:lineRule="auto"/>
              <w:rPr>
                <w:rFonts w:ascii="宋体" w:hAnsi="宋体" w:cs="宋体"/>
                <w:color w:val="auto"/>
                <w:kern w:val="0"/>
                <w:sz w:val="21"/>
                <w:szCs w:val="21"/>
                <w:highlight w:val="none"/>
              </w:rPr>
            </w:pPr>
          </w:p>
        </w:tc>
        <w:tc>
          <w:tcPr>
            <w:tcW w:w="2130" w:type="dxa"/>
            <w:gridSpan w:val="3"/>
            <w:tcBorders>
              <w:top w:val="single" w:color="000000" w:sz="4" w:space="0"/>
              <w:left w:val="single" w:color="000000" w:sz="4" w:space="0"/>
              <w:bottom w:val="single" w:color="000000" w:sz="4" w:space="0"/>
              <w:right w:val="single" w:color="000000" w:sz="4" w:space="0"/>
            </w:tcBorders>
            <w:vAlign w:val="center"/>
          </w:tcPr>
          <w:p w14:paraId="423242E2">
            <w:pPr>
              <w:autoSpaceDE w:val="0"/>
              <w:autoSpaceDN w:val="0"/>
              <w:adjustRightInd w:val="0"/>
              <w:snapToGrid w:val="0"/>
              <w:spacing w:line="360" w:lineRule="auto"/>
              <w:rPr>
                <w:rFonts w:ascii="宋体" w:hAnsi="宋体" w:cs="宋体"/>
                <w:color w:val="auto"/>
                <w:kern w:val="0"/>
                <w:sz w:val="21"/>
                <w:szCs w:val="21"/>
                <w:highlight w:val="none"/>
              </w:rPr>
            </w:pPr>
            <w:r>
              <w:rPr>
                <w:rFonts w:hint="eastAsia" w:ascii="宋体" w:hAnsi="宋体" w:eastAsia="宋体" w:cs="宋体"/>
                <w:color w:val="auto"/>
                <w:kern w:val="0"/>
                <w:sz w:val="21"/>
                <w:szCs w:val="21"/>
                <w:highlight w:val="none"/>
              </w:rPr>
              <w:t>学历</w:t>
            </w:r>
          </w:p>
        </w:tc>
        <w:tc>
          <w:tcPr>
            <w:tcW w:w="2135" w:type="dxa"/>
            <w:tcBorders>
              <w:top w:val="single" w:color="000000" w:sz="4" w:space="0"/>
              <w:left w:val="single" w:color="000000" w:sz="4" w:space="0"/>
              <w:bottom w:val="single" w:color="000000" w:sz="4" w:space="0"/>
              <w:right w:val="single" w:color="000000" w:sz="4" w:space="0"/>
            </w:tcBorders>
            <w:vAlign w:val="center"/>
          </w:tcPr>
          <w:p w14:paraId="72802C47">
            <w:pPr>
              <w:autoSpaceDE w:val="0"/>
              <w:autoSpaceDN w:val="0"/>
              <w:adjustRightInd w:val="0"/>
              <w:snapToGrid w:val="0"/>
              <w:spacing w:line="360" w:lineRule="auto"/>
              <w:ind w:firstLine="1381" w:firstLineChars="658"/>
              <w:jc w:val="center"/>
              <w:rPr>
                <w:rFonts w:ascii="宋体" w:hAnsi="宋体" w:cs="宋体"/>
                <w:color w:val="auto"/>
                <w:kern w:val="0"/>
                <w:sz w:val="21"/>
                <w:szCs w:val="21"/>
                <w:highlight w:val="none"/>
              </w:rPr>
            </w:pPr>
          </w:p>
        </w:tc>
      </w:tr>
      <w:tr w14:paraId="581AE2C0">
        <w:tblPrEx>
          <w:tblCellMar>
            <w:top w:w="0" w:type="dxa"/>
            <w:left w:w="0" w:type="dxa"/>
            <w:bottom w:w="0" w:type="dxa"/>
            <w:right w:w="0" w:type="dxa"/>
          </w:tblCellMar>
        </w:tblPrEx>
        <w:trPr>
          <w:trHeight w:val="450" w:hRule="exact"/>
          <w:jc w:val="center"/>
        </w:trPr>
        <w:tc>
          <w:tcPr>
            <w:tcW w:w="1186" w:type="dxa"/>
            <w:tcBorders>
              <w:top w:val="single" w:color="000000" w:sz="4" w:space="0"/>
              <w:left w:val="single" w:color="000000" w:sz="4" w:space="0"/>
              <w:bottom w:val="single" w:color="000000" w:sz="4" w:space="0"/>
              <w:right w:val="single" w:color="000000" w:sz="4" w:space="0"/>
            </w:tcBorders>
            <w:vAlign w:val="center"/>
          </w:tcPr>
          <w:p w14:paraId="25281989">
            <w:pPr>
              <w:tabs>
                <w:tab w:val="left" w:pos="520"/>
              </w:tabs>
              <w:autoSpaceDE w:val="0"/>
              <w:autoSpaceDN w:val="0"/>
              <w:adjustRightInd w:val="0"/>
              <w:snapToGrid w:val="0"/>
              <w:spacing w:line="360" w:lineRule="auto"/>
              <w:rPr>
                <w:rFonts w:ascii="宋体" w:hAnsi="宋体" w:cs="宋体"/>
                <w:color w:val="auto"/>
                <w:kern w:val="0"/>
                <w:sz w:val="21"/>
                <w:szCs w:val="21"/>
                <w:highlight w:val="none"/>
              </w:rPr>
            </w:pPr>
            <w:r>
              <w:rPr>
                <w:rFonts w:hint="eastAsia" w:ascii="宋体" w:hAnsi="宋体" w:eastAsia="宋体" w:cs="宋体"/>
                <w:color w:val="auto"/>
                <w:kern w:val="0"/>
                <w:sz w:val="21"/>
                <w:szCs w:val="21"/>
                <w:highlight w:val="none"/>
              </w:rPr>
              <w:t>职</w:t>
            </w:r>
            <w:r>
              <w:rPr>
                <w:rFonts w:hint="eastAsia" w:ascii="宋体" w:hAnsi="宋体" w:eastAsia="宋体" w:cs="宋体"/>
                <w:color w:val="auto"/>
                <w:kern w:val="0"/>
                <w:sz w:val="21"/>
                <w:szCs w:val="21"/>
                <w:highlight w:val="none"/>
              </w:rPr>
              <w:tab/>
            </w:r>
            <w:r>
              <w:rPr>
                <w:rFonts w:hint="eastAsia" w:ascii="宋体" w:hAnsi="宋体" w:eastAsia="宋体" w:cs="宋体"/>
                <w:color w:val="auto"/>
                <w:kern w:val="0"/>
                <w:sz w:val="21"/>
                <w:szCs w:val="21"/>
                <w:highlight w:val="none"/>
              </w:rPr>
              <w:t>称</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6B7F5EB0">
            <w:pPr>
              <w:autoSpaceDE w:val="0"/>
              <w:autoSpaceDN w:val="0"/>
              <w:adjustRightInd w:val="0"/>
              <w:snapToGrid w:val="0"/>
              <w:spacing w:line="360" w:lineRule="auto"/>
              <w:rPr>
                <w:rFonts w:ascii="宋体" w:hAnsi="宋体" w:cs="宋体"/>
                <w:color w:val="auto"/>
                <w:kern w:val="0"/>
                <w:sz w:val="21"/>
                <w:szCs w:val="21"/>
                <w:highlight w:val="none"/>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71642EC1">
            <w:pPr>
              <w:autoSpaceDE w:val="0"/>
              <w:autoSpaceDN w:val="0"/>
              <w:adjustRightInd w:val="0"/>
              <w:snapToGrid w:val="0"/>
              <w:spacing w:line="360" w:lineRule="auto"/>
              <w:rPr>
                <w:rFonts w:ascii="宋体" w:hAnsi="宋体" w:cs="宋体"/>
                <w:color w:val="auto"/>
                <w:kern w:val="0"/>
                <w:sz w:val="21"/>
                <w:szCs w:val="21"/>
                <w:highlight w:val="none"/>
              </w:rPr>
            </w:pPr>
            <w:r>
              <w:rPr>
                <w:rFonts w:hint="eastAsia" w:ascii="宋体" w:hAnsi="宋体" w:eastAsia="宋体" w:cs="宋体"/>
                <w:color w:val="auto"/>
                <w:kern w:val="0"/>
                <w:sz w:val="21"/>
                <w:szCs w:val="21"/>
                <w:highlight w:val="none"/>
              </w:rPr>
              <w:t>职务</w:t>
            </w:r>
          </w:p>
        </w:tc>
        <w:tc>
          <w:tcPr>
            <w:tcW w:w="1066" w:type="dxa"/>
            <w:tcBorders>
              <w:top w:val="single" w:color="000000" w:sz="4" w:space="0"/>
              <w:left w:val="single" w:color="000000" w:sz="4" w:space="0"/>
              <w:bottom w:val="single" w:color="000000" w:sz="4" w:space="0"/>
              <w:right w:val="single" w:color="000000" w:sz="4" w:space="0"/>
            </w:tcBorders>
            <w:vAlign w:val="center"/>
          </w:tcPr>
          <w:p w14:paraId="5A333732">
            <w:pPr>
              <w:autoSpaceDE w:val="0"/>
              <w:autoSpaceDN w:val="0"/>
              <w:adjustRightInd w:val="0"/>
              <w:snapToGrid w:val="0"/>
              <w:spacing w:line="360" w:lineRule="auto"/>
              <w:rPr>
                <w:rFonts w:ascii="宋体" w:hAnsi="宋体" w:cs="宋体"/>
                <w:color w:val="auto"/>
                <w:kern w:val="0"/>
                <w:sz w:val="21"/>
                <w:szCs w:val="21"/>
                <w:highlight w:val="none"/>
              </w:rPr>
            </w:pPr>
          </w:p>
        </w:tc>
        <w:tc>
          <w:tcPr>
            <w:tcW w:w="2130" w:type="dxa"/>
            <w:gridSpan w:val="3"/>
            <w:tcBorders>
              <w:top w:val="single" w:color="000000" w:sz="4" w:space="0"/>
              <w:left w:val="single" w:color="000000" w:sz="4" w:space="0"/>
              <w:bottom w:val="single" w:color="000000" w:sz="4" w:space="0"/>
              <w:right w:val="single" w:color="000000" w:sz="4" w:space="0"/>
            </w:tcBorders>
            <w:vAlign w:val="center"/>
          </w:tcPr>
          <w:p w14:paraId="7380D89E">
            <w:pPr>
              <w:autoSpaceDE w:val="0"/>
              <w:autoSpaceDN w:val="0"/>
              <w:adjustRightInd w:val="0"/>
              <w:snapToGrid w:val="0"/>
              <w:spacing w:line="360" w:lineRule="auto"/>
              <w:rPr>
                <w:rFonts w:ascii="宋体" w:hAnsi="宋体" w:cs="宋体"/>
                <w:color w:val="auto"/>
                <w:kern w:val="0"/>
                <w:sz w:val="21"/>
                <w:szCs w:val="21"/>
                <w:highlight w:val="none"/>
              </w:rPr>
            </w:pPr>
            <w:r>
              <w:rPr>
                <w:rFonts w:hint="eastAsia" w:ascii="宋体" w:hAnsi="宋体" w:eastAsia="宋体" w:cs="宋体"/>
                <w:color w:val="auto"/>
                <w:kern w:val="0"/>
                <w:sz w:val="21"/>
                <w:szCs w:val="21"/>
                <w:highlight w:val="none"/>
              </w:rPr>
              <w:t>拟在本合同任职</w:t>
            </w:r>
          </w:p>
        </w:tc>
        <w:tc>
          <w:tcPr>
            <w:tcW w:w="2135" w:type="dxa"/>
            <w:tcBorders>
              <w:top w:val="single" w:color="000000" w:sz="4" w:space="0"/>
              <w:left w:val="single" w:color="000000" w:sz="4" w:space="0"/>
              <w:bottom w:val="single" w:color="000000" w:sz="4" w:space="0"/>
              <w:right w:val="single" w:color="000000" w:sz="4" w:space="0"/>
            </w:tcBorders>
            <w:vAlign w:val="center"/>
          </w:tcPr>
          <w:p w14:paraId="336F5CA2">
            <w:pPr>
              <w:autoSpaceDE w:val="0"/>
              <w:autoSpaceDN w:val="0"/>
              <w:adjustRightInd w:val="0"/>
              <w:snapToGrid w:val="0"/>
              <w:spacing w:line="360" w:lineRule="auto"/>
              <w:ind w:firstLine="1381" w:firstLineChars="658"/>
              <w:jc w:val="center"/>
              <w:rPr>
                <w:rFonts w:ascii="宋体" w:hAnsi="宋体" w:cs="宋体"/>
                <w:color w:val="auto"/>
                <w:kern w:val="0"/>
                <w:sz w:val="21"/>
                <w:szCs w:val="21"/>
                <w:highlight w:val="none"/>
              </w:rPr>
            </w:pPr>
          </w:p>
        </w:tc>
      </w:tr>
      <w:tr w14:paraId="6B54D56D">
        <w:tblPrEx>
          <w:tblCellMar>
            <w:top w:w="0" w:type="dxa"/>
            <w:left w:w="0" w:type="dxa"/>
            <w:bottom w:w="0" w:type="dxa"/>
            <w:right w:w="0" w:type="dxa"/>
          </w:tblCellMar>
        </w:tblPrEx>
        <w:trPr>
          <w:trHeight w:val="450" w:hRule="exact"/>
          <w:jc w:val="center"/>
        </w:trPr>
        <w:tc>
          <w:tcPr>
            <w:tcW w:w="1186" w:type="dxa"/>
            <w:tcBorders>
              <w:top w:val="single" w:color="000000" w:sz="4" w:space="0"/>
              <w:left w:val="single" w:color="000000" w:sz="4" w:space="0"/>
              <w:bottom w:val="single" w:color="000000" w:sz="4" w:space="0"/>
              <w:right w:val="single" w:color="000000" w:sz="4" w:space="0"/>
            </w:tcBorders>
            <w:vAlign w:val="center"/>
          </w:tcPr>
          <w:p w14:paraId="792B1A23">
            <w:pPr>
              <w:autoSpaceDE w:val="0"/>
              <w:autoSpaceDN w:val="0"/>
              <w:adjustRightInd w:val="0"/>
              <w:snapToGrid w:val="0"/>
              <w:spacing w:line="360" w:lineRule="auto"/>
              <w:rPr>
                <w:rFonts w:ascii="宋体" w:hAnsi="宋体" w:cs="宋体"/>
                <w:color w:val="auto"/>
                <w:kern w:val="0"/>
                <w:sz w:val="21"/>
                <w:szCs w:val="21"/>
                <w:highlight w:val="none"/>
              </w:rPr>
            </w:pPr>
            <w:r>
              <w:rPr>
                <w:rFonts w:hint="eastAsia" w:ascii="宋体" w:hAnsi="宋体" w:eastAsia="宋体" w:cs="宋体"/>
                <w:color w:val="auto"/>
                <w:kern w:val="0"/>
                <w:sz w:val="21"/>
                <w:szCs w:val="21"/>
                <w:highlight w:val="none"/>
              </w:rPr>
              <w:t>毕业学校</w:t>
            </w:r>
          </w:p>
        </w:tc>
        <w:tc>
          <w:tcPr>
            <w:tcW w:w="7337" w:type="dxa"/>
            <w:gridSpan w:val="8"/>
            <w:tcBorders>
              <w:top w:val="single" w:color="000000" w:sz="4" w:space="0"/>
              <w:left w:val="single" w:color="000000" w:sz="4" w:space="0"/>
              <w:bottom w:val="single" w:color="000000" w:sz="4" w:space="0"/>
              <w:right w:val="single" w:color="000000" w:sz="4" w:space="0"/>
            </w:tcBorders>
            <w:vAlign w:val="center"/>
          </w:tcPr>
          <w:p w14:paraId="40A4AB6C">
            <w:pPr>
              <w:tabs>
                <w:tab w:val="left" w:pos="2820"/>
                <w:tab w:val="left" w:pos="4080"/>
              </w:tabs>
              <w:autoSpaceDE w:val="0"/>
              <w:autoSpaceDN w:val="0"/>
              <w:adjustRightInd w:val="0"/>
              <w:snapToGrid w:val="0"/>
              <w:spacing w:line="360" w:lineRule="auto"/>
              <w:ind w:firstLine="1381" w:firstLineChars="658"/>
              <w:jc w:val="center"/>
              <w:rPr>
                <w:rFonts w:ascii="宋体" w:hAnsi="宋体" w:cs="宋体"/>
                <w:color w:val="auto"/>
                <w:kern w:val="0"/>
                <w:sz w:val="21"/>
                <w:szCs w:val="21"/>
                <w:highlight w:val="none"/>
              </w:rPr>
            </w:pPr>
            <w:r>
              <w:rPr>
                <w:rFonts w:hint="eastAsia" w:ascii="宋体" w:hAnsi="宋体" w:eastAsia="宋体" w:cs="宋体"/>
                <w:color w:val="auto"/>
                <w:kern w:val="0"/>
                <w:sz w:val="21"/>
                <w:szCs w:val="21"/>
                <w:highlight w:val="none"/>
              </w:rPr>
              <w:t>年</w:t>
            </w:r>
            <w:r>
              <w:rPr>
                <w:rFonts w:hint="eastAsia" w:ascii="宋体" w:hAnsi="宋体" w:eastAsia="宋体" w:cs="宋体"/>
                <w:color w:val="auto"/>
                <w:spacing w:val="-1"/>
                <w:kern w:val="0"/>
                <w:sz w:val="21"/>
                <w:szCs w:val="21"/>
                <w:highlight w:val="none"/>
              </w:rPr>
              <w:t>毕</w:t>
            </w:r>
            <w:r>
              <w:rPr>
                <w:rFonts w:hint="eastAsia" w:ascii="宋体" w:hAnsi="宋体" w:eastAsia="宋体" w:cs="宋体"/>
                <w:color w:val="auto"/>
                <w:kern w:val="0"/>
                <w:sz w:val="21"/>
                <w:szCs w:val="21"/>
                <w:highlight w:val="none"/>
              </w:rPr>
              <w:t>业于</w:t>
            </w:r>
            <w:r>
              <w:rPr>
                <w:rFonts w:hint="eastAsia" w:ascii="宋体" w:hAnsi="宋体" w:eastAsia="宋体" w:cs="宋体"/>
                <w:color w:val="auto"/>
                <w:kern w:val="0"/>
                <w:sz w:val="21"/>
                <w:szCs w:val="21"/>
                <w:highlight w:val="none"/>
              </w:rPr>
              <w:tab/>
            </w:r>
            <w:r>
              <w:rPr>
                <w:rFonts w:hint="eastAsia" w:ascii="宋体" w:hAnsi="宋体" w:eastAsia="宋体" w:cs="宋体"/>
                <w:color w:val="auto"/>
                <w:kern w:val="0"/>
                <w:sz w:val="21"/>
                <w:szCs w:val="21"/>
                <w:highlight w:val="none"/>
              </w:rPr>
              <w:t>学校</w:t>
            </w:r>
            <w:r>
              <w:rPr>
                <w:rFonts w:hint="eastAsia" w:ascii="宋体" w:hAnsi="宋体" w:eastAsia="宋体" w:cs="宋体"/>
                <w:color w:val="auto"/>
                <w:kern w:val="0"/>
                <w:sz w:val="21"/>
                <w:szCs w:val="21"/>
                <w:highlight w:val="none"/>
              </w:rPr>
              <w:tab/>
            </w:r>
            <w:r>
              <w:rPr>
                <w:rFonts w:hint="eastAsia" w:ascii="宋体" w:hAnsi="宋体" w:eastAsia="宋体" w:cs="宋体"/>
                <w:color w:val="auto"/>
                <w:kern w:val="0"/>
                <w:sz w:val="21"/>
                <w:szCs w:val="21"/>
                <w:highlight w:val="none"/>
              </w:rPr>
              <w:t>专业</w:t>
            </w:r>
          </w:p>
        </w:tc>
      </w:tr>
      <w:tr w14:paraId="15AC1ACD">
        <w:tblPrEx>
          <w:tblCellMar>
            <w:top w:w="0" w:type="dxa"/>
            <w:left w:w="0" w:type="dxa"/>
            <w:bottom w:w="0" w:type="dxa"/>
            <w:right w:w="0" w:type="dxa"/>
          </w:tblCellMar>
        </w:tblPrEx>
        <w:trPr>
          <w:trHeight w:val="450" w:hRule="atLeast"/>
          <w:jc w:val="center"/>
        </w:trPr>
        <w:tc>
          <w:tcPr>
            <w:tcW w:w="8523" w:type="dxa"/>
            <w:gridSpan w:val="9"/>
            <w:tcBorders>
              <w:top w:val="single" w:color="000000" w:sz="4" w:space="0"/>
              <w:left w:val="single" w:color="000000" w:sz="4" w:space="0"/>
              <w:bottom w:val="single" w:color="000000" w:sz="4" w:space="0"/>
              <w:right w:val="single" w:color="000000" w:sz="4" w:space="0"/>
            </w:tcBorders>
            <w:vAlign w:val="center"/>
          </w:tcPr>
          <w:p w14:paraId="6C7E7D02">
            <w:pPr>
              <w:autoSpaceDE w:val="0"/>
              <w:autoSpaceDN w:val="0"/>
              <w:adjustRightInd w:val="0"/>
              <w:snapToGrid w:val="0"/>
              <w:spacing w:line="360" w:lineRule="auto"/>
              <w:ind w:firstLine="1381" w:firstLineChars="658"/>
              <w:jc w:val="center"/>
              <w:rPr>
                <w:rFonts w:ascii="宋体" w:hAnsi="宋体" w:cs="宋体"/>
                <w:color w:val="auto"/>
                <w:kern w:val="0"/>
                <w:sz w:val="21"/>
                <w:szCs w:val="21"/>
                <w:highlight w:val="none"/>
              </w:rPr>
            </w:pPr>
            <w:r>
              <w:rPr>
                <w:rFonts w:hint="eastAsia" w:ascii="宋体" w:hAnsi="宋体" w:eastAsia="宋体" w:cs="宋体"/>
                <w:color w:val="auto"/>
                <w:kern w:val="0"/>
                <w:sz w:val="21"/>
                <w:szCs w:val="21"/>
                <w:highlight w:val="none"/>
              </w:rPr>
              <w:t>主要工作经历</w:t>
            </w:r>
          </w:p>
        </w:tc>
      </w:tr>
      <w:tr w14:paraId="09C1123F">
        <w:tblPrEx>
          <w:tblCellMar>
            <w:top w:w="0" w:type="dxa"/>
            <w:left w:w="0" w:type="dxa"/>
            <w:bottom w:w="0" w:type="dxa"/>
            <w:right w:w="0" w:type="dxa"/>
          </w:tblCellMar>
        </w:tblPrEx>
        <w:trPr>
          <w:trHeight w:val="450" w:hRule="exact"/>
          <w:jc w:val="center"/>
        </w:trPr>
        <w:tc>
          <w:tcPr>
            <w:tcW w:w="1546" w:type="dxa"/>
            <w:gridSpan w:val="2"/>
            <w:tcBorders>
              <w:top w:val="single" w:color="000000" w:sz="4" w:space="0"/>
              <w:left w:val="single" w:color="000000" w:sz="4" w:space="0"/>
              <w:bottom w:val="single" w:color="000000" w:sz="4" w:space="0"/>
              <w:right w:val="single" w:color="000000" w:sz="4" w:space="0"/>
            </w:tcBorders>
            <w:vAlign w:val="center"/>
          </w:tcPr>
          <w:p w14:paraId="78E93C90">
            <w:pPr>
              <w:tabs>
                <w:tab w:val="left" w:pos="520"/>
              </w:tabs>
              <w:autoSpaceDE w:val="0"/>
              <w:autoSpaceDN w:val="0"/>
              <w:adjustRightInd w:val="0"/>
              <w:snapToGrid w:val="0"/>
              <w:spacing w:line="360" w:lineRule="auto"/>
              <w:rPr>
                <w:rFonts w:ascii="宋体" w:hAnsi="宋体" w:cs="宋体"/>
                <w:color w:val="auto"/>
                <w:kern w:val="0"/>
                <w:sz w:val="21"/>
                <w:szCs w:val="21"/>
                <w:highlight w:val="none"/>
              </w:rPr>
            </w:pPr>
            <w:r>
              <w:rPr>
                <w:rFonts w:hint="eastAsia" w:ascii="宋体" w:hAnsi="宋体" w:eastAsia="宋体" w:cs="宋体"/>
                <w:color w:val="auto"/>
                <w:kern w:val="0"/>
                <w:sz w:val="21"/>
                <w:szCs w:val="21"/>
                <w:highlight w:val="none"/>
              </w:rPr>
              <w:t>时</w:t>
            </w:r>
            <w:r>
              <w:rPr>
                <w:rFonts w:hint="eastAsia" w:ascii="宋体" w:hAnsi="宋体" w:eastAsia="宋体" w:cs="宋体"/>
                <w:color w:val="auto"/>
                <w:kern w:val="0"/>
                <w:sz w:val="21"/>
                <w:szCs w:val="21"/>
                <w:highlight w:val="none"/>
              </w:rPr>
              <w:tab/>
            </w:r>
            <w:r>
              <w:rPr>
                <w:rFonts w:hint="eastAsia" w:ascii="宋体" w:hAnsi="宋体" w:eastAsia="宋体" w:cs="宋体"/>
                <w:color w:val="auto"/>
                <w:kern w:val="0"/>
                <w:sz w:val="21"/>
                <w:szCs w:val="21"/>
                <w:highlight w:val="none"/>
              </w:rPr>
              <w:t>间</w:t>
            </w:r>
          </w:p>
        </w:tc>
        <w:tc>
          <w:tcPr>
            <w:tcW w:w="3420" w:type="dxa"/>
            <w:gridSpan w:val="4"/>
            <w:tcBorders>
              <w:top w:val="single" w:color="000000" w:sz="4" w:space="0"/>
              <w:left w:val="single" w:color="000000" w:sz="4" w:space="0"/>
              <w:bottom w:val="single" w:color="000000" w:sz="4" w:space="0"/>
              <w:right w:val="single" w:color="000000" w:sz="4" w:space="0"/>
            </w:tcBorders>
            <w:vAlign w:val="center"/>
          </w:tcPr>
          <w:p w14:paraId="1E3DEAC6">
            <w:pPr>
              <w:autoSpaceDE w:val="0"/>
              <w:autoSpaceDN w:val="0"/>
              <w:adjustRightInd w:val="0"/>
              <w:snapToGrid w:val="0"/>
              <w:spacing w:line="360" w:lineRule="auto"/>
              <w:rPr>
                <w:rFonts w:ascii="宋体" w:hAnsi="宋体" w:cs="宋体"/>
                <w:color w:val="auto"/>
                <w:kern w:val="0"/>
                <w:sz w:val="21"/>
                <w:szCs w:val="21"/>
                <w:highlight w:val="none"/>
              </w:rPr>
            </w:pPr>
            <w:r>
              <w:rPr>
                <w:rFonts w:hint="eastAsia" w:ascii="宋体" w:hAnsi="宋体" w:eastAsia="宋体" w:cs="宋体"/>
                <w:color w:val="auto"/>
                <w:kern w:val="0"/>
                <w:sz w:val="21"/>
                <w:szCs w:val="21"/>
                <w:highlight w:val="none"/>
              </w:rPr>
              <w:t>参加过的类似项目</w:t>
            </w:r>
          </w:p>
        </w:tc>
        <w:tc>
          <w:tcPr>
            <w:tcW w:w="1260" w:type="dxa"/>
            <w:tcBorders>
              <w:top w:val="single" w:color="000000" w:sz="4" w:space="0"/>
              <w:left w:val="single" w:color="000000" w:sz="4" w:space="0"/>
              <w:bottom w:val="single" w:color="000000" w:sz="4" w:space="0"/>
              <w:right w:val="single" w:color="000000" w:sz="4" w:space="0"/>
            </w:tcBorders>
            <w:vAlign w:val="center"/>
          </w:tcPr>
          <w:p w14:paraId="23ABAA6F">
            <w:pPr>
              <w:autoSpaceDE w:val="0"/>
              <w:autoSpaceDN w:val="0"/>
              <w:adjustRightInd w:val="0"/>
              <w:snapToGrid w:val="0"/>
              <w:spacing w:line="360" w:lineRule="auto"/>
              <w:rPr>
                <w:rFonts w:ascii="宋体" w:hAnsi="宋体" w:cs="宋体"/>
                <w:color w:val="auto"/>
                <w:kern w:val="0"/>
                <w:sz w:val="21"/>
                <w:szCs w:val="21"/>
                <w:highlight w:val="none"/>
              </w:rPr>
            </w:pPr>
            <w:r>
              <w:rPr>
                <w:rFonts w:hint="eastAsia" w:ascii="宋体" w:hAnsi="宋体" w:eastAsia="宋体" w:cs="宋体"/>
                <w:color w:val="auto"/>
                <w:kern w:val="0"/>
                <w:sz w:val="21"/>
                <w:szCs w:val="21"/>
                <w:highlight w:val="none"/>
              </w:rPr>
              <w:t>担任职务</w:t>
            </w:r>
          </w:p>
        </w:tc>
        <w:tc>
          <w:tcPr>
            <w:tcW w:w="2297" w:type="dxa"/>
            <w:gridSpan w:val="2"/>
            <w:tcBorders>
              <w:top w:val="single" w:color="000000" w:sz="4" w:space="0"/>
              <w:left w:val="single" w:color="000000" w:sz="4" w:space="0"/>
              <w:bottom w:val="single" w:color="000000" w:sz="4" w:space="0"/>
              <w:right w:val="single" w:color="000000" w:sz="4" w:space="0"/>
            </w:tcBorders>
            <w:vAlign w:val="center"/>
          </w:tcPr>
          <w:p w14:paraId="0527CB5D">
            <w:pPr>
              <w:autoSpaceDE w:val="0"/>
              <w:autoSpaceDN w:val="0"/>
              <w:adjustRightInd w:val="0"/>
              <w:snapToGrid w:val="0"/>
              <w:spacing w:line="360" w:lineRule="auto"/>
              <w:rPr>
                <w:rFonts w:ascii="宋体" w:hAnsi="宋体" w:cs="宋体"/>
                <w:color w:val="auto"/>
                <w:kern w:val="0"/>
                <w:sz w:val="21"/>
                <w:szCs w:val="21"/>
                <w:highlight w:val="none"/>
              </w:rPr>
            </w:pPr>
            <w:r>
              <w:rPr>
                <w:rFonts w:hint="eastAsia" w:ascii="宋体" w:hAnsi="宋体" w:eastAsia="宋体" w:cs="宋体"/>
                <w:color w:val="auto"/>
                <w:kern w:val="0"/>
                <w:sz w:val="21"/>
                <w:szCs w:val="21"/>
                <w:highlight w:val="none"/>
              </w:rPr>
              <w:t>发包人及联系电话</w:t>
            </w:r>
          </w:p>
        </w:tc>
      </w:tr>
      <w:tr w14:paraId="0B611901">
        <w:tblPrEx>
          <w:tblCellMar>
            <w:top w:w="0" w:type="dxa"/>
            <w:left w:w="0" w:type="dxa"/>
            <w:bottom w:w="0" w:type="dxa"/>
            <w:right w:w="0" w:type="dxa"/>
          </w:tblCellMar>
        </w:tblPrEx>
        <w:trPr>
          <w:trHeight w:val="701" w:hRule="exact"/>
          <w:jc w:val="center"/>
        </w:trPr>
        <w:tc>
          <w:tcPr>
            <w:tcW w:w="1546" w:type="dxa"/>
            <w:gridSpan w:val="2"/>
            <w:tcBorders>
              <w:top w:val="single" w:color="000000" w:sz="4" w:space="0"/>
              <w:left w:val="single" w:color="000000" w:sz="4" w:space="0"/>
              <w:bottom w:val="single" w:color="000000" w:sz="4" w:space="0"/>
              <w:right w:val="single" w:color="000000" w:sz="4" w:space="0"/>
            </w:tcBorders>
          </w:tcPr>
          <w:p w14:paraId="0EF47A5B">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tcPr>
          <w:p w14:paraId="0359E687">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4F27F22A">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tcPr>
          <w:p w14:paraId="45042E83">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r>
      <w:tr w14:paraId="3AA42FFE">
        <w:tblPrEx>
          <w:tblCellMar>
            <w:top w:w="0" w:type="dxa"/>
            <w:left w:w="0" w:type="dxa"/>
            <w:bottom w:w="0" w:type="dxa"/>
            <w:right w:w="0" w:type="dxa"/>
          </w:tblCellMar>
        </w:tblPrEx>
        <w:trPr>
          <w:trHeight w:val="700" w:hRule="exact"/>
          <w:jc w:val="center"/>
        </w:trPr>
        <w:tc>
          <w:tcPr>
            <w:tcW w:w="1546" w:type="dxa"/>
            <w:gridSpan w:val="2"/>
            <w:tcBorders>
              <w:top w:val="single" w:color="000000" w:sz="4" w:space="0"/>
              <w:left w:val="single" w:color="000000" w:sz="4" w:space="0"/>
              <w:bottom w:val="single" w:color="000000" w:sz="4" w:space="0"/>
              <w:right w:val="single" w:color="000000" w:sz="4" w:space="0"/>
            </w:tcBorders>
          </w:tcPr>
          <w:p w14:paraId="2A8A41D0">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tcPr>
          <w:p w14:paraId="7B03BF10">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420DFF25">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tcPr>
          <w:p w14:paraId="6DC4C288">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r>
      <w:tr w14:paraId="685629A4">
        <w:tblPrEx>
          <w:tblCellMar>
            <w:top w:w="0" w:type="dxa"/>
            <w:left w:w="0" w:type="dxa"/>
            <w:bottom w:w="0" w:type="dxa"/>
            <w:right w:w="0" w:type="dxa"/>
          </w:tblCellMar>
        </w:tblPrEx>
        <w:trPr>
          <w:trHeight w:val="700" w:hRule="exact"/>
          <w:jc w:val="center"/>
        </w:trPr>
        <w:tc>
          <w:tcPr>
            <w:tcW w:w="1546" w:type="dxa"/>
            <w:gridSpan w:val="2"/>
            <w:tcBorders>
              <w:top w:val="single" w:color="000000" w:sz="4" w:space="0"/>
              <w:left w:val="single" w:color="000000" w:sz="4" w:space="0"/>
              <w:bottom w:val="single" w:color="000000" w:sz="4" w:space="0"/>
              <w:right w:val="single" w:color="000000" w:sz="4" w:space="0"/>
            </w:tcBorders>
          </w:tcPr>
          <w:p w14:paraId="21CC0B31">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tcPr>
          <w:p w14:paraId="140DEBD7">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7969BCFF">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tcPr>
          <w:p w14:paraId="3C3EB30B">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r>
      <w:tr w14:paraId="4A0DABA1">
        <w:tblPrEx>
          <w:tblCellMar>
            <w:top w:w="0" w:type="dxa"/>
            <w:left w:w="0" w:type="dxa"/>
            <w:bottom w:w="0" w:type="dxa"/>
            <w:right w:w="0" w:type="dxa"/>
          </w:tblCellMar>
        </w:tblPrEx>
        <w:trPr>
          <w:trHeight w:val="701" w:hRule="exact"/>
          <w:jc w:val="center"/>
        </w:trPr>
        <w:tc>
          <w:tcPr>
            <w:tcW w:w="1546" w:type="dxa"/>
            <w:gridSpan w:val="2"/>
            <w:tcBorders>
              <w:top w:val="single" w:color="000000" w:sz="4" w:space="0"/>
              <w:left w:val="single" w:color="000000" w:sz="4" w:space="0"/>
              <w:bottom w:val="single" w:color="000000" w:sz="4" w:space="0"/>
              <w:right w:val="single" w:color="000000" w:sz="4" w:space="0"/>
            </w:tcBorders>
          </w:tcPr>
          <w:p w14:paraId="26320E44">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tcPr>
          <w:p w14:paraId="06BE0790">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73B32C51">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tcPr>
          <w:p w14:paraId="122DB3C7">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r>
      <w:tr w14:paraId="7B707610">
        <w:tblPrEx>
          <w:tblCellMar>
            <w:top w:w="0" w:type="dxa"/>
            <w:left w:w="0" w:type="dxa"/>
            <w:bottom w:w="0" w:type="dxa"/>
            <w:right w:w="0" w:type="dxa"/>
          </w:tblCellMar>
        </w:tblPrEx>
        <w:trPr>
          <w:trHeight w:val="700" w:hRule="exact"/>
          <w:jc w:val="center"/>
        </w:trPr>
        <w:tc>
          <w:tcPr>
            <w:tcW w:w="1546" w:type="dxa"/>
            <w:gridSpan w:val="2"/>
            <w:tcBorders>
              <w:top w:val="single" w:color="000000" w:sz="4" w:space="0"/>
              <w:left w:val="single" w:color="000000" w:sz="4" w:space="0"/>
              <w:bottom w:val="single" w:color="000000" w:sz="4" w:space="0"/>
              <w:right w:val="single" w:color="000000" w:sz="4" w:space="0"/>
            </w:tcBorders>
          </w:tcPr>
          <w:p w14:paraId="59FE45E6">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tcPr>
          <w:p w14:paraId="1A5A387B">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5160D3BA">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tcPr>
          <w:p w14:paraId="0BBFF939">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r>
      <w:tr w14:paraId="6A519D8F">
        <w:tblPrEx>
          <w:tblCellMar>
            <w:top w:w="0" w:type="dxa"/>
            <w:left w:w="0" w:type="dxa"/>
            <w:bottom w:w="0" w:type="dxa"/>
            <w:right w:w="0" w:type="dxa"/>
          </w:tblCellMar>
        </w:tblPrEx>
        <w:trPr>
          <w:trHeight w:val="700" w:hRule="exact"/>
          <w:jc w:val="center"/>
        </w:trPr>
        <w:tc>
          <w:tcPr>
            <w:tcW w:w="1546" w:type="dxa"/>
            <w:gridSpan w:val="2"/>
            <w:tcBorders>
              <w:top w:val="single" w:color="000000" w:sz="4" w:space="0"/>
              <w:left w:val="single" w:color="000000" w:sz="4" w:space="0"/>
              <w:bottom w:val="single" w:color="000000" w:sz="4" w:space="0"/>
              <w:right w:val="single" w:color="000000" w:sz="4" w:space="0"/>
            </w:tcBorders>
          </w:tcPr>
          <w:p w14:paraId="5F63684D">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tcPr>
          <w:p w14:paraId="2F60AB44">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2293912C">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tcPr>
          <w:p w14:paraId="2362372D">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r>
      <w:tr w14:paraId="76EF9BA3">
        <w:tblPrEx>
          <w:tblCellMar>
            <w:top w:w="0" w:type="dxa"/>
            <w:left w:w="0" w:type="dxa"/>
            <w:bottom w:w="0" w:type="dxa"/>
            <w:right w:w="0" w:type="dxa"/>
          </w:tblCellMar>
        </w:tblPrEx>
        <w:trPr>
          <w:trHeight w:val="701" w:hRule="exact"/>
          <w:jc w:val="center"/>
        </w:trPr>
        <w:tc>
          <w:tcPr>
            <w:tcW w:w="1546" w:type="dxa"/>
            <w:gridSpan w:val="2"/>
            <w:tcBorders>
              <w:top w:val="single" w:color="000000" w:sz="4" w:space="0"/>
              <w:left w:val="single" w:color="000000" w:sz="4" w:space="0"/>
              <w:bottom w:val="single" w:color="000000" w:sz="4" w:space="0"/>
              <w:right w:val="single" w:color="000000" w:sz="4" w:space="0"/>
            </w:tcBorders>
          </w:tcPr>
          <w:p w14:paraId="59CDCD10">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tcPr>
          <w:p w14:paraId="19B56F3D">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3505538A">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tcPr>
          <w:p w14:paraId="5B2FB733">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r>
      <w:tr w14:paraId="3BF55A30">
        <w:tblPrEx>
          <w:tblCellMar>
            <w:top w:w="0" w:type="dxa"/>
            <w:left w:w="0" w:type="dxa"/>
            <w:bottom w:w="0" w:type="dxa"/>
            <w:right w:w="0" w:type="dxa"/>
          </w:tblCellMar>
        </w:tblPrEx>
        <w:trPr>
          <w:trHeight w:val="700" w:hRule="exact"/>
          <w:jc w:val="center"/>
        </w:trPr>
        <w:tc>
          <w:tcPr>
            <w:tcW w:w="1546" w:type="dxa"/>
            <w:gridSpan w:val="2"/>
            <w:tcBorders>
              <w:top w:val="single" w:color="000000" w:sz="4" w:space="0"/>
              <w:left w:val="single" w:color="000000" w:sz="4" w:space="0"/>
              <w:bottom w:val="single" w:color="000000" w:sz="4" w:space="0"/>
              <w:right w:val="single" w:color="000000" w:sz="4" w:space="0"/>
            </w:tcBorders>
          </w:tcPr>
          <w:p w14:paraId="196D6694">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tcPr>
          <w:p w14:paraId="484E713A">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5EBF9234">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tcPr>
          <w:p w14:paraId="5238F9A9">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r>
      <w:tr w14:paraId="0413D807">
        <w:tblPrEx>
          <w:tblCellMar>
            <w:top w:w="0" w:type="dxa"/>
            <w:left w:w="0" w:type="dxa"/>
            <w:bottom w:w="0" w:type="dxa"/>
            <w:right w:w="0" w:type="dxa"/>
          </w:tblCellMar>
        </w:tblPrEx>
        <w:trPr>
          <w:trHeight w:val="700" w:hRule="exact"/>
          <w:jc w:val="center"/>
        </w:trPr>
        <w:tc>
          <w:tcPr>
            <w:tcW w:w="1546" w:type="dxa"/>
            <w:gridSpan w:val="2"/>
            <w:tcBorders>
              <w:top w:val="single" w:color="000000" w:sz="4" w:space="0"/>
              <w:left w:val="single" w:color="000000" w:sz="4" w:space="0"/>
              <w:bottom w:val="single" w:color="000000" w:sz="4" w:space="0"/>
              <w:right w:val="single" w:color="000000" w:sz="4" w:space="0"/>
            </w:tcBorders>
          </w:tcPr>
          <w:p w14:paraId="78FE3A7A">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tcPr>
          <w:p w14:paraId="1AB3F77F">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42BCF75A">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tcPr>
          <w:p w14:paraId="73875A9B">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r>
      <w:tr w14:paraId="5FED6F4E">
        <w:tblPrEx>
          <w:tblCellMar>
            <w:top w:w="0" w:type="dxa"/>
            <w:left w:w="0" w:type="dxa"/>
            <w:bottom w:w="0" w:type="dxa"/>
            <w:right w:w="0" w:type="dxa"/>
          </w:tblCellMar>
        </w:tblPrEx>
        <w:trPr>
          <w:trHeight w:val="701" w:hRule="exact"/>
          <w:jc w:val="center"/>
        </w:trPr>
        <w:tc>
          <w:tcPr>
            <w:tcW w:w="1546" w:type="dxa"/>
            <w:gridSpan w:val="2"/>
            <w:tcBorders>
              <w:top w:val="single" w:color="000000" w:sz="4" w:space="0"/>
              <w:left w:val="single" w:color="000000" w:sz="4" w:space="0"/>
              <w:bottom w:val="single" w:color="000000" w:sz="4" w:space="0"/>
              <w:right w:val="single" w:color="000000" w:sz="4" w:space="0"/>
            </w:tcBorders>
          </w:tcPr>
          <w:p w14:paraId="326B6EE1">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tcPr>
          <w:p w14:paraId="05A02CA2">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4043AAB8">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tcPr>
          <w:p w14:paraId="7C30C670">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r>
      <w:tr w14:paraId="568EA76C">
        <w:tblPrEx>
          <w:tblCellMar>
            <w:top w:w="0" w:type="dxa"/>
            <w:left w:w="0" w:type="dxa"/>
            <w:bottom w:w="0" w:type="dxa"/>
            <w:right w:w="0" w:type="dxa"/>
          </w:tblCellMar>
        </w:tblPrEx>
        <w:trPr>
          <w:trHeight w:val="701" w:hRule="exact"/>
          <w:jc w:val="center"/>
        </w:trPr>
        <w:tc>
          <w:tcPr>
            <w:tcW w:w="1546" w:type="dxa"/>
            <w:gridSpan w:val="2"/>
            <w:tcBorders>
              <w:top w:val="single" w:color="000000" w:sz="4" w:space="0"/>
              <w:left w:val="single" w:color="000000" w:sz="4" w:space="0"/>
              <w:bottom w:val="single" w:color="000000" w:sz="4" w:space="0"/>
              <w:right w:val="single" w:color="000000" w:sz="4" w:space="0"/>
            </w:tcBorders>
          </w:tcPr>
          <w:p w14:paraId="5310706A">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tcPr>
          <w:p w14:paraId="2A438374">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52F68556">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tcPr>
          <w:p w14:paraId="0E371EBE">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r>
      <w:tr w14:paraId="39A27901">
        <w:tblPrEx>
          <w:tblCellMar>
            <w:top w:w="0" w:type="dxa"/>
            <w:left w:w="0" w:type="dxa"/>
            <w:bottom w:w="0" w:type="dxa"/>
            <w:right w:w="0" w:type="dxa"/>
          </w:tblCellMar>
        </w:tblPrEx>
        <w:trPr>
          <w:trHeight w:val="700" w:hRule="exact"/>
          <w:jc w:val="center"/>
        </w:trPr>
        <w:tc>
          <w:tcPr>
            <w:tcW w:w="1546" w:type="dxa"/>
            <w:gridSpan w:val="2"/>
            <w:tcBorders>
              <w:top w:val="single" w:color="000000" w:sz="4" w:space="0"/>
              <w:left w:val="single" w:color="000000" w:sz="4" w:space="0"/>
              <w:bottom w:val="single" w:color="000000" w:sz="4" w:space="0"/>
              <w:right w:val="single" w:color="000000" w:sz="4" w:space="0"/>
            </w:tcBorders>
          </w:tcPr>
          <w:p w14:paraId="07328580">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tcPr>
          <w:p w14:paraId="02238147">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126A0EDF">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tcPr>
          <w:p w14:paraId="77218740">
            <w:pPr>
              <w:autoSpaceDE w:val="0"/>
              <w:autoSpaceDN w:val="0"/>
              <w:adjustRightInd w:val="0"/>
              <w:snapToGrid w:val="0"/>
              <w:spacing w:line="360" w:lineRule="auto"/>
              <w:ind w:firstLine="1381" w:firstLineChars="658"/>
              <w:rPr>
                <w:rFonts w:ascii="宋体" w:hAnsi="宋体" w:cs="宋体"/>
                <w:color w:val="auto"/>
                <w:kern w:val="0"/>
                <w:sz w:val="21"/>
                <w:szCs w:val="21"/>
                <w:highlight w:val="none"/>
              </w:rPr>
            </w:pPr>
          </w:p>
        </w:tc>
      </w:tr>
    </w:tbl>
    <w:p w14:paraId="50A611EA">
      <w:pPr>
        <w:autoSpaceDE w:val="0"/>
        <w:autoSpaceDN w:val="0"/>
        <w:adjustRightInd w:val="0"/>
        <w:snapToGrid w:val="0"/>
        <w:spacing w:line="360" w:lineRule="auto"/>
        <w:rPr>
          <w:rFonts w:ascii="宋体" w:hAnsi="宋体" w:cs="宋体"/>
          <w:color w:val="auto"/>
          <w:kern w:val="0"/>
          <w:highlight w:val="none"/>
        </w:rPr>
      </w:pPr>
    </w:p>
    <w:p w14:paraId="4B514387">
      <w:pPr>
        <w:spacing w:line="360" w:lineRule="auto"/>
        <w:rPr>
          <w:rFonts w:ascii="宋体" w:hAnsi="宋体" w:cs="宋体"/>
          <w:color w:val="auto"/>
          <w:szCs w:val="28"/>
          <w:highlight w:val="none"/>
        </w:rPr>
      </w:pPr>
      <w:r>
        <w:rPr>
          <w:rFonts w:hint="eastAsia" w:ascii="宋体" w:hAnsi="宋体" w:cs="宋体"/>
          <w:color w:val="auto"/>
          <w:highlight w:val="none"/>
        </w:rPr>
        <w:t xml:space="preserve"> </w:t>
      </w:r>
      <w:bookmarkStart w:id="929" w:name="_Toc19392"/>
    </w:p>
    <w:p w14:paraId="4E915F76">
      <w:pPr>
        <w:spacing w:line="240" w:lineRule="auto"/>
        <w:rPr>
          <w:rFonts w:ascii="宋体" w:hAnsi="宋体" w:cs="宋体"/>
          <w:color w:val="auto"/>
          <w:highlight w:val="none"/>
        </w:rPr>
      </w:pPr>
      <w:r>
        <w:rPr>
          <w:rFonts w:hint="eastAsia" w:ascii="宋体" w:hAnsi="宋体" w:cs="宋体"/>
          <w:color w:val="auto"/>
          <w:sz w:val="28"/>
          <w:szCs w:val="28"/>
          <w:highlight w:val="none"/>
        </w:rPr>
        <w:br w:type="page"/>
      </w:r>
    </w:p>
    <w:p w14:paraId="3AEC668C">
      <w:pPr>
        <w:pStyle w:val="6"/>
        <w:spacing w:before="0" w:after="0" w:line="360" w:lineRule="auto"/>
        <w:rPr>
          <w:rFonts w:hint="eastAsia" w:ascii="宋体" w:hAnsi="宋体" w:eastAsia="宋体" w:cs="宋体"/>
          <w:color w:val="auto"/>
          <w:sz w:val="28"/>
          <w:szCs w:val="28"/>
          <w:highlight w:val="none"/>
        </w:rPr>
      </w:pPr>
      <w:bookmarkStart w:id="930" w:name="_Toc7115879"/>
      <w:bookmarkStart w:id="931" w:name="_Toc190689336"/>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rPr>
        <w:t>）信誉要求</w:t>
      </w:r>
      <w:bookmarkEnd w:id="929"/>
      <w:bookmarkEnd w:id="930"/>
      <w:bookmarkEnd w:id="931"/>
    </w:p>
    <w:p w14:paraId="3F635016">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4CEF68D2">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482"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w:t>
      </w:r>
      <w:r>
        <w:rPr>
          <w:rFonts w:hint="eastAsia" w:ascii="宋体" w:hAnsi="宋体" w:cs="宋体"/>
          <w:b/>
          <w:bCs/>
          <w:color w:val="000000" w:themeColor="text1"/>
          <w:sz w:val="24"/>
          <w:szCs w:val="28"/>
          <w:highlight w:val="none"/>
          <w:lang w:val="en-US" w:eastAsia="zh-CN"/>
          <w14:textFill>
            <w14:solidFill>
              <w14:schemeClr w14:val="tx1"/>
            </w14:solidFill>
          </w14:textFill>
        </w:rPr>
        <w:t>八</w:t>
      </w:r>
      <w:r>
        <w:rPr>
          <w:rFonts w:hint="eastAsia" w:ascii="宋体" w:hAnsi="宋体" w:eastAsia="宋体" w:cs="宋体"/>
          <w:b/>
          <w:bCs/>
          <w:color w:val="000000" w:themeColor="text1"/>
          <w:sz w:val="24"/>
          <w:szCs w:val="28"/>
          <w:highlight w:val="none"/>
          <w14:textFill>
            <w14:solidFill>
              <w14:schemeClr w14:val="tx1"/>
            </w14:solidFill>
          </w14:textFill>
        </w:rPr>
        <w:t>）特定资格条件证书或证明文件</w:t>
      </w:r>
    </w:p>
    <w:p w14:paraId="7FE49CAA">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570"/>
        <w:jc w:val="left"/>
        <w:rPr>
          <w:rFonts w:hint="eastAsia" w:ascii="宋体" w:hAnsi="宋体" w:eastAsia="宋体" w:cs="宋体"/>
          <w:color w:val="000000" w:themeColor="text1"/>
          <w:sz w:val="24"/>
          <w:szCs w:val="20"/>
          <w:highlight w:val="none"/>
          <w14:textFill>
            <w14:solidFill>
              <w14:schemeClr w14:val="tx1"/>
            </w14:solidFill>
          </w14:textFill>
        </w:rPr>
      </w:pPr>
    </w:p>
    <w:p w14:paraId="4A6A065E">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570"/>
        <w:jc w:val="left"/>
        <w:rPr>
          <w:rFonts w:hint="eastAsia" w:ascii="宋体" w:hAnsi="宋体" w:eastAsia="宋体" w:cs="宋体"/>
          <w:color w:val="000000" w:themeColor="text1"/>
          <w:sz w:val="24"/>
          <w:szCs w:val="20"/>
          <w:highlight w:val="none"/>
          <w14:textFill>
            <w14:solidFill>
              <w14:schemeClr w14:val="tx1"/>
            </w14:solidFill>
          </w14:textFill>
        </w:rPr>
      </w:pPr>
    </w:p>
    <w:p w14:paraId="4CC44DA4">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570"/>
        <w:jc w:val="left"/>
        <w:rPr>
          <w:rFonts w:hint="eastAsia" w:ascii="宋体" w:hAnsi="宋体" w:eastAsia="宋体" w:cs="宋体"/>
          <w:color w:val="000000" w:themeColor="text1"/>
          <w:sz w:val="24"/>
          <w:szCs w:val="20"/>
          <w:highlight w:val="none"/>
          <w14:textFill>
            <w14:solidFill>
              <w14:schemeClr w14:val="tx1"/>
            </w14:solidFill>
          </w14:textFill>
        </w:rPr>
      </w:pPr>
    </w:p>
    <w:p w14:paraId="1F9705BD">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482" w:firstLineChars="200"/>
        <w:rPr>
          <w:rFonts w:hint="eastAsia" w:ascii="宋体" w:hAnsi="宋体" w:eastAsia="宋体" w:cs="宋体"/>
          <w:b/>
          <w:bCs/>
          <w:color w:val="000000" w:themeColor="text1"/>
          <w:sz w:val="24"/>
          <w:szCs w:val="28"/>
          <w:highlight w:val="none"/>
          <w14:textFill>
            <w14:solidFill>
              <w14:schemeClr w14:val="tx1"/>
            </w14:solidFill>
          </w14:textFill>
        </w:rPr>
      </w:pPr>
      <w:bookmarkStart w:id="932" w:name="_Toc190689338"/>
      <w:r>
        <w:rPr>
          <w:rFonts w:hint="eastAsia" w:ascii="宋体" w:hAnsi="宋体" w:eastAsia="宋体" w:cs="宋体"/>
          <w:b/>
          <w:bCs/>
          <w:color w:val="000000" w:themeColor="text1"/>
          <w:sz w:val="24"/>
          <w:szCs w:val="28"/>
          <w:highlight w:val="none"/>
          <w14:textFill>
            <w14:solidFill>
              <w14:schemeClr w14:val="tx1"/>
            </w14:solidFill>
          </w14:textFill>
        </w:rPr>
        <w:t>（</w:t>
      </w:r>
      <w:r>
        <w:rPr>
          <w:rFonts w:hint="eastAsia" w:ascii="宋体" w:hAnsi="宋体" w:cs="宋体"/>
          <w:b/>
          <w:bCs/>
          <w:color w:val="000000" w:themeColor="text1"/>
          <w:sz w:val="24"/>
          <w:szCs w:val="28"/>
          <w:highlight w:val="none"/>
          <w:lang w:eastAsia="zh-CN"/>
          <w14:textFill>
            <w14:solidFill>
              <w14:schemeClr w14:val="tx1"/>
            </w14:solidFill>
          </w14:textFill>
        </w:rPr>
        <w:t>九</w:t>
      </w:r>
      <w:r>
        <w:rPr>
          <w:rFonts w:hint="eastAsia" w:ascii="宋体" w:hAnsi="宋体" w:eastAsia="宋体" w:cs="宋体"/>
          <w:b/>
          <w:bCs/>
          <w:color w:val="000000" w:themeColor="text1"/>
          <w:sz w:val="24"/>
          <w:szCs w:val="28"/>
          <w:highlight w:val="none"/>
          <w14:textFill>
            <w14:solidFill>
              <w14:schemeClr w14:val="tx1"/>
            </w14:solidFill>
          </w14:textFill>
        </w:rPr>
        <w:t>）其他资料</w:t>
      </w:r>
      <w:bookmarkEnd w:id="932"/>
    </w:p>
    <w:p w14:paraId="3B6FF244">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570"/>
        <w:jc w:val="left"/>
        <w:rPr>
          <w:rFonts w:hint="eastAsia" w:ascii="宋体" w:hAnsi="宋体" w:eastAsia="宋体" w:cs="宋体"/>
          <w:color w:val="000000" w:themeColor="text1"/>
          <w:sz w:val="24"/>
          <w:szCs w:val="20"/>
          <w:highlight w:val="none"/>
          <w14:textFill>
            <w14:solidFill>
              <w14:schemeClr w14:val="tx1"/>
            </w14:solidFill>
          </w14:textFill>
        </w:rPr>
      </w:pPr>
    </w:p>
    <w:p w14:paraId="374A2D64">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570"/>
        <w:jc w:val="left"/>
        <w:rPr>
          <w:rFonts w:hint="eastAsia" w:ascii="宋体" w:hAnsi="宋体" w:eastAsia="宋体" w:cs="宋体"/>
          <w:color w:val="000000" w:themeColor="text1"/>
          <w:sz w:val="24"/>
          <w:szCs w:val="20"/>
          <w:highlight w:val="none"/>
          <w14:textFill>
            <w14:solidFill>
              <w14:schemeClr w14:val="tx1"/>
            </w14:solidFill>
          </w14:textFill>
        </w:rPr>
      </w:pPr>
    </w:p>
    <w:p w14:paraId="78046B9D">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ind w:firstLine="570"/>
        <w:jc w:val="left"/>
        <w:rPr>
          <w:rFonts w:hint="eastAsia" w:ascii="宋体" w:hAnsi="宋体" w:eastAsia="宋体" w:cs="宋体"/>
          <w:color w:val="000000" w:themeColor="text1"/>
          <w:sz w:val="24"/>
          <w:szCs w:val="20"/>
          <w:highlight w:val="none"/>
          <w14:textFill>
            <w14:solidFill>
              <w14:schemeClr w14:val="tx1"/>
            </w14:solidFill>
          </w14:textFill>
        </w:rPr>
      </w:pPr>
    </w:p>
    <w:p w14:paraId="5BC88A6F">
      <w:pPr>
        <w:keepNext w:val="0"/>
        <w:keepLines w:val="0"/>
        <w:pageBreakBefore w:val="0"/>
        <w:widowControl w:val="0"/>
        <w:tabs>
          <w:tab w:val="left" w:pos="6300"/>
        </w:tabs>
        <w:kinsoku w:val="0"/>
        <w:wordWrap/>
        <w:topLinePunct w:val="0"/>
        <w:autoSpaceDE w:val="0"/>
        <w:autoSpaceDN w:val="0"/>
        <w:bidi w:val="0"/>
        <w:adjustRightInd w:val="0"/>
        <w:snapToGrid w:val="0"/>
        <w:spacing w:line="500" w:lineRule="exact"/>
        <w:jc w:val="left"/>
        <w:rPr>
          <w:rFonts w:hint="eastAsia" w:ascii="宋体" w:hAnsi="宋体" w:eastAsia="宋体" w:cs="宋体"/>
          <w:color w:val="000000" w:themeColor="text1"/>
          <w:sz w:val="24"/>
          <w:szCs w:val="20"/>
          <w:highlight w:val="none"/>
          <w14:textFill>
            <w14:solidFill>
              <w14:schemeClr w14:val="tx1"/>
            </w14:solidFill>
          </w14:textFill>
        </w:rPr>
      </w:pPr>
    </w:p>
    <w:p w14:paraId="768F0828">
      <w:pPr>
        <w:keepNext w:val="0"/>
        <w:keepLines w:val="0"/>
        <w:pageBreakBefore w:val="0"/>
        <w:widowControl w:val="0"/>
        <w:kinsoku w:val="0"/>
        <w:wordWrap/>
        <w:topLinePunct w:val="0"/>
        <w:autoSpaceDE w:val="0"/>
        <w:autoSpaceDN w:val="0"/>
        <w:bidi w:val="0"/>
        <w:adjustRightInd w:val="0"/>
        <w:snapToGrid w:val="0"/>
        <w:spacing w:line="500" w:lineRule="exact"/>
        <w:jc w:val="center"/>
        <w:rPr>
          <w:rFonts w:hint="eastAsia" w:ascii="宋体" w:hAnsi="宋体" w:eastAsia="宋体" w:cs="宋体"/>
          <w:sz w:val="24"/>
          <w:szCs w:val="24"/>
          <w:highlight w:val="none"/>
        </w:rPr>
      </w:pPr>
      <w:bookmarkStart w:id="933" w:name="_Toc26730"/>
      <w:bookmarkStart w:id="934" w:name="_Toc13384"/>
      <w:r>
        <w:rPr>
          <w:rFonts w:hint="eastAsia" w:ascii="宋体" w:hAnsi="宋体" w:eastAsia="宋体" w:cs="宋体"/>
          <w:sz w:val="24"/>
          <w:szCs w:val="24"/>
          <w:highlight w:val="none"/>
        </w:rPr>
        <w:t>（结束）</w:t>
      </w:r>
      <w:bookmarkEnd w:id="847"/>
      <w:bookmarkEnd w:id="933"/>
      <w:bookmarkEnd w:id="934"/>
    </w:p>
    <w:p w14:paraId="3FDDEB85">
      <w:pPr>
        <w:keepNext w:val="0"/>
        <w:keepLines w:val="0"/>
        <w:pageBreakBefore w:val="0"/>
        <w:widowControl w:val="0"/>
        <w:kinsoku w:val="0"/>
        <w:wordWrap/>
        <w:topLinePunct w:val="0"/>
        <w:autoSpaceDE w:val="0"/>
        <w:autoSpaceDN w:val="0"/>
        <w:bidi w:val="0"/>
        <w:adjustRightInd w:val="0"/>
        <w:snapToGrid w:val="0"/>
        <w:spacing w:line="500" w:lineRule="exact"/>
        <w:rPr>
          <w:rFonts w:hint="eastAsia" w:ascii="宋体" w:hAnsi="宋体" w:eastAsia="宋体" w:cs="宋体"/>
          <w:color w:val="000000" w:themeColor="text1"/>
          <w:highlight w:val="none"/>
          <w14:textFill>
            <w14:solidFill>
              <w14:schemeClr w14:val="tx1"/>
            </w14:solidFill>
          </w14:textFill>
        </w:rPr>
      </w:pPr>
    </w:p>
    <w:p w14:paraId="63EA8B5B">
      <w:pPr>
        <w:rPr>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76054">
    <w:pPr>
      <w:snapToGrid w:val="0"/>
      <w:rPr>
        <w:rFonts w:ascii="Times New Roman" w:hAnsi="Times New Roman" w:eastAsia="宋体" w:cs="Times New Roman"/>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2" name="文本框 2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D6D341">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zqJaA0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6iWgNAIAAGUEAAAOAAAAAAAAAAEAIAAAAB8BAABkcnMvZTJvRG9jLnhtbFBL&#10;BQYAAAAABgAGAFkBAADFBQAAAAA=&#10;">
              <v:fill on="f" focussize="0,0"/>
              <v:stroke on="f" weight="0.5pt"/>
              <v:imagedata o:title=""/>
              <o:lock v:ext="edit" aspectratio="f"/>
              <v:textbox inset="0mm,0mm,0mm,0mm" style="mso-fit-shape-to-text:t;">
                <w:txbxContent>
                  <w:p w14:paraId="3CD6D341">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D4F25">
    <w:pPr>
      <w:framePr w:wrap="around" w:vAnchor="text" w:hAnchor="margin" w:xAlign="center" w:y="1"/>
      <w:snapToGrid w:val="0"/>
      <w:jc w:val="left"/>
      <w:rPr>
        <w:rStyle w:val="16"/>
        <w:rFonts w:ascii="Times New Roman" w:hAnsi="Times New Roman" w:eastAsia="宋体" w:cs="Times New Roman"/>
        <w:sz w:val="18"/>
      </w:rPr>
    </w:pPr>
    <w:r>
      <w:rPr>
        <w:rFonts w:ascii="Times New Roman" w:hAnsi="Times New Roman" w:eastAsia="宋体" w:cs="Times New Roman"/>
        <w:sz w:val="18"/>
      </w:rPr>
      <w:fldChar w:fldCharType="begin"/>
    </w:r>
    <w:r>
      <w:rPr>
        <w:rStyle w:val="16"/>
        <w:rFonts w:ascii="Times New Roman" w:hAnsi="Times New Roman" w:eastAsia="宋体" w:cs="Times New Roman"/>
        <w:sz w:val="28"/>
      </w:rPr>
      <w:instrText xml:space="preserve">PAGE  </w:instrText>
    </w:r>
    <w:r>
      <w:rPr>
        <w:rFonts w:ascii="Times New Roman" w:hAnsi="Times New Roman" w:eastAsia="宋体" w:cs="Times New Roman"/>
        <w:sz w:val="18"/>
      </w:rPr>
      <w:fldChar w:fldCharType="separate"/>
    </w:r>
    <w:r>
      <w:rPr>
        <w:rFonts w:ascii="Times New Roman" w:hAnsi="Times New Roman" w:eastAsia="宋体" w:cs="Times New Roman"/>
        <w:sz w:val="18"/>
      </w:rPr>
      <w:fldChar w:fldCharType="end"/>
    </w:r>
  </w:p>
  <w:p w14:paraId="5F15F60B">
    <w:pPr>
      <w:snapToGrid w:val="0"/>
      <w:jc w:val="left"/>
      <w:rPr>
        <w:rFonts w:ascii="Times New Roman" w:hAnsi="Times New Roman" w:eastAsia="宋体" w:cs="Times New Roman"/>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B0B90">
    <w:pPr>
      <w:framePr w:wrap="around" w:vAnchor="text" w:hAnchor="margin" w:xAlign="center" w:y="1"/>
      <w:snapToGrid w:val="0"/>
      <w:jc w:val="left"/>
      <w:rPr>
        <w:rStyle w:val="16"/>
        <w:rFonts w:ascii="Times New Roman" w:hAnsi="Times New Roman" w:eastAsia="宋体" w:cs="Times New Roman"/>
        <w:sz w:val="18"/>
      </w:rPr>
    </w:pPr>
  </w:p>
  <w:p w14:paraId="4ADCA721">
    <w:pPr>
      <w:snapToGrid w:val="0"/>
      <w:jc w:val="center"/>
      <w:rPr>
        <w:rFonts w:hint="eastAsia" w:ascii="宋体" w:hAnsi="宋体" w:eastAsia="宋体" w:cs="Times New Roman"/>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544F7">
    <w:pPr>
      <w:snapToGrid w:val="0"/>
      <w:rPr>
        <w:rFonts w:hint="eastAsia" w:ascii="宋体" w:hAnsi="宋体" w:eastAsia="宋体" w:cs="Times New Roman"/>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3" name="文本框 2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EB3A01">
                          <w:pPr>
                            <w:pStyle w:val="10"/>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Wuzw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Vrs8NAIAAGUEAAAOAAAAAAAAAAEAIAAAAB8BAABkcnMvZTJvRG9jLnhtbFBL&#10;BQYAAAAABgAGAFkBAADFBQAAAAA=&#10;">
              <v:fill on="f" focussize="0,0"/>
              <v:stroke on="f" weight="0.5pt"/>
              <v:imagedata o:title=""/>
              <o:lock v:ext="edit" aspectratio="f"/>
              <v:textbox inset="0mm,0mm,0mm,0mm" style="mso-fit-shape-to-text:t;">
                <w:txbxContent>
                  <w:p w14:paraId="25EB3A01">
                    <w:pPr>
                      <w:pStyle w:val="10"/>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74B18">
    <w:pPr>
      <w:pStyle w:val="10"/>
      <w:ind w:right="360" w:firstLine="360"/>
      <w:rPr>
        <w:rFonts w:ascii="Times New Roman" w:hAnsi="Times New Roman" w:eastAsia="宋体"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6" name="文本框 2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20986C">
                          <w:pPr>
                            <w:pStyle w:val="10"/>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jEcy/NAIAAGUEAAAOAAAAAAAAAAEAIAAAAB8BAABkcnMvZTJvRG9jLnhtbFBL&#10;BQYAAAAABgAGAFkBAADFBQAAAAA=&#10;">
              <v:fill on="f" focussize="0,0"/>
              <v:stroke on="f" weight="0.5pt"/>
              <v:imagedata o:title=""/>
              <o:lock v:ext="edit" aspectratio="f"/>
              <v:textbox inset="0mm,0mm,0mm,0mm" style="mso-fit-shape-to-text:t;">
                <w:txbxContent>
                  <w:p w14:paraId="7620986C">
                    <w:pPr>
                      <w:pStyle w:val="10"/>
                    </w:pPr>
                    <w:r>
                      <w:fldChar w:fldCharType="begin"/>
                    </w:r>
                    <w:r>
                      <w:instrText xml:space="preserve"> PAGE  \* MERGEFORMAT </w:instrText>
                    </w:r>
                    <w:r>
                      <w:fldChar w:fldCharType="separate"/>
                    </w:r>
                    <w:r>
                      <w:t>38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23A99">
    <w:pPr>
      <w:snapToGrid w:val="0"/>
      <w:jc w:val="center"/>
      <w:rPr>
        <w:rFonts w:ascii="Times New Roman" w:hAnsi="Times New Roman" w:eastAsia="宋体" w:cs="Times New Roman"/>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8137F">
    <w:pPr>
      <w:pStyle w:val="11"/>
      <w:pBdr>
        <w:bottom w:val="none" w:color="auto" w:sz="0" w:space="0"/>
      </w:pBdr>
      <w:rPr>
        <w:rFonts w:ascii="Times New Roman" w:hAnsi="Times New Roman" w:eastAsia="宋体"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40D34"/>
    <w:multiLevelType w:val="singleLevel"/>
    <w:tmpl w:val="9C040D34"/>
    <w:lvl w:ilvl="0" w:tentative="0">
      <w:start w:val="3"/>
      <w:numFmt w:val="decimal"/>
      <w:suff w:val="nothing"/>
      <w:lvlText w:val="%1）"/>
      <w:lvlJc w:val="left"/>
    </w:lvl>
  </w:abstractNum>
  <w:abstractNum w:abstractNumId="1">
    <w:nsid w:val="EA532B53"/>
    <w:multiLevelType w:val="singleLevel"/>
    <w:tmpl w:val="EA532B53"/>
    <w:lvl w:ilvl="0" w:tentative="0">
      <w:start w:val="1"/>
      <w:numFmt w:val="chineseCounting"/>
      <w:suff w:val="nothing"/>
      <w:lvlText w:val="（%1）"/>
      <w:lvlJc w:val="left"/>
      <w:rPr>
        <w:rFonts w:hint="eastAsia"/>
      </w:rPr>
    </w:lvl>
  </w:abstractNum>
  <w:abstractNum w:abstractNumId="2">
    <w:nsid w:val="0A6615A4"/>
    <w:multiLevelType w:val="singleLevel"/>
    <w:tmpl w:val="0A6615A4"/>
    <w:lvl w:ilvl="0" w:tentative="0">
      <w:start w:val="1"/>
      <w:numFmt w:val="decimal"/>
      <w:suff w:val="nothing"/>
      <w:lvlText w:val="（%1）"/>
      <w:lvlJc w:val="left"/>
      <w:pPr>
        <w:ind w:left="0" w:firstLine="0"/>
      </w:pPr>
    </w:lvl>
  </w:abstractNum>
  <w:num w:numId="1">
    <w:abstractNumId w:val="1"/>
  </w:num>
  <w:num w:numId="2">
    <w:abstractNumId w:val="2"/>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6E3420"/>
    <w:rsid w:val="0E2F3A82"/>
    <w:rsid w:val="2C965E97"/>
    <w:rsid w:val="35E52AF5"/>
    <w:rsid w:val="4F8B6063"/>
    <w:rsid w:val="508B2665"/>
    <w:rsid w:val="655D3BA6"/>
    <w:rsid w:val="75A77A0B"/>
    <w:rsid w:val="75B841D0"/>
    <w:rsid w:val="78F61EF0"/>
    <w:rsid w:val="7A377FEB"/>
    <w:rsid w:val="7C0736CE"/>
    <w:rsid w:val="7C6E3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1"/>
    <w:qFormat/>
    <w:uiPriority w:val="0"/>
    <w:pPr>
      <w:keepNext/>
      <w:widowControl w:val="0"/>
      <w:snapToGrid w:val="0"/>
      <w:spacing w:line="360" w:lineRule="atLeast"/>
      <w:jc w:val="both"/>
      <w:outlineLvl w:val="0"/>
    </w:pPr>
    <w:rPr>
      <w:rFonts w:ascii="宋体"/>
      <w:kern w:val="2"/>
      <w:sz w:val="28"/>
      <w:lang w:val="en-US" w:eastAsia="zh-CN" w:bidi="ar-SA"/>
    </w:rPr>
  </w:style>
  <w:style w:type="paragraph" w:styleId="5">
    <w:name w:val="heading 2"/>
    <w:basedOn w:val="1"/>
    <w:next w:val="1"/>
    <w:qFormat/>
    <w:uiPriority w:val="0"/>
    <w:pPr>
      <w:keepNext/>
      <w:keepLines/>
      <w:adjustRightInd w:val="0"/>
      <w:snapToGrid w:val="0"/>
      <w:spacing w:line="360" w:lineRule="auto"/>
      <w:outlineLvl w:val="1"/>
    </w:pPr>
    <w:rPr>
      <w:rFonts w:ascii="宋体" w:hAnsi="宋体"/>
    </w:rPr>
  </w:style>
  <w:style w:type="paragraph" w:styleId="6">
    <w:name w:val="heading 3"/>
    <w:basedOn w:val="1"/>
    <w:next w:val="1"/>
    <w:unhideWhenUsed/>
    <w:qFormat/>
    <w:uiPriority w:val="0"/>
    <w:pPr>
      <w:keepNext/>
      <w:keepLines/>
      <w:spacing w:before="260" w:after="260" w:line="416" w:lineRule="auto"/>
      <w:outlineLvl w:val="2"/>
    </w:pPr>
    <w:rPr>
      <w:b/>
      <w:bCs/>
      <w:sz w:val="32"/>
      <w:szCs w:val="32"/>
    </w:rPr>
  </w:style>
  <w:style w:type="paragraph" w:styleId="7">
    <w:name w:val="heading 4"/>
    <w:basedOn w:val="1"/>
    <w:next w:val="1"/>
    <w:unhideWhenUsed/>
    <w:qFormat/>
    <w:uiPriority w:val="0"/>
    <w:pPr>
      <w:keepNext/>
      <w:keepLines/>
      <w:spacing w:before="280" w:after="290" w:line="376" w:lineRule="auto"/>
      <w:outlineLvl w:val="3"/>
    </w:pPr>
    <w:rPr>
      <w:rFonts w:asciiTheme="majorHAnsi" w:hAnsiTheme="majorHAnsi" w:cstheme="majorBidi"/>
      <w:b/>
      <w:bCs/>
      <w:sz w:val="28"/>
      <w:szCs w:val="28"/>
    </w:rPr>
  </w:style>
  <w:style w:type="paragraph" w:styleId="8">
    <w:name w:val="heading 5"/>
    <w:basedOn w:val="1"/>
    <w:next w:val="1"/>
    <w:unhideWhenUsed/>
    <w:qFormat/>
    <w:uiPriority w:val="0"/>
    <w:pPr>
      <w:keepNext/>
      <w:keepLines/>
      <w:spacing w:before="280" w:after="290" w:line="376" w:lineRule="auto"/>
      <w:outlineLvl w:val="4"/>
    </w:pPr>
    <w:rPr>
      <w:b/>
      <w:bCs/>
      <w:sz w:val="28"/>
      <w:szCs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afterLines="0" w:line="240" w:lineRule="auto"/>
      <w:ind w:left="420" w:leftChars="200" w:firstLine="420" w:firstLineChars="200"/>
    </w:pPr>
  </w:style>
  <w:style w:type="paragraph" w:styleId="3">
    <w:name w:val="Body Text Indent"/>
    <w:basedOn w:val="1"/>
    <w:qFormat/>
    <w:uiPriority w:val="0"/>
    <w:pPr>
      <w:spacing w:line="700" w:lineRule="exact"/>
      <w:ind w:left="960"/>
    </w:pPr>
    <w:rPr>
      <w:sz w:val="44"/>
    </w:rPr>
  </w:style>
  <w:style w:type="paragraph" w:styleId="9">
    <w:name w:val="Body Text"/>
    <w:basedOn w:val="1"/>
    <w:next w:val="1"/>
    <w:qFormat/>
    <w:uiPriority w:val="0"/>
    <w:pPr>
      <w:spacing w:after="120" w:afterLines="0"/>
    </w:p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next w:val="1"/>
    <w:qFormat/>
    <w:uiPriority w:val="0"/>
    <w:pPr>
      <w:widowControl w:val="0"/>
      <w:spacing w:line="180" w:lineRule="auto"/>
      <w:jc w:val="center"/>
    </w:pPr>
    <w:rPr>
      <w:rFonts w:ascii="Times New Roman" w:hAnsi="Times New Roman" w:eastAsia="宋体" w:cs="Times New Roman"/>
      <w:kern w:val="2"/>
      <w:sz w:val="30"/>
      <w:lang w:val="en-US" w:eastAsia="zh-CN" w:bidi="ar-SA"/>
    </w:rPr>
  </w:style>
  <w:style w:type="paragraph" w:styleId="13">
    <w:name w:val="toc 2"/>
    <w:next w:val="1"/>
    <w:qFormat/>
    <w:uiPriority w:val="39"/>
    <w:pPr>
      <w:widowControl w:val="0"/>
      <w:ind w:left="420" w:leftChars="200"/>
      <w:jc w:val="both"/>
    </w:pPr>
    <w:rPr>
      <w:rFonts w:ascii="Times New Roman" w:hAnsi="Times New Roman" w:eastAsia="宋体" w:cs="Times New Roman"/>
      <w:kern w:val="2"/>
      <w:sz w:val="28"/>
      <w:lang w:val="en-US" w:eastAsia="zh-CN" w:bidi="ar-SA"/>
    </w:rPr>
  </w:style>
  <w:style w:type="character" w:styleId="16">
    <w:name w:val="page number"/>
    <w:qFormat/>
    <w:uiPriority w:val="0"/>
  </w:style>
  <w:style w:type="paragraph" w:customStyle="1" w:styleId="17">
    <w:name w:val="BodyText"/>
    <w:basedOn w:val="1"/>
    <w:next w:val="18"/>
    <w:qFormat/>
    <w:uiPriority w:val="0"/>
    <w:pPr>
      <w:textAlignment w:val="baseline"/>
    </w:pPr>
    <w:rPr>
      <w:rFonts w:ascii="仿宋_GB2312" w:eastAsia="仿宋_GB2312"/>
      <w:sz w:val="32"/>
    </w:rPr>
  </w:style>
  <w:style w:type="paragraph" w:customStyle="1" w:styleId="18">
    <w:name w:val="BodyTextIndent"/>
    <w:basedOn w:val="1"/>
    <w:qFormat/>
    <w:uiPriority w:val="0"/>
    <w:pPr>
      <w:spacing w:line="700" w:lineRule="exact"/>
      <w:ind w:left="960"/>
      <w:jc w:val="both"/>
      <w:textAlignment w:val="baseline"/>
    </w:pPr>
    <w:rPr>
      <w:rFonts w:ascii="Times New Roman" w:hAnsi="Times New Roman"/>
      <w:kern w:val="2"/>
      <w:sz w:val="44"/>
      <w:lang w:val="en-US" w:eastAsia="zh-CN" w:bidi="ar-SA"/>
    </w:rPr>
  </w:style>
  <w:style w:type="paragraph" w:customStyle="1" w:styleId="19">
    <w:name w:val="Default Text"/>
    <w:qFormat/>
    <w:uiPriority w:val="0"/>
    <w:pPr>
      <w:overflowPunct w:val="0"/>
      <w:autoSpaceDE w:val="0"/>
      <w:autoSpaceDN w:val="0"/>
      <w:adjustRightInd w:val="0"/>
      <w:textAlignment w:val="baseline"/>
    </w:pPr>
    <w:rPr>
      <w:rFonts w:ascii="Times New Roman" w:hAnsi="Times New Roman" w:eastAsia="宋体" w:cs="Times New Roman"/>
      <w:sz w:val="24"/>
      <w:lang w:val="en-US" w:eastAsia="zh-CN" w:bidi="ar-SA"/>
    </w:rPr>
  </w:style>
  <w:style w:type="paragraph" w:customStyle="1" w:styleId="20">
    <w:name w:val="Table Paragraph"/>
    <w:basedOn w:val="1"/>
    <w:qFormat/>
    <w:uiPriority w:val="1"/>
  </w:style>
  <w:style w:type="character" w:customStyle="1" w:styleId="21">
    <w:name w:val="标题 1 Char"/>
    <w:link w:val="4"/>
    <w:qFormat/>
    <w:uiPriority w:val="0"/>
    <w:rPr>
      <w:rFonts w:ascii="宋体"/>
      <w:kern w:val="2"/>
      <w:sz w:val="28"/>
      <w:lang w:val="en-US" w:eastAsia="zh-CN" w:bidi="ar-SA"/>
    </w:rPr>
  </w:style>
  <w:style w:type="character" w:customStyle="1" w:styleId="22">
    <w:name w:val="NormalCharacter"/>
    <w:autoRedefine/>
    <w:qFormat/>
    <w:uiPriority w:val="0"/>
  </w:style>
  <w:style w:type="character" w:customStyle="1" w:styleId="23">
    <w:name w:val="ca-141"/>
    <w:autoRedefine/>
    <w:qFormat/>
    <w:uiPriority w:val="0"/>
    <w:rPr>
      <w:rFonts w:hint="eastAsia" w:ascii="仿宋_GB2312" w:hAnsi="Times New Roman" w:eastAsia="仿宋_GB2312"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91</Pages>
  <Words>10874</Words>
  <Characters>11406</Characters>
  <Lines>0</Lines>
  <Paragraphs>0</Paragraphs>
  <TotalTime>14</TotalTime>
  <ScaleCrop>false</ScaleCrop>
  <LinksUpToDate>false</LinksUpToDate>
  <CharactersWithSpaces>11482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2025-12-02T03:40:00Z</dcterms:created>
  <dc:creator>乱乱乱……</dc:creator>
  <cp:lastModifiedBy>WPS_1735188972</cp:lastModifiedBy>
  <dcterms:modified xsi:type="dcterms:W3CDTF">2025-12-02T06:51:55Z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552D4B92750E48068C4823951D4B0A02_11</vt:lpwstr>
  </property>
  <property fmtid="{D5CDD505-2E9C-101B-9397-08002B2CF9AE}" pid="4" name="KSOTemplateDocerSaveRecord">
    <vt:lpwstr>eyJoZGlkIjoiZWNlZWQxNmRmNDg2OWM4ZTk4YzhmMmU1MGMwNDFhNWEiLCJ1c2VySWQiOiIxNjY5NjY0MjUxIn0=</vt:lpwstr>
  </property>
</Properties>
</file>