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584934">
      <w:pPr>
        <w:jc w:val="left"/>
        <w:rPr>
          <w:rFonts w:ascii="宋体" w:hAnsi="宋体" w:cs="宋体"/>
          <w:highlight w:val="none"/>
        </w:rPr>
      </w:pPr>
      <w:r>
        <w:rPr>
          <w:rFonts w:hint="eastAsia" w:ascii="宋体" w:hAnsi="宋体" w:cs="宋体"/>
          <w:highlight w:val="none"/>
        </w:rPr>
        <w:t xml:space="preserve"> </w:t>
      </w:r>
    </w:p>
    <w:p w14:paraId="7BA0895E">
      <w:pPr>
        <w:jc w:val="center"/>
        <w:rPr>
          <w:rFonts w:ascii="宋体" w:hAnsi="宋体" w:cs="宋体"/>
          <w:highlight w:val="none"/>
        </w:rPr>
      </w:pPr>
    </w:p>
    <w:p w14:paraId="73A387D8">
      <w:pPr>
        <w:spacing w:line="1600" w:lineRule="exact"/>
        <w:jc w:val="center"/>
        <w:outlineLvl w:val="0"/>
        <w:rPr>
          <w:rFonts w:ascii="宋体" w:hAnsi="宋体" w:cs="宋体"/>
          <w:sz w:val="100"/>
          <w:highlight w:val="none"/>
        </w:rPr>
      </w:pPr>
      <w:r>
        <w:rPr>
          <w:rFonts w:hint="eastAsia" w:ascii="宋体" w:hAnsi="宋体" w:cs="宋体"/>
          <w:sz w:val="100"/>
          <w:highlight w:val="none"/>
        </w:rPr>
        <w:t>政府采购</w:t>
      </w:r>
    </w:p>
    <w:p w14:paraId="29675214">
      <w:pPr>
        <w:spacing w:line="1600" w:lineRule="exact"/>
        <w:jc w:val="center"/>
        <w:outlineLvl w:val="0"/>
        <w:rPr>
          <w:rFonts w:ascii="宋体" w:hAnsi="宋体" w:cs="宋体"/>
          <w:sz w:val="130"/>
          <w:szCs w:val="130"/>
          <w:highlight w:val="none"/>
        </w:rPr>
      </w:pPr>
      <w:r>
        <w:rPr>
          <w:rFonts w:hint="eastAsia" w:ascii="宋体" w:hAnsi="宋体" w:cs="宋体"/>
          <w:sz w:val="130"/>
          <w:szCs w:val="130"/>
          <w:highlight w:val="none"/>
        </w:rPr>
        <w:t>竞争性磋商文件</w:t>
      </w:r>
    </w:p>
    <w:p w14:paraId="7967E1E8">
      <w:pPr>
        <w:spacing w:line="700" w:lineRule="exact"/>
        <w:jc w:val="center"/>
        <w:rPr>
          <w:rFonts w:ascii="宋体" w:hAnsi="宋体" w:cs="宋体"/>
          <w:sz w:val="32"/>
          <w:highlight w:val="none"/>
        </w:rPr>
      </w:pPr>
    </w:p>
    <w:p w14:paraId="27A11098">
      <w:pPr>
        <w:pStyle w:val="2"/>
        <w:rPr>
          <w:rFonts w:ascii="宋体" w:hAnsi="宋体" w:eastAsia="宋体" w:cs="宋体"/>
          <w:highlight w:val="none"/>
        </w:rPr>
      </w:pPr>
    </w:p>
    <w:p w14:paraId="256B16FF">
      <w:pPr>
        <w:spacing w:line="500" w:lineRule="exact"/>
        <w:ind w:left="1434" w:leftChars="512" w:firstLine="180" w:firstLineChars="50"/>
        <w:outlineLvl w:val="0"/>
        <w:rPr>
          <w:rFonts w:hint="eastAsia" w:ascii="宋体" w:hAnsi="宋体" w:cs="宋体"/>
          <w:sz w:val="36"/>
          <w:szCs w:val="36"/>
          <w:highlight w:val="none"/>
        </w:rPr>
      </w:pPr>
    </w:p>
    <w:p w14:paraId="7784D793">
      <w:pPr>
        <w:spacing w:line="500" w:lineRule="exact"/>
        <w:ind w:left="1434" w:leftChars="512" w:firstLine="180" w:firstLineChars="50"/>
        <w:outlineLvl w:val="0"/>
        <w:rPr>
          <w:rFonts w:hint="eastAsia" w:ascii="宋体" w:hAnsi="宋体" w:cs="宋体"/>
          <w:sz w:val="36"/>
          <w:szCs w:val="36"/>
          <w:highlight w:val="none"/>
        </w:rPr>
      </w:pPr>
    </w:p>
    <w:p w14:paraId="3DF31A54">
      <w:pPr>
        <w:spacing w:line="500" w:lineRule="exact"/>
        <w:ind w:firstLine="1080" w:firstLineChars="300"/>
        <w:outlineLvl w:val="0"/>
        <w:rPr>
          <w:rFonts w:ascii="宋体" w:hAnsi="宋体" w:cs="宋体"/>
          <w:sz w:val="36"/>
          <w:szCs w:val="36"/>
          <w:highlight w:val="none"/>
        </w:rPr>
      </w:pPr>
      <w:r>
        <w:rPr>
          <w:rFonts w:hint="eastAsia" w:ascii="宋体" w:hAnsi="宋体" w:cs="宋体"/>
          <w:sz w:val="36"/>
          <w:szCs w:val="36"/>
          <w:highlight w:val="none"/>
        </w:rPr>
        <w:t>磋商项目名称：沙坪坝区树人小学2025年暑期维修工程</w:t>
      </w:r>
    </w:p>
    <w:p w14:paraId="7FBB6A8B">
      <w:pPr>
        <w:spacing w:line="700" w:lineRule="exact"/>
        <w:ind w:firstLine="1749" w:firstLineChars="486"/>
        <w:rPr>
          <w:rFonts w:ascii="宋体" w:hAnsi="宋体" w:cs="宋体"/>
          <w:sz w:val="36"/>
          <w:szCs w:val="36"/>
          <w:highlight w:val="none"/>
        </w:rPr>
      </w:pPr>
    </w:p>
    <w:p w14:paraId="6495BF79">
      <w:pPr>
        <w:spacing w:line="700" w:lineRule="exact"/>
        <w:ind w:firstLine="1749" w:firstLineChars="486"/>
        <w:rPr>
          <w:rFonts w:ascii="宋体" w:hAnsi="宋体" w:cs="宋体"/>
          <w:sz w:val="36"/>
          <w:szCs w:val="36"/>
          <w:highlight w:val="none"/>
        </w:rPr>
      </w:pPr>
    </w:p>
    <w:p w14:paraId="0D09A682">
      <w:pPr>
        <w:pStyle w:val="2"/>
        <w:rPr>
          <w:rFonts w:ascii="宋体" w:hAnsi="宋体" w:eastAsia="宋体" w:cs="宋体"/>
          <w:highlight w:val="none"/>
        </w:rPr>
      </w:pPr>
    </w:p>
    <w:p w14:paraId="5CA837FE">
      <w:pPr>
        <w:spacing w:line="700" w:lineRule="exact"/>
        <w:ind w:firstLine="1749" w:firstLineChars="486"/>
        <w:rPr>
          <w:rFonts w:ascii="宋体" w:hAnsi="宋体" w:cs="宋体"/>
          <w:sz w:val="36"/>
          <w:szCs w:val="36"/>
          <w:highlight w:val="none"/>
        </w:rPr>
      </w:pPr>
    </w:p>
    <w:p w14:paraId="3976AA6C">
      <w:pPr>
        <w:spacing w:line="500" w:lineRule="exact"/>
        <w:jc w:val="both"/>
        <w:outlineLvl w:val="0"/>
        <w:rPr>
          <w:rFonts w:hint="eastAsia" w:ascii="宋体" w:hAnsi="宋体" w:cs="宋体"/>
          <w:sz w:val="36"/>
          <w:szCs w:val="36"/>
          <w:highlight w:val="none"/>
        </w:rPr>
      </w:pPr>
    </w:p>
    <w:p w14:paraId="20245C8E">
      <w:pPr>
        <w:spacing w:line="500" w:lineRule="exact"/>
        <w:ind w:firstLine="1080" w:firstLineChars="300"/>
        <w:jc w:val="both"/>
        <w:outlineLvl w:val="0"/>
        <w:rPr>
          <w:rFonts w:ascii="宋体" w:hAnsi="宋体" w:cs="宋体"/>
          <w:sz w:val="36"/>
          <w:szCs w:val="36"/>
          <w:highlight w:val="none"/>
        </w:rPr>
      </w:pPr>
      <w:r>
        <w:rPr>
          <w:rFonts w:hint="eastAsia" w:ascii="宋体" w:hAnsi="宋体" w:cs="宋体"/>
          <w:sz w:val="36"/>
          <w:szCs w:val="36"/>
          <w:highlight w:val="none"/>
        </w:rPr>
        <w:t xml:space="preserve">采购人：重庆市沙坪坝区树人小学校 </w:t>
      </w:r>
    </w:p>
    <w:p w14:paraId="6421693E">
      <w:pPr>
        <w:spacing w:line="500" w:lineRule="exact"/>
        <w:ind w:firstLine="1080" w:firstLineChars="300"/>
        <w:jc w:val="both"/>
        <w:outlineLvl w:val="0"/>
        <w:rPr>
          <w:rFonts w:ascii="宋体" w:hAnsi="宋体" w:cs="宋体"/>
          <w:sz w:val="36"/>
          <w:szCs w:val="36"/>
          <w:highlight w:val="none"/>
        </w:rPr>
      </w:pPr>
      <w:r>
        <w:rPr>
          <w:rFonts w:hint="eastAsia" w:ascii="宋体" w:hAnsi="宋体" w:cs="宋体"/>
          <w:sz w:val="36"/>
          <w:szCs w:val="36"/>
          <w:highlight w:val="none"/>
        </w:rPr>
        <w:t>采购代理机构：</w:t>
      </w:r>
      <w:r>
        <w:rPr>
          <w:rFonts w:hint="eastAsia" w:ascii="宋体" w:hAnsi="宋体" w:eastAsia="宋体" w:cs="宋体"/>
          <w:b w:val="0"/>
          <w:bCs w:val="0"/>
          <w:color w:val="000000"/>
          <w:spacing w:val="0"/>
          <w:sz w:val="36"/>
          <w:szCs w:val="30"/>
          <w:highlight w:val="none"/>
          <w:lang w:eastAsia="zh-CN"/>
        </w:rPr>
        <w:t>重庆颢越工程管理有限公司</w:t>
      </w:r>
    </w:p>
    <w:p w14:paraId="4FADE51F">
      <w:pPr>
        <w:spacing w:line="500" w:lineRule="exact"/>
        <w:jc w:val="center"/>
        <w:outlineLvl w:val="0"/>
        <w:rPr>
          <w:rFonts w:ascii="宋体" w:hAnsi="宋体" w:cs="宋体"/>
          <w:sz w:val="36"/>
          <w:szCs w:val="36"/>
          <w:highlight w:val="none"/>
        </w:rPr>
      </w:pPr>
    </w:p>
    <w:p w14:paraId="63E713E3">
      <w:pPr>
        <w:spacing w:line="720" w:lineRule="exact"/>
        <w:jc w:val="center"/>
        <w:outlineLvl w:val="0"/>
        <w:rPr>
          <w:rFonts w:ascii="宋体" w:hAnsi="宋体" w:cs="宋体"/>
          <w:sz w:val="48"/>
          <w:szCs w:val="32"/>
          <w:highlight w:val="none"/>
        </w:rPr>
      </w:pPr>
      <w:r>
        <w:rPr>
          <w:rFonts w:hint="eastAsia" w:ascii="宋体" w:hAnsi="宋体" w:cs="宋体"/>
          <w:sz w:val="36"/>
          <w:szCs w:val="36"/>
          <w:highlight w:val="none"/>
        </w:rPr>
        <w:t>二〇二五年</w:t>
      </w:r>
      <w:r>
        <w:rPr>
          <w:rFonts w:hint="eastAsia" w:ascii="宋体" w:hAnsi="宋体" w:cs="宋体"/>
          <w:sz w:val="36"/>
          <w:szCs w:val="36"/>
          <w:highlight w:val="none"/>
          <w:lang w:eastAsia="zh-CN"/>
        </w:rPr>
        <w:t>七</w:t>
      </w:r>
      <w:r>
        <w:rPr>
          <w:rFonts w:hint="eastAsia" w:ascii="宋体" w:hAnsi="宋体" w:cs="宋体"/>
          <w:sz w:val="36"/>
          <w:szCs w:val="36"/>
          <w:highlight w:val="none"/>
        </w:rPr>
        <w:t>月</w:t>
      </w:r>
    </w:p>
    <w:p w14:paraId="1E9C12C4">
      <w:pPr>
        <w:spacing w:line="720" w:lineRule="exact"/>
        <w:jc w:val="center"/>
        <w:outlineLvl w:val="0"/>
        <w:rPr>
          <w:rFonts w:ascii="宋体" w:hAnsi="宋体" w:cs="宋体"/>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7612972">
      <w:pPr>
        <w:spacing w:line="480" w:lineRule="exact"/>
        <w:jc w:val="center"/>
        <w:outlineLvl w:val="0"/>
        <w:rPr>
          <w:rFonts w:ascii="宋体" w:hAnsi="宋体" w:cs="宋体"/>
          <w:sz w:val="44"/>
          <w:szCs w:val="28"/>
          <w:highlight w:val="none"/>
        </w:rPr>
      </w:pPr>
    </w:p>
    <w:p w14:paraId="5653DA80">
      <w:pPr>
        <w:spacing w:line="480" w:lineRule="exact"/>
        <w:jc w:val="center"/>
        <w:outlineLvl w:val="0"/>
        <w:rPr>
          <w:rFonts w:ascii="宋体" w:hAnsi="宋体" w:cs="宋体"/>
          <w:sz w:val="44"/>
          <w:szCs w:val="28"/>
          <w:highlight w:val="none"/>
        </w:rPr>
      </w:pPr>
      <w:r>
        <w:rPr>
          <w:rFonts w:hint="eastAsia" w:ascii="宋体" w:hAnsi="宋体" w:cs="宋体"/>
          <w:sz w:val="44"/>
          <w:szCs w:val="28"/>
          <w:highlight w:val="none"/>
        </w:rPr>
        <w:t>目   录</w:t>
      </w:r>
    </w:p>
    <w:p w14:paraId="74C22B2F">
      <w:pPr>
        <w:pStyle w:val="48"/>
        <w:tabs>
          <w:tab w:val="right" w:leader="dot" w:pos="9412"/>
        </w:tabs>
        <w:rPr>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TOC \o "1-3" \h \z </w:instrText>
      </w:r>
      <w:r>
        <w:rPr>
          <w:rFonts w:hint="eastAsia" w:ascii="宋体" w:hAnsi="宋体" w:cs="宋体"/>
          <w:sz w:val="21"/>
          <w:szCs w:val="21"/>
          <w:highlight w:val="none"/>
        </w:rPr>
        <w:fldChar w:fldCharType="separate"/>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_Toc32514 </w:instrText>
      </w:r>
      <w:r>
        <w:rPr>
          <w:rFonts w:hint="eastAsia" w:ascii="宋体" w:hAnsi="宋体" w:cs="宋体"/>
          <w:szCs w:val="21"/>
          <w:highlight w:val="none"/>
        </w:rPr>
        <w:fldChar w:fldCharType="separate"/>
      </w:r>
      <w:r>
        <w:rPr>
          <w:rFonts w:hint="eastAsia" w:ascii="宋体" w:hAnsi="宋体" w:eastAsia="宋体" w:cs="宋体"/>
          <w:szCs w:val="30"/>
          <w:highlight w:val="none"/>
        </w:rPr>
        <w:t>第一篇  采购邀请书</w:t>
      </w:r>
      <w:r>
        <w:rPr>
          <w:highlight w:val="none"/>
        </w:rPr>
        <w:tab/>
      </w:r>
      <w:r>
        <w:rPr>
          <w:highlight w:val="none"/>
        </w:rPr>
        <w:fldChar w:fldCharType="begin"/>
      </w:r>
      <w:r>
        <w:rPr>
          <w:highlight w:val="none"/>
        </w:rPr>
        <w:instrText xml:space="preserve"> PAGEREF _Toc32514 \h </w:instrText>
      </w:r>
      <w:r>
        <w:rPr>
          <w:highlight w:val="none"/>
        </w:rPr>
        <w:fldChar w:fldCharType="separate"/>
      </w:r>
      <w:r>
        <w:rPr>
          <w:highlight w:val="none"/>
        </w:rPr>
        <w:t>- 3 -</w:t>
      </w:r>
      <w:r>
        <w:rPr>
          <w:highlight w:val="none"/>
        </w:rPr>
        <w:fldChar w:fldCharType="end"/>
      </w:r>
      <w:r>
        <w:rPr>
          <w:rFonts w:hint="eastAsia" w:ascii="宋体" w:hAnsi="宋体" w:cs="宋体"/>
          <w:szCs w:val="21"/>
          <w:highlight w:val="none"/>
        </w:rPr>
        <w:fldChar w:fldCharType="end"/>
      </w:r>
    </w:p>
    <w:p w14:paraId="06066F3E">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_Toc26701 </w:instrText>
      </w:r>
      <w:r>
        <w:rPr>
          <w:rFonts w:hint="eastAsia" w:ascii="宋体" w:hAnsi="宋体" w:cs="宋体"/>
          <w:szCs w:val="21"/>
          <w:highlight w:val="none"/>
        </w:rPr>
        <w:fldChar w:fldCharType="separate"/>
      </w:r>
      <w:r>
        <w:rPr>
          <w:rFonts w:hint="eastAsia" w:ascii="宋体" w:hAnsi="宋体" w:eastAsia="宋体" w:cs="宋体"/>
          <w:highlight w:val="none"/>
        </w:rPr>
        <w:t>一、竞争性磋商内容</w:t>
      </w:r>
      <w:r>
        <w:rPr>
          <w:highlight w:val="none"/>
        </w:rPr>
        <w:tab/>
      </w:r>
      <w:r>
        <w:rPr>
          <w:highlight w:val="none"/>
        </w:rPr>
        <w:fldChar w:fldCharType="begin"/>
      </w:r>
      <w:r>
        <w:rPr>
          <w:highlight w:val="none"/>
        </w:rPr>
        <w:instrText xml:space="preserve"> PAGEREF _Toc26701 \h </w:instrText>
      </w:r>
      <w:r>
        <w:rPr>
          <w:highlight w:val="none"/>
        </w:rPr>
        <w:fldChar w:fldCharType="separate"/>
      </w:r>
      <w:r>
        <w:rPr>
          <w:highlight w:val="none"/>
        </w:rPr>
        <w:t>- 3 -</w:t>
      </w:r>
      <w:r>
        <w:rPr>
          <w:highlight w:val="none"/>
        </w:rPr>
        <w:fldChar w:fldCharType="end"/>
      </w:r>
      <w:r>
        <w:rPr>
          <w:rFonts w:hint="eastAsia" w:ascii="宋体" w:hAnsi="宋体" w:cs="宋体"/>
          <w:szCs w:val="21"/>
          <w:highlight w:val="none"/>
        </w:rPr>
        <w:fldChar w:fldCharType="end"/>
      </w:r>
    </w:p>
    <w:p w14:paraId="43762FCB">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_Toc18169 </w:instrText>
      </w:r>
      <w:r>
        <w:rPr>
          <w:rFonts w:hint="eastAsia" w:ascii="宋体" w:hAnsi="宋体" w:cs="宋体"/>
          <w:szCs w:val="21"/>
          <w:highlight w:val="none"/>
        </w:rPr>
        <w:fldChar w:fldCharType="separate"/>
      </w:r>
      <w:r>
        <w:rPr>
          <w:rFonts w:hint="eastAsia" w:ascii="宋体" w:hAnsi="宋体" w:eastAsia="宋体" w:cs="宋体"/>
          <w:highlight w:val="none"/>
        </w:rPr>
        <w:t>二、资金来源</w:t>
      </w:r>
      <w:r>
        <w:rPr>
          <w:highlight w:val="none"/>
        </w:rPr>
        <w:tab/>
      </w:r>
      <w:r>
        <w:rPr>
          <w:highlight w:val="none"/>
        </w:rPr>
        <w:fldChar w:fldCharType="begin"/>
      </w:r>
      <w:r>
        <w:rPr>
          <w:highlight w:val="none"/>
        </w:rPr>
        <w:instrText xml:space="preserve"> PAGEREF _Toc18169 \h </w:instrText>
      </w:r>
      <w:r>
        <w:rPr>
          <w:highlight w:val="none"/>
        </w:rPr>
        <w:fldChar w:fldCharType="separate"/>
      </w:r>
      <w:r>
        <w:rPr>
          <w:highlight w:val="none"/>
        </w:rPr>
        <w:t>- 3 -</w:t>
      </w:r>
      <w:r>
        <w:rPr>
          <w:highlight w:val="none"/>
        </w:rPr>
        <w:fldChar w:fldCharType="end"/>
      </w:r>
      <w:r>
        <w:rPr>
          <w:rFonts w:hint="eastAsia" w:ascii="宋体" w:hAnsi="宋体" w:cs="宋体"/>
          <w:szCs w:val="21"/>
          <w:highlight w:val="none"/>
        </w:rPr>
        <w:fldChar w:fldCharType="end"/>
      </w:r>
    </w:p>
    <w:p w14:paraId="3374FA99">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_Toc16957 </w:instrText>
      </w:r>
      <w:r>
        <w:rPr>
          <w:rFonts w:hint="eastAsia" w:ascii="宋体" w:hAnsi="宋体" w:cs="宋体"/>
          <w:szCs w:val="21"/>
          <w:highlight w:val="none"/>
        </w:rPr>
        <w:fldChar w:fldCharType="separate"/>
      </w:r>
      <w:r>
        <w:rPr>
          <w:rFonts w:hint="eastAsia" w:ascii="宋体" w:hAnsi="宋体" w:eastAsia="宋体" w:cs="宋体"/>
          <w:highlight w:val="none"/>
        </w:rPr>
        <w:t>三、供应商资格条件</w:t>
      </w:r>
      <w:r>
        <w:rPr>
          <w:highlight w:val="none"/>
        </w:rPr>
        <w:tab/>
      </w:r>
      <w:r>
        <w:rPr>
          <w:highlight w:val="none"/>
        </w:rPr>
        <w:fldChar w:fldCharType="begin"/>
      </w:r>
      <w:r>
        <w:rPr>
          <w:highlight w:val="none"/>
        </w:rPr>
        <w:instrText xml:space="preserve"> PAGEREF _Toc16957 \h </w:instrText>
      </w:r>
      <w:r>
        <w:rPr>
          <w:highlight w:val="none"/>
        </w:rPr>
        <w:fldChar w:fldCharType="separate"/>
      </w:r>
      <w:r>
        <w:rPr>
          <w:highlight w:val="none"/>
        </w:rPr>
        <w:t>- 3 -</w:t>
      </w:r>
      <w:r>
        <w:rPr>
          <w:highlight w:val="none"/>
        </w:rPr>
        <w:fldChar w:fldCharType="end"/>
      </w:r>
      <w:r>
        <w:rPr>
          <w:rFonts w:hint="eastAsia" w:ascii="宋体" w:hAnsi="宋体" w:cs="宋体"/>
          <w:szCs w:val="21"/>
          <w:highlight w:val="none"/>
        </w:rPr>
        <w:fldChar w:fldCharType="end"/>
      </w:r>
    </w:p>
    <w:p w14:paraId="5C1D6370">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_Toc5574 </w:instrText>
      </w:r>
      <w:r>
        <w:rPr>
          <w:rFonts w:hint="eastAsia" w:ascii="宋体" w:hAnsi="宋体" w:cs="宋体"/>
          <w:szCs w:val="21"/>
          <w:highlight w:val="none"/>
        </w:rPr>
        <w:fldChar w:fldCharType="separate"/>
      </w:r>
      <w:r>
        <w:rPr>
          <w:rFonts w:hint="eastAsia" w:ascii="宋体" w:hAnsi="宋体" w:eastAsia="宋体" w:cs="宋体"/>
          <w:highlight w:val="none"/>
        </w:rPr>
        <w:t>四、磋商有关说明</w:t>
      </w:r>
      <w:r>
        <w:rPr>
          <w:highlight w:val="none"/>
        </w:rPr>
        <w:tab/>
      </w:r>
      <w:r>
        <w:rPr>
          <w:highlight w:val="none"/>
        </w:rPr>
        <w:fldChar w:fldCharType="begin"/>
      </w:r>
      <w:r>
        <w:rPr>
          <w:highlight w:val="none"/>
        </w:rPr>
        <w:instrText xml:space="preserve"> PAGEREF _Toc5574 \h </w:instrText>
      </w:r>
      <w:r>
        <w:rPr>
          <w:highlight w:val="none"/>
        </w:rPr>
        <w:fldChar w:fldCharType="separate"/>
      </w:r>
      <w:r>
        <w:rPr>
          <w:highlight w:val="none"/>
        </w:rPr>
        <w:t>- 3 -</w:t>
      </w:r>
      <w:r>
        <w:rPr>
          <w:highlight w:val="none"/>
        </w:rPr>
        <w:fldChar w:fldCharType="end"/>
      </w:r>
      <w:r>
        <w:rPr>
          <w:rFonts w:hint="eastAsia" w:ascii="宋体" w:hAnsi="宋体" w:cs="宋体"/>
          <w:szCs w:val="21"/>
          <w:highlight w:val="none"/>
        </w:rPr>
        <w:fldChar w:fldCharType="end"/>
      </w:r>
    </w:p>
    <w:p w14:paraId="2BD173A8">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_Toc27038 </w:instrText>
      </w:r>
      <w:r>
        <w:rPr>
          <w:rFonts w:hint="eastAsia" w:ascii="宋体" w:hAnsi="宋体" w:cs="宋体"/>
          <w:szCs w:val="21"/>
          <w:highlight w:val="none"/>
        </w:rPr>
        <w:fldChar w:fldCharType="separate"/>
      </w:r>
      <w:r>
        <w:rPr>
          <w:rFonts w:hint="eastAsia" w:ascii="宋体" w:hAnsi="宋体" w:eastAsia="宋体" w:cs="宋体"/>
          <w:highlight w:val="none"/>
        </w:rPr>
        <w:t>五、采购项目需落实的政府采购政策</w:t>
      </w:r>
      <w:r>
        <w:rPr>
          <w:highlight w:val="none"/>
        </w:rPr>
        <w:tab/>
      </w:r>
      <w:r>
        <w:rPr>
          <w:highlight w:val="none"/>
        </w:rPr>
        <w:fldChar w:fldCharType="begin"/>
      </w:r>
      <w:r>
        <w:rPr>
          <w:highlight w:val="none"/>
        </w:rPr>
        <w:instrText xml:space="preserve"> PAGEREF _Toc27038 \h </w:instrText>
      </w:r>
      <w:r>
        <w:rPr>
          <w:highlight w:val="none"/>
        </w:rPr>
        <w:fldChar w:fldCharType="separate"/>
      </w:r>
      <w:r>
        <w:rPr>
          <w:highlight w:val="none"/>
        </w:rPr>
        <w:t>- 4 -</w:t>
      </w:r>
      <w:r>
        <w:rPr>
          <w:highlight w:val="none"/>
        </w:rPr>
        <w:fldChar w:fldCharType="end"/>
      </w:r>
      <w:r>
        <w:rPr>
          <w:rFonts w:hint="eastAsia" w:ascii="宋体" w:hAnsi="宋体" w:cs="宋体"/>
          <w:szCs w:val="21"/>
          <w:highlight w:val="none"/>
        </w:rPr>
        <w:fldChar w:fldCharType="end"/>
      </w:r>
    </w:p>
    <w:p w14:paraId="08C8D768">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_Toc26480 </w:instrText>
      </w:r>
      <w:r>
        <w:rPr>
          <w:rFonts w:hint="eastAsia" w:ascii="宋体" w:hAnsi="宋体" w:cs="宋体"/>
          <w:szCs w:val="21"/>
          <w:highlight w:val="none"/>
        </w:rPr>
        <w:fldChar w:fldCharType="separate"/>
      </w:r>
      <w:r>
        <w:rPr>
          <w:rFonts w:hint="eastAsia" w:ascii="宋体" w:hAnsi="宋体" w:eastAsia="宋体" w:cs="宋体"/>
          <w:highlight w:val="none"/>
        </w:rPr>
        <w:t>六、其它有关规定</w:t>
      </w:r>
      <w:r>
        <w:rPr>
          <w:highlight w:val="none"/>
        </w:rPr>
        <w:tab/>
      </w:r>
      <w:r>
        <w:rPr>
          <w:highlight w:val="none"/>
        </w:rPr>
        <w:fldChar w:fldCharType="begin"/>
      </w:r>
      <w:r>
        <w:rPr>
          <w:highlight w:val="none"/>
        </w:rPr>
        <w:instrText xml:space="preserve"> PAGEREF _Toc26480 \h </w:instrText>
      </w:r>
      <w:r>
        <w:rPr>
          <w:highlight w:val="none"/>
        </w:rPr>
        <w:fldChar w:fldCharType="separate"/>
      </w:r>
      <w:r>
        <w:rPr>
          <w:highlight w:val="none"/>
        </w:rPr>
        <w:t>- 4 -</w:t>
      </w:r>
      <w:r>
        <w:rPr>
          <w:highlight w:val="none"/>
        </w:rPr>
        <w:fldChar w:fldCharType="end"/>
      </w:r>
      <w:r>
        <w:rPr>
          <w:rFonts w:hint="eastAsia" w:ascii="宋体" w:hAnsi="宋体" w:cs="宋体"/>
          <w:szCs w:val="21"/>
          <w:highlight w:val="none"/>
        </w:rPr>
        <w:fldChar w:fldCharType="end"/>
      </w:r>
    </w:p>
    <w:p w14:paraId="0515AF22">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_Toc5080 </w:instrText>
      </w:r>
      <w:r>
        <w:rPr>
          <w:rFonts w:hint="eastAsia" w:ascii="宋体" w:hAnsi="宋体" w:cs="宋体"/>
          <w:szCs w:val="21"/>
          <w:highlight w:val="none"/>
        </w:rPr>
        <w:fldChar w:fldCharType="separate"/>
      </w:r>
      <w:r>
        <w:rPr>
          <w:rFonts w:hint="eastAsia" w:ascii="宋体" w:hAnsi="宋体" w:eastAsia="宋体" w:cs="宋体"/>
          <w:highlight w:val="none"/>
        </w:rPr>
        <w:t>七、联系方式</w:t>
      </w:r>
      <w:r>
        <w:rPr>
          <w:highlight w:val="none"/>
        </w:rPr>
        <w:tab/>
      </w:r>
      <w:r>
        <w:rPr>
          <w:highlight w:val="none"/>
        </w:rPr>
        <w:fldChar w:fldCharType="begin"/>
      </w:r>
      <w:r>
        <w:rPr>
          <w:highlight w:val="none"/>
        </w:rPr>
        <w:instrText xml:space="preserve"> PAGEREF _Toc5080 \h </w:instrText>
      </w:r>
      <w:r>
        <w:rPr>
          <w:highlight w:val="none"/>
        </w:rPr>
        <w:fldChar w:fldCharType="separate"/>
      </w:r>
      <w:r>
        <w:rPr>
          <w:highlight w:val="none"/>
        </w:rPr>
        <w:t>- 5 -</w:t>
      </w:r>
      <w:r>
        <w:rPr>
          <w:highlight w:val="none"/>
        </w:rPr>
        <w:fldChar w:fldCharType="end"/>
      </w:r>
      <w:r>
        <w:rPr>
          <w:rFonts w:hint="eastAsia" w:ascii="宋体" w:hAnsi="宋体" w:cs="宋体"/>
          <w:szCs w:val="21"/>
          <w:highlight w:val="none"/>
        </w:rPr>
        <w:fldChar w:fldCharType="end"/>
      </w:r>
    </w:p>
    <w:p w14:paraId="290B9DAD">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_Toc10040 </w:instrText>
      </w:r>
      <w:r>
        <w:rPr>
          <w:rFonts w:hint="eastAsia" w:ascii="宋体" w:hAnsi="宋体" w:cs="宋体"/>
          <w:szCs w:val="21"/>
          <w:highlight w:val="none"/>
        </w:rPr>
        <w:fldChar w:fldCharType="separate"/>
      </w:r>
      <w:r>
        <w:rPr>
          <w:rFonts w:hint="eastAsia" w:ascii="宋体" w:hAnsi="宋体" w:eastAsia="宋体" w:cs="宋体"/>
          <w:szCs w:val="30"/>
          <w:highlight w:val="none"/>
        </w:rPr>
        <w:t>第二篇  项目</w:t>
      </w:r>
      <w:r>
        <w:rPr>
          <w:rFonts w:hint="eastAsia" w:ascii="宋体" w:hAnsi="宋体" w:eastAsia="宋体" w:cs="宋体"/>
          <w:szCs w:val="30"/>
          <w:highlight w:val="none"/>
          <w:lang w:eastAsia="zh-CN"/>
        </w:rPr>
        <w:t>技术</w:t>
      </w:r>
      <w:r>
        <w:rPr>
          <w:rFonts w:hint="eastAsia" w:ascii="宋体" w:hAnsi="宋体" w:eastAsia="宋体" w:cs="宋体"/>
          <w:szCs w:val="30"/>
          <w:highlight w:val="none"/>
        </w:rPr>
        <w:t>需求</w:t>
      </w:r>
      <w:r>
        <w:rPr>
          <w:highlight w:val="none"/>
        </w:rPr>
        <w:tab/>
      </w:r>
      <w:r>
        <w:rPr>
          <w:highlight w:val="none"/>
        </w:rPr>
        <w:fldChar w:fldCharType="begin"/>
      </w:r>
      <w:r>
        <w:rPr>
          <w:highlight w:val="none"/>
        </w:rPr>
        <w:instrText xml:space="preserve"> PAGEREF _Toc10040 \h </w:instrText>
      </w:r>
      <w:r>
        <w:rPr>
          <w:highlight w:val="none"/>
        </w:rPr>
        <w:fldChar w:fldCharType="separate"/>
      </w:r>
      <w:r>
        <w:rPr>
          <w:highlight w:val="none"/>
        </w:rPr>
        <w:t>- 6 -</w:t>
      </w:r>
      <w:r>
        <w:rPr>
          <w:highlight w:val="none"/>
        </w:rPr>
        <w:fldChar w:fldCharType="end"/>
      </w:r>
      <w:r>
        <w:rPr>
          <w:rFonts w:hint="eastAsia" w:ascii="宋体" w:hAnsi="宋体" w:cs="宋体"/>
          <w:szCs w:val="21"/>
          <w:highlight w:val="none"/>
        </w:rPr>
        <w:fldChar w:fldCharType="end"/>
      </w:r>
    </w:p>
    <w:p w14:paraId="0F81C0CA">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_Toc17597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一</w:t>
      </w:r>
      <w:r>
        <w:rPr>
          <w:rFonts w:hint="eastAsia" w:ascii="宋体" w:hAnsi="宋体" w:eastAsia="宋体" w:cs="宋体"/>
          <w:szCs w:val="24"/>
          <w:highlight w:val="none"/>
          <w:lang w:eastAsia="zh-CN"/>
        </w:rPr>
        <w:t>、</w:t>
      </w:r>
      <w:r>
        <w:rPr>
          <w:rFonts w:hint="eastAsia" w:ascii="宋体" w:hAnsi="宋体" w:eastAsia="宋体" w:cs="宋体"/>
          <w:szCs w:val="24"/>
          <w:highlight w:val="none"/>
        </w:rPr>
        <w:t>基本概况</w:t>
      </w:r>
      <w:r>
        <w:rPr>
          <w:rFonts w:hint="eastAsia" w:ascii="宋体" w:hAnsi="宋体" w:eastAsia="宋体" w:cs="宋体"/>
          <w:szCs w:val="24"/>
          <w:highlight w:val="none"/>
          <w:lang w:eastAsia="zh-CN"/>
        </w:rPr>
        <w:t>、施工范围及施工工期</w:t>
      </w:r>
      <w:r>
        <w:rPr>
          <w:highlight w:val="none"/>
        </w:rPr>
        <w:tab/>
      </w:r>
      <w:r>
        <w:rPr>
          <w:highlight w:val="none"/>
        </w:rPr>
        <w:fldChar w:fldCharType="begin"/>
      </w:r>
      <w:r>
        <w:rPr>
          <w:highlight w:val="none"/>
        </w:rPr>
        <w:instrText xml:space="preserve"> PAGEREF _Toc17597 \h </w:instrText>
      </w:r>
      <w:r>
        <w:rPr>
          <w:highlight w:val="none"/>
        </w:rPr>
        <w:fldChar w:fldCharType="separate"/>
      </w:r>
      <w:r>
        <w:rPr>
          <w:highlight w:val="none"/>
        </w:rPr>
        <w:t>- 6 -</w:t>
      </w:r>
      <w:r>
        <w:rPr>
          <w:highlight w:val="none"/>
        </w:rPr>
        <w:fldChar w:fldCharType="end"/>
      </w:r>
      <w:r>
        <w:rPr>
          <w:rFonts w:hint="eastAsia" w:ascii="宋体" w:hAnsi="宋体" w:cs="宋体"/>
          <w:szCs w:val="21"/>
          <w:highlight w:val="none"/>
        </w:rPr>
        <w:fldChar w:fldCharType="end"/>
      </w:r>
    </w:p>
    <w:p w14:paraId="72399926">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_Toc16628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※二、施工要求</w:t>
      </w:r>
      <w:r>
        <w:rPr>
          <w:highlight w:val="none"/>
        </w:rPr>
        <w:tab/>
      </w:r>
      <w:r>
        <w:rPr>
          <w:highlight w:val="none"/>
        </w:rPr>
        <w:fldChar w:fldCharType="begin"/>
      </w:r>
      <w:r>
        <w:rPr>
          <w:highlight w:val="none"/>
        </w:rPr>
        <w:instrText xml:space="preserve"> PAGEREF _Toc16628 \h </w:instrText>
      </w:r>
      <w:r>
        <w:rPr>
          <w:highlight w:val="none"/>
        </w:rPr>
        <w:fldChar w:fldCharType="separate"/>
      </w:r>
      <w:r>
        <w:rPr>
          <w:highlight w:val="none"/>
        </w:rPr>
        <w:t>- 6 -</w:t>
      </w:r>
      <w:r>
        <w:rPr>
          <w:highlight w:val="none"/>
        </w:rPr>
        <w:fldChar w:fldCharType="end"/>
      </w:r>
      <w:r>
        <w:rPr>
          <w:rFonts w:hint="eastAsia" w:ascii="宋体" w:hAnsi="宋体" w:cs="宋体"/>
          <w:szCs w:val="21"/>
          <w:highlight w:val="none"/>
        </w:rPr>
        <w:fldChar w:fldCharType="end"/>
      </w:r>
    </w:p>
    <w:p w14:paraId="382DB0E1">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_Toc31467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※三、质量要求</w:t>
      </w:r>
      <w:r>
        <w:rPr>
          <w:highlight w:val="none"/>
        </w:rPr>
        <w:tab/>
      </w:r>
      <w:r>
        <w:rPr>
          <w:highlight w:val="none"/>
        </w:rPr>
        <w:fldChar w:fldCharType="begin"/>
      </w:r>
      <w:r>
        <w:rPr>
          <w:highlight w:val="none"/>
        </w:rPr>
        <w:instrText xml:space="preserve"> PAGEREF _Toc31467 \h </w:instrText>
      </w:r>
      <w:r>
        <w:rPr>
          <w:highlight w:val="none"/>
        </w:rPr>
        <w:fldChar w:fldCharType="separate"/>
      </w:r>
      <w:r>
        <w:rPr>
          <w:highlight w:val="none"/>
        </w:rPr>
        <w:t>- 6 -</w:t>
      </w:r>
      <w:r>
        <w:rPr>
          <w:highlight w:val="none"/>
        </w:rPr>
        <w:fldChar w:fldCharType="end"/>
      </w:r>
      <w:r>
        <w:rPr>
          <w:rFonts w:hint="eastAsia" w:ascii="宋体" w:hAnsi="宋体" w:cs="宋体"/>
          <w:szCs w:val="21"/>
          <w:highlight w:val="none"/>
        </w:rPr>
        <w:fldChar w:fldCharType="end"/>
      </w:r>
    </w:p>
    <w:p w14:paraId="2430B4F0">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_Toc31327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※四、项目管理班子人员配备要求</w:t>
      </w:r>
      <w:r>
        <w:rPr>
          <w:highlight w:val="none"/>
        </w:rPr>
        <w:tab/>
      </w:r>
      <w:r>
        <w:rPr>
          <w:highlight w:val="none"/>
        </w:rPr>
        <w:fldChar w:fldCharType="begin"/>
      </w:r>
      <w:r>
        <w:rPr>
          <w:highlight w:val="none"/>
        </w:rPr>
        <w:instrText xml:space="preserve"> PAGEREF _Toc31327 \h </w:instrText>
      </w:r>
      <w:r>
        <w:rPr>
          <w:highlight w:val="none"/>
        </w:rPr>
        <w:fldChar w:fldCharType="separate"/>
      </w:r>
      <w:r>
        <w:rPr>
          <w:highlight w:val="none"/>
        </w:rPr>
        <w:t>- 7 -</w:t>
      </w:r>
      <w:r>
        <w:rPr>
          <w:highlight w:val="none"/>
        </w:rPr>
        <w:fldChar w:fldCharType="end"/>
      </w:r>
      <w:r>
        <w:rPr>
          <w:rFonts w:hint="eastAsia" w:ascii="宋体" w:hAnsi="宋体" w:cs="宋体"/>
          <w:szCs w:val="21"/>
          <w:highlight w:val="none"/>
        </w:rPr>
        <w:fldChar w:fldCharType="end"/>
      </w:r>
    </w:p>
    <w:p w14:paraId="0EDAA955">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_Toc2149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五、安全要求</w:t>
      </w:r>
      <w:r>
        <w:rPr>
          <w:highlight w:val="none"/>
        </w:rPr>
        <w:tab/>
      </w:r>
      <w:r>
        <w:rPr>
          <w:highlight w:val="none"/>
        </w:rPr>
        <w:fldChar w:fldCharType="begin"/>
      </w:r>
      <w:r>
        <w:rPr>
          <w:highlight w:val="none"/>
        </w:rPr>
        <w:instrText xml:space="preserve"> PAGEREF _Toc2149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6E4D8FD4">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_Toc15330 </w:instrText>
      </w:r>
      <w:r>
        <w:rPr>
          <w:rFonts w:hint="eastAsia" w:ascii="宋体" w:hAnsi="宋体" w:cs="宋体"/>
          <w:szCs w:val="21"/>
          <w:highlight w:val="none"/>
        </w:rPr>
        <w:fldChar w:fldCharType="separate"/>
      </w:r>
      <w:r>
        <w:rPr>
          <w:rFonts w:hint="eastAsia" w:ascii="宋体" w:hAnsi="宋体" w:eastAsia="宋体" w:cs="宋体"/>
          <w:szCs w:val="24"/>
          <w:highlight w:val="none"/>
          <w:lang w:val="en-US" w:eastAsia="zh-CN"/>
        </w:rPr>
        <w:t>六、现场踏勘</w:t>
      </w:r>
      <w:r>
        <w:rPr>
          <w:highlight w:val="none"/>
        </w:rPr>
        <w:tab/>
      </w:r>
      <w:r>
        <w:rPr>
          <w:highlight w:val="none"/>
        </w:rPr>
        <w:fldChar w:fldCharType="begin"/>
      </w:r>
      <w:r>
        <w:rPr>
          <w:highlight w:val="none"/>
        </w:rPr>
        <w:instrText xml:space="preserve"> PAGEREF _Toc15330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116A2597">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_Toc16561 </w:instrText>
      </w:r>
      <w:r>
        <w:rPr>
          <w:rFonts w:hint="eastAsia" w:ascii="宋体" w:hAnsi="宋体" w:cs="宋体"/>
          <w:szCs w:val="21"/>
          <w:highlight w:val="none"/>
        </w:rPr>
        <w:fldChar w:fldCharType="separate"/>
      </w:r>
      <w:r>
        <w:rPr>
          <w:rFonts w:hint="eastAsia" w:ascii="宋体" w:hAnsi="宋体" w:eastAsia="宋体" w:cs="宋体"/>
          <w:szCs w:val="24"/>
          <w:highlight w:val="none"/>
          <w:lang w:val="en-US" w:eastAsia="zh-CN"/>
        </w:rPr>
        <w:t>七、附件</w:t>
      </w:r>
      <w:r>
        <w:rPr>
          <w:highlight w:val="none"/>
        </w:rPr>
        <w:tab/>
      </w:r>
      <w:r>
        <w:rPr>
          <w:highlight w:val="none"/>
        </w:rPr>
        <w:fldChar w:fldCharType="begin"/>
      </w:r>
      <w:r>
        <w:rPr>
          <w:highlight w:val="none"/>
        </w:rPr>
        <w:instrText xml:space="preserve"> PAGEREF _Toc16561 \h </w:instrText>
      </w:r>
      <w:r>
        <w:rPr>
          <w:highlight w:val="none"/>
        </w:rPr>
        <w:fldChar w:fldCharType="separate"/>
      </w:r>
      <w:r>
        <w:rPr>
          <w:highlight w:val="none"/>
        </w:rPr>
        <w:t>- 8 -</w:t>
      </w:r>
      <w:r>
        <w:rPr>
          <w:highlight w:val="none"/>
        </w:rPr>
        <w:fldChar w:fldCharType="end"/>
      </w:r>
      <w:r>
        <w:rPr>
          <w:rFonts w:hint="eastAsia" w:ascii="宋体" w:hAnsi="宋体" w:cs="宋体"/>
          <w:szCs w:val="21"/>
          <w:highlight w:val="none"/>
        </w:rPr>
        <w:fldChar w:fldCharType="end"/>
      </w:r>
    </w:p>
    <w:p w14:paraId="572010D5">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_Toc27803 </w:instrText>
      </w:r>
      <w:r>
        <w:rPr>
          <w:rFonts w:hint="eastAsia" w:ascii="宋体" w:hAnsi="宋体" w:cs="宋体"/>
          <w:szCs w:val="21"/>
          <w:highlight w:val="none"/>
        </w:rPr>
        <w:fldChar w:fldCharType="separate"/>
      </w:r>
      <w:r>
        <w:rPr>
          <w:rFonts w:hint="eastAsia" w:ascii="宋体" w:hAnsi="宋体" w:eastAsia="宋体" w:cs="宋体"/>
          <w:szCs w:val="30"/>
          <w:highlight w:val="none"/>
        </w:rPr>
        <w:t>第三篇  项目商务需求</w:t>
      </w:r>
      <w:r>
        <w:rPr>
          <w:highlight w:val="none"/>
        </w:rPr>
        <w:tab/>
      </w:r>
      <w:r>
        <w:rPr>
          <w:highlight w:val="none"/>
        </w:rPr>
        <w:fldChar w:fldCharType="begin"/>
      </w:r>
      <w:r>
        <w:rPr>
          <w:highlight w:val="none"/>
        </w:rPr>
        <w:instrText xml:space="preserve"> PAGEREF _Toc27803 \h </w:instrText>
      </w:r>
      <w:r>
        <w:rPr>
          <w:highlight w:val="none"/>
        </w:rPr>
        <w:fldChar w:fldCharType="separate"/>
      </w:r>
      <w:r>
        <w:rPr>
          <w:highlight w:val="none"/>
        </w:rPr>
        <w:t>- 9 -</w:t>
      </w:r>
      <w:r>
        <w:rPr>
          <w:highlight w:val="none"/>
        </w:rPr>
        <w:fldChar w:fldCharType="end"/>
      </w:r>
      <w:r>
        <w:rPr>
          <w:rFonts w:hint="eastAsia" w:ascii="宋体" w:hAnsi="宋体" w:cs="宋体"/>
          <w:szCs w:val="21"/>
          <w:highlight w:val="none"/>
        </w:rPr>
        <w:fldChar w:fldCharType="end"/>
      </w:r>
    </w:p>
    <w:p w14:paraId="51E0463A">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_Toc12616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rPr>
        <w:t>一、工期、地点及验收方式</w:t>
      </w:r>
      <w:r>
        <w:rPr>
          <w:highlight w:val="none"/>
        </w:rPr>
        <w:tab/>
      </w:r>
      <w:r>
        <w:rPr>
          <w:highlight w:val="none"/>
        </w:rPr>
        <w:fldChar w:fldCharType="begin"/>
      </w:r>
      <w:r>
        <w:rPr>
          <w:highlight w:val="none"/>
        </w:rPr>
        <w:instrText xml:space="preserve"> PAGEREF _Toc12616 \h </w:instrText>
      </w:r>
      <w:r>
        <w:rPr>
          <w:highlight w:val="none"/>
        </w:rPr>
        <w:fldChar w:fldCharType="separate"/>
      </w:r>
      <w:r>
        <w:rPr>
          <w:highlight w:val="none"/>
        </w:rPr>
        <w:t>- 9 -</w:t>
      </w:r>
      <w:r>
        <w:rPr>
          <w:highlight w:val="none"/>
        </w:rPr>
        <w:fldChar w:fldCharType="end"/>
      </w:r>
      <w:r>
        <w:rPr>
          <w:rFonts w:hint="eastAsia" w:ascii="宋体" w:hAnsi="宋体" w:cs="宋体"/>
          <w:szCs w:val="21"/>
          <w:highlight w:val="none"/>
        </w:rPr>
        <w:fldChar w:fldCharType="end"/>
      </w:r>
    </w:p>
    <w:p w14:paraId="7B33F49D">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_Toc25521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rPr>
        <w:t>二、报价要求</w:t>
      </w:r>
      <w:r>
        <w:rPr>
          <w:highlight w:val="none"/>
        </w:rPr>
        <w:tab/>
      </w:r>
      <w:r>
        <w:rPr>
          <w:highlight w:val="none"/>
        </w:rPr>
        <w:fldChar w:fldCharType="begin"/>
      </w:r>
      <w:r>
        <w:rPr>
          <w:highlight w:val="none"/>
        </w:rPr>
        <w:instrText xml:space="preserve"> PAGEREF _Toc25521 \h </w:instrText>
      </w:r>
      <w:r>
        <w:rPr>
          <w:highlight w:val="none"/>
        </w:rPr>
        <w:fldChar w:fldCharType="separate"/>
      </w:r>
      <w:r>
        <w:rPr>
          <w:highlight w:val="none"/>
        </w:rPr>
        <w:t>- 9 -</w:t>
      </w:r>
      <w:r>
        <w:rPr>
          <w:highlight w:val="none"/>
        </w:rPr>
        <w:fldChar w:fldCharType="end"/>
      </w:r>
      <w:r>
        <w:rPr>
          <w:rFonts w:hint="eastAsia" w:ascii="宋体" w:hAnsi="宋体" w:cs="宋体"/>
          <w:szCs w:val="21"/>
          <w:highlight w:val="none"/>
        </w:rPr>
        <w:fldChar w:fldCharType="end"/>
      </w:r>
    </w:p>
    <w:p w14:paraId="60CE7CC6">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_Toc32278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rPr>
        <w:t>三、结算原则</w:t>
      </w:r>
      <w:r>
        <w:rPr>
          <w:highlight w:val="none"/>
        </w:rPr>
        <w:tab/>
      </w:r>
      <w:r>
        <w:rPr>
          <w:highlight w:val="none"/>
        </w:rPr>
        <w:fldChar w:fldCharType="begin"/>
      </w:r>
      <w:r>
        <w:rPr>
          <w:highlight w:val="none"/>
        </w:rPr>
        <w:instrText xml:space="preserve"> PAGEREF _Toc32278 \h </w:instrText>
      </w:r>
      <w:r>
        <w:rPr>
          <w:highlight w:val="none"/>
        </w:rPr>
        <w:fldChar w:fldCharType="separate"/>
      </w:r>
      <w:r>
        <w:rPr>
          <w:highlight w:val="none"/>
        </w:rPr>
        <w:t>- 10 -</w:t>
      </w:r>
      <w:r>
        <w:rPr>
          <w:highlight w:val="none"/>
        </w:rPr>
        <w:fldChar w:fldCharType="end"/>
      </w:r>
      <w:r>
        <w:rPr>
          <w:rFonts w:hint="eastAsia" w:ascii="宋体" w:hAnsi="宋体" w:cs="宋体"/>
          <w:szCs w:val="21"/>
          <w:highlight w:val="none"/>
        </w:rPr>
        <w:fldChar w:fldCharType="end"/>
      </w:r>
    </w:p>
    <w:p w14:paraId="6C37ABF5">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_Toc2902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rPr>
        <w:t>四、质保期及售后服务</w:t>
      </w:r>
      <w:r>
        <w:rPr>
          <w:highlight w:val="none"/>
        </w:rPr>
        <w:tab/>
      </w:r>
      <w:r>
        <w:rPr>
          <w:highlight w:val="none"/>
        </w:rPr>
        <w:fldChar w:fldCharType="begin"/>
      </w:r>
      <w:r>
        <w:rPr>
          <w:highlight w:val="none"/>
        </w:rPr>
        <w:instrText xml:space="preserve"> PAGEREF _Toc2902 \h </w:instrText>
      </w:r>
      <w:r>
        <w:rPr>
          <w:highlight w:val="none"/>
        </w:rPr>
        <w:fldChar w:fldCharType="separate"/>
      </w:r>
      <w:r>
        <w:rPr>
          <w:highlight w:val="none"/>
        </w:rPr>
        <w:t>- 12 -</w:t>
      </w:r>
      <w:r>
        <w:rPr>
          <w:highlight w:val="none"/>
        </w:rPr>
        <w:fldChar w:fldCharType="end"/>
      </w:r>
      <w:r>
        <w:rPr>
          <w:rFonts w:hint="eastAsia" w:ascii="宋体" w:hAnsi="宋体" w:cs="宋体"/>
          <w:szCs w:val="21"/>
          <w:highlight w:val="none"/>
        </w:rPr>
        <w:fldChar w:fldCharType="end"/>
      </w:r>
    </w:p>
    <w:p w14:paraId="1D4EB034">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_Toc21286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rPr>
        <w:t>五、付款方式</w:t>
      </w:r>
      <w:r>
        <w:rPr>
          <w:highlight w:val="none"/>
        </w:rPr>
        <w:tab/>
      </w:r>
      <w:r>
        <w:rPr>
          <w:highlight w:val="none"/>
        </w:rPr>
        <w:fldChar w:fldCharType="begin"/>
      </w:r>
      <w:r>
        <w:rPr>
          <w:highlight w:val="none"/>
        </w:rPr>
        <w:instrText xml:space="preserve"> PAGEREF _Toc21286 \h </w:instrText>
      </w:r>
      <w:r>
        <w:rPr>
          <w:highlight w:val="none"/>
        </w:rPr>
        <w:fldChar w:fldCharType="separate"/>
      </w:r>
      <w:r>
        <w:rPr>
          <w:highlight w:val="none"/>
        </w:rPr>
        <w:t>- 13 -</w:t>
      </w:r>
      <w:r>
        <w:rPr>
          <w:highlight w:val="none"/>
        </w:rPr>
        <w:fldChar w:fldCharType="end"/>
      </w:r>
      <w:r>
        <w:rPr>
          <w:rFonts w:hint="eastAsia" w:ascii="宋体" w:hAnsi="宋体" w:cs="宋体"/>
          <w:szCs w:val="21"/>
          <w:highlight w:val="none"/>
        </w:rPr>
        <w:fldChar w:fldCharType="end"/>
      </w:r>
    </w:p>
    <w:p w14:paraId="4BADA72A">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_Toc10012 </w:instrText>
      </w:r>
      <w:r>
        <w:rPr>
          <w:rFonts w:hint="eastAsia" w:ascii="宋体" w:hAnsi="宋体" w:cs="宋体"/>
          <w:szCs w:val="21"/>
          <w:highlight w:val="none"/>
        </w:rPr>
        <w:fldChar w:fldCharType="separate"/>
      </w:r>
      <w:r>
        <w:rPr>
          <w:rFonts w:hint="eastAsia" w:ascii="宋体" w:hAnsi="宋体" w:eastAsia="宋体" w:cs="宋体"/>
          <w:szCs w:val="24"/>
          <w:highlight w:val="none"/>
          <w:lang w:val="en-US" w:eastAsia="zh-CN"/>
        </w:rPr>
        <w:t>六</w:t>
      </w:r>
      <w:r>
        <w:rPr>
          <w:rFonts w:hint="eastAsia" w:ascii="宋体" w:hAnsi="宋体" w:eastAsia="宋体" w:cs="宋体"/>
          <w:szCs w:val="24"/>
          <w:highlight w:val="none"/>
        </w:rPr>
        <w:t>、知识产权</w:t>
      </w:r>
      <w:r>
        <w:rPr>
          <w:highlight w:val="none"/>
        </w:rPr>
        <w:tab/>
      </w:r>
      <w:r>
        <w:rPr>
          <w:highlight w:val="none"/>
        </w:rPr>
        <w:fldChar w:fldCharType="begin"/>
      </w:r>
      <w:r>
        <w:rPr>
          <w:highlight w:val="none"/>
        </w:rPr>
        <w:instrText xml:space="preserve"> PAGEREF _Toc10012 \h </w:instrText>
      </w:r>
      <w:r>
        <w:rPr>
          <w:highlight w:val="none"/>
        </w:rPr>
        <w:fldChar w:fldCharType="separate"/>
      </w:r>
      <w:r>
        <w:rPr>
          <w:highlight w:val="none"/>
        </w:rPr>
        <w:t>- 13 -</w:t>
      </w:r>
      <w:r>
        <w:rPr>
          <w:highlight w:val="none"/>
        </w:rPr>
        <w:fldChar w:fldCharType="end"/>
      </w:r>
      <w:r>
        <w:rPr>
          <w:rFonts w:hint="eastAsia" w:ascii="宋体" w:hAnsi="宋体" w:cs="宋体"/>
          <w:szCs w:val="21"/>
          <w:highlight w:val="none"/>
        </w:rPr>
        <w:fldChar w:fldCharType="end"/>
      </w:r>
    </w:p>
    <w:p w14:paraId="7A59DEE5">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_Toc3901 </w:instrText>
      </w:r>
      <w:r>
        <w:rPr>
          <w:rFonts w:hint="eastAsia" w:ascii="宋体" w:hAnsi="宋体" w:cs="宋体"/>
          <w:szCs w:val="21"/>
          <w:highlight w:val="none"/>
        </w:rPr>
        <w:fldChar w:fldCharType="separate"/>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七</w:t>
      </w:r>
      <w:r>
        <w:rPr>
          <w:rFonts w:hint="eastAsia" w:ascii="宋体" w:hAnsi="宋体" w:eastAsia="宋体" w:cs="宋体"/>
          <w:szCs w:val="24"/>
          <w:highlight w:val="none"/>
        </w:rPr>
        <w:t>、其他</w:t>
      </w:r>
      <w:r>
        <w:rPr>
          <w:highlight w:val="none"/>
        </w:rPr>
        <w:tab/>
      </w:r>
      <w:r>
        <w:rPr>
          <w:highlight w:val="none"/>
        </w:rPr>
        <w:fldChar w:fldCharType="begin"/>
      </w:r>
      <w:r>
        <w:rPr>
          <w:highlight w:val="none"/>
        </w:rPr>
        <w:instrText xml:space="preserve"> PAGEREF _Toc3901 \h </w:instrText>
      </w:r>
      <w:r>
        <w:rPr>
          <w:highlight w:val="none"/>
        </w:rPr>
        <w:fldChar w:fldCharType="separate"/>
      </w:r>
      <w:r>
        <w:rPr>
          <w:highlight w:val="none"/>
        </w:rPr>
        <w:t>- 13 -</w:t>
      </w:r>
      <w:r>
        <w:rPr>
          <w:highlight w:val="none"/>
        </w:rPr>
        <w:fldChar w:fldCharType="end"/>
      </w:r>
      <w:r>
        <w:rPr>
          <w:rFonts w:hint="eastAsia" w:ascii="宋体" w:hAnsi="宋体" w:cs="宋体"/>
          <w:szCs w:val="21"/>
          <w:highlight w:val="none"/>
        </w:rPr>
        <w:fldChar w:fldCharType="end"/>
      </w:r>
    </w:p>
    <w:p w14:paraId="40D5D290">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_Toc14397 </w:instrText>
      </w:r>
      <w:r>
        <w:rPr>
          <w:rFonts w:hint="eastAsia" w:ascii="宋体" w:hAnsi="宋体" w:cs="宋体"/>
          <w:szCs w:val="21"/>
          <w:highlight w:val="none"/>
        </w:rPr>
        <w:fldChar w:fldCharType="separate"/>
      </w:r>
      <w:r>
        <w:rPr>
          <w:rFonts w:hint="eastAsia" w:ascii="宋体" w:hAnsi="宋体" w:eastAsia="宋体" w:cs="宋体"/>
          <w:szCs w:val="30"/>
          <w:highlight w:val="none"/>
        </w:rPr>
        <w:t>第四篇  磋商程序及方法、评审标准、无效响应和</w:t>
      </w:r>
      <w:r>
        <w:rPr>
          <w:rFonts w:hint="eastAsia" w:ascii="宋体" w:hAnsi="宋体" w:eastAsia="宋体" w:cs="宋体"/>
          <w:szCs w:val="36"/>
          <w:highlight w:val="none"/>
        </w:rPr>
        <w:t>采购终止</w:t>
      </w:r>
      <w:r>
        <w:rPr>
          <w:highlight w:val="none"/>
        </w:rPr>
        <w:tab/>
      </w:r>
      <w:r>
        <w:rPr>
          <w:highlight w:val="none"/>
        </w:rPr>
        <w:fldChar w:fldCharType="begin"/>
      </w:r>
      <w:r>
        <w:rPr>
          <w:highlight w:val="none"/>
        </w:rPr>
        <w:instrText xml:space="preserve"> PAGEREF _Toc14397 \h </w:instrText>
      </w:r>
      <w:r>
        <w:rPr>
          <w:highlight w:val="none"/>
        </w:rPr>
        <w:fldChar w:fldCharType="separate"/>
      </w:r>
      <w:r>
        <w:rPr>
          <w:highlight w:val="none"/>
        </w:rPr>
        <w:t>- 16 -</w:t>
      </w:r>
      <w:r>
        <w:rPr>
          <w:highlight w:val="none"/>
        </w:rPr>
        <w:fldChar w:fldCharType="end"/>
      </w:r>
      <w:r>
        <w:rPr>
          <w:rFonts w:hint="eastAsia" w:ascii="宋体" w:hAnsi="宋体" w:cs="宋体"/>
          <w:szCs w:val="21"/>
          <w:highlight w:val="none"/>
        </w:rPr>
        <w:fldChar w:fldCharType="end"/>
      </w:r>
    </w:p>
    <w:p w14:paraId="4571A3F0">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_Toc12486 </w:instrText>
      </w:r>
      <w:r>
        <w:rPr>
          <w:rFonts w:hint="eastAsia" w:ascii="宋体" w:hAnsi="宋体" w:cs="宋体"/>
          <w:szCs w:val="21"/>
          <w:highlight w:val="none"/>
        </w:rPr>
        <w:fldChar w:fldCharType="separate"/>
      </w:r>
      <w:r>
        <w:rPr>
          <w:rFonts w:hint="eastAsia" w:ascii="宋体" w:hAnsi="宋体" w:eastAsia="宋体" w:cs="宋体"/>
          <w:highlight w:val="none"/>
        </w:rPr>
        <w:t>一、磋商程序及方法</w:t>
      </w:r>
      <w:r>
        <w:rPr>
          <w:highlight w:val="none"/>
        </w:rPr>
        <w:tab/>
      </w:r>
      <w:r>
        <w:rPr>
          <w:highlight w:val="none"/>
        </w:rPr>
        <w:fldChar w:fldCharType="begin"/>
      </w:r>
      <w:r>
        <w:rPr>
          <w:highlight w:val="none"/>
        </w:rPr>
        <w:instrText xml:space="preserve"> PAGEREF _Toc12486 \h </w:instrText>
      </w:r>
      <w:r>
        <w:rPr>
          <w:highlight w:val="none"/>
        </w:rPr>
        <w:fldChar w:fldCharType="separate"/>
      </w:r>
      <w:r>
        <w:rPr>
          <w:highlight w:val="none"/>
        </w:rPr>
        <w:t>- 16 -</w:t>
      </w:r>
      <w:r>
        <w:rPr>
          <w:highlight w:val="none"/>
        </w:rPr>
        <w:fldChar w:fldCharType="end"/>
      </w:r>
      <w:r>
        <w:rPr>
          <w:rFonts w:hint="eastAsia" w:ascii="宋体" w:hAnsi="宋体" w:cs="宋体"/>
          <w:szCs w:val="21"/>
          <w:highlight w:val="none"/>
        </w:rPr>
        <w:fldChar w:fldCharType="end"/>
      </w:r>
    </w:p>
    <w:p w14:paraId="7F88DC98">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_Toc25981 </w:instrText>
      </w:r>
      <w:r>
        <w:rPr>
          <w:rFonts w:hint="eastAsia" w:ascii="宋体" w:hAnsi="宋体" w:cs="宋体"/>
          <w:szCs w:val="21"/>
          <w:highlight w:val="none"/>
        </w:rPr>
        <w:fldChar w:fldCharType="separate"/>
      </w:r>
      <w:r>
        <w:rPr>
          <w:rFonts w:hint="eastAsia" w:ascii="宋体" w:hAnsi="宋体" w:eastAsia="宋体" w:cs="宋体"/>
          <w:highlight w:val="none"/>
        </w:rPr>
        <w:t>二、评审标准</w:t>
      </w:r>
      <w:r>
        <w:rPr>
          <w:highlight w:val="none"/>
        </w:rPr>
        <w:tab/>
      </w:r>
      <w:r>
        <w:rPr>
          <w:highlight w:val="none"/>
        </w:rPr>
        <w:fldChar w:fldCharType="begin"/>
      </w:r>
      <w:r>
        <w:rPr>
          <w:highlight w:val="none"/>
        </w:rPr>
        <w:instrText xml:space="preserve"> PAGEREF _Toc25981 \h </w:instrText>
      </w:r>
      <w:r>
        <w:rPr>
          <w:highlight w:val="none"/>
        </w:rPr>
        <w:fldChar w:fldCharType="separate"/>
      </w:r>
      <w:r>
        <w:rPr>
          <w:highlight w:val="none"/>
        </w:rPr>
        <w:t>- 18 -</w:t>
      </w:r>
      <w:r>
        <w:rPr>
          <w:highlight w:val="none"/>
        </w:rPr>
        <w:fldChar w:fldCharType="end"/>
      </w:r>
      <w:r>
        <w:rPr>
          <w:rFonts w:hint="eastAsia" w:ascii="宋体" w:hAnsi="宋体" w:cs="宋体"/>
          <w:szCs w:val="21"/>
          <w:highlight w:val="none"/>
        </w:rPr>
        <w:fldChar w:fldCharType="end"/>
      </w:r>
    </w:p>
    <w:p w14:paraId="66D2CDA6">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_Toc1682 </w:instrText>
      </w:r>
      <w:r>
        <w:rPr>
          <w:rFonts w:hint="eastAsia" w:ascii="宋体" w:hAnsi="宋体" w:cs="宋体"/>
          <w:szCs w:val="21"/>
          <w:highlight w:val="none"/>
        </w:rPr>
        <w:fldChar w:fldCharType="separate"/>
      </w:r>
      <w:r>
        <w:rPr>
          <w:rFonts w:hint="eastAsia" w:ascii="宋体" w:hAnsi="宋体" w:eastAsia="宋体" w:cs="宋体"/>
          <w:highlight w:val="none"/>
        </w:rPr>
        <w:t>三、无效响应</w:t>
      </w:r>
      <w:r>
        <w:rPr>
          <w:highlight w:val="none"/>
        </w:rPr>
        <w:tab/>
      </w:r>
      <w:r>
        <w:rPr>
          <w:highlight w:val="none"/>
        </w:rPr>
        <w:fldChar w:fldCharType="begin"/>
      </w:r>
      <w:r>
        <w:rPr>
          <w:highlight w:val="none"/>
        </w:rPr>
        <w:instrText xml:space="preserve"> PAGEREF _Toc1682 \h </w:instrText>
      </w:r>
      <w:r>
        <w:rPr>
          <w:highlight w:val="none"/>
        </w:rPr>
        <w:fldChar w:fldCharType="separate"/>
      </w:r>
      <w:r>
        <w:rPr>
          <w:highlight w:val="none"/>
        </w:rPr>
        <w:t>- 20 -</w:t>
      </w:r>
      <w:r>
        <w:rPr>
          <w:highlight w:val="none"/>
        </w:rPr>
        <w:fldChar w:fldCharType="end"/>
      </w:r>
      <w:r>
        <w:rPr>
          <w:rFonts w:hint="eastAsia" w:ascii="宋体" w:hAnsi="宋体" w:cs="宋体"/>
          <w:szCs w:val="21"/>
          <w:highlight w:val="none"/>
        </w:rPr>
        <w:fldChar w:fldCharType="end"/>
      </w:r>
    </w:p>
    <w:p w14:paraId="34CED8D9">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_Toc23857 </w:instrText>
      </w:r>
      <w:r>
        <w:rPr>
          <w:rFonts w:hint="eastAsia" w:ascii="宋体" w:hAnsi="宋体" w:cs="宋体"/>
          <w:szCs w:val="21"/>
          <w:highlight w:val="none"/>
        </w:rPr>
        <w:fldChar w:fldCharType="separate"/>
      </w:r>
      <w:r>
        <w:rPr>
          <w:rFonts w:hint="eastAsia" w:ascii="宋体" w:hAnsi="宋体" w:eastAsia="宋体" w:cs="宋体"/>
          <w:highlight w:val="none"/>
        </w:rPr>
        <w:t>四、采购终止</w:t>
      </w:r>
      <w:r>
        <w:rPr>
          <w:highlight w:val="none"/>
        </w:rPr>
        <w:tab/>
      </w:r>
      <w:r>
        <w:rPr>
          <w:highlight w:val="none"/>
        </w:rPr>
        <w:fldChar w:fldCharType="begin"/>
      </w:r>
      <w:r>
        <w:rPr>
          <w:highlight w:val="none"/>
        </w:rPr>
        <w:instrText xml:space="preserve"> PAGEREF _Toc23857 \h </w:instrText>
      </w:r>
      <w:r>
        <w:rPr>
          <w:highlight w:val="none"/>
        </w:rPr>
        <w:fldChar w:fldCharType="separate"/>
      </w:r>
      <w:r>
        <w:rPr>
          <w:highlight w:val="none"/>
        </w:rPr>
        <w:t>- 21 -</w:t>
      </w:r>
      <w:r>
        <w:rPr>
          <w:highlight w:val="none"/>
        </w:rPr>
        <w:fldChar w:fldCharType="end"/>
      </w:r>
      <w:r>
        <w:rPr>
          <w:rFonts w:hint="eastAsia" w:ascii="宋体" w:hAnsi="宋体" w:cs="宋体"/>
          <w:szCs w:val="21"/>
          <w:highlight w:val="none"/>
        </w:rPr>
        <w:fldChar w:fldCharType="end"/>
      </w:r>
    </w:p>
    <w:p w14:paraId="57AEE09C">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_Toc18909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第五篇  供应商须知</w:t>
      </w:r>
      <w:r>
        <w:rPr>
          <w:highlight w:val="none"/>
        </w:rPr>
        <w:tab/>
      </w:r>
      <w:r>
        <w:rPr>
          <w:highlight w:val="none"/>
        </w:rPr>
        <w:fldChar w:fldCharType="begin"/>
      </w:r>
      <w:r>
        <w:rPr>
          <w:highlight w:val="none"/>
        </w:rPr>
        <w:instrText xml:space="preserve"> PAGEREF _Toc18909 \h </w:instrText>
      </w:r>
      <w:r>
        <w:rPr>
          <w:highlight w:val="none"/>
        </w:rPr>
        <w:fldChar w:fldCharType="separate"/>
      </w:r>
      <w:r>
        <w:rPr>
          <w:highlight w:val="none"/>
        </w:rPr>
        <w:t>22</w:t>
      </w:r>
      <w:r>
        <w:rPr>
          <w:highlight w:val="none"/>
        </w:rPr>
        <w:fldChar w:fldCharType="end"/>
      </w:r>
      <w:r>
        <w:rPr>
          <w:rFonts w:hint="eastAsia" w:ascii="宋体" w:hAnsi="宋体" w:cs="宋体"/>
          <w:szCs w:val="21"/>
          <w:highlight w:val="none"/>
        </w:rPr>
        <w:fldChar w:fldCharType="end"/>
      </w:r>
    </w:p>
    <w:p w14:paraId="53F27186">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_Toc18413 </w:instrText>
      </w:r>
      <w:r>
        <w:rPr>
          <w:rFonts w:hint="eastAsia" w:ascii="宋体" w:hAnsi="宋体" w:cs="宋体"/>
          <w:szCs w:val="21"/>
          <w:highlight w:val="none"/>
        </w:rPr>
        <w:fldChar w:fldCharType="separate"/>
      </w:r>
      <w:r>
        <w:rPr>
          <w:rFonts w:hint="eastAsia" w:ascii="宋体" w:hAnsi="宋体" w:eastAsia="宋体" w:cs="宋体"/>
          <w:highlight w:val="none"/>
        </w:rPr>
        <w:t>一、磋商费用</w:t>
      </w:r>
      <w:r>
        <w:rPr>
          <w:highlight w:val="none"/>
        </w:rPr>
        <w:tab/>
      </w:r>
      <w:r>
        <w:rPr>
          <w:highlight w:val="none"/>
        </w:rPr>
        <w:fldChar w:fldCharType="begin"/>
      </w:r>
      <w:r>
        <w:rPr>
          <w:highlight w:val="none"/>
        </w:rPr>
        <w:instrText xml:space="preserve"> PAGEREF _Toc18413 \h </w:instrText>
      </w:r>
      <w:r>
        <w:rPr>
          <w:highlight w:val="none"/>
        </w:rPr>
        <w:fldChar w:fldCharType="separate"/>
      </w:r>
      <w:r>
        <w:rPr>
          <w:highlight w:val="none"/>
        </w:rPr>
        <w:t>22</w:t>
      </w:r>
      <w:r>
        <w:rPr>
          <w:highlight w:val="none"/>
        </w:rPr>
        <w:fldChar w:fldCharType="end"/>
      </w:r>
      <w:r>
        <w:rPr>
          <w:rFonts w:hint="eastAsia" w:ascii="宋体" w:hAnsi="宋体" w:cs="宋体"/>
          <w:szCs w:val="21"/>
          <w:highlight w:val="none"/>
        </w:rPr>
        <w:fldChar w:fldCharType="end"/>
      </w:r>
    </w:p>
    <w:p w14:paraId="19DB8F84">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_Toc115 </w:instrText>
      </w:r>
      <w:r>
        <w:rPr>
          <w:rFonts w:hint="eastAsia" w:ascii="宋体" w:hAnsi="宋体" w:cs="宋体"/>
          <w:szCs w:val="21"/>
          <w:highlight w:val="none"/>
        </w:rPr>
        <w:fldChar w:fldCharType="separate"/>
      </w:r>
      <w:r>
        <w:rPr>
          <w:rFonts w:hint="eastAsia" w:ascii="宋体" w:hAnsi="宋体" w:eastAsia="宋体" w:cs="宋体"/>
          <w:highlight w:val="none"/>
        </w:rPr>
        <w:t>二、竞争性磋商文件</w:t>
      </w:r>
      <w:r>
        <w:rPr>
          <w:highlight w:val="none"/>
        </w:rPr>
        <w:tab/>
      </w:r>
      <w:r>
        <w:rPr>
          <w:highlight w:val="none"/>
        </w:rPr>
        <w:fldChar w:fldCharType="begin"/>
      </w:r>
      <w:r>
        <w:rPr>
          <w:highlight w:val="none"/>
        </w:rPr>
        <w:instrText xml:space="preserve"> PAGEREF _Toc115 \h </w:instrText>
      </w:r>
      <w:r>
        <w:rPr>
          <w:highlight w:val="none"/>
        </w:rPr>
        <w:fldChar w:fldCharType="separate"/>
      </w:r>
      <w:r>
        <w:rPr>
          <w:highlight w:val="none"/>
        </w:rPr>
        <w:t>22</w:t>
      </w:r>
      <w:r>
        <w:rPr>
          <w:highlight w:val="none"/>
        </w:rPr>
        <w:fldChar w:fldCharType="end"/>
      </w:r>
      <w:r>
        <w:rPr>
          <w:rFonts w:hint="eastAsia" w:ascii="宋体" w:hAnsi="宋体" w:cs="宋体"/>
          <w:szCs w:val="21"/>
          <w:highlight w:val="none"/>
        </w:rPr>
        <w:fldChar w:fldCharType="end"/>
      </w:r>
    </w:p>
    <w:p w14:paraId="32CC805A">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_Toc492 </w:instrText>
      </w:r>
      <w:r>
        <w:rPr>
          <w:rFonts w:hint="eastAsia" w:ascii="宋体" w:hAnsi="宋体" w:cs="宋体"/>
          <w:szCs w:val="21"/>
          <w:highlight w:val="none"/>
        </w:rPr>
        <w:fldChar w:fldCharType="separate"/>
      </w:r>
      <w:r>
        <w:rPr>
          <w:rFonts w:hint="eastAsia" w:ascii="宋体" w:hAnsi="宋体" w:eastAsia="宋体" w:cs="宋体"/>
          <w:highlight w:val="none"/>
        </w:rPr>
        <w:t>三、磋商要求</w:t>
      </w:r>
      <w:r>
        <w:rPr>
          <w:highlight w:val="none"/>
        </w:rPr>
        <w:tab/>
      </w:r>
      <w:r>
        <w:rPr>
          <w:highlight w:val="none"/>
        </w:rPr>
        <w:fldChar w:fldCharType="begin"/>
      </w:r>
      <w:r>
        <w:rPr>
          <w:highlight w:val="none"/>
        </w:rPr>
        <w:instrText xml:space="preserve"> PAGEREF _Toc492 \h </w:instrText>
      </w:r>
      <w:r>
        <w:rPr>
          <w:highlight w:val="none"/>
        </w:rPr>
        <w:fldChar w:fldCharType="separate"/>
      </w:r>
      <w:r>
        <w:rPr>
          <w:highlight w:val="none"/>
        </w:rPr>
        <w:t>22</w:t>
      </w:r>
      <w:r>
        <w:rPr>
          <w:highlight w:val="none"/>
        </w:rPr>
        <w:fldChar w:fldCharType="end"/>
      </w:r>
      <w:r>
        <w:rPr>
          <w:rFonts w:hint="eastAsia" w:ascii="宋体" w:hAnsi="宋体" w:cs="宋体"/>
          <w:szCs w:val="21"/>
          <w:highlight w:val="none"/>
        </w:rPr>
        <w:fldChar w:fldCharType="end"/>
      </w:r>
    </w:p>
    <w:p w14:paraId="72A3D3C8">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_Toc29394 </w:instrText>
      </w:r>
      <w:r>
        <w:rPr>
          <w:rFonts w:hint="eastAsia" w:ascii="宋体" w:hAnsi="宋体" w:cs="宋体"/>
          <w:szCs w:val="21"/>
          <w:highlight w:val="none"/>
        </w:rPr>
        <w:fldChar w:fldCharType="separate"/>
      </w:r>
      <w:r>
        <w:rPr>
          <w:rFonts w:hint="eastAsia" w:ascii="宋体" w:hAnsi="宋体" w:eastAsia="宋体" w:cs="宋体"/>
          <w:highlight w:val="none"/>
        </w:rPr>
        <w:t>四、成交供应商的确认和变更</w:t>
      </w:r>
      <w:r>
        <w:rPr>
          <w:highlight w:val="none"/>
        </w:rPr>
        <w:tab/>
      </w:r>
      <w:r>
        <w:rPr>
          <w:highlight w:val="none"/>
        </w:rPr>
        <w:fldChar w:fldCharType="begin"/>
      </w:r>
      <w:r>
        <w:rPr>
          <w:highlight w:val="none"/>
        </w:rPr>
        <w:instrText xml:space="preserve"> PAGEREF _Toc29394 \h </w:instrText>
      </w:r>
      <w:r>
        <w:rPr>
          <w:highlight w:val="none"/>
        </w:rPr>
        <w:fldChar w:fldCharType="separate"/>
      </w:r>
      <w:r>
        <w:rPr>
          <w:highlight w:val="none"/>
        </w:rPr>
        <w:t>23</w:t>
      </w:r>
      <w:r>
        <w:rPr>
          <w:highlight w:val="none"/>
        </w:rPr>
        <w:fldChar w:fldCharType="end"/>
      </w:r>
      <w:r>
        <w:rPr>
          <w:rFonts w:hint="eastAsia" w:ascii="宋体" w:hAnsi="宋体" w:cs="宋体"/>
          <w:szCs w:val="21"/>
          <w:highlight w:val="none"/>
        </w:rPr>
        <w:fldChar w:fldCharType="end"/>
      </w:r>
    </w:p>
    <w:p w14:paraId="5C508861">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_Toc7393 </w:instrText>
      </w:r>
      <w:r>
        <w:rPr>
          <w:rFonts w:hint="eastAsia" w:ascii="宋体" w:hAnsi="宋体" w:cs="宋体"/>
          <w:szCs w:val="21"/>
          <w:highlight w:val="none"/>
        </w:rPr>
        <w:fldChar w:fldCharType="separate"/>
      </w:r>
      <w:r>
        <w:rPr>
          <w:rFonts w:hint="eastAsia" w:ascii="宋体" w:hAnsi="宋体" w:eastAsia="宋体" w:cs="宋体"/>
          <w:highlight w:val="none"/>
        </w:rPr>
        <w:t>五、成交通知</w:t>
      </w:r>
      <w:r>
        <w:rPr>
          <w:highlight w:val="none"/>
        </w:rPr>
        <w:tab/>
      </w:r>
      <w:r>
        <w:rPr>
          <w:highlight w:val="none"/>
        </w:rPr>
        <w:fldChar w:fldCharType="begin"/>
      </w:r>
      <w:r>
        <w:rPr>
          <w:highlight w:val="none"/>
        </w:rPr>
        <w:instrText xml:space="preserve"> PAGEREF _Toc7393 \h </w:instrText>
      </w:r>
      <w:r>
        <w:rPr>
          <w:highlight w:val="none"/>
        </w:rPr>
        <w:fldChar w:fldCharType="separate"/>
      </w:r>
      <w:r>
        <w:rPr>
          <w:highlight w:val="none"/>
        </w:rPr>
        <w:t>24</w:t>
      </w:r>
      <w:r>
        <w:rPr>
          <w:highlight w:val="none"/>
        </w:rPr>
        <w:fldChar w:fldCharType="end"/>
      </w:r>
      <w:r>
        <w:rPr>
          <w:rFonts w:hint="eastAsia" w:ascii="宋体" w:hAnsi="宋体" w:cs="宋体"/>
          <w:szCs w:val="21"/>
          <w:highlight w:val="none"/>
        </w:rPr>
        <w:fldChar w:fldCharType="end"/>
      </w:r>
    </w:p>
    <w:p w14:paraId="4EE5B811">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_Toc21088 </w:instrText>
      </w:r>
      <w:r>
        <w:rPr>
          <w:rFonts w:hint="eastAsia" w:ascii="宋体" w:hAnsi="宋体" w:cs="宋体"/>
          <w:szCs w:val="21"/>
          <w:highlight w:val="none"/>
        </w:rPr>
        <w:fldChar w:fldCharType="separate"/>
      </w:r>
      <w:r>
        <w:rPr>
          <w:rFonts w:hint="eastAsia" w:ascii="宋体" w:hAnsi="宋体" w:eastAsia="宋体" w:cs="宋体"/>
          <w:highlight w:val="none"/>
        </w:rPr>
        <w:t>六、关于质疑和投诉</w:t>
      </w:r>
      <w:r>
        <w:rPr>
          <w:highlight w:val="none"/>
        </w:rPr>
        <w:tab/>
      </w:r>
      <w:r>
        <w:rPr>
          <w:highlight w:val="none"/>
        </w:rPr>
        <w:fldChar w:fldCharType="begin"/>
      </w:r>
      <w:r>
        <w:rPr>
          <w:highlight w:val="none"/>
        </w:rPr>
        <w:instrText xml:space="preserve"> PAGEREF _Toc21088 \h </w:instrText>
      </w:r>
      <w:r>
        <w:rPr>
          <w:highlight w:val="none"/>
        </w:rPr>
        <w:fldChar w:fldCharType="separate"/>
      </w:r>
      <w:r>
        <w:rPr>
          <w:highlight w:val="none"/>
        </w:rPr>
        <w:t>24</w:t>
      </w:r>
      <w:r>
        <w:rPr>
          <w:highlight w:val="none"/>
        </w:rPr>
        <w:fldChar w:fldCharType="end"/>
      </w:r>
      <w:r>
        <w:rPr>
          <w:rFonts w:hint="eastAsia" w:ascii="宋体" w:hAnsi="宋体" w:cs="宋体"/>
          <w:szCs w:val="21"/>
          <w:highlight w:val="none"/>
        </w:rPr>
        <w:fldChar w:fldCharType="end"/>
      </w:r>
    </w:p>
    <w:p w14:paraId="76A1907D">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_Toc22801 </w:instrText>
      </w:r>
      <w:r>
        <w:rPr>
          <w:rFonts w:hint="eastAsia" w:ascii="宋体" w:hAnsi="宋体" w:cs="宋体"/>
          <w:szCs w:val="21"/>
          <w:highlight w:val="none"/>
        </w:rPr>
        <w:fldChar w:fldCharType="separate"/>
      </w:r>
      <w:r>
        <w:rPr>
          <w:rFonts w:hint="eastAsia" w:ascii="宋体" w:hAnsi="宋体" w:eastAsia="宋体" w:cs="宋体"/>
          <w:highlight w:val="none"/>
        </w:rPr>
        <w:t>七、采购代理服务费</w:t>
      </w:r>
      <w:r>
        <w:rPr>
          <w:highlight w:val="none"/>
        </w:rPr>
        <w:tab/>
      </w:r>
      <w:r>
        <w:rPr>
          <w:highlight w:val="none"/>
        </w:rPr>
        <w:fldChar w:fldCharType="begin"/>
      </w:r>
      <w:r>
        <w:rPr>
          <w:highlight w:val="none"/>
        </w:rPr>
        <w:instrText xml:space="preserve"> PAGEREF _Toc22801 \h </w:instrText>
      </w:r>
      <w:r>
        <w:rPr>
          <w:highlight w:val="none"/>
        </w:rPr>
        <w:fldChar w:fldCharType="separate"/>
      </w:r>
      <w:r>
        <w:rPr>
          <w:highlight w:val="none"/>
        </w:rPr>
        <w:t>25</w:t>
      </w:r>
      <w:r>
        <w:rPr>
          <w:highlight w:val="none"/>
        </w:rPr>
        <w:fldChar w:fldCharType="end"/>
      </w:r>
      <w:r>
        <w:rPr>
          <w:rFonts w:hint="eastAsia" w:ascii="宋体" w:hAnsi="宋体" w:cs="宋体"/>
          <w:szCs w:val="21"/>
          <w:highlight w:val="none"/>
        </w:rPr>
        <w:fldChar w:fldCharType="end"/>
      </w:r>
    </w:p>
    <w:p w14:paraId="5B0CE93C">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_Toc18655 </w:instrText>
      </w:r>
      <w:r>
        <w:rPr>
          <w:rFonts w:hint="eastAsia" w:ascii="宋体" w:hAnsi="宋体" w:cs="宋体"/>
          <w:szCs w:val="21"/>
          <w:highlight w:val="none"/>
        </w:rPr>
        <w:fldChar w:fldCharType="separate"/>
      </w:r>
      <w:r>
        <w:rPr>
          <w:rFonts w:hint="eastAsia" w:ascii="宋体" w:hAnsi="宋体" w:eastAsia="宋体" w:cs="宋体"/>
          <w:highlight w:val="none"/>
        </w:rPr>
        <w:t>八、签订合同</w:t>
      </w:r>
      <w:r>
        <w:rPr>
          <w:highlight w:val="none"/>
        </w:rPr>
        <w:tab/>
      </w:r>
      <w:r>
        <w:rPr>
          <w:highlight w:val="none"/>
        </w:rPr>
        <w:fldChar w:fldCharType="begin"/>
      </w:r>
      <w:r>
        <w:rPr>
          <w:highlight w:val="none"/>
        </w:rPr>
        <w:instrText xml:space="preserve"> PAGEREF _Toc18655 \h </w:instrText>
      </w:r>
      <w:r>
        <w:rPr>
          <w:highlight w:val="none"/>
        </w:rPr>
        <w:fldChar w:fldCharType="separate"/>
      </w:r>
      <w:r>
        <w:rPr>
          <w:highlight w:val="none"/>
        </w:rPr>
        <w:t>25</w:t>
      </w:r>
      <w:r>
        <w:rPr>
          <w:highlight w:val="none"/>
        </w:rPr>
        <w:fldChar w:fldCharType="end"/>
      </w:r>
      <w:r>
        <w:rPr>
          <w:rFonts w:hint="eastAsia" w:ascii="宋体" w:hAnsi="宋体" w:cs="宋体"/>
          <w:szCs w:val="21"/>
          <w:highlight w:val="none"/>
        </w:rPr>
        <w:fldChar w:fldCharType="end"/>
      </w:r>
    </w:p>
    <w:p w14:paraId="6966D315">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_Toc16771 </w:instrText>
      </w:r>
      <w:r>
        <w:rPr>
          <w:rFonts w:hint="eastAsia" w:ascii="宋体" w:hAnsi="宋体" w:cs="宋体"/>
          <w:szCs w:val="21"/>
          <w:highlight w:val="none"/>
        </w:rPr>
        <w:fldChar w:fldCharType="separate"/>
      </w:r>
      <w:r>
        <w:rPr>
          <w:rFonts w:hint="eastAsia" w:ascii="宋体" w:hAnsi="宋体" w:eastAsia="宋体" w:cs="宋体"/>
          <w:highlight w:val="none"/>
        </w:rPr>
        <w:t>九、项目验收</w:t>
      </w:r>
      <w:r>
        <w:rPr>
          <w:highlight w:val="none"/>
        </w:rPr>
        <w:tab/>
      </w:r>
      <w:r>
        <w:rPr>
          <w:highlight w:val="none"/>
        </w:rPr>
        <w:fldChar w:fldCharType="begin"/>
      </w:r>
      <w:r>
        <w:rPr>
          <w:highlight w:val="none"/>
        </w:rPr>
        <w:instrText xml:space="preserve"> PAGEREF _Toc16771 \h </w:instrText>
      </w:r>
      <w:r>
        <w:rPr>
          <w:highlight w:val="none"/>
        </w:rPr>
        <w:fldChar w:fldCharType="separate"/>
      </w:r>
      <w:r>
        <w:rPr>
          <w:highlight w:val="none"/>
        </w:rPr>
        <w:t>26</w:t>
      </w:r>
      <w:r>
        <w:rPr>
          <w:highlight w:val="none"/>
        </w:rPr>
        <w:fldChar w:fldCharType="end"/>
      </w:r>
      <w:r>
        <w:rPr>
          <w:rFonts w:hint="eastAsia" w:ascii="宋体" w:hAnsi="宋体" w:cs="宋体"/>
          <w:szCs w:val="21"/>
          <w:highlight w:val="none"/>
        </w:rPr>
        <w:fldChar w:fldCharType="end"/>
      </w:r>
    </w:p>
    <w:p w14:paraId="67254017">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_Toc17504 </w:instrText>
      </w:r>
      <w:r>
        <w:rPr>
          <w:rFonts w:hint="eastAsia" w:ascii="宋体" w:hAnsi="宋体" w:cs="宋体"/>
          <w:szCs w:val="21"/>
          <w:highlight w:val="none"/>
        </w:rPr>
        <w:fldChar w:fldCharType="separate"/>
      </w:r>
      <w:r>
        <w:rPr>
          <w:rFonts w:hint="eastAsia" w:ascii="宋体" w:hAnsi="宋体" w:eastAsia="宋体" w:cs="宋体"/>
          <w:highlight w:val="none"/>
        </w:rPr>
        <w:t>十、政府采购信用融资</w:t>
      </w:r>
      <w:r>
        <w:rPr>
          <w:highlight w:val="none"/>
        </w:rPr>
        <w:tab/>
      </w:r>
      <w:r>
        <w:rPr>
          <w:highlight w:val="none"/>
        </w:rPr>
        <w:fldChar w:fldCharType="begin"/>
      </w:r>
      <w:r>
        <w:rPr>
          <w:highlight w:val="none"/>
        </w:rPr>
        <w:instrText xml:space="preserve"> PAGEREF _Toc17504 \h </w:instrText>
      </w:r>
      <w:r>
        <w:rPr>
          <w:highlight w:val="none"/>
        </w:rPr>
        <w:fldChar w:fldCharType="separate"/>
      </w:r>
      <w:r>
        <w:rPr>
          <w:highlight w:val="none"/>
        </w:rPr>
        <w:t>26</w:t>
      </w:r>
      <w:r>
        <w:rPr>
          <w:highlight w:val="none"/>
        </w:rPr>
        <w:fldChar w:fldCharType="end"/>
      </w:r>
      <w:r>
        <w:rPr>
          <w:rFonts w:hint="eastAsia" w:ascii="宋体" w:hAnsi="宋体" w:cs="宋体"/>
          <w:szCs w:val="21"/>
          <w:highlight w:val="none"/>
        </w:rPr>
        <w:fldChar w:fldCharType="end"/>
      </w:r>
    </w:p>
    <w:p w14:paraId="719DF696">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_Toc26267 </w:instrText>
      </w:r>
      <w:r>
        <w:rPr>
          <w:rFonts w:hint="eastAsia" w:ascii="宋体" w:hAnsi="宋体" w:cs="宋体"/>
          <w:szCs w:val="21"/>
          <w:highlight w:val="none"/>
        </w:rPr>
        <w:fldChar w:fldCharType="separate"/>
      </w:r>
      <w:r>
        <w:rPr>
          <w:rFonts w:hint="eastAsia" w:ascii="宋体" w:hAnsi="宋体" w:eastAsia="宋体" w:cs="宋体"/>
          <w:szCs w:val="30"/>
          <w:highlight w:val="none"/>
        </w:rPr>
        <w:t>第六篇  政府采购合同</w:t>
      </w:r>
      <w:r>
        <w:rPr>
          <w:rFonts w:hint="eastAsia" w:ascii="宋体" w:hAnsi="宋体" w:eastAsia="宋体" w:cs="宋体"/>
          <w:szCs w:val="30"/>
          <w:highlight w:val="none"/>
          <w:lang w:eastAsia="zh-CN"/>
        </w:rPr>
        <w:t>（样本）</w:t>
      </w:r>
      <w:r>
        <w:rPr>
          <w:highlight w:val="none"/>
        </w:rPr>
        <w:tab/>
      </w:r>
      <w:r>
        <w:rPr>
          <w:highlight w:val="none"/>
        </w:rPr>
        <w:fldChar w:fldCharType="begin"/>
      </w:r>
      <w:r>
        <w:rPr>
          <w:highlight w:val="none"/>
        </w:rPr>
        <w:instrText xml:space="preserve"> PAGEREF _Toc26267 \h </w:instrText>
      </w:r>
      <w:r>
        <w:rPr>
          <w:highlight w:val="none"/>
        </w:rPr>
        <w:fldChar w:fldCharType="separate"/>
      </w:r>
      <w:r>
        <w:rPr>
          <w:highlight w:val="none"/>
        </w:rPr>
        <w:t>27</w:t>
      </w:r>
      <w:r>
        <w:rPr>
          <w:highlight w:val="none"/>
        </w:rPr>
        <w:fldChar w:fldCharType="end"/>
      </w:r>
      <w:r>
        <w:rPr>
          <w:rFonts w:hint="eastAsia" w:ascii="宋体" w:hAnsi="宋体" w:cs="宋体"/>
          <w:szCs w:val="21"/>
          <w:highlight w:val="none"/>
        </w:rPr>
        <w:fldChar w:fldCharType="end"/>
      </w:r>
    </w:p>
    <w:p w14:paraId="56E56A53">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_Toc27624 </w:instrText>
      </w:r>
      <w:r>
        <w:rPr>
          <w:rFonts w:hint="eastAsia" w:ascii="宋体" w:hAnsi="宋体" w:cs="宋体"/>
          <w:szCs w:val="21"/>
          <w:highlight w:val="none"/>
        </w:rPr>
        <w:fldChar w:fldCharType="separate"/>
      </w:r>
      <w:r>
        <w:rPr>
          <w:rFonts w:hint="eastAsia" w:ascii="宋体" w:hAnsi="宋体" w:eastAsia="宋体" w:cs="宋体"/>
          <w:szCs w:val="30"/>
          <w:highlight w:val="none"/>
        </w:rPr>
        <w:t>第七篇  响应文件编制要求</w:t>
      </w:r>
      <w:r>
        <w:rPr>
          <w:highlight w:val="none"/>
        </w:rPr>
        <w:tab/>
      </w:r>
      <w:r>
        <w:rPr>
          <w:highlight w:val="none"/>
        </w:rPr>
        <w:fldChar w:fldCharType="begin"/>
      </w:r>
      <w:r>
        <w:rPr>
          <w:highlight w:val="none"/>
        </w:rPr>
        <w:instrText xml:space="preserve"> PAGEREF _Toc27624 \h </w:instrText>
      </w:r>
      <w:r>
        <w:rPr>
          <w:highlight w:val="none"/>
        </w:rPr>
        <w:fldChar w:fldCharType="separate"/>
      </w:r>
      <w:r>
        <w:rPr>
          <w:highlight w:val="none"/>
        </w:rPr>
        <w:t>- 81 -</w:t>
      </w:r>
      <w:r>
        <w:rPr>
          <w:highlight w:val="none"/>
        </w:rPr>
        <w:fldChar w:fldCharType="end"/>
      </w:r>
      <w:r>
        <w:rPr>
          <w:rFonts w:hint="eastAsia" w:ascii="宋体" w:hAnsi="宋体" w:cs="宋体"/>
          <w:szCs w:val="21"/>
          <w:highlight w:val="none"/>
        </w:rPr>
        <w:fldChar w:fldCharType="end"/>
      </w:r>
    </w:p>
    <w:p w14:paraId="03F235CC">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_Toc4788 </w:instrText>
      </w:r>
      <w:r>
        <w:rPr>
          <w:rFonts w:hint="eastAsia" w:ascii="宋体" w:hAnsi="宋体" w:cs="宋体"/>
          <w:szCs w:val="21"/>
          <w:highlight w:val="none"/>
        </w:rPr>
        <w:fldChar w:fldCharType="separate"/>
      </w:r>
      <w:r>
        <w:rPr>
          <w:rFonts w:hint="eastAsia" w:ascii="宋体" w:hAnsi="宋体" w:eastAsia="宋体" w:cs="宋体"/>
          <w:highlight w:val="none"/>
        </w:rPr>
        <w:t>一、经济部分</w:t>
      </w:r>
      <w:r>
        <w:rPr>
          <w:highlight w:val="none"/>
        </w:rPr>
        <w:tab/>
      </w:r>
      <w:r>
        <w:rPr>
          <w:highlight w:val="none"/>
        </w:rPr>
        <w:fldChar w:fldCharType="begin"/>
      </w:r>
      <w:r>
        <w:rPr>
          <w:highlight w:val="none"/>
        </w:rPr>
        <w:instrText xml:space="preserve"> PAGEREF _Toc4788 \h </w:instrText>
      </w:r>
      <w:r>
        <w:rPr>
          <w:highlight w:val="none"/>
        </w:rPr>
        <w:fldChar w:fldCharType="separate"/>
      </w:r>
      <w:r>
        <w:rPr>
          <w:highlight w:val="none"/>
        </w:rPr>
        <w:t>- 82 -</w:t>
      </w:r>
      <w:r>
        <w:rPr>
          <w:highlight w:val="none"/>
        </w:rPr>
        <w:fldChar w:fldCharType="end"/>
      </w:r>
      <w:r>
        <w:rPr>
          <w:rFonts w:hint="eastAsia" w:ascii="宋体" w:hAnsi="宋体" w:cs="宋体"/>
          <w:szCs w:val="21"/>
          <w:highlight w:val="none"/>
        </w:rPr>
        <w:fldChar w:fldCharType="end"/>
      </w:r>
    </w:p>
    <w:p w14:paraId="732E3618">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_Toc18983 </w:instrText>
      </w:r>
      <w:r>
        <w:rPr>
          <w:rFonts w:hint="eastAsia" w:ascii="宋体" w:hAnsi="宋体" w:cs="宋体"/>
          <w:szCs w:val="21"/>
          <w:highlight w:val="none"/>
        </w:rPr>
        <w:fldChar w:fldCharType="separate"/>
      </w:r>
      <w:r>
        <w:rPr>
          <w:rFonts w:hint="eastAsia" w:ascii="宋体" w:hAnsi="宋体" w:eastAsia="宋体" w:cs="宋体"/>
          <w:highlight w:val="none"/>
        </w:rPr>
        <w:t xml:space="preserve">二、 </w:t>
      </w:r>
      <w:r>
        <w:rPr>
          <w:rFonts w:hint="eastAsia" w:ascii="宋体" w:hAnsi="宋体" w:eastAsia="宋体" w:cs="宋体"/>
          <w:highlight w:val="none"/>
          <w:lang w:eastAsia="zh-CN"/>
        </w:rPr>
        <w:t>技术</w:t>
      </w:r>
      <w:r>
        <w:rPr>
          <w:rFonts w:hint="eastAsia" w:ascii="宋体" w:hAnsi="宋体" w:eastAsia="宋体" w:cs="宋体"/>
          <w:highlight w:val="none"/>
        </w:rPr>
        <w:t>部分</w:t>
      </w:r>
      <w:r>
        <w:rPr>
          <w:highlight w:val="none"/>
        </w:rPr>
        <w:tab/>
      </w:r>
      <w:r>
        <w:rPr>
          <w:highlight w:val="none"/>
        </w:rPr>
        <w:fldChar w:fldCharType="begin"/>
      </w:r>
      <w:r>
        <w:rPr>
          <w:highlight w:val="none"/>
        </w:rPr>
        <w:instrText xml:space="preserve"> PAGEREF _Toc18983 \h </w:instrText>
      </w:r>
      <w:r>
        <w:rPr>
          <w:highlight w:val="none"/>
        </w:rPr>
        <w:fldChar w:fldCharType="separate"/>
      </w:r>
      <w:r>
        <w:rPr>
          <w:highlight w:val="none"/>
        </w:rPr>
        <w:t>- 84 -</w:t>
      </w:r>
      <w:r>
        <w:rPr>
          <w:highlight w:val="none"/>
        </w:rPr>
        <w:fldChar w:fldCharType="end"/>
      </w:r>
      <w:r>
        <w:rPr>
          <w:rFonts w:hint="eastAsia" w:ascii="宋体" w:hAnsi="宋体" w:cs="宋体"/>
          <w:szCs w:val="21"/>
          <w:highlight w:val="none"/>
        </w:rPr>
        <w:fldChar w:fldCharType="end"/>
      </w:r>
    </w:p>
    <w:p w14:paraId="4FEA88CB">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_Toc28793 </w:instrText>
      </w:r>
      <w:r>
        <w:rPr>
          <w:rFonts w:hint="eastAsia" w:ascii="宋体" w:hAnsi="宋体" w:cs="宋体"/>
          <w:szCs w:val="21"/>
          <w:highlight w:val="none"/>
        </w:rPr>
        <w:fldChar w:fldCharType="separate"/>
      </w:r>
      <w:r>
        <w:rPr>
          <w:rFonts w:hint="eastAsia" w:ascii="宋体" w:hAnsi="宋体" w:eastAsia="宋体" w:cs="宋体"/>
          <w:szCs w:val="24"/>
          <w:highlight w:val="none"/>
        </w:rPr>
        <w:t>三、商务部分</w:t>
      </w:r>
      <w:r>
        <w:rPr>
          <w:highlight w:val="none"/>
        </w:rPr>
        <w:tab/>
      </w:r>
      <w:r>
        <w:rPr>
          <w:highlight w:val="none"/>
        </w:rPr>
        <w:fldChar w:fldCharType="begin"/>
      </w:r>
      <w:r>
        <w:rPr>
          <w:highlight w:val="none"/>
        </w:rPr>
        <w:instrText xml:space="preserve"> PAGEREF _Toc28793 \h </w:instrText>
      </w:r>
      <w:r>
        <w:rPr>
          <w:highlight w:val="none"/>
        </w:rPr>
        <w:fldChar w:fldCharType="separate"/>
      </w:r>
      <w:r>
        <w:rPr>
          <w:highlight w:val="none"/>
        </w:rPr>
        <w:t>- 86 -</w:t>
      </w:r>
      <w:r>
        <w:rPr>
          <w:highlight w:val="none"/>
        </w:rPr>
        <w:fldChar w:fldCharType="end"/>
      </w:r>
      <w:r>
        <w:rPr>
          <w:rFonts w:hint="eastAsia" w:ascii="宋体" w:hAnsi="宋体" w:cs="宋体"/>
          <w:szCs w:val="21"/>
          <w:highlight w:val="none"/>
        </w:rPr>
        <w:fldChar w:fldCharType="end"/>
      </w:r>
    </w:p>
    <w:p w14:paraId="2946A121">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_Toc26348 </w:instrText>
      </w:r>
      <w:r>
        <w:rPr>
          <w:rFonts w:hint="eastAsia" w:ascii="宋体" w:hAnsi="宋体" w:cs="宋体"/>
          <w:szCs w:val="21"/>
          <w:highlight w:val="none"/>
        </w:rPr>
        <w:fldChar w:fldCharType="separate"/>
      </w:r>
      <w:r>
        <w:rPr>
          <w:rFonts w:hint="eastAsia" w:ascii="宋体" w:hAnsi="宋体" w:eastAsia="宋体" w:cs="宋体"/>
          <w:highlight w:val="none"/>
        </w:rPr>
        <w:t>四、资格条件</w:t>
      </w:r>
      <w:r>
        <w:rPr>
          <w:highlight w:val="none"/>
        </w:rPr>
        <w:tab/>
      </w:r>
      <w:r>
        <w:rPr>
          <w:highlight w:val="none"/>
        </w:rPr>
        <w:fldChar w:fldCharType="begin"/>
      </w:r>
      <w:r>
        <w:rPr>
          <w:highlight w:val="none"/>
        </w:rPr>
        <w:instrText xml:space="preserve"> PAGEREF _Toc26348 \h </w:instrText>
      </w:r>
      <w:r>
        <w:rPr>
          <w:highlight w:val="none"/>
        </w:rPr>
        <w:fldChar w:fldCharType="separate"/>
      </w:r>
      <w:r>
        <w:rPr>
          <w:highlight w:val="none"/>
        </w:rPr>
        <w:t>- 88 -</w:t>
      </w:r>
      <w:r>
        <w:rPr>
          <w:highlight w:val="none"/>
        </w:rPr>
        <w:fldChar w:fldCharType="end"/>
      </w:r>
      <w:r>
        <w:rPr>
          <w:rFonts w:hint="eastAsia" w:ascii="宋体" w:hAnsi="宋体" w:cs="宋体"/>
          <w:szCs w:val="21"/>
          <w:highlight w:val="none"/>
        </w:rPr>
        <w:fldChar w:fldCharType="end"/>
      </w:r>
    </w:p>
    <w:p w14:paraId="26FD0507">
      <w:pPr>
        <w:pStyle w:val="48"/>
        <w:tabs>
          <w:tab w:val="right" w:leader="dot" w:pos="9412"/>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_Toc6410 </w:instrText>
      </w:r>
      <w:r>
        <w:rPr>
          <w:rFonts w:hint="eastAsia" w:ascii="宋体" w:hAnsi="宋体" w:cs="宋体"/>
          <w:szCs w:val="21"/>
          <w:highlight w:val="none"/>
        </w:rPr>
        <w:fldChar w:fldCharType="separate"/>
      </w:r>
      <w:r>
        <w:rPr>
          <w:rFonts w:hint="eastAsia" w:ascii="宋体" w:hAnsi="宋体" w:eastAsia="宋体" w:cs="宋体"/>
          <w:highlight w:val="none"/>
        </w:rPr>
        <w:t>五、其他资料</w:t>
      </w:r>
      <w:r>
        <w:rPr>
          <w:highlight w:val="none"/>
        </w:rPr>
        <w:tab/>
      </w:r>
      <w:r>
        <w:rPr>
          <w:highlight w:val="none"/>
        </w:rPr>
        <w:fldChar w:fldCharType="begin"/>
      </w:r>
      <w:r>
        <w:rPr>
          <w:highlight w:val="none"/>
        </w:rPr>
        <w:instrText xml:space="preserve"> PAGEREF _Toc6410 \h </w:instrText>
      </w:r>
      <w:r>
        <w:rPr>
          <w:highlight w:val="none"/>
        </w:rPr>
        <w:fldChar w:fldCharType="separate"/>
      </w:r>
      <w:r>
        <w:rPr>
          <w:highlight w:val="none"/>
        </w:rPr>
        <w:t>- 93 -</w:t>
      </w:r>
      <w:r>
        <w:rPr>
          <w:highlight w:val="none"/>
        </w:rPr>
        <w:fldChar w:fldCharType="end"/>
      </w:r>
      <w:r>
        <w:rPr>
          <w:rFonts w:hint="eastAsia" w:ascii="宋体" w:hAnsi="宋体" w:cs="宋体"/>
          <w:szCs w:val="21"/>
          <w:highlight w:val="none"/>
        </w:rPr>
        <w:fldChar w:fldCharType="end"/>
      </w:r>
    </w:p>
    <w:p w14:paraId="1F2FA913">
      <w:pPr>
        <w:pStyle w:val="48"/>
        <w:tabs>
          <w:tab w:val="right" w:leader="dot" w:pos="9402"/>
        </w:tabs>
        <w:spacing w:line="480" w:lineRule="exact"/>
        <w:ind w:left="560"/>
        <w:jc w:val="center"/>
        <w:rPr>
          <w:rFonts w:ascii="宋体" w:hAnsi="宋体" w:cs="宋体"/>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Cs w:val="21"/>
          <w:highlight w:val="none"/>
        </w:rPr>
        <w:fldChar w:fldCharType="end"/>
      </w:r>
    </w:p>
    <w:p w14:paraId="08F16E56">
      <w:pPr>
        <w:pStyle w:val="4"/>
        <w:spacing w:line="360" w:lineRule="auto"/>
        <w:jc w:val="center"/>
        <w:rPr>
          <w:rFonts w:ascii="宋体" w:hAnsi="宋体" w:eastAsia="宋体" w:cs="宋体"/>
          <w:b w:val="0"/>
          <w:szCs w:val="30"/>
          <w:highlight w:val="none"/>
        </w:rPr>
      </w:pPr>
      <w:bookmarkStart w:id="0" w:name="_Toc32514"/>
      <w:bookmarkStart w:id="1" w:name="_Toc11641050"/>
      <w:bookmarkStart w:id="2" w:name="_Toc76462316"/>
      <w:bookmarkStart w:id="3" w:name="_Toc12789052"/>
      <w:r>
        <w:rPr>
          <w:rFonts w:hint="eastAsia" w:ascii="宋体" w:hAnsi="宋体" w:eastAsia="宋体" w:cs="宋体"/>
          <w:b w:val="0"/>
          <w:sz w:val="36"/>
          <w:szCs w:val="30"/>
          <w:highlight w:val="none"/>
        </w:rPr>
        <w:t>第一篇  采购邀请书</w:t>
      </w:r>
      <w:bookmarkEnd w:id="0"/>
      <w:bookmarkEnd w:id="1"/>
      <w:bookmarkEnd w:id="2"/>
      <w:bookmarkEnd w:id="3"/>
    </w:p>
    <w:p w14:paraId="0162269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重庆颢越工程管理有限公司</w:t>
      </w:r>
      <w:r>
        <w:rPr>
          <w:rFonts w:hint="eastAsia" w:ascii="宋体" w:hAnsi="宋体" w:cs="宋体"/>
          <w:sz w:val="24"/>
          <w:szCs w:val="24"/>
          <w:highlight w:val="none"/>
        </w:rPr>
        <w:t>（以下简称：采购代理机构）接受重庆市沙坪坝区树人小学校（以下简称：采购人）的委托，对沙坪坝区树人小学2025年暑期维修工程进行竞争性磋商采购。欢迎有资格的供应商前来参与磋商。</w:t>
      </w:r>
    </w:p>
    <w:p w14:paraId="63947BC6">
      <w:pPr>
        <w:pStyle w:val="4"/>
        <w:adjustRightInd w:val="0"/>
        <w:snapToGrid w:val="0"/>
        <w:spacing w:before="0" w:after="0" w:line="400" w:lineRule="exact"/>
        <w:ind w:firstLine="482" w:firstLineChars="200"/>
        <w:rPr>
          <w:rFonts w:ascii="宋体" w:hAnsi="宋体" w:eastAsia="宋体" w:cs="宋体"/>
          <w:sz w:val="24"/>
          <w:highlight w:val="none"/>
        </w:rPr>
      </w:pPr>
      <w:bookmarkStart w:id="4" w:name="_Toc313893526"/>
      <w:bookmarkStart w:id="5" w:name="_Toc317775175"/>
      <w:bookmarkStart w:id="6" w:name="_Toc76462317"/>
      <w:bookmarkStart w:id="7" w:name="_Toc26701"/>
      <w:r>
        <w:rPr>
          <w:rFonts w:hint="eastAsia" w:ascii="宋体" w:hAnsi="宋体" w:eastAsia="宋体" w:cs="宋体"/>
          <w:sz w:val="24"/>
          <w:highlight w:val="none"/>
        </w:rPr>
        <w:t>一、竞争性磋商内容</w:t>
      </w:r>
      <w:bookmarkEnd w:id="4"/>
      <w:bookmarkEnd w:id="5"/>
      <w:bookmarkEnd w:id="6"/>
      <w:bookmarkEnd w:id="7"/>
    </w:p>
    <w:tbl>
      <w:tblPr>
        <w:tblStyle w:val="59"/>
        <w:tblW w:w="7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1183"/>
        <w:gridCol w:w="1803"/>
      </w:tblGrid>
      <w:tr w14:paraId="703D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vAlign w:val="center"/>
          </w:tcPr>
          <w:p w14:paraId="009FA893">
            <w:pPr>
              <w:widowControl/>
              <w:jc w:val="center"/>
              <w:rPr>
                <w:rFonts w:ascii="宋体" w:hAnsi="宋体" w:cs="宋体"/>
                <w:b/>
                <w:bCs/>
                <w:kern w:val="0"/>
                <w:sz w:val="21"/>
                <w:szCs w:val="24"/>
                <w:highlight w:val="none"/>
              </w:rPr>
            </w:pPr>
            <w:r>
              <w:rPr>
                <w:rFonts w:hint="eastAsia" w:ascii="宋体" w:hAnsi="宋体" w:cs="宋体"/>
                <w:b/>
                <w:bCs/>
                <w:kern w:val="0"/>
                <w:sz w:val="21"/>
                <w:szCs w:val="24"/>
                <w:highlight w:val="none"/>
              </w:rPr>
              <w:t>包号及名称</w:t>
            </w:r>
          </w:p>
        </w:tc>
        <w:tc>
          <w:tcPr>
            <w:tcW w:w="1701" w:type="dxa"/>
            <w:tcBorders>
              <w:top w:val="single" w:color="auto" w:sz="4" w:space="0"/>
              <w:left w:val="single" w:color="auto" w:sz="4" w:space="0"/>
              <w:right w:val="single" w:color="auto" w:sz="4" w:space="0"/>
            </w:tcBorders>
            <w:vAlign w:val="center"/>
          </w:tcPr>
          <w:p w14:paraId="5CAF5CE6">
            <w:pPr>
              <w:jc w:val="center"/>
              <w:rPr>
                <w:rFonts w:ascii="宋体" w:hAnsi="宋体" w:cs="宋体"/>
                <w:b/>
                <w:bCs/>
                <w:kern w:val="0"/>
                <w:sz w:val="21"/>
                <w:szCs w:val="24"/>
                <w:highlight w:val="none"/>
              </w:rPr>
            </w:pPr>
            <w:r>
              <w:rPr>
                <w:rFonts w:hint="eastAsia" w:ascii="宋体" w:hAnsi="宋体" w:cs="宋体"/>
                <w:b/>
                <w:bCs/>
                <w:kern w:val="0"/>
                <w:sz w:val="21"/>
                <w:szCs w:val="24"/>
                <w:highlight w:val="none"/>
              </w:rPr>
              <w:t>最高限价（元）</w:t>
            </w:r>
          </w:p>
        </w:tc>
        <w:tc>
          <w:tcPr>
            <w:tcW w:w="1183" w:type="dxa"/>
            <w:tcBorders>
              <w:top w:val="single" w:color="auto" w:sz="4" w:space="0"/>
              <w:left w:val="single" w:color="auto" w:sz="4" w:space="0"/>
              <w:right w:val="single" w:color="auto" w:sz="4" w:space="0"/>
            </w:tcBorders>
            <w:vAlign w:val="center"/>
          </w:tcPr>
          <w:p w14:paraId="04AD93C3">
            <w:pPr>
              <w:jc w:val="center"/>
              <w:rPr>
                <w:rFonts w:ascii="宋体" w:hAnsi="宋体" w:cs="宋体"/>
                <w:b/>
                <w:bCs/>
                <w:kern w:val="0"/>
                <w:sz w:val="21"/>
                <w:szCs w:val="24"/>
                <w:highlight w:val="none"/>
              </w:rPr>
            </w:pPr>
            <w:r>
              <w:rPr>
                <w:rFonts w:hint="eastAsia" w:ascii="宋体" w:hAnsi="宋体" w:cs="宋体"/>
                <w:b/>
                <w:bCs/>
                <w:kern w:val="0"/>
                <w:sz w:val="21"/>
                <w:szCs w:val="24"/>
                <w:highlight w:val="none"/>
              </w:rPr>
              <w:t>成交供应商数量（名）</w:t>
            </w:r>
          </w:p>
        </w:tc>
        <w:tc>
          <w:tcPr>
            <w:tcW w:w="1803" w:type="dxa"/>
            <w:tcBorders>
              <w:top w:val="single" w:color="auto" w:sz="4" w:space="0"/>
              <w:left w:val="single" w:color="auto" w:sz="4" w:space="0"/>
              <w:right w:val="single" w:color="auto" w:sz="4" w:space="0"/>
            </w:tcBorders>
            <w:vAlign w:val="center"/>
          </w:tcPr>
          <w:p w14:paraId="14ED4DB2">
            <w:pPr>
              <w:jc w:val="center"/>
              <w:rPr>
                <w:rFonts w:ascii="宋体" w:hAnsi="宋体" w:cs="宋体"/>
                <w:b/>
                <w:bCs/>
                <w:kern w:val="0"/>
                <w:sz w:val="21"/>
                <w:szCs w:val="24"/>
                <w:highlight w:val="none"/>
              </w:rPr>
            </w:pPr>
            <w:r>
              <w:rPr>
                <w:rFonts w:hint="eastAsia" w:ascii="宋体" w:hAnsi="宋体" w:cs="宋体"/>
                <w:b/>
                <w:bCs/>
                <w:kern w:val="0"/>
                <w:sz w:val="21"/>
                <w:szCs w:val="24"/>
                <w:highlight w:val="none"/>
              </w:rPr>
              <w:t>采购标的对应的中小企业划分标准所属行业</w:t>
            </w:r>
          </w:p>
        </w:tc>
      </w:tr>
      <w:tr w14:paraId="11EC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vAlign w:val="center"/>
          </w:tcPr>
          <w:p w14:paraId="5EC3A112">
            <w:pPr>
              <w:jc w:val="center"/>
              <w:rPr>
                <w:rFonts w:ascii="宋体" w:hAnsi="宋体" w:cs="宋体"/>
                <w:kern w:val="0"/>
                <w:sz w:val="21"/>
                <w:szCs w:val="24"/>
                <w:highlight w:val="none"/>
              </w:rPr>
            </w:pPr>
            <w:bookmarkStart w:id="8" w:name="_Hlk344477914"/>
            <w:r>
              <w:rPr>
                <w:rFonts w:hint="eastAsia" w:ascii="宋体" w:hAnsi="宋体" w:cs="宋体"/>
                <w:kern w:val="0"/>
                <w:sz w:val="21"/>
                <w:szCs w:val="24"/>
                <w:highlight w:val="none"/>
              </w:rPr>
              <w:t>沙坪坝区树人小学2025年暑期维修工程</w:t>
            </w:r>
          </w:p>
        </w:tc>
        <w:tc>
          <w:tcPr>
            <w:tcW w:w="1701" w:type="dxa"/>
            <w:tcBorders>
              <w:top w:val="single" w:color="auto" w:sz="4" w:space="0"/>
              <w:left w:val="single" w:color="auto" w:sz="4" w:space="0"/>
              <w:right w:val="single" w:color="auto" w:sz="4" w:space="0"/>
            </w:tcBorders>
            <w:vAlign w:val="center"/>
          </w:tcPr>
          <w:p w14:paraId="3778924A">
            <w:pPr>
              <w:jc w:val="center"/>
              <w:rPr>
                <w:rFonts w:hint="default"/>
                <w:highlight w:val="none"/>
                <w:lang w:val="en-US" w:eastAsia="zh-CN"/>
              </w:rPr>
            </w:pPr>
            <w:r>
              <w:rPr>
                <w:rFonts w:hint="eastAsia" w:ascii="宋体" w:hAnsi="宋体" w:cs="宋体"/>
                <w:kern w:val="0"/>
                <w:sz w:val="21"/>
                <w:szCs w:val="24"/>
                <w:highlight w:val="none"/>
                <w:lang w:val="en-US" w:eastAsia="zh-CN"/>
              </w:rPr>
              <w:t>188215.55</w:t>
            </w:r>
          </w:p>
        </w:tc>
        <w:tc>
          <w:tcPr>
            <w:tcW w:w="1183" w:type="dxa"/>
            <w:tcBorders>
              <w:top w:val="single" w:color="auto" w:sz="4" w:space="0"/>
              <w:left w:val="single" w:color="auto" w:sz="4" w:space="0"/>
              <w:right w:val="single" w:color="auto" w:sz="4" w:space="0"/>
            </w:tcBorders>
            <w:vAlign w:val="center"/>
          </w:tcPr>
          <w:p w14:paraId="6ADE3BE1">
            <w:pPr>
              <w:jc w:val="center"/>
              <w:rPr>
                <w:rFonts w:ascii="宋体" w:hAnsi="宋体" w:cs="宋体"/>
                <w:kern w:val="0"/>
                <w:sz w:val="21"/>
                <w:szCs w:val="24"/>
                <w:highlight w:val="none"/>
              </w:rPr>
            </w:pPr>
            <w:r>
              <w:rPr>
                <w:rFonts w:hint="eastAsia" w:ascii="宋体" w:hAnsi="宋体" w:cs="宋体"/>
                <w:kern w:val="0"/>
                <w:sz w:val="21"/>
                <w:szCs w:val="24"/>
                <w:highlight w:val="none"/>
              </w:rPr>
              <w:t>1</w:t>
            </w:r>
          </w:p>
        </w:tc>
        <w:tc>
          <w:tcPr>
            <w:tcW w:w="1803" w:type="dxa"/>
            <w:tcBorders>
              <w:top w:val="single" w:color="auto" w:sz="4" w:space="0"/>
              <w:left w:val="single" w:color="auto" w:sz="4" w:space="0"/>
              <w:right w:val="single" w:color="auto" w:sz="4" w:space="0"/>
            </w:tcBorders>
            <w:vAlign w:val="center"/>
          </w:tcPr>
          <w:p w14:paraId="230F83F2">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建筑业</w:t>
            </w:r>
          </w:p>
        </w:tc>
      </w:tr>
      <w:bookmarkEnd w:id="8"/>
    </w:tbl>
    <w:p w14:paraId="3A7AFECC">
      <w:pPr>
        <w:pStyle w:val="4"/>
        <w:adjustRightInd w:val="0"/>
        <w:snapToGrid w:val="0"/>
        <w:spacing w:before="0" w:after="0" w:line="400" w:lineRule="exact"/>
        <w:ind w:firstLine="482" w:firstLineChars="200"/>
        <w:rPr>
          <w:rFonts w:ascii="宋体" w:hAnsi="宋体" w:eastAsia="宋体" w:cs="宋体"/>
          <w:sz w:val="24"/>
          <w:highlight w:val="none"/>
        </w:rPr>
      </w:pPr>
      <w:bookmarkStart w:id="9" w:name="_Toc76462318"/>
      <w:bookmarkStart w:id="10" w:name="_Toc18169"/>
      <w:bookmarkStart w:id="11" w:name="_Toc373860293"/>
      <w:bookmarkStart w:id="12" w:name="_Toc317775178"/>
      <w:r>
        <w:rPr>
          <w:rFonts w:hint="eastAsia" w:ascii="宋体" w:hAnsi="宋体" w:eastAsia="宋体" w:cs="宋体"/>
          <w:sz w:val="24"/>
          <w:highlight w:val="none"/>
        </w:rPr>
        <w:t>二、资金来源</w:t>
      </w:r>
      <w:bookmarkEnd w:id="9"/>
      <w:bookmarkEnd w:id="10"/>
    </w:p>
    <w:p w14:paraId="1C43FE4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教委自有</w:t>
      </w:r>
      <w:r>
        <w:rPr>
          <w:rFonts w:hint="eastAsia" w:ascii="宋体" w:hAnsi="宋体" w:cs="宋体"/>
          <w:sz w:val="24"/>
          <w:szCs w:val="24"/>
          <w:highlight w:val="none"/>
        </w:rPr>
        <w:t>资金，预算金额为</w:t>
      </w:r>
      <w:r>
        <w:rPr>
          <w:rFonts w:hint="eastAsia" w:ascii="宋体" w:hAnsi="宋体" w:cs="宋体"/>
          <w:sz w:val="24"/>
          <w:szCs w:val="24"/>
          <w:highlight w:val="none"/>
          <w:lang w:val="en-US" w:eastAsia="zh-CN"/>
        </w:rPr>
        <w:t>188215.55</w:t>
      </w:r>
      <w:r>
        <w:rPr>
          <w:rFonts w:hint="eastAsia" w:ascii="宋体" w:hAnsi="宋体" w:cs="宋体"/>
          <w:sz w:val="24"/>
          <w:szCs w:val="24"/>
          <w:highlight w:val="none"/>
        </w:rPr>
        <w:t>元</w:t>
      </w:r>
      <w:r>
        <w:rPr>
          <w:rFonts w:hint="eastAsia" w:ascii="宋体" w:hAnsi="宋体" w:cs="宋体"/>
          <w:sz w:val="24"/>
          <w:szCs w:val="24"/>
          <w:highlight w:val="none"/>
        </w:rPr>
        <w:t>。</w:t>
      </w:r>
    </w:p>
    <w:p w14:paraId="600239B2">
      <w:pPr>
        <w:pStyle w:val="4"/>
        <w:adjustRightInd w:val="0"/>
        <w:snapToGrid w:val="0"/>
        <w:spacing w:before="0" w:after="0" w:line="400" w:lineRule="exact"/>
        <w:ind w:firstLine="482" w:firstLineChars="200"/>
        <w:rPr>
          <w:rFonts w:ascii="宋体" w:hAnsi="宋体" w:eastAsia="宋体" w:cs="宋体"/>
          <w:sz w:val="24"/>
          <w:highlight w:val="none"/>
        </w:rPr>
      </w:pPr>
      <w:bookmarkStart w:id="13" w:name="_Toc16957"/>
      <w:bookmarkStart w:id="14" w:name="_Toc76462319"/>
      <w:r>
        <w:rPr>
          <w:rFonts w:hint="eastAsia" w:ascii="宋体" w:hAnsi="宋体" w:eastAsia="宋体" w:cs="宋体"/>
          <w:sz w:val="24"/>
          <w:highlight w:val="none"/>
        </w:rPr>
        <w:t>三、供应商资格条件</w:t>
      </w:r>
      <w:bookmarkEnd w:id="13"/>
      <w:bookmarkEnd w:id="14"/>
    </w:p>
    <w:p w14:paraId="653A5D5E">
      <w:pPr>
        <w:spacing w:line="400" w:lineRule="exact"/>
        <w:ind w:firstLine="480" w:firstLineChars="200"/>
        <w:rPr>
          <w:rFonts w:ascii="宋体" w:hAnsi="宋体" w:cs="宋体"/>
          <w:sz w:val="24"/>
          <w:szCs w:val="24"/>
          <w:highlight w:val="none"/>
        </w:rPr>
      </w:pPr>
      <w:bookmarkStart w:id="15" w:name="OLE_LINK3"/>
      <w:r>
        <w:rPr>
          <w:rFonts w:hint="eastAsia" w:ascii="宋体" w:hAnsi="宋体" w:cs="宋体"/>
          <w:sz w:val="24"/>
          <w:szCs w:val="24"/>
          <w:highlight w:val="none"/>
        </w:rPr>
        <w:t>（一）满足《中华人民共和国政府采购法》第二十二条规定；</w:t>
      </w:r>
    </w:p>
    <w:p w14:paraId="304328FA">
      <w:pPr>
        <w:spacing w:line="40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（二）落实政府采购政策需满足的资格要求：</w:t>
      </w:r>
      <w:r>
        <w:rPr>
          <w:rFonts w:hint="eastAsia" w:ascii="宋体" w:hAnsi="宋体" w:cs="宋体"/>
          <w:sz w:val="24"/>
          <w:szCs w:val="24"/>
          <w:highlight w:val="none"/>
          <w:lang w:val="en-US" w:eastAsia="zh-CN"/>
        </w:rPr>
        <w:t>本项目专门面向中小微企业采购，承建企业应为中小微企业（提供中小企业声明函）或监狱企业（提供监狱企业证明文件）或残疾人福利性单位（提供残疾人福利性单位声明函）。</w:t>
      </w:r>
    </w:p>
    <w:p w14:paraId="785313FF">
      <w:pPr>
        <w:spacing w:line="40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注：1.“中小企业声明函”应由供应商（承建企业）出具，并加盖供应商公章，声明函格式详见本竞争性磋商文件第七篇“中小企业声明函”；</w:t>
      </w:r>
    </w:p>
    <w:p w14:paraId="3B8F608B">
      <w:pPr>
        <w:spacing w:line="40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2.“监狱企业证明文件”应当由供应商（承建企业）提供其属于监狱企业的证明文件，该证明文件由省级以上监狱管理局、戒毒管理局（含新疆生产建设兵团）出具；</w:t>
      </w:r>
    </w:p>
    <w:p w14:paraId="2D3C91D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3.“残疾人福利性单位声明函”应由供应商（承建企业）提供其出具的“残疾人福利性单位声明函”，并加盖该残疾人福利性单位公章</w:t>
      </w:r>
      <w:r>
        <w:rPr>
          <w:rFonts w:hint="eastAsia" w:ascii="宋体" w:hAnsi="宋体" w:cs="宋体"/>
          <w:sz w:val="24"/>
          <w:szCs w:val="24"/>
          <w:highlight w:val="none"/>
        </w:rPr>
        <w:t>。</w:t>
      </w:r>
    </w:p>
    <w:p w14:paraId="2879CBA2">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（三）本项目的特定资格要求：</w:t>
      </w:r>
      <w:bookmarkStart w:id="16" w:name="_Toc32383"/>
    </w:p>
    <w:p w14:paraId="493D61AE">
      <w:pPr>
        <w:spacing w:line="40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1.供应商须具备建设行政主管部门颁发的建筑工程施工总承包三级及以上资质。</w:t>
      </w:r>
      <w:bookmarkEnd w:id="16"/>
    </w:p>
    <w:p w14:paraId="28DDC02F">
      <w:pPr>
        <w:spacing w:line="400" w:lineRule="exact"/>
        <w:ind w:firstLine="480" w:firstLineChars="200"/>
        <w:rPr>
          <w:rFonts w:hint="eastAsia" w:ascii="宋体" w:hAnsi="宋体" w:cs="宋体"/>
          <w:sz w:val="24"/>
          <w:szCs w:val="24"/>
          <w:highlight w:val="none"/>
          <w:lang w:val="en-US" w:eastAsia="zh-CN"/>
        </w:rPr>
      </w:pPr>
      <w:bookmarkStart w:id="17" w:name="_Toc17836"/>
      <w:r>
        <w:rPr>
          <w:rFonts w:hint="eastAsia" w:ascii="宋体" w:hAnsi="宋体" w:cs="宋体"/>
          <w:sz w:val="24"/>
          <w:szCs w:val="24"/>
          <w:highlight w:val="none"/>
          <w:lang w:val="en-US" w:eastAsia="zh-CN"/>
        </w:rPr>
        <w:t>（须提供有效的资质证书复印件，并加盖供应商公章。）</w:t>
      </w:r>
      <w:bookmarkEnd w:id="17"/>
    </w:p>
    <w:p w14:paraId="00FE3220">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2、供应商须具备建设行政主管部门颁发的安全生产许可证。（须提供有效的安全生产许可证复印件，并加盖供应商公章。）</w:t>
      </w:r>
    </w:p>
    <w:p w14:paraId="4AF91D4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3、企业负责人、拟担任该项目项目经理和专职安全生产管理人员（即“三类人员”）具备相应建设行政主管部门颁发的有效的安全生产考核合格证书。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须提供安全生产考核合格证书复印件，并加盖供应商公章。</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 </w:t>
      </w:r>
    </w:p>
    <w:bookmarkEnd w:id="15"/>
    <w:p w14:paraId="114E29A0">
      <w:pPr>
        <w:pStyle w:val="4"/>
        <w:adjustRightInd w:val="0"/>
        <w:snapToGrid w:val="0"/>
        <w:spacing w:before="0" w:after="0" w:line="400" w:lineRule="exact"/>
        <w:ind w:firstLine="482" w:firstLineChars="200"/>
        <w:rPr>
          <w:rFonts w:ascii="宋体" w:hAnsi="宋体" w:eastAsia="宋体" w:cs="宋体"/>
          <w:sz w:val="24"/>
          <w:highlight w:val="none"/>
        </w:rPr>
      </w:pPr>
      <w:bookmarkStart w:id="18" w:name="_Toc76462320"/>
      <w:bookmarkStart w:id="19" w:name="_Toc5574"/>
      <w:r>
        <w:rPr>
          <w:rFonts w:hint="eastAsia" w:ascii="宋体" w:hAnsi="宋体" w:eastAsia="宋体" w:cs="宋体"/>
          <w:sz w:val="24"/>
          <w:highlight w:val="none"/>
        </w:rPr>
        <w:t>四、磋商有关说明</w:t>
      </w:r>
      <w:bookmarkEnd w:id="11"/>
      <w:bookmarkEnd w:id="18"/>
      <w:bookmarkEnd w:id="19"/>
    </w:p>
    <w:p w14:paraId="77381E87">
      <w:pPr>
        <w:spacing w:line="400" w:lineRule="exact"/>
        <w:ind w:firstLine="480" w:firstLineChars="200"/>
        <w:rPr>
          <w:rFonts w:ascii="宋体" w:hAnsi="宋体" w:cs="宋体"/>
          <w:sz w:val="24"/>
          <w:szCs w:val="24"/>
          <w:highlight w:val="none"/>
        </w:rPr>
      </w:pPr>
      <w:bookmarkStart w:id="20" w:name="_Toc373860294"/>
      <w:bookmarkStart w:id="21" w:name="_Toc76462321"/>
      <w:r>
        <w:rPr>
          <w:rFonts w:hint="eastAsia" w:ascii="宋体" w:hAnsi="宋体" w:cs="宋体"/>
          <w:sz w:val="24"/>
          <w:szCs w:val="24"/>
          <w:highlight w:val="none"/>
        </w:rPr>
        <w:t>（一）凡有意参加磋商的供应商，请在“行采家”平台（www.gec123.com）上下载本项目磋商文件以及图纸、补遗文件等磋商前公布的所有项目资料，无论供应商下载与否，均视为已知晓所有磋商内容。</w:t>
      </w:r>
    </w:p>
    <w:p w14:paraId="4AD12922">
      <w:pPr>
        <w:spacing w:line="400" w:lineRule="exact"/>
        <w:ind w:firstLine="480" w:firstLineChars="200"/>
        <w:rPr>
          <w:rFonts w:ascii="宋体" w:hAnsi="宋体" w:cs="宋体"/>
          <w:sz w:val="24"/>
          <w:szCs w:val="24"/>
          <w:highlight w:val="none"/>
        </w:rPr>
      </w:pPr>
      <w:bookmarkStart w:id="22" w:name="OLE_LINK5"/>
      <w:r>
        <w:rPr>
          <w:rFonts w:hint="eastAsia" w:ascii="宋体" w:hAnsi="宋体" w:cs="宋体"/>
          <w:sz w:val="24"/>
          <w:szCs w:val="24"/>
          <w:highlight w:val="none"/>
        </w:rPr>
        <w:t>（二）报名及磋商文件发售</w:t>
      </w:r>
    </w:p>
    <w:p w14:paraId="478C63A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1.报名和磋商文件发售期：2025年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7</w:t>
      </w:r>
      <w:r>
        <w:rPr>
          <w:rFonts w:hint="eastAsia" w:ascii="宋体" w:hAnsi="宋体" w:cs="宋体"/>
          <w:sz w:val="24"/>
          <w:szCs w:val="24"/>
          <w:highlight w:val="none"/>
        </w:rPr>
        <w:t>日-2025年</w:t>
      </w:r>
      <w:r>
        <w:rPr>
          <w:rFonts w:hint="eastAsia" w:ascii="宋体" w:hAnsi="宋体" w:cs="宋体"/>
          <w:sz w:val="24"/>
          <w:szCs w:val="24"/>
          <w:highlight w:val="none"/>
          <w:lang w:val="en-US" w:eastAsia="zh-CN"/>
        </w:rPr>
        <w:t xml:space="preserve">7 </w:t>
      </w:r>
      <w:r>
        <w:rPr>
          <w:rFonts w:hint="eastAsia" w:ascii="宋体" w:hAnsi="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rPr>
        <w:t>日17:00（工作时间）</w:t>
      </w:r>
    </w:p>
    <w:p w14:paraId="53E4E8B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2.磋商文件售价：人民币</w:t>
      </w:r>
      <w:r>
        <w:rPr>
          <w:rFonts w:hint="eastAsia" w:ascii="宋体" w:hAnsi="宋体" w:cs="宋体"/>
          <w:sz w:val="24"/>
          <w:szCs w:val="24"/>
          <w:highlight w:val="none"/>
          <w:lang w:val="en-US" w:eastAsia="zh-CN"/>
        </w:rPr>
        <w:t>0</w:t>
      </w:r>
      <w:r>
        <w:rPr>
          <w:rFonts w:hint="eastAsia" w:ascii="宋体" w:hAnsi="宋体" w:cs="宋体"/>
          <w:sz w:val="24"/>
          <w:szCs w:val="24"/>
          <w:highlight w:val="none"/>
        </w:rPr>
        <w:t>元/份（售后不退）</w:t>
      </w:r>
    </w:p>
    <w:p w14:paraId="0F47228F">
      <w:pPr>
        <w:spacing w:line="44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在竞争性磋商文件发售期内，</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"mailto:供应商将《磋商文件发售登记表》（加盖供应商公章）扫描后发送至电子邮箱1211395969@qq.com视为具备报名资格，否则视为无效。"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供应商将《</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文件发售登记表》（加盖供应商公章）扫描后发送至电子邮箱</w:t>
      </w:r>
      <w:r>
        <w:rPr>
          <w:rFonts w:hint="eastAsia" w:ascii="宋体" w:hAnsi="宋体" w:eastAsia="宋体" w:cs="宋体"/>
          <w:color w:val="000000"/>
          <w:sz w:val="24"/>
          <w:szCs w:val="24"/>
          <w:highlight w:val="none"/>
          <w:lang w:val="en-US" w:eastAsia="zh-CN"/>
        </w:rPr>
        <w:t>249146227</w:t>
      </w:r>
      <w:r>
        <w:rPr>
          <w:rFonts w:hint="eastAsia" w:ascii="宋体" w:hAnsi="宋体" w:eastAsia="宋体" w:cs="宋体"/>
          <w:color w:val="000000"/>
          <w:sz w:val="24"/>
          <w:szCs w:val="24"/>
          <w:highlight w:val="none"/>
        </w:rPr>
        <w:t>@qq.com视为具备报名资格，否则视为无效。</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 xml:space="preserve">（报名截止时间以邮箱显示邮件到达时间为准）。 </w:t>
      </w:r>
    </w:p>
    <w:p w14:paraId="200EAE6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3.在报名和磋商文件发售期内</w:t>
      </w:r>
      <w:r>
        <w:rPr>
          <w:rFonts w:hint="eastAsia" w:ascii="宋体" w:hAnsi="宋体" w:cs="宋体"/>
          <w:sz w:val="24"/>
          <w:szCs w:val="24"/>
          <w:highlight w:val="none"/>
          <w:lang w:eastAsia="zh-CN"/>
        </w:rPr>
        <w:t>报名</w:t>
      </w:r>
      <w:r>
        <w:rPr>
          <w:rFonts w:hint="eastAsia" w:ascii="宋体" w:hAnsi="宋体" w:cs="宋体"/>
          <w:sz w:val="24"/>
          <w:szCs w:val="24"/>
          <w:highlight w:val="none"/>
        </w:rPr>
        <w:t>了的供应商，其投标才被接收。</w:t>
      </w:r>
      <w:bookmarkEnd w:id="22"/>
    </w:p>
    <w:p w14:paraId="0023384D">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（三）响应文件递交地点：</w:t>
      </w:r>
      <w:r>
        <w:rPr>
          <w:rFonts w:hint="eastAsia" w:ascii="宋体" w:hAnsi="宋体" w:cs="宋体"/>
          <w:sz w:val="24"/>
          <w:szCs w:val="24"/>
          <w:highlight w:val="none"/>
        </w:rPr>
        <w:t>重庆市沙坪坝区树人小学校</w:t>
      </w:r>
      <w:r>
        <w:rPr>
          <w:rFonts w:hint="eastAsia" w:ascii="宋体" w:hAnsi="宋体" w:cs="宋体"/>
          <w:sz w:val="24"/>
          <w:szCs w:val="24"/>
          <w:highlight w:val="none"/>
          <w:lang w:val="en-US" w:eastAsia="zh-CN"/>
        </w:rPr>
        <w:t>会议室</w:t>
      </w:r>
      <w:r>
        <w:rPr>
          <w:rFonts w:hint="eastAsia" w:ascii="宋体" w:hAnsi="宋体" w:cs="宋体"/>
          <w:sz w:val="24"/>
          <w:szCs w:val="24"/>
          <w:highlight w:val="none"/>
          <w:lang w:eastAsia="zh-CN"/>
        </w:rPr>
        <w:t>。</w:t>
      </w:r>
    </w:p>
    <w:p w14:paraId="6BBA299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（四）响应文件递交开始时间：2025年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日北京时间14:00；</w:t>
      </w:r>
    </w:p>
    <w:p w14:paraId="6542B2D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（五）响应文件递交截止时间：2025年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日北京时间14:30；</w:t>
      </w:r>
    </w:p>
    <w:p w14:paraId="303E297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（六）磋商时间：2025年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日北京时间14:30；</w:t>
      </w:r>
    </w:p>
    <w:p w14:paraId="209428E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（七）磋商地点：同投标地点。</w:t>
      </w:r>
    </w:p>
    <w:p w14:paraId="1EDB94AF">
      <w:pPr>
        <w:pStyle w:val="4"/>
        <w:adjustRightInd w:val="0"/>
        <w:snapToGrid w:val="0"/>
        <w:spacing w:before="0" w:after="0" w:line="400" w:lineRule="exact"/>
        <w:ind w:firstLine="482" w:firstLineChars="200"/>
        <w:rPr>
          <w:rFonts w:ascii="宋体" w:hAnsi="宋体" w:eastAsia="宋体" w:cs="宋体"/>
          <w:sz w:val="24"/>
          <w:highlight w:val="none"/>
        </w:rPr>
      </w:pPr>
      <w:bookmarkStart w:id="23" w:name="_Toc27038"/>
      <w:r>
        <w:rPr>
          <w:rFonts w:hint="eastAsia" w:ascii="宋体" w:hAnsi="宋体" w:eastAsia="宋体" w:cs="宋体"/>
          <w:sz w:val="24"/>
          <w:highlight w:val="none"/>
        </w:rPr>
        <w:t>五、</w:t>
      </w:r>
      <w:bookmarkEnd w:id="12"/>
      <w:bookmarkEnd w:id="20"/>
      <w:bookmarkStart w:id="24" w:name="_Toc480466698"/>
      <w:bookmarkStart w:id="25" w:name="_Toc479668114"/>
      <w:r>
        <w:rPr>
          <w:rFonts w:hint="eastAsia" w:ascii="宋体" w:hAnsi="宋体" w:eastAsia="宋体" w:cs="宋体"/>
          <w:sz w:val="24"/>
          <w:highlight w:val="none"/>
        </w:rPr>
        <w:t>采购项目需落实的政府采购政策</w:t>
      </w:r>
      <w:bookmarkEnd w:id="21"/>
      <w:bookmarkEnd w:id="23"/>
      <w:bookmarkEnd w:id="24"/>
      <w:bookmarkEnd w:id="25"/>
    </w:p>
    <w:p w14:paraId="4097B28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3147C6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（二）按照财政部、工业和信息化部关于印发《政府采购促进中小企业发展管理办法》的通知（财库〔2020〕46号）的规定，落实促进中小企业发展政策。</w:t>
      </w:r>
    </w:p>
    <w:p w14:paraId="145FBAC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（三）按照《财政部、司法部关于政府采购支持监狱企业发展有关问题的通知》（财库〔2014〕68号）的规定，落实支持监狱企业发展政策。</w:t>
      </w:r>
    </w:p>
    <w:p w14:paraId="1F63197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（四）按照《三部门联合发布关于促进残疾人就业政府采购政策的通知》（财库〔2017〕 141号）的规定，落实支持残疾人福利性单位发展政策。</w:t>
      </w:r>
    </w:p>
    <w:p w14:paraId="3C3803D5">
      <w:pPr>
        <w:pStyle w:val="4"/>
        <w:adjustRightInd w:val="0"/>
        <w:snapToGrid w:val="0"/>
        <w:spacing w:before="0" w:after="0" w:line="400" w:lineRule="exact"/>
        <w:ind w:firstLine="482" w:firstLineChars="200"/>
        <w:rPr>
          <w:rFonts w:ascii="宋体" w:hAnsi="宋体" w:eastAsia="宋体" w:cs="宋体"/>
          <w:sz w:val="24"/>
          <w:highlight w:val="none"/>
        </w:rPr>
      </w:pPr>
      <w:bookmarkStart w:id="26" w:name="_Toc76462322"/>
      <w:bookmarkStart w:id="27" w:name="_Toc26480"/>
      <w:bookmarkStart w:id="28" w:name="_Toc480466699"/>
      <w:r>
        <w:rPr>
          <w:rFonts w:hint="eastAsia" w:ascii="宋体" w:hAnsi="宋体" w:eastAsia="宋体" w:cs="宋体"/>
          <w:sz w:val="24"/>
          <w:highlight w:val="none"/>
        </w:rPr>
        <w:t>六、其它有关规定</w:t>
      </w:r>
      <w:bookmarkEnd w:id="26"/>
      <w:bookmarkEnd w:id="27"/>
      <w:bookmarkEnd w:id="28"/>
    </w:p>
    <w:p w14:paraId="45620F61">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（一）单位负责人为同一人或者存在直接控股、管理关系的不同供应商，不得参加同一合同项（包）下的政府采购活动，否则均为无效响应。</w:t>
      </w:r>
    </w:p>
    <w:p w14:paraId="25A3029A">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（二）为采购项目提供整体设计、规范编制或者项目管理、监理、检测等服务的供应商，不得再参加该采购项目的其他采购活动。</w:t>
      </w:r>
    </w:p>
    <w:p w14:paraId="5BB586DC">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本项目的澄清文件（如果有）一律在“行采家”平台（www.gec123.com）上发布，请各供应商注意下载或到采购代理机构处领取；无论供应商下载或领取与否，均视同供应商已知晓本项目澄清文件（如果有）的内容。</w:t>
      </w:r>
    </w:p>
    <w:p w14:paraId="55B7F60C">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（四）超过响应文件截止时间递交的响应文件，恕不接收。</w:t>
      </w:r>
    </w:p>
    <w:p w14:paraId="3DF221E1">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（五）磋商费用：无论磋商结果如何，供应商参与本项目磋商的所有费用均应由供应商自行承担。</w:t>
      </w:r>
    </w:p>
    <w:p w14:paraId="46FED50A">
      <w:pPr>
        <w:snapToGrid w:val="0"/>
        <w:spacing w:line="400" w:lineRule="exact"/>
        <w:ind w:firstLine="360" w:firstLineChars="150"/>
        <w:rPr>
          <w:rFonts w:ascii="宋体" w:hAnsi="宋体" w:cs="宋体"/>
          <w:b/>
          <w:sz w:val="24"/>
          <w:szCs w:val="24"/>
          <w:highlight w:val="none"/>
        </w:rPr>
      </w:pPr>
      <w:r>
        <w:rPr>
          <w:rFonts w:hint="eastAsia" w:ascii="宋体" w:hAnsi="宋体" w:cs="宋体"/>
          <w:sz w:val="24"/>
          <w:szCs w:val="24"/>
          <w:highlight w:val="none"/>
        </w:rPr>
        <w:t>（六）</w:t>
      </w:r>
      <w:r>
        <w:rPr>
          <w:rFonts w:hint="eastAsia" w:ascii="宋体" w:hAnsi="宋体" w:cs="宋体"/>
          <w:b/>
          <w:i/>
          <w:iCs/>
          <w:sz w:val="24"/>
          <w:szCs w:val="24"/>
          <w:highlight w:val="none"/>
        </w:rPr>
        <w:t>本项目不接受联合体参与磋商，否则按无效处理。</w:t>
      </w:r>
    </w:p>
    <w:p w14:paraId="5A8D5E39">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（七）</w:t>
      </w:r>
      <w:r>
        <w:rPr>
          <w:rFonts w:hint="eastAsia" w:ascii="宋体" w:hAnsi="宋体" w:cs="宋体"/>
          <w:b/>
          <w:i/>
          <w:iCs/>
          <w:sz w:val="24"/>
          <w:szCs w:val="24"/>
          <w:highlight w:val="none"/>
        </w:rPr>
        <w:t>本项目不接受合同分包，否则按无效处理。</w:t>
      </w:r>
    </w:p>
    <w:p w14:paraId="3C277FD0">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（八）</w:t>
      </w:r>
      <w:bookmarkStart w:id="29" w:name="_Toc480466700"/>
      <w:r>
        <w:rPr>
          <w:rFonts w:hint="eastAsia" w:ascii="宋体"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72E405E">
      <w:pPr>
        <w:pStyle w:val="4"/>
        <w:adjustRightInd w:val="0"/>
        <w:snapToGrid w:val="0"/>
        <w:spacing w:before="0" w:after="0" w:line="400" w:lineRule="exact"/>
        <w:ind w:firstLine="482" w:firstLineChars="200"/>
        <w:rPr>
          <w:rFonts w:ascii="宋体" w:hAnsi="宋体" w:eastAsia="宋体" w:cs="宋体"/>
          <w:sz w:val="24"/>
          <w:highlight w:val="none"/>
        </w:rPr>
      </w:pPr>
      <w:bookmarkStart w:id="30" w:name="_Toc5080"/>
      <w:bookmarkStart w:id="31" w:name="_Toc76462323"/>
      <w:r>
        <w:rPr>
          <w:rFonts w:hint="eastAsia" w:ascii="宋体" w:hAnsi="宋体" w:eastAsia="宋体" w:cs="宋体"/>
          <w:sz w:val="24"/>
          <w:highlight w:val="none"/>
        </w:rPr>
        <w:t>七、联系方式</w:t>
      </w:r>
      <w:bookmarkEnd w:id="29"/>
      <w:bookmarkEnd w:id="30"/>
      <w:bookmarkEnd w:id="31"/>
    </w:p>
    <w:p w14:paraId="45485D6A">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（一）采购人：重庆市沙坪坝区树人小学校</w:t>
      </w:r>
    </w:p>
    <w:p w14:paraId="087075FB">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陈</w:t>
      </w:r>
      <w:r>
        <w:rPr>
          <w:rFonts w:hint="eastAsia" w:ascii="宋体" w:hAnsi="宋体" w:cs="宋体"/>
          <w:sz w:val="24"/>
          <w:szCs w:val="24"/>
          <w:highlight w:val="none"/>
        </w:rPr>
        <w:t>老师</w:t>
      </w:r>
    </w:p>
    <w:p w14:paraId="32892D8E">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13512341274</w:t>
      </w:r>
      <w:r>
        <w:rPr>
          <w:rFonts w:hint="eastAsia" w:ascii="宋体" w:hAnsi="宋体" w:cs="宋体"/>
          <w:sz w:val="24"/>
          <w:szCs w:val="24"/>
          <w:highlight w:val="none"/>
        </w:rPr>
        <w:t xml:space="preserve"> </w:t>
      </w:r>
    </w:p>
    <w:p w14:paraId="37C9942A">
      <w:pPr>
        <w:snapToGrid w:val="0"/>
        <w:spacing w:line="400" w:lineRule="exact"/>
        <w:ind w:firstLine="240" w:firstLineChars="100"/>
        <w:rPr>
          <w:rFonts w:ascii="宋体" w:hAnsi="宋体" w:cs="宋体"/>
          <w:sz w:val="24"/>
          <w:szCs w:val="24"/>
          <w:highlight w:val="none"/>
        </w:rPr>
      </w:pPr>
      <w:r>
        <w:rPr>
          <w:rFonts w:hint="eastAsia" w:ascii="宋体" w:hAnsi="宋体" w:cs="宋体"/>
          <w:sz w:val="24"/>
          <w:szCs w:val="24"/>
          <w:highlight w:val="none"/>
        </w:rPr>
        <w:t>（二）采购代理机构：</w:t>
      </w:r>
      <w:r>
        <w:rPr>
          <w:rFonts w:hint="eastAsia" w:ascii="宋体" w:hAnsi="宋体" w:cs="宋体"/>
          <w:sz w:val="24"/>
          <w:szCs w:val="24"/>
          <w:highlight w:val="none"/>
          <w:lang w:eastAsia="zh-CN"/>
        </w:rPr>
        <w:t>重庆颢越工程管理有限公司</w:t>
      </w:r>
    </w:p>
    <w:p w14:paraId="7DF9221B">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联系人：</w:t>
      </w:r>
      <w:bookmarkStart w:id="32" w:name="OLE_LINK8"/>
      <w:r>
        <w:rPr>
          <w:rFonts w:hint="eastAsia" w:ascii="宋体" w:hAnsi="宋体" w:cs="宋体"/>
          <w:sz w:val="24"/>
          <w:szCs w:val="24"/>
          <w:highlight w:val="none"/>
        </w:rPr>
        <w:t>邱老师</w:t>
      </w:r>
      <w:bookmarkEnd w:id="32"/>
      <w:r>
        <w:rPr>
          <w:rFonts w:hint="eastAsia" w:ascii="宋体" w:hAnsi="宋体" w:cs="宋体"/>
          <w:sz w:val="24"/>
          <w:szCs w:val="24"/>
          <w:highlight w:val="none"/>
        </w:rPr>
        <w:t xml:space="preserve"> </w:t>
      </w:r>
    </w:p>
    <w:p w14:paraId="55ABA027">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电  话：18983626189</w:t>
      </w:r>
    </w:p>
    <w:p w14:paraId="0B171A3C">
      <w:pPr>
        <w:snapToGrid w:val="0"/>
        <w:spacing w:line="400" w:lineRule="exact"/>
        <w:ind w:firstLine="480" w:firstLineChars="200"/>
        <w:rPr>
          <w:rFonts w:ascii="宋体" w:hAnsi="宋体" w:cs="宋体"/>
          <w:sz w:val="24"/>
          <w:szCs w:val="24"/>
          <w:highlight w:val="none"/>
        </w:rPr>
      </w:pPr>
    </w:p>
    <w:p w14:paraId="6891F298">
      <w:pPr>
        <w:pStyle w:val="2"/>
        <w:rPr>
          <w:rFonts w:ascii="宋体" w:hAnsi="宋体" w:cs="宋体"/>
          <w:sz w:val="24"/>
          <w:szCs w:val="24"/>
          <w:highlight w:val="none"/>
        </w:rPr>
      </w:pPr>
    </w:p>
    <w:p w14:paraId="4F698895">
      <w:pPr>
        <w:rPr>
          <w:rFonts w:ascii="宋体" w:hAnsi="宋体" w:cs="宋体"/>
          <w:sz w:val="24"/>
          <w:szCs w:val="24"/>
          <w:highlight w:val="none"/>
        </w:rPr>
      </w:pPr>
    </w:p>
    <w:p w14:paraId="492E76D7">
      <w:pPr>
        <w:pStyle w:val="2"/>
        <w:rPr>
          <w:rFonts w:ascii="宋体" w:hAnsi="宋体" w:cs="宋体"/>
          <w:sz w:val="24"/>
          <w:szCs w:val="24"/>
          <w:highlight w:val="none"/>
        </w:rPr>
      </w:pPr>
    </w:p>
    <w:p w14:paraId="748F17D7">
      <w:pPr>
        <w:rPr>
          <w:rFonts w:ascii="宋体" w:hAnsi="宋体" w:cs="宋体"/>
          <w:sz w:val="24"/>
          <w:szCs w:val="24"/>
          <w:highlight w:val="none"/>
        </w:rPr>
      </w:pPr>
    </w:p>
    <w:p w14:paraId="65740CD0">
      <w:pPr>
        <w:pStyle w:val="2"/>
        <w:rPr>
          <w:rFonts w:ascii="宋体" w:hAnsi="宋体" w:cs="宋体"/>
          <w:sz w:val="24"/>
          <w:szCs w:val="24"/>
          <w:highlight w:val="none"/>
        </w:rPr>
      </w:pPr>
    </w:p>
    <w:p w14:paraId="428610AC">
      <w:pPr>
        <w:rPr>
          <w:rFonts w:ascii="宋体" w:hAnsi="宋体" w:cs="宋体"/>
          <w:sz w:val="24"/>
          <w:szCs w:val="24"/>
          <w:highlight w:val="none"/>
        </w:rPr>
      </w:pPr>
    </w:p>
    <w:p w14:paraId="5F0CF3A7">
      <w:pPr>
        <w:pStyle w:val="2"/>
        <w:rPr>
          <w:rFonts w:ascii="宋体" w:hAnsi="宋体" w:cs="宋体"/>
          <w:sz w:val="24"/>
          <w:szCs w:val="24"/>
          <w:highlight w:val="none"/>
        </w:rPr>
      </w:pPr>
    </w:p>
    <w:p w14:paraId="67D93820">
      <w:pPr>
        <w:rPr>
          <w:rFonts w:ascii="宋体" w:hAnsi="宋体" w:cs="宋体"/>
          <w:sz w:val="24"/>
          <w:szCs w:val="24"/>
          <w:highlight w:val="none"/>
        </w:rPr>
      </w:pPr>
    </w:p>
    <w:p w14:paraId="2100D3A9">
      <w:pPr>
        <w:pStyle w:val="2"/>
        <w:rPr>
          <w:rFonts w:ascii="宋体" w:hAnsi="宋体" w:cs="宋体"/>
          <w:sz w:val="24"/>
          <w:szCs w:val="24"/>
          <w:highlight w:val="none"/>
        </w:rPr>
      </w:pPr>
    </w:p>
    <w:p w14:paraId="3B99F930">
      <w:pPr>
        <w:rPr>
          <w:rFonts w:ascii="宋体" w:hAnsi="宋体" w:cs="宋体"/>
          <w:sz w:val="24"/>
          <w:szCs w:val="24"/>
          <w:highlight w:val="none"/>
        </w:rPr>
      </w:pPr>
    </w:p>
    <w:p w14:paraId="69F0FD13">
      <w:pPr>
        <w:pStyle w:val="2"/>
        <w:rPr>
          <w:rFonts w:ascii="宋体" w:hAnsi="宋体" w:cs="宋体"/>
          <w:sz w:val="24"/>
          <w:szCs w:val="24"/>
          <w:highlight w:val="none"/>
        </w:rPr>
      </w:pPr>
    </w:p>
    <w:p w14:paraId="20BA9BD8">
      <w:pPr>
        <w:rPr>
          <w:rFonts w:ascii="宋体" w:hAnsi="宋体" w:cs="宋体"/>
          <w:sz w:val="24"/>
          <w:szCs w:val="24"/>
          <w:highlight w:val="none"/>
        </w:rPr>
      </w:pPr>
    </w:p>
    <w:p w14:paraId="68C0C2CA">
      <w:pPr>
        <w:pStyle w:val="2"/>
        <w:rPr>
          <w:rFonts w:ascii="宋体" w:hAnsi="宋体" w:cs="宋体"/>
          <w:sz w:val="24"/>
          <w:szCs w:val="24"/>
          <w:highlight w:val="none"/>
        </w:rPr>
      </w:pPr>
    </w:p>
    <w:p w14:paraId="13117B6C">
      <w:pPr>
        <w:rPr>
          <w:rFonts w:ascii="宋体" w:hAnsi="宋体" w:cs="宋体"/>
          <w:sz w:val="24"/>
          <w:szCs w:val="24"/>
          <w:highlight w:val="none"/>
        </w:rPr>
      </w:pPr>
    </w:p>
    <w:p w14:paraId="218D1330">
      <w:pPr>
        <w:pStyle w:val="2"/>
        <w:rPr>
          <w:rFonts w:ascii="宋体" w:hAnsi="宋体" w:cs="宋体"/>
          <w:sz w:val="24"/>
          <w:szCs w:val="24"/>
          <w:highlight w:val="none"/>
        </w:rPr>
      </w:pPr>
    </w:p>
    <w:p w14:paraId="76A14173">
      <w:pPr>
        <w:rPr>
          <w:rFonts w:ascii="宋体" w:hAnsi="宋体" w:cs="宋体"/>
          <w:sz w:val="24"/>
          <w:szCs w:val="24"/>
          <w:highlight w:val="none"/>
        </w:rPr>
      </w:pPr>
    </w:p>
    <w:p w14:paraId="5213E1F2">
      <w:pPr>
        <w:pStyle w:val="2"/>
        <w:rPr>
          <w:rFonts w:ascii="宋体" w:hAnsi="宋体" w:cs="宋体"/>
          <w:sz w:val="24"/>
          <w:szCs w:val="24"/>
          <w:highlight w:val="none"/>
        </w:rPr>
      </w:pPr>
    </w:p>
    <w:p w14:paraId="3E70D962">
      <w:pPr>
        <w:rPr>
          <w:rFonts w:ascii="宋体" w:hAnsi="宋体" w:cs="宋体"/>
          <w:sz w:val="24"/>
          <w:szCs w:val="24"/>
          <w:highlight w:val="none"/>
        </w:rPr>
      </w:pPr>
    </w:p>
    <w:p w14:paraId="5B6B517E">
      <w:pPr>
        <w:pStyle w:val="2"/>
        <w:rPr>
          <w:rFonts w:ascii="宋体" w:hAnsi="宋体" w:cs="宋体"/>
          <w:sz w:val="24"/>
          <w:szCs w:val="24"/>
          <w:highlight w:val="none"/>
        </w:rPr>
      </w:pPr>
    </w:p>
    <w:p w14:paraId="315D225C">
      <w:pPr>
        <w:rPr>
          <w:highlight w:val="none"/>
        </w:rPr>
      </w:pPr>
    </w:p>
    <w:p w14:paraId="2AE6F11B">
      <w:pPr>
        <w:rPr>
          <w:rFonts w:ascii="宋体" w:hAnsi="宋体" w:cs="宋体"/>
          <w:sz w:val="24"/>
          <w:szCs w:val="24"/>
          <w:highlight w:val="none"/>
        </w:rPr>
      </w:pPr>
    </w:p>
    <w:p w14:paraId="4ADF7F9A">
      <w:pPr>
        <w:pStyle w:val="2"/>
        <w:rPr>
          <w:highlight w:val="none"/>
        </w:rPr>
      </w:pPr>
    </w:p>
    <w:p w14:paraId="25528326">
      <w:pPr>
        <w:rPr>
          <w:highlight w:val="none"/>
        </w:rPr>
      </w:pPr>
    </w:p>
    <w:p w14:paraId="13520E87">
      <w:pPr>
        <w:pStyle w:val="2"/>
        <w:rPr>
          <w:rFonts w:ascii="宋体" w:hAnsi="宋体" w:cs="宋体"/>
          <w:sz w:val="24"/>
          <w:szCs w:val="24"/>
          <w:highlight w:val="none"/>
        </w:rPr>
      </w:pPr>
    </w:p>
    <w:p w14:paraId="7446FAD9">
      <w:pPr>
        <w:rPr>
          <w:rFonts w:ascii="宋体" w:hAnsi="宋体" w:cs="宋体"/>
          <w:sz w:val="24"/>
          <w:szCs w:val="24"/>
          <w:highlight w:val="none"/>
        </w:rPr>
      </w:pPr>
    </w:p>
    <w:p w14:paraId="5AFCF1E7">
      <w:pPr>
        <w:pStyle w:val="2"/>
        <w:rPr>
          <w:highlight w:val="none"/>
        </w:rPr>
      </w:pPr>
    </w:p>
    <w:p w14:paraId="6F582011">
      <w:pPr>
        <w:rPr>
          <w:highlight w:val="none"/>
        </w:rPr>
      </w:pPr>
    </w:p>
    <w:p w14:paraId="33D61D12">
      <w:pPr>
        <w:pStyle w:val="4"/>
        <w:spacing w:before="0" w:after="0" w:line="360" w:lineRule="auto"/>
        <w:jc w:val="center"/>
        <w:rPr>
          <w:rFonts w:ascii="宋体" w:hAnsi="宋体" w:eastAsia="宋体" w:cs="宋体"/>
          <w:b w:val="0"/>
          <w:sz w:val="30"/>
          <w:szCs w:val="30"/>
          <w:highlight w:val="none"/>
        </w:rPr>
      </w:pPr>
      <w:bookmarkStart w:id="33" w:name="_Toc10040"/>
      <w:bookmarkStart w:id="34" w:name="_Toc76462324"/>
      <w:r>
        <w:rPr>
          <w:rFonts w:hint="eastAsia" w:ascii="宋体" w:hAnsi="宋体" w:eastAsia="宋体" w:cs="宋体"/>
          <w:b w:val="0"/>
          <w:sz w:val="36"/>
          <w:szCs w:val="30"/>
          <w:highlight w:val="none"/>
        </w:rPr>
        <w:t>第二篇  项目</w:t>
      </w:r>
      <w:r>
        <w:rPr>
          <w:rFonts w:hint="eastAsia" w:ascii="宋体" w:hAnsi="宋体" w:eastAsia="宋体" w:cs="宋体"/>
          <w:b w:val="0"/>
          <w:sz w:val="36"/>
          <w:szCs w:val="30"/>
          <w:highlight w:val="none"/>
          <w:lang w:eastAsia="zh-CN"/>
        </w:rPr>
        <w:t>技术</w:t>
      </w:r>
      <w:r>
        <w:rPr>
          <w:rFonts w:hint="eastAsia" w:ascii="宋体" w:hAnsi="宋体" w:eastAsia="宋体" w:cs="宋体"/>
          <w:b w:val="0"/>
          <w:sz w:val="36"/>
          <w:szCs w:val="30"/>
          <w:highlight w:val="none"/>
        </w:rPr>
        <w:t>需求</w:t>
      </w:r>
      <w:bookmarkEnd w:id="33"/>
      <w:bookmarkEnd w:id="34"/>
    </w:p>
    <w:p w14:paraId="77449915">
      <w:pPr>
        <w:spacing w:line="400" w:lineRule="exact"/>
        <w:ind w:firstLine="480" w:firstLineChars="200"/>
        <w:rPr>
          <w:rFonts w:hint="eastAsia" w:ascii="宋体" w:hAnsi="宋体" w:eastAsia="宋体" w:cs="宋体"/>
          <w:color w:val="000000"/>
          <w:sz w:val="24"/>
          <w:szCs w:val="24"/>
          <w:highlight w:val="none"/>
          <w:lang w:eastAsia="zh-CN"/>
        </w:rPr>
      </w:pPr>
      <w:bookmarkStart w:id="35" w:name="_Toc25239"/>
      <w:bookmarkStart w:id="36" w:name="_Toc4124"/>
      <w:bookmarkStart w:id="37" w:name="_Toc26957"/>
      <w:bookmarkStart w:id="38" w:name="_Toc139461138"/>
      <w:bookmarkStart w:id="39" w:name="_Toc11101"/>
      <w:bookmarkStart w:id="40" w:name="_Toc51687415"/>
      <w:bookmarkStart w:id="41" w:name="_Toc70240748"/>
      <w:bookmarkStart w:id="42" w:name="_Toc12789058"/>
      <w:bookmarkStart w:id="43" w:name="_Toc76462327"/>
      <w:r>
        <w:rPr>
          <w:rFonts w:hint="eastAsia" w:ascii="宋体" w:hAnsi="宋体" w:eastAsia="宋体" w:cs="宋体"/>
          <w:color w:val="000000"/>
          <w:sz w:val="24"/>
          <w:szCs w:val="24"/>
          <w:highlight w:val="none"/>
          <w:lang w:eastAsia="zh-CN"/>
        </w:rPr>
        <w:t>“※”标注的技术需求为符合性审查中的实质性要求，响应文件若不满足按无效响应处理。</w:t>
      </w:r>
      <w:bookmarkEnd w:id="35"/>
      <w:bookmarkEnd w:id="36"/>
      <w:bookmarkEnd w:id="37"/>
    </w:p>
    <w:p w14:paraId="3828AC16">
      <w:pPr>
        <w:pStyle w:val="4"/>
        <w:adjustRightInd w:val="0"/>
        <w:snapToGrid w:val="0"/>
        <w:spacing w:before="0" w:after="0" w:line="440" w:lineRule="exact"/>
        <w:rPr>
          <w:rFonts w:hint="eastAsia" w:ascii="宋体" w:hAnsi="宋体" w:eastAsia="宋体" w:cs="宋体"/>
          <w:color w:val="000000"/>
          <w:sz w:val="24"/>
          <w:szCs w:val="24"/>
          <w:highlight w:val="none"/>
          <w:lang w:eastAsia="zh-CN"/>
        </w:rPr>
      </w:pPr>
      <w:bookmarkStart w:id="44" w:name="_Toc17597"/>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eastAsia="zh-CN"/>
        </w:rPr>
        <w:t>、</w:t>
      </w:r>
      <w:bookmarkEnd w:id="38"/>
      <w:r>
        <w:rPr>
          <w:rFonts w:hint="eastAsia" w:ascii="宋体" w:hAnsi="宋体" w:eastAsia="宋体" w:cs="宋体"/>
          <w:color w:val="000000"/>
          <w:sz w:val="24"/>
          <w:szCs w:val="24"/>
          <w:highlight w:val="none"/>
        </w:rPr>
        <w:t>基本概况</w:t>
      </w:r>
      <w:r>
        <w:rPr>
          <w:rFonts w:hint="eastAsia" w:ascii="宋体" w:hAnsi="宋体" w:eastAsia="宋体" w:cs="宋体"/>
          <w:color w:val="000000"/>
          <w:sz w:val="24"/>
          <w:szCs w:val="24"/>
          <w:highlight w:val="none"/>
          <w:lang w:eastAsia="zh-CN"/>
        </w:rPr>
        <w:t>、施工范围及施工工期</w:t>
      </w:r>
      <w:bookmarkEnd w:id="39"/>
      <w:bookmarkEnd w:id="44"/>
    </w:p>
    <w:p w14:paraId="4A887C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eastAsia="zh-CN"/>
        </w:rPr>
        <w:t>）基本概况：</w:t>
      </w:r>
      <w:r>
        <w:rPr>
          <w:rFonts w:hint="eastAsia" w:ascii="宋体" w:hAnsi="宋体" w:eastAsia="宋体" w:cs="宋体"/>
          <w:color w:val="000000"/>
          <w:sz w:val="24"/>
          <w:szCs w:val="24"/>
          <w:highlight w:val="none"/>
          <w:lang w:val="en-US" w:eastAsia="zh-CN"/>
        </w:rPr>
        <w:t>本项目对</w:t>
      </w:r>
      <w:r>
        <w:rPr>
          <w:rFonts w:hint="eastAsia" w:ascii="宋体" w:hAnsi="宋体" w:eastAsia="宋体" w:cs="宋体"/>
          <w:color w:val="000000"/>
          <w:sz w:val="24"/>
          <w:szCs w:val="24"/>
          <w:highlight w:val="none"/>
          <w:lang w:eastAsia="zh-CN"/>
        </w:rPr>
        <w:t>树人小学</w:t>
      </w:r>
      <w:r>
        <w:rPr>
          <w:rFonts w:hint="eastAsia" w:ascii="宋体" w:hAnsi="宋体" w:eastAsia="宋体" w:cs="宋体"/>
          <w:color w:val="000000"/>
          <w:sz w:val="24"/>
          <w:szCs w:val="24"/>
          <w:highlight w:val="none"/>
          <w:lang w:val="en-US" w:eastAsia="zh-CN"/>
        </w:rPr>
        <w:t>教学楼、挹青楼的楼梯间等零星部分进行</w:t>
      </w:r>
      <w:r>
        <w:rPr>
          <w:rFonts w:hint="eastAsia" w:ascii="宋体" w:hAnsi="宋体" w:eastAsia="宋体" w:cs="宋体"/>
          <w:color w:val="000000"/>
          <w:sz w:val="24"/>
          <w:szCs w:val="24"/>
          <w:highlight w:val="none"/>
          <w:lang w:eastAsia="zh-CN"/>
        </w:rPr>
        <w:t>改造</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具体工程内容详见本项目施工图设计文件及工程量清单，所有施工内容均须纳入供应商报价范围，成交供应商须完成所有工程量。</w:t>
      </w:r>
    </w:p>
    <w:p w14:paraId="159741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（二）施工范围：具体工程内容详见本项目施工图设计文件及工程量清单，所有施工内容均须纳入供应商报价范围，成交供应商须完成所有工程量</w:t>
      </w:r>
    </w:p>
    <w:bookmarkEnd w:id="40"/>
    <w:bookmarkEnd w:id="41"/>
    <w:p w14:paraId="5D6894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lang w:eastAsia="zh-CN"/>
        </w:rPr>
        <w:t>）施工工期：合同签订后采购人（监理）下达开工报告后</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eastAsia="zh-CN"/>
        </w:rPr>
        <w:t>日历天，具体开工日期以采购人（监理）下达的开工令为准。缺陷责任期：</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个月</w:t>
      </w:r>
      <w:r>
        <w:rPr>
          <w:rFonts w:hint="eastAsia" w:ascii="宋体" w:hAnsi="宋体" w:cs="宋体"/>
          <w:color w:val="000000"/>
          <w:sz w:val="24"/>
          <w:szCs w:val="24"/>
          <w:highlight w:val="none"/>
          <w:lang w:eastAsia="zh-CN"/>
        </w:rPr>
        <w:t>，其中</w:t>
      </w:r>
      <w:r>
        <w:rPr>
          <w:rFonts w:hint="eastAsia" w:ascii="宋体" w:hAnsi="宋体" w:cs="宋体"/>
          <w:sz w:val="24"/>
          <w:szCs w:val="24"/>
          <w:highlight w:val="none"/>
          <w:lang w:val="en-US" w:eastAsia="zh-CN"/>
        </w:rPr>
        <w:t>防水工程为5年</w:t>
      </w:r>
      <w:r>
        <w:rPr>
          <w:rFonts w:hint="eastAsia" w:ascii="宋体" w:hAnsi="宋体" w:eastAsia="宋体" w:cs="宋体"/>
          <w:color w:val="000000"/>
          <w:sz w:val="24"/>
          <w:szCs w:val="24"/>
          <w:highlight w:val="none"/>
          <w:lang w:eastAsia="zh-CN"/>
        </w:rPr>
        <w:t>。</w:t>
      </w:r>
    </w:p>
    <w:p w14:paraId="288E5199">
      <w:pPr>
        <w:pStyle w:val="4"/>
        <w:adjustRightInd w:val="0"/>
        <w:snapToGrid w:val="0"/>
        <w:spacing w:before="0" w:after="0" w:line="440" w:lineRule="exact"/>
        <w:rPr>
          <w:rFonts w:hint="eastAsia" w:ascii="宋体" w:hAnsi="宋体" w:eastAsia="宋体" w:cs="宋体"/>
          <w:color w:val="000000"/>
          <w:sz w:val="24"/>
          <w:szCs w:val="24"/>
          <w:highlight w:val="none"/>
          <w:lang w:eastAsia="zh-CN"/>
        </w:rPr>
      </w:pPr>
      <w:bookmarkStart w:id="45" w:name="_Toc16628"/>
      <w:bookmarkStart w:id="46" w:name="_Toc17766"/>
      <w:r>
        <w:rPr>
          <w:rFonts w:hint="eastAsia" w:ascii="宋体" w:hAnsi="宋体" w:eastAsia="宋体" w:cs="宋体"/>
          <w:color w:val="000000"/>
          <w:sz w:val="24"/>
          <w:szCs w:val="24"/>
          <w:highlight w:val="none"/>
          <w:lang w:eastAsia="zh-CN"/>
        </w:rPr>
        <w:t>※二、施工要求</w:t>
      </w:r>
      <w:bookmarkEnd w:id="45"/>
      <w:bookmarkEnd w:id="46"/>
    </w:p>
    <w:p w14:paraId="7FD22B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bookmarkStart w:id="47" w:name="_Toc9945"/>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在施工前须将具体详细的施工方案报采购人确认，经采购人确认后即可进场施工。</w:t>
      </w:r>
    </w:p>
    <w:p w14:paraId="49D8D8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.在进场前须对现有设施设备采用保护措施，整个施工过程中须做好防尘、降噪措施，减少对周边环境的影响。</w:t>
      </w:r>
    </w:p>
    <w:p w14:paraId="70F1D3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.在施工过程中</w:t>
      </w:r>
      <w:r>
        <w:rPr>
          <w:rFonts w:hint="eastAsia" w:ascii="宋体" w:hAnsi="宋体" w:eastAsia="宋体" w:cs="宋体"/>
          <w:color w:val="000000"/>
          <w:sz w:val="24"/>
          <w:szCs w:val="24"/>
          <w:highlight w:val="none"/>
          <w:lang w:val="en-US" w:eastAsia="zh-CN"/>
        </w:rPr>
        <w:t>成交供应商需投保工程类的所有保险及第三者责任险，现场施工人员需</w:t>
      </w:r>
      <w:r>
        <w:rPr>
          <w:rFonts w:hint="eastAsia" w:ascii="宋体" w:hAnsi="宋体" w:eastAsia="宋体" w:cs="宋体"/>
          <w:color w:val="000000"/>
          <w:sz w:val="24"/>
          <w:szCs w:val="24"/>
          <w:highlight w:val="none"/>
          <w:lang w:eastAsia="zh-CN"/>
        </w:rPr>
        <w:t>注意人身、建筑、消防安全，做到安全施工、文明施工，并放置相应的施工“警示”标志或标识。</w:t>
      </w:r>
    </w:p>
    <w:p w14:paraId="6EB13AC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若出现相关问题，由成交供应商承担全部安全责任。</w:t>
      </w:r>
    </w:p>
    <w:p w14:paraId="530454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.对现有地面、展墙等材料进行安全</w:t>
      </w:r>
      <w:r>
        <w:rPr>
          <w:rFonts w:hint="eastAsia" w:ascii="宋体" w:hAnsi="宋体" w:eastAsia="宋体" w:cs="宋体"/>
          <w:color w:val="000000"/>
          <w:sz w:val="24"/>
          <w:szCs w:val="24"/>
          <w:highlight w:val="none"/>
          <w:lang w:val="en-US" w:eastAsia="zh-CN"/>
        </w:rPr>
        <w:t>保护</w:t>
      </w:r>
      <w:r>
        <w:rPr>
          <w:rFonts w:hint="eastAsia" w:ascii="宋体" w:hAnsi="宋体" w:eastAsia="宋体" w:cs="宋体"/>
          <w:color w:val="000000"/>
          <w:sz w:val="24"/>
          <w:szCs w:val="24"/>
          <w:highlight w:val="none"/>
          <w:lang w:eastAsia="zh-CN"/>
        </w:rPr>
        <w:t>，确保不影响结构安全。</w:t>
      </w:r>
    </w:p>
    <w:p w14:paraId="048324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.负责工程量清单材料、设备的采购、运输和保管，材料选择得当，且符合国家标准和行业质量标准。</w:t>
      </w:r>
    </w:p>
    <w:p w14:paraId="5AB073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.严格施工管理，确保工程质量、安全与进度，保证其负责的工程按照时间节点如期完工。</w:t>
      </w:r>
    </w:p>
    <w:p w14:paraId="2009BC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.如有需办理施工相关手续的报备及审批工作的，由成交供应商完成，采购人予以配合。</w:t>
      </w:r>
    </w:p>
    <w:p w14:paraId="47FB65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8.需制定施工期间突发事件应急预案，确保卫生中心内的所有安全。</w:t>
      </w:r>
    </w:p>
    <w:p w14:paraId="58196B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9.隐蔽工程（水电线管等）需留存影像等相关资料，供验收核查。</w:t>
      </w:r>
    </w:p>
    <w:p w14:paraId="342B1E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10.高空作业符合《建筑施工高处作业安全技术规范》（JGJ80）。</w:t>
      </w:r>
    </w:p>
    <w:p w14:paraId="1A38A7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11.噪音控制、建筑垃圾日产日清。</w:t>
      </w:r>
    </w:p>
    <w:p w14:paraId="52A884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（响应文件中提供书面承诺（格式自拟），加盖供应商公章。）</w:t>
      </w:r>
    </w:p>
    <w:p w14:paraId="1719F6D1">
      <w:pPr>
        <w:pStyle w:val="4"/>
        <w:adjustRightInd w:val="0"/>
        <w:snapToGrid w:val="0"/>
        <w:spacing w:before="0" w:after="0" w:line="440" w:lineRule="exact"/>
        <w:rPr>
          <w:rFonts w:hint="eastAsia" w:ascii="宋体" w:hAnsi="宋体" w:eastAsia="宋体" w:cs="宋体"/>
          <w:color w:val="000000"/>
          <w:sz w:val="24"/>
          <w:szCs w:val="24"/>
          <w:highlight w:val="none"/>
          <w:lang w:eastAsia="zh-CN"/>
        </w:rPr>
      </w:pPr>
      <w:bookmarkStart w:id="48" w:name="_Toc31467"/>
      <w:r>
        <w:rPr>
          <w:rFonts w:hint="eastAsia" w:ascii="宋体" w:hAnsi="宋体" w:eastAsia="宋体" w:cs="宋体"/>
          <w:color w:val="000000"/>
          <w:sz w:val="24"/>
          <w:szCs w:val="24"/>
          <w:highlight w:val="none"/>
          <w:lang w:eastAsia="zh-CN"/>
        </w:rPr>
        <w:t>※三、质量要求</w:t>
      </w:r>
      <w:bookmarkEnd w:id="47"/>
      <w:bookmarkEnd w:id="48"/>
    </w:p>
    <w:p w14:paraId="33B15F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材料、设备质量总体要求：所供相关材料、设备必须货真价实，符合环保节能要求，假冒伪劣产品不得参与政府采购；所供设备和材料的各项文件必须真实完整有效；其他材料各项技术参数、质量指标必须符合国家技术质量监督机构及有关管理部门和行业的规定和标准。</w:t>
      </w:r>
    </w:p>
    <w:p w14:paraId="0122E572">
      <w:pPr>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2.属于国家规定“三包”范围的，其产品质量保证期不得低于“三包”规定。</w:t>
      </w:r>
    </w:p>
    <w:p w14:paraId="0C32C420">
      <w:pPr>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3.成交供应商质量保证期承诺优于国家“三包”规定的，按成交供应商实际承诺执行。</w:t>
      </w:r>
    </w:p>
    <w:p w14:paraId="098D21E1">
      <w:pPr>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4.施工过程中应严格遵守国家和地方施工质量验收规范要求。在竣工验收阶段，确保工程质量符合相关标准。</w:t>
      </w:r>
    </w:p>
    <w:p w14:paraId="1BC552AD">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（响应文件中提供书面承诺（格式自拟），加盖供应商公章。）</w:t>
      </w:r>
    </w:p>
    <w:p w14:paraId="1C148FC3">
      <w:pPr>
        <w:pStyle w:val="4"/>
        <w:adjustRightInd w:val="0"/>
        <w:snapToGrid w:val="0"/>
        <w:spacing w:before="0" w:after="0" w:line="440" w:lineRule="exact"/>
        <w:rPr>
          <w:rFonts w:hint="eastAsia" w:ascii="宋体" w:hAnsi="宋体" w:eastAsia="宋体" w:cs="宋体"/>
          <w:color w:val="000000"/>
          <w:sz w:val="24"/>
          <w:szCs w:val="24"/>
          <w:highlight w:val="none"/>
          <w:lang w:eastAsia="zh-CN"/>
        </w:rPr>
      </w:pPr>
      <w:bookmarkStart w:id="49" w:name="_Toc9221"/>
      <w:bookmarkStart w:id="50" w:name="_Toc31327"/>
      <w:r>
        <w:rPr>
          <w:rFonts w:hint="eastAsia" w:ascii="宋体" w:hAnsi="宋体" w:eastAsia="宋体" w:cs="宋体"/>
          <w:color w:val="000000"/>
          <w:sz w:val="24"/>
          <w:szCs w:val="24"/>
          <w:highlight w:val="none"/>
          <w:lang w:eastAsia="zh-CN"/>
        </w:rPr>
        <w:t>※四、项目管理班子人员配备要求</w:t>
      </w:r>
      <w:bookmarkEnd w:id="49"/>
      <w:bookmarkEnd w:id="50"/>
    </w:p>
    <w:p w14:paraId="2A306E35">
      <w:pPr>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1.项目经理（1人）</w:t>
      </w:r>
    </w:p>
    <w:p w14:paraId="166D93D0">
      <w:pPr>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拟派至本项目的项目经理须在供应商单位注册，并应具有建筑工程专业二级及以上注册建造师执业资格，具备相应的由建设行政主管部门颁发的有效的安全生产考核合格证书。</w:t>
      </w:r>
    </w:p>
    <w:p w14:paraId="6DBDAAD7">
      <w:pPr>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（响应文件中同时提供：①对应证书复印件、②供应商为其缴纳投标截止日</w:t>
      </w:r>
      <w:r>
        <w:rPr>
          <w:rFonts w:hint="eastAsia" w:ascii="宋体" w:hAnsi="宋体" w:eastAsia="宋体" w:cs="宋体"/>
          <w:color w:val="000000"/>
          <w:sz w:val="24"/>
          <w:szCs w:val="24"/>
          <w:highlight w:val="none"/>
          <w:lang w:val="en-US" w:eastAsia="zh-CN"/>
        </w:rPr>
        <w:t>前3</w:t>
      </w:r>
      <w:r>
        <w:rPr>
          <w:rFonts w:hint="eastAsia" w:ascii="宋体" w:hAnsi="宋体" w:eastAsia="宋体" w:cs="宋体"/>
          <w:color w:val="000000"/>
          <w:sz w:val="24"/>
          <w:szCs w:val="24"/>
          <w:highlight w:val="none"/>
          <w:lang w:eastAsia="zh-CN"/>
        </w:rPr>
        <w:t>个月</w:t>
      </w:r>
      <w:r>
        <w:rPr>
          <w:rFonts w:hint="eastAsia" w:ascii="宋体" w:hAnsi="宋体" w:eastAsia="宋体" w:cs="宋体"/>
          <w:color w:val="000000"/>
          <w:sz w:val="24"/>
          <w:szCs w:val="24"/>
          <w:highlight w:val="none"/>
          <w:lang w:val="en-US" w:eastAsia="zh-CN"/>
        </w:rPr>
        <w:t>中任意1月</w:t>
      </w:r>
      <w:r>
        <w:rPr>
          <w:rFonts w:hint="eastAsia" w:ascii="宋体" w:hAnsi="宋体" w:eastAsia="宋体" w:cs="宋体"/>
          <w:color w:val="000000"/>
          <w:sz w:val="24"/>
          <w:szCs w:val="24"/>
          <w:highlight w:val="none"/>
          <w:lang w:eastAsia="zh-CN"/>
        </w:rPr>
        <w:t>的社保证明材料复印件，加盖供应商公章。）</w:t>
      </w:r>
    </w:p>
    <w:p w14:paraId="58A78CDC">
      <w:pPr>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2.项目技术负责人（1人）</w:t>
      </w:r>
    </w:p>
    <w:p w14:paraId="36C41B42">
      <w:pPr>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拟派至本项目的项目技术负责人具有建筑工程类中级及以上职称。</w:t>
      </w:r>
    </w:p>
    <w:p w14:paraId="06C6336A">
      <w:pPr>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（响应文件中同时提供：①对应证书复印件、②供应商为其缴纳投标截止日</w:t>
      </w:r>
      <w:r>
        <w:rPr>
          <w:rFonts w:hint="eastAsia" w:ascii="宋体" w:hAnsi="宋体" w:eastAsia="宋体" w:cs="宋体"/>
          <w:color w:val="000000"/>
          <w:sz w:val="24"/>
          <w:szCs w:val="24"/>
          <w:highlight w:val="none"/>
          <w:lang w:val="en-US" w:eastAsia="zh-CN"/>
        </w:rPr>
        <w:t>前3</w:t>
      </w:r>
      <w:r>
        <w:rPr>
          <w:rFonts w:hint="eastAsia" w:ascii="宋体" w:hAnsi="宋体" w:eastAsia="宋体" w:cs="宋体"/>
          <w:color w:val="000000"/>
          <w:sz w:val="24"/>
          <w:szCs w:val="24"/>
          <w:highlight w:val="none"/>
          <w:lang w:eastAsia="zh-CN"/>
        </w:rPr>
        <w:t>个月</w:t>
      </w:r>
      <w:r>
        <w:rPr>
          <w:rFonts w:hint="eastAsia" w:ascii="宋体" w:hAnsi="宋体" w:eastAsia="宋体" w:cs="宋体"/>
          <w:color w:val="000000"/>
          <w:sz w:val="24"/>
          <w:szCs w:val="24"/>
          <w:highlight w:val="none"/>
          <w:lang w:val="en-US" w:eastAsia="zh-CN"/>
        </w:rPr>
        <w:t>中任意1月</w:t>
      </w:r>
      <w:r>
        <w:rPr>
          <w:rFonts w:hint="eastAsia" w:ascii="宋体" w:hAnsi="宋体" w:eastAsia="宋体" w:cs="宋体"/>
          <w:color w:val="000000"/>
          <w:sz w:val="24"/>
          <w:szCs w:val="24"/>
          <w:highlight w:val="none"/>
          <w:lang w:eastAsia="zh-CN"/>
        </w:rPr>
        <w:t>的社保证明材料复印件，加盖供应商公章。）</w:t>
      </w:r>
    </w:p>
    <w:p w14:paraId="286E3F99">
      <w:pPr>
        <w:spacing w:line="400" w:lineRule="exact"/>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注：拟派本项目的</w:t>
      </w:r>
      <w:r>
        <w:rPr>
          <w:rFonts w:hint="eastAsia" w:ascii="宋体" w:hAnsi="宋体" w:eastAsia="宋体" w:cs="宋体"/>
          <w:b w:val="0"/>
          <w:bCs w:val="0"/>
          <w:color w:val="000000"/>
          <w:sz w:val="24"/>
          <w:szCs w:val="24"/>
          <w:highlight w:val="none"/>
          <w:lang w:eastAsia="zh-CN"/>
        </w:rPr>
        <w:t>项目经理</w:t>
      </w:r>
      <w:r>
        <w:rPr>
          <w:rFonts w:hint="eastAsia" w:ascii="宋体" w:hAnsi="宋体" w:eastAsia="宋体" w:cs="宋体"/>
          <w:b w:val="0"/>
          <w:bCs w:val="0"/>
          <w:color w:val="000000"/>
          <w:sz w:val="24"/>
          <w:szCs w:val="24"/>
          <w:highlight w:val="none"/>
          <w:lang w:val="en-US" w:eastAsia="zh-CN"/>
        </w:rPr>
        <w:t>与</w:t>
      </w:r>
      <w:r>
        <w:rPr>
          <w:rFonts w:hint="eastAsia" w:ascii="宋体" w:hAnsi="宋体" w:eastAsia="宋体" w:cs="宋体"/>
          <w:b w:val="0"/>
          <w:bCs w:val="0"/>
          <w:color w:val="000000"/>
          <w:sz w:val="24"/>
          <w:szCs w:val="24"/>
          <w:highlight w:val="none"/>
          <w:lang w:eastAsia="zh-CN"/>
        </w:rPr>
        <w:t>项目技术负责人</w:t>
      </w:r>
      <w:r>
        <w:rPr>
          <w:rFonts w:hint="eastAsia" w:ascii="宋体" w:hAnsi="宋体" w:eastAsia="宋体" w:cs="宋体"/>
          <w:b w:val="0"/>
          <w:bCs w:val="0"/>
          <w:color w:val="000000"/>
          <w:sz w:val="24"/>
          <w:szCs w:val="24"/>
          <w:highlight w:val="none"/>
          <w:lang w:val="en-US" w:eastAsia="zh-CN"/>
        </w:rPr>
        <w:t>不得兼任。</w:t>
      </w:r>
    </w:p>
    <w:p w14:paraId="0822182E">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3.其他主要管理人员（项目经理</w:t>
      </w:r>
      <w:r>
        <w:rPr>
          <w:rFonts w:hint="eastAsia" w:ascii="宋体" w:hAnsi="宋体" w:eastAsia="宋体" w:cs="宋体"/>
          <w:b w:val="0"/>
          <w:bCs w:val="0"/>
          <w:color w:val="000000"/>
          <w:sz w:val="24"/>
          <w:szCs w:val="24"/>
          <w:highlight w:val="none"/>
          <w:lang w:val="en-US" w:eastAsia="zh-CN"/>
        </w:rPr>
        <w:t>与</w:t>
      </w:r>
      <w:r>
        <w:rPr>
          <w:rFonts w:hint="eastAsia" w:ascii="宋体" w:hAnsi="宋体" w:eastAsia="宋体" w:cs="宋体"/>
          <w:b w:val="0"/>
          <w:bCs w:val="0"/>
          <w:color w:val="000000"/>
          <w:sz w:val="24"/>
          <w:szCs w:val="24"/>
          <w:highlight w:val="none"/>
          <w:lang w:eastAsia="zh-CN"/>
        </w:rPr>
        <w:t>项目技术负责人</w:t>
      </w:r>
      <w:r>
        <w:rPr>
          <w:rFonts w:hint="eastAsia" w:ascii="宋体" w:hAnsi="宋体" w:eastAsia="宋体" w:cs="宋体"/>
          <w:b w:val="0"/>
          <w:bCs w:val="0"/>
          <w:color w:val="000000"/>
          <w:sz w:val="24"/>
          <w:szCs w:val="24"/>
          <w:highlight w:val="none"/>
          <w:lang w:val="en-US" w:eastAsia="zh-CN"/>
        </w:rPr>
        <w:t>除外</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2人</w:t>
      </w:r>
      <w:r>
        <w:rPr>
          <w:rFonts w:hint="eastAsia" w:ascii="宋体" w:hAnsi="宋体" w:eastAsia="宋体" w:cs="宋体"/>
          <w:b w:val="0"/>
          <w:bCs w:val="0"/>
          <w:color w:val="000000"/>
          <w:sz w:val="24"/>
          <w:szCs w:val="24"/>
          <w:highlight w:val="none"/>
          <w:lang w:eastAsia="zh-CN"/>
        </w:rPr>
        <w:t>）</w:t>
      </w:r>
    </w:p>
    <w:p w14:paraId="4D1038E8">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3.1</w:t>
      </w:r>
      <w:r>
        <w:rPr>
          <w:rFonts w:hint="eastAsia" w:ascii="宋体" w:hAnsi="宋体" w:eastAsia="宋体" w:cs="宋体"/>
          <w:b w:val="0"/>
          <w:bCs w:val="0"/>
          <w:color w:val="000000"/>
          <w:sz w:val="24"/>
          <w:szCs w:val="24"/>
          <w:highlight w:val="none"/>
          <w:lang w:eastAsia="zh-CN"/>
        </w:rPr>
        <w:t>供应商自行承诺成交后在签订合同之前，须按照建设行政主管部门的要求组建施工项目部，配置项目管理班子，出具任命文件。任命文件应当明确施工项目部的职责、岗位设置、人员配备，并书面通知建设单位。相关岗位管理人员（</w:t>
      </w:r>
      <w:r>
        <w:rPr>
          <w:rFonts w:hint="eastAsia" w:ascii="宋体" w:hAnsi="宋体" w:eastAsia="宋体" w:cs="宋体"/>
          <w:b w:val="0"/>
          <w:bCs w:val="0"/>
          <w:color w:val="000000"/>
          <w:sz w:val="24"/>
          <w:szCs w:val="24"/>
          <w:highlight w:val="none"/>
          <w:lang w:val="en-US" w:eastAsia="zh-CN"/>
        </w:rPr>
        <w:t>2人</w:t>
      </w:r>
      <w:r>
        <w:rPr>
          <w:rFonts w:hint="eastAsia" w:ascii="宋体" w:hAnsi="宋体" w:eastAsia="宋体" w:cs="宋体"/>
          <w:b w:val="0"/>
          <w:bCs w:val="0"/>
          <w:color w:val="000000"/>
          <w:sz w:val="24"/>
          <w:szCs w:val="24"/>
          <w:highlight w:val="none"/>
          <w:lang w:eastAsia="zh-CN"/>
        </w:rPr>
        <w:t>）应持有建设行政主管部门要求的岗位证书。（响应文件中同时提供：①</w:t>
      </w:r>
      <w:r>
        <w:rPr>
          <w:rFonts w:hint="eastAsia" w:ascii="宋体" w:hAnsi="宋体" w:eastAsia="宋体" w:cs="宋体"/>
          <w:b w:val="0"/>
          <w:bCs w:val="0"/>
          <w:color w:val="000000"/>
          <w:sz w:val="24"/>
          <w:szCs w:val="24"/>
          <w:highlight w:val="none"/>
          <w:lang w:val="en-US" w:eastAsia="zh-CN"/>
        </w:rPr>
        <w:t>提供人员名单及</w:t>
      </w:r>
      <w:r>
        <w:rPr>
          <w:rFonts w:hint="eastAsia" w:ascii="宋体" w:hAnsi="宋体" w:eastAsia="宋体" w:cs="宋体"/>
          <w:b w:val="0"/>
          <w:bCs w:val="0"/>
          <w:color w:val="000000"/>
          <w:sz w:val="24"/>
          <w:szCs w:val="24"/>
          <w:highlight w:val="none"/>
          <w:lang w:eastAsia="zh-CN"/>
        </w:rPr>
        <w:t>对应证书复印件、②供应商为其缴纳投标截止日</w:t>
      </w:r>
      <w:r>
        <w:rPr>
          <w:rFonts w:hint="eastAsia" w:ascii="宋体" w:hAnsi="宋体" w:eastAsia="宋体" w:cs="宋体"/>
          <w:color w:val="000000"/>
          <w:sz w:val="24"/>
          <w:szCs w:val="24"/>
          <w:highlight w:val="none"/>
          <w:lang w:val="en-US" w:eastAsia="zh-CN"/>
        </w:rPr>
        <w:t>前3</w:t>
      </w:r>
      <w:r>
        <w:rPr>
          <w:rFonts w:hint="eastAsia" w:ascii="宋体" w:hAnsi="宋体" w:eastAsia="宋体" w:cs="宋体"/>
          <w:color w:val="000000"/>
          <w:sz w:val="24"/>
          <w:szCs w:val="24"/>
          <w:highlight w:val="none"/>
          <w:lang w:eastAsia="zh-CN"/>
        </w:rPr>
        <w:t>个月</w:t>
      </w:r>
      <w:r>
        <w:rPr>
          <w:rFonts w:hint="eastAsia" w:ascii="宋体" w:hAnsi="宋体" w:eastAsia="宋体" w:cs="宋体"/>
          <w:color w:val="000000"/>
          <w:sz w:val="24"/>
          <w:szCs w:val="24"/>
          <w:highlight w:val="none"/>
          <w:lang w:val="en-US" w:eastAsia="zh-CN"/>
        </w:rPr>
        <w:t>中任意1月</w:t>
      </w:r>
      <w:r>
        <w:rPr>
          <w:rFonts w:hint="eastAsia" w:ascii="宋体" w:hAnsi="宋体" w:eastAsia="宋体" w:cs="宋体"/>
          <w:b w:val="0"/>
          <w:bCs w:val="0"/>
          <w:color w:val="000000"/>
          <w:sz w:val="24"/>
          <w:szCs w:val="24"/>
          <w:highlight w:val="none"/>
          <w:lang w:eastAsia="zh-CN"/>
        </w:rPr>
        <w:t>的社保证明材料复印件，加盖供应商公章。）</w:t>
      </w:r>
    </w:p>
    <w:p w14:paraId="441F5927">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3.2</w:t>
      </w:r>
      <w:r>
        <w:rPr>
          <w:rFonts w:hint="eastAsia" w:ascii="宋体" w:hAnsi="宋体" w:eastAsia="宋体" w:cs="宋体"/>
          <w:b w:val="0"/>
          <w:bCs w:val="0"/>
          <w:color w:val="000000"/>
          <w:sz w:val="24"/>
          <w:szCs w:val="24"/>
          <w:highlight w:val="none"/>
          <w:lang w:eastAsia="zh-CN"/>
        </w:rPr>
        <w:t>成交后不能满足该要求的，采购人有权拒绝签订合同，给采购人造成损失的，供应商依法承担违约赔偿责任。（响应文件中提供书面承诺（格式自拟），加盖供应商公章。）</w:t>
      </w:r>
    </w:p>
    <w:p w14:paraId="5CE99FFB">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4.其他</w:t>
      </w:r>
    </w:p>
    <w:p w14:paraId="0D0EE691">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4.</w:t>
      </w: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lang w:eastAsia="zh-CN"/>
        </w:rPr>
        <w:t>项目班子成员与供应商实际派驻现场的一致，否则采购人将终止合同，并要求供应商赔偿损失。</w:t>
      </w:r>
    </w:p>
    <w:p w14:paraId="71BC4E1F">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4.</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lang w:eastAsia="zh-CN"/>
        </w:rPr>
        <w:t>采购人有权根据团队人员服务情况向成交供应商提出更换施工团队人员，所其更换人员资质、从业经历等不得低于现有人员。</w:t>
      </w:r>
    </w:p>
    <w:p w14:paraId="78ECE8ED">
      <w:pPr>
        <w:spacing w:line="400" w:lineRule="exact"/>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4.3项目班子成员每个施工工作时间必须签字报到，每日以书面形式向采购方汇报工程进展。</w:t>
      </w:r>
    </w:p>
    <w:p w14:paraId="4C804E55">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【以上第4.1、4.2、4.3项，投标时响应文件中提供书面承诺（格式自拟），加盖供应商公章。】</w:t>
      </w:r>
    </w:p>
    <w:p w14:paraId="49E8DE36">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供应商应对上述提供资料的真实性负责并承诺无克隆件，采购人有权要求成交供应商在签订合同前提供原件复核，若在结果公示期间发现成交供应商提供了虚假资料，采购人有权取消其成交资格。</w:t>
      </w:r>
    </w:p>
    <w:p w14:paraId="04F08E09">
      <w:pPr>
        <w:pStyle w:val="4"/>
        <w:adjustRightInd w:val="0"/>
        <w:snapToGrid w:val="0"/>
        <w:spacing w:before="0" w:after="0" w:line="440" w:lineRule="exact"/>
        <w:rPr>
          <w:rFonts w:hint="eastAsia" w:ascii="宋体" w:hAnsi="宋体" w:eastAsia="宋体" w:cs="宋体"/>
          <w:color w:val="000000"/>
          <w:sz w:val="24"/>
          <w:szCs w:val="24"/>
          <w:highlight w:val="none"/>
          <w:lang w:val="en-US" w:eastAsia="zh-CN"/>
        </w:rPr>
      </w:pPr>
      <w:bookmarkStart w:id="51" w:name="_Toc30562"/>
      <w:bookmarkStart w:id="52" w:name="_Toc2149"/>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五、安全要求</w:t>
      </w:r>
      <w:bookmarkEnd w:id="51"/>
      <w:bookmarkEnd w:id="52"/>
    </w:p>
    <w:p w14:paraId="7529F79D">
      <w:pPr>
        <w:spacing w:line="400" w:lineRule="exact"/>
        <w:ind w:firstLine="480" w:firstLineChars="200"/>
        <w:rPr>
          <w:rFonts w:hint="eastAsia" w:ascii="宋体" w:hAnsi="宋体" w:eastAsia="宋体" w:cs="宋体"/>
          <w:color w:val="000000"/>
          <w:sz w:val="24"/>
          <w:szCs w:val="24"/>
          <w:highlight w:val="none"/>
          <w:lang w:val="en-US" w:eastAsia="zh-CN"/>
        </w:rPr>
      </w:pPr>
      <w:bookmarkStart w:id="53" w:name="_Toc21993"/>
      <w:r>
        <w:rPr>
          <w:rFonts w:hint="eastAsia" w:ascii="宋体" w:hAnsi="宋体" w:eastAsia="宋体" w:cs="宋体"/>
          <w:color w:val="000000"/>
          <w:sz w:val="24"/>
          <w:szCs w:val="24"/>
          <w:highlight w:val="none"/>
          <w:lang w:val="en-US" w:eastAsia="zh-CN"/>
        </w:rPr>
        <w:t>1.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承担全部赔偿责任。</w:t>
      </w:r>
    </w:p>
    <w:p w14:paraId="3D27B41C">
      <w:pPr>
        <w:spacing w:line="400" w:lineRule="exact"/>
        <w:ind w:firstLine="480" w:firstLineChars="200"/>
        <w:rPr>
          <w:rFonts w:hint="eastAsia" w:ascii="宋体" w:hAnsi="宋体" w:eastAsia="宋体" w:cs="宋体"/>
          <w:b w:val="0"/>
          <w:bCs w:val="0"/>
          <w:color w:val="000000"/>
          <w:sz w:val="24"/>
          <w:szCs w:val="24"/>
          <w:highlight w:val="none"/>
          <w:lang w:eastAsia="zh-CN"/>
        </w:rPr>
      </w:pPr>
      <w:r>
        <w:rPr>
          <w:rFonts w:hint="eastAsia" w:ascii="宋体" w:hAnsi="宋体" w:eastAsia="宋体" w:cs="宋体"/>
          <w:color w:val="000000"/>
          <w:sz w:val="24"/>
          <w:szCs w:val="24"/>
          <w:highlight w:val="none"/>
          <w:lang w:val="en-US" w:eastAsia="zh-CN"/>
        </w:rPr>
        <w:t>2.在施工过程中，成交供应商须做到安全施工、文明施工，并做好相应的施工</w:t>
      </w:r>
      <w:r>
        <w:rPr>
          <w:rFonts w:hint="eastAsia" w:ascii="宋体" w:hAnsi="宋体" w:eastAsia="宋体" w:cs="宋体"/>
          <w:color w:val="000000"/>
          <w:sz w:val="24"/>
          <w:szCs w:val="24"/>
          <w:highlight w:val="none"/>
          <w:lang w:eastAsia="zh-CN"/>
        </w:rPr>
        <w:t>应放置“警示”标志或标识</w:t>
      </w:r>
      <w:r>
        <w:rPr>
          <w:rFonts w:hint="eastAsia" w:ascii="宋体" w:hAnsi="宋体" w:eastAsia="宋体" w:cs="宋体"/>
          <w:color w:val="000000"/>
          <w:sz w:val="24"/>
          <w:szCs w:val="24"/>
          <w:highlight w:val="none"/>
          <w:lang w:val="en-US" w:eastAsia="zh-CN"/>
        </w:rPr>
        <w:t>，施工过程中发生的一切安全事故由成交供应商自行负责处理。成交供应商应当与其施工人员建立劳动关系，承担全部用人用工主体责任。</w:t>
      </w:r>
      <w:bookmarkEnd w:id="53"/>
      <w:r>
        <w:rPr>
          <w:rFonts w:hint="eastAsia" w:ascii="宋体" w:hAnsi="宋体" w:eastAsia="宋体" w:cs="宋体"/>
          <w:b w:val="0"/>
          <w:bCs w:val="0"/>
          <w:color w:val="000000"/>
          <w:sz w:val="24"/>
          <w:szCs w:val="24"/>
          <w:highlight w:val="none"/>
          <w:lang w:eastAsia="zh-CN"/>
        </w:rPr>
        <w:t>（响应文件中提供书面承诺（格式自拟），加盖供应商公章。）</w:t>
      </w:r>
    </w:p>
    <w:p w14:paraId="0F82A3EC">
      <w:pPr>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成交供应商承诺在施工前须为涉案工程投保团体意外险或安全责任险等建工类商业保险，施工过程中发生的一切安全事故由成交供应商自行负责处理。</w:t>
      </w:r>
    </w:p>
    <w:p w14:paraId="0BFBFAC3">
      <w:pPr>
        <w:pStyle w:val="4"/>
        <w:adjustRightInd w:val="0"/>
        <w:snapToGrid w:val="0"/>
        <w:spacing w:before="0" w:after="0" w:line="440" w:lineRule="exact"/>
        <w:rPr>
          <w:rFonts w:hint="eastAsia" w:ascii="宋体" w:hAnsi="宋体" w:eastAsia="宋体" w:cs="宋体"/>
          <w:color w:val="000000"/>
          <w:sz w:val="24"/>
          <w:szCs w:val="24"/>
          <w:highlight w:val="none"/>
          <w:lang w:val="en-US" w:eastAsia="zh-CN"/>
        </w:rPr>
      </w:pPr>
      <w:bookmarkStart w:id="54" w:name="_Toc20058"/>
      <w:bookmarkStart w:id="55" w:name="_Toc2355"/>
      <w:bookmarkStart w:id="56" w:name="_Toc15330"/>
      <w:r>
        <w:rPr>
          <w:rFonts w:hint="eastAsia" w:ascii="宋体" w:hAnsi="宋体" w:eastAsia="宋体" w:cs="宋体"/>
          <w:color w:val="000000"/>
          <w:sz w:val="24"/>
          <w:szCs w:val="24"/>
          <w:highlight w:val="none"/>
          <w:lang w:val="en-US" w:eastAsia="zh-CN"/>
        </w:rPr>
        <w:t>六、现场踏勘</w:t>
      </w:r>
      <w:bookmarkEnd w:id="54"/>
      <w:bookmarkEnd w:id="55"/>
      <w:bookmarkEnd w:id="56"/>
    </w:p>
    <w:p w14:paraId="1E55F522">
      <w:pPr>
        <w:spacing w:line="400" w:lineRule="exact"/>
        <w:ind w:firstLine="480" w:firstLineChars="200"/>
        <w:rPr>
          <w:rFonts w:hint="eastAsia" w:ascii="宋体" w:hAnsi="宋体" w:eastAsia="宋体" w:cs="宋体"/>
          <w:color w:val="000000"/>
          <w:sz w:val="24"/>
          <w:szCs w:val="24"/>
          <w:highlight w:val="none"/>
          <w:lang w:val="en-US" w:eastAsia="zh-CN"/>
        </w:rPr>
      </w:pPr>
      <w:bookmarkStart w:id="57" w:name="_Toc12562"/>
      <w:bookmarkStart w:id="58" w:name="_Toc312"/>
      <w:bookmarkStart w:id="59" w:name="_Toc10204"/>
      <w:r>
        <w:rPr>
          <w:rFonts w:hint="eastAsia" w:ascii="宋体" w:hAnsi="宋体" w:eastAsia="宋体" w:cs="宋体"/>
          <w:color w:val="000000"/>
          <w:sz w:val="24"/>
          <w:szCs w:val="24"/>
          <w:highlight w:val="none"/>
          <w:lang w:val="en-US" w:eastAsia="zh-CN"/>
        </w:rPr>
        <w:t>请各供应商自行踏勘施工现场，以充分了解工地位置、地质情况、进出场道路、施工干扰、储存空间、装卸限制、行车干扰及任何其它足以影响承包价格的情况，任何因忽视或误解工地情况而导致的索赔或工期延长申请将不获批准。磋商时如未踏堪现场视为已踏堪，踏勘费用由磋商供应商自行承担。</w:t>
      </w:r>
    </w:p>
    <w:p w14:paraId="25BE4510">
      <w:pPr>
        <w:pStyle w:val="4"/>
        <w:adjustRightInd w:val="0"/>
        <w:snapToGrid w:val="0"/>
        <w:spacing w:before="0" w:after="0" w:line="440" w:lineRule="exact"/>
        <w:rPr>
          <w:rFonts w:hint="eastAsia" w:ascii="宋体" w:hAnsi="宋体" w:eastAsia="宋体" w:cs="宋体"/>
          <w:color w:val="000000"/>
          <w:sz w:val="24"/>
          <w:szCs w:val="24"/>
          <w:highlight w:val="none"/>
          <w:lang w:val="en-US" w:eastAsia="zh-CN"/>
        </w:rPr>
      </w:pPr>
      <w:bookmarkStart w:id="60" w:name="_Toc16561"/>
      <w:r>
        <w:rPr>
          <w:rFonts w:hint="eastAsia" w:ascii="宋体" w:hAnsi="宋体" w:eastAsia="宋体" w:cs="宋体"/>
          <w:color w:val="000000"/>
          <w:sz w:val="24"/>
          <w:szCs w:val="24"/>
          <w:highlight w:val="none"/>
          <w:lang w:val="en-US" w:eastAsia="zh-CN"/>
        </w:rPr>
        <w:t>七、附件</w:t>
      </w:r>
      <w:bookmarkEnd w:id="57"/>
      <w:bookmarkEnd w:id="58"/>
      <w:bookmarkEnd w:id="59"/>
      <w:bookmarkEnd w:id="60"/>
    </w:p>
    <w:p w14:paraId="10D16063">
      <w:pPr>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附件1-施工图</w:t>
      </w:r>
    </w:p>
    <w:p w14:paraId="54A8BEFD">
      <w:pPr>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附件2-工程量清单</w:t>
      </w:r>
    </w:p>
    <w:p w14:paraId="26DD510A">
      <w:pPr>
        <w:spacing w:line="400" w:lineRule="exact"/>
        <w:ind w:firstLine="480"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说明：施工图中工程名称与竞争性磋商文件所示磋商项目名称不一致的，以竞争性磋商文件所示磋商项目名称为准。</w:t>
      </w:r>
    </w:p>
    <w:p w14:paraId="4824D62B">
      <w:pPr>
        <w:rPr>
          <w:rFonts w:ascii="宋体" w:hAnsi="宋体" w:cs="宋体"/>
          <w:sz w:val="36"/>
          <w:szCs w:val="30"/>
          <w:highlight w:val="none"/>
        </w:rPr>
      </w:pPr>
    </w:p>
    <w:p w14:paraId="79B06A9F">
      <w:pPr>
        <w:pStyle w:val="2"/>
        <w:rPr>
          <w:rFonts w:ascii="宋体" w:hAnsi="宋体" w:cs="宋体"/>
          <w:sz w:val="36"/>
          <w:szCs w:val="30"/>
          <w:highlight w:val="none"/>
        </w:rPr>
      </w:pPr>
    </w:p>
    <w:p w14:paraId="7C02BDE9">
      <w:pPr>
        <w:rPr>
          <w:rFonts w:ascii="宋体" w:hAnsi="宋体" w:cs="宋体"/>
          <w:sz w:val="36"/>
          <w:szCs w:val="30"/>
          <w:highlight w:val="none"/>
        </w:rPr>
      </w:pPr>
    </w:p>
    <w:p w14:paraId="1944BEDE">
      <w:pPr>
        <w:pStyle w:val="56"/>
        <w:rPr>
          <w:rFonts w:ascii="宋体" w:hAnsi="宋体" w:cs="宋体"/>
          <w:sz w:val="36"/>
          <w:szCs w:val="30"/>
          <w:highlight w:val="none"/>
        </w:rPr>
      </w:pPr>
    </w:p>
    <w:p w14:paraId="2866215B">
      <w:pPr>
        <w:rPr>
          <w:rFonts w:ascii="宋体" w:hAnsi="宋体" w:cs="宋体"/>
          <w:sz w:val="36"/>
          <w:szCs w:val="30"/>
          <w:highlight w:val="none"/>
        </w:rPr>
      </w:pPr>
    </w:p>
    <w:p w14:paraId="478629D1">
      <w:pPr>
        <w:pStyle w:val="2"/>
        <w:rPr>
          <w:highlight w:val="none"/>
        </w:rPr>
      </w:pPr>
    </w:p>
    <w:p w14:paraId="17981ABA">
      <w:pPr>
        <w:rPr>
          <w:highlight w:val="none"/>
        </w:rPr>
      </w:pPr>
    </w:p>
    <w:p w14:paraId="5F0F94A6">
      <w:pPr>
        <w:pStyle w:val="4"/>
        <w:spacing w:before="0" w:after="0" w:line="360" w:lineRule="auto"/>
        <w:jc w:val="center"/>
        <w:rPr>
          <w:rFonts w:ascii="宋体" w:hAnsi="宋体" w:eastAsia="宋体" w:cs="宋体"/>
          <w:b w:val="0"/>
          <w:sz w:val="36"/>
          <w:szCs w:val="30"/>
          <w:highlight w:val="none"/>
        </w:rPr>
      </w:pPr>
      <w:bookmarkStart w:id="61" w:name="_Toc27803"/>
      <w:r>
        <w:rPr>
          <w:rFonts w:hint="eastAsia" w:ascii="宋体" w:hAnsi="宋体" w:eastAsia="宋体" w:cs="宋体"/>
          <w:b w:val="0"/>
          <w:sz w:val="36"/>
          <w:szCs w:val="30"/>
          <w:highlight w:val="none"/>
        </w:rPr>
        <w:t xml:space="preserve">第三篇  </w:t>
      </w:r>
      <w:bookmarkEnd w:id="42"/>
      <w:r>
        <w:rPr>
          <w:rFonts w:hint="eastAsia" w:ascii="宋体" w:hAnsi="宋体" w:eastAsia="宋体" w:cs="宋体"/>
          <w:b w:val="0"/>
          <w:sz w:val="36"/>
          <w:szCs w:val="30"/>
          <w:highlight w:val="none"/>
        </w:rPr>
        <w:t>项目商务需求</w:t>
      </w:r>
      <w:bookmarkEnd w:id="43"/>
      <w:bookmarkEnd w:id="61"/>
    </w:p>
    <w:p w14:paraId="5D772917">
      <w:pPr>
        <w:spacing w:line="400" w:lineRule="exact"/>
        <w:ind w:firstLine="480" w:firstLineChars="200"/>
        <w:rPr>
          <w:rFonts w:hint="eastAsia" w:ascii="宋体" w:hAnsi="宋体" w:eastAsia="宋体" w:cs="宋体"/>
          <w:color w:val="000000"/>
          <w:sz w:val="24"/>
          <w:szCs w:val="24"/>
          <w:highlight w:val="none"/>
          <w:lang w:eastAsia="zh-CN"/>
        </w:rPr>
      </w:pPr>
      <w:bookmarkStart w:id="62" w:name="_Toc344475120"/>
      <w:bookmarkStart w:id="63" w:name="_Toc4212"/>
      <w:bookmarkStart w:id="64" w:name="_Toc25072"/>
      <w:bookmarkStart w:id="65" w:name="_Toc267320054"/>
      <w:bookmarkStart w:id="66" w:name="_Toc48721140"/>
      <w:bookmarkStart w:id="67" w:name="_Toc4834"/>
      <w:bookmarkStart w:id="68" w:name="_Toc488396817"/>
      <w:r>
        <w:rPr>
          <w:rFonts w:hint="eastAsia" w:ascii="宋体" w:hAnsi="宋体" w:eastAsia="宋体" w:cs="宋体"/>
          <w:color w:val="000000"/>
          <w:sz w:val="24"/>
          <w:szCs w:val="24"/>
          <w:highlight w:val="none"/>
          <w:lang w:eastAsia="zh-CN"/>
        </w:rPr>
        <w:t>“※”标注的商务需求为符合性审查中的实质性要求，响应文件若不满足按无效响应处理。</w:t>
      </w:r>
    </w:p>
    <w:p w14:paraId="5C2E6FAF">
      <w:pPr>
        <w:pStyle w:val="4"/>
        <w:adjustRightInd w:val="0"/>
        <w:snapToGrid w:val="0"/>
        <w:spacing w:before="0" w:after="0" w:line="400" w:lineRule="exact"/>
        <w:ind w:firstLine="482" w:firstLineChars="200"/>
        <w:rPr>
          <w:rFonts w:hint="eastAsia" w:ascii="宋体" w:hAnsi="宋体" w:eastAsia="宋体" w:cs="宋体"/>
          <w:color w:val="000000"/>
          <w:sz w:val="24"/>
          <w:szCs w:val="24"/>
          <w:highlight w:val="none"/>
        </w:rPr>
      </w:pPr>
      <w:bookmarkStart w:id="69" w:name="_Toc12616"/>
      <w:bookmarkStart w:id="70" w:name="_Toc15746"/>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一、</w:t>
      </w:r>
      <w:bookmarkEnd w:id="62"/>
      <w:bookmarkEnd w:id="63"/>
      <w:bookmarkStart w:id="71" w:name="_Toc344475123"/>
      <w:bookmarkStart w:id="72" w:name="_Toc75356426"/>
      <w:bookmarkStart w:id="73" w:name="_Toc2183"/>
      <w:bookmarkStart w:id="74" w:name="_Toc466546917"/>
      <w:r>
        <w:rPr>
          <w:rFonts w:hint="eastAsia" w:ascii="宋体" w:hAnsi="宋体" w:eastAsia="宋体" w:cs="宋体"/>
          <w:color w:val="000000"/>
          <w:sz w:val="24"/>
          <w:szCs w:val="24"/>
          <w:highlight w:val="none"/>
        </w:rPr>
        <w:t>工期、地点及验收方式</w:t>
      </w:r>
      <w:bookmarkEnd w:id="69"/>
      <w:bookmarkEnd w:id="70"/>
    </w:p>
    <w:p w14:paraId="31CF4BD1">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（一）工期：</w:t>
      </w:r>
      <w:r>
        <w:rPr>
          <w:rFonts w:hint="eastAsia" w:ascii="宋体" w:hAnsi="宋体" w:eastAsia="宋体" w:cs="宋体"/>
          <w:color w:val="000000"/>
          <w:sz w:val="24"/>
          <w:szCs w:val="24"/>
          <w:highlight w:val="none"/>
          <w:lang w:eastAsia="zh-CN"/>
        </w:rPr>
        <w:t>合同签订后采购人（监理）下达开工报告后</w:t>
      </w:r>
      <w:r>
        <w:rPr>
          <w:rFonts w:hint="eastAsia" w:ascii="宋体" w:hAnsi="宋体" w:cs="宋体"/>
          <w:color w:val="000000"/>
          <w:sz w:val="24"/>
          <w:szCs w:val="24"/>
          <w:highlight w:val="none"/>
          <w:lang w:val="en-US" w:eastAsia="zh-CN"/>
        </w:rPr>
        <w:t>20</w:t>
      </w:r>
      <w:r>
        <w:rPr>
          <w:rFonts w:hint="eastAsia" w:ascii="宋体" w:hAnsi="宋体" w:eastAsia="宋体" w:cs="宋体"/>
          <w:color w:val="000000"/>
          <w:sz w:val="24"/>
          <w:szCs w:val="24"/>
          <w:highlight w:val="none"/>
          <w:lang w:eastAsia="zh-CN"/>
        </w:rPr>
        <w:t>日历天，具体开工日期以采购人（监理）下达的开工令为准。缺陷责任期：</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个月。</w:t>
      </w:r>
    </w:p>
    <w:p w14:paraId="27A1F7CC">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（二）项目地点：采购人指定地点</w:t>
      </w:r>
    </w:p>
    <w:p w14:paraId="0F7AC712">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（三）验收方式：</w:t>
      </w:r>
    </w:p>
    <w:p w14:paraId="2DDE95CD">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1.成交供应商提供的所有施工设施设备和材料应有完善的质量检测手段和质量保证体系，必须符合国家标准和行业标准。</w:t>
      </w:r>
    </w:p>
    <w:p w14:paraId="194FC00F">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.施工过程应遵照现行国家有关及规程规范进行施工，按照有关要求进行检查验收。</w:t>
      </w:r>
    </w:p>
    <w:p w14:paraId="0D2E7465">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.工程完工后，采购人应在7个工作日内组织履约情况验收，验收合格后双方认可签字。</w:t>
      </w:r>
    </w:p>
    <w:p w14:paraId="159D284A">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．如验收达不到规定要求，需返工的工程所产生的费用以及对采购人造成的损失，成交供应商承担一切责任，并赔偿所有损失。</w:t>
      </w:r>
    </w:p>
    <w:p w14:paraId="12E373E0">
      <w:pPr>
        <w:pStyle w:val="4"/>
        <w:adjustRightInd w:val="0"/>
        <w:snapToGrid w:val="0"/>
        <w:spacing w:before="0" w:after="0" w:line="400" w:lineRule="exact"/>
        <w:ind w:firstLine="482" w:firstLineChars="200"/>
        <w:rPr>
          <w:rFonts w:hint="eastAsia" w:ascii="宋体" w:hAnsi="宋体" w:eastAsia="宋体" w:cs="宋体"/>
          <w:color w:val="000000"/>
          <w:sz w:val="24"/>
          <w:szCs w:val="24"/>
          <w:highlight w:val="none"/>
        </w:rPr>
      </w:pPr>
      <w:bookmarkStart w:id="75" w:name="_Toc25521"/>
      <w:bookmarkStart w:id="76" w:name="_Toc3746"/>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二、报价要求</w:t>
      </w:r>
      <w:bookmarkEnd w:id="75"/>
      <w:bookmarkEnd w:id="76"/>
    </w:p>
    <w:p w14:paraId="1DE232E1">
      <w:pPr>
        <w:snapToGrid w:val="0"/>
        <w:spacing w:line="400" w:lineRule="exact"/>
        <w:ind w:firstLine="480" w:firstLineChars="200"/>
        <w:jc w:val="left"/>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1.本次磋商报价须为人民币报价，采用工程量清单计价，工程量清单应采用综合单价计价。</w:t>
      </w:r>
    </w:p>
    <w:p w14:paraId="0CD5B627">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2.各供应商对采购人提供的工程量清单、施工图和现场情况进行自主报价。供应商必须完成磋商文件、工程量清单、施工图以及采购人为完善该工程而提出的所有工程内容。</w:t>
      </w:r>
    </w:p>
    <w:p w14:paraId="0ECB9266">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应商应按《建设工程工程量清单计价规范》（GB50500-2013）及重庆市相关工程量清单计价规则的要求填写相应清单表格。供应商应按第二篇项目技术（质量）需求、《重庆市建设工程费用定额》（CQFYDE-2018）、《重庆市住房和城乡建设委员会关于适用增值税新税率调整建设工程计价依据的通知》（渝建〔2019〕143号）和工程量清单的要求填写相应清单表格。供应商的投标报价应是第二篇项目技术（质量）需求中所述的本工程合同段采购范围内的全部工程的投标报价，并以供应商在工程量清单中提出的单价或总价为依据。</w:t>
      </w:r>
    </w:p>
    <w:p w14:paraId="53B735FE">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否则其响应文件视为无效响应。</w:t>
      </w:r>
    </w:p>
    <w:p w14:paraId="53BE8FFA">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5.竞争性磋商报价函中的总报价与已标价工程量清单总报价不一致，或工程量清单总报价与依据单价、工程数量、分部分项工程合价计算出的结果不一致，其响应文件视为无效响应。</w:t>
      </w:r>
    </w:p>
    <w:p w14:paraId="50AB7203">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6.在合同实施期间，综合单价不可调整。</w:t>
      </w:r>
    </w:p>
    <w:p w14:paraId="177E2837">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7.本项目将设置投标总报价最高限价，投标总报价最高限价详见第一篇</w:t>
      </w:r>
      <w:r>
        <w:rPr>
          <w:rFonts w:hint="eastAsia" w:ascii="宋体" w:hAnsi="宋体" w:eastAsia="宋体" w:cs="宋体"/>
          <w:color w:val="000000"/>
          <w:sz w:val="24"/>
          <w:szCs w:val="24"/>
          <w:highlight w:val="none"/>
          <w:lang w:eastAsia="zh-CN"/>
        </w:rPr>
        <w:t>竞争性磋商邀请书</w:t>
      </w:r>
      <w:r>
        <w:rPr>
          <w:rFonts w:hint="eastAsia" w:ascii="宋体" w:hAnsi="宋体" w:eastAsia="宋体" w:cs="宋体"/>
          <w:color w:val="000000"/>
          <w:sz w:val="24"/>
          <w:szCs w:val="24"/>
          <w:highlight w:val="none"/>
        </w:rPr>
        <w:t>一、竞争性磋商内容，供应商的投标总报价不得超过本项目总报价最高限价，分部分项清单综合单价报价不得高于采购人发布的分部分项清单综合单价，否则，将被认定为无效投标；各供应商的安全文明施工费按采购人发布的金额填报，不得浮动，否则其响应文件视为无效响应。</w:t>
      </w:r>
    </w:p>
    <w:p w14:paraId="1FF1530F">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.安全文明施工费：</w:t>
      </w:r>
    </w:p>
    <w:p w14:paraId="3CDD4D98">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1根据《重庆城乡建设委员会关于印发&lt;重庆市建设工程安全文明施工费计取及使用管理规定&gt;的通知》（渝建发〔2014〕25号）规定，安全文明施工费由安全施工费、文明施工费、环境保护费及临时设施费组成。</w:t>
      </w:r>
    </w:p>
    <w:p w14:paraId="18266C6F">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2本工程安全文明施工费由采购人根据《建设工程工程量清单计价规范》（GB50500-2013）、《重庆市建设工程工程量清单计价规则》（CQJJGZ-2013）、《重庆市城乡建设委员会关于印发&lt;重庆市建设工程安全文明施工费计取及使用管理规定&gt;的通知》（渝建发〔2014〕25号）、《重庆市建设工程费用定额》（CQFYDE-2018）、《重庆市住房和城乡建设委员会关于适用增值税新税率调整建设工程计价依据的通知》（渝建〔2019〕143号）、《重庆市建设工程安全文明施工费计取及使用管理规定》的通知（渝建管〔2024〕38号）文件的相关规定和费用标准单列计算，安全文明施工费为</w:t>
      </w:r>
      <w:r>
        <w:rPr>
          <w:rFonts w:hint="eastAsia" w:ascii="宋体" w:hAnsi="宋体" w:eastAsia="宋体" w:cs="宋体"/>
          <w:color w:val="000000"/>
          <w:sz w:val="24"/>
          <w:szCs w:val="24"/>
          <w:highlight w:val="none"/>
          <w:lang w:val="en-US" w:eastAsia="zh-CN"/>
        </w:rPr>
        <w:t>8263.18</w:t>
      </w:r>
      <w:r>
        <w:rPr>
          <w:rFonts w:hint="eastAsia" w:ascii="宋体" w:hAnsi="宋体" w:eastAsia="宋体" w:cs="宋体"/>
          <w:color w:val="000000"/>
          <w:sz w:val="24"/>
          <w:szCs w:val="24"/>
          <w:highlight w:val="none"/>
        </w:rPr>
        <w:t>元。《竞争性磋商报价函》中的安全文明施工费金额或工程量清单中安全文明施工费的汇总金额未按照采购人给出的金额填报的，视为对招标文件不作实质性响应，其响应文件视为无效响应。</w:t>
      </w:r>
    </w:p>
    <w:p w14:paraId="371F6AA3">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注：采用全费用清单计价的项目，安全文明施工费仅针对《竞争性磋商报价函》中的安全文明施工费进行评审。投标报价不能低于工程建设成本。不可竞争费用（安全文明施工费、规费、税金）费率严格执行重庆市建设行政主管部门发布的有关费用标准规定报价，不得低于标准进行报价。 </w:t>
      </w:r>
    </w:p>
    <w:p w14:paraId="3CCC3565">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.本工程所需的全部材料、设备由各供应商结合市场行情以及供应商的自身实力自主报价，承担材料价格涨跌风险，成交后材料价格均不作调整。</w:t>
      </w:r>
    </w:p>
    <w:p w14:paraId="56B7D0D4">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本项目建筑安装材料价格风险按照《重庆市城乡建设委员会关于进一步加强建筑安装材料价格风险管控的指导意见》（渝建〔2018〕61号）执行。本项目主要材料及设备价格风险内容、范围及调整方法为：不调整。    </w:t>
      </w:r>
    </w:p>
    <w:p w14:paraId="34FA6B4B">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.本工程采用增值税一般计税方法。</w:t>
      </w:r>
    </w:p>
    <w:p w14:paraId="3964A19C">
      <w:pPr>
        <w:snapToGrid w:val="0"/>
        <w:spacing w:line="480" w:lineRule="exact"/>
        <w:ind w:firstLine="482" w:firstLineChars="200"/>
        <w:rPr>
          <w:rFonts w:hint="eastAsia" w:ascii="宋体" w:hAnsi="宋体" w:eastAsia="宋体" w:cs="宋体"/>
          <w:b/>
          <w:bCs/>
          <w:color w:val="auto"/>
          <w:kern w:val="2"/>
          <w:sz w:val="24"/>
          <w:szCs w:val="24"/>
          <w:highlight w:val="none"/>
          <w:lang w:val="en-US" w:eastAsia="zh-CN" w:bidi="ar-SA"/>
        </w:rPr>
      </w:pPr>
      <w:bookmarkStart w:id="77" w:name="OLE_LINK4"/>
      <w:bookmarkStart w:id="78" w:name="_Toc32278"/>
      <w:bookmarkStart w:id="79" w:name="_Toc6316"/>
      <w:r>
        <w:rPr>
          <w:rFonts w:hint="eastAsia" w:ascii="宋体" w:hAnsi="宋体" w:eastAsia="宋体" w:cs="宋体"/>
          <w:b/>
          <w:bCs/>
          <w:color w:val="auto"/>
          <w:kern w:val="2"/>
          <w:sz w:val="24"/>
          <w:szCs w:val="24"/>
          <w:highlight w:val="none"/>
          <w:lang w:val="en-US" w:eastAsia="zh-CN" w:bidi="ar-SA"/>
        </w:rPr>
        <w:t>注：（1）本项目初始报价必须按照清单报价规则进行报价，最后报价按照工程总价进行报价。在结算时，该项目的分部分项综合单价和措施费（安全文明施工费除外）将由电子响应文件（初始报价）中的清单综合单价和措施费（安全文明施工费除外）分别按照最后报价与初始报价浮动比例进行同比例浮动。</w:t>
      </w:r>
    </w:p>
    <w:p w14:paraId="3EB4599A">
      <w:pPr>
        <w:snapToGrid w:val="0"/>
        <w:spacing w:line="48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公式如下：</w:t>
      </w:r>
    </w:p>
    <w:p w14:paraId="4138D035">
      <w:pPr>
        <w:snapToGrid w:val="0"/>
        <w:spacing w:line="48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例：分部分项综合单价合同价=分部分项综合单价初始报价×（最后报价总价÷初始报价总价）</w:t>
      </w:r>
    </w:p>
    <w:p w14:paraId="2E68BFD2">
      <w:pPr>
        <w:snapToGrid w:val="0"/>
        <w:spacing w:line="48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例：措施费（安全文明施工费除外）结算价=措施费（安全文明施工费除外）初始报价×（最后报价总价÷初始报价总价）</w:t>
      </w:r>
    </w:p>
    <w:bookmarkEnd w:id="77"/>
    <w:p w14:paraId="016A334F">
      <w:pPr>
        <w:snapToGrid w:val="0"/>
        <w:spacing w:line="48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供应商最后报价低于最高限价85%的，供应商须在提交最后报价表时同时提供书面说明，说明中须说明投标报价是否合理、如何控制成本等问题进行分析，并提供相应佐证材料，不得简单以设备自有闲置、亏本让利、低价占领市场等理由进行解释。供应商不提供说明或者不能说明其报价合理性的，磋商小组按无效响应处理；重要清单项报价低于最高限价 85%的，供应商须在提交最后报价表时逐项提交书面说明并提供相关证明材料（人、材、机及耗量等）；一般清单项报价低于最高限价 70%的，供应商须在提交最后报价表时逐项提交书面说明并提供相关证明材料（人、材、机及耗量等）。供应商不能合理说明或者没有提供相关证明材料的，磋商小组应当认定该供应商低于成本报价竞标，按无效响应处理”。</w:t>
      </w:r>
    </w:p>
    <w:p w14:paraId="2556FDF1">
      <w:pPr>
        <w:snapToGrid w:val="0"/>
        <w:spacing w:line="480" w:lineRule="exact"/>
        <w:ind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本工程最高限价已按沙坪坝区相关规定下浮5%，本工程全部清单综合单价按发布的招标控制价清单同比例下浮5%作为最高限价（安全文明施工费除外），供应商的每项清单综合单价报价不得超过每项清单综合单价最高限价，否则由磋商小组按无效响应处理。</w:t>
      </w:r>
    </w:p>
    <w:p w14:paraId="7D43A729">
      <w:pPr>
        <w:pStyle w:val="4"/>
        <w:adjustRightInd w:val="0"/>
        <w:snapToGrid w:val="0"/>
        <w:spacing w:before="0" w:after="0" w:line="40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三、结算原则</w:t>
      </w:r>
      <w:bookmarkEnd w:id="78"/>
      <w:bookmarkEnd w:id="79"/>
    </w:p>
    <w:p w14:paraId="70B43178">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本合同采用固定综合单价合同，综合单价不因工程量的增减（工程量的变化、施工方式的变化）而调整。除非合同另有约定，磋商报价的工程量清单中的综合单价均已包含但不限于供应商为实施和完成合同工程量清单项目所需的人工费、材料费、机械费、企业管理费、利润、风险费用。以实际完成量为准，施工量按实计量。</w:t>
      </w:r>
    </w:p>
    <w:p w14:paraId="010B7A9B">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（二）各部分的结算原则如下:</w:t>
      </w:r>
    </w:p>
    <w:p w14:paraId="2EA32E77">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分部分项综合单价合同价=分部分项综合单价初始报价×（最后报价总价÷初始报价总价）</w:t>
      </w:r>
    </w:p>
    <w:p w14:paraId="19E6C994">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例：措施费（安全文明施工费除外）合同价=措施费（安全文明施工费除外）初始报价×（最后报价总价÷初始报价总价）</w:t>
      </w:r>
    </w:p>
    <w:p w14:paraId="7240F21C">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子项工程量:工程量计算以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装饰装修工程计价定额》（CQZSDE-2018）、《重庆市房屋修缮工程计价定额》（CQFWXSDE-2018）、《重庆市安装工程计价定额》（CQAZDE-2018）、《重庆市建筑工程计价定额》（CQJZDE-2018）、《重庆市建设工程费用定额》（CQFYDE-2018）及其配套文件规定的计量规则计算的合格工程量作为结算依据。</w:t>
      </w:r>
    </w:p>
    <w:p w14:paraId="4C6CCDF0">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（三）设计变更费、新增项目</w:t>
      </w:r>
    </w:p>
    <w:p w14:paraId="6DA53FA7">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当发生设计变更或新增项目，采购人及监理按照下列计价原则结算：</w:t>
      </w:r>
    </w:p>
    <w:p w14:paraId="2A8E2D4E">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①已标价工程量清单中有适用于变更工作的子目，采用该子目的综合单价。</w:t>
      </w:r>
    </w:p>
    <w:p w14:paraId="42DADD21">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发包人充分结合施工期市场核定的价格执行，并不高于施工同期《重庆工程造价信息》，调整后的综合单价作为类似子目的综合单价(类似项目由采购人确定，投标的人工、材料单价表作为合同附件)。</w:t>
      </w:r>
    </w:p>
    <w:p w14:paraId="61B1BCE1">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③已标价工程量清单中无适用或类似子目的综合单价，以市场价格为计价基础，据实认价。</w:t>
      </w:r>
    </w:p>
    <w:p w14:paraId="5C4923E3">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安全文明施工费: 根据《重庆市建设工程费用定额（2018）》文并结合渝建〔2019〕143号文、《重庆市建设工程安全文明施工费计取及使用管理规定》的通知（渝建管〔2024〕38号）文件按“合格”标准计取。</w:t>
      </w:r>
    </w:p>
    <w:p w14:paraId="510752C2">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规费：已标价工程量清单中规费费用按《重庆市建设工程费用定额》（CQFYDE-2018）执行。</w:t>
      </w:r>
    </w:p>
    <w:p w14:paraId="658B1596">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税金：包含增值税、城市维护建设税、教育费附加、地方教育附加以及环境保护税。其中增 值税按《重庆市建设工程费用定额》（CQFYDE-2018）、《重庆市城乡建设委员会关于适用增值税新税 率调整建设工程计价依据的通知》（渝建〔2019〕143 号）规定执行，环境保护税按实结算。</w:t>
      </w:r>
    </w:p>
    <w:p w14:paraId="11379005">
      <w:pPr>
        <w:snapToGrid w:val="0"/>
        <w:spacing w:line="400" w:lineRule="exact"/>
        <w:ind w:firstLine="480" w:firstLineChars="200"/>
        <w:jc w:val="left"/>
        <w:rPr>
          <w:rFonts w:hint="eastAsia" w:ascii="宋体" w:hAnsi="宋体" w:eastAsia="宋体" w:cs="宋体"/>
          <w:color w:val="000000"/>
          <w:sz w:val="24"/>
          <w:szCs w:val="24"/>
          <w:highlight w:val="none"/>
        </w:rPr>
      </w:pPr>
      <w:bookmarkStart w:id="80" w:name="OLE_LINK1"/>
      <w:r>
        <w:rPr>
          <w:rFonts w:hint="eastAsia" w:ascii="宋体" w:hAnsi="宋体" w:eastAsia="宋体" w:cs="宋体"/>
          <w:color w:val="000000"/>
          <w:sz w:val="24"/>
          <w:szCs w:val="24"/>
          <w:highlight w:val="none"/>
        </w:rPr>
        <w:t>（四）最终结算原则</w:t>
      </w:r>
    </w:p>
    <w:p w14:paraId="204C9485">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结算总价={分部分项工程量清单投标报价综合单价×实际完成的合格工程量+措施项目费（安全文明施工费除外）+变更价款}×合同价格+安全文明施工费+规费+税金+合同约定其他费用（如有）</w:t>
      </w:r>
    </w:p>
    <w:p w14:paraId="5FD5EB57">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合同履行中</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需追加与合同标的相同的货物、工程或者服务的，在不改变合同其他条款的前提下，可以与供应商协商签订补充合同。</w:t>
      </w:r>
    </w:p>
    <w:p w14:paraId="35931DBA">
      <w:pPr>
        <w:pStyle w:val="4"/>
        <w:adjustRightInd w:val="0"/>
        <w:snapToGrid w:val="0"/>
        <w:spacing w:before="0" w:after="0" w:line="400" w:lineRule="exact"/>
        <w:ind w:firstLine="456" w:firstLineChars="200"/>
        <w:rPr>
          <w:rFonts w:hint="eastAsia" w:ascii="宋体" w:hAnsi="宋体" w:eastAsia="宋体" w:cs="宋体"/>
          <w:b w:val="0"/>
          <w:color w:val="000000"/>
          <w:spacing w:val="-6"/>
          <w:kern w:val="2"/>
          <w:sz w:val="24"/>
          <w:szCs w:val="24"/>
          <w:highlight w:val="none"/>
          <w:lang w:val="en-US" w:eastAsia="zh-CN" w:bidi="ar-SA"/>
        </w:rPr>
      </w:pPr>
      <w:bookmarkStart w:id="81" w:name="_Toc11371"/>
      <w:bookmarkStart w:id="82" w:name="_Toc128"/>
      <w:bookmarkStart w:id="83" w:name="_Toc16695"/>
      <w:r>
        <w:rPr>
          <w:rFonts w:hint="eastAsia" w:ascii="宋体" w:hAnsi="宋体" w:eastAsia="宋体" w:cs="宋体"/>
          <w:b w:val="0"/>
          <w:color w:val="000000"/>
          <w:spacing w:val="-6"/>
          <w:kern w:val="2"/>
          <w:sz w:val="24"/>
          <w:szCs w:val="24"/>
          <w:highlight w:val="none"/>
          <w:lang w:val="en-US" w:eastAsia="zh-CN" w:bidi="ar-SA"/>
        </w:rPr>
        <w:t>本工程结算价最终以重庆市沙坪坝区财政指定的第三方造价咨询机构审定金额为准。</w:t>
      </w:r>
      <w:bookmarkEnd w:id="81"/>
      <w:bookmarkEnd w:id="82"/>
      <w:bookmarkEnd w:id="83"/>
    </w:p>
    <w:bookmarkEnd w:id="80"/>
    <w:p w14:paraId="7E1FDDC2">
      <w:pPr>
        <w:pStyle w:val="4"/>
        <w:adjustRightInd w:val="0"/>
        <w:snapToGrid w:val="0"/>
        <w:spacing w:before="0" w:after="0" w:line="400" w:lineRule="exact"/>
        <w:ind w:firstLine="482" w:firstLineChars="200"/>
        <w:rPr>
          <w:rFonts w:hint="eastAsia" w:ascii="宋体" w:hAnsi="宋体" w:eastAsia="宋体" w:cs="宋体"/>
          <w:color w:val="000000"/>
          <w:sz w:val="24"/>
          <w:szCs w:val="24"/>
          <w:highlight w:val="none"/>
        </w:rPr>
      </w:pPr>
      <w:bookmarkStart w:id="84" w:name="_Toc31901"/>
      <w:bookmarkStart w:id="85" w:name="_Toc2902"/>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四、质保期及售后服务</w:t>
      </w:r>
      <w:bookmarkEnd w:id="84"/>
      <w:bookmarkEnd w:id="85"/>
    </w:p>
    <w:p w14:paraId="68D99F61">
      <w:pPr>
        <w:spacing w:line="40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（一）本项目缺陷责任期</w:t>
      </w:r>
      <w:r>
        <w:rPr>
          <w:rFonts w:hint="eastAsia" w:ascii="宋体" w:hAnsi="宋体" w:eastAsia="宋体" w:cs="宋体"/>
          <w:b w:val="0"/>
          <w:bCs w:val="0"/>
          <w:color w:val="000000"/>
          <w:sz w:val="24"/>
          <w:szCs w:val="24"/>
          <w:highlight w:val="none"/>
          <w:lang w:val="en-US" w:eastAsia="zh-CN"/>
        </w:rPr>
        <w:t>24</w:t>
      </w:r>
      <w:r>
        <w:rPr>
          <w:rFonts w:hint="eastAsia" w:ascii="宋体" w:hAnsi="宋体" w:eastAsia="宋体" w:cs="宋体"/>
          <w:b w:val="0"/>
          <w:bCs w:val="0"/>
          <w:color w:val="000000"/>
          <w:sz w:val="24"/>
          <w:szCs w:val="24"/>
          <w:highlight w:val="none"/>
        </w:rPr>
        <w:t>个月，从本工程竣工验收合格之日起计算，按国家规定对所有项目进行质保。工程质量保证期为2年</w:t>
      </w:r>
      <w:r>
        <w:rPr>
          <w:rFonts w:hint="eastAsia" w:ascii="宋体" w:hAnsi="宋体" w:cs="宋体"/>
          <w:b w:val="0"/>
          <w:bCs w:val="0"/>
          <w:color w:val="000000"/>
          <w:sz w:val="24"/>
          <w:szCs w:val="24"/>
          <w:highlight w:val="none"/>
          <w:lang w:eastAsia="zh-CN"/>
        </w:rPr>
        <w:t>，</w:t>
      </w:r>
      <w:r>
        <w:rPr>
          <w:rFonts w:hint="eastAsia" w:ascii="宋体" w:hAnsi="宋体" w:cs="宋体"/>
          <w:color w:val="000000"/>
          <w:sz w:val="24"/>
          <w:szCs w:val="24"/>
          <w:highlight w:val="none"/>
          <w:lang w:eastAsia="zh-CN"/>
        </w:rPr>
        <w:t>其中</w:t>
      </w:r>
      <w:r>
        <w:rPr>
          <w:rFonts w:hint="eastAsia" w:ascii="宋体" w:hAnsi="宋体" w:cs="宋体"/>
          <w:sz w:val="24"/>
          <w:szCs w:val="24"/>
          <w:highlight w:val="none"/>
          <w:lang w:val="en-US" w:eastAsia="zh-CN"/>
        </w:rPr>
        <w:t>防水工程为5年</w:t>
      </w:r>
      <w:r>
        <w:rPr>
          <w:rFonts w:hint="eastAsia" w:ascii="宋体" w:hAnsi="宋体" w:eastAsia="宋体" w:cs="宋体"/>
          <w:b w:val="0"/>
          <w:bCs w:val="0"/>
          <w:color w:val="000000"/>
          <w:sz w:val="24"/>
          <w:szCs w:val="24"/>
          <w:highlight w:val="none"/>
        </w:rPr>
        <w:t>。若质量保证期间项目出现质量问题进行及时更换或维修。</w:t>
      </w:r>
      <w:r>
        <w:rPr>
          <w:rFonts w:hint="eastAsia" w:ascii="宋体" w:hAnsi="宋体" w:eastAsia="宋体" w:cs="宋体"/>
          <w:b w:val="0"/>
          <w:bCs w:val="0"/>
          <w:color w:val="000000"/>
          <w:sz w:val="24"/>
          <w:szCs w:val="24"/>
          <w:highlight w:val="none"/>
          <w:lang w:eastAsia="zh-CN"/>
        </w:rPr>
        <w:t>（响应文件中提供书面承诺（格式自拟），加盖供应商公章。）</w:t>
      </w:r>
    </w:p>
    <w:p w14:paraId="1B948642">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（二）质量保证期内，所有施工质量缺陷的维修（非人为损坏）均为免费。</w:t>
      </w:r>
    </w:p>
    <w:p w14:paraId="679CB2D2">
      <w:pPr>
        <w:spacing w:line="400" w:lineRule="exact"/>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rPr>
        <w:t>（三）质量保证期内，所有缺陷维修均为现场服务，由此产生的费用均不再收取。成交供应商应在采购人通知72小时内到现场进行维修，</w:t>
      </w:r>
      <w:r>
        <w:rPr>
          <w:rFonts w:hint="eastAsia" w:ascii="宋体" w:hAnsi="宋体" w:eastAsia="宋体" w:cs="宋体"/>
          <w:color w:val="000000"/>
          <w:sz w:val="24"/>
          <w:szCs w:val="24"/>
          <w:highlight w:val="none"/>
          <w:lang w:eastAsia="zh-CN"/>
        </w:rPr>
        <w:t>紧急需维修事项</w:t>
      </w:r>
      <w:r>
        <w:rPr>
          <w:rFonts w:hint="eastAsia" w:ascii="宋体" w:hAnsi="宋体" w:eastAsia="宋体" w:cs="宋体"/>
          <w:color w:val="000000"/>
          <w:sz w:val="24"/>
          <w:szCs w:val="24"/>
          <w:highlight w:val="none"/>
          <w:lang w:val="en-US" w:eastAsia="zh-CN"/>
        </w:rPr>
        <w:t>4小时内修复。</w:t>
      </w:r>
      <w:r>
        <w:rPr>
          <w:rFonts w:hint="eastAsia" w:ascii="宋体" w:hAnsi="宋体" w:eastAsia="宋体" w:cs="宋体"/>
          <w:color w:val="000000"/>
          <w:sz w:val="24"/>
          <w:szCs w:val="24"/>
          <w:highlight w:val="none"/>
        </w:rPr>
        <w:t>如质量保证期内成交供应商未按时间要求对工程质量问题进行整改，采购人有权从质保金中安排资金用于维修及赔偿，如有不足，将通过法律途径向成交供应商追偿。</w:t>
      </w:r>
      <w:r>
        <w:rPr>
          <w:rFonts w:hint="eastAsia" w:ascii="宋体" w:hAnsi="宋体" w:eastAsia="宋体" w:cs="宋体"/>
          <w:color w:val="000000"/>
          <w:sz w:val="24"/>
          <w:szCs w:val="24"/>
          <w:highlight w:val="none"/>
          <w:lang w:eastAsia="zh-CN"/>
        </w:rPr>
        <w:t>超过</w:t>
      </w:r>
      <w:r>
        <w:rPr>
          <w:rFonts w:hint="eastAsia" w:ascii="宋体" w:hAnsi="宋体" w:eastAsia="宋体" w:cs="宋体"/>
          <w:color w:val="000000"/>
          <w:sz w:val="24"/>
          <w:szCs w:val="24"/>
          <w:highlight w:val="none"/>
          <w:lang w:val="en-US" w:eastAsia="zh-CN"/>
        </w:rPr>
        <w:t>质保期外第三年开始需要维修整改的，由采购人出维修材料，成交供应商出人工费用，超过4年需要维修的，由采购人承担材料费和人工费，且</w:t>
      </w: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lang w:val="en-US" w:eastAsia="zh-CN"/>
        </w:rPr>
        <w:t>需提供最优惠的服务。</w:t>
      </w:r>
      <w:r>
        <w:rPr>
          <w:rFonts w:hint="eastAsia" w:ascii="宋体" w:hAnsi="宋体" w:eastAsia="宋体" w:cs="宋体"/>
          <w:b w:val="0"/>
          <w:bCs w:val="0"/>
          <w:color w:val="000000"/>
          <w:sz w:val="24"/>
          <w:szCs w:val="24"/>
          <w:highlight w:val="none"/>
          <w:lang w:eastAsia="zh-CN"/>
        </w:rPr>
        <w:t>（响应文件中提供书面承诺（格式自拟），加盖供应商公章。）</w:t>
      </w:r>
    </w:p>
    <w:p w14:paraId="7CDB5F60">
      <w:pPr>
        <w:pStyle w:val="4"/>
        <w:adjustRightInd w:val="0"/>
        <w:snapToGrid w:val="0"/>
        <w:spacing w:before="0" w:after="0" w:line="400" w:lineRule="exact"/>
        <w:ind w:firstLine="482" w:firstLineChars="200"/>
        <w:rPr>
          <w:rFonts w:hint="eastAsia" w:ascii="宋体" w:hAnsi="宋体" w:eastAsia="宋体" w:cs="宋体"/>
          <w:color w:val="000000"/>
          <w:sz w:val="24"/>
          <w:szCs w:val="24"/>
          <w:highlight w:val="none"/>
        </w:rPr>
      </w:pPr>
      <w:bookmarkStart w:id="86" w:name="_Toc23854"/>
      <w:bookmarkStart w:id="87" w:name="_Toc21286"/>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五、付款方式</w:t>
      </w:r>
      <w:bookmarkEnd w:id="86"/>
      <w:bookmarkEnd w:id="87"/>
    </w:p>
    <w:p w14:paraId="028DB069">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）预付款：无预付。</w:t>
      </w:r>
    </w:p>
    <w:p w14:paraId="6AB39A3F">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安全文明施工费：合同签订后，发包人在开工前按签约合同价中安全文明施工费的50％支付承包人，用于现场安全文明施工建设，余下安全文明施工费按施工进度支付。</w:t>
      </w:r>
    </w:p>
    <w:p w14:paraId="5A679E26">
      <w:pPr>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进度款支付：每月进度款支付比例为经监理单位、工程造价监控单位（如有）、发包人审定的已完合格工程量计价的</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0%(若经业主批准的设计变更及增加的工作内容，需完善变更报批程序)，工程竣工验收合格后14天内，发包人向承包人支付至累计进度合同金额的85%；完成结算审核后28天内，发包人向承包人支付至结算审定金额的97%；无缺陷责任期满后28天内发包人向承包人支付质量保证金。</w:t>
      </w:r>
    </w:p>
    <w:p w14:paraId="1467BB88">
      <w:pPr>
        <w:snapToGrid w:val="0"/>
        <w:spacing w:line="400" w:lineRule="exact"/>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注：上述进度款支付的范围仅为签约合同价（已标价工程量清单）范围内的金额，不包含项目实施过程中的清单与图纸量差、变更、现场签证、洽商、索赔、材料和人工价差等任何引起合同金额增加的内容。该部分内容（如有）及相应增加的造价不纳入进度款支付，一律进入结算审核，并在结算终审办理完成后予以支付。</w:t>
      </w:r>
    </w:p>
    <w:bookmarkEnd w:id="71"/>
    <w:bookmarkEnd w:id="72"/>
    <w:bookmarkEnd w:id="73"/>
    <w:bookmarkEnd w:id="74"/>
    <w:p w14:paraId="1A20417B">
      <w:pPr>
        <w:pStyle w:val="4"/>
        <w:adjustRightInd w:val="0"/>
        <w:snapToGrid w:val="0"/>
        <w:spacing w:before="0" w:after="0" w:line="400" w:lineRule="exact"/>
        <w:ind w:firstLine="482" w:firstLineChars="200"/>
        <w:rPr>
          <w:rFonts w:hint="eastAsia" w:ascii="宋体" w:hAnsi="宋体" w:eastAsia="宋体" w:cs="宋体"/>
          <w:color w:val="000000"/>
          <w:sz w:val="24"/>
          <w:szCs w:val="24"/>
          <w:highlight w:val="none"/>
        </w:rPr>
      </w:pPr>
      <w:bookmarkStart w:id="88" w:name="_Toc11700"/>
      <w:bookmarkStart w:id="89" w:name="_Toc10012"/>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、知识产权</w:t>
      </w:r>
      <w:bookmarkEnd w:id="88"/>
      <w:bookmarkEnd w:id="89"/>
    </w:p>
    <w:p w14:paraId="2137C34A">
      <w:pPr>
        <w:snapToGrid w:val="0"/>
        <w:spacing w:line="400" w:lineRule="exact"/>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1.采购人在中华人民共和国境内使用投标人提供的货物及服务时免受第三方提出的侵犯其专利权或其它知识产权的起诉。如果第三方提出侵权指控，中标人应承担由此而引起的一切法律责任和费用。</w:t>
      </w:r>
    </w:p>
    <w:p w14:paraId="34AD90C9">
      <w:pPr>
        <w:snapToGrid w:val="0"/>
        <w:spacing w:line="400" w:lineRule="exact"/>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2.设计方案、施工图纸和知识产权归采购方所有，供应商不得基于本项目以外的目的使用，未经授权不得外泄。</w:t>
      </w:r>
    </w:p>
    <w:p w14:paraId="179F6764">
      <w:pPr>
        <w:pStyle w:val="4"/>
        <w:adjustRightInd w:val="0"/>
        <w:snapToGrid w:val="0"/>
        <w:spacing w:before="0" w:after="0" w:line="400" w:lineRule="exact"/>
        <w:ind w:firstLine="482" w:firstLineChars="200"/>
        <w:rPr>
          <w:rFonts w:hint="eastAsia" w:ascii="宋体" w:hAnsi="宋体" w:eastAsia="宋体" w:cs="宋体"/>
          <w:color w:val="000000"/>
          <w:sz w:val="24"/>
          <w:szCs w:val="24"/>
          <w:highlight w:val="none"/>
        </w:rPr>
      </w:pPr>
      <w:bookmarkStart w:id="90" w:name="_Toc3901"/>
      <w:bookmarkStart w:id="91" w:name="_Toc21158"/>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、其他</w:t>
      </w:r>
      <w:bookmarkEnd w:id="90"/>
      <w:bookmarkEnd w:id="91"/>
    </w:p>
    <w:p w14:paraId="3BBA6C68">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项目实施过程中，未经采购人同意，供应商擅自更换项目经理、技术负责人、主要施工管理人员，采购人可单方面解除合同，并追究供应商给采购人造成的经济损失。采购人全程对本项目实施监督管理，若发现供应商拟投入本项目的项目经理或技术负责人工作日期间擅自离开施工现场的将承担违约责任，即2000元/人·次违约处罚，若发现供应商拟投入本项目的主要施工管理人员工作日擅自离开施工现场的将承担违约责任，即1000元/人·次违约处罚。</w:t>
      </w:r>
    </w:p>
    <w:p w14:paraId="52BBDCC9">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（二）除采购人同意项目工程延期外，供应商若无法按合同约定的工期完成项目合同约定的内容，超期一天按2000元／天支付违约金。</w:t>
      </w:r>
    </w:p>
    <w:p w14:paraId="27FF4567">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（三）供应商违反合同约定采购和使用不合格的材料的违约责任：按照违反合同约定采购和使用不合格的材料相应合同金额的</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%支付违约金。</w:t>
      </w:r>
    </w:p>
    <w:p w14:paraId="60A52D23">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（四）因供应商原因导致工程质量不符合规定或合同要求的违约责任：供应商退还已支付工程质量不符合合同要求工程的工程款，并按照工程质量不符合合同要求工程相应合同金额的</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%支付违约金。</w:t>
      </w:r>
    </w:p>
    <w:p w14:paraId="5021C653">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（五）成交供应商在服务过程中，违反竞争性磋商文件的实质性内容，或不按合同履行职责的，一经查实，则视情况暂停或终止合同。</w:t>
      </w:r>
    </w:p>
    <w:p w14:paraId="363A7236">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（六）成交供应商因自身原因不能与采购人签订合同的，应向采购人支付中标金额10%的违约金，并按《政府采购法》和市财政相关要求接受处罚。</w:t>
      </w:r>
    </w:p>
    <w:p w14:paraId="008F73AD">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成交供应商应严格遵守馆内安全文明施工管理等规定，禁止在施工区域吸烟、酗酒、高声喧闹等行为。如有发现吸烟行为按500元/人·次违约处罚，施工作业有违反安全文明施工行为，有可能危害馆内人员财产安全和正常秩序的，按500元/人·次违约处罚，施工作业造成观众投诉的情况，按1000元/人·次违约处罚。</w:t>
      </w:r>
    </w:p>
    <w:p w14:paraId="77A4CE3A">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）项目施工期间和保修期间出现问题，成交供应商接到通知后，项目技术人员应在两小时内赶到现场，并及时处理问题。</w:t>
      </w:r>
    </w:p>
    <w:p w14:paraId="356FAF27">
      <w:pPr>
        <w:snapToGrid w:val="0"/>
        <w:spacing w:line="400" w:lineRule="exact"/>
        <w:ind w:firstLine="54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磋商文件中要求承</w:t>
      </w:r>
      <w:r>
        <w:rPr>
          <w:rFonts w:hint="eastAsia" w:ascii="宋体" w:hAnsi="宋体" w:eastAsia="宋体" w:cs="宋体"/>
          <w:color w:val="000000"/>
          <w:w w:val="33"/>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诺的均须法定代表人签字。</w:t>
      </w:r>
    </w:p>
    <w:p w14:paraId="13243BE0">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十</w:t>
      </w:r>
      <w:r>
        <w:rPr>
          <w:rFonts w:hint="eastAsia" w:ascii="宋体" w:hAnsi="宋体" w:eastAsia="宋体" w:cs="宋体"/>
          <w:color w:val="000000"/>
          <w:sz w:val="24"/>
          <w:szCs w:val="24"/>
          <w:highlight w:val="none"/>
        </w:rPr>
        <w:t>）本项目工程不得进行转包、分包，一经发现采购人有权立即解除合同，并追究成交供应商的违约责任，若成交供应商存在转包、违法分包及挂靠等违法行为，将按照国家住房和城乡建设部制定的《建筑工程施工发包与承包违法行为认定查处管理办法》（建市规【2019】1号，该管理办法已面向社会公开发布，供应商可在互联网查阅）的相关规定进行认定和责任追究。</w:t>
      </w:r>
    </w:p>
    <w:p w14:paraId="6324E8DC">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十一</w:t>
      </w:r>
      <w:r>
        <w:rPr>
          <w:rFonts w:hint="eastAsia" w:ascii="宋体" w:hAnsi="宋体" w:eastAsia="宋体" w:cs="宋体"/>
          <w:color w:val="000000"/>
          <w:sz w:val="24"/>
          <w:szCs w:val="24"/>
          <w:highlight w:val="none"/>
        </w:rPr>
        <w:t>）本项目工程施工过程中，成交供应商应按各项管理规定做好安全教育和安全防护工作，采购人有权对施工安全进行监督</w:t>
      </w:r>
      <w:r>
        <w:rPr>
          <w:rFonts w:hint="eastAsia" w:ascii="宋体" w:hAnsi="宋体" w:eastAsia="宋体" w:cs="宋体"/>
          <w:color w:val="000000"/>
          <w:sz w:val="24"/>
          <w:szCs w:val="24"/>
          <w:highlight w:val="none"/>
          <w:lang w:eastAsia="zh-CN"/>
        </w:rPr>
        <w:t>并有权提出安全检查建议</w:t>
      </w:r>
      <w:r>
        <w:rPr>
          <w:rFonts w:hint="eastAsia" w:ascii="宋体" w:hAnsi="宋体" w:eastAsia="宋体" w:cs="宋体"/>
          <w:color w:val="000000"/>
          <w:sz w:val="24"/>
          <w:szCs w:val="24"/>
          <w:highlight w:val="none"/>
        </w:rPr>
        <w:t>，成交供应商须配合</w:t>
      </w:r>
      <w:r>
        <w:rPr>
          <w:rFonts w:hint="eastAsia" w:ascii="宋体" w:hAnsi="宋体" w:eastAsia="宋体" w:cs="宋体"/>
          <w:color w:val="000000"/>
          <w:sz w:val="24"/>
          <w:szCs w:val="24"/>
          <w:highlight w:val="none"/>
          <w:lang w:eastAsia="zh-CN"/>
        </w:rPr>
        <w:t>完成</w:t>
      </w:r>
      <w:r>
        <w:rPr>
          <w:rFonts w:hint="eastAsia" w:ascii="宋体" w:hAnsi="宋体" w:eastAsia="宋体" w:cs="宋体"/>
          <w:color w:val="000000"/>
          <w:sz w:val="24"/>
          <w:szCs w:val="24"/>
          <w:highlight w:val="none"/>
        </w:rPr>
        <w:t>整改</w:t>
      </w:r>
      <w:r>
        <w:rPr>
          <w:rFonts w:hint="eastAsia" w:ascii="宋体" w:hAnsi="宋体" w:eastAsia="宋体" w:cs="宋体"/>
          <w:color w:val="000000"/>
          <w:sz w:val="24"/>
          <w:szCs w:val="24"/>
          <w:highlight w:val="none"/>
          <w:lang w:eastAsia="zh-CN"/>
        </w:rPr>
        <w:t>，并将整改情况书面提交采购人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如果供应商拒绝整改应当安全责任损害事故</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所产生的一切安全事故由成交供应商全权负责，与采购人无关。</w:t>
      </w:r>
    </w:p>
    <w:p w14:paraId="770EB67D">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）供应商必须在响应文件中对以上条款和服务承诺明确列出，承诺内容必须达到本篇及竞争性磋商其他条款的要求。</w:t>
      </w:r>
    </w:p>
    <w:p w14:paraId="34A3A94C">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供应商施工须选择符合市场行情、品牌优质的材料，不得因中标金额而选择假冒伪劣或材质低劣材料产品，若使用，采购人一经发现，将上报财政部门，由财政部门作出相应处罚，造成的一切责任和损失由供应商承担。</w:t>
      </w:r>
    </w:p>
    <w:p w14:paraId="72946B67">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）其他未尽事宜由供需双方在采购合同中详细约定。</w:t>
      </w:r>
    </w:p>
    <w:p w14:paraId="2AF76A22">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）若项目涉及动火、动焊须向发包人报备审批，经发包人同意后方可实施。</w:t>
      </w:r>
    </w:p>
    <w:p w14:paraId="10558F7F">
      <w:pPr>
        <w:snapToGrid w:val="0"/>
        <w:spacing w:line="400" w:lineRule="exact"/>
        <w:ind w:firstLine="360" w:firstLineChars="150"/>
        <w:rPr>
          <w:rFonts w:ascii="宋体" w:hAnsi="宋体" w:cs="宋体"/>
          <w:sz w:val="24"/>
          <w:szCs w:val="24"/>
          <w:highlight w:val="none"/>
        </w:rPr>
      </w:pPr>
    </w:p>
    <w:bookmarkEnd w:id="64"/>
    <w:bookmarkEnd w:id="65"/>
    <w:bookmarkEnd w:id="66"/>
    <w:bookmarkEnd w:id="67"/>
    <w:bookmarkEnd w:id="68"/>
    <w:p w14:paraId="74F9AF4A">
      <w:pPr>
        <w:snapToGrid w:val="0"/>
        <w:spacing w:line="400" w:lineRule="exact"/>
        <w:ind w:firstLine="360" w:firstLineChars="150"/>
        <w:rPr>
          <w:rFonts w:ascii="宋体" w:hAnsi="宋体" w:cs="宋体"/>
          <w:sz w:val="24"/>
          <w:szCs w:val="24"/>
          <w:highlight w:val="none"/>
        </w:rPr>
      </w:pPr>
    </w:p>
    <w:p w14:paraId="10AB23F6">
      <w:pPr>
        <w:pStyle w:val="4"/>
        <w:pageBreakBefore/>
        <w:spacing w:before="0" w:after="0" w:line="360" w:lineRule="auto"/>
        <w:jc w:val="center"/>
        <w:rPr>
          <w:rFonts w:ascii="宋体" w:hAnsi="宋体" w:eastAsia="宋体" w:cs="宋体"/>
          <w:b w:val="0"/>
          <w:sz w:val="36"/>
          <w:szCs w:val="30"/>
          <w:highlight w:val="none"/>
        </w:rPr>
      </w:pPr>
      <w:bookmarkStart w:id="92" w:name="_Toc76462332"/>
      <w:bookmarkStart w:id="93" w:name="_Toc14397"/>
      <w:r>
        <w:rPr>
          <w:rFonts w:hint="eastAsia" w:ascii="宋体" w:hAnsi="宋体" w:eastAsia="宋体" w:cs="宋体"/>
          <w:b w:val="0"/>
          <w:sz w:val="36"/>
          <w:szCs w:val="30"/>
          <w:highlight w:val="none"/>
        </w:rPr>
        <w:t>第四篇  磋商程序及方法、评审标准、无效响应和</w:t>
      </w:r>
      <w:r>
        <w:rPr>
          <w:rFonts w:hint="eastAsia" w:ascii="宋体" w:hAnsi="宋体" w:eastAsia="宋体" w:cs="宋体"/>
          <w:b w:val="0"/>
          <w:sz w:val="36"/>
          <w:szCs w:val="36"/>
          <w:highlight w:val="none"/>
        </w:rPr>
        <w:t>采购终止</w:t>
      </w:r>
      <w:bookmarkEnd w:id="92"/>
      <w:bookmarkEnd w:id="93"/>
    </w:p>
    <w:p w14:paraId="75324727">
      <w:pPr>
        <w:pStyle w:val="4"/>
        <w:adjustRightInd w:val="0"/>
        <w:snapToGrid w:val="0"/>
        <w:spacing w:before="0" w:after="0" w:line="400" w:lineRule="exact"/>
        <w:ind w:firstLine="482" w:firstLineChars="200"/>
        <w:rPr>
          <w:rFonts w:ascii="宋体" w:hAnsi="宋体" w:eastAsia="宋体" w:cs="宋体"/>
          <w:sz w:val="24"/>
          <w:highlight w:val="none"/>
        </w:rPr>
      </w:pPr>
      <w:bookmarkStart w:id="94" w:name="_Toc12486"/>
      <w:bookmarkStart w:id="95" w:name="_Toc76462333"/>
      <w:r>
        <w:rPr>
          <w:rFonts w:hint="eastAsia" w:ascii="宋体" w:hAnsi="宋体" w:eastAsia="宋体" w:cs="宋体"/>
          <w:sz w:val="24"/>
          <w:highlight w:val="none"/>
        </w:rPr>
        <w:t>一、磋商程序及方法</w:t>
      </w:r>
      <w:bookmarkEnd w:id="94"/>
      <w:bookmarkEnd w:id="95"/>
    </w:p>
    <w:p w14:paraId="26BB348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D5BC24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（二）磋商小组对各供应商的资格条件、响应文件的有效性、完整性和响应程度进行审查。各供应商只有在完全符合要求的前提下，才能参与正式磋商。</w:t>
      </w:r>
    </w:p>
    <w:p w14:paraId="5EBC69C3">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1.</w:t>
      </w:r>
      <w:r>
        <w:rPr>
          <w:rFonts w:hint="eastAsia" w:ascii="宋体" w:hAnsi="宋体" w:cs="宋体"/>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26A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BB30E9A">
            <w:pPr>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247C339">
            <w:pPr>
              <w:jc w:val="center"/>
              <w:rPr>
                <w:rFonts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18AD48D">
            <w:pPr>
              <w:jc w:val="center"/>
              <w:rPr>
                <w:rFonts w:ascii="宋体" w:hAnsi="宋体" w:cs="宋体"/>
                <w:b/>
                <w:kern w:val="0"/>
                <w:sz w:val="21"/>
                <w:szCs w:val="21"/>
                <w:highlight w:val="none"/>
              </w:rPr>
            </w:pPr>
            <w:r>
              <w:rPr>
                <w:rFonts w:hint="eastAsia" w:ascii="宋体" w:hAnsi="宋体" w:cs="宋体"/>
                <w:b/>
                <w:kern w:val="0"/>
                <w:sz w:val="21"/>
                <w:szCs w:val="21"/>
                <w:highlight w:val="none"/>
              </w:rPr>
              <w:t>检查内容</w:t>
            </w:r>
          </w:p>
        </w:tc>
      </w:tr>
      <w:tr w14:paraId="0284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4536C07">
            <w:pPr>
              <w:jc w:val="center"/>
              <w:rPr>
                <w:rFonts w:ascii="宋体" w:hAnsi="宋体" w:cs="宋体"/>
                <w:sz w:val="21"/>
                <w:szCs w:val="21"/>
                <w:highlight w:val="none"/>
              </w:rPr>
            </w:pPr>
            <w:r>
              <w:rPr>
                <w:rFonts w:hint="eastAsia" w:ascii="宋体" w:hAnsi="宋体" w:cs="宋体"/>
                <w:sz w:val="21"/>
                <w:szCs w:val="21"/>
                <w:highlight w:val="none"/>
              </w:rPr>
              <w:t>（一）</w:t>
            </w:r>
          </w:p>
        </w:tc>
        <w:tc>
          <w:tcPr>
            <w:tcW w:w="709" w:type="dxa"/>
            <w:vMerge w:val="restart"/>
            <w:vAlign w:val="center"/>
          </w:tcPr>
          <w:p w14:paraId="0A39303C">
            <w:pPr>
              <w:rPr>
                <w:rFonts w:ascii="宋体" w:hAnsi="宋体" w:cs="宋体"/>
                <w:sz w:val="21"/>
                <w:szCs w:val="21"/>
                <w:highlight w:val="none"/>
                <w:lang w:val="zh-CN"/>
              </w:rPr>
            </w:pPr>
            <w:r>
              <w:rPr>
                <w:rFonts w:hint="eastAsia" w:ascii="宋体" w:hAnsi="宋体" w:cs="宋体"/>
                <w:sz w:val="21"/>
                <w:szCs w:val="21"/>
                <w:highlight w:val="none"/>
                <w:lang w:val="zh-CN"/>
              </w:rPr>
              <w:t>《中华人民共和国政府采购法》第二十二条规定</w:t>
            </w:r>
          </w:p>
        </w:tc>
        <w:tc>
          <w:tcPr>
            <w:tcW w:w="3118" w:type="dxa"/>
            <w:vAlign w:val="center"/>
          </w:tcPr>
          <w:p w14:paraId="5CB5BE39">
            <w:pPr>
              <w:rPr>
                <w:rFonts w:ascii="宋体" w:hAnsi="宋体" w:cs="宋体"/>
                <w:sz w:val="21"/>
                <w:szCs w:val="21"/>
                <w:highlight w:val="none"/>
              </w:rPr>
            </w:pPr>
            <w:r>
              <w:rPr>
                <w:rFonts w:hint="eastAsia" w:ascii="宋体" w:hAnsi="宋体" w:cs="宋体"/>
                <w:sz w:val="21"/>
                <w:szCs w:val="21"/>
                <w:highlight w:val="none"/>
              </w:rPr>
              <w:t>1.具有独立承担民事责任的能力</w:t>
            </w:r>
          </w:p>
        </w:tc>
        <w:tc>
          <w:tcPr>
            <w:tcW w:w="4984" w:type="dxa"/>
            <w:vAlign w:val="center"/>
          </w:tcPr>
          <w:p w14:paraId="09998AAD">
            <w:pPr>
              <w:rPr>
                <w:rFonts w:ascii="宋体" w:hAnsi="宋体" w:cs="宋体"/>
                <w:sz w:val="21"/>
                <w:szCs w:val="21"/>
                <w:highlight w:val="none"/>
              </w:rPr>
            </w:pPr>
            <w:r>
              <w:rPr>
                <w:rFonts w:hint="eastAsia" w:ascii="宋体" w:hAnsi="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4108F68C">
            <w:pPr>
              <w:rPr>
                <w:rFonts w:ascii="宋体" w:hAnsi="宋体" w:cs="宋体"/>
                <w:sz w:val="21"/>
                <w:szCs w:val="21"/>
                <w:highlight w:val="none"/>
              </w:rPr>
            </w:pPr>
            <w:r>
              <w:rPr>
                <w:rFonts w:hint="eastAsia" w:ascii="宋体" w:hAnsi="宋体" w:cs="宋体"/>
                <w:sz w:val="21"/>
                <w:szCs w:val="21"/>
                <w:highlight w:val="none"/>
              </w:rPr>
              <w:t>2.供应商法定代表人身份证明和法定代表人授权代表委托书。</w:t>
            </w:r>
          </w:p>
        </w:tc>
      </w:tr>
      <w:tr w14:paraId="3EA0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90681F0">
            <w:pPr>
              <w:jc w:val="center"/>
              <w:rPr>
                <w:rFonts w:ascii="宋体" w:hAnsi="宋体" w:cs="宋体"/>
                <w:sz w:val="21"/>
                <w:szCs w:val="21"/>
                <w:highlight w:val="none"/>
              </w:rPr>
            </w:pPr>
          </w:p>
        </w:tc>
        <w:tc>
          <w:tcPr>
            <w:tcW w:w="709" w:type="dxa"/>
            <w:vMerge w:val="continue"/>
            <w:vAlign w:val="center"/>
          </w:tcPr>
          <w:p w14:paraId="25CFF4EE">
            <w:pPr>
              <w:rPr>
                <w:rFonts w:ascii="宋体" w:hAnsi="宋体" w:cs="宋体"/>
                <w:sz w:val="21"/>
                <w:szCs w:val="21"/>
                <w:highlight w:val="none"/>
                <w:lang w:val="zh-CN"/>
              </w:rPr>
            </w:pPr>
          </w:p>
        </w:tc>
        <w:tc>
          <w:tcPr>
            <w:tcW w:w="3118" w:type="dxa"/>
            <w:vAlign w:val="center"/>
          </w:tcPr>
          <w:p w14:paraId="69A5F010">
            <w:pPr>
              <w:rPr>
                <w:rFonts w:ascii="宋体" w:hAnsi="宋体" w:cs="宋体"/>
                <w:sz w:val="21"/>
                <w:szCs w:val="21"/>
                <w:highlight w:val="none"/>
              </w:rPr>
            </w:pPr>
            <w:r>
              <w:rPr>
                <w:rFonts w:hint="eastAsia" w:ascii="宋体" w:hAnsi="宋体" w:cs="宋体"/>
                <w:sz w:val="21"/>
                <w:szCs w:val="21"/>
                <w:highlight w:val="none"/>
                <w:lang w:val="zh-CN"/>
              </w:rPr>
              <w:t>2.</w:t>
            </w:r>
            <w:r>
              <w:rPr>
                <w:rFonts w:hint="eastAsia" w:ascii="宋体" w:hAnsi="宋体" w:cs="宋体"/>
                <w:sz w:val="21"/>
                <w:szCs w:val="21"/>
                <w:highlight w:val="none"/>
              </w:rPr>
              <w:t>具有良好的商业信誉和健全的财务会计制度</w:t>
            </w:r>
          </w:p>
        </w:tc>
        <w:tc>
          <w:tcPr>
            <w:tcW w:w="4984" w:type="dxa"/>
            <w:vMerge w:val="restart"/>
            <w:vAlign w:val="center"/>
          </w:tcPr>
          <w:p w14:paraId="2BFD4420">
            <w:pPr>
              <w:rPr>
                <w:rFonts w:ascii="宋体" w:hAnsi="宋体" w:cs="宋体"/>
                <w:b/>
                <w:sz w:val="21"/>
                <w:szCs w:val="21"/>
                <w:highlight w:val="none"/>
              </w:rPr>
            </w:pPr>
            <w:r>
              <w:rPr>
                <w:rFonts w:hint="eastAsia" w:ascii="宋体" w:hAnsi="宋体" w:cs="宋体"/>
                <w:sz w:val="21"/>
                <w:szCs w:val="21"/>
                <w:highlight w:val="none"/>
              </w:rPr>
              <w:t>供应商提供“基本资格条件承诺函”（格式详见第七篇）</w:t>
            </w:r>
          </w:p>
        </w:tc>
      </w:tr>
      <w:tr w14:paraId="6888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699261E">
            <w:pPr>
              <w:jc w:val="center"/>
              <w:rPr>
                <w:rFonts w:ascii="宋体" w:hAnsi="宋体" w:cs="宋体"/>
                <w:sz w:val="21"/>
                <w:szCs w:val="21"/>
                <w:highlight w:val="none"/>
              </w:rPr>
            </w:pPr>
          </w:p>
        </w:tc>
        <w:tc>
          <w:tcPr>
            <w:tcW w:w="709" w:type="dxa"/>
            <w:vMerge w:val="continue"/>
            <w:vAlign w:val="center"/>
          </w:tcPr>
          <w:p w14:paraId="5FD8AC0F">
            <w:pPr>
              <w:rPr>
                <w:rFonts w:ascii="宋体" w:hAnsi="宋体" w:cs="宋体"/>
                <w:sz w:val="21"/>
                <w:szCs w:val="21"/>
                <w:highlight w:val="none"/>
                <w:lang w:val="zh-CN"/>
              </w:rPr>
            </w:pPr>
          </w:p>
        </w:tc>
        <w:tc>
          <w:tcPr>
            <w:tcW w:w="3118" w:type="dxa"/>
            <w:vAlign w:val="center"/>
          </w:tcPr>
          <w:p w14:paraId="686DB62E">
            <w:pPr>
              <w:rPr>
                <w:rFonts w:ascii="宋体" w:hAnsi="宋体" w:cs="宋体"/>
                <w:sz w:val="21"/>
                <w:szCs w:val="21"/>
                <w:highlight w:val="none"/>
                <w:lang w:val="zh-CN"/>
              </w:rPr>
            </w:pPr>
            <w:r>
              <w:rPr>
                <w:rFonts w:hint="eastAsia" w:ascii="宋体" w:hAnsi="宋体" w:cs="宋体"/>
                <w:sz w:val="21"/>
                <w:szCs w:val="21"/>
                <w:highlight w:val="none"/>
                <w:lang w:val="zh-CN"/>
              </w:rPr>
              <w:t>3.具有履行合同所必需的设备和专业技术能力</w:t>
            </w:r>
          </w:p>
        </w:tc>
        <w:tc>
          <w:tcPr>
            <w:tcW w:w="4984" w:type="dxa"/>
            <w:vMerge w:val="continue"/>
            <w:vAlign w:val="center"/>
          </w:tcPr>
          <w:p w14:paraId="037E112B">
            <w:pPr>
              <w:rPr>
                <w:rFonts w:ascii="宋体" w:hAnsi="宋体" w:cs="宋体"/>
                <w:sz w:val="21"/>
                <w:szCs w:val="21"/>
                <w:highlight w:val="none"/>
              </w:rPr>
            </w:pPr>
          </w:p>
        </w:tc>
      </w:tr>
      <w:tr w14:paraId="6288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23116D">
            <w:pPr>
              <w:jc w:val="center"/>
              <w:rPr>
                <w:rFonts w:ascii="宋体" w:hAnsi="宋体" w:cs="宋体"/>
                <w:sz w:val="21"/>
                <w:szCs w:val="21"/>
                <w:highlight w:val="none"/>
              </w:rPr>
            </w:pPr>
          </w:p>
        </w:tc>
        <w:tc>
          <w:tcPr>
            <w:tcW w:w="709" w:type="dxa"/>
            <w:vMerge w:val="continue"/>
            <w:vAlign w:val="center"/>
          </w:tcPr>
          <w:p w14:paraId="6007976E">
            <w:pPr>
              <w:rPr>
                <w:rFonts w:ascii="宋体" w:hAnsi="宋体" w:cs="宋体"/>
                <w:sz w:val="21"/>
                <w:szCs w:val="21"/>
                <w:highlight w:val="none"/>
                <w:lang w:val="zh-CN"/>
              </w:rPr>
            </w:pPr>
          </w:p>
        </w:tc>
        <w:tc>
          <w:tcPr>
            <w:tcW w:w="3118" w:type="dxa"/>
            <w:vAlign w:val="center"/>
          </w:tcPr>
          <w:p w14:paraId="6EC3C1EC">
            <w:pPr>
              <w:rPr>
                <w:rFonts w:ascii="宋体" w:hAnsi="宋体" w:cs="宋体"/>
                <w:sz w:val="21"/>
                <w:szCs w:val="21"/>
                <w:highlight w:val="none"/>
                <w:lang w:val="zh-CN"/>
              </w:rPr>
            </w:pPr>
            <w:r>
              <w:rPr>
                <w:rFonts w:hint="eastAsia" w:ascii="宋体" w:hAnsi="宋体" w:cs="宋体"/>
                <w:sz w:val="21"/>
                <w:szCs w:val="21"/>
                <w:highlight w:val="none"/>
                <w:lang w:val="zh-CN"/>
              </w:rPr>
              <w:t>4.有依法缴纳税收和社会保障金的良好记录</w:t>
            </w:r>
          </w:p>
        </w:tc>
        <w:tc>
          <w:tcPr>
            <w:tcW w:w="4984" w:type="dxa"/>
            <w:vMerge w:val="continue"/>
            <w:vAlign w:val="center"/>
          </w:tcPr>
          <w:p w14:paraId="1C8720E9">
            <w:pPr>
              <w:rPr>
                <w:rFonts w:ascii="宋体" w:hAnsi="宋体" w:cs="宋体"/>
                <w:sz w:val="21"/>
                <w:szCs w:val="21"/>
                <w:highlight w:val="none"/>
              </w:rPr>
            </w:pPr>
          </w:p>
        </w:tc>
      </w:tr>
      <w:tr w14:paraId="2DC2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005318C">
            <w:pPr>
              <w:jc w:val="center"/>
              <w:rPr>
                <w:rFonts w:ascii="宋体" w:hAnsi="宋体" w:cs="宋体"/>
                <w:sz w:val="21"/>
                <w:szCs w:val="21"/>
                <w:highlight w:val="none"/>
              </w:rPr>
            </w:pPr>
          </w:p>
        </w:tc>
        <w:tc>
          <w:tcPr>
            <w:tcW w:w="709" w:type="dxa"/>
            <w:vMerge w:val="continue"/>
            <w:vAlign w:val="center"/>
          </w:tcPr>
          <w:p w14:paraId="19D9D848">
            <w:pPr>
              <w:rPr>
                <w:rFonts w:ascii="宋体" w:hAnsi="宋体" w:cs="宋体"/>
                <w:sz w:val="21"/>
                <w:szCs w:val="21"/>
                <w:highlight w:val="none"/>
                <w:lang w:val="zh-CN"/>
              </w:rPr>
            </w:pPr>
          </w:p>
        </w:tc>
        <w:tc>
          <w:tcPr>
            <w:tcW w:w="3118" w:type="dxa"/>
            <w:vAlign w:val="center"/>
          </w:tcPr>
          <w:p w14:paraId="05B6303D">
            <w:pPr>
              <w:rPr>
                <w:rFonts w:ascii="宋体" w:hAnsi="宋体" w:cs="宋体"/>
                <w:sz w:val="21"/>
                <w:szCs w:val="21"/>
                <w:highlight w:val="none"/>
                <w:lang w:val="zh-CN"/>
              </w:rPr>
            </w:pPr>
            <w:r>
              <w:rPr>
                <w:rFonts w:hint="eastAsia" w:ascii="宋体" w:hAnsi="宋体" w:cs="宋体"/>
                <w:sz w:val="21"/>
                <w:szCs w:val="21"/>
                <w:highlight w:val="none"/>
              </w:rPr>
              <w:t>5.参加政府采购活动前三年内，在经营活动中没有重大违法记录</w:t>
            </w:r>
          </w:p>
        </w:tc>
        <w:tc>
          <w:tcPr>
            <w:tcW w:w="4984" w:type="dxa"/>
            <w:vMerge w:val="continue"/>
            <w:vAlign w:val="center"/>
          </w:tcPr>
          <w:p w14:paraId="1F42EBCE">
            <w:pPr>
              <w:rPr>
                <w:rFonts w:ascii="宋体" w:hAnsi="宋体" w:cs="宋体"/>
                <w:b/>
                <w:sz w:val="21"/>
                <w:szCs w:val="21"/>
                <w:highlight w:val="none"/>
              </w:rPr>
            </w:pPr>
          </w:p>
        </w:tc>
      </w:tr>
      <w:tr w14:paraId="6731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9AC3952">
            <w:pPr>
              <w:jc w:val="center"/>
              <w:rPr>
                <w:rFonts w:ascii="宋体" w:hAnsi="宋体" w:cs="宋体"/>
                <w:sz w:val="21"/>
                <w:szCs w:val="21"/>
                <w:highlight w:val="none"/>
              </w:rPr>
            </w:pPr>
          </w:p>
        </w:tc>
        <w:tc>
          <w:tcPr>
            <w:tcW w:w="709" w:type="dxa"/>
            <w:vMerge w:val="continue"/>
            <w:vAlign w:val="center"/>
          </w:tcPr>
          <w:p w14:paraId="16C6905F">
            <w:pPr>
              <w:rPr>
                <w:rFonts w:ascii="宋体" w:hAnsi="宋体" w:cs="宋体"/>
                <w:sz w:val="21"/>
                <w:szCs w:val="21"/>
                <w:highlight w:val="none"/>
              </w:rPr>
            </w:pPr>
          </w:p>
        </w:tc>
        <w:tc>
          <w:tcPr>
            <w:tcW w:w="3118" w:type="dxa"/>
            <w:vAlign w:val="center"/>
          </w:tcPr>
          <w:p w14:paraId="52E0DE0C">
            <w:pPr>
              <w:rPr>
                <w:rFonts w:ascii="宋体" w:hAnsi="宋体" w:cs="宋体"/>
                <w:sz w:val="21"/>
                <w:szCs w:val="21"/>
                <w:highlight w:val="none"/>
              </w:rPr>
            </w:pPr>
            <w:r>
              <w:rPr>
                <w:rFonts w:hint="eastAsia" w:ascii="宋体" w:hAnsi="宋体" w:cs="宋体"/>
                <w:sz w:val="21"/>
                <w:szCs w:val="21"/>
                <w:highlight w:val="none"/>
              </w:rPr>
              <w:t>6.法律、行政法规规定的其他条件</w:t>
            </w:r>
          </w:p>
        </w:tc>
        <w:tc>
          <w:tcPr>
            <w:tcW w:w="4984" w:type="dxa"/>
            <w:vAlign w:val="center"/>
          </w:tcPr>
          <w:p w14:paraId="13CEA9B1">
            <w:pPr>
              <w:rPr>
                <w:rFonts w:ascii="宋体" w:hAnsi="宋体" w:cs="宋体"/>
                <w:sz w:val="21"/>
                <w:szCs w:val="21"/>
                <w:highlight w:val="none"/>
              </w:rPr>
            </w:pPr>
          </w:p>
        </w:tc>
      </w:tr>
      <w:tr w14:paraId="0A92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2D8308C">
            <w:pPr>
              <w:jc w:val="center"/>
              <w:rPr>
                <w:rFonts w:ascii="宋体" w:hAnsi="宋体" w:cs="宋体"/>
                <w:sz w:val="21"/>
                <w:szCs w:val="21"/>
                <w:highlight w:val="none"/>
              </w:rPr>
            </w:pPr>
          </w:p>
        </w:tc>
        <w:tc>
          <w:tcPr>
            <w:tcW w:w="709" w:type="dxa"/>
            <w:vMerge w:val="continue"/>
            <w:vAlign w:val="center"/>
          </w:tcPr>
          <w:p w14:paraId="46E0E5CB">
            <w:pPr>
              <w:rPr>
                <w:rFonts w:ascii="宋体" w:hAnsi="宋体" w:cs="宋体"/>
                <w:sz w:val="21"/>
                <w:szCs w:val="21"/>
                <w:highlight w:val="none"/>
              </w:rPr>
            </w:pPr>
          </w:p>
        </w:tc>
        <w:tc>
          <w:tcPr>
            <w:tcW w:w="3118" w:type="dxa"/>
            <w:vAlign w:val="center"/>
          </w:tcPr>
          <w:p w14:paraId="6A50BAD5">
            <w:pPr>
              <w:rPr>
                <w:rFonts w:ascii="宋体" w:hAnsi="宋体" w:cs="宋体"/>
                <w:sz w:val="21"/>
                <w:szCs w:val="21"/>
                <w:highlight w:val="none"/>
              </w:rPr>
            </w:pPr>
            <w:r>
              <w:rPr>
                <w:rFonts w:hint="eastAsia" w:ascii="宋体" w:hAnsi="宋体" w:cs="宋体"/>
                <w:sz w:val="21"/>
                <w:szCs w:val="21"/>
                <w:highlight w:val="none"/>
              </w:rPr>
              <w:t>7.本项目的特定资格要求</w:t>
            </w:r>
          </w:p>
        </w:tc>
        <w:tc>
          <w:tcPr>
            <w:tcW w:w="4984" w:type="dxa"/>
            <w:vAlign w:val="center"/>
          </w:tcPr>
          <w:p w14:paraId="6F96DBD7">
            <w:pPr>
              <w:rPr>
                <w:rFonts w:ascii="宋体" w:hAnsi="宋体" w:cs="宋体"/>
                <w:sz w:val="21"/>
                <w:szCs w:val="21"/>
                <w:highlight w:val="none"/>
              </w:rPr>
            </w:pPr>
            <w:r>
              <w:rPr>
                <w:rFonts w:hint="eastAsia" w:ascii="宋体" w:hAnsi="宋体" w:cs="宋体"/>
                <w:sz w:val="21"/>
                <w:szCs w:val="21"/>
                <w:highlight w:val="none"/>
              </w:rPr>
              <w:t>按“第一篇三、供应商资格要求（三）本项目的特定资格要求”的要求提交（如果有）。</w:t>
            </w:r>
          </w:p>
        </w:tc>
      </w:tr>
      <w:tr w14:paraId="281F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EB07976">
            <w:pPr>
              <w:jc w:val="center"/>
              <w:rPr>
                <w:rFonts w:ascii="宋体" w:hAnsi="宋体" w:cs="宋体"/>
                <w:sz w:val="21"/>
                <w:szCs w:val="21"/>
                <w:highlight w:val="none"/>
              </w:rPr>
            </w:pPr>
            <w:r>
              <w:rPr>
                <w:rFonts w:hint="eastAsia" w:ascii="宋体" w:hAnsi="宋体" w:cs="宋体"/>
                <w:sz w:val="21"/>
                <w:szCs w:val="21"/>
                <w:highlight w:val="none"/>
              </w:rPr>
              <w:t>（二）</w:t>
            </w:r>
          </w:p>
        </w:tc>
        <w:tc>
          <w:tcPr>
            <w:tcW w:w="3827" w:type="dxa"/>
            <w:gridSpan w:val="2"/>
            <w:vAlign w:val="center"/>
          </w:tcPr>
          <w:p w14:paraId="2A3ABDE3">
            <w:pPr>
              <w:rPr>
                <w:rFonts w:ascii="宋体" w:hAnsi="宋体" w:cs="宋体"/>
                <w:sz w:val="21"/>
                <w:szCs w:val="21"/>
                <w:highlight w:val="none"/>
              </w:rPr>
            </w:pPr>
            <w:r>
              <w:rPr>
                <w:rFonts w:hint="eastAsia" w:ascii="宋体" w:hAnsi="宋体" w:cs="宋体"/>
                <w:sz w:val="21"/>
                <w:szCs w:val="21"/>
                <w:highlight w:val="none"/>
              </w:rPr>
              <w:t>落实政府采购政策需满足的资格要求</w:t>
            </w:r>
          </w:p>
        </w:tc>
        <w:tc>
          <w:tcPr>
            <w:tcW w:w="4984" w:type="dxa"/>
            <w:vAlign w:val="center"/>
          </w:tcPr>
          <w:p w14:paraId="3AAA3409">
            <w:pPr>
              <w:rPr>
                <w:rFonts w:ascii="宋体" w:hAnsi="宋体" w:cs="宋体"/>
                <w:sz w:val="21"/>
                <w:szCs w:val="21"/>
                <w:highlight w:val="none"/>
              </w:rPr>
            </w:pPr>
            <w:r>
              <w:rPr>
                <w:rFonts w:hint="eastAsia" w:ascii="宋体" w:hAnsi="宋体" w:cs="宋体"/>
                <w:sz w:val="21"/>
                <w:szCs w:val="21"/>
                <w:highlight w:val="none"/>
              </w:rPr>
              <w:t>按“第一篇三、供应商资格要求（二）落实政府采购政策需满足的资格要求”的要求提交（如果有）。</w:t>
            </w:r>
          </w:p>
        </w:tc>
      </w:tr>
    </w:tbl>
    <w:p w14:paraId="08F1C8E8">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E5FB32A">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863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C9A613A">
            <w:pPr>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544" w:type="dxa"/>
            <w:gridSpan w:val="2"/>
            <w:vAlign w:val="center"/>
          </w:tcPr>
          <w:p w14:paraId="4CDA8799">
            <w:pPr>
              <w:jc w:val="center"/>
              <w:rPr>
                <w:rFonts w:ascii="宋体" w:hAnsi="宋体" w:cs="宋体"/>
                <w:b/>
                <w:kern w:val="0"/>
                <w:sz w:val="21"/>
                <w:szCs w:val="21"/>
                <w:highlight w:val="none"/>
              </w:rPr>
            </w:pPr>
            <w:r>
              <w:rPr>
                <w:rFonts w:hint="eastAsia" w:ascii="宋体" w:hAnsi="宋体" w:cs="宋体"/>
                <w:b/>
                <w:kern w:val="0"/>
                <w:sz w:val="21"/>
                <w:szCs w:val="21"/>
                <w:highlight w:val="none"/>
              </w:rPr>
              <w:t>评审因素</w:t>
            </w:r>
          </w:p>
        </w:tc>
        <w:tc>
          <w:tcPr>
            <w:tcW w:w="5409" w:type="dxa"/>
            <w:vAlign w:val="center"/>
          </w:tcPr>
          <w:p w14:paraId="6C7DFC5B">
            <w:pPr>
              <w:jc w:val="center"/>
              <w:rPr>
                <w:rFonts w:ascii="宋体" w:hAnsi="宋体" w:cs="宋体"/>
                <w:b/>
                <w:kern w:val="0"/>
                <w:sz w:val="21"/>
                <w:szCs w:val="21"/>
                <w:highlight w:val="none"/>
              </w:rPr>
            </w:pPr>
            <w:r>
              <w:rPr>
                <w:rFonts w:hint="eastAsia" w:ascii="宋体" w:hAnsi="宋体" w:cs="宋体"/>
                <w:b/>
                <w:kern w:val="0"/>
                <w:sz w:val="21"/>
                <w:szCs w:val="21"/>
                <w:highlight w:val="none"/>
              </w:rPr>
              <w:t>评审标准</w:t>
            </w:r>
          </w:p>
        </w:tc>
      </w:tr>
      <w:tr w14:paraId="5468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070D5BA">
            <w:pPr>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1560" w:type="dxa"/>
            <w:vMerge w:val="restart"/>
            <w:vAlign w:val="center"/>
          </w:tcPr>
          <w:p w14:paraId="72EB0EBA">
            <w:pPr>
              <w:rPr>
                <w:rFonts w:ascii="宋体" w:hAnsi="宋体" w:cs="宋体"/>
                <w:kern w:val="0"/>
                <w:sz w:val="21"/>
                <w:szCs w:val="21"/>
                <w:highlight w:val="none"/>
              </w:rPr>
            </w:pPr>
            <w:r>
              <w:rPr>
                <w:rFonts w:hint="eastAsia" w:ascii="宋体" w:hAnsi="宋体" w:cs="宋体"/>
                <w:kern w:val="0"/>
                <w:sz w:val="21"/>
                <w:szCs w:val="21"/>
                <w:highlight w:val="none"/>
              </w:rPr>
              <w:t>有效性审查</w:t>
            </w:r>
          </w:p>
        </w:tc>
        <w:tc>
          <w:tcPr>
            <w:tcW w:w="1984" w:type="dxa"/>
            <w:vAlign w:val="center"/>
          </w:tcPr>
          <w:p w14:paraId="22F4EDA1">
            <w:pPr>
              <w:rPr>
                <w:rFonts w:ascii="宋体" w:hAnsi="宋体" w:cs="宋体"/>
                <w:kern w:val="0"/>
                <w:sz w:val="21"/>
                <w:szCs w:val="21"/>
                <w:highlight w:val="none"/>
              </w:rPr>
            </w:pPr>
            <w:r>
              <w:rPr>
                <w:rFonts w:hint="eastAsia" w:ascii="宋体" w:hAnsi="宋体" w:cs="宋体"/>
                <w:sz w:val="21"/>
                <w:szCs w:val="21"/>
                <w:highlight w:val="none"/>
              </w:rPr>
              <w:t>响应文件签署或盖章</w:t>
            </w:r>
          </w:p>
        </w:tc>
        <w:tc>
          <w:tcPr>
            <w:tcW w:w="5409" w:type="dxa"/>
            <w:vAlign w:val="center"/>
          </w:tcPr>
          <w:p w14:paraId="46850ECD">
            <w:pPr>
              <w:rPr>
                <w:rFonts w:ascii="宋体" w:hAnsi="宋体" w:cs="宋体"/>
                <w:kern w:val="0"/>
                <w:sz w:val="21"/>
                <w:szCs w:val="21"/>
                <w:highlight w:val="none"/>
              </w:rPr>
            </w:pPr>
            <w:r>
              <w:rPr>
                <w:rFonts w:hint="eastAsia" w:ascii="宋体" w:hAnsi="宋体" w:cs="宋体"/>
                <w:sz w:val="21"/>
                <w:szCs w:val="21"/>
                <w:highlight w:val="none"/>
              </w:rPr>
              <w:t>按竞争性磋商文件“第七篇响应文件编制要求”要求签署或盖章。</w:t>
            </w:r>
          </w:p>
        </w:tc>
      </w:tr>
      <w:tr w14:paraId="0306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3639C54">
            <w:pPr>
              <w:jc w:val="center"/>
              <w:rPr>
                <w:rFonts w:ascii="宋体" w:hAnsi="宋体" w:cs="宋体"/>
                <w:kern w:val="0"/>
                <w:sz w:val="21"/>
                <w:szCs w:val="21"/>
                <w:highlight w:val="none"/>
              </w:rPr>
            </w:pPr>
          </w:p>
        </w:tc>
        <w:tc>
          <w:tcPr>
            <w:tcW w:w="1560" w:type="dxa"/>
            <w:vMerge w:val="continue"/>
            <w:vAlign w:val="center"/>
          </w:tcPr>
          <w:p w14:paraId="6CA04AFF">
            <w:pPr>
              <w:rPr>
                <w:rFonts w:ascii="宋体" w:hAnsi="宋体" w:cs="宋体"/>
                <w:kern w:val="0"/>
                <w:sz w:val="21"/>
                <w:szCs w:val="21"/>
                <w:highlight w:val="none"/>
              </w:rPr>
            </w:pPr>
          </w:p>
        </w:tc>
        <w:tc>
          <w:tcPr>
            <w:tcW w:w="1984" w:type="dxa"/>
            <w:vAlign w:val="center"/>
          </w:tcPr>
          <w:p w14:paraId="51DAD7B1">
            <w:pPr>
              <w:rPr>
                <w:rFonts w:ascii="宋体" w:hAnsi="宋体" w:cs="宋体"/>
                <w:sz w:val="21"/>
                <w:szCs w:val="21"/>
                <w:highlight w:val="none"/>
              </w:rPr>
            </w:pPr>
            <w:r>
              <w:rPr>
                <w:rFonts w:hint="eastAsia" w:ascii="宋体" w:hAnsi="宋体" w:cs="宋体"/>
                <w:sz w:val="21"/>
                <w:szCs w:val="21"/>
                <w:highlight w:val="none"/>
              </w:rPr>
              <w:t>法定代表人身份证明及授权委托书</w:t>
            </w:r>
          </w:p>
        </w:tc>
        <w:tc>
          <w:tcPr>
            <w:tcW w:w="5409" w:type="dxa"/>
            <w:vAlign w:val="center"/>
          </w:tcPr>
          <w:p w14:paraId="5CDE9325">
            <w:pPr>
              <w:rPr>
                <w:rFonts w:ascii="宋体" w:hAnsi="宋体" w:cs="宋体"/>
                <w:sz w:val="21"/>
                <w:szCs w:val="21"/>
                <w:highlight w:val="none"/>
              </w:rPr>
            </w:pPr>
            <w:r>
              <w:rPr>
                <w:rFonts w:hint="eastAsia" w:ascii="宋体" w:hAnsi="宋体" w:cs="宋体"/>
                <w:sz w:val="21"/>
                <w:szCs w:val="21"/>
                <w:highlight w:val="none"/>
              </w:rPr>
              <w:t>法定代表人身份证明及授权委托书有效，符合竞争性磋商文件规定的格式，签署或盖章齐全。</w:t>
            </w:r>
          </w:p>
        </w:tc>
      </w:tr>
      <w:tr w14:paraId="49B0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F956266">
            <w:pPr>
              <w:jc w:val="center"/>
              <w:rPr>
                <w:rFonts w:ascii="宋体" w:hAnsi="宋体" w:cs="宋体"/>
                <w:kern w:val="0"/>
                <w:sz w:val="21"/>
                <w:szCs w:val="21"/>
                <w:highlight w:val="none"/>
              </w:rPr>
            </w:pPr>
          </w:p>
        </w:tc>
        <w:tc>
          <w:tcPr>
            <w:tcW w:w="1560" w:type="dxa"/>
            <w:vMerge w:val="continue"/>
            <w:vAlign w:val="center"/>
          </w:tcPr>
          <w:p w14:paraId="78333923">
            <w:pPr>
              <w:rPr>
                <w:rFonts w:ascii="宋体" w:hAnsi="宋体" w:cs="宋体"/>
                <w:kern w:val="0"/>
                <w:sz w:val="21"/>
                <w:szCs w:val="21"/>
                <w:highlight w:val="none"/>
              </w:rPr>
            </w:pPr>
          </w:p>
        </w:tc>
        <w:tc>
          <w:tcPr>
            <w:tcW w:w="1984" w:type="dxa"/>
            <w:vAlign w:val="center"/>
          </w:tcPr>
          <w:p w14:paraId="52BEF91C">
            <w:pPr>
              <w:rPr>
                <w:rFonts w:ascii="宋体" w:hAnsi="宋体" w:cs="宋体"/>
                <w:sz w:val="21"/>
                <w:szCs w:val="21"/>
                <w:highlight w:val="none"/>
                <w:lang w:val="zh-CN"/>
              </w:rPr>
            </w:pP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c>
          <w:tcPr>
            <w:tcW w:w="5409" w:type="dxa"/>
            <w:vAlign w:val="center"/>
          </w:tcPr>
          <w:p w14:paraId="10C0E2CF">
            <w:pPr>
              <w:rPr>
                <w:rFonts w:ascii="宋体" w:hAnsi="宋体" w:cs="宋体"/>
                <w:kern w:val="0"/>
                <w:sz w:val="21"/>
                <w:szCs w:val="21"/>
                <w:highlight w:val="none"/>
              </w:rPr>
            </w:pPr>
            <w:r>
              <w:rPr>
                <w:rFonts w:hint="eastAsia" w:ascii="宋体" w:hAnsi="宋体" w:cs="宋体"/>
                <w:sz w:val="21"/>
                <w:szCs w:val="21"/>
                <w:highlight w:val="none"/>
                <w:lang w:val="zh-CN"/>
              </w:rPr>
              <w:t>每个包只能有一个</w:t>
            </w: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r>
      <w:tr w14:paraId="633E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272DF93">
            <w:pPr>
              <w:jc w:val="center"/>
              <w:rPr>
                <w:rFonts w:ascii="宋体" w:hAnsi="宋体" w:cs="宋体"/>
                <w:kern w:val="0"/>
                <w:sz w:val="21"/>
                <w:szCs w:val="21"/>
                <w:highlight w:val="none"/>
              </w:rPr>
            </w:pPr>
          </w:p>
        </w:tc>
        <w:tc>
          <w:tcPr>
            <w:tcW w:w="1560" w:type="dxa"/>
            <w:vMerge w:val="continue"/>
            <w:vAlign w:val="center"/>
          </w:tcPr>
          <w:p w14:paraId="22368C4C">
            <w:pPr>
              <w:rPr>
                <w:rFonts w:ascii="宋体" w:hAnsi="宋体" w:cs="宋体"/>
                <w:kern w:val="0"/>
                <w:sz w:val="21"/>
                <w:szCs w:val="21"/>
                <w:highlight w:val="none"/>
              </w:rPr>
            </w:pPr>
          </w:p>
        </w:tc>
        <w:tc>
          <w:tcPr>
            <w:tcW w:w="1984" w:type="dxa"/>
            <w:vAlign w:val="center"/>
          </w:tcPr>
          <w:p w14:paraId="36779D8C">
            <w:pPr>
              <w:rPr>
                <w:rFonts w:ascii="宋体" w:hAnsi="宋体" w:cs="宋体"/>
                <w:sz w:val="21"/>
                <w:szCs w:val="21"/>
                <w:highlight w:val="none"/>
                <w:lang w:val="zh-CN"/>
              </w:rPr>
            </w:pPr>
            <w:r>
              <w:rPr>
                <w:rFonts w:hint="eastAsia" w:ascii="宋体" w:hAnsi="宋体" w:cs="宋体"/>
                <w:sz w:val="21"/>
                <w:szCs w:val="21"/>
                <w:highlight w:val="none"/>
              </w:rPr>
              <w:t>报价唯一</w:t>
            </w:r>
          </w:p>
        </w:tc>
        <w:tc>
          <w:tcPr>
            <w:tcW w:w="5409" w:type="dxa"/>
            <w:vAlign w:val="center"/>
          </w:tcPr>
          <w:p w14:paraId="5F9660E2">
            <w:pPr>
              <w:rPr>
                <w:rFonts w:ascii="宋体" w:hAnsi="宋体" w:cs="宋体"/>
                <w:kern w:val="0"/>
                <w:sz w:val="21"/>
                <w:szCs w:val="21"/>
                <w:highlight w:val="none"/>
              </w:rPr>
            </w:pPr>
            <w:r>
              <w:rPr>
                <w:rFonts w:hint="eastAsia" w:ascii="宋体" w:hAnsi="宋体" w:cs="宋体"/>
                <w:sz w:val="21"/>
                <w:szCs w:val="21"/>
                <w:highlight w:val="none"/>
              </w:rPr>
              <w:t>只能有一个有效报价，不得提交选择性报价。</w:t>
            </w:r>
          </w:p>
        </w:tc>
      </w:tr>
      <w:tr w14:paraId="3EC3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68168191">
            <w:pPr>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1560" w:type="dxa"/>
            <w:vAlign w:val="center"/>
          </w:tcPr>
          <w:p w14:paraId="2E202CF1">
            <w:pPr>
              <w:rPr>
                <w:rFonts w:ascii="宋体" w:hAnsi="宋体" w:cs="宋体"/>
                <w:kern w:val="0"/>
                <w:sz w:val="21"/>
                <w:szCs w:val="21"/>
                <w:highlight w:val="none"/>
              </w:rPr>
            </w:pPr>
            <w:r>
              <w:rPr>
                <w:rFonts w:hint="eastAsia" w:ascii="宋体" w:hAnsi="宋体" w:cs="宋体"/>
                <w:kern w:val="0"/>
                <w:sz w:val="21"/>
                <w:szCs w:val="21"/>
                <w:highlight w:val="none"/>
              </w:rPr>
              <w:t>完整性审查</w:t>
            </w:r>
          </w:p>
        </w:tc>
        <w:tc>
          <w:tcPr>
            <w:tcW w:w="1984" w:type="dxa"/>
            <w:vAlign w:val="center"/>
          </w:tcPr>
          <w:p w14:paraId="13F584B9">
            <w:pPr>
              <w:rPr>
                <w:rFonts w:ascii="宋体" w:hAnsi="宋体" w:cs="宋体"/>
                <w:kern w:val="0"/>
                <w:sz w:val="21"/>
                <w:szCs w:val="21"/>
                <w:highlight w:val="none"/>
              </w:rPr>
            </w:pPr>
            <w:r>
              <w:rPr>
                <w:rFonts w:hint="eastAsia" w:ascii="宋体" w:hAnsi="宋体" w:cs="宋体"/>
                <w:sz w:val="21"/>
                <w:szCs w:val="21"/>
                <w:highlight w:val="none"/>
              </w:rPr>
              <w:t>响应</w:t>
            </w:r>
            <w:r>
              <w:rPr>
                <w:rFonts w:hint="eastAsia" w:ascii="宋体" w:hAnsi="宋体" w:cs="宋体"/>
                <w:sz w:val="21"/>
                <w:szCs w:val="21"/>
                <w:highlight w:val="none"/>
                <w:lang w:val="zh-CN"/>
              </w:rPr>
              <w:t>文件份数</w:t>
            </w:r>
          </w:p>
        </w:tc>
        <w:tc>
          <w:tcPr>
            <w:tcW w:w="5409" w:type="dxa"/>
            <w:vAlign w:val="center"/>
          </w:tcPr>
          <w:p w14:paraId="318004DF">
            <w:pPr>
              <w:rPr>
                <w:rFonts w:ascii="宋体" w:hAnsi="宋体" w:cs="宋体"/>
                <w:kern w:val="0"/>
                <w:sz w:val="21"/>
                <w:szCs w:val="21"/>
                <w:highlight w:val="none"/>
              </w:rPr>
            </w:pPr>
            <w:r>
              <w:rPr>
                <w:rFonts w:hint="eastAsia" w:ascii="宋体" w:hAnsi="宋体" w:cs="宋体"/>
                <w:sz w:val="21"/>
                <w:szCs w:val="21"/>
                <w:highlight w:val="none"/>
              </w:rPr>
              <w:t>响应</w:t>
            </w:r>
            <w:r>
              <w:rPr>
                <w:rFonts w:hint="eastAsia" w:ascii="宋体" w:hAnsi="宋体" w:cs="宋体"/>
                <w:sz w:val="21"/>
                <w:szCs w:val="21"/>
                <w:highlight w:val="none"/>
                <w:lang w:val="zh-CN"/>
              </w:rPr>
              <w:t>文件正、副本数量（含电子文档）符合</w:t>
            </w:r>
            <w:r>
              <w:rPr>
                <w:rFonts w:hint="eastAsia" w:ascii="宋体" w:hAnsi="宋体" w:cs="宋体"/>
                <w:sz w:val="21"/>
                <w:szCs w:val="21"/>
                <w:highlight w:val="none"/>
              </w:rPr>
              <w:t>竞争性磋商</w:t>
            </w:r>
            <w:r>
              <w:rPr>
                <w:rFonts w:hint="eastAsia" w:ascii="宋体" w:hAnsi="宋体" w:cs="宋体"/>
                <w:sz w:val="21"/>
                <w:szCs w:val="21"/>
                <w:highlight w:val="none"/>
                <w:lang w:val="zh-CN"/>
              </w:rPr>
              <w:t>文件要求。</w:t>
            </w:r>
          </w:p>
        </w:tc>
      </w:tr>
      <w:tr w14:paraId="516B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EBE48EC">
            <w:pPr>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1560" w:type="dxa"/>
            <w:vMerge w:val="restart"/>
            <w:vAlign w:val="center"/>
          </w:tcPr>
          <w:p w14:paraId="559CDC24">
            <w:pPr>
              <w:rPr>
                <w:rFonts w:ascii="宋体" w:hAnsi="宋体" w:cs="宋体"/>
                <w:sz w:val="21"/>
                <w:szCs w:val="21"/>
                <w:highlight w:val="none"/>
                <w:lang w:val="zh-CN"/>
              </w:rPr>
            </w:pPr>
            <w:r>
              <w:rPr>
                <w:rFonts w:hint="eastAsia" w:ascii="宋体" w:hAnsi="宋体" w:cs="宋体"/>
                <w:kern w:val="0"/>
                <w:sz w:val="21"/>
                <w:szCs w:val="21"/>
                <w:highlight w:val="none"/>
              </w:rPr>
              <w:t>响应程度审查</w:t>
            </w:r>
          </w:p>
        </w:tc>
        <w:tc>
          <w:tcPr>
            <w:tcW w:w="1984" w:type="dxa"/>
            <w:vAlign w:val="center"/>
          </w:tcPr>
          <w:p w14:paraId="6D767814">
            <w:pPr>
              <w:rPr>
                <w:rFonts w:ascii="宋体" w:hAnsi="宋体" w:cs="宋体"/>
                <w:kern w:val="0"/>
                <w:sz w:val="21"/>
                <w:szCs w:val="21"/>
                <w:highlight w:val="none"/>
              </w:rPr>
            </w:pPr>
            <w:r>
              <w:rPr>
                <w:rFonts w:hint="eastAsia" w:ascii="宋体" w:hAnsi="宋体" w:cs="宋体"/>
                <w:kern w:val="0"/>
                <w:sz w:val="21"/>
                <w:szCs w:val="21"/>
                <w:highlight w:val="none"/>
              </w:rPr>
              <w:t>实质性响应</w:t>
            </w:r>
          </w:p>
        </w:tc>
        <w:tc>
          <w:tcPr>
            <w:tcW w:w="5409" w:type="dxa"/>
            <w:vAlign w:val="center"/>
          </w:tcPr>
          <w:p w14:paraId="129AA1AB">
            <w:pPr>
              <w:rPr>
                <w:rFonts w:ascii="宋体" w:hAnsi="宋体" w:cs="宋体"/>
                <w:kern w:val="0"/>
                <w:sz w:val="21"/>
                <w:szCs w:val="21"/>
                <w:highlight w:val="none"/>
              </w:rPr>
            </w:pPr>
            <w:r>
              <w:rPr>
                <w:rFonts w:hint="eastAsia" w:ascii="宋体" w:hAnsi="宋体" w:cs="宋体"/>
                <w:kern w:val="0"/>
                <w:sz w:val="21"/>
                <w:szCs w:val="21"/>
                <w:highlight w:val="none"/>
              </w:rPr>
              <w:t>对竞争性磋商文件第二篇、第三篇</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标注的</w:t>
            </w:r>
            <w:r>
              <w:rPr>
                <w:rFonts w:hint="eastAsia" w:ascii="宋体" w:hAnsi="宋体" w:cs="宋体"/>
                <w:kern w:val="0"/>
                <w:sz w:val="21"/>
                <w:szCs w:val="21"/>
                <w:highlight w:val="none"/>
                <w:lang w:val="en-US" w:eastAsia="zh-CN"/>
              </w:rPr>
              <w:t>磋商</w:t>
            </w:r>
            <w:r>
              <w:rPr>
                <w:rFonts w:hint="eastAsia" w:ascii="宋体" w:hAnsi="宋体" w:cs="宋体"/>
                <w:kern w:val="0"/>
                <w:sz w:val="21"/>
                <w:szCs w:val="21"/>
                <w:highlight w:val="none"/>
              </w:rPr>
              <w:t>内容作出响应｡</w:t>
            </w:r>
          </w:p>
        </w:tc>
      </w:tr>
      <w:tr w14:paraId="0350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E6A9DCA">
            <w:pPr>
              <w:jc w:val="center"/>
              <w:rPr>
                <w:rFonts w:ascii="宋体" w:hAnsi="宋体" w:cs="宋体"/>
                <w:kern w:val="0"/>
                <w:sz w:val="21"/>
                <w:szCs w:val="21"/>
                <w:highlight w:val="none"/>
              </w:rPr>
            </w:pPr>
          </w:p>
        </w:tc>
        <w:tc>
          <w:tcPr>
            <w:tcW w:w="1560" w:type="dxa"/>
            <w:vMerge w:val="continue"/>
            <w:vAlign w:val="center"/>
          </w:tcPr>
          <w:p w14:paraId="1AE2AC8F">
            <w:pPr>
              <w:rPr>
                <w:rFonts w:ascii="宋体" w:hAnsi="宋体" w:cs="宋体"/>
                <w:sz w:val="21"/>
                <w:szCs w:val="21"/>
                <w:highlight w:val="none"/>
                <w:lang w:val="zh-CN"/>
              </w:rPr>
            </w:pPr>
          </w:p>
        </w:tc>
        <w:tc>
          <w:tcPr>
            <w:tcW w:w="1984" w:type="dxa"/>
            <w:vAlign w:val="center"/>
          </w:tcPr>
          <w:p w14:paraId="08BC2E14">
            <w:pPr>
              <w:rPr>
                <w:rFonts w:ascii="宋体" w:hAnsi="宋体" w:cs="宋体"/>
                <w:kern w:val="0"/>
                <w:sz w:val="21"/>
                <w:szCs w:val="21"/>
                <w:highlight w:val="none"/>
              </w:rPr>
            </w:pPr>
            <w:r>
              <w:rPr>
                <w:rFonts w:hint="eastAsia" w:ascii="宋体" w:hAnsi="宋体" w:cs="宋体"/>
                <w:kern w:val="0"/>
                <w:sz w:val="21"/>
                <w:szCs w:val="21"/>
                <w:highlight w:val="none"/>
              </w:rPr>
              <w:t>磋商有效期</w:t>
            </w:r>
          </w:p>
        </w:tc>
        <w:tc>
          <w:tcPr>
            <w:tcW w:w="5409" w:type="dxa"/>
            <w:vAlign w:val="center"/>
          </w:tcPr>
          <w:p w14:paraId="39AB8EEF">
            <w:pPr>
              <w:rPr>
                <w:rFonts w:ascii="宋体" w:hAnsi="宋体" w:cs="宋体"/>
                <w:kern w:val="0"/>
                <w:sz w:val="21"/>
                <w:szCs w:val="21"/>
                <w:highlight w:val="none"/>
              </w:rPr>
            </w:pPr>
            <w:r>
              <w:rPr>
                <w:rFonts w:hint="eastAsia" w:ascii="宋体" w:hAnsi="宋体" w:cs="宋体"/>
                <w:kern w:val="0"/>
                <w:sz w:val="21"/>
                <w:szCs w:val="21"/>
                <w:highlight w:val="none"/>
              </w:rPr>
              <w:t>响应文件及有关承诺文件有效期为提交响应文件截止时间起90天。</w:t>
            </w:r>
          </w:p>
        </w:tc>
      </w:tr>
    </w:tbl>
    <w:p w14:paraId="17FCD38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9780A4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A3D1E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121109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（五）在磋商过程中磋商的任何一方不得向他人透露与磋商有关的服务资料、价格或其他信息。</w:t>
      </w:r>
    </w:p>
    <w:p w14:paraId="5027574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16AB1C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（七）供应商在磋商时作出的所有书面承诺须由法定代表人（或其授权代表）或自然人（供应商为自然人）签署。</w:t>
      </w:r>
    </w:p>
    <w:p w14:paraId="6A94CFF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1145EDD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（九）磋商小组采用综合评分法对提交最后报价的供应商的响应文件和最后报价（含有效书面承诺）进行综合评分。</w:t>
      </w:r>
      <w:r>
        <w:rPr>
          <w:rFonts w:hint="eastAsia" w:ascii="宋体" w:hAnsi="宋体" w:cs="宋体"/>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sz w:val="24"/>
          <w:szCs w:val="24"/>
          <w:highlight w:val="none"/>
        </w:rPr>
        <w:t>。</w:t>
      </w:r>
    </w:p>
    <w:p w14:paraId="0636E49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（十）磋商小组各成员独立对每个有效响应（通过资格性审查、</w:t>
      </w:r>
      <w:r>
        <w:rPr>
          <w:rFonts w:hint="eastAsia" w:ascii="宋体" w:hAnsi="宋体" w:cs="宋体"/>
          <w:kern w:val="0"/>
          <w:sz w:val="24"/>
          <w:szCs w:val="24"/>
          <w:highlight w:val="none"/>
        </w:rPr>
        <w:t>符合性审查的供应商</w:t>
      </w:r>
      <w:r>
        <w:rPr>
          <w:rFonts w:hint="eastAsia" w:ascii="宋体" w:hAnsi="宋体" w:cs="宋体"/>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w:t>
      </w:r>
      <w:r>
        <w:rPr>
          <w:rFonts w:hint="eastAsia" w:ascii="宋体" w:hAnsi="宋体" w:cs="宋体"/>
          <w:sz w:val="24"/>
          <w:szCs w:val="24"/>
          <w:highlight w:val="none"/>
          <w:lang w:val="en-US" w:eastAsia="zh-CN"/>
        </w:rPr>
        <w:t>技术部分</w:t>
      </w:r>
      <w:bookmarkStart w:id="1062" w:name="_GoBack"/>
      <w:bookmarkEnd w:id="1062"/>
      <w:r>
        <w:rPr>
          <w:rFonts w:hint="eastAsia" w:ascii="宋体" w:hAnsi="宋体" w:cs="宋体"/>
          <w:sz w:val="24"/>
          <w:szCs w:val="24"/>
          <w:highlight w:val="none"/>
        </w:rPr>
        <w:t>优劣顺序排列推荐。以上都相同的，按商务条款的优劣顺序排列推荐。</w:t>
      </w:r>
    </w:p>
    <w:p w14:paraId="6DD28E70">
      <w:pPr>
        <w:pStyle w:val="4"/>
        <w:adjustRightInd w:val="0"/>
        <w:snapToGrid w:val="0"/>
        <w:spacing w:before="0" w:after="0" w:line="400" w:lineRule="exact"/>
        <w:ind w:firstLine="482" w:firstLineChars="200"/>
        <w:rPr>
          <w:rFonts w:ascii="宋体" w:hAnsi="宋体" w:eastAsia="宋体" w:cs="宋体"/>
          <w:sz w:val="24"/>
          <w:highlight w:val="none"/>
        </w:rPr>
      </w:pPr>
      <w:bookmarkStart w:id="96" w:name="_Toc25981"/>
      <w:bookmarkStart w:id="97" w:name="_Toc76462334"/>
      <w:r>
        <w:rPr>
          <w:rFonts w:hint="eastAsia" w:ascii="宋体" w:hAnsi="宋体" w:eastAsia="宋体" w:cs="宋体"/>
          <w:sz w:val="24"/>
          <w:highlight w:val="none"/>
        </w:rPr>
        <w:t>二、</w:t>
      </w:r>
      <w:bookmarkStart w:id="98" w:name="_Toc102227320"/>
      <w:bookmarkStart w:id="99" w:name="_Toc342913394"/>
      <w:r>
        <w:rPr>
          <w:rFonts w:hint="eastAsia" w:ascii="宋体" w:hAnsi="宋体" w:eastAsia="宋体" w:cs="宋体"/>
          <w:sz w:val="24"/>
          <w:highlight w:val="none"/>
        </w:rPr>
        <w:t>评审标准</w:t>
      </w:r>
      <w:bookmarkEnd w:id="96"/>
      <w:bookmarkEnd w:id="97"/>
    </w:p>
    <w:tbl>
      <w:tblPr>
        <w:tblStyle w:val="5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35"/>
        <w:gridCol w:w="1134"/>
        <w:gridCol w:w="4499"/>
        <w:gridCol w:w="1993"/>
      </w:tblGrid>
      <w:tr w14:paraId="226C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center"/>
          </w:tcPr>
          <w:p w14:paraId="07D94730">
            <w:pPr>
              <w:spacing w:line="480" w:lineRule="exact"/>
              <w:jc w:val="center"/>
              <w:rPr>
                <w:rFonts w:hint="eastAsia" w:ascii="宋体" w:hAnsi="宋体" w:eastAsia="宋体" w:cs="宋体"/>
                <w:b/>
                <w:color w:val="000000"/>
                <w:sz w:val="24"/>
                <w:szCs w:val="24"/>
                <w:highlight w:val="none"/>
              </w:rPr>
            </w:pPr>
            <w:bookmarkStart w:id="100" w:name="_Toc76462335"/>
            <w:r>
              <w:rPr>
                <w:rFonts w:hint="eastAsia" w:ascii="宋体" w:hAnsi="宋体" w:eastAsia="宋体" w:cs="宋体"/>
                <w:b/>
                <w:color w:val="000000"/>
                <w:sz w:val="24"/>
                <w:szCs w:val="24"/>
                <w:highlight w:val="none"/>
              </w:rPr>
              <w:t>序号</w:t>
            </w:r>
          </w:p>
        </w:tc>
        <w:tc>
          <w:tcPr>
            <w:tcW w:w="1135" w:type="dxa"/>
            <w:noWrap w:val="0"/>
            <w:vAlign w:val="center"/>
          </w:tcPr>
          <w:p w14:paraId="21A484FB">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评分因素及权值</w:t>
            </w:r>
          </w:p>
        </w:tc>
        <w:tc>
          <w:tcPr>
            <w:tcW w:w="1134" w:type="dxa"/>
            <w:noWrap w:val="0"/>
            <w:vAlign w:val="center"/>
          </w:tcPr>
          <w:p w14:paraId="75C82340">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分值</w:t>
            </w:r>
          </w:p>
        </w:tc>
        <w:tc>
          <w:tcPr>
            <w:tcW w:w="4499" w:type="dxa"/>
            <w:noWrap w:val="0"/>
            <w:vAlign w:val="center"/>
          </w:tcPr>
          <w:p w14:paraId="0DE3BE87">
            <w:pPr>
              <w:spacing w:line="48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评分标准</w:t>
            </w:r>
          </w:p>
        </w:tc>
        <w:tc>
          <w:tcPr>
            <w:tcW w:w="1993" w:type="dxa"/>
            <w:noWrap w:val="0"/>
            <w:vAlign w:val="center"/>
          </w:tcPr>
          <w:p w14:paraId="1147F9B1">
            <w:pPr>
              <w:pStyle w:val="225"/>
              <w:spacing w:before="0" w:after="0" w:line="480" w:lineRule="exac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说明</w:t>
            </w:r>
          </w:p>
        </w:tc>
      </w:tr>
      <w:tr w14:paraId="284F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bottom w:val="single" w:color="auto" w:sz="4" w:space="0"/>
            </w:tcBorders>
            <w:noWrap w:val="0"/>
            <w:vAlign w:val="center"/>
          </w:tcPr>
          <w:p w14:paraId="51476908">
            <w:pPr>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35" w:type="dxa"/>
            <w:tcBorders>
              <w:bottom w:val="single" w:color="auto" w:sz="4" w:space="0"/>
            </w:tcBorders>
            <w:noWrap w:val="0"/>
            <w:vAlign w:val="center"/>
          </w:tcPr>
          <w:p w14:paraId="484F3235">
            <w:pPr>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w:t>
            </w:r>
          </w:p>
          <w:p w14:paraId="25AC92FD">
            <w:pPr>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rPr>
              <w:t>%）</w:t>
            </w:r>
          </w:p>
        </w:tc>
        <w:tc>
          <w:tcPr>
            <w:tcW w:w="1134" w:type="dxa"/>
            <w:tcBorders>
              <w:bottom w:val="single" w:color="auto" w:sz="4" w:space="0"/>
            </w:tcBorders>
            <w:noWrap w:val="0"/>
            <w:vAlign w:val="center"/>
          </w:tcPr>
          <w:p w14:paraId="4E9EDCED">
            <w:pPr>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rPr>
              <w:t>分</w:t>
            </w:r>
          </w:p>
        </w:tc>
        <w:tc>
          <w:tcPr>
            <w:tcW w:w="4499" w:type="dxa"/>
            <w:tcBorders>
              <w:bottom w:val="single" w:color="auto" w:sz="4" w:space="0"/>
            </w:tcBorders>
            <w:noWrap w:val="0"/>
            <w:vAlign w:val="center"/>
          </w:tcPr>
          <w:p w14:paraId="76BB800F">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满足资格性、符合性要求且最后报价最低的供应商的价格为磋商基准价，其价格分为满分。其他供应商的价格分统一按照下列公式计算：</w:t>
            </w:r>
          </w:p>
          <w:p w14:paraId="63FDD923">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磋商报价得分=（磋商基准价/最后磋商报价）×价格权值×100”。</w:t>
            </w:r>
          </w:p>
        </w:tc>
        <w:tc>
          <w:tcPr>
            <w:tcW w:w="1993" w:type="dxa"/>
            <w:tcBorders>
              <w:bottom w:val="single" w:color="auto" w:sz="4" w:space="0"/>
            </w:tcBorders>
            <w:noWrap w:val="0"/>
            <w:vAlign w:val="center"/>
          </w:tcPr>
          <w:p w14:paraId="3BA9177A">
            <w:pPr>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对小微企业的价格用扣除后的价格参与评审，详见“注：关于小微企业报价扣除比例说明”。</w:t>
            </w:r>
          </w:p>
        </w:tc>
      </w:tr>
      <w:tr w14:paraId="6A27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restart"/>
            <w:tcBorders>
              <w:top w:val="single" w:color="auto" w:sz="4" w:space="0"/>
            </w:tcBorders>
            <w:noWrap w:val="0"/>
            <w:vAlign w:val="center"/>
          </w:tcPr>
          <w:p w14:paraId="1037ED00">
            <w:pPr>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135" w:type="dxa"/>
            <w:vMerge w:val="restart"/>
            <w:tcBorders>
              <w:top w:val="single" w:color="auto" w:sz="4" w:space="0"/>
            </w:tcBorders>
            <w:noWrap w:val="0"/>
            <w:vAlign w:val="center"/>
          </w:tcPr>
          <w:p w14:paraId="1F65FAEF">
            <w:pPr>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技术部分</w:t>
            </w:r>
          </w:p>
          <w:p w14:paraId="5B157588">
            <w:pPr>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60</w:t>
            </w:r>
            <w:r>
              <w:rPr>
                <w:rFonts w:hint="eastAsia" w:ascii="宋体" w:hAnsi="宋体" w:eastAsia="宋体" w:cs="宋体"/>
                <w:color w:val="000000"/>
                <w:sz w:val="24"/>
                <w:szCs w:val="24"/>
                <w:highlight w:val="none"/>
              </w:rPr>
              <w:t>%）</w:t>
            </w:r>
          </w:p>
        </w:tc>
        <w:tc>
          <w:tcPr>
            <w:tcW w:w="1134" w:type="dxa"/>
            <w:tcBorders>
              <w:top w:val="single" w:color="auto" w:sz="4" w:space="0"/>
              <w:bottom w:val="single" w:color="auto" w:sz="4" w:space="0"/>
            </w:tcBorders>
            <w:noWrap w:val="0"/>
            <w:vAlign w:val="center"/>
          </w:tcPr>
          <w:p w14:paraId="2F65D9CC">
            <w:pPr>
              <w:spacing w:line="480" w:lineRule="exact"/>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4499" w:type="dxa"/>
            <w:tcBorders>
              <w:top w:val="single" w:color="auto" w:sz="4" w:space="0"/>
              <w:bottom w:val="single" w:color="auto" w:sz="4" w:space="0"/>
            </w:tcBorders>
            <w:noWrap w:val="0"/>
            <w:vAlign w:val="center"/>
          </w:tcPr>
          <w:p w14:paraId="5B42A386">
            <w:pPr>
              <w:pageBreakBefore w:val="0"/>
              <w:widowControl w:val="0"/>
              <w:kinsoku/>
              <w:wordWrap/>
              <w:overflowPunct/>
              <w:topLinePunct w:val="0"/>
              <w:autoSpaceDE/>
              <w:autoSpaceDN/>
              <w:bidi w:val="0"/>
              <w:adjustRightInd w:val="0"/>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）项目的理解与分析</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045FE56A">
            <w:pPr>
              <w:pStyle w:val="5"/>
              <w:spacing w:before="20" w:after="20" w:line="360" w:lineRule="exact"/>
              <w:rPr>
                <w:rFonts w:hint="eastAsia" w:ascii="宋体" w:hAnsi="宋体" w:eastAsia="宋体" w:cs="宋体"/>
                <w:b w:val="0"/>
                <w:color w:val="000000"/>
                <w:kern w:val="2"/>
                <w:sz w:val="24"/>
                <w:szCs w:val="24"/>
                <w:highlight w:val="none"/>
                <w:lang w:val="en-US" w:eastAsia="zh-CN" w:bidi="ar-SA"/>
              </w:rPr>
            </w:pPr>
            <w:bookmarkStart w:id="101" w:name="_Toc16782"/>
            <w:r>
              <w:rPr>
                <w:rFonts w:hint="eastAsia" w:ascii="宋体" w:hAnsi="宋体" w:eastAsia="宋体" w:cs="宋体"/>
                <w:b/>
                <w:bCs/>
                <w:color w:val="000000"/>
                <w:kern w:val="2"/>
                <w:sz w:val="24"/>
                <w:szCs w:val="24"/>
                <w:highlight w:val="none"/>
                <w:lang w:val="en-US" w:eastAsia="zh-CN" w:bidi="ar-SA"/>
              </w:rPr>
              <w:t>编制要点：</w:t>
            </w:r>
            <w:r>
              <w:rPr>
                <w:rFonts w:hint="eastAsia" w:ascii="宋体" w:hAnsi="宋体" w:eastAsia="宋体" w:cs="宋体"/>
                <w:b w:val="0"/>
                <w:color w:val="000000"/>
                <w:kern w:val="2"/>
                <w:sz w:val="24"/>
                <w:szCs w:val="24"/>
                <w:highlight w:val="none"/>
                <w:lang w:val="en-US" w:eastAsia="zh-CN" w:bidi="ar-SA"/>
              </w:rPr>
              <w:t>针对本项目背景阐述、现场情况概述、周围环境分析项目重点难点分析以及解决办法等方面打分。</w:t>
            </w:r>
            <w:bookmarkEnd w:id="101"/>
          </w:p>
          <w:p w14:paraId="492F5472">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方案内容不存在瑕疵得10分，方案内容存在1处瑕疵得7分，方案内容存在2处瑕疵得4分，方案内容存在3处及以上瑕疵得0分。</w:t>
            </w:r>
          </w:p>
        </w:tc>
        <w:tc>
          <w:tcPr>
            <w:tcW w:w="1993" w:type="dxa"/>
            <w:vMerge w:val="restart"/>
            <w:tcBorders>
              <w:top w:val="single" w:color="auto" w:sz="4" w:space="0"/>
            </w:tcBorders>
            <w:noWrap w:val="0"/>
            <w:vAlign w:val="center"/>
          </w:tcPr>
          <w:p w14:paraId="6B6C56C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磋商小组根据供应商提供的《技术方案》进行综合评分。提供技术方案，格式自拟，并加盖公章。</w:t>
            </w:r>
          </w:p>
          <w:p w14:paraId="2326B8D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备注:技术方案原则上不超过 200 页，但不得将页数作为评审因素。</w:t>
            </w:r>
          </w:p>
          <w:p w14:paraId="55972E4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内容中所称的“瑕疵”指方案内容缺项、内容表述不完整或缺少关键分析点，方案不具体，不完善、不完整、不合理、不可靠，现场考虑不充分、可实施程度低、关键性工序考虑不充分，现场实际情况勘查不全面、现状分析不透彻、解决方案不完善、不具体、不合理，方案内容表述前后矛盾、无连贯性，内容存在逻辑漏洞错误等任意一种情形。</w:t>
            </w:r>
          </w:p>
          <w:p w14:paraId="02B4E1DA">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方案中出现不适用本项目特性或非专门针对本项目制定、方案中提出的措施举措不利于本项目目标的实现、现有技术条件下不可能的情形，得0分。</w:t>
            </w:r>
          </w:p>
          <w:p w14:paraId="77ECAAAA">
            <w:pPr>
              <w:spacing w:line="48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2.评审专家对每份技术方案独立打分。</w:t>
            </w:r>
          </w:p>
        </w:tc>
      </w:tr>
      <w:tr w14:paraId="6234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noWrap w:val="0"/>
            <w:vAlign w:val="center"/>
          </w:tcPr>
          <w:p w14:paraId="6B96BE36">
            <w:pPr>
              <w:spacing w:line="480" w:lineRule="exact"/>
              <w:jc w:val="center"/>
              <w:rPr>
                <w:rFonts w:hint="eastAsia" w:ascii="宋体" w:hAnsi="宋体" w:eastAsia="宋体" w:cs="宋体"/>
                <w:color w:val="000000"/>
                <w:sz w:val="24"/>
                <w:szCs w:val="24"/>
                <w:highlight w:val="none"/>
              </w:rPr>
            </w:pPr>
          </w:p>
        </w:tc>
        <w:tc>
          <w:tcPr>
            <w:tcW w:w="1135" w:type="dxa"/>
            <w:vMerge w:val="continue"/>
            <w:noWrap w:val="0"/>
            <w:vAlign w:val="center"/>
          </w:tcPr>
          <w:p w14:paraId="4246E7B8">
            <w:pPr>
              <w:spacing w:line="480" w:lineRule="exact"/>
              <w:jc w:val="center"/>
              <w:rPr>
                <w:rFonts w:hint="eastAsia" w:ascii="宋体" w:hAnsi="宋体" w:eastAsia="宋体" w:cs="宋体"/>
                <w:color w:val="000000"/>
                <w:sz w:val="24"/>
                <w:szCs w:val="24"/>
                <w:highlight w:val="none"/>
              </w:rPr>
            </w:pPr>
          </w:p>
        </w:tc>
        <w:tc>
          <w:tcPr>
            <w:tcW w:w="1134" w:type="dxa"/>
            <w:tcBorders>
              <w:top w:val="single" w:color="auto" w:sz="4" w:space="0"/>
              <w:bottom w:val="single" w:color="auto" w:sz="4" w:space="0"/>
            </w:tcBorders>
            <w:noWrap w:val="0"/>
            <w:vAlign w:val="center"/>
          </w:tcPr>
          <w:p w14:paraId="09EF8840">
            <w:pPr>
              <w:spacing w:line="48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4499" w:type="dxa"/>
            <w:tcBorders>
              <w:top w:val="single" w:color="auto" w:sz="4" w:space="0"/>
              <w:bottom w:val="single" w:color="auto" w:sz="4" w:space="0"/>
            </w:tcBorders>
            <w:noWrap w:val="0"/>
            <w:vAlign w:val="center"/>
          </w:tcPr>
          <w:p w14:paraId="3E68EE45">
            <w:pPr>
              <w:pageBreakBefore w:val="0"/>
              <w:widowControl w:val="0"/>
              <w:kinsoku/>
              <w:wordWrap/>
              <w:overflowPunct/>
              <w:topLinePunct w:val="0"/>
              <w:autoSpaceDE/>
              <w:autoSpaceDN/>
              <w:bidi w:val="0"/>
              <w:adjustRightInd w:val="0"/>
              <w:snapToGrid w:val="0"/>
              <w:spacing w:line="4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施工方案与技术措施</w:t>
            </w:r>
            <w:r>
              <w:rPr>
                <w:rFonts w:hint="eastAsia" w:ascii="宋体" w:hAnsi="宋体" w:eastAsia="宋体" w:cs="宋体"/>
                <w:b/>
                <w:bCs/>
                <w:color w:val="auto"/>
                <w:sz w:val="24"/>
                <w:szCs w:val="24"/>
                <w:highlight w:val="none"/>
                <w:lang w:val="en-US" w:eastAsia="zh-CN"/>
              </w:rPr>
              <w:t>10分</w:t>
            </w:r>
          </w:p>
          <w:p w14:paraId="09BBD261">
            <w:pPr>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编制要点：施工总体部署合理、图示清晰，施工阶段划分合理、交叉作业的可操作性强，技术措施阐述全面，主要技术措施在质量、安全、进度上的保障性强。</w:t>
            </w:r>
          </w:p>
          <w:p w14:paraId="5816D6D4">
            <w:pPr>
              <w:pageBreakBefore w:val="0"/>
              <w:widowControl w:val="0"/>
              <w:kinsoku/>
              <w:wordWrap/>
              <w:overflowPunct/>
              <w:topLinePunct w:val="0"/>
              <w:autoSpaceDE/>
              <w:autoSpaceDN/>
              <w:bidi w:val="0"/>
              <w:adjustRightInd w:val="0"/>
              <w:snapToGrid w:val="0"/>
              <w:spacing w:line="400" w:lineRule="exact"/>
              <w:ind w:left="-38"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方案内容不存在瑕疵得10分，方案内容存在1处瑕疵得7分，方案内容存在2处瑕疵得4分，方案内容存在3处及以上瑕疵得0分。</w:t>
            </w:r>
          </w:p>
        </w:tc>
        <w:tc>
          <w:tcPr>
            <w:tcW w:w="1993" w:type="dxa"/>
            <w:vMerge w:val="continue"/>
            <w:noWrap w:val="0"/>
            <w:vAlign w:val="center"/>
          </w:tcPr>
          <w:p w14:paraId="5EDB6969">
            <w:pPr>
              <w:spacing w:line="480" w:lineRule="exact"/>
              <w:rPr>
                <w:rFonts w:hint="eastAsia" w:ascii="宋体" w:hAnsi="宋体" w:eastAsia="宋体" w:cs="宋体"/>
                <w:color w:val="000000"/>
                <w:sz w:val="24"/>
                <w:szCs w:val="24"/>
                <w:highlight w:val="none"/>
                <w:lang w:val="en-US" w:eastAsia="zh-CN"/>
              </w:rPr>
            </w:pPr>
          </w:p>
        </w:tc>
      </w:tr>
      <w:tr w14:paraId="64A1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noWrap w:val="0"/>
            <w:vAlign w:val="center"/>
          </w:tcPr>
          <w:p w14:paraId="083635F8">
            <w:pPr>
              <w:spacing w:line="480" w:lineRule="exact"/>
              <w:jc w:val="center"/>
              <w:rPr>
                <w:rFonts w:hint="eastAsia" w:ascii="宋体" w:hAnsi="宋体" w:eastAsia="宋体" w:cs="宋体"/>
                <w:color w:val="000000"/>
                <w:sz w:val="24"/>
                <w:szCs w:val="24"/>
                <w:highlight w:val="none"/>
              </w:rPr>
            </w:pPr>
          </w:p>
        </w:tc>
        <w:tc>
          <w:tcPr>
            <w:tcW w:w="1135" w:type="dxa"/>
            <w:vMerge w:val="continue"/>
            <w:noWrap w:val="0"/>
            <w:vAlign w:val="center"/>
          </w:tcPr>
          <w:p w14:paraId="0B5D1F9D">
            <w:pPr>
              <w:spacing w:line="480" w:lineRule="exact"/>
              <w:jc w:val="center"/>
              <w:rPr>
                <w:rFonts w:hint="eastAsia" w:ascii="宋体" w:hAnsi="宋体" w:eastAsia="宋体" w:cs="宋体"/>
                <w:color w:val="000000"/>
                <w:sz w:val="24"/>
                <w:szCs w:val="24"/>
                <w:highlight w:val="none"/>
              </w:rPr>
            </w:pPr>
          </w:p>
        </w:tc>
        <w:tc>
          <w:tcPr>
            <w:tcW w:w="1134" w:type="dxa"/>
            <w:tcBorders>
              <w:top w:val="single" w:color="auto" w:sz="4" w:space="0"/>
              <w:bottom w:val="single" w:color="auto" w:sz="4" w:space="0"/>
            </w:tcBorders>
            <w:noWrap w:val="0"/>
            <w:vAlign w:val="center"/>
          </w:tcPr>
          <w:p w14:paraId="49CB3383">
            <w:pPr>
              <w:spacing w:line="48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4499" w:type="dxa"/>
            <w:tcBorders>
              <w:top w:val="single" w:color="auto" w:sz="4" w:space="0"/>
              <w:bottom w:val="single" w:color="auto" w:sz="4" w:space="0"/>
            </w:tcBorders>
            <w:noWrap w:val="0"/>
            <w:vAlign w:val="center"/>
          </w:tcPr>
          <w:p w14:paraId="1A81A058">
            <w:pPr>
              <w:pageBreakBefore w:val="0"/>
              <w:widowControl w:val="0"/>
              <w:kinsoku/>
              <w:wordWrap/>
              <w:overflowPunct/>
              <w:topLinePunct w:val="0"/>
              <w:autoSpaceDE/>
              <w:autoSpaceDN/>
              <w:bidi w:val="0"/>
              <w:adjustRightInd w:val="0"/>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质量管理体系与措施</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116F8B78">
            <w:pPr>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编制要点：需涵盖施工准备阶段、施工过程以及成品阶段，体系完善、针对性、可行性及可靠性强、重难点把握准确、符合规范要求。</w:t>
            </w:r>
          </w:p>
          <w:p w14:paraId="291A91F8">
            <w:pPr>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方案内容不存在瑕疵得10分，方案内容存在1处瑕疵得7分，方案内容存在2处瑕疵得4分，方案内容存在3处及以上瑕疵得0分。</w:t>
            </w:r>
          </w:p>
        </w:tc>
        <w:tc>
          <w:tcPr>
            <w:tcW w:w="1993" w:type="dxa"/>
            <w:vMerge w:val="continue"/>
            <w:noWrap w:val="0"/>
            <w:vAlign w:val="center"/>
          </w:tcPr>
          <w:p w14:paraId="72E25524">
            <w:pPr>
              <w:spacing w:line="480" w:lineRule="exact"/>
              <w:rPr>
                <w:rFonts w:hint="eastAsia" w:ascii="宋体" w:hAnsi="宋体" w:eastAsia="宋体" w:cs="宋体"/>
                <w:color w:val="000000"/>
                <w:sz w:val="24"/>
                <w:szCs w:val="24"/>
                <w:highlight w:val="none"/>
                <w:lang w:val="en-US" w:eastAsia="zh-CN"/>
              </w:rPr>
            </w:pPr>
          </w:p>
        </w:tc>
      </w:tr>
      <w:tr w14:paraId="1234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noWrap w:val="0"/>
            <w:vAlign w:val="center"/>
          </w:tcPr>
          <w:p w14:paraId="0AF9E500">
            <w:pPr>
              <w:spacing w:line="480" w:lineRule="exact"/>
              <w:jc w:val="center"/>
              <w:rPr>
                <w:rFonts w:hint="eastAsia" w:ascii="宋体" w:hAnsi="宋体" w:eastAsia="宋体" w:cs="宋体"/>
                <w:color w:val="000000"/>
                <w:sz w:val="24"/>
                <w:szCs w:val="24"/>
                <w:highlight w:val="none"/>
              </w:rPr>
            </w:pPr>
          </w:p>
        </w:tc>
        <w:tc>
          <w:tcPr>
            <w:tcW w:w="1135" w:type="dxa"/>
            <w:vMerge w:val="continue"/>
            <w:noWrap w:val="0"/>
            <w:vAlign w:val="center"/>
          </w:tcPr>
          <w:p w14:paraId="2522D4ED">
            <w:pPr>
              <w:spacing w:line="480" w:lineRule="exact"/>
              <w:jc w:val="center"/>
              <w:rPr>
                <w:rFonts w:hint="eastAsia" w:ascii="宋体" w:hAnsi="宋体" w:eastAsia="宋体" w:cs="宋体"/>
                <w:color w:val="000000"/>
                <w:sz w:val="24"/>
                <w:szCs w:val="24"/>
                <w:highlight w:val="none"/>
              </w:rPr>
            </w:pPr>
          </w:p>
        </w:tc>
        <w:tc>
          <w:tcPr>
            <w:tcW w:w="1134" w:type="dxa"/>
            <w:tcBorders>
              <w:top w:val="single" w:color="auto" w:sz="4" w:space="0"/>
              <w:bottom w:val="single" w:color="auto" w:sz="4" w:space="0"/>
            </w:tcBorders>
            <w:noWrap w:val="0"/>
            <w:vAlign w:val="center"/>
          </w:tcPr>
          <w:p w14:paraId="2D90A088">
            <w:pPr>
              <w:spacing w:line="48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4499" w:type="dxa"/>
            <w:tcBorders>
              <w:top w:val="single" w:color="auto" w:sz="4" w:space="0"/>
              <w:bottom w:val="single" w:color="auto" w:sz="4" w:space="0"/>
            </w:tcBorders>
            <w:noWrap w:val="0"/>
            <w:vAlign w:val="center"/>
          </w:tcPr>
          <w:p w14:paraId="6EC5549D">
            <w:pPr>
              <w:pageBreakBefore w:val="0"/>
              <w:widowControl w:val="0"/>
              <w:kinsoku/>
              <w:wordWrap/>
              <w:overflowPunct/>
              <w:topLinePunct w:val="0"/>
              <w:autoSpaceDE/>
              <w:autoSpaceDN/>
              <w:bidi w:val="0"/>
              <w:adjustRightInd w:val="0"/>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安全管理体系与措施</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76971726">
            <w:pPr>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编制要点：需涵盖施工准备阶段、施工过程以及成品阶段，体系健全、架构完善、目标可量化、针对性、可行性及可靠性强、重难点把握准确、符合规范要求</w:t>
            </w:r>
            <w:r>
              <w:rPr>
                <w:rFonts w:hint="eastAsia" w:ascii="宋体" w:hAnsi="宋体" w:eastAsia="宋体" w:cs="宋体"/>
                <w:color w:val="auto"/>
                <w:sz w:val="24"/>
                <w:szCs w:val="24"/>
                <w:highlight w:val="none"/>
              </w:rPr>
              <w:t>。</w:t>
            </w:r>
          </w:p>
          <w:p w14:paraId="4D9620D5">
            <w:pPr>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方案内容不存在瑕疵得10分，方案内容存在1处瑕疵得7分，方案内容存在2处瑕疵得4分，方案内容存在3处及以上瑕疵得0分。</w:t>
            </w:r>
          </w:p>
        </w:tc>
        <w:tc>
          <w:tcPr>
            <w:tcW w:w="1993" w:type="dxa"/>
            <w:vMerge w:val="continue"/>
            <w:noWrap w:val="0"/>
            <w:vAlign w:val="center"/>
          </w:tcPr>
          <w:p w14:paraId="7D2191FA">
            <w:pPr>
              <w:spacing w:line="480" w:lineRule="exact"/>
              <w:rPr>
                <w:rFonts w:hint="eastAsia" w:ascii="宋体" w:hAnsi="宋体" w:eastAsia="宋体" w:cs="宋体"/>
                <w:color w:val="000000"/>
                <w:sz w:val="24"/>
                <w:szCs w:val="24"/>
                <w:highlight w:val="none"/>
                <w:lang w:val="en-US" w:eastAsia="zh-CN"/>
              </w:rPr>
            </w:pPr>
          </w:p>
        </w:tc>
      </w:tr>
      <w:tr w14:paraId="3DD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noWrap w:val="0"/>
            <w:vAlign w:val="center"/>
          </w:tcPr>
          <w:p w14:paraId="716A16A7">
            <w:pPr>
              <w:spacing w:line="480" w:lineRule="exact"/>
              <w:jc w:val="center"/>
              <w:rPr>
                <w:rFonts w:hint="eastAsia" w:ascii="宋体" w:hAnsi="宋体" w:eastAsia="宋体" w:cs="宋体"/>
                <w:color w:val="000000"/>
                <w:sz w:val="24"/>
                <w:szCs w:val="24"/>
                <w:highlight w:val="none"/>
              </w:rPr>
            </w:pPr>
          </w:p>
        </w:tc>
        <w:tc>
          <w:tcPr>
            <w:tcW w:w="1135" w:type="dxa"/>
            <w:vMerge w:val="continue"/>
            <w:noWrap w:val="0"/>
            <w:vAlign w:val="center"/>
          </w:tcPr>
          <w:p w14:paraId="50E6DCB4">
            <w:pPr>
              <w:spacing w:line="480" w:lineRule="exact"/>
              <w:jc w:val="center"/>
              <w:rPr>
                <w:rFonts w:hint="eastAsia" w:ascii="宋体" w:hAnsi="宋体" w:eastAsia="宋体" w:cs="宋体"/>
                <w:color w:val="000000"/>
                <w:sz w:val="24"/>
                <w:szCs w:val="24"/>
                <w:highlight w:val="none"/>
              </w:rPr>
            </w:pPr>
          </w:p>
        </w:tc>
        <w:tc>
          <w:tcPr>
            <w:tcW w:w="1134" w:type="dxa"/>
            <w:tcBorders>
              <w:top w:val="single" w:color="auto" w:sz="4" w:space="0"/>
              <w:bottom w:val="single" w:color="auto" w:sz="4" w:space="0"/>
            </w:tcBorders>
            <w:noWrap w:val="0"/>
            <w:vAlign w:val="center"/>
          </w:tcPr>
          <w:p w14:paraId="1067AAD9">
            <w:pPr>
              <w:spacing w:line="48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10分</w:t>
            </w:r>
          </w:p>
        </w:tc>
        <w:tc>
          <w:tcPr>
            <w:tcW w:w="4499" w:type="dxa"/>
            <w:tcBorders>
              <w:top w:val="single" w:color="auto" w:sz="4" w:space="0"/>
              <w:bottom w:val="single" w:color="auto" w:sz="4" w:space="0"/>
            </w:tcBorders>
            <w:noWrap w:val="0"/>
            <w:vAlign w:val="center"/>
          </w:tcPr>
          <w:p w14:paraId="234596F5">
            <w:pPr>
              <w:pageBreakBefore w:val="0"/>
              <w:widowControl w:val="0"/>
              <w:kinsoku/>
              <w:wordWrap/>
              <w:overflowPunct/>
              <w:topLinePunct w:val="0"/>
              <w:autoSpaceDE/>
              <w:autoSpaceDN/>
              <w:bidi w:val="0"/>
              <w:adjustRightInd w:val="0"/>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工程进度计划与措施</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65F62A9F">
            <w:pPr>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编制要点：总体进度计划合理，各关键节点的工期清晰呈现，保障工期的相关措施（含补救措施）切实可行。供应商还应结合本项目</w:t>
            </w:r>
            <w:r>
              <w:rPr>
                <w:rFonts w:hint="eastAsia" w:ascii="宋体" w:hAnsi="宋体" w:eastAsia="宋体" w:cs="宋体"/>
                <w:color w:val="auto"/>
                <w:sz w:val="24"/>
                <w:szCs w:val="24"/>
                <w:highlight w:val="none"/>
              </w:rPr>
              <w:t>特点，</w:t>
            </w:r>
            <w:r>
              <w:rPr>
                <w:rFonts w:hint="eastAsia" w:ascii="宋体" w:hAnsi="宋体" w:eastAsia="宋体" w:cs="宋体"/>
                <w:color w:val="auto"/>
                <w:sz w:val="24"/>
                <w:szCs w:val="24"/>
                <w:highlight w:val="none"/>
                <w:lang w:val="en-US" w:eastAsia="zh-CN"/>
              </w:rPr>
              <w:t>有针对性地</w:t>
            </w:r>
            <w:r>
              <w:rPr>
                <w:rFonts w:hint="eastAsia" w:ascii="宋体" w:hAnsi="宋体" w:eastAsia="宋体" w:cs="宋体"/>
                <w:color w:val="auto"/>
                <w:sz w:val="24"/>
                <w:szCs w:val="24"/>
                <w:highlight w:val="none"/>
              </w:rPr>
              <w:t>从办理各项相关手续、选择队伍、加工制作、现场安装、各专业交叉施工、场内材料周转运输等方面</w:t>
            </w:r>
            <w:r>
              <w:rPr>
                <w:rFonts w:hint="eastAsia" w:ascii="宋体" w:hAnsi="宋体" w:eastAsia="宋体" w:cs="宋体"/>
                <w:color w:val="auto"/>
                <w:sz w:val="24"/>
                <w:szCs w:val="24"/>
                <w:highlight w:val="none"/>
                <w:lang w:val="en-US" w:eastAsia="zh-CN"/>
              </w:rPr>
              <w:t>进行详细阐述</w:t>
            </w:r>
            <w:r>
              <w:rPr>
                <w:rFonts w:hint="eastAsia" w:ascii="宋体" w:hAnsi="宋体" w:eastAsia="宋体" w:cs="宋体"/>
                <w:color w:val="auto"/>
                <w:sz w:val="24"/>
                <w:szCs w:val="24"/>
                <w:highlight w:val="none"/>
              </w:rPr>
              <w:t>。</w:t>
            </w:r>
          </w:p>
          <w:p w14:paraId="7754CAB1">
            <w:pPr>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方案内容不存在瑕疵得10分，方案内容存在1处瑕疵得7分，方案内容存在2处瑕疵得4分，方案内容存在3处及以上瑕疵得0分。</w:t>
            </w:r>
          </w:p>
        </w:tc>
        <w:tc>
          <w:tcPr>
            <w:tcW w:w="1993" w:type="dxa"/>
            <w:vMerge w:val="continue"/>
            <w:noWrap w:val="0"/>
            <w:vAlign w:val="center"/>
          </w:tcPr>
          <w:p w14:paraId="71FE765F">
            <w:pPr>
              <w:spacing w:line="480" w:lineRule="exact"/>
              <w:rPr>
                <w:rFonts w:hint="eastAsia" w:ascii="宋体" w:hAnsi="宋体" w:eastAsia="宋体" w:cs="宋体"/>
                <w:color w:val="000000"/>
                <w:sz w:val="24"/>
                <w:szCs w:val="24"/>
                <w:highlight w:val="none"/>
                <w:lang w:val="en-US" w:eastAsia="zh-CN"/>
              </w:rPr>
            </w:pPr>
          </w:p>
        </w:tc>
      </w:tr>
      <w:tr w14:paraId="7A71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noWrap w:val="0"/>
            <w:vAlign w:val="center"/>
          </w:tcPr>
          <w:p w14:paraId="57630D32">
            <w:pPr>
              <w:spacing w:line="480" w:lineRule="exact"/>
              <w:jc w:val="center"/>
              <w:rPr>
                <w:rFonts w:hint="eastAsia" w:ascii="宋体" w:hAnsi="宋体" w:eastAsia="宋体" w:cs="宋体"/>
                <w:color w:val="000000"/>
                <w:sz w:val="24"/>
                <w:szCs w:val="24"/>
                <w:highlight w:val="none"/>
              </w:rPr>
            </w:pPr>
          </w:p>
        </w:tc>
        <w:tc>
          <w:tcPr>
            <w:tcW w:w="1135" w:type="dxa"/>
            <w:vMerge w:val="continue"/>
            <w:noWrap w:val="0"/>
            <w:vAlign w:val="center"/>
          </w:tcPr>
          <w:p w14:paraId="772F5BF3">
            <w:pPr>
              <w:spacing w:line="480" w:lineRule="exact"/>
              <w:jc w:val="center"/>
              <w:rPr>
                <w:rFonts w:hint="eastAsia" w:ascii="宋体" w:hAnsi="宋体" w:eastAsia="宋体" w:cs="宋体"/>
                <w:color w:val="000000"/>
                <w:sz w:val="24"/>
                <w:szCs w:val="24"/>
                <w:highlight w:val="none"/>
              </w:rPr>
            </w:pPr>
          </w:p>
        </w:tc>
        <w:tc>
          <w:tcPr>
            <w:tcW w:w="1134" w:type="dxa"/>
            <w:tcBorders>
              <w:top w:val="single" w:color="auto" w:sz="4" w:space="0"/>
              <w:bottom w:val="single" w:color="auto" w:sz="4" w:space="0"/>
            </w:tcBorders>
            <w:noWrap w:val="0"/>
            <w:vAlign w:val="center"/>
          </w:tcPr>
          <w:p w14:paraId="169E6EE8">
            <w:pPr>
              <w:spacing w:line="48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5分</w:t>
            </w:r>
          </w:p>
        </w:tc>
        <w:tc>
          <w:tcPr>
            <w:tcW w:w="4499" w:type="dxa"/>
            <w:tcBorders>
              <w:top w:val="single" w:color="auto" w:sz="4" w:space="0"/>
              <w:bottom w:val="single" w:color="auto" w:sz="4" w:space="0"/>
            </w:tcBorders>
            <w:noWrap w:val="0"/>
            <w:vAlign w:val="center"/>
          </w:tcPr>
          <w:p w14:paraId="7D22ECF3">
            <w:pPr>
              <w:numPr>
                <w:ilvl w:val="0"/>
                <w:numId w:val="13"/>
              </w:numPr>
              <w:spacing w:line="480" w:lineRule="exact"/>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环境保护管理体系措施（5分）</w:t>
            </w:r>
          </w:p>
          <w:p w14:paraId="20CF600D">
            <w:pPr>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制要点：施工产生的废渣有合理的处理方案；具有减少施工对周围环境的影响措施；明确本项目承包人环境保护职责；建筑垃圾处置措施和重污染天气应急处置措施正确；编制扬尘控制专项方案，建筑施工现场扬尘污染防治检查验收内容要求完整正确；围挡设置符合安全文明施工标准；绿色施工节约资源措施全面正确。</w:t>
            </w:r>
          </w:p>
          <w:p w14:paraId="35983553">
            <w:pPr>
              <w:pageBreakBefore w:val="0"/>
              <w:widowControl w:val="0"/>
              <w:kinsoku/>
              <w:wordWrap/>
              <w:overflowPunct/>
              <w:topLinePunct w:val="0"/>
              <w:autoSpaceDE/>
              <w:autoSpaceDN/>
              <w:bidi w:val="0"/>
              <w:adjustRightInd w:val="0"/>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方案内容不存在瑕疵得5分，方案内容存在1处瑕疵得3分，方案内容存在2处瑕疵得1分，方案内容存在3处及以上瑕疵得0分。</w:t>
            </w:r>
          </w:p>
        </w:tc>
        <w:tc>
          <w:tcPr>
            <w:tcW w:w="1993" w:type="dxa"/>
            <w:vMerge w:val="continue"/>
            <w:noWrap w:val="0"/>
            <w:vAlign w:val="center"/>
          </w:tcPr>
          <w:p w14:paraId="57EAB181">
            <w:pPr>
              <w:spacing w:line="480" w:lineRule="exact"/>
              <w:rPr>
                <w:rFonts w:hint="eastAsia" w:ascii="宋体" w:hAnsi="宋体" w:eastAsia="宋体" w:cs="宋体"/>
                <w:color w:val="000000"/>
                <w:sz w:val="24"/>
                <w:szCs w:val="24"/>
                <w:highlight w:val="none"/>
                <w:lang w:val="en-US" w:eastAsia="zh-CN"/>
              </w:rPr>
            </w:pPr>
          </w:p>
        </w:tc>
      </w:tr>
      <w:tr w14:paraId="2C7C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noWrap w:val="0"/>
            <w:vAlign w:val="center"/>
          </w:tcPr>
          <w:p w14:paraId="6991CEE2">
            <w:pPr>
              <w:spacing w:line="480" w:lineRule="exact"/>
              <w:jc w:val="center"/>
              <w:rPr>
                <w:rFonts w:hint="eastAsia" w:ascii="宋体" w:hAnsi="宋体" w:eastAsia="宋体" w:cs="宋体"/>
                <w:color w:val="000000"/>
                <w:sz w:val="24"/>
                <w:szCs w:val="24"/>
                <w:highlight w:val="none"/>
              </w:rPr>
            </w:pPr>
          </w:p>
        </w:tc>
        <w:tc>
          <w:tcPr>
            <w:tcW w:w="1135" w:type="dxa"/>
            <w:vMerge w:val="continue"/>
            <w:noWrap w:val="0"/>
            <w:vAlign w:val="center"/>
          </w:tcPr>
          <w:p w14:paraId="74784F4B">
            <w:pPr>
              <w:spacing w:line="480" w:lineRule="exact"/>
              <w:jc w:val="center"/>
              <w:rPr>
                <w:rFonts w:hint="eastAsia" w:ascii="宋体" w:hAnsi="宋体" w:eastAsia="宋体" w:cs="宋体"/>
                <w:color w:val="000000"/>
                <w:sz w:val="24"/>
                <w:szCs w:val="24"/>
                <w:highlight w:val="none"/>
              </w:rPr>
            </w:pPr>
          </w:p>
        </w:tc>
        <w:tc>
          <w:tcPr>
            <w:tcW w:w="1134" w:type="dxa"/>
            <w:tcBorders>
              <w:top w:val="single" w:color="auto" w:sz="4" w:space="0"/>
            </w:tcBorders>
            <w:noWrap w:val="0"/>
            <w:vAlign w:val="center"/>
          </w:tcPr>
          <w:p w14:paraId="7BDD873C">
            <w:pPr>
              <w:spacing w:line="48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5分</w:t>
            </w:r>
          </w:p>
        </w:tc>
        <w:tc>
          <w:tcPr>
            <w:tcW w:w="4499" w:type="dxa"/>
            <w:tcBorders>
              <w:top w:val="single" w:color="auto" w:sz="4" w:space="0"/>
            </w:tcBorders>
            <w:noWrap w:val="0"/>
            <w:vAlign w:val="center"/>
          </w:tcPr>
          <w:p w14:paraId="5B1AEE77">
            <w:pPr>
              <w:pStyle w:val="5"/>
              <w:numPr>
                <w:ilvl w:val="0"/>
                <w:numId w:val="13"/>
              </w:numPr>
              <w:ind w:left="0" w:leftChars="0" w:firstLine="0" w:firstLineChars="0"/>
              <w:rPr>
                <w:rFonts w:hint="eastAsia" w:ascii="宋体" w:hAnsi="宋体" w:eastAsia="宋体" w:cs="宋体"/>
                <w:color w:val="000000"/>
                <w:sz w:val="24"/>
                <w:szCs w:val="24"/>
                <w:highlight w:val="none"/>
                <w:lang w:val="en-US" w:eastAsia="zh-CN"/>
              </w:rPr>
            </w:pPr>
            <w:bookmarkStart w:id="102" w:name="_Toc32556"/>
            <w:r>
              <w:rPr>
                <w:rFonts w:hint="eastAsia" w:ascii="宋体" w:hAnsi="宋体" w:eastAsia="宋体" w:cs="宋体"/>
                <w:color w:val="000000"/>
                <w:sz w:val="24"/>
                <w:szCs w:val="24"/>
                <w:highlight w:val="none"/>
                <w:lang w:val="en-US" w:eastAsia="zh-CN"/>
              </w:rPr>
              <w:t>资源配备计划(5分)</w:t>
            </w:r>
            <w:bookmarkEnd w:id="102"/>
          </w:p>
          <w:p w14:paraId="77276122">
            <w:pPr>
              <w:pStyle w:val="5"/>
              <w:numPr>
                <w:ilvl w:val="0"/>
                <w:numId w:val="0"/>
              </w:numPr>
              <w:ind w:leftChars="0" w:firstLine="480" w:firstLineChars="200"/>
              <w:rPr>
                <w:rFonts w:hint="eastAsia" w:ascii="宋体" w:hAnsi="宋体" w:eastAsia="宋体" w:cs="宋体"/>
                <w:b w:val="0"/>
                <w:color w:val="000000"/>
                <w:kern w:val="2"/>
                <w:sz w:val="24"/>
                <w:szCs w:val="24"/>
                <w:highlight w:val="none"/>
                <w:lang w:val="en-US" w:eastAsia="zh-CN" w:bidi="ar-SA"/>
              </w:rPr>
            </w:pPr>
            <w:bookmarkStart w:id="103" w:name="_Toc20369"/>
            <w:r>
              <w:rPr>
                <w:rFonts w:hint="eastAsia" w:ascii="宋体" w:hAnsi="宋体" w:eastAsia="宋体" w:cs="宋体"/>
                <w:b w:val="0"/>
                <w:color w:val="000000"/>
                <w:kern w:val="2"/>
                <w:sz w:val="24"/>
                <w:szCs w:val="24"/>
                <w:highlight w:val="none"/>
                <w:lang w:val="en-US" w:eastAsia="zh-CN" w:bidi="ar-SA"/>
              </w:rPr>
              <w:t>编制要点；拟投入本项目的主要施工设备情况、资金以及劳动力计划等有图表做支撑；正确判别本工程规模，施工现场专业人员配备岗位、数量、专职或兼职情况应满足重庆市相关配备标准。</w:t>
            </w:r>
            <w:bookmarkEnd w:id="103"/>
          </w:p>
          <w:p w14:paraId="4512571F">
            <w:pPr>
              <w:keepNext w:val="0"/>
              <w:keepLines w:val="0"/>
              <w:pageBreakBefore w:val="0"/>
              <w:widowControl w:val="0"/>
              <w:kinsoku/>
              <w:wordWrap w:val="0"/>
              <w:overflowPunct/>
              <w:topLinePunct w:val="0"/>
              <w:autoSpaceDE/>
              <w:autoSpaceDN/>
              <w:bidi w:val="0"/>
              <w:adjustRightInd w:val="0"/>
              <w:snapToGrid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方案内容不存在瑕疵得5分，方案内容存在1处瑕疵得3分，方案内容存在2处瑕疵得1分，方案内容存在3处及以上瑕疵得0分。</w:t>
            </w:r>
          </w:p>
        </w:tc>
        <w:tc>
          <w:tcPr>
            <w:tcW w:w="1993" w:type="dxa"/>
            <w:vMerge w:val="continue"/>
            <w:noWrap w:val="0"/>
            <w:vAlign w:val="center"/>
          </w:tcPr>
          <w:p w14:paraId="33747FB0">
            <w:pPr>
              <w:spacing w:line="480" w:lineRule="exact"/>
              <w:rPr>
                <w:rFonts w:hint="eastAsia" w:ascii="宋体" w:hAnsi="宋体" w:eastAsia="宋体" w:cs="宋体"/>
                <w:color w:val="000000"/>
                <w:sz w:val="24"/>
                <w:szCs w:val="24"/>
                <w:highlight w:val="none"/>
                <w:lang w:val="en-US" w:eastAsia="zh-CN"/>
              </w:rPr>
            </w:pPr>
          </w:p>
        </w:tc>
      </w:tr>
    </w:tbl>
    <w:p w14:paraId="401DF7DC">
      <w:pPr>
        <w:snapToGrid w:val="0"/>
        <w:spacing w:line="400" w:lineRule="exact"/>
        <w:ind w:firstLine="465"/>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注：关于小微企业报价扣除比例说明</w:t>
      </w:r>
    </w:p>
    <w:p w14:paraId="14567F30">
      <w:pPr>
        <w:snapToGrid w:val="0"/>
        <w:spacing w:line="400" w:lineRule="exact"/>
        <w:ind w:firstLine="46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本项目为专门面向中小微企业采购，不在进行价格扣减。</w:t>
      </w:r>
    </w:p>
    <w:p w14:paraId="42359C31">
      <w:pPr>
        <w:pStyle w:val="4"/>
        <w:adjustRightInd w:val="0"/>
        <w:snapToGrid w:val="0"/>
        <w:spacing w:before="0" w:after="0" w:line="400" w:lineRule="exact"/>
        <w:ind w:firstLine="482" w:firstLineChars="200"/>
        <w:rPr>
          <w:rFonts w:ascii="宋体" w:hAnsi="宋体" w:eastAsia="宋体" w:cs="宋体"/>
          <w:sz w:val="24"/>
          <w:highlight w:val="none"/>
        </w:rPr>
      </w:pPr>
      <w:bookmarkStart w:id="104" w:name="_Toc1682"/>
      <w:r>
        <w:rPr>
          <w:rFonts w:hint="eastAsia" w:ascii="宋体" w:hAnsi="宋体" w:eastAsia="宋体" w:cs="宋体"/>
          <w:sz w:val="24"/>
          <w:highlight w:val="none"/>
        </w:rPr>
        <w:t>三、无效响应</w:t>
      </w:r>
      <w:bookmarkEnd w:id="100"/>
      <w:bookmarkEnd w:id="104"/>
    </w:p>
    <w:p w14:paraId="3C162C5F">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供应商发生以下条款情况之一者，视为无效响应，其响应文件将被拒绝：</w:t>
      </w:r>
    </w:p>
    <w:p w14:paraId="18A7B8EF">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（一）供应商不符合规定的资格条件的；</w:t>
      </w:r>
    </w:p>
    <w:p w14:paraId="607E796A">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（二）供应商的法定代表人（或其授权代表）或自然人未参加磋商；</w:t>
      </w:r>
    </w:p>
    <w:p w14:paraId="4394621B">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（三）供应商所提交的响应文件不按“第七篇响应文件编制要求”要求签署或盖章；</w:t>
      </w:r>
    </w:p>
    <w:p w14:paraId="0122D7A8">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（四）供应商的最后报价超过采购预算或最高限价的；</w:t>
      </w:r>
    </w:p>
    <w:p w14:paraId="154B360B">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（五）法定代表人为同一个人的两个及两个以上法人，母公司、全资子公司及其控股公司，在同一包采购中同时参与磋商；</w:t>
      </w:r>
    </w:p>
    <w:p w14:paraId="661DB87C">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（六）单位负责人为同一人或者存在直接控股、管理关系的不同供应商，参加同一合同项下的政府采购活动的；</w:t>
      </w:r>
    </w:p>
    <w:p w14:paraId="071F4D2E">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（七）为采购项目提供整体设计、规范编制或者项目管理、监理、检测等服务的供应商，再参加该采购项目的其他采购活动；</w:t>
      </w:r>
    </w:p>
    <w:p w14:paraId="734B56B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（八）供应商磋商有效期不满足竞争性磋商文件要求的；</w:t>
      </w:r>
    </w:p>
    <w:p w14:paraId="7EBAD7C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（九）供应商响应文件内容有与国家现行法律法规相违背的内容，或附有采购人无法接受的条件；</w:t>
      </w:r>
    </w:p>
    <w:p w14:paraId="54977B19">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（十）法律、法规和竞争性磋商文件规定的其他无效情形。</w:t>
      </w:r>
    </w:p>
    <w:p w14:paraId="54756A4A">
      <w:pPr>
        <w:pStyle w:val="4"/>
        <w:adjustRightInd w:val="0"/>
        <w:snapToGrid w:val="0"/>
        <w:spacing w:before="0" w:after="0" w:line="400" w:lineRule="exact"/>
        <w:ind w:firstLine="482" w:firstLineChars="200"/>
        <w:rPr>
          <w:rFonts w:ascii="宋体" w:hAnsi="宋体" w:eastAsia="宋体" w:cs="宋体"/>
          <w:sz w:val="24"/>
          <w:highlight w:val="none"/>
        </w:rPr>
      </w:pPr>
      <w:bookmarkStart w:id="105" w:name="_Toc76462336"/>
      <w:bookmarkStart w:id="106" w:name="_Toc23857"/>
      <w:r>
        <w:rPr>
          <w:rFonts w:hint="eastAsia" w:ascii="宋体" w:hAnsi="宋体" w:eastAsia="宋体" w:cs="宋体"/>
          <w:sz w:val="24"/>
          <w:highlight w:val="none"/>
        </w:rPr>
        <w:t>四、</w:t>
      </w:r>
      <w:bookmarkEnd w:id="98"/>
      <w:bookmarkEnd w:id="99"/>
      <w:r>
        <w:rPr>
          <w:rFonts w:hint="eastAsia" w:ascii="宋体" w:hAnsi="宋体" w:eastAsia="宋体" w:cs="宋体"/>
          <w:sz w:val="24"/>
          <w:highlight w:val="none"/>
        </w:rPr>
        <w:t>采购终止</w:t>
      </w:r>
      <w:bookmarkEnd w:id="105"/>
      <w:bookmarkEnd w:id="106"/>
    </w:p>
    <w:p w14:paraId="3B9A5CB6">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出现下列情形之一的，采购人或者采购代理机构应当终止竞争性磋商采购活动，发布项目终止公告并说明原因，重新开展采购活动：</w:t>
      </w:r>
    </w:p>
    <w:p w14:paraId="7F807CAF">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（一）因情况变化，不再符合规定的竞争性磋商采购方式适用情形的；</w:t>
      </w:r>
    </w:p>
    <w:p w14:paraId="7094A0B4">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0C2C9010">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5E6FB67B">
      <w:pPr>
        <w:spacing w:line="400" w:lineRule="exact"/>
        <w:ind w:firstLine="480" w:firstLineChars="200"/>
        <w:rPr>
          <w:rFonts w:ascii="宋体" w:hAnsi="宋体" w:cs="宋体"/>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6BD1EB88">
      <w:pPr>
        <w:pStyle w:val="4"/>
        <w:pageBreakBefore/>
        <w:spacing w:before="0" w:after="0" w:line="360" w:lineRule="auto"/>
        <w:jc w:val="center"/>
        <w:rPr>
          <w:rFonts w:ascii="宋体" w:hAnsi="宋体" w:eastAsia="宋体" w:cs="宋体"/>
          <w:b w:val="0"/>
          <w:bCs/>
          <w:sz w:val="36"/>
          <w:szCs w:val="30"/>
          <w:highlight w:val="none"/>
        </w:rPr>
      </w:pPr>
      <w:bookmarkStart w:id="107" w:name="_Toc76462337"/>
      <w:bookmarkStart w:id="108" w:name="_Toc18909"/>
      <w:bookmarkStart w:id="109" w:name="_Toc102227313"/>
      <w:r>
        <w:rPr>
          <w:rFonts w:hint="eastAsia" w:ascii="宋体" w:hAnsi="宋体" w:eastAsia="宋体" w:cs="宋体"/>
          <w:b w:val="0"/>
          <w:bCs/>
          <w:sz w:val="36"/>
          <w:szCs w:val="30"/>
          <w:highlight w:val="none"/>
        </w:rPr>
        <w:t>第五篇  供应商须知</w:t>
      </w:r>
      <w:bookmarkEnd w:id="107"/>
      <w:bookmarkEnd w:id="108"/>
      <w:bookmarkEnd w:id="109"/>
    </w:p>
    <w:p w14:paraId="06F7BE11">
      <w:pPr>
        <w:pStyle w:val="4"/>
        <w:adjustRightInd w:val="0"/>
        <w:snapToGrid w:val="0"/>
        <w:spacing w:before="0" w:after="0" w:line="400" w:lineRule="exact"/>
        <w:ind w:firstLine="482" w:firstLineChars="200"/>
        <w:rPr>
          <w:rFonts w:ascii="宋体" w:hAnsi="宋体" w:eastAsia="宋体" w:cs="宋体"/>
          <w:sz w:val="24"/>
          <w:highlight w:val="none"/>
        </w:rPr>
      </w:pPr>
      <w:bookmarkStart w:id="110" w:name="_Toc342913389"/>
      <w:bookmarkStart w:id="111" w:name="_Toc76462338"/>
      <w:bookmarkStart w:id="112" w:name="_Toc18413"/>
      <w:r>
        <w:rPr>
          <w:rFonts w:hint="eastAsia" w:ascii="宋体" w:hAnsi="宋体" w:eastAsia="宋体" w:cs="宋体"/>
          <w:sz w:val="24"/>
          <w:highlight w:val="none"/>
        </w:rPr>
        <w:t>一、磋商费用</w:t>
      </w:r>
      <w:bookmarkEnd w:id="110"/>
      <w:bookmarkEnd w:id="111"/>
      <w:bookmarkEnd w:id="112"/>
    </w:p>
    <w:p w14:paraId="7E260558">
      <w:pPr>
        <w:pStyle w:val="222"/>
        <w:spacing w:line="400" w:lineRule="exact"/>
        <w:ind w:firstLine="480" w:firstLineChars="200"/>
        <w:rPr>
          <w:rFonts w:hAnsi="宋体" w:cs="宋体"/>
          <w:sz w:val="24"/>
          <w:szCs w:val="24"/>
          <w:highlight w:val="none"/>
        </w:rPr>
      </w:pPr>
      <w:r>
        <w:rPr>
          <w:rFonts w:hint="eastAsia" w:hAnsi="宋体" w:cs="宋体"/>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098DC0F8">
      <w:pPr>
        <w:pStyle w:val="4"/>
        <w:adjustRightInd w:val="0"/>
        <w:snapToGrid w:val="0"/>
        <w:spacing w:before="0" w:after="0" w:line="400" w:lineRule="exact"/>
        <w:ind w:firstLine="482" w:firstLineChars="200"/>
        <w:rPr>
          <w:rFonts w:ascii="宋体" w:hAnsi="宋体" w:eastAsia="宋体" w:cs="宋体"/>
          <w:sz w:val="24"/>
          <w:highlight w:val="none"/>
        </w:rPr>
      </w:pPr>
      <w:bookmarkStart w:id="113" w:name="_Toc76462339"/>
      <w:bookmarkStart w:id="114" w:name="_Toc115"/>
      <w:bookmarkStart w:id="115" w:name="_Toc342913391"/>
      <w:r>
        <w:rPr>
          <w:rFonts w:hint="eastAsia" w:ascii="宋体" w:hAnsi="宋体" w:eastAsia="宋体" w:cs="宋体"/>
          <w:sz w:val="24"/>
          <w:highlight w:val="none"/>
        </w:rPr>
        <w:t>二、竞争性磋商文件</w:t>
      </w:r>
      <w:bookmarkEnd w:id="113"/>
      <w:bookmarkEnd w:id="114"/>
      <w:bookmarkEnd w:id="115"/>
    </w:p>
    <w:p w14:paraId="607A4B1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sz w:val="24"/>
          <w:szCs w:val="24"/>
          <w:highlight w:val="none"/>
        </w:rPr>
        <w:t>、</w:t>
      </w:r>
      <w:r>
        <w:rPr>
          <w:rFonts w:hint="eastAsia" w:ascii="宋体" w:hAnsi="宋体" w:cs="宋体"/>
          <w:sz w:val="24"/>
          <w:szCs w:val="24"/>
          <w:highlight w:val="none"/>
        </w:rPr>
        <w:t>政府采购合同</w:t>
      </w:r>
      <w:r>
        <w:rPr>
          <w:rFonts w:hint="eastAsia" w:ascii="宋体" w:hAnsi="宋体" w:cs="宋体"/>
          <w:b/>
          <w:sz w:val="24"/>
          <w:szCs w:val="24"/>
          <w:highlight w:val="none"/>
        </w:rPr>
        <w:t>、</w:t>
      </w:r>
      <w:r>
        <w:rPr>
          <w:rFonts w:hint="eastAsia" w:ascii="宋体" w:hAnsi="宋体" w:cs="宋体"/>
          <w:sz w:val="24"/>
          <w:szCs w:val="24"/>
          <w:highlight w:val="none"/>
        </w:rPr>
        <w:t>响应文件编制要求七部分组成。</w:t>
      </w:r>
    </w:p>
    <w:p w14:paraId="13A7FBC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（二）采购人（或采购代理机构）所作的一切有效的书面通知、修改及补充，都是竞争性磋商文件不可分割的部分。</w:t>
      </w:r>
    </w:p>
    <w:p w14:paraId="24561117">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（三）竞争性磋商文件的解释</w:t>
      </w:r>
    </w:p>
    <w:p w14:paraId="6CA7343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16" w:name="_Toc318159160"/>
      <w:bookmarkStart w:id="117" w:name="_Toc318159349"/>
      <w:bookmarkStart w:id="118" w:name="_Toc318159780"/>
      <w:bookmarkStart w:id="119" w:name="_Toc318166429"/>
    </w:p>
    <w:p w14:paraId="1CB020E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（四）本竞争性磋商文件中，磋商小组根据与供应商进行磋商可能实质性变动的内容为竞争性磋商文件第二、三、六篇全部内容。</w:t>
      </w:r>
    </w:p>
    <w:p w14:paraId="094A648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（五）评审的依据为竞争性磋商文件和响应文件（含有效的书面承诺）。磋商小组判断响应文件对竞争性磋商文件的响应，仅基于响应文件本身而不靠外部证据。</w:t>
      </w:r>
    </w:p>
    <w:bookmarkEnd w:id="116"/>
    <w:bookmarkEnd w:id="117"/>
    <w:bookmarkEnd w:id="118"/>
    <w:bookmarkEnd w:id="119"/>
    <w:p w14:paraId="6F90C3CF">
      <w:pPr>
        <w:pStyle w:val="4"/>
        <w:adjustRightInd w:val="0"/>
        <w:snapToGrid w:val="0"/>
        <w:spacing w:before="0" w:after="0" w:line="400" w:lineRule="exact"/>
        <w:ind w:firstLine="482" w:firstLineChars="200"/>
        <w:rPr>
          <w:rFonts w:ascii="宋体" w:hAnsi="宋体" w:eastAsia="宋体" w:cs="宋体"/>
          <w:sz w:val="24"/>
          <w:highlight w:val="none"/>
        </w:rPr>
      </w:pPr>
      <w:bookmarkStart w:id="120" w:name="_Toc102227318"/>
      <w:bookmarkStart w:id="121" w:name="_Toc76462340"/>
      <w:bookmarkStart w:id="122" w:name="_Toc179714297"/>
      <w:bookmarkStart w:id="123" w:name="_Toc342913392"/>
      <w:bookmarkStart w:id="124" w:name="_Toc492"/>
      <w:r>
        <w:rPr>
          <w:rFonts w:hint="eastAsia" w:ascii="宋体" w:hAnsi="宋体" w:eastAsia="宋体" w:cs="宋体"/>
          <w:sz w:val="24"/>
          <w:highlight w:val="none"/>
        </w:rPr>
        <w:t>三、磋商要求</w:t>
      </w:r>
      <w:bookmarkEnd w:id="120"/>
      <w:bookmarkEnd w:id="121"/>
      <w:bookmarkEnd w:id="122"/>
      <w:bookmarkEnd w:id="123"/>
      <w:bookmarkEnd w:id="124"/>
    </w:p>
    <w:p w14:paraId="2074176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（一）响应文件</w:t>
      </w:r>
    </w:p>
    <w:p w14:paraId="57B6BB6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D01582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2.响应文件组成</w:t>
      </w:r>
    </w:p>
    <w:p w14:paraId="16CDB89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AA3197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（二）联合体</w:t>
      </w:r>
    </w:p>
    <w:p w14:paraId="7CBC615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本项目不接受联合体参与磋商。</w:t>
      </w:r>
    </w:p>
    <w:p w14:paraId="00A6324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（三）磋商有效期：响应文件及有关承诺文件有效期为提交响应文件截止时间起90天。</w:t>
      </w:r>
    </w:p>
    <w:p w14:paraId="77E9AC3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（四）修正错误</w:t>
      </w:r>
    </w:p>
    <w:p w14:paraId="41A1035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1.若供应商所递交的响应文件或最后报价中的价格出现大写金额和小写金额不一致的错误，以大写金额修正为准。</w:t>
      </w:r>
    </w:p>
    <w:p w14:paraId="3A10B4E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2C60A0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（五）提交响应文件的份数和签署</w:t>
      </w:r>
    </w:p>
    <w:p w14:paraId="3C5502B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4EB66E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highlight w:val="none"/>
        </w:rPr>
        <w:t>响应文件按竞争性磋商文件“第七篇响应文件编制要求”要求签署或盖章。</w:t>
      </w:r>
    </w:p>
    <w:p w14:paraId="33D4952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（六）响应文件的递交</w:t>
      </w:r>
    </w:p>
    <w:p w14:paraId="3A227C0C">
      <w:pPr>
        <w:pStyle w:val="31"/>
        <w:spacing w:line="400" w:lineRule="exact"/>
        <w:ind w:firstLine="480" w:firstLineChars="200"/>
        <w:rPr>
          <w:rFonts w:hAnsi="宋体" w:cs="宋体"/>
          <w:sz w:val="24"/>
          <w:highlight w:val="none"/>
        </w:rPr>
      </w:pPr>
      <w:r>
        <w:rPr>
          <w:rFonts w:hint="eastAsia" w:hAnsi="宋体" w:cs="宋体"/>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13C00F9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（七）供应商参与人员</w:t>
      </w:r>
    </w:p>
    <w:p w14:paraId="3B6504C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各个供应商应当派1-2名代表参与磋商，至少1人应为法定代表人（或其授权代表）或自然人（供应商为自然人）。</w:t>
      </w:r>
    </w:p>
    <w:p w14:paraId="3F6BAE6E">
      <w:pPr>
        <w:pStyle w:val="4"/>
        <w:adjustRightInd w:val="0"/>
        <w:snapToGrid w:val="0"/>
        <w:spacing w:before="0" w:after="0" w:line="400" w:lineRule="exact"/>
        <w:ind w:firstLine="482" w:firstLineChars="200"/>
        <w:rPr>
          <w:rFonts w:ascii="宋体" w:hAnsi="宋体" w:eastAsia="宋体" w:cs="宋体"/>
          <w:sz w:val="24"/>
          <w:highlight w:val="none"/>
        </w:rPr>
      </w:pPr>
      <w:bookmarkStart w:id="125" w:name="_Toc76462341"/>
      <w:bookmarkStart w:id="126" w:name="_Toc29394"/>
      <w:r>
        <w:rPr>
          <w:rFonts w:hint="eastAsia" w:ascii="宋体" w:hAnsi="宋体" w:eastAsia="宋体" w:cs="宋体"/>
          <w:sz w:val="24"/>
          <w:highlight w:val="none"/>
        </w:rPr>
        <w:t>四、成交供应商的确认和变更</w:t>
      </w:r>
      <w:bookmarkEnd w:id="125"/>
      <w:bookmarkEnd w:id="126"/>
    </w:p>
    <w:p w14:paraId="56C3852B">
      <w:pPr>
        <w:snapToGrid w:val="0"/>
        <w:spacing w:line="400" w:lineRule="exact"/>
        <w:ind w:firstLine="480" w:firstLineChars="200"/>
        <w:outlineLvl w:val="2"/>
        <w:rPr>
          <w:rFonts w:ascii="宋体" w:hAnsi="宋体" w:cs="宋体"/>
          <w:sz w:val="24"/>
          <w:szCs w:val="24"/>
          <w:highlight w:val="none"/>
        </w:rPr>
      </w:pPr>
      <w:r>
        <w:rPr>
          <w:rFonts w:hint="eastAsia" w:ascii="宋体" w:hAnsi="宋体" w:cs="宋体"/>
          <w:sz w:val="24"/>
          <w:szCs w:val="24"/>
          <w:highlight w:val="none"/>
        </w:rPr>
        <w:t>（一）成交供应商的确认</w:t>
      </w:r>
    </w:p>
    <w:p w14:paraId="2448B3C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963D767">
      <w:pPr>
        <w:snapToGrid w:val="0"/>
        <w:spacing w:line="400" w:lineRule="exact"/>
        <w:ind w:firstLine="480" w:firstLineChars="200"/>
        <w:outlineLvl w:val="2"/>
        <w:rPr>
          <w:rFonts w:ascii="宋体" w:hAnsi="宋体" w:cs="宋体"/>
          <w:sz w:val="24"/>
          <w:szCs w:val="24"/>
          <w:highlight w:val="none"/>
        </w:rPr>
      </w:pPr>
      <w:r>
        <w:rPr>
          <w:rFonts w:hint="eastAsia" w:ascii="宋体" w:hAnsi="宋体" w:cs="宋体"/>
          <w:sz w:val="24"/>
          <w:szCs w:val="24"/>
          <w:highlight w:val="none"/>
        </w:rPr>
        <w:t>（二）成交供应商的变更</w:t>
      </w:r>
    </w:p>
    <w:p w14:paraId="686D0E2A">
      <w:pPr>
        <w:snapToGrid w:val="0"/>
        <w:spacing w:line="400" w:lineRule="exact"/>
        <w:ind w:firstLine="480" w:firstLineChars="200"/>
        <w:rPr>
          <w:rFonts w:ascii="宋体" w:hAnsi="宋体" w:cs="宋体"/>
          <w:sz w:val="24"/>
          <w:szCs w:val="24"/>
          <w:highlight w:val="none"/>
        </w:rPr>
      </w:pPr>
      <w:r>
        <w:rPr>
          <w:rFonts w:hint="eastAsia" w:ascii="宋体" w:hAnsi="宋体" w:cs="宋体"/>
          <w:sz w:val="24"/>
          <w:highlight w:val="none"/>
        </w:rPr>
        <w:t>成交供应商拒绝与采购人签订合同的，采购人可以按照评标报告推荐的成交候选供应商顺序，确定排名下一位的候选人为成交供应商，也可以重新开展政府采购活动。</w:t>
      </w:r>
    </w:p>
    <w:p w14:paraId="71E05F07">
      <w:pPr>
        <w:pStyle w:val="4"/>
        <w:adjustRightInd w:val="0"/>
        <w:snapToGrid w:val="0"/>
        <w:spacing w:before="0" w:after="0" w:line="400" w:lineRule="exact"/>
        <w:ind w:firstLine="482" w:firstLineChars="200"/>
        <w:rPr>
          <w:rFonts w:ascii="宋体" w:hAnsi="宋体" w:eastAsia="宋体" w:cs="宋体"/>
          <w:sz w:val="24"/>
          <w:highlight w:val="none"/>
        </w:rPr>
      </w:pPr>
      <w:bookmarkStart w:id="127" w:name="_Toc76462342"/>
      <w:bookmarkStart w:id="128" w:name="_Toc102227321"/>
      <w:bookmarkStart w:id="129" w:name="_Toc7393"/>
      <w:bookmarkStart w:id="130" w:name="_Toc342913395"/>
      <w:r>
        <w:rPr>
          <w:rFonts w:hint="eastAsia" w:ascii="宋体" w:hAnsi="宋体" w:eastAsia="宋体" w:cs="宋体"/>
          <w:sz w:val="24"/>
          <w:highlight w:val="none"/>
        </w:rPr>
        <w:t>五、成交通知</w:t>
      </w:r>
      <w:bookmarkEnd w:id="127"/>
      <w:bookmarkEnd w:id="128"/>
      <w:bookmarkEnd w:id="129"/>
      <w:bookmarkEnd w:id="130"/>
    </w:p>
    <w:p w14:paraId="569098F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（一）成交供应商确定后，采购代理机构将在“行采家”平台（www.gec123.com）上发布成交结果公告。</w:t>
      </w:r>
    </w:p>
    <w:p w14:paraId="7C3C850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（二）结果公告发出同时，采购代理机构将以书面形式发出《成交通知书》。《成交通知书》一经发出即发生法律效力。</w:t>
      </w:r>
    </w:p>
    <w:p w14:paraId="30BA012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（三）《成交通知书》将作为签订合同的依据。</w:t>
      </w:r>
    </w:p>
    <w:p w14:paraId="3D657849">
      <w:pPr>
        <w:pStyle w:val="4"/>
        <w:adjustRightInd w:val="0"/>
        <w:snapToGrid w:val="0"/>
        <w:spacing w:before="0" w:after="0" w:line="400" w:lineRule="exact"/>
        <w:ind w:firstLine="482" w:firstLineChars="200"/>
        <w:rPr>
          <w:rFonts w:ascii="宋体" w:hAnsi="宋体" w:eastAsia="宋体" w:cs="宋体"/>
          <w:sz w:val="24"/>
          <w:highlight w:val="none"/>
        </w:rPr>
      </w:pPr>
      <w:bookmarkStart w:id="131" w:name="_Toc21088"/>
      <w:bookmarkStart w:id="132" w:name="_Toc76462343"/>
      <w:r>
        <w:rPr>
          <w:rFonts w:hint="eastAsia" w:ascii="宋体" w:hAnsi="宋体" w:eastAsia="宋体" w:cs="宋体"/>
          <w:sz w:val="24"/>
          <w:highlight w:val="none"/>
        </w:rPr>
        <w:t>六、关于质疑和投诉</w:t>
      </w:r>
      <w:bookmarkEnd w:id="131"/>
      <w:bookmarkEnd w:id="132"/>
    </w:p>
    <w:p w14:paraId="0C2B2B53">
      <w:pPr>
        <w:spacing w:line="400" w:lineRule="exact"/>
        <w:ind w:firstLine="480" w:firstLineChars="200"/>
        <w:outlineLvl w:val="2"/>
        <w:rPr>
          <w:rFonts w:ascii="宋体" w:hAnsi="宋体" w:cs="宋体"/>
          <w:sz w:val="24"/>
          <w:szCs w:val="24"/>
          <w:highlight w:val="none"/>
        </w:rPr>
      </w:pPr>
      <w:r>
        <w:rPr>
          <w:rFonts w:hint="eastAsia" w:ascii="宋体" w:hAnsi="宋体" w:cs="宋体"/>
          <w:sz w:val="24"/>
          <w:szCs w:val="24"/>
          <w:highlight w:val="none"/>
        </w:rPr>
        <w:t>（一）质疑</w:t>
      </w:r>
    </w:p>
    <w:p w14:paraId="04A8CC9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供应商认为采购文件、采购过程和成交结果使自己的权益收到伤害的，可向采购人或采购代理机构以书面形式提出质疑。</w:t>
      </w:r>
    </w:p>
    <w:p w14:paraId="5E80AE3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提出质疑的应当是参与所质疑项目采购活动的供应商。 </w:t>
      </w:r>
    </w:p>
    <w:p w14:paraId="77B175BF">
      <w:pPr>
        <w:spacing w:line="400" w:lineRule="exact"/>
        <w:ind w:right="12" w:firstLine="480"/>
        <w:outlineLvl w:val="2"/>
        <w:rPr>
          <w:rFonts w:ascii="宋体" w:hAnsi="宋体" w:cs="宋体"/>
          <w:sz w:val="24"/>
          <w:highlight w:val="none"/>
        </w:rPr>
      </w:pPr>
      <w:r>
        <w:rPr>
          <w:rFonts w:hint="eastAsia" w:ascii="宋体" w:hAnsi="宋体" w:cs="宋体"/>
          <w:sz w:val="24"/>
          <w:highlight w:val="none"/>
        </w:rPr>
        <w:t>1.质疑时限、内容</w:t>
      </w:r>
    </w:p>
    <w:p w14:paraId="4E1CAE9A">
      <w:pPr>
        <w:spacing w:line="400" w:lineRule="exact"/>
        <w:ind w:right="12" w:firstLine="480"/>
        <w:rPr>
          <w:rFonts w:ascii="宋体" w:hAnsi="宋体" w:cs="宋体"/>
          <w:sz w:val="24"/>
          <w:highlight w:val="none"/>
        </w:rPr>
      </w:pPr>
      <w:r>
        <w:rPr>
          <w:rFonts w:hint="eastAsia" w:ascii="宋体" w:hAnsi="宋体" w:cs="宋体"/>
          <w:sz w:val="24"/>
          <w:highlight w:val="none"/>
        </w:rPr>
        <w:t>供应商认为采购文件、采购过程、成交结果使自己的权益受到损害的，可以在知道或者应知其权益受到损害之日起7个工作日内，以书面形式向采购人、采购代理机构提出质疑。</w:t>
      </w:r>
    </w:p>
    <w:p w14:paraId="45B70ADD">
      <w:pPr>
        <w:spacing w:line="400" w:lineRule="exact"/>
        <w:ind w:right="12" w:firstLine="480"/>
        <w:rPr>
          <w:rFonts w:ascii="宋体" w:hAnsi="宋体" w:cs="宋体"/>
          <w:sz w:val="24"/>
          <w:highlight w:val="none"/>
        </w:rPr>
      </w:pPr>
      <w:r>
        <w:rPr>
          <w:rFonts w:hint="eastAsia" w:ascii="宋体" w:hAnsi="宋体" w:cs="宋体"/>
          <w:sz w:val="24"/>
          <w:highlight w:val="none"/>
        </w:rPr>
        <w:t>1.2供应商提出质疑应当提交质疑函和必要的证明材料，质疑函应当包括下列内容：</w:t>
      </w:r>
    </w:p>
    <w:p w14:paraId="4AEF6CDD">
      <w:pPr>
        <w:spacing w:line="400" w:lineRule="exact"/>
        <w:ind w:right="12" w:firstLine="480"/>
        <w:rPr>
          <w:rFonts w:ascii="宋体" w:hAnsi="宋体" w:cs="宋体"/>
          <w:sz w:val="24"/>
          <w:highlight w:val="none"/>
        </w:rPr>
      </w:pPr>
      <w:r>
        <w:rPr>
          <w:rFonts w:hint="eastAsia" w:ascii="宋体" w:hAnsi="宋体" w:cs="宋体"/>
          <w:sz w:val="24"/>
          <w:highlight w:val="none"/>
        </w:rPr>
        <w:t>1.2.1供应商的姓名或者名称、地址、邮编、联系人及联系电话；</w:t>
      </w:r>
    </w:p>
    <w:p w14:paraId="3AC14A55">
      <w:pPr>
        <w:spacing w:line="400" w:lineRule="exact"/>
        <w:ind w:right="12" w:firstLine="480"/>
        <w:rPr>
          <w:rFonts w:ascii="宋体" w:hAnsi="宋体" w:cs="宋体"/>
          <w:sz w:val="24"/>
          <w:highlight w:val="none"/>
        </w:rPr>
      </w:pPr>
      <w:r>
        <w:rPr>
          <w:rFonts w:hint="eastAsia" w:ascii="宋体" w:hAnsi="宋体" w:cs="宋体"/>
          <w:sz w:val="24"/>
          <w:highlight w:val="none"/>
        </w:rPr>
        <w:t>1.2.2质疑项目的名称、项目号以及采购执行编号；</w:t>
      </w:r>
    </w:p>
    <w:p w14:paraId="1DE19F88">
      <w:pPr>
        <w:spacing w:line="400" w:lineRule="exact"/>
        <w:ind w:right="12" w:firstLine="480"/>
        <w:rPr>
          <w:rFonts w:ascii="宋体" w:hAnsi="宋体" w:cs="宋体"/>
          <w:sz w:val="24"/>
          <w:highlight w:val="none"/>
        </w:rPr>
      </w:pPr>
      <w:r>
        <w:rPr>
          <w:rFonts w:hint="eastAsia" w:ascii="宋体" w:hAnsi="宋体" w:cs="宋体"/>
          <w:sz w:val="24"/>
          <w:highlight w:val="none"/>
        </w:rPr>
        <w:t>1.2.3具体、明确的质疑事项和与质疑事项相关的请求；</w:t>
      </w:r>
    </w:p>
    <w:p w14:paraId="0A14EEB1">
      <w:pPr>
        <w:spacing w:line="400" w:lineRule="exact"/>
        <w:ind w:right="12" w:firstLine="480"/>
        <w:rPr>
          <w:rFonts w:ascii="宋体" w:hAnsi="宋体" w:cs="宋体"/>
          <w:sz w:val="24"/>
          <w:highlight w:val="none"/>
        </w:rPr>
      </w:pPr>
      <w:r>
        <w:rPr>
          <w:rFonts w:hint="eastAsia" w:ascii="宋体" w:hAnsi="宋体" w:cs="宋体"/>
          <w:sz w:val="24"/>
          <w:highlight w:val="none"/>
        </w:rPr>
        <w:t>1.2.4事实依据；</w:t>
      </w:r>
    </w:p>
    <w:p w14:paraId="38BF36C5">
      <w:pPr>
        <w:spacing w:line="400" w:lineRule="exact"/>
        <w:ind w:right="12" w:firstLine="480"/>
        <w:rPr>
          <w:rFonts w:ascii="宋体" w:hAnsi="宋体" w:cs="宋体"/>
          <w:sz w:val="24"/>
          <w:highlight w:val="none"/>
        </w:rPr>
      </w:pPr>
      <w:r>
        <w:rPr>
          <w:rFonts w:hint="eastAsia" w:ascii="宋体" w:hAnsi="宋体" w:cs="宋体"/>
          <w:sz w:val="24"/>
          <w:highlight w:val="none"/>
        </w:rPr>
        <w:t>1.2.5必要的法律依据；</w:t>
      </w:r>
    </w:p>
    <w:p w14:paraId="0952219A">
      <w:pPr>
        <w:spacing w:line="400" w:lineRule="exact"/>
        <w:ind w:right="12" w:firstLine="480"/>
        <w:rPr>
          <w:rFonts w:ascii="宋体" w:hAnsi="宋体" w:cs="宋体"/>
          <w:sz w:val="24"/>
          <w:highlight w:val="none"/>
        </w:rPr>
      </w:pPr>
      <w:r>
        <w:rPr>
          <w:rFonts w:hint="eastAsia" w:ascii="宋体" w:hAnsi="宋体" w:cs="宋体"/>
          <w:sz w:val="24"/>
          <w:highlight w:val="none"/>
        </w:rPr>
        <w:t>1.2.6提出质疑的日期；</w:t>
      </w:r>
    </w:p>
    <w:p w14:paraId="61522922">
      <w:pPr>
        <w:spacing w:line="400" w:lineRule="exact"/>
        <w:ind w:right="12" w:firstLine="480"/>
        <w:rPr>
          <w:rFonts w:ascii="宋体" w:hAnsi="宋体" w:cs="宋体"/>
          <w:sz w:val="24"/>
          <w:highlight w:val="none"/>
        </w:rPr>
      </w:pPr>
      <w:r>
        <w:rPr>
          <w:rFonts w:hint="eastAsia" w:ascii="宋体" w:hAnsi="宋体" w:cs="宋体"/>
          <w:sz w:val="24"/>
          <w:highlight w:val="none"/>
        </w:rPr>
        <w:t>1.2.7营业执照（或事业单位法人证书，或个体工商户营业执照或有效的自然人身份证明）复印件；</w:t>
      </w:r>
    </w:p>
    <w:p w14:paraId="5DFE5737">
      <w:pPr>
        <w:spacing w:line="400" w:lineRule="exact"/>
        <w:ind w:right="12" w:firstLine="480"/>
        <w:rPr>
          <w:rFonts w:ascii="宋体" w:hAnsi="宋体" w:cs="宋体"/>
          <w:sz w:val="24"/>
          <w:highlight w:val="none"/>
        </w:rPr>
      </w:pPr>
      <w:r>
        <w:rPr>
          <w:rFonts w:hint="eastAsia" w:ascii="宋体" w:hAnsi="宋体" w:cs="宋体"/>
          <w:sz w:val="24"/>
          <w:highlight w:val="none"/>
        </w:rPr>
        <w:t>1.2.8法定代表人授权委托书原件、法定代表人身份证复印件和其授权代表的身份证复印件（供应商为自然人的提供自然人身份证复印件）；</w:t>
      </w:r>
    </w:p>
    <w:p w14:paraId="7342B502">
      <w:pPr>
        <w:spacing w:line="400" w:lineRule="exact"/>
        <w:ind w:right="12" w:firstLine="480"/>
        <w:rPr>
          <w:rFonts w:ascii="宋体" w:hAnsi="宋体" w:cs="宋体"/>
          <w:sz w:val="24"/>
          <w:highlight w:val="none"/>
        </w:rPr>
      </w:pPr>
      <w:r>
        <w:rPr>
          <w:rFonts w:hint="eastAsia" w:ascii="宋体" w:hAnsi="宋体" w:cs="宋体"/>
          <w:sz w:val="24"/>
          <w:highlight w:val="none"/>
        </w:rPr>
        <w:t>1.3供应商为自然人的，质疑函应当由本人签字；供应商为法人或者其他组织的，质疑函应当由法定代表人、主要负责人，或者其授权代表签字或者盖章，并加盖公章。</w:t>
      </w:r>
    </w:p>
    <w:p w14:paraId="4839CFE8">
      <w:pPr>
        <w:spacing w:line="400" w:lineRule="exact"/>
        <w:ind w:right="12" w:firstLine="480"/>
        <w:outlineLvl w:val="2"/>
        <w:rPr>
          <w:rFonts w:ascii="宋体" w:hAnsi="宋体" w:cs="宋体"/>
          <w:sz w:val="24"/>
          <w:highlight w:val="none"/>
        </w:rPr>
      </w:pPr>
      <w:r>
        <w:rPr>
          <w:rFonts w:hint="eastAsia" w:ascii="宋体" w:hAnsi="宋体" w:cs="宋体"/>
          <w:sz w:val="24"/>
          <w:highlight w:val="none"/>
        </w:rPr>
        <w:t>2.质疑答复</w:t>
      </w:r>
    </w:p>
    <w:p w14:paraId="3E6DD5AC">
      <w:pPr>
        <w:spacing w:line="400" w:lineRule="exact"/>
        <w:ind w:right="12" w:firstLine="480"/>
        <w:rPr>
          <w:rFonts w:ascii="宋体" w:hAnsi="宋体" w:cs="宋体"/>
          <w:sz w:val="24"/>
          <w:highlight w:val="none"/>
        </w:rPr>
      </w:pPr>
      <w:r>
        <w:rPr>
          <w:rFonts w:hint="eastAsia" w:ascii="宋体" w:hAnsi="宋体" w:cs="宋体"/>
          <w:sz w:val="24"/>
          <w:highlight w:val="none"/>
        </w:rPr>
        <w:t>采购人、采购代理机构应当在收到供应商的书面质疑后七个工作日内作出答复，并以书面形式通知质疑供应商和其他有关供应商。</w:t>
      </w:r>
    </w:p>
    <w:p w14:paraId="0445704A">
      <w:pPr>
        <w:spacing w:line="400" w:lineRule="exact"/>
        <w:ind w:right="12" w:firstLine="480"/>
        <w:outlineLvl w:val="2"/>
        <w:rPr>
          <w:rFonts w:ascii="宋体" w:hAnsi="宋体" w:cs="宋体"/>
          <w:sz w:val="24"/>
          <w:highlight w:val="none"/>
        </w:rPr>
      </w:pPr>
      <w:r>
        <w:rPr>
          <w:rFonts w:hint="eastAsia" w:ascii="宋体" w:hAnsi="宋体" w:cs="宋体"/>
          <w:sz w:val="24"/>
          <w:highlight w:val="none"/>
        </w:rPr>
        <w:t>3.其他</w:t>
      </w:r>
    </w:p>
    <w:p w14:paraId="2461C844">
      <w:pPr>
        <w:spacing w:line="400" w:lineRule="exact"/>
        <w:ind w:right="12" w:firstLine="480"/>
        <w:rPr>
          <w:rFonts w:ascii="宋体" w:hAnsi="宋体" w:cs="宋体"/>
          <w:sz w:val="24"/>
          <w:highlight w:val="none"/>
        </w:rPr>
      </w:pPr>
      <w:r>
        <w:rPr>
          <w:rFonts w:hint="eastAsia" w:ascii="宋体" w:hAnsi="宋体" w:cs="宋体"/>
          <w:sz w:val="24"/>
          <w:highlight w:val="none"/>
        </w:rPr>
        <w:t>3.1供应商应按照《政府采购质疑和投诉办法》（财政部令第94号）及相关法律法规要求，在法定质疑期内一次性提出针对同一采购程序环节的质疑。</w:t>
      </w:r>
    </w:p>
    <w:p w14:paraId="303D564B">
      <w:pPr>
        <w:spacing w:line="400" w:lineRule="exact"/>
        <w:ind w:right="12" w:firstLine="480"/>
        <w:rPr>
          <w:rFonts w:ascii="宋体" w:hAnsi="宋体" w:cs="宋体"/>
          <w:sz w:val="24"/>
          <w:highlight w:val="none"/>
        </w:rPr>
      </w:pPr>
      <w:r>
        <w:rPr>
          <w:rFonts w:hint="eastAsia" w:ascii="宋体" w:hAnsi="宋体" w:cs="宋体"/>
          <w:sz w:val="24"/>
          <w:highlight w:val="none"/>
        </w:rPr>
        <w:t>3.2质疑函范本可在财政部门户网站和中国政府采购网下载。</w:t>
      </w:r>
    </w:p>
    <w:p w14:paraId="1695AD96">
      <w:pPr>
        <w:spacing w:line="400" w:lineRule="exact"/>
        <w:ind w:right="12" w:firstLine="480"/>
        <w:outlineLvl w:val="2"/>
        <w:rPr>
          <w:rFonts w:ascii="宋体" w:hAnsi="宋体" w:cs="宋体"/>
          <w:sz w:val="24"/>
          <w:highlight w:val="none"/>
        </w:rPr>
      </w:pPr>
      <w:r>
        <w:rPr>
          <w:rFonts w:hint="eastAsia" w:ascii="宋体" w:hAnsi="宋体" w:cs="宋体"/>
          <w:sz w:val="24"/>
          <w:highlight w:val="none"/>
        </w:rPr>
        <w:t>（二）投诉</w:t>
      </w:r>
    </w:p>
    <w:p w14:paraId="0EEFCA06">
      <w:pPr>
        <w:spacing w:line="400" w:lineRule="exact"/>
        <w:ind w:right="12" w:firstLine="480"/>
        <w:rPr>
          <w:rFonts w:ascii="宋体" w:hAnsi="宋体" w:cs="宋体"/>
          <w:sz w:val="24"/>
          <w:highlight w:val="none"/>
        </w:rPr>
      </w:pPr>
      <w:r>
        <w:rPr>
          <w:rFonts w:hint="eastAsia" w:ascii="宋体" w:hAnsi="宋体" w:cs="宋体"/>
          <w:sz w:val="24"/>
          <w:highlight w:val="none"/>
        </w:rPr>
        <w:t>1.供应商对采购人、采购代理机构的答复不满意，或者采购人、采购代理机构未在规定时间内作出答复的，可以在答复期满后15个工作日内按照相关法律法规向财政部门提起投诉。</w:t>
      </w:r>
    </w:p>
    <w:p w14:paraId="476048E2">
      <w:pPr>
        <w:spacing w:line="400" w:lineRule="exact"/>
        <w:ind w:right="12" w:firstLine="480"/>
        <w:rPr>
          <w:rFonts w:ascii="宋体" w:hAnsi="宋体" w:cs="宋体"/>
          <w:sz w:val="24"/>
          <w:highlight w:val="none"/>
        </w:rPr>
      </w:pPr>
      <w:r>
        <w:rPr>
          <w:rFonts w:hint="eastAsia" w:ascii="宋体" w:hAnsi="宋体" w:cs="宋体"/>
          <w:sz w:val="24"/>
          <w:highlight w:val="none"/>
        </w:rPr>
        <w:t>2.供应商应按照《政府采购质疑和投诉办法》（财政部令第94号）及相关法律法规要求递交投诉书和必要的证明材料。投诉书范本可在财政部门户网站和中国政府采购网下载。</w:t>
      </w:r>
    </w:p>
    <w:p w14:paraId="587EC42D">
      <w:pPr>
        <w:spacing w:line="400" w:lineRule="exact"/>
        <w:ind w:right="12" w:firstLine="480"/>
        <w:rPr>
          <w:rFonts w:ascii="宋体" w:hAnsi="宋体" w:cs="宋体"/>
          <w:sz w:val="24"/>
          <w:highlight w:val="none"/>
        </w:rPr>
      </w:pPr>
      <w:r>
        <w:rPr>
          <w:rFonts w:hint="eastAsia" w:ascii="宋体" w:hAnsi="宋体" w:cs="宋体"/>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05B3F37">
      <w:pPr>
        <w:spacing w:line="400" w:lineRule="exact"/>
        <w:ind w:firstLine="480" w:firstLineChars="200"/>
        <w:rPr>
          <w:rFonts w:ascii="宋体" w:hAnsi="宋体" w:cs="宋体"/>
          <w:sz w:val="24"/>
          <w:szCs w:val="24"/>
          <w:highlight w:val="none"/>
        </w:rPr>
      </w:pPr>
      <w:r>
        <w:rPr>
          <w:rFonts w:hint="eastAsia" w:ascii="宋体" w:hAnsi="宋体" w:cs="宋体"/>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E1AF083">
      <w:pPr>
        <w:pStyle w:val="4"/>
        <w:adjustRightInd w:val="0"/>
        <w:snapToGrid w:val="0"/>
        <w:spacing w:before="0" w:after="0" w:line="400" w:lineRule="exact"/>
        <w:ind w:firstLine="482" w:firstLineChars="200"/>
        <w:rPr>
          <w:rFonts w:ascii="宋体" w:hAnsi="宋体" w:eastAsia="宋体" w:cs="宋体"/>
          <w:sz w:val="24"/>
          <w:highlight w:val="none"/>
        </w:rPr>
      </w:pPr>
      <w:bookmarkStart w:id="133" w:name="_Toc22801"/>
      <w:bookmarkStart w:id="134" w:name="_Toc76462344"/>
      <w:r>
        <w:rPr>
          <w:rFonts w:hint="eastAsia" w:ascii="宋体" w:hAnsi="宋体" w:eastAsia="宋体" w:cs="宋体"/>
          <w:sz w:val="24"/>
          <w:highlight w:val="none"/>
        </w:rPr>
        <w:t>七、采购代理服务费</w:t>
      </w:r>
      <w:bookmarkEnd w:id="133"/>
      <w:bookmarkEnd w:id="134"/>
    </w:p>
    <w:p w14:paraId="67C8543F">
      <w:pPr>
        <w:spacing w:line="400" w:lineRule="exact"/>
        <w:ind w:firstLine="480" w:firstLineChars="200"/>
        <w:rPr>
          <w:rFonts w:ascii="宋体" w:hAnsi="宋体" w:cs="宋体"/>
          <w:sz w:val="24"/>
          <w:highlight w:val="none"/>
        </w:rPr>
      </w:pPr>
      <w:bookmarkStart w:id="135" w:name="_Toc76462345"/>
      <w:r>
        <w:rPr>
          <w:rFonts w:hint="eastAsia" w:ascii="宋体" w:hAnsi="宋体" w:cs="宋体"/>
          <w:sz w:val="24"/>
          <w:highlight w:val="none"/>
        </w:rPr>
        <w:t>（一）供应商中标后</w:t>
      </w:r>
      <w:r>
        <w:rPr>
          <w:rFonts w:hint="eastAsia" w:hAnsi="宋体" w:eastAsia="宋体" w:cs="宋体"/>
          <w:color w:val="auto"/>
          <w:sz w:val="24"/>
          <w:highlight w:val="none"/>
          <w:lang w:eastAsia="zh-CN"/>
        </w:rPr>
        <w:t>在</w:t>
      </w:r>
      <w:r>
        <w:rPr>
          <w:rFonts w:hint="eastAsia" w:ascii="宋体" w:hAnsi="宋体" w:eastAsia="宋体" w:cs="宋体"/>
          <w:color w:val="auto"/>
          <w:sz w:val="24"/>
          <w:highlight w:val="none"/>
        </w:rPr>
        <w:t>领取</w:t>
      </w:r>
      <w:r>
        <w:rPr>
          <w:rFonts w:hint="eastAsia" w:hAnsi="宋体" w:eastAsia="宋体" w:cs="宋体"/>
          <w:color w:val="auto"/>
          <w:sz w:val="24"/>
          <w:highlight w:val="none"/>
          <w:lang w:eastAsia="zh-CN"/>
        </w:rPr>
        <w:t>成交</w:t>
      </w:r>
      <w:r>
        <w:rPr>
          <w:rFonts w:hint="eastAsia" w:ascii="宋体" w:hAnsi="宋体" w:eastAsia="宋体" w:cs="宋体"/>
          <w:color w:val="auto"/>
          <w:sz w:val="24"/>
          <w:highlight w:val="none"/>
        </w:rPr>
        <w:t>通知书前</w:t>
      </w:r>
      <w:r>
        <w:rPr>
          <w:rFonts w:hint="eastAsia" w:ascii="宋体" w:hAnsi="宋体" w:cs="宋体"/>
          <w:sz w:val="24"/>
          <w:highlight w:val="none"/>
        </w:rPr>
        <w:t>向采购代理机构缴纳招标代理服务费，招标代理服务费的收取标准按</w:t>
      </w:r>
      <w:r>
        <w:rPr>
          <w:rFonts w:hint="eastAsia" w:ascii="宋体" w:hAnsi="宋体" w:cs="宋体"/>
          <w:sz w:val="24"/>
          <w:highlight w:val="none"/>
          <w:lang w:val="en-US" w:eastAsia="zh-CN"/>
        </w:rPr>
        <w:t>2000.00元</w:t>
      </w:r>
      <w:r>
        <w:rPr>
          <w:rFonts w:hint="eastAsia" w:ascii="宋体" w:hAnsi="宋体" w:cs="宋体"/>
          <w:sz w:val="24"/>
          <w:highlight w:val="none"/>
        </w:rPr>
        <w:t>收取:</w:t>
      </w:r>
    </w:p>
    <w:bookmarkEnd w:id="135"/>
    <w:p w14:paraId="6CA41F6B">
      <w:pPr>
        <w:pStyle w:val="4"/>
        <w:adjustRightInd w:val="0"/>
        <w:snapToGrid w:val="0"/>
        <w:spacing w:before="0" w:after="0" w:line="400" w:lineRule="exact"/>
        <w:ind w:firstLine="482" w:firstLineChars="200"/>
        <w:rPr>
          <w:rFonts w:ascii="宋体" w:hAnsi="宋体" w:eastAsia="宋体" w:cs="宋体"/>
          <w:sz w:val="24"/>
          <w:highlight w:val="none"/>
        </w:rPr>
      </w:pPr>
      <w:bookmarkStart w:id="136" w:name="_Toc102227322"/>
      <w:bookmarkStart w:id="137" w:name="_Toc342913396"/>
      <w:bookmarkStart w:id="138" w:name="_Toc18655"/>
      <w:bookmarkStart w:id="139" w:name="_Toc76462346"/>
      <w:bookmarkStart w:id="140" w:name="_Toc12789059"/>
      <w:bookmarkStart w:id="141" w:name="_Toc11641055"/>
      <w:r>
        <w:rPr>
          <w:rFonts w:hint="eastAsia" w:ascii="宋体" w:hAnsi="宋体" w:eastAsia="宋体" w:cs="宋体"/>
          <w:sz w:val="24"/>
          <w:highlight w:val="none"/>
        </w:rPr>
        <w:t>八、签订</w:t>
      </w:r>
      <w:bookmarkEnd w:id="136"/>
      <w:r>
        <w:rPr>
          <w:rFonts w:hint="eastAsia" w:ascii="宋体" w:hAnsi="宋体" w:eastAsia="宋体" w:cs="宋体"/>
          <w:sz w:val="24"/>
          <w:highlight w:val="none"/>
        </w:rPr>
        <w:t>合同</w:t>
      </w:r>
      <w:bookmarkEnd w:id="137"/>
      <w:bookmarkEnd w:id="138"/>
      <w:bookmarkEnd w:id="139"/>
    </w:p>
    <w:p w14:paraId="5D44C2EA">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w:t>
      </w:r>
      <w:r>
        <w:rPr>
          <w:rFonts w:hint="eastAsia" w:ascii="宋体" w:hAnsi="宋体" w:cs="宋体"/>
          <w:sz w:val="24"/>
          <w:highlight w:val="none"/>
        </w:rPr>
        <w:t>采购人原则上应在成交通知书发出之日起二十日内和成交供应商签订政府采购合同，无正当理由不得拒绝或拖延合同签订</w:t>
      </w:r>
      <w:r>
        <w:rPr>
          <w:rFonts w:hint="eastAsia" w:ascii="宋体" w:hAnsi="宋体" w:cs="宋体"/>
          <w:sz w:val="24"/>
          <w:szCs w:val="24"/>
          <w:highlight w:val="none"/>
        </w:rPr>
        <w:t>。所签订的合同不得对竞争性磋商文件和供应商的响应文件作实质性修改。其他未尽事宜由采购人和成交供应商在采购合同中详细约定。</w:t>
      </w:r>
    </w:p>
    <w:p w14:paraId="66E28C34">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highlight w:val="none"/>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0A062E29">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（三）竞争性磋商文件、供应商的响应文件及澄清文件等，均为签订政府采购合同的依据。</w:t>
      </w:r>
    </w:p>
    <w:p w14:paraId="4784DD05">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（四）合同生效条款由供需双方约定，法律、行政法规规定应当办理批准、登记等手续后生效的合同，依照其规定。</w:t>
      </w:r>
    </w:p>
    <w:p w14:paraId="4A28C98F">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（五）合同原则上应按照《重庆市政府采购合同》签订，相关单位要求适用合同通用格式版本的，应按其要求另行签订其他合同。</w:t>
      </w:r>
    </w:p>
    <w:p w14:paraId="7679FA7F">
      <w:pPr>
        <w:pStyle w:val="4"/>
        <w:adjustRightInd w:val="0"/>
        <w:snapToGrid w:val="0"/>
        <w:spacing w:before="0" w:after="0" w:line="400" w:lineRule="exact"/>
        <w:ind w:firstLine="482" w:firstLineChars="200"/>
        <w:rPr>
          <w:rFonts w:ascii="宋体" w:hAnsi="宋体" w:eastAsia="宋体" w:cs="宋体"/>
          <w:sz w:val="24"/>
          <w:highlight w:val="none"/>
        </w:rPr>
      </w:pPr>
      <w:bookmarkStart w:id="142" w:name="_Toc16771"/>
      <w:r>
        <w:rPr>
          <w:rFonts w:hint="eastAsia" w:ascii="宋体" w:hAnsi="宋体" w:eastAsia="宋体" w:cs="宋体"/>
          <w:sz w:val="24"/>
          <w:highlight w:val="none"/>
        </w:rPr>
        <w:t>九、项目验收</w:t>
      </w:r>
      <w:bookmarkEnd w:id="142"/>
    </w:p>
    <w:p w14:paraId="6FBC5FAD">
      <w:pPr>
        <w:spacing w:line="400" w:lineRule="exact"/>
        <w:ind w:firstLine="480" w:firstLineChars="200"/>
        <w:rPr>
          <w:rFonts w:ascii="宋体" w:hAnsi="宋体" w:cs="宋体"/>
          <w:sz w:val="24"/>
          <w:szCs w:val="24"/>
          <w:highlight w:val="none"/>
        </w:rPr>
      </w:pPr>
      <w:r>
        <w:rPr>
          <w:rFonts w:hint="eastAsia" w:ascii="宋体" w:hAnsi="宋体" w:cs="宋体"/>
          <w:sz w:val="24"/>
          <w:highlight w:val="none"/>
        </w:rPr>
        <w:t>合同执行完毕，采购人或采购代理机构原则上应在7个工作日内组织履约情况验收，不得无故拖延或附加额外条件。</w:t>
      </w:r>
    </w:p>
    <w:p w14:paraId="169E18D6">
      <w:pPr>
        <w:pStyle w:val="4"/>
        <w:adjustRightInd w:val="0"/>
        <w:snapToGrid w:val="0"/>
        <w:spacing w:before="0" w:after="0" w:line="400" w:lineRule="exact"/>
        <w:ind w:firstLine="482" w:firstLineChars="200"/>
        <w:rPr>
          <w:rFonts w:ascii="宋体" w:hAnsi="宋体" w:eastAsia="宋体" w:cs="宋体"/>
          <w:sz w:val="24"/>
          <w:highlight w:val="none"/>
        </w:rPr>
      </w:pPr>
      <w:bookmarkStart w:id="143" w:name="_Toc17504"/>
      <w:bookmarkStart w:id="144" w:name="_Toc76462347"/>
      <w:bookmarkStart w:id="145" w:name="_Toc14780"/>
      <w:r>
        <w:rPr>
          <w:rFonts w:hint="eastAsia" w:ascii="宋体" w:hAnsi="宋体" w:eastAsia="宋体" w:cs="宋体"/>
          <w:sz w:val="24"/>
          <w:highlight w:val="none"/>
        </w:rPr>
        <w:t>十、政府采购信用融资</w:t>
      </w:r>
      <w:bookmarkEnd w:id="143"/>
      <w:bookmarkEnd w:id="144"/>
      <w:bookmarkEnd w:id="145"/>
    </w:p>
    <w:p w14:paraId="27B34C9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29A3FF04">
      <w:pPr>
        <w:pStyle w:val="4"/>
        <w:spacing w:before="0" w:after="0" w:line="360" w:lineRule="auto"/>
        <w:jc w:val="center"/>
        <w:rPr>
          <w:rFonts w:hint="eastAsia" w:ascii="宋体" w:hAnsi="宋体" w:eastAsia="宋体" w:cs="宋体"/>
          <w:b w:val="0"/>
          <w:sz w:val="36"/>
          <w:szCs w:val="30"/>
          <w:highlight w:val="none"/>
          <w:lang w:eastAsia="zh-CN"/>
        </w:rPr>
      </w:pPr>
      <w:r>
        <w:rPr>
          <w:rFonts w:hint="eastAsia" w:ascii="宋体" w:hAnsi="宋体" w:eastAsia="宋体" w:cs="宋体"/>
          <w:sz w:val="36"/>
          <w:szCs w:val="30"/>
          <w:highlight w:val="none"/>
        </w:rPr>
        <w:br w:type="page"/>
      </w:r>
      <w:bookmarkStart w:id="146" w:name="_Toc76462348"/>
      <w:bookmarkStart w:id="147" w:name="_Toc26267"/>
      <w:r>
        <w:rPr>
          <w:rFonts w:hint="eastAsia" w:ascii="宋体" w:hAnsi="宋体" w:eastAsia="宋体" w:cs="宋体"/>
          <w:b w:val="0"/>
          <w:sz w:val="36"/>
          <w:szCs w:val="30"/>
          <w:highlight w:val="none"/>
        </w:rPr>
        <w:t xml:space="preserve">第六篇  </w:t>
      </w:r>
      <w:bookmarkEnd w:id="140"/>
      <w:bookmarkEnd w:id="141"/>
      <w:r>
        <w:rPr>
          <w:rFonts w:hint="eastAsia" w:ascii="宋体" w:hAnsi="宋体" w:eastAsia="宋体" w:cs="宋体"/>
          <w:b w:val="0"/>
          <w:sz w:val="36"/>
          <w:szCs w:val="30"/>
          <w:highlight w:val="none"/>
        </w:rPr>
        <w:t>政府采购合同</w:t>
      </w:r>
      <w:bookmarkEnd w:id="146"/>
      <w:r>
        <w:rPr>
          <w:rFonts w:hint="eastAsia" w:ascii="宋体" w:hAnsi="宋体" w:eastAsia="宋体" w:cs="宋体"/>
          <w:b w:val="0"/>
          <w:sz w:val="36"/>
          <w:szCs w:val="30"/>
          <w:highlight w:val="none"/>
          <w:lang w:eastAsia="zh-CN"/>
        </w:rPr>
        <w:t>（样本）</w:t>
      </w:r>
      <w:bookmarkEnd w:id="147"/>
    </w:p>
    <w:p w14:paraId="2169977F">
      <w:pPr>
        <w:rPr>
          <w:rFonts w:hint="eastAsia" w:ascii="宋体" w:hAnsi="宋体" w:eastAsia="宋体" w:cs="宋体"/>
          <w:color w:val="auto"/>
          <w:sz w:val="24"/>
          <w:highlight w:val="none"/>
        </w:rPr>
      </w:pPr>
      <w:bookmarkStart w:id="148" w:name="_Hlt41879464"/>
      <w:bookmarkEnd w:id="148"/>
      <w:bookmarkStart w:id="149" w:name="_Toc148265480"/>
      <w:bookmarkStart w:id="150" w:name="_Toc303945820"/>
      <w:bookmarkStart w:id="151" w:name="_Toc76462349"/>
      <w:r>
        <w:rPr>
          <w:rFonts w:hint="eastAsia" w:ascii="宋体" w:hAnsi="宋体" w:eastAsia="宋体" w:cs="宋体"/>
          <w:color w:val="auto"/>
          <w:sz w:val="24"/>
          <w:highlight w:val="none"/>
        </w:rPr>
        <w:t>附页：采购合同格式</w:t>
      </w:r>
      <w:bookmarkEnd w:id="149"/>
      <w:bookmarkEnd w:id="150"/>
    </w:p>
    <w:p w14:paraId="67355FBB">
      <w:pPr>
        <w:tabs>
          <w:tab w:val="left" w:pos="9000"/>
        </w:tabs>
        <w:spacing w:line="276" w:lineRule="auto"/>
        <w:jc w:val="center"/>
        <w:rPr>
          <w:rFonts w:hint="eastAsia" w:ascii="宋体" w:hAnsi="宋体" w:eastAsia="宋体" w:cs="宋体"/>
          <w:color w:val="auto"/>
          <w:sz w:val="24"/>
          <w:highlight w:val="none"/>
        </w:rPr>
      </w:pPr>
    </w:p>
    <w:p w14:paraId="35C50E49">
      <w:pPr>
        <w:adjustRightInd w:val="0"/>
        <w:snapToGrid w:val="0"/>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44"/>
          <w:szCs w:val="44"/>
          <w:highlight w:val="none"/>
          <w:u w:val="single"/>
        </w:rPr>
        <w:t xml:space="preserve">                       </w:t>
      </w:r>
      <w:r>
        <w:rPr>
          <w:rFonts w:hint="eastAsia" w:ascii="宋体" w:hAnsi="宋体" w:eastAsia="宋体" w:cs="宋体"/>
          <w:b/>
          <w:bCs/>
          <w:color w:val="auto"/>
          <w:kern w:val="0"/>
          <w:sz w:val="44"/>
          <w:szCs w:val="44"/>
          <w:highlight w:val="none"/>
        </w:rPr>
        <w:t>工程</w:t>
      </w:r>
    </w:p>
    <w:p w14:paraId="69E052F6">
      <w:pPr>
        <w:adjustRightInd w:val="0"/>
        <w:snapToGrid w:val="0"/>
        <w:spacing w:line="360" w:lineRule="auto"/>
        <w:jc w:val="center"/>
        <w:rPr>
          <w:rFonts w:hint="eastAsia" w:ascii="宋体" w:hAnsi="宋体" w:eastAsia="宋体" w:cs="宋体"/>
          <w:color w:val="auto"/>
          <w:kern w:val="0"/>
          <w:sz w:val="36"/>
          <w:szCs w:val="36"/>
          <w:highlight w:val="none"/>
        </w:rPr>
      </w:pPr>
    </w:p>
    <w:p w14:paraId="4ABE6342">
      <w:pPr>
        <w:rPr>
          <w:rFonts w:hint="eastAsia" w:ascii="宋体" w:hAnsi="宋体" w:eastAsia="宋体" w:cs="宋体"/>
          <w:color w:val="auto"/>
          <w:kern w:val="0"/>
          <w:sz w:val="36"/>
          <w:szCs w:val="36"/>
          <w:highlight w:val="none"/>
        </w:rPr>
      </w:pPr>
    </w:p>
    <w:p w14:paraId="631427EA">
      <w:pPr>
        <w:rPr>
          <w:rFonts w:hint="eastAsia" w:ascii="宋体" w:hAnsi="宋体" w:eastAsia="宋体" w:cs="宋体"/>
          <w:color w:val="auto"/>
          <w:kern w:val="0"/>
          <w:sz w:val="36"/>
          <w:szCs w:val="36"/>
          <w:highlight w:val="none"/>
        </w:rPr>
      </w:pPr>
    </w:p>
    <w:p w14:paraId="04BE222B">
      <w:pPr>
        <w:rPr>
          <w:rFonts w:hint="eastAsia" w:ascii="宋体" w:hAnsi="宋体" w:eastAsia="宋体" w:cs="宋体"/>
          <w:color w:val="auto"/>
          <w:sz w:val="21"/>
          <w:szCs w:val="24"/>
          <w:highlight w:val="none"/>
        </w:rPr>
      </w:pPr>
    </w:p>
    <w:p w14:paraId="4F5B3A4B">
      <w:pPr>
        <w:adjustRightInd w:val="0"/>
        <w:snapToGrid w:val="0"/>
        <w:spacing w:line="360" w:lineRule="auto"/>
        <w:jc w:val="center"/>
        <w:rPr>
          <w:rFonts w:hint="eastAsia" w:ascii="宋体" w:hAnsi="宋体" w:eastAsia="宋体" w:cs="宋体"/>
          <w:color w:val="auto"/>
          <w:kern w:val="0"/>
          <w:sz w:val="36"/>
          <w:szCs w:val="36"/>
          <w:highlight w:val="none"/>
        </w:rPr>
      </w:pPr>
    </w:p>
    <w:p w14:paraId="3DC3B22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承</w:t>
      </w:r>
    </w:p>
    <w:p w14:paraId="177D427B">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包</w:t>
      </w:r>
    </w:p>
    <w:p w14:paraId="7E03C0AE">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合</w:t>
      </w:r>
    </w:p>
    <w:p w14:paraId="4FCF09A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同</w:t>
      </w:r>
    </w:p>
    <w:p w14:paraId="6EDE49B6">
      <w:pPr>
        <w:spacing w:line="360" w:lineRule="auto"/>
        <w:rPr>
          <w:rFonts w:hint="eastAsia" w:ascii="宋体" w:hAnsi="宋体" w:eastAsia="宋体" w:cs="宋体"/>
          <w:color w:val="auto"/>
          <w:sz w:val="30"/>
          <w:szCs w:val="30"/>
          <w:highlight w:val="none"/>
        </w:rPr>
      </w:pPr>
    </w:p>
    <w:p w14:paraId="406DBB41">
      <w:pPr>
        <w:spacing w:line="360" w:lineRule="auto"/>
        <w:rPr>
          <w:rFonts w:hint="eastAsia" w:ascii="宋体" w:hAnsi="宋体" w:eastAsia="宋体" w:cs="宋体"/>
          <w:color w:val="auto"/>
          <w:sz w:val="30"/>
          <w:szCs w:val="30"/>
          <w:highlight w:val="none"/>
        </w:rPr>
      </w:pPr>
    </w:p>
    <w:p w14:paraId="6AABF74F">
      <w:pPr>
        <w:spacing w:line="360" w:lineRule="auto"/>
        <w:rPr>
          <w:rFonts w:hint="eastAsia" w:ascii="宋体" w:hAnsi="宋体" w:eastAsia="宋体" w:cs="宋体"/>
          <w:color w:val="auto"/>
          <w:sz w:val="30"/>
          <w:szCs w:val="30"/>
          <w:highlight w:val="none"/>
        </w:rPr>
      </w:pPr>
    </w:p>
    <w:p w14:paraId="1B7143AB">
      <w:pPr>
        <w:spacing w:line="360" w:lineRule="auto"/>
        <w:ind w:firstLine="600" w:firstLineChars="200"/>
        <w:rPr>
          <w:rFonts w:hint="eastAsia" w:ascii="宋体" w:hAnsi="宋体" w:eastAsia="宋体" w:cs="宋体"/>
          <w:color w:val="auto"/>
          <w:sz w:val="30"/>
          <w:szCs w:val="30"/>
          <w:highlight w:val="none"/>
        </w:rPr>
      </w:pPr>
    </w:p>
    <w:p w14:paraId="7368B8AF">
      <w:pPr>
        <w:spacing w:line="360" w:lineRule="auto"/>
        <w:ind w:firstLine="600" w:firstLineChars="200"/>
        <w:rPr>
          <w:rFonts w:hint="eastAsia" w:ascii="宋体" w:hAnsi="宋体" w:eastAsia="宋体" w:cs="宋体"/>
          <w:color w:val="auto"/>
          <w:sz w:val="30"/>
          <w:szCs w:val="30"/>
          <w:highlight w:val="none"/>
        </w:rPr>
      </w:pPr>
    </w:p>
    <w:p w14:paraId="6BC158AF">
      <w:pPr>
        <w:spacing w:line="360" w:lineRule="auto"/>
        <w:ind w:firstLine="600" w:firstLineChars="200"/>
        <w:rPr>
          <w:rFonts w:hint="eastAsia" w:ascii="宋体" w:hAnsi="宋体" w:eastAsia="宋体" w:cs="宋体"/>
          <w:color w:val="auto"/>
          <w:sz w:val="30"/>
          <w:szCs w:val="30"/>
          <w:highlight w:val="none"/>
        </w:rPr>
      </w:pPr>
    </w:p>
    <w:p w14:paraId="35851FAD">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发 包 人：</w:t>
      </w:r>
    </w:p>
    <w:p w14:paraId="41917E90">
      <w:pPr>
        <w:spacing w:line="360" w:lineRule="auto"/>
        <w:ind w:firstLine="600" w:firstLineChars="2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承 包 人：  </w:t>
      </w:r>
    </w:p>
    <w:p w14:paraId="3381B3C7">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签约日期：    年     月     日     </w:t>
      </w:r>
    </w:p>
    <w:p w14:paraId="4E4CE2CE">
      <w:pPr>
        <w:adjustRightInd w:val="0"/>
        <w:snapToGrid w:val="0"/>
        <w:spacing w:line="360" w:lineRule="auto"/>
        <w:ind w:firstLine="422" w:firstLineChars="200"/>
        <w:rPr>
          <w:rFonts w:hint="eastAsia" w:ascii="宋体" w:hAnsi="宋体" w:eastAsia="宋体" w:cs="宋体"/>
          <w:b/>
          <w:color w:val="auto"/>
          <w:sz w:val="21"/>
          <w:szCs w:val="21"/>
          <w:highlight w:val="none"/>
        </w:rPr>
      </w:pPr>
    </w:p>
    <w:p w14:paraId="53CB0257">
      <w:pPr>
        <w:adjustRightInd w:val="0"/>
        <w:snapToGrid w:val="0"/>
        <w:spacing w:line="360" w:lineRule="auto"/>
        <w:rPr>
          <w:rFonts w:hint="eastAsia" w:ascii="宋体" w:hAnsi="宋体" w:eastAsia="宋体" w:cs="宋体"/>
          <w:b/>
          <w:color w:val="auto"/>
          <w:sz w:val="21"/>
          <w:szCs w:val="21"/>
          <w:highlight w:val="none"/>
        </w:rPr>
      </w:pPr>
    </w:p>
    <w:p w14:paraId="136711CF">
      <w:pPr>
        <w:adjustRightInd w:val="0"/>
        <w:snapToGrid w:val="0"/>
        <w:spacing w:line="360" w:lineRule="auto"/>
        <w:ind w:firstLine="562" w:firstLineChars="200"/>
        <w:rPr>
          <w:rFonts w:hint="eastAsia" w:ascii="宋体" w:hAnsi="宋体" w:eastAsia="宋体" w:cs="宋体"/>
          <w:b/>
          <w:color w:val="auto"/>
          <w:szCs w:val="21"/>
          <w:highlight w:val="none"/>
        </w:rPr>
        <w:sectPr>
          <w:pgSz w:w="11906" w:h="16838"/>
          <w:pgMar w:top="1440" w:right="1800" w:bottom="1440" w:left="1800" w:header="851" w:footer="992" w:gutter="0"/>
          <w:cols w:space="720" w:num="1"/>
          <w:docGrid w:type="lines" w:linePitch="312" w:charSpace="0"/>
        </w:sectPr>
      </w:pPr>
    </w:p>
    <w:p w14:paraId="5F53F0F4">
      <w:pPr>
        <w:keepNext/>
        <w:keepLines/>
        <w:numPr>
          <w:ilvl w:val="0"/>
          <w:numId w:val="14"/>
        </w:numPr>
        <w:spacing w:line="416" w:lineRule="auto"/>
        <w:jc w:val="center"/>
        <w:outlineLvl w:val="2"/>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合同协议书</w:t>
      </w:r>
    </w:p>
    <w:p w14:paraId="081B3F0D">
      <w:pPr>
        <w:rPr>
          <w:rFonts w:hint="eastAsia" w:ascii="宋体" w:hAnsi="宋体" w:eastAsia="宋体" w:cs="宋体"/>
          <w:color w:val="auto"/>
          <w:sz w:val="26"/>
          <w:szCs w:val="24"/>
          <w:highlight w:val="none"/>
        </w:rPr>
      </w:pPr>
    </w:p>
    <w:p w14:paraId="4D925E6D">
      <w:pPr>
        <w:adjustRightInd w:val="0"/>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14:paraId="4C6883FF">
      <w:pPr>
        <w:adjustRightInd w:val="0"/>
        <w:snapToGrid w:val="0"/>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14:paraId="6F224AF2">
      <w:pPr>
        <w:adjustRightInd w:val="0"/>
        <w:snapToGrid w:val="0"/>
        <w:spacing w:line="360" w:lineRule="auto"/>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根据《中华人民共和国民法典》、《中华人民共和国建筑法》及有关法律、法规规定，遵循平等、自愿、公平和诚实信用的原则，双方就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14:paraId="5CBCD26B">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52" w:name="_Toc532377166"/>
      <w:bookmarkStart w:id="153" w:name="_Toc351203481"/>
      <w:bookmarkStart w:id="154" w:name="_Toc532375573"/>
      <w:r>
        <w:rPr>
          <w:rFonts w:hint="eastAsia" w:ascii="宋体" w:hAnsi="宋体" w:eastAsia="宋体" w:cs="宋体"/>
          <w:color w:val="auto"/>
          <w:sz w:val="21"/>
          <w:szCs w:val="21"/>
          <w:highlight w:val="none"/>
        </w:rPr>
        <w:t>一、工程概况</w:t>
      </w:r>
      <w:bookmarkEnd w:id="152"/>
      <w:bookmarkEnd w:id="153"/>
      <w:bookmarkEnd w:id="154"/>
    </w:p>
    <w:p w14:paraId="16502D6A">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72CB819">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w:t>
      </w:r>
    </w:p>
    <w:p w14:paraId="334E54FE">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snapToGrid w:val="0"/>
          <w:color w:val="auto"/>
          <w:kern w:val="0"/>
          <w:sz w:val="21"/>
          <w:szCs w:val="24"/>
          <w:highlight w:val="none"/>
          <w:u w:val="single"/>
        </w:rPr>
        <w:t>\</w:t>
      </w:r>
    </w:p>
    <w:p w14:paraId="11DCE018">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bCs/>
          <w:color w:val="auto"/>
          <w:sz w:val="21"/>
          <w:szCs w:val="21"/>
          <w:highlight w:val="none"/>
          <w:u w:val="single"/>
          <w:lang w:eastAsia="zh-CN"/>
        </w:rPr>
        <w:t>教委自有</w:t>
      </w:r>
      <w:r>
        <w:rPr>
          <w:rFonts w:hint="eastAsia" w:ascii="宋体" w:hAnsi="宋体" w:eastAsia="宋体" w:cs="宋体"/>
          <w:bCs/>
          <w:color w:val="auto"/>
          <w:sz w:val="21"/>
          <w:szCs w:val="21"/>
          <w:highlight w:val="none"/>
          <w:u w:val="single"/>
        </w:rPr>
        <w:t>资金</w:t>
      </w:r>
      <w:r>
        <w:rPr>
          <w:rFonts w:hint="eastAsia" w:ascii="宋体" w:hAnsi="宋体" w:eastAsia="宋体" w:cs="宋体"/>
          <w:color w:val="auto"/>
          <w:sz w:val="21"/>
          <w:szCs w:val="21"/>
          <w:highlight w:val="none"/>
        </w:rPr>
        <w:t>。</w:t>
      </w:r>
    </w:p>
    <w:p w14:paraId="0B81AECA">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1CB66A39">
      <w:pPr>
        <w:adjustRightInd w:val="0"/>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w:t>
      </w:r>
    </w:p>
    <w:p w14:paraId="36BBE163">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55" w:name="_Toc532375574"/>
      <w:bookmarkStart w:id="156" w:name="_Toc532377167"/>
      <w:bookmarkStart w:id="157" w:name="_Toc351203482"/>
      <w:r>
        <w:rPr>
          <w:rFonts w:hint="eastAsia" w:ascii="宋体" w:hAnsi="宋体" w:eastAsia="宋体" w:cs="宋体"/>
          <w:color w:val="auto"/>
          <w:sz w:val="21"/>
          <w:szCs w:val="21"/>
          <w:highlight w:val="none"/>
        </w:rPr>
        <w:t>二、合同工期</w:t>
      </w:r>
      <w:bookmarkEnd w:id="155"/>
      <w:bookmarkEnd w:id="156"/>
      <w:bookmarkEnd w:id="157"/>
    </w:p>
    <w:p w14:paraId="56E205EC">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w:t>
      </w:r>
      <w:r>
        <w:rPr>
          <w:rFonts w:hint="eastAsia" w:ascii="宋体" w:hAnsi="宋体" w:cs="宋体"/>
          <w:bCs/>
          <w:color w:val="auto"/>
          <w:sz w:val="21"/>
          <w:szCs w:val="21"/>
          <w:highlight w:val="none"/>
          <w:lang w:val="en-US" w:eastAsia="zh-CN"/>
        </w:rPr>
        <w:t>磋商</w:t>
      </w:r>
      <w:r>
        <w:rPr>
          <w:rFonts w:hint="eastAsia" w:ascii="宋体" w:hAnsi="宋体" w:eastAsia="宋体" w:cs="宋体"/>
          <w:bCs/>
          <w:color w:val="auto"/>
          <w:sz w:val="21"/>
          <w:szCs w:val="21"/>
          <w:highlight w:val="none"/>
        </w:rPr>
        <w:t>申请函中承诺的工期：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bCs/>
          <w:color w:val="auto"/>
          <w:sz w:val="21"/>
          <w:szCs w:val="21"/>
          <w:highlight w:val="none"/>
        </w:rPr>
        <w:t>日历天。</w:t>
      </w:r>
    </w:p>
    <w:p w14:paraId="15675ADF">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计划开工日期：</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日，实际开工日期以监理工程师签发的工程开工通知明确的开工日期为准。</w:t>
      </w:r>
    </w:p>
    <w:p w14:paraId="5A2959F4">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计划竣工日期：</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日，实际竣工日期以工程竣工验收合格之日为准。</w:t>
      </w:r>
    </w:p>
    <w:p w14:paraId="0CF1B79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工期总日历天数</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天。工期总日历天数与根据前述计划开竣工日期计算的工期天数不一</w:t>
      </w:r>
      <w:r>
        <w:rPr>
          <w:rFonts w:hint="eastAsia" w:ascii="宋体" w:hAnsi="宋体" w:eastAsia="宋体" w:cs="宋体"/>
          <w:color w:val="auto"/>
          <w:sz w:val="21"/>
          <w:szCs w:val="21"/>
          <w:highlight w:val="none"/>
        </w:rPr>
        <w:t>致的，以工期总日历天数为准。</w:t>
      </w:r>
    </w:p>
    <w:p w14:paraId="1E4882F3">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58" w:name="_Toc532377168"/>
      <w:bookmarkStart w:id="159" w:name="_Toc351203483"/>
      <w:bookmarkStart w:id="160" w:name="_Toc532375575"/>
      <w:r>
        <w:rPr>
          <w:rFonts w:hint="eastAsia" w:ascii="宋体" w:hAnsi="宋体" w:eastAsia="宋体" w:cs="宋体"/>
          <w:color w:val="auto"/>
          <w:sz w:val="21"/>
          <w:szCs w:val="21"/>
          <w:highlight w:val="none"/>
        </w:rPr>
        <w:t>三、质量标准</w:t>
      </w:r>
      <w:bookmarkEnd w:id="158"/>
      <w:bookmarkEnd w:id="159"/>
      <w:bookmarkEnd w:id="160"/>
    </w:p>
    <w:p w14:paraId="4C7025F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r>
        <w:rPr>
          <w:rFonts w:hint="eastAsia" w:ascii="宋体" w:hAnsi="宋体" w:eastAsia="宋体" w:cs="宋体"/>
          <w:color w:val="auto"/>
          <w:sz w:val="21"/>
          <w:szCs w:val="21"/>
          <w:highlight w:val="none"/>
          <w:u w:val="single"/>
        </w:rPr>
        <w:t>符合强制性质量标准，符合国家和重庆市现行有关施工质量验收规范要求，并达到合格</w:t>
      </w:r>
      <w:r>
        <w:rPr>
          <w:rFonts w:hint="eastAsia" w:ascii="宋体" w:hAnsi="宋体" w:eastAsia="宋体" w:cs="宋体"/>
          <w:color w:val="auto"/>
          <w:sz w:val="21"/>
          <w:szCs w:val="21"/>
          <w:highlight w:val="none"/>
        </w:rPr>
        <w:t>标准。</w:t>
      </w:r>
    </w:p>
    <w:p w14:paraId="4CB79DEB">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61" w:name="_Toc532377169"/>
      <w:bookmarkStart w:id="162" w:name="_Toc351203484"/>
      <w:bookmarkStart w:id="163" w:name="_Toc532375576"/>
      <w:r>
        <w:rPr>
          <w:rFonts w:hint="eastAsia" w:ascii="宋体" w:hAnsi="宋体" w:eastAsia="宋体" w:cs="宋体"/>
          <w:color w:val="auto"/>
          <w:sz w:val="21"/>
          <w:szCs w:val="21"/>
          <w:highlight w:val="none"/>
        </w:rPr>
        <w:t>四、签约合同价与合同价格形式</w:t>
      </w:r>
      <w:bookmarkEnd w:id="161"/>
      <w:bookmarkEnd w:id="162"/>
      <w:bookmarkEnd w:id="163"/>
      <w:r>
        <w:rPr>
          <w:rFonts w:hint="eastAsia" w:ascii="宋体" w:hAnsi="宋体" w:eastAsia="宋体" w:cs="宋体"/>
          <w:color w:val="auto"/>
          <w:sz w:val="21"/>
          <w:szCs w:val="21"/>
          <w:highlight w:val="none"/>
        </w:rPr>
        <w:tab/>
      </w:r>
    </w:p>
    <w:p w14:paraId="6A0D453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申请</w:t>
      </w:r>
      <w:r>
        <w:rPr>
          <w:rFonts w:hint="eastAsia" w:ascii="宋体" w:hAnsi="宋体" w:eastAsia="宋体" w:cs="宋体"/>
          <w:color w:val="auto"/>
          <w:sz w:val="21"/>
          <w:szCs w:val="21"/>
          <w:highlight w:val="none"/>
        </w:rPr>
        <w:t>函中承诺的报价为：</w:t>
      </w:r>
    </w:p>
    <w:p w14:paraId="61206A6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60CD264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2.签约合同价为：</w:t>
      </w:r>
    </w:p>
    <w:p w14:paraId="539D6FD6">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暂定价人</w:t>
      </w:r>
      <w:r>
        <w:rPr>
          <w:rFonts w:hint="eastAsia" w:ascii="宋体" w:hAnsi="宋体" w:eastAsia="宋体" w:cs="宋体"/>
          <w:color w:val="auto"/>
          <w:sz w:val="21"/>
          <w:szCs w:val="21"/>
          <w:highlight w:val="none"/>
        </w:rPr>
        <w:t>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本合同价格为暂定金额，最终结算金额以重庆市沙坪坝区财政局指定的第三方造价咨询机构审定金额为准。</w:t>
      </w:r>
    </w:p>
    <w:p w14:paraId="46D9145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4B2A5FC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7ECEB38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32CD8CF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507507C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624D78D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1A37239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54E906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652D161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606731D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3.合同价格形式：</w:t>
      </w:r>
      <w:r>
        <w:rPr>
          <w:rFonts w:hint="eastAsia" w:ascii="宋体" w:hAnsi="宋体" w:eastAsia="宋体" w:cs="宋体"/>
          <w:color w:val="auto"/>
          <w:sz w:val="21"/>
          <w:szCs w:val="21"/>
          <w:highlight w:val="none"/>
          <w:u w:val="single"/>
        </w:rPr>
        <w:t xml:space="preserve">  单价合同形式  </w:t>
      </w:r>
      <w:r>
        <w:rPr>
          <w:rFonts w:hint="eastAsia" w:ascii="宋体" w:hAnsi="宋体" w:eastAsia="宋体" w:cs="宋体"/>
          <w:color w:val="auto"/>
          <w:sz w:val="21"/>
          <w:szCs w:val="21"/>
          <w:highlight w:val="none"/>
        </w:rPr>
        <w:t>。</w:t>
      </w:r>
    </w:p>
    <w:p w14:paraId="72FD8879">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64" w:name="_Toc351203485"/>
      <w:bookmarkStart w:id="165" w:name="_Toc532377170"/>
      <w:bookmarkStart w:id="166" w:name="_Toc532375577"/>
      <w:r>
        <w:rPr>
          <w:rFonts w:hint="eastAsia" w:ascii="宋体" w:hAnsi="宋体" w:eastAsia="宋体" w:cs="宋体"/>
          <w:color w:val="auto"/>
          <w:sz w:val="21"/>
          <w:szCs w:val="21"/>
          <w:highlight w:val="none"/>
        </w:rPr>
        <w:t>五、</w:t>
      </w:r>
      <w:bookmarkEnd w:id="164"/>
      <w:r>
        <w:rPr>
          <w:rFonts w:hint="eastAsia" w:ascii="宋体" w:hAnsi="宋体" w:eastAsia="宋体" w:cs="宋体"/>
          <w:color w:val="auto"/>
          <w:sz w:val="21"/>
          <w:szCs w:val="21"/>
          <w:highlight w:val="none"/>
        </w:rPr>
        <w:t>项目经理及技术负责人</w:t>
      </w:r>
      <w:bookmarkEnd w:id="165"/>
      <w:bookmarkEnd w:id="166"/>
    </w:p>
    <w:p w14:paraId="1A4A4C7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申请</w:t>
      </w:r>
      <w:r>
        <w:rPr>
          <w:rFonts w:hint="eastAsia" w:ascii="宋体" w:hAnsi="宋体" w:eastAsia="宋体" w:cs="宋体"/>
          <w:color w:val="auto"/>
          <w:sz w:val="21"/>
          <w:szCs w:val="21"/>
          <w:highlight w:val="none"/>
        </w:rPr>
        <w:t>文件中承诺的项目经理：</w:t>
      </w:r>
    </w:p>
    <w:p w14:paraId="68D7AD8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16B52D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FAC868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E3FADC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申请</w:t>
      </w:r>
      <w:r>
        <w:rPr>
          <w:rFonts w:hint="eastAsia" w:ascii="宋体" w:hAnsi="宋体" w:eastAsia="宋体" w:cs="宋体"/>
          <w:color w:val="auto"/>
          <w:sz w:val="21"/>
          <w:szCs w:val="21"/>
          <w:highlight w:val="none"/>
        </w:rPr>
        <w:t>文件中承诺的技术负责人：</w:t>
      </w:r>
    </w:p>
    <w:p w14:paraId="0536C82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01C60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7F700E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证书名称及号码：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5F4BE9">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67" w:name="_Toc532377171"/>
      <w:bookmarkStart w:id="168" w:name="_Toc532375578"/>
      <w:bookmarkStart w:id="169" w:name="_Toc351203486"/>
      <w:r>
        <w:rPr>
          <w:rFonts w:hint="eastAsia" w:ascii="宋体" w:hAnsi="宋体" w:eastAsia="宋体" w:cs="宋体"/>
          <w:color w:val="auto"/>
          <w:sz w:val="21"/>
          <w:szCs w:val="21"/>
          <w:highlight w:val="none"/>
        </w:rPr>
        <w:t>六、合同文件构成</w:t>
      </w:r>
      <w:bookmarkEnd w:id="167"/>
      <w:bookmarkEnd w:id="168"/>
      <w:bookmarkEnd w:id="169"/>
    </w:p>
    <w:p w14:paraId="0D29BCFD">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合同由以下文件构成：</w:t>
      </w:r>
    </w:p>
    <w:p w14:paraId="7EA3392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14:paraId="4745233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w:t>
      </w:r>
    </w:p>
    <w:p w14:paraId="755A9B3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竞争性</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函；</w:t>
      </w:r>
    </w:p>
    <w:p w14:paraId="5B76D92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（4）专用合同条款及其附件；</w:t>
      </w:r>
    </w:p>
    <w:p w14:paraId="0037ED3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14:paraId="29EDD24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p>
    <w:p w14:paraId="02C780F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竞争性</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文件及补遗文件；</w:t>
      </w:r>
    </w:p>
    <w:p w14:paraId="7688CFC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（8）技术标准和要求；</w:t>
      </w:r>
    </w:p>
    <w:p w14:paraId="6B03E3C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（9）图纸；</w:t>
      </w:r>
    </w:p>
    <w:p w14:paraId="4DD24A5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（10）其他合同文件。</w:t>
      </w:r>
    </w:p>
    <w:p w14:paraId="56D0FB6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在合同订立、履行过程中形成的与合同有关的书面形式的文件均构成合同文件组成部分。</w:t>
      </w:r>
    </w:p>
    <w:p w14:paraId="71D9BE8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上述各项合同文件包括合同当事人就该项合同文件所作出的补充和修改，属于同一类内容的文件，应以最新签署的为准。专用合同条款及其附件须经合同当事人签名或盖章。</w:t>
      </w:r>
    </w:p>
    <w:p w14:paraId="7FF456E4">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70" w:name="_Toc351203487"/>
      <w:bookmarkStart w:id="171" w:name="_Toc532377172"/>
      <w:bookmarkStart w:id="172" w:name="_Toc532375579"/>
      <w:r>
        <w:rPr>
          <w:rFonts w:hint="eastAsia" w:ascii="宋体" w:hAnsi="宋体" w:eastAsia="宋体" w:cs="宋体"/>
          <w:color w:val="auto"/>
          <w:sz w:val="21"/>
          <w:szCs w:val="21"/>
          <w:highlight w:val="none"/>
        </w:rPr>
        <w:t>七、承诺</w:t>
      </w:r>
      <w:bookmarkEnd w:id="170"/>
      <w:bookmarkEnd w:id="171"/>
      <w:bookmarkEnd w:id="172"/>
    </w:p>
    <w:p w14:paraId="75320306">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1B315303">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eastAsia="宋体" w:cs="宋体"/>
          <w:bCs/>
          <w:color w:val="auto"/>
          <w:sz w:val="21"/>
          <w:szCs w:val="21"/>
          <w:highlight w:val="none"/>
        </w:rPr>
        <w:t>。</w:t>
      </w:r>
    </w:p>
    <w:p w14:paraId="6EDB4EB9">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4C90414B">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73" w:name="_Toc351203488"/>
      <w:bookmarkStart w:id="174" w:name="_Toc532377173"/>
      <w:bookmarkStart w:id="175" w:name="_Toc532375580"/>
      <w:r>
        <w:rPr>
          <w:rFonts w:hint="eastAsia" w:ascii="宋体" w:hAnsi="宋体" w:eastAsia="宋体" w:cs="宋体"/>
          <w:color w:val="auto"/>
          <w:sz w:val="21"/>
          <w:szCs w:val="21"/>
          <w:highlight w:val="none"/>
        </w:rPr>
        <w:t>八、词语含义</w:t>
      </w:r>
      <w:bookmarkEnd w:id="173"/>
      <w:bookmarkEnd w:id="174"/>
      <w:bookmarkEnd w:id="175"/>
    </w:p>
    <w:p w14:paraId="1F218F78">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本协议书中词语含义与专用合同条款及通用合同条款中赋予的含义相同。</w:t>
      </w:r>
    </w:p>
    <w:p w14:paraId="28944787">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76" w:name="_Toc532375581"/>
      <w:bookmarkStart w:id="177" w:name="_Toc532377174"/>
      <w:r>
        <w:rPr>
          <w:rFonts w:hint="eastAsia" w:ascii="宋体" w:hAnsi="宋体" w:eastAsia="宋体" w:cs="宋体"/>
          <w:color w:val="auto"/>
          <w:sz w:val="21"/>
          <w:szCs w:val="21"/>
          <w:highlight w:val="none"/>
        </w:rPr>
        <w:t>九、签订时间</w:t>
      </w:r>
      <w:bookmarkEnd w:id="176"/>
      <w:bookmarkEnd w:id="177"/>
    </w:p>
    <w:p w14:paraId="09B52EA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76A93400">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78" w:name="_Toc351203489"/>
      <w:bookmarkStart w:id="179" w:name="_Toc532377175"/>
      <w:bookmarkStart w:id="180" w:name="_Toc532375582"/>
      <w:r>
        <w:rPr>
          <w:rFonts w:hint="eastAsia" w:ascii="宋体" w:hAnsi="宋体" w:eastAsia="宋体" w:cs="宋体"/>
          <w:color w:val="auto"/>
          <w:sz w:val="21"/>
          <w:szCs w:val="21"/>
          <w:highlight w:val="none"/>
        </w:rPr>
        <w:t>十、</w:t>
      </w:r>
      <w:bookmarkEnd w:id="178"/>
      <w:bookmarkStart w:id="181" w:name="_Toc351203490"/>
      <w:r>
        <w:rPr>
          <w:rFonts w:hint="eastAsia" w:ascii="宋体" w:hAnsi="宋体" w:eastAsia="宋体" w:cs="宋体"/>
          <w:color w:val="auto"/>
          <w:sz w:val="21"/>
          <w:szCs w:val="21"/>
          <w:highlight w:val="none"/>
        </w:rPr>
        <w:t>签订地点</w:t>
      </w:r>
      <w:bookmarkEnd w:id="179"/>
      <w:bookmarkEnd w:id="180"/>
      <w:bookmarkEnd w:id="181"/>
    </w:p>
    <w:p w14:paraId="6B547D87">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036A133F">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82" w:name="_Toc532377176"/>
      <w:bookmarkStart w:id="183" w:name="_Toc351203491"/>
      <w:bookmarkStart w:id="184" w:name="_Toc532375583"/>
      <w:r>
        <w:rPr>
          <w:rFonts w:hint="eastAsia" w:ascii="宋体" w:hAnsi="宋体" w:eastAsia="宋体" w:cs="宋体"/>
          <w:color w:val="auto"/>
          <w:sz w:val="21"/>
          <w:szCs w:val="21"/>
          <w:highlight w:val="none"/>
        </w:rPr>
        <w:t>十一、补充协议</w:t>
      </w:r>
      <w:bookmarkEnd w:id="182"/>
      <w:bookmarkEnd w:id="183"/>
      <w:bookmarkEnd w:id="184"/>
    </w:p>
    <w:p w14:paraId="6F21EE37">
      <w:pPr>
        <w:adjustRightInd w:val="0"/>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30250FFD">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85" w:name="_Toc351203492"/>
      <w:bookmarkStart w:id="186" w:name="_Toc532377177"/>
      <w:bookmarkStart w:id="187" w:name="_Toc532375584"/>
      <w:r>
        <w:rPr>
          <w:rFonts w:hint="eastAsia" w:ascii="宋体" w:hAnsi="宋体" w:eastAsia="宋体" w:cs="宋体"/>
          <w:color w:val="auto"/>
          <w:sz w:val="21"/>
          <w:szCs w:val="21"/>
          <w:highlight w:val="none"/>
        </w:rPr>
        <w:t>十二、合同生效</w:t>
      </w:r>
      <w:bookmarkEnd w:id="185"/>
      <w:bookmarkEnd w:id="186"/>
      <w:bookmarkEnd w:id="187"/>
    </w:p>
    <w:p w14:paraId="5E94B433">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合同在以下条件全部满足之后生效：</w:t>
      </w:r>
    </w:p>
    <w:p w14:paraId="30D1598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1.合同</w:t>
      </w:r>
      <w:r>
        <w:rPr>
          <w:rFonts w:hint="eastAsia" w:ascii="宋体" w:hAnsi="宋体" w:eastAsia="宋体" w:cs="宋体"/>
          <w:color w:val="auto"/>
          <w:sz w:val="21"/>
          <w:szCs w:val="21"/>
          <w:highlight w:val="none"/>
        </w:rPr>
        <w:t>经双方法定代表人或其委托代理人签名并加盖</w:t>
      </w:r>
      <w:r>
        <w:rPr>
          <w:rFonts w:hint="eastAsia" w:ascii="宋体" w:hAnsi="宋体" w:eastAsia="宋体" w:cs="宋体"/>
          <w:snapToGrid w:val="0"/>
          <w:color w:val="auto"/>
          <w:kern w:val="0"/>
          <w:sz w:val="21"/>
          <w:szCs w:val="21"/>
          <w:highlight w:val="none"/>
        </w:rPr>
        <w:t>公章或合同专用章</w:t>
      </w:r>
      <w:r>
        <w:rPr>
          <w:rFonts w:hint="eastAsia" w:ascii="宋体" w:hAnsi="宋体" w:eastAsia="宋体" w:cs="宋体"/>
          <w:color w:val="auto"/>
          <w:sz w:val="21"/>
          <w:szCs w:val="21"/>
          <w:highlight w:val="none"/>
        </w:rPr>
        <w:t>；</w:t>
      </w:r>
    </w:p>
    <w:p w14:paraId="1BD2E394">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0FE77F9">
      <w:pPr>
        <w:keepNext/>
        <w:keepLines/>
        <w:adjustRightInd w:val="0"/>
        <w:snapToGrid w:val="0"/>
        <w:spacing w:line="360" w:lineRule="auto"/>
        <w:ind w:firstLine="420" w:firstLineChars="200"/>
        <w:outlineLvl w:val="3"/>
        <w:rPr>
          <w:rFonts w:hint="eastAsia" w:ascii="宋体" w:hAnsi="宋体" w:eastAsia="宋体" w:cs="宋体"/>
          <w:color w:val="auto"/>
          <w:sz w:val="21"/>
          <w:szCs w:val="21"/>
          <w:highlight w:val="none"/>
        </w:rPr>
      </w:pPr>
      <w:bookmarkStart w:id="188" w:name="_Toc532375585"/>
      <w:bookmarkStart w:id="189" w:name="_Toc351203493"/>
      <w:bookmarkStart w:id="190" w:name="_Toc532377178"/>
      <w:r>
        <w:rPr>
          <w:rFonts w:hint="eastAsia" w:ascii="宋体" w:hAnsi="宋体" w:eastAsia="宋体" w:cs="宋体"/>
          <w:color w:val="auto"/>
          <w:sz w:val="21"/>
          <w:szCs w:val="21"/>
          <w:highlight w:val="none"/>
        </w:rPr>
        <w:t>十三、合同份数</w:t>
      </w:r>
      <w:bookmarkEnd w:id="188"/>
      <w:bookmarkEnd w:id="189"/>
      <w:bookmarkEnd w:id="190"/>
    </w:p>
    <w:p w14:paraId="2CBD158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合同一式</w:t>
      </w:r>
      <w:r>
        <w:rPr>
          <w:rFonts w:hint="eastAsia" w:ascii="宋体" w:hAnsi="宋体" w:eastAsia="宋体" w:cs="宋体"/>
          <w:bCs/>
          <w:color w:val="auto"/>
          <w:sz w:val="21"/>
          <w:szCs w:val="21"/>
          <w:highlight w:val="none"/>
          <w:u w:val="single"/>
        </w:rPr>
        <w:t xml:space="preserve"> 陆 </w:t>
      </w:r>
      <w:r>
        <w:rPr>
          <w:rFonts w:hint="eastAsia" w:ascii="宋体" w:hAnsi="宋体" w:eastAsia="宋体" w:cs="宋体"/>
          <w:bCs/>
          <w:color w:val="auto"/>
          <w:sz w:val="21"/>
          <w:szCs w:val="21"/>
          <w:highlight w:val="none"/>
        </w:rPr>
        <w:t>份，其中正本</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份，双方各持</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份，双方各执</w:t>
      </w:r>
      <w:r>
        <w:rPr>
          <w:rFonts w:hint="eastAsia" w:ascii="宋体" w:hAnsi="宋体" w:eastAsia="宋体" w:cs="宋体"/>
          <w:bCs/>
          <w:color w:val="auto"/>
          <w:sz w:val="21"/>
          <w:szCs w:val="21"/>
          <w:highlight w:val="none"/>
          <w:u w:val="single"/>
        </w:rPr>
        <w:t xml:space="preserve"> 叁 </w:t>
      </w:r>
      <w:r>
        <w:rPr>
          <w:rFonts w:hint="eastAsia" w:ascii="宋体" w:hAnsi="宋体" w:eastAsia="宋体" w:cs="宋体"/>
          <w:bCs/>
          <w:color w:val="auto"/>
          <w:sz w:val="21"/>
          <w:szCs w:val="21"/>
          <w:highlight w:val="none"/>
        </w:rPr>
        <w:t>份。副本与正本不一致时，以正本为准。</w:t>
      </w:r>
    </w:p>
    <w:p w14:paraId="5CD9844C">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p>
    <w:p w14:paraId="715AB68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（以下为签名盖章页）。</w:t>
      </w:r>
    </w:p>
    <w:p w14:paraId="54AF0089">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p>
    <w:p w14:paraId="6CF802FA">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p>
    <w:p w14:paraId="55E47FDA">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p>
    <w:p w14:paraId="53F6316C">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p>
    <w:p w14:paraId="5660C694">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p>
    <w:p w14:paraId="29A18BDE">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p>
    <w:p w14:paraId="162E33E0">
      <w:pPr>
        <w:adjustRightInd w:val="0"/>
        <w:snapToGrid w:val="0"/>
        <w:spacing w:line="360" w:lineRule="auto"/>
        <w:ind w:firstLine="560" w:firstLineChars="200"/>
        <w:rPr>
          <w:rFonts w:hint="eastAsia" w:ascii="宋体" w:hAnsi="宋体" w:eastAsia="宋体" w:cs="宋体"/>
          <w:snapToGrid w:val="0"/>
          <w:color w:val="auto"/>
          <w:kern w:val="0"/>
          <w:szCs w:val="21"/>
          <w:highlight w:val="none"/>
        </w:rPr>
        <w:sectPr>
          <w:pgSz w:w="11906" w:h="16838"/>
          <w:pgMar w:top="1440" w:right="1800" w:bottom="1440" w:left="1800" w:header="851" w:footer="992" w:gutter="0"/>
          <w:cols w:space="720" w:num="1"/>
          <w:docGrid w:type="lines" w:linePitch="312" w:charSpace="0"/>
        </w:sectPr>
      </w:pPr>
    </w:p>
    <w:p w14:paraId="41972010">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发包人：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（公章）</w:t>
      </w:r>
    </w:p>
    <w:p w14:paraId="0B92AC6D">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711E3BD3">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统一社会信用代码：</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68DC4D24">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纳税人识别号：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44D63C23">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78EE136C">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电    话：</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31F2488D">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10D8730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p>
    <w:p w14:paraId="0C291C7E">
      <w:pPr>
        <w:adjustRightInd w:val="0"/>
        <w:snapToGrid w:val="0"/>
        <w:spacing w:line="360" w:lineRule="auto"/>
        <w:rPr>
          <w:rFonts w:hint="eastAsia" w:ascii="宋体" w:hAnsi="宋体" w:eastAsia="宋体" w:cs="宋体"/>
          <w:snapToGrid w:val="0"/>
          <w:color w:val="auto"/>
          <w:kern w:val="0"/>
          <w:sz w:val="21"/>
          <w:szCs w:val="21"/>
          <w:highlight w:val="none"/>
        </w:rPr>
      </w:pPr>
    </w:p>
    <w:p w14:paraId="145B90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承包人：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（公章）</w:t>
      </w:r>
    </w:p>
    <w:p w14:paraId="4DEAC21F">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w w:val="200"/>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225C65D7">
      <w:pPr>
        <w:spacing w:line="360" w:lineRule="auto"/>
        <w:ind w:firstLine="420" w:firstLineChars="200"/>
        <w:rPr>
          <w:rFonts w:hint="eastAsia" w:ascii="宋体" w:hAnsi="宋体" w:eastAsia="宋体" w:cs="宋体"/>
          <w:snapToGrid w:val="0"/>
          <w:color w:val="auto"/>
          <w:w w:val="200"/>
          <w:kern w:val="0"/>
          <w:sz w:val="21"/>
          <w:szCs w:val="21"/>
          <w:highlight w:val="none"/>
          <w:u w:val="single"/>
        </w:rPr>
      </w:pPr>
      <w:r>
        <w:rPr>
          <w:rFonts w:hint="eastAsia" w:ascii="宋体" w:hAnsi="宋体" w:eastAsia="宋体" w:cs="宋体"/>
          <w:snapToGrid w:val="0"/>
          <w:color w:val="auto"/>
          <w:kern w:val="0"/>
          <w:sz w:val="21"/>
          <w:szCs w:val="21"/>
          <w:highlight w:val="none"/>
        </w:rPr>
        <w:t>统一社会信用代码：</w:t>
      </w:r>
      <w:r>
        <w:rPr>
          <w:rFonts w:hint="eastAsia" w:ascii="宋体" w:hAnsi="宋体" w:eastAsia="宋体" w:cs="宋体"/>
          <w:snapToGrid w:val="0"/>
          <w:color w:val="auto"/>
          <w:kern w:val="0"/>
          <w:sz w:val="21"/>
          <w:szCs w:val="21"/>
          <w:highlight w:val="none"/>
          <w:u w:val="single"/>
        </w:rPr>
        <w:t xml:space="preserve">              </w:t>
      </w:r>
    </w:p>
    <w:p w14:paraId="1AD9B8A8">
      <w:pPr>
        <w:spacing w:line="360" w:lineRule="auto"/>
        <w:ind w:firstLine="420" w:firstLineChars="200"/>
        <w:rPr>
          <w:rFonts w:hint="eastAsia" w:ascii="宋体" w:hAnsi="宋体" w:eastAsia="宋体" w:cs="宋体"/>
          <w:snapToGrid w:val="0"/>
          <w:color w:val="auto"/>
          <w:kern w:val="0"/>
          <w:sz w:val="21"/>
          <w:szCs w:val="21"/>
          <w:highlight w:val="none"/>
          <w:u w:val="single"/>
        </w:rPr>
      </w:pPr>
      <w:r>
        <w:rPr>
          <w:rFonts w:hint="eastAsia" w:ascii="宋体" w:hAnsi="宋体" w:eastAsia="宋体" w:cs="宋体"/>
          <w:snapToGrid w:val="0"/>
          <w:color w:val="auto"/>
          <w:kern w:val="0"/>
          <w:sz w:val="21"/>
          <w:szCs w:val="21"/>
          <w:highlight w:val="none"/>
        </w:rPr>
        <w:t>纳税人识别号：</w:t>
      </w:r>
      <w:r>
        <w:rPr>
          <w:rFonts w:hint="eastAsia" w:ascii="宋体" w:hAnsi="宋体" w:eastAsia="宋体" w:cs="宋体"/>
          <w:snapToGrid w:val="0"/>
          <w:color w:val="auto"/>
          <w:kern w:val="0"/>
          <w:sz w:val="21"/>
          <w:szCs w:val="21"/>
          <w:highlight w:val="none"/>
          <w:u w:val="single"/>
        </w:rPr>
        <w:t xml:space="preserve">                  </w:t>
      </w:r>
    </w:p>
    <w:p w14:paraId="6F2F0CC2">
      <w:pPr>
        <w:spacing w:line="360" w:lineRule="auto"/>
        <w:ind w:firstLine="420" w:firstLineChars="200"/>
        <w:rPr>
          <w:rFonts w:hint="eastAsia" w:ascii="宋体" w:hAnsi="宋体" w:eastAsia="宋体" w:cs="宋体"/>
          <w:snapToGrid w:val="0"/>
          <w:color w:val="auto"/>
          <w:w w:val="200"/>
          <w:kern w:val="0"/>
          <w:sz w:val="21"/>
          <w:szCs w:val="21"/>
          <w:highlight w:val="none"/>
          <w:u w:val="single"/>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kern w:val="0"/>
          <w:sz w:val="21"/>
          <w:szCs w:val="21"/>
          <w:highlight w:val="none"/>
          <w:u w:val="single"/>
        </w:rPr>
        <w:t xml:space="preserve">               </w:t>
      </w:r>
    </w:p>
    <w:p w14:paraId="6ECE4636">
      <w:pPr>
        <w:spacing w:line="360" w:lineRule="auto"/>
        <w:ind w:firstLine="420" w:firstLineChars="200"/>
        <w:rPr>
          <w:rFonts w:hint="eastAsia" w:ascii="宋体" w:hAnsi="宋体" w:eastAsia="宋体" w:cs="宋体"/>
          <w:snapToGrid w:val="0"/>
          <w:color w:val="auto"/>
          <w:w w:val="200"/>
          <w:kern w:val="0"/>
          <w:sz w:val="21"/>
          <w:szCs w:val="21"/>
          <w:highlight w:val="none"/>
          <w:u w:val="single"/>
        </w:rPr>
      </w:pPr>
      <w:r>
        <w:rPr>
          <w:rFonts w:hint="eastAsia" w:ascii="宋体" w:hAnsi="宋体" w:eastAsia="宋体" w:cs="宋体"/>
          <w:snapToGrid w:val="0"/>
          <w:color w:val="auto"/>
          <w:kern w:val="0"/>
          <w:sz w:val="21"/>
          <w:szCs w:val="21"/>
          <w:highlight w:val="none"/>
        </w:rPr>
        <w:t>电    话：</w:t>
      </w:r>
      <w:r>
        <w:rPr>
          <w:rFonts w:hint="eastAsia" w:ascii="宋体" w:hAnsi="宋体" w:eastAsia="宋体" w:cs="宋体"/>
          <w:snapToGrid w:val="0"/>
          <w:color w:val="auto"/>
          <w:kern w:val="0"/>
          <w:sz w:val="21"/>
          <w:szCs w:val="21"/>
          <w:highlight w:val="none"/>
          <w:u w:val="single"/>
        </w:rPr>
        <w:t xml:space="preserve">             </w:t>
      </w:r>
    </w:p>
    <w:p w14:paraId="3A1ABEA3">
      <w:pPr>
        <w:spacing w:line="360" w:lineRule="auto"/>
        <w:ind w:firstLine="420" w:firstLineChars="200"/>
        <w:rPr>
          <w:rFonts w:hint="eastAsia" w:ascii="宋体" w:hAnsi="宋体" w:eastAsia="宋体" w:cs="宋体"/>
          <w:snapToGrid w:val="0"/>
          <w:color w:val="auto"/>
          <w:w w:val="200"/>
          <w:kern w:val="0"/>
          <w:sz w:val="21"/>
          <w:szCs w:val="21"/>
          <w:highlight w:val="none"/>
          <w:u w:val="single"/>
        </w:rPr>
      </w:pPr>
      <w:r>
        <w:rPr>
          <w:rFonts w:hint="eastAsia" w:ascii="宋体" w:hAnsi="宋体" w:eastAsia="宋体" w:cs="宋体"/>
          <w:snapToGrid w:val="0"/>
          <w:color w:val="auto"/>
          <w:kern w:val="0"/>
          <w:sz w:val="21"/>
          <w:szCs w:val="21"/>
          <w:highlight w:val="none"/>
        </w:rPr>
        <w:t>开户银行：</w:t>
      </w:r>
      <w:r>
        <w:rPr>
          <w:rFonts w:hint="eastAsia" w:ascii="宋体" w:hAnsi="宋体" w:eastAsia="宋体" w:cs="宋体"/>
          <w:snapToGrid w:val="0"/>
          <w:color w:val="auto"/>
          <w:kern w:val="0"/>
          <w:sz w:val="21"/>
          <w:szCs w:val="21"/>
          <w:highlight w:val="none"/>
          <w:u w:val="single"/>
        </w:rPr>
        <w:t xml:space="preserve">             </w:t>
      </w:r>
    </w:p>
    <w:p w14:paraId="6CE877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账    号：</w:t>
      </w:r>
      <w:r>
        <w:rPr>
          <w:rFonts w:hint="eastAsia" w:ascii="宋体" w:hAnsi="宋体" w:eastAsia="宋体" w:cs="宋体"/>
          <w:snapToGrid w:val="0"/>
          <w:color w:val="auto"/>
          <w:kern w:val="0"/>
          <w:sz w:val="21"/>
          <w:szCs w:val="21"/>
          <w:highlight w:val="none"/>
          <w:u w:val="single"/>
        </w:rPr>
        <w:t xml:space="preserve">             </w:t>
      </w:r>
    </w:p>
    <w:p w14:paraId="13C89FAF">
      <w:pPr>
        <w:adjustRightInd w:val="0"/>
        <w:snapToGrid w:val="0"/>
        <w:spacing w:line="360" w:lineRule="auto"/>
        <w:rPr>
          <w:rFonts w:hint="eastAsia" w:ascii="宋体" w:hAnsi="宋体" w:eastAsia="宋体" w:cs="宋体"/>
          <w:color w:val="auto"/>
          <w:sz w:val="26"/>
          <w:szCs w:val="21"/>
          <w:highlight w:val="none"/>
        </w:rPr>
      </w:pPr>
    </w:p>
    <w:p w14:paraId="33BB1AB4">
      <w:pPr>
        <w:adjustRightInd w:val="0"/>
        <w:snapToGrid w:val="0"/>
        <w:spacing w:line="360" w:lineRule="auto"/>
        <w:jc w:val="right"/>
        <w:rPr>
          <w:rFonts w:hint="eastAsia" w:ascii="宋体" w:hAnsi="宋体" w:eastAsia="宋体" w:cs="宋体"/>
          <w:snapToGrid w:val="0"/>
          <w:color w:val="auto"/>
          <w:kern w:val="0"/>
          <w:sz w:val="21"/>
          <w:szCs w:val="21"/>
          <w:highlight w:val="none"/>
        </w:rPr>
      </w:pPr>
    </w:p>
    <w:p w14:paraId="0A0A28B7">
      <w:pPr>
        <w:adjustRightInd w:val="0"/>
        <w:snapToGrid w:val="0"/>
        <w:spacing w:line="360" w:lineRule="auto"/>
        <w:jc w:val="right"/>
        <w:rPr>
          <w:rFonts w:hint="eastAsia" w:ascii="宋体" w:hAnsi="宋体" w:eastAsia="宋体" w:cs="宋体"/>
          <w:snapToGrid w:val="0"/>
          <w:color w:val="auto"/>
          <w:kern w:val="0"/>
          <w:sz w:val="21"/>
          <w:szCs w:val="21"/>
          <w:highlight w:val="none"/>
        </w:rPr>
      </w:pPr>
    </w:p>
    <w:p w14:paraId="59F9A981">
      <w:pPr>
        <w:adjustRightInd w:val="0"/>
        <w:snapToGrid w:val="0"/>
        <w:spacing w:line="360" w:lineRule="auto"/>
        <w:jc w:val="righ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签约时间：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6E059C48">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bookmarkStart w:id="191" w:name="_Toc8651"/>
      <w:bookmarkStart w:id="192" w:name="_Toc532375586"/>
      <w:bookmarkStart w:id="193" w:name="_Toc168307352"/>
      <w:bookmarkStart w:id="194" w:name="_Toc27983311"/>
      <w:bookmarkStart w:id="195" w:name="_Toc529388289"/>
      <w:bookmarkStart w:id="196" w:name="_Toc532377179"/>
    </w:p>
    <w:p w14:paraId="20150A2F">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p>
    <w:p w14:paraId="223B452B">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p>
    <w:p w14:paraId="160FA9F0">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p>
    <w:p w14:paraId="3E7AE5BD">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p>
    <w:p w14:paraId="54FE363A">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p>
    <w:p w14:paraId="08F9BEA7">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p>
    <w:p w14:paraId="74E160AF">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p>
    <w:p w14:paraId="5E444C7A">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p>
    <w:p w14:paraId="6447065A">
      <w:pPr>
        <w:autoSpaceDE w:val="0"/>
        <w:autoSpaceDN w:val="0"/>
        <w:adjustRightInd w:val="0"/>
        <w:snapToGrid w:val="0"/>
        <w:spacing w:line="360" w:lineRule="auto"/>
        <w:jc w:val="center"/>
        <w:outlineLvl w:val="2"/>
        <w:rPr>
          <w:rFonts w:hint="eastAsia" w:ascii="宋体" w:hAnsi="宋体" w:eastAsia="宋体" w:cs="宋体"/>
          <w:b/>
          <w:color w:val="auto"/>
          <w:kern w:val="0"/>
          <w:szCs w:val="28"/>
          <w:highlight w:val="none"/>
        </w:rPr>
      </w:pPr>
    </w:p>
    <w:p w14:paraId="7B575FA2">
      <w:pPr>
        <w:keepNext/>
        <w:keepLines/>
        <w:spacing w:line="416" w:lineRule="auto"/>
        <w:jc w:val="center"/>
        <w:outlineLvl w:val="2"/>
        <w:rPr>
          <w:rFonts w:hint="eastAsia" w:ascii="宋体" w:hAnsi="宋体" w:eastAsia="宋体" w:cs="宋体"/>
          <w:b/>
          <w:color w:val="auto"/>
          <w:kern w:val="0"/>
          <w:szCs w:val="28"/>
          <w:highlight w:val="none"/>
        </w:rPr>
      </w:pPr>
      <w:r>
        <w:rPr>
          <w:rFonts w:hint="eastAsia" w:ascii="宋体" w:hAnsi="宋体" w:eastAsia="宋体" w:cs="宋体"/>
          <w:b/>
          <w:color w:val="auto"/>
          <w:kern w:val="0"/>
          <w:szCs w:val="28"/>
          <w:highlight w:val="none"/>
        </w:rPr>
        <w:t>第二部分 通用合同条款</w:t>
      </w:r>
      <w:bookmarkEnd w:id="191"/>
      <w:bookmarkEnd w:id="192"/>
      <w:bookmarkEnd w:id="193"/>
      <w:bookmarkEnd w:id="194"/>
      <w:bookmarkEnd w:id="195"/>
      <w:bookmarkEnd w:id="196"/>
    </w:p>
    <w:p w14:paraId="5B367A44">
      <w:pPr>
        <w:autoSpaceDE w:val="0"/>
        <w:autoSpaceDN w:val="0"/>
        <w:adjustRightInd w:val="0"/>
        <w:snapToGrid w:val="0"/>
        <w:spacing w:line="360" w:lineRule="auto"/>
        <w:ind w:firstLine="482" w:firstLineChars="200"/>
        <w:jc w:val="center"/>
        <w:outlineLvl w:val="2"/>
        <w:rPr>
          <w:rFonts w:hint="eastAsia" w:ascii="宋体" w:hAnsi="宋体" w:eastAsia="宋体" w:cs="宋体"/>
          <w:b/>
          <w:color w:val="auto"/>
          <w:kern w:val="0"/>
          <w:sz w:val="44"/>
          <w:szCs w:val="44"/>
          <w:highlight w:val="none"/>
        </w:rPr>
      </w:pPr>
      <w:bookmarkStart w:id="197" w:name="_Toc168307353"/>
      <w:bookmarkStart w:id="198" w:name="_Toc5951"/>
      <w:bookmarkStart w:id="199" w:name="_Toc532377320"/>
      <w:bookmarkStart w:id="200" w:name="_Toc27983312"/>
      <w:bookmarkStart w:id="201" w:name="_Toc532375607"/>
      <w:bookmarkStart w:id="202" w:name="_Toc529388290"/>
      <w:r>
        <w:rPr>
          <w:rFonts w:hint="eastAsia" w:ascii="宋体" w:hAnsi="宋体" w:eastAsia="宋体" w:cs="宋体"/>
          <w:b/>
          <w:color w:val="auto"/>
          <w:kern w:val="0"/>
          <w:sz w:val="24"/>
          <w:szCs w:val="24"/>
          <w:highlight w:val="none"/>
        </w:rPr>
        <w:t>通用合同条款部分直接引用《建设工程施工合同（示范文本）》（GF-2017-0201）的通用合同条款。</w:t>
      </w:r>
      <w:r>
        <w:rPr>
          <w:rFonts w:hint="eastAsia" w:ascii="宋体" w:hAnsi="宋体" w:eastAsia="宋体" w:cs="宋体"/>
          <w:b/>
          <w:color w:val="auto"/>
          <w:kern w:val="0"/>
          <w:sz w:val="44"/>
          <w:szCs w:val="44"/>
          <w:highlight w:val="none"/>
        </w:rPr>
        <w:br w:type="page"/>
      </w:r>
      <w:r>
        <w:rPr>
          <w:rFonts w:hint="eastAsia" w:ascii="宋体" w:hAnsi="宋体" w:eastAsia="宋体" w:cs="宋体"/>
          <w:b/>
          <w:color w:val="auto"/>
          <w:kern w:val="0"/>
          <w:szCs w:val="28"/>
          <w:highlight w:val="none"/>
        </w:rPr>
        <w:t>第三部分 专用合同条款</w:t>
      </w:r>
      <w:bookmarkEnd w:id="197"/>
      <w:bookmarkEnd w:id="198"/>
      <w:bookmarkEnd w:id="199"/>
      <w:bookmarkEnd w:id="200"/>
      <w:bookmarkEnd w:id="201"/>
      <w:bookmarkEnd w:id="202"/>
    </w:p>
    <w:p w14:paraId="4E003EF4">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203" w:name="_Toc532377321"/>
      <w:bookmarkStart w:id="204" w:name="_Toc351203633"/>
      <w:bookmarkStart w:id="205" w:name="_Toc532375608"/>
      <w:bookmarkStart w:id="206" w:name="_Hlk528927191"/>
      <w:r>
        <w:rPr>
          <w:rFonts w:hint="eastAsia" w:ascii="宋体" w:hAnsi="宋体" w:eastAsia="宋体" w:cs="宋体"/>
          <w:b/>
          <w:bCs/>
          <w:color w:val="auto"/>
          <w:sz w:val="21"/>
          <w:szCs w:val="21"/>
          <w:highlight w:val="none"/>
        </w:rPr>
        <w:t>1</w:t>
      </w:r>
      <w:bookmarkStart w:id="207" w:name="_Toc297048342"/>
      <w:bookmarkStart w:id="208" w:name="_Toc292559866"/>
      <w:bookmarkStart w:id="209" w:name="_Toc297120456"/>
      <w:bookmarkStart w:id="210" w:name="_Toc296944495"/>
      <w:bookmarkStart w:id="211" w:name="_Toc292559361"/>
      <w:bookmarkStart w:id="212" w:name="_Toc296346657"/>
      <w:bookmarkStart w:id="213" w:name="_Toc296890984"/>
      <w:bookmarkStart w:id="214" w:name="_Toc296891196"/>
      <w:bookmarkStart w:id="215" w:name="_Toc296347155"/>
      <w:bookmarkStart w:id="216" w:name="_Toc296503156"/>
      <w:r>
        <w:rPr>
          <w:rFonts w:hint="eastAsia" w:ascii="宋体" w:hAnsi="宋体" w:eastAsia="宋体" w:cs="宋体"/>
          <w:b/>
          <w:bCs/>
          <w:color w:val="auto"/>
          <w:sz w:val="21"/>
          <w:szCs w:val="21"/>
          <w:highlight w:val="none"/>
        </w:rPr>
        <w:t>. 一般约定</w:t>
      </w:r>
      <w:bookmarkEnd w:id="203"/>
      <w:bookmarkEnd w:id="204"/>
      <w:bookmarkEnd w:id="205"/>
    </w:p>
    <w:bookmarkEnd w:id="207"/>
    <w:bookmarkEnd w:id="208"/>
    <w:bookmarkEnd w:id="209"/>
    <w:bookmarkEnd w:id="210"/>
    <w:bookmarkEnd w:id="211"/>
    <w:bookmarkEnd w:id="212"/>
    <w:bookmarkEnd w:id="213"/>
    <w:bookmarkEnd w:id="214"/>
    <w:bookmarkEnd w:id="215"/>
    <w:bookmarkEnd w:id="216"/>
    <w:p w14:paraId="09230EEC">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17" w:name="_Toc532377322"/>
      <w:r>
        <w:rPr>
          <w:rFonts w:hint="eastAsia" w:ascii="宋体" w:hAnsi="宋体" w:eastAsia="宋体" w:cs="宋体"/>
          <w:b/>
          <w:bCs/>
          <w:color w:val="auto"/>
          <w:sz w:val="21"/>
          <w:szCs w:val="21"/>
          <w:highlight w:val="none"/>
        </w:rPr>
        <w:t>1.1词语定义与解释</w:t>
      </w:r>
      <w:bookmarkEnd w:id="217"/>
    </w:p>
    <w:p w14:paraId="6EBAD628">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合同</w:t>
      </w:r>
    </w:p>
    <w:p w14:paraId="1BBC124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1.1.1.1技术标准和要求：</w:t>
      </w:r>
      <w:r>
        <w:rPr>
          <w:rFonts w:hint="eastAsia" w:ascii="宋体" w:hAnsi="宋体" w:eastAsia="宋体" w:cs="宋体"/>
          <w:color w:val="auto"/>
          <w:kern w:val="0"/>
          <w:sz w:val="21"/>
          <w:szCs w:val="21"/>
          <w:highlight w:val="none"/>
          <w:u w:val="single"/>
        </w:rPr>
        <w:t>本目中的技术标准和要求是指技术规范，即合同所约定的技术标准和要求，是合同文件的组成部分。通用合同条款中“技术标准和要求”一词具有相同含义，包括合同双方当事人约定对其所作的修改或补充</w:t>
      </w:r>
      <w:r>
        <w:rPr>
          <w:rFonts w:hint="eastAsia" w:ascii="宋体" w:hAnsi="宋体" w:eastAsia="宋体" w:cs="宋体"/>
          <w:color w:val="auto"/>
          <w:kern w:val="0"/>
          <w:sz w:val="21"/>
          <w:szCs w:val="21"/>
          <w:highlight w:val="none"/>
        </w:rPr>
        <w:t>。</w:t>
      </w:r>
    </w:p>
    <w:p w14:paraId="4362D42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已标价工程量清单：</w:t>
      </w:r>
      <w:r>
        <w:rPr>
          <w:rFonts w:hint="eastAsia" w:ascii="宋体" w:hAnsi="宋体" w:eastAsia="宋体" w:cs="宋体"/>
          <w:color w:val="auto"/>
          <w:kern w:val="0"/>
          <w:sz w:val="21"/>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eastAsia="宋体" w:cs="宋体"/>
          <w:color w:val="auto"/>
          <w:kern w:val="0"/>
          <w:sz w:val="21"/>
          <w:szCs w:val="21"/>
          <w:highlight w:val="none"/>
        </w:rPr>
        <w:t>。</w:t>
      </w:r>
    </w:p>
    <w:p w14:paraId="62AD910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1.1.1.3其他合同文件包括：</w:t>
      </w:r>
      <w:r>
        <w:rPr>
          <w:rFonts w:hint="eastAsia" w:ascii="宋体" w:hAnsi="宋体" w:eastAsia="宋体" w:cs="宋体"/>
          <w:color w:val="auto"/>
          <w:sz w:val="21"/>
          <w:szCs w:val="21"/>
          <w:highlight w:val="none"/>
          <w:u w:val="single"/>
        </w:rPr>
        <w:t>按照合同协议书</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第六条</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约定执行</w:t>
      </w:r>
      <w:r>
        <w:rPr>
          <w:rFonts w:hint="eastAsia" w:ascii="宋体" w:hAnsi="宋体" w:eastAsia="宋体" w:cs="宋体"/>
          <w:color w:val="auto"/>
          <w:sz w:val="21"/>
          <w:szCs w:val="21"/>
          <w:highlight w:val="none"/>
        </w:rPr>
        <w:t>。</w:t>
      </w:r>
    </w:p>
    <w:p w14:paraId="20DC82F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本项补充1.1.1.11～1.1.1.14目：</w:t>
      </w:r>
    </w:p>
    <w:p w14:paraId="7E52A62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招标文件：</w:t>
      </w:r>
      <w:r>
        <w:rPr>
          <w:rFonts w:hint="eastAsia" w:ascii="宋体" w:hAnsi="宋体" w:eastAsia="宋体" w:cs="宋体"/>
          <w:color w:val="auto"/>
          <w:kern w:val="0"/>
          <w:sz w:val="21"/>
          <w:szCs w:val="21"/>
          <w:highlight w:val="none"/>
          <w:u w:val="single"/>
        </w:rPr>
        <w:t>指本工程的</w:t>
      </w:r>
      <w:r>
        <w:rPr>
          <w:rFonts w:hint="eastAsia" w:ascii="宋体" w:hAnsi="宋体" w:eastAsia="宋体" w:cs="宋体"/>
          <w:color w:val="auto"/>
          <w:kern w:val="0"/>
          <w:sz w:val="21"/>
          <w:szCs w:val="21"/>
          <w:highlight w:val="none"/>
          <w:u w:val="single"/>
          <w:lang w:eastAsia="zh-CN"/>
        </w:rPr>
        <w:t>响应文件</w:t>
      </w:r>
      <w:r>
        <w:rPr>
          <w:rFonts w:hint="eastAsia" w:ascii="宋体" w:hAnsi="宋体" w:eastAsia="宋体" w:cs="宋体"/>
          <w:color w:val="auto"/>
          <w:kern w:val="0"/>
          <w:sz w:val="21"/>
          <w:szCs w:val="21"/>
          <w:highlight w:val="none"/>
          <w:u w:val="single"/>
        </w:rPr>
        <w:t>、图纸、其他技术资料及</w:t>
      </w:r>
      <w:r>
        <w:rPr>
          <w:rFonts w:hint="eastAsia" w:ascii="宋体" w:hAnsi="宋体" w:eastAsia="宋体" w:cs="宋体"/>
          <w:color w:val="auto"/>
          <w:kern w:val="0"/>
          <w:sz w:val="21"/>
          <w:szCs w:val="21"/>
          <w:highlight w:val="none"/>
          <w:u w:val="single"/>
          <w:lang w:val="en-US" w:eastAsia="zh-CN"/>
        </w:rPr>
        <w:t>供应商</w:t>
      </w:r>
      <w:r>
        <w:rPr>
          <w:rFonts w:hint="eastAsia" w:ascii="宋体" w:hAnsi="宋体" w:eastAsia="宋体" w:cs="宋体"/>
          <w:color w:val="auto"/>
          <w:kern w:val="0"/>
          <w:sz w:val="21"/>
          <w:szCs w:val="21"/>
          <w:highlight w:val="none"/>
          <w:u w:val="single"/>
        </w:rPr>
        <w:t>发出的对</w:t>
      </w:r>
      <w:r>
        <w:rPr>
          <w:rFonts w:hint="eastAsia" w:ascii="宋体" w:hAnsi="宋体" w:eastAsia="宋体" w:cs="宋体"/>
          <w:color w:val="auto"/>
          <w:kern w:val="0"/>
          <w:sz w:val="21"/>
          <w:szCs w:val="21"/>
          <w:highlight w:val="none"/>
          <w:u w:val="single"/>
          <w:lang w:eastAsia="zh-CN"/>
        </w:rPr>
        <w:t>响应文件</w:t>
      </w:r>
      <w:r>
        <w:rPr>
          <w:rFonts w:hint="eastAsia" w:ascii="宋体" w:hAnsi="宋体" w:eastAsia="宋体" w:cs="宋体"/>
          <w:color w:val="auto"/>
          <w:kern w:val="0"/>
          <w:sz w:val="21"/>
          <w:szCs w:val="21"/>
          <w:highlight w:val="none"/>
          <w:u w:val="single"/>
        </w:rPr>
        <w:t>所作的澄清、修改、补遗等资料</w:t>
      </w:r>
      <w:r>
        <w:rPr>
          <w:rFonts w:hint="eastAsia" w:ascii="宋体" w:hAnsi="宋体" w:eastAsia="宋体" w:cs="宋体"/>
          <w:color w:val="auto"/>
          <w:kern w:val="0"/>
          <w:sz w:val="21"/>
          <w:szCs w:val="21"/>
          <w:highlight w:val="none"/>
        </w:rPr>
        <w:t>。</w:t>
      </w:r>
    </w:p>
    <w:p w14:paraId="37E0165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1.1.1.5工作：</w:t>
      </w:r>
      <w:r>
        <w:rPr>
          <w:rFonts w:hint="eastAsia" w:ascii="宋体" w:hAnsi="宋体" w:eastAsia="宋体" w:cs="宋体"/>
          <w:color w:val="auto"/>
          <w:kern w:val="0"/>
          <w:sz w:val="21"/>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eastAsia="宋体" w:cs="宋体"/>
          <w:color w:val="auto"/>
          <w:kern w:val="0"/>
          <w:sz w:val="21"/>
          <w:szCs w:val="21"/>
          <w:highlight w:val="none"/>
        </w:rPr>
        <w:t>。</w:t>
      </w:r>
    </w:p>
    <w:p w14:paraId="705DB84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1.1.1.6 重大设计变更：按照规定需要重新报建设行政主管部门（如无，则报发包人上级）批准的设计变更。</w:t>
      </w:r>
    </w:p>
    <w:p w14:paraId="119B683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1.1.1.7 公章：专指法定单位名称章。</w:t>
      </w:r>
    </w:p>
    <w:bookmarkEnd w:id="206"/>
    <w:p w14:paraId="326B11D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1.1.1.8 到岗：指承包人按照到岗履职承诺安排满足办理施工许可手续相关要求的项目主要管理人员实际到施工现场就职履约的行为。</w:t>
      </w:r>
    </w:p>
    <w:p w14:paraId="5B007E0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1.1.1.9 项目法人：指具有民事权利能力和民事行为能力，依法独立享有民事权利和承担民事义务，以建设项目为目的，从事项目管理的机构、单位或组织。</w:t>
      </w:r>
    </w:p>
    <w:p w14:paraId="2A8B824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528E4A0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 监理人：</w:t>
      </w:r>
    </w:p>
    <w:p w14:paraId="43319F8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138B34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A11137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1DED5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 设计人：</w:t>
      </w:r>
    </w:p>
    <w:p w14:paraId="2F621AA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4B07C3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0FE0A2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A9548A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31DB836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 作为施工现场组成部分的其他场所包括：</w:t>
      </w:r>
      <w:r>
        <w:rPr>
          <w:rFonts w:hint="eastAsia" w:ascii="宋体" w:hAnsi="宋体" w:eastAsia="宋体" w:cs="宋体"/>
          <w:color w:val="auto"/>
          <w:kern w:val="0"/>
          <w:sz w:val="21"/>
          <w:szCs w:val="21"/>
          <w:highlight w:val="none"/>
          <w:u w:val="single"/>
        </w:rPr>
        <w:t>永久占地、临时占地以及为修建临时工程而租用、占用的土地</w:t>
      </w:r>
      <w:r>
        <w:rPr>
          <w:rFonts w:hint="eastAsia" w:ascii="宋体" w:hAnsi="宋体" w:eastAsia="宋体" w:cs="宋体"/>
          <w:color w:val="auto"/>
          <w:sz w:val="21"/>
          <w:szCs w:val="21"/>
          <w:highlight w:val="none"/>
        </w:rPr>
        <w:t>。</w:t>
      </w:r>
    </w:p>
    <w:p w14:paraId="43C8408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1.1.3.2永久占地包括：</w:t>
      </w:r>
      <w:r>
        <w:rPr>
          <w:rFonts w:hint="eastAsia" w:ascii="宋体" w:hAnsi="宋体" w:eastAsia="宋体" w:cs="宋体"/>
          <w:color w:val="auto"/>
          <w:kern w:val="0"/>
          <w:sz w:val="21"/>
          <w:szCs w:val="21"/>
          <w:highlight w:val="none"/>
          <w:u w:val="single"/>
        </w:rPr>
        <w:t>为实施合同工程而需要的一切永久占用的土地，即合同工程</w:t>
      </w:r>
      <w:r>
        <w:rPr>
          <w:rFonts w:hint="eastAsia" w:ascii="宋体" w:hAnsi="宋体" w:eastAsia="宋体" w:cs="宋体"/>
          <w:color w:val="auto"/>
          <w:sz w:val="21"/>
          <w:szCs w:val="21"/>
          <w:highlight w:val="none"/>
          <w:u w:val="single"/>
        </w:rPr>
        <w:t>用地红线范围内的土地</w:t>
      </w:r>
      <w:r>
        <w:rPr>
          <w:rFonts w:hint="eastAsia" w:ascii="宋体" w:hAnsi="宋体" w:eastAsia="宋体" w:cs="宋体"/>
          <w:color w:val="auto"/>
          <w:sz w:val="21"/>
          <w:szCs w:val="21"/>
          <w:highlight w:val="none"/>
        </w:rPr>
        <w:t>。</w:t>
      </w:r>
    </w:p>
    <w:p w14:paraId="1F3FB29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 临时占地包括：</w:t>
      </w:r>
      <w:r>
        <w:rPr>
          <w:rFonts w:hint="eastAsia" w:ascii="宋体" w:hAnsi="宋体" w:eastAsia="宋体" w:cs="宋体"/>
          <w:color w:val="auto"/>
          <w:sz w:val="21"/>
          <w:szCs w:val="21"/>
          <w:highlight w:val="none"/>
          <w:u w:val="single"/>
        </w:rPr>
        <w:t>为实施合同工程而需要</w:t>
      </w:r>
      <w:r>
        <w:rPr>
          <w:rFonts w:hint="eastAsia" w:ascii="宋体" w:hAnsi="宋体" w:eastAsia="宋体" w:cs="宋体"/>
          <w:color w:val="auto"/>
          <w:kern w:val="0"/>
          <w:sz w:val="21"/>
          <w:szCs w:val="21"/>
          <w:highlight w:val="none"/>
          <w:u w:val="single"/>
        </w:rPr>
        <w:t>的一切</w:t>
      </w:r>
      <w:r>
        <w:rPr>
          <w:rFonts w:hint="eastAsia" w:ascii="宋体" w:hAnsi="宋体" w:eastAsia="宋体" w:cs="宋体"/>
          <w:color w:val="auto"/>
          <w:sz w:val="21"/>
          <w:szCs w:val="21"/>
          <w:highlight w:val="none"/>
          <w:u w:val="single"/>
        </w:rPr>
        <w:t>临时占用的土地，包括施工所用的临时便道等的临时出入道，以及生产（办公）、生活等临时设施用地</w:t>
      </w:r>
      <w:r>
        <w:rPr>
          <w:rFonts w:hint="eastAsia" w:ascii="宋体" w:hAnsi="宋体" w:eastAsia="宋体" w:cs="宋体"/>
          <w:color w:val="auto"/>
          <w:sz w:val="21"/>
          <w:szCs w:val="21"/>
          <w:highlight w:val="none"/>
        </w:rPr>
        <w:t>。</w:t>
      </w:r>
    </w:p>
    <w:p w14:paraId="162D76E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其他</w:t>
      </w:r>
    </w:p>
    <w:p w14:paraId="5FC9D29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218" w:name="_Hlk528927262"/>
      <w:r>
        <w:rPr>
          <w:rFonts w:hint="eastAsia" w:ascii="宋体" w:hAnsi="宋体" w:eastAsia="宋体" w:cs="宋体"/>
          <w:color w:val="auto"/>
          <w:sz w:val="21"/>
          <w:szCs w:val="21"/>
          <w:highlight w:val="none"/>
        </w:rPr>
        <w:t>1.1.4.1转包、违法分包及挂靠：指符合《住房和城乡建设部关于印发建筑工程施工发包与承包违法行为认定查处管理办法的通知》（建市规〔2019〕1号）规定认定条件的</w:t>
      </w:r>
      <w:r>
        <w:rPr>
          <w:rFonts w:hint="eastAsia" w:ascii="宋体" w:hAnsi="宋体" w:eastAsia="宋体" w:cs="宋体"/>
          <w:color w:val="auto"/>
          <w:kern w:val="0"/>
          <w:sz w:val="21"/>
          <w:szCs w:val="21"/>
          <w:highlight w:val="none"/>
        </w:rPr>
        <w:t>违法行为</w:t>
      </w:r>
      <w:r>
        <w:rPr>
          <w:rFonts w:hint="eastAsia" w:ascii="宋体" w:hAnsi="宋体" w:eastAsia="宋体" w:cs="宋体"/>
          <w:color w:val="auto"/>
          <w:sz w:val="21"/>
          <w:szCs w:val="21"/>
          <w:highlight w:val="none"/>
        </w:rPr>
        <w:t>。</w:t>
      </w:r>
    </w:p>
    <w:bookmarkEnd w:id="218"/>
    <w:p w14:paraId="3B60695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1.1.4.2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建委补充的范围为准。</w:t>
      </w:r>
    </w:p>
    <w:p w14:paraId="3ECE81FC">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19" w:name="_Toc532377323"/>
      <w:r>
        <w:rPr>
          <w:rFonts w:hint="eastAsia" w:ascii="宋体" w:hAnsi="宋体" w:eastAsia="宋体" w:cs="宋体"/>
          <w:b/>
          <w:bCs/>
          <w:color w:val="auto"/>
          <w:sz w:val="21"/>
          <w:szCs w:val="21"/>
          <w:highlight w:val="none"/>
        </w:rPr>
        <w:t>1.2 标准和规范</w:t>
      </w:r>
      <w:bookmarkEnd w:id="219"/>
    </w:p>
    <w:p w14:paraId="148D895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适用于工程的标准规范包括：</w:t>
      </w:r>
    </w:p>
    <w:p w14:paraId="22A81CF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（1）施工图所涉及的技术标准、规范、规程、图集等；</w:t>
      </w:r>
    </w:p>
    <w:p w14:paraId="5545E90C">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（2）国家、行业或重庆市与本工程有关的标准，以及相应的规范、规程等，当这些标准、规范、规程不一致时，以标准、规范、规程要求最高的为准。</w:t>
      </w:r>
    </w:p>
    <w:p w14:paraId="50E76AB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02AF1A">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 发包人提供国外标准、规范的名称：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9F4DCB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0A0DE73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5F891E6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发包人对工程的技术标准和功能要求的特殊要求：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p w14:paraId="58780E78">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20" w:name="_Toc532377324"/>
      <w:r>
        <w:rPr>
          <w:rFonts w:hint="eastAsia" w:ascii="宋体" w:hAnsi="宋体" w:eastAsia="宋体" w:cs="宋体"/>
          <w:b/>
          <w:bCs/>
          <w:color w:val="auto"/>
          <w:sz w:val="21"/>
          <w:szCs w:val="21"/>
          <w:highlight w:val="none"/>
        </w:rPr>
        <w:t>1.3 合同文件的优先顺序</w:t>
      </w:r>
      <w:bookmarkEnd w:id="220"/>
    </w:p>
    <w:p w14:paraId="2F27B89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按照合同协议书</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第六条</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约定执行</w:t>
      </w:r>
      <w:r>
        <w:rPr>
          <w:rFonts w:hint="eastAsia" w:ascii="宋体" w:hAnsi="宋体" w:eastAsia="宋体" w:cs="宋体"/>
          <w:color w:val="auto"/>
          <w:sz w:val="21"/>
          <w:szCs w:val="21"/>
          <w:highlight w:val="none"/>
        </w:rPr>
        <w:t>。</w:t>
      </w:r>
    </w:p>
    <w:p w14:paraId="3700D7B8">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21" w:name="_Toc532377325"/>
      <w:r>
        <w:rPr>
          <w:rFonts w:hint="eastAsia" w:ascii="宋体" w:hAnsi="宋体" w:eastAsia="宋体" w:cs="宋体"/>
          <w:b/>
          <w:bCs/>
          <w:color w:val="auto"/>
          <w:sz w:val="21"/>
          <w:szCs w:val="21"/>
          <w:highlight w:val="none"/>
        </w:rPr>
        <w:t>1.4 图纸和承包人文件</w:t>
      </w:r>
      <w:bookmarkEnd w:id="221"/>
    </w:p>
    <w:p w14:paraId="46833C5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图纸的提供和交底</w:t>
      </w:r>
    </w:p>
    <w:p w14:paraId="5CBB7AF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通用合同条款第7.3.2款</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开工通知</w:t>
      </w:r>
      <w:r>
        <w:rPr>
          <w:rFonts w:hint="eastAsia" w:ascii="宋体" w:hAnsi="宋体" w:eastAsia="宋体" w:cs="宋体"/>
          <w:bCs/>
          <w:color w:val="auto"/>
          <w:sz w:val="21"/>
          <w:szCs w:val="21"/>
          <w:highlight w:val="none"/>
          <w:u w:val="single"/>
        </w:rPr>
        <w:t>〕</w:t>
      </w:r>
      <w:r>
        <w:rPr>
          <w:rFonts w:hint="eastAsia" w:ascii="宋体" w:hAnsi="宋体" w:eastAsia="宋体" w:cs="宋体"/>
          <w:color w:val="auto"/>
          <w:sz w:val="21"/>
          <w:szCs w:val="21"/>
          <w:highlight w:val="none"/>
          <w:u w:val="single"/>
        </w:rPr>
        <w:t>载明的开工日期前14天</w:t>
      </w:r>
      <w:r>
        <w:rPr>
          <w:rFonts w:hint="eastAsia" w:ascii="宋体" w:hAnsi="宋体" w:eastAsia="宋体" w:cs="宋体"/>
          <w:color w:val="auto"/>
          <w:sz w:val="21"/>
          <w:szCs w:val="21"/>
          <w:highlight w:val="none"/>
        </w:rPr>
        <w:t>；</w:t>
      </w:r>
    </w:p>
    <w:p w14:paraId="0BFCFC5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2套</w:t>
      </w:r>
      <w:r>
        <w:rPr>
          <w:rFonts w:hint="eastAsia" w:ascii="宋体" w:hAnsi="宋体" w:eastAsia="宋体" w:cs="宋体"/>
          <w:color w:val="auto"/>
          <w:sz w:val="21"/>
          <w:szCs w:val="21"/>
          <w:highlight w:val="none"/>
        </w:rPr>
        <w:t xml:space="preserve">； </w:t>
      </w:r>
    </w:p>
    <w:p w14:paraId="11AA696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工程承包范围内工程的施工图设计文件</w:t>
      </w:r>
      <w:r>
        <w:rPr>
          <w:rFonts w:hint="eastAsia" w:ascii="宋体" w:hAnsi="宋体" w:eastAsia="宋体" w:cs="宋体"/>
          <w:color w:val="auto"/>
          <w:sz w:val="21"/>
          <w:szCs w:val="21"/>
          <w:highlight w:val="none"/>
        </w:rPr>
        <w:t>；</w:t>
      </w:r>
    </w:p>
    <w:p w14:paraId="146287E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发包人组织承包人、监理人和设计人进行图纸会审和设计交底的时间：</w:t>
      </w:r>
      <w:r>
        <w:rPr>
          <w:rFonts w:hint="eastAsia" w:ascii="宋体" w:hAnsi="宋体" w:eastAsia="宋体" w:cs="宋体"/>
          <w:color w:val="auto"/>
          <w:sz w:val="21"/>
          <w:szCs w:val="21"/>
          <w:highlight w:val="none"/>
          <w:u w:val="single"/>
        </w:rPr>
        <w:t>提供施工图后7天内</w:t>
      </w:r>
      <w:r>
        <w:rPr>
          <w:rFonts w:hint="eastAsia" w:ascii="宋体" w:hAnsi="宋体" w:eastAsia="宋体" w:cs="宋体"/>
          <w:color w:val="auto"/>
          <w:sz w:val="21"/>
          <w:szCs w:val="21"/>
          <w:highlight w:val="none"/>
        </w:rPr>
        <w:t>。</w:t>
      </w:r>
    </w:p>
    <w:p w14:paraId="1F6C24C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承包人可以书面方式通过监理人向发包人申请进行紧急的设计交底，发包人认为确有必要且条件许可时，应尽快组织实施承包人申请的设计交底。</w:t>
      </w:r>
    </w:p>
    <w:p w14:paraId="4D70D91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图纸的错误</w:t>
      </w:r>
    </w:p>
    <w:p w14:paraId="16E1B84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5B4D86C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承包人不得利用图纸的差错、遗漏或缺陷，从中获得不正当的利益。</w:t>
      </w:r>
    </w:p>
    <w:p w14:paraId="2AE5C4D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1.4.3承包人文件</w:t>
      </w:r>
    </w:p>
    <w:p w14:paraId="0202012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需要由承包人提供的书面文件，包括：</w:t>
      </w:r>
      <w:r>
        <w:rPr>
          <w:rFonts w:hint="eastAsia" w:ascii="宋体" w:hAnsi="宋体" w:eastAsia="宋体" w:cs="宋体"/>
          <w:color w:val="auto"/>
          <w:sz w:val="21"/>
          <w:szCs w:val="21"/>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eastAsia="宋体" w:cs="宋体"/>
          <w:color w:val="auto"/>
          <w:sz w:val="21"/>
          <w:szCs w:val="21"/>
          <w:highlight w:val="none"/>
        </w:rPr>
        <w:t>。</w:t>
      </w:r>
    </w:p>
    <w:p w14:paraId="347190A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承包人提供文件的期限、数量：</w:t>
      </w:r>
    </w:p>
    <w:p w14:paraId="0FEFC34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eastAsia="宋体" w:cs="宋体"/>
          <w:color w:val="auto"/>
          <w:sz w:val="21"/>
          <w:szCs w:val="21"/>
          <w:highlight w:val="none"/>
        </w:rPr>
        <w:t>。</w:t>
      </w:r>
    </w:p>
    <w:p w14:paraId="5299891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每月/日前报送月工程进度完成报表</w:t>
      </w:r>
      <w:r>
        <w:rPr>
          <w:rFonts w:hint="eastAsia" w:ascii="宋体" w:hAnsi="宋体" w:eastAsia="宋体" w:cs="宋体"/>
          <w:color w:val="auto"/>
          <w:sz w:val="21"/>
          <w:szCs w:val="21"/>
          <w:highlight w:val="none"/>
        </w:rPr>
        <w:t>。</w:t>
      </w:r>
    </w:p>
    <w:p w14:paraId="639E9E49">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（3）合同另有约定的，按照其约定。</w:t>
      </w:r>
    </w:p>
    <w:p w14:paraId="3022264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w:t>
      </w:r>
      <w:r>
        <w:rPr>
          <w:rFonts w:hint="eastAsia" w:ascii="宋体" w:hAnsi="宋体" w:eastAsia="宋体" w:cs="宋体"/>
          <w:color w:val="auto"/>
          <w:sz w:val="21"/>
          <w:szCs w:val="21"/>
          <w:highlight w:val="none"/>
          <w:u w:val="single"/>
        </w:rPr>
        <w:t>书面文件</w:t>
      </w:r>
      <w:r>
        <w:rPr>
          <w:rFonts w:hint="eastAsia" w:ascii="宋体" w:hAnsi="宋体" w:eastAsia="宋体" w:cs="宋体"/>
          <w:color w:val="auto"/>
          <w:sz w:val="21"/>
          <w:szCs w:val="21"/>
          <w:highlight w:val="none"/>
        </w:rPr>
        <w:t>。</w:t>
      </w:r>
    </w:p>
    <w:p w14:paraId="00BE2902">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监理人审批承包人文件的期限：</w:t>
      </w:r>
      <w:r>
        <w:rPr>
          <w:rFonts w:hint="eastAsia" w:ascii="宋体" w:hAnsi="宋体" w:eastAsia="宋体" w:cs="宋体"/>
          <w:color w:val="auto"/>
          <w:sz w:val="21"/>
          <w:szCs w:val="21"/>
          <w:highlight w:val="none"/>
          <w:u w:val="single"/>
        </w:rPr>
        <w:t>收到施工组织设计和工程总体进度计划及当年年度施工进度计划后7天内；合同另有约定的，从其约定</w:t>
      </w:r>
      <w:r>
        <w:rPr>
          <w:rFonts w:hint="eastAsia" w:ascii="宋体" w:hAnsi="宋体" w:eastAsia="宋体" w:cs="宋体"/>
          <w:color w:val="auto"/>
          <w:sz w:val="21"/>
          <w:szCs w:val="21"/>
          <w:highlight w:val="none"/>
        </w:rPr>
        <w:t>。</w:t>
      </w:r>
    </w:p>
    <w:p w14:paraId="145AA2F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承包人提供的文件的费用：</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14:paraId="11AC32C7">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收到后14天内；合同另有约定的，从其约定</w:t>
      </w:r>
      <w:r>
        <w:rPr>
          <w:rFonts w:hint="eastAsia" w:ascii="宋体" w:hAnsi="宋体" w:eastAsia="宋体" w:cs="宋体"/>
          <w:color w:val="auto"/>
          <w:sz w:val="21"/>
          <w:szCs w:val="21"/>
          <w:highlight w:val="none"/>
        </w:rPr>
        <w:t>。</w:t>
      </w:r>
    </w:p>
    <w:p w14:paraId="0E6ACE9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监理人、发包人的修改意见和审批，不免除或减轻承包人对该工作、工程、材料、工程设备等应承担的责任和义务</w:t>
      </w:r>
      <w:r>
        <w:rPr>
          <w:rFonts w:hint="eastAsia" w:ascii="宋体" w:hAnsi="宋体" w:eastAsia="宋体" w:cs="宋体"/>
          <w:color w:val="auto"/>
          <w:sz w:val="21"/>
          <w:szCs w:val="21"/>
          <w:highlight w:val="none"/>
        </w:rPr>
        <w:t>。</w:t>
      </w:r>
    </w:p>
    <w:p w14:paraId="189791FA">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22" w:name="_Toc532377326"/>
      <w:r>
        <w:rPr>
          <w:rFonts w:hint="eastAsia" w:ascii="宋体" w:hAnsi="宋体" w:eastAsia="宋体" w:cs="宋体"/>
          <w:b/>
          <w:bCs/>
          <w:color w:val="auto"/>
          <w:sz w:val="21"/>
          <w:szCs w:val="21"/>
          <w:highlight w:val="none"/>
        </w:rPr>
        <w:t>1.5 联络</w:t>
      </w:r>
      <w:bookmarkEnd w:id="222"/>
    </w:p>
    <w:p w14:paraId="1B482AC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1.5.1 发包人和承包人应当在</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天内将与合同有关的通知、批准、证明、证书、指示、指令、要求、请求、同意、意见、确定和决定等书面函件送达对方当事人，并办理书面签收手续</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受送达方拒绝签收的，不影响送达的效力。</w:t>
      </w:r>
    </w:p>
    <w:p w14:paraId="7D44F9FC">
      <w:pPr>
        <w:tabs>
          <w:tab w:val="left" w:pos="7513"/>
        </w:tabs>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 发包人接收文件地点：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0CE224F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w:t>
      </w:r>
      <w:bookmarkStart w:id="223" w:name="_Hlk528493983"/>
      <w:bookmarkEnd w:id="223"/>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5C3EB56">
      <w:pPr>
        <w:tabs>
          <w:tab w:val="left" w:pos="7513"/>
        </w:tabs>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承包人接收文件地点：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74BB5A9E">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7E365074">
      <w:pPr>
        <w:tabs>
          <w:tab w:val="left" w:pos="7371"/>
        </w:tabs>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监理人接收文件地点：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3281BBC">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78D3F0C5">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24" w:name="_Toc532377327"/>
      <w:r>
        <w:rPr>
          <w:rFonts w:hint="eastAsia" w:ascii="宋体" w:hAnsi="宋体" w:eastAsia="宋体" w:cs="宋体"/>
          <w:b/>
          <w:bCs/>
          <w:color w:val="auto"/>
          <w:sz w:val="21"/>
          <w:szCs w:val="21"/>
          <w:highlight w:val="none"/>
        </w:rPr>
        <w:t>1.6严禁贿赂</w:t>
      </w:r>
      <w:bookmarkEnd w:id="224"/>
    </w:p>
    <w:p w14:paraId="3DA2111E">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本款补充以下内容：</w:t>
      </w:r>
    </w:p>
    <w:p w14:paraId="3C37F0A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在合同执行过程中，合同当事人应严格履行附件4《廉洁从业协议》。</w:t>
      </w:r>
    </w:p>
    <w:p w14:paraId="2D36F640">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25" w:name="_Toc532377328"/>
      <w:r>
        <w:rPr>
          <w:rFonts w:hint="eastAsia" w:ascii="宋体" w:hAnsi="宋体" w:eastAsia="宋体" w:cs="宋体"/>
          <w:b/>
          <w:bCs/>
          <w:color w:val="auto"/>
          <w:sz w:val="21"/>
          <w:szCs w:val="21"/>
          <w:highlight w:val="none"/>
        </w:rPr>
        <w:t>1.7 交通运输</w:t>
      </w:r>
      <w:bookmarkEnd w:id="225"/>
    </w:p>
    <w:p w14:paraId="024FDF2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226" w:name="_Toc312677986"/>
      <w:bookmarkStart w:id="227" w:name="_Toc304295521"/>
      <w:bookmarkStart w:id="228" w:name="_Toc318581155"/>
      <w:bookmarkStart w:id="229" w:name="_Toc300934943"/>
      <w:bookmarkStart w:id="230" w:name="_Toc303539100"/>
      <w:r>
        <w:rPr>
          <w:rFonts w:hint="eastAsia" w:ascii="宋体" w:hAnsi="宋体" w:eastAsia="宋体" w:cs="宋体"/>
          <w:color w:val="auto"/>
          <w:sz w:val="21"/>
          <w:szCs w:val="21"/>
          <w:highlight w:val="none"/>
        </w:rPr>
        <w:t>.7.1 出入现场的权利</w:t>
      </w:r>
    </w:p>
    <w:p w14:paraId="6EA9C61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由承包人按发包人要求负责取得出入施工现场所需的批准手续和全部权利；承包人应在报名前自行踏勘现场，对进出施工现场的方式、手段、路线作出预估，并充分考虑完善进出现场条件所需的费用及对工期的影响，否则因此增加的费用和延误工期的责任由承包人</w:t>
      </w:r>
      <w:r>
        <w:rPr>
          <w:rFonts w:hint="eastAsia" w:ascii="宋体" w:hAnsi="宋体" w:eastAsia="宋体" w:cs="宋体"/>
          <w:color w:val="auto"/>
          <w:sz w:val="21"/>
          <w:szCs w:val="21"/>
          <w:highlight w:val="none"/>
          <w:u w:val="single"/>
          <w:lang w:val="en-US" w:eastAsia="zh-CN"/>
        </w:rPr>
        <w:t>承</w:t>
      </w:r>
      <w:r>
        <w:rPr>
          <w:rFonts w:hint="eastAsia" w:ascii="宋体" w:hAnsi="宋体" w:eastAsia="宋体" w:cs="宋体"/>
          <w:color w:val="auto"/>
          <w:sz w:val="21"/>
          <w:szCs w:val="21"/>
          <w:highlight w:val="none"/>
          <w:u w:val="single"/>
        </w:rPr>
        <w:t>担</w:t>
      </w:r>
      <w:r>
        <w:rPr>
          <w:rFonts w:hint="eastAsia" w:ascii="宋体" w:hAnsi="宋体" w:eastAsia="宋体" w:cs="宋体"/>
          <w:color w:val="auto"/>
          <w:sz w:val="21"/>
          <w:szCs w:val="21"/>
          <w:highlight w:val="none"/>
        </w:rPr>
        <w:t>。</w:t>
      </w:r>
    </w:p>
    <w:bookmarkEnd w:id="226"/>
    <w:bookmarkEnd w:id="227"/>
    <w:bookmarkEnd w:id="228"/>
    <w:bookmarkEnd w:id="229"/>
    <w:bookmarkEnd w:id="230"/>
    <w:p w14:paraId="414FDFC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场外交通</w:t>
      </w:r>
    </w:p>
    <w:p w14:paraId="0E38899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承包人应遵守有关交通法规，执行有关道路限速、限行、禁止超载的规定，并配合交通管理部门的监督和检查。场外交通以施工场地移交时的现状为准。</w:t>
      </w:r>
    </w:p>
    <w:p w14:paraId="6E891F6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231" w:name="_Toc300934944"/>
      <w:bookmarkStart w:id="232" w:name="_Toc304295522"/>
      <w:bookmarkStart w:id="233" w:name="_Toc318581156"/>
      <w:bookmarkStart w:id="234" w:name="_Toc303539101"/>
      <w:bookmarkStart w:id="235" w:name="_Toc312677987"/>
      <w:r>
        <w:rPr>
          <w:rFonts w:hint="eastAsia" w:ascii="宋体" w:hAnsi="宋体" w:eastAsia="宋体" w:cs="宋体"/>
          <w:color w:val="auto"/>
          <w:sz w:val="21"/>
          <w:szCs w:val="21"/>
          <w:highlight w:val="none"/>
        </w:rPr>
        <w:t>.7.3 场内交通</w:t>
      </w:r>
    </w:p>
    <w:p w14:paraId="2F24069D">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 w:val="21"/>
          <w:szCs w:val="21"/>
          <w:highlight w:val="none"/>
        </w:rPr>
        <w:t>。</w:t>
      </w:r>
    </w:p>
    <w:p w14:paraId="6978C72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rPr>
        <w:t>以施工场地移交时的现状为准</w:t>
      </w:r>
      <w:r>
        <w:rPr>
          <w:rFonts w:hint="eastAsia" w:ascii="宋体" w:hAnsi="宋体" w:eastAsia="宋体" w:cs="宋体"/>
          <w:color w:val="auto"/>
          <w:sz w:val="21"/>
          <w:szCs w:val="21"/>
          <w:highlight w:val="none"/>
        </w:rPr>
        <w:t>。</w:t>
      </w:r>
    </w:p>
    <w:bookmarkEnd w:id="231"/>
    <w:bookmarkEnd w:id="232"/>
    <w:bookmarkEnd w:id="233"/>
    <w:bookmarkEnd w:id="234"/>
    <w:bookmarkEnd w:id="235"/>
    <w:p w14:paraId="335F073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236" w:name="_Toc318581157"/>
      <w:r>
        <w:rPr>
          <w:rFonts w:hint="eastAsia" w:ascii="宋体" w:hAnsi="宋体" w:eastAsia="宋体" w:cs="宋体"/>
          <w:color w:val="auto"/>
          <w:sz w:val="21"/>
          <w:szCs w:val="21"/>
          <w:highlight w:val="none"/>
        </w:rPr>
        <w:t>1.7.4 超大件和超重件的运输</w:t>
      </w:r>
    </w:p>
    <w:p w14:paraId="6A22699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承担。</w:t>
      </w:r>
    </w:p>
    <w:bookmarkEnd w:id="236"/>
    <w:p w14:paraId="04D710E3">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37" w:name="_Toc532377329"/>
      <w:r>
        <w:rPr>
          <w:rFonts w:hint="eastAsia" w:ascii="宋体" w:hAnsi="宋体" w:eastAsia="宋体" w:cs="宋体"/>
          <w:b/>
          <w:bCs/>
          <w:color w:val="auto"/>
          <w:sz w:val="21"/>
          <w:szCs w:val="21"/>
          <w:highlight w:val="none"/>
        </w:rPr>
        <w:t>1.8 知识产权</w:t>
      </w:r>
      <w:bookmarkEnd w:id="237"/>
    </w:p>
    <w:p w14:paraId="600BD5B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属于发包人</w:t>
      </w:r>
      <w:r>
        <w:rPr>
          <w:rFonts w:hint="eastAsia" w:ascii="宋体" w:hAnsi="宋体" w:eastAsia="宋体" w:cs="宋体"/>
          <w:color w:val="auto"/>
          <w:sz w:val="21"/>
          <w:szCs w:val="21"/>
          <w:highlight w:val="none"/>
        </w:rPr>
        <w:t>。</w:t>
      </w:r>
    </w:p>
    <w:p w14:paraId="7BBD336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sz w:val="21"/>
          <w:szCs w:val="21"/>
          <w:highlight w:val="none"/>
        </w:rPr>
        <w:t>。</w:t>
      </w:r>
    </w:p>
    <w:p w14:paraId="7EB5414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承包人在施工过程中所采用的专利、专有技术、技术秘密的使用费的承担方式：</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14:paraId="20B87635">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38" w:name="_Toc532377330"/>
      <w:r>
        <w:rPr>
          <w:rFonts w:hint="eastAsia" w:ascii="宋体" w:hAnsi="宋体" w:eastAsia="宋体" w:cs="宋体"/>
          <w:b/>
          <w:bCs/>
          <w:color w:val="auto"/>
          <w:sz w:val="21"/>
          <w:szCs w:val="21"/>
          <w:highlight w:val="none"/>
        </w:rPr>
        <w:t>1.9工程量清单错误的修正</w:t>
      </w:r>
      <w:bookmarkEnd w:id="238"/>
    </w:p>
    <w:p w14:paraId="2FABE50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出现工程量清单错误时，责任和权利划分：</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6BED50C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kern w:val="0"/>
          <w:sz w:val="21"/>
          <w:szCs w:val="21"/>
          <w:highlight w:val="none"/>
        </w:rPr>
        <w:t>。</w:t>
      </w:r>
    </w:p>
    <w:p w14:paraId="0A62BDF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531BD7B3">
      <w:pPr>
        <w:keepNext/>
        <w:keepLines/>
        <w:numPr>
          <w:ilvl w:val="0"/>
          <w:numId w:val="15"/>
        </w:numPr>
        <w:adjustRightInd w:val="0"/>
        <w:snapToGrid w:val="0"/>
        <w:spacing w:line="360" w:lineRule="auto"/>
        <w:outlineLvl w:val="3"/>
        <w:rPr>
          <w:rFonts w:hint="eastAsia" w:ascii="宋体" w:hAnsi="宋体" w:eastAsia="宋体" w:cs="宋体"/>
          <w:b/>
          <w:bCs/>
          <w:color w:val="auto"/>
          <w:sz w:val="21"/>
          <w:szCs w:val="21"/>
          <w:highlight w:val="none"/>
        </w:rPr>
      </w:pPr>
      <w:bookmarkStart w:id="239" w:name="_Toc532377331"/>
      <w:bookmarkStart w:id="240" w:name="_Toc532375609"/>
      <w:bookmarkStart w:id="241" w:name="_Toc351203634"/>
      <w:bookmarkStart w:id="242" w:name="_Toc296347156"/>
      <w:bookmarkStart w:id="243" w:name="_Toc296891197"/>
      <w:bookmarkStart w:id="244" w:name="_Toc297120457"/>
      <w:bookmarkStart w:id="245" w:name="_Toc296944496"/>
      <w:bookmarkStart w:id="246" w:name="_Toc292559362"/>
      <w:bookmarkStart w:id="247" w:name="_Toc296346658"/>
      <w:bookmarkStart w:id="248" w:name="_Toc297048343"/>
      <w:bookmarkStart w:id="249" w:name="_Toc292559867"/>
      <w:bookmarkStart w:id="250" w:name="_Toc296503157"/>
      <w:bookmarkStart w:id="251" w:name="_Toc296890985"/>
      <w:r>
        <w:rPr>
          <w:rFonts w:hint="eastAsia" w:ascii="宋体" w:hAnsi="宋体" w:eastAsia="宋体" w:cs="宋体"/>
          <w:b/>
          <w:bCs/>
          <w:color w:val="auto"/>
          <w:sz w:val="21"/>
          <w:szCs w:val="21"/>
          <w:highlight w:val="none"/>
        </w:rPr>
        <w:t>发包人</w:t>
      </w:r>
      <w:bookmarkEnd w:id="239"/>
      <w:bookmarkEnd w:id="240"/>
      <w:bookmarkEnd w:id="241"/>
    </w:p>
    <w:p w14:paraId="20699E0E">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发包人代表</w:t>
      </w:r>
    </w:p>
    <w:bookmarkEnd w:id="242"/>
    <w:bookmarkEnd w:id="243"/>
    <w:bookmarkEnd w:id="244"/>
    <w:bookmarkEnd w:id="245"/>
    <w:bookmarkEnd w:id="246"/>
    <w:bookmarkEnd w:id="247"/>
    <w:bookmarkEnd w:id="248"/>
    <w:bookmarkEnd w:id="249"/>
    <w:bookmarkEnd w:id="250"/>
    <w:bookmarkEnd w:id="251"/>
    <w:p w14:paraId="1071150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264A96B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56DD54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1C5BE3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B80408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DFBB18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    编：</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DC1366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sz w:val="21"/>
          <w:szCs w:val="21"/>
          <w:highlight w:val="none"/>
        </w:rPr>
        <w:t>。</w:t>
      </w:r>
    </w:p>
    <w:p w14:paraId="78A11716">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52" w:name="_Toc532377332"/>
      <w:r>
        <w:rPr>
          <w:rFonts w:hint="eastAsia" w:ascii="宋体" w:hAnsi="宋体" w:eastAsia="宋体" w:cs="宋体"/>
          <w:b/>
          <w:bCs/>
          <w:color w:val="auto"/>
          <w:sz w:val="21"/>
          <w:szCs w:val="21"/>
          <w:highlight w:val="none"/>
        </w:rPr>
        <w:t>2.2 施工现场、施工条件和基础资料的提供</w:t>
      </w:r>
      <w:bookmarkEnd w:id="252"/>
    </w:p>
    <w:p w14:paraId="0046544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提供施工现场</w:t>
      </w:r>
    </w:p>
    <w:p w14:paraId="622D7A1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提供场地：</w:t>
      </w:r>
    </w:p>
    <w:p w14:paraId="4E38053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施工场地的提供采用以下第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种方式：</w:t>
      </w:r>
    </w:p>
    <w:p w14:paraId="7424675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（1）一次提供全部施工场地：发包人于</w:t>
      </w:r>
      <w:r>
        <w:rPr>
          <w:rFonts w:hint="eastAsia" w:ascii="宋体" w:hAnsi="宋体" w:eastAsia="宋体" w:cs="宋体"/>
          <w:color w:val="auto"/>
          <w:sz w:val="21"/>
          <w:szCs w:val="21"/>
          <w:highlight w:val="none"/>
          <w:u w:val="single"/>
        </w:rPr>
        <w:t>开工</w:t>
      </w:r>
      <w:r>
        <w:rPr>
          <w:rFonts w:hint="eastAsia" w:ascii="宋体" w:hAnsi="宋体" w:eastAsia="宋体" w:cs="宋体"/>
          <w:color w:val="auto"/>
          <w:sz w:val="21"/>
          <w:szCs w:val="21"/>
          <w:highlight w:val="none"/>
        </w:rPr>
        <w:t>前向承包人提供合同工程用地红线范围内的施工场地。</w:t>
      </w:r>
    </w:p>
    <w:p w14:paraId="11EEB78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（2）分次提供全部施工场地：</w:t>
      </w:r>
      <w:r>
        <w:rPr>
          <w:rFonts w:hint="eastAsia" w:ascii="宋体" w:hAnsi="宋体" w:eastAsia="宋体" w:cs="宋体"/>
          <w:color w:val="auto"/>
          <w:sz w:val="21"/>
          <w:szCs w:val="21"/>
          <w:highlight w:val="none"/>
          <w:u w:val="single"/>
        </w:rPr>
        <w:t>发包人按约定的时间分次向承包人提供合同工程用地红线范围内的施工场地</w:t>
      </w:r>
      <w:r>
        <w:rPr>
          <w:rFonts w:hint="eastAsia" w:ascii="宋体" w:hAnsi="宋体" w:eastAsia="宋体" w:cs="宋体"/>
          <w:color w:val="auto"/>
          <w:sz w:val="21"/>
          <w:szCs w:val="21"/>
          <w:highlight w:val="none"/>
        </w:rPr>
        <w:t>。</w:t>
      </w:r>
    </w:p>
    <w:p w14:paraId="691B3FD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承包人编制的施工组织计划已充分考虑了施工场地提供的因素</w:t>
      </w:r>
      <w:r>
        <w:rPr>
          <w:rFonts w:hint="eastAsia" w:ascii="宋体" w:hAnsi="宋体" w:eastAsia="宋体" w:cs="宋体"/>
          <w:color w:val="auto"/>
          <w:sz w:val="21"/>
          <w:szCs w:val="21"/>
          <w:highlight w:val="none"/>
        </w:rPr>
        <w:t>。</w:t>
      </w:r>
    </w:p>
    <w:p w14:paraId="0E4B961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eastAsia="宋体" w:cs="宋体"/>
          <w:color w:val="auto"/>
          <w:sz w:val="21"/>
          <w:szCs w:val="21"/>
          <w:highlight w:val="none"/>
        </w:rPr>
        <w:t>。</w:t>
      </w:r>
    </w:p>
    <w:p w14:paraId="1011EBF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提供施工条件</w:t>
      </w:r>
    </w:p>
    <w:p w14:paraId="0A29B12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w:t>
      </w:r>
      <w:r>
        <w:rPr>
          <w:rFonts w:hint="eastAsia" w:ascii="宋体" w:hAnsi="宋体" w:eastAsia="宋体" w:cs="宋体"/>
          <w:color w:val="auto"/>
          <w:sz w:val="21"/>
          <w:szCs w:val="21"/>
          <w:highlight w:val="none"/>
          <w:u w:val="single"/>
        </w:rPr>
        <w:t>应一次性向承包人提供可供施工的场地</w:t>
      </w:r>
      <w:r>
        <w:rPr>
          <w:rFonts w:hint="eastAsia" w:ascii="宋体" w:hAnsi="宋体" w:eastAsia="宋体" w:cs="宋体"/>
          <w:color w:val="auto"/>
          <w:sz w:val="21"/>
          <w:szCs w:val="21"/>
          <w:highlight w:val="none"/>
        </w:rPr>
        <w:t>。</w:t>
      </w:r>
    </w:p>
    <w:p w14:paraId="479BF399">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53" w:name="_Toc532377333"/>
      <w:r>
        <w:rPr>
          <w:rFonts w:hint="eastAsia" w:ascii="宋体" w:hAnsi="宋体" w:eastAsia="宋体" w:cs="宋体"/>
          <w:b/>
          <w:bCs/>
          <w:color w:val="auto"/>
          <w:sz w:val="21"/>
          <w:szCs w:val="21"/>
          <w:highlight w:val="none"/>
        </w:rPr>
        <w:t>2.3 资金来源证明及支付担保</w:t>
      </w:r>
      <w:bookmarkEnd w:id="253"/>
    </w:p>
    <w:p w14:paraId="742119F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3E6D974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0CB7DB3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支付担保的形式：</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418088E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支付担保的金额：</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006E114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支付担保的时间：</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552085C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支付担保的期限：</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3978E00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支付担保的退还时间：</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11FFE683">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254" w:name="_Toc532377334"/>
      <w:bookmarkStart w:id="255" w:name="_Toc351203635"/>
      <w:bookmarkStart w:id="256" w:name="_Toc532375610"/>
      <w:r>
        <w:rPr>
          <w:rFonts w:hint="eastAsia" w:ascii="宋体" w:hAnsi="宋体" w:eastAsia="宋体" w:cs="宋体"/>
          <w:b/>
          <w:bCs/>
          <w:color w:val="auto"/>
          <w:sz w:val="21"/>
          <w:szCs w:val="21"/>
          <w:highlight w:val="none"/>
        </w:rPr>
        <w:t>3</w:t>
      </w:r>
      <w:bookmarkStart w:id="257" w:name="_Toc296944497"/>
      <w:bookmarkStart w:id="258" w:name="_Toc292559363"/>
      <w:bookmarkStart w:id="259" w:name="_Toc292559868"/>
      <w:bookmarkStart w:id="260" w:name="_Toc296347157"/>
      <w:bookmarkStart w:id="261" w:name="_Toc296891198"/>
      <w:bookmarkStart w:id="262" w:name="_Toc296346659"/>
      <w:bookmarkStart w:id="263" w:name="_Toc297048344"/>
      <w:bookmarkStart w:id="264" w:name="_Toc296890986"/>
      <w:bookmarkStart w:id="265" w:name="_Toc296503158"/>
      <w:bookmarkStart w:id="266" w:name="_Toc297120458"/>
      <w:r>
        <w:rPr>
          <w:rFonts w:hint="eastAsia" w:ascii="宋体" w:hAnsi="宋体" w:eastAsia="宋体" w:cs="宋体"/>
          <w:b/>
          <w:bCs/>
          <w:color w:val="auto"/>
          <w:sz w:val="21"/>
          <w:szCs w:val="21"/>
          <w:highlight w:val="none"/>
        </w:rPr>
        <w:t>. 承包人</w:t>
      </w:r>
      <w:bookmarkEnd w:id="254"/>
      <w:bookmarkEnd w:id="255"/>
      <w:bookmarkEnd w:id="256"/>
    </w:p>
    <w:bookmarkEnd w:id="257"/>
    <w:bookmarkEnd w:id="258"/>
    <w:bookmarkEnd w:id="259"/>
    <w:bookmarkEnd w:id="260"/>
    <w:bookmarkEnd w:id="261"/>
    <w:bookmarkEnd w:id="262"/>
    <w:bookmarkEnd w:id="263"/>
    <w:bookmarkEnd w:id="264"/>
    <w:bookmarkEnd w:id="265"/>
    <w:bookmarkEnd w:id="266"/>
    <w:p w14:paraId="5F761287">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67" w:name="_Toc532377335"/>
      <w:r>
        <w:rPr>
          <w:rFonts w:hint="eastAsia" w:ascii="宋体" w:hAnsi="宋体" w:eastAsia="宋体" w:cs="宋体"/>
          <w:b/>
          <w:bCs/>
          <w:color w:val="auto"/>
          <w:sz w:val="21"/>
          <w:szCs w:val="21"/>
          <w:highlight w:val="none"/>
        </w:rPr>
        <w:t>3.1 承包人的一般义务</w:t>
      </w:r>
      <w:bookmarkEnd w:id="267"/>
    </w:p>
    <w:p w14:paraId="4D96B17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本款细化为3.1.1～3.1.10项：</w:t>
      </w:r>
    </w:p>
    <w:p w14:paraId="68A719A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002CCFA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2569C78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628B66A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申请时施工组织设计的措施保障水平。</w:t>
      </w:r>
    </w:p>
    <w:p w14:paraId="53BA1CC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611F83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3.1.6按照第6.3款〔环境保护〕约定负责施工场地及其周边环境与生态的保护工作。</w:t>
      </w:r>
    </w:p>
    <w:p w14:paraId="7ECDEAC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3.1.7按照第6.1款〔安全文明施工〕约定采取施工安全措施，确保工程及其人员、材料、设备和设施的安全，防止因工程施工造成的人身伤害和财产损失。</w:t>
      </w:r>
    </w:p>
    <w:p w14:paraId="0157E20D">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3.1.8将发包人按合同约定支付的各项价款专用于合同工程，且应及时支付其雇用人员工资，并及时向分包人支付合同价款。</w:t>
      </w:r>
    </w:p>
    <w:p w14:paraId="749F0F86">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3.1.9承包人提交的竣工资料的内容：</w:t>
      </w:r>
      <w:r>
        <w:rPr>
          <w:rFonts w:hint="eastAsia" w:ascii="宋体" w:hAnsi="宋体" w:eastAsia="宋体" w:cs="宋体"/>
          <w:color w:val="auto"/>
          <w:sz w:val="21"/>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eastAsia="宋体" w:cs="宋体"/>
          <w:color w:val="auto"/>
          <w:sz w:val="21"/>
          <w:szCs w:val="21"/>
          <w:highlight w:val="none"/>
        </w:rPr>
        <w:t>。</w:t>
      </w:r>
    </w:p>
    <w:p w14:paraId="14CCABB8">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承包人需要提交的竣工资料套数：完整竣工资料一式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套（含电子文档）。</w:t>
      </w:r>
    </w:p>
    <w:p w14:paraId="4E7861A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14:paraId="0880E7E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工程竣工验收合格后1个月内移交给发包人</w:t>
      </w:r>
      <w:r>
        <w:rPr>
          <w:rFonts w:hint="eastAsia" w:ascii="宋体" w:hAnsi="宋体" w:eastAsia="宋体" w:cs="宋体"/>
          <w:color w:val="auto"/>
          <w:sz w:val="21"/>
          <w:szCs w:val="21"/>
          <w:highlight w:val="none"/>
        </w:rPr>
        <w:t>。</w:t>
      </w:r>
    </w:p>
    <w:p w14:paraId="45792D2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完整的书面文件及电子文档</w:t>
      </w:r>
      <w:r>
        <w:rPr>
          <w:rFonts w:hint="eastAsia" w:ascii="宋体" w:hAnsi="宋体" w:eastAsia="宋体" w:cs="宋体"/>
          <w:color w:val="auto"/>
          <w:sz w:val="21"/>
          <w:szCs w:val="21"/>
          <w:highlight w:val="none"/>
        </w:rPr>
        <w:t>。</w:t>
      </w:r>
    </w:p>
    <w:p w14:paraId="0F40EEF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3.1.10承包人应履行的其他义务：</w:t>
      </w:r>
    </w:p>
    <w:p w14:paraId="7608F6D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3.1.10.1在开始施工之前，承包人应核查、复测本工程的各种基准标志。承包人应及时将上述基准标志中存在的错误、不完整或其他缺陷通知发包人，以便发包人核实后重新确认。</w:t>
      </w:r>
    </w:p>
    <w:p w14:paraId="29C7C57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699E54D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577F776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3.1.10.4承包人应服从发包人要求的管理模式、工作方式和工作要求，同时接受监理人的管理和全程监督，配合项目结、决算的办理。</w:t>
      </w:r>
    </w:p>
    <w:p w14:paraId="52DED25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3.1.10.5承包人应为本工程开立专用帐户，接受发包人的监管。</w:t>
      </w:r>
    </w:p>
    <w:p w14:paraId="3F3B7BB2">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68" w:name="_Toc532377336"/>
      <w:r>
        <w:rPr>
          <w:rFonts w:hint="eastAsia" w:ascii="宋体" w:hAnsi="宋体" w:eastAsia="宋体" w:cs="宋体"/>
          <w:b/>
          <w:bCs/>
          <w:color w:val="auto"/>
          <w:sz w:val="21"/>
          <w:szCs w:val="21"/>
          <w:highlight w:val="none"/>
        </w:rPr>
        <w:t>3.2 项目经理</w:t>
      </w:r>
      <w:bookmarkEnd w:id="268"/>
    </w:p>
    <w:p w14:paraId="1042A6D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43A3A9B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B6C54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1"/>
          <w:highlight w:val="none"/>
        </w:rPr>
        <w:t>；</w:t>
      </w:r>
    </w:p>
    <w:p w14:paraId="1DDB6C2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9306F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36F38F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B3CA1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5101A6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815458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sz w:val="21"/>
          <w:szCs w:val="21"/>
          <w:highlight w:val="none"/>
        </w:rPr>
        <w:t>。</w:t>
      </w:r>
    </w:p>
    <w:p w14:paraId="7E193DC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color w:val="auto"/>
          <w:sz w:val="21"/>
          <w:szCs w:val="21"/>
          <w:highlight w:val="none"/>
          <w:u w:val="single"/>
        </w:rPr>
        <w:t>不少于22天，由监理人负责项目经理的考勤</w:t>
      </w:r>
      <w:r>
        <w:rPr>
          <w:rFonts w:hint="eastAsia" w:ascii="宋体" w:hAnsi="宋体" w:eastAsia="宋体" w:cs="宋体"/>
          <w:color w:val="auto"/>
          <w:sz w:val="21"/>
          <w:szCs w:val="21"/>
          <w:highlight w:val="none"/>
        </w:rPr>
        <w:t>。</w:t>
      </w:r>
    </w:p>
    <w:p w14:paraId="549C041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eastAsia="宋体" w:cs="宋体"/>
          <w:color w:val="auto"/>
          <w:sz w:val="21"/>
          <w:szCs w:val="21"/>
          <w:highlight w:val="none"/>
        </w:rPr>
        <w:t>。</w:t>
      </w:r>
    </w:p>
    <w:p w14:paraId="6D052DB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技术负责人</w:t>
      </w:r>
    </w:p>
    <w:p w14:paraId="5400AE4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68430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20A5D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FAD97C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证书名称及号码：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2046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6FD9FD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关于技</w:t>
      </w:r>
      <w:r>
        <w:rPr>
          <w:rFonts w:hint="eastAsia" w:ascii="宋体" w:hAnsi="宋体" w:eastAsia="宋体" w:cs="宋体"/>
          <w:color w:val="auto"/>
          <w:sz w:val="21"/>
          <w:szCs w:val="21"/>
          <w:highlight w:val="none"/>
        </w:rPr>
        <w:t>术负责人每月在施工现场的时间要求：</w:t>
      </w:r>
      <w:r>
        <w:rPr>
          <w:rFonts w:hint="eastAsia" w:ascii="宋体" w:hAnsi="宋体" w:eastAsia="宋体" w:cs="宋体"/>
          <w:color w:val="auto"/>
          <w:sz w:val="21"/>
          <w:szCs w:val="21"/>
          <w:highlight w:val="none"/>
          <w:u w:val="single"/>
        </w:rPr>
        <w:t>不少于22天，由监理人负责技术负责人的考勤</w:t>
      </w:r>
      <w:r>
        <w:rPr>
          <w:rFonts w:hint="eastAsia" w:ascii="宋体" w:hAnsi="宋体" w:eastAsia="宋体" w:cs="宋体"/>
          <w:color w:val="auto"/>
          <w:sz w:val="21"/>
          <w:szCs w:val="21"/>
          <w:highlight w:val="none"/>
        </w:rPr>
        <w:t>。</w:t>
      </w:r>
    </w:p>
    <w:p w14:paraId="1AF85F9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eastAsia="宋体" w:cs="宋体"/>
          <w:color w:val="auto"/>
          <w:sz w:val="21"/>
          <w:szCs w:val="21"/>
          <w:highlight w:val="none"/>
        </w:rPr>
        <w:t>。</w:t>
      </w:r>
      <w:bookmarkStart w:id="269" w:name="_Hlk528927599"/>
    </w:p>
    <w:bookmarkEnd w:id="269"/>
    <w:p w14:paraId="31B31FD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270" w:name="_Hlk528927718"/>
      <w:r>
        <w:rPr>
          <w:rFonts w:hint="eastAsia" w:ascii="宋体" w:hAnsi="宋体" w:eastAsia="宋体" w:cs="宋体"/>
          <w:color w:val="auto"/>
          <w:sz w:val="21"/>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270"/>
    </w:p>
    <w:p w14:paraId="31984C4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5317600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1、死亡；</w:t>
      </w:r>
    </w:p>
    <w:p w14:paraId="11E4FB9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2、非承包人原因导致工期延长，而致使项目经理和技术负责人达到法定退休年龄且确需退休；</w:t>
      </w:r>
    </w:p>
    <w:p w14:paraId="464133D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3、按《职工非因工伤残或因病丧失劳动能力程度鉴定标准（试行）》规定鉴定为完全丧失劳动能力和大部分丧失劳动能力；</w:t>
      </w:r>
    </w:p>
    <w:p w14:paraId="7CDFFC9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4、非承包人原因导致中选3个月不能开工；</w:t>
      </w:r>
    </w:p>
    <w:p w14:paraId="105B7A8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5、被公安或者司法机关限制人身自由；</w:t>
      </w:r>
    </w:p>
    <w:p w14:paraId="05790B6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6、被取消职称或者执业资格，不满足项目管理要求；</w:t>
      </w:r>
    </w:p>
    <w:p w14:paraId="380C94B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7、非承包人原因导致确需变更的其它情形。</w:t>
      </w:r>
    </w:p>
    <w:p w14:paraId="2F80D49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国有投资项目其他主要人员变更参照《重庆市政府投资项目合同变更管理暂行办法》的规定。</w:t>
      </w:r>
    </w:p>
    <w:p w14:paraId="1E22AB44">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71" w:name="_Toc532377337"/>
      <w:r>
        <w:rPr>
          <w:rFonts w:hint="eastAsia" w:ascii="宋体" w:hAnsi="宋体" w:eastAsia="宋体" w:cs="宋体"/>
          <w:b/>
          <w:bCs/>
          <w:color w:val="auto"/>
          <w:sz w:val="21"/>
          <w:szCs w:val="21"/>
          <w:highlight w:val="none"/>
        </w:rPr>
        <w:t>3.3 承包人人员</w:t>
      </w:r>
      <w:bookmarkEnd w:id="271"/>
    </w:p>
    <w:p w14:paraId="17FB67F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承包人应按建设行政主管部门现行规定配备现场施工从业人员，具体要求如下：</w:t>
      </w:r>
      <w:r>
        <w:rPr>
          <w:rFonts w:hint="eastAsia" w:ascii="宋体" w:hAnsi="宋体" w:eastAsia="宋体" w:cs="宋体"/>
          <w:color w:val="auto"/>
          <w:sz w:val="21"/>
          <w:szCs w:val="21"/>
          <w:highlight w:val="none"/>
          <w:u w:val="single"/>
        </w:rPr>
        <w:t xml:space="preserve">     /   </w:t>
      </w:r>
    </w:p>
    <w:p w14:paraId="3368E91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4DD705F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5848380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 承包人主要施工管理人员离开施工现场，指定的临时人员需满足：</w:t>
      </w:r>
      <w:r>
        <w:rPr>
          <w:rFonts w:hint="eastAsia" w:ascii="宋体" w:hAnsi="宋体" w:eastAsia="宋体" w:cs="宋体"/>
          <w:color w:val="auto"/>
          <w:sz w:val="21"/>
          <w:szCs w:val="21"/>
          <w:highlight w:val="none"/>
          <w:u w:val="single"/>
        </w:rPr>
        <w:t>《重庆市房屋建筑与市政基础设施工程现场施工从业人员配备标准》（DBJ50-157-2013）的相应要求</w:t>
      </w:r>
      <w:r>
        <w:rPr>
          <w:rFonts w:hint="eastAsia" w:ascii="宋体" w:hAnsi="宋体" w:eastAsia="宋体" w:cs="宋体"/>
          <w:color w:val="auto"/>
          <w:sz w:val="21"/>
          <w:szCs w:val="21"/>
          <w:highlight w:val="none"/>
        </w:rPr>
        <w:t>。</w:t>
      </w:r>
    </w:p>
    <w:p w14:paraId="18F1358B">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272" w:name="_Toc532377338"/>
      <w:r>
        <w:rPr>
          <w:rFonts w:hint="eastAsia" w:ascii="宋体" w:hAnsi="宋体" w:eastAsia="宋体" w:cs="宋体"/>
          <w:b/>
          <w:bCs/>
          <w:color w:val="auto"/>
          <w:sz w:val="21"/>
          <w:szCs w:val="21"/>
          <w:highlight w:val="none"/>
        </w:rPr>
        <w:t>3</w:t>
      </w:r>
      <w:bookmarkStart w:id="273" w:name="_Toc304295523"/>
      <w:bookmarkStart w:id="274" w:name="_Toc296944498"/>
      <w:bookmarkStart w:id="275" w:name="_Toc296503159"/>
      <w:bookmarkStart w:id="276" w:name="_Toc296346660"/>
      <w:bookmarkStart w:id="277" w:name="_Toc296347158"/>
      <w:bookmarkStart w:id="278" w:name="_Toc292559364"/>
      <w:bookmarkStart w:id="279" w:name="_Toc297123492"/>
      <w:bookmarkStart w:id="280" w:name="_Toc296891199"/>
      <w:bookmarkStart w:id="281" w:name="_Toc303539102"/>
      <w:bookmarkStart w:id="282" w:name="_Toc296890987"/>
      <w:bookmarkStart w:id="283" w:name="_Toc300934945"/>
      <w:bookmarkStart w:id="284" w:name="_Toc297120459"/>
      <w:bookmarkStart w:id="285" w:name="_Toc312677988"/>
      <w:bookmarkStart w:id="286" w:name="_Toc292559869"/>
      <w:bookmarkStart w:id="287" w:name="_Toc297216151"/>
      <w:bookmarkStart w:id="288" w:name="_Toc297048345"/>
      <w:r>
        <w:rPr>
          <w:rFonts w:hint="eastAsia" w:ascii="宋体" w:hAnsi="宋体" w:eastAsia="宋体" w:cs="宋体"/>
          <w:b/>
          <w:bCs/>
          <w:color w:val="auto"/>
          <w:sz w:val="21"/>
          <w:szCs w:val="21"/>
          <w:highlight w:val="none"/>
        </w:rPr>
        <w:t>.4 分包</w:t>
      </w:r>
      <w:bookmarkEnd w:id="272"/>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14:paraId="7B34EE4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289" w:name="_Toc296346661"/>
      <w:bookmarkStart w:id="290" w:name="_Toc292559365"/>
      <w:bookmarkStart w:id="291" w:name="_Toc297120460"/>
      <w:bookmarkStart w:id="292" w:name="_Toc303539103"/>
      <w:bookmarkStart w:id="293" w:name="_Toc296944499"/>
      <w:bookmarkStart w:id="294" w:name="_Toc296890988"/>
      <w:bookmarkStart w:id="295" w:name="_Toc292559870"/>
      <w:bookmarkStart w:id="296" w:name="_Toc318581158"/>
      <w:bookmarkStart w:id="297" w:name="_Toc296503160"/>
      <w:bookmarkStart w:id="298" w:name="_Toc300934946"/>
      <w:bookmarkStart w:id="299" w:name="_Toc297123493"/>
      <w:bookmarkStart w:id="300" w:name="_Toc296891200"/>
      <w:bookmarkStart w:id="301" w:name="_Toc296347159"/>
      <w:bookmarkStart w:id="302" w:name="_Toc297048346"/>
      <w:bookmarkStart w:id="303" w:name="_Toc312677989"/>
      <w:bookmarkStart w:id="304" w:name="_Toc304295524"/>
      <w:bookmarkStart w:id="305" w:name="_Toc297216152"/>
      <w:r>
        <w:rPr>
          <w:rFonts w:hint="eastAsia" w:ascii="宋体" w:hAnsi="宋体" w:eastAsia="宋体" w:cs="宋体"/>
          <w:color w:val="auto"/>
          <w:sz w:val="21"/>
          <w:szCs w:val="21"/>
          <w:highlight w:val="none"/>
        </w:rPr>
        <w:t>.4.1 分包的一般约定</w:t>
      </w:r>
    </w:p>
    <w:p w14:paraId="604B8E1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禁止分包的工程包括：主体结构、关键性工作等国家法律、法规禁止分包的工程。</w:t>
      </w:r>
    </w:p>
    <w:p w14:paraId="4F3CCA9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主体结构、关键性工作的范围：国家法律、法规、规范、标准等所约束的范围。如房建工程主体结构指混凝土工程、砌体工程、钢结构工程（具体有基础、梁、板、柱、砼墙、楼梯工程等）</w:t>
      </w:r>
      <w:bookmarkStart w:id="306" w:name="_Toc297120461"/>
      <w:bookmarkStart w:id="307" w:name="_Toc296503161"/>
      <w:bookmarkStart w:id="308" w:name="_Toc296347160"/>
      <w:bookmarkStart w:id="309" w:name="_Toc297123494"/>
      <w:bookmarkStart w:id="310" w:name="_Toc296891201"/>
      <w:bookmarkStart w:id="311" w:name="_Toc297216153"/>
      <w:bookmarkStart w:id="312" w:name="_Toc296890989"/>
      <w:bookmarkStart w:id="313" w:name="_Toc303539104"/>
      <w:bookmarkStart w:id="314" w:name="_Toc297048347"/>
      <w:bookmarkStart w:id="315" w:name="_Toc296944500"/>
      <w:bookmarkStart w:id="316" w:name="_Toc296346662"/>
      <w:bookmarkStart w:id="317" w:name="_Toc304295525"/>
      <w:bookmarkStart w:id="318" w:name="_Toc300934947"/>
      <w:r>
        <w:rPr>
          <w:rFonts w:hint="eastAsia" w:ascii="宋体" w:hAnsi="宋体" w:eastAsia="宋体" w:cs="宋体"/>
          <w:color w:val="auto"/>
          <w:sz w:val="21"/>
          <w:szCs w:val="21"/>
          <w:highlight w:val="none"/>
        </w:rPr>
        <w:t>；关键性工作指梁、板、柱等部位。</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E05FC9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6042567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319" w:name="_Toc318581159"/>
      <w:bookmarkStart w:id="320" w:name="_Toc312677990"/>
      <w:r>
        <w:rPr>
          <w:rFonts w:hint="eastAsia" w:ascii="宋体" w:hAnsi="宋体" w:eastAsia="宋体" w:cs="宋体"/>
          <w:color w:val="auto"/>
          <w:sz w:val="21"/>
          <w:szCs w:val="21"/>
          <w:highlight w:val="none"/>
        </w:rPr>
        <w:t>.4.2分包的确定</w:t>
      </w:r>
    </w:p>
    <w:p w14:paraId="4158835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允许分包的专业工程包括：符合《中华人民共和国建筑法》和《中华人民共和国招标投标法》的相关规定。</w:t>
      </w:r>
    </w:p>
    <w:p w14:paraId="54F8941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3.4.3分包合同价款</w:t>
      </w:r>
    </w:p>
    <w:p w14:paraId="1213194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bookmarkEnd w:id="319"/>
      <w:bookmarkEnd w:id="320"/>
      <w:r>
        <w:rPr>
          <w:rFonts w:hint="eastAsia" w:ascii="宋体" w:hAnsi="宋体" w:eastAsia="宋体" w:cs="宋体"/>
          <w:color w:val="auto"/>
          <w:sz w:val="21"/>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eastAsia="宋体" w:cs="宋体"/>
          <w:color w:val="auto"/>
          <w:sz w:val="21"/>
          <w:szCs w:val="21"/>
          <w:highlight w:val="none"/>
        </w:rPr>
        <w:t>。</w:t>
      </w:r>
    </w:p>
    <w:p w14:paraId="6511737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3.4.4严禁违法分包</w:t>
      </w:r>
    </w:p>
    <w:p w14:paraId="359BEBE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经查实，承包人的履约担保不予退还，终止合同；同时发包人有权向相关行政监管部门举报，根据《住房和城乡建设部关于印发建筑工程施工发包与承包违法行为认定查处管理办法的通知》（建市规〔2019〕1号）相关规定条执行。</w:t>
      </w:r>
    </w:p>
    <w:p w14:paraId="6F5541AC">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21" w:name="_Toc532377339"/>
      <w:r>
        <w:rPr>
          <w:rFonts w:hint="eastAsia" w:ascii="宋体" w:hAnsi="宋体" w:eastAsia="宋体" w:cs="宋体"/>
          <w:b/>
          <w:bCs/>
          <w:color w:val="auto"/>
          <w:sz w:val="21"/>
          <w:szCs w:val="21"/>
          <w:highlight w:val="none"/>
        </w:rPr>
        <w:t>3.5履约担保</w:t>
      </w:r>
      <w:bookmarkEnd w:id="321"/>
    </w:p>
    <w:p w14:paraId="1ED92B8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不提供</w:t>
      </w:r>
      <w:r>
        <w:rPr>
          <w:rFonts w:hint="eastAsia" w:ascii="宋体" w:hAnsi="宋体" w:eastAsia="宋体" w:cs="宋体"/>
          <w:color w:val="auto"/>
          <w:sz w:val="21"/>
          <w:szCs w:val="21"/>
          <w:highlight w:val="none"/>
        </w:rPr>
        <w:t>。</w:t>
      </w:r>
    </w:p>
    <w:p w14:paraId="21F66D73">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322" w:name="_Toc532375611"/>
      <w:bookmarkStart w:id="323" w:name="_Toc532377340"/>
      <w:bookmarkStart w:id="324" w:name="_Toc351203636"/>
      <w:r>
        <w:rPr>
          <w:rFonts w:hint="eastAsia" w:ascii="宋体" w:hAnsi="宋体" w:eastAsia="宋体" w:cs="宋体"/>
          <w:b/>
          <w:bCs/>
          <w:color w:val="auto"/>
          <w:sz w:val="21"/>
          <w:szCs w:val="21"/>
          <w:highlight w:val="none"/>
        </w:rPr>
        <w:t>4</w:t>
      </w:r>
      <w:bookmarkStart w:id="325" w:name="_Toc296346663"/>
      <w:bookmarkStart w:id="326" w:name="_Toc292559366"/>
      <w:bookmarkStart w:id="327" w:name="_Toc296890990"/>
      <w:bookmarkStart w:id="328" w:name="_Toc267251413"/>
      <w:bookmarkStart w:id="329" w:name="_Toc296944501"/>
      <w:bookmarkStart w:id="330" w:name="_Toc296891202"/>
      <w:bookmarkStart w:id="331" w:name="_Toc297048348"/>
      <w:bookmarkStart w:id="332" w:name="_Toc297120462"/>
      <w:bookmarkStart w:id="333" w:name="_Toc296347161"/>
      <w:bookmarkStart w:id="334" w:name="_Toc296503162"/>
      <w:bookmarkStart w:id="335" w:name="_Toc292559871"/>
      <w:r>
        <w:rPr>
          <w:rFonts w:hint="eastAsia" w:ascii="宋体" w:hAnsi="宋体" w:eastAsia="宋体" w:cs="宋体"/>
          <w:b/>
          <w:bCs/>
          <w:color w:val="auto"/>
          <w:sz w:val="21"/>
          <w:szCs w:val="21"/>
          <w:highlight w:val="none"/>
        </w:rPr>
        <w:t>. 监</w:t>
      </w:r>
      <w:bookmarkEnd w:id="325"/>
      <w:bookmarkEnd w:id="326"/>
      <w:bookmarkEnd w:id="327"/>
      <w:bookmarkEnd w:id="328"/>
      <w:bookmarkEnd w:id="329"/>
      <w:bookmarkEnd w:id="330"/>
      <w:bookmarkEnd w:id="331"/>
      <w:bookmarkEnd w:id="332"/>
      <w:bookmarkEnd w:id="333"/>
      <w:bookmarkEnd w:id="334"/>
      <w:bookmarkEnd w:id="335"/>
      <w:r>
        <w:rPr>
          <w:rFonts w:hint="eastAsia" w:ascii="宋体" w:hAnsi="宋体" w:eastAsia="宋体" w:cs="宋体"/>
          <w:b/>
          <w:bCs/>
          <w:color w:val="auto"/>
          <w:sz w:val="21"/>
          <w:szCs w:val="21"/>
          <w:highlight w:val="none"/>
        </w:rPr>
        <w:t>理人</w:t>
      </w:r>
      <w:bookmarkEnd w:id="322"/>
      <w:bookmarkEnd w:id="323"/>
      <w:bookmarkEnd w:id="324"/>
    </w:p>
    <w:p w14:paraId="2F1D6123">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36" w:name="_Toc532377341"/>
      <w:r>
        <w:rPr>
          <w:rFonts w:hint="eastAsia" w:ascii="宋体" w:hAnsi="宋体" w:eastAsia="宋体" w:cs="宋体"/>
          <w:b/>
          <w:bCs/>
          <w:color w:val="auto"/>
          <w:sz w:val="21"/>
          <w:szCs w:val="21"/>
          <w:highlight w:val="none"/>
        </w:rPr>
        <w:t>4.1 监理人的一般规定</w:t>
      </w:r>
      <w:bookmarkEnd w:id="336"/>
    </w:p>
    <w:p w14:paraId="37C6428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见发包人与监理人就本工程签订的监理合同</w:t>
      </w:r>
      <w:r>
        <w:rPr>
          <w:rFonts w:hint="eastAsia" w:ascii="宋体" w:hAnsi="宋体" w:eastAsia="宋体" w:cs="宋体"/>
          <w:color w:val="auto"/>
          <w:sz w:val="21"/>
          <w:szCs w:val="21"/>
          <w:highlight w:val="none"/>
        </w:rPr>
        <w:t>。</w:t>
      </w:r>
    </w:p>
    <w:p w14:paraId="2AF0471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见发包人与监理人就本工程签订的监理合同；任何涉及费用确定和（或）工期调整，或者设计变更，或者变更估价，或者涉及经济责任的事项，监理工程师在发出指令或通知前，须征得发包人同意</w:t>
      </w:r>
      <w:r>
        <w:rPr>
          <w:rFonts w:hint="eastAsia" w:ascii="宋体" w:hAnsi="宋体" w:eastAsia="宋体" w:cs="宋体"/>
          <w:color w:val="auto"/>
          <w:sz w:val="21"/>
          <w:szCs w:val="21"/>
          <w:highlight w:val="none"/>
        </w:rPr>
        <w:t>。</w:t>
      </w:r>
    </w:p>
    <w:p w14:paraId="4DFA818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办公场所、生活场所由承包人提供，所发生的费用由监理人自理</w:t>
      </w:r>
      <w:r>
        <w:rPr>
          <w:rFonts w:hint="eastAsia" w:ascii="宋体" w:hAnsi="宋体" w:eastAsia="宋体" w:cs="宋体"/>
          <w:color w:val="auto"/>
          <w:sz w:val="21"/>
          <w:szCs w:val="21"/>
          <w:highlight w:val="none"/>
        </w:rPr>
        <w:t>。</w:t>
      </w:r>
    </w:p>
    <w:p w14:paraId="248F4BFE">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37" w:name="_Toc532377342"/>
      <w:r>
        <w:rPr>
          <w:rFonts w:hint="eastAsia" w:ascii="宋体" w:hAnsi="宋体" w:eastAsia="宋体" w:cs="宋体"/>
          <w:b/>
          <w:bCs/>
          <w:color w:val="auto"/>
          <w:sz w:val="21"/>
          <w:szCs w:val="21"/>
          <w:highlight w:val="none"/>
        </w:rPr>
        <w:t>4.2 监理人员</w:t>
      </w:r>
      <w:bookmarkEnd w:id="337"/>
    </w:p>
    <w:p w14:paraId="7A3B357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2073C50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3E028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2F6C5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2307A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24DD6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见发包人与监理人就本工程签订的监理合同</w:t>
      </w:r>
      <w:r>
        <w:rPr>
          <w:rFonts w:hint="eastAsia" w:ascii="宋体" w:hAnsi="宋体" w:eastAsia="宋体" w:cs="宋体"/>
          <w:color w:val="auto"/>
          <w:sz w:val="21"/>
          <w:szCs w:val="21"/>
          <w:highlight w:val="none"/>
        </w:rPr>
        <w:t>。</w:t>
      </w:r>
    </w:p>
    <w:p w14:paraId="68EA5268">
      <w:pPr>
        <w:keepNext/>
        <w:keepLines/>
        <w:adjustRightInd w:val="0"/>
        <w:snapToGrid w:val="0"/>
        <w:spacing w:line="360" w:lineRule="auto"/>
        <w:ind w:firstLine="422" w:firstLineChars="200"/>
        <w:outlineLvl w:val="4"/>
        <w:rPr>
          <w:rFonts w:hint="eastAsia" w:ascii="宋体" w:hAnsi="宋体" w:eastAsia="宋体" w:cs="宋体"/>
          <w:b/>
          <w:color w:val="auto"/>
          <w:sz w:val="21"/>
          <w:szCs w:val="21"/>
          <w:highlight w:val="none"/>
        </w:rPr>
      </w:pPr>
      <w:bookmarkStart w:id="338" w:name="_Toc532377343"/>
      <w:r>
        <w:rPr>
          <w:rFonts w:hint="eastAsia" w:ascii="宋体" w:hAnsi="宋体" w:eastAsia="宋体" w:cs="宋体"/>
          <w:b/>
          <w:color w:val="auto"/>
          <w:sz w:val="21"/>
          <w:szCs w:val="21"/>
          <w:highlight w:val="none"/>
        </w:rPr>
        <w:t>4.3 商定或确定</w:t>
      </w:r>
      <w:bookmarkEnd w:id="338"/>
    </w:p>
    <w:p w14:paraId="4A6C7FF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339"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0663A6A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F397456">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340" w:name="_Toc532377344"/>
      <w:bookmarkStart w:id="341" w:name="_Toc532375612"/>
      <w:bookmarkStart w:id="342" w:name="_Toc351203637"/>
      <w:r>
        <w:rPr>
          <w:rFonts w:hint="eastAsia" w:ascii="宋体" w:hAnsi="宋体" w:eastAsia="宋体" w:cs="宋体"/>
          <w:b/>
          <w:bCs/>
          <w:color w:val="auto"/>
          <w:sz w:val="21"/>
          <w:szCs w:val="21"/>
          <w:highlight w:val="none"/>
        </w:rPr>
        <w:t>5</w:t>
      </w:r>
      <w:bookmarkEnd w:id="339"/>
      <w:bookmarkStart w:id="343" w:name="_Toc296891203"/>
      <w:bookmarkStart w:id="344" w:name="_Toc292559367"/>
      <w:bookmarkStart w:id="345" w:name="_Toc296503163"/>
      <w:bookmarkStart w:id="346" w:name="_Toc297120463"/>
      <w:bookmarkStart w:id="347" w:name="_Toc296890991"/>
      <w:bookmarkStart w:id="348" w:name="_Toc296944502"/>
      <w:bookmarkStart w:id="349" w:name="_Toc297048349"/>
      <w:bookmarkStart w:id="350" w:name="_Toc296347162"/>
      <w:bookmarkStart w:id="351" w:name="_Toc296346664"/>
      <w:bookmarkStart w:id="352" w:name="_Toc292559872"/>
      <w:r>
        <w:rPr>
          <w:rFonts w:hint="eastAsia" w:ascii="宋体" w:hAnsi="宋体" w:eastAsia="宋体" w:cs="宋体"/>
          <w:b/>
          <w:bCs/>
          <w:color w:val="auto"/>
          <w:sz w:val="21"/>
          <w:szCs w:val="21"/>
          <w:highlight w:val="none"/>
        </w:rPr>
        <w:t>. 工程质量</w:t>
      </w:r>
      <w:bookmarkEnd w:id="340"/>
      <w:bookmarkEnd w:id="341"/>
      <w:bookmarkEnd w:id="342"/>
    </w:p>
    <w:p w14:paraId="32B757BF">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53" w:name="_Toc532377345"/>
      <w:r>
        <w:rPr>
          <w:rFonts w:hint="eastAsia" w:ascii="宋体" w:hAnsi="宋体" w:eastAsia="宋体" w:cs="宋体"/>
          <w:b/>
          <w:bCs/>
          <w:color w:val="auto"/>
          <w:sz w:val="21"/>
          <w:szCs w:val="21"/>
          <w:highlight w:val="none"/>
        </w:rPr>
        <w:t>5.1 质量要求</w:t>
      </w:r>
      <w:bookmarkEnd w:id="353"/>
      <w:bookmarkStart w:id="354" w:name="_Hlk528909888"/>
      <w:bookmarkStart w:id="355" w:name="_Toc318581164"/>
      <w:bookmarkStart w:id="356" w:name="_Toc304295527"/>
      <w:bookmarkStart w:id="357" w:name="_Toc300934949"/>
      <w:bookmarkStart w:id="358" w:name="_Toc303539106"/>
      <w:bookmarkStart w:id="359" w:name="_Toc297123496"/>
      <w:bookmarkStart w:id="360" w:name="_Toc297216155"/>
      <w:bookmarkStart w:id="361" w:name="_Toc312677997"/>
    </w:p>
    <w:p w14:paraId="0351E58F">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符合强制性质量标准，符合国家和重庆市现行有关施工质量验收规范要求，并达到合格标准。</w:t>
      </w:r>
    </w:p>
    <w:bookmarkEnd w:id="354"/>
    <w:p w14:paraId="731F355F">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62" w:name="_Toc532377346"/>
      <w:r>
        <w:rPr>
          <w:rFonts w:hint="eastAsia" w:ascii="宋体" w:hAnsi="宋体" w:eastAsia="宋体" w:cs="宋体"/>
          <w:b/>
          <w:bCs/>
          <w:color w:val="auto"/>
          <w:sz w:val="21"/>
          <w:szCs w:val="21"/>
          <w:highlight w:val="none"/>
        </w:rPr>
        <w:t>5.2 质量保证措施</w:t>
      </w:r>
      <w:bookmarkEnd w:id="362"/>
    </w:p>
    <w:p w14:paraId="2B44AC4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在工程建设中，参建各方应严格执行以下规定（包括但不限于）：</w:t>
      </w:r>
    </w:p>
    <w:p w14:paraId="456A0F9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（1）《建设部关于贯彻执行工程勘察设计及施工质量验收规范若干问题的通知》（建标〔2002〕212号）；</w:t>
      </w:r>
    </w:p>
    <w:p w14:paraId="6EE3C39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（2）《重庆市建设工程十项施工质量通病防治要点》（渝建发〔2004〕172号）；</w:t>
      </w:r>
    </w:p>
    <w:p w14:paraId="48C5581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（3）《关于在房屋建筑和市政基础设施工程推行预拌商品砂浆的实施意见》（渝建发〔2008〕30号）；</w:t>
      </w:r>
    </w:p>
    <w:p w14:paraId="3147CAC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（4）《关于发布&lt;建筑工程施工质量验收规范用表（建筑节能分部工程）&gt;和&lt;建设工程技术用表（建筑节能工程）&gt;的通知》（渝建发〔2008〕76号）；</w:t>
      </w:r>
    </w:p>
    <w:p w14:paraId="2CE820C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（5）《关于印发&lt;重庆市房屋建筑和市政基础设施工程预拌商品砂浆应用推进工作方案&gt;的通知》（渝建〔2018〕375号）；</w:t>
      </w:r>
    </w:p>
    <w:p w14:paraId="055E351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（6）《2018年房屋建筑和市政基础设施工程质量要点》（渝建〔2018〕94号）；</w:t>
      </w:r>
    </w:p>
    <w:p w14:paraId="1DB40B2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（7）《住房城乡建设部关于印发工程质量提升行动方案的通知》（建质〔2017〕57）；</w:t>
      </w:r>
    </w:p>
    <w:p w14:paraId="2EC018A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（8）《房屋建筑和市政基础设施工程竣工验收规定》（建质〔2013〕171）；</w:t>
      </w:r>
    </w:p>
    <w:p w14:paraId="6AF8BDD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（9）国家和本市现行有关建设工程质量验收标准、规范和要求；</w:t>
      </w:r>
    </w:p>
    <w:p w14:paraId="3C5B5F5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FA1D15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承包人、监理人和发包人在工程建设中，应严格执行国家及重庆市现行标准，如上述标准及规范要求有出入则以较严格者为准。</w:t>
      </w:r>
    </w:p>
    <w:p w14:paraId="1FE38168">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63" w:name="_Toc351203536"/>
      <w:bookmarkStart w:id="364" w:name="_Toc532377347"/>
      <w:bookmarkStart w:id="365" w:name="_Hlk528927873"/>
      <w:r>
        <w:rPr>
          <w:rFonts w:hint="eastAsia" w:ascii="宋体" w:hAnsi="宋体" w:eastAsia="宋体" w:cs="宋体"/>
          <w:b/>
          <w:bCs/>
          <w:color w:val="auto"/>
          <w:sz w:val="21"/>
          <w:szCs w:val="21"/>
          <w:highlight w:val="none"/>
        </w:rPr>
        <w:t>5.3隐蔽工程检查</w:t>
      </w:r>
    </w:p>
    <w:p w14:paraId="247D83F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工程隐蔽部位经承包人自检确认具备覆盖条件的，承包人应在共同检查前</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小时书面通知监理人检查，通知中应载明隐蔽检查的内容、时间和地点，并应附有自检记录和必要的检查资料。</w:t>
      </w:r>
    </w:p>
    <w:p w14:paraId="7990F61B">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bookmarkStart w:id="366" w:name="_Toc337558762"/>
      <w:r>
        <w:rPr>
          <w:rFonts w:hint="eastAsia" w:ascii="宋体" w:hAnsi="宋体" w:eastAsia="宋体" w:cs="宋体"/>
          <w:b/>
          <w:bCs/>
          <w:color w:val="auto"/>
          <w:sz w:val="21"/>
          <w:szCs w:val="21"/>
          <w:highlight w:val="none"/>
        </w:rPr>
        <w:t>.4 不合格工程的处理</w:t>
      </w:r>
      <w:bookmarkEnd w:id="363"/>
      <w:bookmarkEnd w:id="364"/>
    </w:p>
    <w:bookmarkEnd w:id="366"/>
    <w:p w14:paraId="30882FF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承包人在收到监理人发出的《不合格分项报告》或监理通知单后，必须在监理人规定时间内按要求完成整改，未能在限定时间内完成整改的，须承担相应违约责任。</w:t>
      </w:r>
    </w:p>
    <w:bookmarkEnd w:id="365"/>
    <w:p w14:paraId="608A98B6">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67" w:name="_Toc532377348"/>
      <w:r>
        <w:rPr>
          <w:rFonts w:hint="eastAsia" w:ascii="宋体" w:hAnsi="宋体" w:eastAsia="宋体" w:cs="宋体"/>
          <w:b/>
          <w:bCs/>
          <w:color w:val="auto"/>
          <w:sz w:val="21"/>
          <w:szCs w:val="21"/>
          <w:highlight w:val="none"/>
        </w:rPr>
        <w:t>5.5 质量事故的处理</w:t>
      </w:r>
      <w:bookmarkEnd w:id="367"/>
    </w:p>
    <w:p w14:paraId="56D1C06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5.5.1 合同履行过程中，发生工程质量事故的调查处理按照国家及重庆市现行规定处理。</w:t>
      </w:r>
    </w:p>
    <w:p w14:paraId="7484490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343"/>
    <w:bookmarkEnd w:id="344"/>
    <w:bookmarkEnd w:id="345"/>
    <w:bookmarkEnd w:id="346"/>
    <w:bookmarkEnd w:id="347"/>
    <w:bookmarkEnd w:id="348"/>
    <w:bookmarkEnd w:id="349"/>
    <w:bookmarkEnd w:id="350"/>
    <w:bookmarkEnd w:id="351"/>
    <w:bookmarkEnd w:id="352"/>
    <w:bookmarkEnd w:id="355"/>
    <w:bookmarkEnd w:id="356"/>
    <w:bookmarkEnd w:id="357"/>
    <w:bookmarkEnd w:id="358"/>
    <w:bookmarkEnd w:id="359"/>
    <w:bookmarkEnd w:id="360"/>
    <w:bookmarkEnd w:id="361"/>
    <w:p w14:paraId="4FF09459">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368" w:name="_Toc351203638"/>
      <w:bookmarkStart w:id="369" w:name="_Toc532375613"/>
      <w:bookmarkStart w:id="370" w:name="_Toc532377349"/>
      <w:bookmarkStart w:id="371" w:name="_Toc296346674"/>
      <w:bookmarkStart w:id="372" w:name="_Toc267251428"/>
      <w:bookmarkStart w:id="373" w:name="_Toc297048359"/>
      <w:bookmarkStart w:id="374" w:name="_Toc267251427"/>
      <w:bookmarkStart w:id="375" w:name="_Toc296891001"/>
      <w:bookmarkStart w:id="376" w:name="_Toc297120473"/>
      <w:bookmarkStart w:id="377" w:name="_Toc351203642"/>
      <w:bookmarkStart w:id="378" w:name="_Toc296503173"/>
      <w:bookmarkStart w:id="379" w:name="_Toc292559883"/>
      <w:bookmarkStart w:id="380" w:name="_Toc296347172"/>
      <w:bookmarkStart w:id="381" w:name="_Toc296944512"/>
      <w:bookmarkStart w:id="382" w:name="_Toc296891213"/>
      <w:bookmarkStart w:id="383" w:name="_Toc292559378"/>
      <w:r>
        <w:rPr>
          <w:rFonts w:hint="eastAsia" w:ascii="宋体" w:hAnsi="宋体" w:eastAsia="宋体" w:cs="宋体"/>
          <w:b/>
          <w:bCs/>
          <w:color w:val="auto"/>
          <w:sz w:val="21"/>
          <w:szCs w:val="21"/>
          <w:highlight w:val="none"/>
        </w:rPr>
        <w:t>6. 安全文明施工与环境保护</w:t>
      </w:r>
      <w:bookmarkEnd w:id="368"/>
      <w:bookmarkEnd w:id="369"/>
      <w:bookmarkEnd w:id="370"/>
    </w:p>
    <w:p w14:paraId="173CB1C1">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84" w:name="_Toc532377350"/>
      <w:bookmarkStart w:id="385" w:name="_Toc532375614"/>
      <w:r>
        <w:rPr>
          <w:rFonts w:hint="eastAsia" w:ascii="宋体" w:hAnsi="宋体" w:eastAsia="宋体" w:cs="宋体"/>
          <w:b/>
          <w:bCs/>
          <w:color w:val="auto"/>
          <w:sz w:val="21"/>
          <w:szCs w:val="21"/>
          <w:highlight w:val="none"/>
        </w:rPr>
        <w:t>6.1 安全文明施工</w:t>
      </w:r>
      <w:bookmarkEnd w:id="384"/>
      <w:bookmarkEnd w:id="385"/>
    </w:p>
    <w:p w14:paraId="0393685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承包人必须认真贯彻执行国家安全生产法律、法规、规章和标准，按照重庆市现行的质量、安全文明施工有关规定和发包人安全管理的有关规定，建立完善的质量、安全、文明施工管理制度。</w:t>
      </w:r>
    </w:p>
    <w:p w14:paraId="1F57BE7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0C590D3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达到《建筑施工安全检查标准》（JGJ59-2011）的要求</w:t>
      </w:r>
      <w:r>
        <w:rPr>
          <w:rFonts w:hint="eastAsia" w:ascii="宋体" w:hAnsi="宋体" w:eastAsia="宋体" w:cs="宋体"/>
          <w:color w:val="auto"/>
          <w:sz w:val="21"/>
          <w:szCs w:val="21"/>
          <w:highlight w:val="none"/>
        </w:rPr>
        <w:t>。</w:t>
      </w:r>
    </w:p>
    <w:p w14:paraId="13E0192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（1）按现行安全文明施工费计取及使用管理的政策文件规定及发包人制订的安全管理制度执行</w:t>
      </w:r>
      <w:r>
        <w:rPr>
          <w:rFonts w:hint="eastAsia" w:ascii="宋体" w:hAnsi="宋体" w:eastAsia="宋体" w:cs="宋体"/>
          <w:color w:val="auto"/>
          <w:sz w:val="21"/>
          <w:szCs w:val="21"/>
          <w:highlight w:val="none"/>
        </w:rPr>
        <w:t>。</w:t>
      </w:r>
    </w:p>
    <w:p w14:paraId="1A665D4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（2）承包人的原因造成事故，由此产生的法律责任和事故责任及费用由承包人全部承担</w:t>
      </w:r>
      <w:r>
        <w:rPr>
          <w:rFonts w:hint="eastAsia" w:ascii="宋体" w:hAnsi="宋体" w:eastAsia="宋体" w:cs="宋体"/>
          <w:color w:val="auto"/>
          <w:sz w:val="21"/>
          <w:szCs w:val="21"/>
          <w:highlight w:val="none"/>
        </w:rPr>
        <w:t>。</w:t>
      </w:r>
    </w:p>
    <w:p w14:paraId="0DD209C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（3）承包人向发包人做出安全承诺，并签订《安全生产目标责任书》和《安全承诺书》</w:t>
      </w:r>
      <w:r>
        <w:rPr>
          <w:rFonts w:hint="eastAsia" w:ascii="宋体" w:hAnsi="宋体" w:eastAsia="宋体" w:cs="宋体"/>
          <w:color w:val="auto"/>
          <w:sz w:val="21"/>
          <w:szCs w:val="21"/>
          <w:highlight w:val="none"/>
        </w:rPr>
        <w:t>。</w:t>
      </w:r>
    </w:p>
    <w:p w14:paraId="591DDF7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（4）承包人在施工过程中，必须严格执行安全生产法的相关规定，制定切实可靠的安全技术措施</w:t>
      </w:r>
      <w:r>
        <w:rPr>
          <w:rFonts w:hint="eastAsia" w:ascii="宋体" w:hAnsi="宋体" w:eastAsia="宋体" w:cs="宋体"/>
          <w:color w:val="auto"/>
          <w:sz w:val="21"/>
          <w:szCs w:val="21"/>
          <w:highlight w:val="none"/>
        </w:rPr>
        <w:t>。</w:t>
      </w:r>
    </w:p>
    <w:p w14:paraId="6FB3B70E">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（5）接受发包人安全监督和管理，在施工中违反安全管理规定和操作规程、违章作业的，承担违约责任</w:t>
      </w:r>
      <w:r>
        <w:rPr>
          <w:rFonts w:hint="eastAsia" w:ascii="宋体" w:hAnsi="宋体" w:eastAsia="宋体" w:cs="宋体"/>
          <w:color w:val="auto"/>
          <w:sz w:val="21"/>
          <w:szCs w:val="21"/>
          <w:highlight w:val="none"/>
        </w:rPr>
        <w:t>。</w:t>
      </w:r>
    </w:p>
    <w:p w14:paraId="015030F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关于治安保卫的特别约定：</w:t>
      </w:r>
      <w:r>
        <w:rPr>
          <w:rFonts w:hint="eastAsia" w:ascii="宋体" w:hAnsi="宋体" w:eastAsia="宋体" w:cs="宋体"/>
          <w:color w:val="auto"/>
          <w:sz w:val="21"/>
          <w:szCs w:val="21"/>
          <w:highlight w:val="none"/>
          <w:u w:val="single"/>
        </w:rPr>
        <w:t>承包人负责组建施工现场治安管理机构或联防组织；承包人负责编制施工场地治安管理计划和突发治安事件紧急预案</w:t>
      </w:r>
      <w:r>
        <w:rPr>
          <w:rFonts w:hint="eastAsia" w:ascii="宋体" w:hAnsi="宋体" w:eastAsia="宋体" w:cs="宋体"/>
          <w:color w:val="auto"/>
          <w:sz w:val="21"/>
          <w:szCs w:val="21"/>
          <w:highlight w:val="none"/>
        </w:rPr>
        <w:t>。</w:t>
      </w:r>
    </w:p>
    <w:p w14:paraId="27661587">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由承包人负责</w:t>
      </w:r>
      <w:r>
        <w:rPr>
          <w:rFonts w:hint="eastAsia" w:ascii="宋体" w:hAnsi="宋体" w:eastAsia="宋体" w:cs="宋体"/>
          <w:color w:val="auto"/>
          <w:sz w:val="21"/>
          <w:szCs w:val="21"/>
          <w:highlight w:val="none"/>
        </w:rPr>
        <w:t>。</w:t>
      </w:r>
    </w:p>
    <w:p w14:paraId="5871648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6.1.3文明施工</w:t>
      </w:r>
    </w:p>
    <w:p w14:paraId="61BA3804">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承包人应按照《房屋建筑和市政基础设施工程施工扬尘控制工作方案》（渝建发〔2009〕13号）、《重庆市房屋建筑和市政基础设施工程现场文明施工标准》（渝建发〔2008〕169号）等相关规定履行好施工扬尘控制、文明施工等责任</w:t>
      </w:r>
      <w:r>
        <w:rPr>
          <w:rFonts w:hint="eastAsia" w:ascii="宋体" w:hAnsi="宋体" w:eastAsia="宋体" w:cs="宋体"/>
          <w:color w:val="auto"/>
          <w:sz w:val="21"/>
          <w:szCs w:val="21"/>
          <w:highlight w:val="none"/>
        </w:rPr>
        <w:t>。</w:t>
      </w:r>
    </w:p>
    <w:p w14:paraId="6C7FC6DE">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eastAsia="宋体" w:cs="宋体"/>
          <w:color w:val="auto"/>
          <w:sz w:val="21"/>
          <w:szCs w:val="21"/>
          <w:highlight w:val="none"/>
        </w:rPr>
        <w:t>。</w:t>
      </w:r>
    </w:p>
    <w:p w14:paraId="66C1B598">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关于安全文明施工费支付比例和支付期限的约定：按照行业主管部门相关规定</w:t>
      </w:r>
      <w:r>
        <w:rPr>
          <w:rFonts w:hint="eastAsia" w:ascii="宋体" w:hAnsi="宋体" w:eastAsia="宋体" w:cs="宋体"/>
          <w:color w:val="auto"/>
          <w:sz w:val="21"/>
          <w:szCs w:val="21"/>
          <w:highlight w:val="none"/>
          <w:u w:val="single"/>
        </w:rPr>
        <w:t>《重庆市住房和城乡建设委员会关于修订发布&lt;重庆市建设工程安全文明施工费计取及使用管理规定&gt;的通知》（渝建管〔2024〕38号）文件及《建筑业营业税改征增值税调整建设工程计价依据的通知》（渝建发〔2016〕35 号）文件规定支付。承包人应专款专用，发包人及监理工程师监督对该项费用的支付和使用。工程结算时，安全文明施工费按2018年《重庆市建设工程费用定额》和重庆市城乡建设委员会《关于适用增值税新税率调整建设工程计价依据的通知》（渝建〔2019〕143 号）文件规定执行。安全文明施工综合评定结果为不合格，则不计取</w:t>
      </w:r>
      <w:r>
        <w:rPr>
          <w:rFonts w:hint="eastAsia" w:ascii="宋体" w:hAnsi="宋体" w:eastAsia="宋体" w:cs="宋体"/>
          <w:color w:val="auto"/>
          <w:sz w:val="21"/>
          <w:szCs w:val="21"/>
          <w:highlight w:val="none"/>
        </w:rPr>
        <w:t>执行。</w:t>
      </w:r>
    </w:p>
    <w:p w14:paraId="39C689F6">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安全文明施工费的要求与内容、提取支付方法以及违反约定造成损失的赔偿等条款，按照现行规范要求执行，做到专款专用</w:t>
      </w:r>
      <w:r>
        <w:rPr>
          <w:rFonts w:hint="eastAsia" w:ascii="宋体" w:hAnsi="宋体" w:eastAsia="宋体" w:cs="宋体"/>
          <w:color w:val="auto"/>
          <w:sz w:val="21"/>
          <w:szCs w:val="21"/>
          <w:highlight w:val="none"/>
        </w:rPr>
        <w:t>。</w:t>
      </w:r>
    </w:p>
    <w:p w14:paraId="07FF685E">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86" w:name="_Toc532375615"/>
      <w:bookmarkStart w:id="387" w:name="_Toc532377351"/>
      <w:r>
        <w:rPr>
          <w:rFonts w:hint="eastAsia" w:ascii="宋体" w:hAnsi="宋体" w:eastAsia="宋体" w:cs="宋体"/>
          <w:b/>
          <w:bCs/>
          <w:color w:val="auto"/>
          <w:sz w:val="21"/>
          <w:szCs w:val="21"/>
          <w:highlight w:val="none"/>
        </w:rPr>
        <w:t>6.2 环境保护</w:t>
      </w:r>
      <w:bookmarkEnd w:id="386"/>
      <w:bookmarkEnd w:id="387"/>
    </w:p>
    <w:p w14:paraId="067A2455">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 承包人应严格按照项目环境影响评价文件批准书结合发包人报送的环境影响报告书的要求进行环境保护的相关工作。如行政主管部门有新标准，则按最新标准执行，执行新标准增加的费用由发包人承担。</w:t>
      </w:r>
    </w:p>
    <w:p w14:paraId="04E494F5">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06630440">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 承包人应加强生态环境保护工作。施工期间，采取边坡防护，挡渣坝、排水沟、沉淀池、表土剥离和绿化恢复等水土保持措施减少水土流失量，绿化恢复宜采用适于当地生长的植物。</w:t>
      </w:r>
    </w:p>
    <w:p w14:paraId="06DDA6F5">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6.2.4 承包人应认真落实水污染防治措施。施工期间，加强机械设备维护，减少跑冒滴漏等现象；做好含油废水处理措施；施工场地生活污水经生化处理后达到《污水综合排放标准》（GB8978-1996）一级标准后排放。</w:t>
      </w:r>
    </w:p>
    <w:p w14:paraId="2A591BA1">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6.2.5 承包人应重视大气污染物污染防治措施。施工期间，严格执行市政府“蓝天行动”方案等有关规定，通过洒水防尘，严格控制施工场地扬尘和运输扬尘污染。</w:t>
      </w:r>
    </w:p>
    <w:p w14:paraId="39722554">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6.2.6 承包人应落实固体废物污染防治措施。施工期间，项目产生的弃方不可合理利用的，应运往指定的弃渣场内堆存；建筑垃圾运至指定的建筑垃圾消纳场处置；生活垃圾由当地环卫部门统一处置。</w:t>
      </w:r>
    </w:p>
    <w:p w14:paraId="1E9EE592">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6.2.7 承包人应认真落实噪声污染防治措施。施工期间，优选低噪声设备，合理安排施工时间，严格控制夜间施工，昼、夜施工场界需满足《建筑施工场界环境噪声排放标准》（GB12523-2011）。</w:t>
      </w:r>
    </w:p>
    <w:p w14:paraId="0959F47D">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6.2.8 承包人自行负责办理有关施工场地交通、环卫和施工噪音管理等手续，并应按要求结合自身实际和重庆市相关规定，考虑不低于以上标准的此类工作。</w:t>
      </w:r>
    </w:p>
    <w:p w14:paraId="4D2C01C5">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388" w:name="_Toc351203639"/>
      <w:bookmarkStart w:id="389" w:name="_Toc532377352"/>
      <w:bookmarkStart w:id="390" w:name="_Toc532375616"/>
      <w:r>
        <w:rPr>
          <w:rFonts w:hint="eastAsia" w:ascii="宋体" w:hAnsi="宋体" w:eastAsia="宋体" w:cs="宋体"/>
          <w:b/>
          <w:bCs/>
          <w:color w:val="auto"/>
          <w:sz w:val="21"/>
          <w:szCs w:val="21"/>
          <w:highlight w:val="none"/>
        </w:rPr>
        <w:t>7. 工期和进度</w:t>
      </w:r>
      <w:bookmarkEnd w:id="388"/>
      <w:bookmarkEnd w:id="389"/>
      <w:bookmarkEnd w:id="390"/>
    </w:p>
    <w:p w14:paraId="632FA939">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91" w:name="_Toc532375617"/>
      <w:bookmarkStart w:id="392" w:name="_Toc532377353"/>
      <w:r>
        <w:rPr>
          <w:rFonts w:hint="eastAsia" w:ascii="宋体" w:hAnsi="宋体" w:eastAsia="宋体" w:cs="宋体"/>
          <w:b/>
          <w:bCs/>
          <w:color w:val="auto"/>
          <w:sz w:val="21"/>
          <w:szCs w:val="21"/>
          <w:highlight w:val="none"/>
        </w:rPr>
        <w:t>7.1 施工组织设计</w:t>
      </w:r>
      <w:bookmarkEnd w:id="391"/>
      <w:bookmarkEnd w:id="392"/>
    </w:p>
    <w:p w14:paraId="1BDFB9D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eastAsia="宋体" w:cs="宋体"/>
          <w:color w:val="auto"/>
          <w:sz w:val="21"/>
          <w:szCs w:val="21"/>
          <w:highlight w:val="none"/>
        </w:rPr>
        <w:t>。</w:t>
      </w:r>
    </w:p>
    <w:p w14:paraId="3B936D83">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08BAB52F">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合同签订后3天内，但最迟不得晚于开工通知载明的开工日期前7天</w:t>
      </w:r>
      <w:r>
        <w:rPr>
          <w:rFonts w:hint="eastAsia" w:ascii="宋体" w:hAnsi="宋体" w:eastAsia="宋体" w:cs="宋体"/>
          <w:color w:val="auto"/>
          <w:sz w:val="21"/>
          <w:szCs w:val="21"/>
          <w:highlight w:val="none"/>
        </w:rPr>
        <w:t>。</w:t>
      </w:r>
    </w:p>
    <w:p w14:paraId="73FE132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收到施工组织设计后  3天内</w:t>
      </w:r>
      <w:r>
        <w:rPr>
          <w:rFonts w:hint="eastAsia" w:ascii="宋体" w:hAnsi="宋体" w:eastAsia="宋体" w:cs="宋体"/>
          <w:color w:val="auto"/>
          <w:sz w:val="21"/>
          <w:szCs w:val="21"/>
          <w:highlight w:val="none"/>
        </w:rPr>
        <w:t>。</w:t>
      </w:r>
    </w:p>
    <w:p w14:paraId="65F45FCC">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93" w:name="_Toc532375618"/>
      <w:bookmarkStart w:id="394" w:name="_Toc532377354"/>
      <w:r>
        <w:rPr>
          <w:rFonts w:hint="eastAsia" w:ascii="宋体" w:hAnsi="宋体" w:eastAsia="宋体" w:cs="宋体"/>
          <w:b/>
          <w:bCs/>
          <w:color w:val="auto"/>
          <w:sz w:val="21"/>
          <w:szCs w:val="21"/>
          <w:highlight w:val="none"/>
        </w:rPr>
        <w:t>7.2 施工进度计划</w:t>
      </w:r>
      <w:bookmarkEnd w:id="393"/>
      <w:bookmarkEnd w:id="394"/>
    </w:p>
    <w:p w14:paraId="3E057FD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收到修订的施工进度计划后 5 天内</w:t>
      </w:r>
      <w:r>
        <w:rPr>
          <w:rFonts w:hint="eastAsia" w:ascii="宋体" w:hAnsi="宋体" w:eastAsia="宋体" w:cs="宋体"/>
          <w:color w:val="auto"/>
          <w:sz w:val="21"/>
          <w:szCs w:val="21"/>
          <w:highlight w:val="none"/>
        </w:rPr>
        <w:t>。</w:t>
      </w:r>
    </w:p>
    <w:p w14:paraId="55313C24">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395" w:name="_Toc532377355"/>
      <w:bookmarkStart w:id="396" w:name="_Toc532375619"/>
      <w:bookmarkStart w:id="397" w:name="_Toc312677479"/>
      <w:bookmarkStart w:id="398" w:name="_Toc300934966"/>
      <w:bookmarkStart w:id="399" w:name="_Toc297216173"/>
      <w:bookmarkStart w:id="400" w:name="_Toc297123514"/>
      <w:bookmarkStart w:id="401" w:name="_Toc304295541"/>
      <w:bookmarkStart w:id="402" w:name="_Toc312678005"/>
      <w:bookmarkStart w:id="403" w:name="_Toc303539123"/>
      <w:r>
        <w:rPr>
          <w:rFonts w:hint="eastAsia" w:ascii="宋体" w:hAnsi="宋体" w:eastAsia="宋体" w:cs="宋体"/>
          <w:b/>
          <w:bCs/>
          <w:color w:val="auto"/>
          <w:sz w:val="21"/>
          <w:szCs w:val="21"/>
          <w:highlight w:val="none"/>
        </w:rPr>
        <w:t>7.3 开工</w:t>
      </w:r>
      <w:bookmarkEnd w:id="395"/>
      <w:bookmarkEnd w:id="396"/>
    </w:p>
    <w:p w14:paraId="34D2F28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开工准备</w:t>
      </w:r>
    </w:p>
    <w:p w14:paraId="3F23B82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不晚于开工前 2 天</w:t>
      </w:r>
      <w:r>
        <w:rPr>
          <w:rFonts w:hint="eastAsia" w:ascii="宋体" w:hAnsi="宋体" w:eastAsia="宋体" w:cs="宋体"/>
          <w:color w:val="auto"/>
          <w:sz w:val="21"/>
          <w:szCs w:val="21"/>
          <w:highlight w:val="none"/>
        </w:rPr>
        <w:t>。</w:t>
      </w:r>
    </w:p>
    <w:p w14:paraId="52D92AA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不晚于开工前 3 天</w:t>
      </w:r>
      <w:r>
        <w:rPr>
          <w:rFonts w:hint="eastAsia" w:ascii="宋体" w:hAnsi="宋体" w:eastAsia="宋体" w:cs="宋体"/>
          <w:color w:val="auto"/>
          <w:sz w:val="21"/>
          <w:szCs w:val="21"/>
          <w:highlight w:val="none"/>
        </w:rPr>
        <w:t>。</w:t>
      </w:r>
    </w:p>
    <w:p w14:paraId="2E36D6D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不晚于开工前 3 天</w:t>
      </w:r>
      <w:r>
        <w:rPr>
          <w:rFonts w:hint="eastAsia" w:ascii="宋体" w:hAnsi="宋体" w:eastAsia="宋体" w:cs="宋体"/>
          <w:color w:val="auto"/>
          <w:sz w:val="21"/>
          <w:szCs w:val="21"/>
          <w:highlight w:val="none"/>
        </w:rPr>
        <w:t>。</w:t>
      </w:r>
    </w:p>
    <w:bookmarkEnd w:id="397"/>
    <w:bookmarkEnd w:id="398"/>
    <w:bookmarkEnd w:id="399"/>
    <w:bookmarkEnd w:id="400"/>
    <w:bookmarkEnd w:id="401"/>
    <w:bookmarkEnd w:id="402"/>
    <w:bookmarkEnd w:id="403"/>
    <w:p w14:paraId="4ADEC255">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04" w:name="_Toc532377356"/>
      <w:bookmarkStart w:id="405" w:name="_Toc532375620"/>
      <w:r>
        <w:rPr>
          <w:rFonts w:hint="eastAsia" w:ascii="宋体" w:hAnsi="宋体" w:eastAsia="宋体" w:cs="宋体"/>
          <w:b/>
          <w:bCs/>
          <w:color w:val="auto"/>
          <w:sz w:val="21"/>
          <w:szCs w:val="21"/>
          <w:highlight w:val="none"/>
        </w:rPr>
        <w:t>7.4 测量放线</w:t>
      </w:r>
      <w:bookmarkEnd w:id="404"/>
      <w:bookmarkEnd w:id="405"/>
    </w:p>
    <w:p w14:paraId="7F85E06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发包人通过监理人向承包人提供测量基准点、基准线和水准点及其书面资料的期限：</w:t>
      </w:r>
      <w:r>
        <w:rPr>
          <w:rFonts w:hint="eastAsia" w:ascii="宋体" w:hAnsi="宋体" w:eastAsia="宋体" w:cs="宋体"/>
          <w:color w:val="auto"/>
          <w:sz w:val="21"/>
          <w:szCs w:val="21"/>
          <w:highlight w:val="none"/>
          <w:u w:val="single"/>
        </w:rPr>
        <w:t>不晚于开工前  天</w:t>
      </w:r>
      <w:r>
        <w:rPr>
          <w:rFonts w:hint="eastAsia" w:ascii="宋体" w:hAnsi="宋体" w:eastAsia="宋体" w:cs="宋体"/>
          <w:color w:val="auto"/>
          <w:sz w:val="21"/>
          <w:szCs w:val="21"/>
          <w:highlight w:val="none"/>
        </w:rPr>
        <w:t>。</w:t>
      </w:r>
    </w:p>
    <w:p w14:paraId="380F533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承包人报监理人审批施工控制网资料的期限：</w:t>
      </w:r>
      <w:r>
        <w:rPr>
          <w:rFonts w:hint="eastAsia" w:ascii="宋体" w:hAnsi="宋体" w:eastAsia="宋体" w:cs="宋体"/>
          <w:color w:val="auto"/>
          <w:sz w:val="21"/>
          <w:szCs w:val="21"/>
          <w:highlight w:val="none"/>
          <w:u w:val="single"/>
        </w:rPr>
        <w:t>发出开工通知后3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eastAsia="宋体" w:cs="宋体"/>
          <w:color w:val="auto"/>
          <w:sz w:val="21"/>
          <w:szCs w:val="21"/>
          <w:highlight w:val="none"/>
        </w:rPr>
        <w:t>。</w:t>
      </w:r>
    </w:p>
    <w:p w14:paraId="5F4441CB">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06" w:name="_Toc532377357"/>
      <w:bookmarkStart w:id="407" w:name="_Toc532375621"/>
      <w:r>
        <w:rPr>
          <w:rFonts w:hint="eastAsia" w:ascii="宋体" w:hAnsi="宋体" w:eastAsia="宋体" w:cs="宋体"/>
          <w:b/>
          <w:bCs/>
          <w:color w:val="auto"/>
          <w:sz w:val="21"/>
          <w:szCs w:val="21"/>
          <w:highlight w:val="none"/>
        </w:rPr>
        <w:t>7</w:t>
      </w:r>
      <w:bookmarkStart w:id="408" w:name="_Toc297216175"/>
      <w:bookmarkStart w:id="409" w:name="_Toc297123516"/>
      <w:bookmarkStart w:id="410" w:name="_Toc300934968"/>
      <w:bookmarkStart w:id="411" w:name="_Toc312677484"/>
      <w:bookmarkStart w:id="412" w:name="_Toc303539125"/>
      <w:bookmarkStart w:id="413" w:name="_Toc312678010"/>
      <w:bookmarkStart w:id="414" w:name="_Toc304295546"/>
      <w:r>
        <w:rPr>
          <w:rFonts w:hint="eastAsia" w:ascii="宋体" w:hAnsi="宋体" w:eastAsia="宋体" w:cs="宋体"/>
          <w:b/>
          <w:bCs/>
          <w:color w:val="auto"/>
          <w:sz w:val="21"/>
          <w:szCs w:val="21"/>
          <w:highlight w:val="none"/>
        </w:rPr>
        <w:t>.5 工期延误</w:t>
      </w:r>
      <w:bookmarkEnd w:id="406"/>
      <w:bookmarkEnd w:id="407"/>
    </w:p>
    <w:bookmarkEnd w:id="408"/>
    <w:bookmarkEnd w:id="409"/>
    <w:bookmarkEnd w:id="410"/>
    <w:bookmarkEnd w:id="411"/>
    <w:bookmarkEnd w:id="412"/>
    <w:bookmarkEnd w:id="413"/>
    <w:bookmarkEnd w:id="414"/>
    <w:p w14:paraId="50D95C4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415" w:name="_Hlk528927940"/>
      <w:r>
        <w:rPr>
          <w:rFonts w:hint="eastAsia" w:ascii="宋体" w:hAnsi="宋体" w:eastAsia="宋体" w:cs="宋体"/>
          <w:color w:val="auto"/>
          <w:sz w:val="21"/>
          <w:szCs w:val="21"/>
          <w:highlight w:val="none"/>
        </w:rPr>
        <w:t>7.5.1 因发包人原因导致工期延误：</w:t>
      </w:r>
    </w:p>
    <w:p w14:paraId="7F72F57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在合同履行过程中，除通用条款约定外，因下列情况导致工期延误和（或）费用增加的，由发包人承担由此延误的工期和（或）增加的费用：</w:t>
      </w:r>
    </w:p>
    <w:p w14:paraId="0679B7C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（1）发包人未能按合同约定提供施工场地，且该未提供开工条件直接影响项目关键线路的；</w:t>
      </w:r>
    </w:p>
    <w:p w14:paraId="63828D9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（2）发包人提供的测量基准点、基准线和水准点及其书面资料存在错误或疏漏，且该错误或疏漏直接影响项目关键线路的；</w:t>
      </w:r>
    </w:p>
    <w:p w14:paraId="2BF96A1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（3）监理人未按合同约定发出指示、批准等文件，且该未按合同约定发出指示、批准直接影响项目关键线路的；</w:t>
      </w:r>
    </w:p>
    <w:p w14:paraId="272EAE1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（4）变更未及时审批，直接影响项目关键线路的；</w:t>
      </w:r>
    </w:p>
    <w:p w14:paraId="114C7AC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（5）实施变更直接影响项目关键线路的；</w:t>
      </w:r>
    </w:p>
    <w:p w14:paraId="0AA8E60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（6）因发包人原因导致工程暂停施工、停建、缓建的；</w:t>
      </w:r>
    </w:p>
    <w:p w14:paraId="4FE9DC9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（7）因征地拆迁、当地群众阻工等情形的；</w:t>
      </w:r>
    </w:p>
    <w:p w14:paraId="40895194">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rPr>
        <w:t>合同约定的其他情形</w:t>
      </w:r>
      <w:r>
        <w:rPr>
          <w:rFonts w:hint="eastAsia" w:ascii="宋体" w:hAnsi="宋体" w:eastAsia="宋体" w:cs="宋体"/>
          <w:color w:val="auto"/>
          <w:sz w:val="21"/>
          <w:szCs w:val="21"/>
          <w:highlight w:val="none"/>
        </w:rPr>
        <w:t>。</w:t>
      </w:r>
    </w:p>
    <w:p w14:paraId="196CC78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eastAsia="宋体" w:cs="宋体"/>
          <w:color w:val="auto"/>
          <w:sz w:val="21"/>
          <w:szCs w:val="21"/>
          <w:highlight w:val="none"/>
        </w:rPr>
        <w:t>。</w:t>
      </w:r>
    </w:p>
    <w:p w14:paraId="404B715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14:paraId="4D648E8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因承包人原因造成工期延误，逾期竣工按16.2.2（6）目执行。</w:t>
      </w:r>
    </w:p>
    <w:bookmarkEnd w:id="415"/>
    <w:p w14:paraId="1D31F2AF">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16" w:name="_Toc532375622"/>
      <w:bookmarkStart w:id="417" w:name="_Toc532377358"/>
      <w:bookmarkStart w:id="418" w:name="_Hlk528927997"/>
      <w:r>
        <w:rPr>
          <w:rFonts w:hint="eastAsia" w:ascii="宋体" w:hAnsi="宋体" w:eastAsia="宋体" w:cs="宋体"/>
          <w:b/>
          <w:bCs/>
          <w:color w:val="auto"/>
          <w:sz w:val="21"/>
          <w:szCs w:val="21"/>
          <w:highlight w:val="none"/>
        </w:rPr>
        <w:t>7</w:t>
      </w:r>
      <w:bookmarkStart w:id="419" w:name="_Toc297123519"/>
      <w:bookmarkStart w:id="420" w:name="_Toc303539128"/>
      <w:bookmarkStart w:id="421" w:name="_Toc300934971"/>
      <w:bookmarkStart w:id="422" w:name="_Toc297216178"/>
      <w:bookmarkStart w:id="423" w:name="_Toc312678015"/>
      <w:bookmarkStart w:id="424" w:name="_Toc304295549"/>
      <w:r>
        <w:rPr>
          <w:rFonts w:hint="eastAsia" w:ascii="宋体" w:hAnsi="宋体" w:eastAsia="宋体" w:cs="宋体"/>
          <w:b/>
          <w:bCs/>
          <w:color w:val="auto"/>
          <w:sz w:val="21"/>
          <w:szCs w:val="21"/>
          <w:highlight w:val="none"/>
        </w:rPr>
        <w:t>.6 不</w:t>
      </w:r>
      <w:bookmarkEnd w:id="419"/>
      <w:bookmarkEnd w:id="420"/>
      <w:bookmarkEnd w:id="421"/>
      <w:bookmarkEnd w:id="422"/>
      <w:bookmarkEnd w:id="423"/>
      <w:bookmarkEnd w:id="424"/>
      <w:r>
        <w:rPr>
          <w:rFonts w:hint="eastAsia" w:ascii="宋体" w:hAnsi="宋体" w:eastAsia="宋体" w:cs="宋体"/>
          <w:b/>
          <w:bCs/>
          <w:color w:val="auto"/>
          <w:sz w:val="21"/>
          <w:szCs w:val="21"/>
          <w:highlight w:val="none"/>
        </w:rPr>
        <w:t>利物质条件</w:t>
      </w:r>
      <w:bookmarkEnd w:id="416"/>
      <w:bookmarkEnd w:id="417"/>
    </w:p>
    <w:bookmarkEnd w:id="418"/>
    <w:p w14:paraId="080B66B0">
      <w:pPr>
        <w:adjustRightInd w:val="0"/>
        <w:snapToGrid w:val="0"/>
        <w:spacing w:line="360" w:lineRule="auto"/>
        <w:ind w:firstLine="420" w:firstLineChars="200"/>
        <w:jc w:val="left"/>
        <w:rPr>
          <w:rFonts w:hint="eastAsia" w:ascii="宋体" w:hAnsi="宋体" w:eastAsia="宋体" w:cs="宋体"/>
          <w:bCs/>
          <w:color w:val="auto"/>
          <w:sz w:val="21"/>
          <w:szCs w:val="21"/>
          <w:highlight w:val="none"/>
        </w:rPr>
      </w:pPr>
      <w:bookmarkStart w:id="425" w:name="_Toc297123520"/>
      <w:bookmarkStart w:id="426" w:name="_Toc297216179"/>
      <w:bookmarkStart w:id="427" w:name="_Toc312678016"/>
      <w:bookmarkStart w:id="428" w:name="_Toc303539129"/>
      <w:bookmarkStart w:id="429" w:name="_Toc318581172"/>
      <w:bookmarkStart w:id="430" w:name="_Toc304295550"/>
      <w:bookmarkStart w:id="431" w:name="_Toc300934972"/>
      <w:r>
        <w:rPr>
          <w:rFonts w:hint="eastAsia" w:ascii="宋体" w:hAnsi="宋体" w:eastAsia="宋体" w:cs="宋体"/>
          <w:color w:val="auto"/>
          <w:sz w:val="21"/>
          <w:szCs w:val="21"/>
          <w:highlight w:val="none"/>
        </w:rPr>
        <w:t>不利物质条件的其他情形和有关约定：</w:t>
      </w:r>
      <w:bookmarkStart w:id="432" w:name="_Hlk528910274"/>
      <w:r>
        <w:rPr>
          <w:rFonts w:hint="eastAsia" w:ascii="宋体" w:hAnsi="宋体" w:eastAsia="宋体" w:cs="宋体"/>
          <w:color w:val="auto"/>
          <w:sz w:val="21"/>
          <w:szCs w:val="21"/>
          <w:highlight w:val="none"/>
          <w:u w:val="single"/>
        </w:rPr>
        <w:t xml:space="preserve">  承包人按要求对施工场地和周围环境进行踏勘并充分收集相关资料，不利物质条件由承包人自行考虑，其费用已纳入本合同价款中  </w:t>
      </w:r>
      <w:r>
        <w:rPr>
          <w:rFonts w:hint="eastAsia" w:ascii="宋体" w:hAnsi="宋体" w:eastAsia="宋体" w:cs="宋体"/>
          <w:color w:val="auto"/>
          <w:sz w:val="21"/>
          <w:szCs w:val="21"/>
          <w:highlight w:val="none"/>
        </w:rPr>
        <w:t>。</w:t>
      </w:r>
    </w:p>
    <w:bookmarkEnd w:id="425"/>
    <w:bookmarkEnd w:id="426"/>
    <w:bookmarkEnd w:id="427"/>
    <w:bookmarkEnd w:id="428"/>
    <w:bookmarkEnd w:id="429"/>
    <w:bookmarkEnd w:id="430"/>
    <w:bookmarkEnd w:id="431"/>
    <w:bookmarkEnd w:id="432"/>
    <w:p w14:paraId="6E505FC8">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33" w:name="_Toc532375623"/>
      <w:bookmarkStart w:id="434" w:name="_Toc532377359"/>
      <w:r>
        <w:rPr>
          <w:rFonts w:hint="eastAsia" w:ascii="宋体" w:hAnsi="宋体" w:eastAsia="宋体" w:cs="宋体"/>
          <w:b/>
          <w:bCs/>
          <w:color w:val="auto"/>
          <w:sz w:val="21"/>
          <w:szCs w:val="21"/>
          <w:highlight w:val="none"/>
        </w:rPr>
        <w:t>7</w:t>
      </w:r>
      <w:bookmarkStart w:id="435" w:name="_Toc303539130"/>
      <w:bookmarkStart w:id="436" w:name="_Toc297123521"/>
      <w:bookmarkStart w:id="437" w:name="_Toc297216180"/>
      <w:bookmarkStart w:id="438" w:name="_Toc312678017"/>
      <w:bookmarkStart w:id="439" w:name="_Toc300934973"/>
      <w:bookmarkStart w:id="440" w:name="_Toc304295551"/>
      <w:r>
        <w:rPr>
          <w:rFonts w:hint="eastAsia" w:ascii="宋体" w:hAnsi="宋体" w:eastAsia="宋体" w:cs="宋体"/>
          <w:b/>
          <w:bCs/>
          <w:color w:val="auto"/>
          <w:sz w:val="21"/>
          <w:szCs w:val="21"/>
          <w:highlight w:val="none"/>
        </w:rPr>
        <w:t>.7异常恶劣的气候条件</w:t>
      </w:r>
      <w:bookmarkEnd w:id="433"/>
      <w:bookmarkEnd w:id="434"/>
    </w:p>
    <w:bookmarkEnd w:id="435"/>
    <w:bookmarkEnd w:id="436"/>
    <w:bookmarkEnd w:id="437"/>
    <w:bookmarkEnd w:id="438"/>
    <w:bookmarkEnd w:id="439"/>
    <w:bookmarkEnd w:id="440"/>
    <w:p w14:paraId="37C4A2F3">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发包人和承包人同意以下情形视为异常恶劣的气候条件：</w:t>
      </w:r>
      <w:r>
        <w:rPr>
          <w:rFonts w:hint="eastAsia" w:ascii="宋体" w:hAnsi="宋体" w:eastAsia="宋体" w:cs="宋体"/>
          <w:color w:val="auto"/>
          <w:sz w:val="21"/>
          <w:szCs w:val="21"/>
          <w:highlight w:val="none"/>
          <w:u w:val="single"/>
        </w:rPr>
        <w:t>（异常气候是指项目所在地50年以上一遇的罕见气候现象）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因承包人原因造成的工期延误期间遭遇异常恶劣的气候条件，承包人因采取措施而增加的费用和（或）延误的工期由乙方自行承担</w:t>
      </w:r>
      <w:r>
        <w:rPr>
          <w:rFonts w:hint="eastAsia" w:ascii="宋体" w:hAnsi="宋体" w:cs="宋体"/>
          <w:color w:val="auto"/>
          <w:sz w:val="21"/>
          <w:szCs w:val="21"/>
          <w:highlight w:val="none"/>
          <w:lang w:eastAsia="zh-CN"/>
        </w:rPr>
        <w:t>。</w:t>
      </w:r>
    </w:p>
    <w:p w14:paraId="6F15AF14">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41" w:name="_Toc532375624"/>
      <w:bookmarkStart w:id="442" w:name="_Toc532377360"/>
      <w:r>
        <w:rPr>
          <w:rFonts w:hint="eastAsia" w:ascii="宋体" w:hAnsi="宋体" w:eastAsia="宋体" w:cs="宋体"/>
          <w:b/>
          <w:bCs/>
          <w:color w:val="auto"/>
          <w:sz w:val="21"/>
          <w:szCs w:val="21"/>
          <w:highlight w:val="none"/>
        </w:rPr>
        <w:t>7.8 提前竣工</w:t>
      </w:r>
      <w:bookmarkEnd w:id="441"/>
      <w:bookmarkEnd w:id="442"/>
    </w:p>
    <w:p w14:paraId="090F552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7.8.1项细化为：</w:t>
      </w:r>
    </w:p>
    <w:p w14:paraId="70724D1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3E0DB49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（2）发包人不得随意要求承包人提前竣工，承包人也不得随意提出提前竣工的建议。如遇特殊情况，确需将工期提前的，发包人和承包人必须采取有效措施，确保工程质量。</w:t>
      </w:r>
    </w:p>
    <w:p w14:paraId="4A16F9F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（3）如果承包人提前竣工，发包人支付奖金的计算方法在合同条款中约定，时间自竣工验收证书中写明的实际竣工日期起至预定的竣工日期止，按天计算。但奖金最高限额不超过项目7.8.2项的限额。</w:t>
      </w:r>
    </w:p>
    <w:p w14:paraId="132FCF8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7.8.2 提前竣工的奖励：</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25294FA8">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443" w:name="_Toc532377361"/>
      <w:bookmarkStart w:id="444" w:name="_Toc532375625"/>
      <w:bookmarkStart w:id="445" w:name="_Toc351203640"/>
      <w:r>
        <w:rPr>
          <w:rFonts w:hint="eastAsia" w:ascii="宋体" w:hAnsi="宋体" w:eastAsia="宋体" w:cs="宋体"/>
          <w:b/>
          <w:bCs/>
          <w:color w:val="auto"/>
          <w:sz w:val="21"/>
          <w:szCs w:val="21"/>
          <w:highlight w:val="none"/>
        </w:rPr>
        <w:t>8. 材料与设备</w:t>
      </w:r>
      <w:bookmarkEnd w:id="443"/>
      <w:bookmarkEnd w:id="444"/>
      <w:bookmarkEnd w:id="445"/>
    </w:p>
    <w:p w14:paraId="62693AF1">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46" w:name="_Toc532377362"/>
      <w:bookmarkStart w:id="447" w:name="_Toc532375626"/>
      <w:r>
        <w:rPr>
          <w:rFonts w:hint="eastAsia" w:ascii="宋体" w:hAnsi="宋体" w:eastAsia="宋体" w:cs="宋体"/>
          <w:b/>
          <w:bCs/>
          <w:color w:val="auto"/>
          <w:sz w:val="21"/>
          <w:szCs w:val="21"/>
          <w:highlight w:val="none"/>
        </w:rPr>
        <w:t>8.1发包人供应材料与工程设备</w:t>
      </w:r>
      <w:bookmarkEnd w:id="446"/>
      <w:bookmarkEnd w:id="447"/>
    </w:p>
    <w:p w14:paraId="3936905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材料的名称、规格、数量和价格：</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40DEBBFF">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48" w:name="_Toc532377363"/>
      <w:bookmarkStart w:id="449" w:name="_Toc351203554"/>
      <w:bookmarkStart w:id="450" w:name="_Toc532375627"/>
      <w:r>
        <w:rPr>
          <w:rFonts w:hint="eastAsia" w:ascii="宋体" w:hAnsi="宋体" w:eastAsia="宋体" w:cs="宋体"/>
          <w:b/>
          <w:bCs/>
          <w:color w:val="auto"/>
          <w:sz w:val="21"/>
          <w:szCs w:val="21"/>
          <w:highlight w:val="none"/>
        </w:rPr>
        <w:t>8</w:t>
      </w:r>
      <w:bookmarkStart w:id="451" w:name="_Toc296503060"/>
      <w:bookmarkStart w:id="452" w:name="_Toc337558778"/>
      <w:bookmarkStart w:id="453" w:name="_Toc296346561"/>
      <w:r>
        <w:rPr>
          <w:rFonts w:hint="eastAsia" w:ascii="宋体" w:hAnsi="宋体" w:eastAsia="宋体" w:cs="宋体"/>
          <w:b/>
          <w:bCs/>
          <w:color w:val="auto"/>
          <w:sz w:val="21"/>
          <w:szCs w:val="21"/>
          <w:highlight w:val="none"/>
        </w:rPr>
        <w:t>.2 承包人采购材料与工程设备</w:t>
      </w:r>
      <w:bookmarkEnd w:id="448"/>
      <w:bookmarkEnd w:id="449"/>
      <w:bookmarkEnd w:id="450"/>
    </w:p>
    <w:bookmarkEnd w:id="451"/>
    <w:bookmarkEnd w:id="452"/>
    <w:bookmarkEnd w:id="453"/>
    <w:p w14:paraId="799D58E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454" w:name="_Toc292559878"/>
      <w:bookmarkStart w:id="455" w:name="_Toc292559373"/>
      <w:bookmarkStart w:id="456" w:name="_Toc297123528"/>
      <w:bookmarkStart w:id="457" w:name="_Toc304295557"/>
      <w:bookmarkStart w:id="458" w:name="_Toc296346669"/>
      <w:bookmarkStart w:id="459" w:name="_Toc296347167"/>
      <w:bookmarkStart w:id="460" w:name="_Toc297120468"/>
      <w:bookmarkStart w:id="461" w:name="_Toc296891208"/>
      <w:bookmarkStart w:id="462" w:name="_Toc296503168"/>
      <w:bookmarkStart w:id="463" w:name="_Toc312677494"/>
      <w:bookmarkStart w:id="464" w:name="_Toc300934980"/>
      <w:bookmarkStart w:id="465" w:name="_Toc297216187"/>
      <w:bookmarkStart w:id="466" w:name="_Toc312678020"/>
      <w:bookmarkStart w:id="467" w:name="_Toc303539137"/>
      <w:bookmarkStart w:id="468" w:name="_Toc296944507"/>
      <w:bookmarkStart w:id="469" w:name="_Toc297048354"/>
      <w:bookmarkStart w:id="470" w:name="_Toc318581173"/>
      <w:bookmarkStart w:id="471" w:name="_Toc296890996"/>
      <w:bookmarkStart w:id="472" w:name="_Toc280868656"/>
      <w:bookmarkStart w:id="473" w:name="_Toc267251424"/>
      <w:bookmarkStart w:id="474" w:name="_Toc280868655"/>
      <w:r>
        <w:rPr>
          <w:rFonts w:hint="eastAsia" w:ascii="宋体" w:hAnsi="宋体" w:eastAsia="宋体" w:cs="宋体"/>
          <w:color w:val="auto"/>
          <w:sz w:val="21"/>
          <w:szCs w:val="21"/>
          <w:highlight w:val="none"/>
        </w:rPr>
        <w:t>本工程所需材料、设备（除发包人提供外）由承包人自行采购，但所采购的材料必须符合国家规范标准及设计文件、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要求，并提供相应合格证明资料、质保书等。</w:t>
      </w:r>
    </w:p>
    <w:bookmarkEnd w:id="454"/>
    <w:bookmarkEnd w:id="455"/>
    <w:p w14:paraId="7191D380">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75" w:name="_Toc532375629"/>
      <w:bookmarkStart w:id="476" w:name="_Toc532377365"/>
      <w:r>
        <w:rPr>
          <w:rFonts w:hint="eastAsia" w:ascii="宋体" w:hAnsi="宋体" w:eastAsia="宋体" w:cs="宋体"/>
          <w:b/>
          <w:bCs/>
          <w:color w:val="auto"/>
          <w:sz w:val="21"/>
          <w:szCs w:val="21"/>
          <w:highlight w:val="none"/>
        </w:rPr>
        <w:t>8.3 样品</w:t>
      </w:r>
      <w:bookmarkEnd w:id="475"/>
      <w:bookmarkEnd w:id="476"/>
    </w:p>
    <w:p w14:paraId="21352FC2">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样品的报送与封存</w:t>
      </w:r>
    </w:p>
    <w:p w14:paraId="04F074B4">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1B6FC230">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77" w:name="_Toc532375630"/>
      <w:bookmarkStart w:id="478" w:name="_Toc532377366"/>
      <w:r>
        <w:rPr>
          <w:rFonts w:hint="eastAsia" w:ascii="宋体" w:hAnsi="宋体" w:eastAsia="宋体" w:cs="宋体"/>
          <w:b/>
          <w:bCs/>
          <w:color w:val="auto"/>
          <w:sz w:val="21"/>
          <w:szCs w:val="21"/>
          <w:highlight w:val="none"/>
        </w:rPr>
        <w:t>8.4 施工设备和临时设施</w:t>
      </w:r>
      <w:bookmarkEnd w:id="477"/>
      <w:bookmarkEnd w:id="478"/>
    </w:p>
    <w:p w14:paraId="2F19728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 承包人提供的施工设备和临时设施</w:t>
      </w:r>
    </w:p>
    <w:p w14:paraId="70FFE3A2">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2AC22959">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479" w:name="_Toc532375631"/>
      <w:bookmarkStart w:id="480" w:name="_Toc351203641"/>
      <w:bookmarkStart w:id="481" w:name="_Toc532377367"/>
      <w:r>
        <w:rPr>
          <w:rFonts w:hint="eastAsia" w:ascii="宋体" w:hAnsi="宋体" w:eastAsia="宋体" w:cs="宋体"/>
          <w:b/>
          <w:bCs/>
          <w:color w:val="auto"/>
          <w:sz w:val="21"/>
          <w:szCs w:val="21"/>
          <w:highlight w:val="none"/>
        </w:rPr>
        <w:t>9</w:t>
      </w:r>
      <w:bookmarkEnd w:id="472"/>
      <w:bookmarkEnd w:id="473"/>
      <w:bookmarkEnd w:id="474"/>
      <w:bookmarkStart w:id="482" w:name="_Toc297123533"/>
      <w:bookmarkStart w:id="483" w:name="_Toc300934982"/>
      <w:bookmarkStart w:id="484" w:name="_Toc304295559"/>
      <w:bookmarkStart w:id="485" w:name="_Toc297216192"/>
      <w:bookmarkStart w:id="486" w:name="_Toc303539139"/>
      <w:bookmarkStart w:id="487" w:name="_Toc312677495"/>
      <w:bookmarkStart w:id="488" w:name="_Toc312678021"/>
      <w:r>
        <w:rPr>
          <w:rFonts w:hint="eastAsia" w:ascii="宋体" w:hAnsi="宋体" w:eastAsia="宋体" w:cs="宋体"/>
          <w:b/>
          <w:bCs/>
          <w:color w:val="auto"/>
          <w:sz w:val="21"/>
          <w:szCs w:val="21"/>
          <w:highlight w:val="none"/>
        </w:rPr>
        <w:t>. 试验与检验</w:t>
      </w:r>
      <w:bookmarkEnd w:id="479"/>
      <w:bookmarkEnd w:id="480"/>
      <w:bookmarkEnd w:id="481"/>
    </w:p>
    <w:bookmarkEnd w:id="482"/>
    <w:bookmarkEnd w:id="483"/>
    <w:bookmarkEnd w:id="484"/>
    <w:bookmarkEnd w:id="485"/>
    <w:bookmarkEnd w:id="486"/>
    <w:bookmarkEnd w:id="487"/>
    <w:bookmarkEnd w:id="488"/>
    <w:p w14:paraId="342EF8A4">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489" w:name="_Toc532375632"/>
      <w:bookmarkStart w:id="490" w:name="_Toc532377368"/>
      <w:r>
        <w:rPr>
          <w:rFonts w:hint="eastAsia" w:ascii="宋体" w:hAnsi="宋体" w:eastAsia="宋体" w:cs="宋体"/>
          <w:b/>
          <w:bCs/>
          <w:color w:val="auto"/>
          <w:sz w:val="21"/>
          <w:szCs w:val="21"/>
          <w:highlight w:val="none"/>
        </w:rPr>
        <w:t>9</w:t>
      </w:r>
      <w:bookmarkStart w:id="491" w:name="_Toc304295560"/>
      <w:bookmarkStart w:id="492" w:name="_Toc303539140"/>
      <w:bookmarkStart w:id="493" w:name="_Toc312678022"/>
      <w:bookmarkStart w:id="494" w:name="_Toc300934983"/>
      <w:bookmarkStart w:id="495" w:name="_Toc297216193"/>
      <w:bookmarkStart w:id="496" w:name="_Toc297123534"/>
      <w:bookmarkStart w:id="497" w:name="_Toc312677496"/>
      <w:r>
        <w:rPr>
          <w:rFonts w:hint="eastAsia" w:ascii="宋体" w:hAnsi="宋体" w:eastAsia="宋体" w:cs="宋体"/>
          <w:b/>
          <w:bCs/>
          <w:color w:val="auto"/>
          <w:sz w:val="21"/>
          <w:szCs w:val="21"/>
          <w:highlight w:val="none"/>
        </w:rPr>
        <w:t>.1 试验设备与试验人员</w:t>
      </w:r>
      <w:bookmarkEnd w:id="489"/>
      <w:bookmarkEnd w:id="490"/>
    </w:p>
    <w:bookmarkEnd w:id="491"/>
    <w:bookmarkEnd w:id="492"/>
    <w:bookmarkEnd w:id="493"/>
    <w:bookmarkEnd w:id="494"/>
    <w:bookmarkEnd w:id="495"/>
    <w:bookmarkEnd w:id="496"/>
    <w:bookmarkEnd w:id="497"/>
    <w:p w14:paraId="0A4DD6D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498" w:name="_Toc297123535"/>
      <w:bookmarkStart w:id="499" w:name="_Toc303539141"/>
      <w:bookmarkStart w:id="500" w:name="_Toc297216194"/>
      <w:bookmarkStart w:id="501" w:name="_Toc300934984"/>
      <w:bookmarkStart w:id="502" w:name="_Toc312678023"/>
      <w:bookmarkStart w:id="503" w:name="_Toc304295561"/>
      <w:bookmarkStart w:id="504" w:name="_Toc312677497"/>
      <w:bookmarkStart w:id="505" w:name="_Toc318581174"/>
      <w:r>
        <w:rPr>
          <w:rFonts w:hint="eastAsia" w:ascii="宋体" w:hAnsi="宋体" w:eastAsia="宋体" w:cs="宋体"/>
          <w:color w:val="auto"/>
          <w:sz w:val="21"/>
          <w:szCs w:val="21"/>
          <w:highlight w:val="none"/>
        </w:rPr>
        <w:t>试验设备</w:t>
      </w:r>
    </w:p>
    <w:p w14:paraId="4F7856B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498"/>
      <w:bookmarkEnd w:id="499"/>
      <w:bookmarkEnd w:id="500"/>
      <w:bookmarkEnd w:id="501"/>
      <w:bookmarkEnd w:id="502"/>
      <w:bookmarkEnd w:id="503"/>
      <w:bookmarkEnd w:id="504"/>
      <w:bookmarkStart w:id="506" w:name="_Toc303539142"/>
      <w:bookmarkStart w:id="507" w:name="_Toc297123536"/>
      <w:bookmarkStart w:id="508" w:name="_Toc304295562"/>
      <w:bookmarkStart w:id="509" w:name="_Toc312678024"/>
      <w:bookmarkStart w:id="510" w:name="_Toc297216195"/>
      <w:bookmarkStart w:id="511" w:name="_Toc312677498"/>
      <w:bookmarkStart w:id="512" w:name="_Toc300934985"/>
      <w:r>
        <w:rPr>
          <w:rFonts w:hint="eastAsia" w:ascii="宋体" w:hAnsi="宋体" w:eastAsia="宋体" w:cs="宋体"/>
          <w:color w:val="auto"/>
          <w:sz w:val="21"/>
          <w:szCs w:val="21"/>
          <w:highlight w:val="none"/>
          <w:u w:val="single"/>
        </w:rPr>
        <w:t>满足工程施工的需要</w:t>
      </w:r>
      <w:r>
        <w:rPr>
          <w:rFonts w:hint="eastAsia" w:ascii="宋体" w:hAnsi="宋体" w:eastAsia="宋体" w:cs="宋体"/>
          <w:color w:val="auto"/>
          <w:sz w:val="21"/>
          <w:szCs w:val="21"/>
          <w:highlight w:val="none"/>
        </w:rPr>
        <w:t>。</w:t>
      </w:r>
    </w:p>
    <w:p w14:paraId="22BF8DF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满足工程施工的需要</w:t>
      </w:r>
      <w:r>
        <w:rPr>
          <w:rFonts w:hint="eastAsia" w:ascii="宋体" w:hAnsi="宋体" w:eastAsia="宋体" w:cs="宋体"/>
          <w:color w:val="auto"/>
          <w:sz w:val="21"/>
          <w:szCs w:val="21"/>
          <w:highlight w:val="none"/>
        </w:rPr>
        <w:t>。</w:t>
      </w:r>
    </w:p>
    <w:p w14:paraId="200843E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满足工程施工的需要</w:t>
      </w:r>
      <w:r>
        <w:rPr>
          <w:rFonts w:hint="eastAsia" w:ascii="宋体" w:hAnsi="宋体" w:eastAsia="宋体" w:cs="宋体"/>
          <w:color w:val="auto"/>
          <w:sz w:val="21"/>
          <w:szCs w:val="21"/>
          <w:highlight w:val="none"/>
        </w:rPr>
        <w:t>。</w:t>
      </w:r>
    </w:p>
    <w:p w14:paraId="7F3D50C6">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513" w:name="_Toc532377369"/>
      <w:bookmarkStart w:id="514" w:name="_Toc532375633"/>
      <w:r>
        <w:rPr>
          <w:rFonts w:hint="eastAsia" w:ascii="宋体" w:hAnsi="宋体" w:eastAsia="宋体" w:cs="宋体"/>
          <w:b/>
          <w:bCs/>
          <w:color w:val="auto"/>
          <w:sz w:val="21"/>
          <w:szCs w:val="21"/>
          <w:highlight w:val="none"/>
        </w:rPr>
        <w:t>9.2 现场工艺试验</w:t>
      </w:r>
      <w:bookmarkEnd w:id="513"/>
      <w:bookmarkEnd w:id="514"/>
    </w:p>
    <w:bookmarkEnd w:id="505"/>
    <w:bookmarkEnd w:id="506"/>
    <w:bookmarkEnd w:id="507"/>
    <w:bookmarkEnd w:id="508"/>
    <w:bookmarkEnd w:id="509"/>
    <w:bookmarkEnd w:id="510"/>
    <w:bookmarkEnd w:id="511"/>
    <w:bookmarkEnd w:id="512"/>
    <w:p w14:paraId="54AA403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9.2.1一般检验试验：</w:t>
      </w:r>
    </w:p>
    <w:p w14:paraId="6EA441FD">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检测管理办法》（住建部令第57号）、关于实施《建设工程质量检测管理办法》有关问题的通知（建办质〔2024〕36号）、《重庆市建设工程质量检测管理规定》（渝建发〔2024〕71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561957CB">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7DBDAA4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9.2.2特殊检验试验：</w:t>
      </w:r>
    </w:p>
    <w:p w14:paraId="218C0F0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08B8E800">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发包人委托的第三方检测试验机构检测试验的试件所需的材料、取样、送检及相关配合工作由承包人负责完成并承担由此产生的所有相关费用。</w:t>
      </w:r>
    </w:p>
    <w:p w14:paraId="3FD7ABA7">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（2）施工措施的检测、试验：因施工措施需要而做的相关检测、试验由承包人负责实施，其费用由承包人承担。</w:t>
      </w:r>
    </w:p>
    <w:p w14:paraId="225298FA">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9.2.3专项检测：</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64810067">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9.2.4若因承包人取样、制样、送检及相关配合不及时而导致工程的工期和费用增加，影响的工期不予延长，增加费用由承包人承担。</w:t>
      </w:r>
    </w:p>
    <w:p w14:paraId="4A6E5BCC">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9.2.5检测试验不合格的项目，其缺陷处理和复测费用由承包人承担，工期不予延长。</w:t>
      </w:r>
    </w:p>
    <w:bookmarkEnd w:id="371"/>
    <w:bookmarkEnd w:id="372"/>
    <w:bookmarkEnd w:id="373"/>
    <w:bookmarkEnd w:id="374"/>
    <w:bookmarkEnd w:id="375"/>
    <w:bookmarkEnd w:id="376"/>
    <w:bookmarkEnd w:id="377"/>
    <w:bookmarkEnd w:id="378"/>
    <w:bookmarkEnd w:id="379"/>
    <w:bookmarkEnd w:id="380"/>
    <w:bookmarkEnd w:id="381"/>
    <w:bookmarkEnd w:id="382"/>
    <w:bookmarkEnd w:id="383"/>
    <w:p w14:paraId="289FF162">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515" w:name="_Toc532375634"/>
      <w:bookmarkStart w:id="516" w:name="_Toc532377370"/>
      <w:bookmarkStart w:id="517" w:name="_Toc267251490"/>
      <w:bookmarkStart w:id="518" w:name="_Toc267251485"/>
      <w:bookmarkStart w:id="519" w:name="_Toc267251484"/>
      <w:bookmarkStart w:id="520" w:name="_Toc267251488"/>
      <w:bookmarkStart w:id="521" w:name="_Toc267251486"/>
      <w:bookmarkStart w:id="522" w:name="_Hlk524298112"/>
      <w:bookmarkStart w:id="523" w:name="_Toc267251482"/>
      <w:bookmarkStart w:id="524" w:name="_Toc267251489"/>
      <w:bookmarkStart w:id="525" w:name="_Toc267251511"/>
      <w:bookmarkStart w:id="526" w:name="_Toc267251493"/>
      <w:bookmarkStart w:id="527" w:name="_Toc267251494"/>
      <w:bookmarkStart w:id="528" w:name="_Toc267251514"/>
      <w:bookmarkStart w:id="529" w:name="_Toc267251492"/>
      <w:bookmarkStart w:id="530" w:name="_Toc267251503"/>
      <w:bookmarkStart w:id="531" w:name="_Toc267251508"/>
      <w:bookmarkStart w:id="532" w:name="_Toc267251510"/>
      <w:bookmarkStart w:id="533" w:name="_Toc267251513"/>
      <w:bookmarkStart w:id="534" w:name="_Toc267251515"/>
      <w:bookmarkStart w:id="535" w:name="_Toc267251497"/>
      <w:bookmarkStart w:id="536" w:name="_Toc267251498"/>
      <w:bookmarkStart w:id="537" w:name="_Toc267251491"/>
      <w:bookmarkStart w:id="538" w:name="_Toc267251502"/>
      <w:bookmarkStart w:id="539" w:name="_Toc267251504"/>
      <w:bookmarkStart w:id="540" w:name="_Toc267251496"/>
      <w:bookmarkStart w:id="541" w:name="_Toc267251507"/>
      <w:bookmarkStart w:id="542" w:name="_Toc267251501"/>
      <w:bookmarkStart w:id="543" w:name="_Toc267251495"/>
      <w:bookmarkStart w:id="544" w:name="_Toc267251509"/>
      <w:bookmarkStart w:id="545" w:name="_Toc267251499"/>
      <w:bookmarkStart w:id="546" w:name="_Toc267251506"/>
      <w:r>
        <w:rPr>
          <w:rFonts w:hint="eastAsia" w:ascii="宋体" w:hAnsi="宋体" w:eastAsia="宋体" w:cs="宋体"/>
          <w:b/>
          <w:bCs/>
          <w:color w:val="auto"/>
          <w:sz w:val="21"/>
          <w:szCs w:val="21"/>
          <w:highlight w:val="none"/>
        </w:rPr>
        <w:t>1</w:t>
      </w:r>
      <w:bookmarkStart w:id="547" w:name="_Toc297216199"/>
      <w:bookmarkStart w:id="548" w:name="_Toc297123540"/>
      <w:bookmarkStart w:id="549" w:name="_Toc297048379"/>
      <w:bookmarkStart w:id="550" w:name="_Toc296891233"/>
      <w:bookmarkStart w:id="551" w:name="_Toc296503193"/>
      <w:bookmarkStart w:id="552" w:name="_Toc303539146"/>
      <w:bookmarkStart w:id="553" w:name="_Toc292559398"/>
      <w:bookmarkStart w:id="554" w:name="_Toc292559903"/>
      <w:bookmarkStart w:id="555" w:name="_Toc296346694"/>
      <w:bookmarkStart w:id="556" w:name="_Toc296944532"/>
      <w:bookmarkStart w:id="557" w:name="_Toc296891021"/>
      <w:bookmarkStart w:id="558" w:name="_Toc300934989"/>
      <w:bookmarkStart w:id="559" w:name="_Toc304295566"/>
      <w:bookmarkStart w:id="560" w:name="_Toc296347192"/>
      <w:bookmarkStart w:id="561" w:name="_Toc297120493"/>
      <w:bookmarkStart w:id="562" w:name="_Toc312677499"/>
      <w:bookmarkStart w:id="563" w:name="_Toc312678025"/>
      <w:bookmarkStart w:id="564" w:name="_Toc267251441"/>
      <w:bookmarkStart w:id="565" w:name="_Toc267251440"/>
      <w:bookmarkStart w:id="566" w:name="_Toc267251437"/>
      <w:bookmarkStart w:id="567" w:name="_Toc267251433"/>
      <w:bookmarkStart w:id="568" w:name="_Toc267251435"/>
      <w:bookmarkStart w:id="569" w:name="_Toc267251439"/>
      <w:r>
        <w:rPr>
          <w:rFonts w:hint="eastAsia" w:ascii="宋体" w:hAnsi="宋体" w:eastAsia="宋体" w:cs="宋体"/>
          <w:b/>
          <w:bCs/>
          <w:color w:val="auto"/>
          <w:sz w:val="21"/>
          <w:szCs w:val="21"/>
          <w:highlight w:val="none"/>
        </w:rPr>
        <w:t>0. 变更</w:t>
      </w:r>
      <w:bookmarkEnd w:id="515"/>
      <w:bookmarkEnd w:id="51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bookmarkEnd w:id="562"/>
    <w:bookmarkEnd w:id="563"/>
    <w:p w14:paraId="03540EC9">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570" w:name="_Toc532375635"/>
      <w:bookmarkStart w:id="571" w:name="_Toc532377371"/>
      <w:r>
        <w:rPr>
          <w:rFonts w:hint="eastAsia" w:ascii="宋体" w:hAnsi="宋体" w:eastAsia="宋体" w:cs="宋体"/>
          <w:b/>
          <w:bCs/>
          <w:color w:val="auto"/>
          <w:sz w:val="21"/>
          <w:szCs w:val="21"/>
          <w:highlight w:val="none"/>
        </w:rPr>
        <w:t>1</w:t>
      </w:r>
      <w:bookmarkStart w:id="572" w:name="_Toc303539147"/>
      <w:bookmarkStart w:id="573" w:name="_Toc296346695"/>
      <w:bookmarkStart w:id="574" w:name="_Toc296347193"/>
      <w:bookmarkStart w:id="575" w:name="_Toc296891022"/>
      <w:bookmarkStart w:id="576" w:name="_Toc312677500"/>
      <w:bookmarkStart w:id="577" w:name="_Toc297120494"/>
      <w:bookmarkStart w:id="578" w:name="_Toc304295567"/>
      <w:bookmarkStart w:id="579" w:name="_Toc297123541"/>
      <w:bookmarkStart w:id="580" w:name="_Toc300934990"/>
      <w:bookmarkStart w:id="581" w:name="_Toc292559399"/>
      <w:bookmarkStart w:id="582" w:name="_Toc296503194"/>
      <w:bookmarkStart w:id="583" w:name="_Toc296891234"/>
      <w:bookmarkStart w:id="584" w:name="_Toc312678026"/>
      <w:bookmarkStart w:id="585" w:name="_Toc296944533"/>
      <w:bookmarkStart w:id="586" w:name="_Toc297216200"/>
      <w:bookmarkStart w:id="587" w:name="_Toc297048380"/>
      <w:bookmarkStart w:id="588" w:name="_Toc292559904"/>
      <w:r>
        <w:rPr>
          <w:rFonts w:hint="eastAsia" w:ascii="宋体" w:hAnsi="宋体" w:eastAsia="宋体" w:cs="宋体"/>
          <w:b/>
          <w:bCs/>
          <w:color w:val="auto"/>
          <w:sz w:val="21"/>
          <w:szCs w:val="21"/>
          <w:highlight w:val="none"/>
        </w:rPr>
        <w:t>0.1变更的范围</w:t>
      </w:r>
      <w:bookmarkEnd w:id="570"/>
      <w:bookmarkEnd w:id="571"/>
    </w:p>
    <w:p w14:paraId="6EC7819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关于变更范围的约定：</w:t>
      </w:r>
    </w:p>
    <w:p w14:paraId="70E2C73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（1）增加或减少合同中任何工作，或追加额外的工作；</w:t>
      </w:r>
    </w:p>
    <w:p w14:paraId="23EED2F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（2）取消合同中任何工作；</w:t>
      </w:r>
    </w:p>
    <w:p w14:paraId="79B381D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（3）改变合同中任何工作的质量标准或其他特性；</w:t>
      </w:r>
    </w:p>
    <w:p w14:paraId="297FE2C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（4）改变工程的基线、标高、位置和尺寸；</w:t>
      </w:r>
    </w:p>
    <w:p w14:paraId="49F5A39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（5）适用于工程的标准和（或）规范变化导致需要对工程进行改变，且该改变导致工期和（或）费用变化的。</w:t>
      </w:r>
    </w:p>
    <w:p w14:paraId="24D97F2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（6）勘察设计变更。</w:t>
      </w:r>
    </w:p>
    <w:p w14:paraId="64BE517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（7）实施内容变更，包括因设计变更和非设计变更引起的实施地点、投资规模、结构型式、采购数量、服务内容等进行的调整，以及因此导致的合同价格、工期变更。</w:t>
      </w:r>
    </w:p>
    <w:p w14:paraId="0F939A9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（8）项目管理人员变更。</w:t>
      </w:r>
    </w:p>
    <w:p w14:paraId="215FC65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）非实施内容变化导致的工期变更</w:t>
      </w:r>
    </w:p>
    <w:p w14:paraId="4D5D20B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其他应变更的范围应有乙方提出，经甲方确认后实施 </w:t>
      </w:r>
      <w:r>
        <w:rPr>
          <w:rFonts w:hint="eastAsia" w:ascii="宋体" w:hAnsi="宋体" w:eastAsia="宋体" w:cs="宋体"/>
          <w:color w:val="auto"/>
          <w:sz w:val="21"/>
          <w:szCs w:val="21"/>
          <w:highlight w:val="none"/>
        </w:rPr>
        <w:t>。</w:t>
      </w:r>
    </w:p>
    <w:p w14:paraId="04E967F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在重庆市信用信息共享平台进行信息公开。项目合同变更未获得通过的，发包人和承包人均不得擅自变更原合同约定事项，且不得就同一理由同一事项再提出变更。</w:t>
      </w:r>
    </w:p>
    <w:p w14:paraId="255EABA9">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承包人对其提供的材料、工程设备、施工、无负荷试车、热负荷试车及图纸参数存在的缺陷，自费修正、调整和完善，不属于变更。</w:t>
      </w:r>
    </w:p>
    <w:p w14:paraId="2D910657">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589" w:name="_Toc351203569"/>
      <w:bookmarkStart w:id="590" w:name="_Toc532377372"/>
      <w:bookmarkStart w:id="591" w:name="_Toc532375636"/>
      <w:r>
        <w:rPr>
          <w:rFonts w:hint="eastAsia" w:ascii="宋体" w:hAnsi="宋体" w:eastAsia="宋体" w:cs="宋体"/>
          <w:b/>
          <w:bCs/>
          <w:color w:val="auto"/>
          <w:sz w:val="21"/>
          <w:szCs w:val="21"/>
          <w:highlight w:val="none"/>
        </w:rPr>
        <w:t>1</w:t>
      </w:r>
      <w:bookmarkStart w:id="592" w:name="_Toc296346586"/>
      <w:bookmarkStart w:id="593" w:name="_Toc296503085"/>
      <w:bookmarkStart w:id="594" w:name="_Toc337558789"/>
      <w:r>
        <w:rPr>
          <w:rFonts w:hint="eastAsia" w:ascii="宋体" w:hAnsi="宋体" w:eastAsia="宋体" w:cs="宋体"/>
          <w:b/>
          <w:bCs/>
          <w:color w:val="auto"/>
          <w:sz w:val="21"/>
          <w:szCs w:val="21"/>
          <w:highlight w:val="none"/>
        </w:rPr>
        <w:t>0.2变更权</w:t>
      </w:r>
      <w:bookmarkEnd w:id="589"/>
      <w:bookmarkEnd w:id="590"/>
      <w:bookmarkEnd w:id="591"/>
    </w:p>
    <w:bookmarkEnd w:id="592"/>
    <w:bookmarkEnd w:id="593"/>
    <w:bookmarkEnd w:id="594"/>
    <w:p w14:paraId="0361314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10.2.1发包人和监理人提出变更</w:t>
      </w:r>
    </w:p>
    <w:p w14:paraId="680D231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79DBAEB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承包人自身为满足施工质量要求，在设计施工图和工程量清单之外，自行增加的施工工艺、施工成本产生的费用由承包人自行承担，且不属于变更范围。同时在发生之前应经监理（若有）、跟审单位和发包人书面确认方可实施</w:t>
      </w:r>
      <w:r>
        <w:rPr>
          <w:rFonts w:hint="eastAsia" w:ascii="宋体" w:hAnsi="宋体" w:eastAsia="宋体" w:cs="宋体"/>
          <w:color w:val="auto"/>
          <w:szCs w:val="21"/>
          <w:highlight w:val="none"/>
          <w:u w:val="single"/>
        </w:rPr>
        <w:t>。</w:t>
      </w:r>
    </w:p>
    <w:p w14:paraId="458531F9">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4D82467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若出现重大设计变更，变更后的内容超出承包人资质或能力范围的，发包人将另行依法选择承包单位，无需征得承包人同意。</w:t>
      </w:r>
    </w:p>
    <w:p w14:paraId="505440D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 承包人提出变更建议</w:t>
      </w:r>
    </w:p>
    <w:p w14:paraId="78FAE15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eastAsia="宋体" w:cs="宋体"/>
          <w:color w:val="auto"/>
          <w:sz w:val="21"/>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eastAsia="宋体" w:cs="宋体"/>
          <w:color w:val="auto"/>
          <w:sz w:val="21"/>
          <w:szCs w:val="21"/>
          <w:highlight w:val="none"/>
        </w:rPr>
        <w:t>。</w:t>
      </w:r>
    </w:p>
    <w:p w14:paraId="68BEADB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如果发包人对承包人已实施的施工项目在发出重大设计变更之前要求承包人提出一份建议，那么，承包人应尽快提出：</w:t>
      </w:r>
    </w:p>
    <w:p w14:paraId="70844ED6">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（1）对所提方案和（或）待做工作及其实施计划的说明</w:t>
      </w:r>
      <w:r>
        <w:rPr>
          <w:rFonts w:hint="eastAsia" w:ascii="宋体" w:hAnsi="宋体" w:eastAsia="宋体" w:cs="宋体"/>
          <w:color w:val="auto"/>
          <w:sz w:val="21"/>
          <w:szCs w:val="21"/>
          <w:highlight w:val="none"/>
        </w:rPr>
        <w:t>；</w:t>
      </w:r>
    </w:p>
    <w:p w14:paraId="1946DD8E">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（2）承包人按照对工程进度计划进行必要修改的建议</w:t>
      </w:r>
      <w:r>
        <w:rPr>
          <w:rFonts w:hint="eastAsia" w:ascii="宋体" w:hAnsi="宋体" w:eastAsia="宋体" w:cs="宋体"/>
          <w:color w:val="auto"/>
          <w:sz w:val="21"/>
          <w:szCs w:val="21"/>
          <w:highlight w:val="none"/>
        </w:rPr>
        <w:t>；</w:t>
      </w:r>
    </w:p>
    <w:p w14:paraId="68E5CD68">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（3）承包人发生较大返工损失增加费用的建议</w:t>
      </w:r>
      <w:r>
        <w:rPr>
          <w:rFonts w:hint="eastAsia" w:ascii="宋体" w:hAnsi="宋体" w:eastAsia="宋体" w:cs="宋体"/>
          <w:color w:val="auto"/>
          <w:sz w:val="21"/>
          <w:szCs w:val="21"/>
          <w:highlight w:val="none"/>
        </w:rPr>
        <w:t>。</w:t>
      </w:r>
    </w:p>
    <w:p w14:paraId="74B30A84">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发包人在收到上述建议书后，应尽快给予批准、否决或提出意见</w:t>
      </w:r>
      <w:r>
        <w:rPr>
          <w:rFonts w:hint="eastAsia" w:ascii="宋体" w:hAnsi="宋体" w:eastAsia="宋体" w:cs="宋体"/>
          <w:color w:val="auto"/>
          <w:sz w:val="21"/>
          <w:szCs w:val="21"/>
          <w:highlight w:val="none"/>
        </w:rPr>
        <w:t>。</w:t>
      </w:r>
    </w:p>
    <w:p w14:paraId="7C6603B4">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595" w:name="_Toc532375637"/>
      <w:bookmarkStart w:id="596" w:name="_Toc532377373"/>
      <w:bookmarkStart w:id="597" w:name="_Toc351203570"/>
      <w:bookmarkStart w:id="598" w:name="_Hlk528928195"/>
      <w:r>
        <w:rPr>
          <w:rFonts w:hint="eastAsia" w:ascii="宋体" w:hAnsi="宋体" w:eastAsia="宋体" w:cs="宋体"/>
          <w:b/>
          <w:bCs/>
          <w:color w:val="auto"/>
          <w:sz w:val="21"/>
          <w:szCs w:val="21"/>
          <w:highlight w:val="none"/>
        </w:rPr>
        <w:t>1</w:t>
      </w:r>
      <w:bookmarkStart w:id="599" w:name="_Toc296503086"/>
      <w:bookmarkStart w:id="600" w:name="_Toc337558790"/>
      <w:bookmarkStart w:id="601" w:name="_Toc296346587"/>
      <w:r>
        <w:rPr>
          <w:rFonts w:hint="eastAsia" w:ascii="宋体" w:hAnsi="宋体" w:eastAsia="宋体" w:cs="宋体"/>
          <w:b/>
          <w:bCs/>
          <w:color w:val="auto"/>
          <w:sz w:val="21"/>
          <w:szCs w:val="21"/>
          <w:highlight w:val="none"/>
        </w:rPr>
        <w:t>0.3变更程序</w:t>
      </w:r>
      <w:bookmarkEnd w:id="595"/>
      <w:bookmarkEnd w:id="596"/>
    </w:p>
    <w:bookmarkEnd w:id="599"/>
    <w:bookmarkEnd w:id="600"/>
    <w:bookmarkEnd w:id="601"/>
    <w:p w14:paraId="361A67FD">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602" w:name="_Hlk524353972"/>
      <w:r>
        <w:rPr>
          <w:rFonts w:hint="eastAsia" w:ascii="宋体" w:hAnsi="宋体" w:eastAsia="宋体" w:cs="宋体"/>
          <w:color w:val="auto"/>
          <w:sz w:val="21"/>
          <w:szCs w:val="21"/>
          <w:highlight w:val="none"/>
        </w:rPr>
        <w:t>10.3.1 变更执行</w:t>
      </w:r>
    </w:p>
    <w:p w14:paraId="7DA1D92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1C5F4135">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重大设计变更：需经设计人、监理人和发包人三方签名认可并报相关行业部门审查同意后实施。</w:t>
      </w:r>
    </w:p>
    <w:p w14:paraId="0BA7D001">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10.3.2 项增加以下内容：</w:t>
      </w:r>
    </w:p>
    <w:p w14:paraId="7D0AB073">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12AE4AB5">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项目的勘察设计、实施内容等作较大变更的，应当按照规定的程序报原审批部门审批；变更导致总投资超概的，应当报原投资概算核定部门核定。</w:t>
      </w:r>
    </w:p>
    <w:p w14:paraId="26F098F6">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项目管理人员变更的，应当经发包人领导班子集体决策同意，并将变更信息推送给行业主管部门。变更后的项目管理人员应当符合</w:t>
      </w:r>
      <w:r>
        <w:rPr>
          <w:rFonts w:hint="eastAsia" w:ascii="宋体" w:hAnsi="宋体" w:eastAsia="宋体" w:cs="宋体"/>
          <w:color w:val="auto"/>
          <w:sz w:val="21"/>
          <w:szCs w:val="21"/>
          <w:highlight w:val="none"/>
          <w:u w:val="single"/>
          <w:lang w:eastAsia="zh-CN"/>
        </w:rPr>
        <w:t>响应文件</w:t>
      </w:r>
      <w:r>
        <w:rPr>
          <w:rFonts w:hint="eastAsia" w:ascii="宋体" w:hAnsi="宋体" w:eastAsia="宋体" w:cs="宋体"/>
          <w:color w:val="auto"/>
          <w:sz w:val="21"/>
          <w:szCs w:val="21"/>
          <w:highlight w:val="none"/>
          <w:u w:val="single"/>
        </w:rPr>
        <w:t>和行业主管部门的相关规定。</w:t>
      </w:r>
    </w:p>
    <w:p w14:paraId="63A441A8">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1907A808">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项目合同变更后，增加的实施内容达到依法必须招标的规模标准的，增加的部分应当依法通过招标选择承包单位。</w:t>
      </w:r>
    </w:p>
    <w:bookmarkEnd w:id="597"/>
    <w:bookmarkEnd w:id="598"/>
    <w:bookmarkEnd w:id="602"/>
    <w:p w14:paraId="50B1789E">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603" w:name="_Toc532377374"/>
      <w:bookmarkStart w:id="604" w:name="_Toc532375638"/>
      <w:r>
        <w:rPr>
          <w:rFonts w:hint="eastAsia" w:ascii="宋体" w:hAnsi="宋体" w:eastAsia="宋体" w:cs="宋体"/>
          <w:b/>
          <w:bCs/>
          <w:color w:val="auto"/>
          <w:sz w:val="21"/>
          <w:szCs w:val="21"/>
          <w:highlight w:val="none"/>
        </w:rPr>
        <w:t>10.4 变更估价</w:t>
      </w:r>
      <w:bookmarkEnd w:id="603"/>
      <w:bookmarkEnd w:id="604"/>
    </w:p>
    <w:p w14:paraId="47842BA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605" w:name="_Hlk524296629"/>
      <w:r>
        <w:rPr>
          <w:rFonts w:hint="eastAsia" w:ascii="宋体" w:hAnsi="宋体" w:eastAsia="宋体" w:cs="宋体"/>
          <w:color w:val="auto"/>
          <w:sz w:val="21"/>
          <w:szCs w:val="21"/>
          <w:highlight w:val="none"/>
        </w:rPr>
        <w:t>10.4.1 变更估价原则</w:t>
      </w:r>
    </w:p>
    <w:p w14:paraId="034CF1E5">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当发生工程变更时，工程量按</w:t>
      </w:r>
      <w:r>
        <w:rPr>
          <w:rFonts w:hint="eastAsia" w:ascii="宋体" w:hAnsi="宋体" w:eastAsia="宋体" w:cs="宋体"/>
          <w:color w:val="auto"/>
          <w:sz w:val="21"/>
          <w:szCs w:val="21"/>
          <w:highlight w:val="none"/>
          <w:u w:val="single"/>
        </w:rPr>
        <w:t xml:space="preserve"> 以下 </w:t>
      </w:r>
      <w:r>
        <w:rPr>
          <w:rFonts w:hint="eastAsia" w:ascii="宋体" w:hAnsi="宋体" w:eastAsia="宋体" w:cs="宋体"/>
          <w:color w:val="auto"/>
          <w:sz w:val="21"/>
          <w:szCs w:val="21"/>
          <w:highlight w:val="none"/>
        </w:rPr>
        <w:t>规定的计算规则及已标价工程量清单规定的工程量计算规则计量，按以下办法计价：</w:t>
      </w:r>
      <w:bookmarkStart w:id="606" w:name="_Hlk524770102"/>
    </w:p>
    <w:bookmarkEnd w:id="606"/>
    <w:p w14:paraId="0505FE5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10.4.1.1已标价工程量清单中有相同项目的，按照相同项目单价计算；</w:t>
      </w:r>
    </w:p>
    <w:p w14:paraId="5E400CB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10.4.1.2已标价工程量清单中有类似项目的，参考类似项目单价计算；</w:t>
      </w:r>
    </w:p>
    <w:p w14:paraId="5E48EF6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10.4.1.3已标价工程量清单中无相同项目亦无类似项目的，按照以下原则执行：</w:t>
      </w:r>
    </w:p>
    <w:p w14:paraId="2216824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和《重庆市建设工程施工机械台班定额》（CQJXDE-2018）、《重庆市建设工程施工仪器仪表台班定额》（CQYQYBDE-2018）、《重庆市建设工程混凝土及砂浆配合比表》（CQPHBB-2018）及相关配套文件进行组价并按承包人报价浮动率下浮（认质核价的设备和材料不参与浮动），经监理人、发包人审定后执行。</w:t>
      </w:r>
    </w:p>
    <w:p w14:paraId="5AD062F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承包人报价浮动率按下列公式计算：承包人报价浮动率=（1-中选价/最高限价未下浮之前的预算审定金额）×100%。</w:t>
      </w:r>
    </w:p>
    <w:p w14:paraId="07AE43F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（1）人工单价：按开标当期《重庆工程造价》发布的项目所在地的人工单价执行。</w:t>
      </w:r>
    </w:p>
    <w:p w14:paraId="2C805A6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607" w:name="_Hlk529023896"/>
      <w:r>
        <w:rPr>
          <w:rFonts w:hint="eastAsia" w:ascii="宋体" w:hAnsi="宋体" w:eastAsia="宋体" w:cs="宋体"/>
          <w:color w:val="auto"/>
          <w:sz w:val="21"/>
          <w:szCs w:val="21"/>
          <w:highlight w:val="none"/>
        </w:rPr>
        <w:t>（2）材料单价：</w:t>
      </w:r>
    </w:p>
    <w:p w14:paraId="3286C54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①按</w:t>
      </w:r>
      <w:bookmarkStart w:id="608" w:name="_Hlk529023354"/>
      <w:r>
        <w:rPr>
          <w:rFonts w:hint="eastAsia" w:ascii="宋体" w:hAnsi="宋体" w:eastAsia="宋体" w:cs="宋体"/>
          <w:color w:val="auto"/>
          <w:sz w:val="21"/>
          <w:szCs w:val="21"/>
          <w:highlight w:val="none"/>
        </w:rPr>
        <w:t>开标当期《重庆工程造价》发布的项目所在地的信息价</w:t>
      </w:r>
      <w:bookmarkEnd w:id="608"/>
      <w:r>
        <w:rPr>
          <w:rFonts w:hint="eastAsia" w:ascii="宋体" w:hAnsi="宋体" w:eastAsia="宋体" w:cs="宋体"/>
          <w:color w:val="auto"/>
          <w:sz w:val="21"/>
          <w:szCs w:val="21"/>
          <w:highlight w:val="none"/>
        </w:rPr>
        <w:t>执行；</w:t>
      </w:r>
    </w:p>
    <w:p w14:paraId="43B5D8D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②开标当期《重庆工程造价》中没有的，承包人申请报价中有的，按承包人</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申请报价中相同材料单价的最低值执行；</w:t>
      </w:r>
    </w:p>
    <w:p w14:paraId="3D5C924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③开标当期《重庆工程造价》和承包人</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lang w:eastAsia="zh-CN"/>
        </w:rPr>
        <w:t>申请报价</w:t>
      </w:r>
      <w:r>
        <w:rPr>
          <w:rFonts w:hint="eastAsia" w:ascii="宋体" w:hAnsi="宋体" w:eastAsia="宋体" w:cs="宋体"/>
          <w:color w:val="auto"/>
          <w:sz w:val="21"/>
          <w:szCs w:val="21"/>
          <w:highlight w:val="none"/>
        </w:rPr>
        <w:t>没有的，由承包人申报、监理人会同发包人根据市场行情认质核价确定。</w:t>
      </w:r>
    </w:p>
    <w:bookmarkEnd w:id="607"/>
    <w:p w14:paraId="56A29EF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（3）企业管理费和利润：按承包人</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lang w:eastAsia="zh-CN"/>
        </w:rPr>
        <w:t>申请报价</w:t>
      </w:r>
      <w:r>
        <w:rPr>
          <w:rFonts w:hint="eastAsia" w:ascii="宋体" w:hAnsi="宋体" w:eastAsia="宋体" w:cs="宋体"/>
          <w:color w:val="auto"/>
          <w:sz w:val="21"/>
          <w:szCs w:val="21"/>
          <w:highlight w:val="none"/>
        </w:rPr>
        <w:t>中相同工程分类的费用标准执行（</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lang w:eastAsia="zh-CN"/>
        </w:rPr>
        <w:t>申请报价</w:t>
      </w:r>
      <w:r>
        <w:rPr>
          <w:rFonts w:hint="eastAsia" w:ascii="宋体" w:hAnsi="宋体" w:eastAsia="宋体" w:cs="宋体"/>
          <w:color w:val="auto"/>
          <w:sz w:val="21"/>
          <w:szCs w:val="21"/>
          <w:highlight w:val="none"/>
        </w:rPr>
        <w:t>中费用标准高于《重庆市建设工程费用定额》（CQFYDE-2018）费用标准的，按《重庆市建设工程费用定额》（CQFYDE-2018）费用标准执行）。</w:t>
      </w:r>
    </w:p>
    <w:p w14:paraId="3656B3E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（4）规费：按《重庆市建设工程费用定额》（CQFYDE-2018）费用标准进行计算。</w:t>
      </w:r>
    </w:p>
    <w:p w14:paraId="2A069E0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（5）税金：包含增值税、城市维护建设税、教育费附加、地方教育附加以及环境保护税。其中增值税按《重庆市建设工程费用定额》（CQFYDE-2018）规定及配套文件执行。</w:t>
      </w:r>
    </w:p>
    <w:p w14:paraId="1C886B8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10.4.1.4已标价工程量清单中无相同项目亦无类似项目，也无定额可套用的，由承包人会同监理人、发包人按相关原则、编制方法编制补充定额（人工、材料、机械基价执行2018年计价定额的基价，2018年计价定额没有的基价，按市场价计），按照第10.4.1项〔变更估价原则〕（3）目约定执行；或参照重庆市场相同工作的市场价格上报监理人，最终价格按承包人、监理人、发包人共同询价确认的价格执行。</w:t>
      </w:r>
    </w:p>
    <w:p w14:paraId="5431030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10.4.2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6712AC5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（1）安全文明施工费应按照实际发生变化的措施项目依据现行安全文明施工费计取及管理政策规定及《重庆市建设工程费用定额》（CQFYDE-2018）规定执行；</w:t>
      </w:r>
    </w:p>
    <w:p w14:paraId="2FDCD1E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（2）按照单价计算的措施项目费，应按照实际发生变化的措施项目，按照第10.4.1项〔变更估价原则〕约定执行；</w:t>
      </w:r>
    </w:p>
    <w:p w14:paraId="4BA0C5B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（3）按总价（或系数）计算的措施项目费，应按照实际发生变化的措施项目费按承包人报价浮动率下浮后的金额计算；</w:t>
      </w:r>
    </w:p>
    <w:p w14:paraId="6D1EAD5D">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（4）如果承包人未事前将拟实施的方案提交给发包人确认，则应视为工程变更不引起措施项目费的调整或承包人放弃调整措施项目费的权利。</w:t>
      </w:r>
    </w:p>
    <w:bookmarkEnd w:id="605"/>
    <w:p w14:paraId="3BE8BE38">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609" w:name="_Toc532377375"/>
      <w:bookmarkStart w:id="610" w:name="_Toc532375639"/>
      <w:r>
        <w:rPr>
          <w:rFonts w:hint="eastAsia" w:ascii="宋体" w:hAnsi="宋体" w:eastAsia="宋体" w:cs="宋体"/>
          <w:b/>
          <w:bCs/>
          <w:color w:val="auto"/>
          <w:sz w:val="21"/>
          <w:szCs w:val="21"/>
          <w:highlight w:val="none"/>
        </w:rPr>
        <w:t>1</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Start w:id="611" w:name="_Toc292559402"/>
      <w:bookmarkStart w:id="612" w:name="_Toc296891237"/>
      <w:bookmarkStart w:id="613" w:name="_Toc300934993"/>
      <w:bookmarkStart w:id="614" w:name="_Toc297123544"/>
      <w:bookmarkStart w:id="615" w:name="_Toc296891025"/>
      <w:bookmarkStart w:id="616" w:name="_Toc303539150"/>
      <w:bookmarkStart w:id="617" w:name="_Toc297120497"/>
      <w:bookmarkStart w:id="618" w:name="_Toc296347196"/>
      <w:bookmarkStart w:id="619" w:name="_Toc297048383"/>
      <w:bookmarkStart w:id="620" w:name="_Toc296503197"/>
      <w:bookmarkStart w:id="621" w:name="_Toc296944536"/>
      <w:bookmarkStart w:id="622" w:name="_Toc297216203"/>
      <w:bookmarkStart w:id="623" w:name="_Toc292559907"/>
      <w:bookmarkStart w:id="624" w:name="_Toc296346698"/>
      <w:bookmarkStart w:id="625" w:name="_Toc312677503"/>
      <w:bookmarkStart w:id="626" w:name="_Toc304295570"/>
      <w:bookmarkStart w:id="627" w:name="_Toc312678029"/>
      <w:r>
        <w:rPr>
          <w:rFonts w:hint="eastAsia" w:ascii="宋体" w:hAnsi="宋体" w:eastAsia="宋体" w:cs="宋体"/>
          <w:b/>
          <w:bCs/>
          <w:color w:val="auto"/>
          <w:sz w:val="21"/>
          <w:szCs w:val="21"/>
          <w:highlight w:val="none"/>
        </w:rPr>
        <w:t>0.5承</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Start w:id="628" w:name="_Toc303539151"/>
      <w:bookmarkStart w:id="629" w:name="_Toc297123545"/>
      <w:bookmarkStart w:id="630" w:name="_Toc296944542"/>
      <w:bookmarkStart w:id="631" w:name="_Toc296503203"/>
      <w:bookmarkStart w:id="632" w:name="_Toc297048389"/>
      <w:bookmarkStart w:id="633" w:name="_Toc292559913"/>
      <w:bookmarkStart w:id="634" w:name="_Toc292559408"/>
      <w:bookmarkStart w:id="635" w:name="_Toc296346704"/>
      <w:bookmarkStart w:id="636" w:name="_Toc297216204"/>
      <w:bookmarkStart w:id="637" w:name="_Toc300934994"/>
      <w:bookmarkStart w:id="638" w:name="_Toc296347202"/>
      <w:bookmarkStart w:id="639" w:name="_Toc297120503"/>
      <w:bookmarkStart w:id="640" w:name="_Toc296891243"/>
      <w:bookmarkStart w:id="641" w:name="_Toc296891031"/>
      <w:r>
        <w:rPr>
          <w:rFonts w:hint="eastAsia" w:ascii="宋体" w:hAnsi="宋体" w:eastAsia="宋体" w:cs="宋体"/>
          <w:b/>
          <w:bCs/>
          <w:color w:val="auto"/>
          <w:sz w:val="21"/>
          <w:szCs w:val="21"/>
          <w:highlight w:val="none"/>
        </w:rPr>
        <w:t>包人的合理化建议</w:t>
      </w:r>
      <w:bookmarkEnd w:id="609"/>
      <w:bookmarkEnd w:id="610"/>
    </w:p>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14:paraId="20CEC87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承包人提出合理化建议的，应向监理人提交合理化建议说明，说明建议的内容和理由，以及实施该建议对合同价格和（或）工期和（或）工程经济效益的影响。</w:t>
      </w:r>
    </w:p>
    <w:p w14:paraId="1552EED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不超过14天</w:t>
      </w:r>
      <w:r>
        <w:rPr>
          <w:rFonts w:hint="eastAsia" w:ascii="宋体" w:hAnsi="宋体" w:eastAsia="宋体" w:cs="宋体"/>
          <w:color w:val="auto"/>
          <w:sz w:val="21"/>
          <w:szCs w:val="21"/>
          <w:highlight w:val="none"/>
        </w:rPr>
        <w:t>。</w:t>
      </w:r>
    </w:p>
    <w:p w14:paraId="2058208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不超过14天</w:t>
      </w:r>
      <w:r>
        <w:rPr>
          <w:rFonts w:hint="eastAsia" w:ascii="宋体" w:hAnsi="宋体" w:eastAsia="宋体" w:cs="宋体"/>
          <w:color w:val="auto"/>
          <w:sz w:val="21"/>
          <w:szCs w:val="21"/>
          <w:highlight w:val="none"/>
        </w:rPr>
        <w:t>。</w:t>
      </w:r>
    </w:p>
    <w:p w14:paraId="74267DF3">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642" w:name="_Toc300934995"/>
      <w:bookmarkStart w:id="643" w:name="_Toc303539152"/>
      <w:bookmarkStart w:id="644" w:name="_Toc296944543"/>
      <w:bookmarkStart w:id="645" w:name="_Toc292559409"/>
      <w:bookmarkStart w:id="646" w:name="_Toc296891032"/>
      <w:bookmarkStart w:id="647" w:name="_Toc312678030"/>
      <w:bookmarkStart w:id="648" w:name="_Toc297120504"/>
      <w:bookmarkStart w:id="649" w:name="_Toc297048390"/>
      <w:bookmarkStart w:id="650" w:name="_Toc297123546"/>
      <w:bookmarkStart w:id="651" w:name="_Toc304295571"/>
      <w:bookmarkStart w:id="652" w:name="_Toc296503204"/>
      <w:bookmarkStart w:id="653" w:name="_Toc296891244"/>
      <w:bookmarkStart w:id="654" w:name="_Toc296346705"/>
      <w:bookmarkStart w:id="655" w:name="_Toc318581175"/>
      <w:bookmarkStart w:id="656" w:name="_Toc312677504"/>
      <w:bookmarkStart w:id="657" w:name="_Toc296347203"/>
      <w:bookmarkStart w:id="658" w:name="_Toc292559914"/>
      <w:bookmarkStart w:id="659" w:name="_Toc297216205"/>
      <w:r>
        <w:rPr>
          <w:rFonts w:hint="eastAsia" w:ascii="宋体" w:hAnsi="宋体" w:eastAsia="宋体" w:cs="宋体"/>
          <w:color w:val="auto"/>
          <w:sz w:val="21"/>
          <w:szCs w:val="21"/>
          <w:highlight w:val="none"/>
        </w:rPr>
        <w:t>包人提出的合理化建议降低了合同价格或缩短了工期或者提高了工程经济效益的奖励的方法和金额为：</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14:paraId="78D2D0F5">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660" w:name="_Toc532375640"/>
      <w:bookmarkStart w:id="661" w:name="_Toc532377376"/>
      <w:r>
        <w:rPr>
          <w:rFonts w:hint="eastAsia" w:ascii="宋体" w:hAnsi="宋体" w:eastAsia="宋体" w:cs="宋体"/>
          <w:b/>
          <w:bCs/>
          <w:color w:val="auto"/>
          <w:sz w:val="21"/>
          <w:szCs w:val="21"/>
          <w:highlight w:val="none"/>
        </w:rPr>
        <w:t>1</w:t>
      </w:r>
      <w:bookmarkStart w:id="662" w:name="_Toc312677507"/>
      <w:bookmarkStart w:id="663" w:name="_Toc296891239"/>
      <w:bookmarkStart w:id="664" w:name="_Toc304295574"/>
      <w:bookmarkStart w:id="665" w:name="_Toc296346700"/>
      <w:bookmarkStart w:id="666" w:name="_Toc297048385"/>
      <w:bookmarkStart w:id="667" w:name="_Toc297120499"/>
      <w:bookmarkStart w:id="668" w:name="_Toc292559909"/>
      <w:bookmarkStart w:id="669" w:name="_Toc296891027"/>
      <w:bookmarkStart w:id="670" w:name="_Toc296347198"/>
      <w:bookmarkStart w:id="671" w:name="_Toc296944538"/>
      <w:bookmarkStart w:id="672" w:name="_Toc292559404"/>
      <w:bookmarkStart w:id="673" w:name="_Toc303539154"/>
      <w:bookmarkStart w:id="674" w:name="_Toc300934997"/>
      <w:bookmarkStart w:id="675" w:name="_Toc296503199"/>
      <w:bookmarkStart w:id="676" w:name="_Toc312678033"/>
      <w:bookmarkStart w:id="677" w:name="_Toc297216207"/>
      <w:bookmarkStart w:id="678" w:name="_Toc297123548"/>
      <w:r>
        <w:rPr>
          <w:rFonts w:hint="eastAsia" w:ascii="宋体" w:hAnsi="宋体" w:eastAsia="宋体" w:cs="宋体"/>
          <w:b/>
          <w:bCs/>
          <w:color w:val="auto"/>
          <w:sz w:val="21"/>
          <w:szCs w:val="21"/>
          <w:highlight w:val="none"/>
        </w:rPr>
        <w:t>0.6 暂估价</w:t>
      </w:r>
      <w:bookmarkEnd w:id="660"/>
      <w:bookmarkEnd w:id="661"/>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6B15A85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专业工程暂估价：</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万元。</w:t>
      </w:r>
    </w:p>
    <w:p w14:paraId="309FAA4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发包人共同审定。审定后根据承包人签订的相关合同（需经监理人、发包人共同确认）约定，由承包人申报，随进度款按与相关单位签订的合同约定一并支付。</w:t>
      </w:r>
    </w:p>
    <w:p w14:paraId="381AB4B4">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单项合同暂估价在国家相关法律法规规定必须招标规模以上的，需依法必须招标的，由承包人、发包人共同招标确定。</w:t>
      </w:r>
    </w:p>
    <w:p w14:paraId="74050711">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679" w:name="_Toc532377377"/>
      <w:bookmarkStart w:id="680" w:name="_Toc532375641"/>
      <w:r>
        <w:rPr>
          <w:rFonts w:hint="eastAsia" w:ascii="宋体" w:hAnsi="宋体" w:eastAsia="宋体" w:cs="宋体"/>
          <w:b/>
          <w:bCs/>
          <w:color w:val="auto"/>
          <w:sz w:val="21"/>
          <w:szCs w:val="21"/>
          <w:highlight w:val="none"/>
        </w:rPr>
        <w:t>10.7 暂列金额</w:t>
      </w:r>
      <w:bookmarkEnd w:id="679"/>
      <w:bookmarkEnd w:id="680"/>
    </w:p>
    <w:p w14:paraId="2E121F7B">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29C88127">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681" w:name="_Toc351203643"/>
      <w:bookmarkStart w:id="682" w:name="_Toc532375642"/>
      <w:bookmarkStart w:id="683" w:name="_Toc532377378"/>
      <w:r>
        <w:rPr>
          <w:rFonts w:hint="eastAsia" w:ascii="宋体" w:hAnsi="宋体" w:eastAsia="宋体" w:cs="宋体"/>
          <w:b/>
          <w:bCs/>
          <w:color w:val="auto"/>
          <w:sz w:val="21"/>
          <w:szCs w:val="21"/>
          <w:highlight w:val="none"/>
        </w:rPr>
        <w:t>11. 价格调整</w:t>
      </w:r>
      <w:bookmarkEnd w:id="681"/>
      <w:bookmarkEnd w:id="682"/>
      <w:bookmarkEnd w:id="683"/>
    </w:p>
    <w:p w14:paraId="0DC5354F">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684" w:name="_Toc532377379"/>
      <w:bookmarkStart w:id="685" w:name="_Toc532375643"/>
      <w:bookmarkStart w:id="686" w:name="_Toc297123550"/>
      <w:bookmarkStart w:id="687" w:name="_Toc292559911"/>
      <w:bookmarkStart w:id="688" w:name="_Toc296891241"/>
      <w:bookmarkStart w:id="689" w:name="_Toc312678039"/>
      <w:bookmarkStart w:id="690" w:name="_Toc292559406"/>
      <w:bookmarkStart w:id="691" w:name="_Toc303539157"/>
      <w:bookmarkStart w:id="692" w:name="_Toc296944540"/>
      <w:bookmarkStart w:id="693" w:name="_Toc300935000"/>
      <w:bookmarkStart w:id="694" w:name="_Toc297216209"/>
      <w:bookmarkStart w:id="695" w:name="_Toc297120501"/>
      <w:bookmarkStart w:id="696" w:name="_Toc296891029"/>
      <w:bookmarkStart w:id="697" w:name="_Toc296346702"/>
      <w:bookmarkStart w:id="698" w:name="_Toc297048387"/>
      <w:bookmarkStart w:id="699" w:name="_Toc296503201"/>
      <w:bookmarkStart w:id="700" w:name="_Toc304295577"/>
      <w:bookmarkStart w:id="701" w:name="_Toc296347200"/>
      <w:r>
        <w:rPr>
          <w:rFonts w:hint="eastAsia" w:ascii="宋体" w:hAnsi="宋体" w:eastAsia="宋体" w:cs="宋体"/>
          <w:b/>
          <w:bCs/>
          <w:color w:val="auto"/>
          <w:sz w:val="21"/>
          <w:szCs w:val="21"/>
          <w:highlight w:val="none"/>
        </w:rPr>
        <w:t>11.1 市场价格波动引起的调整</w:t>
      </w:r>
      <w:bookmarkEnd w:id="684"/>
      <w:bookmarkEnd w:id="685"/>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14:paraId="3864FD4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702" w:name="_Toc466913963"/>
      <w:bookmarkStart w:id="703" w:name="_Toc467689641"/>
      <w:bookmarkStart w:id="704" w:name="_Toc466913513"/>
      <w:bookmarkStart w:id="705" w:name="_Toc466911545"/>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人工、材料、机械均不调整合同价格，风险费用由承包人自行考虑后纳入签约合同价格中，包干使用</w:t>
      </w:r>
      <w:r>
        <w:rPr>
          <w:rFonts w:hint="eastAsia" w:ascii="宋体" w:hAnsi="宋体" w:eastAsia="宋体" w:cs="宋体"/>
          <w:color w:val="auto"/>
          <w:sz w:val="21"/>
          <w:szCs w:val="21"/>
          <w:highlight w:val="none"/>
        </w:rPr>
        <w:t>。</w:t>
      </w:r>
    </w:p>
    <w:bookmarkEnd w:id="564"/>
    <w:bookmarkEnd w:id="565"/>
    <w:bookmarkEnd w:id="566"/>
    <w:bookmarkEnd w:id="567"/>
    <w:bookmarkEnd w:id="568"/>
    <w:bookmarkEnd w:id="569"/>
    <w:bookmarkEnd w:id="702"/>
    <w:bookmarkEnd w:id="703"/>
    <w:bookmarkEnd w:id="704"/>
    <w:bookmarkEnd w:id="705"/>
    <w:p w14:paraId="602E6C58">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706" w:name="_Toc532375644"/>
      <w:bookmarkStart w:id="707" w:name="_Toc532377380"/>
      <w:bookmarkStart w:id="708" w:name="_Hlk528928232"/>
      <w:bookmarkStart w:id="709" w:name="_Toc296944544"/>
      <w:bookmarkStart w:id="710" w:name="_Toc296346706"/>
      <w:bookmarkStart w:id="711" w:name="_Toc296503205"/>
      <w:bookmarkStart w:id="712" w:name="_Toc297048391"/>
      <w:bookmarkStart w:id="713" w:name="_Toc296347204"/>
      <w:bookmarkStart w:id="714" w:name="_Toc292559410"/>
      <w:bookmarkStart w:id="715" w:name="_Toc296891245"/>
      <w:bookmarkStart w:id="716" w:name="_Toc297120505"/>
      <w:bookmarkStart w:id="717" w:name="_Toc296891033"/>
      <w:bookmarkStart w:id="718" w:name="_Toc292559915"/>
      <w:bookmarkStart w:id="719" w:name="_Toc351203644"/>
      <w:bookmarkStart w:id="720" w:name="_Toc303539159"/>
      <w:bookmarkStart w:id="721" w:name="_Toc312678040"/>
      <w:bookmarkStart w:id="722" w:name="_Toc300935002"/>
      <w:bookmarkStart w:id="723" w:name="_Toc297123552"/>
      <w:bookmarkStart w:id="724" w:name="_Toc297216211"/>
      <w:bookmarkStart w:id="725" w:name="_Toc304295579"/>
      <w:r>
        <w:rPr>
          <w:rFonts w:hint="eastAsia" w:ascii="宋体" w:hAnsi="宋体" w:eastAsia="宋体" w:cs="宋体"/>
          <w:b/>
          <w:bCs/>
          <w:color w:val="auto"/>
          <w:sz w:val="21"/>
          <w:szCs w:val="21"/>
          <w:highlight w:val="none"/>
        </w:rPr>
        <w:t>11.2 法律变化引起的调整</w:t>
      </w:r>
      <w:bookmarkEnd w:id="706"/>
      <w:bookmarkEnd w:id="707"/>
    </w:p>
    <w:p w14:paraId="5687AC9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申请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bookmarkEnd w:id="708"/>
    <w:p w14:paraId="58610389">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726" w:name="_Toc532377381"/>
      <w:bookmarkStart w:id="727" w:name="_Toc532375645"/>
      <w:r>
        <w:rPr>
          <w:rFonts w:hint="eastAsia" w:ascii="宋体" w:hAnsi="宋体" w:eastAsia="宋体" w:cs="宋体"/>
          <w:b/>
          <w:bCs/>
          <w:color w:val="auto"/>
          <w:sz w:val="21"/>
          <w:szCs w:val="21"/>
          <w:highlight w:val="none"/>
        </w:rPr>
        <w:t>11.3 严重不平衡报价引起的调整</w:t>
      </w:r>
      <w:bookmarkEnd w:id="726"/>
      <w:bookmarkEnd w:id="727"/>
    </w:p>
    <w:p w14:paraId="4220E6A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eastAsia="宋体" w:cs="宋体"/>
          <w:color w:val="auto"/>
          <w:sz w:val="21"/>
          <w:szCs w:val="21"/>
          <w:highlight w:val="none"/>
        </w:rPr>
        <w:t>。</w:t>
      </w:r>
    </w:p>
    <w:p w14:paraId="39EFED5D">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eastAsia="宋体" w:cs="宋体"/>
          <w:color w:val="auto"/>
          <w:sz w:val="21"/>
          <w:szCs w:val="21"/>
          <w:highlight w:val="none"/>
        </w:rPr>
        <w:t>。</w:t>
      </w:r>
    </w:p>
    <w:p w14:paraId="783039A0">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728" w:name="_Toc532377382"/>
      <w:bookmarkStart w:id="729" w:name="_Toc532375646"/>
      <w:r>
        <w:rPr>
          <w:rFonts w:hint="eastAsia" w:ascii="宋体" w:hAnsi="宋体" w:eastAsia="宋体" w:cs="宋体"/>
          <w:b/>
          <w:bCs/>
          <w:color w:val="auto"/>
          <w:sz w:val="21"/>
          <w:szCs w:val="21"/>
          <w:highlight w:val="none"/>
        </w:rPr>
        <w:t xml:space="preserve">12. </w:t>
      </w:r>
      <w:bookmarkEnd w:id="709"/>
      <w:bookmarkEnd w:id="710"/>
      <w:bookmarkEnd w:id="711"/>
      <w:bookmarkEnd w:id="712"/>
      <w:bookmarkEnd w:id="713"/>
      <w:bookmarkEnd w:id="714"/>
      <w:bookmarkEnd w:id="715"/>
      <w:bookmarkEnd w:id="716"/>
      <w:bookmarkEnd w:id="717"/>
      <w:bookmarkEnd w:id="718"/>
      <w:r>
        <w:rPr>
          <w:rFonts w:hint="eastAsia" w:ascii="宋体" w:hAnsi="宋体" w:eastAsia="宋体" w:cs="宋体"/>
          <w:b/>
          <w:bCs/>
          <w:color w:val="auto"/>
          <w:sz w:val="21"/>
          <w:szCs w:val="21"/>
          <w:highlight w:val="none"/>
        </w:rPr>
        <w:t>合同价格、计量与支付</w:t>
      </w:r>
      <w:bookmarkEnd w:id="719"/>
      <w:bookmarkEnd w:id="728"/>
      <w:bookmarkEnd w:id="729"/>
    </w:p>
    <w:bookmarkEnd w:id="720"/>
    <w:bookmarkEnd w:id="721"/>
    <w:bookmarkEnd w:id="722"/>
    <w:bookmarkEnd w:id="723"/>
    <w:bookmarkEnd w:id="724"/>
    <w:bookmarkEnd w:id="725"/>
    <w:p w14:paraId="30444599">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730" w:name="_Toc267251461"/>
      <w:bookmarkStart w:id="731" w:name="_Toc292559916"/>
      <w:bookmarkStart w:id="732" w:name="_Toc292559411"/>
      <w:bookmarkStart w:id="733" w:name="_Toc297048392"/>
      <w:bookmarkStart w:id="734" w:name="_Toc296503206"/>
      <w:bookmarkStart w:id="735" w:name="_Toc296347205"/>
      <w:bookmarkStart w:id="736" w:name="_Toc296944545"/>
      <w:bookmarkStart w:id="737" w:name="_Toc296346707"/>
      <w:bookmarkStart w:id="738" w:name="_Toc296891246"/>
      <w:bookmarkStart w:id="739" w:name="_Toc296891034"/>
      <w:bookmarkStart w:id="740" w:name="_Toc297120506"/>
      <w:bookmarkStart w:id="741" w:name="_Toc532375647"/>
      <w:bookmarkStart w:id="742" w:name="_Toc532377383"/>
      <w:bookmarkStart w:id="743" w:name="_Toc297216212"/>
      <w:bookmarkStart w:id="744" w:name="_Toc303539160"/>
      <w:bookmarkStart w:id="745" w:name="_Toc300935003"/>
      <w:bookmarkStart w:id="746" w:name="_Toc304295580"/>
      <w:bookmarkStart w:id="747" w:name="_Toc312678041"/>
      <w:bookmarkStart w:id="748" w:name="_Toc297123553"/>
      <w:r>
        <w:rPr>
          <w:rFonts w:hint="eastAsia" w:ascii="宋体" w:hAnsi="宋体" w:eastAsia="宋体" w:cs="宋体"/>
          <w:b/>
          <w:bCs/>
          <w:color w:val="auto"/>
          <w:sz w:val="21"/>
          <w:szCs w:val="21"/>
          <w:highlight w:val="none"/>
        </w:rPr>
        <w:t>12.1 合</w:t>
      </w:r>
      <w:bookmarkEnd w:id="730"/>
      <w:bookmarkEnd w:id="731"/>
      <w:bookmarkEnd w:id="732"/>
      <w:r>
        <w:rPr>
          <w:rFonts w:hint="eastAsia" w:ascii="宋体" w:hAnsi="宋体" w:eastAsia="宋体" w:cs="宋体"/>
          <w:b/>
          <w:bCs/>
          <w:color w:val="auto"/>
          <w:sz w:val="21"/>
          <w:szCs w:val="21"/>
          <w:highlight w:val="none"/>
        </w:rPr>
        <w:t>同价</w:t>
      </w:r>
      <w:bookmarkEnd w:id="733"/>
      <w:bookmarkEnd w:id="734"/>
      <w:bookmarkEnd w:id="735"/>
      <w:bookmarkEnd w:id="736"/>
      <w:bookmarkEnd w:id="737"/>
      <w:bookmarkEnd w:id="738"/>
      <w:bookmarkEnd w:id="739"/>
      <w:bookmarkEnd w:id="740"/>
      <w:r>
        <w:rPr>
          <w:rFonts w:hint="eastAsia" w:ascii="宋体" w:hAnsi="宋体" w:eastAsia="宋体" w:cs="宋体"/>
          <w:b/>
          <w:bCs/>
          <w:color w:val="auto"/>
          <w:sz w:val="21"/>
          <w:szCs w:val="21"/>
          <w:highlight w:val="none"/>
        </w:rPr>
        <w:t>格形式</w:t>
      </w:r>
      <w:bookmarkEnd w:id="741"/>
      <w:bookmarkEnd w:id="742"/>
    </w:p>
    <w:bookmarkEnd w:id="743"/>
    <w:bookmarkEnd w:id="744"/>
    <w:bookmarkEnd w:id="745"/>
    <w:bookmarkEnd w:id="746"/>
    <w:bookmarkEnd w:id="747"/>
    <w:bookmarkEnd w:id="748"/>
    <w:p w14:paraId="0B6116F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固定单价合同。</w:t>
      </w:r>
    </w:p>
    <w:p w14:paraId="689F8977">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w:t>
      </w:r>
      <w:bookmarkStart w:id="749" w:name="_Hlk528508096"/>
      <w:r>
        <w:rPr>
          <w:rFonts w:hint="eastAsia" w:ascii="宋体" w:hAnsi="宋体" w:eastAsia="宋体" w:cs="宋体"/>
          <w:color w:val="auto"/>
          <w:sz w:val="21"/>
          <w:szCs w:val="21"/>
          <w:highlight w:val="none"/>
          <w:u w:val="single"/>
        </w:rPr>
        <w:t>第11.1款〔市场价格波动引起的调整〕约定范围内的市场价格波动风险、政策性文件规定的各项应有费用、</w:t>
      </w:r>
      <w:bookmarkEnd w:id="749"/>
      <w:r>
        <w:rPr>
          <w:rFonts w:hint="eastAsia" w:ascii="宋体" w:hAnsi="宋体" w:eastAsia="宋体" w:cs="宋体"/>
          <w:color w:val="auto"/>
          <w:sz w:val="21"/>
          <w:szCs w:val="21"/>
          <w:highlight w:val="none"/>
          <w:u w:val="single"/>
          <w:lang w:eastAsia="zh-CN"/>
        </w:rPr>
        <w:t>响应文件</w:t>
      </w:r>
      <w:r>
        <w:rPr>
          <w:rFonts w:hint="eastAsia" w:ascii="宋体" w:hAnsi="宋体" w:eastAsia="宋体" w:cs="宋体"/>
          <w:color w:val="auto"/>
          <w:sz w:val="21"/>
          <w:szCs w:val="21"/>
          <w:highlight w:val="none"/>
          <w:u w:val="single"/>
        </w:rPr>
        <w:t>和合同明示或暗示的应由承包人承担的所有责任、义务和风险等所需的费用</w:t>
      </w:r>
      <w:r>
        <w:rPr>
          <w:rFonts w:hint="eastAsia" w:ascii="宋体" w:hAnsi="宋体" w:eastAsia="宋体" w:cs="宋体"/>
          <w:color w:val="auto"/>
          <w:sz w:val="21"/>
          <w:szCs w:val="21"/>
          <w:highlight w:val="none"/>
        </w:rPr>
        <w:t>。</w:t>
      </w:r>
    </w:p>
    <w:p w14:paraId="0BE070B3">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由承包人自行考虑并计入签约合同价格中，包干使用</w:t>
      </w:r>
      <w:r>
        <w:rPr>
          <w:rFonts w:hint="eastAsia" w:ascii="宋体" w:hAnsi="宋体" w:eastAsia="宋体" w:cs="宋体"/>
          <w:color w:val="auto"/>
          <w:sz w:val="21"/>
          <w:szCs w:val="21"/>
          <w:highlight w:val="none"/>
        </w:rPr>
        <w:t>。</w:t>
      </w:r>
    </w:p>
    <w:p w14:paraId="7AB13616">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按照合同相关条款约定执行</w:t>
      </w:r>
      <w:r>
        <w:rPr>
          <w:rFonts w:hint="eastAsia" w:ascii="宋体" w:hAnsi="宋体" w:eastAsia="宋体" w:cs="宋体"/>
          <w:color w:val="auto"/>
          <w:sz w:val="21"/>
          <w:szCs w:val="21"/>
          <w:highlight w:val="none"/>
        </w:rPr>
        <w:t>。</w:t>
      </w:r>
    </w:p>
    <w:p w14:paraId="62F55ADE">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750" w:name="_Toc532375648"/>
      <w:bookmarkStart w:id="751" w:name="_Toc532377384"/>
      <w:bookmarkStart w:id="752" w:name="_Toc303539161"/>
      <w:bookmarkStart w:id="753" w:name="_Toc297216213"/>
      <w:bookmarkStart w:id="754" w:name="_Toc312678042"/>
      <w:bookmarkStart w:id="755" w:name="_Toc300935004"/>
      <w:bookmarkStart w:id="756" w:name="_Toc297123554"/>
      <w:bookmarkStart w:id="757" w:name="_Toc304295581"/>
      <w:bookmarkStart w:id="758" w:name="_Toc296891247"/>
      <w:bookmarkStart w:id="759" w:name="_Toc297120507"/>
      <w:bookmarkStart w:id="760" w:name="_Toc296944546"/>
      <w:bookmarkStart w:id="761" w:name="_Toc296503207"/>
      <w:bookmarkStart w:id="762" w:name="_Toc292559917"/>
      <w:bookmarkStart w:id="763" w:name="_Toc292559412"/>
      <w:bookmarkStart w:id="764" w:name="_Toc296347206"/>
      <w:bookmarkStart w:id="765" w:name="_Toc296891035"/>
      <w:bookmarkStart w:id="766" w:name="_Toc297048393"/>
      <w:bookmarkStart w:id="767" w:name="_Toc296346708"/>
      <w:r>
        <w:rPr>
          <w:rFonts w:hint="eastAsia" w:ascii="宋体" w:hAnsi="宋体" w:eastAsia="宋体" w:cs="宋体"/>
          <w:b/>
          <w:bCs/>
          <w:color w:val="auto"/>
          <w:sz w:val="21"/>
          <w:szCs w:val="21"/>
          <w:highlight w:val="none"/>
        </w:rPr>
        <w:t>12.2 预付款</w:t>
      </w:r>
      <w:bookmarkEnd w:id="750"/>
      <w:bookmarkEnd w:id="751"/>
    </w:p>
    <w:bookmarkEnd w:id="752"/>
    <w:bookmarkEnd w:id="753"/>
    <w:bookmarkEnd w:id="754"/>
    <w:bookmarkEnd w:id="755"/>
    <w:bookmarkEnd w:id="756"/>
    <w:bookmarkEnd w:id="757"/>
    <w:p w14:paraId="0A78F4E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2E9FF51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50B380C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预付款支付期限：无。</w:t>
      </w:r>
    </w:p>
    <w:p w14:paraId="457362B9">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7B3F105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7BDAA1C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16C783F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6C9E5F3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预付款担保的金额：</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678A9B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363304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预付款担保的期限：</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7DADE9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预付款担保的退还时间：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758"/>
    <w:bookmarkEnd w:id="759"/>
    <w:bookmarkEnd w:id="760"/>
    <w:bookmarkEnd w:id="761"/>
    <w:bookmarkEnd w:id="762"/>
    <w:bookmarkEnd w:id="763"/>
    <w:bookmarkEnd w:id="764"/>
    <w:bookmarkEnd w:id="765"/>
    <w:bookmarkEnd w:id="766"/>
    <w:bookmarkEnd w:id="767"/>
    <w:p w14:paraId="68405961">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768" w:name="_Toc532375649"/>
      <w:bookmarkStart w:id="769" w:name="_Toc532377385"/>
      <w:r>
        <w:rPr>
          <w:rFonts w:hint="eastAsia" w:ascii="宋体" w:hAnsi="宋体" w:eastAsia="宋体" w:cs="宋体"/>
          <w:b/>
          <w:bCs/>
          <w:color w:val="auto"/>
          <w:sz w:val="21"/>
          <w:szCs w:val="21"/>
          <w:highlight w:val="none"/>
        </w:rPr>
        <w:t>12.3 计量</w:t>
      </w:r>
      <w:bookmarkEnd w:id="768"/>
      <w:bookmarkEnd w:id="769"/>
    </w:p>
    <w:p w14:paraId="63C684F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770" w:name="_Hlk528928260"/>
      <w:r>
        <w:rPr>
          <w:rFonts w:hint="eastAsia" w:ascii="宋体" w:hAnsi="宋体" w:eastAsia="宋体" w:cs="宋体"/>
          <w:color w:val="auto"/>
          <w:sz w:val="21"/>
          <w:szCs w:val="21"/>
          <w:highlight w:val="none"/>
        </w:rPr>
        <w:t>12.3.1 计量原则</w:t>
      </w:r>
    </w:p>
    <w:p w14:paraId="371B96DC">
      <w:pPr>
        <w:tabs>
          <w:tab w:val="left" w:pos="1134"/>
        </w:tabs>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按《重庆市建设工程工程量清单计价规则》（CQJJGZ-2013）、《重庆市建设工程工程量计算规则》（CQJLGZ-2013）、《重庆市通用安装工程计价定额》（CQAZDE-2018）、《重庆市建设工程费用定额》(CQFYDE-2018）、重庆市建设工程造价管理总站《关于颁发2018年重庆市建设工程计价定额综合解释的通知》（渝建价发〔2019〕16号）</w:t>
      </w:r>
      <w:r>
        <w:rPr>
          <w:rFonts w:hint="eastAsia" w:ascii="宋体" w:hAnsi="宋体" w:eastAsia="宋体" w:cs="宋体"/>
          <w:color w:val="auto"/>
          <w:sz w:val="21"/>
          <w:szCs w:val="21"/>
          <w:highlight w:val="none"/>
          <w:u w:val="none"/>
        </w:rPr>
        <w:t>及相关配套文件和</w:t>
      </w:r>
      <w:r>
        <w:rPr>
          <w:rFonts w:hint="eastAsia" w:ascii="宋体" w:hAnsi="宋体" w:eastAsia="宋体" w:cs="宋体"/>
          <w:color w:val="auto"/>
          <w:sz w:val="21"/>
          <w:szCs w:val="21"/>
          <w:highlight w:val="none"/>
        </w:rPr>
        <w:t>国家及重庆市的相关规范、标准等规定的计算规则及已标价工程量清单规定的工程量计算规则计量。</w:t>
      </w:r>
    </w:p>
    <w:bookmarkEnd w:id="770"/>
    <w:p w14:paraId="56E4EA8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29E34F4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按月计量根据具体项目实际情况可以按月、按进度、按节点等形式计量，按进度、按节点计量的参考按月计量原则执行）</w:t>
      </w:r>
      <w:r>
        <w:rPr>
          <w:rFonts w:hint="eastAsia" w:ascii="宋体" w:hAnsi="宋体" w:eastAsia="宋体" w:cs="宋体"/>
          <w:color w:val="auto"/>
          <w:sz w:val="21"/>
          <w:szCs w:val="21"/>
          <w:highlight w:val="none"/>
        </w:rPr>
        <w:t>。</w:t>
      </w:r>
    </w:p>
    <w:p w14:paraId="55ECDFA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035E5E9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p>
    <w:p w14:paraId="304CED29">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bookmarkStart w:id="771" w:name="_Hlk528926162"/>
      <w:r>
        <w:rPr>
          <w:rFonts w:hint="eastAsia" w:ascii="宋体" w:hAnsi="宋体" w:eastAsia="宋体" w:cs="宋体"/>
          <w:color w:val="auto"/>
          <w:sz w:val="21"/>
          <w:szCs w:val="21"/>
          <w:highlight w:val="none"/>
          <w:u w:val="single"/>
        </w:rPr>
        <w:t>（1）承包人应于当月25日前向监理人报送上月已完成的工程量，并附进度付款申请单、已完成工程量报表和其他有关资料</w:t>
      </w:r>
      <w:r>
        <w:rPr>
          <w:rFonts w:hint="eastAsia" w:ascii="宋体" w:hAnsi="宋体" w:eastAsia="宋体" w:cs="宋体"/>
          <w:color w:val="auto"/>
          <w:sz w:val="21"/>
          <w:szCs w:val="21"/>
          <w:highlight w:val="none"/>
        </w:rPr>
        <w:t>。</w:t>
      </w:r>
    </w:p>
    <w:bookmarkEnd w:id="771"/>
    <w:p w14:paraId="09B2B61E">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eastAsia="宋体" w:cs="宋体"/>
          <w:color w:val="auto"/>
          <w:sz w:val="21"/>
          <w:szCs w:val="21"/>
          <w:highlight w:val="none"/>
        </w:rPr>
        <w:t>。</w:t>
      </w:r>
    </w:p>
    <w:p w14:paraId="61FDB0E4">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发包人任一方对工程量有异议的，均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r>
        <w:rPr>
          <w:rFonts w:hint="eastAsia" w:ascii="宋体" w:hAnsi="宋体" w:eastAsia="宋体" w:cs="宋体"/>
          <w:color w:val="auto"/>
          <w:sz w:val="21"/>
          <w:szCs w:val="21"/>
          <w:highlight w:val="none"/>
        </w:rPr>
        <w:t>。</w:t>
      </w:r>
    </w:p>
    <w:p w14:paraId="1041A77F">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eastAsia="宋体" w:cs="宋体"/>
          <w:color w:val="auto"/>
          <w:sz w:val="21"/>
          <w:szCs w:val="21"/>
          <w:highlight w:val="none"/>
        </w:rPr>
        <w:t>。</w:t>
      </w:r>
    </w:p>
    <w:p w14:paraId="57E376F1">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772" w:name="_Toc532377386"/>
      <w:bookmarkStart w:id="773" w:name="_Toc532375650"/>
      <w:bookmarkStart w:id="774" w:name="_Hlk528928289"/>
      <w:r>
        <w:rPr>
          <w:rFonts w:hint="eastAsia" w:ascii="宋体" w:hAnsi="宋体" w:eastAsia="宋体" w:cs="宋体"/>
          <w:b/>
          <w:bCs/>
          <w:color w:val="auto"/>
          <w:sz w:val="21"/>
          <w:szCs w:val="21"/>
          <w:highlight w:val="none"/>
        </w:rPr>
        <w:t>12.4 工程进度款支付</w:t>
      </w:r>
      <w:bookmarkEnd w:id="772"/>
      <w:bookmarkEnd w:id="773"/>
    </w:p>
    <w:bookmarkEnd w:id="774"/>
    <w:p w14:paraId="4455B82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14:paraId="5661FCA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付款的约定：</w:t>
      </w:r>
      <w:r>
        <w:rPr>
          <w:rFonts w:hint="eastAsia" w:ascii="宋体" w:hAnsi="宋体" w:eastAsia="宋体" w:cs="宋体"/>
          <w:color w:val="auto"/>
          <w:sz w:val="21"/>
          <w:szCs w:val="21"/>
          <w:highlight w:val="none"/>
          <w:u w:val="single"/>
        </w:rPr>
        <w:t>按进度支付</w:t>
      </w:r>
      <w:r>
        <w:rPr>
          <w:rFonts w:hint="eastAsia" w:ascii="宋体" w:hAnsi="宋体" w:eastAsia="宋体" w:cs="宋体"/>
          <w:color w:val="auto"/>
          <w:sz w:val="21"/>
          <w:szCs w:val="21"/>
          <w:highlight w:val="none"/>
        </w:rPr>
        <w:t>。</w:t>
      </w:r>
    </w:p>
    <w:p w14:paraId="09688E6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0986301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进度付款申请单应包括下列内容：</w:t>
      </w:r>
    </w:p>
    <w:p w14:paraId="004C803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（1）截至本次付款周期已完成工作对应的金额</w:t>
      </w:r>
      <w:r>
        <w:rPr>
          <w:rFonts w:hint="eastAsia" w:ascii="宋体" w:hAnsi="宋体" w:eastAsia="宋体" w:cs="宋体"/>
          <w:color w:val="auto"/>
          <w:sz w:val="21"/>
          <w:szCs w:val="21"/>
          <w:highlight w:val="none"/>
        </w:rPr>
        <w:t>；</w:t>
      </w:r>
    </w:p>
    <w:p w14:paraId="131F134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（2）根据第10条〔变更〕应增加和扣减的已审定变更金额</w:t>
      </w:r>
      <w:r>
        <w:rPr>
          <w:rFonts w:hint="eastAsia" w:ascii="宋体" w:hAnsi="宋体" w:eastAsia="宋体" w:cs="宋体"/>
          <w:color w:val="auto"/>
          <w:sz w:val="21"/>
          <w:szCs w:val="21"/>
          <w:highlight w:val="none"/>
        </w:rPr>
        <w:t>；</w:t>
      </w:r>
    </w:p>
    <w:p w14:paraId="04D91E1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（3）根据第12.2款〔预付款〕约定应支付的预付款和扣减的返还预付款</w:t>
      </w:r>
      <w:r>
        <w:rPr>
          <w:rFonts w:hint="eastAsia" w:ascii="宋体" w:hAnsi="宋体" w:eastAsia="宋体" w:cs="宋体"/>
          <w:color w:val="auto"/>
          <w:sz w:val="21"/>
          <w:szCs w:val="21"/>
          <w:highlight w:val="none"/>
        </w:rPr>
        <w:t>；</w:t>
      </w:r>
    </w:p>
    <w:p w14:paraId="47DBE1E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（4）根据第15.3款〔质量保证金〕约定应扣减的质量保证金</w:t>
      </w:r>
      <w:r>
        <w:rPr>
          <w:rFonts w:hint="eastAsia" w:ascii="宋体" w:hAnsi="宋体" w:eastAsia="宋体" w:cs="宋体"/>
          <w:color w:val="auto"/>
          <w:sz w:val="21"/>
          <w:szCs w:val="21"/>
          <w:highlight w:val="none"/>
        </w:rPr>
        <w:t>；</w:t>
      </w:r>
    </w:p>
    <w:p w14:paraId="1AE992B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（5）根据第19条〔索赔〕应增加和扣减的已审定索赔金额</w:t>
      </w:r>
      <w:r>
        <w:rPr>
          <w:rFonts w:hint="eastAsia" w:ascii="宋体" w:hAnsi="宋体" w:eastAsia="宋体" w:cs="宋体"/>
          <w:color w:val="auto"/>
          <w:sz w:val="21"/>
          <w:szCs w:val="21"/>
          <w:highlight w:val="none"/>
        </w:rPr>
        <w:t>；</w:t>
      </w:r>
    </w:p>
    <w:p w14:paraId="16B79E4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（6）根据第11条〔价格调整〕应增加和扣减的价格调整金额</w:t>
      </w:r>
      <w:r>
        <w:rPr>
          <w:rFonts w:hint="eastAsia" w:ascii="宋体" w:hAnsi="宋体" w:eastAsia="宋体" w:cs="宋体"/>
          <w:color w:val="auto"/>
          <w:sz w:val="21"/>
          <w:szCs w:val="21"/>
          <w:highlight w:val="none"/>
        </w:rPr>
        <w:t>；</w:t>
      </w:r>
    </w:p>
    <w:p w14:paraId="66527F7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（7）对已签发的进度款支付证书中出现错误的修正，应在本次进度付款中支付或扣除的金额</w:t>
      </w:r>
      <w:r>
        <w:rPr>
          <w:rFonts w:hint="eastAsia" w:ascii="宋体" w:hAnsi="宋体" w:eastAsia="宋体" w:cs="宋体"/>
          <w:color w:val="auto"/>
          <w:sz w:val="21"/>
          <w:szCs w:val="21"/>
          <w:highlight w:val="none"/>
        </w:rPr>
        <w:t>；</w:t>
      </w:r>
    </w:p>
    <w:p w14:paraId="0A549E9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（8）根据合同约定承包人应向发包人支付的违约金</w:t>
      </w:r>
      <w:r>
        <w:rPr>
          <w:rFonts w:hint="eastAsia" w:ascii="宋体" w:hAnsi="宋体" w:eastAsia="宋体" w:cs="宋体"/>
          <w:color w:val="auto"/>
          <w:sz w:val="21"/>
          <w:szCs w:val="21"/>
          <w:highlight w:val="none"/>
        </w:rPr>
        <w:t>；</w:t>
      </w:r>
    </w:p>
    <w:p w14:paraId="1220EA7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（9）根据合同约定发包人应向承包人支付的违约金和（或）奖励</w:t>
      </w:r>
      <w:r>
        <w:rPr>
          <w:rFonts w:hint="eastAsia" w:ascii="宋体" w:hAnsi="宋体" w:eastAsia="宋体" w:cs="宋体"/>
          <w:color w:val="auto"/>
          <w:sz w:val="21"/>
          <w:szCs w:val="21"/>
          <w:highlight w:val="none"/>
        </w:rPr>
        <w:t>；</w:t>
      </w:r>
    </w:p>
    <w:p w14:paraId="4D1CC56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（10）根据合同约定应增加和扣减的其他金额</w:t>
      </w:r>
      <w:r>
        <w:rPr>
          <w:rFonts w:hint="eastAsia" w:ascii="宋体" w:hAnsi="宋体" w:eastAsia="宋体" w:cs="宋体"/>
          <w:color w:val="auto"/>
          <w:sz w:val="21"/>
          <w:szCs w:val="21"/>
          <w:highlight w:val="none"/>
        </w:rPr>
        <w:t>；</w:t>
      </w:r>
    </w:p>
    <w:p w14:paraId="237C8BF8">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（11）当月应支付的人工费（工资款）金额</w:t>
      </w:r>
      <w:r>
        <w:rPr>
          <w:rFonts w:hint="eastAsia" w:ascii="宋体" w:hAnsi="宋体" w:eastAsia="宋体" w:cs="宋体"/>
          <w:color w:val="auto"/>
          <w:sz w:val="21"/>
          <w:szCs w:val="21"/>
          <w:highlight w:val="none"/>
        </w:rPr>
        <w:t>。</w:t>
      </w:r>
    </w:p>
    <w:p w14:paraId="0934D74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4F3DC86A">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按照第12.3.3项〔单价合同的计量〕约定的时间按月向监理人提交，并附上已完成工程量报表及有关资料。单价合同中的总价子目按工程形象进度分月计量后汇总列入当期进度付款申请单</w:t>
      </w:r>
      <w:r>
        <w:rPr>
          <w:rFonts w:hint="eastAsia" w:ascii="宋体" w:hAnsi="宋体" w:eastAsia="宋体" w:cs="宋体"/>
          <w:color w:val="auto"/>
          <w:sz w:val="21"/>
          <w:szCs w:val="21"/>
          <w:highlight w:val="none"/>
        </w:rPr>
        <w:t>。</w:t>
      </w:r>
    </w:p>
    <w:p w14:paraId="0F7D60B8">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7A072236">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不采用</w:t>
      </w:r>
      <w:r>
        <w:rPr>
          <w:rFonts w:hint="eastAsia" w:ascii="宋体" w:hAnsi="宋体" w:eastAsia="宋体" w:cs="宋体"/>
          <w:color w:val="auto"/>
          <w:sz w:val="21"/>
          <w:szCs w:val="21"/>
          <w:highlight w:val="none"/>
        </w:rPr>
        <w:t>。</w:t>
      </w:r>
    </w:p>
    <w:p w14:paraId="7D0E97F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1B6C9002">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收到完整资料后7天内</w:t>
      </w:r>
      <w:r>
        <w:rPr>
          <w:rFonts w:hint="eastAsia" w:ascii="宋体" w:hAnsi="宋体" w:eastAsia="宋体" w:cs="宋体"/>
          <w:color w:val="auto"/>
          <w:sz w:val="21"/>
          <w:szCs w:val="21"/>
          <w:highlight w:val="none"/>
        </w:rPr>
        <w:t>。</w:t>
      </w:r>
    </w:p>
    <w:p w14:paraId="3FEE7026">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发包人收到监理人报送资料后7天内完成审批并签发进度款支付证书</w:t>
      </w:r>
      <w:r>
        <w:rPr>
          <w:rFonts w:hint="eastAsia" w:ascii="宋体" w:hAnsi="宋体" w:eastAsia="宋体" w:cs="宋体"/>
          <w:color w:val="auto"/>
          <w:sz w:val="21"/>
          <w:szCs w:val="21"/>
          <w:highlight w:val="none"/>
        </w:rPr>
        <w:t>。</w:t>
      </w:r>
    </w:p>
    <w:p w14:paraId="294EA7A7">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监理人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70B35893">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发包人签发进度款支付证书或临时进度款支付证书，不表明发包人已同意、批准或接受了承包人完成的相应部分的工作。</w:t>
      </w:r>
    </w:p>
    <w:p w14:paraId="3D28B6D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（2）进度款支付：</w:t>
      </w:r>
    </w:p>
    <w:p w14:paraId="7E13FB0E">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每月进度款支付比例为经监理单位、工程造价监控单位（如有）、发包人审定的已完合格工程量计价的</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0%(若经业主批准的设计变更及增加的工作内容，需完善变更报批程序)，工程竣工验收合格后14天内，发包人向承包人支付至累计进度合同金额的85%；完成结算审核后28天内，发包人向承包人支付至结算审定金额的97%；无缺陷责任期满后28天内发包人向承包人支付质量保证金。</w:t>
      </w:r>
    </w:p>
    <w:p w14:paraId="0E587AD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注：上述进度款支付的范围仅为签约合同价（已标价工程量清单）范围内的金额，不包含项目实施过程中的清单与图纸量差、变更、现场签证、洽商、索赔、材料和人工价差等任何引起合同金额增加的内容。该部分内容（如有）及相应增加的造价不纳入进度款支付，一律进入结算审核，并在结算终审办理完成后予以支付。</w:t>
      </w:r>
    </w:p>
    <w:p w14:paraId="736B5FD1">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775" w:name="_Toc532377387"/>
      <w:bookmarkStart w:id="776" w:name="_Toc351203585"/>
      <w:r>
        <w:rPr>
          <w:rFonts w:hint="eastAsia" w:ascii="宋体" w:hAnsi="宋体" w:eastAsia="宋体" w:cs="宋体"/>
          <w:b/>
          <w:bCs/>
          <w:color w:val="auto"/>
          <w:sz w:val="21"/>
          <w:szCs w:val="21"/>
          <w:highlight w:val="none"/>
        </w:rPr>
        <w:t>12.5支付账户</w:t>
      </w:r>
      <w:bookmarkEnd w:id="775"/>
      <w:bookmarkEnd w:id="776"/>
    </w:p>
    <w:p w14:paraId="575ADE8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发包人应将合同价款支付至如下承包人指定的开户银行及银行账户：</w:t>
      </w:r>
    </w:p>
    <w:p w14:paraId="1D1BBC95">
      <w:pPr>
        <w:spacing w:line="360" w:lineRule="auto"/>
        <w:ind w:firstLine="420" w:firstLineChars="200"/>
        <w:jc w:val="left"/>
        <w:rPr>
          <w:rFonts w:hint="eastAsia" w:ascii="宋体" w:hAnsi="宋体" w:eastAsia="宋体" w:cs="宋体"/>
          <w:color w:val="auto"/>
          <w:kern w:val="0"/>
          <w:sz w:val="21"/>
          <w:szCs w:val="21"/>
          <w:highlight w:val="none"/>
          <w:u w:val="single"/>
        </w:rPr>
      </w:pPr>
      <w:bookmarkStart w:id="777" w:name="_Toc532377388"/>
      <w:bookmarkStart w:id="778" w:name="_Toc532375651"/>
      <w:bookmarkStart w:id="779" w:name="_Toc351203645"/>
      <w:bookmarkStart w:id="780" w:name="_Toc297123564"/>
      <w:bookmarkStart w:id="781" w:name="_Toc297120519"/>
      <w:bookmarkStart w:id="782" w:name="_Toc312678053"/>
      <w:bookmarkStart w:id="783" w:name="_Toc303539172"/>
      <w:bookmarkStart w:id="784" w:name="_Toc297216223"/>
      <w:bookmarkStart w:id="785" w:name="_Toc296346720"/>
      <w:bookmarkStart w:id="786" w:name="_Toc296891259"/>
      <w:bookmarkStart w:id="787" w:name="_Toc297048405"/>
      <w:bookmarkStart w:id="788" w:name="_Toc296503219"/>
      <w:bookmarkStart w:id="789" w:name="_Toc296347218"/>
      <w:bookmarkStart w:id="790" w:name="_Toc292559424"/>
      <w:bookmarkStart w:id="791" w:name="_Toc300935015"/>
      <w:bookmarkStart w:id="792" w:name="_Toc296891047"/>
      <w:bookmarkStart w:id="793" w:name="_Toc296944558"/>
      <w:bookmarkStart w:id="794" w:name="_Toc304295593"/>
      <w:bookmarkStart w:id="795" w:name="_Toc292559929"/>
      <w:r>
        <w:rPr>
          <w:rFonts w:hint="eastAsia" w:ascii="宋体" w:hAnsi="宋体" w:eastAsia="宋体" w:cs="宋体"/>
          <w:color w:val="auto"/>
          <w:kern w:val="0"/>
          <w:sz w:val="21"/>
          <w:szCs w:val="21"/>
          <w:highlight w:val="none"/>
        </w:rPr>
        <w:t>收款单位名称：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A42D3B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收款账号：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8C216D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收款开户银行：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5673C56">
      <w:pPr>
        <w:keepNext/>
        <w:keepLines/>
        <w:adjustRightInd w:val="0"/>
        <w:snapToGrid w:val="0"/>
        <w:spacing w:line="360" w:lineRule="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 验收和工程试车</w:t>
      </w:r>
      <w:bookmarkEnd w:id="777"/>
      <w:bookmarkEnd w:id="778"/>
      <w:bookmarkEnd w:id="779"/>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14:paraId="0D37856A">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796" w:name="_Toc532377389"/>
      <w:bookmarkStart w:id="797" w:name="_Toc532375652"/>
      <w:bookmarkStart w:id="798" w:name="_Toc280868704"/>
      <w:bookmarkStart w:id="799" w:name="_Toc280868705"/>
      <w:bookmarkStart w:id="800" w:name="_Toc280868706"/>
      <w:bookmarkStart w:id="801" w:name="_Toc280868707"/>
      <w:bookmarkStart w:id="802" w:name="_Toc280868708"/>
      <w:bookmarkStart w:id="803" w:name="_Toc267251474"/>
      <w:bookmarkStart w:id="804" w:name="_Toc267251473"/>
      <w:bookmarkStart w:id="805" w:name="_Toc267251475"/>
      <w:bookmarkStart w:id="806" w:name="_Toc267251470"/>
      <w:bookmarkStart w:id="807" w:name="_Toc267251472"/>
      <w:bookmarkStart w:id="808" w:name="_Toc267251476"/>
      <w:bookmarkStart w:id="809" w:name="_Toc267251471"/>
      <w:bookmarkStart w:id="810" w:name="_Toc280868709"/>
      <w:r>
        <w:rPr>
          <w:rFonts w:hint="eastAsia" w:ascii="宋体" w:hAnsi="宋体" w:eastAsia="宋体" w:cs="宋体"/>
          <w:b/>
          <w:bCs/>
          <w:color w:val="auto"/>
          <w:sz w:val="21"/>
          <w:szCs w:val="21"/>
          <w:highlight w:val="none"/>
        </w:rPr>
        <w:t>13.1 分部分项工程验收</w:t>
      </w:r>
      <w:bookmarkEnd w:id="796"/>
      <w:bookmarkEnd w:id="797"/>
    </w:p>
    <w:p w14:paraId="1D13F94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13.1.1 监理人不能按时进行验收时，应提前</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小时提交书面延期要求。</w:t>
      </w:r>
    </w:p>
    <w:p w14:paraId="17F91A5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rPr>
        <w:t>小时。</w:t>
      </w:r>
    </w:p>
    <w:p w14:paraId="66DF1752">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11" w:name="_Toc532375653"/>
      <w:bookmarkStart w:id="812" w:name="_Toc532377390"/>
      <w:bookmarkStart w:id="813" w:name="_Toc303539173"/>
      <w:bookmarkStart w:id="814" w:name="_Toc297216224"/>
      <w:bookmarkStart w:id="815" w:name="_Toc292559428"/>
      <w:bookmarkStart w:id="816" w:name="_Toc296891051"/>
      <w:bookmarkStart w:id="817" w:name="_Toc297120523"/>
      <w:bookmarkStart w:id="818" w:name="_Toc296503223"/>
      <w:bookmarkStart w:id="819" w:name="_Toc297123565"/>
      <w:bookmarkStart w:id="820" w:name="_Toc297048409"/>
      <w:bookmarkStart w:id="821" w:name="_Toc296944562"/>
      <w:bookmarkStart w:id="822" w:name="_Toc304295596"/>
      <w:bookmarkStart w:id="823" w:name="_Toc292559933"/>
      <w:bookmarkStart w:id="824" w:name="_Toc312678056"/>
      <w:bookmarkStart w:id="825" w:name="_Toc296346724"/>
      <w:bookmarkStart w:id="826" w:name="_Toc296891263"/>
      <w:bookmarkStart w:id="827" w:name="_Toc300935016"/>
      <w:bookmarkStart w:id="828" w:name="_Toc296347222"/>
      <w:r>
        <w:rPr>
          <w:rFonts w:hint="eastAsia" w:ascii="宋体" w:hAnsi="宋体" w:eastAsia="宋体" w:cs="宋体"/>
          <w:b/>
          <w:bCs/>
          <w:color w:val="auto"/>
          <w:sz w:val="21"/>
          <w:szCs w:val="21"/>
          <w:highlight w:val="none"/>
        </w:rPr>
        <w:t>13.2 竣工验收</w:t>
      </w:r>
      <w:bookmarkEnd w:id="811"/>
      <w:bookmarkEnd w:id="812"/>
    </w:p>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14:paraId="57EADFD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13.2.1竣工验收程序</w:t>
      </w:r>
    </w:p>
    <w:bookmarkEnd w:id="798"/>
    <w:p w14:paraId="37B4E53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关于竣工验收程序的约定：工程完工且符合下列条件时，承包人可向发包人提供竣工报告，并要求验收：</w:t>
      </w:r>
    </w:p>
    <w:p w14:paraId="2BD6542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（1）除发包人同意的甩项工作和缺陷修补工作外，合同范围内的全部工程以及有关工作，包括合同要求的试验、试运行以及检验均已完成，并符合合同要求；</w:t>
      </w:r>
    </w:p>
    <w:p w14:paraId="5491664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（2）已按合同约定编制了甩项工作和缺陷修补工作清单以及相应的施工计划；</w:t>
      </w:r>
    </w:p>
    <w:p w14:paraId="0B59ABB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（3）已按合同约定的内容和份数备齐竣工资料。</w:t>
      </w:r>
    </w:p>
    <w:p w14:paraId="3040A48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26F7C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工程竣工及竣工资料：</w:t>
      </w:r>
    </w:p>
    <w:p w14:paraId="5465261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eastAsia="宋体" w:cs="宋体"/>
          <w:color w:val="auto"/>
          <w:sz w:val="21"/>
          <w:szCs w:val="21"/>
          <w:highlight w:val="none"/>
        </w:rPr>
        <w:t>。</w:t>
      </w:r>
    </w:p>
    <w:p w14:paraId="7A94FBC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eastAsia="宋体" w:cs="宋体"/>
          <w:color w:val="auto"/>
          <w:sz w:val="21"/>
          <w:szCs w:val="21"/>
          <w:highlight w:val="none"/>
        </w:rPr>
        <w:t>。</w:t>
      </w:r>
    </w:p>
    <w:p w14:paraId="64547CDC">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（3）承包人提供竣工资料的约定：</w:t>
      </w:r>
      <w:r>
        <w:rPr>
          <w:rFonts w:hint="eastAsia" w:ascii="宋体" w:hAnsi="宋体" w:eastAsia="宋体" w:cs="宋体"/>
          <w:color w:val="auto"/>
          <w:sz w:val="21"/>
          <w:szCs w:val="21"/>
          <w:highlight w:val="none"/>
          <w:u w:val="single"/>
        </w:rPr>
        <w:t>承包人提供纸质版竣工图三套，电子版竣工图二套（刻光盘）</w:t>
      </w:r>
      <w:r>
        <w:rPr>
          <w:rFonts w:hint="eastAsia" w:ascii="宋体" w:hAnsi="宋体" w:eastAsia="宋体" w:cs="宋体"/>
          <w:color w:val="auto"/>
          <w:sz w:val="21"/>
          <w:szCs w:val="21"/>
          <w:highlight w:val="none"/>
        </w:rPr>
        <w:t>。</w:t>
      </w:r>
    </w:p>
    <w:bookmarkEnd w:id="799"/>
    <w:p w14:paraId="547520E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13.2.2移交、接收全部与部分工程</w:t>
      </w:r>
    </w:p>
    <w:bookmarkEnd w:id="800"/>
    <w:p w14:paraId="2037F3B8">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颁发工程接收证书后7天内完成工程的移交</w:t>
      </w:r>
      <w:r>
        <w:rPr>
          <w:rFonts w:hint="eastAsia" w:ascii="宋体" w:hAnsi="宋体" w:eastAsia="宋体" w:cs="宋体"/>
          <w:color w:val="auto"/>
          <w:sz w:val="21"/>
          <w:szCs w:val="21"/>
          <w:highlight w:val="none"/>
        </w:rPr>
        <w:t>。</w:t>
      </w:r>
    </w:p>
    <w:p w14:paraId="57A85E3C">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发包人未按合同约定接收全部或部分工程的，违约金的计算方法为：发包人自应当接收工程之日起承担工程照管、成品保护、保管等与工程有关的各项费用。</w:t>
      </w:r>
    </w:p>
    <w:bookmarkEnd w:id="801"/>
    <w:p w14:paraId="49C77F19">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因承包人自身原因未按时移交工程的，违约金的计算方法为：</w:t>
      </w:r>
      <w:r>
        <w:rPr>
          <w:rFonts w:hint="eastAsia" w:ascii="宋体" w:hAnsi="宋体" w:eastAsia="宋体" w:cs="宋体"/>
          <w:color w:val="auto"/>
          <w:sz w:val="21"/>
          <w:szCs w:val="21"/>
          <w:highlight w:val="none"/>
          <w:u w:val="single"/>
        </w:rPr>
        <w:t>承包人应承担工程照管、成品保护、保管等与工程有关的各项费用，并按经审定结算金额的0.5‰/天支付违约金</w:t>
      </w:r>
      <w:r>
        <w:rPr>
          <w:rFonts w:hint="eastAsia" w:ascii="宋体" w:hAnsi="宋体" w:eastAsia="宋体" w:cs="宋体"/>
          <w:color w:val="auto"/>
          <w:sz w:val="21"/>
          <w:szCs w:val="21"/>
          <w:highlight w:val="none"/>
        </w:rPr>
        <w:t>。</w:t>
      </w:r>
    </w:p>
    <w:p w14:paraId="5C10C8E4">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29" w:name="_Toc532377392"/>
      <w:bookmarkStart w:id="830" w:name="_Toc532375655"/>
      <w:r>
        <w:rPr>
          <w:rFonts w:hint="eastAsia" w:ascii="宋体" w:hAnsi="宋体" w:eastAsia="宋体" w:cs="宋体"/>
          <w:b/>
          <w:bCs/>
          <w:color w:val="auto"/>
          <w:sz w:val="21"/>
          <w:szCs w:val="21"/>
          <w:highlight w:val="none"/>
        </w:rPr>
        <w:t>13.3 竣工退场</w:t>
      </w:r>
      <w:bookmarkEnd w:id="829"/>
      <w:bookmarkEnd w:id="830"/>
    </w:p>
    <w:p w14:paraId="0DA2935B">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eastAsia="宋体" w:cs="宋体"/>
          <w:color w:val="auto"/>
          <w:sz w:val="21"/>
          <w:szCs w:val="21"/>
          <w:highlight w:val="none"/>
        </w:rPr>
        <w:t>。</w:t>
      </w:r>
    </w:p>
    <w:bookmarkEnd w:id="802"/>
    <w:p w14:paraId="00C9935D">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831" w:name="_Toc532375656"/>
      <w:bookmarkStart w:id="832" w:name="_Toc532377393"/>
      <w:bookmarkStart w:id="833" w:name="_Toc351203646"/>
      <w:r>
        <w:rPr>
          <w:rFonts w:hint="eastAsia" w:ascii="宋体" w:hAnsi="宋体" w:eastAsia="宋体" w:cs="宋体"/>
          <w:b/>
          <w:bCs/>
          <w:color w:val="auto"/>
          <w:sz w:val="21"/>
          <w:szCs w:val="21"/>
          <w:highlight w:val="none"/>
        </w:rPr>
        <w:t>14. 竣工结算</w:t>
      </w:r>
      <w:bookmarkEnd w:id="831"/>
      <w:bookmarkEnd w:id="832"/>
      <w:bookmarkEnd w:id="833"/>
    </w:p>
    <w:p w14:paraId="30F39DEB">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34" w:name="_Toc532375657"/>
      <w:bookmarkStart w:id="835" w:name="_Toc532377394"/>
      <w:r>
        <w:rPr>
          <w:rFonts w:hint="eastAsia" w:ascii="宋体" w:hAnsi="宋体" w:eastAsia="宋体" w:cs="宋体"/>
          <w:b/>
          <w:bCs/>
          <w:color w:val="auto"/>
          <w:sz w:val="21"/>
          <w:szCs w:val="21"/>
          <w:highlight w:val="none"/>
        </w:rPr>
        <w:t>14.1 竣工结算申请</w:t>
      </w:r>
      <w:bookmarkEnd w:id="834"/>
      <w:bookmarkEnd w:id="835"/>
    </w:p>
    <w:p w14:paraId="1AD5302B">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承包人应在工程竣工验收合格且报送完整工程竣工资料之日起28天内向监理人、发包人提交竣工结算申请单，并向发包人报送完整的工程竣工资料及经监理人初审确认的完整的竣工结算资料</w:t>
      </w:r>
      <w:bookmarkStart w:id="836" w:name="_Hlk524297994"/>
      <w:r>
        <w:rPr>
          <w:rFonts w:hint="eastAsia" w:ascii="宋体" w:hAnsi="宋体" w:eastAsia="宋体" w:cs="宋体"/>
          <w:color w:val="auto"/>
          <w:sz w:val="21"/>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7532438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竣工结算申请单包括但不限于以下内容：</w:t>
      </w:r>
    </w:p>
    <w:p w14:paraId="1089E07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（1）竣工结算合同价格；</w:t>
      </w:r>
    </w:p>
    <w:p w14:paraId="5E96775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（2）变更增减金额；</w:t>
      </w:r>
    </w:p>
    <w:p w14:paraId="4A021F5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（3）现场签证增减金额；</w:t>
      </w:r>
    </w:p>
    <w:p w14:paraId="71110B7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（4）索赔增减金额；</w:t>
      </w:r>
    </w:p>
    <w:p w14:paraId="256FF3E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（5）奖励、罚金及违约金；</w:t>
      </w:r>
    </w:p>
    <w:p w14:paraId="268F6C1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（6）发包人已支付承包人的款项；</w:t>
      </w:r>
    </w:p>
    <w:p w14:paraId="5983FB5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（7）应扣留的质量保证金；</w:t>
      </w:r>
    </w:p>
    <w:p w14:paraId="4F73E8F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（8）发包人应支付承包人的合同价款。</w:t>
      </w:r>
      <w:bookmarkEnd w:id="836"/>
    </w:p>
    <w:p w14:paraId="058DC935">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37" w:name="_Toc532375658"/>
      <w:bookmarkStart w:id="838" w:name="_Toc532377395"/>
      <w:r>
        <w:rPr>
          <w:rFonts w:hint="eastAsia" w:ascii="宋体" w:hAnsi="宋体" w:eastAsia="宋体" w:cs="宋体"/>
          <w:b/>
          <w:bCs/>
          <w:color w:val="auto"/>
          <w:sz w:val="21"/>
          <w:szCs w:val="21"/>
          <w:highlight w:val="none"/>
        </w:rPr>
        <w:t>14.2 竣工结算审核</w:t>
      </w:r>
      <w:bookmarkEnd w:id="837"/>
      <w:bookmarkEnd w:id="838"/>
    </w:p>
    <w:p w14:paraId="12837662">
      <w:pPr>
        <w:adjustRightInd w:val="0"/>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14.2.1 竣工结算办法</w:t>
      </w:r>
    </w:p>
    <w:p w14:paraId="195E703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14.2.1.1计量原则</w:t>
      </w:r>
    </w:p>
    <w:p w14:paraId="38D1C553">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按照第12.3.1项〔计量原则〕约定执行。</w:t>
      </w:r>
    </w:p>
    <w:p w14:paraId="6673E8D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14.2.1.2计价原则</w:t>
      </w:r>
    </w:p>
    <w:p w14:paraId="26D1D616">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eastAsia="宋体" w:cs="宋体"/>
          <w:color w:val="auto"/>
          <w:sz w:val="21"/>
          <w:szCs w:val="21"/>
          <w:highlight w:val="none"/>
        </w:rPr>
        <w:t>。</w:t>
      </w:r>
    </w:p>
    <w:p w14:paraId="4221CE1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具体结算办法如下：</w:t>
      </w:r>
    </w:p>
    <w:p w14:paraId="62E88E35">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（1）分部分项工程：</w:t>
      </w:r>
    </w:p>
    <w:p w14:paraId="4F1FA1E5">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①已标价工程量清单子目综合单价按合同约定无需调整的，按照竣工图和第12.3.1项〔计量原则〕约定确定的工程量乘以相应的已标价工程量清单子目综合单价确定该部分分部分项工程结算价</w:t>
      </w:r>
      <w:r>
        <w:rPr>
          <w:rFonts w:hint="eastAsia" w:ascii="宋体" w:hAnsi="宋体" w:eastAsia="宋体" w:cs="宋体"/>
          <w:color w:val="auto"/>
          <w:sz w:val="21"/>
          <w:szCs w:val="21"/>
          <w:highlight w:val="none"/>
        </w:rPr>
        <w:t>；</w:t>
      </w:r>
    </w:p>
    <w:p w14:paraId="737A6EE5">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eastAsia="宋体" w:cs="宋体"/>
          <w:color w:val="auto"/>
          <w:sz w:val="21"/>
          <w:szCs w:val="21"/>
          <w:highlight w:val="none"/>
        </w:rPr>
        <w:t>；</w:t>
      </w:r>
    </w:p>
    <w:p w14:paraId="4256DD8E">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eastAsia="宋体" w:cs="宋体"/>
          <w:color w:val="auto"/>
          <w:sz w:val="21"/>
          <w:szCs w:val="21"/>
          <w:highlight w:val="none"/>
        </w:rPr>
        <w:t>；</w:t>
      </w:r>
    </w:p>
    <w:p w14:paraId="1E39BF60">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④合同、已标价工程量清单和</w:t>
      </w:r>
      <w:r>
        <w:rPr>
          <w:rFonts w:hint="eastAsia" w:ascii="宋体" w:hAnsi="宋体" w:eastAsia="宋体" w:cs="宋体"/>
          <w:color w:val="auto"/>
          <w:sz w:val="21"/>
          <w:szCs w:val="21"/>
          <w:highlight w:val="none"/>
          <w:u w:val="single"/>
          <w:lang w:eastAsia="zh-CN"/>
        </w:rPr>
        <w:t>响应文件</w:t>
      </w:r>
      <w:r>
        <w:rPr>
          <w:rFonts w:hint="eastAsia" w:ascii="宋体" w:hAnsi="宋体" w:eastAsia="宋体" w:cs="宋体"/>
          <w:color w:val="auto"/>
          <w:sz w:val="21"/>
          <w:szCs w:val="21"/>
          <w:highlight w:val="none"/>
          <w:u w:val="single"/>
        </w:rPr>
        <w:t>另有约定的，按照其约定执行</w:t>
      </w:r>
      <w:r>
        <w:rPr>
          <w:rFonts w:hint="eastAsia" w:ascii="宋体" w:hAnsi="宋体" w:eastAsia="宋体" w:cs="宋体"/>
          <w:color w:val="auto"/>
          <w:sz w:val="21"/>
          <w:szCs w:val="21"/>
          <w:highlight w:val="none"/>
        </w:rPr>
        <w:t>。</w:t>
      </w:r>
    </w:p>
    <w:p w14:paraId="79F72A8E">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（2）措施项目：</w:t>
      </w:r>
    </w:p>
    <w:p w14:paraId="413C57DC">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eastAsia="宋体" w:cs="宋体"/>
          <w:color w:val="auto"/>
          <w:sz w:val="21"/>
          <w:szCs w:val="21"/>
          <w:highlight w:val="none"/>
        </w:rPr>
        <w:t>。</w:t>
      </w:r>
    </w:p>
    <w:p w14:paraId="2EF2B3BE">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②工程变更引起施工方案改变使措施项目发生变化的，经监理人、发包人确定后可对按第10.4.3项约定执行</w:t>
      </w:r>
      <w:r>
        <w:rPr>
          <w:rFonts w:hint="eastAsia" w:ascii="宋体" w:hAnsi="宋体" w:eastAsia="宋体" w:cs="宋体"/>
          <w:color w:val="auto"/>
          <w:sz w:val="21"/>
          <w:szCs w:val="21"/>
          <w:highlight w:val="none"/>
        </w:rPr>
        <w:t>。</w:t>
      </w:r>
    </w:p>
    <w:p w14:paraId="1151881A">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安全文明施工费按照《重庆市住房和城乡建设委员会关于修订发布&lt;重庆市建设工程安全文明施工费计取及使用管理规定&gt;的通知》（渝建管〔2024〕38号）、《重庆市建设工程费用定额》（CQFYDE-2018）、《重庆市城乡建设委员会关于适用增值税新税率调整建设工程计价依据的通知》（渝建〔2019〕143号）的规定进行结算</w:t>
      </w:r>
      <w:r>
        <w:rPr>
          <w:rFonts w:hint="eastAsia" w:ascii="宋体" w:hAnsi="宋体" w:eastAsia="宋体" w:cs="宋体"/>
          <w:color w:val="auto"/>
          <w:sz w:val="21"/>
          <w:szCs w:val="21"/>
          <w:highlight w:val="none"/>
        </w:rPr>
        <w:t>。</w:t>
      </w:r>
    </w:p>
    <w:p w14:paraId="179FC6CF">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（3）其他项目：</w:t>
      </w:r>
    </w:p>
    <w:p w14:paraId="3F9E70D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①材料（工程设备）暂估价：</w:t>
      </w:r>
      <w:r>
        <w:rPr>
          <w:rFonts w:hint="eastAsia" w:ascii="宋体" w:hAnsi="宋体" w:eastAsia="宋体" w:cs="宋体"/>
          <w:color w:val="auto"/>
          <w:sz w:val="21"/>
          <w:szCs w:val="21"/>
          <w:highlight w:val="none"/>
          <w:u w:val="single"/>
        </w:rPr>
        <w:t>按照第12.3.1项〔计量原则〕约定及对应定额消耗量确定的数量乘以监理人、发包人根据市场行情认质核价确定的价格进行结算</w:t>
      </w:r>
      <w:r>
        <w:rPr>
          <w:rFonts w:hint="eastAsia" w:ascii="宋体" w:hAnsi="宋体" w:eastAsia="宋体" w:cs="宋体"/>
          <w:color w:val="auto"/>
          <w:sz w:val="21"/>
          <w:szCs w:val="21"/>
          <w:highlight w:val="none"/>
        </w:rPr>
        <w:t>。</w:t>
      </w:r>
    </w:p>
    <w:p w14:paraId="77531CC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②专业工程暂估价：</w:t>
      </w:r>
    </w:p>
    <w:p w14:paraId="0FD82B1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1）对于不属于依法必须招标的暂估价项目：按发包人审定的价格进行结算</w:t>
      </w:r>
      <w:r>
        <w:rPr>
          <w:rFonts w:hint="eastAsia" w:ascii="宋体" w:hAnsi="宋体" w:eastAsia="宋体" w:cs="宋体"/>
          <w:color w:val="auto"/>
          <w:sz w:val="21"/>
          <w:szCs w:val="21"/>
          <w:highlight w:val="none"/>
        </w:rPr>
        <w:t>。</w:t>
      </w:r>
    </w:p>
    <w:p w14:paraId="0670F78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eastAsia="宋体" w:cs="宋体"/>
          <w:color w:val="auto"/>
          <w:sz w:val="21"/>
          <w:szCs w:val="21"/>
          <w:highlight w:val="none"/>
        </w:rPr>
        <w:t>。</w:t>
      </w:r>
    </w:p>
    <w:p w14:paraId="7AA0CB4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3）总承包服务费：总承包服务费包干使用，结算时不作调整</w:t>
      </w:r>
      <w:r>
        <w:rPr>
          <w:rFonts w:hint="eastAsia" w:ascii="宋体" w:hAnsi="宋体" w:eastAsia="宋体" w:cs="宋体"/>
          <w:color w:val="auto"/>
          <w:sz w:val="21"/>
          <w:szCs w:val="21"/>
          <w:highlight w:val="none"/>
        </w:rPr>
        <w:t>。</w:t>
      </w:r>
    </w:p>
    <w:p w14:paraId="68055DE7">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（4）价格调整：</w:t>
      </w:r>
      <w:r>
        <w:rPr>
          <w:rFonts w:hint="eastAsia" w:ascii="宋体" w:hAnsi="宋体" w:eastAsia="宋体" w:cs="宋体"/>
          <w:color w:val="auto"/>
          <w:sz w:val="21"/>
          <w:szCs w:val="21"/>
          <w:highlight w:val="none"/>
          <w:u w:val="single"/>
        </w:rPr>
        <w:t>按照第11条〔价格调整〕约定约定执行</w:t>
      </w:r>
      <w:r>
        <w:rPr>
          <w:rFonts w:hint="eastAsia" w:ascii="宋体" w:hAnsi="宋体" w:eastAsia="宋体" w:cs="宋体"/>
          <w:color w:val="auto"/>
          <w:sz w:val="21"/>
          <w:szCs w:val="21"/>
          <w:highlight w:val="none"/>
        </w:rPr>
        <w:t>。</w:t>
      </w:r>
    </w:p>
    <w:p w14:paraId="3F2F6E8E">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（5）工程变更、索赔与现场签证：</w:t>
      </w:r>
    </w:p>
    <w:p w14:paraId="3019CA65">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09FE1AB4">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2）索赔：按照第10.4.1项〔变更估价原则〕和第14.2.1项〔竣工结算办法〕约定执行。</w:t>
      </w:r>
    </w:p>
    <w:p w14:paraId="4E67193D">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3）现场签证：按照第10.4.1项〔变更估价原则〕和第14.2.1项〔竣工结算办法〕约定执行。</w:t>
      </w:r>
    </w:p>
    <w:p w14:paraId="31A1AB19">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（6）奖励、罚金、违约金及其他费用：</w:t>
      </w:r>
      <w:r>
        <w:rPr>
          <w:rFonts w:hint="eastAsia" w:ascii="宋体" w:hAnsi="宋体" w:eastAsia="宋体" w:cs="宋体"/>
          <w:color w:val="auto"/>
          <w:sz w:val="21"/>
          <w:szCs w:val="21"/>
          <w:highlight w:val="none"/>
          <w:u w:val="single"/>
        </w:rPr>
        <w:t>按实进行结算</w:t>
      </w:r>
      <w:r>
        <w:rPr>
          <w:rFonts w:hint="eastAsia" w:ascii="宋体" w:hAnsi="宋体" w:eastAsia="宋体" w:cs="宋体"/>
          <w:color w:val="auto"/>
          <w:sz w:val="21"/>
          <w:szCs w:val="21"/>
          <w:highlight w:val="none"/>
        </w:rPr>
        <w:t>。</w:t>
      </w:r>
    </w:p>
    <w:p w14:paraId="26F3F1C3">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（7）规费：已标价工程量清单中规费费用按《重庆市建设工程费用定额》（CQFYDE-2018）执行。</w:t>
      </w:r>
    </w:p>
    <w:p w14:paraId="30998F10">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0FC56F99">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（9）其它：施工单位送审结算前，应按照相关送审要求提交《结算送审承诺书》。评审时若审减金额超过送审金额的5%时，审减额超过5%部分的审核费用由</w:t>
      </w:r>
      <w:r>
        <w:rPr>
          <w:rFonts w:hint="eastAsia" w:ascii="宋体" w:hAnsi="宋体" w:eastAsia="宋体" w:cs="宋体"/>
          <w:color w:val="auto"/>
          <w:sz w:val="21"/>
          <w:szCs w:val="21"/>
          <w:highlight w:val="none"/>
          <w:u w:val="single"/>
          <w:lang w:val="en-US" w:eastAsia="zh-CN"/>
        </w:rPr>
        <w:t>成交供应商</w:t>
      </w:r>
      <w:r>
        <w:rPr>
          <w:rFonts w:hint="eastAsia" w:ascii="宋体" w:hAnsi="宋体" w:eastAsia="宋体" w:cs="宋体"/>
          <w:color w:val="auto"/>
          <w:sz w:val="21"/>
          <w:szCs w:val="21"/>
          <w:highlight w:val="none"/>
          <w:u w:val="single"/>
        </w:rPr>
        <w:t>承担，按公式[承包人承担金额=（审减金额—审定金额*5%）*5%]计算承包人承担费用，相关款项在工程支付结算款时予以扣除。</w:t>
      </w:r>
    </w:p>
    <w:p w14:paraId="440884E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14.2.1.3竣工结算价</w:t>
      </w:r>
    </w:p>
    <w:p w14:paraId="1D1229C4">
      <w:pPr>
        <w:tabs>
          <w:tab w:val="left" w:pos="711"/>
          <w:tab w:val="left" w:pos="2580"/>
        </w:tabs>
        <w:adjustRightInd w:val="0"/>
        <w:snapToGrid w:val="0"/>
        <w:spacing w:line="360" w:lineRule="auto"/>
        <w:ind w:firstLine="420" w:firstLineChars="200"/>
        <w:jc w:val="left"/>
        <w:textAlignment w:val="baseline"/>
        <w:rPr>
          <w:rFonts w:hint="eastAsia" w:ascii="宋体" w:hAnsi="宋体" w:eastAsia="宋体" w:cs="宋体"/>
          <w:color w:val="auto"/>
          <w:sz w:val="21"/>
          <w:szCs w:val="21"/>
          <w:highlight w:val="none"/>
          <w:u w:val="single"/>
        </w:rPr>
      </w:pPr>
      <w:bookmarkStart w:id="839" w:name="_Hlk528660512"/>
      <w:r>
        <w:rPr>
          <w:rFonts w:hint="eastAsia" w:ascii="宋体" w:hAnsi="宋体" w:eastAsia="宋体" w:cs="宋体"/>
          <w:color w:val="auto"/>
          <w:sz w:val="21"/>
          <w:szCs w:val="21"/>
          <w:highlight w:val="none"/>
        </w:rPr>
        <w:t>以重庆市沙坪坝区财政局指定的第三方造价咨询机构审定金额作为合同竣工结算价。</w:t>
      </w:r>
    </w:p>
    <w:bookmarkEnd w:id="839"/>
    <w:p w14:paraId="1F20E7B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14.2.2 竣工结算审核期限</w:t>
      </w:r>
    </w:p>
    <w:p w14:paraId="5387CA8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监理人审核竣工付款申请单的期限：</w:t>
      </w:r>
      <w:r>
        <w:rPr>
          <w:rFonts w:hint="eastAsia" w:ascii="宋体" w:hAnsi="宋体" w:eastAsia="宋体" w:cs="宋体"/>
          <w:color w:val="auto"/>
          <w:sz w:val="21"/>
          <w:szCs w:val="21"/>
          <w:highlight w:val="none"/>
          <w:u w:val="single"/>
        </w:rPr>
        <w:t>不超过 3 日</w:t>
      </w:r>
      <w:r>
        <w:rPr>
          <w:rFonts w:hint="eastAsia" w:ascii="宋体" w:hAnsi="宋体" w:eastAsia="宋体" w:cs="宋体"/>
          <w:color w:val="auto"/>
          <w:sz w:val="21"/>
          <w:szCs w:val="21"/>
          <w:highlight w:val="none"/>
        </w:rPr>
        <w:t>。</w:t>
      </w:r>
    </w:p>
    <w:p w14:paraId="1A1B20D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发包人审核竣工付款申请单的期限：</w:t>
      </w:r>
      <w:r>
        <w:rPr>
          <w:rFonts w:hint="eastAsia" w:ascii="宋体" w:hAnsi="宋体" w:eastAsia="宋体" w:cs="宋体"/>
          <w:color w:val="auto"/>
          <w:sz w:val="21"/>
          <w:szCs w:val="21"/>
          <w:highlight w:val="none"/>
          <w:u w:val="single"/>
        </w:rPr>
        <w:t>不超过 7 日</w:t>
      </w:r>
      <w:r>
        <w:rPr>
          <w:rFonts w:hint="eastAsia" w:ascii="宋体" w:hAnsi="宋体" w:eastAsia="宋体" w:cs="宋体"/>
          <w:color w:val="auto"/>
          <w:sz w:val="21"/>
          <w:szCs w:val="21"/>
          <w:highlight w:val="none"/>
        </w:rPr>
        <w:t>。</w:t>
      </w:r>
    </w:p>
    <w:p w14:paraId="19BE1D2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完成竣工付款申请单审核后10  天内</w:t>
      </w:r>
      <w:r>
        <w:rPr>
          <w:rFonts w:hint="eastAsia" w:ascii="宋体" w:hAnsi="宋体" w:eastAsia="宋体" w:cs="宋体"/>
          <w:color w:val="auto"/>
          <w:sz w:val="21"/>
          <w:szCs w:val="21"/>
          <w:highlight w:val="none"/>
        </w:rPr>
        <w:t>。</w:t>
      </w:r>
    </w:p>
    <w:p w14:paraId="61DCE4E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 按照第20条〔争议解决〕约定处理。</w:t>
      </w:r>
    </w:p>
    <w:p w14:paraId="3B03596C">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40" w:name="_Toc532377396"/>
      <w:bookmarkStart w:id="841" w:name="_Toc532375659"/>
      <w:r>
        <w:rPr>
          <w:rFonts w:hint="eastAsia" w:ascii="宋体" w:hAnsi="宋体" w:eastAsia="宋体" w:cs="宋体"/>
          <w:b/>
          <w:bCs/>
          <w:color w:val="auto"/>
          <w:sz w:val="21"/>
          <w:szCs w:val="21"/>
          <w:highlight w:val="none"/>
        </w:rPr>
        <w:t>14.3 最终结清</w:t>
      </w:r>
      <w:bookmarkEnd w:id="840"/>
      <w:bookmarkEnd w:id="841"/>
    </w:p>
    <w:p w14:paraId="417D2B7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14.3.1 最终结清申请单</w:t>
      </w:r>
    </w:p>
    <w:p w14:paraId="184A29E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3份</w:t>
      </w:r>
      <w:r>
        <w:rPr>
          <w:rFonts w:hint="eastAsia" w:ascii="宋体" w:hAnsi="宋体" w:eastAsia="宋体" w:cs="宋体"/>
          <w:color w:val="auto"/>
          <w:sz w:val="21"/>
          <w:szCs w:val="21"/>
          <w:highlight w:val="none"/>
        </w:rPr>
        <w:t>。</w:t>
      </w:r>
    </w:p>
    <w:p w14:paraId="664862A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承包人提交最终结算申请单的期限：无</w:t>
      </w:r>
      <w:r>
        <w:rPr>
          <w:rFonts w:hint="eastAsia" w:ascii="宋体" w:hAnsi="宋体" w:eastAsia="宋体" w:cs="宋体"/>
          <w:color w:val="auto"/>
          <w:sz w:val="21"/>
          <w:szCs w:val="21"/>
          <w:highlight w:val="none"/>
          <w:u w:val="single"/>
        </w:rPr>
        <w:t>缺陷责任期终14天内</w:t>
      </w:r>
      <w:r>
        <w:rPr>
          <w:rFonts w:hint="eastAsia" w:ascii="宋体" w:hAnsi="宋体" w:eastAsia="宋体" w:cs="宋体"/>
          <w:color w:val="auto"/>
          <w:sz w:val="21"/>
          <w:szCs w:val="21"/>
          <w:highlight w:val="none"/>
        </w:rPr>
        <w:t>。</w:t>
      </w:r>
    </w:p>
    <w:p w14:paraId="328BD3A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14.3.2 最终结清和支付</w:t>
      </w:r>
    </w:p>
    <w:p w14:paraId="0720D27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发包人收到完整资料后14天内完成审批</w:t>
      </w:r>
      <w:r>
        <w:rPr>
          <w:rFonts w:hint="eastAsia" w:ascii="宋体" w:hAnsi="宋体" w:eastAsia="宋体" w:cs="宋体"/>
          <w:color w:val="auto"/>
          <w:sz w:val="21"/>
          <w:szCs w:val="21"/>
          <w:highlight w:val="none"/>
        </w:rPr>
        <w:t>。</w:t>
      </w:r>
    </w:p>
    <w:p w14:paraId="629606C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14天内</w:t>
      </w:r>
      <w:r>
        <w:rPr>
          <w:rFonts w:hint="eastAsia" w:ascii="宋体" w:hAnsi="宋体" w:eastAsia="宋体" w:cs="宋体"/>
          <w:color w:val="auto"/>
          <w:sz w:val="21"/>
          <w:szCs w:val="21"/>
          <w:highlight w:val="none"/>
        </w:rPr>
        <w:t>。</w:t>
      </w:r>
    </w:p>
    <w:bookmarkEnd w:id="803"/>
    <w:bookmarkEnd w:id="804"/>
    <w:bookmarkEnd w:id="805"/>
    <w:bookmarkEnd w:id="806"/>
    <w:bookmarkEnd w:id="807"/>
    <w:bookmarkEnd w:id="808"/>
    <w:bookmarkEnd w:id="809"/>
    <w:bookmarkEnd w:id="810"/>
    <w:p w14:paraId="7FDD976F">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42" w:name="_Toc532377397"/>
      <w:bookmarkStart w:id="843" w:name="_Toc532375660"/>
      <w:r>
        <w:rPr>
          <w:rFonts w:hint="eastAsia" w:ascii="宋体" w:hAnsi="宋体" w:eastAsia="宋体" w:cs="宋体"/>
          <w:b/>
          <w:bCs/>
          <w:color w:val="auto"/>
          <w:sz w:val="21"/>
          <w:szCs w:val="21"/>
          <w:highlight w:val="none"/>
        </w:rPr>
        <w:t>14.4 逾期办理或不配合办理竣工结算的处理</w:t>
      </w:r>
      <w:bookmarkEnd w:id="842"/>
      <w:bookmarkEnd w:id="843"/>
    </w:p>
    <w:p w14:paraId="15FA0B8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有下列情形之一的，视为承包人放弃与发包人共同办理竣工结算的权利，发包人有权会同监理人根据有效资料共同确定竣工结算金额。</w:t>
      </w:r>
    </w:p>
    <w:p w14:paraId="14691F6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（1）承包人逾期未报送竣工结算资料，亦未获得发包人批准延期报送，经发包人两</w:t>
      </w:r>
      <w:bookmarkStart w:id="844" w:name="_Hlk529133622"/>
      <w:r>
        <w:rPr>
          <w:rFonts w:hint="eastAsia" w:ascii="宋体" w:hAnsi="宋体" w:eastAsia="宋体" w:cs="宋体"/>
          <w:color w:val="auto"/>
          <w:sz w:val="21"/>
          <w:szCs w:val="21"/>
          <w:highlight w:val="none"/>
        </w:rPr>
        <w:t>次书面催告仍未在限期内报送的</w:t>
      </w:r>
      <w:bookmarkEnd w:id="844"/>
      <w:r>
        <w:rPr>
          <w:rFonts w:hint="eastAsia" w:ascii="宋体" w:hAnsi="宋体" w:eastAsia="宋体" w:cs="宋体"/>
          <w:color w:val="auto"/>
          <w:sz w:val="21"/>
          <w:szCs w:val="21"/>
          <w:highlight w:val="none"/>
        </w:rPr>
        <w:t>；</w:t>
      </w:r>
    </w:p>
    <w:p w14:paraId="504B5DE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3C07CB8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（3）承包人不配合发包人、监理人、发包人委托的工程造价咨询服务单位办理竣工结算的，经发包人两次书面函告仍未改正的。</w:t>
      </w:r>
    </w:p>
    <w:p w14:paraId="0316D40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7264F08">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eastAsia="宋体" w:cs="宋体"/>
          <w:color w:val="auto"/>
          <w:sz w:val="21"/>
          <w:szCs w:val="21"/>
          <w:highlight w:val="none"/>
        </w:rPr>
        <w:t>。</w:t>
      </w:r>
    </w:p>
    <w:bookmarkEnd w:id="517"/>
    <w:bookmarkEnd w:id="518"/>
    <w:bookmarkEnd w:id="519"/>
    <w:bookmarkEnd w:id="520"/>
    <w:bookmarkEnd w:id="521"/>
    <w:bookmarkEnd w:id="522"/>
    <w:bookmarkEnd w:id="523"/>
    <w:bookmarkEnd w:id="524"/>
    <w:p w14:paraId="3B6DFF17">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845" w:name="_Toc532377398"/>
      <w:bookmarkStart w:id="846" w:name="_Toc351203647"/>
      <w:bookmarkStart w:id="847" w:name="_Toc532375661"/>
      <w:bookmarkStart w:id="848" w:name="_Toc267251483"/>
      <w:bookmarkStart w:id="849" w:name="_Toc280868718"/>
      <w:bookmarkStart w:id="850" w:name="_Toc280868717"/>
      <w:r>
        <w:rPr>
          <w:rFonts w:hint="eastAsia" w:ascii="宋体" w:hAnsi="宋体" w:eastAsia="宋体" w:cs="宋体"/>
          <w:b/>
          <w:bCs/>
          <w:color w:val="auto"/>
          <w:sz w:val="21"/>
          <w:szCs w:val="21"/>
          <w:highlight w:val="none"/>
        </w:rPr>
        <w:t>15. 缺陷责任期与保修</w:t>
      </w:r>
      <w:bookmarkEnd w:id="845"/>
      <w:bookmarkEnd w:id="846"/>
      <w:bookmarkEnd w:id="847"/>
    </w:p>
    <w:bookmarkEnd w:id="848"/>
    <w:p w14:paraId="02B18B56">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51" w:name="_Toc532375662"/>
      <w:bookmarkStart w:id="852" w:name="_Toc532377399"/>
      <w:r>
        <w:rPr>
          <w:rFonts w:hint="eastAsia" w:ascii="宋体" w:hAnsi="宋体" w:eastAsia="宋体" w:cs="宋体"/>
          <w:b/>
          <w:bCs/>
          <w:color w:val="auto"/>
          <w:sz w:val="21"/>
          <w:szCs w:val="21"/>
          <w:highlight w:val="none"/>
        </w:rPr>
        <w:t>15.1 质量保证金</w:t>
      </w:r>
      <w:bookmarkEnd w:id="851"/>
      <w:bookmarkEnd w:id="852"/>
    </w:p>
    <w:p w14:paraId="0D68AB7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 承包人提供质量保证金的方式</w:t>
      </w:r>
    </w:p>
    <w:p w14:paraId="4175BA4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种方式：</w:t>
      </w:r>
    </w:p>
    <w:p w14:paraId="4A53421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（1）竣工结算价的</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w:t>
      </w:r>
    </w:p>
    <w:p w14:paraId="5444052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（2）质量保证金额为：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6261B6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15.1.2 质量保证金的扣留</w:t>
      </w:r>
    </w:p>
    <w:p w14:paraId="24DDA2A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（1）工程竣工结算时一次性扣留质量保证金；</w:t>
      </w:r>
    </w:p>
    <w:p w14:paraId="56976C3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15.1.3质量保证金的退还</w:t>
      </w:r>
    </w:p>
    <w:p w14:paraId="2950B95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（2）在无责任缺陷责任期终止之日起14天内退还。</w:t>
      </w:r>
    </w:p>
    <w:p w14:paraId="1C95A12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（3）缺陷责任期内，承包人认真履行合同约定的责任，到期后，承包人可向发包人申请返还质量保证金。</w:t>
      </w:r>
    </w:p>
    <w:p w14:paraId="35117F20">
      <w:pPr>
        <w:spacing w:line="360" w:lineRule="auto"/>
        <w:ind w:right="140" w:rightChars="50" w:firstLine="420" w:firstLineChars="200"/>
        <w:jc w:val="left"/>
        <w:rPr>
          <w:rFonts w:hint="eastAsia" w:ascii="宋体" w:hAnsi="宋体" w:eastAsia="宋体" w:cs="宋体"/>
          <w:color w:val="auto"/>
          <w:sz w:val="21"/>
          <w:szCs w:val="21"/>
          <w:highlight w:val="none"/>
        </w:rPr>
      </w:pPr>
      <w:bookmarkStart w:id="853" w:name="_Toc532375663"/>
      <w:bookmarkStart w:id="854" w:name="_Toc532377400"/>
      <w:r>
        <w:rPr>
          <w:rFonts w:hint="eastAsia" w:ascii="宋体" w:hAnsi="宋体" w:eastAsia="宋体" w:cs="宋体"/>
          <w:color w:val="auto"/>
          <w:sz w:val="21"/>
          <w:szCs w:val="21"/>
          <w:highlight w:val="none"/>
        </w:rPr>
        <w:t>（3）质量保证金是否支付利息采取以下</w:t>
      </w:r>
      <w:r>
        <w:rPr>
          <w:rFonts w:hint="eastAsia" w:ascii="宋体" w:hAnsi="宋体" w:eastAsia="宋体" w:cs="宋体"/>
          <w:color w:val="auto"/>
          <w:sz w:val="21"/>
          <w:szCs w:val="21"/>
          <w:highlight w:val="none"/>
          <w:u w:val="single"/>
        </w:rPr>
        <w:t>第②种</w:t>
      </w:r>
      <w:r>
        <w:rPr>
          <w:rFonts w:hint="eastAsia" w:ascii="宋体" w:hAnsi="宋体" w:eastAsia="宋体" w:cs="宋体"/>
          <w:color w:val="auto"/>
          <w:sz w:val="21"/>
          <w:szCs w:val="21"/>
          <w:highlight w:val="none"/>
        </w:rPr>
        <w:t>方式：</w:t>
      </w:r>
    </w:p>
    <w:p w14:paraId="1BE5CB88">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①按照中国人民银行 /年/月公布的5年期贷款市场报价利率支付利息</w:t>
      </w:r>
      <w:r>
        <w:rPr>
          <w:rFonts w:hint="eastAsia" w:ascii="宋体" w:hAnsi="宋体" w:eastAsia="宋体" w:cs="宋体"/>
          <w:color w:val="auto"/>
          <w:sz w:val="21"/>
          <w:szCs w:val="21"/>
          <w:highlight w:val="none"/>
        </w:rPr>
        <w:t>。</w:t>
      </w:r>
    </w:p>
    <w:p w14:paraId="19D243BE">
      <w:pPr>
        <w:spacing w:line="360" w:lineRule="auto"/>
        <w:ind w:right="140" w:rightChars="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②不采用</w:t>
      </w:r>
      <w:r>
        <w:rPr>
          <w:rFonts w:hint="eastAsia" w:ascii="宋体" w:hAnsi="宋体" w:eastAsia="宋体" w:cs="宋体"/>
          <w:color w:val="auto"/>
          <w:sz w:val="21"/>
          <w:szCs w:val="21"/>
          <w:highlight w:val="none"/>
        </w:rPr>
        <w:t>。</w:t>
      </w:r>
    </w:p>
    <w:p w14:paraId="48E4C212">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15.2保修</w:t>
      </w:r>
      <w:bookmarkEnd w:id="853"/>
      <w:bookmarkEnd w:id="854"/>
    </w:p>
    <w:p w14:paraId="406AF565">
      <w:pPr>
        <w:adjustRightInd w:val="0"/>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15.2.1 保修责任</w:t>
      </w:r>
    </w:p>
    <w:p w14:paraId="2290349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bookmarkStart w:id="855" w:name="_Hlk524381274"/>
      <w:r>
        <w:rPr>
          <w:rFonts w:hint="eastAsia" w:ascii="宋体" w:hAnsi="宋体" w:eastAsia="宋体" w:cs="宋体"/>
          <w:color w:val="auto"/>
          <w:sz w:val="21"/>
          <w:szCs w:val="21"/>
          <w:highlight w:val="none"/>
        </w:rPr>
        <w:t>按照附件1《工程质量保修书》的规定执行。</w:t>
      </w:r>
      <w:bookmarkEnd w:id="855"/>
    </w:p>
    <w:p w14:paraId="3C295455">
      <w:pPr>
        <w:adjustRightInd w:val="0"/>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15.2.2 修复通知</w:t>
      </w:r>
    </w:p>
    <w:p w14:paraId="30EF550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12小时内，最长不能超过24小时</w:t>
      </w:r>
      <w:r>
        <w:rPr>
          <w:rFonts w:hint="eastAsia" w:ascii="宋体" w:hAnsi="宋体" w:eastAsia="宋体" w:cs="宋体"/>
          <w:color w:val="auto"/>
          <w:sz w:val="21"/>
          <w:szCs w:val="21"/>
          <w:highlight w:val="none"/>
        </w:rPr>
        <w:t>。</w:t>
      </w:r>
    </w:p>
    <w:p w14:paraId="63CE2C64">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856" w:name="_Toc532375664"/>
      <w:bookmarkStart w:id="857" w:name="_Toc532377401"/>
      <w:bookmarkStart w:id="858" w:name="_Toc351203648"/>
      <w:r>
        <w:rPr>
          <w:rFonts w:hint="eastAsia" w:ascii="宋体" w:hAnsi="宋体" w:eastAsia="宋体" w:cs="宋体"/>
          <w:b/>
          <w:bCs/>
          <w:color w:val="auto"/>
          <w:sz w:val="21"/>
          <w:szCs w:val="21"/>
          <w:highlight w:val="none"/>
        </w:rPr>
        <w:t>16. 违约</w:t>
      </w:r>
      <w:bookmarkEnd w:id="856"/>
      <w:bookmarkEnd w:id="857"/>
      <w:bookmarkEnd w:id="858"/>
    </w:p>
    <w:p w14:paraId="5CAF6586">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59" w:name="_Toc532377402"/>
      <w:r>
        <w:rPr>
          <w:rFonts w:hint="eastAsia" w:ascii="宋体" w:hAnsi="宋体" w:eastAsia="宋体" w:cs="宋体"/>
          <w:b/>
          <w:bCs/>
          <w:color w:val="auto"/>
          <w:sz w:val="21"/>
          <w:szCs w:val="21"/>
          <w:highlight w:val="none"/>
        </w:rPr>
        <w:t>16.1发包人违约</w:t>
      </w:r>
      <w:bookmarkEnd w:id="859"/>
    </w:p>
    <w:p w14:paraId="77E2C19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0863B51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除通用合同条款约定外，发包人违约的其他情形：</w:t>
      </w:r>
    </w:p>
    <w:p w14:paraId="74207F1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（1）根据专用合同条款7.5.1项因发包人原因导致工期延误的；</w:t>
      </w:r>
    </w:p>
    <w:p w14:paraId="3F2D7587">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（2）因发包人原因未能及时办理完毕合同约定的许可、批准或备案的；</w:t>
      </w:r>
    </w:p>
    <w:p w14:paraId="30389810">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（3）因监理人未能按合同约定发出指示、指示延误或发出了错误指示而导致承包人费用增加和（或）工期延误的；</w:t>
      </w:r>
    </w:p>
    <w:p w14:paraId="2C7D1E1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（4）根据发包人或监理人要求重新检查的，经检查证明工程质量符合合同要求的，并由此产生增加的费用和（或）延误的工期的；</w:t>
      </w:r>
    </w:p>
    <w:p w14:paraId="3CE229C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（5）因发包人原因造成工程质量未达到合同约定标准的；</w:t>
      </w:r>
    </w:p>
    <w:p w14:paraId="5679A1F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（6）由于发包人原因对承包人造成的人员人身伤亡和财产损失的；</w:t>
      </w:r>
    </w:p>
    <w:p w14:paraId="75E53E77">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（7）因发包人原因导致工程无法按期办理竣工验收或竣工结算的；</w:t>
      </w:r>
    </w:p>
    <w:p w14:paraId="12E8E54C">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（8）发包人无正当理由未按约定退还履约担保、低价风险担保、预付款担保或质量保证金的；</w:t>
      </w:r>
    </w:p>
    <w:p w14:paraId="0C80E31A">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（9）发包人不当提取履约担保、低价风险担保或质量保证金的；</w:t>
      </w:r>
    </w:p>
    <w:p w14:paraId="4777E9A7">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（10）发包人未按合同约定接收全部或部分工作的；</w:t>
      </w:r>
    </w:p>
    <w:p w14:paraId="1AECC021">
      <w:pPr>
        <w:pStyle w:val="242"/>
        <w:adjustRightInd w:val="0"/>
        <w:snapToGrid w:val="0"/>
        <w:spacing w:line="36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（11）发包人未按合同约定办理保险的；</w:t>
      </w:r>
    </w:p>
    <w:p w14:paraId="3B594EA2">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（12）其他：\        </w:t>
      </w:r>
      <w:r>
        <w:rPr>
          <w:rFonts w:hint="eastAsia" w:ascii="宋体" w:hAnsi="宋体" w:eastAsia="宋体" w:cs="宋体"/>
          <w:color w:val="auto"/>
          <w:kern w:val="0"/>
          <w:sz w:val="21"/>
          <w:szCs w:val="21"/>
          <w:highlight w:val="none"/>
        </w:rPr>
        <w:t>。</w:t>
      </w:r>
    </w:p>
    <w:p w14:paraId="6862B3DE">
      <w:pPr>
        <w:pStyle w:val="242"/>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16.1.2发包人违约的责任</w:t>
      </w:r>
    </w:p>
    <w:p w14:paraId="110C59A0">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（1）因发包人原因未能及时办理完毕前述许可、批准或备案的违约责任：由发包人承担由此增加的费用和（或）顺延工期，并支付合理利润，具体索赔程序按照第19条〔索赔〕约定执行。</w:t>
      </w:r>
    </w:p>
    <w:p w14:paraId="2013DF0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7CEC323C">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（3）因发包人原因导致工期延误的违约责任：由发包人承担由此增加的费用和（或）顺延工期，并支付合理利润，具体索赔程序按照第19条〔索赔〕约定执行。</w:t>
      </w:r>
    </w:p>
    <w:p w14:paraId="405C8A9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（4）因发包人原因未能在计划开工日期前7天内下达开工通知的违约责任：由发包人承担由此增加的费用和（或）顺延工期，并支付合理利润，具体索赔程序按照第19条〔索赔〕约定执行。</w:t>
      </w:r>
    </w:p>
    <w:p w14:paraId="7F1F0F8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（5）根据发包人或监理人要求重新检查的，经检查证明工程质量符合合同要求的，由发包人承担由此增加的费用和（或）顺延工期，并支付合理利润，具体索赔程序按照第19条〔索赔〕约定执行。</w:t>
      </w:r>
    </w:p>
    <w:p w14:paraId="6AAE6F89">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（6）因发包人原因未按合同约定支付合同价款的违约责任：发包人应向承包人支付违约金，自应当支付之日起28天后开始计算违约金，计算公式：</w:t>
      </w:r>
      <w:r>
        <w:rPr>
          <w:rFonts w:hint="eastAsia" w:ascii="宋体" w:hAnsi="宋体" w:eastAsia="宋体" w:cs="宋体"/>
          <w:color w:val="auto"/>
          <w:kern w:val="0"/>
          <w:sz w:val="21"/>
          <w:szCs w:val="21"/>
          <w:highlight w:val="none"/>
          <w:u w:val="single"/>
        </w:rPr>
        <w:t>违约金=应付未付金额×当期央行五年期以上基准贷款利率/360天×逾期天数</w:t>
      </w:r>
      <w:r>
        <w:rPr>
          <w:rFonts w:hint="eastAsia" w:ascii="宋体" w:hAnsi="宋体" w:eastAsia="宋体" w:cs="宋体"/>
          <w:color w:val="auto"/>
          <w:sz w:val="21"/>
          <w:szCs w:val="21"/>
          <w:highlight w:val="none"/>
          <w:u w:val="single"/>
        </w:rPr>
        <w:t>（自第29天起计算）</w:t>
      </w:r>
      <w:r>
        <w:rPr>
          <w:rFonts w:hint="eastAsia" w:ascii="宋体" w:hAnsi="宋体" w:eastAsia="宋体" w:cs="宋体"/>
          <w:color w:val="auto"/>
          <w:kern w:val="0"/>
          <w:sz w:val="21"/>
          <w:szCs w:val="21"/>
          <w:highlight w:val="none"/>
          <w:u w:val="single"/>
        </w:rPr>
        <w:t>；逾期天数超过56天的，超过部分天数按上述利率的两倍计算并支付违约金</w:t>
      </w:r>
      <w:r>
        <w:rPr>
          <w:rFonts w:hint="eastAsia" w:ascii="宋体" w:hAnsi="宋体" w:eastAsia="宋体" w:cs="宋体"/>
          <w:color w:val="auto"/>
          <w:kern w:val="0"/>
          <w:sz w:val="21"/>
          <w:szCs w:val="21"/>
          <w:highlight w:val="none"/>
        </w:rPr>
        <w:t>。</w:t>
      </w:r>
    </w:p>
    <w:p w14:paraId="106FAE0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（7）发包人违反合同约定，自行实施或转由他人实施被取消的合同工作内容的违约责任：由发包人承担由此给承包人造成的实际损失并支付合理利润。</w:t>
      </w:r>
    </w:p>
    <w:p w14:paraId="1D5DE4D9">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1789E0F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（9）因发包人原因造成工程质量未达到合同约定标准的，由发包人承担由此增加的费用和（或）延误的工期，并支付合理利润。</w:t>
      </w:r>
    </w:p>
    <w:p w14:paraId="75F45E27">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（10）因发包人违反合同约定造成暂停施工的违约责任：由发包人承担由此增加的费用和（或）顺延工期，并支付合理利润，具体索赔程序按照第19条〔索赔〕约定执行。</w:t>
      </w:r>
    </w:p>
    <w:p w14:paraId="4F49823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0C9DA7E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676D88FE">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kern w:val="0"/>
          <w:sz w:val="21"/>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eastAsia="宋体" w:cs="宋体"/>
          <w:color w:val="auto"/>
          <w:kern w:val="0"/>
          <w:sz w:val="21"/>
          <w:szCs w:val="21"/>
          <w:highlight w:val="none"/>
          <w:u w:val="single"/>
        </w:rPr>
        <w:t>计算公式：违约金=应退未退担保金额×当期央行五年期以上基准贷款利率/360天×逾期天数</w:t>
      </w:r>
      <w:r>
        <w:rPr>
          <w:rFonts w:hint="eastAsia" w:ascii="宋体" w:hAnsi="宋体" w:eastAsia="宋体" w:cs="宋体"/>
          <w:color w:val="auto"/>
          <w:sz w:val="21"/>
          <w:szCs w:val="21"/>
          <w:highlight w:val="none"/>
          <w:u w:val="single"/>
        </w:rPr>
        <w:t>（自第29天起计算）</w:t>
      </w:r>
      <w:r>
        <w:rPr>
          <w:rFonts w:hint="eastAsia" w:ascii="宋体" w:hAnsi="宋体" w:eastAsia="宋体" w:cs="宋体"/>
          <w:color w:val="auto"/>
          <w:kern w:val="0"/>
          <w:sz w:val="21"/>
          <w:szCs w:val="21"/>
          <w:highlight w:val="none"/>
        </w:rPr>
        <w:t>。</w:t>
      </w:r>
    </w:p>
    <w:p w14:paraId="2EF18F0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r>
        <w:rPr>
          <w:rFonts w:hint="eastAsia" w:ascii="宋体" w:hAnsi="宋体" w:eastAsia="宋体" w:cs="宋体"/>
          <w:color w:val="auto"/>
          <w:sz w:val="21"/>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eastAsia="宋体" w:cs="宋体"/>
          <w:color w:val="auto"/>
          <w:sz w:val="21"/>
          <w:szCs w:val="21"/>
          <w:highlight w:val="none"/>
          <w:u w:val="single"/>
        </w:rPr>
        <w:t>计算公式：违约金=不当提取的担保金额×当期央行五年期以上基准贷款利率/360天×逾期天数（自第29天起计算）</w:t>
      </w:r>
      <w:r>
        <w:rPr>
          <w:rFonts w:hint="eastAsia" w:ascii="宋体" w:hAnsi="宋体" w:eastAsia="宋体" w:cs="宋体"/>
          <w:color w:val="auto"/>
          <w:sz w:val="21"/>
          <w:szCs w:val="21"/>
          <w:highlight w:val="none"/>
        </w:rPr>
        <w:t>。</w:t>
      </w:r>
    </w:p>
    <w:p w14:paraId="4DA9B89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（15）发包人未按合同约定接收全部或部分工作的违约责任：由发包人承担自应当接收工程之日起的工程照管、成品保护、保管等与工程有关的各项费用。</w:t>
      </w:r>
    </w:p>
    <w:p w14:paraId="4F16590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（16）由于发包人原因对承包人造成的人员人身伤亡和财产损失的，由发包人负责赔偿，并承担由此增加的费用和（或）延误的工期，并支付合理利润。</w:t>
      </w:r>
    </w:p>
    <w:p w14:paraId="49503BB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（17）发包人未按合同约定办理保险的违约责任：除按18.6.1项约定执行外，每延迟1天，按</w:t>
      </w:r>
      <w:r>
        <w:rPr>
          <w:rFonts w:hint="eastAsia" w:ascii="宋体" w:hAnsi="宋体" w:eastAsia="宋体" w:cs="宋体"/>
          <w:color w:val="auto"/>
          <w:kern w:val="0"/>
          <w:sz w:val="21"/>
          <w:szCs w:val="21"/>
          <w:highlight w:val="none"/>
          <w:u w:val="single"/>
        </w:rPr>
        <w:t>500元/天</w:t>
      </w:r>
      <w:r>
        <w:rPr>
          <w:rFonts w:hint="eastAsia" w:ascii="宋体" w:hAnsi="宋体" w:eastAsia="宋体" w:cs="宋体"/>
          <w:color w:val="auto"/>
          <w:kern w:val="0"/>
          <w:sz w:val="21"/>
          <w:szCs w:val="21"/>
          <w:highlight w:val="none"/>
        </w:rPr>
        <w:t>支付违约金。</w:t>
      </w:r>
    </w:p>
    <w:p w14:paraId="719E4712">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（18）其他：</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0F090BC5">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06517FB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32D1BD6E">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因发包人违约并致使合同目的不能实现的，承包人有权解除合同：</w:t>
      </w:r>
    </w:p>
    <w:p w14:paraId="26B68F67">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（1）因发包人原因延迟支付合同价款超过180天的；</w:t>
      </w:r>
    </w:p>
    <w:p w14:paraId="3309E882">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（2）因发包人原因导致工期延误超过90天的；</w:t>
      </w:r>
    </w:p>
    <w:p w14:paraId="501982BE">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（3）因发包人第16.1.2（5）违约情形导致暂停施工满56天，且发包人仍未纠正其违约行为的；</w:t>
      </w:r>
    </w:p>
    <w:p w14:paraId="671C2A4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（4）其他未履行合同项下的义务构成对合同的实质性违约，并且在收到承包人要求说明其违约并予以补救的通知后56天内仍未补救该实质性违约的。</w:t>
      </w:r>
    </w:p>
    <w:p w14:paraId="7F3F062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16.1.4因发包人违约解除合同后的付款</w:t>
      </w:r>
    </w:p>
    <w:p w14:paraId="30F27F5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承包人按照本款约定解除合同的，发包人应在解除合同后28天内支付下列款项，并解除履约担保、低价风险担保、预付款担保：</w:t>
      </w:r>
    </w:p>
    <w:p w14:paraId="024A521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（1）合同解除前所完成工作的价款；</w:t>
      </w:r>
    </w:p>
    <w:p w14:paraId="1FEAEFB7">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（2）承包人为工程施工订购并已付款的材料、工程设备和其他物品的价款；</w:t>
      </w:r>
    </w:p>
    <w:p w14:paraId="6E4BEA4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（3）承包人撤离施工现场以及遣散承包人人员的款项；</w:t>
      </w:r>
    </w:p>
    <w:p w14:paraId="480D8AF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（4）按照合同约定在合同解除前应支付的违约金；</w:t>
      </w:r>
    </w:p>
    <w:p w14:paraId="6FAC711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（5）按照合同约定应当支付给承包人的其他款项；</w:t>
      </w:r>
    </w:p>
    <w:p w14:paraId="0DA8A1A0">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（6）按照合同约定应退还的质量保证金；</w:t>
      </w:r>
    </w:p>
    <w:p w14:paraId="3D973E3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（7）因解除合同给承包人造成的损失。</w:t>
      </w:r>
    </w:p>
    <w:p w14:paraId="47A14CEA">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合同当事人未能就解除合同后的结清达成一致的，按照第20条〔争议解决〕的约定处理。</w:t>
      </w:r>
    </w:p>
    <w:p w14:paraId="2905DC7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承包人应妥善做好已完工程和与工程有关的已购材料、工程设备的保护和移交工作，并将施工设备和人员撤出施工现场，发包人应为承包人撤出提供必要条件。</w:t>
      </w:r>
    </w:p>
    <w:p w14:paraId="1A013EC5">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60" w:name="_Toc532377403"/>
      <w:r>
        <w:rPr>
          <w:rFonts w:hint="eastAsia" w:ascii="宋体" w:hAnsi="宋体" w:eastAsia="宋体" w:cs="宋体"/>
          <w:b/>
          <w:bCs/>
          <w:color w:val="auto"/>
          <w:sz w:val="21"/>
          <w:szCs w:val="21"/>
          <w:highlight w:val="none"/>
        </w:rPr>
        <w:t>16.2 承包人违约</w:t>
      </w:r>
      <w:bookmarkEnd w:id="860"/>
    </w:p>
    <w:p w14:paraId="0FF2F8A7">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bookmarkStart w:id="861" w:name="_Hlk524380579"/>
      <w:r>
        <w:rPr>
          <w:rFonts w:hint="eastAsia" w:ascii="宋体" w:hAnsi="宋体" w:eastAsia="宋体" w:cs="宋体"/>
          <w:color w:val="auto"/>
          <w:kern w:val="0"/>
          <w:sz w:val="21"/>
          <w:szCs w:val="21"/>
          <w:highlight w:val="none"/>
        </w:rPr>
        <w:t>16.2.1 承包人违约的情形</w:t>
      </w:r>
    </w:p>
    <w:p w14:paraId="0E25109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除通用合同条款约定外，承包人违约的其他情形：</w:t>
      </w:r>
    </w:p>
    <w:p w14:paraId="4642013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（1）承包人未按合同约定提交履约担保或质量保证金的；</w:t>
      </w:r>
    </w:p>
    <w:p w14:paraId="426DE229">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（2）承包人未能按期开工的；</w:t>
      </w:r>
    </w:p>
    <w:p w14:paraId="66140A7E">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（3）承包人未按</w:t>
      </w:r>
      <w:r>
        <w:rPr>
          <w:rFonts w:hint="eastAsia" w:ascii="宋体" w:hAnsi="宋体" w:eastAsia="宋体" w:cs="宋体"/>
          <w:color w:val="auto"/>
          <w:kern w:val="0"/>
          <w:sz w:val="21"/>
          <w:szCs w:val="21"/>
          <w:highlight w:val="none"/>
          <w:lang w:val="en-US" w:eastAsia="zh-CN"/>
        </w:rPr>
        <w:t>响应文件</w:t>
      </w:r>
      <w:r>
        <w:rPr>
          <w:rFonts w:hint="eastAsia" w:ascii="宋体" w:hAnsi="宋体" w:eastAsia="宋体" w:cs="宋体"/>
          <w:color w:val="auto"/>
          <w:kern w:val="0"/>
          <w:sz w:val="21"/>
          <w:szCs w:val="21"/>
          <w:highlight w:val="none"/>
        </w:rPr>
        <w:t>或监理人的要求及时配备称职的主要管理人员，或承包人未按经审定的施工组织设计配备或更换关键施工设备的；</w:t>
      </w:r>
    </w:p>
    <w:p w14:paraId="02D424F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（4）承包人有安全问题或有违反安全管理规章制度情况的；</w:t>
      </w:r>
    </w:p>
    <w:p w14:paraId="3863FEF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（5）承包人在缺陷责任期及保修期内，未能在合理期限对工程缺陷进行修复，或拒绝按发包人要求进行修复的；</w:t>
      </w:r>
    </w:p>
    <w:p w14:paraId="1BEE089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（6）承包人拖欠其工人或所雇人员工资或报酬，导致其工人或所雇人员向有关部门投诉、控告、检举或以聚集等方式讨要工资或报酬的；</w:t>
      </w:r>
    </w:p>
    <w:p w14:paraId="3CD7F53E">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（7）承包人不配合发包人、监理人及发包人委托的工程造价咨询服务单位结算审核或承包人其他原因导致未按期完成工程竣工结算的；</w:t>
      </w:r>
    </w:p>
    <w:p w14:paraId="11EABEEE">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（8）承包人违反合同约定进行转包或违法分包的；</w:t>
      </w:r>
    </w:p>
    <w:p w14:paraId="1359E580">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（9）承包人未按合同约定移交全部或部分工作的；</w:t>
      </w:r>
    </w:p>
    <w:p w14:paraId="304A3B8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（10）承包人未按合同约定购买保险的；</w:t>
      </w:r>
    </w:p>
    <w:p w14:paraId="335DF84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（11）项目经理若有以下情形，属于承包人违约：</w:t>
      </w:r>
    </w:p>
    <w:p w14:paraId="22FCFB4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1）项目经理不按承诺到岗的；</w:t>
      </w:r>
    </w:p>
    <w:p w14:paraId="00F581F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2）每月在施工现场的天数少于约定天数的；</w:t>
      </w:r>
    </w:p>
    <w:p w14:paraId="4B1C8937">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3）承包人未提交项目经理劳动合同和社会保险证明的；</w:t>
      </w:r>
    </w:p>
    <w:p w14:paraId="4CC26A5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4）未经批准，擅自离开施工现场（超过约定时间）的；</w:t>
      </w:r>
    </w:p>
    <w:p w14:paraId="6A9318F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5）未经批准，擅自变更项目经理的；</w:t>
      </w:r>
    </w:p>
    <w:p w14:paraId="75AFCE9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6）按照渝建发〔2015〕35号文的要求，施工期间，项目经理因在一个记分周期内累计记分达到12分，被建设行政主管部门依法责令停止执业的；</w:t>
      </w:r>
    </w:p>
    <w:p w14:paraId="49CF6CD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7）发包人有正当理由认为项目经理不称职/不履职，且承包人在约定时间内不予更换的；</w:t>
      </w:r>
    </w:p>
    <w:p w14:paraId="3C128AA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8）其他双方约定的情形。</w:t>
      </w:r>
    </w:p>
    <w:p w14:paraId="53718197">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（12）技术负责人若有以下情形，属于承包人违约：</w:t>
      </w:r>
    </w:p>
    <w:p w14:paraId="70ED2BF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1）每月在施工现场的天数少于约定天数的；</w:t>
      </w:r>
    </w:p>
    <w:p w14:paraId="70A7B680">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2）承包人未提交项目经理劳动合同和社会保险证明的；</w:t>
      </w:r>
    </w:p>
    <w:p w14:paraId="41461946">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3）未经批准，擅自离开施工现场（超过约定时间）的；</w:t>
      </w:r>
    </w:p>
    <w:p w14:paraId="584B161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4）未经批准，擅自变更技术负责人的；</w:t>
      </w:r>
    </w:p>
    <w:p w14:paraId="7056F23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5）发包人有正当理由认为技术负责人不称职/不履职，且承包人在约定时间内不予更换的；</w:t>
      </w:r>
    </w:p>
    <w:p w14:paraId="5373F0F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6）其他双方约定的情形。</w:t>
      </w:r>
    </w:p>
    <w:p w14:paraId="7373F010">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（13）主要施工管理人员若有以下情形，属于承包人违约：</w:t>
      </w:r>
    </w:p>
    <w:p w14:paraId="51B0CD5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1）承包人未提交项目经理劳动合同和社会保险证明的；</w:t>
      </w:r>
    </w:p>
    <w:p w14:paraId="6D2F8000">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2）未经批准，擅自离开施工现场（超过约定时间）的；</w:t>
      </w:r>
    </w:p>
    <w:p w14:paraId="6461C14A">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3）未经批准，擅自变更主要施工管理人员的；</w:t>
      </w:r>
    </w:p>
    <w:p w14:paraId="53BE483C">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4）发包人有正当理由认为主要施工管理人员不称职/不履职，且承包人在约定时间内不予更换的；</w:t>
      </w:r>
    </w:p>
    <w:p w14:paraId="0137026A">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5）其他双方约定的情形。</w:t>
      </w:r>
    </w:p>
    <w:bookmarkEnd w:id="861"/>
    <w:p w14:paraId="071F00E4">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（14）发包人在合同签订前对承包人已标价工程量清单清标时发现承包人的工程量清单综合单价报价超过</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时给出的工程量清单综合单价最高限价，结算时拒不接受发包人以发出的工程量清单综合单价最高限价为基础，按照承包人的中选总报价与本工程的总价最高限价的下浮比例进行同比例下调的。</w:t>
      </w:r>
    </w:p>
    <w:p w14:paraId="7D9D0351">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6E51413C">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承包人违约责任的承担方式和计算方法：</w:t>
      </w:r>
    </w:p>
    <w:p w14:paraId="0018692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（1）承包人未按合同约定提交履约担保、质量保证金的违约责任：承包人应支付违约金，</w:t>
      </w:r>
      <w:r>
        <w:rPr>
          <w:rFonts w:hint="eastAsia" w:ascii="宋体" w:hAnsi="宋体" w:eastAsia="宋体" w:cs="宋体"/>
          <w:color w:val="auto"/>
          <w:sz w:val="21"/>
          <w:szCs w:val="21"/>
          <w:highlight w:val="none"/>
        </w:rPr>
        <w:t>违约金的计算方法：</w:t>
      </w:r>
      <w:r>
        <w:rPr>
          <w:rFonts w:hint="eastAsia" w:ascii="宋体" w:hAnsi="宋体" w:eastAsia="宋体" w:cs="宋体"/>
          <w:color w:val="auto"/>
          <w:kern w:val="0"/>
          <w:sz w:val="21"/>
          <w:szCs w:val="21"/>
          <w:highlight w:val="none"/>
        </w:rPr>
        <w:t>每延误1天，承包人按</w:t>
      </w:r>
      <w:r>
        <w:rPr>
          <w:rFonts w:hint="eastAsia" w:ascii="宋体" w:hAnsi="宋体" w:eastAsia="宋体" w:cs="宋体"/>
          <w:color w:val="auto"/>
          <w:kern w:val="0"/>
          <w:sz w:val="21"/>
          <w:szCs w:val="21"/>
          <w:highlight w:val="none"/>
          <w:u w:val="single"/>
        </w:rPr>
        <w:t>500元/天</w:t>
      </w:r>
      <w:r>
        <w:rPr>
          <w:rFonts w:hint="eastAsia" w:ascii="宋体" w:hAnsi="宋体" w:eastAsia="宋体" w:cs="宋体"/>
          <w:color w:val="auto"/>
          <w:kern w:val="0"/>
          <w:sz w:val="21"/>
          <w:szCs w:val="21"/>
          <w:highlight w:val="none"/>
        </w:rPr>
        <w:t>计算违约金，累计违约金上限：</w:t>
      </w:r>
      <w:r>
        <w:rPr>
          <w:rFonts w:hint="eastAsia" w:ascii="宋体" w:hAnsi="宋体" w:eastAsia="宋体" w:cs="宋体"/>
          <w:color w:val="auto"/>
          <w:kern w:val="0"/>
          <w:sz w:val="21"/>
          <w:szCs w:val="21"/>
          <w:highlight w:val="none"/>
          <w:u w:val="single"/>
        </w:rPr>
        <w:t>0.5万元（不超过签约合同价的3%）</w:t>
      </w:r>
      <w:r>
        <w:rPr>
          <w:rFonts w:hint="eastAsia" w:ascii="宋体" w:hAnsi="宋体" w:eastAsia="宋体" w:cs="宋体"/>
          <w:color w:val="auto"/>
          <w:kern w:val="0"/>
          <w:sz w:val="21"/>
          <w:szCs w:val="21"/>
          <w:highlight w:val="none"/>
          <w:lang w:val="zh-CN"/>
        </w:rPr>
        <w:t>。</w:t>
      </w:r>
    </w:p>
    <w:p w14:paraId="527C20C6">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21"/>
          <w:szCs w:val="21"/>
          <w:highlight w:val="none"/>
          <w:u w:val="single"/>
        </w:rPr>
        <w:t>5%</w:t>
      </w:r>
      <w:r>
        <w:rPr>
          <w:rFonts w:hint="eastAsia" w:ascii="宋体" w:hAnsi="宋体" w:eastAsia="宋体" w:cs="宋体"/>
          <w:color w:val="auto"/>
          <w:kern w:val="0"/>
          <w:sz w:val="21"/>
          <w:szCs w:val="21"/>
          <w:highlight w:val="none"/>
        </w:rPr>
        <w:t>支付违约金，违法转/分包商应在7天内撤离出场。</w:t>
      </w:r>
    </w:p>
    <w:p w14:paraId="6DD1A2D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14:paraId="3AFB392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14:paraId="15FCE05C">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21"/>
          <w:szCs w:val="21"/>
          <w:highlight w:val="none"/>
          <w:u w:val="single"/>
        </w:rPr>
        <w:t>1%</w:t>
      </w:r>
      <w:r>
        <w:rPr>
          <w:rFonts w:hint="eastAsia" w:ascii="宋体" w:hAnsi="宋体" w:eastAsia="宋体" w:cs="宋体"/>
          <w:color w:val="auto"/>
          <w:kern w:val="0"/>
          <w:sz w:val="21"/>
          <w:szCs w:val="21"/>
          <w:highlight w:val="none"/>
        </w:rPr>
        <w:t>支付违约金。</w:t>
      </w:r>
    </w:p>
    <w:p w14:paraId="0467C617">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（6）因承包人原因造成工期延误的违约承担方式和计算方法：由承包人承担由此增加的费用，</w:t>
      </w:r>
      <w:r>
        <w:rPr>
          <w:rFonts w:hint="eastAsia" w:ascii="宋体" w:hAnsi="宋体" w:eastAsia="宋体" w:cs="宋体"/>
          <w:color w:val="auto"/>
          <w:sz w:val="21"/>
          <w:szCs w:val="21"/>
          <w:highlight w:val="none"/>
        </w:rPr>
        <w:t>由此导致工期延误的，工期不予顺延；逾期竣工违约金的计算方法：</w:t>
      </w:r>
      <w:r>
        <w:rPr>
          <w:rFonts w:hint="eastAsia" w:ascii="宋体" w:hAnsi="宋体" w:eastAsia="宋体" w:cs="宋体"/>
          <w:color w:val="auto"/>
          <w:kern w:val="0"/>
          <w:sz w:val="21"/>
          <w:szCs w:val="21"/>
          <w:highlight w:val="none"/>
        </w:rPr>
        <w:t>每延误1天，承包人按</w:t>
      </w:r>
      <w:r>
        <w:rPr>
          <w:rFonts w:hint="eastAsia" w:ascii="宋体" w:hAnsi="宋体" w:eastAsia="宋体" w:cs="宋体"/>
          <w:color w:val="auto"/>
          <w:kern w:val="0"/>
          <w:sz w:val="21"/>
          <w:szCs w:val="21"/>
          <w:highlight w:val="none"/>
          <w:u w:val="single"/>
        </w:rPr>
        <w:t>500元/天</w:t>
      </w:r>
      <w:r>
        <w:rPr>
          <w:rFonts w:hint="eastAsia" w:ascii="宋体" w:hAnsi="宋体" w:eastAsia="宋体" w:cs="宋体"/>
          <w:color w:val="auto"/>
          <w:kern w:val="0"/>
          <w:sz w:val="21"/>
          <w:szCs w:val="21"/>
          <w:highlight w:val="none"/>
        </w:rPr>
        <w:t>计算逾期竣工违约金，累计违约金上限：</w:t>
      </w:r>
      <w:r>
        <w:rPr>
          <w:rFonts w:hint="eastAsia" w:ascii="宋体" w:hAnsi="宋体" w:eastAsia="宋体" w:cs="宋体"/>
          <w:color w:val="auto"/>
          <w:kern w:val="0"/>
          <w:sz w:val="21"/>
          <w:szCs w:val="21"/>
          <w:highlight w:val="none"/>
          <w:u w:val="single"/>
        </w:rPr>
        <w:t>0.5</w:t>
      </w:r>
      <w:r>
        <w:rPr>
          <w:rFonts w:hint="eastAsia" w:ascii="宋体" w:hAnsi="宋体" w:eastAsia="宋体" w:cs="宋体"/>
          <w:color w:val="auto"/>
          <w:kern w:val="0"/>
          <w:sz w:val="21"/>
          <w:szCs w:val="21"/>
          <w:highlight w:val="none"/>
        </w:rPr>
        <w:t>万元（不超过签约合同价的3%）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承包人支付逾期竣工违约金后，不免除承包人继续完成工程及修补缺陷的义务。</w:t>
      </w:r>
    </w:p>
    <w:p w14:paraId="5CC3FD7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21"/>
          <w:szCs w:val="21"/>
          <w:highlight w:val="none"/>
          <w:u w:val="single"/>
        </w:rPr>
        <w:t>0.5%</w:t>
      </w:r>
      <w:r>
        <w:rPr>
          <w:rFonts w:hint="eastAsia" w:ascii="宋体" w:hAnsi="宋体" w:eastAsia="宋体" w:cs="宋体"/>
          <w:color w:val="auto"/>
          <w:kern w:val="0"/>
          <w:sz w:val="21"/>
          <w:szCs w:val="21"/>
          <w:highlight w:val="none"/>
        </w:rPr>
        <w:t>支付违约金。</w:t>
      </w:r>
    </w:p>
    <w:p w14:paraId="40424D72">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（8）承包人明确表示或者以其行为表明不履行合同主要义务的违约责任：按签约合同价的</w:t>
      </w:r>
      <w:r>
        <w:rPr>
          <w:rFonts w:hint="eastAsia" w:ascii="宋体" w:hAnsi="宋体" w:eastAsia="宋体" w:cs="宋体"/>
          <w:color w:val="auto"/>
          <w:kern w:val="0"/>
          <w:sz w:val="21"/>
          <w:szCs w:val="21"/>
          <w:highlight w:val="none"/>
          <w:u w:val="single"/>
        </w:rPr>
        <w:t>5%</w:t>
      </w:r>
      <w:r>
        <w:rPr>
          <w:rFonts w:hint="eastAsia" w:ascii="宋体" w:hAnsi="宋体" w:eastAsia="宋体" w:cs="宋体"/>
          <w:color w:val="auto"/>
          <w:kern w:val="0"/>
          <w:sz w:val="21"/>
          <w:szCs w:val="21"/>
          <w:highlight w:val="none"/>
        </w:rPr>
        <w:t>支付违约金。</w:t>
      </w:r>
    </w:p>
    <w:p w14:paraId="17D65B2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（9）承包人未能按照合同约定履行其他义务的违约责任：按</w:t>
      </w:r>
      <w:r>
        <w:rPr>
          <w:rFonts w:hint="eastAsia" w:ascii="宋体" w:hAnsi="宋体" w:eastAsia="宋体" w:cs="宋体"/>
          <w:color w:val="auto"/>
          <w:kern w:val="0"/>
          <w:sz w:val="21"/>
          <w:szCs w:val="21"/>
          <w:highlight w:val="none"/>
          <w:u w:val="single"/>
        </w:rPr>
        <w:t>500元/次</w:t>
      </w:r>
      <w:r>
        <w:rPr>
          <w:rFonts w:hint="eastAsia" w:ascii="宋体" w:hAnsi="宋体" w:eastAsia="宋体" w:cs="宋体"/>
          <w:color w:val="auto"/>
          <w:kern w:val="0"/>
          <w:sz w:val="21"/>
          <w:szCs w:val="21"/>
          <w:highlight w:val="none"/>
        </w:rPr>
        <w:t>支付违约金。</w:t>
      </w:r>
    </w:p>
    <w:p w14:paraId="06218107">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（10）承包人未能按期开工的违约责任：按合同价</w:t>
      </w:r>
      <w:r>
        <w:rPr>
          <w:rFonts w:hint="eastAsia" w:ascii="宋体" w:hAnsi="宋体" w:eastAsia="宋体" w:cs="宋体"/>
          <w:color w:val="auto"/>
          <w:kern w:val="0"/>
          <w:sz w:val="21"/>
          <w:szCs w:val="21"/>
          <w:highlight w:val="none"/>
          <w:u w:val="single"/>
        </w:rPr>
        <w:t>0.2‰/天</w:t>
      </w:r>
      <w:r>
        <w:rPr>
          <w:rFonts w:hint="eastAsia" w:ascii="宋体" w:hAnsi="宋体" w:eastAsia="宋体" w:cs="宋体"/>
          <w:color w:val="auto"/>
          <w:kern w:val="0"/>
          <w:sz w:val="21"/>
          <w:szCs w:val="21"/>
          <w:highlight w:val="none"/>
        </w:rPr>
        <w:t>支付违约金，本项违约金累计限额为签约合同价的</w:t>
      </w:r>
      <w:r>
        <w:rPr>
          <w:rFonts w:hint="eastAsia" w:ascii="宋体" w:hAnsi="宋体" w:eastAsia="宋体" w:cs="宋体"/>
          <w:color w:val="auto"/>
          <w:kern w:val="0"/>
          <w:sz w:val="21"/>
          <w:szCs w:val="21"/>
          <w:highlight w:val="none"/>
          <w:u w:val="single"/>
        </w:rPr>
        <w:t xml:space="preserve"> 1 %</w:t>
      </w:r>
      <w:r>
        <w:rPr>
          <w:rFonts w:hint="eastAsia" w:ascii="宋体" w:hAnsi="宋体" w:eastAsia="宋体" w:cs="宋体"/>
          <w:color w:val="auto"/>
          <w:kern w:val="0"/>
          <w:sz w:val="21"/>
          <w:szCs w:val="21"/>
          <w:highlight w:val="none"/>
        </w:rPr>
        <w:t>。</w:t>
      </w:r>
    </w:p>
    <w:p w14:paraId="2FB2281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（11）承包人未按经审定的施工组织设计配备或更换关键施工设备的违约责任：按</w:t>
      </w:r>
      <w:r>
        <w:rPr>
          <w:rFonts w:hint="eastAsia" w:ascii="宋体" w:hAnsi="宋体" w:eastAsia="宋体" w:cs="宋体"/>
          <w:color w:val="auto"/>
          <w:kern w:val="0"/>
          <w:sz w:val="21"/>
          <w:szCs w:val="21"/>
          <w:highlight w:val="none"/>
          <w:u w:val="single"/>
        </w:rPr>
        <w:t>500元/台·次</w:t>
      </w:r>
      <w:r>
        <w:rPr>
          <w:rFonts w:hint="eastAsia" w:ascii="宋体" w:hAnsi="宋体" w:eastAsia="宋体" w:cs="宋体"/>
          <w:color w:val="auto"/>
          <w:kern w:val="0"/>
          <w:sz w:val="21"/>
          <w:szCs w:val="21"/>
          <w:highlight w:val="none"/>
        </w:rPr>
        <w:t>支付违约金。</w:t>
      </w:r>
    </w:p>
    <w:p w14:paraId="78CC913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（12）承包人有安全问题或有违反安全管理规章制度情况的违约责任：根据具体情节，按签约合同价的</w:t>
      </w:r>
      <w:r>
        <w:rPr>
          <w:rFonts w:hint="eastAsia" w:ascii="宋体" w:hAnsi="宋体" w:eastAsia="宋体" w:cs="宋体"/>
          <w:color w:val="auto"/>
          <w:kern w:val="0"/>
          <w:sz w:val="21"/>
          <w:szCs w:val="21"/>
          <w:highlight w:val="none"/>
          <w:u w:val="single"/>
        </w:rPr>
        <w:t>0.5‰/次</w:t>
      </w:r>
      <w:r>
        <w:rPr>
          <w:rFonts w:hint="eastAsia" w:ascii="宋体" w:hAnsi="宋体" w:eastAsia="宋体" w:cs="宋体"/>
          <w:color w:val="auto"/>
          <w:kern w:val="0"/>
          <w:sz w:val="21"/>
          <w:szCs w:val="21"/>
          <w:highlight w:val="none"/>
        </w:rPr>
        <w:t>支付违约金（累计不超过签约合同价的1%）。</w:t>
      </w:r>
    </w:p>
    <w:p w14:paraId="1902704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21"/>
          <w:szCs w:val="21"/>
          <w:highlight w:val="none"/>
          <w:u w:val="single"/>
        </w:rPr>
        <w:t>500元/次</w:t>
      </w:r>
      <w:r>
        <w:rPr>
          <w:rFonts w:hint="eastAsia" w:ascii="宋体" w:hAnsi="宋体" w:eastAsia="宋体" w:cs="宋体"/>
          <w:color w:val="auto"/>
          <w:kern w:val="0"/>
          <w:sz w:val="21"/>
          <w:szCs w:val="21"/>
          <w:highlight w:val="none"/>
        </w:rPr>
        <w:t>支付违约金。</w:t>
      </w:r>
    </w:p>
    <w:p w14:paraId="779D789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（14）承包人不配合发包人、监理人及发包人委托的工程造价咨询服务单位结算审核的违约责任：根据具体情节，按</w:t>
      </w:r>
      <w:r>
        <w:rPr>
          <w:rFonts w:hint="eastAsia" w:ascii="宋体" w:hAnsi="宋体" w:eastAsia="宋体" w:cs="宋体"/>
          <w:color w:val="auto"/>
          <w:kern w:val="0"/>
          <w:sz w:val="21"/>
          <w:szCs w:val="21"/>
          <w:highlight w:val="none"/>
          <w:u w:val="single"/>
        </w:rPr>
        <w:t>500元/次</w:t>
      </w:r>
      <w:r>
        <w:rPr>
          <w:rFonts w:hint="eastAsia" w:ascii="宋体" w:hAnsi="宋体" w:eastAsia="宋体" w:cs="宋体"/>
          <w:color w:val="auto"/>
          <w:kern w:val="0"/>
          <w:sz w:val="21"/>
          <w:szCs w:val="21"/>
          <w:highlight w:val="none"/>
        </w:rPr>
        <w:t>支付违约金。</w:t>
      </w:r>
    </w:p>
    <w:p w14:paraId="20D54F7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21"/>
          <w:szCs w:val="21"/>
          <w:highlight w:val="none"/>
          <w:u w:val="single"/>
        </w:rPr>
        <w:t>0.5‰</w:t>
      </w:r>
      <w:r>
        <w:rPr>
          <w:rFonts w:hint="eastAsia" w:ascii="宋体" w:hAnsi="宋体" w:eastAsia="宋体" w:cs="宋体"/>
          <w:color w:val="auto"/>
          <w:kern w:val="0"/>
          <w:sz w:val="21"/>
          <w:szCs w:val="21"/>
          <w:highlight w:val="none"/>
        </w:rPr>
        <w:t>支付违约金。</w:t>
      </w:r>
    </w:p>
    <w:p w14:paraId="54B48A1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（16）承包人未按合同约定购买保险的违约责任：除按18.6.2项约定执行外，每延迟1天，按</w:t>
      </w:r>
      <w:r>
        <w:rPr>
          <w:rFonts w:hint="eastAsia" w:ascii="宋体" w:hAnsi="宋体" w:eastAsia="宋体" w:cs="宋体"/>
          <w:color w:val="auto"/>
          <w:sz w:val="21"/>
          <w:szCs w:val="21"/>
          <w:highlight w:val="none"/>
          <w:u w:val="single"/>
        </w:rPr>
        <w:t>500元/天</w:t>
      </w:r>
      <w:r>
        <w:rPr>
          <w:rFonts w:hint="eastAsia" w:ascii="宋体" w:hAnsi="宋体" w:eastAsia="宋体" w:cs="宋体"/>
          <w:color w:val="auto"/>
          <w:sz w:val="21"/>
          <w:szCs w:val="21"/>
          <w:highlight w:val="none"/>
        </w:rPr>
        <w:t>支付违约金。</w:t>
      </w:r>
    </w:p>
    <w:p w14:paraId="4E63DEA2">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（17）发生第16.2.1项（11）目、16.2.1项（12）目、16.2.1项（13）目违约情形的违约责任：除承担由此增加的费用和工期延误的责任，承包人应向发包人支付违约金：</w:t>
      </w:r>
    </w:p>
    <w:p w14:paraId="34285D0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1）项目经理违约承担方式和计算方法：对于第16.2.1项（11）目的情形，每发现一次，根据具体情节，按</w:t>
      </w:r>
      <w:r>
        <w:rPr>
          <w:rFonts w:hint="eastAsia" w:ascii="宋体" w:hAnsi="宋体" w:eastAsia="宋体" w:cs="宋体"/>
          <w:color w:val="auto"/>
          <w:kern w:val="0"/>
          <w:sz w:val="21"/>
          <w:szCs w:val="21"/>
          <w:highlight w:val="none"/>
          <w:u w:val="single"/>
        </w:rPr>
        <w:t>500元/天·次</w:t>
      </w:r>
      <w:r>
        <w:rPr>
          <w:rFonts w:hint="eastAsia" w:ascii="宋体" w:hAnsi="宋体" w:eastAsia="宋体" w:cs="宋体"/>
          <w:color w:val="auto"/>
          <w:kern w:val="0"/>
          <w:sz w:val="21"/>
          <w:szCs w:val="21"/>
          <w:highlight w:val="none"/>
        </w:rPr>
        <w:t>计算违约金；项目经理不按承诺到岗的（3.2.3项约定的情形除外），擅自更换项目经理的，按签约合同价的</w:t>
      </w:r>
      <w:r>
        <w:rPr>
          <w:rFonts w:hint="eastAsia" w:ascii="宋体" w:hAnsi="宋体" w:eastAsia="宋体" w:cs="宋体"/>
          <w:color w:val="auto"/>
          <w:kern w:val="0"/>
          <w:sz w:val="21"/>
          <w:szCs w:val="21"/>
          <w:highlight w:val="none"/>
          <w:u w:val="single"/>
        </w:rPr>
        <w:t>0.5%/人·次</w:t>
      </w:r>
      <w:r>
        <w:rPr>
          <w:rFonts w:hint="eastAsia" w:ascii="宋体" w:hAnsi="宋体" w:eastAsia="宋体" w:cs="宋体"/>
          <w:color w:val="auto"/>
          <w:kern w:val="0"/>
          <w:sz w:val="21"/>
          <w:szCs w:val="21"/>
          <w:highlight w:val="none"/>
        </w:rPr>
        <w:t>支付违约金，每次不低于</w:t>
      </w:r>
      <w:r>
        <w:rPr>
          <w:rFonts w:hint="eastAsia" w:ascii="宋体" w:hAnsi="宋体" w:eastAsia="宋体" w:cs="宋体"/>
          <w:color w:val="auto"/>
          <w:kern w:val="0"/>
          <w:sz w:val="21"/>
          <w:szCs w:val="21"/>
          <w:highlight w:val="none"/>
          <w:u w:val="single"/>
        </w:rPr>
        <w:t>0.1万</w:t>
      </w:r>
      <w:r>
        <w:rPr>
          <w:rFonts w:hint="eastAsia" w:ascii="宋体" w:hAnsi="宋体" w:eastAsia="宋体" w:cs="宋体"/>
          <w:color w:val="auto"/>
          <w:kern w:val="0"/>
          <w:sz w:val="21"/>
          <w:szCs w:val="21"/>
          <w:highlight w:val="none"/>
        </w:rPr>
        <w:t>，累计不超过</w:t>
      </w:r>
      <w:r>
        <w:rPr>
          <w:rFonts w:hint="eastAsia" w:ascii="宋体" w:hAnsi="宋体" w:eastAsia="宋体" w:cs="宋体"/>
          <w:color w:val="auto"/>
          <w:kern w:val="0"/>
          <w:sz w:val="21"/>
          <w:szCs w:val="21"/>
          <w:highlight w:val="none"/>
          <w:u w:val="single"/>
        </w:rPr>
        <w:t>1万</w:t>
      </w:r>
      <w:r>
        <w:rPr>
          <w:rFonts w:hint="eastAsia" w:ascii="宋体" w:hAnsi="宋体" w:eastAsia="宋体" w:cs="宋体"/>
          <w:color w:val="auto"/>
          <w:kern w:val="0"/>
          <w:sz w:val="21"/>
          <w:szCs w:val="21"/>
          <w:highlight w:val="none"/>
        </w:rPr>
        <w:t>；项目经理被责令停止执业的，按签约合同价的</w:t>
      </w:r>
      <w:r>
        <w:rPr>
          <w:rFonts w:hint="eastAsia" w:ascii="宋体" w:hAnsi="宋体" w:eastAsia="宋体" w:cs="宋体"/>
          <w:color w:val="auto"/>
          <w:kern w:val="0"/>
          <w:sz w:val="21"/>
          <w:szCs w:val="21"/>
          <w:highlight w:val="none"/>
          <w:u w:val="single"/>
        </w:rPr>
        <w:t>0.5%/人·次</w:t>
      </w:r>
      <w:r>
        <w:rPr>
          <w:rFonts w:hint="eastAsia" w:ascii="宋体" w:hAnsi="宋体" w:eastAsia="宋体" w:cs="宋体"/>
          <w:color w:val="auto"/>
          <w:kern w:val="0"/>
          <w:sz w:val="21"/>
          <w:szCs w:val="21"/>
          <w:highlight w:val="none"/>
        </w:rPr>
        <w:t>支付违约金，每次不低于</w:t>
      </w:r>
      <w:r>
        <w:rPr>
          <w:rFonts w:hint="eastAsia" w:ascii="宋体" w:hAnsi="宋体" w:eastAsia="宋体" w:cs="宋体"/>
          <w:color w:val="auto"/>
          <w:kern w:val="0"/>
          <w:sz w:val="21"/>
          <w:szCs w:val="21"/>
          <w:highlight w:val="none"/>
          <w:u w:val="single"/>
        </w:rPr>
        <w:t>0.1万</w:t>
      </w:r>
      <w:r>
        <w:rPr>
          <w:rFonts w:hint="eastAsia" w:ascii="宋体" w:hAnsi="宋体" w:eastAsia="宋体" w:cs="宋体"/>
          <w:color w:val="auto"/>
          <w:kern w:val="0"/>
          <w:sz w:val="21"/>
          <w:szCs w:val="21"/>
          <w:highlight w:val="none"/>
        </w:rPr>
        <w:t>，累计不超过</w:t>
      </w:r>
      <w:r>
        <w:rPr>
          <w:rFonts w:hint="eastAsia" w:ascii="宋体" w:hAnsi="宋体" w:eastAsia="宋体" w:cs="宋体"/>
          <w:color w:val="auto"/>
          <w:kern w:val="0"/>
          <w:sz w:val="21"/>
          <w:szCs w:val="21"/>
          <w:highlight w:val="none"/>
          <w:u w:val="single"/>
        </w:rPr>
        <w:t>1万</w:t>
      </w:r>
      <w:r>
        <w:rPr>
          <w:rFonts w:hint="eastAsia" w:ascii="宋体" w:hAnsi="宋体" w:eastAsia="宋体" w:cs="宋体"/>
          <w:color w:val="auto"/>
          <w:kern w:val="0"/>
          <w:sz w:val="21"/>
          <w:szCs w:val="21"/>
          <w:highlight w:val="none"/>
        </w:rPr>
        <w:t>。</w:t>
      </w:r>
    </w:p>
    <w:p w14:paraId="1AFAAF4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2）主要技术负责人违约承担方式和计算方法：对于第16.2.1项（12）目的六种情形，每发现一次，根据具体情节，按</w:t>
      </w:r>
      <w:r>
        <w:rPr>
          <w:rFonts w:hint="eastAsia" w:ascii="宋体" w:hAnsi="宋体" w:eastAsia="宋体" w:cs="宋体"/>
          <w:color w:val="auto"/>
          <w:kern w:val="0"/>
          <w:sz w:val="21"/>
          <w:szCs w:val="21"/>
          <w:highlight w:val="none"/>
          <w:u w:val="single"/>
        </w:rPr>
        <w:t>500元/天·次</w:t>
      </w:r>
      <w:r>
        <w:rPr>
          <w:rFonts w:hint="eastAsia" w:ascii="宋体" w:hAnsi="宋体" w:eastAsia="宋体" w:cs="宋体"/>
          <w:color w:val="auto"/>
          <w:kern w:val="0"/>
          <w:sz w:val="21"/>
          <w:szCs w:val="21"/>
          <w:highlight w:val="none"/>
        </w:rPr>
        <w:t>计算违约金；擅自更换主要技术负责人的，按签约合同价的</w:t>
      </w:r>
      <w:r>
        <w:rPr>
          <w:rFonts w:hint="eastAsia" w:ascii="宋体" w:hAnsi="宋体" w:eastAsia="宋体" w:cs="宋体"/>
          <w:color w:val="auto"/>
          <w:kern w:val="0"/>
          <w:sz w:val="21"/>
          <w:szCs w:val="21"/>
          <w:highlight w:val="none"/>
          <w:u w:val="single"/>
        </w:rPr>
        <w:t>0.5%/人·次</w:t>
      </w:r>
      <w:r>
        <w:rPr>
          <w:rFonts w:hint="eastAsia" w:ascii="宋体" w:hAnsi="宋体" w:eastAsia="宋体" w:cs="宋体"/>
          <w:color w:val="auto"/>
          <w:kern w:val="0"/>
          <w:sz w:val="21"/>
          <w:szCs w:val="21"/>
          <w:highlight w:val="none"/>
        </w:rPr>
        <w:t>支付违约金，每次不低于</w:t>
      </w:r>
      <w:r>
        <w:rPr>
          <w:rFonts w:hint="eastAsia" w:ascii="宋体" w:hAnsi="宋体" w:eastAsia="宋体" w:cs="宋体"/>
          <w:color w:val="auto"/>
          <w:kern w:val="0"/>
          <w:sz w:val="21"/>
          <w:szCs w:val="21"/>
          <w:highlight w:val="none"/>
          <w:u w:val="single"/>
        </w:rPr>
        <w:t>0.1万</w:t>
      </w:r>
      <w:r>
        <w:rPr>
          <w:rFonts w:hint="eastAsia" w:ascii="宋体" w:hAnsi="宋体" w:eastAsia="宋体" w:cs="宋体"/>
          <w:color w:val="auto"/>
          <w:kern w:val="0"/>
          <w:sz w:val="21"/>
          <w:szCs w:val="21"/>
          <w:highlight w:val="none"/>
        </w:rPr>
        <w:t>，累计不超过</w:t>
      </w:r>
      <w:r>
        <w:rPr>
          <w:rFonts w:hint="eastAsia" w:ascii="宋体" w:hAnsi="宋体" w:eastAsia="宋体" w:cs="宋体"/>
          <w:color w:val="auto"/>
          <w:kern w:val="0"/>
          <w:sz w:val="21"/>
          <w:szCs w:val="21"/>
          <w:highlight w:val="none"/>
          <w:u w:val="single"/>
        </w:rPr>
        <w:t>1万</w:t>
      </w:r>
      <w:r>
        <w:rPr>
          <w:rFonts w:hint="eastAsia" w:ascii="宋体" w:hAnsi="宋体" w:eastAsia="宋体" w:cs="宋体"/>
          <w:color w:val="auto"/>
          <w:kern w:val="0"/>
          <w:sz w:val="21"/>
          <w:szCs w:val="21"/>
          <w:highlight w:val="none"/>
        </w:rPr>
        <w:t>。</w:t>
      </w:r>
    </w:p>
    <w:p w14:paraId="4445A96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3）主要施工管理人违约承担方式和计算方法：对于第16.2.1项（13）目的五种情形，每发现一次，根据具体情节，按</w:t>
      </w:r>
      <w:r>
        <w:rPr>
          <w:rFonts w:hint="eastAsia" w:ascii="宋体" w:hAnsi="宋体" w:eastAsia="宋体" w:cs="宋体"/>
          <w:color w:val="auto"/>
          <w:kern w:val="0"/>
          <w:sz w:val="21"/>
          <w:szCs w:val="21"/>
          <w:highlight w:val="none"/>
          <w:u w:val="single"/>
        </w:rPr>
        <w:t>500元/天·次</w:t>
      </w:r>
      <w:r>
        <w:rPr>
          <w:rFonts w:hint="eastAsia" w:ascii="宋体" w:hAnsi="宋体" w:eastAsia="宋体" w:cs="宋体"/>
          <w:color w:val="auto"/>
          <w:kern w:val="0"/>
          <w:sz w:val="21"/>
          <w:szCs w:val="21"/>
          <w:highlight w:val="none"/>
        </w:rPr>
        <w:t>计算违约金；擅自更换主要技术负责人的，按签约合同价的</w:t>
      </w:r>
      <w:r>
        <w:rPr>
          <w:rFonts w:hint="eastAsia" w:ascii="宋体" w:hAnsi="宋体" w:eastAsia="宋体" w:cs="宋体"/>
          <w:color w:val="auto"/>
          <w:kern w:val="0"/>
          <w:sz w:val="21"/>
          <w:szCs w:val="21"/>
          <w:highlight w:val="none"/>
          <w:u w:val="single"/>
        </w:rPr>
        <w:t>0.5%/人·次</w:t>
      </w:r>
      <w:r>
        <w:rPr>
          <w:rFonts w:hint="eastAsia" w:ascii="宋体" w:hAnsi="宋体" w:eastAsia="宋体" w:cs="宋体"/>
          <w:color w:val="auto"/>
          <w:kern w:val="0"/>
          <w:sz w:val="21"/>
          <w:szCs w:val="21"/>
          <w:highlight w:val="none"/>
        </w:rPr>
        <w:t>支付违约金，累计不超过</w:t>
      </w:r>
      <w:r>
        <w:rPr>
          <w:rFonts w:hint="eastAsia" w:ascii="宋体" w:hAnsi="宋体" w:eastAsia="宋体" w:cs="宋体"/>
          <w:color w:val="auto"/>
          <w:kern w:val="0"/>
          <w:sz w:val="21"/>
          <w:szCs w:val="21"/>
          <w:highlight w:val="none"/>
          <w:u w:val="single"/>
        </w:rPr>
        <w:t>1万</w:t>
      </w:r>
      <w:r>
        <w:rPr>
          <w:rFonts w:hint="eastAsia" w:ascii="宋体" w:hAnsi="宋体" w:eastAsia="宋体" w:cs="宋体"/>
          <w:color w:val="auto"/>
          <w:kern w:val="0"/>
          <w:sz w:val="21"/>
          <w:szCs w:val="21"/>
          <w:highlight w:val="none"/>
        </w:rPr>
        <w:t>。</w:t>
      </w:r>
    </w:p>
    <w:p w14:paraId="07DBD8A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（18）合同另有约定的，按照其约定。</w:t>
      </w:r>
      <w:bookmarkStart w:id="862" w:name="_Hlk524380347"/>
    </w:p>
    <w:p w14:paraId="06594148">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eastAsia="宋体" w:cs="宋体"/>
          <w:color w:val="auto"/>
          <w:kern w:val="0"/>
          <w:sz w:val="21"/>
          <w:szCs w:val="21"/>
          <w:highlight w:val="none"/>
        </w:rPr>
        <w:t>16.2.2项第（1）目承担违约责任</w:t>
      </w:r>
      <w:r>
        <w:rPr>
          <w:rFonts w:hint="eastAsia" w:ascii="宋体" w:hAnsi="宋体" w:eastAsia="宋体" w:cs="宋体"/>
          <w:color w:val="auto"/>
          <w:sz w:val="21"/>
          <w:szCs w:val="21"/>
          <w:highlight w:val="none"/>
        </w:rPr>
        <w:t>，并从应付或到期应付给承包人的任何款项中或采用其他方法，扣除该违约金。</w:t>
      </w:r>
    </w:p>
    <w:p w14:paraId="456AAD0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eastAsia="宋体" w:cs="宋体"/>
          <w:color w:val="auto"/>
          <w:kern w:val="0"/>
          <w:sz w:val="21"/>
          <w:szCs w:val="21"/>
          <w:highlight w:val="none"/>
        </w:rPr>
        <w:t>，承担由此给</w:t>
      </w:r>
      <w:r>
        <w:rPr>
          <w:rFonts w:hint="eastAsia" w:ascii="宋体" w:hAnsi="宋体" w:eastAsia="宋体" w:cs="宋体"/>
          <w:color w:val="auto"/>
          <w:sz w:val="21"/>
          <w:szCs w:val="21"/>
          <w:highlight w:val="none"/>
        </w:rPr>
        <w:t>发包人造成的经济损失。</w:t>
      </w:r>
    </w:p>
    <w:p w14:paraId="0C17153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承包人承担承包范围的工程质量、安全、环保责任，因承包人原因引起的质量、安全、环保等事故由承包人承担相应的法律后果。</w:t>
      </w:r>
    </w:p>
    <w:bookmarkEnd w:id="862"/>
    <w:p w14:paraId="1892FDA6">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3248AD6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因承包人违约并致使合同目的不能实现的，发包人有权解除合同：</w:t>
      </w:r>
    </w:p>
    <w:p w14:paraId="6AEDE95F">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（1）未按合同约定延迟提供履约担保、质量保证金超过14天的；</w:t>
      </w:r>
    </w:p>
    <w:p w14:paraId="16125565">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（2）未按合同约定购买保险且经催告后超过56天的；</w:t>
      </w:r>
    </w:p>
    <w:p w14:paraId="75FF2D1A">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（3）因承包人原因导致开工时间累计延误超过56天的；</w:t>
      </w:r>
    </w:p>
    <w:p w14:paraId="5022D48C">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（4）因承包人原因导致工期延误超过90天的；</w:t>
      </w:r>
    </w:p>
    <w:p w14:paraId="03CF8514">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（5）发生第21.2款〔退出机制〕约定的情形的；</w:t>
      </w:r>
    </w:p>
    <w:p w14:paraId="69B09068">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（6）监理人发出整改通知后，承包人在监理人限定的期限内仍不纠正违约行为的；</w:t>
      </w:r>
    </w:p>
    <w:p w14:paraId="24C2A024">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（7）承包人进入清算或者严重资不抵债且无法履行合同的；</w:t>
      </w:r>
    </w:p>
    <w:p w14:paraId="0687205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（8）违反适用法律而被相关政府部门依法吊销营业执照、责令停业、清算或宣布破产、责令关闭的；</w:t>
      </w:r>
    </w:p>
    <w:p w14:paraId="04528E0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（9）承包人未履行合同项下的义务构成对合同的实质性违约，并且在收到发包人要求说明其违约并予以补救的通知后56天内仍未能补救该实质性违约的；</w:t>
      </w:r>
    </w:p>
    <w:p w14:paraId="3D276302">
      <w:pPr>
        <w:pStyle w:val="242"/>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（10）合同约定其他情况的，发包人有权解除合同的。</w:t>
      </w:r>
    </w:p>
    <w:p w14:paraId="18B7ECEE">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16.2.4因承包人违约解除合同后的处理</w:t>
      </w:r>
    </w:p>
    <w:p w14:paraId="17F51002">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因承包人违约导致合同解除的，合同当事人应在合同解除后56天内完成估价、付款和清算，并按以下约定执行：</w:t>
      </w:r>
    </w:p>
    <w:p w14:paraId="506B2B53">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（1）合同解除后，按第14.2款结算审定方式确定承包人实际完成工作对应的合同价款，以及承包人已提供的材料、工程设备、施工设备和临时工程等的价值；</w:t>
      </w:r>
    </w:p>
    <w:p w14:paraId="5487D88C">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（2）合同解除后，承包人应支付违约金；</w:t>
      </w:r>
    </w:p>
    <w:p w14:paraId="3BE69DFA">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（3）合同解除后，赔偿因解除合同给发包人造成的损失；</w:t>
      </w:r>
    </w:p>
    <w:p w14:paraId="2B789A4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14:paraId="19FAA33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w:t>
      </w:r>
    </w:p>
    <w:p w14:paraId="0B5FF9F0">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4FDB9F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849"/>
    <w:bookmarkEnd w:id="850"/>
    <w:p w14:paraId="742FAC40">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863" w:name="_Toc532377404"/>
      <w:bookmarkStart w:id="864" w:name="_Toc532375665"/>
      <w:bookmarkStart w:id="865" w:name="_Toc351203649"/>
      <w:bookmarkStart w:id="866" w:name="_Hlk528928440"/>
      <w:r>
        <w:rPr>
          <w:rFonts w:hint="eastAsia" w:ascii="宋体" w:hAnsi="宋体" w:eastAsia="宋体" w:cs="宋体"/>
          <w:b/>
          <w:bCs/>
          <w:color w:val="auto"/>
          <w:sz w:val="21"/>
          <w:szCs w:val="21"/>
          <w:highlight w:val="none"/>
        </w:rPr>
        <w:t>17. 不可抗力</w:t>
      </w:r>
      <w:bookmarkEnd w:id="863"/>
      <w:bookmarkEnd w:id="864"/>
      <w:bookmarkEnd w:id="865"/>
    </w:p>
    <w:p w14:paraId="1809D3D1">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67" w:name="_Toc532377405"/>
      <w:bookmarkStart w:id="868" w:name="_Toc532375666"/>
      <w:r>
        <w:rPr>
          <w:rFonts w:hint="eastAsia" w:ascii="宋体" w:hAnsi="宋体" w:eastAsia="宋体" w:cs="宋体"/>
          <w:b/>
          <w:bCs/>
          <w:color w:val="auto"/>
          <w:sz w:val="21"/>
          <w:szCs w:val="21"/>
          <w:highlight w:val="none"/>
        </w:rPr>
        <w:t>17.1 不可抗力的确认</w:t>
      </w:r>
      <w:bookmarkEnd w:id="867"/>
      <w:bookmarkEnd w:id="868"/>
    </w:p>
    <w:p w14:paraId="08400EF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除通用合同条款约定的不可抗力事件之外，视为不可抗力的其他情形：</w:t>
      </w:r>
      <w:bookmarkStart w:id="869" w:name="_Hlk524379638"/>
    </w:p>
    <w:p w14:paraId="05576CD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（1）洪水、火山爆发、山崩、山体滑坡、泥石流、龙卷风、隧道内不可预测的突发性地质灾害等自然灾害；</w:t>
      </w:r>
    </w:p>
    <w:p w14:paraId="54EE1C7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（2）骚乱、戒严、封锁、禁运、恐怖行为、等社会行为，但承包人或其分包人派遣与雇佣的人员由于合同工程施工原因引起的除外；</w:t>
      </w:r>
    </w:p>
    <w:p w14:paraId="73FDDC1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（3）不能合理预见的重大交通阻滞、停运、交通事故，非双方责任引起的火灾、爆炸、船舶撞击等情形；</w:t>
      </w:r>
    </w:p>
    <w:p w14:paraId="7BD3644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（4）化学或放射性污染或核辐射；</w:t>
      </w:r>
    </w:p>
    <w:p w14:paraId="75F9E9F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（5）环保治理等政府行为导致项目停工的。</w:t>
      </w:r>
      <w:bookmarkEnd w:id="869"/>
    </w:p>
    <w:p w14:paraId="243C8C2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C865EB2">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70" w:name="_Toc532375667"/>
      <w:bookmarkStart w:id="871" w:name="_Toc351203610"/>
      <w:bookmarkStart w:id="872" w:name="_Toc532377406"/>
      <w:bookmarkStart w:id="873" w:name="_Toc337558826"/>
      <w:bookmarkStart w:id="874" w:name="_Toc296346620"/>
      <w:bookmarkStart w:id="875" w:name="_Toc296503119"/>
      <w:r>
        <w:rPr>
          <w:rFonts w:hint="eastAsia" w:ascii="宋体" w:hAnsi="宋体" w:eastAsia="宋体" w:cs="宋体"/>
          <w:b/>
          <w:bCs/>
          <w:color w:val="auto"/>
          <w:sz w:val="21"/>
          <w:szCs w:val="21"/>
          <w:highlight w:val="none"/>
        </w:rPr>
        <w:t>17.2 不可抗力后果的承担</w:t>
      </w:r>
      <w:bookmarkEnd w:id="870"/>
      <w:bookmarkEnd w:id="871"/>
      <w:bookmarkEnd w:id="872"/>
    </w:p>
    <w:bookmarkEnd w:id="873"/>
    <w:bookmarkEnd w:id="874"/>
    <w:bookmarkEnd w:id="875"/>
    <w:p w14:paraId="0385793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 不可抗力引起的后果及造成的损失由合同当事人按照法律规定及合同约定各自承担。不可抗力发生前已完成的工程应当按照合同约定进行计量支付。</w:t>
      </w:r>
    </w:p>
    <w:p w14:paraId="0C32B91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 不可抗力导致的人员伤亡、财产损失、费用增加和（或）工期延误等后果，由合同当事人按以下原则承担：</w:t>
      </w:r>
    </w:p>
    <w:p w14:paraId="4DF015F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（1）永久工程、已运至施工现场的施工材料和工程设备的损坏，以及因工程损坏造成的第三方人员伤亡和财产损失由发包人承担；</w:t>
      </w:r>
    </w:p>
    <w:p w14:paraId="5CF0C36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（2）承包人施工设备的损坏由承包人承担；</w:t>
      </w:r>
    </w:p>
    <w:p w14:paraId="5BFC537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（3）发包人和承包人承担各自人员伤亡和财产的损失；</w:t>
      </w:r>
    </w:p>
    <w:p w14:paraId="4D3C05A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（4）因不可抗力影响承包人履行合同约定的义务，已经引起或将引起工期延误的，应当顺延工期，由此导致承包人停工的费用损失由发包人和承包人合理共担，停工期间必须支付的工人工资由发包人承担；</w:t>
      </w:r>
    </w:p>
    <w:p w14:paraId="77FE121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（5）因不可抗力引起或将引起工期延误，发包人要求赶工的，由此增加的赶工费用由发包人承担；</w:t>
      </w:r>
    </w:p>
    <w:p w14:paraId="4275AEB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（6）承包人在停工期间按照发包人要求照管、清理和修复工程的费用由发包人承担；</w:t>
      </w:r>
    </w:p>
    <w:p w14:paraId="58C8608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（7）不可抗力事件发生后，合同当事人均应采取措施尽量避免和减少损失的扩大，任何一方当事人没有采取有效措施导致损失扩大的，应对扩大的损失承担责任。</w:t>
      </w:r>
    </w:p>
    <w:p w14:paraId="6F26B38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0E485B9">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76" w:name="_Toc532377407"/>
      <w:bookmarkStart w:id="877" w:name="_Toc532375668"/>
      <w:r>
        <w:rPr>
          <w:rFonts w:hint="eastAsia" w:ascii="宋体" w:hAnsi="宋体" w:eastAsia="宋体" w:cs="宋体"/>
          <w:b/>
          <w:bCs/>
          <w:color w:val="auto"/>
          <w:sz w:val="21"/>
          <w:szCs w:val="21"/>
          <w:highlight w:val="none"/>
        </w:rPr>
        <w:t>17.3因不可抗力解除合同</w:t>
      </w:r>
      <w:bookmarkEnd w:id="876"/>
      <w:bookmarkEnd w:id="877"/>
    </w:p>
    <w:p w14:paraId="4C1E6D3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28</w:t>
      </w:r>
      <w:r>
        <w:rPr>
          <w:rFonts w:hint="eastAsia" w:ascii="宋体" w:hAnsi="宋体" w:eastAsia="宋体" w:cs="宋体"/>
          <w:color w:val="auto"/>
          <w:sz w:val="21"/>
          <w:szCs w:val="21"/>
          <w:highlight w:val="none"/>
        </w:rPr>
        <w:t>天内完成款项的支付。</w:t>
      </w:r>
    </w:p>
    <w:p w14:paraId="324B7ECE">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878" w:name="_Toc351203650"/>
      <w:bookmarkStart w:id="879" w:name="_Toc532375669"/>
      <w:bookmarkStart w:id="880" w:name="_Toc532377408"/>
      <w:r>
        <w:rPr>
          <w:rFonts w:hint="eastAsia" w:ascii="宋体" w:hAnsi="宋体" w:eastAsia="宋体" w:cs="宋体"/>
          <w:b/>
          <w:bCs/>
          <w:color w:val="auto"/>
          <w:sz w:val="21"/>
          <w:szCs w:val="21"/>
          <w:highlight w:val="none"/>
        </w:rPr>
        <w:t>18. 保险</w:t>
      </w:r>
      <w:bookmarkEnd w:id="878"/>
      <w:bookmarkEnd w:id="879"/>
      <w:bookmarkEnd w:id="880"/>
    </w:p>
    <w:p w14:paraId="3494086A">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81" w:name="_Toc532377409"/>
      <w:bookmarkStart w:id="882" w:name="_Toc532375670"/>
      <w:r>
        <w:rPr>
          <w:rFonts w:hint="eastAsia" w:ascii="宋体" w:hAnsi="宋体" w:eastAsia="宋体" w:cs="宋体"/>
          <w:b/>
          <w:bCs/>
          <w:color w:val="auto"/>
          <w:sz w:val="21"/>
          <w:szCs w:val="21"/>
          <w:highlight w:val="none"/>
        </w:rPr>
        <w:t>18.1 工程保险</w:t>
      </w:r>
      <w:bookmarkEnd w:id="881"/>
      <w:bookmarkEnd w:id="882"/>
    </w:p>
    <w:p w14:paraId="19F44B8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建筑、安装工程一切险及第三者责任险由承包人投保。承包人装备险、职工的（人身）事故险由承包人自行投保。以上保险费由承包人支付，并包含在合同价款中</w:t>
      </w:r>
      <w:r>
        <w:rPr>
          <w:rFonts w:hint="eastAsia" w:ascii="宋体" w:hAnsi="宋体" w:eastAsia="宋体" w:cs="宋体"/>
          <w:color w:val="auto"/>
          <w:sz w:val="21"/>
          <w:szCs w:val="21"/>
          <w:highlight w:val="none"/>
        </w:rPr>
        <w:t>。</w:t>
      </w:r>
    </w:p>
    <w:p w14:paraId="44480264">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83" w:name="_Toc532377410"/>
      <w:bookmarkStart w:id="884" w:name="_Toc532375671"/>
      <w:r>
        <w:rPr>
          <w:rFonts w:hint="eastAsia" w:ascii="宋体" w:hAnsi="宋体" w:eastAsia="宋体" w:cs="宋体"/>
          <w:b/>
          <w:bCs/>
          <w:color w:val="auto"/>
          <w:sz w:val="21"/>
          <w:szCs w:val="21"/>
          <w:highlight w:val="none"/>
        </w:rPr>
        <w:t>18.2 其他保险</w:t>
      </w:r>
      <w:bookmarkEnd w:id="883"/>
      <w:bookmarkEnd w:id="884"/>
    </w:p>
    <w:p w14:paraId="40371A6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97EB3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52CD6A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安全生产责任险：</w:t>
      </w:r>
      <w:r>
        <w:rPr>
          <w:rFonts w:hint="eastAsia" w:ascii="宋体" w:hAnsi="宋体" w:eastAsia="宋体" w:cs="宋体"/>
          <w:color w:val="auto"/>
          <w:sz w:val="21"/>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eastAsia="宋体" w:cs="宋体"/>
          <w:color w:val="auto"/>
          <w:sz w:val="21"/>
          <w:szCs w:val="21"/>
          <w:highlight w:val="none"/>
        </w:rPr>
        <w:t>。</w:t>
      </w:r>
    </w:p>
    <w:p w14:paraId="0F159B94">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85" w:name="_Toc532377411"/>
      <w:bookmarkStart w:id="886" w:name="_Toc532375672"/>
      <w:r>
        <w:rPr>
          <w:rFonts w:hint="eastAsia" w:ascii="宋体" w:hAnsi="宋体" w:eastAsia="宋体" w:cs="宋体"/>
          <w:b/>
          <w:bCs/>
          <w:color w:val="auto"/>
          <w:sz w:val="21"/>
          <w:szCs w:val="21"/>
          <w:highlight w:val="none"/>
        </w:rPr>
        <w:t>18.3 通知义务</w:t>
      </w:r>
      <w:bookmarkEnd w:id="885"/>
      <w:bookmarkEnd w:id="886"/>
    </w:p>
    <w:p w14:paraId="47369DB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sz w:val="21"/>
          <w:szCs w:val="21"/>
          <w:highlight w:val="none"/>
        </w:rPr>
        <w:t>。</w:t>
      </w:r>
    </w:p>
    <w:p w14:paraId="6F5ECB38">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87" w:name="_Toc532375673"/>
      <w:bookmarkStart w:id="888" w:name="_Toc532377412"/>
      <w:r>
        <w:rPr>
          <w:rFonts w:hint="eastAsia" w:ascii="宋体" w:hAnsi="宋体" w:eastAsia="宋体" w:cs="宋体"/>
          <w:b/>
          <w:bCs/>
          <w:color w:val="auto"/>
          <w:sz w:val="21"/>
          <w:szCs w:val="21"/>
          <w:highlight w:val="none"/>
        </w:rPr>
        <w:t>18.4其他</w:t>
      </w:r>
      <w:bookmarkEnd w:id="887"/>
      <w:bookmarkEnd w:id="888"/>
    </w:p>
    <w:p w14:paraId="16AF54D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 工程开工日前，承包人向发包人提交各项生效的保险证据和保险单副本。未按本项约定提交的，每延后1天，承包人按500元/天支付违约金。</w:t>
      </w:r>
    </w:p>
    <w:p w14:paraId="74D252B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18.4.2 承包人保险赔偿金不足以补偿发包人损失时，</w:t>
      </w:r>
      <w:bookmarkStart w:id="889" w:name="_Hlk524378346"/>
      <w:r>
        <w:rPr>
          <w:rFonts w:hint="eastAsia" w:ascii="宋体" w:hAnsi="宋体" w:eastAsia="宋体" w:cs="宋体"/>
          <w:color w:val="auto"/>
          <w:sz w:val="21"/>
          <w:szCs w:val="21"/>
          <w:highlight w:val="none"/>
        </w:rPr>
        <w:t>差额由承包人负责补足</w:t>
      </w:r>
      <w:bookmarkEnd w:id="889"/>
      <w:r>
        <w:rPr>
          <w:rFonts w:hint="eastAsia" w:ascii="宋体" w:hAnsi="宋体" w:eastAsia="宋体" w:cs="宋体"/>
          <w:color w:val="auto"/>
          <w:sz w:val="21"/>
          <w:szCs w:val="21"/>
          <w:highlight w:val="none"/>
        </w:rPr>
        <w:t>。</w:t>
      </w:r>
    </w:p>
    <w:p w14:paraId="6BEF39A3">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890" w:name="_Toc532375674"/>
      <w:bookmarkStart w:id="891" w:name="_Toc532377413"/>
      <w:bookmarkStart w:id="892" w:name="_Toc351203620"/>
      <w:bookmarkStart w:id="893" w:name="_Toc296503140"/>
      <w:bookmarkStart w:id="894" w:name="_Toc296346641"/>
      <w:bookmarkStart w:id="895" w:name="_Toc337558835"/>
      <w:r>
        <w:rPr>
          <w:rFonts w:hint="eastAsia" w:ascii="宋体" w:hAnsi="宋体" w:eastAsia="宋体" w:cs="宋体"/>
          <w:b/>
          <w:bCs/>
          <w:color w:val="auto"/>
          <w:sz w:val="21"/>
          <w:szCs w:val="21"/>
          <w:highlight w:val="none"/>
        </w:rPr>
        <w:t>19. 索赔</w:t>
      </w:r>
      <w:bookmarkEnd w:id="890"/>
      <w:bookmarkEnd w:id="891"/>
      <w:bookmarkEnd w:id="892"/>
    </w:p>
    <w:bookmarkEnd w:id="893"/>
    <w:bookmarkEnd w:id="894"/>
    <w:bookmarkEnd w:id="895"/>
    <w:p w14:paraId="2660FB46">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896" w:name="_Toc532375675"/>
      <w:bookmarkStart w:id="897" w:name="_Toc532377414"/>
      <w:bookmarkStart w:id="898" w:name="_Toc296346642"/>
      <w:bookmarkStart w:id="899" w:name="_Toc337558836"/>
      <w:bookmarkStart w:id="900" w:name="_Toc351203621"/>
      <w:bookmarkStart w:id="901" w:name="_Toc296503141"/>
      <w:r>
        <w:rPr>
          <w:rFonts w:hint="eastAsia" w:ascii="宋体" w:hAnsi="宋体" w:eastAsia="宋体" w:cs="宋体"/>
          <w:b/>
          <w:bCs/>
          <w:color w:val="auto"/>
          <w:sz w:val="21"/>
          <w:szCs w:val="21"/>
          <w:highlight w:val="none"/>
        </w:rPr>
        <w:t>19.1 承包人的索赔</w:t>
      </w:r>
      <w:bookmarkEnd w:id="896"/>
      <w:bookmarkEnd w:id="897"/>
    </w:p>
    <w:p w14:paraId="65968990">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根据合同约定，承包人认为有权得到追加付款和（或）延长工期的，应按以下程序向发包人提出索赔：</w:t>
      </w:r>
    </w:p>
    <w:p w14:paraId="2EE0BC7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0B68122B">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5903CF3A">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（3）索赔事件具有持续影响的，承包人应按监理人要求的合理时间间隔继续递交延续索赔通知，说明持续影响的实际情况和记录，列出累计的追加付款金额和（或）工期延长天数；</w:t>
      </w:r>
    </w:p>
    <w:p w14:paraId="1EBFC9A4">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（4）在索赔事件影响结束后28天内，承包人应向监理人递交最终索赔报告，说明最终要求索赔的追加付款金额和（或）延长的工期，并附必要的记录和证明材料。</w:t>
      </w:r>
    </w:p>
    <w:p w14:paraId="475B3E15">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1A986F3">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902" w:name="_Toc532377415"/>
      <w:bookmarkStart w:id="903" w:name="_Toc532375676"/>
      <w:r>
        <w:rPr>
          <w:rFonts w:hint="eastAsia" w:ascii="宋体" w:hAnsi="宋体" w:eastAsia="宋体" w:cs="宋体"/>
          <w:b/>
          <w:bCs/>
          <w:color w:val="auto"/>
          <w:sz w:val="21"/>
          <w:szCs w:val="21"/>
          <w:highlight w:val="none"/>
        </w:rPr>
        <w:t>19.2 对承包人索赔的处理</w:t>
      </w:r>
      <w:bookmarkEnd w:id="902"/>
      <w:bookmarkEnd w:id="903"/>
    </w:p>
    <w:p w14:paraId="0232B433">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对承包人索赔的处理如下：</w:t>
      </w:r>
    </w:p>
    <w:p w14:paraId="1FB23D14">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eastAsia="宋体" w:cs="宋体"/>
          <w:color w:val="auto"/>
          <w:sz w:val="21"/>
          <w:szCs w:val="21"/>
          <w:highlight w:val="none"/>
        </w:rPr>
        <w:t>；</w:t>
      </w:r>
    </w:p>
    <w:p w14:paraId="0BF99DE2">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eastAsia="宋体" w:cs="宋体"/>
          <w:color w:val="auto"/>
          <w:sz w:val="21"/>
          <w:szCs w:val="21"/>
          <w:highlight w:val="none"/>
        </w:rPr>
        <w:t>；</w:t>
      </w:r>
    </w:p>
    <w:p w14:paraId="5D852621">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（3）承包人接受索赔处理结果的，索赔款项在当期进度款中进行支付；承包人不接受索赔处理结果的，按照第20条〔争议解决〕约定处理</w:t>
      </w:r>
      <w:r>
        <w:rPr>
          <w:rFonts w:hint="eastAsia" w:ascii="宋体" w:hAnsi="宋体" w:eastAsia="宋体" w:cs="宋体"/>
          <w:color w:val="auto"/>
          <w:sz w:val="21"/>
          <w:szCs w:val="21"/>
          <w:highlight w:val="none"/>
        </w:rPr>
        <w:t>；</w:t>
      </w:r>
    </w:p>
    <w:p w14:paraId="5D480FDF">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（4）工期延误的关键线路按照经监理人、发包人审批同意的施工组织设计计算</w:t>
      </w:r>
      <w:r>
        <w:rPr>
          <w:rFonts w:hint="eastAsia" w:ascii="宋体" w:hAnsi="宋体" w:eastAsia="宋体" w:cs="宋体"/>
          <w:color w:val="auto"/>
          <w:sz w:val="21"/>
          <w:szCs w:val="21"/>
          <w:highlight w:val="none"/>
        </w:rPr>
        <w:t>。</w:t>
      </w:r>
    </w:p>
    <w:p w14:paraId="50F0767C">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904" w:name="_Toc532375677"/>
      <w:bookmarkStart w:id="905" w:name="_Toc532377416"/>
      <w:r>
        <w:rPr>
          <w:rFonts w:hint="eastAsia" w:ascii="宋体" w:hAnsi="宋体" w:eastAsia="宋体" w:cs="宋体"/>
          <w:b/>
          <w:bCs/>
          <w:color w:val="auto"/>
          <w:sz w:val="21"/>
          <w:szCs w:val="21"/>
          <w:highlight w:val="none"/>
        </w:rPr>
        <w:t>19.3发包人的索赔</w:t>
      </w:r>
      <w:bookmarkEnd w:id="904"/>
      <w:bookmarkEnd w:id="905"/>
    </w:p>
    <w:p w14:paraId="0A9332CB">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根据合同约定，发包人认为有权得到赔付金额和（或）延长缺陷责任期的，监理人应向承包人发出通知并附有详细的证明。</w:t>
      </w:r>
    </w:p>
    <w:p w14:paraId="509AEBD5">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906" w:name="_Hlk528652769"/>
      <w:r>
        <w:rPr>
          <w:rFonts w:hint="eastAsia" w:ascii="宋体" w:hAnsi="宋体" w:eastAsia="宋体" w:cs="宋体"/>
          <w:color w:val="auto"/>
          <w:sz w:val="21"/>
          <w:szCs w:val="21"/>
          <w:highlight w:val="none"/>
        </w:rPr>
        <w:t>通过监理人向承包人正式递交最终索赔报告</w:t>
      </w:r>
      <w:bookmarkEnd w:id="906"/>
      <w:r>
        <w:rPr>
          <w:rFonts w:hint="eastAsia" w:ascii="宋体" w:hAnsi="宋体" w:eastAsia="宋体" w:cs="宋体"/>
          <w:color w:val="auto"/>
          <w:sz w:val="21"/>
          <w:szCs w:val="21"/>
          <w:highlight w:val="none"/>
        </w:rPr>
        <w:t>。</w:t>
      </w:r>
    </w:p>
    <w:p w14:paraId="570416A7">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907" w:name="_Toc532375678"/>
      <w:bookmarkStart w:id="908" w:name="_Toc532377417"/>
      <w:r>
        <w:rPr>
          <w:rFonts w:hint="eastAsia" w:ascii="宋体" w:hAnsi="宋体" w:eastAsia="宋体" w:cs="宋体"/>
          <w:b/>
          <w:bCs/>
          <w:color w:val="auto"/>
          <w:sz w:val="21"/>
          <w:szCs w:val="21"/>
          <w:highlight w:val="none"/>
        </w:rPr>
        <w:t>19.4 对发包人索赔的处理</w:t>
      </w:r>
      <w:bookmarkEnd w:id="907"/>
      <w:bookmarkEnd w:id="908"/>
    </w:p>
    <w:p w14:paraId="0068F36C">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14:paraId="4D14CEED">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（1）承包人收到发包人提交的索赔报告后，应及时审查索赔报告的内容、查验发包人证明材料；</w:t>
      </w:r>
    </w:p>
    <w:p w14:paraId="1A4C3927">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53911B35">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（3）承包人接受索赔处理结果的，发包人可从应支付给承包人的合同价款中扣除赔付的金额或延长缺陷责任期；发包人不接受索赔处理结果的，按第20条〔争议解决〕约定处理。</w:t>
      </w:r>
    </w:p>
    <w:p w14:paraId="3A48F505">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909" w:name="_Toc532375679"/>
      <w:bookmarkStart w:id="910" w:name="_Toc532377418"/>
      <w:bookmarkStart w:id="911" w:name="_Hlk528928420"/>
      <w:r>
        <w:rPr>
          <w:rFonts w:hint="eastAsia" w:ascii="宋体" w:hAnsi="宋体" w:eastAsia="宋体" w:cs="宋体"/>
          <w:b/>
          <w:bCs/>
          <w:color w:val="auto"/>
          <w:sz w:val="21"/>
          <w:szCs w:val="21"/>
          <w:highlight w:val="none"/>
        </w:rPr>
        <w:t>19.5 提出索赔的期限</w:t>
      </w:r>
      <w:bookmarkEnd w:id="909"/>
      <w:bookmarkEnd w:id="910"/>
    </w:p>
    <w:p w14:paraId="592FFA95">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912" w:name="_Hlk524298376"/>
      <w:r>
        <w:rPr>
          <w:rFonts w:hint="eastAsia" w:ascii="宋体" w:hAnsi="宋体" w:eastAsia="宋体" w:cs="宋体"/>
          <w:color w:val="auto"/>
          <w:sz w:val="21"/>
          <w:szCs w:val="21"/>
          <w:highlight w:val="none"/>
        </w:rPr>
        <w:t>任一索赔事件发生后28天内，承包人/发包人未向对方发出索赔意向通知书的，视为其已放弃索赔权，无权再就该索赔事项提出任何索赔。</w:t>
      </w:r>
    </w:p>
    <w:bookmarkEnd w:id="898"/>
    <w:bookmarkEnd w:id="899"/>
    <w:bookmarkEnd w:id="900"/>
    <w:bookmarkEnd w:id="901"/>
    <w:bookmarkEnd w:id="911"/>
    <w:bookmarkEnd w:id="912"/>
    <w:p w14:paraId="079599E3">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913" w:name="_Toc351203651"/>
      <w:bookmarkStart w:id="914" w:name="_Toc532375680"/>
      <w:bookmarkStart w:id="915" w:name="_Toc532377419"/>
      <w:r>
        <w:rPr>
          <w:rFonts w:hint="eastAsia" w:ascii="宋体" w:hAnsi="宋体" w:eastAsia="宋体" w:cs="宋体"/>
          <w:b/>
          <w:bCs/>
          <w:color w:val="auto"/>
          <w:sz w:val="21"/>
          <w:szCs w:val="21"/>
          <w:highlight w:val="none"/>
        </w:rPr>
        <w:t>20. 争议解决</w:t>
      </w:r>
      <w:bookmarkEnd w:id="913"/>
      <w:bookmarkEnd w:id="914"/>
      <w:bookmarkEnd w:id="915"/>
    </w:p>
    <w:p w14:paraId="4CB0F82D">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916" w:name="_Toc532375681"/>
      <w:bookmarkStart w:id="917" w:name="_Toc532377420"/>
      <w:r>
        <w:rPr>
          <w:rFonts w:hint="eastAsia" w:ascii="宋体" w:hAnsi="宋体" w:eastAsia="宋体" w:cs="宋体"/>
          <w:b/>
          <w:bCs/>
          <w:color w:val="auto"/>
          <w:sz w:val="21"/>
          <w:szCs w:val="21"/>
          <w:highlight w:val="none"/>
        </w:rPr>
        <w:t>20.1 争议评审</w:t>
      </w:r>
      <w:bookmarkEnd w:id="916"/>
      <w:bookmarkEnd w:id="917"/>
    </w:p>
    <w:p w14:paraId="0E8F162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否</w:t>
      </w:r>
      <w:r>
        <w:rPr>
          <w:rFonts w:hint="eastAsia" w:ascii="宋体" w:hAnsi="宋体" w:eastAsia="宋体" w:cs="宋体"/>
          <w:color w:val="auto"/>
          <w:sz w:val="21"/>
          <w:szCs w:val="21"/>
          <w:highlight w:val="none"/>
        </w:rPr>
        <w:t>。</w:t>
      </w:r>
    </w:p>
    <w:p w14:paraId="77DA9BFA">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918" w:name="_Toc532375682"/>
      <w:bookmarkStart w:id="919" w:name="_Toc532377421"/>
      <w:r>
        <w:rPr>
          <w:rFonts w:hint="eastAsia" w:ascii="宋体" w:hAnsi="宋体" w:eastAsia="宋体" w:cs="宋体"/>
          <w:b/>
          <w:bCs/>
          <w:color w:val="auto"/>
          <w:sz w:val="21"/>
          <w:szCs w:val="21"/>
          <w:highlight w:val="none"/>
        </w:rPr>
        <w:t>20.2仲裁或诉讼</w:t>
      </w:r>
      <w:bookmarkEnd w:id="918"/>
      <w:bookmarkEnd w:id="919"/>
    </w:p>
    <w:p w14:paraId="0404BEB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14:paraId="3C6E6FE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建设工程所在地</w:t>
      </w:r>
      <w:r>
        <w:rPr>
          <w:rFonts w:hint="eastAsia" w:ascii="宋体" w:hAnsi="宋体" w:eastAsia="宋体" w:cs="宋体"/>
          <w:color w:val="auto"/>
          <w:sz w:val="21"/>
          <w:szCs w:val="21"/>
          <w:highlight w:val="none"/>
        </w:rPr>
        <w:t>仲裁委员会申请仲裁；</w:t>
      </w:r>
    </w:p>
    <w:p w14:paraId="759ADA2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建设工程所在地</w:t>
      </w:r>
      <w:r>
        <w:rPr>
          <w:rFonts w:hint="eastAsia" w:ascii="宋体" w:hAnsi="宋体" w:eastAsia="宋体" w:cs="宋体"/>
          <w:color w:val="auto"/>
          <w:sz w:val="21"/>
          <w:szCs w:val="21"/>
          <w:highlight w:val="none"/>
        </w:rPr>
        <w:t>人民法院起诉。</w:t>
      </w:r>
    </w:p>
    <w:p w14:paraId="79E550E1">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920" w:name="_Toc532377422"/>
      <w:bookmarkStart w:id="921" w:name="_Toc532375683"/>
      <w:r>
        <w:rPr>
          <w:rFonts w:hint="eastAsia" w:ascii="宋体" w:hAnsi="宋体" w:eastAsia="宋体" w:cs="宋体"/>
          <w:b/>
          <w:bCs/>
          <w:color w:val="auto"/>
          <w:sz w:val="21"/>
          <w:szCs w:val="21"/>
          <w:highlight w:val="none"/>
        </w:rPr>
        <w:t>21. 补充条款</w:t>
      </w:r>
      <w:bookmarkEnd w:id="920"/>
      <w:bookmarkEnd w:id="921"/>
    </w:p>
    <w:p w14:paraId="4CEBB45C">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bookmarkStart w:id="922" w:name="_Toc532375684"/>
      <w:bookmarkStart w:id="923" w:name="_Toc532377423"/>
      <w:r>
        <w:rPr>
          <w:rFonts w:hint="eastAsia" w:ascii="宋体" w:hAnsi="宋体" w:eastAsia="宋体" w:cs="宋体"/>
          <w:b/>
          <w:bCs/>
          <w:color w:val="auto"/>
          <w:sz w:val="21"/>
          <w:szCs w:val="21"/>
          <w:highlight w:val="none"/>
        </w:rPr>
        <w:t>21.1 退出机制</w:t>
      </w:r>
      <w:bookmarkEnd w:id="922"/>
      <w:bookmarkEnd w:id="923"/>
    </w:p>
    <w:p w14:paraId="46E2B38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21.1.1有下列情形之一的，发包人有权解除合同，亦有权兑付履约担保，并对承包人做清退出场处理</w:t>
      </w:r>
      <w:r>
        <w:rPr>
          <w:rFonts w:hint="eastAsia" w:ascii="宋体" w:hAnsi="宋体" w:eastAsia="宋体" w:cs="宋体"/>
          <w:color w:val="auto"/>
          <w:kern w:val="0"/>
          <w:sz w:val="21"/>
          <w:szCs w:val="21"/>
          <w:highlight w:val="none"/>
        </w:rPr>
        <w:t>：</w:t>
      </w:r>
    </w:p>
    <w:p w14:paraId="35933A0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（1）因承包人原因造成较大及以上等级生产安全事故或工程质量事故的；</w:t>
      </w:r>
    </w:p>
    <w:p w14:paraId="553D391D">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（2）因承包人债权债务纠纷或其他纠纷导致工程无法正常施工的。</w:t>
      </w:r>
    </w:p>
    <w:p w14:paraId="0E6573B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w:t>
      </w:r>
    </w:p>
    <w:p w14:paraId="04FC46E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21.1.2有下列情形之一的，承包人有权解除合同，并按16.1.4约定执行：</w:t>
      </w:r>
    </w:p>
    <w:p w14:paraId="5CEEF66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（1）因发包人征地、拆迁、补偿、审批手续等原因致使本工程延期开工超过90天的。</w:t>
      </w:r>
    </w:p>
    <w:p w14:paraId="2632313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因发包人在签订合同后60天内未全部移交场地，导致工程无法正常开工的</w:t>
      </w:r>
      <w:r>
        <w:rPr>
          <w:rFonts w:hint="eastAsia" w:ascii="宋体" w:hAnsi="宋体" w:eastAsia="宋体" w:cs="宋体"/>
          <w:color w:val="auto"/>
          <w:kern w:val="0"/>
          <w:sz w:val="21"/>
          <w:szCs w:val="21"/>
          <w:highlight w:val="none"/>
        </w:rPr>
        <w:t>。</w:t>
      </w:r>
    </w:p>
    <w:p w14:paraId="3A9559D9">
      <w:pPr>
        <w:keepNext/>
        <w:keepLines/>
        <w:adjustRightInd w:val="0"/>
        <w:snapToGrid w:val="0"/>
        <w:spacing w:line="360" w:lineRule="auto"/>
        <w:ind w:firstLine="422" w:firstLineChars="200"/>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21.2 低价风险担保（如有）</w:t>
      </w:r>
    </w:p>
    <w:p w14:paraId="7DCFCE6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bookmarkEnd w:id="866"/>
    <w:p w14:paraId="3B7A82B6">
      <w:pPr>
        <w:keepNext/>
        <w:keepLines/>
        <w:adjustRightInd w:val="0"/>
        <w:snapToGrid w:val="0"/>
        <w:spacing w:line="360" w:lineRule="auto"/>
        <w:outlineLvl w:val="3"/>
        <w:rPr>
          <w:rFonts w:hint="eastAsia" w:ascii="宋体" w:hAnsi="宋体" w:eastAsia="宋体" w:cs="宋体"/>
          <w:b/>
          <w:bCs/>
          <w:color w:val="auto"/>
          <w:sz w:val="21"/>
          <w:szCs w:val="21"/>
          <w:highlight w:val="none"/>
        </w:rPr>
      </w:pPr>
      <w:bookmarkStart w:id="924" w:name="baidusnap3"/>
      <w:bookmarkEnd w:id="924"/>
      <w:bookmarkStart w:id="925" w:name="baidusnap7"/>
      <w:bookmarkEnd w:id="925"/>
      <w:bookmarkStart w:id="926" w:name="_Toc532377425"/>
      <w:bookmarkStart w:id="927" w:name="_Toc532375686"/>
      <w:bookmarkStart w:id="928" w:name="_Toc351203652"/>
      <w:r>
        <w:rPr>
          <w:rFonts w:hint="eastAsia" w:ascii="宋体" w:hAnsi="宋体" w:eastAsia="宋体" w:cs="宋体"/>
          <w:b/>
          <w:bCs/>
          <w:color w:val="auto"/>
          <w:sz w:val="21"/>
          <w:szCs w:val="21"/>
          <w:highlight w:val="none"/>
        </w:rPr>
        <w:t>22. 合同附件</w:t>
      </w:r>
      <w:bookmarkEnd w:id="926"/>
      <w:bookmarkEnd w:id="927"/>
    </w:p>
    <w:p w14:paraId="392458A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6615A32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附件2：廉洁从业协议</w:t>
      </w:r>
    </w:p>
    <w:p w14:paraId="6F10E16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附件3：安全管理协议</w:t>
      </w:r>
    </w:p>
    <w:bookmarkEnd w:id="928"/>
    <w:p w14:paraId="4245DC7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929" w:name="_Toc296891266"/>
      <w:bookmarkStart w:id="930" w:name="_Toc296503226"/>
      <w:bookmarkStart w:id="931" w:name="_Toc296944565"/>
      <w:bookmarkStart w:id="932" w:name="_Toc296347225"/>
      <w:bookmarkStart w:id="933" w:name="_Toc296891054"/>
      <w:bookmarkStart w:id="934" w:name="_Toc296346727"/>
      <w:bookmarkStart w:id="935" w:name="_Toc267261693"/>
      <w:r>
        <w:rPr>
          <w:rFonts w:hint="eastAsia" w:ascii="宋体" w:hAnsi="宋体" w:eastAsia="宋体" w:cs="宋体"/>
          <w:color w:val="auto"/>
          <w:sz w:val="21"/>
          <w:szCs w:val="21"/>
          <w:highlight w:val="none"/>
        </w:rPr>
        <w:t>件4：</w:t>
      </w:r>
      <w:bookmarkEnd w:id="929"/>
      <w:bookmarkEnd w:id="930"/>
      <w:bookmarkEnd w:id="931"/>
      <w:bookmarkEnd w:id="932"/>
      <w:bookmarkEnd w:id="933"/>
      <w:bookmarkEnd w:id="934"/>
      <w:bookmarkEnd w:id="935"/>
      <w:r>
        <w:rPr>
          <w:rFonts w:hint="eastAsia" w:ascii="宋体" w:hAnsi="宋体" w:eastAsia="宋体" w:cs="宋体"/>
          <w:color w:val="auto"/>
          <w:sz w:val="21"/>
          <w:szCs w:val="21"/>
          <w:highlight w:val="none"/>
        </w:rPr>
        <w:t>环境保护协议</w:t>
      </w:r>
    </w:p>
    <w:p w14:paraId="627BE80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p>
    <w:p w14:paraId="5C785885">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附件1：</w:t>
      </w:r>
    </w:p>
    <w:p w14:paraId="30F7333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w:t>
      </w:r>
    </w:p>
    <w:p w14:paraId="37FFC347">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p>
    <w:p w14:paraId="091E34A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p>
    <w:p w14:paraId="4604C39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14:paraId="3DD25341">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36" w:name="_Toc532375687"/>
      <w:r>
        <w:rPr>
          <w:rFonts w:hint="eastAsia" w:ascii="宋体" w:hAnsi="宋体" w:eastAsia="宋体" w:cs="宋体"/>
          <w:color w:val="auto"/>
          <w:sz w:val="21"/>
          <w:szCs w:val="21"/>
          <w:highlight w:val="none"/>
        </w:rPr>
        <w:t>一、工程质量保修范围和内容</w:t>
      </w:r>
      <w:bookmarkEnd w:id="936"/>
    </w:p>
    <w:p w14:paraId="2B86DEA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14:paraId="4030813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47EF8A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承包人承包范围内容均属质量保修范围内容；其中：</w:t>
      </w:r>
    </w:p>
    <w:p w14:paraId="0369BDC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1.属于设计原因造成的质量问题，承包人负责维修，不留隐患，费用由发包人承担；</w:t>
      </w:r>
    </w:p>
    <w:p w14:paraId="2AEE38D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2.属于施工造成的质量问题，承包人负责维修，不留隐患；</w:t>
      </w:r>
    </w:p>
    <w:p w14:paraId="7836188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3.属于业主使用不当造成的质量问题，配合抢修，费用由发包人承担。</w:t>
      </w:r>
    </w:p>
    <w:p w14:paraId="40356845">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37" w:name="_Toc532375688"/>
      <w:r>
        <w:rPr>
          <w:rFonts w:hint="eastAsia" w:ascii="宋体" w:hAnsi="宋体" w:eastAsia="宋体" w:cs="宋体"/>
          <w:color w:val="auto"/>
          <w:sz w:val="21"/>
          <w:szCs w:val="21"/>
          <w:highlight w:val="none"/>
        </w:rPr>
        <w:t>二、质量保修期</w:t>
      </w:r>
      <w:bookmarkEnd w:id="937"/>
    </w:p>
    <w:p w14:paraId="146A415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根据《建设工程质量管理条例》及有关规定，本工程质量保修期约定如下：</w:t>
      </w:r>
    </w:p>
    <w:p w14:paraId="4D8DBD1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1.基础设施工程、房屋建筑的地基基础工程和主体结构工程，为设计文件规定的该工程的合理使用年限；</w:t>
      </w:r>
    </w:p>
    <w:p w14:paraId="53E4A32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2.屋面防水工程、有防水要求的卫生间、房间和外墙面的防渗漏，为5年；</w:t>
      </w:r>
    </w:p>
    <w:p w14:paraId="7EB1457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3.供热与供冷系统，为2个采暖期、供冷期；</w:t>
      </w:r>
    </w:p>
    <w:p w14:paraId="50B7C0E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4.电气管线、给排水管道、设备安装和装修工程，为2年；</w:t>
      </w:r>
    </w:p>
    <w:p w14:paraId="0585713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5.其他项目保修期限：2年；</w:t>
      </w:r>
    </w:p>
    <w:p w14:paraId="1B75916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建设工程的保修期，自工程竣工验收合格之日起计算。</w:t>
      </w:r>
    </w:p>
    <w:p w14:paraId="6239EEE4">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38" w:name="_Toc532375689"/>
      <w:r>
        <w:rPr>
          <w:rFonts w:hint="eastAsia" w:ascii="宋体" w:hAnsi="宋体" w:eastAsia="宋体" w:cs="宋体"/>
          <w:color w:val="auto"/>
          <w:sz w:val="21"/>
          <w:szCs w:val="21"/>
          <w:highlight w:val="none"/>
        </w:rPr>
        <w:t>三、质量保修责任</w:t>
      </w:r>
      <w:bookmarkEnd w:id="938"/>
    </w:p>
    <w:p w14:paraId="0DE4065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5天内派人保修。承包人不在约定期限内派人保修的或保修效果未达到发包人要求的，发包人可不经承包人同意，直接委托他人修理。修理费用从承包人的质保金扣除（费用以发包人和他人签订的合同金额为准），质保金不足的，由承包人向发包人另行追加赔偿。</w:t>
      </w:r>
    </w:p>
    <w:p w14:paraId="705D1FE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412F7DC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B6C3FC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77A01C02">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39" w:name="_Toc532375690"/>
      <w:r>
        <w:rPr>
          <w:rFonts w:hint="eastAsia" w:ascii="宋体" w:hAnsi="宋体" w:eastAsia="宋体" w:cs="宋体"/>
          <w:color w:val="auto"/>
          <w:sz w:val="21"/>
          <w:szCs w:val="21"/>
          <w:highlight w:val="none"/>
        </w:rPr>
        <w:t>四、保修费用</w:t>
      </w:r>
      <w:bookmarkEnd w:id="939"/>
    </w:p>
    <w:p w14:paraId="267BA08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保修费用由质量缺陷的责任方承担。</w:t>
      </w:r>
    </w:p>
    <w:p w14:paraId="14EAED2A">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40" w:name="_Toc532375691"/>
      <w:r>
        <w:rPr>
          <w:rFonts w:hint="eastAsia" w:ascii="宋体" w:hAnsi="宋体" w:eastAsia="宋体" w:cs="宋体"/>
          <w:color w:val="auto"/>
          <w:sz w:val="21"/>
          <w:szCs w:val="21"/>
          <w:highlight w:val="none"/>
        </w:rPr>
        <w:t>五、双方约定的其他工程质量保修事项</w:t>
      </w:r>
    </w:p>
    <w:p w14:paraId="04E121D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按国家相关法律和规定执行</w:t>
      </w:r>
      <w:r>
        <w:rPr>
          <w:rFonts w:hint="eastAsia" w:ascii="宋体" w:hAnsi="宋体" w:eastAsia="宋体" w:cs="宋体"/>
          <w:color w:val="auto"/>
          <w:sz w:val="21"/>
          <w:szCs w:val="21"/>
          <w:highlight w:val="none"/>
        </w:rPr>
        <w:t>。</w:t>
      </w:r>
      <w:bookmarkEnd w:id="940"/>
    </w:p>
    <w:p w14:paraId="0CFC9C0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本工程质量保修书由发包人、承包人在工程竣工验收前共同签署，作为施工合同附件，其有效期限至保修期满。</w:t>
      </w:r>
    </w:p>
    <w:p w14:paraId="6A9F0A1C">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57EF731E">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23CFE8D5">
      <w:pPr>
        <w:adjustRightInd w:val="0"/>
        <w:snapToGrid w:val="0"/>
        <w:spacing w:line="360" w:lineRule="auto"/>
        <w:ind w:firstLine="520" w:firstLineChars="200"/>
        <w:rPr>
          <w:rFonts w:hint="eastAsia" w:ascii="宋体" w:hAnsi="宋体" w:eastAsia="宋体" w:cs="宋体"/>
          <w:color w:val="auto"/>
          <w:sz w:val="26"/>
          <w:szCs w:val="21"/>
          <w:highlight w:val="none"/>
        </w:rPr>
      </w:pPr>
    </w:p>
    <w:p w14:paraId="5C2BF387">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发包人：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（盖单位公章）</w:t>
      </w:r>
    </w:p>
    <w:p w14:paraId="1C1C59DE">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4FA9ADA0">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承包人：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（盖单位公章）</w:t>
      </w:r>
    </w:p>
    <w:p w14:paraId="592712C9">
      <w:pPr>
        <w:adjustRightInd w:val="0"/>
        <w:snapToGrid w:val="0"/>
        <w:spacing w:line="360" w:lineRule="auto"/>
        <w:ind w:firstLine="420" w:firstLineChars="200"/>
        <w:rPr>
          <w:rFonts w:hint="eastAsia" w:ascii="宋体" w:hAnsi="宋体" w:eastAsia="宋体" w:cs="宋体"/>
          <w:snapToGrid w:val="0"/>
          <w:color w:val="auto"/>
          <w:spacing w:val="1"/>
          <w:w w:val="99"/>
          <w:kern w:val="0"/>
          <w:position w:val="-2"/>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（签名）</w:t>
      </w:r>
    </w:p>
    <w:p w14:paraId="4121241A">
      <w:pPr>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签约时间：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606D3D4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附件2：廉洁从业协议</w:t>
      </w:r>
    </w:p>
    <w:p w14:paraId="3959BD3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廉洁从业协议</w:t>
      </w:r>
    </w:p>
    <w:p w14:paraId="3F879EA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合同。</w:t>
      </w:r>
    </w:p>
    <w:p w14:paraId="6AC1BD2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 发包人承包人的权利和义务</w:t>
      </w:r>
    </w:p>
    <w:p w14:paraId="149DC91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（1）严格遵守党的政策规定和国家有关法律法规及相关部门的有关规定。</w:t>
      </w:r>
    </w:p>
    <w:p w14:paraId="1DFBB48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（2）严格执行 工程的合同文件，自觉按合同办事。</w:t>
      </w:r>
    </w:p>
    <w:p w14:paraId="5F814A3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（3）双方的业务活动坚持公开、公正、诚信、透明的原则（法律认定的商业秘密和合同文件另有规定除外），不得损害国家和集体利益，违反工程建设管理规章制度。</w:t>
      </w:r>
    </w:p>
    <w:p w14:paraId="3B6B05F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（4）建立健全廉政制度，开展廉政教育，设立廉政告示牌，公布举报电话，监督并认真查处违法违纪行为。</w:t>
      </w:r>
    </w:p>
    <w:p w14:paraId="16A6EE0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（5）发现对方在业务活动中有违反廉政规定的行为，有及时提醒对方纠正的权利和义务。</w:t>
      </w:r>
    </w:p>
    <w:p w14:paraId="50D44A8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（6）发现对方严重违反协议义务条款的行为，有向其上级有关部门举报、建议给予处理并要求告知处理结果的权利。</w:t>
      </w:r>
    </w:p>
    <w:p w14:paraId="0437C9C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发包人的义务</w:t>
      </w:r>
    </w:p>
    <w:p w14:paraId="0A94B3C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（1）发包人及其工作人员不得索要或接受承包人的礼金、有价证券和贵重物品，不得在承包人报销任何应由发包人或发包人工作人员个人支付的费用等。</w:t>
      </w:r>
    </w:p>
    <w:p w14:paraId="0F4B953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0867C7F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（3）发包人及其工作人员不得要求或者接受承包人为其住房装修、婚丧嫁娶活动、配偶子女的工作安排以及出国出境、旅游等提供方便等。</w:t>
      </w:r>
    </w:p>
    <w:p w14:paraId="594BC95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（4）发包人工作人员及其配偶、子女不得从事与发包人工程有关的材料设备供应、工程分包、劳务等经济活动等。</w:t>
      </w:r>
    </w:p>
    <w:p w14:paraId="03CCC0B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（5）发包人及其工作人员不得以任何理由向承包人推荐分包单位或推销材料，不得要求承包人购买合同规定外的材料和设备。</w:t>
      </w:r>
    </w:p>
    <w:p w14:paraId="1808E19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5405953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承包人义务</w:t>
      </w:r>
    </w:p>
    <w:p w14:paraId="6D680D0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（1）承包人不得以任何理由向发包人及其工作人员行贿或馈赠礼金、有价证券、贵重礼品。</w:t>
      </w:r>
    </w:p>
    <w:p w14:paraId="137B011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（2）承包人不得以任何名义为发包人及其工作人员报销应由发包人单位或个人支付的任何费用。</w:t>
      </w:r>
    </w:p>
    <w:p w14:paraId="259696D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（3）承包人不得以任何理由安排发包人工作人员参加超标准宴请及娱乐活动。</w:t>
      </w:r>
    </w:p>
    <w:p w14:paraId="5BC30F7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（4）承包人不得为发包人单位和个人购置或提供通讯工具、交通工具和高档办公用品等。</w:t>
      </w:r>
    </w:p>
    <w:p w14:paraId="210974F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违约责任</w:t>
      </w:r>
    </w:p>
    <w:p w14:paraId="655D845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1421D5F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（2）承包人及其工作人员违反合同第1、3条，按管理权限，依据有关规定给予党纪、政纪或组织处理；给发包人单位造成经济损失的，应予以赔偿。</w:t>
      </w:r>
    </w:p>
    <w:p w14:paraId="4374BAC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2CC28B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协议有效期为甲乙双方签署之日起至该工程项目竣工验收后止。</w:t>
      </w:r>
    </w:p>
    <w:p w14:paraId="1489DFD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7.协议作为 工程施工合同的附件，与工程施工合同具有同等的法律效力，经合同双方签署立即生效。</w:t>
      </w:r>
    </w:p>
    <w:p w14:paraId="47BA492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01A97CA8">
      <w:pPr>
        <w:adjustRightInd w:val="0"/>
        <w:snapToGrid w:val="0"/>
        <w:spacing w:line="360" w:lineRule="auto"/>
        <w:rPr>
          <w:rFonts w:hint="eastAsia" w:ascii="宋体" w:hAnsi="宋体" w:eastAsia="宋体" w:cs="宋体"/>
          <w:color w:val="auto"/>
          <w:sz w:val="21"/>
          <w:szCs w:val="21"/>
          <w:highlight w:val="none"/>
        </w:rPr>
      </w:pPr>
    </w:p>
    <w:p w14:paraId="03B2E467">
      <w:pPr>
        <w:adjustRightInd w:val="0"/>
        <w:snapToGrid w:val="0"/>
        <w:spacing w:line="360" w:lineRule="auto"/>
        <w:rPr>
          <w:rFonts w:hint="eastAsia" w:ascii="宋体" w:hAnsi="宋体" w:eastAsia="宋体" w:cs="宋体"/>
          <w:color w:val="auto"/>
          <w:sz w:val="26"/>
          <w:szCs w:val="21"/>
          <w:highlight w:val="none"/>
        </w:rPr>
      </w:pPr>
    </w:p>
    <w:p w14:paraId="23C1D6CC">
      <w:pPr>
        <w:adjustRightInd w:val="0"/>
        <w:snapToGrid w:val="0"/>
        <w:spacing w:line="360" w:lineRule="auto"/>
        <w:rPr>
          <w:rFonts w:hint="eastAsia" w:ascii="宋体" w:hAnsi="宋体" w:eastAsia="宋体" w:cs="宋体"/>
          <w:color w:val="auto"/>
          <w:sz w:val="26"/>
          <w:szCs w:val="21"/>
          <w:highlight w:val="none"/>
        </w:rPr>
      </w:pPr>
    </w:p>
    <w:p w14:paraId="2784CC8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     方：                         乙     方：</w:t>
      </w:r>
    </w:p>
    <w:p w14:paraId="58DF8A4F">
      <w:pPr>
        <w:adjustRightInd w:val="0"/>
        <w:snapToGrid w:val="0"/>
        <w:spacing w:line="360" w:lineRule="auto"/>
        <w:rPr>
          <w:rFonts w:hint="eastAsia" w:ascii="宋体" w:hAnsi="宋体" w:eastAsia="宋体" w:cs="宋体"/>
          <w:color w:val="auto"/>
          <w:sz w:val="21"/>
          <w:szCs w:val="21"/>
          <w:highlight w:val="none"/>
        </w:rPr>
      </w:pPr>
    </w:p>
    <w:p w14:paraId="76765343">
      <w:pPr>
        <w:adjustRightInd w:val="0"/>
        <w:snapToGrid w:val="0"/>
        <w:spacing w:line="360" w:lineRule="auto"/>
        <w:rPr>
          <w:rFonts w:hint="eastAsia" w:ascii="宋体" w:hAnsi="宋体" w:eastAsia="宋体" w:cs="宋体"/>
          <w:color w:val="auto"/>
          <w:sz w:val="21"/>
          <w:szCs w:val="21"/>
          <w:highlight w:val="none"/>
        </w:rPr>
      </w:pPr>
    </w:p>
    <w:p w14:paraId="65C0EC9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14:paraId="7D71B7B9">
      <w:pPr>
        <w:adjustRightInd w:val="0"/>
        <w:snapToGrid w:val="0"/>
        <w:spacing w:line="360" w:lineRule="auto"/>
        <w:rPr>
          <w:rFonts w:hint="eastAsia" w:ascii="宋体" w:hAnsi="宋体" w:eastAsia="宋体" w:cs="宋体"/>
          <w:color w:val="auto"/>
          <w:sz w:val="21"/>
          <w:szCs w:val="21"/>
          <w:highlight w:val="none"/>
        </w:rPr>
      </w:pPr>
    </w:p>
    <w:p w14:paraId="2F6E879A">
      <w:pPr>
        <w:adjustRightInd w:val="0"/>
        <w:snapToGrid w:val="0"/>
        <w:spacing w:line="360" w:lineRule="auto"/>
        <w:rPr>
          <w:rFonts w:hint="eastAsia" w:ascii="宋体" w:hAnsi="宋体" w:eastAsia="宋体" w:cs="宋体"/>
          <w:color w:val="auto"/>
          <w:sz w:val="21"/>
          <w:szCs w:val="21"/>
          <w:highlight w:val="none"/>
        </w:rPr>
      </w:pPr>
    </w:p>
    <w:p w14:paraId="7316464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或其授权的代理人：                  或授权的代理人：</w:t>
      </w:r>
    </w:p>
    <w:p w14:paraId="1A05CAEE">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附件3：安全管理协议</w:t>
      </w:r>
    </w:p>
    <w:p w14:paraId="52DCE101">
      <w:pPr>
        <w:adjustRightInd w:val="0"/>
        <w:snapToGrid w:val="0"/>
        <w:spacing w:line="360" w:lineRule="auto"/>
        <w:jc w:val="center"/>
        <w:rPr>
          <w:rFonts w:hint="eastAsia" w:ascii="宋体" w:hAnsi="宋体" w:eastAsia="宋体" w:cs="宋体"/>
          <w:color w:val="auto"/>
          <w:sz w:val="21"/>
          <w:szCs w:val="21"/>
          <w:highlight w:val="none"/>
        </w:rPr>
      </w:pPr>
      <w:bookmarkStart w:id="941" w:name="_Toc239510288"/>
      <w:bookmarkStart w:id="942" w:name="_Toc336680145"/>
      <w:bookmarkStart w:id="943" w:name="_Toc435690184"/>
      <w:bookmarkStart w:id="944" w:name="_Toc435689499"/>
      <w:bookmarkStart w:id="945" w:name="_Toc448406299"/>
      <w:bookmarkStart w:id="946" w:name="_Toc247431422"/>
      <w:r>
        <w:rPr>
          <w:rFonts w:hint="eastAsia" w:ascii="宋体" w:hAnsi="宋体" w:eastAsia="宋体" w:cs="宋体"/>
          <w:color w:val="auto"/>
          <w:sz w:val="21"/>
          <w:szCs w:val="21"/>
          <w:highlight w:val="none"/>
        </w:rPr>
        <w:t>安全管理协议</w:t>
      </w:r>
      <w:bookmarkEnd w:id="941"/>
      <w:bookmarkEnd w:id="942"/>
      <w:bookmarkEnd w:id="943"/>
      <w:bookmarkEnd w:id="944"/>
      <w:bookmarkEnd w:id="945"/>
      <w:bookmarkEnd w:id="946"/>
    </w:p>
    <w:p w14:paraId="2713F28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为了确保实现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安全生产目标，进一步明确双方的安全管理责任，加强安全生产管理工作的协调、管理力度，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（以下简称“发包人”）与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1C75F9A2">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47" w:name="_Toc532375700"/>
      <w:bookmarkStart w:id="948" w:name="_Toc247431423"/>
      <w:bookmarkStart w:id="949" w:name="_Toc239510289"/>
      <w:bookmarkStart w:id="950" w:name="_Toc247418263"/>
      <w:r>
        <w:rPr>
          <w:rFonts w:hint="eastAsia" w:ascii="宋体" w:hAnsi="宋体" w:eastAsia="宋体" w:cs="宋体"/>
          <w:color w:val="auto"/>
          <w:sz w:val="21"/>
          <w:szCs w:val="21"/>
          <w:highlight w:val="none"/>
        </w:rPr>
        <w:t>一、协议有效期限</w:t>
      </w:r>
      <w:bookmarkEnd w:id="947"/>
      <w:bookmarkEnd w:id="948"/>
      <w:bookmarkEnd w:id="949"/>
      <w:bookmarkEnd w:id="950"/>
    </w:p>
    <w:p w14:paraId="2E60953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本协议中所涉及的安全管理责任自合同签订之日起开始生效，至合同工程全部完工验收且经发包人与承包人签订移交协议生效后之日终止。</w:t>
      </w:r>
    </w:p>
    <w:p w14:paraId="390B3DE7">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51" w:name="_Toc532375701"/>
      <w:bookmarkStart w:id="952" w:name="_Toc239510290"/>
      <w:bookmarkStart w:id="953" w:name="_Toc247431424"/>
      <w:bookmarkStart w:id="954" w:name="_Toc247418264"/>
      <w:r>
        <w:rPr>
          <w:rFonts w:hint="eastAsia" w:ascii="宋体" w:hAnsi="宋体" w:eastAsia="宋体" w:cs="宋体"/>
          <w:color w:val="auto"/>
          <w:sz w:val="21"/>
          <w:szCs w:val="21"/>
          <w:highlight w:val="none"/>
        </w:rPr>
        <w:t>二、责任目标</w:t>
      </w:r>
      <w:bookmarkEnd w:id="951"/>
      <w:bookmarkEnd w:id="952"/>
      <w:bookmarkEnd w:id="953"/>
      <w:bookmarkEnd w:id="954"/>
    </w:p>
    <w:p w14:paraId="2417B37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（一）承包人承诺承担和履行合同和发包人所规定的安全责任，且满足要求。</w:t>
      </w:r>
    </w:p>
    <w:p w14:paraId="28BDA1A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（二）承包人的安全控制目标是确保本工程在实施过程中：</w:t>
      </w:r>
    </w:p>
    <w:p w14:paraId="5A3F773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1．不发生人身重伤事故；</w:t>
      </w:r>
    </w:p>
    <w:p w14:paraId="630D697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2．不发生火灾事故；</w:t>
      </w:r>
    </w:p>
    <w:p w14:paraId="4A75A8F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3．不发生负有同等及以上事故责任的造成人身重伤的一般交通事故；</w:t>
      </w:r>
    </w:p>
    <w:p w14:paraId="17EA096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4．不发生集体食物中毒事件（同时5人及以上的食物中毒）；</w:t>
      </w:r>
    </w:p>
    <w:p w14:paraId="1677FAE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5．不发生流行性传染病 （无甲型传染病、其他常见传染病未形成多人同时患病）；</w:t>
      </w:r>
    </w:p>
    <w:p w14:paraId="669D6EA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6．不发生重大环境污染事件（生活、工业垃圾及其他污染物造成环境污染和大面积水土流失）；</w:t>
      </w:r>
    </w:p>
    <w:p w14:paraId="0825B47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7．不发生对施工区附近生产、生活造成重大影响的事件（如造成重大设备损坏、重大财产损失、人员伤害等）；</w:t>
      </w:r>
    </w:p>
    <w:p w14:paraId="47B4BAC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8．不发生治安保卫事件（构成刑事拘留及以上的事件、盗窃直接损失超过1万元人民币的事件）。</w:t>
      </w:r>
    </w:p>
    <w:p w14:paraId="2795CCA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955" w:name="_Toc239510291"/>
      <w:bookmarkStart w:id="956" w:name="_Toc247418265"/>
      <w:bookmarkStart w:id="957" w:name="_Toc247431425"/>
      <w:r>
        <w:rPr>
          <w:rFonts w:hint="eastAsia" w:ascii="宋体" w:hAnsi="宋体" w:eastAsia="宋体" w:cs="宋体"/>
          <w:color w:val="auto"/>
          <w:sz w:val="21"/>
          <w:szCs w:val="21"/>
          <w:highlight w:val="none"/>
        </w:rPr>
        <w:t>（三）承包人承诺在施工中控制以下安全事故的发生：</w:t>
      </w:r>
      <w:bookmarkEnd w:id="955"/>
      <w:bookmarkEnd w:id="956"/>
      <w:bookmarkEnd w:id="957"/>
    </w:p>
    <w:p w14:paraId="67A8D52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1．人员轻伤事故。</w:t>
      </w:r>
    </w:p>
    <w:p w14:paraId="4B932F4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2．负有同等及以上事故责任的人身轻伤交通事故。</w:t>
      </w:r>
    </w:p>
    <w:p w14:paraId="7D24836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3．其他安全未遂事故和异常事件。</w:t>
      </w:r>
    </w:p>
    <w:p w14:paraId="7583719A">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58" w:name="_Toc247431426"/>
      <w:bookmarkStart w:id="959" w:name="_Toc532375702"/>
      <w:bookmarkStart w:id="960" w:name="_Toc239510292"/>
      <w:bookmarkStart w:id="961" w:name="_Toc247418266"/>
      <w:r>
        <w:rPr>
          <w:rFonts w:hint="eastAsia" w:ascii="宋体" w:hAnsi="宋体" w:eastAsia="宋体" w:cs="宋体"/>
          <w:color w:val="auto"/>
          <w:sz w:val="21"/>
          <w:szCs w:val="21"/>
          <w:highlight w:val="none"/>
        </w:rPr>
        <w:t>三、安全责任</w:t>
      </w:r>
      <w:bookmarkEnd w:id="958"/>
      <w:bookmarkEnd w:id="959"/>
      <w:bookmarkEnd w:id="960"/>
      <w:bookmarkEnd w:id="961"/>
    </w:p>
    <w:p w14:paraId="0B739D7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1．承包人负有安全生产的管理责任和直接责任。</w:t>
      </w:r>
    </w:p>
    <w:p w14:paraId="78B3C14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2．承包人的法人或签署合同的公司总经理或受委托的代理人对合同安全负有全面的领导责任。</w:t>
      </w:r>
    </w:p>
    <w:p w14:paraId="7CDB577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3．承包人项目经理对施工现场的安全工作负有全面的直接领导责任。</w:t>
      </w:r>
    </w:p>
    <w:p w14:paraId="4949ED3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4．承包人保证执行“谁施工、谁负责”的施工安全原则。</w:t>
      </w:r>
    </w:p>
    <w:p w14:paraId="25A740A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5．承包人保证服从发包人对安全工作的统一协调和管理。</w:t>
      </w:r>
    </w:p>
    <w:p w14:paraId="6CE36F7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6．承包人保证对本工程项目安全生产条件及其管理资源自行投入，保证安全资金的专款专用。</w:t>
      </w:r>
    </w:p>
    <w:p w14:paraId="62F73C3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7．承包人保证建立本工程项目的安全管理体系及安全保证体系（注：项目安全管理大纲/手册、管理性的程序文件等）。</w:t>
      </w:r>
    </w:p>
    <w:p w14:paraId="37E0EB3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8．承包人保证现场的安全管理专职人员必须持有建设主管部门安全生产培训考核合格证书。</w:t>
      </w:r>
    </w:p>
    <w:p w14:paraId="73BDD9E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9．承包人保证为现场所有工作人员（含分包商员工及劳务人员）配备符合国家标准的有承包人和/或其下属分包商标志的个人基本劳动保护用品。</w:t>
      </w:r>
    </w:p>
    <w:p w14:paraId="5DF4CF3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10．承包人保证按照国家法律规定为现场所有工作人员（含分包商员工及劳务人员）购买意外伤害保险。</w:t>
      </w:r>
    </w:p>
    <w:p w14:paraId="54DA9BA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11．承包人保证施工生活营地（包括自建的和租用的营地）满足消防、安全用电、卫生防疫、防暴雨、防雷击等方面的安全要求。</w:t>
      </w:r>
    </w:p>
    <w:p w14:paraId="37AA995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12．承包人保证对带入现场的设备、工具、材料按照国家法规和标准进行检测、试验，并持有法定部门出具的检验证书。</w:t>
      </w:r>
    </w:p>
    <w:p w14:paraId="6049E9D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13．承包人保证制订施工现场的文明施工措施，保护环境、树木和植被，保持施工现场的良好秩序和整洁的作业环境。</w:t>
      </w:r>
    </w:p>
    <w:p w14:paraId="1A56F1D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14．承包人负责在施工过程中与当地政府、周边群众及其他承包商保持良好的沟通和交流。承包人遇到与周边群众发生纠纷时，应负责协调工作，确保工程能够顺利进行。</w:t>
      </w:r>
    </w:p>
    <w:p w14:paraId="2BE47306">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62" w:name="_Toc247431427"/>
      <w:bookmarkStart w:id="963" w:name="_Toc247418267"/>
      <w:bookmarkStart w:id="964" w:name="_Toc239510293"/>
      <w:bookmarkStart w:id="965" w:name="_Toc532375703"/>
      <w:r>
        <w:rPr>
          <w:rFonts w:hint="eastAsia" w:ascii="宋体" w:hAnsi="宋体" w:eastAsia="宋体" w:cs="宋体"/>
          <w:color w:val="auto"/>
          <w:sz w:val="21"/>
          <w:szCs w:val="21"/>
          <w:highlight w:val="none"/>
        </w:rPr>
        <w:t>四、接口及协调</w:t>
      </w:r>
      <w:bookmarkEnd w:id="962"/>
      <w:bookmarkEnd w:id="963"/>
      <w:bookmarkEnd w:id="964"/>
      <w:bookmarkEnd w:id="965"/>
    </w:p>
    <w:p w14:paraId="1EF140D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1．发包人委托监理公司对该工程实施监理，监理公司在安全管理方面代表发包人行使监督检查职能，承包人必须给予配合和支持。</w:t>
      </w:r>
    </w:p>
    <w:p w14:paraId="1D7CF3B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2．承包人人员、车辆的出入，带入现场的设备、机具、材料，在现场使用的或直接管理的办公、生活、生产性设施的安全管理须满足发包人现场管理的基本要求。</w:t>
      </w:r>
    </w:p>
    <w:p w14:paraId="78CF3E2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5E8CE9B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3F8660F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5．承包人指定的专职安全管理人员应与发包人委托的监理公司建立联系，在业务上接受发包人委托的监理公司的协调和指导。</w:t>
      </w:r>
    </w:p>
    <w:p w14:paraId="3B7CFDF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6．开工后承包人的专职安全管理人员应按照发包人委托的监理公司的规定，定期报送安全月度快报、季报、年报和各种专项事故报告等。</w:t>
      </w:r>
    </w:p>
    <w:p w14:paraId="0E84298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7．在工程实体未全部正式移交发包人施工管理部门之前，承包人依旧对施工范围内的安全管理负责。</w:t>
      </w:r>
    </w:p>
    <w:p w14:paraId="7CE3D8A2">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66" w:name="_Toc247431428"/>
      <w:bookmarkStart w:id="967" w:name="_Toc247418268"/>
      <w:bookmarkStart w:id="968" w:name="_Toc532375704"/>
      <w:bookmarkStart w:id="969" w:name="_Toc239510294"/>
      <w:r>
        <w:rPr>
          <w:rFonts w:hint="eastAsia" w:ascii="宋体" w:hAnsi="宋体" w:eastAsia="宋体" w:cs="宋体"/>
          <w:color w:val="auto"/>
          <w:sz w:val="21"/>
          <w:szCs w:val="21"/>
          <w:highlight w:val="none"/>
        </w:rPr>
        <w:t>五、安全资质审查</w:t>
      </w:r>
      <w:bookmarkEnd w:id="966"/>
      <w:bookmarkEnd w:id="967"/>
      <w:bookmarkEnd w:id="968"/>
      <w:bookmarkEnd w:id="969"/>
    </w:p>
    <w:p w14:paraId="6A3BE88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承包人在项目开工前5个工作天内向发包人委托的监理公司提供以下安全资质供审查和存档：</w:t>
      </w:r>
    </w:p>
    <w:p w14:paraId="51FA516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1．企业安全生产许可证书复印件。</w:t>
      </w:r>
    </w:p>
    <w:p w14:paraId="33759FA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2．企业近三年的施工简历及安全施工业绩证明文件。</w:t>
      </w:r>
    </w:p>
    <w:p w14:paraId="6F15806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3．企业主要安全管理人员（包括项目经理、专职安全管理人员）经建设主管部门安全生产知识考核合格证书。</w:t>
      </w:r>
    </w:p>
    <w:p w14:paraId="55F45D4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4．特种作业人员资格证书。</w:t>
      </w:r>
    </w:p>
    <w:p w14:paraId="60647A8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5．项目安全管理机构及其人员配备（承包人必须配有专职的安全员）。</w:t>
      </w:r>
    </w:p>
    <w:p w14:paraId="131AD58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6．适用于项目的安全管理体系及保证体系文件（安全管理大纲及管理程序文件）。</w:t>
      </w:r>
    </w:p>
    <w:p w14:paraId="61B6C428">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70" w:name="_Toc247418269"/>
      <w:bookmarkStart w:id="971" w:name="_Toc247431429"/>
      <w:bookmarkStart w:id="972" w:name="_Toc532375705"/>
      <w:bookmarkStart w:id="973" w:name="_Toc239510295"/>
      <w:r>
        <w:rPr>
          <w:rFonts w:hint="eastAsia" w:ascii="宋体" w:hAnsi="宋体" w:eastAsia="宋体" w:cs="宋体"/>
          <w:color w:val="auto"/>
          <w:sz w:val="21"/>
          <w:szCs w:val="21"/>
          <w:highlight w:val="none"/>
        </w:rPr>
        <w:t>六、人员基本素质</w:t>
      </w:r>
      <w:bookmarkEnd w:id="970"/>
      <w:bookmarkEnd w:id="971"/>
      <w:bookmarkEnd w:id="972"/>
      <w:bookmarkEnd w:id="973"/>
    </w:p>
    <w:p w14:paraId="7D5DB96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承包人提供的人员必须满足下列要求:</w:t>
      </w:r>
    </w:p>
    <w:p w14:paraId="32C8BF6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528CA52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2．无刑事案件牵连。</w:t>
      </w:r>
    </w:p>
    <w:p w14:paraId="4B12C04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3．无吸毒、酗酒、赌博、嫖娼等恶习及违法行为。</w:t>
      </w:r>
    </w:p>
    <w:p w14:paraId="75FF10B2">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74" w:name="_Toc532375706"/>
      <w:bookmarkStart w:id="975" w:name="_Toc247418270"/>
      <w:bookmarkStart w:id="976" w:name="_Toc247431430"/>
      <w:bookmarkStart w:id="977" w:name="_Toc239510296"/>
      <w:r>
        <w:rPr>
          <w:rFonts w:hint="eastAsia" w:ascii="宋体" w:hAnsi="宋体" w:eastAsia="宋体" w:cs="宋体"/>
          <w:color w:val="auto"/>
          <w:sz w:val="21"/>
          <w:szCs w:val="21"/>
          <w:highlight w:val="none"/>
        </w:rPr>
        <w:t>七、劳动保护</w:t>
      </w:r>
      <w:bookmarkEnd w:id="974"/>
      <w:bookmarkEnd w:id="975"/>
      <w:bookmarkEnd w:id="976"/>
      <w:bookmarkEnd w:id="977"/>
    </w:p>
    <w:p w14:paraId="1AE34C0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1．承包人负责为本单位任何用工形式的员工提供个人劳动保护用品（包括工作服、安全帽、安全鞋等）。</w:t>
      </w:r>
    </w:p>
    <w:p w14:paraId="6C09478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2．承包人负责向特殊工种的员工提供特殊劳动保护，否则不得从事特殊工种作业。</w:t>
      </w:r>
    </w:p>
    <w:p w14:paraId="11EB18F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3．发包人委托的监理公司有权检查承包人的个人劳动保护用品是否符合国家的相应标准。</w:t>
      </w:r>
    </w:p>
    <w:p w14:paraId="7095FFC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承包人在特殊风险场所作业而需要特殊防护用品或安全仪表时，必须在上述防护用品全部到位后才能开工。</w:t>
      </w:r>
    </w:p>
    <w:p w14:paraId="7BB76AE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5．承包人应配备临时安全围栏、警示带、警告标志、防火布等集体防护用品。</w:t>
      </w:r>
    </w:p>
    <w:p w14:paraId="1A1AF1B3">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78" w:name="_Toc239510297"/>
      <w:bookmarkStart w:id="979" w:name="_Toc247418271"/>
      <w:bookmarkStart w:id="980" w:name="_Toc247431431"/>
      <w:bookmarkStart w:id="981" w:name="_Toc532375707"/>
      <w:r>
        <w:rPr>
          <w:rFonts w:hint="eastAsia" w:ascii="宋体" w:hAnsi="宋体" w:eastAsia="宋体" w:cs="宋体"/>
          <w:color w:val="auto"/>
          <w:sz w:val="21"/>
          <w:szCs w:val="21"/>
          <w:highlight w:val="none"/>
        </w:rPr>
        <w:t>八、施工机具与材料</w:t>
      </w:r>
      <w:bookmarkEnd w:id="978"/>
      <w:bookmarkEnd w:id="979"/>
      <w:bookmarkEnd w:id="980"/>
      <w:bookmarkEnd w:id="981"/>
    </w:p>
    <w:p w14:paraId="617F501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1．承包人对带入现场的施工机械和工器具的安全负责。</w:t>
      </w:r>
    </w:p>
    <w:p w14:paraId="1365EBC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2．对于承包人带入现场的特殊工器具，如起重设备、索具、机动车辆、压缩气瓶等，承包人必须按国家法规和标准进行检测、试验，并持有法定部门出具的检验证书。</w:t>
      </w:r>
    </w:p>
    <w:p w14:paraId="4386C9F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3．对于不属于法定检测的工器具，承包人也必须建立相应的管理、检测制度，这些工器具包括登高工具、脚手架材料、电动工具、安全防护设备及用具等。</w:t>
      </w:r>
    </w:p>
    <w:p w14:paraId="138485BA">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82" w:name="_Toc247418272"/>
      <w:bookmarkStart w:id="983" w:name="_Toc532375708"/>
      <w:bookmarkStart w:id="984" w:name="_Toc247431432"/>
      <w:bookmarkStart w:id="985" w:name="_Toc239510298"/>
      <w:r>
        <w:rPr>
          <w:rFonts w:hint="eastAsia" w:ascii="宋体" w:hAnsi="宋体" w:eastAsia="宋体" w:cs="宋体"/>
          <w:color w:val="auto"/>
          <w:sz w:val="21"/>
          <w:szCs w:val="21"/>
          <w:highlight w:val="none"/>
        </w:rPr>
        <w:t>九、开工前安全条件检查</w:t>
      </w:r>
      <w:bookmarkEnd w:id="982"/>
      <w:bookmarkEnd w:id="983"/>
      <w:bookmarkEnd w:id="984"/>
      <w:bookmarkEnd w:id="985"/>
    </w:p>
    <w:p w14:paraId="45F18B5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79B2EAC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4777A59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EEE970D">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86" w:name="_Toc239510299"/>
      <w:bookmarkStart w:id="987" w:name="_Toc532375709"/>
      <w:bookmarkStart w:id="988" w:name="_Toc247431433"/>
      <w:bookmarkStart w:id="989" w:name="_Toc247418273"/>
      <w:r>
        <w:rPr>
          <w:rFonts w:hint="eastAsia" w:ascii="宋体" w:hAnsi="宋体" w:eastAsia="宋体" w:cs="宋体"/>
          <w:color w:val="auto"/>
          <w:sz w:val="21"/>
          <w:szCs w:val="21"/>
          <w:highlight w:val="none"/>
        </w:rPr>
        <w:t>十、安全监督</w:t>
      </w:r>
      <w:bookmarkEnd w:id="986"/>
      <w:bookmarkEnd w:id="987"/>
      <w:bookmarkEnd w:id="988"/>
      <w:bookmarkEnd w:id="989"/>
    </w:p>
    <w:p w14:paraId="120D1F0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1．承包人应配备有满足项目安全管理需要的专职安全管理人员。</w:t>
      </w:r>
    </w:p>
    <w:p w14:paraId="1596C71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2．承包人的专职安全管理人员必须持建设主管部门颁发的安全生产知识考核合格证书。</w:t>
      </w:r>
    </w:p>
    <w:p w14:paraId="5B173C9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3．承包人的专职安全管理人员在业务上接受发包人委托的监理公司和发包人安全管理部门的协调和指导。</w:t>
      </w:r>
    </w:p>
    <w:p w14:paraId="0B6B944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4．承包人应建立班前安全交底制度；施工期间坚持开展安全检查和日常安全监督并形成相应的记录。</w:t>
      </w:r>
    </w:p>
    <w:p w14:paraId="6355986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5．承包人应在每个作业区任命兼职安全员，赋予兼职安全员相应的授权和义务，并对兼职安全员进行定期考核。</w:t>
      </w:r>
    </w:p>
    <w:p w14:paraId="68E66EE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6．承包人应接受和配合发包人专业部门及委托的监理公司的监督与安全评价。</w:t>
      </w:r>
    </w:p>
    <w:p w14:paraId="0A0BAEE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32431340">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90" w:name="_Toc532375710"/>
      <w:bookmarkStart w:id="991" w:name="_Toc247431434"/>
      <w:bookmarkStart w:id="992" w:name="_Toc239510300"/>
      <w:bookmarkStart w:id="993" w:name="_Toc247418274"/>
      <w:r>
        <w:rPr>
          <w:rFonts w:hint="eastAsia" w:ascii="宋体" w:hAnsi="宋体" w:eastAsia="宋体" w:cs="宋体"/>
          <w:color w:val="auto"/>
          <w:sz w:val="21"/>
          <w:szCs w:val="21"/>
          <w:highlight w:val="none"/>
        </w:rPr>
        <w:t>十一、安全培训与授权</w:t>
      </w:r>
      <w:bookmarkEnd w:id="990"/>
      <w:bookmarkEnd w:id="991"/>
      <w:bookmarkEnd w:id="992"/>
      <w:bookmarkEnd w:id="993"/>
    </w:p>
    <w:p w14:paraId="0E9EE57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50BDC6C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2．承包人应在特殊工种之外的其他工种中，筛选出高风险工种，并对其开展针对性的专题安全培训。</w:t>
      </w:r>
    </w:p>
    <w:p w14:paraId="4C22454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3．承包人应组织 “入场培训”和考核。发包人委托的监理公司有权监督培训、考核情况或组织抽查考核。</w:t>
      </w:r>
    </w:p>
    <w:p w14:paraId="197DB45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4．承包人应建立安全培训和考核机制，编制培训教材和培训滚动计划。承包人应组织安全考试/考核，建立培训考核记录，发包人委托的监理公司有权查看这些记录。</w:t>
      </w:r>
    </w:p>
    <w:p w14:paraId="17DE366C">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94" w:name="_Toc532375711"/>
      <w:bookmarkStart w:id="995" w:name="_Toc239510301"/>
      <w:bookmarkStart w:id="996" w:name="_Toc247418275"/>
      <w:bookmarkStart w:id="997" w:name="_Toc247431435"/>
      <w:r>
        <w:rPr>
          <w:rFonts w:hint="eastAsia" w:ascii="宋体" w:hAnsi="宋体" w:eastAsia="宋体" w:cs="宋体"/>
          <w:color w:val="auto"/>
          <w:sz w:val="21"/>
          <w:szCs w:val="21"/>
          <w:highlight w:val="none"/>
        </w:rPr>
        <w:t>十二、职业健康与卫生防疫</w:t>
      </w:r>
      <w:bookmarkEnd w:id="994"/>
      <w:bookmarkEnd w:id="995"/>
      <w:bookmarkEnd w:id="996"/>
      <w:bookmarkEnd w:id="997"/>
    </w:p>
    <w:p w14:paraId="63A8BC7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2A05BDC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2．承包人应保证卫生防疫基本设施的投入，以满足医疗、急救的要求，建立外部医疗支持渠道。</w:t>
      </w:r>
    </w:p>
    <w:p w14:paraId="0868275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5EB3132F">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998" w:name="_Toc239510302"/>
      <w:bookmarkStart w:id="999" w:name="_Toc247418276"/>
      <w:bookmarkStart w:id="1000" w:name="_Toc247431436"/>
      <w:bookmarkStart w:id="1001" w:name="_Toc532375712"/>
      <w:r>
        <w:rPr>
          <w:rFonts w:hint="eastAsia" w:ascii="宋体" w:hAnsi="宋体" w:eastAsia="宋体" w:cs="宋体"/>
          <w:color w:val="auto"/>
          <w:sz w:val="21"/>
          <w:szCs w:val="21"/>
          <w:highlight w:val="none"/>
        </w:rPr>
        <w:t>十三、文明施工与环保要求</w:t>
      </w:r>
      <w:bookmarkEnd w:id="998"/>
      <w:bookmarkEnd w:id="999"/>
      <w:bookmarkEnd w:id="1000"/>
      <w:bookmarkEnd w:id="1001"/>
    </w:p>
    <w:p w14:paraId="1873B95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1．承包人需制订施工现场的文明施工措施，保持良好的施工现场秩序。施工现场的物料堆放要摆放整齐，安全标志和宣传标志要清楚醒目，废料、废物要分类收集，安全通道要畅通。</w:t>
      </w:r>
    </w:p>
    <w:p w14:paraId="59753C7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2．承包人作业时应避免建筑材料抛洒、飞扬、流淌；应尽可能降低噪音、震动。</w:t>
      </w:r>
    </w:p>
    <w:p w14:paraId="6A4CD3F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3．承包人应根据实际需要，在施工现场布置临时卫生设施（洗手间、卫生间等），施工作业不破坏环境卫生，不污染现场环境。</w:t>
      </w:r>
    </w:p>
    <w:p w14:paraId="42C9D72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4．承包人在施工中应充分重视对环境的保护，保护绿色植被，保护古树。施工如需伤害古树，必须报告发包人委托的监理公司，在未得到指令前，禁止擅自伤害古树。</w:t>
      </w:r>
    </w:p>
    <w:p w14:paraId="1ED2652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CC78F4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6．承包人在施工中应禁止向环境，排放工业污水、生活污水、废油或其他有害物质。</w:t>
      </w:r>
    </w:p>
    <w:p w14:paraId="537916C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42F4899C">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002" w:name="_Toc247431437"/>
      <w:bookmarkStart w:id="1003" w:name="_Toc239510303"/>
      <w:bookmarkStart w:id="1004" w:name="_Toc532375713"/>
      <w:bookmarkStart w:id="1005" w:name="_Toc247418277"/>
      <w:r>
        <w:rPr>
          <w:rFonts w:hint="eastAsia" w:ascii="宋体" w:hAnsi="宋体" w:eastAsia="宋体" w:cs="宋体"/>
          <w:color w:val="auto"/>
          <w:sz w:val="21"/>
          <w:szCs w:val="21"/>
          <w:highlight w:val="none"/>
        </w:rPr>
        <w:t>十四、工程风险管理与事故预防</w:t>
      </w:r>
      <w:bookmarkEnd w:id="1002"/>
      <w:bookmarkEnd w:id="1003"/>
      <w:bookmarkEnd w:id="1004"/>
      <w:bookmarkEnd w:id="1005"/>
    </w:p>
    <w:p w14:paraId="3F8DC14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1006" w:name="_Toc247431438"/>
      <w:bookmarkStart w:id="1007" w:name="_Toc239510304"/>
      <w:bookmarkStart w:id="1008" w:name="_Toc247418278"/>
      <w:r>
        <w:rPr>
          <w:rFonts w:hint="eastAsia" w:ascii="宋体" w:hAnsi="宋体" w:eastAsia="宋体" w:cs="宋体"/>
          <w:color w:val="auto"/>
          <w:sz w:val="21"/>
          <w:szCs w:val="21"/>
          <w:highlight w:val="none"/>
        </w:rPr>
        <w:t>（一）基本要求</w:t>
      </w:r>
      <w:bookmarkEnd w:id="1006"/>
      <w:bookmarkEnd w:id="1007"/>
      <w:bookmarkEnd w:id="1008"/>
    </w:p>
    <w:p w14:paraId="14FFE51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1009" w:name="_Toc532375714"/>
      <w:r>
        <w:rPr>
          <w:rFonts w:hint="eastAsia" w:ascii="宋体" w:hAnsi="宋体" w:eastAsia="宋体" w:cs="宋体"/>
          <w:color w:val="auto"/>
          <w:sz w:val="21"/>
          <w:szCs w:val="21"/>
          <w:highlight w:val="none"/>
        </w:rPr>
        <w:t>1．承包人应对施工过程进行全面、深入的危险源识别和风险分析。在施工安全组织设计中提供危险源及重要危险源清单、作业风险分析报告，该报告应包括（但不限于）如下信息：</w:t>
      </w:r>
      <w:bookmarkEnd w:id="1009"/>
    </w:p>
    <w:p w14:paraId="7DD160A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（1）高风险作业和工种清单：作业名称、类别和数量、主要事故风险。</w:t>
      </w:r>
    </w:p>
    <w:p w14:paraId="6E0E30B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（2）施工能源和机械的种类、数量和主要事故风险。</w:t>
      </w:r>
    </w:p>
    <w:p w14:paraId="6B8EE03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（3）施工作业条件的类型和主要事故风险。</w:t>
      </w:r>
    </w:p>
    <w:p w14:paraId="051E21B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（4）主要工艺过程（或施工活动）的类别及其相关的事故风险。</w:t>
      </w:r>
    </w:p>
    <w:p w14:paraId="07DD0EB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（5）主要火灾危险（可燃物、点火源）。</w:t>
      </w:r>
    </w:p>
    <w:p w14:paraId="441FD64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（6）主要自然灾害（洪水、大风、雷暴、暴雨、地质灾害等）。</w:t>
      </w:r>
    </w:p>
    <w:p w14:paraId="1FC7B78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（7）主要环境保护事件（有害垃圾、机械的跑冒滴漏、原材料流失、水土流失等）。</w:t>
      </w:r>
    </w:p>
    <w:p w14:paraId="78B6C8B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w:t>
      </w:r>
    </w:p>
    <w:p w14:paraId="5BB13E5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2．承包人应针对识别出的危险源制定有针对性的事故预防措施并确保在施工中得到有效落实。</w:t>
      </w:r>
    </w:p>
    <w:p w14:paraId="36EEC0A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3．承包人应建立日常施工活动的动态作业风险分析和安全交底制度。该制度应明确规定风险分析的方法、责任和交底的内容、时间及记录。</w:t>
      </w:r>
    </w:p>
    <w:p w14:paraId="3194382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bookmarkStart w:id="1010" w:name="_Toc247431439"/>
      <w:bookmarkStart w:id="1011" w:name="_Toc239510305"/>
      <w:bookmarkStart w:id="1012" w:name="_Toc247418279"/>
      <w:r>
        <w:rPr>
          <w:rFonts w:hint="eastAsia" w:ascii="宋体" w:hAnsi="宋体" w:eastAsia="宋体" w:cs="宋体"/>
          <w:color w:val="auto"/>
          <w:sz w:val="21"/>
          <w:szCs w:val="21"/>
          <w:highlight w:val="none"/>
        </w:rPr>
        <w:t>（二）现场作业基本安全条件</w:t>
      </w:r>
      <w:bookmarkEnd w:id="1010"/>
      <w:bookmarkEnd w:id="1011"/>
      <w:bookmarkEnd w:id="1012"/>
    </w:p>
    <w:p w14:paraId="7823230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4434B8F9">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013" w:name="_Toc247418280"/>
      <w:bookmarkStart w:id="1014" w:name="_Toc239510306"/>
      <w:bookmarkStart w:id="1015" w:name="_Toc532375715"/>
      <w:bookmarkStart w:id="1016" w:name="_Toc247431440"/>
      <w:r>
        <w:rPr>
          <w:rFonts w:hint="eastAsia" w:ascii="宋体" w:hAnsi="宋体" w:eastAsia="宋体" w:cs="宋体"/>
          <w:color w:val="auto"/>
          <w:sz w:val="21"/>
          <w:szCs w:val="21"/>
          <w:highlight w:val="none"/>
        </w:rPr>
        <w:t>十五、事故报告与应急救援</w:t>
      </w:r>
      <w:bookmarkEnd w:id="1013"/>
      <w:bookmarkEnd w:id="1014"/>
      <w:bookmarkEnd w:id="1015"/>
      <w:bookmarkEnd w:id="1016"/>
    </w:p>
    <w:p w14:paraId="29D349F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1．承包人应制定对于未遂事故及以上级别的安全事件和事故，定期报送安全月度快报、季报、年报和各种专项事故报告等。</w:t>
      </w:r>
    </w:p>
    <w:p w14:paraId="370AB9C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2．承包人应建立安全事故统计记录、未遂事故统计记录、违章统计记录，并根据统计情况进行分析，并就分析结果制定相应的预防措施。</w:t>
      </w:r>
    </w:p>
    <w:p w14:paraId="21D9BBD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3．承包人应建立事故应急救援机制，明确事故处置的基本原则，即现场发生事故时，首先抢救生命，向救援组织报警，并采取措施限制事故扩大。</w:t>
      </w:r>
    </w:p>
    <w:p w14:paraId="21C9901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4．承包人应建立相应的应急响应组织，以便能迅速处理突发意外。</w:t>
      </w:r>
    </w:p>
    <w:p w14:paraId="5B7A7FD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6E7BCD4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6．承包人应对应急预案进行适当演练，保证应急预案的可操作性。</w:t>
      </w:r>
    </w:p>
    <w:p w14:paraId="1CBC8D7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7．在工地的其他施工单位发生重大事故时，承包人应无条件立即配合、支持事故抢险。</w:t>
      </w:r>
    </w:p>
    <w:p w14:paraId="6B03AB0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8．承包人必须为事故处置支付各项费用，包括受伤者的抚恤、补偿等费用，并按合同要求赔偿对发包人造成的损失。</w:t>
      </w:r>
    </w:p>
    <w:p w14:paraId="3C7CF0D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9．由于发包人原因而造成的事故，发包人应负责按事故的具体损失情况给予承包人经济赔偿。</w:t>
      </w:r>
    </w:p>
    <w:p w14:paraId="5FB7A21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10．涉及承包人员工的伤害事故，承包人除要报告发包人委托的监理公司外，还应负责按照国家、行业和本单位上级公司的要求，上报事故。</w:t>
      </w:r>
    </w:p>
    <w:p w14:paraId="4C5F1A60">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017" w:name="_Toc239510307"/>
      <w:bookmarkStart w:id="1018" w:name="_Toc247431441"/>
      <w:bookmarkStart w:id="1019" w:name="_Toc247418281"/>
      <w:bookmarkStart w:id="1020" w:name="_Toc532375716"/>
      <w:r>
        <w:rPr>
          <w:rFonts w:hint="eastAsia" w:ascii="宋体" w:hAnsi="宋体" w:eastAsia="宋体" w:cs="宋体"/>
          <w:color w:val="auto"/>
          <w:sz w:val="21"/>
          <w:szCs w:val="21"/>
          <w:highlight w:val="none"/>
        </w:rPr>
        <w:t>十六、安全业绩考核</w:t>
      </w:r>
      <w:bookmarkEnd w:id="1017"/>
      <w:bookmarkEnd w:id="1018"/>
      <w:bookmarkEnd w:id="1019"/>
      <w:bookmarkEnd w:id="1020"/>
    </w:p>
    <w:p w14:paraId="7C4132F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为了落实安全管理的责任，承包人在施工过程中发生安全事故时，承包人除应按国家有关规定承担责任和处罚外，</w:t>
      </w:r>
    </w:p>
    <w:tbl>
      <w:tblPr>
        <w:tblStyle w:val="59"/>
        <w:tblW w:w="0" w:type="auto"/>
        <w:jc w:val="center"/>
        <w:tblLayout w:type="fixed"/>
        <w:tblCellMar>
          <w:top w:w="0" w:type="dxa"/>
          <w:left w:w="0" w:type="dxa"/>
          <w:bottom w:w="0" w:type="dxa"/>
          <w:right w:w="0" w:type="dxa"/>
        </w:tblCellMar>
      </w:tblPr>
      <w:tblGrid>
        <w:gridCol w:w="3240"/>
        <w:gridCol w:w="3765"/>
      </w:tblGrid>
      <w:tr w14:paraId="307BD201">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49019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8D8DD8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违约金额</w:t>
            </w:r>
          </w:p>
        </w:tc>
      </w:tr>
      <w:tr w14:paraId="5572707B">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538043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一般事故</w:t>
            </w:r>
          </w:p>
        </w:tc>
        <w:tc>
          <w:tcPr>
            <w:tcW w:w="3765" w:type="dxa"/>
            <w:tcBorders>
              <w:top w:val="single" w:color="auto" w:sz="8" w:space="0"/>
              <w:left w:val="nil"/>
              <w:bottom w:val="single" w:color="auto" w:sz="8" w:space="0"/>
              <w:right w:val="single" w:color="auto" w:sz="8" w:space="0"/>
            </w:tcBorders>
            <w:noWrap w:val="0"/>
            <w:vAlign w:val="center"/>
          </w:tcPr>
          <w:p w14:paraId="039ABEC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签约合同价的1%</w:t>
            </w:r>
          </w:p>
        </w:tc>
      </w:tr>
      <w:tr w14:paraId="124C919C">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68667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14:paraId="068D548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签约合同价的2%</w:t>
            </w:r>
          </w:p>
        </w:tc>
      </w:tr>
      <w:tr w14:paraId="7E940909">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98FB2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14:paraId="3072150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签约合同价的3%</w:t>
            </w:r>
          </w:p>
        </w:tc>
      </w:tr>
      <w:tr w14:paraId="1812664E">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DB542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54FCB73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签约合同价的5%</w:t>
            </w:r>
          </w:p>
        </w:tc>
      </w:tr>
    </w:tbl>
    <w:p w14:paraId="335160E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（1）一般事故，是指造成3人以下死亡，或者10人以下重伤，或者100万元以上1000万元以下直接经济损失的事故；</w:t>
      </w:r>
    </w:p>
    <w:p w14:paraId="694C9B0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（2）较大事故，是指造成3人以上10人以下死亡，或者10人以上50人以下重伤，或者1000万元以上5000万元以下直接经济损失的事故；</w:t>
      </w:r>
    </w:p>
    <w:p w14:paraId="142069B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（3）重大事故，是指造成10人以上30人以下死亡，或者50人以上100人以下重伤，或者5000万元以上1亿元以下直接经济损失的事故；</w:t>
      </w:r>
    </w:p>
    <w:p w14:paraId="02B7465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（4）特别重大事故，是指造成30人以上死亡，或者100人以上重伤（包括急性工业中毒，下同），或者1亿元以上直接经济损失的事故；</w:t>
      </w:r>
    </w:p>
    <w:p w14:paraId="2EDCFC7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（5）所称的“以上”包括本数，所称的“以下”不包括本数。</w:t>
      </w:r>
    </w:p>
    <w:p w14:paraId="1CD381A6">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20E0DD5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十七、承包人在施工过程中违反安全生产相关条例行为，如举证属实将按照《重庆市建设工程安全生产管理办法》（重庆市人民政府令第289号）相关条款严格执行。 </w:t>
      </w:r>
    </w:p>
    <w:p w14:paraId="4B015D76">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021" w:name="_Toc247431442"/>
      <w:bookmarkStart w:id="1022" w:name="_Toc239510308"/>
      <w:bookmarkStart w:id="1023" w:name="_Toc247418282"/>
      <w:bookmarkStart w:id="1024" w:name="_Toc532375717"/>
      <w:r>
        <w:rPr>
          <w:rFonts w:hint="eastAsia" w:ascii="宋体" w:hAnsi="宋体" w:eastAsia="宋体" w:cs="宋体"/>
          <w:color w:val="auto"/>
          <w:sz w:val="21"/>
          <w:szCs w:val="21"/>
          <w:highlight w:val="none"/>
        </w:rPr>
        <w:t>十八、协议条款的修订</w:t>
      </w:r>
      <w:bookmarkEnd w:id="1021"/>
      <w:bookmarkEnd w:id="1022"/>
      <w:bookmarkEnd w:id="1023"/>
      <w:bookmarkEnd w:id="1024"/>
    </w:p>
    <w:p w14:paraId="60F273F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在项目实施过程中，经双方友好协商，本协议的有关条款也可做出相应的修改。</w:t>
      </w:r>
    </w:p>
    <w:p w14:paraId="5C436EF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本工程安全管理协议，由发包人、承包人双方在施工承包合同签订后7天内共同签署，作为施工合同附件。</w:t>
      </w:r>
    </w:p>
    <w:p w14:paraId="39D36D2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人（公章）：</w:t>
      </w:r>
      <w:r>
        <w:rPr>
          <w:rFonts w:hint="eastAsia" w:ascii="宋体" w:hAnsi="宋体" w:eastAsia="宋体" w:cs="宋体"/>
          <w:color w:val="auto"/>
          <w:sz w:val="21"/>
          <w:szCs w:val="21"/>
          <w:highlight w:val="none"/>
          <w:u w:val="single"/>
        </w:rPr>
        <w:t xml:space="preserve">                       </w:t>
      </w:r>
    </w:p>
    <w:p w14:paraId="79524F7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1A8288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8E6E0B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p>
    <w:p w14:paraId="248AFC34">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  包  人（公章）：</w:t>
      </w:r>
      <w:r>
        <w:rPr>
          <w:rFonts w:hint="eastAsia" w:ascii="宋体" w:hAnsi="宋体" w:eastAsia="宋体" w:cs="宋体"/>
          <w:color w:val="auto"/>
          <w:sz w:val="21"/>
          <w:szCs w:val="21"/>
          <w:highlight w:val="none"/>
          <w:u w:val="single"/>
        </w:rPr>
        <w:t xml:space="preserve">                       </w:t>
      </w:r>
    </w:p>
    <w:p w14:paraId="57A6717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p>
    <w:p w14:paraId="67757BE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或其委托代理人（签名）：</w:t>
      </w:r>
      <w:r>
        <w:rPr>
          <w:rFonts w:hint="eastAsia" w:ascii="宋体" w:hAnsi="宋体" w:eastAsia="宋体" w:cs="宋体"/>
          <w:color w:val="auto"/>
          <w:sz w:val="21"/>
          <w:szCs w:val="21"/>
          <w:highlight w:val="none"/>
          <w:u w:val="single"/>
        </w:rPr>
        <w:t xml:space="preserve">                   </w:t>
      </w:r>
    </w:p>
    <w:p w14:paraId="5B80F6A3">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附件4：</w:t>
      </w:r>
    </w:p>
    <w:p w14:paraId="70FF3491">
      <w:pPr>
        <w:adjustRightInd w:val="0"/>
        <w:snapToGrid w:val="0"/>
        <w:spacing w:line="360" w:lineRule="auto"/>
        <w:jc w:val="center"/>
        <w:rPr>
          <w:rFonts w:hint="eastAsia" w:ascii="宋体" w:hAnsi="宋体" w:eastAsia="宋体" w:cs="宋体"/>
          <w:color w:val="auto"/>
          <w:sz w:val="21"/>
          <w:szCs w:val="21"/>
          <w:highlight w:val="none"/>
        </w:rPr>
      </w:pPr>
      <w:bookmarkStart w:id="1025" w:name="_Toc535595494"/>
      <w:bookmarkStart w:id="1026" w:name="_Toc69473179"/>
      <w:bookmarkStart w:id="1027" w:name="_Toc22217"/>
      <w:bookmarkStart w:id="1028" w:name="_Toc7825"/>
      <w:bookmarkStart w:id="1029" w:name="_Toc535595620"/>
      <w:bookmarkStart w:id="1030" w:name="_Toc14246"/>
      <w:bookmarkStart w:id="1031" w:name="_Toc507320025"/>
      <w:bookmarkStart w:id="1032" w:name="_Toc20159"/>
      <w:bookmarkStart w:id="1033" w:name="_Toc3981390"/>
      <w:bookmarkStart w:id="1034" w:name="_Toc27097"/>
      <w:r>
        <w:rPr>
          <w:rFonts w:hint="eastAsia" w:ascii="宋体" w:hAnsi="宋体" w:eastAsia="宋体" w:cs="宋体"/>
          <w:color w:val="auto"/>
          <w:sz w:val="21"/>
          <w:szCs w:val="21"/>
          <w:highlight w:val="none"/>
        </w:rPr>
        <w:t>环境保护</w:t>
      </w:r>
      <w:bookmarkEnd w:id="1025"/>
      <w:bookmarkEnd w:id="1026"/>
      <w:bookmarkEnd w:id="1027"/>
      <w:bookmarkEnd w:id="1028"/>
      <w:bookmarkEnd w:id="1029"/>
      <w:bookmarkEnd w:id="1030"/>
      <w:bookmarkEnd w:id="1031"/>
      <w:bookmarkEnd w:id="1032"/>
      <w:bookmarkEnd w:id="1033"/>
      <w:bookmarkEnd w:id="1034"/>
      <w:r>
        <w:rPr>
          <w:rFonts w:hint="eastAsia" w:ascii="宋体" w:hAnsi="宋体" w:eastAsia="宋体" w:cs="宋体"/>
          <w:color w:val="auto"/>
          <w:sz w:val="21"/>
          <w:szCs w:val="21"/>
          <w:highlight w:val="none"/>
        </w:rPr>
        <w:t>协议</w:t>
      </w:r>
    </w:p>
    <w:p w14:paraId="36C01108">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p>
    <w:p w14:paraId="3F081811">
      <w:pPr>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p>
    <w:p w14:paraId="21412D4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（工程全称）实施过程中创造良好的施工环境，切实搞好本项目的环境保护工作，发包人和承包人双方本着平等、自愿、公平的原则，经协商一致，签订以下环境保护合同。</w:t>
      </w:r>
    </w:p>
    <w:p w14:paraId="278C8B2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第1条 双方的义务</w:t>
      </w:r>
    </w:p>
    <w:p w14:paraId="14C2995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严格遵守国家有关环境保护的法律法规和规章制度，包括但不限于《中华人民共和国环境保护法》、《中华人民共和国环境影响评价法》、《建设项目环境保护管理条例》及重庆市相关环保法规和发包人企业规章制度等，认真执行工程承包合同中的有关环境保护要求。</w:t>
      </w:r>
    </w:p>
    <w:p w14:paraId="578FE7B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环境保护工作坚持“预防为主、防治结合、综合治理、谁污染谁治理”的原则。</w:t>
      </w:r>
    </w:p>
    <w:p w14:paraId="038A3CE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第2条 发包人的权利</w:t>
      </w:r>
    </w:p>
    <w:p w14:paraId="7FC6D96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有权要求承包人针对工程项目施工作业的具体情况制定环保措施方案，并进行审查和备案。</w:t>
      </w:r>
    </w:p>
    <w:p w14:paraId="336EF03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有权组织对承包人的施工现场进行环保工作检查，督促承包人及时处理发现的各种环境污染问题。</w:t>
      </w:r>
    </w:p>
    <w:p w14:paraId="1B27EC2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发生环境污染事故后，有权根据相关法律法规和规章制度的规定组织或参与事故的调查。</w:t>
      </w:r>
    </w:p>
    <w:p w14:paraId="385424A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第3条 承包人的义务</w:t>
      </w:r>
    </w:p>
    <w:p w14:paraId="15B021C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根据工程项目施工作业的需要，承包人应当编制环保措施方案，并报经发包人审查和备案。</w:t>
      </w:r>
    </w:p>
    <w:p w14:paraId="3783C32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加强施工过程中的扬尘与噪声管控，推行施工、养护作业机械尾气处理，尤其在靠近城区、居民区等环境敏感区域施工，应高度重视并加强环境保护措施，降低施工对环境的影响。</w:t>
      </w:r>
    </w:p>
    <w:p w14:paraId="7174721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在施工过程中采取有效措施加强施工现场周边水源及土壤的环境保护，不得随意倾倒施工垃圾，做好泥浆护壁挖孔桩的泥浆处理，严禁随意砍伐树木、挖掘土壤、植被，杜绝施工造成环境污染。</w:t>
      </w:r>
    </w:p>
    <w:p w14:paraId="6CB176D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施工车辆在运输及装卸过程中，必须采取封闭措施，避免材料、渣土“抛、洒、滴、漏”影响污染环境。</w:t>
      </w:r>
    </w:p>
    <w:p w14:paraId="7878E7DA">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施工机械在路面切割等作业时，必须采取喷洒水雾等措施，边坡锚杆（索）钻孔作业应采用湿钻，或采取喷洒水雾等措施，防止扬尘。</w:t>
      </w:r>
    </w:p>
    <w:p w14:paraId="277F608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施工中应采取相应的降噪措施和合理的作业时间安排，尽量减少对正常工作和生活的影响。</w:t>
      </w:r>
    </w:p>
    <w:p w14:paraId="6DAD1C0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3.7施工工地离居民区较近，对超过噪声标准作业，应采取有效的噪声污染防治措施（如：夜间禁止作业、设置临时隔音墙等），并提前告知相关监管部门。</w:t>
      </w:r>
    </w:p>
    <w:p w14:paraId="70B79E6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集中做好施工过程中产生的建筑垃圾处置，按弃渣规定对渣场进行分级卸载、修建渣脚挡墙、设置防排水等防护设施，并在渣场设立乙方管理标牌。</w:t>
      </w:r>
    </w:p>
    <w:p w14:paraId="0C54DC5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 按《建筑施工安全检查标准》规定设置文明施工和环境保护牌，搅拌站料场应分区并用彩条布等遮盖，对施工便道等进行硬化，对现场临时堆放的材料、垃圾等应分类做好遮盖处理，切实做好文明施工。</w:t>
      </w:r>
    </w:p>
    <w:p w14:paraId="13D0A28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第4条 违约责任</w:t>
      </w:r>
    </w:p>
    <w:p w14:paraId="2D92B2B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如因承包人原因造成环境污染事故，由承包人承担由此产生的经济赔偿责任及法律责任，并按合同约定承担合同结算金额3%的违约金。</w:t>
      </w:r>
    </w:p>
    <w:p w14:paraId="39BDE49C">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若发生环境污染事故，事故的报告、调查和责任确定应当按照相关法律法规和规章制度的规定进行。</w:t>
      </w:r>
    </w:p>
    <w:p w14:paraId="4840158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第5条 其它约定</w:t>
      </w:r>
    </w:p>
    <w:p w14:paraId="31E057F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本合同作为《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合同》的附件，与工程施工合同具有同等的法律效力。</w:t>
      </w:r>
    </w:p>
    <w:p w14:paraId="5D1A6C31">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本合同履行过程中发生的任何争议、纠纷，双方应通过友好协商方式解决；协商不成，按照工程承包合同中所约定的争议解决方式解决。</w:t>
      </w:r>
    </w:p>
    <w:p w14:paraId="4435366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本合同一式</w:t>
      </w:r>
      <w:r>
        <w:rPr>
          <w:rFonts w:hint="eastAsia" w:ascii="宋体" w:hAnsi="宋体" w:eastAsia="宋体" w:cs="宋体"/>
          <w:color w:val="auto"/>
          <w:sz w:val="21"/>
          <w:szCs w:val="21"/>
          <w:highlight w:val="none"/>
          <w:u w:val="single"/>
        </w:rPr>
        <w:t>陆</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叁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叁</w:t>
      </w:r>
      <w:r>
        <w:rPr>
          <w:rFonts w:hint="eastAsia" w:ascii="宋体" w:hAnsi="宋体" w:eastAsia="宋体" w:cs="宋体"/>
          <w:color w:val="auto"/>
          <w:sz w:val="21"/>
          <w:szCs w:val="21"/>
          <w:highlight w:val="none"/>
        </w:rPr>
        <w:t>份。由双方法定代表人或其授权代理人签署并加盖公章后生效，</w:t>
      </w:r>
      <w:r>
        <w:rPr>
          <w:rFonts w:hint="eastAsia" w:ascii="宋体" w:hAnsi="宋体" w:eastAsia="宋体" w:cs="宋体"/>
          <w:color w:val="auto"/>
          <w:sz w:val="21"/>
          <w:szCs w:val="21"/>
          <w:highlight w:val="none"/>
          <w:lang w:eastAsia="zh-Hans"/>
        </w:rPr>
        <w:t>主合同失效时</w:t>
      </w:r>
      <w:r>
        <w:rPr>
          <w:rFonts w:hint="eastAsia" w:ascii="宋体" w:hAnsi="宋体" w:eastAsia="宋体" w:cs="宋体"/>
          <w:color w:val="auto"/>
          <w:sz w:val="21"/>
          <w:szCs w:val="21"/>
          <w:highlight w:val="none"/>
        </w:rPr>
        <w:t>终止。</w:t>
      </w:r>
    </w:p>
    <w:p w14:paraId="51B9CA1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p>
    <w:p w14:paraId="6E31519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14:paraId="6FF218A7">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6396C54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                               或授权代理人：</w:t>
      </w:r>
    </w:p>
    <w:p w14:paraId="7A43D513">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                                     经办人：</w:t>
      </w:r>
    </w:p>
    <w:p w14:paraId="463BD618">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日期：</w:t>
      </w:r>
    </w:p>
    <w:p w14:paraId="002552E2">
      <w:pPr>
        <w:pStyle w:val="4"/>
        <w:spacing w:before="0" w:after="0" w:line="360" w:lineRule="auto"/>
        <w:jc w:val="center"/>
        <w:rPr>
          <w:rFonts w:hint="eastAsia" w:ascii="宋体" w:hAnsi="宋体" w:eastAsia="宋体" w:cs="宋体"/>
          <w:b w:val="0"/>
          <w:sz w:val="36"/>
          <w:szCs w:val="30"/>
          <w:highlight w:val="none"/>
        </w:rPr>
      </w:pPr>
    </w:p>
    <w:p w14:paraId="7EAD2A01">
      <w:pPr>
        <w:rPr>
          <w:rFonts w:hint="eastAsia" w:ascii="宋体" w:hAnsi="宋体" w:eastAsia="宋体" w:cs="宋体"/>
          <w:b w:val="0"/>
          <w:sz w:val="36"/>
          <w:szCs w:val="30"/>
          <w:highlight w:val="none"/>
        </w:rPr>
      </w:pPr>
    </w:p>
    <w:p w14:paraId="29952921">
      <w:pPr>
        <w:pStyle w:val="2"/>
        <w:rPr>
          <w:rFonts w:hint="eastAsia" w:ascii="宋体" w:hAnsi="宋体" w:eastAsia="宋体" w:cs="宋体"/>
          <w:b w:val="0"/>
          <w:sz w:val="36"/>
          <w:szCs w:val="30"/>
          <w:highlight w:val="none"/>
        </w:rPr>
      </w:pPr>
    </w:p>
    <w:p w14:paraId="2F920109">
      <w:pPr>
        <w:rPr>
          <w:rFonts w:hint="eastAsia" w:ascii="宋体" w:hAnsi="宋体" w:eastAsia="宋体" w:cs="宋体"/>
          <w:b w:val="0"/>
          <w:sz w:val="36"/>
          <w:szCs w:val="30"/>
          <w:highlight w:val="none"/>
        </w:rPr>
      </w:pPr>
    </w:p>
    <w:p w14:paraId="7922BEC2">
      <w:pPr>
        <w:pStyle w:val="2"/>
        <w:rPr>
          <w:rFonts w:hint="eastAsia" w:ascii="宋体" w:hAnsi="宋体" w:eastAsia="宋体" w:cs="宋体"/>
          <w:b w:val="0"/>
          <w:sz w:val="36"/>
          <w:szCs w:val="30"/>
          <w:highlight w:val="none"/>
        </w:rPr>
      </w:pPr>
    </w:p>
    <w:p w14:paraId="2381AB27">
      <w:pPr>
        <w:rPr>
          <w:rFonts w:hint="eastAsia" w:ascii="宋体" w:hAnsi="宋体" w:eastAsia="宋体" w:cs="宋体"/>
          <w:b w:val="0"/>
          <w:sz w:val="36"/>
          <w:szCs w:val="30"/>
          <w:highlight w:val="none"/>
        </w:rPr>
      </w:pPr>
    </w:p>
    <w:p w14:paraId="483B5447">
      <w:pPr>
        <w:pStyle w:val="2"/>
        <w:rPr>
          <w:rFonts w:hint="eastAsia" w:ascii="宋体" w:hAnsi="宋体" w:eastAsia="宋体" w:cs="宋体"/>
          <w:b w:val="0"/>
          <w:sz w:val="36"/>
          <w:szCs w:val="30"/>
          <w:highlight w:val="none"/>
        </w:rPr>
      </w:pPr>
    </w:p>
    <w:p w14:paraId="33C098C4">
      <w:pPr>
        <w:rPr>
          <w:rFonts w:hint="eastAsia" w:ascii="宋体" w:hAnsi="宋体" w:eastAsia="宋体" w:cs="宋体"/>
          <w:b w:val="0"/>
          <w:sz w:val="36"/>
          <w:szCs w:val="30"/>
          <w:highlight w:val="none"/>
        </w:rPr>
      </w:pPr>
    </w:p>
    <w:p w14:paraId="2A9A4A4F">
      <w:pPr>
        <w:pStyle w:val="4"/>
        <w:spacing w:before="0" w:after="0" w:line="360" w:lineRule="auto"/>
        <w:jc w:val="both"/>
        <w:rPr>
          <w:rFonts w:hint="eastAsia" w:ascii="宋体" w:hAnsi="宋体" w:eastAsia="宋体" w:cs="宋体"/>
          <w:b w:val="0"/>
          <w:sz w:val="36"/>
          <w:szCs w:val="30"/>
          <w:highlight w:val="none"/>
        </w:rPr>
      </w:pPr>
    </w:p>
    <w:p w14:paraId="7CB57373">
      <w:pPr>
        <w:rPr>
          <w:rFonts w:hint="eastAsia" w:ascii="宋体" w:hAnsi="宋体" w:eastAsia="宋体" w:cs="宋体"/>
          <w:b w:val="0"/>
          <w:sz w:val="36"/>
          <w:szCs w:val="30"/>
          <w:highlight w:val="none"/>
        </w:rPr>
      </w:pPr>
    </w:p>
    <w:p w14:paraId="704B86E6">
      <w:pPr>
        <w:rPr>
          <w:rFonts w:hint="eastAsia" w:ascii="宋体" w:hAnsi="宋体" w:eastAsia="宋体" w:cs="宋体"/>
          <w:b w:val="0"/>
          <w:sz w:val="36"/>
          <w:szCs w:val="30"/>
          <w:highlight w:val="none"/>
        </w:rPr>
      </w:pPr>
    </w:p>
    <w:p w14:paraId="517C7607">
      <w:pPr>
        <w:pStyle w:val="4"/>
        <w:spacing w:before="0" w:after="0" w:line="360" w:lineRule="auto"/>
        <w:jc w:val="both"/>
        <w:rPr>
          <w:rFonts w:hint="eastAsia" w:ascii="宋体" w:hAnsi="宋体" w:eastAsia="宋体" w:cs="宋体"/>
          <w:b w:val="0"/>
          <w:sz w:val="36"/>
          <w:szCs w:val="30"/>
          <w:highlight w:val="none"/>
        </w:rPr>
      </w:pPr>
    </w:p>
    <w:p w14:paraId="07F9CC5F">
      <w:pPr>
        <w:rPr>
          <w:rFonts w:hint="eastAsia"/>
          <w:highlight w:val="none"/>
        </w:rPr>
      </w:pPr>
    </w:p>
    <w:p w14:paraId="03205AA5">
      <w:pPr>
        <w:pStyle w:val="4"/>
        <w:spacing w:before="0" w:after="0" w:line="360" w:lineRule="auto"/>
        <w:jc w:val="center"/>
        <w:rPr>
          <w:rFonts w:ascii="宋体" w:hAnsi="宋体" w:eastAsia="宋体" w:cs="宋体"/>
          <w:b w:val="0"/>
          <w:sz w:val="36"/>
          <w:szCs w:val="30"/>
          <w:highlight w:val="none"/>
        </w:rPr>
      </w:pPr>
      <w:bookmarkStart w:id="1035" w:name="_Toc27624"/>
      <w:r>
        <w:rPr>
          <w:rFonts w:hint="eastAsia" w:ascii="宋体" w:hAnsi="宋体" w:eastAsia="宋体" w:cs="宋体"/>
          <w:b w:val="0"/>
          <w:sz w:val="36"/>
          <w:szCs w:val="30"/>
          <w:highlight w:val="none"/>
        </w:rPr>
        <w:t>第七篇  响应文件编制要求</w:t>
      </w:r>
      <w:bookmarkEnd w:id="151"/>
      <w:bookmarkEnd w:id="1035"/>
    </w:p>
    <w:p w14:paraId="22C3C0E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一、经济部分</w:t>
      </w:r>
    </w:p>
    <w:p w14:paraId="5F9888F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（一）竞争性磋商报价函</w:t>
      </w:r>
    </w:p>
    <w:p w14:paraId="7831BB39">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（二）</w:t>
      </w:r>
      <w:r>
        <w:rPr>
          <w:rFonts w:hint="eastAsia" w:ascii="宋体" w:hAnsi="宋体" w:cs="宋体"/>
          <w:sz w:val="24"/>
          <w:szCs w:val="24"/>
          <w:highlight w:val="none"/>
          <w:lang w:eastAsia="zh-CN"/>
        </w:rPr>
        <w:t>工程量清单</w:t>
      </w:r>
    </w:p>
    <w:p w14:paraId="0CA2749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技术</w:t>
      </w:r>
      <w:r>
        <w:rPr>
          <w:rFonts w:hint="eastAsia" w:ascii="宋体" w:hAnsi="宋体" w:cs="宋体"/>
          <w:sz w:val="24"/>
          <w:szCs w:val="24"/>
          <w:highlight w:val="none"/>
        </w:rPr>
        <w:t>部分</w:t>
      </w:r>
    </w:p>
    <w:p w14:paraId="1581573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w:t>
      </w:r>
      <w:r>
        <w:rPr>
          <w:rFonts w:hint="eastAsia" w:ascii="宋体" w:hAnsi="宋体" w:cs="宋体"/>
          <w:sz w:val="24"/>
          <w:szCs w:val="24"/>
          <w:highlight w:val="none"/>
          <w:lang w:eastAsia="zh-CN"/>
        </w:rPr>
        <w:t>技术</w:t>
      </w:r>
      <w:r>
        <w:rPr>
          <w:rFonts w:hint="eastAsia" w:ascii="宋体" w:hAnsi="宋体" w:cs="宋体"/>
          <w:sz w:val="24"/>
          <w:szCs w:val="24"/>
          <w:highlight w:val="none"/>
        </w:rPr>
        <w:t>方案（格式自定）</w:t>
      </w:r>
    </w:p>
    <w:p w14:paraId="094E95B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技术</w:t>
      </w:r>
      <w:r>
        <w:rPr>
          <w:rFonts w:hint="eastAsia" w:ascii="宋体" w:hAnsi="宋体" w:cs="宋体"/>
          <w:sz w:val="24"/>
          <w:szCs w:val="24"/>
          <w:highlight w:val="none"/>
        </w:rPr>
        <w:t>响应偏离表</w:t>
      </w:r>
    </w:p>
    <w:p w14:paraId="5CCDF18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三、商务部分</w:t>
      </w:r>
    </w:p>
    <w:p w14:paraId="7E4593F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（一）商务响应偏离表</w:t>
      </w:r>
    </w:p>
    <w:p w14:paraId="34E384B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（二）其他商务要求</w:t>
      </w:r>
    </w:p>
    <w:p w14:paraId="5F2802F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四、资格条件及其他</w:t>
      </w:r>
    </w:p>
    <w:p w14:paraId="536E800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15CA5DEE">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（二）法定代表人身份证明书（格式）</w:t>
      </w:r>
    </w:p>
    <w:p w14:paraId="7D24045E">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（三）法定代表人授权委托书（格式）</w:t>
      </w:r>
    </w:p>
    <w:p w14:paraId="396B869E">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（四）基本资格条件承诺函（格式）</w:t>
      </w:r>
    </w:p>
    <w:p w14:paraId="52D24A8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（五）特定资格条件证书或证明文件</w:t>
      </w:r>
    </w:p>
    <w:p w14:paraId="4DE38F3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五、其他资料</w:t>
      </w:r>
    </w:p>
    <w:p w14:paraId="3917841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（一）中小企业声明函、监狱企业证明文件、残疾人福利性单位声明函</w:t>
      </w:r>
    </w:p>
    <w:p w14:paraId="26D9138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（二）其他与项目有关的资料</w:t>
      </w:r>
    </w:p>
    <w:p w14:paraId="6F9BD3C0">
      <w:pPr>
        <w:pStyle w:val="2"/>
        <w:rPr>
          <w:rFonts w:ascii="宋体" w:hAnsi="宋体" w:eastAsia="宋体" w:cs="宋体"/>
          <w:highlight w:val="none"/>
        </w:rPr>
      </w:pPr>
    </w:p>
    <w:p w14:paraId="23C3A5A9">
      <w:pPr>
        <w:snapToGrid w:val="0"/>
        <w:spacing w:line="360" w:lineRule="auto"/>
        <w:rPr>
          <w:rFonts w:ascii="宋体" w:hAnsi="宋体" w:cs="宋体"/>
          <w:sz w:val="24"/>
          <w:szCs w:val="24"/>
          <w:highlight w:val="none"/>
          <w:bdr w:val="single" w:color="auto" w:sz="4" w:space="0"/>
        </w:rPr>
      </w:pPr>
    </w:p>
    <w:p w14:paraId="2390D2AB">
      <w:pPr>
        <w:pStyle w:val="2"/>
        <w:rPr>
          <w:rFonts w:ascii="宋体" w:hAnsi="宋体" w:eastAsia="宋体" w:cs="宋体"/>
          <w:highlight w:val="none"/>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14:paraId="09EA12BF">
      <w:pPr>
        <w:pStyle w:val="4"/>
        <w:adjustRightInd w:val="0"/>
        <w:snapToGrid w:val="0"/>
        <w:spacing w:before="0" w:after="0" w:line="400" w:lineRule="exact"/>
        <w:ind w:firstLine="482" w:firstLineChars="200"/>
        <w:rPr>
          <w:rFonts w:ascii="宋体" w:hAnsi="宋体" w:eastAsia="宋体" w:cs="宋体"/>
          <w:sz w:val="24"/>
          <w:highlight w:val="none"/>
        </w:rPr>
      </w:pPr>
      <w:bookmarkStart w:id="1036" w:name="_Toc342913419"/>
      <w:bookmarkStart w:id="1037" w:name="_Toc76462350"/>
      <w:bookmarkStart w:id="1038" w:name="_Toc313888360"/>
      <w:bookmarkStart w:id="1039" w:name="_Toc4788"/>
      <w:bookmarkStart w:id="1040" w:name="_Toc313008356"/>
      <w:bookmarkStart w:id="1041" w:name="_Toc283382454"/>
      <w:bookmarkStart w:id="1042" w:name="_Toc12789073"/>
      <w:r>
        <w:rPr>
          <w:rFonts w:hint="eastAsia" w:ascii="宋体" w:hAnsi="宋体" w:eastAsia="宋体" w:cs="宋体"/>
          <w:sz w:val="24"/>
          <w:highlight w:val="none"/>
        </w:rPr>
        <w:t>一、经济部分</w:t>
      </w:r>
      <w:bookmarkEnd w:id="1036"/>
      <w:bookmarkEnd w:id="1037"/>
      <w:bookmarkEnd w:id="1038"/>
      <w:bookmarkEnd w:id="1039"/>
      <w:bookmarkEnd w:id="1040"/>
    </w:p>
    <w:bookmarkEnd w:id="1041"/>
    <w:bookmarkEnd w:id="1042"/>
    <w:p w14:paraId="28C2D0B6">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（一）竞争性磋商报价函</w:t>
      </w:r>
    </w:p>
    <w:p w14:paraId="7AC5E60D">
      <w:pPr>
        <w:jc w:val="center"/>
        <w:rPr>
          <w:rFonts w:ascii="宋体" w:hAnsi="宋体" w:cs="宋体"/>
          <w:b/>
          <w:szCs w:val="28"/>
          <w:highlight w:val="none"/>
        </w:rPr>
      </w:pPr>
      <w:r>
        <w:rPr>
          <w:rFonts w:hint="eastAsia" w:ascii="宋体" w:hAnsi="宋体" w:cs="宋体"/>
          <w:b/>
          <w:szCs w:val="28"/>
          <w:highlight w:val="none"/>
        </w:rPr>
        <w:t>竞争性磋商报价函</w:t>
      </w:r>
    </w:p>
    <w:p w14:paraId="2A1A8F59">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rPr>
        <w:t>（采购代理机构名称）：</w:t>
      </w:r>
    </w:p>
    <w:p w14:paraId="28FD7093">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我方收到____________________________（磋商项目名称）的竞争性磋商文件，经详细研究，决定参加该项目的磋商。</w:t>
      </w:r>
    </w:p>
    <w:p w14:paraId="288A9059">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1.愿意按照竞争性磋商文件中的一切要求，提供本项目的服务，初始报价为人民币大写：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元整；人民币小写：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eastAsia="宋体" w:cs="宋体"/>
          <w:b/>
          <w:bCs/>
          <w:color w:val="000000"/>
          <w:sz w:val="24"/>
          <w:szCs w:val="24"/>
          <w:highlight w:val="none"/>
        </w:rPr>
        <w:t>（其中安全文明施工费：</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rPr>
        <w:t>）</w:t>
      </w:r>
      <w:r>
        <w:rPr>
          <w:rFonts w:hint="eastAsia" w:ascii="宋体" w:hAnsi="宋体" w:cs="宋体"/>
          <w:sz w:val="24"/>
          <w:szCs w:val="24"/>
          <w:highlight w:val="none"/>
        </w:rPr>
        <w:t>。以我公司最后报价为准。</w:t>
      </w:r>
    </w:p>
    <w:p w14:paraId="0C8D949B">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2.我方现提交的响应文件为：响应文件正本   份，副本   份，电子文档   份。</w:t>
      </w:r>
    </w:p>
    <w:p w14:paraId="0DE98D9C">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3.我方承诺：本次磋商的有效期为提交响应文件截止时间起90天。</w:t>
      </w:r>
    </w:p>
    <w:p w14:paraId="1636E90E">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4.我方完全理解和接受贵方竞争性磋商文件的一切规定和要求及评审办法。</w:t>
      </w:r>
    </w:p>
    <w:p w14:paraId="2BA7A5A8">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5.在整个竞争性磋商过程中，我方若有违规行为，接受按照《中华人民共和国政府采购法》和《竞争性磋商文件》之规定给予惩罚。</w:t>
      </w:r>
    </w:p>
    <w:p w14:paraId="56F1423C">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6.我方若成为成交供应商，将按照最终磋商结果签订合同，并且严格履行合同义务。本承诺函将成为合同不可分割的一部分，与合同具有同等的法律效力。</w:t>
      </w:r>
    </w:p>
    <w:p w14:paraId="10A3F1B6">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7.如果我方成为成交供应商，保证在接到成交通知书后，向采购代理机构和</w:t>
      </w:r>
      <w:r>
        <w:rPr>
          <w:rFonts w:hint="eastAsia" w:ascii="宋体" w:hAnsi="宋体" w:cs="宋体"/>
          <w:sz w:val="24"/>
          <w:highlight w:val="none"/>
        </w:rPr>
        <w:t>重庆联合产权交易所集团股份有限公司缴纳</w:t>
      </w:r>
      <w:r>
        <w:rPr>
          <w:rFonts w:hint="eastAsia" w:ascii="宋体" w:hAnsi="宋体" w:cs="宋体"/>
          <w:sz w:val="24"/>
          <w:szCs w:val="24"/>
          <w:highlight w:val="none"/>
        </w:rPr>
        <w:t>竞争性磋商文件规定的采购代理服务费和交易服务费。</w:t>
      </w:r>
    </w:p>
    <w:p w14:paraId="3CD6EF0C">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8"/>
          <w:highlight w:val="none"/>
        </w:rPr>
        <w:t>我方未</w:t>
      </w:r>
      <w:r>
        <w:rPr>
          <w:rFonts w:hint="eastAsia" w:ascii="宋体" w:hAnsi="宋体" w:cs="宋体"/>
          <w:sz w:val="24"/>
          <w:szCs w:val="24"/>
          <w:highlight w:val="none"/>
        </w:rPr>
        <w:t>为采购项目提供整体设计、规范编制或者项目管理、监理、检测等服务。</w:t>
      </w:r>
    </w:p>
    <w:p w14:paraId="7E21B526">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供应商（公章）或自然人签署：</w:t>
      </w:r>
    </w:p>
    <w:p w14:paraId="7F1840C2">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 xml:space="preserve">地址：  </w:t>
      </w:r>
    </w:p>
    <w:p w14:paraId="3DB63724">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电话：                                             传真：</w:t>
      </w:r>
    </w:p>
    <w:p w14:paraId="1956132B">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网址：                                             邮编：</w:t>
      </w:r>
    </w:p>
    <w:p w14:paraId="38F36173">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联系人：</w:t>
      </w:r>
    </w:p>
    <w:p w14:paraId="4EF477E0">
      <w:pPr>
        <w:snapToGrid w:val="0"/>
        <w:spacing w:line="312" w:lineRule="auto"/>
        <w:ind w:firstLine="480" w:firstLineChars="200"/>
        <w:rPr>
          <w:rFonts w:ascii="宋体" w:hAnsi="宋体" w:cs="宋体"/>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highlight w:val="none"/>
        </w:rPr>
        <w:t xml:space="preserve">                                                  年   月   日</w:t>
      </w:r>
    </w:p>
    <w:p w14:paraId="0C421D22">
      <w:pPr>
        <w:numPr>
          <w:ilvl w:val="0"/>
          <w:numId w:val="16"/>
        </w:numPr>
        <w:tabs>
          <w:tab w:val="left" w:pos="2895"/>
        </w:tabs>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工程量清单</w:t>
      </w:r>
    </w:p>
    <w:p w14:paraId="4A080871">
      <w:pPr>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注1：根据提供的工程量清单报价；</w:t>
      </w:r>
    </w:p>
    <w:p w14:paraId="2EEB575F">
      <w:pPr>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注2：如挂网工程量清单名称与竞争性磋商文件所示项目名称不一致，以竞争性磋商文件所示项目名称为准；</w:t>
      </w:r>
    </w:p>
    <w:p w14:paraId="28067DA3">
      <w:pPr>
        <w:pStyle w:val="2"/>
        <w:ind w:firstLine="480" w:firstLineChars="200"/>
        <w:rPr>
          <w:rFonts w:hint="default" w:eastAsia="宋体"/>
          <w:highlight w:val="none"/>
          <w:lang w:val="en-US" w:eastAsia="zh-CN"/>
        </w:rPr>
      </w:pPr>
      <w:r>
        <w:rPr>
          <w:rFonts w:hint="eastAsia" w:ascii="宋体" w:hAnsi="宋体" w:eastAsia="宋体" w:cs="宋体"/>
          <w:color w:val="000000"/>
          <w:sz w:val="24"/>
          <w:szCs w:val="24"/>
          <w:highlight w:val="none"/>
          <w:lang w:val="en-US" w:eastAsia="zh-CN"/>
        </w:rPr>
        <w:t>注3：响应文件不需提供单价分析表。</w:t>
      </w:r>
    </w:p>
    <w:p w14:paraId="6FF0E080">
      <w:pPr>
        <w:rPr>
          <w:rFonts w:hint="eastAsia" w:ascii="宋体" w:hAnsi="宋体" w:eastAsia="宋体" w:cs="宋体"/>
          <w:color w:val="000000"/>
          <w:sz w:val="24"/>
          <w:szCs w:val="24"/>
          <w:highlight w:val="none"/>
        </w:rPr>
      </w:pPr>
    </w:p>
    <w:p w14:paraId="150F97A6">
      <w:pPr>
        <w:pStyle w:val="39"/>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4A11AEAA">
      <w:pPr>
        <w:rPr>
          <w:rFonts w:hint="eastAsia" w:ascii="宋体" w:hAnsi="宋体" w:eastAsia="宋体" w:cs="宋体"/>
          <w:color w:val="000000"/>
          <w:sz w:val="24"/>
          <w:szCs w:val="24"/>
          <w:highlight w:val="none"/>
        </w:rPr>
      </w:pPr>
    </w:p>
    <w:p w14:paraId="51AB3319">
      <w:pPr>
        <w:rPr>
          <w:rFonts w:hint="eastAsia" w:ascii="宋体" w:hAnsi="宋体" w:eastAsia="宋体" w:cs="宋体"/>
          <w:color w:val="000000"/>
          <w:sz w:val="24"/>
          <w:szCs w:val="24"/>
          <w:highlight w:val="none"/>
        </w:rPr>
      </w:pPr>
    </w:p>
    <w:p w14:paraId="113EAB8E">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供应商名称（公章）或自然人签署：</w:t>
      </w:r>
    </w:p>
    <w:p w14:paraId="77024C40">
      <w:pPr>
        <w:spacing w:line="360" w:lineRule="auto"/>
        <w:ind w:right="480" w:firstLine="6480" w:firstLineChars="27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p w14:paraId="56314663">
      <w:pPr>
        <w:pStyle w:val="2"/>
        <w:numPr>
          <w:ilvl w:val="0"/>
          <w:numId w:val="0"/>
        </w:numPr>
        <w:rPr>
          <w:rFonts w:hint="eastAsia"/>
          <w:highlight w:val="none"/>
          <w:lang w:eastAsia="zh-CN"/>
        </w:rPr>
      </w:pPr>
    </w:p>
    <w:p w14:paraId="6A8C97DF">
      <w:pPr>
        <w:rPr>
          <w:rFonts w:hint="eastAsia"/>
          <w:highlight w:val="none"/>
          <w:lang w:eastAsia="zh-CN"/>
        </w:rPr>
      </w:pPr>
    </w:p>
    <w:p w14:paraId="3283AC63">
      <w:pPr>
        <w:pStyle w:val="2"/>
        <w:rPr>
          <w:rFonts w:hint="eastAsia"/>
          <w:highlight w:val="none"/>
          <w:lang w:eastAsia="zh-CN"/>
        </w:rPr>
      </w:pPr>
    </w:p>
    <w:p w14:paraId="35B974FA">
      <w:pPr>
        <w:rPr>
          <w:rFonts w:hint="eastAsia"/>
          <w:highlight w:val="none"/>
          <w:lang w:eastAsia="zh-CN"/>
        </w:rPr>
      </w:pPr>
    </w:p>
    <w:p w14:paraId="728C0C0A">
      <w:pPr>
        <w:pStyle w:val="2"/>
        <w:rPr>
          <w:rFonts w:hint="eastAsia"/>
          <w:highlight w:val="none"/>
          <w:lang w:eastAsia="zh-CN"/>
        </w:rPr>
      </w:pPr>
    </w:p>
    <w:p w14:paraId="456069D9">
      <w:pPr>
        <w:rPr>
          <w:rFonts w:hint="eastAsia"/>
          <w:highlight w:val="none"/>
          <w:lang w:eastAsia="zh-CN"/>
        </w:rPr>
      </w:pPr>
    </w:p>
    <w:p w14:paraId="583B1F11">
      <w:pPr>
        <w:pStyle w:val="2"/>
        <w:rPr>
          <w:rFonts w:hint="eastAsia"/>
          <w:highlight w:val="none"/>
          <w:lang w:eastAsia="zh-CN"/>
        </w:rPr>
      </w:pPr>
    </w:p>
    <w:p w14:paraId="0488FA5F">
      <w:pPr>
        <w:rPr>
          <w:rFonts w:hint="eastAsia"/>
          <w:highlight w:val="none"/>
          <w:lang w:eastAsia="zh-CN"/>
        </w:rPr>
      </w:pPr>
    </w:p>
    <w:p w14:paraId="6469529E">
      <w:pPr>
        <w:pStyle w:val="2"/>
        <w:rPr>
          <w:rFonts w:hint="eastAsia"/>
          <w:highlight w:val="none"/>
          <w:lang w:eastAsia="zh-CN"/>
        </w:rPr>
      </w:pPr>
    </w:p>
    <w:p w14:paraId="62699274">
      <w:pPr>
        <w:rPr>
          <w:rFonts w:hint="eastAsia"/>
          <w:highlight w:val="none"/>
          <w:lang w:eastAsia="zh-CN"/>
        </w:rPr>
      </w:pPr>
    </w:p>
    <w:p w14:paraId="04E6F2ED">
      <w:pPr>
        <w:pStyle w:val="2"/>
        <w:rPr>
          <w:rFonts w:hint="eastAsia"/>
          <w:highlight w:val="none"/>
          <w:lang w:eastAsia="zh-CN"/>
        </w:rPr>
      </w:pPr>
    </w:p>
    <w:p w14:paraId="75191F54">
      <w:pPr>
        <w:rPr>
          <w:rFonts w:hint="eastAsia"/>
          <w:highlight w:val="none"/>
          <w:lang w:eastAsia="zh-CN"/>
        </w:rPr>
      </w:pPr>
    </w:p>
    <w:p w14:paraId="519FE8D7">
      <w:pPr>
        <w:pStyle w:val="2"/>
        <w:rPr>
          <w:rFonts w:hint="eastAsia"/>
          <w:highlight w:val="none"/>
          <w:lang w:eastAsia="zh-CN"/>
        </w:rPr>
      </w:pPr>
    </w:p>
    <w:p w14:paraId="365FC959">
      <w:pPr>
        <w:rPr>
          <w:rFonts w:hint="eastAsia"/>
          <w:highlight w:val="none"/>
          <w:lang w:eastAsia="zh-CN"/>
        </w:rPr>
      </w:pPr>
    </w:p>
    <w:p w14:paraId="058BB0B1">
      <w:pPr>
        <w:pStyle w:val="2"/>
        <w:rPr>
          <w:rFonts w:hint="eastAsia"/>
          <w:highlight w:val="none"/>
          <w:lang w:eastAsia="zh-CN"/>
        </w:rPr>
      </w:pPr>
    </w:p>
    <w:p w14:paraId="75389D2C">
      <w:pPr>
        <w:rPr>
          <w:rFonts w:hint="eastAsia"/>
          <w:highlight w:val="none"/>
          <w:lang w:eastAsia="zh-CN"/>
        </w:rPr>
      </w:pPr>
    </w:p>
    <w:p w14:paraId="7A2042C8">
      <w:pPr>
        <w:pStyle w:val="2"/>
        <w:rPr>
          <w:rFonts w:hint="eastAsia"/>
          <w:highlight w:val="none"/>
          <w:lang w:eastAsia="zh-CN"/>
        </w:rPr>
      </w:pPr>
    </w:p>
    <w:p w14:paraId="438EB076">
      <w:pPr>
        <w:rPr>
          <w:rFonts w:hint="eastAsia"/>
          <w:highlight w:val="none"/>
          <w:lang w:eastAsia="zh-CN"/>
        </w:rPr>
      </w:pPr>
    </w:p>
    <w:p w14:paraId="50F1D5BC">
      <w:pPr>
        <w:pStyle w:val="2"/>
        <w:rPr>
          <w:rFonts w:hint="eastAsia"/>
          <w:highlight w:val="none"/>
          <w:lang w:eastAsia="zh-CN"/>
        </w:rPr>
      </w:pPr>
    </w:p>
    <w:p w14:paraId="0D8DCC7D">
      <w:pPr>
        <w:rPr>
          <w:rFonts w:hint="eastAsia"/>
          <w:highlight w:val="none"/>
          <w:lang w:eastAsia="zh-CN"/>
        </w:rPr>
      </w:pPr>
    </w:p>
    <w:p w14:paraId="32CA6189">
      <w:pPr>
        <w:pStyle w:val="2"/>
        <w:rPr>
          <w:rFonts w:hint="eastAsia"/>
          <w:highlight w:val="none"/>
          <w:lang w:eastAsia="zh-CN"/>
        </w:rPr>
      </w:pPr>
    </w:p>
    <w:p w14:paraId="22B9448D">
      <w:pPr>
        <w:rPr>
          <w:rFonts w:hint="eastAsia"/>
          <w:highlight w:val="none"/>
          <w:lang w:eastAsia="zh-CN"/>
        </w:rPr>
      </w:pPr>
    </w:p>
    <w:p w14:paraId="2DB3E04B">
      <w:pPr>
        <w:pStyle w:val="2"/>
        <w:rPr>
          <w:rFonts w:hint="eastAsia"/>
          <w:highlight w:val="none"/>
          <w:lang w:eastAsia="zh-CN"/>
        </w:rPr>
      </w:pPr>
    </w:p>
    <w:p w14:paraId="08E0CCE9">
      <w:pPr>
        <w:rPr>
          <w:rFonts w:hint="eastAsia"/>
          <w:highlight w:val="none"/>
          <w:lang w:eastAsia="zh-CN"/>
        </w:rPr>
      </w:pPr>
    </w:p>
    <w:p w14:paraId="45EF9215">
      <w:pPr>
        <w:pStyle w:val="2"/>
        <w:rPr>
          <w:rFonts w:hint="eastAsia"/>
          <w:highlight w:val="none"/>
          <w:lang w:eastAsia="zh-CN"/>
        </w:rPr>
      </w:pPr>
    </w:p>
    <w:p w14:paraId="5E1B91C2">
      <w:pPr>
        <w:pStyle w:val="4"/>
        <w:numPr>
          <w:ilvl w:val="0"/>
          <w:numId w:val="17"/>
        </w:numPr>
        <w:adjustRightInd w:val="0"/>
        <w:snapToGrid w:val="0"/>
        <w:spacing w:before="0" w:after="0" w:line="400" w:lineRule="exact"/>
        <w:ind w:firstLine="482" w:firstLineChars="200"/>
        <w:rPr>
          <w:rFonts w:ascii="宋体" w:hAnsi="宋体" w:eastAsia="宋体" w:cs="宋体"/>
          <w:sz w:val="24"/>
          <w:highlight w:val="none"/>
        </w:rPr>
      </w:pPr>
      <w:bookmarkStart w:id="1043" w:name="_Toc76462351"/>
      <w:bookmarkStart w:id="1044" w:name="_Toc18983"/>
      <w:bookmarkStart w:id="1045" w:name="_Toc313008357"/>
      <w:bookmarkStart w:id="1046" w:name="_Toc342913420"/>
      <w:bookmarkStart w:id="1047" w:name="_Toc313888361"/>
      <w:r>
        <w:rPr>
          <w:rFonts w:hint="eastAsia" w:ascii="宋体" w:hAnsi="宋体" w:eastAsia="宋体" w:cs="宋体"/>
          <w:sz w:val="24"/>
          <w:highlight w:val="none"/>
          <w:lang w:eastAsia="zh-CN"/>
        </w:rPr>
        <w:t>技术</w:t>
      </w:r>
      <w:r>
        <w:rPr>
          <w:rFonts w:hint="eastAsia" w:ascii="宋体" w:hAnsi="宋体" w:eastAsia="宋体" w:cs="宋体"/>
          <w:sz w:val="24"/>
          <w:highlight w:val="none"/>
        </w:rPr>
        <w:t>部分</w:t>
      </w:r>
      <w:bookmarkEnd w:id="1043"/>
      <w:bookmarkEnd w:id="1044"/>
      <w:bookmarkEnd w:id="1045"/>
      <w:bookmarkEnd w:id="1046"/>
      <w:bookmarkEnd w:id="1047"/>
    </w:p>
    <w:p w14:paraId="63ACB59B">
      <w:pPr>
        <w:tabs>
          <w:tab w:val="left" w:pos="6300"/>
        </w:tabs>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w:t>
      </w:r>
      <w:r>
        <w:rPr>
          <w:rFonts w:hint="eastAsia" w:ascii="宋体" w:hAnsi="宋体" w:cs="宋体"/>
          <w:sz w:val="24"/>
          <w:szCs w:val="24"/>
          <w:highlight w:val="none"/>
          <w:lang w:eastAsia="zh-CN"/>
        </w:rPr>
        <w:t>技术</w:t>
      </w:r>
      <w:r>
        <w:rPr>
          <w:rFonts w:hint="eastAsia" w:ascii="宋体" w:hAnsi="宋体" w:cs="宋体"/>
          <w:sz w:val="24"/>
          <w:szCs w:val="24"/>
          <w:highlight w:val="none"/>
        </w:rPr>
        <w:t>方案（格式自定）</w:t>
      </w:r>
    </w:p>
    <w:p w14:paraId="4C7FAA8A">
      <w:pPr>
        <w:rPr>
          <w:rFonts w:ascii="宋体" w:hAnsi="宋体" w:cs="宋体"/>
          <w:highlight w:val="none"/>
        </w:rPr>
      </w:pPr>
    </w:p>
    <w:p w14:paraId="5B040B9C">
      <w:pPr>
        <w:rPr>
          <w:rFonts w:ascii="宋体" w:hAnsi="宋体" w:cs="宋体"/>
          <w:highlight w:val="none"/>
        </w:rPr>
      </w:pPr>
    </w:p>
    <w:p w14:paraId="1BB21983">
      <w:pPr>
        <w:rPr>
          <w:rFonts w:ascii="宋体" w:hAnsi="宋体" w:cs="宋体"/>
          <w:highlight w:val="none"/>
        </w:rPr>
      </w:pPr>
    </w:p>
    <w:p w14:paraId="7893C857">
      <w:pPr>
        <w:rPr>
          <w:rFonts w:ascii="宋体" w:hAnsi="宋体" w:cs="宋体"/>
          <w:highlight w:val="none"/>
        </w:rPr>
      </w:pPr>
    </w:p>
    <w:p w14:paraId="59FA65C9">
      <w:pPr>
        <w:rPr>
          <w:rFonts w:ascii="宋体" w:hAnsi="宋体" w:cs="宋体"/>
          <w:highlight w:val="none"/>
        </w:rPr>
      </w:pPr>
    </w:p>
    <w:p w14:paraId="047D358F">
      <w:pPr>
        <w:rPr>
          <w:rFonts w:ascii="宋体" w:hAnsi="宋体" w:cs="宋体"/>
          <w:highlight w:val="none"/>
        </w:rPr>
      </w:pPr>
    </w:p>
    <w:p w14:paraId="4ED18648">
      <w:pPr>
        <w:rPr>
          <w:rFonts w:ascii="宋体" w:hAnsi="宋体" w:cs="宋体"/>
          <w:highlight w:val="none"/>
        </w:rPr>
      </w:pPr>
    </w:p>
    <w:p w14:paraId="762F278B">
      <w:pPr>
        <w:rPr>
          <w:rFonts w:ascii="宋体" w:hAnsi="宋体" w:cs="宋体"/>
          <w:highlight w:val="none"/>
        </w:rPr>
      </w:pPr>
    </w:p>
    <w:p w14:paraId="5F21E6C3">
      <w:pPr>
        <w:rPr>
          <w:rFonts w:ascii="宋体" w:hAnsi="宋体" w:cs="宋体"/>
          <w:highlight w:val="none"/>
        </w:rPr>
      </w:pPr>
    </w:p>
    <w:p w14:paraId="1BEDEBD9">
      <w:pPr>
        <w:rPr>
          <w:rFonts w:ascii="宋体" w:hAnsi="宋体" w:cs="宋体"/>
          <w:highlight w:val="none"/>
        </w:rPr>
      </w:pPr>
    </w:p>
    <w:p w14:paraId="22B514F4">
      <w:pPr>
        <w:rPr>
          <w:rFonts w:ascii="宋体" w:hAnsi="宋体" w:cs="宋体"/>
          <w:highlight w:val="none"/>
        </w:rPr>
      </w:pPr>
    </w:p>
    <w:p w14:paraId="38BB7E5C">
      <w:pPr>
        <w:rPr>
          <w:rFonts w:ascii="宋体" w:hAnsi="宋体" w:cs="宋体"/>
          <w:highlight w:val="none"/>
        </w:rPr>
      </w:pPr>
    </w:p>
    <w:p w14:paraId="019B69D2">
      <w:pPr>
        <w:rPr>
          <w:rFonts w:ascii="宋体" w:hAnsi="宋体" w:cs="宋体"/>
          <w:highlight w:val="none"/>
        </w:rPr>
      </w:pPr>
    </w:p>
    <w:p w14:paraId="37EC3352">
      <w:pPr>
        <w:rPr>
          <w:rFonts w:ascii="宋体" w:hAnsi="宋体" w:cs="宋体"/>
          <w:highlight w:val="none"/>
        </w:rPr>
      </w:pPr>
    </w:p>
    <w:p w14:paraId="560DB819">
      <w:pPr>
        <w:rPr>
          <w:rFonts w:ascii="宋体" w:hAnsi="宋体" w:cs="宋体"/>
          <w:highlight w:val="none"/>
        </w:rPr>
      </w:pPr>
    </w:p>
    <w:p w14:paraId="38A545A4">
      <w:pPr>
        <w:rPr>
          <w:rFonts w:ascii="宋体" w:hAnsi="宋体" w:cs="宋体"/>
          <w:highlight w:val="none"/>
        </w:rPr>
      </w:pPr>
    </w:p>
    <w:p w14:paraId="1DBCA66A">
      <w:pPr>
        <w:rPr>
          <w:rFonts w:ascii="宋体" w:hAnsi="宋体" w:cs="宋体"/>
          <w:highlight w:val="none"/>
        </w:rPr>
      </w:pPr>
    </w:p>
    <w:p w14:paraId="1669539D">
      <w:pPr>
        <w:rPr>
          <w:rFonts w:ascii="宋体" w:hAnsi="宋体" w:cs="宋体"/>
          <w:highlight w:val="none"/>
        </w:rPr>
      </w:pPr>
    </w:p>
    <w:p w14:paraId="19E842FA">
      <w:pPr>
        <w:rPr>
          <w:rFonts w:ascii="宋体" w:hAnsi="宋体" w:cs="宋体"/>
          <w:highlight w:val="none"/>
        </w:rPr>
      </w:pPr>
    </w:p>
    <w:p w14:paraId="1537F387">
      <w:pPr>
        <w:rPr>
          <w:rFonts w:ascii="宋体" w:hAnsi="宋体" w:cs="宋体"/>
          <w:highlight w:val="none"/>
        </w:rPr>
      </w:pPr>
    </w:p>
    <w:p w14:paraId="7E90049E">
      <w:pPr>
        <w:rPr>
          <w:rFonts w:ascii="宋体" w:hAnsi="宋体" w:cs="宋体"/>
          <w:highlight w:val="none"/>
        </w:rPr>
      </w:pPr>
    </w:p>
    <w:p w14:paraId="23A5645E">
      <w:pPr>
        <w:rPr>
          <w:rFonts w:ascii="宋体" w:hAnsi="宋体" w:cs="宋体"/>
          <w:highlight w:val="none"/>
        </w:rPr>
      </w:pPr>
    </w:p>
    <w:p w14:paraId="43D8B5E1">
      <w:pPr>
        <w:rPr>
          <w:rFonts w:ascii="宋体" w:hAnsi="宋体" w:cs="宋体"/>
          <w:highlight w:val="none"/>
        </w:rPr>
      </w:pPr>
    </w:p>
    <w:p w14:paraId="7945C4B1">
      <w:pPr>
        <w:rPr>
          <w:rFonts w:ascii="宋体" w:hAnsi="宋体" w:cs="宋体"/>
          <w:highlight w:val="none"/>
        </w:rPr>
      </w:pPr>
    </w:p>
    <w:p w14:paraId="75FE93D8">
      <w:pPr>
        <w:rPr>
          <w:rFonts w:ascii="宋体" w:hAnsi="宋体" w:cs="宋体"/>
          <w:highlight w:val="none"/>
        </w:rPr>
      </w:pPr>
    </w:p>
    <w:p w14:paraId="305E12E1">
      <w:pPr>
        <w:rPr>
          <w:rFonts w:ascii="宋体" w:hAnsi="宋体" w:cs="宋体"/>
          <w:highlight w:val="none"/>
        </w:rPr>
      </w:pPr>
    </w:p>
    <w:p w14:paraId="230DEB29">
      <w:pPr>
        <w:rPr>
          <w:rFonts w:ascii="宋体" w:hAnsi="宋体" w:cs="宋体"/>
          <w:highlight w:val="none"/>
        </w:rPr>
      </w:pPr>
    </w:p>
    <w:p w14:paraId="5F8494A8">
      <w:pPr>
        <w:rPr>
          <w:rFonts w:ascii="宋体" w:hAnsi="宋体" w:cs="宋体"/>
          <w:highlight w:val="none"/>
        </w:rPr>
      </w:pPr>
    </w:p>
    <w:p w14:paraId="5C47DACA">
      <w:pPr>
        <w:rPr>
          <w:rFonts w:ascii="宋体" w:hAnsi="宋体" w:cs="宋体"/>
          <w:highlight w:val="none"/>
        </w:rPr>
      </w:pPr>
    </w:p>
    <w:p w14:paraId="7AFC9D3A">
      <w:pPr>
        <w:rPr>
          <w:rFonts w:ascii="宋体" w:hAnsi="宋体" w:cs="宋体"/>
          <w:highlight w:val="none"/>
        </w:rPr>
      </w:pPr>
    </w:p>
    <w:p w14:paraId="41A39C8C">
      <w:pPr>
        <w:rPr>
          <w:rFonts w:ascii="宋体" w:hAnsi="宋体" w:cs="宋体"/>
          <w:highlight w:val="none"/>
        </w:rPr>
      </w:pPr>
    </w:p>
    <w:p w14:paraId="5D878BB9">
      <w:pPr>
        <w:rPr>
          <w:rFonts w:ascii="宋体" w:hAnsi="宋体" w:cs="宋体"/>
          <w:highlight w:val="none"/>
        </w:rPr>
      </w:pPr>
    </w:p>
    <w:p w14:paraId="5C221669">
      <w:pPr>
        <w:rPr>
          <w:rFonts w:ascii="宋体" w:hAnsi="宋体" w:cs="宋体"/>
          <w:highlight w:val="none"/>
        </w:rPr>
      </w:pPr>
    </w:p>
    <w:p w14:paraId="200362EA">
      <w:pPr>
        <w:rPr>
          <w:rFonts w:ascii="宋体" w:hAnsi="宋体" w:cs="宋体"/>
          <w:highlight w:val="none"/>
        </w:rPr>
      </w:pPr>
    </w:p>
    <w:p w14:paraId="10D7AB37">
      <w:pPr>
        <w:rPr>
          <w:rFonts w:ascii="宋体" w:hAnsi="宋体" w:cs="宋体"/>
          <w:highlight w:val="none"/>
        </w:rPr>
      </w:pPr>
    </w:p>
    <w:p w14:paraId="64433F6E">
      <w:pPr>
        <w:rPr>
          <w:rFonts w:ascii="宋体" w:hAnsi="宋体" w:cs="宋体"/>
          <w:highlight w:val="none"/>
        </w:rPr>
      </w:pPr>
    </w:p>
    <w:p w14:paraId="43410C58">
      <w:pPr>
        <w:rPr>
          <w:rFonts w:ascii="宋体" w:hAnsi="宋体" w:cs="宋体"/>
          <w:highlight w:val="none"/>
        </w:rPr>
      </w:pPr>
    </w:p>
    <w:p w14:paraId="3BB476EE">
      <w:pPr>
        <w:tabs>
          <w:tab w:val="left" w:pos="6300"/>
        </w:tabs>
        <w:snapToGrid w:val="0"/>
        <w:spacing w:line="400" w:lineRule="exact"/>
        <w:ind w:firstLine="480" w:firstLineChars="200"/>
        <w:rPr>
          <w:rFonts w:ascii="宋体" w:hAnsi="宋体" w:cs="宋体"/>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技术</w:t>
      </w:r>
      <w:r>
        <w:rPr>
          <w:rFonts w:hint="eastAsia" w:ascii="宋体" w:hAnsi="宋体" w:cs="宋体"/>
          <w:sz w:val="24"/>
          <w:szCs w:val="24"/>
          <w:highlight w:val="none"/>
        </w:rPr>
        <w:t>响应偏离表</w:t>
      </w:r>
    </w:p>
    <w:p w14:paraId="0E824D6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项目号：                                </w:t>
      </w:r>
    </w:p>
    <w:p w14:paraId="7D68DE7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磋商项目名称：</w:t>
      </w:r>
    </w:p>
    <w:tbl>
      <w:tblPr>
        <w:tblStyle w:val="5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6FA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7B8B00AF">
            <w:pPr>
              <w:tabs>
                <w:tab w:val="left" w:pos="6300"/>
              </w:tabs>
              <w:snapToGrid w:val="0"/>
              <w:spacing w:line="500" w:lineRule="exact"/>
              <w:jc w:val="center"/>
              <w:outlineLvl w:val="0"/>
              <w:rPr>
                <w:rFonts w:ascii="宋体" w:hAnsi="宋体" w:cs="宋体"/>
                <w:sz w:val="21"/>
                <w:szCs w:val="21"/>
                <w:highlight w:val="none"/>
              </w:rPr>
            </w:pPr>
            <w:r>
              <w:rPr>
                <w:rFonts w:hint="eastAsia" w:ascii="宋体" w:hAnsi="宋体" w:cs="宋体"/>
                <w:sz w:val="21"/>
                <w:szCs w:val="21"/>
                <w:highlight w:val="none"/>
              </w:rPr>
              <w:t>序号</w:t>
            </w:r>
          </w:p>
        </w:tc>
        <w:tc>
          <w:tcPr>
            <w:tcW w:w="2967" w:type="dxa"/>
            <w:vAlign w:val="center"/>
          </w:tcPr>
          <w:p w14:paraId="7B773447">
            <w:pPr>
              <w:tabs>
                <w:tab w:val="left" w:pos="6300"/>
              </w:tabs>
              <w:snapToGrid w:val="0"/>
              <w:spacing w:line="500" w:lineRule="exact"/>
              <w:jc w:val="center"/>
              <w:outlineLvl w:val="0"/>
              <w:rPr>
                <w:rFonts w:ascii="宋体" w:hAnsi="宋体" w:cs="宋体"/>
                <w:sz w:val="21"/>
                <w:szCs w:val="21"/>
                <w:highlight w:val="none"/>
              </w:rPr>
            </w:pPr>
            <w:r>
              <w:rPr>
                <w:rFonts w:hint="eastAsia" w:ascii="宋体" w:hAnsi="宋体" w:cs="宋体"/>
                <w:sz w:val="21"/>
                <w:szCs w:val="21"/>
                <w:highlight w:val="none"/>
              </w:rPr>
              <w:t>采购需求</w:t>
            </w:r>
          </w:p>
        </w:tc>
        <w:tc>
          <w:tcPr>
            <w:tcW w:w="3081" w:type="dxa"/>
            <w:vAlign w:val="center"/>
          </w:tcPr>
          <w:p w14:paraId="19F5B335">
            <w:pPr>
              <w:tabs>
                <w:tab w:val="left" w:pos="6300"/>
              </w:tabs>
              <w:snapToGrid w:val="0"/>
              <w:spacing w:line="500" w:lineRule="exact"/>
              <w:jc w:val="center"/>
              <w:outlineLvl w:val="0"/>
              <w:rPr>
                <w:rFonts w:ascii="宋体" w:hAnsi="宋体" w:cs="宋体"/>
                <w:sz w:val="21"/>
                <w:szCs w:val="21"/>
                <w:highlight w:val="none"/>
              </w:rPr>
            </w:pPr>
            <w:r>
              <w:rPr>
                <w:rFonts w:hint="eastAsia" w:ascii="宋体" w:hAnsi="宋体" w:cs="宋体"/>
                <w:sz w:val="21"/>
                <w:szCs w:val="21"/>
                <w:highlight w:val="none"/>
              </w:rPr>
              <w:t>响应情况</w:t>
            </w:r>
          </w:p>
        </w:tc>
        <w:tc>
          <w:tcPr>
            <w:tcW w:w="2309" w:type="dxa"/>
            <w:vAlign w:val="center"/>
          </w:tcPr>
          <w:p w14:paraId="562097F0">
            <w:pPr>
              <w:tabs>
                <w:tab w:val="left" w:pos="6300"/>
              </w:tabs>
              <w:snapToGrid w:val="0"/>
              <w:spacing w:line="500" w:lineRule="exact"/>
              <w:jc w:val="center"/>
              <w:outlineLvl w:val="0"/>
              <w:rPr>
                <w:rFonts w:ascii="宋体" w:hAnsi="宋体" w:cs="宋体"/>
                <w:sz w:val="21"/>
                <w:szCs w:val="21"/>
                <w:highlight w:val="none"/>
              </w:rPr>
            </w:pPr>
            <w:r>
              <w:rPr>
                <w:rFonts w:hint="eastAsia" w:ascii="宋体" w:hAnsi="宋体" w:cs="宋体"/>
                <w:sz w:val="21"/>
                <w:szCs w:val="21"/>
                <w:highlight w:val="none"/>
              </w:rPr>
              <w:t>差异说明</w:t>
            </w:r>
          </w:p>
        </w:tc>
      </w:tr>
      <w:tr w14:paraId="6604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EC33641">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25357BC4">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4AC1D1AE">
            <w:pPr>
              <w:tabs>
                <w:tab w:val="left" w:pos="6300"/>
              </w:tabs>
              <w:snapToGrid w:val="0"/>
              <w:spacing w:line="500" w:lineRule="exact"/>
              <w:outlineLvl w:val="0"/>
              <w:rPr>
                <w:rFonts w:ascii="宋体" w:hAnsi="宋体" w:cs="宋体"/>
                <w:sz w:val="21"/>
                <w:szCs w:val="21"/>
                <w:highlight w:val="none"/>
              </w:rPr>
            </w:pPr>
          </w:p>
        </w:tc>
        <w:tc>
          <w:tcPr>
            <w:tcW w:w="2309" w:type="dxa"/>
            <w:vAlign w:val="center"/>
          </w:tcPr>
          <w:p w14:paraId="6419202C">
            <w:pPr>
              <w:tabs>
                <w:tab w:val="left" w:pos="6300"/>
              </w:tabs>
              <w:snapToGrid w:val="0"/>
              <w:spacing w:line="500" w:lineRule="exact"/>
              <w:jc w:val="center"/>
              <w:outlineLvl w:val="0"/>
              <w:rPr>
                <w:rFonts w:ascii="宋体" w:hAnsi="宋体" w:cs="宋体"/>
                <w:sz w:val="21"/>
                <w:szCs w:val="21"/>
                <w:highlight w:val="none"/>
              </w:rPr>
            </w:pPr>
          </w:p>
        </w:tc>
      </w:tr>
      <w:tr w14:paraId="5967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63B3D51">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0A4618B7">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5CF60432">
            <w:pPr>
              <w:tabs>
                <w:tab w:val="left" w:pos="6300"/>
              </w:tabs>
              <w:snapToGrid w:val="0"/>
              <w:spacing w:line="500" w:lineRule="exact"/>
              <w:jc w:val="center"/>
              <w:outlineLvl w:val="0"/>
              <w:rPr>
                <w:rFonts w:ascii="宋体" w:hAnsi="宋体" w:cs="宋体"/>
                <w:sz w:val="21"/>
                <w:szCs w:val="21"/>
                <w:highlight w:val="none"/>
              </w:rPr>
            </w:pPr>
          </w:p>
        </w:tc>
        <w:tc>
          <w:tcPr>
            <w:tcW w:w="2309" w:type="dxa"/>
            <w:vAlign w:val="center"/>
          </w:tcPr>
          <w:p w14:paraId="0C898572">
            <w:pPr>
              <w:tabs>
                <w:tab w:val="left" w:pos="6300"/>
              </w:tabs>
              <w:snapToGrid w:val="0"/>
              <w:spacing w:line="500" w:lineRule="exact"/>
              <w:jc w:val="center"/>
              <w:outlineLvl w:val="0"/>
              <w:rPr>
                <w:rFonts w:ascii="宋体" w:hAnsi="宋体" w:cs="宋体"/>
                <w:sz w:val="21"/>
                <w:szCs w:val="21"/>
                <w:highlight w:val="none"/>
              </w:rPr>
            </w:pPr>
          </w:p>
        </w:tc>
      </w:tr>
      <w:tr w14:paraId="0AF1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232E946">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7FF5502F">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472D95F5">
            <w:pPr>
              <w:tabs>
                <w:tab w:val="left" w:pos="6300"/>
              </w:tabs>
              <w:snapToGrid w:val="0"/>
              <w:spacing w:line="500" w:lineRule="exact"/>
              <w:jc w:val="center"/>
              <w:outlineLvl w:val="0"/>
              <w:rPr>
                <w:rFonts w:ascii="宋体" w:hAnsi="宋体" w:cs="宋体"/>
                <w:sz w:val="21"/>
                <w:szCs w:val="21"/>
                <w:highlight w:val="none"/>
              </w:rPr>
            </w:pPr>
          </w:p>
        </w:tc>
        <w:tc>
          <w:tcPr>
            <w:tcW w:w="2309" w:type="dxa"/>
            <w:vAlign w:val="center"/>
          </w:tcPr>
          <w:p w14:paraId="7F598486">
            <w:pPr>
              <w:tabs>
                <w:tab w:val="left" w:pos="6300"/>
              </w:tabs>
              <w:snapToGrid w:val="0"/>
              <w:spacing w:line="500" w:lineRule="exact"/>
              <w:jc w:val="center"/>
              <w:outlineLvl w:val="0"/>
              <w:rPr>
                <w:rFonts w:ascii="宋体" w:hAnsi="宋体" w:cs="宋体"/>
                <w:sz w:val="21"/>
                <w:szCs w:val="21"/>
                <w:highlight w:val="none"/>
              </w:rPr>
            </w:pPr>
          </w:p>
        </w:tc>
      </w:tr>
      <w:tr w14:paraId="65C9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162E5DC">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0BD35C05">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7A96999E">
            <w:pPr>
              <w:tabs>
                <w:tab w:val="left" w:pos="6300"/>
              </w:tabs>
              <w:snapToGrid w:val="0"/>
              <w:spacing w:line="500" w:lineRule="exact"/>
              <w:jc w:val="center"/>
              <w:outlineLvl w:val="0"/>
              <w:rPr>
                <w:rFonts w:ascii="宋体" w:hAnsi="宋体" w:cs="宋体"/>
                <w:sz w:val="21"/>
                <w:szCs w:val="21"/>
                <w:highlight w:val="none"/>
              </w:rPr>
            </w:pPr>
          </w:p>
        </w:tc>
        <w:tc>
          <w:tcPr>
            <w:tcW w:w="2309" w:type="dxa"/>
            <w:vAlign w:val="center"/>
          </w:tcPr>
          <w:p w14:paraId="59A3A8BD">
            <w:pPr>
              <w:tabs>
                <w:tab w:val="left" w:pos="6300"/>
              </w:tabs>
              <w:snapToGrid w:val="0"/>
              <w:spacing w:line="500" w:lineRule="exact"/>
              <w:jc w:val="center"/>
              <w:outlineLvl w:val="0"/>
              <w:rPr>
                <w:rFonts w:ascii="宋体" w:hAnsi="宋体" w:cs="宋体"/>
                <w:sz w:val="21"/>
                <w:szCs w:val="21"/>
                <w:highlight w:val="none"/>
              </w:rPr>
            </w:pPr>
          </w:p>
        </w:tc>
      </w:tr>
      <w:tr w14:paraId="63C7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9DE214F">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1D3519C9">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477EBF46">
            <w:pPr>
              <w:tabs>
                <w:tab w:val="left" w:pos="6300"/>
              </w:tabs>
              <w:snapToGrid w:val="0"/>
              <w:spacing w:line="500" w:lineRule="exact"/>
              <w:jc w:val="center"/>
              <w:outlineLvl w:val="0"/>
              <w:rPr>
                <w:rFonts w:ascii="宋体" w:hAnsi="宋体" w:cs="宋体"/>
                <w:sz w:val="21"/>
                <w:szCs w:val="21"/>
                <w:highlight w:val="none"/>
              </w:rPr>
            </w:pPr>
          </w:p>
        </w:tc>
        <w:tc>
          <w:tcPr>
            <w:tcW w:w="2309" w:type="dxa"/>
            <w:vAlign w:val="center"/>
          </w:tcPr>
          <w:p w14:paraId="55EB7CE7">
            <w:pPr>
              <w:tabs>
                <w:tab w:val="left" w:pos="6300"/>
              </w:tabs>
              <w:snapToGrid w:val="0"/>
              <w:spacing w:line="500" w:lineRule="exact"/>
              <w:jc w:val="center"/>
              <w:outlineLvl w:val="0"/>
              <w:rPr>
                <w:rFonts w:ascii="宋体" w:hAnsi="宋体" w:cs="宋体"/>
                <w:sz w:val="21"/>
                <w:szCs w:val="21"/>
                <w:highlight w:val="none"/>
              </w:rPr>
            </w:pPr>
          </w:p>
        </w:tc>
      </w:tr>
      <w:tr w14:paraId="0B30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2E0354A">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64E5B9D0">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3D79CF6B">
            <w:pPr>
              <w:tabs>
                <w:tab w:val="left" w:pos="6300"/>
              </w:tabs>
              <w:snapToGrid w:val="0"/>
              <w:spacing w:line="500" w:lineRule="exact"/>
              <w:jc w:val="center"/>
              <w:outlineLvl w:val="0"/>
              <w:rPr>
                <w:rFonts w:ascii="宋体" w:hAnsi="宋体" w:cs="宋体"/>
                <w:sz w:val="21"/>
                <w:szCs w:val="21"/>
                <w:highlight w:val="none"/>
              </w:rPr>
            </w:pPr>
          </w:p>
        </w:tc>
        <w:tc>
          <w:tcPr>
            <w:tcW w:w="2309" w:type="dxa"/>
            <w:vAlign w:val="center"/>
          </w:tcPr>
          <w:p w14:paraId="68FE7618">
            <w:pPr>
              <w:tabs>
                <w:tab w:val="left" w:pos="6300"/>
              </w:tabs>
              <w:snapToGrid w:val="0"/>
              <w:spacing w:line="500" w:lineRule="exact"/>
              <w:jc w:val="center"/>
              <w:outlineLvl w:val="0"/>
              <w:rPr>
                <w:rFonts w:ascii="宋体" w:hAnsi="宋体" w:cs="宋体"/>
                <w:sz w:val="21"/>
                <w:szCs w:val="21"/>
                <w:highlight w:val="none"/>
              </w:rPr>
            </w:pPr>
          </w:p>
        </w:tc>
      </w:tr>
      <w:tr w14:paraId="65FC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C6C947F">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6A0DCB26">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55D03027">
            <w:pPr>
              <w:tabs>
                <w:tab w:val="left" w:pos="6300"/>
              </w:tabs>
              <w:snapToGrid w:val="0"/>
              <w:spacing w:line="500" w:lineRule="exact"/>
              <w:jc w:val="center"/>
              <w:outlineLvl w:val="0"/>
              <w:rPr>
                <w:rFonts w:ascii="宋体" w:hAnsi="宋体" w:cs="宋体"/>
                <w:sz w:val="21"/>
                <w:szCs w:val="21"/>
                <w:highlight w:val="none"/>
              </w:rPr>
            </w:pPr>
          </w:p>
        </w:tc>
        <w:tc>
          <w:tcPr>
            <w:tcW w:w="2309" w:type="dxa"/>
            <w:vAlign w:val="center"/>
          </w:tcPr>
          <w:p w14:paraId="1CA35BE0">
            <w:pPr>
              <w:tabs>
                <w:tab w:val="left" w:pos="6300"/>
              </w:tabs>
              <w:snapToGrid w:val="0"/>
              <w:spacing w:line="500" w:lineRule="exact"/>
              <w:jc w:val="center"/>
              <w:outlineLvl w:val="0"/>
              <w:rPr>
                <w:rFonts w:ascii="宋体" w:hAnsi="宋体" w:cs="宋体"/>
                <w:sz w:val="21"/>
                <w:szCs w:val="21"/>
                <w:highlight w:val="none"/>
              </w:rPr>
            </w:pPr>
          </w:p>
        </w:tc>
      </w:tr>
      <w:tr w14:paraId="6857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091DA55">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07F8709A">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497F4D91">
            <w:pPr>
              <w:tabs>
                <w:tab w:val="left" w:pos="6300"/>
              </w:tabs>
              <w:snapToGrid w:val="0"/>
              <w:spacing w:line="500" w:lineRule="exact"/>
              <w:jc w:val="center"/>
              <w:outlineLvl w:val="0"/>
              <w:rPr>
                <w:rFonts w:ascii="宋体" w:hAnsi="宋体" w:cs="宋体"/>
                <w:sz w:val="21"/>
                <w:szCs w:val="21"/>
                <w:highlight w:val="none"/>
              </w:rPr>
            </w:pPr>
          </w:p>
        </w:tc>
        <w:tc>
          <w:tcPr>
            <w:tcW w:w="2309" w:type="dxa"/>
            <w:vAlign w:val="center"/>
          </w:tcPr>
          <w:p w14:paraId="3DB862D9">
            <w:pPr>
              <w:tabs>
                <w:tab w:val="left" w:pos="6300"/>
              </w:tabs>
              <w:snapToGrid w:val="0"/>
              <w:spacing w:line="500" w:lineRule="exact"/>
              <w:jc w:val="center"/>
              <w:outlineLvl w:val="0"/>
              <w:rPr>
                <w:rFonts w:ascii="宋体" w:hAnsi="宋体" w:cs="宋体"/>
                <w:sz w:val="21"/>
                <w:szCs w:val="21"/>
                <w:highlight w:val="none"/>
              </w:rPr>
            </w:pPr>
          </w:p>
        </w:tc>
      </w:tr>
      <w:tr w14:paraId="5C1A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D750A31">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2F3EC934">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60DFA9F3">
            <w:pPr>
              <w:tabs>
                <w:tab w:val="left" w:pos="6300"/>
              </w:tabs>
              <w:snapToGrid w:val="0"/>
              <w:spacing w:line="500" w:lineRule="exact"/>
              <w:jc w:val="center"/>
              <w:outlineLvl w:val="0"/>
              <w:rPr>
                <w:rFonts w:ascii="宋体" w:hAnsi="宋体" w:cs="宋体"/>
                <w:sz w:val="21"/>
                <w:szCs w:val="21"/>
                <w:highlight w:val="none"/>
              </w:rPr>
            </w:pPr>
          </w:p>
        </w:tc>
        <w:tc>
          <w:tcPr>
            <w:tcW w:w="2309" w:type="dxa"/>
            <w:vAlign w:val="center"/>
          </w:tcPr>
          <w:p w14:paraId="69F24AFE">
            <w:pPr>
              <w:tabs>
                <w:tab w:val="left" w:pos="6300"/>
              </w:tabs>
              <w:snapToGrid w:val="0"/>
              <w:spacing w:line="500" w:lineRule="exact"/>
              <w:jc w:val="center"/>
              <w:outlineLvl w:val="0"/>
              <w:rPr>
                <w:rFonts w:ascii="宋体" w:hAnsi="宋体" w:cs="宋体"/>
                <w:sz w:val="21"/>
                <w:szCs w:val="21"/>
                <w:highlight w:val="none"/>
              </w:rPr>
            </w:pPr>
          </w:p>
        </w:tc>
      </w:tr>
      <w:tr w14:paraId="2648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80C4C02">
            <w:pPr>
              <w:tabs>
                <w:tab w:val="left" w:pos="6300"/>
              </w:tabs>
              <w:snapToGrid w:val="0"/>
              <w:spacing w:line="500" w:lineRule="exact"/>
              <w:jc w:val="center"/>
              <w:outlineLvl w:val="0"/>
              <w:rPr>
                <w:rFonts w:ascii="宋体" w:hAnsi="宋体" w:cs="宋体"/>
                <w:sz w:val="21"/>
                <w:szCs w:val="21"/>
                <w:highlight w:val="none"/>
              </w:rPr>
            </w:pPr>
          </w:p>
        </w:tc>
        <w:tc>
          <w:tcPr>
            <w:tcW w:w="2967" w:type="dxa"/>
            <w:vAlign w:val="center"/>
          </w:tcPr>
          <w:p w14:paraId="0B22A7C7">
            <w:pPr>
              <w:tabs>
                <w:tab w:val="left" w:pos="6300"/>
              </w:tabs>
              <w:snapToGrid w:val="0"/>
              <w:spacing w:line="500" w:lineRule="exact"/>
              <w:jc w:val="center"/>
              <w:outlineLvl w:val="0"/>
              <w:rPr>
                <w:rFonts w:ascii="宋体" w:hAnsi="宋体" w:cs="宋体"/>
                <w:sz w:val="21"/>
                <w:szCs w:val="21"/>
                <w:highlight w:val="none"/>
              </w:rPr>
            </w:pPr>
          </w:p>
        </w:tc>
        <w:tc>
          <w:tcPr>
            <w:tcW w:w="3081" w:type="dxa"/>
            <w:vAlign w:val="center"/>
          </w:tcPr>
          <w:p w14:paraId="36C2B045">
            <w:pPr>
              <w:tabs>
                <w:tab w:val="left" w:pos="6300"/>
              </w:tabs>
              <w:snapToGrid w:val="0"/>
              <w:spacing w:line="500" w:lineRule="exact"/>
              <w:jc w:val="center"/>
              <w:outlineLvl w:val="0"/>
              <w:rPr>
                <w:rFonts w:ascii="宋体" w:hAnsi="宋体" w:cs="宋体"/>
                <w:sz w:val="21"/>
                <w:szCs w:val="21"/>
                <w:highlight w:val="none"/>
              </w:rPr>
            </w:pPr>
          </w:p>
        </w:tc>
        <w:tc>
          <w:tcPr>
            <w:tcW w:w="2309" w:type="dxa"/>
            <w:vAlign w:val="center"/>
          </w:tcPr>
          <w:p w14:paraId="3BE1E4ED">
            <w:pPr>
              <w:tabs>
                <w:tab w:val="left" w:pos="6300"/>
              </w:tabs>
              <w:snapToGrid w:val="0"/>
              <w:spacing w:line="500" w:lineRule="exact"/>
              <w:jc w:val="center"/>
              <w:outlineLvl w:val="0"/>
              <w:rPr>
                <w:rFonts w:ascii="宋体" w:hAnsi="宋体" w:cs="宋体"/>
                <w:sz w:val="21"/>
                <w:szCs w:val="21"/>
                <w:highlight w:val="none"/>
              </w:rPr>
            </w:pPr>
          </w:p>
        </w:tc>
      </w:tr>
    </w:tbl>
    <w:p w14:paraId="5330A88E">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p>
    <w:p w14:paraId="3B0D09DC">
      <w:pPr>
        <w:spacing w:line="500" w:lineRule="exact"/>
        <w:rPr>
          <w:rFonts w:ascii="宋体" w:hAnsi="宋体" w:cs="宋体"/>
          <w:sz w:val="24"/>
          <w:szCs w:val="28"/>
          <w:highlight w:val="none"/>
        </w:rPr>
      </w:pPr>
      <w:r>
        <w:rPr>
          <w:rFonts w:hint="eastAsia" w:ascii="宋体" w:hAnsi="宋体" w:cs="宋体"/>
          <w:sz w:val="24"/>
          <w:szCs w:val="28"/>
          <w:highlight w:val="none"/>
        </w:rPr>
        <w:t xml:space="preserve">    </w:t>
      </w:r>
    </w:p>
    <w:p w14:paraId="6468B1F0">
      <w:pPr>
        <w:spacing w:line="500" w:lineRule="exact"/>
        <w:ind w:firstLine="720" w:firstLineChars="300"/>
        <w:rPr>
          <w:rFonts w:ascii="宋体" w:hAnsi="宋体" w:cs="宋体"/>
          <w:sz w:val="24"/>
          <w:szCs w:val="28"/>
          <w:highlight w:val="none"/>
        </w:rPr>
      </w:pPr>
      <w:r>
        <w:rPr>
          <w:rFonts w:hint="eastAsia" w:ascii="宋体" w:hAnsi="宋体" w:cs="宋体"/>
          <w:sz w:val="24"/>
          <w:szCs w:val="28"/>
          <w:highlight w:val="none"/>
        </w:rPr>
        <w:t>（供应商公章）                               （签署或盖章）</w:t>
      </w:r>
    </w:p>
    <w:p w14:paraId="65E24204">
      <w:pPr>
        <w:tabs>
          <w:tab w:val="left" w:pos="6300"/>
        </w:tabs>
        <w:snapToGrid w:val="0"/>
        <w:spacing w:line="500" w:lineRule="exact"/>
        <w:ind w:firstLine="570"/>
        <w:rPr>
          <w:rFonts w:ascii="宋体" w:hAnsi="宋体" w:cs="宋体"/>
          <w:sz w:val="24"/>
          <w:highlight w:val="none"/>
        </w:rPr>
      </w:pPr>
      <w:r>
        <w:rPr>
          <w:rFonts w:hint="eastAsia" w:ascii="宋体" w:hAnsi="宋体" w:cs="宋体"/>
          <w:sz w:val="24"/>
          <w:szCs w:val="28"/>
          <w:highlight w:val="none"/>
        </w:rPr>
        <w:t xml:space="preserve">                                              年     月     日</w:t>
      </w:r>
    </w:p>
    <w:p w14:paraId="7B4AB5C9">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注：</w:t>
      </w:r>
    </w:p>
    <w:p w14:paraId="1EBB32F1">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本表即为对本项目“第二篇  项目</w:t>
      </w:r>
      <w:r>
        <w:rPr>
          <w:rFonts w:hint="eastAsia" w:ascii="宋体" w:hAnsi="宋体" w:cs="宋体"/>
          <w:sz w:val="24"/>
          <w:szCs w:val="24"/>
          <w:highlight w:val="none"/>
          <w:lang w:eastAsia="zh-CN"/>
        </w:rPr>
        <w:t>技术</w:t>
      </w:r>
      <w:r>
        <w:rPr>
          <w:rFonts w:hint="eastAsia" w:ascii="宋体" w:hAnsi="宋体" w:cs="宋体"/>
          <w:sz w:val="24"/>
          <w:szCs w:val="24"/>
          <w:highlight w:val="none"/>
        </w:rPr>
        <w:t>需求”中所列条款进行比较和响应；</w:t>
      </w:r>
    </w:p>
    <w:p w14:paraId="0F00EB81">
      <w:pPr>
        <w:snapToGrid w:val="0"/>
        <w:spacing w:line="400" w:lineRule="exact"/>
        <w:ind w:firstLine="480" w:firstLineChars="200"/>
        <w:jc w:val="left"/>
        <w:rPr>
          <w:rFonts w:ascii="宋体" w:hAnsi="宋体" w:cs="宋体"/>
          <w:sz w:val="24"/>
          <w:szCs w:val="24"/>
          <w:highlight w:val="none"/>
        </w:rPr>
      </w:pPr>
      <w:r>
        <w:rPr>
          <w:rFonts w:hint="eastAsia" w:ascii="宋体" w:hAnsi="宋体" w:cs="宋体"/>
          <w:sz w:val="24"/>
          <w:highlight w:val="none"/>
        </w:rPr>
        <w:t>2.本表可扩展。</w:t>
      </w:r>
    </w:p>
    <w:p w14:paraId="520447CF">
      <w:pPr>
        <w:tabs>
          <w:tab w:val="left" w:pos="6300"/>
        </w:tabs>
        <w:snapToGrid w:val="0"/>
        <w:spacing w:line="400" w:lineRule="exact"/>
        <w:ind w:firstLine="560" w:firstLineChars="200"/>
        <w:rPr>
          <w:rFonts w:ascii="宋体" w:hAnsi="宋体" w:cs="宋体"/>
          <w:sz w:val="24"/>
          <w:highlight w:val="none"/>
        </w:rPr>
      </w:pPr>
      <w:r>
        <w:rPr>
          <w:rFonts w:hint="eastAsia" w:ascii="宋体" w:hAnsi="宋体" w:cs="宋体"/>
          <w:szCs w:val="24"/>
          <w:highlight w:val="none"/>
        </w:rPr>
        <w:br w:type="page"/>
      </w:r>
      <w:bookmarkStart w:id="1048" w:name="_Toc313008358"/>
      <w:bookmarkStart w:id="1049" w:name="_Toc313888362"/>
      <w:bookmarkStart w:id="1050" w:name="_Toc342913421"/>
      <w:bookmarkStart w:id="1051" w:name="_Toc28793"/>
      <w:bookmarkStart w:id="1052" w:name="_Toc76462352"/>
      <w:r>
        <w:rPr>
          <w:rStyle w:val="93"/>
          <w:rFonts w:hint="eastAsia" w:ascii="宋体" w:hAnsi="宋体" w:eastAsia="宋体" w:cs="宋体"/>
          <w:sz w:val="24"/>
          <w:szCs w:val="24"/>
          <w:highlight w:val="none"/>
        </w:rPr>
        <w:t>三、商务部分</w:t>
      </w:r>
      <w:bookmarkEnd w:id="1048"/>
      <w:bookmarkEnd w:id="1049"/>
      <w:bookmarkEnd w:id="1050"/>
      <w:bookmarkEnd w:id="1051"/>
      <w:bookmarkEnd w:id="1052"/>
    </w:p>
    <w:p w14:paraId="34BFCC2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（一）商务响应偏离表</w:t>
      </w:r>
    </w:p>
    <w:p w14:paraId="3ED5D40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项目号：                                </w:t>
      </w:r>
    </w:p>
    <w:p w14:paraId="047AABEE">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磋商项目名称： </w:t>
      </w:r>
    </w:p>
    <w:tbl>
      <w:tblPr>
        <w:tblStyle w:val="5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FC6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83F7294">
            <w:pPr>
              <w:snapToGrid w:val="0"/>
              <w:spacing w:line="360" w:lineRule="auto"/>
              <w:ind w:firstLine="465"/>
              <w:rPr>
                <w:rFonts w:ascii="宋体" w:hAnsi="宋体" w:cs="宋体"/>
                <w:sz w:val="21"/>
                <w:szCs w:val="24"/>
                <w:highlight w:val="none"/>
              </w:rPr>
            </w:pPr>
            <w:r>
              <w:rPr>
                <w:rFonts w:hint="eastAsia" w:ascii="宋体" w:hAnsi="宋体" w:cs="宋体"/>
                <w:sz w:val="21"/>
                <w:szCs w:val="24"/>
                <w:highlight w:val="none"/>
              </w:rPr>
              <w:t>序号</w:t>
            </w:r>
          </w:p>
        </w:tc>
        <w:tc>
          <w:tcPr>
            <w:tcW w:w="3179" w:type="dxa"/>
            <w:vAlign w:val="center"/>
          </w:tcPr>
          <w:p w14:paraId="78743334">
            <w:pPr>
              <w:tabs>
                <w:tab w:val="left" w:pos="6300"/>
              </w:tabs>
              <w:snapToGrid w:val="0"/>
              <w:spacing w:line="360" w:lineRule="auto"/>
              <w:jc w:val="center"/>
              <w:outlineLvl w:val="0"/>
              <w:rPr>
                <w:rFonts w:ascii="宋体" w:hAnsi="宋体" w:cs="宋体"/>
                <w:sz w:val="21"/>
                <w:szCs w:val="24"/>
                <w:highlight w:val="none"/>
              </w:rPr>
            </w:pPr>
            <w:r>
              <w:rPr>
                <w:rFonts w:hint="eastAsia" w:ascii="宋体" w:hAnsi="宋体" w:cs="宋体"/>
                <w:sz w:val="21"/>
                <w:szCs w:val="24"/>
                <w:highlight w:val="none"/>
              </w:rPr>
              <w:t>磋商项目商务需求</w:t>
            </w:r>
          </w:p>
        </w:tc>
        <w:tc>
          <w:tcPr>
            <w:tcW w:w="2434" w:type="dxa"/>
            <w:vAlign w:val="center"/>
          </w:tcPr>
          <w:p w14:paraId="7B41B1E5">
            <w:pPr>
              <w:tabs>
                <w:tab w:val="left" w:pos="6300"/>
              </w:tabs>
              <w:snapToGrid w:val="0"/>
              <w:spacing w:line="360" w:lineRule="auto"/>
              <w:jc w:val="center"/>
              <w:outlineLvl w:val="0"/>
              <w:rPr>
                <w:rFonts w:ascii="宋体" w:hAnsi="宋体" w:cs="宋体"/>
                <w:sz w:val="21"/>
                <w:szCs w:val="24"/>
                <w:highlight w:val="none"/>
              </w:rPr>
            </w:pPr>
            <w:r>
              <w:rPr>
                <w:rFonts w:hint="eastAsia" w:ascii="宋体" w:hAnsi="宋体" w:cs="宋体"/>
                <w:sz w:val="21"/>
                <w:szCs w:val="24"/>
                <w:highlight w:val="none"/>
              </w:rPr>
              <w:t>响应情况</w:t>
            </w:r>
          </w:p>
        </w:tc>
        <w:tc>
          <w:tcPr>
            <w:tcW w:w="2355" w:type="dxa"/>
            <w:vAlign w:val="center"/>
          </w:tcPr>
          <w:p w14:paraId="61C5EE03">
            <w:pPr>
              <w:tabs>
                <w:tab w:val="left" w:pos="6300"/>
              </w:tabs>
              <w:snapToGrid w:val="0"/>
              <w:spacing w:line="360" w:lineRule="auto"/>
              <w:jc w:val="center"/>
              <w:outlineLvl w:val="0"/>
              <w:rPr>
                <w:rFonts w:ascii="宋体" w:hAnsi="宋体" w:cs="宋体"/>
                <w:sz w:val="21"/>
                <w:szCs w:val="24"/>
                <w:highlight w:val="none"/>
              </w:rPr>
            </w:pPr>
            <w:r>
              <w:rPr>
                <w:rFonts w:hint="eastAsia" w:ascii="宋体" w:hAnsi="宋体" w:cs="宋体"/>
                <w:sz w:val="21"/>
                <w:szCs w:val="24"/>
                <w:highlight w:val="none"/>
              </w:rPr>
              <w:t>偏离说明</w:t>
            </w:r>
          </w:p>
        </w:tc>
      </w:tr>
      <w:tr w14:paraId="43EC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53CB82">
            <w:pPr>
              <w:tabs>
                <w:tab w:val="left" w:pos="6300"/>
              </w:tabs>
              <w:snapToGrid w:val="0"/>
              <w:spacing w:line="360" w:lineRule="auto"/>
              <w:jc w:val="center"/>
              <w:outlineLvl w:val="0"/>
              <w:rPr>
                <w:rFonts w:ascii="宋体" w:hAnsi="宋体" w:cs="宋体"/>
                <w:sz w:val="21"/>
                <w:szCs w:val="24"/>
                <w:highlight w:val="none"/>
              </w:rPr>
            </w:pPr>
          </w:p>
        </w:tc>
        <w:tc>
          <w:tcPr>
            <w:tcW w:w="3179" w:type="dxa"/>
            <w:vAlign w:val="center"/>
          </w:tcPr>
          <w:p w14:paraId="6B6B3173">
            <w:pPr>
              <w:tabs>
                <w:tab w:val="left" w:pos="6300"/>
              </w:tabs>
              <w:snapToGrid w:val="0"/>
              <w:spacing w:line="360" w:lineRule="auto"/>
              <w:jc w:val="center"/>
              <w:outlineLvl w:val="0"/>
              <w:rPr>
                <w:rFonts w:ascii="宋体" w:hAnsi="宋体" w:cs="宋体"/>
                <w:sz w:val="21"/>
                <w:szCs w:val="24"/>
                <w:highlight w:val="none"/>
              </w:rPr>
            </w:pPr>
          </w:p>
        </w:tc>
        <w:tc>
          <w:tcPr>
            <w:tcW w:w="2434" w:type="dxa"/>
            <w:vAlign w:val="center"/>
          </w:tcPr>
          <w:p w14:paraId="69150463">
            <w:pPr>
              <w:tabs>
                <w:tab w:val="left" w:pos="6300"/>
              </w:tabs>
              <w:snapToGrid w:val="0"/>
              <w:spacing w:line="360" w:lineRule="auto"/>
              <w:outlineLvl w:val="0"/>
              <w:rPr>
                <w:rFonts w:ascii="宋体" w:hAnsi="宋体" w:cs="宋体"/>
                <w:sz w:val="21"/>
                <w:szCs w:val="24"/>
                <w:highlight w:val="none"/>
              </w:rPr>
            </w:pPr>
            <w:r>
              <w:rPr>
                <w:rFonts w:hint="eastAsia" w:ascii="宋体" w:hAnsi="宋体" w:cs="宋体"/>
                <w:sz w:val="21"/>
                <w:szCs w:val="21"/>
                <w:highlight w:val="none"/>
              </w:rPr>
              <w:t>提醒：请注明具体内容以及响应文件中具体内容的位置（页码）</w:t>
            </w:r>
          </w:p>
        </w:tc>
        <w:tc>
          <w:tcPr>
            <w:tcW w:w="2355" w:type="dxa"/>
            <w:vAlign w:val="center"/>
          </w:tcPr>
          <w:p w14:paraId="43F832D8">
            <w:pPr>
              <w:tabs>
                <w:tab w:val="left" w:pos="6300"/>
              </w:tabs>
              <w:snapToGrid w:val="0"/>
              <w:spacing w:line="360" w:lineRule="auto"/>
              <w:jc w:val="center"/>
              <w:outlineLvl w:val="0"/>
              <w:rPr>
                <w:rFonts w:ascii="宋体" w:hAnsi="宋体" w:cs="宋体"/>
                <w:sz w:val="21"/>
                <w:szCs w:val="24"/>
                <w:highlight w:val="none"/>
              </w:rPr>
            </w:pPr>
          </w:p>
        </w:tc>
      </w:tr>
      <w:tr w14:paraId="23BD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C9EFA0">
            <w:pPr>
              <w:tabs>
                <w:tab w:val="left" w:pos="6300"/>
              </w:tabs>
              <w:snapToGrid w:val="0"/>
              <w:spacing w:line="360" w:lineRule="auto"/>
              <w:jc w:val="center"/>
              <w:outlineLvl w:val="0"/>
              <w:rPr>
                <w:rFonts w:ascii="宋体" w:hAnsi="宋体" w:cs="宋体"/>
                <w:sz w:val="21"/>
                <w:szCs w:val="24"/>
                <w:highlight w:val="none"/>
              </w:rPr>
            </w:pPr>
          </w:p>
        </w:tc>
        <w:tc>
          <w:tcPr>
            <w:tcW w:w="3179" w:type="dxa"/>
            <w:vAlign w:val="center"/>
          </w:tcPr>
          <w:p w14:paraId="3CCAA75A">
            <w:pPr>
              <w:tabs>
                <w:tab w:val="left" w:pos="6300"/>
              </w:tabs>
              <w:snapToGrid w:val="0"/>
              <w:spacing w:line="360" w:lineRule="auto"/>
              <w:jc w:val="center"/>
              <w:outlineLvl w:val="0"/>
              <w:rPr>
                <w:rFonts w:ascii="宋体" w:hAnsi="宋体" w:cs="宋体"/>
                <w:sz w:val="21"/>
                <w:szCs w:val="24"/>
                <w:highlight w:val="none"/>
              </w:rPr>
            </w:pPr>
          </w:p>
        </w:tc>
        <w:tc>
          <w:tcPr>
            <w:tcW w:w="2434" w:type="dxa"/>
            <w:vAlign w:val="center"/>
          </w:tcPr>
          <w:p w14:paraId="6F8BD322">
            <w:pPr>
              <w:tabs>
                <w:tab w:val="left" w:pos="6300"/>
              </w:tabs>
              <w:snapToGrid w:val="0"/>
              <w:spacing w:line="360" w:lineRule="auto"/>
              <w:jc w:val="center"/>
              <w:outlineLvl w:val="0"/>
              <w:rPr>
                <w:rFonts w:ascii="宋体" w:hAnsi="宋体" w:cs="宋体"/>
                <w:sz w:val="21"/>
                <w:szCs w:val="24"/>
                <w:highlight w:val="none"/>
              </w:rPr>
            </w:pPr>
          </w:p>
        </w:tc>
        <w:tc>
          <w:tcPr>
            <w:tcW w:w="2355" w:type="dxa"/>
            <w:vAlign w:val="center"/>
          </w:tcPr>
          <w:p w14:paraId="75981161">
            <w:pPr>
              <w:tabs>
                <w:tab w:val="left" w:pos="6300"/>
              </w:tabs>
              <w:snapToGrid w:val="0"/>
              <w:spacing w:line="360" w:lineRule="auto"/>
              <w:jc w:val="center"/>
              <w:outlineLvl w:val="0"/>
              <w:rPr>
                <w:rFonts w:ascii="宋体" w:hAnsi="宋体" w:cs="宋体"/>
                <w:sz w:val="21"/>
                <w:szCs w:val="24"/>
                <w:highlight w:val="none"/>
              </w:rPr>
            </w:pPr>
          </w:p>
        </w:tc>
      </w:tr>
      <w:tr w14:paraId="5194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6F4566">
            <w:pPr>
              <w:tabs>
                <w:tab w:val="left" w:pos="6300"/>
              </w:tabs>
              <w:snapToGrid w:val="0"/>
              <w:spacing w:line="360" w:lineRule="auto"/>
              <w:jc w:val="center"/>
              <w:outlineLvl w:val="0"/>
              <w:rPr>
                <w:rFonts w:ascii="宋体" w:hAnsi="宋体" w:cs="宋体"/>
                <w:sz w:val="21"/>
                <w:szCs w:val="24"/>
                <w:highlight w:val="none"/>
              </w:rPr>
            </w:pPr>
          </w:p>
        </w:tc>
        <w:tc>
          <w:tcPr>
            <w:tcW w:w="3179" w:type="dxa"/>
            <w:vAlign w:val="center"/>
          </w:tcPr>
          <w:p w14:paraId="1C83802D">
            <w:pPr>
              <w:tabs>
                <w:tab w:val="left" w:pos="6300"/>
              </w:tabs>
              <w:snapToGrid w:val="0"/>
              <w:spacing w:line="360" w:lineRule="auto"/>
              <w:jc w:val="center"/>
              <w:outlineLvl w:val="0"/>
              <w:rPr>
                <w:rFonts w:ascii="宋体" w:hAnsi="宋体" w:cs="宋体"/>
                <w:sz w:val="21"/>
                <w:szCs w:val="24"/>
                <w:highlight w:val="none"/>
              </w:rPr>
            </w:pPr>
          </w:p>
        </w:tc>
        <w:tc>
          <w:tcPr>
            <w:tcW w:w="2434" w:type="dxa"/>
            <w:vAlign w:val="center"/>
          </w:tcPr>
          <w:p w14:paraId="319802D9">
            <w:pPr>
              <w:tabs>
                <w:tab w:val="left" w:pos="6300"/>
              </w:tabs>
              <w:snapToGrid w:val="0"/>
              <w:spacing w:line="360" w:lineRule="auto"/>
              <w:jc w:val="center"/>
              <w:outlineLvl w:val="0"/>
              <w:rPr>
                <w:rFonts w:ascii="宋体" w:hAnsi="宋体" w:cs="宋体"/>
                <w:sz w:val="21"/>
                <w:szCs w:val="24"/>
                <w:highlight w:val="none"/>
              </w:rPr>
            </w:pPr>
          </w:p>
        </w:tc>
        <w:tc>
          <w:tcPr>
            <w:tcW w:w="2355" w:type="dxa"/>
            <w:vAlign w:val="center"/>
          </w:tcPr>
          <w:p w14:paraId="1CA441CC">
            <w:pPr>
              <w:tabs>
                <w:tab w:val="left" w:pos="6300"/>
              </w:tabs>
              <w:snapToGrid w:val="0"/>
              <w:spacing w:line="360" w:lineRule="auto"/>
              <w:jc w:val="center"/>
              <w:outlineLvl w:val="0"/>
              <w:rPr>
                <w:rFonts w:ascii="宋体" w:hAnsi="宋体" w:cs="宋体"/>
                <w:sz w:val="21"/>
                <w:szCs w:val="24"/>
                <w:highlight w:val="none"/>
              </w:rPr>
            </w:pPr>
          </w:p>
        </w:tc>
      </w:tr>
      <w:tr w14:paraId="06C2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13020E">
            <w:pPr>
              <w:tabs>
                <w:tab w:val="left" w:pos="6300"/>
              </w:tabs>
              <w:snapToGrid w:val="0"/>
              <w:spacing w:line="360" w:lineRule="auto"/>
              <w:jc w:val="center"/>
              <w:outlineLvl w:val="0"/>
              <w:rPr>
                <w:rFonts w:ascii="宋体" w:hAnsi="宋体" w:cs="宋体"/>
                <w:sz w:val="21"/>
                <w:szCs w:val="24"/>
                <w:highlight w:val="none"/>
              </w:rPr>
            </w:pPr>
          </w:p>
        </w:tc>
        <w:tc>
          <w:tcPr>
            <w:tcW w:w="3179" w:type="dxa"/>
            <w:vAlign w:val="center"/>
          </w:tcPr>
          <w:p w14:paraId="5D52E95A">
            <w:pPr>
              <w:tabs>
                <w:tab w:val="left" w:pos="6300"/>
              </w:tabs>
              <w:snapToGrid w:val="0"/>
              <w:spacing w:line="360" w:lineRule="auto"/>
              <w:jc w:val="center"/>
              <w:outlineLvl w:val="0"/>
              <w:rPr>
                <w:rFonts w:ascii="宋体" w:hAnsi="宋体" w:cs="宋体"/>
                <w:sz w:val="21"/>
                <w:szCs w:val="24"/>
                <w:highlight w:val="none"/>
              </w:rPr>
            </w:pPr>
          </w:p>
        </w:tc>
        <w:tc>
          <w:tcPr>
            <w:tcW w:w="2434" w:type="dxa"/>
            <w:vAlign w:val="center"/>
          </w:tcPr>
          <w:p w14:paraId="5980FC28">
            <w:pPr>
              <w:tabs>
                <w:tab w:val="left" w:pos="6300"/>
              </w:tabs>
              <w:snapToGrid w:val="0"/>
              <w:spacing w:line="360" w:lineRule="auto"/>
              <w:jc w:val="center"/>
              <w:outlineLvl w:val="0"/>
              <w:rPr>
                <w:rFonts w:ascii="宋体" w:hAnsi="宋体" w:cs="宋体"/>
                <w:sz w:val="21"/>
                <w:szCs w:val="24"/>
                <w:highlight w:val="none"/>
              </w:rPr>
            </w:pPr>
          </w:p>
        </w:tc>
        <w:tc>
          <w:tcPr>
            <w:tcW w:w="2355" w:type="dxa"/>
            <w:vAlign w:val="center"/>
          </w:tcPr>
          <w:p w14:paraId="4268D522">
            <w:pPr>
              <w:tabs>
                <w:tab w:val="left" w:pos="6300"/>
              </w:tabs>
              <w:snapToGrid w:val="0"/>
              <w:spacing w:line="360" w:lineRule="auto"/>
              <w:jc w:val="center"/>
              <w:outlineLvl w:val="0"/>
              <w:rPr>
                <w:rFonts w:ascii="宋体" w:hAnsi="宋体" w:cs="宋体"/>
                <w:sz w:val="21"/>
                <w:szCs w:val="24"/>
                <w:highlight w:val="none"/>
              </w:rPr>
            </w:pPr>
          </w:p>
        </w:tc>
      </w:tr>
      <w:tr w14:paraId="1C01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1D2376">
            <w:pPr>
              <w:tabs>
                <w:tab w:val="left" w:pos="6300"/>
              </w:tabs>
              <w:snapToGrid w:val="0"/>
              <w:spacing w:line="360" w:lineRule="auto"/>
              <w:jc w:val="center"/>
              <w:outlineLvl w:val="0"/>
              <w:rPr>
                <w:rFonts w:ascii="宋体" w:hAnsi="宋体" w:cs="宋体"/>
                <w:sz w:val="21"/>
                <w:szCs w:val="24"/>
                <w:highlight w:val="none"/>
              </w:rPr>
            </w:pPr>
          </w:p>
        </w:tc>
        <w:tc>
          <w:tcPr>
            <w:tcW w:w="3179" w:type="dxa"/>
            <w:vAlign w:val="center"/>
          </w:tcPr>
          <w:p w14:paraId="3A16D66F">
            <w:pPr>
              <w:tabs>
                <w:tab w:val="left" w:pos="6300"/>
              </w:tabs>
              <w:snapToGrid w:val="0"/>
              <w:spacing w:line="360" w:lineRule="auto"/>
              <w:jc w:val="center"/>
              <w:outlineLvl w:val="0"/>
              <w:rPr>
                <w:rFonts w:ascii="宋体" w:hAnsi="宋体" w:cs="宋体"/>
                <w:sz w:val="21"/>
                <w:szCs w:val="24"/>
                <w:highlight w:val="none"/>
              </w:rPr>
            </w:pPr>
          </w:p>
        </w:tc>
        <w:tc>
          <w:tcPr>
            <w:tcW w:w="2434" w:type="dxa"/>
            <w:vAlign w:val="center"/>
          </w:tcPr>
          <w:p w14:paraId="548A8362">
            <w:pPr>
              <w:tabs>
                <w:tab w:val="left" w:pos="6300"/>
              </w:tabs>
              <w:snapToGrid w:val="0"/>
              <w:spacing w:line="360" w:lineRule="auto"/>
              <w:jc w:val="center"/>
              <w:outlineLvl w:val="0"/>
              <w:rPr>
                <w:rFonts w:ascii="宋体" w:hAnsi="宋体" w:cs="宋体"/>
                <w:sz w:val="21"/>
                <w:szCs w:val="24"/>
                <w:highlight w:val="none"/>
              </w:rPr>
            </w:pPr>
          </w:p>
        </w:tc>
        <w:tc>
          <w:tcPr>
            <w:tcW w:w="2355" w:type="dxa"/>
            <w:vAlign w:val="center"/>
          </w:tcPr>
          <w:p w14:paraId="7A52A853">
            <w:pPr>
              <w:tabs>
                <w:tab w:val="left" w:pos="6300"/>
              </w:tabs>
              <w:snapToGrid w:val="0"/>
              <w:spacing w:line="360" w:lineRule="auto"/>
              <w:jc w:val="center"/>
              <w:outlineLvl w:val="0"/>
              <w:rPr>
                <w:rFonts w:ascii="宋体" w:hAnsi="宋体" w:cs="宋体"/>
                <w:sz w:val="21"/>
                <w:szCs w:val="24"/>
                <w:highlight w:val="none"/>
              </w:rPr>
            </w:pPr>
          </w:p>
        </w:tc>
      </w:tr>
      <w:tr w14:paraId="3910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245BDF">
            <w:pPr>
              <w:tabs>
                <w:tab w:val="left" w:pos="6300"/>
              </w:tabs>
              <w:snapToGrid w:val="0"/>
              <w:spacing w:line="360" w:lineRule="auto"/>
              <w:jc w:val="center"/>
              <w:outlineLvl w:val="0"/>
              <w:rPr>
                <w:rFonts w:ascii="宋体" w:hAnsi="宋体" w:cs="宋体"/>
                <w:sz w:val="21"/>
                <w:szCs w:val="24"/>
                <w:highlight w:val="none"/>
              </w:rPr>
            </w:pPr>
          </w:p>
        </w:tc>
        <w:tc>
          <w:tcPr>
            <w:tcW w:w="3179" w:type="dxa"/>
            <w:vAlign w:val="center"/>
          </w:tcPr>
          <w:p w14:paraId="1DA90850">
            <w:pPr>
              <w:tabs>
                <w:tab w:val="left" w:pos="6300"/>
              </w:tabs>
              <w:snapToGrid w:val="0"/>
              <w:spacing w:line="360" w:lineRule="auto"/>
              <w:jc w:val="center"/>
              <w:outlineLvl w:val="0"/>
              <w:rPr>
                <w:rFonts w:ascii="宋体" w:hAnsi="宋体" w:cs="宋体"/>
                <w:sz w:val="21"/>
                <w:szCs w:val="24"/>
                <w:highlight w:val="none"/>
              </w:rPr>
            </w:pPr>
          </w:p>
        </w:tc>
        <w:tc>
          <w:tcPr>
            <w:tcW w:w="2434" w:type="dxa"/>
            <w:vAlign w:val="center"/>
          </w:tcPr>
          <w:p w14:paraId="6C8E1273">
            <w:pPr>
              <w:tabs>
                <w:tab w:val="left" w:pos="6300"/>
              </w:tabs>
              <w:snapToGrid w:val="0"/>
              <w:spacing w:line="360" w:lineRule="auto"/>
              <w:jc w:val="center"/>
              <w:outlineLvl w:val="0"/>
              <w:rPr>
                <w:rFonts w:ascii="宋体" w:hAnsi="宋体" w:cs="宋体"/>
                <w:sz w:val="21"/>
                <w:szCs w:val="24"/>
                <w:highlight w:val="none"/>
              </w:rPr>
            </w:pPr>
          </w:p>
        </w:tc>
        <w:tc>
          <w:tcPr>
            <w:tcW w:w="2355" w:type="dxa"/>
            <w:vAlign w:val="center"/>
          </w:tcPr>
          <w:p w14:paraId="61ADD637">
            <w:pPr>
              <w:tabs>
                <w:tab w:val="left" w:pos="6300"/>
              </w:tabs>
              <w:snapToGrid w:val="0"/>
              <w:spacing w:line="360" w:lineRule="auto"/>
              <w:jc w:val="center"/>
              <w:outlineLvl w:val="0"/>
              <w:rPr>
                <w:rFonts w:ascii="宋体" w:hAnsi="宋体" w:cs="宋体"/>
                <w:sz w:val="21"/>
                <w:szCs w:val="24"/>
                <w:highlight w:val="none"/>
              </w:rPr>
            </w:pPr>
          </w:p>
        </w:tc>
      </w:tr>
    </w:tbl>
    <w:p w14:paraId="72FCB924">
      <w:pPr>
        <w:snapToGrid w:val="0"/>
        <w:spacing w:line="360" w:lineRule="auto"/>
        <w:ind w:firstLine="465"/>
        <w:rPr>
          <w:rFonts w:ascii="宋体" w:hAnsi="宋体" w:cs="宋体"/>
          <w:sz w:val="24"/>
          <w:szCs w:val="24"/>
          <w:highlight w:val="none"/>
        </w:rPr>
      </w:pPr>
    </w:p>
    <w:p w14:paraId="6A81AA9E">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p>
    <w:p w14:paraId="6FBF7F2F">
      <w:pPr>
        <w:spacing w:line="500" w:lineRule="exact"/>
        <w:rPr>
          <w:rFonts w:ascii="宋体" w:hAnsi="宋体" w:cs="宋体"/>
          <w:sz w:val="24"/>
          <w:szCs w:val="28"/>
          <w:highlight w:val="none"/>
        </w:rPr>
      </w:pPr>
      <w:r>
        <w:rPr>
          <w:rFonts w:hint="eastAsia" w:ascii="宋体" w:hAnsi="宋体" w:cs="宋体"/>
          <w:sz w:val="24"/>
          <w:szCs w:val="28"/>
          <w:highlight w:val="none"/>
        </w:rPr>
        <w:t xml:space="preserve">    </w:t>
      </w:r>
    </w:p>
    <w:p w14:paraId="0CE37646">
      <w:pPr>
        <w:spacing w:line="500" w:lineRule="exact"/>
        <w:ind w:firstLine="360" w:firstLineChars="150"/>
        <w:rPr>
          <w:rFonts w:ascii="宋体" w:hAnsi="宋体" w:cs="宋体"/>
          <w:sz w:val="24"/>
          <w:szCs w:val="28"/>
          <w:highlight w:val="none"/>
        </w:rPr>
      </w:pPr>
      <w:r>
        <w:rPr>
          <w:rFonts w:hint="eastAsia" w:ascii="宋体" w:hAnsi="宋体" w:cs="宋体"/>
          <w:sz w:val="24"/>
          <w:szCs w:val="28"/>
          <w:highlight w:val="none"/>
        </w:rPr>
        <w:t>（供应商公章）                                 （签署或盖章）</w:t>
      </w:r>
    </w:p>
    <w:p w14:paraId="500B04A8">
      <w:pPr>
        <w:tabs>
          <w:tab w:val="left" w:pos="6300"/>
        </w:tabs>
        <w:snapToGrid w:val="0"/>
        <w:spacing w:line="500" w:lineRule="exact"/>
        <w:ind w:firstLine="570"/>
        <w:rPr>
          <w:rFonts w:ascii="宋体" w:hAnsi="宋体" w:cs="宋体"/>
          <w:sz w:val="24"/>
          <w:highlight w:val="none"/>
        </w:rPr>
      </w:pPr>
      <w:r>
        <w:rPr>
          <w:rFonts w:hint="eastAsia" w:ascii="宋体" w:hAnsi="宋体" w:cs="宋体"/>
          <w:sz w:val="24"/>
          <w:szCs w:val="28"/>
          <w:highlight w:val="none"/>
        </w:rPr>
        <w:t xml:space="preserve">                                            年     月     日</w:t>
      </w:r>
    </w:p>
    <w:p w14:paraId="78B18B8B">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14:paraId="718A7DDA">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本表即为对本项目“第三篇  项目商务需求”中所列条款进行比较和响应；</w:t>
      </w:r>
    </w:p>
    <w:p w14:paraId="4894D1D0">
      <w:pPr>
        <w:snapToGrid w:val="0"/>
        <w:spacing w:line="400" w:lineRule="exact"/>
        <w:ind w:firstLine="480" w:firstLineChars="200"/>
        <w:rPr>
          <w:rFonts w:ascii="宋体" w:hAnsi="宋体" w:cs="宋体"/>
          <w:b/>
          <w:highlight w:val="none"/>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highlight w:val="none"/>
        </w:rPr>
        <w:t>2.本表可扩展。</w:t>
      </w:r>
    </w:p>
    <w:p w14:paraId="68B3F819">
      <w:pPr>
        <w:snapToGrid w:val="0"/>
        <w:spacing w:line="400" w:lineRule="exact"/>
        <w:ind w:firstLine="480" w:firstLineChars="200"/>
        <w:rPr>
          <w:rFonts w:ascii="宋体" w:hAnsi="宋体" w:cs="宋体"/>
          <w:sz w:val="24"/>
          <w:szCs w:val="24"/>
          <w:highlight w:val="none"/>
        </w:rPr>
      </w:pPr>
      <w:bookmarkStart w:id="1053" w:name="_Toc283382459"/>
      <w:r>
        <w:rPr>
          <w:rFonts w:hint="eastAsia" w:ascii="宋体" w:hAnsi="宋体" w:cs="宋体"/>
          <w:sz w:val="24"/>
          <w:szCs w:val="24"/>
          <w:highlight w:val="none"/>
        </w:rPr>
        <w:t>（二）其它商务要求</w:t>
      </w:r>
    </w:p>
    <w:p w14:paraId="2DF2FC88">
      <w:pPr>
        <w:snapToGrid w:val="0"/>
        <w:spacing w:line="400" w:lineRule="exact"/>
        <w:ind w:firstLine="480" w:firstLineChars="200"/>
        <w:rPr>
          <w:rFonts w:ascii="宋体" w:hAnsi="宋体" w:cs="宋体"/>
          <w:sz w:val="24"/>
          <w:szCs w:val="24"/>
          <w:highlight w:val="none"/>
        </w:rPr>
      </w:pPr>
    </w:p>
    <w:p w14:paraId="108588C8">
      <w:pPr>
        <w:pStyle w:val="4"/>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szCs w:val="24"/>
          <w:highlight w:val="none"/>
        </w:rPr>
        <w:br w:type="page"/>
      </w:r>
      <w:bookmarkEnd w:id="1053"/>
      <w:bookmarkStart w:id="1054" w:name="_Toc313008359"/>
      <w:bookmarkStart w:id="1055" w:name="_Toc76462353"/>
      <w:bookmarkStart w:id="1056" w:name="_Toc313888363"/>
      <w:bookmarkStart w:id="1057" w:name="_Toc342913422"/>
      <w:bookmarkStart w:id="1058" w:name="_Toc26348"/>
      <w:r>
        <w:rPr>
          <w:rFonts w:hint="eastAsia" w:ascii="宋体" w:hAnsi="宋体" w:eastAsia="宋体" w:cs="宋体"/>
          <w:sz w:val="24"/>
          <w:highlight w:val="none"/>
        </w:rPr>
        <w:t>四、资格条件</w:t>
      </w:r>
      <w:bookmarkEnd w:id="1054"/>
      <w:bookmarkEnd w:id="1055"/>
      <w:bookmarkEnd w:id="1056"/>
      <w:bookmarkEnd w:id="1057"/>
      <w:bookmarkEnd w:id="1058"/>
    </w:p>
    <w:p w14:paraId="20FAC7FD">
      <w:pPr>
        <w:tabs>
          <w:tab w:val="left" w:pos="6300"/>
        </w:tabs>
        <w:snapToGrid w:val="0"/>
        <w:spacing w:line="400" w:lineRule="exact"/>
        <w:ind w:firstLine="57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12109A29">
      <w:pPr>
        <w:tabs>
          <w:tab w:val="left" w:pos="6300"/>
        </w:tabs>
        <w:snapToGrid w:val="0"/>
        <w:spacing w:line="400" w:lineRule="exact"/>
        <w:ind w:firstLine="570"/>
        <w:rPr>
          <w:rFonts w:ascii="宋体" w:hAnsi="宋体" w:cs="宋体"/>
          <w:highlight w:val="none"/>
        </w:rPr>
      </w:pPr>
    </w:p>
    <w:p w14:paraId="20377CDE">
      <w:pPr>
        <w:tabs>
          <w:tab w:val="left" w:pos="6300"/>
        </w:tabs>
        <w:snapToGrid w:val="0"/>
        <w:spacing w:line="500" w:lineRule="exact"/>
        <w:ind w:firstLine="570"/>
        <w:rPr>
          <w:rFonts w:ascii="宋体" w:hAnsi="宋体" w:cs="宋体"/>
          <w:highlight w:val="none"/>
        </w:rPr>
      </w:pPr>
    </w:p>
    <w:p w14:paraId="1512D7F7">
      <w:pPr>
        <w:tabs>
          <w:tab w:val="left" w:pos="6300"/>
        </w:tabs>
        <w:snapToGrid w:val="0"/>
        <w:spacing w:line="500" w:lineRule="exact"/>
        <w:ind w:firstLine="570"/>
        <w:rPr>
          <w:rFonts w:ascii="宋体" w:hAnsi="宋体" w:cs="宋体"/>
          <w:highlight w:val="none"/>
        </w:rPr>
      </w:pPr>
    </w:p>
    <w:p w14:paraId="058001F3">
      <w:pPr>
        <w:tabs>
          <w:tab w:val="left" w:pos="6300"/>
        </w:tabs>
        <w:snapToGrid w:val="0"/>
        <w:spacing w:line="500" w:lineRule="exact"/>
        <w:ind w:firstLine="570"/>
        <w:rPr>
          <w:rFonts w:ascii="宋体" w:hAnsi="宋体" w:cs="宋体"/>
          <w:highlight w:val="none"/>
        </w:rPr>
      </w:pPr>
    </w:p>
    <w:p w14:paraId="78312866">
      <w:pPr>
        <w:tabs>
          <w:tab w:val="left" w:pos="6300"/>
        </w:tabs>
        <w:snapToGrid w:val="0"/>
        <w:spacing w:line="500" w:lineRule="exact"/>
        <w:ind w:firstLine="570"/>
        <w:rPr>
          <w:rFonts w:ascii="宋体" w:hAnsi="宋体" w:cs="宋体"/>
          <w:highlight w:val="none"/>
        </w:rPr>
      </w:pPr>
    </w:p>
    <w:p w14:paraId="295A1550">
      <w:pPr>
        <w:snapToGrid w:val="0"/>
        <w:spacing w:line="400" w:lineRule="exact"/>
        <w:ind w:firstLine="560" w:firstLineChars="200"/>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（二）法定代表人身份证明书（格式）</w:t>
      </w:r>
    </w:p>
    <w:p w14:paraId="2E06F8B1">
      <w:pPr>
        <w:tabs>
          <w:tab w:val="left" w:pos="6300"/>
        </w:tabs>
        <w:snapToGrid w:val="0"/>
        <w:spacing w:line="500" w:lineRule="exact"/>
        <w:ind w:firstLine="570"/>
        <w:rPr>
          <w:rFonts w:ascii="宋体" w:hAnsi="宋体" w:cs="宋体"/>
          <w:sz w:val="24"/>
          <w:highlight w:val="none"/>
        </w:rPr>
      </w:pPr>
    </w:p>
    <w:p w14:paraId="647660BC">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磋商项目名称：                                                </w:t>
      </w:r>
    </w:p>
    <w:p w14:paraId="762B9886">
      <w:pPr>
        <w:tabs>
          <w:tab w:val="left" w:pos="6300"/>
        </w:tabs>
        <w:snapToGrid w:val="0"/>
        <w:spacing w:line="500" w:lineRule="exact"/>
        <w:ind w:firstLine="570"/>
        <w:rPr>
          <w:rFonts w:ascii="宋体" w:hAnsi="宋体" w:cs="宋体"/>
          <w:sz w:val="24"/>
          <w:highlight w:val="none"/>
        </w:rPr>
      </w:pPr>
    </w:p>
    <w:p w14:paraId="1B135E16">
      <w:pPr>
        <w:tabs>
          <w:tab w:val="left" w:pos="6300"/>
        </w:tabs>
        <w:snapToGrid w:val="0"/>
        <w:spacing w:line="500" w:lineRule="exact"/>
        <w:rPr>
          <w:rFonts w:ascii="宋体" w:hAnsi="宋体" w:cs="宋体"/>
          <w:sz w:val="24"/>
          <w:highlight w:val="none"/>
        </w:rPr>
      </w:pPr>
      <w:r>
        <w:rPr>
          <w:rFonts w:hint="eastAsia" w:ascii="宋体" w:hAnsi="宋体" w:cs="宋体"/>
          <w:sz w:val="24"/>
          <w:highlight w:val="none"/>
        </w:rPr>
        <w:t>致：                     （采购代理机构名称）：</w:t>
      </w:r>
    </w:p>
    <w:p w14:paraId="459F833E">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（法定代表人姓名）在                       （供应商名称）任    （职务名称）职务，是（供应商名称）              的法定代表人。</w:t>
      </w:r>
    </w:p>
    <w:p w14:paraId="227A28BD">
      <w:pPr>
        <w:tabs>
          <w:tab w:val="left" w:pos="6300"/>
        </w:tabs>
        <w:snapToGrid w:val="0"/>
        <w:spacing w:line="500" w:lineRule="exact"/>
        <w:ind w:firstLine="570"/>
        <w:rPr>
          <w:rFonts w:ascii="宋体" w:hAnsi="宋体" w:cs="宋体"/>
          <w:sz w:val="24"/>
          <w:highlight w:val="none"/>
        </w:rPr>
      </w:pPr>
    </w:p>
    <w:p w14:paraId="64F89057">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特此证明。</w:t>
      </w:r>
    </w:p>
    <w:p w14:paraId="68707134">
      <w:pPr>
        <w:tabs>
          <w:tab w:val="left" w:pos="6300"/>
        </w:tabs>
        <w:snapToGrid w:val="0"/>
        <w:spacing w:line="500" w:lineRule="exact"/>
        <w:ind w:firstLine="570"/>
        <w:rPr>
          <w:rFonts w:ascii="宋体" w:hAnsi="宋体" w:cs="宋体"/>
          <w:sz w:val="24"/>
          <w:highlight w:val="none"/>
        </w:rPr>
      </w:pPr>
    </w:p>
    <w:p w14:paraId="5C791D8C">
      <w:pPr>
        <w:tabs>
          <w:tab w:val="left" w:pos="6300"/>
        </w:tabs>
        <w:snapToGrid w:val="0"/>
        <w:spacing w:line="500" w:lineRule="exact"/>
        <w:ind w:firstLine="570"/>
        <w:rPr>
          <w:rFonts w:ascii="宋体" w:hAnsi="宋体" w:cs="宋体"/>
          <w:sz w:val="24"/>
          <w:highlight w:val="none"/>
        </w:rPr>
      </w:pPr>
    </w:p>
    <w:p w14:paraId="137E4865">
      <w:pPr>
        <w:tabs>
          <w:tab w:val="left" w:pos="6300"/>
        </w:tabs>
        <w:snapToGrid w:val="0"/>
        <w:spacing w:line="500" w:lineRule="exact"/>
        <w:ind w:firstLine="570"/>
        <w:rPr>
          <w:rFonts w:ascii="宋体" w:hAnsi="宋体" w:cs="宋体"/>
          <w:sz w:val="24"/>
          <w:highlight w:val="none"/>
        </w:rPr>
      </w:pPr>
    </w:p>
    <w:p w14:paraId="04FF6FA4">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（供应商公章）</w:t>
      </w:r>
    </w:p>
    <w:p w14:paraId="65E6D999">
      <w:pPr>
        <w:tabs>
          <w:tab w:val="left" w:pos="6300"/>
        </w:tabs>
        <w:snapToGrid w:val="0"/>
        <w:spacing w:line="500" w:lineRule="exact"/>
        <w:ind w:firstLine="570"/>
        <w:rPr>
          <w:rFonts w:ascii="宋体" w:hAnsi="宋体" w:cs="宋体"/>
          <w:sz w:val="24"/>
          <w:highlight w:val="none"/>
        </w:rPr>
      </w:pPr>
    </w:p>
    <w:p w14:paraId="1EABFEDA">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年   月   日</w:t>
      </w:r>
    </w:p>
    <w:p w14:paraId="5F650698">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法定代表人电话：XXXXXXX      电子邮箱：XXXXXX@XXXXX（若授权他人办理并签署响应文件的可不填写）</w:t>
      </w:r>
    </w:p>
    <w:p w14:paraId="238D6BDD">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（附：法定代表人身份证正反面复印件）</w:t>
      </w:r>
    </w:p>
    <w:p w14:paraId="0B690D64">
      <w:pPr>
        <w:tabs>
          <w:tab w:val="left" w:pos="6300"/>
        </w:tabs>
        <w:snapToGrid w:val="0"/>
        <w:spacing w:line="500" w:lineRule="exact"/>
        <w:ind w:firstLine="570"/>
        <w:rPr>
          <w:rFonts w:ascii="宋体" w:hAnsi="宋体" w:cs="宋体"/>
          <w:sz w:val="24"/>
          <w:highlight w:val="none"/>
        </w:rPr>
      </w:pPr>
    </w:p>
    <w:p w14:paraId="0E349F48">
      <w:pPr>
        <w:tabs>
          <w:tab w:val="left" w:pos="6300"/>
        </w:tabs>
        <w:snapToGrid w:val="0"/>
        <w:spacing w:line="500" w:lineRule="exact"/>
        <w:ind w:firstLine="570"/>
        <w:rPr>
          <w:rFonts w:ascii="宋体" w:hAnsi="宋体" w:cs="宋体"/>
          <w:sz w:val="24"/>
          <w:highlight w:val="none"/>
        </w:rPr>
      </w:pPr>
    </w:p>
    <w:p w14:paraId="0CF0E356">
      <w:pPr>
        <w:tabs>
          <w:tab w:val="left" w:pos="6300"/>
        </w:tabs>
        <w:snapToGrid w:val="0"/>
        <w:spacing w:line="500" w:lineRule="exact"/>
        <w:ind w:firstLine="570"/>
        <w:rPr>
          <w:rFonts w:ascii="宋体" w:hAnsi="宋体" w:cs="宋体"/>
          <w:sz w:val="24"/>
          <w:highlight w:val="none"/>
        </w:rPr>
      </w:pPr>
    </w:p>
    <w:p w14:paraId="4B072C4B">
      <w:pPr>
        <w:tabs>
          <w:tab w:val="left" w:pos="6300"/>
        </w:tabs>
        <w:snapToGrid w:val="0"/>
        <w:spacing w:line="500" w:lineRule="exact"/>
        <w:ind w:firstLine="570"/>
        <w:rPr>
          <w:rFonts w:ascii="宋体" w:hAnsi="宋体" w:cs="宋体"/>
          <w:sz w:val="24"/>
          <w:highlight w:val="none"/>
        </w:rPr>
      </w:pPr>
    </w:p>
    <w:p w14:paraId="24FC5F0A">
      <w:pPr>
        <w:tabs>
          <w:tab w:val="left" w:pos="6300"/>
        </w:tabs>
        <w:snapToGrid w:val="0"/>
        <w:spacing w:line="500" w:lineRule="exact"/>
        <w:ind w:firstLine="570"/>
        <w:rPr>
          <w:rFonts w:ascii="宋体" w:hAnsi="宋体" w:cs="宋体"/>
          <w:sz w:val="24"/>
          <w:highlight w:val="none"/>
        </w:rPr>
      </w:pPr>
    </w:p>
    <w:p w14:paraId="0D1751A2">
      <w:pPr>
        <w:tabs>
          <w:tab w:val="left" w:pos="6300"/>
        </w:tabs>
        <w:snapToGrid w:val="0"/>
        <w:spacing w:line="500" w:lineRule="exact"/>
        <w:ind w:firstLine="570"/>
        <w:rPr>
          <w:rFonts w:ascii="宋体" w:hAnsi="宋体" w:cs="宋体"/>
          <w:sz w:val="24"/>
          <w:highlight w:val="none"/>
        </w:rPr>
      </w:pPr>
    </w:p>
    <w:p w14:paraId="1A97A714">
      <w:pPr>
        <w:snapToGrid w:val="0"/>
        <w:spacing w:line="400" w:lineRule="exact"/>
        <w:ind w:firstLine="560" w:firstLineChars="200"/>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（三）法定代表人授权委托书（格式）</w:t>
      </w:r>
    </w:p>
    <w:p w14:paraId="7349434E">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w:t>
      </w:r>
    </w:p>
    <w:p w14:paraId="219677ED">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szCs w:val="28"/>
          <w:highlight w:val="none"/>
        </w:rPr>
        <w:t>磋商项目名称</w:t>
      </w:r>
      <w:r>
        <w:rPr>
          <w:rFonts w:hint="eastAsia" w:ascii="宋体" w:hAnsi="宋体" w:cs="宋体"/>
          <w:sz w:val="24"/>
          <w:highlight w:val="none"/>
        </w:rPr>
        <w:t xml:space="preserve">：                                                </w:t>
      </w:r>
    </w:p>
    <w:p w14:paraId="4EC16A89">
      <w:pPr>
        <w:tabs>
          <w:tab w:val="left" w:pos="6300"/>
        </w:tabs>
        <w:snapToGrid w:val="0"/>
        <w:spacing w:line="500" w:lineRule="exact"/>
        <w:ind w:firstLine="570"/>
        <w:rPr>
          <w:rFonts w:ascii="宋体" w:hAnsi="宋体" w:cs="宋体"/>
          <w:sz w:val="24"/>
          <w:highlight w:val="none"/>
        </w:rPr>
      </w:pPr>
    </w:p>
    <w:p w14:paraId="6F0C2249">
      <w:pPr>
        <w:tabs>
          <w:tab w:val="left" w:pos="6300"/>
        </w:tabs>
        <w:snapToGrid w:val="0"/>
        <w:spacing w:line="500" w:lineRule="exact"/>
        <w:rPr>
          <w:rFonts w:ascii="宋体" w:hAnsi="宋体" w:cs="宋体"/>
          <w:sz w:val="24"/>
          <w:highlight w:val="none"/>
        </w:rPr>
      </w:pPr>
      <w:r>
        <w:rPr>
          <w:rFonts w:hint="eastAsia" w:ascii="宋体" w:hAnsi="宋体" w:cs="宋体"/>
          <w:sz w:val="24"/>
          <w:highlight w:val="none"/>
        </w:rPr>
        <w:t>致：                     （采购代理机构名称）：</w:t>
      </w:r>
    </w:p>
    <w:p w14:paraId="49D52B78">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（供应商法定代表人名称）是                    （供应商名称）的法定代表人，特授权          （被授权人姓名及身份证代码）代表我单位全权办理上述项目的磋商、签约等具体工作，并签署全部有关文件、协议及合同。</w:t>
      </w:r>
    </w:p>
    <w:p w14:paraId="757B365E">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我单位对被授权人的</w:t>
      </w:r>
      <w:r>
        <w:rPr>
          <w:rFonts w:hint="eastAsia" w:ascii="宋体" w:hAnsi="宋体" w:cs="宋体"/>
          <w:sz w:val="24"/>
          <w:szCs w:val="28"/>
          <w:highlight w:val="none"/>
        </w:rPr>
        <w:t>签署</w:t>
      </w:r>
      <w:r>
        <w:rPr>
          <w:rFonts w:hint="eastAsia" w:ascii="宋体" w:hAnsi="宋体" w:cs="宋体"/>
          <w:sz w:val="24"/>
          <w:highlight w:val="none"/>
        </w:rPr>
        <w:t>负全部责任。</w:t>
      </w:r>
    </w:p>
    <w:p w14:paraId="7A953E53">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在撤销授权的书面通知以前，本授权书一直有效。被授权人在授权书有效期内签署的所有文件不因授权的撤销而失效。</w:t>
      </w:r>
    </w:p>
    <w:p w14:paraId="618A3E05">
      <w:pPr>
        <w:tabs>
          <w:tab w:val="left" w:pos="6300"/>
        </w:tabs>
        <w:snapToGrid w:val="0"/>
        <w:spacing w:line="500" w:lineRule="exact"/>
        <w:ind w:firstLine="570"/>
        <w:rPr>
          <w:rFonts w:ascii="宋体" w:hAnsi="宋体" w:cs="宋体"/>
          <w:sz w:val="24"/>
          <w:highlight w:val="none"/>
        </w:rPr>
      </w:pPr>
    </w:p>
    <w:p w14:paraId="4067F89B">
      <w:pPr>
        <w:tabs>
          <w:tab w:val="left" w:pos="6300"/>
        </w:tabs>
        <w:snapToGrid w:val="0"/>
        <w:spacing w:line="500" w:lineRule="exact"/>
        <w:ind w:firstLine="570"/>
        <w:rPr>
          <w:rFonts w:ascii="宋体" w:hAnsi="宋体" w:cs="宋体"/>
          <w:sz w:val="24"/>
          <w:highlight w:val="none"/>
        </w:rPr>
      </w:pPr>
    </w:p>
    <w:p w14:paraId="427F17A2">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被授权人：                                 供应商法定代表人：</w:t>
      </w:r>
    </w:p>
    <w:p w14:paraId="49029E84">
      <w:pPr>
        <w:tabs>
          <w:tab w:val="left" w:pos="6300"/>
        </w:tabs>
        <w:snapToGrid w:val="0"/>
        <w:spacing w:line="500" w:lineRule="exact"/>
        <w:ind w:firstLine="570"/>
        <w:rPr>
          <w:rFonts w:ascii="宋体" w:hAnsi="宋体" w:cs="宋体"/>
          <w:sz w:val="24"/>
          <w:szCs w:val="28"/>
          <w:highlight w:val="none"/>
        </w:rPr>
      </w:pPr>
      <w:r>
        <w:rPr>
          <w:rFonts w:hint="eastAsia" w:ascii="宋体" w:hAnsi="宋体" w:cs="宋体"/>
          <w:sz w:val="24"/>
          <w:szCs w:val="28"/>
          <w:highlight w:val="none"/>
        </w:rPr>
        <w:t>（签署或盖章）                                （签署或盖章）</w:t>
      </w:r>
    </w:p>
    <w:p w14:paraId="32C32D11">
      <w:pPr>
        <w:tabs>
          <w:tab w:val="left" w:pos="6300"/>
        </w:tabs>
        <w:snapToGrid w:val="0"/>
        <w:spacing w:line="500" w:lineRule="exact"/>
        <w:ind w:firstLine="570"/>
        <w:rPr>
          <w:rFonts w:ascii="宋体" w:hAnsi="宋体" w:cs="宋体"/>
          <w:sz w:val="24"/>
          <w:szCs w:val="28"/>
          <w:highlight w:val="none"/>
        </w:rPr>
      </w:pPr>
    </w:p>
    <w:p w14:paraId="09BDA638">
      <w:pPr>
        <w:tabs>
          <w:tab w:val="left" w:pos="6300"/>
        </w:tabs>
        <w:snapToGrid w:val="0"/>
        <w:spacing w:line="500" w:lineRule="exact"/>
        <w:ind w:firstLine="570"/>
        <w:rPr>
          <w:rFonts w:ascii="宋体" w:hAnsi="宋体" w:cs="宋体"/>
          <w:sz w:val="24"/>
          <w:highlight w:val="none"/>
        </w:rPr>
      </w:pPr>
    </w:p>
    <w:p w14:paraId="2A9EF6B8">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（附：被授权人身份证正反面复印件）</w:t>
      </w:r>
    </w:p>
    <w:p w14:paraId="4BC5E7D5">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w:t>
      </w:r>
    </w:p>
    <w:p w14:paraId="5624FC21">
      <w:pPr>
        <w:tabs>
          <w:tab w:val="left" w:pos="6300"/>
        </w:tabs>
        <w:snapToGrid w:val="0"/>
        <w:spacing w:line="500" w:lineRule="exact"/>
        <w:ind w:firstLine="570"/>
        <w:rPr>
          <w:rFonts w:ascii="宋体" w:hAnsi="宋体" w:cs="宋体"/>
          <w:sz w:val="24"/>
          <w:highlight w:val="none"/>
        </w:rPr>
      </w:pPr>
    </w:p>
    <w:p w14:paraId="351BE52D">
      <w:pPr>
        <w:tabs>
          <w:tab w:val="left" w:pos="6300"/>
        </w:tabs>
        <w:snapToGrid w:val="0"/>
        <w:spacing w:line="500" w:lineRule="exact"/>
        <w:ind w:firstLine="570"/>
        <w:rPr>
          <w:rFonts w:ascii="宋体" w:hAnsi="宋体" w:cs="宋体"/>
          <w:sz w:val="24"/>
          <w:highlight w:val="none"/>
        </w:rPr>
      </w:pPr>
    </w:p>
    <w:p w14:paraId="15D1C3EC">
      <w:pPr>
        <w:tabs>
          <w:tab w:val="left" w:pos="6300"/>
        </w:tabs>
        <w:snapToGrid w:val="0"/>
        <w:spacing w:line="500" w:lineRule="exact"/>
        <w:ind w:right="480" w:firstLine="570"/>
        <w:jc w:val="right"/>
        <w:rPr>
          <w:rFonts w:ascii="宋体" w:hAnsi="宋体" w:cs="宋体"/>
          <w:sz w:val="24"/>
          <w:highlight w:val="none"/>
        </w:rPr>
      </w:pPr>
      <w:r>
        <w:rPr>
          <w:rFonts w:hint="eastAsia" w:ascii="宋体" w:hAnsi="宋体" w:cs="宋体"/>
          <w:sz w:val="24"/>
          <w:highlight w:val="none"/>
        </w:rPr>
        <w:t>（供应商公章）</w:t>
      </w:r>
    </w:p>
    <w:p w14:paraId="3D3E5991">
      <w:pPr>
        <w:tabs>
          <w:tab w:val="left" w:pos="6300"/>
        </w:tabs>
        <w:snapToGrid w:val="0"/>
        <w:spacing w:line="500" w:lineRule="exact"/>
        <w:ind w:right="480" w:firstLine="570"/>
        <w:jc w:val="right"/>
        <w:rPr>
          <w:rFonts w:ascii="宋体" w:hAnsi="宋体" w:cs="宋体"/>
          <w:sz w:val="24"/>
          <w:highlight w:val="none"/>
        </w:rPr>
      </w:pPr>
      <w:r>
        <w:rPr>
          <w:rFonts w:hint="eastAsia" w:ascii="宋体" w:hAnsi="宋体" w:cs="宋体"/>
          <w:sz w:val="24"/>
          <w:highlight w:val="none"/>
        </w:rPr>
        <w:t>年   月   日</w:t>
      </w:r>
    </w:p>
    <w:p w14:paraId="5373BC3B">
      <w:pPr>
        <w:tabs>
          <w:tab w:val="left" w:pos="6300"/>
        </w:tabs>
        <w:snapToGrid w:val="0"/>
        <w:spacing w:line="500" w:lineRule="exact"/>
        <w:ind w:right="480" w:firstLine="570"/>
        <w:jc w:val="left"/>
        <w:rPr>
          <w:rFonts w:ascii="宋体" w:hAnsi="宋体" w:cs="宋体"/>
          <w:sz w:val="24"/>
          <w:highlight w:val="none"/>
        </w:rPr>
      </w:pPr>
      <w:r>
        <w:rPr>
          <w:rFonts w:hint="eastAsia" w:ascii="宋体" w:hAnsi="宋体" w:cs="宋体"/>
          <w:sz w:val="24"/>
          <w:highlight w:val="none"/>
        </w:rPr>
        <w:t>被授权人电话：XXXXXXX     电子邮箱：XXXXXX@XXXXX（若法定代表人办理并签署响应文件的可不填写）</w:t>
      </w:r>
    </w:p>
    <w:p w14:paraId="23BA4E09">
      <w:pPr>
        <w:tabs>
          <w:tab w:val="left" w:pos="6300"/>
        </w:tabs>
        <w:snapToGrid w:val="0"/>
        <w:spacing w:line="500" w:lineRule="exact"/>
        <w:ind w:right="480" w:firstLine="570"/>
        <w:jc w:val="left"/>
        <w:rPr>
          <w:rFonts w:ascii="宋体" w:hAnsi="宋体" w:cs="宋体"/>
          <w:sz w:val="24"/>
          <w:highlight w:val="none"/>
        </w:rPr>
      </w:pPr>
      <w:r>
        <w:rPr>
          <w:rFonts w:hint="eastAsia" w:ascii="宋体" w:hAnsi="宋体" w:cs="宋体"/>
          <w:sz w:val="24"/>
          <w:highlight w:val="none"/>
        </w:rPr>
        <w:t>注：</w:t>
      </w:r>
    </w:p>
    <w:p w14:paraId="7122ECD1">
      <w:pPr>
        <w:tabs>
          <w:tab w:val="left" w:pos="6300"/>
        </w:tabs>
        <w:snapToGrid w:val="0"/>
        <w:spacing w:line="500" w:lineRule="exact"/>
        <w:ind w:right="480" w:firstLine="570"/>
        <w:jc w:val="left"/>
        <w:rPr>
          <w:rFonts w:ascii="宋体" w:hAnsi="宋体" w:cs="宋体"/>
          <w:sz w:val="24"/>
          <w:highlight w:val="none"/>
        </w:rPr>
      </w:pPr>
      <w:r>
        <w:rPr>
          <w:rFonts w:hint="eastAsia" w:ascii="宋体" w:hAnsi="宋体" w:cs="宋体"/>
          <w:sz w:val="24"/>
          <w:highlight w:val="none"/>
        </w:rPr>
        <w:t>1.若为法定代表人办理并签署响应文件的，不提供此文件。</w:t>
      </w:r>
    </w:p>
    <w:p w14:paraId="0963B889">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2.若为联合体参与的，法定代表人授权委托书由联合体主办方</w:t>
      </w:r>
      <w:r>
        <w:rPr>
          <w:rFonts w:hint="eastAsia" w:ascii="宋体" w:hAnsi="宋体" w:cs="宋体"/>
          <w:kern w:val="0"/>
          <w:sz w:val="24"/>
          <w:szCs w:val="24"/>
          <w:highlight w:val="none"/>
        </w:rPr>
        <w:t>（主体）</w:t>
      </w:r>
      <w:r>
        <w:rPr>
          <w:rFonts w:hint="eastAsia" w:ascii="宋体" w:hAnsi="宋体" w:cs="宋体"/>
          <w:sz w:val="24"/>
          <w:highlight w:val="none"/>
        </w:rPr>
        <w:t>出具。</w:t>
      </w:r>
    </w:p>
    <w:p w14:paraId="78D8C392">
      <w:pPr>
        <w:tabs>
          <w:tab w:val="left" w:pos="6300"/>
        </w:tabs>
        <w:snapToGrid w:val="0"/>
        <w:spacing w:line="500" w:lineRule="exact"/>
        <w:ind w:firstLine="570"/>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（四）</w:t>
      </w:r>
      <w:r>
        <w:rPr>
          <w:rFonts w:hint="eastAsia" w:ascii="宋体" w:hAnsi="宋体" w:cs="宋体"/>
          <w:sz w:val="24"/>
          <w:szCs w:val="28"/>
          <w:highlight w:val="none"/>
        </w:rPr>
        <w:t>基本资格条件承诺函</w:t>
      </w:r>
    </w:p>
    <w:p w14:paraId="51129082">
      <w:pPr>
        <w:tabs>
          <w:tab w:val="left" w:pos="6300"/>
        </w:tabs>
        <w:snapToGrid w:val="0"/>
        <w:spacing w:line="5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基本资格条件承诺函</w:t>
      </w:r>
    </w:p>
    <w:p w14:paraId="6D3C06A3">
      <w:pPr>
        <w:tabs>
          <w:tab w:val="left" w:pos="6300"/>
        </w:tabs>
        <w:snapToGrid w:val="0"/>
        <w:spacing w:line="530" w:lineRule="exact"/>
        <w:rPr>
          <w:rFonts w:ascii="宋体" w:hAnsi="宋体" w:cs="宋体"/>
          <w:sz w:val="24"/>
          <w:highlight w:val="none"/>
        </w:rPr>
      </w:pPr>
    </w:p>
    <w:p w14:paraId="68881B31">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致                   （采购代理机构名称）：</w:t>
      </w:r>
    </w:p>
    <w:p w14:paraId="0789AD97">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（供应商名称）郑重承诺：</w:t>
      </w:r>
    </w:p>
    <w:p w14:paraId="1DC1F0AF">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1.我方具有良好的商业信誉和健全的财务会计制度，具有履行合同所必需的设备和专业技术能力，具</w:t>
      </w:r>
      <w:r>
        <w:rPr>
          <w:rFonts w:hint="eastAsia" w:ascii="宋体" w:hAnsi="宋体" w:cs="宋体"/>
          <w:sz w:val="24"/>
          <w:highlight w:val="none"/>
          <w:lang w:val="zh-CN"/>
        </w:rPr>
        <w:t>有依法缴纳税收和社会保障金的良好记录</w:t>
      </w:r>
      <w:r>
        <w:rPr>
          <w:rFonts w:hint="eastAsia" w:ascii="宋体" w:hAnsi="宋体" w:cs="宋体"/>
          <w:sz w:val="24"/>
          <w:highlight w:val="none"/>
        </w:rPr>
        <w:t>，参加本项目采购活动前三年内无重大违法活动记录。</w:t>
      </w:r>
    </w:p>
    <w:p w14:paraId="26387ADD">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3C42ED19">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3.我方在采购项目评审（评标）环节结束后，随时接受采购人、采购代理机构的检查验证，配合提供相关证明材料，证明符合《中华人民共和国政府采购法》规定的供应商基本资格条件。</w:t>
      </w:r>
    </w:p>
    <w:p w14:paraId="6F6CE369">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我方对以上承诺负全部法律责任。</w:t>
      </w:r>
    </w:p>
    <w:p w14:paraId="7E1481CD">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特此承诺。</w:t>
      </w:r>
    </w:p>
    <w:p w14:paraId="1E033047">
      <w:pPr>
        <w:tabs>
          <w:tab w:val="left" w:pos="6300"/>
        </w:tabs>
        <w:snapToGrid w:val="0"/>
        <w:spacing w:line="500" w:lineRule="exact"/>
        <w:ind w:firstLine="480" w:firstLineChars="200"/>
        <w:rPr>
          <w:rFonts w:ascii="宋体" w:hAnsi="宋体" w:cs="宋体"/>
          <w:sz w:val="24"/>
          <w:highlight w:val="none"/>
        </w:rPr>
      </w:pPr>
    </w:p>
    <w:p w14:paraId="7661A02C">
      <w:pPr>
        <w:tabs>
          <w:tab w:val="left" w:pos="6300"/>
        </w:tabs>
        <w:snapToGrid w:val="0"/>
        <w:spacing w:line="500" w:lineRule="exact"/>
        <w:ind w:firstLine="480" w:firstLineChars="200"/>
        <w:jc w:val="right"/>
        <w:rPr>
          <w:rFonts w:ascii="宋体" w:hAnsi="宋体" w:cs="宋体"/>
          <w:sz w:val="24"/>
          <w:highlight w:val="none"/>
        </w:rPr>
      </w:pPr>
      <w:r>
        <w:rPr>
          <w:rFonts w:hint="eastAsia" w:ascii="宋体" w:hAnsi="宋体" w:cs="宋体"/>
          <w:sz w:val="24"/>
          <w:highlight w:val="none"/>
        </w:rPr>
        <w:t>（供应商公章）</w:t>
      </w:r>
    </w:p>
    <w:p w14:paraId="5F9EDC41">
      <w:pPr>
        <w:tabs>
          <w:tab w:val="left" w:pos="6300"/>
        </w:tabs>
        <w:snapToGrid w:val="0"/>
        <w:spacing w:line="500" w:lineRule="exact"/>
        <w:ind w:firstLine="7920" w:firstLineChars="3300"/>
        <w:rPr>
          <w:rFonts w:ascii="宋体" w:hAnsi="宋体" w:cs="宋体"/>
          <w:sz w:val="24"/>
          <w:szCs w:val="24"/>
          <w:highlight w:val="none"/>
        </w:rPr>
      </w:pPr>
      <w:r>
        <w:rPr>
          <w:rFonts w:hint="eastAsia" w:ascii="宋体" w:hAnsi="宋体" w:cs="宋体"/>
          <w:sz w:val="24"/>
          <w:highlight w:val="none"/>
        </w:rPr>
        <w:t>年   月   日</w:t>
      </w:r>
    </w:p>
    <w:p w14:paraId="7C3F6269">
      <w:pPr>
        <w:snapToGrid w:val="0"/>
        <w:spacing w:line="400" w:lineRule="exact"/>
        <w:ind w:firstLine="560" w:firstLineChars="200"/>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（五）特定资格条件证明文件</w:t>
      </w:r>
    </w:p>
    <w:p w14:paraId="57A45E74">
      <w:pPr>
        <w:tabs>
          <w:tab w:val="left" w:pos="6300"/>
        </w:tabs>
        <w:snapToGrid w:val="0"/>
        <w:spacing w:line="400" w:lineRule="exact"/>
        <w:ind w:firstLine="480" w:firstLineChars="200"/>
        <w:rPr>
          <w:rFonts w:ascii="宋体" w:hAnsi="宋体" w:cs="宋体"/>
          <w:sz w:val="24"/>
          <w:szCs w:val="24"/>
          <w:highlight w:val="none"/>
        </w:rPr>
      </w:pPr>
    </w:p>
    <w:p w14:paraId="3A5C8ABF">
      <w:pPr>
        <w:pStyle w:val="4"/>
        <w:adjustRightInd w:val="0"/>
        <w:snapToGrid w:val="0"/>
        <w:spacing w:before="0" w:after="0" w:line="400" w:lineRule="exact"/>
        <w:ind w:firstLine="560" w:firstLineChars="200"/>
        <w:rPr>
          <w:rFonts w:ascii="宋体" w:hAnsi="宋体" w:eastAsia="宋体" w:cs="宋体"/>
          <w:sz w:val="24"/>
          <w:highlight w:val="none"/>
        </w:rPr>
      </w:pPr>
      <w:bookmarkStart w:id="1059" w:name="_Toc14422"/>
      <w:r>
        <w:rPr>
          <w:rFonts w:hint="eastAsia" w:ascii="宋体" w:hAnsi="宋体" w:eastAsia="宋体" w:cs="宋体"/>
          <w:b w:val="0"/>
          <w:sz w:val="28"/>
          <w:highlight w:val="none"/>
        </w:rPr>
        <w:br w:type="page"/>
      </w:r>
      <w:bookmarkStart w:id="1060" w:name="_Toc6410"/>
      <w:bookmarkStart w:id="1061" w:name="_Toc76462354"/>
      <w:r>
        <w:rPr>
          <w:rFonts w:hint="eastAsia" w:ascii="宋体" w:hAnsi="宋体" w:eastAsia="宋体" w:cs="宋体"/>
          <w:sz w:val="24"/>
          <w:highlight w:val="none"/>
        </w:rPr>
        <w:t>五、其他资料</w:t>
      </w:r>
      <w:bookmarkEnd w:id="1059"/>
      <w:bookmarkEnd w:id="1060"/>
      <w:bookmarkEnd w:id="1061"/>
    </w:p>
    <w:p w14:paraId="55044762">
      <w:pPr>
        <w:tabs>
          <w:tab w:val="left" w:pos="6300"/>
        </w:tabs>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（一）中小企业声明函、监狱企业证明文件、残疾人福利性单位声明函</w:t>
      </w:r>
    </w:p>
    <w:p w14:paraId="36077A7A">
      <w:pPr>
        <w:tabs>
          <w:tab w:val="left" w:pos="6300"/>
        </w:tabs>
        <w:snapToGrid w:val="0"/>
        <w:spacing w:line="500" w:lineRule="exact"/>
        <w:ind w:firstLine="560" w:firstLineChars="200"/>
        <w:jc w:val="center"/>
        <w:rPr>
          <w:rFonts w:ascii="宋体" w:hAnsi="宋体" w:cs="宋体"/>
          <w:highlight w:val="none"/>
        </w:rPr>
      </w:pPr>
      <w:r>
        <w:rPr>
          <w:rFonts w:hint="eastAsia" w:ascii="宋体" w:hAnsi="宋体" w:cs="宋体"/>
          <w:highlight w:val="none"/>
        </w:rPr>
        <w:t>中小企业声明函</w:t>
      </w:r>
    </w:p>
    <w:p w14:paraId="52D3B4EC">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本公司郑重声明，根据《政府采购促进中小企业发展管理办法》（</w:t>
      </w:r>
      <w:r>
        <w:rPr>
          <w:rFonts w:hint="eastAsia" w:ascii="宋体" w:hAnsi="宋体" w:cs="宋体"/>
          <w:sz w:val="24"/>
          <w:szCs w:val="24"/>
          <w:highlight w:val="none"/>
        </w:rPr>
        <w:t>财库〔2020〕46号</w:t>
      </w:r>
      <w:r>
        <w:rPr>
          <w:rFonts w:hint="eastAsia" w:ascii="宋体" w:hAnsi="宋体" w:cs="宋体"/>
          <w:sz w:val="24"/>
          <w:szCs w:val="28"/>
          <w:highlight w:val="none"/>
        </w:rPr>
        <w:t>）的规定，本公司参加</w:t>
      </w:r>
      <w:r>
        <w:rPr>
          <w:rFonts w:hint="eastAsia" w:ascii="宋体" w:hAnsi="宋体" w:cs="宋体"/>
          <w:i/>
          <w:sz w:val="24"/>
          <w:szCs w:val="28"/>
          <w:highlight w:val="none"/>
          <w:u w:val="single"/>
        </w:rPr>
        <w:t>（单位名称）</w:t>
      </w:r>
      <w:r>
        <w:rPr>
          <w:rFonts w:hint="eastAsia" w:ascii="宋体" w:hAnsi="宋体" w:cs="宋体"/>
          <w:sz w:val="24"/>
          <w:szCs w:val="28"/>
          <w:highlight w:val="none"/>
        </w:rPr>
        <w:t>的</w:t>
      </w:r>
      <w:r>
        <w:rPr>
          <w:rFonts w:hint="eastAsia" w:ascii="宋体" w:hAnsi="宋体" w:cs="宋体"/>
          <w:i/>
          <w:sz w:val="24"/>
          <w:szCs w:val="28"/>
          <w:highlight w:val="none"/>
          <w:u w:val="single"/>
        </w:rPr>
        <w:t>（项目名称）</w:t>
      </w:r>
      <w:r>
        <w:rPr>
          <w:rFonts w:hint="eastAsia" w:ascii="宋体" w:hAnsi="宋体" w:cs="宋体"/>
          <w:sz w:val="24"/>
          <w:szCs w:val="28"/>
          <w:highlight w:val="none"/>
        </w:rPr>
        <w:t>采购活动，</w:t>
      </w:r>
      <w:r>
        <w:rPr>
          <w:rFonts w:hint="eastAsia" w:ascii="宋体" w:hAnsi="宋体" w:cs="宋体"/>
          <w:sz w:val="24"/>
          <w:szCs w:val="28"/>
          <w:highlight w:val="none"/>
          <w:lang w:eastAsia="zh-CN"/>
        </w:rPr>
        <w:t>工</w:t>
      </w:r>
      <w:r>
        <w:rPr>
          <w:rFonts w:hint="eastAsia" w:ascii="宋体" w:hAnsi="宋体" w:cs="宋体"/>
          <w:sz w:val="24"/>
          <w:szCs w:val="28"/>
          <w:highlight w:val="none"/>
        </w:rPr>
        <w:t>程的施工单位全部为符合政策要求的中小企业。相关企业的具体情况如下：</w:t>
      </w:r>
    </w:p>
    <w:p w14:paraId="666891A5">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1.</w:t>
      </w:r>
      <w:r>
        <w:rPr>
          <w:rFonts w:hint="eastAsia" w:ascii="宋体" w:hAnsi="宋体" w:cs="宋体"/>
          <w:i/>
          <w:sz w:val="24"/>
          <w:szCs w:val="28"/>
          <w:highlight w:val="none"/>
        </w:rPr>
        <w:t>（标的名称）</w:t>
      </w:r>
      <w:r>
        <w:rPr>
          <w:rFonts w:hint="eastAsia" w:ascii="宋体" w:hAnsi="宋体" w:cs="宋体"/>
          <w:sz w:val="24"/>
          <w:szCs w:val="28"/>
          <w:highlight w:val="none"/>
        </w:rPr>
        <w:t>，属于</w:t>
      </w:r>
      <w:r>
        <w:rPr>
          <w:rFonts w:hint="eastAsia" w:ascii="宋体" w:hAnsi="宋体" w:cs="宋体"/>
          <w:i/>
          <w:sz w:val="24"/>
          <w:szCs w:val="28"/>
          <w:highlight w:val="none"/>
        </w:rPr>
        <w:t>（采购文件中明确的所属行业）</w:t>
      </w:r>
      <w:r>
        <w:rPr>
          <w:rFonts w:hint="eastAsia" w:ascii="宋体" w:hAnsi="宋体" w:cs="宋体"/>
          <w:sz w:val="24"/>
          <w:szCs w:val="28"/>
          <w:highlight w:val="none"/>
        </w:rPr>
        <w:t>；承接企业为</w:t>
      </w:r>
      <w:r>
        <w:rPr>
          <w:rFonts w:hint="eastAsia" w:ascii="宋体" w:hAnsi="宋体" w:cs="宋体"/>
          <w:i/>
          <w:sz w:val="24"/>
          <w:szCs w:val="28"/>
          <w:highlight w:val="none"/>
        </w:rPr>
        <w:t>（企业名称）</w:t>
      </w:r>
      <w:r>
        <w:rPr>
          <w:rFonts w:hint="eastAsia" w:ascii="宋体" w:hAnsi="宋体" w:cs="宋体"/>
          <w:sz w:val="24"/>
          <w:szCs w:val="28"/>
          <w:highlight w:val="none"/>
        </w:rPr>
        <w:t>，从业人员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 xml:space="preserve"> 人，营业收入为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万元，资产总额为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万元，属于</w:t>
      </w:r>
      <w:r>
        <w:rPr>
          <w:rFonts w:hint="eastAsia" w:ascii="宋体" w:hAnsi="宋体" w:cs="宋体"/>
          <w:i/>
          <w:sz w:val="24"/>
          <w:szCs w:val="28"/>
          <w:highlight w:val="none"/>
        </w:rPr>
        <w:t>（中型企业、小型企业、微型企业）</w:t>
      </w:r>
      <w:r>
        <w:rPr>
          <w:rFonts w:hint="eastAsia" w:ascii="宋体" w:hAnsi="宋体" w:cs="宋体"/>
          <w:sz w:val="24"/>
          <w:szCs w:val="28"/>
          <w:highlight w:val="none"/>
        </w:rPr>
        <w:t>；</w:t>
      </w:r>
    </w:p>
    <w:p w14:paraId="6E69791F">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为本标的提供的服务人员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人，其中与本企业签订劳动合同</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人，其他人员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人。有其他人员的不符合中小企业扶持政策（适用于服务采购项目）;</w:t>
      </w:r>
    </w:p>
    <w:p w14:paraId="05691107">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2.</w:t>
      </w:r>
      <w:r>
        <w:rPr>
          <w:rFonts w:hint="eastAsia" w:ascii="宋体" w:hAnsi="宋体" w:cs="宋体"/>
          <w:i/>
          <w:sz w:val="24"/>
          <w:szCs w:val="28"/>
          <w:highlight w:val="none"/>
        </w:rPr>
        <w:t xml:space="preserve"> （标的名称）</w:t>
      </w:r>
      <w:r>
        <w:rPr>
          <w:rFonts w:hint="eastAsia" w:ascii="宋体" w:hAnsi="宋体" w:cs="宋体"/>
          <w:sz w:val="24"/>
          <w:szCs w:val="28"/>
          <w:highlight w:val="none"/>
        </w:rPr>
        <w:t>，属于</w:t>
      </w:r>
      <w:r>
        <w:rPr>
          <w:rFonts w:hint="eastAsia" w:ascii="宋体" w:hAnsi="宋体" w:cs="宋体"/>
          <w:i/>
          <w:sz w:val="24"/>
          <w:szCs w:val="28"/>
          <w:highlight w:val="none"/>
        </w:rPr>
        <w:t>（采购文件中明确的所属行业）</w:t>
      </w:r>
      <w:r>
        <w:rPr>
          <w:rFonts w:hint="eastAsia" w:ascii="宋体" w:hAnsi="宋体" w:cs="宋体"/>
          <w:sz w:val="24"/>
          <w:szCs w:val="28"/>
          <w:highlight w:val="none"/>
        </w:rPr>
        <w:t>；承接企业为</w:t>
      </w:r>
      <w:r>
        <w:rPr>
          <w:rFonts w:hint="eastAsia" w:ascii="宋体" w:hAnsi="宋体" w:cs="宋体"/>
          <w:i/>
          <w:sz w:val="24"/>
          <w:szCs w:val="28"/>
          <w:highlight w:val="none"/>
        </w:rPr>
        <w:t>（企业名称）</w:t>
      </w:r>
      <w:r>
        <w:rPr>
          <w:rFonts w:hint="eastAsia" w:ascii="宋体" w:hAnsi="宋体" w:cs="宋体"/>
          <w:sz w:val="24"/>
          <w:szCs w:val="28"/>
          <w:highlight w:val="none"/>
        </w:rPr>
        <w:t>，从业人员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人，营业收入为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万元，资产总额为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万元，属于</w:t>
      </w:r>
      <w:r>
        <w:rPr>
          <w:rFonts w:hint="eastAsia" w:ascii="宋体" w:hAnsi="宋体" w:cs="宋体"/>
          <w:i/>
          <w:sz w:val="24"/>
          <w:szCs w:val="28"/>
          <w:highlight w:val="none"/>
        </w:rPr>
        <w:t>（中型企业、小型企业、微型企业）</w:t>
      </w:r>
      <w:r>
        <w:rPr>
          <w:rFonts w:hint="eastAsia" w:ascii="宋体" w:hAnsi="宋体" w:cs="宋体"/>
          <w:sz w:val="24"/>
          <w:szCs w:val="28"/>
          <w:highlight w:val="none"/>
        </w:rPr>
        <w:t>；</w:t>
      </w:r>
    </w:p>
    <w:p w14:paraId="344326CD">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为本标的提供的服务人员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人，其中与本企业签订劳动合同</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人，其他人员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人。有其他人员的不符合中小企业扶持政策（适用于服务采购项目）;</w:t>
      </w:r>
    </w:p>
    <w:p w14:paraId="5649CFB7">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w:t>
      </w:r>
    </w:p>
    <w:p w14:paraId="07261809">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以上企业，不属于大企业的分支机构，不存在控股股东为大企业的情形，也不存在与大企业的负责人为同一人的情形。</w:t>
      </w:r>
    </w:p>
    <w:p w14:paraId="56DCB2B2">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本企业对上述声明内容的真实性负责。如有虚假，将依法承担相应责任。</w:t>
      </w:r>
    </w:p>
    <w:p w14:paraId="61D53AB0">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 xml:space="preserve">                                                    </w:t>
      </w:r>
    </w:p>
    <w:p w14:paraId="245BB4C3">
      <w:pPr>
        <w:tabs>
          <w:tab w:val="left" w:pos="6300"/>
        </w:tabs>
        <w:snapToGrid w:val="0"/>
        <w:spacing w:line="500" w:lineRule="exact"/>
        <w:ind w:firstLine="6120" w:firstLineChars="2550"/>
        <w:rPr>
          <w:rFonts w:ascii="宋体" w:hAnsi="宋体" w:cs="宋体"/>
          <w:sz w:val="24"/>
          <w:szCs w:val="28"/>
          <w:highlight w:val="none"/>
        </w:rPr>
      </w:pPr>
      <w:r>
        <w:rPr>
          <w:rFonts w:hint="eastAsia" w:ascii="宋体" w:hAnsi="宋体" w:cs="宋体"/>
          <w:sz w:val="24"/>
          <w:szCs w:val="28"/>
          <w:highlight w:val="none"/>
        </w:rPr>
        <w:t xml:space="preserve">企业名称（盖章）： </w:t>
      </w:r>
    </w:p>
    <w:p w14:paraId="70AC7630">
      <w:pPr>
        <w:tabs>
          <w:tab w:val="left" w:pos="6300"/>
        </w:tabs>
        <w:snapToGrid w:val="0"/>
        <w:spacing w:line="500" w:lineRule="exact"/>
        <w:ind w:right="784" w:firstLine="6120" w:firstLineChars="2550"/>
        <w:rPr>
          <w:rFonts w:ascii="宋体" w:hAnsi="宋体" w:cs="宋体"/>
          <w:sz w:val="24"/>
          <w:highlight w:val="none"/>
        </w:rPr>
      </w:pPr>
      <w:r>
        <w:rPr>
          <w:rFonts w:hint="eastAsia" w:ascii="宋体" w:hAnsi="宋体" w:cs="宋体"/>
          <w:sz w:val="24"/>
          <w:szCs w:val="28"/>
          <w:highlight w:val="none"/>
        </w:rPr>
        <w:t>日期：</w:t>
      </w:r>
    </w:p>
    <w:p w14:paraId="1CBE8C71">
      <w:pPr>
        <w:tabs>
          <w:tab w:val="left" w:pos="6300"/>
        </w:tabs>
        <w:snapToGrid w:val="0"/>
        <w:rPr>
          <w:rFonts w:ascii="宋体" w:hAnsi="宋体" w:cs="宋体"/>
          <w:kern w:val="0"/>
          <w:sz w:val="21"/>
          <w:szCs w:val="21"/>
          <w:highlight w:val="none"/>
        </w:rPr>
      </w:pPr>
      <w:r>
        <w:rPr>
          <w:rFonts w:hint="eastAsia" w:ascii="宋体" w:hAnsi="宋体" w:cs="宋体"/>
          <w:kern w:val="0"/>
          <w:sz w:val="21"/>
          <w:szCs w:val="21"/>
          <w:highlight w:val="none"/>
        </w:rPr>
        <w:t>填写时应注意以下事项：</w:t>
      </w:r>
    </w:p>
    <w:p w14:paraId="66B93BDA">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1.从业人员、营业收入、资产总额填报上一年度数据，无上一年度数据的新成立企业可不填报。</w:t>
      </w:r>
    </w:p>
    <w:p w14:paraId="6F397E5E">
      <w:pPr>
        <w:tabs>
          <w:tab w:val="left" w:pos="6300"/>
        </w:tabs>
        <w:snapToGrid w:val="0"/>
        <w:ind w:firstLine="422" w:firstLineChars="200"/>
        <w:rPr>
          <w:rFonts w:ascii="宋体" w:hAnsi="宋体" w:cs="宋体"/>
          <w:b/>
          <w:kern w:val="0"/>
          <w:sz w:val="21"/>
          <w:szCs w:val="21"/>
          <w:highlight w:val="none"/>
        </w:rPr>
      </w:pPr>
      <w:r>
        <w:rPr>
          <w:rFonts w:hint="eastAsia" w:ascii="宋体" w:hAnsi="宋体" w:cs="宋体"/>
          <w:b/>
          <w:kern w:val="0"/>
          <w:sz w:val="21"/>
          <w:szCs w:val="21"/>
          <w:highlight w:val="none"/>
        </w:rPr>
        <w:t>2.中小企业应当按照《中小企业划型标准规定》（工信部联企业〔2011〕300号），如实填写并提交《中小企业声明函》。</w:t>
      </w:r>
    </w:p>
    <w:p w14:paraId="4D7125B0">
      <w:pPr>
        <w:tabs>
          <w:tab w:val="left" w:pos="6300"/>
        </w:tabs>
        <w:snapToGrid w:val="0"/>
        <w:ind w:firstLine="422" w:firstLineChars="200"/>
        <w:rPr>
          <w:rFonts w:ascii="宋体" w:hAnsi="宋体" w:cs="宋体"/>
          <w:b/>
          <w:kern w:val="0"/>
          <w:sz w:val="21"/>
          <w:szCs w:val="21"/>
          <w:highlight w:val="none"/>
        </w:rPr>
      </w:pPr>
      <w:r>
        <w:rPr>
          <w:rFonts w:hint="eastAsia" w:ascii="宋体" w:hAnsi="宋体" w:cs="宋体"/>
          <w:b/>
          <w:kern w:val="0"/>
          <w:sz w:val="21"/>
          <w:szCs w:val="21"/>
          <w:highlight w:val="none"/>
        </w:rPr>
        <w:t>3.供应商填写《中小企业声明函》中所属行业时，应与采购文件第一篇“采购标的对应的中小企业划分标准所属行业”中填写的所属行业一致。</w:t>
      </w:r>
    </w:p>
    <w:p w14:paraId="1B93E288">
      <w:pPr>
        <w:tabs>
          <w:tab w:val="left" w:pos="6300"/>
        </w:tabs>
        <w:snapToGrid w:val="0"/>
        <w:ind w:firstLine="422" w:firstLineChars="200"/>
        <w:rPr>
          <w:rFonts w:ascii="宋体" w:hAnsi="宋体" w:cs="宋体"/>
          <w:b/>
          <w:kern w:val="0"/>
          <w:sz w:val="21"/>
          <w:szCs w:val="21"/>
          <w:highlight w:val="none"/>
        </w:rPr>
      </w:pPr>
      <w:r>
        <w:rPr>
          <w:rFonts w:hint="eastAsia" w:ascii="宋体" w:hAnsi="宋体" w:cs="宋体"/>
          <w:b/>
          <w:kern w:val="0"/>
          <w:sz w:val="21"/>
          <w:szCs w:val="21"/>
          <w:highlight w:val="none"/>
        </w:rPr>
        <w:t>4.本声明函“企业名称（盖章）”处为供应商盖章。</w:t>
      </w:r>
    </w:p>
    <w:p w14:paraId="0E72FF5C">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注：各行业划型标准：</w:t>
      </w:r>
    </w:p>
    <w:p w14:paraId="217EEF0C">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79414E69">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31841C6">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09D4CE">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2E30D1">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4C5B4E">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77F0A4">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A447A4">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736FCB">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41A2E3">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A913D4">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9470D63">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3F7BFB">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0FEC1A2">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9BFC72">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D0D5B4">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6F7837DA">
      <w:pPr>
        <w:tabs>
          <w:tab w:val="left" w:pos="6300"/>
        </w:tabs>
        <w:snapToGrid w:val="0"/>
        <w:spacing w:line="500" w:lineRule="exact"/>
        <w:ind w:firstLine="480" w:firstLineChars="200"/>
        <w:jc w:val="center"/>
        <w:rPr>
          <w:rFonts w:ascii="宋体" w:hAnsi="宋体" w:cs="宋体"/>
          <w:highlight w:val="none"/>
        </w:rPr>
      </w:pPr>
      <w:r>
        <w:rPr>
          <w:rFonts w:hint="eastAsia" w:ascii="宋体" w:hAnsi="宋体" w:cs="宋体"/>
          <w:sz w:val="24"/>
          <w:szCs w:val="24"/>
          <w:highlight w:val="none"/>
        </w:rPr>
        <w:br w:type="page"/>
      </w:r>
      <w:r>
        <w:rPr>
          <w:rFonts w:hint="eastAsia" w:ascii="宋体" w:hAnsi="宋体" w:cs="宋体"/>
          <w:highlight w:val="none"/>
        </w:rPr>
        <w:t>监狱企业证明文件</w:t>
      </w:r>
    </w:p>
    <w:p w14:paraId="56022397">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以省级以上监狱管理局、戒毒管理局（含新疆生产建设兵团）出具的属于监狱企业的证明文件为准。</w:t>
      </w:r>
    </w:p>
    <w:p w14:paraId="62EE4B3A">
      <w:pPr>
        <w:tabs>
          <w:tab w:val="left" w:pos="6300"/>
        </w:tabs>
        <w:snapToGrid w:val="0"/>
        <w:spacing w:line="500" w:lineRule="exact"/>
        <w:ind w:firstLine="480" w:firstLineChars="200"/>
        <w:jc w:val="center"/>
        <w:rPr>
          <w:rFonts w:ascii="宋体" w:hAnsi="宋体" w:cs="宋体"/>
          <w:highlight w:val="none"/>
        </w:rPr>
      </w:pPr>
      <w:r>
        <w:rPr>
          <w:rFonts w:hint="eastAsia" w:ascii="宋体" w:hAnsi="宋体" w:cs="宋体"/>
          <w:sz w:val="24"/>
          <w:highlight w:val="none"/>
        </w:rPr>
        <w:br w:type="page"/>
      </w:r>
      <w:r>
        <w:rPr>
          <w:rFonts w:hint="eastAsia" w:ascii="宋体" w:hAnsi="宋体" w:cs="宋体"/>
          <w:highlight w:val="none"/>
        </w:rPr>
        <w:t>残疾人福利性单位声明函</w:t>
      </w:r>
    </w:p>
    <w:p w14:paraId="7F0F0207">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17FC79">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7B228FBF">
      <w:pPr>
        <w:tabs>
          <w:tab w:val="left" w:pos="6300"/>
        </w:tabs>
        <w:snapToGrid w:val="0"/>
        <w:spacing w:line="500" w:lineRule="exact"/>
        <w:ind w:firstLine="480" w:firstLineChars="200"/>
        <w:rPr>
          <w:rFonts w:ascii="宋体" w:hAnsi="宋体" w:cs="宋体"/>
          <w:sz w:val="24"/>
          <w:highlight w:val="none"/>
        </w:rPr>
      </w:pPr>
    </w:p>
    <w:p w14:paraId="6E1F4FAB">
      <w:pPr>
        <w:tabs>
          <w:tab w:val="left" w:pos="6300"/>
        </w:tabs>
        <w:snapToGrid w:val="0"/>
        <w:spacing w:line="500" w:lineRule="exact"/>
        <w:ind w:firstLine="480" w:firstLineChars="200"/>
        <w:rPr>
          <w:rFonts w:ascii="宋体" w:hAnsi="宋体" w:cs="宋体"/>
          <w:sz w:val="24"/>
          <w:highlight w:val="none"/>
        </w:rPr>
      </w:pPr>
    </w:p>
    <w:p w14:paraId="5B813B5E">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供应商名称（盖章）：</w:t>
      </w:r>
    </w:p>
    <w:p w14:paraId="16EE9DFE">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                                                  日  期：</w:t>
      </w:r>
    </w:p>
    <w:p w14:paraId="34194B70">
      <w:pPr>
        <w:snapToGrid w:val="0"/>
        <w:spacing w:line="440" w:lineRule="exact"/>
        <w:ind w:firstLine="480" w:firstLineChars="200"/>
        <w:rPr>
          <w:rFonts w:ascii="宋体" w:hAnsi="宋体" w:cs="宋体"/>
          <w:sz w:val="24"/>
          <w:highlight w:val="none"/>
        </w:rPr>
      </w:pPr>
    </w:p>
    <w:p w14:paraId="4A826D82">
      <w:pPr>
        <w:snapToGrid w:val="0"/>
        <w:spacing w:line="440" w:lineRule="exact"/>
        <w:ind w:firstLine="480" w:firstLineChars="200"/>
        <w:rPr>
          <w:rFonts w:ascii="宋体" w:hAnsi="宋体" w:cs="宋体"/>
          <w:sz w:val="24"/>
          <w:highlight w:val="none"/>
        </w:rPr>
      </w:pPr>
    </w:p>
    <w:p w14:paraId="37129B7A">
      <w:pPr>
        <w:snapToGrid w:val="0"/>
        <w:spacing w:line="440" w:lineRule="exact"/>
        <w:ind w:firstLine="480" w:firstLineChars="200"/>
        <w:rPr>
          <w:rFonts w:ascii="宋体" w:hAnsi="宋体" w:cs="宋体"/>
          <w:sz w:val="24"/>
          <w:highlight w:val="none"/>
        </w:rPr>
      </w:pPr>
    </w:p>
    <w:p w14:paraId="530C22FE">
      <w:pPr>
        <w:snapToGrid w:val="0"/>
        <w:spacing w:line="440" w:lineRule="exact"/>
        <w:ind w:firstLine="480" w:firstLineChars="200"/>
        <w:rPr>
          <w:rFonts w:ascii="宋体" w:hAnsi="宋体" w:cs="宋体"/>
          <w:sz w:val="24"/>
          <w:highlight w:val="none"/>
        </w:rPr>
      </w:pPr>
    </w:p>
    <w:p w14:paraId="1E12EA8F">
      <w:pPr>
        <w:snapToGrid w:val="0"/>
        <w:spacing w:line="440" w:lineRule="exact"/>
        <w:ind w:firstLine="480" w:firstLineChars="200"/>
        <w:rPr>
          <w:rFonts w:ascii="宋体" w:hAnsi="宋体" w:cs="宋体"/>
          <w:sz w:val="24"/>
          <w:highlight w:val="none"/>
        </w:rPr>
      </w:pPr>
    </w:p>
    <w:p w14:paraId="56E192B8">
      <w:pPr>
        <w:snapToGrid w:val="0"/>
        <w:spacing w:line="440" w:lineRule="exact"/>
        <w:ind w:firstLine="480" w:firstLineChars="200"/>
        <w:rPr>
          <w:rFonts w:ascii="宋体" w:hAnsi="宋体" w:cs="宋体"/>
          <w:sz w:val="24"/>
          <w:highlight w:val="none"/>
        </w:rPr>
      </w:pPr>
    </w:p>
    <w:p w14:paraId="464BDEF6">
      <w:pPr>
        <w:snapToGrid w:val="0"/>
        <w:spacing w:line="440" w:lineRule="exact"/>
        <w:ind w:firstLine="480" w:firstLineChars="200"/>
        <w:rPr>
          <w:rFonts w:ascii="宋体" w:hAnsi="宋体" w:cs="宋体"/>
          <w:sz w:val="24"/>
          <w:highlight w:val="none"/>
        </w:rPr>
      </w:pPr>
    </w:p>
    <w:p w14:paraId="12D48C2D">
      <w:pPr>
        <w:snapToGrid w:val="0"/>
        <w:spacing w:line="440" w:lineRule="exact"/>
        <w:ind w:firstLine="480" w:firstLineChars="200"/>
        <w:rPr>
          <w:rFonts w:ascii="宋体" w:hAnsi="宋体" w:cs="宋体"/>
          <w:sz w:val="24"/>
          <w:highlight w:val="none"/>
        </w:rPr>
      </w:pPr>
    </w:p>
    <w:p w14:paraId="375EA1F2">
      <w:pPr>
        <w:snapToGrid w:val="0"/>
        <w:spacing w:line="440" w:lineRule="exact"/>
        <w:ind w:firstLine="480" w:firstLineChars="200"/>
        <w:rPr>
          <w:rFonts w:ascii="宋体" w:hAnsi="宋体" w:cs="宋体"/>
          <w:sz w:val="24"/>
          <w:highlight w:val="none"/>
        </w:rPr>
      </w:pPr>
    </w:p>
    <w:p w14:paraId="4EA65E7D">
      <w:pPr>
        <w:snapToGrid w:val="0"/>
        <w:spacing w:line="440" w:lineRule="exact"/>
        <w:ind w:firstLine="480" w:firstLineChars="200"/>
        <w:rPr>
          <w:rFonts w:ascii="宋体" w:hAnsi="宋体" w:cs="宋体"/>
          <w:sz w:val="24"/>
          <w:highlight w:val="none"/>
        </w:rPr>
      </w:pPr>
    </w:p>
    <w:p w14:paraId="46FF927C">
      <w:pPr>
        <w:snapToGrid w:val="0"/>
        <w:spacing w:line="440" w:lineRule="exact"/>
        <w:ind w:firstLine="480" w:firstLineChars="200"/>
        <w:rPr>
          <w:rFonts w:ascii="宋体" w:hAnsi="宋体" w:cs="宋体"/>
          <w:sz w:val="24"/>
          <w:highlight w:val="none"/>
        </w:rPr>
      </w:pPr>
    </w:p>
    <w:p w14:paraId="104DA76A">
      <w:pPr>
        <w:snapToGrid w:val="0"/>
        <w:spacing w:line="440" w:lineRule="exact"/>
        <w:ind w:firstLine="480" w:firstLineChars="200"/>
        <w:rPr>
          <w:rFonts w:ascii="宋体" w:hAnsi="宋体" w:cs="宋体"/>
          <w:sz w:val="24"/>
          <w:highlight w:val="none"/>
        </w:rPr>
      </w:pPr>
    </w:p>
    <w:p w14:paraId="77AC8FA7">
      <w:pPr>
        <w:snapToGrid w:val="0"/>
        <w:spacing w:line="440" w:lineRule="exact"/>
        <w:ind w:firstLine="480" w:firstLineChars="200"/>
        <w:rPr>
          <w:rFonts w:ascii="宋体" w:hAnsi="宋体" w:cs="宋体"/>
          <w:sz w:val="24"/>
          <w:highlight w:val="none"/>
        </w:rPr>
      </w:pPr>
      <w:r>
        <w:rPr>
          <w:rFonts w:hint="eastAsia" w:ascii="宋体" w:hAnsi="宋体" w:cs="宋体"/>
          <w:kern w:val="0"/>
          <w:sz w:val="24"/>
          <w:highlight w:val="none"/>
        </w:rPr>
        <w:t>若成交供应商为残疾人福利性单位的，将在结果公告时公告其《残疾人福利性单位声明函》。</w:t>
      </w:r>
    </w:p>
    <w:p w14:paraId="7EC51B7D">
      <w:pPr>
        <w:snapToGrid w:val="0"/>
        <w:spacing w:line="440" w:lineRule="exact"/>
        <w:ind w:firstLine="480" w:firstLineChars="200"/>
        <w:rPr>
          <w:rFonts w:ascii="宋体" w:hAnsi="宋体" w:cs="宋体"/>
          <w:sz w:val="24"/>
          <w:highlight w:val="none"/>
        </w:rPr>
      </w:pPr>
    </w:p>
    <w:p w14:paraId="4FEBB837">
      <w:pPr>
        <w:snapToGrid w:val="0"/>
        <w:spacing w:line="400" w:lineRule="exact"/>
        <w:rPr>
          <w:rFonts w:ascii="宋体" w:hAnsi="宋体" w:cs="宋体"/>
          <w:sz w:val="24"/>
          <w:szCs w:val="24"/>
          <w:highlight w:val="none"/>
        </w:rPr>
      </w:pPr>
    </w:p>
    <w:p w14:paraId="75C3C6CB">
      <w:pPr>
        <w:snapToGrid w:val="0"/>
        <w:spacing w:line="400" w:lineRule="exact"/>
        <w:rPr>
          <w:rFonts w:ascii="宋体" w:hAnsi="宋体" w:cs="宋体"/>
          <w:sz w:val="24"/>
          <w:szCs w:val="24"/>
          <w:highlight w:val="none"/>
        </w:rPr>
      </w:pPr>
    </w:p>
    <w:p w14:paraId="507B7396">
      <w:pPr>
        <w:snapToGrid w:val="0"/>
        <w:spacing w:line="400" w:lineRule="exact"/>
        <w:rPr>
          <w:rFonts w:ascii="宋体" w:hAnsi="宋体" w:cs="宋体"/>
          <w:sz w:val="24"/>
          <w:szCs w:val="24"/>
          <w:highlight w:val="none"/>
        </w:rPr>
      </w:pPr>
    </w:p>
    <w:p w14:paraId="4C623FE3">
      <w:pPr>
        <w:snapToGrid w:val="0"/>
        <w:spacing w:line="400" w:lineRule="exact"/>
        <w:rPr>
          <w:rFonts w:ascii="宋体" w:hAnsi="宋体" w:cs="宋体"/>
          <w:sz w:val="24"/>
          <w:szCs w:val="24"/>
          <w:highlight w:val="none"/>
        </w:rPr>
      </w:pPr>
    </w:p>
    <w:p w14:paraId="196DB5F4">
      <w:pPr>
        <w:spacing w:line="400" w:lineRule="exact"/>
        <w:rPr>
          <w:rFonts w:ascii="宋体" w:hAnsi="宋体" w:cs="宋体"/>
          <w:sz w:val="24"/>
          <w:szCs w:val="24"/>
          <w:highlight w:val="none"/>
        </w:rPr>
      </w:pPr>
    </w:p>
    <w:p w14:paraId="7CD6DFA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（二）其他与项目有关的资料</w:t>
      </w:r>
    </w:p>
    <w:p w14:paraId="2ED0D6F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其他与项目有关的资料（自附）：供应商总体情况介绍、其他与本项目有关的资料等。</w:t>
      </w:r>
    </w:p>
    <w:p w14:paraId="2039FA9A">
      <w:pPr>
        <w:spacing w:line="360" w:lineRule="auto"/>
        <w:ind w:firstLine="480" w:firstLineChars="200"/>
        <w:rPr>
          <w:rFonts w:ascii="宋体" w:hAnsi="宋体" w:cs="宋体"/>
          <w:sz w:val="24"/>
          <w:szCs w:val="24"/>
          <w:highlight w:val="none"/>
        </w:rPr>
      </w:pPr>
    </w:p>
    <w:p w14:paraId="66BDBFD8">
      <w:pPr>
        <w:spacing w:line="360" w:lineRule="auto"/>
        <w:ind w:firstLine="480" w:firstLineChars="200"/>
        <w:jc w:val="center"/>
        <w:rPr>
          <w:rFonts w:ascii="宋体" w:hAnsi="宋体" w:cs="宋体"/>
          <w:sz w:val="24"/>
          <w:szCs w:val="24"/>
          <w:highlight w:val="none"/>
        </w:rPr>
      </w:pPr>
    </w:p>
    <w:p w14:paraId="02A39AB1">
      <w:pPr>
        <w:spacing w:line="360" w:lineRule="auto"/>
        <w:ind w:firstLine="480" w:firstLineChars="200"/>
        <w:jc w:val="center"/>
        <w:rPr>
          <w:rFonts w:ascii="宋体" w:hAnsi="宋体" w:cs="宋体"/>
          <w:sz w:val="24"/>
          <w:szCs w:val="24"/>
          <w:highlight w:val="none"/>
        </w:rPr>
      </w:pPr>
    </w:p>
    <w:p w14:paraId="3394BEF0">
      <w:pPr>
        <w:spacing w:line="360" w:lineRule="auto"/>
        <w:ind w:firstLine="480" w:firstLineChars="200"/>
        <w:jc w:val="center"/>
        <w:rPr>
          <w:rFonts w:ascii="宋体" w:hAnsi="宋体" w:cs="宋体"/>
          <w:sz w:val="24"/>
          <w:szCs w:val="24"/>
          <w:highlight w:val="none"/>
        </w:rPr>
      </w:pPr>
    </w:p>
    <w:p w14:paraId="74D02F97">
      <w:pPr>
        <w:spacing w:line="360" w:lineRule="auto"/>
        <w:ind w:firstLine="480" w:firstLineChars="200"/>
        <w:jc w:val="center"/>
        <w:rPr>
          <w:rFonts w:ascii="宋体" w:hAnsi="宋体" w:cs="宋体"/>
          <w:sz w:val="24"/>
          <w:szCs w:val="24"/>
          <w:highlight w:val="none"/>
        </w:rPr>
      </w:pPr>
    </w:p>
    <w:p w14:paraId="68C09C18">
      <w:pPr>
        <w:spacing w:line="360" w:lineRule="auto"/>
        <w:ind w:firstLine="480" w:firstLineChars="200"/>
        <w:jc w:val="center"/>
        <w:rPr>
          <w:rFonts w:ascii="宋体" w:hAnsi="宋体" w:cs="宋体"/>
          <w:sz w:val="24"/>
          <w:szCs w:val="24"/>
          <w:highlight w:val="none"/>
        </w:rPr>
      </w:pPr>
    </w:p>
    <w:p w14:paraId="7CA55359">
      <w:pPr>
        <w:spacing w:line="360" w:lineRule="auto"/>
        <w:ind w:firstLine="480" w:firstLineChars="200"/>
        <w:jc w:val="center"/>
        <w:rPr>
          <w:rFonts w:ascii="宋体" w:hAnsi="宋体" w:cs="宋体"/>
          <w:sz w:val="24"/>
          <w:szCs w:val="24"/>
          <w:highlight w:val="none"/>
        </w:rPr>
      </w:pPr>
    </w:p>
    <w:p w14:paraId="4A6720EB">
      <w:pPr>
        <w:spacing w:line="360" w:lineRule="auto"/>
        <w:ind w:firstLine="480" w:firstLineChars="200"/>
        <w:jc w:val="center"/>
        <w:rPr>
          <w:rFonts w:ascii="宋体" w:hAnsi="宋体" w:cs="宋体"/>
          <w:sz w:val="24"/>
          <w:szCs w:val="24"/>
          <w:highlight w:val="none"/>
        </w:rPr>
      </w:pPr>
    </w:p>
    <w:p w14:paraId="58426F9A">
      <w:pPr>
        <w:spacing w:line="360" w:lineRule="auto"/>
        <w:ind w:firstLine="480" w:firstLineChars="200"/>
        <w:jc w:val="center"/>
        <w:rPr>
          <w:rFonts w:ascii="宋体" w:hAnsi="宋体" w:cs="宋体"/>
          <w:sz w:val="24"/>
          <w:szCs w:val="24"/>
          <w:highlight w:val="none"/>
        </w:rPr>
      </w:pPr>
    </w:p>
    <w:p w14:paraId="7740A94D">
      <w:pPr>
        <w:spacing w:line="360" w:lineRule="auto"/>
        <w:ind w:firstLine="480" w:firstLineChars="200"/>
        <w:jc w:val="center"/>
        <w:rPr>
          <w:rFonts w:ascii="宋体" w:hAnsi="宋体" w:cs="宋体"/>
          <w:sz w:val="24"/>
          <w:szCs w:val="24"/>
          <w:highlight w:val="none"/>
        </w:rPr>
      </w:pPr>
    </w:p>
    <w:p w14:paraId="22BBCD0D">
      <w:pPr>
        <w:spacing w:line="360" w:lineRule="auto"/>
        <w:ind w:firstLine="480" w:firstLineChars="200"/>
        <w:jc w:val="center"/>
        <w:rPr>
          <w:rFonts w:ascii="宋体" w:hAnsi="宋体" w:cs="宋体"/>
          <w:sz w:val="24"/>
          <w:szCs w:val="24"/>
          <w:highlight w:val="none"/>
        </w:rPr>
      </w:pPr>
    </w:p>
    <w:p w14:paraId="4C1F7E46">
      <w:pPr>
        <w:spacing w:line="360" w:lineRule="auto"/>
        <w:ind w:firstLine="480" w:firstLineChars="200"/>
        <w:jc w:val="center"/>
        <w:rPr>
          <w:rFonts w:ascii="宋体" w:hAnsi="宋体" w:cs="宋体"/>
          <w:sz w:val="24"/>
          <w:szCs w:val="24"/>
          <w:highlight w:val="none"/>
        </w:rPr>
      </w:pPr>
    </w:p>
    <w:p w14:paraId="33DF4AEB">
      <w:pPr>
        <w:spacing w:line="360" w:lineRule="auto"/>
        <w:ind w:firstLine="480" w:firstLineChars="200"/>
        <w:jc w:val="center"/>
        <w:rPr>
          <w:rFonts w:ascii="宋体" w:hAnsi="宋体" w:cs="宋体"/>
          <w:sz w:val="24"/>
          <w:szCs w:val="24"/>
          <w:highlight w:val="none"/>
        </w:rPr>
      </w:pPr>
    </w:p>
    <w:p w14:paraId="64AF3BCB">
      <w:pPr>
        <w:spacing w:line="360" w:lineRule="auto"/>
        <w:ind w:firstLine="480" w:firstLineChars="200"/>
        <w:jc w:val="center"/>
        <w:rPr>
          <w:rFonts w:ascii="宋体" w:hAnsi="宋体" w:cs="宋体"/>
          <w:sz w:val="24"/>
          <w:szCs w:val="24"/>
          <w:highlight w:val="none"/>
        </w:rPr>
      </w:pPr>
    </w:p>
    <w:p w14:paraId="07AEE3C0">
      <w:pPr>
        <w:spacing w:line="360" w:lineRule="auto"/>
        <w:ind w:firstLine="480" w:firstLineChars="200"/>
        <w:jc w:val="center"/>
        <w:rPr>
          <w:rFonts w:ascii="宋体" w:hAnsi="宋体" w:cs="宋体"/>
          <w:sz w:val="24"/>
          <w:szCs w:val="24"/>
          <w:highlight w:val="none"/>
        </w:rPr>
      </w:pPr>
    </w:p>
    <w:p w14:paraId="232E56B7">
      <w:pPr>
        <w:spacing w:line="360" w:lineRule="auto"/>
        <w:ind w:firstLine="480" w:firstLineChars="200"/>
        <w:jc w:val="center"/>
        <w:rPr>
          <w:rFonts w:ascii="宋体" w:hAnsi="宋体" w:cs="宋体"/>
          <w:sz w:val="24"/>
          <w:szCs w:val="24"/>
          <w:highlight w:val="none"/>
        </w:rPr>
      </w:pPr>
    </w:p>
    <w:p w14:paraId="4424CF10">
      <w:pPr>
        <w:spacing w:line="360" w:lineRule="auto"/>
        <w:ind w:firstLine="480" w:firstLineChars="200"/>
        <w:jc w:val="center"/>
        <w:outlineLvl w:val="0"/>
        <w:rPr>
          <w:rFonts w:ascii="宋体" w:hAnsi="宋体" w:cs="宋体"/>
          <w:highlight w:val="none"/>
        </w:rPr>
      </w:pPr>
      <w:r>
        <w:rPr>
          <w:rFonts w:hint="eastAsia" w:ascii="宋体" w:hAnsi="宋体" w:cs="宋体"/>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 w:name="ESRI SDS 2.00 1">
    <w:altName w:val="Verdana"/>
    <w:panose1 w:val="02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雍雅楷体">
    <w:altName w:val="宋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魏碑体">
    <w:altName w:val="宋体"/>
    <w:panose1 w:val="00000000000000000000"/>
    <w:charset w:val="86"/>
    <w:family w:val="auto"/>
    <w:pitch w:val="default"/>
    <w:sig w:usb0="00000000" w:usb1="00000000" w:usb2="00000012"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7E57F259-656D-40EF-BC40-4B5A98660864}"/>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2E25A">
    <w:pPr>
      <w:pStyle w:val="37"/>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- 5 -</w:t>
    </w:r>
    <w:r>
      <w:rPr>
        <w:rFonts w:ascii="宋体"/>
        <w:sz w:val="21"/>
        <w:szCs w:val="21"/>
      </w:rPr>
      <w:fldChar w:fldCharType="end"/>
    </w:r>
  </w:p>
  <w:p w14:paraId="73C4E8E2">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A6E91">
    <w:pPr>
      <w:pStyle w:val="37"/>
      <w:framePr w:wrap="around" w:vAnchor="text" w:hAnchor="margin" w:xAlign="center" w:y="1"/>
      <w:rPr>
        <w:rStyle w:val="63"/>
      </w:rPr>
    </w:pPr>
    <w:r>
      <w:fldChar w:fldCharType="begin"/>
    </w:r>
    <w:r>
      <w:rPr>
        <w:rStyle w:val="63"/>
      </w:rPr>
      <w:instrText xml:space="preserve">PAGE  </w:instrText>
    </w:r>
    <w:r>
      <w:fldChar w:fldCharType="end"/>
    </w:r>
  </w:p>
  <w:p w14:paraId="56E24B1B">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42A9">
    <w:pPr>
      <w:pStyle w:val="37"/>
      <w:framePr w:wrap="around" w:vAnchor="text" w:hAnchor="margin" w:xAlign="center" w:y="1"/>
      <w:rPr>
        <w:rStyle w:val="63"/>
      </w:rPr>
    </w:pPr>
  </w:p>
  <w:p w14:paraId="1BAADA94">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2B03">
    <w:pPr>
      <w:pStyle w:val="37"/>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4BF5">
    <w:pPr>
      <w:pStyle w:val="37"/>
      <w:framePr w:wrap="around" w:vAnchor="text" w:hAnchor="margin" w:xAlign="center" w:y="1"/>
      <w:rPr>
        <w:rStyle w:val="63"/>
      </w:rPr>
    </w:pPr>
    <w:r>
      <w:fldChar w:fldCharType="begin"/>
    </w:r>
    <w:r>
      <w:rPr>
        <w:rStyle w:val="63"/>
      </w:rPr>
      <w:instrText xml:space="preserve">PAGE  </w:instrText>
    </w:r>
    <w:r>
      <w:fldChar w:fldCharType="separate"/>
    </w:r>
    <w:r>
      <w:rPr>
        <w:rStyle w:val="63"/>
      </w:rPr>
      <w:t>- 6 -</w:t>
    </w:r>
    <w:r>
      <w:fldChar w:fldCharType="end"/>
    </w:r>
  </w:p>
  <w:p w14:paraId="357D38F6">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1D9B">
    <w:pPr>
      <w:pStyle w:val="37"/>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- 44 -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E810">
    <w:pPr>
      <w:pStyle w:val="38"/>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BCF9">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22C8">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5813">
    <w:pPr>
      <w:pStyle w:val="38"/>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20F6E"/>
    <w:multiLevelType w:val="singleLevel"/>
    <w:tmpl w:val="9D120F6E"/>
    <w:lvl w:ilvl="0" w:tentative="0">
      <w:start w:val="2"/>
      <w:numFmt w:val="chineseCounting"/>
      <w:suff w:val="nothing"/>
      <w:lvlText w:val="%1、"/>
      <w:lvlJc w:val="left"/>
      <w:rPr>
        <w:rFonts w:hint="eastAsia"/>
      </w:rPr>
    </w:lvl>
  </w:abstractNum>
  <w:abstractNum w:abstractNumId="1">
    <w:nsid w:val="E075471A"/>
    <w:multiLevelType w:val="singleLevel"/>
    <w:tmpl w:val="E075471A"/>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6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5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8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16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5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13"/>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1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46F6409"/>
    <w:multiLevelType w:val="singleLevel"/>
    <w:tmpl w:val="446F6409"/>
    <w:lvl w:ilvl="0" w:tentative="0">
      <w:start w:val="2"/>
      <w:numFmt w:val="decimal"/>
      <w:lvlText w:val="%1."/>
      <w:lvlJc w:val="left"/>
      <w:pPr>
        <w:tabs>
          <w:tab w:val="left" w:pos="312"/>
        </w:tabs>
      </w:pPr>
    </w:lvl>
  </w:abstractNum>
  <w:abstractNum w:abstractNumId="15">
    <w:nsid w:val="6AF203C4"/>
    <w:multiLevelType w:val="singleLevel"/>
    <w:tmpl w:val="6AF203C4"/>
    <w:lvl w:ilvl="0" w:tentative="0">
      <w:start w:val="1"/>
      <w:numFmt w:val="chineseCounting"/>
      <w:suff w:val="space"/>
      <w:lvlText w:val="第%1部分"/>
      <w:lvlJc w:val="left"/>
      <w:rPr>
        <w:rFonts w:hint="eastAsia"/>
      </w:rPr>
    </w:lvl>
  </w:abstractNum>
  <w:abstractNum w:abstractNumId="16">
    <w:nsid w:val="75C437BC"/>
    <w:multiLevelType w:val="singleLevel"/>
    <w:tmpl w:val="75C437BC"/>
    <w:lvl w:ilvl="0" w:tentative="0">
      <w:start w:val="6"/>
      <w:numFmt w:val="decimal"/>
      <w:lvlText w:val="%1."/>
      <w:lvlJc w:val="left"/>
      <w:pPr>
        <w:tabs>
          <w:tab w:val="left" w:pos="312"/>
        </w:tabs>
      </w:pPr>
    </w:lvl>
  </w:abstractNum>
  <w:num w:numId="1">
    <w:abstractNumId w:val="10"/>
  </w:num>
  <w:num w:numId="2">
    <w:abstractNumId w:val="5"/>
  </w:num>
  <w:num w:numId="3">
    <w:abstractNumId w:val="11"/>
  </w:num>
  <w:num w:numId="4">
    <w:abstractNumId w:val="12"/>
  </w:num>
  <w:num w:numId="5">
    <w:abstractNumId w:val="13"/>
  </w:num>
  <w:num w:numId="6">
    <w:abstractNumId w:val="4"/>
  </w:num>
  <w:num w:numId="7">
    <w:abstractNumId w:val="9"/>
  </w:num>
  <w:num w:numId="8">
    <w:abstractNumId w:val="2"/>
  </w:num>
  <w:num w:numId="9">
    <w:abstractNumId w:val="8"/>
  </w:num>
  <w:num w:numId="10">
    <w:abstractNumId w:val="6"/>
  </w:num>
  <w:num w:numId="11">
    <w:abstractNumId w:val="3"/>
  </w:num>
  <w:num w:numId="12">
    <w:abstractNumId w:val="7"/>
  </w:num>
  <w:num w:numId="13">
    <w:abstractNumId w:val="16"/>
  </w:num>
  <w:num w:numId="14">
    <w:abstractNumId w:val="15"/>
  </w:num>
  <w:num w:numId="15">
    <w:abstractNumId w:val="1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mM1MDNkZWU1NDlhOGYxMjQwNDdhMjg5NWVjY2EifQ=="/>
    <w:docVar w:name="KSO_WPS_MARK_KEY" w:val="606a2ba1-8e3a-42d4-8217-12406e963ef1"/>
  </w:docVars>
  <w:rsids>
    <w:rsidRoot w:val="00172A27"/>
    <w:rsid w:val="000014C5"/>
    <w:rsid w:val="00002AE4"/>
    <w:rsid w:val="00002D74"/>
    <w:rsid w:val="00003626"/>
    <w:rsid w:val="000040DE"/>
    <w:rsid w:val="000070F0"/>
    <w:rsid w:val="000075E8"/>
    <w:rsid w:val="00010BF7"/>
    <w:rsid w:val="00011B4B"/>
    <w:rsid w:val="00016B79"/>
    <w:rsid w:val="00017816"/>
    <w:rsid w:val="00017C36"/>
    <w:rsid w:val="000235AF"/>
    <w:rsid w:val="0002619D"/>
    <w:rsid w:val="00032ACA"/>
    <w:rsid w:val="00034EF4"/>
    <w:rsid w:val="0003632F"/>
    <w:rsid w:val="000414ED"/>
    <w:rsid w:val="00043835"/>
    <w:rsid w:val="0004739C"/>
    <w:rsid w:val="00050F00"/>
    <w:rsid w:val="00051E02"/>
    <w:rsid w:val="000523C9"/>
    <w:rsid w:val="0005298B"/>
    <w:rsid w:val="0005417C"/>
    <w:rsid w:val="00055377"/>
    <w:rsid w:val="000553AD"/>
    <w:rsid w:val="000576E1"/>
    <w:rsid w:val="00061A7C"/>
    <w:rsid w:val="00063981"/>
    <w:rsid w:val="00072999"/>
    <w:rsid w:val="00074C38"/>
    <w:rsid w:val="000816AD"/>
    <w:rsid w:val="00082913"/>
    <w:rsid w:val="00082CC1"/>
    <w:rsid w:val="00085C0C"/>
    <w:rsid w:val="00090C5A"/>
    <w:rsid w:val="00091B1C"/>
    <w:rsid w:val="00091D22"/>
    <w:rsid w:val="000A0C74"/>
    <w:rsid w:val="000A164E"/>
    <w:rsid w:val="000A1D2B"/>
    <w:rsid w:val="000A3057"/>
    <w:rsid w:val="000A4C57"/>
    <w:rsid w:val="000B1068"/>
    <w:rsid w:val="000B3002"/>
    <w:rsid w:val="000B42F4"/>
    <w:rsid w:val="000B7377"/>
    <w:rsid w:val="000B7F54"/>
    <w:rsid w:val="000C08C1"/>
    <w:rsid w:val="000C14B4"/>
    <w:rsid w:val="000C1E0E"/>
    <w:rsid w:val="000C20E6"/>
    <w:rsid w:val="000C2C03"/>
    <w:rsid w:val="000C42C6"/>
    <w:rsid w:val="000C6D89"/>
    <w:rsid w:val="000D12F4"/>
    <w:rsid w:val="000D2117"/>
    <w:rsid w:val="000D3803"/>
    <w:rsid w:val="000D44D7"/>
    <w:rsid w:val="000D776F"/>
    <w:rsid w:val="000E01C9"/>
    <w:rsid w:val="000E0DD7"/>
    <w:rsid w:val="000E3259"/>
    <w:rsid w:val="000E3B94"/>
    <w:rsid w:val="000E4219"/>
    <w:rsid w:val="000E4835"/>
    <w:rsid w:val="000E5AB0"/>
    <w:rsid w:val="000F302A"/>
    <w:rsid w:val="000F3D5B"/>
    <w:rsid w:val="000F3E5E"/>
    <w:rsid w:val="000F64D7"/>
    <w:rsid w:val="000F7C6E"/>
    <w:rsid w:val="000F7DBF"/>
    <w:rsid w:val="0010014A"/>
    <w:rsid w:val="00100639"/>
    <w:rsid w:val="0010088E"/>
    <w:rsid w:val="001028FD"/>
    <w:rsid w:val="00105638"/>
    <w:rsid w:val="0010716D"/>
    <w:rsid w:val="001113D5"/>
    <w:rsid w:val="001140DC"/>
    <w:rsid w:val="00114CFE"/>
    <w:rsid w:val="00115337"/>
    <w:rsid w:val="001166B8"/>
    <w:rsid w:val="0011683E"/>
    <w:rsid w:val="00116856"/>
    <w:rsid w:val="00116C42"/>
    <w:rsid w:val="0011780F"/>
    <w:rsid w:val="00117B26"/>
    <w:rsid w:val="00120259"/>
    <w:rsid w:val="00122926"/>
    <w:rsid w:val="00122F9D"/>
    <w:rsid w:val="001264A8"/>
    <w:rsid w:val="001266BF"/>
    <w:rsid w:val="00132251"/>
    <w:rsid w:val="00133D16"/>
    <w:rsid w:val="00134037"/>
    <w:rsid w:val="001342AC"/>
    <w:rsid w:val="00135010"/>
    <w:rsid w:val="00135BAE"/>
    <w:rsid w:val="00145224"/>
    <w:rsid w:val="00146EC3"/>
    <w:rsid w:val="00147FB4"/>
    <w:rsid w:val="0015011C"/>
    <w:rsid w:val="00150204"/>
    <w:rsid w:val="0015033B"/>
    <w:rsid w:val="00150429"/>
    <w:rsid w:val="001523C5"/>
    <w:rsid w:val="00152B00"/>
    <w:rsid w:val="00152CAD"/>
    <w:rsid w:val="00153556"/>
    <w:rsid w:val="001557D0"/>
    <w:rsid w:val="0016265A"/>
    <w:rsid w:val="00171E05"/>
    <w:rsid w:val="00172A27"/>
    <w:rsid w:val="00174DA8"/>
    <w:rsid w:val="00180898"/>
    <w:rsid w:val="00180ACB"/>
    <w:rsid w:val="00181A6C"/>
    <w:rsid w:val="00183B60"/>
    <w:rsid w:val="00186623"/>
    <w:rsid w:val="0018690A"/>
    <w:rsid w:val="001879FD"/>
    <w:rsid w:val="00187E60"/>
    <w:rsid w:val="001956B9"/>
    <w:rsid w:val="0019571D"/>
    <w:rsid w:val="001963A2"/>
    <w:rsid w:val="00196465"/>
    <w:rsid w:val="00197A69"/>
    <w:rsid w:val="001A1B93"/>
    <w:rsid w:val="001A5D23"/>
    <w:rsid w:val="001A64A1"/>
    <w:rsid w:val="001A6DCC"/>
    <w:rsid w:val="001A773E"/>
    <w:rsid w:val="001B0396"/>
    <w:rsid w:val="001B1400"/>
    <w:rsid w:val="001B3DBD"/>
    <w:rsid w:val="001B4377"/>
    <w:rsid w:val="001C19FF"/>
    <w:rsid w:val="001C3A8E"/>
    <w:rsid w:val="001C4BA4"/>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5D54"/>
    <w:rsid w:val="00206AE4"/>
    <w:rsid w:val="002100EE"/>
    <w:rsid w:val="00210168"/>
    <w:rsid w:val="00210ED7"/>
    <w:rsid w:val="00212A06"/>
    <w:rsid w:val="00214E7A"/>
    <w:rsid w:val="00215DEE"/>
    <w:rsid w:val="0021618E"/>
    <w:rsid w:val="0021704D"/>
    <w:rsid w:val="002215D4"/>
    <w:rsid w:val="002216C7"/>
    <w:rsid w:val="00222097"/>
    <w:rsid w:val="002227DB"/>
    <w:rsid w:val="00224F23"/>
    <w:rsid w:val="00226FCF"/>
    <w:rsid w:val="00227202"/>
    <w:rsid w:val="00227377"/>
    <w:rsid w:val="00227851"/>
    <w:rsid w:val="002339D3"/>
    <w:rsid w:val="00234257"/>
    <w:rsid w:val="002348E0"/>
    <w:rsid w:val="002409D2"/>
    <w:rsid w:val="00246ACA"/>
    <w:rsid w:val="00247264"/>
    <w:rsid w:val="00254E1A"/>
    <w:rsid w:val="002601D8"/>
    <w:rsid w:val="00262555"/>
    <w:rsid w:val="00263832"/>
    <w:rsid w:val="002643C1"/>
    <w:rsid w:val="00265203"/>
    <w:rsid w:val="00270223"/>
    <w:rsid w:val="00270B91"/>
    <w:rsid w:val="0027199E"/>
    <w:rsid w:val="00271D47"/>
    <w:rsid w:val="002721EA"/>
    <w:rsid w:val="002752BA"/>
    <w:rsid w:val="00280E8A"/>
    <w:rsid w:val="0028321B"/>
    <w:rsid w:val="002839EE"/>
    <w:rsid w:val="00285164"/>
    <w:rsid w:val="002855B0"/>
    <w:rsid w:val="00286959"/>
    <w:rsid w:val="00287592"/>
    <w:rsid w:val="00292CA7"/>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26E0"/>
    <w:rsid w:val="002E3527"/>
    <w:rsid w:val="002E3824"/>
    <w:rsid w:val="002E78F7"/>
    <w:rsid w:val="002F00CD"/>
    <w:rsid w:val="002F031F"/>
    <w:rsid w:val="002F0ED3"/>
    <w:rsid w:val="002F3278"/>
    <w:rsid w:val="002F3DE3"/>
    <w:rsid w:val="002F428E"/>
    <w:rsid w:val="002F632E"/>
    <w:rsid w:val="003021BC"/>
    <w:rsid w:val="00303FAB"/>
    <w:rsid w:val="0030440F"/>
    <w:rsid w:val="00310AF9"/>
    <w:rsid w:val="00310DAA"/>
    <w:rsid w:val="00311E3C"/>
    <w:rsid w:val="00312226"/>
    <w:rsid w:val="00312A40"/>
    <w:rsid w:val="0031465E"/>
    <w:rsid w:val="00315742"/>
    <w:rsid w:val="003163B3"/>
    <w:rsid w:val="003200C6"/>
    <w:rsid w:val="00322A7A"/>
    <w:rsid w:val="00326C5B"/>
    <w:rsid w:val="00327AEA"/>
    <w:rsid w:val="003333B3"/>
    <w:rsid w:val="003336F0"/>
    <w:rsid w:val="0033663D"/>
    <w:rsid w:val="003366D9"/>
    <w:rsid w:val="00340777"/>
    <w:rsid w:val="00341D8A"/>
    <w:rsid w:val="00341DEB"/>
    <w:rsid w:val="00346A3D"/>
    <w:rsid w:val="00347C4B"/>
    <w:rsid w:val="00350510"/>
    <w:rsid w:val="00350C20"/>
    <w:rsid w:val="003548FA"/>
    <w:rsid w:val="00355643"/>
    <w:rsid w:val="00355A74"/>
    <w:rsid w:val="00356CE6"/>
    <w:rsid w:val="0035764D"/>
    <w:rsid w:val="00361427"/>
    <w:rsid w:val="00363702"/>
    <w:rsid w:val="0036458B"/>
    <w:rsid w:val="003703E8"/>
    <w:rsid w:val="00371D2F"/>
    <w:rsid w:val="00372653"/>
    <w:rsid w:val="00373122"/>
    <w:rsid w:val="0037612E"/>
    <w:rsid w:val="00376F02"/>
    <w:rsid w:val="0038033A"/>
    <w:rsid w:val="003816ED"/>
    <w:rsid w:val="003840E9"/>
    <w:rsid w:val="00384161"/>
    <w:rsid w:val="00387610"/>
    <w:rsid w:val="0039432A"/>
    <w:rsid w:val="003953EA"/>
    <w:rsid w:val="00395C2F"/>
    <w:rsid w:val="00396581"/>
    <w:rsid w:val="003973D3"/>
    <w:rsid w:val="00397F89"/>
    <w:rsid w:val="003A0495"/>
    <w:rsid w:val="003A0892"/>
    <w:rsid w:val="003A3162"/>
    <w:rsid w:val="003A37AF"/>
    <w:rsid w:val="003A422B"/>
    <w:rsid w:val="003A449E"/>
    <w:rsid w:val="003A71F3"/>
    <w:rsid w:val="003B19F5"/>
    <w:rsid w:val="003B1D43"/>
    <w:rsid w:val="003C155E"/>
    <w:rsid w:val="003D0E0A"/>
    <w:rsid w:val="003D3ABD"/>
    <w:rsid w:val="003D3B22"/>
    <w:rsid w:val="003D7B3D"/>
    <w:rsid w:val="003E0348"/>
    <w:rsid w:val="003E0860"/>
    <w:rsid w:val="003E1FE8"/>
    <w:rsid w:val="003E2775"/>
    <w:rsid w:val="003E3AD0"/>
    <w:rsid w:val="003F3DB1"/>
    <w:rsid w:val="003F451E"/>
    <w:rsid w:val="003F4939"/>
    <w:rsid w:val="003F626F"/>
    <w:rsid w:val="003F6794"/>
    <w:rsid w:val="00400AE4"/>
    <w:rsid w:val="00401A0E"/>
    <w:rsid w:val="00402B32"/>
    <w:rsid w:val="0040519F"/>
    <w:rsid w:val="004068FD"/>
    <w:rsid w:val="0040781E"/>
    <w:rsid w:val="00410BD9"/>
    <w:rsid w:val="00410C93"/>
    <w:rsid w:val="004115FB"/>
    <w:rsid w:val="00411B4A"/>
    <w:rsid w:val="004134DD"/>
    <w:rsid w:val="0041535B"/>
    <w:rsid w:val="00417E99"/>
    <w:rsid w:val="00421507"/>
    <w:rsid w:val="00424D02"/>
    <w:rsid w:val="0042525A"/>
    <w:rsid w:val="00425A1B"/>
    <w:rsid w:val="0042733C"/>
    <w:rsid w:val="0044185A"/>
    <w:rsid w:val="0044193A"/>
    <w:rsid w:val="00445F18"/>
    <w:rsid w:val="00446BCA"/>
    <w:rsid w:val="0044784A"/>
    <w:rsid w:val="00453B8F"/>
    <w:rsid w:val="004556B7"/>
    <w:rsid w:val="004568ED"/>
    <w:rsid w:val="00460489"/>
    <w:rsid w:val="004608C7"/>
    <w:rsid w:val="00462878"/>
    <w:rsid w:val="00465B7A"/>
    <w:rsid w:val="00470C8B"/>
    <w:rsid w:val="00471121"/>
    <w:rsid w:val="00472AA2"/>
    <w:rsid w:val="00473B39"/>
    <w:rsid w:val="00474175"/>
    <w:rsid w:val="00481309"/>
    <w:rsid w:val="00481BFF"/>
    <w:rsid w:val="00490831"/>
    <w:rsid w:val="004928A2"/>
    <w:rsid w:val="00494610"/>
    <w:rsid w:val="004953EC"/>
    <w:rsid w:val="004954BA"/>
    <w:rsid w:val="00495B4F"/>
    <w:rsid w:val="00497ADD"/>
    <w:rsid w:val="004A0D29"/>
    <w:rsid w:val="004A0DE1"/>
    <w:rsid w:val="004A2410"/>
    <w:rsid w:val="004A27AC"/>
    <w:rsid w:val="004A3995"/>
    <w:rsid w:val="004A6196"/>
    <w:rsid w:val="004B3AB3"/>
    <w:rsid w:val="004C1DD0"/>
    <w:rsid w:val="004C2685"/>
    <w:rsid w:val="004C64E4"/>
    <w:rsid w:val="004C6673"/>
    <w:rsid w:val="004D2334"/>
    <w:rsid w:val="004D3236"/>
    <w:rsid w:val="004D433D"/>
    <w:rsid w:val="004D4410"/>
    <w:rsid w:val="004D6AB0"/>
    <w:rsid w:val="004E156F"/>
    <w:rsid w:val="004E2F88"/>
    <w:rsid w:val="004E33FD"/>
    <w:rsid w:val="004E550E"/>
    <w:rsid w:val="004E55DB"/>
    <w:rsid w:val="004E67C6"/>
    <w:rsid w:val="004F2338"/>
    <w:rsid w:val="004F5959"/>
    <w:rsid w:val="004F670C"/>
    <w:rsid w:val="00502B2F"/>
    <w:rsid w:val="00504DD1"/>
    <w:rsid w:val="00512D00"/>
    <w:rsid w:val="00512D44"/>
    <w:rsid w:val="00514179"/>
    <w:rsid w:val="005160F8"/>
    <w:rsid w:val="00516243"/>
    <w:rsid w:val="005164D4"/>
    <w:rsid w:val="00527103"/>
    <w:rsid w:val="00532557"/>
    <w:rsid w:val="005339A0"/>
    <w:rsid w:val="005406A0"/>
    <w:rsid w:val="00540E03"/>
    <w:rsid w:val="00541D5F"/>
    <w:rsid w:val="00544BEA"/>
    <w:rsid w:val="00544E31"/>
    <w:rsid w:val="005460D5"/>
    <w:rsid w:val="00546EF3"/>
    <w:rsid w:val="00551B3B"/>
    <w:rsid w:val="00553CF0"/>
    <w:rsid w:val="00557C75"/>
    <w:rsid w:val="00566A85"/>
    <w:rsid w:val="00570C78"/>
    <w:rsid w:val="00573AE3"/>
    <w:rsid w:val="00581EF9"/>
    <w:rsid w:val="0058364D"/>
    <w:rsid w:val="00583690"/>
    <w:rsid w:val="00585904"/>
    <w:rsid w:val="005902D9"/>
    <w:rsid w:val="0059075F"/>
    <w:rsid w:val="005917FA"/>
    <w:rsid w:val="00596560"/>
    <w:rsid w:val="00596AB7"/>
    <w:rsid w:val="005A1B5C"/>
    <w:rsid w:val="005A1EA7"/>
    <w:rsid w:val="005A6A12"/>
    <w:rsid w:val="005B0724"/>
    <w:rsid w:val="005B1E46"/>
    <w:rsid w:val="005B5AA4"/>
    <w:rsid w:val="005C3F4B"/>
    <w:rsid w:val="005C42AC"/>
    <w:rsid w:val="005C4F84"/>
    <w:rsid w:val="005C5262"/>
    <w:rsid w:val="005D0DA6"/>
    <w:rsid w:val="005D2EC6"/>
    <w:rsid w:val="005D37D0"/>
    <w:rsid w:val="005D38E0"/>
    <w:rsid w:val="005D41E8"/>
    <w:rsid w:val="005D703E"/>
    <w:rsid w:val="005E24B0"/>
    <w:rsid w:val="005E3517"/>
    <w:rsid w:val="005E35E9"/>
    <w:rsid w:val="005E5525"/>
    <w:rsid w:val="005F38BB"/>
    <w:rsid w:val="005F7895"/>
    <w:rsid w:val="0060003E"/>
    <w:rsid w:val="00602BBE"/>
    <w:rsid w:val="0060315D"/>
    <w:rsid w:val="00607D36"/>
    <w:rsid w:val="0061170A"/>
    <w:rsid w:val="00612FF1"/>
    <w:rsid w:val="00613410"/>
    <w:rsid w:val="00617986"/>
    <w:rsid w:val="006256CA"/>
    <w:rsid w:val="00625B27"/>
    <w:rsid w:val="00627729"/>
    <w:rsid w:val="00627F21"/>
    <w:rsid w:val="0063025A"/>
    <w:rsid w:val="006413DF"/>
    <w:rsid w:val="006450AB"/>
    <w:rsid w:val="0064583B"/>
    <w:rsid w:val="006468B8"/>
    <w:rsid w:val="00651127"/>
    <w:rsid w:val="0065190C"/>
    <w:rsid w:val="006542F1"/>
    <w:rsid w:val="00654A48"/>
    <w:rsid w:val="0065651B"/>
    <w:rsid w:val="00660CE1"/>
    <w:rsid w:val="00664607"/>
    <w:rsid w:val="00665941"/>
    <w:rsid w:val="0066755F"/>
    <w:rsid w:val="00670089"/>
    <w:rsid w:val="00670C89"/>
    <w:rsid w:val="00671233"/>
    <w:rsid w:val="006763DC"/>
    <w:rsid w:val="0067718E"/>
    <w:rsid w:val="00680AE4"/>
    <w:rsid w:val="00682205"/>
    <w:rsid w:val="006822B0"/>
    <w:rsid w:val="00683F7D"/>
    <w:rsid w:val="00684433"/>
    <w:rsid w:val="00684E51"/>
    <w:rsid w:val="0068793C"/>
    <w:rsid w:val="00691251"/>
    <w:rsid w:val="00694288"/>
    <w:rsid w:val="00694F91"/>
    <w:rsid w:val="006953CE"/>
    <w:rsid w:val="00696FC2"/>
    <w:rsid w:val="006A100B"/>
    <w:rsid w:val="006A143A"/>
    <w:rsid w:val="006A3285"/>
    <w:rsid w:val="006A4C56"/>
    <w:rsid w:val="006B0567"/>
    <w:rsid w:val="006B28E4"/>
    <w:rsid w:val="006B4535"/>
    <w:rsid w:val="006B72DE"/>
    <w:rsid w:val="006B75CB"/>
    <w:rsid w:val="006C4B69"/>
    <w:rsid w:val="006C5FC1"/>
    <w:rsid w:val="006D44E1"/>
    <w:rsid w:val="006D6350"/>
    <w:rsid w:val="006D6662"/>
    <w:rsid w:val="006E0D3E"/>
    <w:rsid w:val="006E21AB"/>
    <w:rsid w:val="006E21FA"/>
    <w:rsid w:val="006E26D5"/>
    <w:rsid w:val="006E477D"/>
    <w:rsid w:val="006E6D5F"/>
    <w:rsid w:val="006F06A8"/>
    <w:rsid w:val="006F0FB7"/>
    <w:rsid w:val="006F1CF3"/>
    <w:rsid w:val="006F5925"/>
    <w:rsid w:val="006F5E40"/>
    <w:rsid w:val="006F6E4A"/>
    <w:rsid w:val="007042C4"/>
    <w:rsid w:val="00704E5D"/>
    <w:rsid w:val="00705739"/>
    <w:rsid w:val="007073D6"/>
    <w:rsid w:val="00710AE5"/>
    <w:rsid w:val="00712E83"/>
    <w:rsid w:val="00712FF5"/>
    <w:rsid w:val="0071464D"/>
    <w:rsid w:val="00714BF1"/>
    <w:rsid w:val="00715FB5"/>
    <w:rsid w:val="00716C50"/>
    <w:rsid w:val="007171A6"/>
    <w:rsid w:val="0071799D"/>
    <w:rsid w:val="00726088"/>
    <w:rsid w:val="0072619F"/>
    <w:rsid w:val="00730B6A"/>
    <w:rsid w:val="00731B91"/>
    <w:rsid w:val="00734728"/>
    <w:rsid w:val="00736D88"/>
    <w:rsid w:val="00736DD2"/>
    <w:rsid w:val="00736EE0"/>
    <w:rsid w:val="0074681C"/>
    <w:rsid w:val="00746EC2"/>
    <w:rsid w:val="0074756B"/>
    <w:rsid w:val="007504DE"/>
    <w:rsid w:val="00761568"/>
    <w:rsid w:val="00762B70"/>
    <w:rsid w:val="007636FE"/>
    <w:rsid w:val="0077408E"/>
    <w:rsid w:val="00780577"/>
    <w:rsid w:val="00781AD3"/>
    <w:rsid w:val="00781BFB"/>
    <w:rsid w:val="00786FA7"/>
    <w:rsid w:val="0079177C"/>
    <w:rsid w:val="00794382"/>
    <w:rsid w:val="007959AC"/>
    <w:rsid w:val="00796323"/>
    <w:rsid w:val="007A20E0"/>
    <w:rsid w:val="007B19DC"/>
    <w:rsid w:val="007B2204"/>
    <w:rsid w:val="007B29A9"/>
    <w:rsid w:val="007B4B60"/>
    <w:rsid w:val="007B7278"/>
    <w:rsid w:val="007C1691"/>
    <w:rsid w:val="007C4F0C"/>
    <w:rsid w:val="007C6B0F"/>
    <w:rsid w:val="007C7B5A"/>
    <w:rsid w:val="007D0625"/>
    <w:rsid w:val="007D7A44"/>
    <w:rsid w:val="007D7E65"/>
    <w:rsid w:val="007E1057"/>
    <w:rsid w:val="007E18D1"/>
    <w:rsid w:val="007E19E0"/>
    <w:rsid w:val="007E43E4"/>
    <w:rsid w:val="007E517D"/>
    <w:rsid w:val="007F293D"/>
    <w:rsid w:val="007F2A4B"/>
    <w:rsid w:val="007F5C32"/>
    <w:rsid w:val="007F6769"/>
    <w:rsid w:val="008041D4"/>
    <w:rsid w:val="00805D2C"/>
    <w:rsid w:val="00806938"/>
    <w:rsid w:val="00807818"/>
    <w:rsid w:val="0081156A"/>
    <w:rsid w:val="00823D8F"/>
    <w:rsid w:val="00827398"/>
    <w:rsid w:val="008275B6"/>
    <w:rsid w:val="0083078C"/>
    <w:rsid w:val="0083653E"/>
    <w:rsid w:val="008369DC"/>
    <w:rsid w:val="00842974"/>
    <w:rsid w:val="00842F87"/>
    <w:rsid w:val="00843A88"/>
    <w:rsid w:val="00843D2E"/>
    <w:rsid w:val="00847F19"/>
    <w:rsid w:val="00851C1A"/>
    <w:rsid w:val="00852A37"/>
    <w:rsid w:val="0085401D"/>
    <w:rsid w:val="0085550A"/>
    <w:rsid w:val="008616EF"/>
    <w:rsid w:val="00863C25"/>
    <w:rsid w:val="008641B7"/>
    <w:rsid w:val="00864206"/>
    <w:rsid w:val="00864D80"/>
    <w:rsid w:val="00864DC1"/>
    <w:rsid w:val="00870530"/>
    <w:rsid w:val="008705BC"/>
    <w:rsid w:val="00870CA6"/>
    <w:rsid w:val="00871999"/>
    <w:rsid w:val="00872E27"/>
    <w:rsid w:val="00875A42"/>
    <w:rsid w:val="0088192C"/>
    <w:rsid w:val="00884B8C"/>
    <w:rsid w:val="008904A8"/>
    <w:rsid w:val="00891D94"/>
    <w:rsid w:val="00896589"/>
    <w:rsid w:val="008A0CEE"/>
    <w:rsid w:val="008A19AF"/>
    <w:rsid w:val="008A20FB"/>
    <w:rsid w:val="008A4D88"/>
    <w:rsid w:val="008B1725"/>
    <w:rsid w:val="008C1B22"/>
    <w:rsid w:val="008C4C84"/>
    <w:rsid w:val="008C510F"/>
    <w:rsid w:val="008C5B4E"/>
    <w:rsid w:val="008D067F"/>
    <w:rsid w:val="008D3283"/>
    <w:rsid w:val="008D5FC8"/>
    <w:rsid w:val="008E437B"/>
    <w:rsid w:val="008E4427"/>
    <w:rsid w:val="008E4D3F"/>
    <w:rsid w:val="008E66B8"/>
    <w:rsid w:val="008F0A2E"/>
    <w:rsid w:val="008F1988"/>
    <w:rsid w:val="008F2B05"/>
    <w:rsid w:val="008F5E76"/>
    <w:rsid w:val="008F6252"/>
    <w:rsid w:val="009023F3"/>
    <w:rsid w:val="0090383C"/>
    <w:rsid w:val="00905D85"/>
    <w:rsid w:val="00912132"/>
    <w:rsid w:val="00913CAA"/>
    <w:rsid w:val="009212E9"/>
    <w:rsid w:val="009226D2"/>
    <w:rsid w:val="00922FAD"/>
    <w:rsid w:val="00923960"/>
    <w:rsid w:val="00924F0A"/>
    <w:rsid w:val="00925082"/>
    <w:rsid w:val="00925726"/>
    <w:rsid w:val="00926904"/>
    <w:rsid w:val="0092708B"/>
    <w:rsid w:val="0093049D"/>
    <w:rsid w:val="00936A01"/>
    <w:rsid w:val="00937713"/>
    <w:rsid w:val="00937BFD"/>
    <w:rsid w:val="009404E7"/>
    <w:rsid w:val="009409CD"/>
    <w:rsid w:val="0094759E"/>
    <w:rsid w:val="00952C13"/>
    <w:rsid w:val="0095455D"/>
    <w:rsid w:val="00957377"/>
    <w:rsid w:val="00962BF1"/>
    <w:rsid w:val="00963237"/>
    <w:rsid w:val="00966820"/>
    <w:rsid w:val="00971E57"/>
    <w:rsid w:val="009723CF"/>
    <w:rsid w:val="00972F46"/>
    <w:rsid w:val="00972FDB"/>
    <w:rsid w:val="00973D3A"/>
    <w:rsid w:val="0097416A"/>
    <w:rsid w:val="009741DC"/>
    <w:rsid w:val="0097652A"/>
    <w:rsid w:val="00980037"/>
    <w:rsid w:val="00983B43"/>
    <w:rsid w:val="00984742"/>
    <w:rsid w:val="00985FFA"/>
    <w:rsid w:val="009915E6"/>
    <w:rsid w:val="0099161D"/>
    <w:rsid w:val="00991B37"/>
    <w:rsid w:val="00994B84"/>
    <w:rsid w:val="009A2CA7"/>
    <w:rsid w:val="009A3EAD"/>
    <w:rsid w:val="009B27A7"/>
    <w:rsid w:val="009B6208"/>
    <w:rsid w:val="009B6595"/>
    <w:rsid w:val="009B71FF"/>
    <w:rsid w:val="009C190A"/>
    <w:rsid w:val="009C3034"/>
    <w:rsid w:val="009C358E"/>
    <w:rsid w:val="009C4BFF"/>
    <w:rsid w:val="009C65C0"/>
    <w:rsid w:val="009C7522"/>
    <w:rsid w:val="009D0FDD"/>
    <w:rsid w:val="009D2B6B"/>
    <w:rsid w:val="009D3162"/>
    <w:rsid w:val="009D3181"/>
    <w:rsid w:val="009D5477"/>
    <w:rsid w:val="009D63F2"/>
    <w:rsid w:val="009D7B9B"/>
    <w:rsid w:val="009E067B"/>
    <w:rsid w:val="009E717E"/>
    <w:rsid w:val="009E737D"/>
    <w:rsid w:val="009F18FA"/>
    <w:rsid w:val="009F2A05"/>
    <w:rsid w:val="00A0197B"/>
    <w:rsid w:val="00A02768"/>
    <w:rsid w:val="00A03977"/>
    <w:rsid w:val="00A06013"/>
    <w:rsid w:val="00A104A7"/>
    <w:rsid w:val="00A124BA"/>
    <w:rsid w:val="00A12904"/>
    <w:rsid w:val="00A13FB3"/>
    <w:rsid w:val="00A15FBF"/>
    <w:rsid w:val="00A1616D"/>
    <w:rsid w:val="00A1783B"/>
    <w:rsid w:val="00A224AC"/>
    <w:rsid w:val="00A24619"/>
    <w:rsid w:val="00A26FF7"/>
    <w:rsid w:val="00A27159"/>
    <w:rsid w:val="00A37A20"/>
    <w:rsid w:val="00A445DC"/>
    <w:rsid w:val="00A44BEA"/>
    <w:rsid w:val="00A47046"/>
    <w:rsid w:val="00A47C22"/>
    <w:rsid w:val="00A55B14"/>
    <w:rsid w:val="00A5607B"/>
    <w:rsid w:val="00A5689C"/>
    <w:rsid w:val="00A569E8"/>
    <w:rsid w:val="00A57E19"/>
    <w:rsid w:val="00A57FAF"/>
    <w:rsid w:val="00A601C4"/>
    <w:rsid w:val="00A607CB"/>
    <w:rsid w:val="00A61D6E"/>
    <w:rsid w:val="00A64D8E"/>
    <w:rsid w:val="00A70193"/>
    <w:rsid w:val="00A711C6"/>
    <w:rsid w:val="00A730F3"/>
    <w:rsid w:val="00A74B68"/>
    <w:rsid w:val="00A77EE1"/>
    <w:rsid w:val="00A82997"/>
    <w:rsid w:val="00A84863"/>
    <w:rsid w:val="00A848AC"/>
    <w:rsid w:val="00A908B9"/>
    <w:rsid w:val="00A91750"/>
    <w:rsid w:val="00A95D95"/>
    <w:rsid w:val="00A977EC"/>
    <w:rsid w:val="00AA28DD"/>
    <w:rsid w:val="00AA3FD1"/>
    <w:rsid w:val="00AA52DE"/>
    <w:rsid w:val="00AB06AA"/>
    <w:rsid w:val="00AB11B3"/>
    <w:rsid w:val="00AB1DAF"/>
    <w:rsid w:val="00AB40EF"/>
    <w:rsid w:val="00AB43D9"/>
    <w:rsid w:val="00AB5ED3"/>
    <w:rsid w:val="00AB6B0C"/>
    <w:rsid w:val="00AB70CD"/>
    <w:rsid w:val="00AB7800"/>
    <w:rsid w:val="00AC169D"/>
    <w:rsid w:val="00AC1860"/>
    <w:rsid w:val="00AC24A0"/>
    <w:rsid w:val="00AC4898"/>
    <w:rsid w:val="00AC48B3"/>
    <w:rsid w:val="00AC5574"/>
    <w:rsid w:val="00AC7893"/>
    <w:rsid w:val="00AC7AC9"/>
    <w:rsid w:val="00AD1C54"/>
    <w:rsid w:val="00AD38E0"/>
    <w:rsid w:val="00AE115E"/>
    <w:rsid w:val="00AE1920"/>
    <w:rsid w:val="00AE1A9E"/>
    <w:rsid w:val="00AE76F8"/>
    <w:rsid w:val="00AF01B3"/>
    <w:rsid w:val="00AF063A"/>
    <w:rsid w:val="00AF0F13"/>
    <w:rsid w:val="00AF775D"/>
    <w:rsid w:val="00AF7992"/>
    <w:rsid w:val="00AF7CDD"/>
    <w:rsid w:val="00B00AB3"/>
    <w:rsid w:val="00B00DF3"/>
    <w:rsid w:val="00B02F9C"/>
    <w:rsid w:val="00B05042"/>
    <w:rsid w:val="00B07D1D"/>
    <w:rsid w:val="00B14C52"/>
    <w:rsid w:val="00B171B7"/>
    <w:rsid w:val="00B200AA"/>
    <w:rsid w:val="00B203A9"/>
    <w:rsid w:val="00B229A5"/>
    <w:rsid w:val="00B2488E"/>
    <w:rsid w:val="00B25EB3"/>
    <w:rsid w:val="00B33866"/>
    <w:rsid w:val="00B42056"/>
    <w:rsid w:val="00B46AE7"/>
    <w:rsid w:val="00B478C3"/>
    <w:rsid w:val="00B52715"/>
    <w:rsid w:val="00B61348"/>
    <w:rsid w:val="00B61E6C"/>
    <w:rsid w:val="00B6263F"/>
    <w:rsid w:val="00B665E5"/>
    <w:rsid w:val="00B67114"/>
    <w:rsid w:val="00B678C7"/>
    <w:rsid w:val="00B70368"/>
    <w:rsid w:val="00B7097C"/>
    <w:rsid w:val="00B72BCC"/>
    <w:rsid w:val="00B731F3"/>
    <w:rsid w:val="00B75449"/>
    <w:rsid w:val="00B81284"/>
    <w:rsid w:val="00B86DA1"/>
    <w:rsid w:val="00B87401"/>
    <w:rsid w:val="00B92B96"/>
    <w:rsid w:val="00B96B1E"/>
    <w:rsid w:val="00BA19C4"/>
    <w:rsid w:val="00BA3AD4"/>
    <w:rsid w:val="00BA527C"/>
    <w:rsid w:val="00BA5B9C"/>
    <w:rsid w:val="00BA7D51"/>
    <w:rsid w:val="00BA7F31"/>
    <w:rsid w:val="00BB4AD5"/>
    <w:rsid w:val="00BB61C4"/>
    <w:rsid w:val="00BB62CF"/>
    <w:rsid w:val="00BB7494"/>
    <w:rsid w:val="00BB76A5"/>
    <w:rsid w:val="00BC089B"/>
    <w:rsid w:val="00BC183F"/>
    <w:rsid w:val="00BC1C37"/>
    <w:rsid w:val="00BC2390"/>
    <w:rsid w:val="00BC4EA4"/>
    <w:rsid w:val="00BC775D"/>
    <w:rsid w:val="00BD0051"/>
    <w:rsid w:val="00BD2939"/>
    <w:rsid w:val="00BD5A75"/>
    <w:rsid w:val="00BD6BF7"/>
    <w:rsid w:val="00BE0058"/>
    <w:rsid w:val="00BE07A9"/>
    <w:rsid w:val="00BE1700"/>
    <w:rsid w:val="00BE2E36"/>
    <w:rsid w:val="00BE4D35"/>
    <w:rsid w:val="00BE4D8F"/>
    <w:rsid w:val="00BF0A3E"/>
    <w:rsid w:val="00BF26AC"/>
    <w:rsid w:val="00BF46A7"/>
    <w:rsid w:val="00BF46E8"/>
    <w:rsid w:val="00BF5230"/>
    <w:rsid w:val="00BF54C8"/>
    <w:rsid w:val="00BF6DA8"/>
    <w:rsid w:val="00C00289"/>
    <w:rsid w:val="00C00D36"/>
    <w:rsid w:val="00C01B16"/>
    <w:rsid w:val="00C03B59"/>
    <w:rsid w:val="00C03DF8"/>
    <w:rsid w:val="00C06043"/>
    <w:rsid w:val="00C1090C"/>
    <w:rsid w:val="00C1128B"/>
    <w:rsid w:val="00C12DED"/>
    <w:rsid w:val="00C201FC"/>
    <w:rsid w:val="00C22483"/>
    <w:rsid w:val="00C240C8"/>
    <w:rsid w:val="00C249AF"/>
    <w:rsid w:val="00C26513"/>
    <w:rsid w:val="00C328C9"/>
    <w:rsid w:val="00C339ED"/>
    <w:rsid w:val="00C35BA8"/>
    <w:rsid w:val="00C36C8F"/>
    <w:rsid w:val="00C37F72"/>
    <w:rsid w:val="00C40246"/>
    <w:rsid w:val="00C420C1"/>
    <w:rsid w:val="00C4320D"/>
    <w:rsid w:val="00C4323C"/>
    <w:rsid w:val="00C43FEE"/>
    <w:rsid w:val="00C4421A"/>
    <w:rsid w:val="00C44E95"/>
    <w:rsid w:val="00C45188"/>
    <w:rsid w:val="00C45963"/>
    <w:rsid w:val="00C472B8"/>
    <w:rsid w:val="00C50723"/>
    <w:rsid w:val="00C51720"/>
    <w:rsid w:val="00C529FD"/>
    <w:rsid w:val="00C53124"/>
    <w:rsid w:val="00C538A9"/>
    <w:rsid w:val="00C53B2E"/>
    <w:rsid w:val="00C6160A"/>
    <w:rsid w:val="00C62B51"/>
    <w:rsid w:val="00C65711"/>
    <w:rsid w:val="00C66460"/>
    <w:rsid w:val="00C76ECD"/>
    <w:rsid w:val="00C820F1"/>
    <w:rsid w:val="00C8221C"/>
    <w:rsid w:val="00C84B63"/>
    <w:rsid w:val="00C84E04"/>
    <w:rsid w:val="00C86DC6"/>
    <w:rsid w:val="00C910BE"/>
    <w:rsid w:val="00C922BE"/>
    <w:rsid w:val="00C95FD3"/>
    <w:rsid w:val="00CA10F9"/>
    <w:rsid w:val="00CA1387"/>
    <w:rsid w:val="00CA14F4"/>
    <w:rsid w:val="00CA3F28"/>
    <w:rsid w:val="00CA583F"/>
    <w:rsid w:val="00CA5844"/>
    <w:rsid w:val="00CA5994"/>
    <w:rsid w:val="00CA7415"/>
    <w:rsid w:val="00CB265C"/>
    <w:rsid w:val="00CB2BDD"/>
    <w:rsid w:val="00CB32BC"/>
    <w:rsid w:val="00CB4540"/>
    <w:rsid w:val="00CB4951"/>
    <w:rsid w:val="00CB7A07"/>
    <w:rsid w:val="00CC59BB"/>
    <w:rsid w:val="00CC7E19"/>
    <w:rsid w:val="00CD1B93"/>
    <w:rsid w:val="00CD2A18"/>
    <w:rsid w:val="00CD3BD4"/>
    <w:rsid w:val="00CD3CC8"/>
    <w:rsid w:val="00CD4222"/>
    <w:rsid w:val="00CD4915"/>
    <w:rsid w:val="00CD60BD"/>
    <w:rsid w:val="00CD635D"/>
    <w:rsid w:val="00CD6DEE"/>
    <w:rsid w:val="00CD756F"/>
    <w:rsid w:val="00CD7C5B"/>
    <w:rsid w:val="00CD7CED"/>
    <w:rsid w:val="00CE04C7"/>
    <w:rsid w:val="00CE2AC9"/>
    <w:rsid w:val="00CE2AFE"/>
    <w:rsid w:val="00CE699D"/>
    <w:rsid w:val="00CE7261"/>
    <w:rsid w:val="00CE7813"/>
    <w:rsid w:val="00CE7B14"/>
    <w:rsid w:val="00CF0A0A"/>
    <w:rsid w:val="00CF156B"/>
    <w:rsid w:val="00CF1E02"/>
    <w:rsid w:val="00CF4BD6"/>
    <w:rsid w:val="00CF597A"/>
    <w:rsid w:val="00CF6AEF"/>
    <w:rsid w:val="00CF78CE"/>
    <w:rsid w:val="00D00228"/>
    <w:rsid w:val="00D00DA0"/>
    <w:rsid w:val="00D0103F"/>
    <w:rsid w:val="00D03E34"/>
    <w:rsid w:val="00D05BAA"/>
    <w:rsid w:val="00D068CB"/>
    <w:rsid w:val="00D07F26"/>
    <w:rsid w:val="00D11A09"/>
    <w:rsid w:val="00D11BCD"/>
    <w:rsid w:val="00D13B7A"/>
    <w:rsid w:val="00D17FD1"/>
    <w:rsid w:val="00D21F19"/>
    <w:rsid w:val="00D22C4B"/>
    <w:rsid w:val="00D230C7"/>
    <w:rsid w:val="00D23583"/>
    <w:rsid w:val="00D23E7D"/>
    <w:rsid w:val="00D2405F"/>
    <w:rsid w:val="00D26C07"/>
    <w:rsid w:val="00D26C71"/>
    <w:rsid w:val="00D308BE"/>
    <w:rsid w:val="00D30C7F"/>
    <w:rsid w:val="00D32DFB"/>
    <w:rsid w:val="00D41421"/>
    <w:rsid w:val="00D41998"/>
    <w:rsid w:val="00D41BA9"/>
    <w:rsid w:val="00D44059"/>
    <w:rsid w:val="00D4511A"/>
    <w:rsid w:val="00D51128"/>
    <w:rsid w:val="00D51813"/>
    <w:rsid w:val="00D52376"/>
    <w:rsid w:val="00D53EE6"/>
    <w:rsid w:val="00D57A81"/>
    <w:rsid w:val="00D57DC0"/>
    <w:rsid w:val="00D612C2"/>
    <w:rsid w:val="00D64D38"/>
    <w:rsid w:val="00D65441"/>
    <w:rsid w:val="00D7238C"/>
    <w:rsid w:val="00D745E0"/>
    <w:rsid w:val="00D74DF8"/>
    <w:rsid w:val="00D76AA3"/>
    <w:rsid w:val="00D80604"/>
    <w:rsid w:val="00D82B66"/>
    <w:rsid w:val="00D83CB2"/>
    <w:rsid w:val="00D86529"/>
    <w:rsid w:val="00D86A86"/>
    <w:rsid w:val="00D86DAC"/>
    <w:rsid w:val="00D8791E"/>
    <w:rsid w:val="00D917C6"/>
    <w:rsid w:val="00D92438"/>
    <w:rsid w:val="00D92734"/>
    <w:rsid w:val="00DA0040"/>
    <w:rsid w:val="00DA086B"/>
    <w:rsid w:val="00DA1D7A"/>
    <w:rsid w:val="00DA5E0A"/>
    <w:rsid w:val="00DA6834"/>
    <w:rsid w:val="00DA7145"/>
    <w:rsid w:val="00DA76F7"/>
    <w:rsid w:val="00DA78D8"/>
    <w:rsid w:val="00DA7E05"/>
    <w:rsid w:val="00DB24A4"/>
    <w:rsid w:val="00DB4794"/>
    <w:rsid w:val="00DB5C3E"/>
    <w:rsid w:val="00DB628E"/>
    <w:rsid w:val="00DB76EF"/>
    <w:rsid w:val="00DC19AD"/>
    <w:rsid w:val="00DC32D6"/>
    <w:rsid w:val="00DC4070"/>
    <w:rsid w:val="00DC52DF"/>
    <w:rsid w:val="00DE1DE6"/>
    <w:rsid w:val="00DE1E39"/>
    <w:rsid w:val="00DE513D"/>
    <w:rsid w:val="00DF10C2"/>
    <w:rsid w:val="00DF235C"/>
    <w:rsid w:val="00DF426D"/>
    <w:rsid w:val="00DF47D6"/>
    <w:rsid w:val="00DF4D5A"/>
    <w:rsid w:val="00DF5425"/>
    <w:rsid w:val="00DF71DD"/>
    <w:rsid w:val="00DF782C"/>
    <w:rsid w:val="00E030A0"/>
    <w:rsid w:val="00E0423C"/>
    <w:rsid w:val="00E04F16"/>
    <w:rsid w:val="00E075A1"/>
    <w:rsid w:val="00E0797A"/>
    <w:rsid w:val="00E11D5D"/>
    <w:rsid w:val="00E124E3"/>
    <w:rsid w:val="00E12F81"/>
    <w:rsid w:val="00E135FC"/>
    <w:rsid w:val="00E14812"/>
    <w:rsid w:val="00E15231"/>
    <w:rsid w:val="00E15DDE"/>
    <w:rsid w:val="00E17B19"/>
    <w:rsid w:val="00E202D8"/>
    <w:rsid w:val="00E2339E"/>
    <w:rsid w:val="00E25D7A"/>
    <w:rsid w:val="00E300BB"/>
    <w:rsid w:val="00E31D0A"/>
    <w:rsid w:val="00E3245B"/>
    <w:rsid w:val="00E32DCD"/>
    <w:rsid w:val="00E32DF0"/>
    <w:rsid w:val="00E3707B"/>
    <w:rsid w:val="00E4150B"/>
    <w:rsid w:val="00E42DD9"/>
    <w:rsid w:val="00E50685"/>
    <w:rsid w:val="00E57DD2"/>
    <w:rsid w:val="00E57EF3"/>
    <w:rsid w:val="00E57F6B"/>
    <w:rsid w:val="00E609CE"/>
    <w:rsid w:val="00E6122A"/>
    <w:rsid w:val="00E6234F"/>
    <w:rsid w:val="00E67AC7"/>
    <w:rsid w:val="00E7134F"/>
    <w:rsid w:val="00E7284C"/>
    <w:rsid w:val="00E7342C"/>
    <w:rsid w:val="00E736E9"/>
    <w:rsid w:val="00E76363"/>
    <w:rsid w:val="00E80912"/>
    <w:rsid w:val="00E80DA0"/>
    <w:rsid w:val="00E90BE3"/>
    <w:rsid w:val="00E91374"/>
    <w:rsid w:val="00E91D81"/>
    <w:rsid w:val="00E925EA"/>
    <w:rsid w:val="00E92BC2"/>
    <w:rsid w:val="00EA010E"/>
    <w:rsid w:val="00EA28AB"/>
    <w:rsid w:val="00EA4B96"/>
    <w:rsid w:val="00EA6FBF"/>
    <w:rsid w:val="00EB1E33"/>
    <w:rsid w:val="00EB4DA6"/>
    <w:rsid w:val="00EB7B0A"/>
    <w:rsid w:val="00EC0881"/>
    <w:rsid w:val="00EC7207"/>
    <w:rsid w:val="00EC74F9"/>
    <w:rsid w:val="00ED13DE"/>
    <w:rsid w:val="00ED1996"/>
    <w:rsid w:val="00ED2843"/>
    <w:rsid w:val="00ED2F55"/>
    <w:rsid w:val="00ED5ED8"/>
    <w:rsid w:val="00EE0C95"/>
    <w:rsid w:val="00EE3F0F"/>
    <w:rsid w:val="00EF009D"/>
    <w:rsid w:val="00EF0199"/>
    <w:rsid w:val="00F0263C"/>
    <w:rsid w:val="00F0402A"/>
    <w:rsid w:val="00F05611"/>
    <w:rsid w:val="00F07266"/>
    <w:rsid w:val="00F16313"/>
    <w:rsid w:val="00F1700E"/>
    <w:rsid w:val="00F20820"/>
    <w:rsid w:val="00F2090B"/>
    <w:rsid w:val="00F20FF1"/>
    <w:rsid w:val="00F233FC"/>
    <w:rsid w:val="00F24317"/>
    <w:rsid w:val="00F27AC7"/>
    <w:rsid w:val="00F32641"/>
    <w:rsid w:val="00F329D5"/>
    <w:rsid w:val="00F34974"/>
    <w:rsid w:val="00F35457"/>
    <w:rsid w:val="00F3595B"/>
    <w:rsid w:val="00F367F3"/>
    <w:rsid w:val="00F36A26"/>
    <w:rsid w:val="00F41F54"/>
    <w:rsid w:val="00F426A6"/>
    <w:rsid w:val="00F429FD"/>
    <w:rsid w:val="00F4623C"/>
    <w:rsid w:val="00F46AD7"/>
    <w:rsid w:val="00F5037E"/>
    <w:rsid w:val="00F54661"/>
    <w:rsid w:val="00F55B56"/>
    <w:rsid w:val="00F56399"/>
    <w:rsid w:val="00F577BF"/>
    <w:rsid w:val="00F606BB"/>
    <w:rsid w:val="00F641B4"/>
    <w:rsid w:val="00F70113"/>
    <w:rsid w:val="00F73EC7"/>
    <w:rsid w:val="00F746E3"/>
    <w:rsid w:val="00F76C17"/>
    <w:rsid w:val="00F7709C"/>
    <w:rsid w:val="00F7750A"/>
    <w:rsid w:val="00F80006"/>
    <w:rsid w:val="00F80084"/>
    <w:rsid w:val="00F83AEE"/>
    <w:rsid w:val="00F842F9"/>
    <w:rsid w:val="00F9309C"/>
    <w:rsid w:val="00F94BB1"/>
    <w:rsid w:val="00F95676"/>
    <w:rsid w:val="00F96379"/>
    <w:rsid w:val="00F96401"/>
    <w:rsid w:val="00F9690B"/>
    <w:rsid w:val="00FA3F8B"/>
    <w:rsid w:val="00FA534B"/>
    <w:rsid w:val="00FA56FF"/>
    <w:rsid w:val="00FA767D"/>
    <w:rsid w:val="00FB693B"/>
    <w:rsid w:val="00FC1765"/>
    <w:rsid w:val="00FC3C96"/>
    <w:rsid w:val="00FD13D3"/>
    <w:rsid w:val="00FD2470"/>
    <w:rsid w:val="00FD4BD8"/>
    <w:rsid w:val="00FD5823"/>
    <w:rsid w:val="00FD738C"/>
    <w:rsid w:val="00FD7BE0"/>
    <w:rsid w:val="00FD7F48"/>
    <w:rsid w:val="00FE1C27"/>
    <w:rsid w:val="00FE326F"/>
    <w:rsid w:val="00FE5C31"/>
    <w:rsid w:val="00FF0267"/>
    <w:rsid w:val="00FF0F20"/>
    <w:rsid w:val="00FF1B0E"/>
    <w:rsid w:val="00FF268A"/>
    <w:rsid w:val="00FF748B"/>
    <w:rsid w:val="01436412"/>
    <w:rsid w:val="0227770F"/>
    <w:rsid w:val="02A87241"/>
    <w:rsid w:val="030B4515"/>
    <w:rsid w:val="032B28E1"/>
    <w:rsid w:val="04D94B9F"/>
    <w:rsid w:val="06D1385D"/>
    <w:rsid w:val="06F2019A"/>
    <w:rsid w:val="079E5C2C"/>
    <w:rsid w:val="096C5454"/>
    <w:rsid w:val="0A23353B"/>
    <w:rsid w:val="0A3D57E9"/>
    <w:rsid w:val="0A8C7FBE"/>
    <w:rsid w:val="0AC63564"/>
    <w:rsid w:val="0AE0030A"/>
    <w:rsid w:val="0AF0502F"/>
    <w:rsid w:val="0B0F5706"/>
    <w:rsid w:val="0B546E83"/>
    <w:rsid w:val="0C087B18"/>
    <w:rsid w:val="0CE942C8"/>
    <w:rsid w:val="0E3843E4"/>
    <w:rsid w:val="0E430603"/>
    <w:rsid w:val="0E884F40"/>
    <w:rsid w:val="0EE2746A"/>
    <w:rsid w:val="0F3B08D8"/>
    <w:rsid w:val="0F735BF1"/>
    <w:rsid w:val="10A86610"/>
    <w:rsid w:val="10FF7000"/>
    <w:rsid w:val="11CA00CD"/>
    <w:rsid w:val="12600CF4"/>
    <w:rsid w:val="13436DD5"/>
    <w:rsid w:val="1360023A"/>
    <w:rsid w:val="146B60BD"/>
    <w:rsid w:val="147A5E14"/>
    <w:rsid w:val="1481490C"/>
    <w:rsid w:val="14C3460D"/>
    <w:rsid w:val="14CC442F"/>
    <w:rsid w:val="152F6144"/>
    <w:rsid w:val="15525935"/>
    <w:rsid w:val="15631335"/>
    <w:rsid w:val="15711947"/>
    <w:rsid w:val="157B5510"/>
    <w:rsid w:val="15EB58C7"/>
    <w:rsid w:val="16290DB7"/>
    <w:rsid w:val="1629395A"/>
    <w:rsid w:val="163565E4"/>
    <w:rsid w:val="165A3A18"/>
    <w:rsid w:val="168B3E79"/>
    <w:rsid w:val="16B9038D"/>
    <w:rsid w:val="1743234C"/>
    <w:rsid w:val="17832749"/>
    <w:rsid w:val="17A1211B"/>
    <w:rsid w:val="17E66424"/>
    <w:rsid w:val="17F0724C"/>
    <w:rsid w:val="17F22203"/>
    <w:rsid w:val="18D531AE"/>
    <w:rsid w:val="18ED7A84"/>
    <w:rsid w:val="199B08A8"/>
    <w:rsid w:val="19A74E14"/>
    <w:rsid w:val="1A232E93"/>
    <w:rsid w:val="1A5272FC"/>
    <w:rsid w:val="1A9E141F"/>
    <w:rsid w:val="1BA01FDC"/>
    <w:rsid w:val="1BEE43F4"/>
    <w:rsid w:val="1C0432A7"/>
    <w:rsid w:val="1CA51F8E"/>
    <w:rsid w:val="1CE02236"/>
    <w:rsid w:val="1D083E1C"/>
    <w:rsid w:val="1DDFD622"/>
    <w:rsid w:val="1DE37094"/>
    <w:rsid w:val="1E041A26"/>
    <w:rsid w:val="1F220A99"/>
    <w:rsid w:val="1FB04ECB"/>
    <w:rsid w:val="20116038"/>
    <w:rsid w:val="209459C7"/>
    <w:rsid w:val="20AA64FB"/>
    <w:rsid w:val="20ED7432"/>
    <w:rsid w:val="21864056"/>
    <w:rsid w:val="21F54D1D"/>
    <w:rsid w:val="23240E85"/>
    <w:rsid w:val="23712AB9"/>
    <w:rsid w:val="23A1714A"/>
    <w:rsid w:val="23F20928"/>
    <w:rsid w:val="25782C56"/>
    <w:rsid w:val="25A81898"/>
    <w:rsid w:val="266A1AC6"/>
    <w:rsid w:val="26DC1405"/>
    <w:rsid w:val="274956CD"/>
    <w:rsid w:val="274F2756"/>
    <w:rsid w:val="27555B20"/>
    <w:rsid w:val="280C1053"/>
    <w:rsid w:val="28A025E5"/>
    <w:rsid w:val="28C672A8"/>
    <w:rsid w:val="28E11F6A"/>
    <w:rsid w:val="292B7DB0"/>
    <w:rsid w:val="299E73D1"/>
    <w:rsid w:val="2AA01F44"/>
    <w:rsid w:val="2AE752D9"/>
    <w:rsid w:val="2B42702A"/>
    <w:rsid w:val="2BE315B0"/>
    <w:rsid w:val="2C4F33C1"/>
    <w:rsid w:val="2CEA1016"/>
    <w:rsid w:val="2CFE0C5A"/>
    <w:rsid w:val="2D2077D4"/>
    <w:rsid w:val="2D902FA1"/>
    <w:rsid w:val="2E510DF0"/>
    <w:rsid w:val="2F075B58"/>
    <w:rsid w:val="2FF26266"/>
    <w:rsid w:val="30267F66"/>
    <w:rsid w:val="30654C8A"/>
    <w:rsid w:val="319149B8"/>
    <w:rsid w:val="32890E4E"/>
    <w:rsid w:val="3488248B"/>
    <w:rsid w:val="34AA3CA8"/>
    <w:rsid w:val="35040F15"/>
    <w:rsid w:val="35156BF3"/>
    <w:rsid w:val="35586B6B"/>
    <w:rsid w:val="359A53D6"/>
    <w:rsid w:val="361F517C"/>
    <w:rsid w:val="36483084"/>
    <w:rsid w:val="364E1E57"/>
    <w:rsid w:val="367A7E6A"/>
    <w:rsid w:val="368340BC"/>
    <w:rsid w:val="3777432D"/>
    <w:rsid w:val="381C20D2"/>
    <w:rsid w:val="38A943F0"/>
    <w:rsid w:val="38FF552E"/>
    <w:rsid w:val="393A1311"/>
    <w:rsid w:val="39797D07"/>
    <w:rsid w:val="39A75991"/>
    <w:rsid w:val="3A28675C"/>
    <w:rsid w:val="3AA27206"/>
    <w:rsid w:val="3AD5726D"/>
    <w:rsid w:val="3AFA70B7"/>
    <w:rsid w:val="3B6D5280"/>
    <w:rsid w:val="3B8732EB"/>
    <w:rsid w:val="3BA5615D"/>
    <w:rsid w:val="3C4F4621"/>
    <w:rsid w:val="3C9D37EE"/>
    <w:rsid w:val="3CAC271B"/>
    <w:rsid w:val="3D035437"/>
    <w:rsid w:val="3E5820DE"/>
    <w:rsid w:val="3E622809"/>
    <w:rsid w:val="3F4C64EF"/>
    <w:rsid w:val="3F6A6E2E"/>
    <w:rsid w:val="3FBD063E"/>
    <w:rsid w:val="3FE8665F"/>
    <w:rsid w:val="40066FA0"/>
    <w:rsid w:val="40302155"/>
    <w:rsid w:val="40472E9B"/>
    <w:rsid w:val="406334F2"/>
    <w:rsid w:val="40E11606"/>
    <w:rsid w:val="41955009"/>
    <w:rsid w:val="42F44377"/>
    <w:rsid w:val="44993767"/>
    <w:rsid w:val="44E34CD7"/>
    <w:rsid w:val="452C7897"/>
    <w:rsid w:val="455D5F60"/>
    <w:rsid w:val="456A5CB0"/>
    <w:rsid w:val="459F2275"/>
    <w:rsid w:val="460D74FE"/>
    <w:rsid w:val="463D7DBF"/>
    <w:rsid w:val="465C4220"/>
    <w:rsid w:val="46A95479"/>
    <w:rsid w:val="47136720"/>
    <w:rsid w:val="47266AC9"/>
    <w:rsid w:val="47EB386F"/>
    <w:rsid w:val="48777B3D"/>
    <w:rsid w:val="48F24BAF"/>
    <w:rsid w:val="48FE6357"/>
    <w:rsid w:val="4903146C"/>
    <w:rsid w:val="4946250B"/>
    <w:rsid w:val="495E6D91"/>
    <w:rsid w:val="497B7CB3"/>
    <w:rsid w:val="49B368B7"/>
    <w:rsid w:val="49C33FF5"/>
    <w:rsid w:val="4A8204BA"/>
    <w:rsid w:val="4B127C9B"/>
    <w:rsid w:val="4B2C3E78"/>
    <w:rsid w:val="4B2D12E0"/>
    <w:rsid w:val="4B4A59BF"/>
    <w:rsid w:val="4BEB6B31"/>
    <w:rsid w:val="4C106FDF"/>
    <w:rsid w:val="4C266086"/>
    <w:rsid w:val="4D8B554F"/>
    <w:rsid w:val="4D9008A2"/>
    <w:rsid w:val="4DA846DC"/>
    <w:rsid w:val="4DD36371"/>
    <w:rsid w:val="4DFC0584"/>
    <w:rsid w:val="4E4A7541"/>
    <w:rsid w:val="4EA936A2"/>
    <w:rsid w:val="4EDF14E6"/>
    <w:rsid w:val="4F073684"/>
    <w:rsid w:val="4F376868"/>
    <w:rsid w:val="4FBB7FCB"/>
    <w:rsid w:val="5016029B"/>
    <w:rsid w:val="50B909F3"/>
    <w:rsid w:val="50C860EA"/>
    <w:rsid w:val="51477C23"/>
    <w:rsid w:val="519F7BA4"/>
    <w:rsid w:val="52262EBA"/>
    <w:rsid w:val="52D92ACB"/>
    <w:rsid w:val="52EE30B8"/>
    <w:rsid w:val="53373E0C"/>
    <w:rsid w:val="53B4776F"/>
    <w:rsid w:val="53C6338B"/>
    <w:rsid w:val="53C95152"/>
    <w:rsid w:val="53E977FC"/>
    <w:rsid w:val="54ED6CC1"/>
    <w:rsid w:val="559B2D78"/>
    <w:rsid w:val="577D2735"/>
    <w:rsid w:val="582646B2"/>
    <w:rsid w:val="58956F4A"/>
    <w:rsid w:val="594F5438"/>
    <w:rsid w:val="597E4619"/>
    <w:rsid w:val="59961543"/>
    <w:rsid w:val="599B66D0"/>
    <w:rsid w:val="59AC11B8"/>
    <w:rsid w:val="59F15728"/>
    <w:rsid w:val="5A367AEE"/>
    <w:rsid w:val="5A747BB6"/>
    <w:rsid w:val="5B252ECE"/>
    <w:rsid w:val="5B995C4C"/>
    <w:rsid w:val="5BCB750F"/>
    <w:rsid w:val="5C2D3FFE"/>
    <w:rsid w:val="5C6D5A8B"/>
    <w:rsid w:val="5C9F3A04"/>
    <w:rsid w:val="5CA67F0E"/>
    <w:rsid w:val="5D12231B"/>
    <w:rsid w:val="5D122976"/>
    <w:rsid w:val="5D2A1FE0"/>
    <w:rsid w:val="5E056FE1"/>
    <w:rsid w:val="5E15628A"/>
    <w:rsid w:val="5E5A3B90"/>
    <w:rsid w:val="5E861409"/>
    <w:rsid w:val="5EB629D1"/>
    <w:rsid w:val="5FED4A76"/>
    <w:rsid w:val="6035129E"/>
    <w:rsid w:val="60381C31"/>
    <w:rsid w:val="605B73FD"/>
    <w:rsid w:val="60612DB8"/>
    <w:rsid w:val="61366EE6"/>
    <w:rsid w:val="616E39DC"/>
    <w:rsid w:val="6302200F"/>
    <w:rsid w:val="637E27BA"/>
    <w:rsid w:val="63A95FE2"/>
    <w:rsid w:val="64A10055"/>
    <w:rsid w:val="64CC4839"/>
    <w:rsid w:val="64CF3D12"/>
    <w:rsid w:val="64D73EDE"/>
    <w:rsid w:val="65167D25"/>
    <w:rsid w:val="652D74B0"/>
    <w:rsid w:val="656020E8"/>
    <w:rsid w:val="66830526"/>
    <w:rsid w:val="6767016F"/>
    <w:rsid w:val="68B55FE5"/>
    <w:rsid w:val="68CE35BD"/>
    <w:rsid w:val="68D56ED4"/>
    <w:rsid w:val="6908207B"/>
    <w:rsid w:val="69095FFD"/>
    <w:rsid w:val="6924104B"/>
    <w:rsid w:val="6A7F28CF"/>
    <w:rsid w:val="6AE427CF"/>
    <w:rsid w:val="6C876151"/>
    <w:rsid w:val="6D4A477B"/>
    <w:rsid w:val="6D747CDF"/>
    <w:rsid w:val="6D910891"/>
    <w:rsid w:val="6DEE0673"/>
    <w:rsid w:val="6E793FF6"/>
    <w:rsid w:val="6E7952EF"/>
    <w:rsid w:val="6E9A660D"/>
    <w:rsid w:val="6F8F0AD7"/>
    <w:rsid w:val="6FCF38F2"/>
    <w:rsid w:val="6FE969BF"/>
    <w:rsid w:val="703C2F7E"/>
    <w:rsid w:val="706978A3"/>
    <w:rsid w:val="70814892"/>
    <w:rsid w:val="70D83D26"/>
    <w:rsid w:val="713D5E21"/>
    <w:rsid w:val="716D68E1"/>
    <w:rsid w:val="72473A1C"/>
    <w:rsid w:val="728409C4"/>
    <w:rsid w:val="734B242C"/>
    <w:rsid w:val="734D0E75"/>
    <w:rsid w:val="73A3438C"/>
    <w:rsid w:val="73E93F75"/>
    <w:rsid w:val="74077A88"/>
    <w:rsid w:val="748C6809"/>
    <w:rsid w:val="74D70DF7"/>
    <w:rsid w:val="74DA51A1"/>
    <w:rsid w:val="75322959"/>
    <w:rsid w:val="75F44423"/>
    <w:rsid w:val="76725035"/>
    <w:rsid w:val="76BF021D"/>
    <w:rsid w:val="76CD60FE"/>
    <w:rsid w:val="770245AD"/>
    <w:rsid w:val="774F0B38"/>
    <w:rsid w:val="776061CB"/>
    <w:rsid w:val="77813724"/>
    <w:rsid w:val="778A66EC"/>
    <w:rsid w:val="77B27C24"/>
    <w:rsid w:val="781D30C9"/>
    <w:rsid w:val="784120E7"/>
    <w:rsid w:val="78882890"/>
    <w:rsid w:val="789F3DA6"/>
    <w:rsid w:val="78A52377"/>
    <w:rsid w:val="790F461E"/>
    <w:rsid w:val="79141ADD"/>
    <w:rsid w:val="79EE0E19"/>
    <w:rsid w:val="7AE60DD8"/>
    <w:rsid w:val="7B5B7497"/>
    <w:rsid w:val="7BEE1BB0"/>
    <w:rsid w:val="7BFB08AC"/>
    <w:rsid w:val="7C8D2B6B"/>
    <w:rsid w:val="7CF404F4"/>
    <w:rsid w:val="7D48743C"/>
    <w:rsid w:val="7DF6029C"/>
    <w:rsid w:val="7ECE3FBA"/>
    <w:rsid w:val="7EF84373"/>
    <w:rsid w:val="7FB977D3"/>
    <w:rsid w:val="7FD12D6F"/>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ExtB"/>
      <w:b/>
      <w:kern w:val="0"/>
      <w:sz w:val="24"/>
      <w:lang w:eastAsia="zh-TW"/>
    </w:rPr>
  </w:style>
  <w:style w:type="paragraph" w:styleId="18">
    <w:name w:val="index 5"/>
    <w:basedOn w:val="1"/>
    <w:next w:val="1"/>
    <w:qFormat/>
    <w:uiPriority w:val="0"/>
    <w:pPr>
      <w:ind w:left="800" w:leftChars="800"/>
    </w:p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0"/>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Indent"/>
    <w:basedOn w:val="1"/>
    <w:link w:val="7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2"/>
    <w:qFormat/>
    <w:uiPriority w:val="0"/>
  </w:style>
  <w:style w:type="paragraph" w:styleId="34">
    <w:name w:val="Body Text Indent 2"/>
    <w:basedOn w:val="1"/>
    <w:next w:val="35"/>
    <w:link w:val="105"/>
    <w:qFormat/>
    <w:uiPriority w:val="0"/>
    <w:pPr>
      <w:snapToGrid w:val="0"/>
      <w:spacing w:line="560" w:lineRule="atLeast"/>
      <w:ind w:firstLine="540"/>
    </w:pPr>
  </w:style>
  <w:style w:type="paragraph" w:styleId="35">
    <w:name w:val="Body Text First Indent 2"/>
    <w:basedOn w:val="24"/>
    <w:link w:val="100"/>
    <w:qFormat/>
    <w:uiPriority w:val="0"/>
    <w:pPr>
      <w:spacing w:after="120" w:line="240" w:lineRule="auto"/>
      <w:ind w:left="420" w:leftChars="200" w:firstLine="420" w:firstLineChars="20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6"/>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next w:val="1"/>
    <w:qFormat/>
    <w:uiPriority w:val="0"/>
    <w:pPr>
      <w:widowControl w:val="0"/>
      <w:ind w:left="2520"/>
      <w:jc w:val="both"/>
    </w:pPr>
    <w:rPr>
      <w:rFonts w:ascii="Times New Roman" w:hAnsi="Times New Roman" w:eastAsia="宋体" w:cs="Times New Roman"/>
      <w:kern w:val="2"/>
      <w:sz w:val="28"/>
      <w:lang w:val="en-US" w:eastAsia="zh-CN" w:bidi="ar-SA"/>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1"/>
    <w:next w:val="21"/>
    <w:link w:val="88"/>
    <w:qFormat/>
    <w:uiPriority w:val="0"/>
    <w:pPr>
      <w:adjustRightInd/>
      <w:spacing w:line="240" w:lineRule="auto"/>
      <w:textAlignment w:val="auto"/>
    </w:pPr>
  </w:style>
  <w:style w:type="paragraph" w:styleId="58">
    <w:name w:val="Body Text First Indent"/>
    <w:basedOn w:val="1"/>
    <w:link w:val="87"/>
    <w:qFormat/>
    <w:uiPriority w:val="0"/>
    <w:pPr>
      <w:spacing w:line="360" w:lineRule="auto"/>
      <w:ind w:firstLine="420"/>
    </w:pPr>
    <w:rPr>
      <w:rFonts w:ascii="宋体" w:hAnsi="宋体"/>
      <w:sz w:val="24"/>
    </w:r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character" w:customStyle="1" w:styleId="70">
    <w:name w:val="批注文字 字符"/>
    <w:link w:val="21"/>
    <w:qFormat/>
    <w:uiPriority w:val="0"/>
    <w:rPr>
      <w:sz w:val="24"/>
    </w:rPr>
  </w:style>
  <w:style w:type="character" w:customStyle="1" w:styleId="71">
    <w:name w:val="Char Char4"/>
    <w:qFormat/>
    <w:uiPriority w:val="0"/>
    <w:rPr>
      <w:rFonts w:eastAsia="宋体"/>
      <w:b/>
      <w:kern w:val="2"/>
      <w:sz w:val="21"/>
      <w:lang w:val="en-US" w:eastAsia="zh-CN"/>
    </w:rPr>
  </w:style>
  <w:style w:type="character" w:customStyle="1" w:styleId="72">
    <w:name w:val="Char Char5"/>
    <w:qFormat/>
    <w:uiPriority w:val="0"/>
    <w:rPr>
      <w:rFonts w:ascii="Arial" w:hAnsi="Arial" w:eastAsia="宋体"/>
      <w:b/>
      <w:smallCaps/>
      <w:kern w:val="28"/>
      <w:sz w:val="36"/>
      <w:lang w:val="en-US" w:eastAsia="en-US"/>
    </w:rPr>
  </w:style>
  <w:style w:type="character" w:customStyle="1" w:styleId="73">
    <w:name w:val="v151"/>
    <w:qFormat/>
    <w:uiPriority w:val="0"/>
    <w:rPr>
      <w:sz w:val="18"/>
    </w:rPr>
  </w:style>
  <w:style w:type="character" w:customStyle="1" w:styleId="74">
    <w:name w:val="正文文本缩进 字符"/>
    <w:link w:val="24"/>
    <w:qFormat/>
    <w:uiPriority w:val="0"/>
    <w:rPr>
      <w:kern w:val="2"/>
      <w:sz w:val="44"/>
    </w:rPr>
  </w:style>
  <w:style w:type="character" w:customStyle="1" w:styleId="75">
    <w:name w:val="Char Char7"/>
    <w:qFormat/>
    <w:uiPriority w:val="0"/>
    <w:rPr>
      <w:rFonts w:ascii="宋体" w:hAnsi="宋体" w:eastAsia="宋体"/>
      <w:kern w:val="2"/>
      <w:sz w:val="28"/>
    </w:rPr>
  </w:style>
  <w:style w:type="character" w:customStyle="1" w:styleId="76">
    <w:name w:val="脚注文本 字符"/>
    <w:link w:val="42"/>
    <w:qFormat/>
    <w:uiPriority w:val="0"/>
    <w:rPr>
      <w:kern w:val="2"/>
      <w:sz w:val="18"/>
    </w:rPr>
  </w:style>
  <w:style w:type="character" w:customStyle="1" w:styleId="77">
    <w:name w:val="Char Char6"/>
    <w:qFormat/>
    <w:uiPriority w:val="0"/>
    <w:rPr>
      <w:rFonts w:ascii="仿宋_GB2312" w:eastAsia="仿宋_GB2312"/>
      <w:kern w:val="2"/>
      <w:sz w:val="32"/>
    </w:rPr>
  </w:style>
  <w:style w:type="character" w:customStyle="1" w:styleId="78">
    <w:name w:val="Char Char3"/>
    <w:qFormat/>
    <w:uiPriority w:val="0"/>
    <w:rPr>
      <w:rFonts w:eastAsia="宋体"/>
      <w:kern w:val="2"/>
      <w:sz w:val="18"/>
      <w:lang w:val="en-US" w:eastAsia="zh-CN"/>
    </w:rPr>
  </w:style>
  <w:style w:type="character" w:customStyle="1" w:styleId="79">
    <w:name w:val="H2 Char"/>
    <w:qFormat/>
    <w:uiPriority w:val="0"/>
    <w:rPr>
      <w:rFonts w:ascii="Arial" w:hAnsi="Arial" w:eastAsia="宋体"/>
      <w:kern w:val="2"/>
      <w:sz w:val="28"/>
      <w:lang w:val="en-US" w:eastAsia="zh-CN"/>
    </w:rPr>
  </w:style>
  <w:style w:type="character" w:customStyle="1" w:styleId="80">
    <w:name w:val="未命名11"/>
    <w:qFormat/>
    <w:uiPriority w:val="0"/>
    <w:rPr>
      <w:color w:val="77FFFF"/>
      <w:sz w:val="24"/>
    </w:rPr>
  </w:style>
  <w:style w:type="character" w:customStyle="1" w:styleId="81">
    <w:name w:val="标书正文:  0.74 厘米 Char1"/>
    <w:qFormat/>
    <w:uiPriority w:val="0"/>
    <w:rPr>
      <w:rFonts w:eastAsia="宋体"/>
      <w:kern w:val="2"/>
      <w:sz w:val="24"/>
      <w:lang w:val="en-US" w:eastAsia="zh-CN"/>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top-det1"/>
    <w:qFormat/>
    <w:uiPriority w:val="0"/>
    <w:rPr>
      <w:b/>
      <w:color w:val="000000"/>
    </w:rPr>
  </w:style>
  <w:style w:type="character" w:customStyle="1" w:styleId="84">
    <w:name w:val="Char Char2"/>
    <w:qFormat/>
    <w:uiPriority w:val="0"/>
    <w:rPr>
      <w:rFonts w:eastAsia="宋体"/>
      <w:kern w:val="2"/>
      <w:sz w:val="18"/>
      <w:lang w:val="en-US" w:eastAsia="zh-CN"/>
    </w:rPr>
  </w:style>
  <w:style w:type="character" w:customStyle="1" w:styleId="85">
    <w:name w:val="Char Char11"/>
    <w:qFormat/>
    <w:uiPriority w:val="0"/>
    <w:rPr>
      <w:rFonts w:ascii="宋体"/>
      <w:kern w:val="2"/>
      <w:sz w:val="28"/>
    </w:rPr>
  </w:style>
  <w:style w:type="character" w:customStyle="1" w:styleId="86">
    <w:name w:val="Table Heading Char Char"/>
    <w:qFormat/>
    <w:uiPriority w:val="0"/>
    <w:rPr>
      <w:rFonts w:ascii="Arial" w:hAnsi="Arial" w:eastAsia="黑体"/>
      <w:kern w:val="2"/>
      <w:sz w:val="18"/>
      <w:lang w:val="en-US" w:eastAsia="zh-CN"/>
    </w:rPr>
  </w:style>
  <w:style w:type="character" w:customStyle="1" w:styleId="87">
    <w:name w:val="正文首行缩进 字符"/>
    <w:link w:val="58"/>
    <w:qFormat/>
    <w:uiPriority w:val="0"/>
    <w:rPr>
      <w:rFonts w:ascii="宋体" w:hAnsi="宋体"/>
      <w:kern w:val="2"/>
      <w:sz w:val="24"/>
    </w:rPr>
  </w:style>
  <w:style w:type="character" w:customStyle="1" w:styleId="88">
    <w:name w:val="批注主题 字符"/>
    <w:link w:val="57"/>
    <w:qFormat/>
    <w:uiPriority w:val="0"/>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正文 + 三号 Char"/>
    <w:qFormat/>
    <w:uiPriority w:val="0"/>
    <w:rPr>
      <w:rFonts w:eastAsia="宋体"/>
      <w:kern w:val="2"/>
      <w:sz w:val="21"/>
      <w:lang w:val="en-US" w:eastAsia="zh-CN"/>
    </w:rPr>
  </w:style>
  <w:style w:type="character" w:customStyle="1" w:styleId="91">
    <w:name w:val="文字 Char"/>
    <w:link w:val="92"/>
    <w:qFormat/>
    <w:uiPriority w:val="0"/>
    <w:rPr>
      <w:rFonts w:ascii="宋体"/>
      <w:kern w:val="2"/>
      <w:sz w:val="28"/>
    </w:rPr>
  </w:style>
  <w:style w:type="paragraph" w:customStyle="1" w:styleId="92">
    <w:name w:val="文字"/>
    <w:basedOn w:val="1"/>
    <w:link w:val="91"/>
    <w:qFormat/>
    <w:uiPriority w:val="0"/>
    <w:pPr>
      <w:tabs>
        <w:tab w:val="left" w:pos="8520"/>
      </w:tabs>
      <w:spacing w:line="312" w:lineRule="auto"/>
      <w:ind w:right="-210" w:firstLine="556"/>
    </w:pPr>
    <w:rPr>
      <w:rFonts w:ascii="宋体"/>
    </w:rPr>
  </w:style>
  <w:style w:type="character" w:customStyle="1" w:styleId="93">
    <w:name w:val="标题 2 字符"/>
    <w:link w:val="4"/>
    <w:qFormat/>
    <w:uiPriority w:val="0"/>
    <w:rPr>
      <w:rFonts w:ascii="Arial" w:hAnsi="Arial" w:eastAsia="黑体"/>
      <w:b/>
      <w:kern w:val="2"/>
      <w:sz w:val="32"/>
    </w:rPr>
  </w:style>
  <w:style w:type="character" w:customStyle="1" w:styleId="94">
    <w:name w:val="样式 宋体"/>
    <w:qFormat/>
    <w:uiPriority w:val="0"/>
    <w:rPr>
      <w:rFonts w:ascii="宋体" w:hAnsi="宋体" w:eastAsia="宋体"/>
      <w:sz w:val="28"/>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content-white1"/>
    <w:qFormat/>
    <w:uiPriority w:val="0"/>
    <w:rPr>
      <w:rFonts w:ascii="ESRI SDS 2.00 1" w:hAnsi="ESRI SDS 2.00 1"/>
      <w:color w:val="auto"/>
      <w:sz w:val="18"/>
      <w:u w:val="none"/>
    </w:rPr>
  </w:style>
  <w:style w:type="character" w:customStyle="1" w:styleId="98">
    <w:name w:val="crowed11"/>
    <w:qFormat/>
    <w:uiPriority w:val="0"/>
    <w:rPr>
      <w:rFonts w:hint="default" w:ascii="ESRI SDS 2.00 1" w:hAnsi="ESRI SDS 2.00 1"/>
      <w:sz w:val="24"/>
    </w:rPr>
  </w:style>
  <w:style w:type="character" w:customStyle="1" w:styleId="99">
    <w:name w:val="标题 3 字符"/>
    <w:link w:val="5"/>
    <w:qFormat/>
    <w:uiPriority w:val="0"/>
    <w:rPr>
      <w:rFonts w:eastAsia="宋体"/>
      <w:b/>
      <w:kern w:val="2"/>
      <w:sz w:val="32"/>
      <w:lang w:val="en-US" w:eastAsia="zh-CN"/>
    </w:rPr>
  </w:style>
  <w:style w:type="character" w:customStyle="1" w:styleId="100">
    <w:name w:val="正文首行缩进 2 字符"/>
    <w:link w:val="35"/>
    <w:qFormat/>
    <w:uiPriority w:val="0"/>
  </w:style>
  <w:style w:type="character" w:customStyle="1" w:styleId="101">
    <w:name w:val="font1"/>
    <w:qFormat/>
    <w:uiPriority w:val="0"/>
    <w:rPr>
      <w:color w:val="000000"/>
      <w:sz w:val="18"/>
    </w:rPr>
  </w:style>
  <w:style w:type="character" w:customStyle="1" w:styleId="102">
    <w:name w:val="日期 字符"/>
    <w:link w:val="33"/>
    <w:qFormat/>
    <w:uiPriority w:val="0"/>
    <w:rPr>
      <w:kern w:val="2"/>
      <w:sz w:val="28"/>
    </w:rPr>
  </w:style>
  <w:style w:type="character" w:customStyle="1" w:styleId="103">
    <w:name w:val="Char Char"/>
    <w:qFormat/>
    <w:uiPriority w:val="0"/>
    <w:rPr>
      <w:rFonts w:ascii="宋体" w:hAnsi="宋体" w:eastAsia="宋体"/>
      <w:kern w:val="2"/>
      <w:sz w:val="24"/>
      <w:lang w:val="en-US" w:eastAsia="zh-CN" w:bidi="ar-SA"/>
    </w:rPr>
  </w:style>
  <w:style w:type="character" w:customStyle="1" w:styleId="104">
    <w:name w:val="title_emph1"/>
    <w:qFormat/>
    <w:uiPriority w:val="0"/>
    <w:rPr>
      <w:rFonts w:hint="default" w:ascii="Arial" w:hAnsi="Arial"/>
      <w:b/>
      <w:sz w:val="20"/>
    </w:rPr>
  </w:style>
  <w:style w:type="character" w:customStyle="1" w:styleId="105">
    <w:name w:val="正文文本缩进 2 字符"/>
    <w:link w:val="34"/>
    <w:qFormat/>
    <w:uiPriority w:val="0"/>
    <w:rPr>
      <w:kern w:val="2"/>
      <w:sz w:val="28"/>
    </w:rPr>
  </w:style>
  <w:style w:type="character" w:customStyle="1" w:styleId="106">
    <w:name w:val="Table Text Char"/>
    <w:link w:val="107"/>
    <w:qFormat/>
    <w:uiPriority w:val="0"/>
    <w:rPr>
      <w:rFonts w:ascii="Arial" w:hAnsi="Arial"/>
      <w:kern w:val="2"/>
      <w:sz w:val="18"/>
      <w:lang w:val="en-US" w:eastAsia="zh-CN" w:bidi="ar-SA"/>
    </w:rPr>
  </w:style>
  <w:style w:type="paragraph" w:customStyle="1" w:styleId="107">
    <w:name w:val="Table Text"/>
    <w:link w:val="106"/>
    <w:qFormat/>
    <w:uiPriority w:val="0"/>
    <w:pPr>
      <w:snapToGrid w:val="0"/>
      <w:spacing w:before="80" w:after="80"/>
    </w:pPr>
    <w:rPr>
      <w:rFonts w:ascii="Arial" w:hAnsi="Arial" w:eastAsia="宋体" w:cs="Times New Roman"/>
      <w:kern w:val="2"/>
      <w:sz w:val="18"/>
      <w:lang w:val="en-US" w:eastAsia="zh-CN" w:bidi="ar-SA"/>
    </w:rPr>
  </w:style>
  <w:style w:type="paragraph" w:customStyle="1" w:styleId="108">
    <w:name w:val="Char1 Char Char Char"/>
    <w:basedOn w:val="1"/>
    <w:qFormat/>
    <w:uiPriority w:val="0"/>
    <w:rPr>
      <w:rFonts w:ascii="Tahoma" w:hAnsi="Tahoma"/>
      <w:sz w:val="30"/>
    </w:rPr>
  </w:style>
  <w:style w:type="paragraph" w:customStyle="1" w:styleId="109">
    <w:name w:val="Char Char Char Char Char Char Char"/>
    <w:basedOn w:val="19"/>
    <w:qFormat/>
    <w:uiPriority w:val="0"/>
    <w:rPr>
      <w:rFonts w:ascii="宋体" w:hAnsi="Tahoma"/>
    </w:rPr>
  </w:style>
  <w:style w:type="paragraph" w:customStyle="1" w:styleId="110">
    <w:name w:val="文章正文"/>
    <w:basedOn w:val="1"/>
    <w:qFormat/>
    <w:uiPriority w:val="0"/>
    <w:pPr>
      <w:ind w:firstLine="560" w:firstLineChars="200"/>
    </w:pPr>
    <w:rPr>
      <w:rFonts w:ascii="仿宋_GB2312" w:hAnsi="宋体" w:eastAsia="仿宋_GB2312"/>
      <w:color w:val="000000"/>
    </w:rPr>
  </w:style>
  <w:style w:type="paragraph" w:customStyle="1" w:styleId="1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13">
    <w:name w:val="操作步骤"/>
    <w:basedOn w:val="1"/>
    <w:qFormat/>
    <w:uiPriority w:val="0"/>
    <w:pPr>
      <w:numPr>
        <w:ilvl w:val="0"/>
        <w:numId w:val="4"/>
      </w:numPr>
      <w:autoSpaceDE w:val="0"/>
      <w:autoSpaceDN w:val="0"/>
      <w:adjustRightInd w:val="0"/>
      <w:snapToGrid w:val="0"/>
      <w:spacing w:line="40" w:lineRule="atLeast"/>
      <w:textAlignment w:val="bottom"/>
    </w:pPr>
    <w:rPr>
      <w:rFonts w:ascii="雍雅楷体" w:eastAsia="楷体_GB2312"/>
      <w:kern w:val="0"/>
      <w:sz w:val="21"/>
    </w:rPr>
  </w:style>
  <w:style w:type="paragraph" w:customStyle="1" w:styleId="11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样式2"/>
    <w:basedOn w:val="6"/>
    <w:qFormat/>
    <w:uiPriority w:val="0"/>
    <w:pPr>
      <w:numPr>
        <w:ilvl w:val="0"/>
        <w:numId w:val="5"/>
      </w:numPr>
      <w:spacing w:before="560" w:line="400" w:lineRule="exact"/>
      <w:jc w:val="center"/>
      <w:outlineLvl w:val="0"/>
    </w:pPr>
    <w:rPr>
      <w:b w:val="0"/>
      <w:sz w:val="44"/>
    </w:rPr>
  </w:style>
  <w:style w:type="paragraph" w:customStyle="1" w:styleId="117">
    <w:name w:val="正文（首行不缩进）"/>
    <w:basedOn w:val="1"/>
    <w:qFormat/>
    <w:uiPriority w:val="0"/>
    <w:pPr>
      <w:autoSpaceDE w:val="0"/>
      <w:autoSpaceDN w:val="0"/>
      <w:adjustRightInd w:val="0"/>
      <w:spacing w:line="360" w:lineRule="auto"/>
      <w:jc w:val="left"/>
    </w:pPr>
    <w:rPr>
      <w:kern w:val="0"/>
      <w:sz w:val="21"/>
    </w:rPr>
  </w:style>
  <w:style w:type="paragraph" w:customStyle="1" w:styleId="118">
    <w:name w:val="Char Char Char"/>
    <w:basedOn w:val="1"/>
    <w:qFormat/>
    <w:uiPriority w:val="0"/>
    <w:rPr>
      <w:rFonts w:ascii="Tahoma" w:hAnsi="Tahoma"/>
      <w:sz w:val="24"/>
    </w:rPr>
  </w:style>
  <w:style w:type="paragraph" w:customStyle="1" w:styleId="11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1">
    <w:name w:val="文本1"/>
    <w:basedOn w:val="1"/>
    <w:qFormat/>
    <w:uiPriority w:val="0"/>
    <w:pPr>
      <w:adjustRightInd w:val="0"/>
      <w:spacing w:line="312" w:lineRule="atLeast"/>
      <w:jc w:val="center"/>
      <w:textAlignment w:val="baseline"/>
    </w:pPr>
    <w:rPr>
      <w:kern w:val="0"/>
      <w:sz w:val="18"/>
    </w:rPr>
  </w:style>
  <w:style w:type="paragraph" w:customStyle="1" w:styleId="12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5">
    <w:name w:val="样式 首行缩进:  0.74 厘米"/>
    <w:basedOn w:val="1"/>
    <w:qFormat/>
    <w:uiPriority w:val="0"/>
    <w:pPr>
      <w:spacing w:line="360" w:lineRule="auto"/>
      <w:ind w:firstLine="420"/>
    </w:pPr>
    <w:rPr>
      <w:sz w:val="24"/>
    </w:rPr>
  </w:style>
  <w:style w:type="paragraph" w:customStyle="1" w:styleId="126">
    <w:name w:val="表头文本"/>
    <w:qFormat/>
    <w:uiPriority w:val="0"/>
    <w:pPr>
      <w:jc w:val="center"/>
    </w:pPr>
    <w:rPr>
      <w:rFonts w:ascii="Arial" w:hAnsi="Arial" w:eastAsia="宋体" w:cs="Times New Roman"/>
      <w:b/>
      <w:sz w:val="21"/>
      <w:lang w:val="en-US" w:eastAsia="zh-CN" w:bidi="ar-SA"/>
    </w:rPr>
  </w:style>
  <w:style w:type="paragraph" w:customStyle="1" w:styleId="12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2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1">
    <w:name w:val="Char1 Char Char Char1"/>
    <w:basedOn w:val="1"/>
    <w:qFormat/>
    <w:uiPriority w:val="0"/>
    <w:rPr>
      <w:rFonts w:ascii="Tahoma" w:hAnsi="Tahoma"/>
      <w:sz w:val="24"/>
    </w:rPr>
  </w:style>
  <w:style w:type="paragraph" w:customStyle="1" w:styleId="132">
    <w:name w:val="表格内文字"/>
    <w:basedOn w:val="31"/>
    <w:qFormat/>
    <w:uiPriority w:val="0"/>
    <w:pPr>
      <w:adjustRightInd w:val="0"/>
    </w:pPr>
    <w:rPr>
      <w:color w:val="000000"/>
      <w:lang w:val="en-GB"/>
    </w:rPr>
  </w:style>
  <w:style w:type="paragraph" w:customStyle="1" w:styleId="133">
    <w:name w:val="Char Char Char Char Char Char Char Char Char Char Char Char Char Char Char Char"/>
    <w:basedOn w:val="1"/>
    <w:qFormat/>
    <w:uiPriority w:val="0"/>
    <w:pPr>
      <w:tabs>
        <w:tab w:val="left" w:pos="360"/>
      </w:tabs>
    </w:pPr>
    <w:rPr>
      <w:sz w:val="24"/>
    </w:rPr>
  </w:style>
  <w:style w:type="paragraph" w:customStyle="1" w:styleId="1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36">
    <w:name w:val="简单回函地址"/>
    <w:basedOn w:val="1"/>
    <w:qFormat/>
    <w:uiPriority w:val="0"/>
    <w:pPr>
      <w:adjustRightInd w:val="0"/>
      <w:snapToGrid w:val="0"/>
      <w:spacing w:line="360" w:lineRule="auto"/>
    </w:pPr>
    <w:rPr>
      <w:sz w:val="24"/>
    </w:rPr>
  </w:style>
  <w:style w:type="paragraph" w:customStyle="1" w:styleId="137">
    <w:name w:val="00"/>
    <w:basedOn w:val="1"/>
    <w:qFormat/>
    <w:uiPriority w:val="0"/>
    <w:pPr>
      <w:autoSpaceDE w:val="0"/>
      <w:autoSpaceDN w:val="0"/>
      <w:adjustRightInd w:val="0"/>
      <w:jc w:val="left"/>
    </w:pPr>
    <w:rPr>
      <w:rFonts w:ascii="黑体" w:eastAsia="黑体"/>
      <w:b/>
      <w:kern w:val="0"/>
      <w:sz w:val="20"/>
    </w:rPr>
  </w:style>
  <w:style w:type="paragraph" w:customStyle="1" w:styleId="138">
    <w:name w:val="AA Numbering"/>
    <w:basedOn w:val="1"/>
    <w:qFormat/>
    <w:uiPriority w:val="0"/>
    <w:pPr>
      <w:widowControl/>
      <w:tabs>
        <w:tab w:val="left" w:pos="1134"/>
        <w:tab w:val="left" w:pos="1280"/>
      </w:tabs>
      <w:adjustRightInd w:val="0"/>
      <w:snapToGrid w:val="0"/>
      <w:spacing w:line="280" w:lineRule="atLeast"/>
      <w:jc w:val="left"/>
    </w:pPr>
    <w:rPr>
      <w:rFonts w:eastAsia="PMingLiU-ExtB"/>
      <w:kern w:val="0"/>
      <w:sz w:val="24"/>
      <w:lang w:eastAsia="zh-TW"/>
    </w:rPr>
  </w:style>
  <w:style w:type="paragraph" w:customStyle="1" w:styleId="139">
    <w:name w:val="文本框样式1"/>
    <w:basedOn w:val="1"/>
    <w:qFormat/>
    <w:uiPriority w:val="0"/>
    <w:pPr>
      <w:adjustRightInd w:val="0"/>
      <w:snapToGrid w:val="0"/>
      <w:spacing w:before="60" w:line="180" w:lineRule="exact"/>
      <w:jc w:val="center"/>
    </w:pPr>
    <w:rPr>
      <w:sz w:val="21"/>
    </w:rPr>
  </w:style>
  <w:style w:type="paragraph" w:customStyle="1" w:styleId="140">
    <w:name w:val="内容标题"/>
    <w:basedOn w:val="19"/>
    <w:qFormat/>
    <w:uiPriority w:val="0"/>
    <w:rPr>
      <w:rFonts w:ascii="Tahoma" w:hAnsi="Tahoma"/>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3">
    <w:name w:val="正文表格"/>
    <w:basedOn w:val="1"/>
    <w:qFormat/>
    <w:uiPriority w:val="0"/>
    <w:pPr>
      <w:adjustRightInd w:val="0"/>
      <w:spacing w:before="40" w:after="40"/>
    </w:pPr>
    <w:rPr>
      <w:sz w:val="24"/>
    </w:rPr>
  </w:style>
  <w:style w:type="paragraph" w:customStyle="1" w:styleId="144">
    <w:name w:val="Char Char Char Char Char Char Char1"/>
    <w:basedOn w:val="1"/>
    <w:qFormat/>
    <w:uiPriority w:val="0"/>
    <w:rPr>
      <w:rFonts w:ascii="Tahoma" w:hAnsi="Tahoma"/>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正文1"/>
    <w:basedOn w:val="1"/>
    <w:qFormat/>
    <w:uiPriority w:val="0"/>
    <w:pPr>
      <w:spacing w:line="300" w:lineRule="auto"/>
      <w:ind w:firstLine="200" w:firstLineChars="200"/>
    </w:pPr>
    <w:rPr>
      <w:sz w:val="24"/>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9">
    <w:name w:val="正文字缩2字"/>
    <w:basedOn w:val="1"/>
    <w:qFormat/>
    <w:uiPriority w:val="0"/>
    <w:pPr>
      <w:spacing w:before="60" w:after="60" w:line="360" w:lineRule="auto"/>
      <w:ind w:left="200" w:leftChars="200" w:firstLine="200" w:firstLineChars="200"/>
    </w:pPr>
    <w:rPr>
      <w:sz w:val="24"/>
    </w:rPr>
  </w:style>
  <w:style w:type="paragraph" w:customStyle="1" w:styleId="1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2">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4">
    <w:name w:val="正文文本 21"/>
    <w:basedOn w:val="1"/>
    <w:qFormat/>
    <w:uiPriority w:val="0"/>
    <w:pPr>
      <w:adjustRightInd w:val="0"/>
      <w:spacing w:before="120" w:line="360" w:lineRule="auto"/>
      <w:ind w:firstLine="480"/>
      <w:textAlignment w:val="baseline"/>
    </w:pPr>
    <w:rPr>
      <w:sz w:val="24"/>
    </w:rPr>
  </w:style>
  <w:style w:type="paragraph" w:customStyle="1" w:styleId="155">
    <w:name w:val="af"/>
    <w:basedOn w:val="1"/>
    <w:qFormat/>
    <w:uiPriority w:val="0"/>
    <w:pPr>
      <w:widowControl/>
      <w:spacing w:line="300" w:lineRule="atLeast"/>
      <w:jc w:val="left"/>
    </w:pPr>
    <w:rPr>
      <w:rFonts w:ascii="宋体" w:hAnsi="宋体"/>
      <w:kern w:val="0"/>
      <w:sz w:val="18"/>
    </w:rPr>
  </w:style>
  <w:style w:type="paragraph" w:customStyle="1" w:styleId="156">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57">
    <w:name w:val="二级列表"/>
    <w:basedOn w:val="158"/>
    <w:next w:val="158"/>
    <w:qFormat/>
    <w:uiPriority w:val="0"/>
    <w:pPr>
      <w:tabs>
        <w:tab w:val="left" w:pos="2120"/>
      </w:tabs>
      <w:ind w:firstLine="0" w:firstLineChars="0"/>
    </w:pPr>
    <w:rPr>
      <w:b/>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摘要"/>
    <w:basedOn w:val="1"/>
    <w:next w:val="4"/>
    <w:qFormat/>
    <w:uiPriority w:val="0"/>
    <w:pPr>
      <w:spacing w:line="360" w:lineRule="auto"/>
    </w:pPr>
    <w:rPr>
      <w:rFonts w:eastAsia="黑体"/>
      <w:sz w:val="20"/>
    </w:rPr>
  </w:style>
  <w:style w:type="paragraph" w:customStyle="1" w:styleId="16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1">
    <w:name w:val="Char Char 字元 字元 字元 Char Char Char Char"/>
    <w:basedOn w:val="1"/>
    <w:qFormat/>
    <w:uiPriority w:val="0"/>
    <w:pPr>
      <w:adjustRightInd w:val="0"/>
      <w:spacing w:line="360" w:lineRule="auto"/>
    </w:pPr>
    <w:rPr>
      <w:kern w:val="0"/>
      <w:sz w:val="24"/>
    </w:rPr>
  </w:style>
  <w:style w:type="paragraph" w:customStyle="1" w:styleId="162">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63">
    <w:name w:val="编号正文"/>
    <w:basedOn w:val="164"/>
    <w:qFormat/>
    <w:uiPriority w:val="0"/>
    <w:pPr>
      <w:snapToGrid/>
      <w:spacing w:line="360" w:lineRule="auto"/>
      <w:ind w:left="1407" w:hanging="1047"/>
      <w:jc w:val="left"/>
    </w:pPr>
    <w:rPr>
      <w:rFonts w:eastAsia="仿宋_GB2312"/>
    </w:rPr>
  </w:style>
  <w:style w:type="paragraph" w:customStyle="1" w:styleId="16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5">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166">
    <w:name w:val="默认段落字体 Para Char Char Char Char Char Char Char Char Char1 Char Char Char Char"/>
    <w:basedOn w:val="1"/>
    <w:qFormat/>
    <w:uiPriority w:val="0"/>
    <w:rPr>
      <w:rFonts w:ascii="Tahoma" w:hAnsi="Tahoma"/>
      <w:sz w:val="24"/>
    </w:rPr>
  </w:style>
  <w:style w:type="paragraph" w:customStyle="1" w:styleId="16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8">
    <w:name w:val="图片文字"/>
    <w:basedOn w:val="1"/>
    <w:qFormat/>
    <w:uiPriority w:val="0"/>
    <w:pPr>
      <w:spacing w:line="240" w:lineRule="atLeast"/>
      <w:jc w:val="center"/>
    </w:pPr>
    <w:rPr>
      <w:sz w:val="21"/>
    </w:rPr>
  </w:style>
  <w:style w:type="paragraph" w:customStyle="1" w:styleId="169">
    <w:name w:val="Title - Date"/>
    <w:basedOn w:val="56"/>
    <w:next w:val="1"/>
    <w:qFormat/>
    <w:uiPriority w:val="0"/>
    <w:pPr>
      <w:spacing w:before="240" w:after="720"/>
    </w:pPr>
    <w:rPr>
      <w:sz w:val="28"/>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二级条标题"/>
    <w:basedOn w:val="172"/>
    <w:next w:val="134"/>
    <w:qFormat/>
    <w:uiPriority w:val="0"/>
    <w:pPr>
      <w:ind w:left="840"/>
      <w:outlineLvl w:val="3"/>
    </w:pPr>
  </w:style>
  <w:style w:type="paragraph" w:customStyle="1" w:styleId="172">
    <w:name w:val="一级条标题"/>
    <w:basedOn w:val="173"/>
    <w:next w:val="134"/>
    <w:qFormat/>
    <w:uiPriority w:val="0"/>
    <w:pPr>
      <w:numPr>
        <w:numId w:val="0"/>
      </w:numPr>
      <w:spacing w:before="0" w:beforeLines="0" w:after="0" w:afterLines="0"/>
      <w:ind w:left="525"/>
      <w:outlineLvl w:val="2"/>
    </w:pPr>
    <w:rPr>
      <w:sz w:val="21"/>
    </w:rPr>
  </w:style>
  <w:style w:type="paragraph" w:customStyle="1" w:styleId="173">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可研正文"/>
    <w:basedOn w:val="2"/>
    <w:qFormat/>
    <w:uiPriority w:val="0"/>
    <w:pPr>
      <w:adjustRightInd w:val="0"/>
      <w:snapToGrid w:val="0"/>
      <w:spacing w:line="440" w:lineRule="exact"/>
      <w:ind w:firstLine="567"/>
    </w:pPr>
    <w:rPr>
      <w:sz w:val="28"/>
    </w:rPr>
  </w:style>
  <w:style w:type="paragraph" w:customStyle="1" w:styleId="175">
    <w:name w:val="样式 正文缩进正文（首行缩进两字）表正文正文非缩进特点标题4段1 + 首行缩进:  2 字符"/>
    <w:basedOn w:val="16"/>
    <w:qFormat/>
    <w:uiPriority w:val="0"/>
    <w:pPr>
      <w:ind w:firstLine="480" w:firstLineChars="200"/>
    </w:pPr>
  </w:style>
  <w:style w:type="paragraph" w:customStyle="1" w:styleId="176">
    <w:name w:val="列表项目"/>
    <w:basedOn w:val="1"/>
    <w:qFormat/>
    <w:uiPriority w:val="0"/>
    <w:pPr>
      <w:tabs>
        <w:tab w:val="left" w:pos="420"/>
      </w:tabs>
      <w:spacing w:line="288" w:lineRule="auto"/>
      <w:ind w:left="840" w:leftChars="200" w:hanging="420" w:hangingChars="200"/>
    </w:pPr>
    <w:rPr>
      <w:sz w:val="21"/>
    </w:rPr>
  </w:style>
  <w:style w:type="paragraph" w:customStyle="1" w:styleId="17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8">
    <w:name w:val="样式 宋体 五号 行距: 单倍行距"/>
    <w:basedOn w:val="1"/>
    <w:qFormat/>
    <w:uiPriority w:val="0"/>
    <w:pPr>
      <w:adjustRightInd w:val="0"/>
      <w:jc w:val="left"/>
    </w:pPr>
    <w:rPr>
      <w:rFonts w:ascii="宋体" w:hAnsi="宋体"/>
      <w:kern w:val="0"/>
      <w:sz w:val="21"/>
    </w:rPr>
  </w:style>
  <w:style w:type="paragraph" w:customStyle="1" w:styleId="179">
    <w:name w:val="样式1xz"/>
    <w:basedOn w:val="1"/>
    <w:qFormat/>
    <w:uiPriority w:val="0"/>
    <w:pPr>
      <w:tabs>
        <w:tab w:val="left" w:pos="1050"/>
        <w:tab w:val="right" w:leader="dot" w:pos="8296"/>
      </w:tabs>
    </w:pPr>
    <w:rPr>
      <w:caps/>
      <w:spacing w:val="20"/>
      <w:sz w:val="24"/>
    </w:rPr>
  </w:style>
  <w:style w:type="paragraph" w:customStyle="1" w:styleId="18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1">
    <w:name w:val="关键词"/>
    <w:basedOn w:val="1"/>
    <w:next w:val="1"/>
    <w:qFormat/>
    <w:uiPriority w:val="0"/>
    <w:pPr>
      <w:spacing w:line="360" w:lineRule="auto"/>
    </w:pPr>
    <w:rPr>
      <w:rFonts w:eastAsia="黑体"/>
      <w:sz w:val="20"/>
    </w:rPr>
  </w:style>
  <w:style w:type="paragraph" w:customStyle="1" w:styleId="182">
    <w:name w:val="首行缩进"/>
    <w:basedOn w:val="1"/>
    <w:qFormat/>
    <w:uiPriority w:val="0"/>
    <w:pPr>
      <w:numPr>
        <w:ilvl w:val="0"/>
        <w:numId w:val="10"/>
      </w:numPr>
      <w:spacing w:line="360" w:lineRule="auto"/>
    </w:pPr>
    <w:rPr>
      <w:rFonts w:eastAsia="仿宋_GB2312"/>
    </w:rPr>
  </w:style>
  <w:style w:type="paragraph" w:customStyle="1" w:styleId="18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4">
    <w:name w:val="样式1"/>
    <w:basedOn w:val="6"/>
    <w:qFormat/>
    <w:uiPriority w:val="0"/>
    <w:pPr>
      <w:tabs>
        <w:tab w:val="left" w:pos="720"/>
      </w:tabs>
      <w:spacing w:before="500" w:after="260" w:line="560" w:lineRule="atLeast"/>
      <w:ind w:left="420" w:hanging="420"/>
    </w:pPr>
  </w:style>
  <w:style w:type="paragraph" w:customStyle="1" w:styleId="185">
    <w:name w:val="标准正文"/>
    <w:basedOn w:val="24"/>
    <w:qFormat/>
    <w:uiPriority w:val="0"/>
    <w:pPr>
      <w:spacing w:before="60" w:after="60" w:line="360" w:lineRule="auto"/>
      <w:ind w:left="0" w:firstLine="482"/>
    </w:pPr>
    <w:rPr>
      <w:rFonts w:ascii="Arial" w:hAnsi="Arial"/>
      <w:sz w:val="24"/>
    </w:rPr>
  </w:style>
  <w:style w:type="paragraph" w:customStyle="1" w:styleId="186">
    <w:name w:val="_Style 184"/>
    <w:qFormat/>
    <w:uiPriority w:val="0"/>
    <w:rPr>
      <w:rFonts w:ascii="Times New Roman" w:hAnsi="Times New Roman" w:eastAsia="宋体" w:cs="Times New Roman"/>
      <w:kern w:val="2"/>
      <w:sz w:val="21"/>
      <w:lang w:val="en-US" w:eastAsia="zh-CN" w:bidi="ar-SA"/>
    </w:rPr>
  </w:style>
  <w:style w:type="paragraph" w:customStyle="1" w:styleId="187">
    <w:name w:val="正文 + 三号"/>
    <w:basedOn w:val="1"/>
    <w:qFormat/>
    <w:uiPriority w:val="0"/>
    <w:rPr>
      <w:sz w:val="21"/>
    </w:rPr>
  </w:style>
  <w:style w:type="paragraph" w:customStyle="1" w:styleId="188">
    <w:name w:val="Char Char14 Char Char"/>
    <w:basedOn w:val="1"/>
    <w:qFormat/>
    <w:uiPriority w:val="0"/>
    <w:rPr>
      <w:sz w:val="21"/>
      <w:szCs w:val="24"/>
    </w:rPr>
  </w:style>
  <w:style w:type="paragraph" w:customStyle="1" w:styleId="189">
    <w:name w:val="小标题 1"/>
    <w:basedOn w:val="1"/>
    <w:qFormat/>
    <w:uiPriority w:val="0"/>
    <w:pPr>
      <w:autoSpaceDE w:val="0"/>
      <w:autoSpaceDN w:val="0"/>
      <w:adjustRightInd w:val="0"/>
      <w:spacing w:line="360" w:lineRule="atLeast"/>
    </w:pPr>
    <w:rPr>
      <w:rFonts w:ascii="文鼎粗魏碑体" w:eastAsia="文鼎粗魏碑体"/>
      <w:kern w:val="0"/>
      <w:sz w:val="22"/>
    </w:rPr>
  </w:style>
  <w:style w:type="paragraph" w:customStyle="1" w:styleId="190">
    <w:name w:val="附录3"/>
    <w:basedOn w:val="1"/>
    <w:next w:val="1"/>
    <w:qFormat/>
    <w:uiPriority w:val="0"/>
    <w:pPr>
      <w:tabs>
        <w:tab w:val="left" w:pos="851"/>
      </w:tabs>
      <w:ind w:left="425" w:hanging="425"/>
      <w:outlineLvl w:val="2"/>
    </w:pPr>
    <w:rPr>
      <w:rFonts w:eastAsia="黑体"/>
      <w:b/>
      <w:sz w:val="32"/>
    </w:rPr>
  </w:style>
  <w:style w:type="paragraph" w:customStyle="1" w:styleId="19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2">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19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4">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98">
    <w:name w:val="Char1"/>
    <w:basedOn w:val="1"/>
    <w:qFormat/>
    <w:uiPriority w:val="0"/>
    <w:rPr>
      <w:sz w:val="21"/>
    </w:rPr>
  </w:style>
  <w:style w:type="paragraph" w:customStyle="1" w:styleId="199">
    <w:name w:val="表头样式"/>
    <w:basedOn w:val="1"/>
    <w:qFormat/>
    <w:uiPriority w:val="0"/>
    <w:pPr>
      <w:autoSpaceDE w:val="0"/>
      <w:autoSpaceDN w:val="0"/>
      <w:adjustRightInd w:val="0"/>
      <w:spacing w:line="360" w:lineRule="auto"/>
      <w:jc w:val="left"/>
    </w:pPr>
    <w:rPr>
      <w:b/>
      <w:kern w:val="0"/>
      <w:sz w:val="21"/>
    </w:rPr>
  </w:style>
  <w:style w:type="paragraph" w:customStyle="1" w:styleId="20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5">
    <w:name w:val="Char Char1 Char"/>
    <w:basedOn w:val="1"/>
    <w:qFormat/>
    <w:uiPriority w:val="0"/>
    <w:rPr>
      <w:rFonts w:ascii="Tahoma" w:hAnsi="Tahoma"/>
      <w:sz w:val="24"/>
      <w:szCs w:val="24"/>
    </w:rPr>
  </w:style>
  <w:style w:type="paragraph" w:customStyle="1" w:styleId="206">
    <w:name w:val="Style Heading 3h3Heading 3 - oldLevel 3 HeadH3level_3PIM 3se..."/>
    <w:basedOn w:val="5"/>
    <w:qFormat/>
    <w:uiPriority w:val="0"/>
    <w:pPr>
      <w:numPr>
        <w:ilvl w:val="2"/>
        <w:numId w:val="12"/>
      </w:numPr>
      <w:tabs>
        <w:tab w:val="left" w:pos="709"/>
        <w:tab w:val="left" w:pos="1620"/>
      </w:tabs>
    </w:pPr>
  </w:style>
  <w:style w:type="paragraph" w:customStyle="1" w:styleId="207">
    <w:name w:val="列出段落1"/>
    <w:basedOn w:val="1"/>
    <w:qFormat/>
    <w:uiPriority w:val="34"/>
    <w:pPr>
      <w:ind w:firstLine="420" w:firstLineChars="200"/>
    </w:pPr>
  </w:style>
  <w:style w:type="paragraph" w:customStyle="1" w:styleId="208">
    <w:name w:val="Char Char Char Char Char"/>
    <w:basedOn w:val="1"/>
    <w:qFormat/>
    <w:uiPriority w:val="0"/>
    <w:pPr>
      <w:tabs>
        <w:tab w:val="left" w:pos="425"/>
      </w:tabs>
      <w:ind w:left="1620" w:hanging="360"/>
    </w:pPr>
    <w:rPr>
      <w:rFonts w:ascii="Tahoma" w:hAnsi="Tahoma"/>
      <w:sz w:val="24"/>
    </w:rPr>
  </w:style>
  <w:style w:type="paragraph" w:customStyle="1" w:styleId="209">
    <w:name w:val="样式4"/>
    <w:basedOn w:val="6"/>
    <w:qFormat/>
    <w:uiPriority w:val="0"/>
    <w:pPr>
      <w:adjustRightInd w:val="0"/>
      <w:snapToGrid w:val="0"/>
    </w:pPr>
  </w:style>
  <w:style w:type="paragraph" w:customStyle="1" w:styleId="210">
    <w:name w:val="Table Contents"/>
    <w:basedOn w:val="2"/>
    <w:qFormat/>
    <w:uiPriority w:val="0"/>
    <w:pPr>
      <w:suppressAutoHyphens/>
      <w:jc w:val="left"/>
    </w:pPr>
    <w:rPr>
      <w:rFonts w:ascii="Times New Roman" w:eastAsia="Times New Roman"/>
      <w:kern w:val="0"/>
      <w:sz w:val="24"/>
    </w:rPr>
  </w:style>
  <w:style w:type="paragraph" w:customStyle="1" w:styleId="21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3">
    <w:name w:val="1.正文"/>
    <w:basedOn w:val="1"/>
    <w:qFormat/>
    <w:uiPriority w:val="0"/>
    <w:pPr>
      <w:spacing w:line="360" w:lineRule="auto"/>
      <w:ind w:left="540" w:leftChars="225" w:firstLine="540" w:firstLineChars="225"/>
    </w:pPr>
    <w:rPr>
      <w:sz w:val="24"/>
    </w:rPr>
  </w:style>
  <w:style w:type="paragraph" w:customStyle="1" w:styleId="214">
    <w:name w:val="正文文本缩进 21"/>
    <w:basedOn w:val="1"/>
    <w:qFormat/>
    <w:uiPriority w:val="0"/>
    <w:pPr>
      <w:adjustRightInd w:val="0"/>
      <w:spacing w:before="120"/>
      <w:ind w:firstLine="420"/>
      <w:textAlignment w:val="baseline"/>
    </w:pPr>
    <w:rPr>
      <w:sz w:val="24"/>
    </w:rPr>
  </w:style>
  <w:style w:type="paragraph" w:customStyle="1" w:styleId="215">
    <w:name w:val="标题3——2"/>
    <w:basedOn w:val="5"/>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6">
    <w:name w:val="Char2 Char Char Char Char Char Char"/>
    <w:basedOn w:val="1"/>
    <w:qFormat/>
    <w:uiPriority w:val="0"/>
    <w:rPr>
      <w:rFonts w:ascii="仿宋_GB2312"/>
      <w:b/>
      <w:sz w:val="30"/>
    </w:rPr>
  </w:style>
  <w:style w:type="paragraph" w:customStyle="1" w:styleId="217">
    <w:name w:val="IN Feature"/>
    <w:next w:val="19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Note"/>
    <w:basedOn w:val="1"/>
    <w:qFormat/>
    <w:uiPriority w:val="0"/>
    <w:pPr>
      <w:pBdr>
        <w:top w:val="single" w:color="auto" w:sz="12" w:space="3"/>
        <w:bottom w:val="single" w:color="auto" w:sz="12" w:space="3"/>
      </w:pBdr>
      <w:spacing w:line="360" w:lineRule="auto"/>
    </w:pPr>
    <w:rPr>
      <w:sz w:val="24"/>
    </w:rPr>
  </w:style>
  <w:style w:type="paragraph" w:customStyle="1" w:styleId="220">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221">
    <w:name w:val="Title - Revision"/>
    <w:basedOn w:val="56"/>
    <w:qFormat/>
    <w:uiPriority w:val="0"/>
    <w:pPr>
      <w:spacing w:before="720"/>
    </w:pPr>
  </w:style>
  <w:style w:type="paragraph" w:customStyle="1" w:styleId="222">
    <w:name w:val="1"/>
    <w:basedOn w:val="1"/>
    <w:next w:val="31"/>
    <w:qFormat/>
    <w:uiPriority w:val="0"/>
    <w:rPr>
      <w:rFonts w:ascii="宋体" w:hAnsi="Courier New"/>
      <w:sz w:val="21"/>
    </w:rPr>
  </w:style>
  <w:style w:type="paragraph" w:customStyle="1" w:styleId="223">
    <w:name w:val="正文4"/>
    <w:basedOn w:val="1"/>
    <w:qFormat/>
    <w:uiPriority w:val="0"/>
    <w:pPr>
      <w:tabs>
        <w:tab w:val="left" w:pos="1275"/>
      </w:tabs>
      <w:spacing w:before="60" w:after="60" w:line="360" w:lineRule="auto"/>
      <w:ind w:left="820" w:leftChars="400" w:hanging="705"/>
    </w:pPr>
    <w:rPr>
      <w:sz w:val="24"/>
    </w:rPr>
  </w:style>
  <w:style w:type="paragraph" w:customStyle="1" w:styleId="224">
    <w:name w:val="样式 行距: 1.5 倍行距1"/>
    <w:basedOn w:val="1"/>
    <w:qFormat/>
    <w:uiPriority w:val="0"/>
    <w:pPr>
      <w:snapToGrid w:val="0"/>
    </w:pPr>
    <w:rPr>
      <w:sz w:val="21"/>
    </w:rPr>
  </w:style>
  <w:style w:type="paragraph" w:customStyle="1" w:styleId="225">
    <w:name w:val="图例"/>
    <w:basedOn w:val="1"/>
    <w:qFormat/>
    <w:uiPriority w:val="0"/>
    <w:pPr>
      <w:spacing w:before="120" w:after="120" w:line="360" w:lineRule="auto"/>
      <w:jc w:val="center"/>
    </w:pPr>
    <w:rPr>
      <w:rFonts w:eastAsia="仿宋_GB2312"/>
      <w:b/>
      <w:sz w:val="24"/>
    </w:rPr>
  </w:style>
  <w:style w:type="paragraph" w:customStyle="1" w:styleId="226">
    <w:name w:val="默认段落字体 Para Char Char Char Char Char Char Char"/>
    <w:basedOn w:val="1"/>
    <w:qFormat/>
    <w:uiPriority w:val="0"/>
    <w:rPr>
      <w:rFonts w:ascii="Tahoma" w:hAnsi="Tahoma"/>
      <w:sz w:val="24"/>
    </w:rPr>
  </w:style>
  <w:style w:type="paragraph" w:customStyle="1" w:styleId="227">
    <w:name w:val="表文字"/>
    <w:qFormat/>
    <w:uiPriority w:val="0"/>
    <w:rPr>
      <w:rFonts w:ascii="宋体" w:hAnsi="Times New Roman" w:eastAsia="宋体" w:cs="Times New Roman"/>
      <w:kern w:val="2"/>
      <w:lang w:val="en-US" w:eastAsia="zh-CN" w:bidi="ar-SA"/>
    </w:rPr>
  </w:style>
  <w:style w:type="paragraph" w:customStyle="1" w:styleId="228">
    <w:name w:val="Char2"/>
    <w:basedOn w:val="1"/>
    <w:qFormat/>
    <w:uiPriority w:val="0"/>
    <w:pPr>
      <w:spacing w:line="240" w:lineRule="atLeast"/>
      <w:ind w:left="420" w:firstLine="420"/>
    </w:pPr>
    <w:rPr>
      <w:kern w:val="0"/>
      <w:sz w:val="21"/>
    </w:rPr>
  </w:style>
  <w:style w:type="paragraph" w:customStyle="1" w:styleId="229">
    <w:name w:val="标题无"/>
    <w:basedOn w:val="1"/>
    <w:qFormat/>
    <w:uiPriority w:val="0"/>
    <w:pPr>
      <w:spacing w:line="360" w:lineRule="auto"/>
    </w:pPr>
    <w:rPr>
      <w:sz w:val="24"/>
    </w:rPr>
  </w:style>
  <w:style w:type="paragraph" w:customStyle="1" w:styleId="2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2">
    <w:name w:val="表格文本"/>
    <w:qFormat/>
    <w:uiPriority w:val="0"/>
    <w:pPr>
      <w:tabs>
        <w:tab w:val="decimal" w:pos="0"/>
      </w:tabs>
    </w:pPr>
    <w:rPr>
      <w:rFonts w:ascii="Arial" w:hAnsi="Arial" w:eastAsia="宋体" w:cs="Times New Roman"/>
      <w:sz w:val="21"/>
      <w:lang w:val="en-US" w:eastAsia="zh-CN" w:bidi="ar-SA"/>
    </w:rPr>
  </w:style>
  <w:style w:type="paragraph" w:customStyle="1" w:styleId="23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35">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36">
    <w:name w:val="标书正文:  0.74 厘米"/>
    <w:basedOn w:val="1"/>
    <w:qFormat/>
    <w:uiPriority w:val="0"/>
    <w:pPr>
      <w:snapToGrid w:val="0"/>
      <w:spacing w:line="360" w:lineRule="auto"/>
      <w:ind w:firstLine="420"/>
    </w:pPr>
    <w:rPr>
      <w:sz w:val="24"/>
    </w:rPr>
  </w:style>
  <w:style w:type="paragraph" w:customStyle="1" w:styleId="237">
    <w:name w:val="没有缩进（为图形使用）"/>
    <w:basedOn w:val="1"/>
    <w:qFormat/>
    <w:uiPriority w:val="0"/>
    <w:pPr>
      <w:spacing w:before="120" w:after="120" w:line="360" w:lineRule="auto"/>
    </w:pPr>
    <w:rPr>
      <w:sz w:val="24"/>
    </w:rPr>
  </w:style>
  <w:style w:type="paragraph" w:customStyle="1" w:styleId="23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4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styleId="241">
    <w:name w:val="List Paragraph"/>
    <w:basedOn w:val="1"/>
    <w:qFormat/>
    <w:uiPriority w:val="99"/>
    <w:pPr>
      <w:ind w:firstLine="420" w:firstLineChars="200"/>
    </w:pPr>
  </w:style>
  <w:style w:type="paragraph" w:customStyle="1" w:styleId="242">
    <w:name w:val="列出段落11"/>
    <w:basedOn w:val="1"/>
    <w:qFormat/>
    <w:uiPriority w:val="0"/>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97</Pages>
  <Words>43612</Words>
  <Characters>45785</Characters>
  <Lines>194</Lines>
  <Paragraphs>54</Paragraphs>
  <TotalTime>18</TotalTime>
  <ScaleCrop>false</ScaleCrop>
  <LinksUpToDate>false</LinksUpToDate>
  <CharactersWithSpaces>47642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2024-06-28T00:49:00Z</dcterms:created>
  <dc:creator>周媛媛</dc:creator>
  <cp:lastModifiedBy>王一平</cp:lastModifiedBy>
  <cp:lastPrinted>2025-06-06T01:50:00Z</cp:lastPrinted>
  <dcterms:modified xsi:type="dcterms:W3CDTF">2025-07-04T10:38:33Z</dcterms:modified>
  <dc:title>竞争性谈判文件</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D01A3432B9734F7982DF3A3D4F95F4F6_13</vt:lpwstr>
  </property>
  <property fmtid="{D5CDD505-2E9C-101B-9397-08002B2CF9AE}" pid="4" name="KSOTemplateDocerSaveRecord">
    <vt:lpwstr>eyJoZGlkIjoiZmU5YTBlODAwYzVhYWZiZDE5MGJlZTQzZDVmNDdkMzMiLCJ1c2VySWQiOiIzMTM4NDcyMDAifQ==</vt:lpwstr>
  </property>
</Properties>
</file>