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1CBBC1">
      <w:pPr>
        <w:widowControl/>
        <w:spacing w:line="360" w:lineRule="auto"/>
        <w:jc w:val="center"/>
        <w:rPr>
          <w:rFonts w:cs="宋体"/>
          <w:color w:val="auto"/>
          <w:sz w:val="96"/>
          <w:szCs w:val="96"/>
          <w:highlight w:val="none"/>
        </w:rPr>
      </w:pPr>
    </w:p>
    <w:p w14:paraId="2AC0691C">
      <w:pPr>
        <w:spacing w:line="360" w:lineRule="auto"/>
        <w:jc w:val="center"/>
        <w:outlineLvl w:val="0"/>
        <w:rPr>
          <w:rFonts w:cs="宋体"/>
          <w:b/>
          <w:bCs/>
          <w:color w:val="auto"/>
          <w:sz w:val="72"/>
          <w:szCs w:val="72"/>
          <w:highlight w:val="none"/>
        </w:rPr>
      </w:pPr>
      <w:bookmarkStart w:id="0" w:name="_Toc29402"/>
    </w:p>
    <w:bookmarkEnd w:id="0"/>
    <w:p w14:paraId="48DCD1FE">
      <w:pPr>
        <w:spacing w:line="360" w:lineRule="auto"/>
        <w:jc w:val="center"/>
        <w:outlineLvl w:val="0"/>
        <w:rPr>
          <w:rFonts w:cs="宋体"/>
          <w:b/>
          <w:bCs/>
          <w:color w:val="auto"/>
          <w:sz w:val="72"/>
          <w:szCs w:val="72"/>
          <w:highlight w:val="none"/>
        </w:rPr>
      </w:pPr>
      <w:r>
        <w:rPr>
          <w:rFonts w:hint="eastAsia" w:cs="宋体"/>
          <w:b/>
          <w:bCs/>
          <w:color w:val="auto"/>
          <w:sz w:val="72"/>
          <w:szCs w:val="72"/>
          <w:highlight w:val="none"/>
        </w:rPr>
        <w:t>行采家网上竞采文件</w:t>
      </w:r>
    </w:p>
    <w:p w14:paraId="2E19DE34">
      <w:pPr>
        <w:widowControl/>
        <w:spacing w:line="480" w:lineRule="exact"/>
        <w:jc w:val="center"/>
        <w:rPr>
          <w:rFonts w:cs="宋体"/>
          <w:color w:val="auto"/>
          <w:sz w:val="84"/>
          <w:szCs w:val="84"/>
          <w:highlight w:val="none"/>
        </w:rPr>
      </w:pPr>
    </w:p>
    <w:p w14:paraId="15EB7A6C">
      <w:pPr>
        <w:pStyle w:val="17"/>
        <w:rPr>
          <w:rFonts w:ascii="Times New Roman" w:hAnsi="Times New Roman" w:cs="宋体"/>
          <w:color w:val="auto"/>
          <w:sz w:val="84"/>
          <w:szCs w:val="84"/>
          <w:highlight w:val="none"/>
        </w:rPr>
      </w:pPr>
    </w:p>
    <w:p w14:paraId="2EC23498">
      <w:pPr>
        <w:rPr>
          <w:rFonts w:cs="宋体"/>
          <w:color w:val="auto"/>
          <w:highlight w:val="none"/>
        </w:rPr>
      </w:pPr>
    </w:p>
    <w:p w14:paraId="7ACBF178">
      <w:pPr>
        <w:pStyle w:val="10"/>
        <w:spacing w:line="480" w:lineRule="exact"/>
        <w:ind w:left="560"/>
        <w:jc w:val="center"/>
        <w:rPr>
          <w:rFonts w:cs="宋体"/>
          <w:color w:val="auto"/>
          <w:sz w:val="32"/>
          <w:highlight w:val="none"/>
        </w:rPr>
      </w:pPr>
    </w:p>
    <w:p w14:paraId="5E480994">
      <w:pPr>
        <w:pStyle w:val="10"/>
        <w:spacing w:line="480" w:lineRule="exact"/>
        <w:ind w:left="560"/>
        <w:jc w:val="center"/>
        <w:rPr>
          <w:rFonts w:cs="宋体"/>
          <w:color w:val="auto"/>
          <w:sz w:val="32"/>
          <w:highlight w:val="none"/>
        </w:rPr>
      </w:pPr>
    </w:p>
    <w:p w14:paraId="6B7B7AB2">
      <w:pPr>
        <w:pStyle w:val="10"/>
        <w:spacing w:line="480" w:lineRule="exact"/>
        <w:ind w:left="560"/>
        <w:rPr>
          <w:rFonts w:cs="宋体"/>
          <w:color w:val="auto"/>
          <w:sz w:val="32"/>
          <w:szCs w:val="28"/>
          <w:highlight w:val="none"/>
        </w:rPr>
      </w:pPr>
    </w:p>
    <w:p w14:paraId="70B7BE4E">
      <w:pPr>
        <w:widowControl/>
        <w:spacing w:line="480" w:lineRule="exact"/>
        <w:jc w:val="center"/>
        <w:outlineLvl w:val="0"/>
        <w:rPr>
          <w:rFonts w:hint="eastAsia" w:eastAsia="宋体" w:cs="宋体"/>
          <w:color w:val="auto"/>
          <w:highlight w:val="none"/>
          <w:lang w:eastAsia="zh-CN"/>
        </w:rPr>
      </w:pPr>
      <w:bookmarkStart w:id="1" w:name="_Toc4800"/>
      <w:r>
        <w:rPr>
          <w:rFonts w:hint="eastAsia" w:cs="宋体"/>
          <w:color w:val="auto"/>
          <w:sz w:val="32"/>
          <w:szCs w:val="28"/>
          <w:highlight w:val="none"/>
        </w:rPr>
        <w:t>项目名称：</w:t>
      </w:r>
      <w:bookmarkEnd w:id="1"/>
      <w:r>
        <w:rPr>
          <w:rFonts w:hint="eastAsia" w:cs="宋体"/>
          <w:color w:val="auto"/>
          <w:sz w:val="32"/>
          <w:szCs w:val="28"/>
          <w:highlight w:val="none"/>
          <w:lang w:eastAsia="zh-CN"/>
        </w:rPr>
        <w:t>制式服装清洗服务（第三次）</w:t>
      </w:r>
    </w:p>
    <w:p w14:paraId="291C24E4">
      <w:pPr>
        <w:spacing w:line="480" w:lineRule="exact"/>
        <w:rPr>
          <w:rFonts w:cs="宋体"/>
          <w:color w:val="auto"/>
          <w:highlight w:val="none"/>
        </w:rPr>
      </w:pPr>
    </w:p>
    <w:p w14:paraId="0ADEADAE">
      <w:pPr>
        <w:pStyle w:val="9"/>
        <w:spacing w:line="480" w:lineRule="exact"/>
        <w:outlineLvl w:val="0"/>
        <w:rPr>
          <w:rFonts w:cs="宋体"/>
          <w:color w:val="auto"/>
          <w:highlight w:val="none"/>
        </w:rPr>
      </w:pPr>
    </w:p>
    <w:p w14:paraId="430CA81B">
      <w:pPr>
        <w:widowControl/>
        <w:spacing w:line="480" w:lineRule="exact"/>
        <w:ind w:firstLine="1280" w:firstLineChars="400"/>
        <w:jc w:val="left"/>
        <w:outlineLvl w:val="0"/>
        <w:rPr>
          <w:rFonts w:cs="宋体"/>
          <w:color w:val="auto"/>
          <w:sz w:val="32"/>
          <w:szCs w:val="28"/>
          <w:highlight w:val="none"/>
        </w:rPr>
      </w:pPr>
    </w:p>
    <w:p w14:paraId="44B000F4">
      <w:pPr>
        <w:pStyle w:val="9"/>
        <w:rPr>
          <w:rFonts w:cs="宋体"/>
          <w:color w:val="auto"/>
          <w:sz w:val="32"/>
          <w:szCs w:val="28"/>
          <w:highlight w:val="none"/>
        </w:rPr>
      </w:pPr>
    </w:p>
    <w:p w14:paraId="0D024E49">
      <w:pPr>
        <w:rPr>
          <w:color w:val="auto"/>
          <w:highlight w:val="none"/>
        </w:rPr>
      </w:pPr>
    </w:p>
    <w:p w14:paraId="0DCE6FAD">
      <w:pPr>
        <w:widowControl/>
        <w:spacing w:line="480" w:lineRule="exact"/>
        <w:ind w:firstLine="1280" w:firstLineChars="400"/>
        <w:jc w:val="left"/>
        <w:outlineLvl w:val="0"/>
        <w:rPr>
          <w:rFonts w:cs="宋体"/>
          <w:color w:val="auto"/>
          <w:sz w:val="32"/>
          <w:szCs w:val="28"/>
          <w:highlight w:val="none"/>
        </w:rPr>
      </w:pPr>
    </w:p>
    <w:p w14:paraId="20BC62CB">
      <w:pPr>
        <w:widowControl/>
        <w:spacing w:line="480" w:lineRule="exact"/>
        <w:ind w:firstLine="1280" w:firstLineChars="400"/>
        <w:jc w:val="left"/>
        <w:outlineLvl w:val="0"/>
        <w:rPr>
          <w:rFonts w:cs="宋体"/>
          <w:color w:val="auto"/>
          <w:sz w:val="32"/>
          <w:szCs w:val="28"/>
          <w:highlight w:val="none"/>
        </w:rPr>
      </w:pPr>
    </w:p>
    <w:p w14:paraId="64CC7271">
      <w:pPr>
        <w:widowControl/>
        <w:spacing w:line="480" w:lineRule="exact"/>
        <w:ind w:firstLine="1280" w:firstLineChars="400"/>
        <w:jc w:val="left"/>
        <w:outlineLvl w:val="0"/>
        <w:rPr>
          <w:rFonts w:cs="宋体"/>
          <w:color w:val="auto"/>
          <w:sz w:val="32"/>
          <w:szCs w:val="28"/>
          <w:highlight w:val="none"/>
        </w:rPr>
      </w:pPr>
      <w:bookmarkStart w:id="2" w:name="_Toc14170"/>
      <w:r>
        <w:rPr>
          <w:rFonts w:hint="eastAsia" w:cs="宋体"/>
          <w:color w:val="auto"/>
          <w:sz w:val="32"/>
          <w:szCs w:val="28"/>
          <w:highlight w:val="none"/>
        </w:rPr>
        <w:t>采  购 人：</w:t>
      </w:r>
      <w:bookmarkEnd w:id="2"/>
      <w:r>
        <w:rPr>
          <w:rFonts w:hint="eastAsia" w:cs="宋体"/>
          <w:color w:val="auto"/>
          <w:sz w:val="32"/>
          <w:szCs w:val="28"/>
          <w:highlight w:val="none"/>
        </w:rPr>
        <w:t>重庆市农业综合行政执法总队</w:t>
      </w:r>
    </w:p>
    <w:p w14:paraId="4F139D30">
      <w:pPr>
        <w:widowControl/>
        <w:spacing w:line="480" w:lineRule="exact"/>
        <w:ind w:firstLine="1280" w:firstLineChars="400"/>
        <w:jc w:val="left"/>
        <w:outlineLvl w:val="0"/>
        <w:rPr>
          <w:rFonts w:cs="宋体"/>
          <w:color w:val="auto"/>
          <w:sz w:val="32"/>
          <w:szCs w:val="28"/>
          <w:highlight w:val="none"/>
        </w:rPr>
      </w:pPr>
      <w:bookmarkStart w:id="3" w:name="_Toc19959"/>
      <w:r>
        <w:rPr>
          <w:rFonts w:hint="eastAsia" w:cs="宋体"/>
          <w:color w:val="auto"/>
          <w:sz w:val="32"/>
          <w:szCs w:val="28"/>
          <w:highlight w:val="none"/>
        </w:rPr>
        <w:t>采购代理机构：重庆方采工程项目管理咨询有限公司</w:t>
      </w:r>
      <w:bookmarkEnd w:id="3"/>
    </w:p>
    <w:p w14:paraId="015ECE55">
      <w:pPr>
        <w:spacing w:line="480" w:lineRule="exact"/>
        <w:ind w:firstLine="2880" w:firstLineChars="900"/>
        <w:rPr>
          <w:rFonts w:cs="宋体"/>
          <w:color w:val="auto"/>
          <w:sz w:val="32"/>
          <w:szCs w:val="28"/>
          <w:highlight w:val="none"/>
        </w:rPr>
      </w:pPr>
    </w:p>
    <w:p w14:paraId="550784A0">
      <w:pPr>
        <w:spacing w:line="480" w:lineRule="exact"/>
        <w:ind w:firstLine="2880" w:firstLineChars="900"/>
        <w:rPr>
          <w:rFonts w:cs="宋体"/>
          <w:color w:val="auto"/>
          <w:sz w:val="32"/>
          <w:szCs w:val="28"/>
          <w:highlight w:val="none"/>
        </w:rPr>
      </w:pPr>
    </w:p>
    <w:p w14:paraId="1B1709BD">
      <w:pPr>
        <w:spacing w:line="480" w:lineRule="exact"/>
        <w:jc w:val="center"/>
        <w:outlineLvl w:val="0"/>
        <w:rPr>
          <w:rFonts w:cs="宋体"/>
          <w:color w:val="auto"/>
          <w:sz w:val="32"/>
          <w:szCs w:val="28"/>
          <w:highlight w:val="none"/>
        </w:rPr>
      </w:pPr>
      <w:bookmarkStart w:id="4" w:name="_Toc6099"/>
      <w:r>
        <w:rPr>
          <w:rFonts w:hint="eastAsia" w:cs="宋体"/>
          <w:color w:val="auto"/>
          <w:sz w:val="32"/>
          <w:szCs w:val="28"/>
          <w:highlight w:val="none"/>
        </w:rPr>
        <w:t>二○二五年</w:t>
      </w:r>
      <w:r>
        <w:rPr>
          <w:rFonts w:hint="eastAsia" w:cs="宋体"/>
          <w:color w:val="auto"/>
          <w:sz w:val="32"/>
          <w:szCs w:val="28"/>
          <w:highlight w:val="none"/>
          <w:lang w:val="en-US" w:eastAsia="zh-CN"/>
        </w:rPr>
        <w:t>五</w:t>
      </w:r>
      <w:r>
        <w:rPr>
          <w:rFonts w:hint="eastAsia" w:cs="宋体"/>
          <w:color w:val="auto"/>
          <w:sz w:val="32"/>
          <w:szCs w:val="28"/>
          <w:highlight w:val="none"/>
        </w:rPr>
        <w:t>月</w:t>
      </w:r>
      <w:bookmarkEnd w:id="4"/>
    </w:p>
    <w:p w14:paraId="63D8C6C1">
      <w:pPr>
        <w:pStyle w:val="22"/>
        <w:tabs>
          <w:tab w:val="left" w:pos="5662"/>
        </w:tabs>
        <w:rPr>
          <w:rFonts w:ascii="Times New Roman" w:hAnsi="Times New Roman" w:cs="宋体"/>
          <w:color w:val="auto"/>
          <w:sz w:val="32"/>
          <w:szCs w:val="28"/>
          <w:highlight w:val="none"/>
        </w:rPr>
      </w:pPr>
      <w:r>
        <w:rPr>
          <w:rFonts w:hint="eastAsia" w:ascii="Times New Roman" w:hAnsi="Times New Roman" w:cs="宋体"/>
          <w:color w:val="auto"/>
          <w:sz w:val="32"/>
          <w:szCs w:val="28"/>
          <w:highlight w:val="none"/>
        </w:rPr>
        <w:tab/>
      </w:r>
    </w:p>
    <w:p w14:paraId="57DEEE79">
      <w:pPr>
        <w:pStyle w:val="22"/>
        <w:rPr>
          <w:rFonts w:ascii="Times New Roman" w:hAnsi="Times New Roman" w:cs="宋体"/>
          <w:color w:val="auto"/>
          <w:sz w:val="32"/>
          <w:szCs w:val="28"/>
          <w:highlight w:val="none"/>
        </w:rPr>
      </w:pPr>
    </w:p>
    <w:p w14:paraId="4596FBEA">
      <w:pPr>
        <w:pStyle w:val="22"/>
        <w:rPr>
          <w:rFonts w:ascii="Times New Roman" w:hAnsi="Times New Roman" w:cs="宋体"/>
          <w:color w:val="auto"/>
          <w:sz w:val="32"/>
          <w:szCs w:val="28"/>
          <w:highlight w:val="none"/>
        </w:rPr>
      </w:pPr>
    </w:p>
    <w:p w14:paraId="683A8F2E">
      <w:pPr>
        <w:pStyle w:val="22"/>
        <w:rPr>
          <w:rFonts w:ascii="Times New Roman" w:hAnsi="Times New Roman" w:cs="宋体"/>
          <w:color w:val="auto"/>
          <w:sz w:val="32"/>
          <w:szCs w:val="28"/>
          <w:highlight w:val="none"/>
        </w:rPr>
      </w:pPr>
    </w:p>
    <w:p w14:paraId="6767818E">
      <w:pPr>
        <w:pStyle w:val="22"/>
        <w:rPr>
          <w:rFonts w:ascii="Times New Roman" w:hAnsi="Times New Roman" w:cs="宋体"/>
          <w:color w:val="auto"/>
          <w:sz w:val="32"/>
          <w:szCs w:val="28"/>
          <w:highlight w:val="none"/>
        </w:rPr>
      </w:pPr>
    </w:p>
    <w:p w14:paraId="221CC8FE">
      <w:pPr>
        <w:pStyle w:val="22"/>
        <w:jc w:val="center"/>
        <w:outlineLvl w:val="0"/>
        <w:rPr>
          <w:rFonts w:ascii="宋体" w:hAnsi="宋体" w:cs="宋体"/>
          <w:b/>
          <w:bCs/>
          <w:color w:val="auto"/>
          <w:sz w:val="28"/>
          <w:szCs w:val="28"/>
          <w:highlight w:val="none"/>
        </w:rPr>
      </w:pPr>
    </w:p>
    <w:p w14:paraId="7AF69665">
      <w:pPr>
        <w:pStyle w:val="22"/>
        <w:jc w:val="center"/>
        <w:outlineLvl w:val="0"/>
        <w:rPr>
          <w:rFonts w:ascii="宋体" w:hAnsi="宋体" w:cs="宋体"/>
          <w:b/>
          <w:bCs/>
          <w:color w:val="auto"/>
          <w:sz w:val="40"/>
          <w:szCs w:val="40"/>
          <w:highlight w:val="none"/>
        </w:rPr>
      </w:pPr>
      <w:bookmarkStart w:id="5" w:name="_Toc89"/>
      <w:r>
        <w:rPr>
          <w:rFonts w:hint="eastAsia" w:ascii="宋体" w:hAnsi="宋体" w:cs="宋体"/>
          <w:b/>
          <w:bCs/>
          <w:color w:val="auto"/>
          <w:sz w:val="40"/>
          <w:szCs w:val="40"/>
          <w:highlight w:val="none"/>
        </w:rPr>
        <w:t>目录</w:t>
      </w:r>
      <w:bookmarkEnd w:id="5"/>
    </w:p>
    <w:p w14:paraId="705B587F">
      <w:pPr>
        <w:pStyle w:val="22"/>
        <w:jc w:val="center"/>
        <w:rPr>
          <w:rFonts w:ascii="宋体" w:hAnsi="宋体" w:cs="宋体"/>
          <w:b/>
          <w:bCs/>
          <w:color w:val="auto"/>
          <w:sz w:val="28"/>
          <w:szCs w:val="28"/>
          <w:highlight w:val="none"/>
        </w:rPr>
      </w:pPr>
    </w:p>
    <w:sdt>
      <w:sdtPr>
        <w:rPr>
          <w:rFonts w:hint="eastAsia" w:cs="宋体"/>
          <w:b/>
          <w:bCs/>
          <w:color w:val="auto"/>
          <w:kern w:val="44"/>
          <w:sz w:val="30"/>
          <w:szCs w:val="30"/>
          <w:highlight w:val="none"/>
        </w:rPr>
        <w:id w:val="147466922"/>
        <w:docPartObj>
          <w:docPartGallery w:val="Table of Contents"/>
          <w:docPartUnique/>
        </w:docPartObj>
      </w:sdtPr>
      <w:sdtEndPr>
        <w:rPr>
          <w:rFonts w:hint="eastAsia" w:cs="宋体"/>
          <w:b/>
          <w:bCs/>
          <w:color w:val="auto"/>
          <w:kern w:val="44"/>
          <w:sz w:val="24"/>
          <w:szCs w:val="24"/>
          <w:highlight w:val="none"/>
        </w:rPr>
      </w:sdtEndPr>
      <w:sdtContent>
        <w:p w14:paraId="23A843B2">
          <w:pPr>
            <w:jc w:val="center"/>
            <w:rPr>
              <w:rFonts w:ascii="宋体" w:hAnsi="宋体" w:cs="宋体"/>
              <w:b/>
              <w:bCs/>
              <w:color w:val="auto"/>
              <w:szCs w:val="28"/>
              <w:highlight w:val="none"/>
            </w:rPr>
          </w:pPr>
        </w:p>
        <w:p w14:paraId="04BED93F">
          <w:pPr>
            <w:pStyle w:val="17"/>
            <w:tabs>
              <w:tab w:val="right" w:leader="dot" w:pos="9639"/>
            </w:tabs>
            <w:spacing w:line="360" w:lineRule="auto"/>
            <w:rPr>
              <w:color w:val="auto"/>
              <w:sz w:val="32"/>
              <w:szCs w:val="22"/>
              <w:highlight w:val="none"/>
            </w:rPr>
          </w:pPr>
          <w:r>
            <w:rPr>
              <w:rFonts w:hint="eastAsia" w:cs="宋体"/>
              <w:color w:val="auto"/>
              <w:sz w:val="28"/>
              <w:szCs w:val="28"/>
              <w:highlight w:val="none"/>
            </w:rPr>
            <w:fldChar w:fldCharType="begin"/>
          </w:r>
          <w:r>
            <w:rPr>
              <w:rFonts w:hint="eastAsia" w:cs="宋体"/>
              <w:color w:val="auto"/>
              <w:sz w:val="28"/>
              <w:szCs w:val="28"/>
              <w:highlight w:val="none"/>
            </w:rPr>
            <w:instrText xml:space="preserve">TOC \o "1-2" \h \u </w:instrText>
          </w:r>
          <w:r>
            <w:rPr>
              <w:rFonts w:hint="eastAsia" w:cs="宋体"/>
              <w:color w:val="auto"/>
              <w:sz w:val="28"/>
              <w:szCs w:val="28"/>
              <w:highlight w:val="none"/>
            </w:rPr>
            <w:fldChar w:fldCharType="separate"/>
          </w:r>
          <w:r>
            <w:rPr>
              <w:color w:val="auto"/>
              <w:highlight w:val="none"/>
            </w:rPr>
            <w:fldChar w:fldCharType="begin"/>
          </w:r>
          <w:r>
            <w:rPr>
              <w:color w:val="auto"/>
              <w:highlight w:val="none"/>
            </w:rPr>
            <w:instrText xml:space="preserve"> HYPERLINK \l "_Toc26343" </w:instrText>
          </w:r>
          <w:r>
            <w:rPr>
              <w:color w:val="auto"/>
              <w:highlight w:val="none"/>
            </w:rPr>
            <w:fldChar w:fldCharType="separate"/>
          </w:r>
          <w:r>
            <w:rPr>
              <w:rFonts w:hint="eastAsia" w:ascii="Times New Roman" w:hAnsi="Times New Roman"/>
              <w:color w:val="auto"/>
              <w:sz w:val="32"/>
              <w:szCs w:val="22"/>
              <w:highlight w:val="none"/>
            </w:rPr>
            <w:t xml:space="preserve">第一篇 </w:t>
          </w:r>
          <w:r>
            <w:rPr>
              <w:rFonts w:hint="eastAsia"/>
              <w:color w:val="auto"/>
              <w:sz w:val="32"/>
              <w:szCs w:val="22"/>
              <w:highlight w:val="none"/>
            </w:rPr>
            <w:t>采购邀请书</w:t>
          </w:r>
          <w:r>
            <w:rPr>
              <w:color w:val="auto"/>
              <w:sz w:val="32"/>
              <w:szCs w:val="22"/>
              <w:highlight w:val="none"/>
            </w:rPr>
            <w:tab/>
          </w:r>
          <w:r>
            <w:rPr>
              <w:color w:val="auto"/>
              <w:sz w:val="32"/>
              <w:szCs w:val="22"/>
              <w:highlight w:val="none"/>
            </w:rPr>
            <w:fldChar w:fldCharType="begin"/>
          </w:r>
          <w:r>
            <w:rPr>
              <w:color w:val="auto"/>
              <w:sz w:val="32"/>
              <w:szCs w:val="22"/>
              <w:highlight w:val="none"/>
            </w:rPr>
            <w:instrText xml:space="preserve"> PAGEREF _Toc26343 \h </w:instrText>
          </w:r>
          <w:r>
            <w:rPr>
              <w:color w:val="auto"/>
              <w:sz w:val="32"/>
              <w:szCs w:val="22"/>
              <w:highlight w:val="none"/>
            </w:rPr>
            <w:fldChar w:fldCharType="separate"/>
          </w:r>
          <w:r>
            <w:rPr>
              <w:color w:val="auto"/>
              <w:sz w:val="32"/>
              <w:szCs w:val="22"/>
              <w:highlight w:val="none"/>
            </w:rPr>
            <w:t>- 1 -</w:t>
          </w:r>
          <w:r>
            <w:rPr>
              <w:color w:val="auto"/>
              <w:sz w:val="32"/>
              <w:szCs w:val="22"/>
              <w:highlight w:val="none"/>
            </w:rPr>
            <w:fldChar w:fldCharType="end"/>
          </w:r>
          <w:r>
            <w:rPr>
              <w:color w:val="auto"/>
              <w:sz w:val="32"/>
              <w:szCs w:val="22"/>
              <w:highlight w:val="none"/>
            </w:rPr>
            <w:fldChar w:fldCharType="end"/>
          </w:r>
        </w:p>
        <w:p w14:paraId="7D516E93">
          <w:pPr>
            <w:pStyle w:val="17"/>
            <w:tabs>
              <w:tab w:val="right" w:leader="dot" w:pos="9639"/>
            </w:tabs>
            <w:spacing w:line="360" w:lineRule="auto"/>
            <w:rPr>
              <w:color w:val="auto"/>
              <w:sz w:val="32"/>
              <w:szCs w:val="22"/>
              <w:highlight w:val="none"/>
            </w:rPr>
          </w:pPr>
          <w:r>
            <w:rPr>
              <w:color w:val="auto"/>
              <w:highlight w:val="none"/>
            </w:rPr>
            <w:fldChar w:fldCharType="begin"/>
          </w:r>
          <w:r>
            <w:rPr>
              <w:color w:val="auto"/>
              <w:highlight w:val="none"/>
            </w:rPr>
            <w:instrText xml:space="preserve"> HYPERLINK \l "_Toc7658" </w:instrText>
          </w:r>
          <w:r>
            <w:rPr>
              <w:color w:val="auto"/>
              <w:highlight w:val="none"/>
            </w:rPr>
            <w:fldChar w:fldCharType="separate"/>
          </w:r>
          <w:r>
            <w:rPr>
              <w:rFonts w:hint="eastAsia" w:ascii="Times New Roman" w:hAnsi="Times New Roman" w:cs="宋体"/>
              <w:bCs/>
              <w:color w:val="auto"/>
              <w:sz w:val="32"/>
              <w:szCs w:val="22"/>
              <w:highlight w:val="none"/>
            </w:rPr>
            <w:t>第二篇 项目</w:t>
          </w:r>
          <w:r>
            <w:rPr>
              <w:rFonts w:hint="eastAsia" w:cs="宋体"/>
              <w:bCs/>
              <w:color w:val="auto"/>
              <w:sz w:val="32"/>
              <w:szCs w:val="22"/>
              <w:highlight w:val="none"/>
            </w:rPr>
            <w:t>服务需求</w:t>
          </w:r>
          <w:r>
            <w:rPr>
              <w:color w:val="auto"/>
              <w:sz w:val="32"/>
              <w:szCs w:val="22"/>
              <w:highlight w:val="none"/>
            </w:rPr>
            <w:tab/>
          </w:r>
          <w:r>
            <w:rPr>
              <w:color w:val="auto"/>
              <w:sz w:val="32"/>
              <w:szCs w:val="22"/>
              <w:highlight w:val="none"/>
            </w:rPr>
            <w:fldChar w:fldCharType="begin"/>
          </w:r>
          <w:r>
            <w:rPr>
              <w:color w:val="auto"/>
              <w:sz w:val="32"/>
              <w:szCs w:val="22"/>
              <w:highlight w:val="none"/>
            </w:rPr>
            <w:instrText xml:space="preserve"> PAGEREF _Toc7658 \h </w:instrText>
          </w:r>
          <w:r>
            <w:rPr>
              <w:color w:val="auto"/>
              <w:sz w:val="32"/>
              <w:szCs w:val="22"/>
              <w:highlight w:val="none"/>
            </w:rPr>
            <w:fldChar w:fldCharType="separate"/>
          </w:r>
          <w:r>
            <w:rPr>
              <w:color w:val="auto"/>
              <w:sz w:val="32"/>
              <w:szCs w:val="22"/>
              <w:highlight w:val="none"/>
            </w:rPr>
            <w:t>- 5 -</w:t>
          </w:r>
          <w:r>
            <w:rPr>
              <w:color w:val="auto"/>
              <w:sz w:val="32"/>
              <w:szCs w:val="22"/>
              <w:highlight w:val="none"/>
            </w:rPr>
            <w:fldChar w:fldCharType="end"/>
          </w:r>
          <w:r>
            <w:rPr>
              <w:color w:val="auto"/>
              <w:sz w:val="32"/>
              <w:szCs w:val="22"/>
              <w:highlight w:val="none"/>
            </w:rPr>
            <w:fldChar w:fldCharType="end"/>
          </w:r>
        </w:p>
        <w:p w14:paraId="2C9DD463">
          <w:pPr>
            <w:pStyle w:val="17"/>
            <w:tabs>
              <w:tab w:val="right" w:leader="dot" w:pos="9639"/>
            </w:tabs>
            <w:spacing w:line="360" w:lineRule="auto"/>
            <w:rPr>
              <w:color w:val="auto"/>
              <w:sz w:val="32"/>
              <w:szCs w:val="22"/>
              <w:highlight w:val="none"/>
            </w:rPr>
          </w:pPr>
          <w:r>
            <w:rPr>
              <w:color w:val="auto"/>
              <w:highlight w:val="none"/>
            </w:rPr>
            <w:fldChar w:fldCharType="begin"/>
          </w:r>
          <w:r>
            <w:rPr>
              <w:color w:val="auto"/>
              <w:highlight w:val="none"/>
            </w:rPr>
            <w:instrText xml:space="preserve"> HYPERLINK \l "_Toc32457" </w:instrText>
          </w:r>
          <w:r>
            <w:rPr>
              <w:color w:val="auto"/>
              <w:highlight w:val="none"/>
            </w:rPr>
            <w:fldChar w:fldCharType="separate"/>
          </w:r>
          <w:r>
            <w:rPr>
              <w:rFonts w:hint="eastAsia" w:ascii="Times New Roman" w:hAnsi="Times New Roman"/>
              <w:color w:val="auto"/>
              <w:sz w:val="32"/>
              <w:szCs w:val="22"/>
              <w:highlight w:val="none"/>
            </w:rPr>
            <w:t>第三篇 项目商务需求</w:t>
          </w:r>
          <w:r>
            <w:rPr>
              <w:color w:val="auto"/>
              <w:sz w:val="32"/>
              <w:szCs w:val="22"/>
              <w:highlight w:val="none"/>
            </w:rPr>
            <w:tab/>
          </w:r>
          <w:r>
            <w:rPr>
              <w:color w:val="auto"/>
              <w:sz w:val="32"/>
              <w:szCs w:val="22"/>
              <w:highlight w:val="none"/>
            </w:rPr>
            <w:fldChar w:fldCharType="begin"/>
          </w:r>
          <w:r>
            <w:rPr>
              <w:color w:val="auto"/>
              <w:sz w:val="32"/>
              <w:szCs w:val="22"/>
              <w:highlight w:val="none"/>
            </w:rPr>
            <w:instrText xml:space="preserve"> PAGEREF _Toc32457 \h </w:instrText>
          </w:r>
          <w:r>
            <w:rPr>
              <w:color w:val="auto"/>
              <w:sz w:val="32"/>
              <w:szCs w:val="22"/>
              <w:highlight w:val="none"/>
            </w:rPr>
            <w:fldChar w:fldCharType="separate"/>
          </w:r>
          <w:r>
            <w:rPr>
              <w:color w:val="auto"/>
              <w:sz w:val="32"/>
              <w:szCs w:val="22"/>
              <w:highlight w:val="none"/>
            </w:rPr>
            <w:t>- 8 -</w:t>
          </w:r>
          <w:r>
            <w:rPr>
              <w:color w:val="auto"/>
              <w:sz w:val="32"/>
              <w:szCs w:val="22"/>
              <w:highlight w:val="none"/>
            </w:rPr>
            <w:fldChar w:fldCharType="end"/>
          </w:r>
          <w:r>
            <w:rPr>
              <w:color w:val="auto"/>
              <w:sz w:val="32"/>
              <w:szCs w:val="22"/>
              <w:highlight w:val="none"/>
            </w:rPr>
            <w:fldChar w:fldCharType="end"/>
          </w:r>
        </w:p>
        <w:p w14:paraId="76568617">
          <w:pPr>
            <w:pStyle w:val="17"/>
            <w:tabs>
              <w:tab w:val="right" w:leader="dot" w:pos="9639"/>
            </w:tabs>
            <w:spacing w:line="360" w:lineRule="auto"/>
            <w:rPr>
              <w:color w:val="auto"/>
              <w:sz w:val="32"/>
              <w:szCs w:val="22"/>
              <w:highlight w:val="none"/>
            </w:rPr>
          </w:pPr>
          <w:r>
            <w:rPr>
              <w:color w:val="auto"/>
              <w:highlight w:val="none"/>
            </w:rPr>
            <w:fldChar w:fldCharType="begin"/>
          </w:r>
          <w:r>
            <w:rPr>
              <w:color w:val="auto"/>
              <w:highlight w:val="none"/>
            </w:rPr>
            <w:instrText xml:space="preserve"> HYPERLINK \l "_Toc32452" </w:instrText>
          </w:r>
          <w:r>
            <w:rPr>
              <w:color w:val="auto"/>
              <w:highlight w:val="none"/>
            </w:rPr>
            <w:fldChar w:fldCharType="separate"/>
          </w:r>
          <w:r>
            <w:rPr>
              <w:rFonts w:hint="eastAsia" w:ascii="Times New Roman" w:hAnsi="Times New Roman"/>
              <w:color w:val="auto"/>
              <w:sz w:val="32"/>
              <w:szCs w:val="22"/>
              <w:highlight w:val="none"/>
            </w:rPr>
            <w:t>第四篇 资格审查及评审办法</w:t>
          </w:r>
          <w:r>
            <w:rPr>
              <w:color w:val="auto"/>
              <w:sz w:val="32"/>
              <w:szCs w:val="22"/>
              <w:highlight w:val="none"/>
            </w:rPr>
            <w:tab/>
          </w:r>
          <w:r>
            <w:rPr>
              <w:color w:val="auto"/>
              <w:sz w:val="32"/>
              <w:szCs w:val="22"/>
              <w:highlight w:val="none"/>
            </w:rPr>
            <w:fldChar w:fldCharType="begin"/>
          </w:r>
          <w:r>
            <w:rPr>
              <w:color w:val="auto"/>
              <w:sz w:val="32"/>
              <w:szCs w:val="22"/>
              <w:highlight w:val="none"/>
            </w:rPr>
            <w:instrText xml:space="preserve"> PAGEREF _Toc32452 \h </w:instrText>
          </w:r>
          <w:r>
            <w:rPr>
              <w:color w:val="auto"/>
              <w:sz w:val="32"/>
              <w:szCs w:val="22"/>
              <w:highlight w:val="none"/>
            </w:rPr>
            <w:fldChar w:fldCharType="separate"/>
          </w:r>
          <w:r>
            <w:rPr>
              <w:color w:val="auto"/>
              <w:sz w:val="32"/>
              <w:szCs w:val="22"/>
              <w:highlight w:val="none"/>
            </w:rPr>
            <w:t>- 10 -</w:t>
          </w:r>
          <w:r>
            <w:rPr>
              <w:color w:val="auto"/>
              <w:sz w:val="32"/>
              <w:szCs w:val="22"/>
              <w:highlight w:val="none"/>
            </w:rPr>
            <w:fldChar w:fldCharType="end"/>
          </w:r>
          <w:r>
            <w:rPr>
              <w:color w:val="auto"/>
              <w:sz w:val="32"/>
              <w:szCs w:val="22"/>
              <w:highlight w:val="none"/>
            </w:rPr>
            <w:fldChar w:fldCharType="end"/>
          </w:r>
        </w:p>
        <w:p w14:paraId="1E1FBEF7">
          <w:pPr>
            <w:pStyle w:val="17"/>
            <w:tabs>
              <w:tab w:val="right" w:leader="dot" w:pos="9639"/>
            </w:tabs>
            <w:spacing w:line="360" w:lineRule="auto"/>
            <w:rPr>
              <w:color w:val="auto"/>
              <w:sz w:val="32"/>
              <w:szCs w:val="22"/>
              <w:highlight w:val="none"/>
            </w:rPr>
          </w:pPr>
          <w:r>
            <w:rPr>
              <w:color w:val="auto"/>
              <w:highlight w:val="none"/>
            </w:rPr>
            <w:fldChar w:fldCharType="begin"/>
          </w:r>
          <w:r>
            <w:rPr>
              <w:color w:val="auto"/>
              <w:highlight w:val="none"/>
            </w:rPr>
            <w:instrText xml:space="preserve"> HYPERLINK \l "_Toc1670" </w:instrText>
          </w:r>
          <w:r>
            <w:rPr>
              <w:color w:val="auto"/>
              <w:highlight w:val="none"/>
            </w:rPr>
            <w:fldChar w:fldCharType="separate"/>
          </w:r>
          <w:r>
            <w:rPr>
              <w:rFonts w:hint="eastAsia" w:ascii="Times New Roman" w:hAnsi="Times New Roman" w:cs="宋体"/>
              <w:bCs/>
              <w:color w:val="auto"/>
              <w:sz w:val="32"/>
              <w:szCs w:val="22"/>
              <w:highlight w:val="none"/>
            </w:rPr>
            <w:t xml:space="preserve">第五篇 </w:t>
          </w:r>
          <w:r>
            <w:rPr>
              <w:rFonts w:hint="eastAsia" w:cs="宋体"/>
              <w:bCs/>
              <w:color w:val="auto"/>
              <w:sz w:val="32"/>
              <w:szCs w:val="22"/>
              <w:highlight w:val="none"/>
            </w:rPr>
            <w:t>供应商</w:t>
          </w:r>
          <w:r>
            <w:rPr>
              <w:rFonts w:hint="eastAsia" w:ascii="Times New Roman" w:hAnsi="Times New Roman" w:cs="宋体"/>
              <w:bCs/>
              <w:color w:val="auto"/>
              <w:sz w:val="32"/>
              <w:szCs w:val="22"/>
              <w:highlight w:val="none"/>
            </w:rPr>
            <w:t>须知</w:t>
          </w:r>
          <w:r>
            <w:rPr>
              <w:color w:val="auto"/>
              <w:sz w:val="32"/>
              <w:szCs w:val="22"/>
              <w:highlight w:val="none"/>
            </w:rPr>
            <w:tab/>
          </w:r>
          <w:r>
            <w:rPr>
              <w:color w:val="auto"/>
              <w:sz w:val="32"/>
              <w:szCs w:val="22"/>
              <w:highlight w:val="none"/>
            </w:rPr>
            <w:fldChar w:fldCharType="begin"/>
          </w:r>
          <w:r>
            <w:rPr>
              <w:color w:val="auto"/>
              <w:sz w:val="32"/>
              <w:szCs w:val="22"/>
              <w:highlight w:val="none"/>
            </w:rPr>
            <w:instrText xml:space="preserve"> PAGEREF _Toc1670 \h </w:instrText>
          </w:r>
          <w:r>
            <w:rPr>
              <w:color w:val="auto"/>
              <w:sz w:val="32"/>
              <w:szCs w:val="22"/>
              <w:highlight w:val="none"/>
            </w:rPr>
            <w:fldChar w:fldCharType="separate"/>
          </w:r>
          <w:r>
            <w:rPr>
              <w:color w:val="auto"/>
              <w:sz w:val="32"/>
              <w:szCs w:val="22"/>
              <w:highlight w:val="none"/>
            </w:rPr>
            <w:t>- 15 -</w:t>
          </w:r>
          <w:r>
            <w:rPr>
              <w:color w:val="auto"/>
              <w:sz w:val="32"/>
              <w:szCs w:val="22"/>
              <w:highlight w:val="none"/>
            </w:rPr>
            <w:fldChar w:fldCharType="end"/>
          </w:r>
          <w:r>
            <w:rPr>
              <w:color w:val="auto"/>
              <w:sz w:val="32"/>
              <w:szCs w:val="22"/>
              <w:highlight w:val="none"/>
            </w:rPr>
            <w:fldChar w:fldCharType="end"/>
          </w:r>
        </w:p>
        <w:p w14:paraId="78A846CC">
          <w:pPr>
            <w:pStyle w:val="17"/>
            <w:tabs>
              <w:tab w:val="right" w:leader="dot" w:pos="9639"/>
            </w:tabs>
            <w:spacing w:line="360" w:lineRule="auto"/>
            <w:rPr>
              <w:color w:val="auto"/>
              <w:sz w:val="32"/>
              <w:szCs w:val="22"/>
              <w:highlight w:val="none"/>
            </w:rPr>
          </w:pPr>
          <w:r>
            <w:rPr>
              <w:color w:val="auto"/>
              <w:highlight w:val="none"/>
            </w:rPr>
            <w:fldChar w:fldCharType="begin"/>
          </w:r>
          <w:r>
            <w:rPr>
              <w:color w:val="auto"/>
              <w:highlight w:val="none"/>
            </w:rPr>
            <w:instrText xml:space="preserve"> HYPERLINK \l "_Toc19280" </w:instrText>
          </w:r>
          <w:r>
            <w:rPr>
              <w:color w:val="auto"/>
              <w:highlight w:val="none"/>
            </w:rPr>
            <w:fldChar w:fldCharType="separate"/>
          </w:r>
          <w:r>
            <w:rPr>
              <w:rFonts w:hint="eastAsia"/>
              <w:color w:val="auto"/>
              <w:sz w:val="32"/>
              <w:szCs w:val="22"/>
              <w:highlight w:val="none"/>
            </w:rPr>
            <w:t>第六篇 合同条款</w:t>
          </w:r>
          <w:r>
            <w:rPr>
              <w:color w:val="auto"/>
              <w:sz w:val="32"/>
              <w:szCs w:val="22"/>
              <w:highlight w:val="none"/>
            </w:rPr>
            <w:tab/>
          </w:r>
          <w:r>
            <w:rPr>
              <w:color w:val="auto"/>
              <w:sz w:val="32"/>
              <w:szCs w:val="22"/>
              <w:highlight w:val="none"/>
            </w:rPr>
            <w:fldChar w:fldCharType="begin"/>
          </w:r>
          <w:r>
            <w:rPr>
              <w:color w:val="auto"/>
              <w:sz w:val="32"/>
              <w:szCs w:val="22"/>
              <w:highlight w:val="none"/>
            </w:rPr>
            <w:instrText xml:space="preserve"> PAGEREF _Toc19280 \h </w:instrText>
          </w:r>
          <w:r>
            <w:rPr>
              <w:color w:val="auto"/>
              <w:sz w:val="32"/>
              <w:szCs w:val="22"/>
              <w:highlight w:val="none"/>
            </w:rPr>
            <w:fldChar w:fldCharType="separate"/>
          </w:r>
          <w:r>
            <w:rPr>
              <w:color w:val="auto"/>
              <w:sz w:val="32"/>
              <w:szCs w:val="22"/>
              <w:highlight w:val="none"/>
            </w:rPr>
            <w:t>- 19 -</w:t>
          </w:r>
          <w:r>
            <w:rPr>
              <w:color w:val="auto"/>
              <w:sz w:val="32"/>
              <w:szCs w:val="22"/>
              <w:highlight w:val="none"/>
            </w:rPr>
            <w:fldChar w:fldCharType="end"/>
          </w:r>
          <w:r>
            <w:rPr>
              <w:color w:val="auto"/>
              <w:sz w:val="32"/>
              <w:szCs w:val="22"/>
              <w:highlight w:val="none"/>
            </w:rPr>
            <w:fldChar w:fldCharType="end"/>
          </w:r>
        </w:p>
        <w:p w14:paraId="4B2FB36C">
          <w:pPr>
            <w:pStyle w:val="17"/>
            <w:tabs>
              <w:tab w:val="right" w:leader="dot" w:pos="9639"/>
            </w:tabs>
            <w:spacing w:line="360" w:lineRule="auto"/>
            <w:rPr>
              <w:color w:val="auto"/>
              <w:sz w:val="32"/>
              <w:szCs w:val="22"/>
              <w:highlight w:val="none"/>
            </w:rPr>
          </w:pPr>
          <w:r>
            <w:rPr>
              <w:color w:val="auto"/>
              <w:highlight w:val="none"/>
            </w:rPr>
            <w:fldChar w:fldCharType="begin"/>
          </w:r>
          <w:r>
            <w:rPr>
              <w:color w:val="auto"/>
              <w:highlight w:val="none"/>
            </w:rPr>
            <w:instrText xml:space="preserve"> HYPERLINK \l "_Toc15971" </w:instrText>
          </w:r>
          <w:r>
            <w:rPr>
              <w:color w:val="auto"/>
              <w:highlight w:val="none"/>
            </w:rPr>
            <w:fldChar w:fldCharType="separate"/>
          </w:r>
          <w:r>
            <w:rPr>
              <w:rFonts w:hint="eastAsia"/>
              <w:color w:val="auto"/>
              <w:sz w:val="32"/>
              <w:szCs w:val="22"/>
              <w:highlight w:val="none"/>
            </w:rPr>
            <w:t>第七篇 响应文件</w:t>
          </w:r>
          <w:r>
            <w:rPr>
              <w:rFonts w:hint="eastAsia" w:ascii="Times New Roman" w:hAnsi="Times New Roman"/>
              <w:color w:val="auto"/>
              <w:sz w:val="32"/>
              <w:szCs w:val="22"/>
              <w:highlight w:val="none"/>
            </w:rPr>
            <w:t>格式</w:t>
          </w:r>
          <w:r>
            <w:rPr>
              <w:color w:val="auto"/>
              <w:sz w:val="32"/>
              <w:szCs w:val="22"/>
              <w:highlight w:val="none"/>
            </w:rPr>
            <w:tab/>
          </w:r>
          <w:r>
            <w:rPr>
              <w:color w:val="auto"/>
              <w:sz w:val="32"/>
              <w:szCs w:val="22"/>
              <w:highlight w:val="none"/>
            </w:rPr>
            <w:fldChar w:fldCharType="begin"/>
          </w:r>
          <w:r>
            <w:rPr>
              <w:color w:val="auto"/>
              <w:sz w:val="32"/>
              <w:szCs w:val="22"/>
              <w:highlight w:val="none"/>
            </w:rPr>
            <w:instrText xml:space="preserve"> PAGEREF _Toc15971 \h </w:instrText>
          </w:r>
          <w:r>
            <w:rPr>
              <w:color w:val="auto"/>
              <w:sz w:val="32"/>
              <w:szCs w:val="22"/>
              <w:highlight w:val="none"/>
            </w:rPr>
            <w:fldChar w:fldCharType="separate"/>
          </w:r>
          <w:r>
            <w:rPr>
              <w:color w:val="auto"/>
              <w:sz w:val="32"/>
              <w:szCs w:val="22"/>
              <w:highlight w:val="none"/>
            </w:rPr>
            <w:t>- 22 -</w:t>
          </w:r>
          <w:r>
            <w:rPr>
              <w:color w:val="auto"/>
              <w:sz w:val="32"/>
              <w:szCs w:val="22"/>
              <w:highlight w:val="none"/>
            </w:rPr>
            <w:fldChar w:fldCharType="end"/>
          </w:r>
          <w:r>
            <w:rPr>
              <w:color w:val="auto"/>
              <w:sz w:val="32"/>
              <w:szCs w:val="22"/>
              <w:highlight w:val="none"/>
            </w:rPr>
            <w:fldChar w:fldCharType="end"/>
          </w:r>
        </w:p>
        <w:p w14:paraId="70427F3C">
          <w:pPr>
            <w:pStyle w:val="21"/>
            <w:tabs>
              <w:tab w:val="right" w:leader="dot" w:pos="9639"/>
            </w:tabs>
            <w:ind w:left="560"/>
            <w:rPr>
              <w:color w:val="auto"/>
              <w:highlight w:val="none"/>
            </w:rPr>
          </w:pPr>
        </w:p>
        <w:p w14:paraId="4592F4CC">
          <w:pPr>
            <w:pStyle w:val="3"/>
            <w:ind w:firstLine="640"/>
            <w:rPr>
              <w:rFonts w:cs="宋体"/>
              <w:color w:val="auto"/>
              <w:sz w:val="24"/>
              <w:szCs w:val="24"/>
              <w:highlight w:val="none"/>
            </w:rPr>
            <w:sectPr>
              <w:footerReference r:id="rId3" w:type="default"/>
              <w:pgSz w:w="11907" w:h="16840"/>
              <w:pgMar w:top="1134" w:right="1134" w:bottom="1134" w:left="1134" w:header="850" w:footer="992" w:gutter="0"/>
              <w:pgNumType w:start="1"/>
              <w:cols w:space="720" w:num="1"/>
              <w:docGrid w:linePitch="312" w:charSpace="0"/>
            </w:sectPr>
          </w:pPr>
          <w:r>
            <w:rPr>
              <w:rFonts w:hint="eastAsia" w:ascii="宋体" w:hAnsi="宋体" w:cs="宋体"/>
              <w:color w:val="auto"/>
              <w:szCs w:val="28"/>
              <w:highlight w:val="none"/>
            </w:rPr>
            <w:fldChar w:fldCharType="end"/>
          </w:r>
        </w:p>
      </w:sdtContent>
    </w:sdt>
    <w:p w14:paraId="1347F1B7">
      <w:pPr>
        <w:pStyle w:val="3"/>
        <w:rPr>
          <w:color w:val="auto"/>
          <w:sz w:val="36"/>
          <w:szCs w:val="22"/>
          <w:highlight w:val="none"/>
        </w:rPr>
      </w:pPr>
      <w:bookmarkStart w:id="6" w:name="_Toc7504"/>
      <w:bookmarkStart w:id="7" w:name="_Toc10681"/>
      <w:bookmarkStart w:id="8" w:name="_Toc26343"/>
      <w:r>
        <w:rPr>
          <w:rFonts w:hint="eastAsia"/>
          <w:color w:val="auto"/>
          <w:sz w:val="36"/>
          <w:szCs w:val="22"/>
          <w:highlight w:val="none"/>
        </w:rPr>
        <w:t xml:space="preserve">第一篇 </w:t>
      </w:r>
      <w:bookmarkEnd w:id="6"/>
      <w:bookmarkEnd w:id="7"/>
      <w:r>
        <w:rPr>
          <w:rFonts w:hint="eastAsia"/>
          <w:color w:val="auto"/>
          <w:sz w:val="36"/>
          <w:szCs w:val="22"/>
          <w:highlight w:val="none"/>
        </w:rPr>
        <w:t>采购邀请书</w:t>
      </w:r>
      <w:bookmarkEnd w:id="8"/>
    </w:p>
    <w:p w14:paraId="157A4F58">
      <w:pPr>
        <w:pStyle w:val="4"/>
        <w:spacing w:before="194"/>
        <w:ind w:firstLine="562"/>
        <w:rPr>
          <w:rFonts w:ascii="Times New Roman" w:hAnsi="Times New Roman"/>
          <w:color w:val="auto"/>
          <w:highlight w:val="none"/>
        </w:rPr>
      </w:pPr>
      <w:bookmarkStart w:id="9" w:name="_Toc8664"/>
      <w:bookmarkStart w:id="10" w:name="_Toc15239"/>
      <w:bookmarkStart w:id="11" w:name="_Toc28083"/>
      <w:bookmarkStart w:id="12" w:name="_Toc5304"/>
      <w:r>
        <w:rPr>
          <w:rFonts w:hint="eastAsia" w:ascii="Times New Roman" w:hAnsi="Times New Roman"/>
          <w:color w:val="auto"/>
          <w:highlight w:val="none"/>
        </w:rPr>
        <w:t>一、项目内容</w:t>
      </w:r>
      <w:bookmarkEnd w:id="9"/>
      <w:bookmarkEnd w:id="10"/>
      <w:bookmarkEnd w:id="11"/>
      <w:bookmarkEnd w:id="12"/>
    </w:p>
    <w:p w14:paraId="3A69C69D">
      <w:pPr>
        <w:snapToGrid w:val="0"/>
        <w:spacing w:line="480" w:lineRule="atLeast"/>
        <w:ind w:firstLine="560" w:firstLineChars="200"/>
        <w:rPr>
          <w:rFonts w:cs="宋体"/>
          <w:color w:val="auto"/>
          <w:szCs w:val="28"/>
          <w:highlight w:val="none"/>
        </w:rPr>
      </w:pPr>
      <w:r>
        <w:rPr>
          <w:rFonts w:hint="eastAsia" w:cs="宋体"/>
          <w:color w:val="auto"/>
          <w:szCs w:val="28"/>
          <w:highlight w:val="none"/>
          <w:u w:val="single"/>
        </w:rPr>
        <w:t>重庆方采工程项目管理咨询有限公司</w:t>
      </w:r>
      <w:r>
        <w:rPr>
          <w:rFonts w:hint="eastAsia" w:cs="宋体"/>
          <w:color w:val="auto"/>
          <w:szCs w:val="28"/>
          <w:highlight w:val="none"/>
        </w:rPr>
        <w:t>（以下简称：采购代理机构）接受</w:t>
      </w:r>
      <w:r>
        <w:rPr>
          <w:rFonts w:hint="eastAsia" w:cs="宋体"/>
          <w:color w:val="auto"/>
          <w:szCs w:val="28"/>
          <w:highlight w:val="none"/>
          <w:u w:val="single"/>
        </w:rPr>
        <w:t>重庆市农业综合行政执法总队</w:t>
      </w:r>
      <w:r>
        <w:rPr>
          <w:rFonts w:hint="eastAsia" w:cs="宋体"/>
          <w:color w:val="auto"/>
          <w:szCs w:val="28"/>
          <w:highlight w:val="none"/>
        </w:rPr>
        <w:t>（以下简称：采购人）的委托，对</w:t>
      </w:r>
      <w:r>
        <w:rPr>
          <w:rFonts w:hint="eastAsia" w:cs="宋体"/>
          <w:color w:val="auto"/>
          <w:szCs w:val="28"/>
          <w:highlight w:val="none"/>
          <w:u w:val="single"/>
          <w:lang w:eastAsia="zh-CN"/>
        </w:rPr>
        <w:t>制式服装清洗服务（第三次）</w:t>
      </w:r>
      <w:r>
        <w:rPr>
          <w:rFonts w:hint="eastAsia" w:cs="宋体"/>
          <w:color w:val="auto"/>
          <w:szCs w:val="28"/>
          <w:highlight w:val="none"/>
        </w:rPr>
        <w:t>进行网上竞采，欢迎有资格的供应商参与竞采。</w:t>
      </w:r>
    </w:p>
    <w:tbl>
      <w:tblPr>
        <w:tblStyle w:val="26"/>
        <w:tblpPr w:leftFromText="180" w:rightFromText="180" w:vertAnchor="text" w:horzAnchor="page" w:tblpX="1343" w:tblpY="42"/>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01"/>
        <w:gridCol w:w="1501"/>
        <w:gridCol w:w="1325"/>
        <w:gridCol w:w="1212"/>
        <w:gridCol w:w="1567"/>
        <w:gridCol w:w="599"/>
        <w:gridCol w:w="548"/>
      </w:tblGrid>
      <w:tr w14:paraId="1F779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trPr>
        <w:tc>
          <w:tcPr>
            <w:tcW w:w="1572" w:type="pct"/>
            <w:tcBorders>
              <w:top w:val="single" w:color="auto" w:sz="4" w:space="0"/>
              <w:left w:val="single" w:color="auto" w:sz="4" w:space="0"/>
              <w:right w:val="single" w:color="auto" w:sz="4" w:space="0"/>
            </w:tcBorders>
            <w:noWrap/>
            <w:vAlign w:val="center"/>
          </w:tcPr>
          <w:p w14:paraId="7405F702">
            <w:pPr>
              <w:widowControl/>
              <w:spacing w:line="480" w:lineRule="atLeast"/>
              <w:jc w:val="center"/>
              <w:rPr>
                <w:rFonts w:cs="宋体"/>
                <w:b/>
                <w:bCs/>
                <w:color w:val="auto"/>
                <w:kern w:val="0"/>
                <w:sz w:val="24"/>
                <w:szCs w:val="24"/>
                <w:highlight w:val="none"/>
              </w:rPr>
            </w:pPr>
            <w:r>
              <w:rPr>
                <w:rFonts w:hint="eastAsia" w:cs="宋体"/>
                <w:b/>
                <w:bCs/>
                <w:color w:val="auto"/>
                <w:kern w:val="0"/>
                <w:sz w:val="24"/>
                <w:szCs w:val="24"/>
                <w:highlight w:val="none"/>
              </w:rPr>
              <w:t>项目名称</w:t>
            </w:r>
          </w:p>
        </w:tc>
        <w:tc>
          <w:tcPr>
            <w:tcW w:w="761" w:type="pct"/>
            <w:tcBorders>
              <w:top w:val="single" w:color="auto" w:sz="4" w:space="0"/>
              <w:left w:val="single" w:color="auto" w:sz="4" w:space="0"/>
              <w:right w:val="single" w:color="auto" w:sz="4" w:space="0"/>
            </w:tcBorders>
            <w:noWrap/>
            <w:vAlign w:val="center"/>
          </w:tcPr>
          <w:p w14:paraId="03C5354C">
            <w:pPr>
              <w:widowControl/>
              <w:spacing w:line="480" w:lineRule="atLeast"/>
              <w:jc w:val="center"/>
              <w:rPr>
                <w:rFonts w:cs="宋体"/>
                <w:b/>
                <w:bCs/>
                <w:color w:val="auto"/>
                <w:kern w:val="0"/>
                <w:sz w:val="24"/>
                <w:szCs w:val="24"/>
                <w:highlight w:val="none"/>
              </w:rPr>
            </w:pPr>
            <w:r>
              <w:rPr>
                <w:rFonts w:hint="eastAsia" w:cs="宋体"/>
                <w:b/>
                <w:bCs/>
                <w:color w:val="auto"/>
                <w:kern w:val="0"/>
                <w:sz w:val="24"/>
                <w:szCs w:val="24"/>
                <w:highlight w:val="none"/>
              </w:rPr>
              <w:t>预算总金额（元）</w:t>
            </w:r>
          </w:p>
        </w:tc>
        <w:tc>
          <w:tcPr>
            <w:tcW w:w="672" w:type="pct"/>
            <w:tcBorders>
              <w:top w:val="single" w:color="auto" w:sz="4" w:space="0"/>
              <w:left w:val="single" w:color="auto" w:sz="4" w:space="0"/>
              <w:right w:val="single" w:color="auto" w:sz="4" w:space="0"/>
            </w:tcBorders>
            <w:noWrap/>
            <w:vAlign w:val="center"/>
          </w:tcPr>
          <w:p w14:paraId="2A5C940B">
            <w:pPr>
              <w:widowControl/>
              <w:spacing w:line="480" w:lineRule="atLeast"/>
              <w:jc w:val="center"/>
              <w:rPr>
                <w:rFonts w:cs="宋体"/>
                <w:b/>
                <w:bCs/>
                <w:color w:val="auto"/>
                <w:kern w:val="0"/>
                <w:sz w:val="24"/>
                <w:szCs w:val="24"/>
                <w:highlight w:val="none"/>
              </w:rPr>
            </w:pPr>
            <w:r>
              <w:rPr>
                <w:rFonts w:hint="eastAsia" w:cs="宋体"/>
                <w:b/>
                <w:bCs/>
                <w:color w:val="auto"/>
                <w:kern w:val="0"/>
                <w:sz w:val="24"/>
                <w:szCs w:val="24"/>
                <w:highlight w:val="none"/>
              </w:rPr>
              <w:t>最高限价</w:t>
            </w:r>
          </w:p>
        </w:tc>
        <w:tc>
          <w:tcPr>
            <w:tcW w:w="615" w:type="pct"/>
            <w:tcBorders>
              <w:top w:val="single" w:color="auto" w:sz="4" w:space="0"/>
              <w:left w:val="single" w:color="auto" w:sz="4" w:space="0"/>
              <w:right w:val="single" w:color="auto" w:sz="4" w:space="0"/>
            </w:tcBorders>
            <w:noWrap/>
            <w:vAlign w:val="center"/>
          </w:tcPr>
          <w:p w14:paraId="755AA388">
            <w:pPr>
              <w:widowControl/>
              <w:spacing w:line="480" w:lineRule="atLeast"/>
              <w:jc w:val="center"/>
              <w:rPr>
                <w:rFonts w:cs="宋体"/>
                <w:b/>
                <w:bCs/>
                <w:color w:val="auto"/>
                <w:kern w:val="0"/>
                <w:sz w:val="24"/>
                <w:szCs w:val="24"/>
                <w:highlight w:val="none"/>
              </w:rPr>
            </w:pPr>
            <w:r>
              <w:rPr>
                <w:rFonts w:hint="eastAsia" w:cs="宋体"/>
                <w:b/>
                <w:bCs/>
                <w:color w:val="auto"/>
                <w:kern w:val="0"/>
                <w:sz w:val="24"/>
                <w:szCs w:val="24"/>
                <w:highlight w:val="none"/>
              </w:rPr>
              <w:t>竞采</w:t>
            </w:r>
          </w:p>
          <w:p w14:paraId="5730CEAF">
            <w:pPr>
              <w:widowControl/>
              <w:spacing w:line="480" w:lineRule="atLeast"/>
              <w:jc w:val="center"/>
              <w:rPr>
                <w:rFonts w:cs="宋体"/>
                <w:b/>
                <w:bCs/>
                <w:color w:val="auto"/>
                <w:kern w:val="0"/>
                <w:sz w:val="24"/>
                <w:szCs w:val="24"/>
                <w:highlight w:val="none"/>
              </w:rPr>
            </w:pPr>
            <w:r>
              <w:rPr>
                <w:rFonts w:hint="eastAsia" w:cs="宋体"/>
                <w:b/>
                <w:bCs/>
                <w:color w:val="auto"/>
                <w:kern w:val="0"/>
                <w:sz w:val="24"/>
                <w:szCs w:val="24"/>
                <w:highlight w:val="none"/>
              </w:rPr>
              <w:t>保证金（元）</w:t>
            </w:r>
          </w:p>
        </w:tc>
        <w:tc>
          <w:tcPr>
            <w:tcW w:w="795" w:type="pct"/>
            <w:tcBorders>
              <w:top w:val="single" w:color="auto" w:sz="4" w:space="0"/>
              <w:left w:val="single" w:color="auto" w:sz="4" w:space="0"/>
              <w:right w:val="single" w:color="auto" w:sz="4" w:space="0"/>
            </w:tcBorders>
            <w:noWrap/>
            <w:vAlign w:val="center"/>
          </w:tcPr>
          <w:p w14:paraId="1142AB69">
            <w:pPr>
              <w:widowControl/>
              <w:spacing w:line="480" w:lineRule="atLeast"/>
              <w:jc w:val="center"/>
              <w:rPr>
                <w:rFonts w:cs="宋体"/>
                <w:b/>
                <w:bCs/>
                <w:color w:val="auto"/>
                <w:kern w:val="0"/>
                <w:sz w:val="24"/>
                <w:szCs w:val="24"/>
                <w:highlight w:val="none"/>
              </w:rPr>
            </w:pPr>
            <w:r>
              <w:rPr>
                <w:rFonts w:hint="eastAsia" w:cs="宋体"/>
                <w:b/>
                <w:bCs/>
                <w:color w:val="auto"/>
                <w:kern w:val="0"/>
                <w:sz w:val="24"/>
                <w:szCs w:val="24"/>
                <w:highlight w:val="none"/>
              </w:rPr>
              <w:t>平台服务费</w:t>
            </w:r>
          </w:p>
        </w:tc>
        <w:tc>
          <w:tcPr>
            <w:tcW w:w="304" w:type="pct"/>
            <w:tcBorders>
              <w:top w:val="single" w:color="auto" w:sz="4" w:space="0"/>
              <w:left w:val="single" w:color="auto" w:sz="4" w:space="0"/>
              <w:right w:val="single" w:color="auto" w:sz="4" w:space="0"/>
            </w:tcBorders>
            <w:noWrap/>
            <w:vAlign w:val="center"/>
          </w:tcPr>
          <w:p w14:paraId="74A5C20D">
            <w:pPr>
              <w:widowControl/>
              <w:spacing w:line="480" w:lineRule="atLeast"/>
              <w:jc w:val="center"/>
              <w:rPr>
                <w:rFonts w:cs="宋体"/>
                <w:b/>
                <w:bCs/>
                <w:color w:val="auto"/>
                <w:kern w:val="0"/>
                <w:sz w:val="24"/>
                <w:szCs w:val="24"/>
                <w:highlight w:val="none"/>
              </w:rPr>
            </w:pPr>
            <w:r>
              <w:rPr>
                <w:rFonts w:hint="eastAsia" w:cs="宋体"/>
                <w:b/>
                <w:bCs/>
                <w:color w:val="auto"/>
                <w:kern w:val="0"/>
                <w:sz w:val="24"/>
                <w:szCs w:val="24"/>
                <w:highlight w:val="none"/>
              </w:rPr>
              <w:t>资金</w:t>
            </w:r>
          </w:p>
          <w:p w14:paraId="25452B68">
            <w:pPr>
              <w:widowControl/>
              <w:spacing w:line="480" w:lineRule="atLeast"/>
              <w:jc w:val="center"/>
              <w:rPr>
                <w:rFonts w:cs="宋体"/>
                <w:b/>
                <w:bCs/>
                <w:color w:val="auto"/>
                <w:kern w:val="0"/>
                <w:sz w:val="24"/>
                <w:szCs w:val="24"/>
                <w:highlight w:val="none"/>
              </w:rPr>
            </w:pPr>
            <w:r>
              <w:rPr>
                <w:rFonts w:hint="eastAsia" w:cs="宋体"/>
                <w:b/>
                <w:bCs/>
                <w:color w:val="auto"/>
                <w:kern w:val="0"/>
                <w:sz w:val="24"/>
                <w:szCs w:val="24"/>
                <w:highlight w:val="none"/>
              </w:rPr>
              <w:t>来源</w:t>
            </w:r>
          </w:p>
        </w:tc>
        <w:tc>
          <w:tcPr>
            <w:tcW w:w="278" w:type="pct"/>
            <w:tcBorders>
              <w:top w:val="single" w:color="auto" w:sz="4" w:space="0"/>
              <w:left w:val="single" w:color="auto" w:sz="4" w:space="0"/>
              <w:right w:val="single" w:color="auto" w:sz="4" w:space="0"/>
            </w:tcBorders>
            <w:noWrap/>
            <w:vAlign w:val="center"/>
          </w:tcPr>
          <w:p w14:paraId="4F1833F6">
            <w:pPr>
              <w:widowControl/>
              <w:spacing w:line="480" w:lineRule="atLeast"/>
              <w:jc w:val="center"/>
              <w:rPr>
                <w:rFonts w:cs="宋体"/>
                <w:b/>
                <w:bCs/>
                <w:color w:val="auto"/>
                <w:kern w:val="0"/>
                <w:sz w:val="24"/>
                <w:szCs w:val="24"/>
                <w:highlight w:val="none"/>
              </w:rPr>
            </w:pPr>
            <w:r>
              <w:rPr>
                <w:rFonts w:hint="eastAsia" w:cs="宋体"/>
                <w:b/>
                <w:bCs/>
                <w:color w:val="auto"/>
                <w:kern w:val="0"/>
                <w:sz w:val="24"/>
                <w:szCs w:val="24"/>
                <w:highlight w:val="none"/>
              </w:rPr>
              <w:t>备注</w:t>
            </w:r>
          </w:p>
        </w:tc>
      </w:tr>
      <w:tr w14:paraId="366DE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8" w:hRule="atLeast"/>
        </w:trPr>
        <w:tc>
          <w:tcPr>
            <w:tcW w:w="1572"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9D9ACC0">
            <w:pPr>
              <w:pStyle w:val="23"/>
              <w:shd w:val="clear" w:color="auto" w:fill="FFFFFF"/>
              <w:spacing w:before="0" w:beforeAutospacing="0" w:after="0" w:afterAutospacing="0" w:line="480" w:lineRule="atLeast"/>
              <w:jc w:val="center"/>
              <w:rPr>
                <w:rFonts w:hint="eastAsia" w:ascii="Times New Roman" w:hAnsi="Times New Roman" w:eastAsia="宋体" w:cs="宋体"/>
                <w:color w:val="auto"/>
                <w:sz w:val="28"/>
                <w:szCs w:val="28"/>
                <w:highlight w:val="none"/>
                <w:lang w:eastAsia="zh-CN"/>
              </w:rPr>
            </w:pPr>
            <w:bookmarkStart w:id="13" w:name="_Hlk344477914"/>
            <w:r>
              <w:rPr>
                <w:rFonts w:hint="eastAsia" w:cs="宋体"/>
                <w:color w:val="auto"/>
                <w:sz w:val="32"/>
                <w:szCs w:val="28"/>
                <w:highlight w:val="none"/>
                <w:lang w:eastAsia="zh-CN"/>
              </w:rPr>
              <w:t>制式服装清洗服务（第三次）</w:t>
            </w:r>
          </w:p>
        </w:tc>
        <w:tc>
          <w:tcPr>
            <w:tcW w:w="76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39A204A2">
            <w:pPr>
              <w:pStyle w:val="23"/>
              <w:shd w:val="clear" w:color="auto" w:fill="FFFFFF"/>
              <w:spacing w:before="0" w:beforeAutospacing="0" w:after="0" w:afterAutospacing="0" w:line="480" w:lineRule="atLeast"/>
              <w:jc w:val="center"/>
              <w:rPr>
                <w:rFonts w:ascii="Times New Roman" w:hAnsi="Times New Roman" w:cs="宋体"/>
                <w:color w:val="auto"/>
                <w:sz w:val="28"/>
                <w:szCs w:val="28"/>
                <w:highlight w:val="none"/>
              </w:rPr>
            </w:pPr>
            <w:r>
              <w:rPr>
                <w:rFonts w:hint="eastAsia" w:ascii="Times New Roman" w:hAnsi="Times New Roman" w:cs="宋体"/>
                <w:color w:val="auto"/>
                <w:sz w:val="28"/>
                <w:szCs w:val="28"/>
                <w:highlight w:val="none"/>
              </w:rPr>
              <w:t>250000</w:t>
            </w:r>
          </w:p>
        </w:tc>
        <w:tc>
          <w:tcPr>
            <w:tcW w:w="672" w:type="pct"/>
            <w:tcBorders>
              <w:top w:val="single" w:color="auto" w:sz="4" w:space="0"/>
              <w:left w:val="single" w:color="auto" w:sz="4" w:space="0"/>
              <w:bottom w:val="single" w:color="auto" w:sz="4" w:space="0"/>
              <w:right w:val="single" w:color="auto" w:sz="4" w:space="0"/>
            </w:tcBorders>
            <w:shd w:val="clear" w:color="auto" w:fill="auto"/>
            <w:noWrap/>
            <w:vAlign w:val="center"/>
          </w:tcPr>
          <w:p w14:paraId="051DB566">
            <w:pPr>
              <w:pStyle w:val="23"/>
              <w:shd w:val="clear" w:color="auto" w:fill="FFFFFF"/>
              <w:spacing w:before="0" w:beforeAutospacing="0" w:after="0" w:afterAutospacing="0" w:line="480" w:lineRule="atLeast"/>
              <w:jc w:val="center"/>
              <w:rPr>
                <w:rFonts w:ascii="Times New Roman" w:hAnsi="Times New Roman" w:cs="宋体"/>
                <w:color w:val="auto"/>
                <w:sz w:val="28"/>
                <w:szCs w:val="28"/>
                <w:highlight w:val="none"/>
              </w:rPr>
            </w:pPr>
            <w:r>
              <w:rPr>
                <w:rFonts w:hint="eastAsia" w:ascii="Times New Roman" w:hAnsi="Times New Roman" w:cs="宋体"/>
                <w:color w:val="auto"/>
                <w:sz w:val="28"/>
                <w:szCs w:val="28"/>
                <w:highlight w:val="none"/>
              </w:rPr>
              <w:t>100%</w:t>
            </w:r>
          </w:p>
        </w:tc>
        <w:tc>
          <w:tcPr>
            <w:tcW w:w="615" w:type="pct"/>
            <w:tcBorders>
              <w:top w:val="single" w:color="auto" w:sz="4" w:space="0"/>
              <w:left w:val="single" w:color="auto" w:sz="4" w:space="0"/>
              <w:bottom w:val="single" w:color="auto" w:sz="4" w:space="0"/>
              <w:right w:val="single" w:color="auto" w:sz="4" w:space="0"/>
            </w:tcBorders>
            <w:shd w:val="clear" w:color="auto" w:fill="auto"/>
            <w:noWrap/>
            <w:vAlign w:val="center"/>
          </w:tcPr>
          <w:p w14:paraId="0336990D">
            <w:pPr>
              <w:pStyle w:val="23"/>
              <w:shd w:val="clear" w:color="auto" w:fill="FFFFFF"/>
              <w:spacing w:before="0" w:beforeAutospacing="0" w:after="0" w:afterAutospacing="0" w:line="480" w:lineRule="atLeast"/>
              <w:jc w:val="center"/>
              <w:rPr>
                <w:rFonts w:ascii="Times New Roman" w:hAnsi="Times New Roman" w:cs="宋体"/>
                <w:color w:val="auto"/>
                <w:sz w:val="28"/>
                <w:szCs w:val="28"/>
                <w:highlight w:val="none"/>
              </w:rPr>
            </w:pPr>
            <w:r>
              <w:rPr>
                <w:rFonts w:hint="eastAsia" w:ascii="Times New Roman" w:hAnsi="Times New Roman" w:cs="宋体"/>
                <w:color w:val="auto"/>
                <w:sz w:val="28"/>
                <w:szCs w:val="28"/>
                <w:highlight w:val="none"/>
                <w:lang w:val="en-US" w:eastAsia="zh-CN"/>
              </w:rPr>
              <w:t>/</w:t>
            </w:r>
          </w:p>
        </w:tc>
        <w:tc>
          <w:tcPr>
            <w:tcW w:w="795" w:type="pct"/>
            <w:tcBorders>
              <w:top w:val="single" w:color="auto" w:sz="4" w:space="0"/>
              <w:left w:val="single" w:color="auto" w:sz="4" w:space="0"/>
              <w:right w:val="single" w:color="auto" w:sz="4" w:space="0"/>
            </w:tcBorders>
            <w:noWrap/>
            <w:vAlign w:val="center"/>
          </w:tcPr>
          <w:p w14:paraId="3B09DBC9">
            <w:pPr>
              <w:pStyle w:val="23"/>
              <w:shd w:val="clear" w:color="auto" w:fill="FFFFFF"/>
              <w:spacing w:before="0" w:beforeAutospacing="0" w:after="0" w:afterAutospacing="0" w:line="480" w:lineRule="atLeast"/>
              <w:jc w:val="center"/>
              <w:rPr>
                <w:rFonts w:ascii="Times New Roman" w:hAnsi="Times New Roman" w:cs="宋体"/>
                <w:color w:val="auto"/>
                <w:sz w:val="28"/>
                <w:szCs w:val="28"/>
                <w:highlight w:val="none"/>
              </w:rPr>
            </w:pPr>
            <w:r>
              <w:rPr>
                <w:rFonts w:hint="eastAsia" w:ascii="Times New Roman" w:hAnsi="Times New Roman" w:cs="宋体"/>
                <w:color w:val="auto"/>
                <w:sz w:val="28"/>
                <w:szCs w:val="28"/>
                <w:highlight w:val="none"/>
              </w:rPr>
              <w:t>详见本篇“六”</w:t>
            </w:r>
          </w:p>
        </w:tc>
        <w:tc>
          <w:tcPr>
            <w:tcW w:w="304" w:type="pct"/>
            <w:tcBorders>
              <w:top w:val="single" w:color="auto" w:sz="4" w:space="0"/>
              <w:left w:val="single" w:color="auto" w:sz="4" w:space="0"/>
              <w:right w:val="single" w:color="auto" w:sz="4" w:space="0"/>
            </w:tcBorders>
            <w:noWrap/>
            <w:vAlign w:val="center"/>
          </w:tcPr>
          <w:p w14:paraId="46324A27">
            <w:pPr>
              <w:pStyle w:val="23"/>
              <w:shd w:val="clear" w:color="auto" w:fill="FFFFFF"/>
              <w:spacing w:before="0" w:beforeAutospacing="0" w:after="0" w:afterAutospacing="0" w:line="480" w:lineRule="atLeast"/>
              <w:jc w:val="center"/>
              <w:rPr>
                <w:rFonts w:ascii="Times New Roman" w:hAnsi="Times New Roman" w:cs="宋体"/>
                <w:color w:val="auto"/>
                <w:sz w:val="28"/>
                <w:szCs w:val="28"/>
                <w:highlight w:val="none"/>
              </w:rPr>
            </w:pPr>
            <w:r>
              <w:rPr>
                <w:rFonts w:hint="eastAsia" w:ascii="Times New Roman" w:hAnsi="Times New Roman" w:cs="宋体"/>
                <w:color w:val="auto"/>
                <w:sz w:val="28"/>
                <w:szCs w:val="28"/>
                <w:highlight w:val="none"/>
              </w:rPr>
              <w:t>财政</w:t>
            </w:r>
          </w:p>
          <w:p w14:paraId="65100BFE">
            <w:pPr>
              <w:pStyle w:val="23"/>
              <w:shd w:val="clear" w:color="auto" w:fill="FFFFFF"/>
              <w:spacing w:before="0" w:beforeAutospacing="0" w:after="0" w:afterAutospacing="0" w:line="480" w:lineRule="atLeast"/>
              <w:jc w:val="center"/>
              <w:rPr>
                <w:rFonts w:ascii="Times New Roman" w:hAnsi="Times New Roman" w:cs="宋体"/>
                <w:color w:val="auto"/>
                <w:sz w:val="28"/>
                <w:szCs w:val="28"/>
                <w:highlight w:val="none"/>
              </w:rPr>
            </w:pPr>
            <w:r>
              <w:rPr>
                <w:rFonts w:hint="eastAsia" w:ascii="Times New Roman" w:hAnsi="Times New Roman" w:cs="宋体"/>
                <w:color w:val="auto"/>
                <w:sz w:val="28"/>
                <w:szCs w:val="28"/>
                <w:highlight w:val="none"/>
              </w:rPr>
              <w:t>资金</w:t>
            </w:r>
          </w:p>
        </w:tc>
        <w:tc>
          <w:tcPr>
            <w:tcW w:w="278" w:type="pct"/>
            <w:tcBorders>
              <w:top w:val="single" w:color="auto" w:sz="4" w:space="0"/>
              <w:left w:val="single" w:color="auto" w:sz="4" w:space="0"/>
              <w:right w:val="single" w:color="auto" w:sz="4" w:space="0"/>
            </w:tcBorders>
            <w:noWrap/>
            <w:vAlign w:val="center"/>
          </w:tcPr>
          <w:p w14:paraId="503F3BA8">
            <w:pPr>
              <w:pStyle w:val="23"/>
              <w:shd w:val="clear" w:color="auto" w:fill="FFFFFF"/>
              <w:spacing w:before="0" w:beforeAutospacing="0" w:after="0" w:afterAutospacing="0" w:line="480" w:lineRule="atLeast"/>
              <w:jc w:val="center"/>
              <w:rPr>
                <w:rFonts w:ascii="Times New Roman" w:hAnsi="Times New Roman" w:cs="宋体"/>
                <w:color w:val="auto"/>
                <w:sz w:val="28"/>
                <w:szCs w:val="28"/>
                <w:highlight w:val="none"/>
              </w:rPr>
            </w:pPr>
          </w:p>
        </w:tc>
      </w:tr>
      <w:bookmarkEnd w:id="13"/>
    </w:tbl>
    <w:p w14:paraId="40EFF992">
      <w:pPr>
        <w:pStyle w:val="4"/>
        <w:spacing w:before="194"/>
        <w:ind w:firstLine="562"/>
        <w:rPr>
          <w:rFonts w:ascii="Times New Roman" w:hAnsi="Times New Roman"/>
          <w:color w:val="auto"/>
          <w:highlight w:val="none"/>
        </w:rPr>
      </w:pPr>
      <w:bookmarkStart w:id="14" w:name="_Toc14960"/>
      <w:bookmarkStart w:id="15" w:name="_Toc10941"/>
      <w:bookmarkStart w:id="16" w:name="_Toc8843"/>
      <w:bookmarkStart w:id="17" w:name="_Toc22795"/>
      <w:bookmarkStart w:id="18" w:name="_Toc1477"/>
      <w:bookmarkStart w:id="19" w:name="_Toc19000"/>
      <w:r>
        <w:rPr>
          <w:rFonts w:hint="eastAsia" w:ascii="Times New Roman" w:hAnsi="Times New Roman"/>
          <w:color w:val="auto"/>
          <w:highlight w:val="none"/>
        </w:rPr>
        <w:t>二、资格条件</w:t>
      </w:r>
      <w:bookmarkEnd w:id="14"/>
      <w:bookmarkEnd w:id="15"/>
      <w:bookmarkEnd w:id="16"/>
      <w:bookmarkEnd w:id="17"/>
      <w:bookmarkEnd w:id="18"/>
      <w:bookmarkEnd w:id="19"/>
    </w:p>
    <w:p w14:paraId="5146367C">
      <w:pPr>
        <w:snapToGrid w:val="0"/>
        <w:spacing w:line="480" w:lineRule="atLeast"/>
        <w:ind w:firstLine="560" w:firstLineChars="200"/>
        <w:rPr>
          <w:rFonts w:cs="宋体"/>
          <w:color w:val="auto"/>
          <w:szCs w:val="28"/>
          <w:highlight w:val="none"/>
        </w:rPr>
      </w:pPr>
      <w:r>
        <w:rPr>
          <w:rFonts w:hint="eastAsia" w:cs="宋体"/>
          <w:color w:val="auto"/>
          <w:szCs w:val="28"/>
          <w:highlight w:val="none"/>
        </w:rPr>
        <w:t>（一）基本资格条件：</w:t>
      </w:r>
    </w:p>
    <w:p w14:paraId="7D6CBBA0">
      <w:pPr>
        <w:snapToGrid w:val="0"/>
        <w:spacing w:line="480" w:lineRule="atLeast"/>
        <w:ind w:firstLine="560" w:firstLineChars="200"/>
        <w:rPr>
          <w:rFonts w:cs="宋体"/>
          <w:color w:val="auto"/>
          <w:szCs w:val="28"/>
          <w:highlight w:val="none"/>
        </w:rPr>
      </w:pPr>
      <w:r>
        <w:rPr>
          <w:rFonts w:hint="eastAsia" w:cs="宋体"/>
          <w:color w:val="auto"/>
          <w:szCs w:val="28"/>
          <w:highlight w:val="none"/>
        </w:rPr>
        <w:t>1.具有独立承担民事责任的能力；</w:t>
      </w:r>
    </w:p>
    <w:p w14:paraId="51D3DDA2">
      <w:pPr>
        <w:snapToGrid w:val="0"/>
        <w:spacing w:line="480" w:lineRule="atLeast"/>
        <w:ind w:firstLine="560" w:firstLineChars="200"/>
        <w:rPr>
          <w:rFonts w:cs="宋体"/>
          <w:color w:val="auto"/>
          <w:szCs w:val="28"/>
          <w:highlight w:val="none"/>
        </w:rPr>
      </w:pPr>
      <w:r>
        <w:rPr>
          <w:rFonts w:hint="eastAsia" w:cs="宋体"/>
          <w:color w:val="auto"/>
          <w:szCs w:val="28"/>
          <w:highlight w:val="none"/>
        </w:rPr>
        <w:t>2.具有良好的商业信誉和健全的财务会计制度；</w:t>
      </w:r>
    </w:p>
    <w:p w14:paraId="346E3B40">
      <w:pPr>
        <w:snapToGrid w:val="0"/>
        <w:spacing w:line="480" w:lineRule="atLeast"/>
        <w:ind w:firstLine="560" w:firstLineChars="200"/>
        <w:rPr>
          <w:rFonts w:cs="宋体"/>
          <w:color w:val="auto"/>
          <w:szCs w:val="28"/>
          <w:highlight w:val="none"/>
        </w:rPr>
      </w:pPr>
      <w:r>
        <w:rPr>
          <w:rFonts w:hint="eastAsia" w:cs="宋体"/>
          <w:color w:val="auto"/>
          <w:szCs w:val="28"/>
          <w:highlight w:val="none"/>
        </w:rPr>
        <w:t>3.具有履行合同所必需的设备和专业技术能力；</w:t>
      </w:r>
    </w:p>
    <w:p w14:paraId="182BE75E">
      <w:pPr>
        <w:snapToGrid w:val="0"/>
        <w:spacing w:line="480" w:lineRule="atLeast"/>
        <w:ind w:firstLine="560" w:firstLineChars="200"/>
        <w:rPr>
          <w:rFonts w:cs="宋体"/>
          <w:color w:val="auto"/>
          <w:szCs w:val="28"/>
          <w:highlight w:val="none"/>
        </w:rPr>
      </w:pPr>
      <w:r>
        <w:rPr>
          <w:rFonts w:hint="eastAsia" w:cs="宋体"/>
          <w:color w:val="auto"/>
          <w:szCs w:val="28"/>
          <w:highlight w:val="none"/>
        </w:rPr>
        <w:t>4.有依法缴纳税收和社会保障资金的良好记录；</w:t>
      </w:r>
    </w:p>
    <w:p w14:paraId="01F37D62">
      <w:pPr>
        <w:snapToGrid w:val="0"/>
        <w:spacing w:line="480" w:lineRule="atLeast"/>
        <w:ind w:firstLine="560" w:firstLineChars="200"/>
        <w:rPr>
          <w:rFonts w:cs="宋体"/>
          <w:color w:val="auto"/>
          <w:szCs w:val="28"/>
          <w:highlight w:val="none"/>
        </w:rPr>
      </w:pPr>
      <w:r>
        <w:rPr>
          <w:rFonts w:hint="eastAsia" w:cs="宋体"/>
          <w:color w:val="auto"/>
          <w:szCs w:val="28"/>
          <w:highlight w:val="none"/>
        </w:rPr>
        <w:t>5.参加采购活动前三年内，在经营活动中没有重大违法记录；</w:t>
      </w:r>
    </w:p>
    <w:p w14:paraId="670FA66E">
      <w:pPr>
        <w:snapToGrid w:val="0"/>
        <w:spacing w:line="480" w:lineRule="atLeast"/>
        <w:ind w:firstLine="560" w:firstLineChars="200"/>
        <w:rPr>
          <w:rFonts w:cs="宋体"/>
          <w:color w:val="auto"/>
          <w:szCs w:val="28"/>
          <w:highlight w:val="none"/>
        </w:rPr>
      </w:pPr>
      <w:r>
        <w:rPr>
          <w:rFonts w:hint="eastAsia" w:cs="宋体"/>
          <w:color w:val="auto"/>
          <w:szCs w:val="28"/>
          <w:highlight w:val="none"/>
        </w:rPr>
        <w:t>6.法律、行政法规规定的其他条件。</w:t>
      </w:r>
    </w:p>
    <w:p w14:paraId="4F3E1C49">
      <w:pPr>
        <w:snapToGrid w:val="0"/>
        <w:spacing w:line="480" w:lineRule="atLeast"/>
        <w:ind w:firstLine="560" w:firstLineChars="200"/>
        <w:rPr>
          <w:rFonts w:cs="宋体"/>
          <w:color w:val="auto"/>
          <w:szCs w:val="28"/>
          <w:highlight w:val="none"/>
        </w:rPr>
      </w:pPr>
      <w:r>
        <w:rPr>
          <w:rFonts w:hint="eastAsia" w:cs="宋体"/>
          <w:color w:val="auto"/>
          <w:szCs w:val="28"/>
          <w:highlight w:val="none"/>
        </w:rPr>
        <w:t>（二）本项目的特定资格要求：</w:t>
      </w:r>
    </w:p>
    <w:p w14:paraId="03AC569A">
      <w:pPr>
        <w:tabs>
          <w:tab w:val="left" w:pos="2626"/>
        </w:tabs>
        <w:snapToGrid w:val="0"/>
        <w:spacing w:line="480" w:lineRule="atLeast"/>
        <w:ind w:firstLine="560" w:firstLineChars="200"/>
        <w:rPr>
          <w:color w:val="auto"/>
          <w:highlight w:val="none"/>
        </w:rPr>
      </w:pPr>
      <w:r>
        <w:rPr>
          <w:rFonts w:hint="eastAsia" w:cs="宋体"/>
          <w:color w:val="auto"/>
          <w:szCs w:val="28"/>
          <w:highlight w:val="none"/>
        </w:rPr>
        <w:t>无。</w:t>
      </w:r>
      <w:r>
        <w:rPr>
          <w:rFonts w:hint="eastAsia" w:cs="宋体"/>
          <w:color w:val="auto"/>
          <w:szCs w:val="28"/>
          <w:highlight w:val="none"/>
        </w:rPr>
        <w:tab/>
      </w:r>
    </w:p>
    <w:p w14:paraId="03C87721">
      <w:pPr>
        <w:pStyle w:val="4"/>
        <w:spacing w:before="194"/>
        <w:ind w:firstLine="562"/>
        <w:rPr>
          <w:rFonts w:ascii="Times New Roman" w:hAnsi="Times New Roman"/>
          <w:color w:val="auto"/>
          <w:highlight w:val="none"/>
        </w:rPr>
      </w:pPr>
      <w:bookmarkStart w:id="20" w:name="_Toc3005"/>
      <w:bookmarkStart w:id="21" w:name="_Toc1597"/>
      <w:bookmarkStart w:id="22" w:name="_Toc17417"/>
      <w:bookmarkStart w:id="23" w:name="_Toc9964"/>
      <w:r>
        <w:rPr>
          <w:rFonts w:hint="eastAsia" w:ascii="Times New Roman" w:hAnsi="Times New Roman"/>
          <w:color w:val="auto"/>
          <w:highlight w:val="none"/>
        </w:rPr>
        <w:t>三、响应、评审有关说明</w:t>
      </w:r>
      <w:bookmarkEnd w:id="20"/>
      <w:bookmarkEnd w:id="21"/>
      <w:bookmarkEnd w:id="22"/>
      <w:bookmarkEnd w:id="23"/>
      <w:bookmarkStart w:id="24" w:name="_Toc22048"/>
    </w:p>
    <w:p w14:paraId="2700DF33">
      <w:pPr>
        <w:snapToGrid w:val="0"/>
        <w:spacing w:line="480" w:lineRule="atLeast"/>
        <w:ind w:firstLine="560" w:firstLineChars="200"/>
        <w:rPr>
          <w:rFonts w:cs="宋体"/>
          <w:color w:val="auto"/>
          <w:szCs w:val="28"/>
          <w:highlight w:val="none"/>
        </w:rPr>
      </w:pPr>
      <w:r>
        <w:rPr>
          <w:rFonts w:hint="eastAsia" w:cs="宋体"/>
          <w:color w:val="auto"/>
          <w:szCs w:val="28"/>
          <w:highlight w:val="none"/>
        </w:rPr>
        <w:t>（一）凡有意参加的供应商，应通过“行采家”平台（https://www.gec123.com）进行注册，成为平台入驻供应商，在网站下载本项目竞采文件以及补遗等响应文件递交截止时间前公布的所有项目资料，无论下载与否，均视为其已知晓所有项目内容。</w:t>
      </w:r>
    </w:p>
    <w:p w14:paraId="4525A4DA">
      <w:pPr>
        <w:snapToGrid w:val="0"/>
        <w:spacing w:line="480" w:lineRule="atLeast"/>
        <w:ind w:firstLine="560" w:firstLineChars="200"/>
        <w:rPr>
          <w:rFonts w:cs="宋体"/>
          <w:color w:val="auto"/>
          <w:szCs w:val="28"/>
          <w:highlight w:val="none"/>
        </w:rPr>
      </w:pPr>
      <w:r>
        <w:rPr>
          <w:rFonts w:hint="eastAsia" w:cs="宋体"/>
          <w:color w:val="auto"/>
          <w:szCs w:val="28"/>
          <w:highlight w:val="none"/>
        </w:rPr>
        <w:t>（二）报名期限</w:t>
      </w:r>
    </w:p>
    <w:p w14:paraId="4E3AD40D">
      <w:pPr>
        <w:snapToGrid w:val="0"/>
        <w:spacing w:line="480" w:lineRule="atLeast"/>
        <w:ind w:firstLine="560" w:firstLineChars="200"/>
        <w:rPr>
          <w:rFonts w:cs="宋体"/>
          <w:bCs/>
          <w:color w:val="auto"/>
          <w:highlight w:val="none"/>
        </w:rPr>
      </w:pPr>
      <w:r>
        <w:rPr>
          <w:rFonts w:hint="eastAsia" w:cs="宋体"/>
          <w:bCs/>
          <w:color w:val="auto"/>
          <w:highlight w:val="none"/>
        </w:rPr>
        <w:t>1.报名期限：自公告发布之日起至2025年</w:t>
      </w:r>
      <w:r>
        <w:rPr>
          <w:rFonts w:hint="eastAsia" w:cs="宋体"/>
          <w:bCs/>
          <w:color w:val="auto"/>
          <w:highlight w:val="none"/>
          <w:lang w:val="en-US" w:eastAsia="zh-CN"/>
        </w:rPr>
        <w:t xml:space="preserve"> 5</w:t>
      </w:r>
      <w:r>
        <w:rPr>
          <w:rFonts w:hint="eastAsia" w:cs="宋体"/>
          <w:bCs/>
          <w:color w:val="auto"/>
          <w:highlight w:val="none"/>
        </w:rPr>
        <w:t>月</w:t>
      </w:r>
      <w:r>
        <w:rPr>
          <w:rFonts w:hint="eastAsia" w:cs="宋体"/>
          <w:bCs/>
          <w:color w:val="auto"/>
          <w:highlight w:val="none"/>
          <w:lang w:val="en-US" w:eastAsia="zh-CN"/>
        </w:rPr>
        <w:t>30</w:t>
      </w:r>
      <w:r>
        <w:rPr>
          <w:rFonts w:hint="eastAsia" w:cs="宋体"/>
          <w:bCs/>
          <w:color w:val="auto"/>
          <w:highlight w:val="none"/>
        </w:rPr>
        <w:t>日</w:t>
      </w:r>
      <w:r>
        <w:rPr>
          <w:rFonts w:hint="eastAsia" w:cs="宋体"/>
          <w:bCs/>
          <w:color w:val="auto"/>
          <w:highlight w:val="none"/>
        </w:rPr>
        <w:t>1</w:t>
      </w:r>
      <w:r>
        <w:rPr>
          <w:rFonts w:hint="eastAsia" w:cs="宋体"/>
          <w:bCs/>
          <w:color w:val="auto"/>
          <w:highlight w:val="none"/>
          <w:lang w:val="en-US" w:eastAsia="zh-CN"/>
        </w:rPr>
        <w:t>2</w:t>
      </w:r>
      <w:r>
        <w:rPr>
          <w:rFonts w:hint="eastAsia" w:cs="宋体"/>
          <w:bCs/>
          <w:color w:val="auto"/>
          <w:highlight w:val="none"/>
        </w:rPr>
        <w:t>:00前。</w:t>
      </w:r>
    </w:p>
    <w:p w14:paraId="34691B2B">
      <w:pPr>
        <w:snapToGrid w:val="0"/>
        <w:spacing w:line="480" w:lineRule="atLeast"/>
        <w:ind w:firstLine="560" w:firstLineChars="200"/>
        <w:rPr>
          <w:rFonts w:cs="宋体"/>
          <w:bCs/>
          <w:color w:val="auto"/>
          <w:highlight w:val="none"/>
        </w:rPr>
      </w:pPr>
      <w:r>
        <w:rPr>
          <w:rFonts w:hint="eastAsia" w:cs="宋体"/>
          <w:bCs/>
          <w:color w:val="auto"/>
          <w:highlight w:val="none"/>
        </w:rPr>
        <w:t>2.报名费：</w:t>
      </w:r>
      <w:r>
        <w:rPr>
          <w:rFonts w:hint="eastAsia" w:cs="宋体"/>
          <w:bCs/>
          <w:color w:val="auto"/>
          <w:highlight w:val="none"/>
          <w:lang w:val="en-US" w:eastAsia="zh-CN"/>
        </w:rPr>
        <w:t>5</w:t>
      </w:r>
      <w:r>
        <w:rPr>
          <w:rFonts w:hint="eastAsia" w:cs="宋体"/>
          <w:bCs/>
          <w:color w:val="auto"/>
          <w:highlight w:val="none"/>
        </w:rPr>
        <w:t>00元/家（售后不退），支付账户如下。</w:t>
      </w:r>
    </w:p>
    <w:p w14:paraId="4C5F9886">
      <w:pPr>
        <w:snapToGrid w:val="0"/>
        <w:spacing w:line="480" w:lineRule="atLeast"/>
        <w:ind w:firstLine="560" w:firstLineChars="200"/>
        <w:rPr>
          <w:rFonts w:cs="宋体"/>
          <w:bCs/>
          <w:color w:val="auto"/>
          <w:highlight w:val="none"/>
        </w:rPr>
      </w:pPr>
      <w:r>
        <w:rPr>
          <w:rFonts w:hint="eastAsia" w:cs="宋体"/>
          <w:bCs/>
          <w:color w:val="auto"/>
          <w:highlight w:val="none"/>
        </w:rPr>
        <w:t>账户名称：重庆方采工程项目管理咨询有限公司</w:t>
      </w:r>
    </w:p>
    <w:p w14:paraId="4A49FB7B">
      <w:pPr>
        <w:snapToGrid w:val="0"/>
        <w:spacing w:line="480" w:lineRule="atLeast"/>
        <w:ind w:firstLine="560" w:firstLineChars="200"/>
        <w:rPr>
          <w:rFonts w:cs="宋体"/>
          <w:bCs/>
          <w:color w:val="auto"/>
          <w:highlight w:val="none"/>
        </w:rPr>
      </w:pPr>
      <w:r>
        <w:rPr>
          <w:rFonts w:hint="eastAsia" w:cs="宋体"/>
          <w:bCs/>
          <w:color w:val="auto"/>
          <w:highlight w:val="none"/>
        </w:rPr>
        <w:t>开户银行：重庆渝北银座村镇银行有限责任公司人和支行</w:t>
      </w:r>
    </w:p>
    <w:p w14:paraId="3B1DE197">
      <w:pPr>
        <w:snapToGrid w:val="0"/>
        <w:spacing w:line="480" w:lineRule="atLeast"/>
        <w:ind w:firstLine="560" w:firstLineChars="200"/>
        <w:rPr>
          <w:rFonts w:cs="宋体"/>
          <w:bCs/>
          <w:color w:val="auto"/>
          <w:highlight w:val="none"/>
        </w:rPr>
      </w:pPr>
      <w:r>
        <w:rPr>
          <w:rFonts w:hint="eastAsia" w:cs="宋体"/>
          <w:bCs/>
          <w:color w:val="auto"/>
          <w:highlight w:val="none"/>
        </w:rPr>
        <w:t>账 号：651095368900015</w:t>
      </w:r>
    </w:p>
    <w:p w14:paraId="00B01452">
      <w:pPr>
        <w:snapToGrid w:val="0"/>
        <w:spacing w:line="480" w:lineRule="atLeast"/>
        <w:ind w:firstLine="560" w:firstLineChars="200"/>
        <w:rPr>
          <w:rFonts w:cs="宋体"/>
          <w:bCs/>
          <w:color w:val="auto"/>
          <w:highlight w:val="none"/>
        </w:rPr>
      </w:pPr>
      <w:r>
        <w:rPr>
          <w:rFonts w:hint="eastAsia" w:cs="宋体"/>
          <w:bCs/>
          <w:color w:val="auto"/>
          <w:highlight w:val="none"/>
        </w:rPr>
        <w:t>行 号：320653000442</w:t>
      </w:r>
    </w:p>
    <w:p w14:paraId="1B44DC99">
      <w:pPr>
        <w:snapToGrid w:val="0"/>
        <w:spacing w:line="480" w:lineRule="atLeast"/>
        <w:ind w:firstLine="560" w:firstLineChars="200"/>
        <w:rPr>
          <w:rFonts w:cs="宋体"/>
          <w:bCs/>
          <w:color w:val="auto"/>
          <w:highlight w:val="none"/>
        </w:rPr>
      </w:pPr>
      <w:r>
        <w:rPr>
          <w:rFonts w:hint="eastAsia" w:cs="宋体"/>
          <w:bCs/>
          <w:color w:val="auto"/>
          <w:highlight w:val="none"/>
        </w:rPr>
        <w:t>3.报名登记：在报名期限内，供应商将报名费支付凭证及加盖公章的《竞采报名登记表》扫描后发送至</w:t>
      </w:r>
      <w:r>
        <w:rPr>
          <w:rFonts w:hint="eastAsia" w:cs="宋体"/>
          <w:bCs/>
          <w:color w:val="auto"/>
          <w:highlight w:val="none"/>
          <w:lang w:val="en-US" w:eastAsia="zh-CN"/>
        </w:rPr>
        <w:t>358766820</w:t>
      </w:r>
      <w:r>
        <w:rPr>
          <w:rFonts w:hint="eastAsia" w:cs="宋体"/>
          <w:bCs/>
          <w:color w:val="auto"/>
          <w:highlight w:val="none"/>
        </w:rPr>
        <w:t>@qq.com。</w:t>
      </w:r>
      <w:r>
        <w:rPr>
          <w:rFonts w:hint="eastAsia" w:cs="宋体"/>
          <w:bCs/>
          <w:color w:val="auto"/>
          <w:highlight w:val="none"/>
        </w:rPr>
        <w:t>（提示：采购代理机构对报名的潜在供应商信用记录进行查询）。</w:t>
      </w:r>
    </w:p>
    <w:p w14:paraId="544EBAF4">
      <w:pPr>
        <w:snapToGrid w:val="0"/>
        <w:spacing w:line="480" w:lineRule="atLeast"/>
        <w:ind w:firstLine="560" w:firstLineChars="200"/>
        <w:rPr>
          <w:rFonts w:cs="宋体"/>
          <w:bCs/>
          <w:color w:val="auto"/>
          <w:highlight w:val="none"/>
        </w:rPr>
      </w:pPr>
      <w:r>
        <w:rPr>
          <w:rFonts w:hint="eastAsia" w:cs="宋体"/>
          <w:bCs/>
          <w:color w:val="auto"/>
          <w:highlight w:val="none"/>
        </w:rPr>
        <w:t>注：只有在报名期限内完成了报名手续并按时签到的供应商，其响应文件才被接收。</w:t>
      </w:r>
    </w:p>
    <w:p w14:paraId="53D22F1C">
      <w:pPr>
        <w:snapToGrid w:val="0"/>
        <w:spacing w:line="480" w:lineRule="atLeast"/>
        <w:ind w:firstLine="560" w:firstLineChars="200"/>
        <w:rPr>
          <w:rFonts w:cs="宋体"/>
          <w:color w:val="auto"/>
          <w:szCs w:val="28"/>
          <w:highlight w:val="none"/>
        </w:rPr>
      </w:pPr>
      <w:r>
        <w:rPr>
          <w:rFonts w:hint="eastAsia" w:cs="宋体"/>
          <w:color w:val="auto"/>
          <w:szCs w:val="28"/>
          <w:highlight w:val="none"/>
        </w:rPr>
        <w:t>（四）响应文件</w:t>
      </w:r>
    </w:p>
    <w:p w14:paraId="5F826256">
      <w:pPr>
        <w:snapToGrid w:val="0"/>
        <w:spacing w:line="440" w:lineRule="exact"/>
        <w:ind w:firstLine="560" w:firstLineChars="200"/>
        <w:rPr>
          <w:rFonts w:cs="宋体"/>
          <w:color w:val="auto"/>
          <w:szCs w:val="28"/>
          <w:highlight w:val="none"/>
        </w:rPr>
      </w:pPr>
      <w:bookmarkStart w:id="25" w:name="_Toc17573"/>
      <w:bookmarkStart w:id="26" w:name="_Toc14264"/>
      <w:bookmarkStart w:id="27" w:name="_Toc394"/>
      <w:r>
        <w:rPr>
          <w:rFonts w:hint="eastAsia" w:cs="宋体"/>
          <w:color w:val="auto"/>
          <w:szCs w:val="28"/>
          <w:highlight w:val="none"/>
        </w:rPr>
        <w:t>1.供应商应按本项目竞采文件要求制作响应文件，</w:t>
      </w:r>
      <w:r>
        <w:rPr>
          <w:rFonts w:hint="eastAsia" w:cs="宋体"/>
          <w:bCs/>
          <w:color w:val="auto"/>
          <w:highlight w:val="none"/>
        </w:rPr>
        <w:t>规定签字、盖章的地方必须按其规定签字、盖章，未按要求制作响应文件的进行无效响应处理。</w:t>
      </w:r>
    </w:p>
    <w:p w14:paraId="6445D9AB">
      <w:pPr>
        <w:snapToGrid w:val="0"/>
        <w:spacing w:line="440" w:lineRule="exact"/>
        <w:ind w:firstLine="560" w:firstLineChars="200"/>
        <w:rPr>
          <w:rFonts w:cs="宋体"/>
          <w:bCs/>
          <w:color w:val="auto"/>
          <w:highlight w:val="none"/>
        </w:rPr>
      </w:pPr>
      <w:r>
        <w:rPr>
          <w:rFonts w:hint="eastAsia" w:cs="宋体"/>
          <w:bCs/>
          <w:color w:val="auto"/>
          <w:highlight w:val="none"/>
        </w:rPr>
        <w:t>2.供应商提供的响应材料要求真实可靠，采购人可对响应材料真实性进行核查，如有虚假，取消成交资格或者解除合同，并赔偿由此造成采购人的经济损失。</w:t>
      </w:r>
    </w:p>
    <w:p w14:paraId="063C2B29">
      <w:pPr>
        <w:snapToGrid w:val="0"/>
        <w:spacing w:line="440" w:lineRule="exact"/>
        <w:ind w:firstLine="560" w:firstLineChars="200"/>
        <w:rPr>
          <w:rFonts w:cs="宋体"/>
          <w:bCs/>
          <w:color w:val="auto"/>
          <w:highlight w:val="none"/>
        </w:rPr>
      </w:pPr>
      <w:r>
        <w:rPr>
          <w:rFonts w:hint="eastAsia" w:cs="宋体"/>
          <w:bCs/>
          <w:color w:val="auto"/>
          <w:highlight w:val="none"/>
        </w:rPr>
        <w:t>3.请参与本项目竞采的供应商于2025年</w:t>
      </w:r>
      <w:r>
        <w:rPr>
          <w:rFonts w:hint="eastAsia" w:cs="宋体"/>
          <w:bCs/>
          <w:color w:val="auto"/>
          <w:highlight w:val="none"/>
          <w:u w:val="single"/>
          <w:lang w:val="en-US" w:eastAsia="zh-CN"/>
        </w:rPr>
        <w:t>6</w:t>
      </w:r>
      <w:r>
        <w:rPr>
          <w:rFonts w:hint="eastAsia" w:cs="宋体"/>
          <w:bCs/>
          <w:color w:val="auto"/>
          <w:highlight w:val="none"/>
        </w:rPr>
        <w:t>月</w:t>
      </w:r>
      <w:r>
        <w:rPr>
          <w:rFonts w:hint="eastAsia" w:cs="宋体"/>
          <w:bCs/>
          <w:color w:val="auto"/>
          <w:highlight w:val="none"/>
          <w:u w:val="single"/>
          <w:lang w:val="en-US" w:eastAsia="zh-CN"/>
        </w:rPr>
        <w:t>5</w:t>
      </w:r>
      <w:r>
        <w:rPr>
          <w:rFonts w:hint="eastAsia" w:cs="宋体"/>
          <w:bCs/>
          <w:color w:val="auto"/>
          <w:highlight w:val="none"/>
        </w:rPr>
        <w:t>日</w:t>
      </w:r>
      <w:r>
        <w:rPr>
          <w:rFonts w:hint="eastAsia" w:cs="宋体"/>
          <w:bCs/>
          <w:color w:val="auto"/>
          <w:highlight w:val="none"/>
        </w:rPr>
        <w:t>11时00分前在本项目公告电子竞采页面线上完成报价和递交平台服务费，并于下列规定的时间地点递交响应文件，根据网站电子竞采规则，未在线上报</w:t>
      </w:r>
      <w:bookmarkStart w:id="418" w:name="_GoBack"/>
      <w:bookmarkEnd w:id="418"/>
      <w:r>
        <w:rPr>
          <w:rFonts w:hint="eastAsia" w:cs="宋体"/>
          <w:bCs/>
          <w:color w:val="auto"/>
          <w:highlight w:val="none"/>
        </w:rPr>
        <w:t>价的单位其响应文件将不予接收。</w:t>
      </w:r>
      <w:r>
        <w:rPr>
          <w:rFonts w:hint="eastAsia" w:cs="宋体"/>
          <w:b/>
          <w:color w:val="auto"/>
          <w:highlight w:val="none"/>
        </w:rPr>
        <w:t>供应商线上报价时需上传《报价函》扫描件至平台，线上报价与线下纸质响应文件报价不一致的，以线上报价为准进行评审</w:t>
      </w:r>
      <w:r>
        <w:rPr>
          <w:rFonts w:hint="eastAsia" w:cs="宋体"/>
          <w:bCs/>
          <w:color w:val="auto"/>
          <w:highlight w:val="none"/>
        </w:rPr>
        <w:t>。</w:t>
      </w:r>
      <w:bookmarkStart w:id="28" w:name="_Toc30922"/>
    </w:p>
    <w:p w14:paraId="4683CAC2">
      <w:pPr>
        <w:snapToGrid w:val="0"/>
        <w:spacing w:line="440" w:lineRule="exact"/>
        <w:ind w:firstLine="560" w:firstLineChars="200"/>
        <w:rPr>
          <w:rFonts w:cs="宋体"/>
          <w:bCs/>
          <w:color w:val="auto"/>
          <w:highlight w:val="none"/>
          <w:u w:val="none"/>
        </w:rPr>
      </w:pPr>
      <w:r>
        <w:rPr>
          <w:rFonts w:hint="eastAsia" w:cs="宋体"/>
          <w:bCs/>
          <w:color w:val="auto"/>
          <w:highlight w:val="none"/>
        </w:rPr>
        <w:t>（五）递交响应文件地点：</w:t>
      </w:r>
      <w:bookmarkEnd w:id="28"/>
      <w:bookmarkStart w:id="29" w:name="_Toc30794"/>
      <w:r>
        <w:rPr>
          <w:rFonts w:hint="eastAsia" w:cs="宋体"/>
          <w:bCs/>
          <w:color w:val="auto"/>
          <w:highlight w:val="none"/>
        </w:rPr>
        <w:t>重庆方采工程项目管理咨询有限公司</w:t>
      </w:r>
      <w:r>
        <w:rPr>
          <w:rFonts w:hint="eastAsia" w:cs="宋体"/>
          <w:bCs/>
          <w:color w:val="auto"/>
          <w:highlight w:val="none"/>
          <w:lang w:val="en-US" w:eastAsia="zh-CN"/>
        </w:rPr>
        <w:t>开标室</w:t>
      </w:r>
      <w:r>
        <w:rPr>
          <w:rFonts w:hint="eastAsia" w:cs="宋体"/>
          <w:bCs/>
          <w:color w:val="auto"/>
          <w:highlight w:val="none"/>
          <w:u w:val="none"/>
        </w:rPr>
        <w:t>。</w:t>
      </w:r>
    </w:p>
    <w:bookmarkEnd w:id="29"/>
    <w:p w14:paraId="2CEB577A">
      <w:pPr>
        <w:snapToGrid w:val="0"/>
        <w:spacing w:line="440" w:lineRule="exact"/>
        <w:ind w:firstLine="560" w:firstLineChars="200"/>
        <w:rPr>
          <w:rFonts w:cs="宋体"/>
          <w:bCs/>
          <w:color w:val="auto"/>
          <w:highlight w:val="none"/>
        </w:rPr>
      </w:pPr>
      <w:bookmarkStart w:id="30" w:name="_Toc368"/>
      <w:r>
        <w:rPr>
          <w:rFonts w:hint="eastAsia" w:cs="宋体"/>
          <w:bCs/>
          <w:color w:val="auto"/>
          <w:highlight w:val="none"/>
        </w:rPr>
        <w:t>（六）响应文件递交时间：2025年</w:t>
      </w:r>
      <w:r>
        <w:rPr>
          <w:rFonts w:hint="eastAsia" w:cs="宋体"/>
          <w:bCs/>
          <w:color w:val="auto"/>
          <w:highlight w:val="none"/>
          <w:u w:val="single"/>
          <w:lang w:val="en-US" w:eastAsia="zh-CN"/>
        </w:rPr>
        <w:t>6</w:t>
      </w:r>
      <w:r>
        <w:rPr>
          <w:rFonts w:hint="eastAsia" w:cs="宋体"/>
          <w:bCs/>
          <w:color w:val="auto"/>
          <w:highlight w:val="none"/>
        </w:rPr>
        <w:t>月</w:t>
      </w:r>
      <w:r>
        <w:rPr>
          <w:rFonts w:hint="eastAsia" w:cs="宋体"/>
          <w:bCs/>
          <w:color w:val="auto"/>
          <w:highlight w:val="none"/>
          <w:u w:val="single"/>
          <w:lang w:val="en-US" w:eastAsia="zh-CN"/>
        </w:rPr>
        <w:t>5</w:t>
      </w:r>
      <w:r>
        <w:rPr>
          <w:rFonts w:hint="eastAsia" w:cs="宋体"/>
          <w:bCs/>
          <w:color w:val="auto"/>
          <w:highlight w:val="none"/>
        </w:rPr>
        <w:t>日北京时间</w:t>
      </w:r>
      <w:r>
        <w:rPr>
          <w:rFonts w:hint="eastAsia" w:cs="宋体"/>
          <w:bCs/>
          <w:color w:val="auto"/>
          <w:highlight w:val="none"/>
          <w:u w:val="single"/>
          <w:lang w:val="en-US" w:eastAsia="zh-CN"/>
        </w:rPr>
        <w:t>14:00-14:30</w:t>
      </w:r>
      <w:r>
        <w:rPr>
          <w:rFonts w:hint="eastAsia" w:cs="宋体"/>
          <w:bCs/>
          <w:color w:val="auto"/>
          <w:highlight w:val="none"/>
        </w:rPr>
        <w:t>。</w:t>
      </w:r>
    </w:p>
    <w:p w14:paraId="0A6D2FEC">
      <w:pPr>
        <w:snapToGrid w:val="0"/>
        <w:spacing w:line="440" w:lineRule="exact"/>
        <w:ind w:firstLine="560" w:firstLineChars="200"/>
        <w:rPr>
          <w:rFonts w:cs="宋体"/>
          <w:bCs/>
          <w:color w:val="auto"/>
          <w:highlight w:val="none"/>
        </w:rPr>
      </w:pPr>
      <w:r>
        <w:rPr>
          <w:rFonts w:hint="eastAsia" w:cs="宋体"/>
          <w:bCs/>
          <w:color w:val="auto"/>
          <w:highlight w:val="none"/>
        </w:rPr>
        <w:t>（七）评审时间：2025年</w:t>
      </w:r>
      <w:r>
        <w:rPr>
          <w:rFonts w:hint="eastAsia" w:cs="宋体"/>
          <w:bCs/>
          <w:color w:val="auto"/>
          <w:highlight w:val="none"/>
          <w:u w:val="single"/>
          <w:lang w:val="en-US" w:eastAsia="zh-CN"/>
        </w:rPr>
        <w:t>6</w:t>
      </w:r>
      <w:r>
        <w:rPr>
          <w:rFonts w:hint="eastAsia" w:cs="宋体"/>
          <w:bCs/>
          <w:color w:val="auto"/>
          <w:highlight w:val="none"/>
        </w:rPr>
        <w:t>月</w:t>
      </w:r>
      <w:r>
        <w:rPr>
          <w:rFonts w:hint="eastAsia" w:cs="宋体"/>
          <w:bCs/>
          <w:color w:val="auto"/>
          <w:highlight w:val="none"/>
          <w:u w:val="single"/>
          <w:lang w:val="en-US" w:eastAsia="zh-CN"/>
        </w:rPr>
        <w:t>5</w:t>
      </w:r>
      <w:r>
        <w:rPr>
          <w:rFonts w:hint="eastAsia" w:cs="宋体"/>
          <w:bCs/>
          <w:color w:val="auto"/>
          <w:highlight w:val="none"/>
        </w:rPr>
        <w:t>日</w:t>
      </w:r>
      <w:r>
        <w:rPr>
          <w:rFonts w:hint="eastAsia" w:cs="宋体"/>
          <w:bCs/>
          <w:color w:val="auto"/>
          <w:highlight w:val="none"/>
          <w:u w:val="single"/>
          <w:lang w:val="en-US" w:eastAsia="zh-CN"/>
        </w:rPr>
        <w:t xml:space="preserve"> 14:30 </w:t>
      </w:r>
      <w:r>
        <w:rPr>
          <w:rFonts w:hint="eastAsia" w:cs="宋体"/>
          <w:bCs/>
          <w:color w:val="auto"/>
          <w:highlight w:val="none"/>
        </w:rPr>
        <w:t>。</w:t>
      </w:r>
      <w:bookmarkEnd w:id="30"/>
      <w:bookmarkStart w:id="31" w:name="_Toc27708"/>
    </w:p>
    <w:p w14:paraId="4A671101">
      <w:pPr>
        <w:snapToGrid w:val="0"/>
        <w:spacing w:line="440" w:lineRule="exact"/>
        <w:ind w:firstLine="560" w:firstLineChars="200"/>
        <w:rPr>
          <w:rFonts w:cs="宋体"/>
          <w:bCs/>
          <w:color w:val="auto"/>
          <w:highlight w:val="none"/>
        </w:rPr>
      </w:pPr>
      <w:r>
        <w:rPr>
          <w:rFonts w:hint="eastAsia" w:cs="宋体"/>
          <w:bCs/>
          <w:color w:val="auto"/>
          <w:highlight w:val="none"/>
        </w:rPr>
        <w:t>（八）评审地点：同递交响应文件地点。</w:t>
      </w:r>
      <w:bookmarkEnd w:id="31"/>
    </w:p>
    <w:p w14:paraId="38E774E5">
      <w:pPr>
        <w:pStyle w:val="4"/>
        <w:spacing w:before="194"/>
        <w:ind w:firstLine="562"/>
        <w:rPr>
          <w:rFonts w:ascii="Times New Roman" w:hAnsi="Times New Roman"/>
          <w:color w:val="auto"/>
          <w:highlight w:val="none"/>
        </w:rPr>
      </w:pPr>
      <w:r>
        <w:rPr>
          <w:rFonts w:hint="eastAsia" w:ascii="Times New Roman" w:hAnsi="Times New Roman"/>
          <w:color w:val="auto"/>
          <w:highlight w:val="none"/>
        </w:rPr>
        <w:t>四、采购有关规定</w:t>
      </w:r>
      <w:bookmarkEnd w:id="25"/>
      <w:bookmarkEnd w:id="26"/>
      <w:bookmarkEnd w:id="27"/>
    </w:p>
    <w:p w14:paraId="22494BEA">
      <w:pPr>
        <w:snapToGrid w:val="0"/>
        <w:spacing w:line="480" w:lineRule="atLeast"/>
        <w:ind w:firstLine="560" w:firstLineChars="200"/>
        <w:rPr>
          <w:rFonts w:cs="宋体"/>
          <w:bCs/>
          <w:color w:val="auto"/>
          <w:highlight w:val="none"/>
        </w:rPr>
      </w:pPr>
      <w:bookmarkStart w:id="32" w:name="_Toc16480"/>
      <w:r>
        <w:rPr>
          <w:rFonts w:hint="eastAsia" w:cs="宋体"/>
          <w:bCs/>
          <w:color w:val="auto"/>
          <w:highlight w:val="none"/>
        </w:rPr>
        <w:t>（一）单位负责人为同一人或者存在直接控股、管理关系的不同供应商，不得参加同一合同项（包）下的竞采活动。</w:t>
      </w:r>
    </w:p>
    <w:p w14:paraId="72F3CDDC">
      <w:pPr>
        <w:snapToGrid w:val="0"/>
        <w:spacing w:line="480" w:lineRule="atLeast"/>
        <w:ind w:firstLine="560" w:firstLineChars="200"/>
        <w:rPr>
          <w:rFonts w:cs="宋体"/>
          <w:bCs/>
          <w:color w:val="auto"/>
          <w:highlight w:val="none"/>
        </w:rPr>
      </w:pPr>
      <w:r>
        <w:rPr>
          <w:rFonts w:hint="eastAsia" w:cs="宋体"/>
          <w:bCs/>
          <w:color w:val="auto"/>
          <w:highlight w:val="none"/>
        </w:rPr>
        <w:t>（二）为竞采项目提供整体设计、规范编制或者项目管理、监理、检测等服务的供应商，不得再参加该项目范围内的其他竞采活动。</w:t>
      </w:r>
    </w:p>
    <w:p w14:paraId="62207EB3">
      <w:pPr>
        <w:snapToGrid w:val="0"/>
        <w:spacing w:line="480" w:lineRule="atLeast"/>
        <w:ind w:firstLine="560" w:firstLineChars="200"/>
        <w:rPr>
          <w:rFonts w:cs="宋体"/>
          <w:bCs/>
          <w:color w:val="auto"/>
          <w:highlight w:val="none"/>
        </w:rPr>
      </w:pPr>
      <w:r>
        <w:rPr>
          <w:rFonts w:hint="eastAsia" w:cs="宋体"/>
          <w:bCs/>
          <w:color w:val="auto"/>
          <w:highlight w:val="none"/>
        </w:rPr>
        <w:t>（三）本项目若有澄清文件一律在“行采家”上发布，请各供应商注意下载或到采购代理机构领取；无论供应商下载或领取与否，均视同供应商已知晓本项目澄清文件的内容。</w:t>
      </w:r>
    </w:p>
    <w:p w14:paraId="537C38C6">
      <w:pPr>
        <w:snapToGrid w:val="0"/>
        <w:spacing w:line="480" w:lineRule="atLeast"/>
        <w:ind w:firstLine="560" w:firstLineChars="200"/>
        <w:rPr>
          <w:rFonts w:cs="宋体"/>
          <w:bCs/>
          <w:color w:val="auto"/>
          <w:highlight w:val="none"/>
        </w:rPr>
      </w:pPr>
      <w:r>
        <w:rPr>
          <w:rFonts w:hint="eastAsia" w:cs="宋体"/>
          <w:bCs/>
          <w:color w:val="auto"/>
          <w:highlight w:val="none"/>
        </w:rPr>
        <w:t>（四）超过响应截止时间递交的响应文件，恕不接收。</w:t>
      </w:r>
    </w:p>
    <w:p w14:paraId="759D9B37">
      <w:pPr>
        <w:snapToGrid w:val="0"/>
        <w:spacing w:line="480" w:lineRule="atLeast"/>
        <w:ind w:firstLine="560" w:firstLineChars="200"/>
        <w:rPr>
          <w:rFonts w:cs="宋体"/>
          <w:bCs/>
          <w:color w:val="auto"/>
          <w:highlight w:val="none"/>
        </w:rPr>
      </w:pPr>
      <w:r>
        <w:rPr>
          <w:rFonts w:hint="eastAsia" w:cs="宋体"/>
          <w:bCs/>
          <w:color w:val="auto"/>
          <w:highlight w:val="none"/>
        </w:rPr>
        <w:t>（五）竞采费用：无论结果如何，供应商参与本项目竞采的所有费用均应由供应商自行承担。</w:t>
      </w:r>
    </w:p>
    <w:p w14:paraId="24EF353B">
      <w:pPr>
        <w:snapToGrid w:val="0"/>
        <w:spacing w:line="480" w:lineRule="atLeast"/>
        <w:ind w:firstLine="560" w:firstLineChars="200"/>
        <w:rPr>
          <w:rFonts w:cs="宋体"/>
          <w:bCs/>
          <w:color w:val="auto"/>
          <w:highlight w:val="none"/>
        </w:rPr>
      </w:pPr>
      <w:r>
        <w:rPr>
          <w:rFonts w:hint="eastAsia" w:cs="宋体"/>
          <w:bCs/>
          <w:color w:val="auto"/>
          <w:highlight w:val="none"/>
        </w:rPr>
        <w:t>（六）本项目</w:t>
      </w:r>
      <w:r>
        <w:rPr>
          <w:rFonts w:hint="eastAsia" w:cs="宋体"/>
          <w:b/>
          <w:color w:val="auto"/>
          <w:highlight w:val="none"/>
        </w:rPr>
        <w:t>不接受</w:t>
      </w:r>
      <w:r>
        <w:rPr>
          <w:rFonts w:hint="eastAsia" w:cs="宋体"/>
          <w:b w:val="0"/>
          <w:bCs/>
          <w:color w:val="auto"/>
          <w:highlight w:val="none"/>
        </w:rPr>
        <w:t>联合体</w:t>
      </w:r>
      <w:r>
        <w:rPr>
          <w:rFonts w:hint="eastAsia" w:cs="宋体"/>
          <w:bCs/>
          <w:color w:val="auto"/>
          <w:highlight w:val="none"/>
        </w:rPr>
        <w:t>参与竞采，否则按无效响应处理。</w:t>
      </w:r>
    </w:p>
    <w:p w14:paraId="5DEC8F53">
      <w:pPr>
        <w:snapToGrid w:val="0"/>
        <w:spacing w:line="480" w:lineRule="atLeast"/>
        <w:ind w:firstLine="560" w:firstLineChars="200"/>
        <w:rPr>
          <w:rFonts w:cs="宋体"/>
          <w:bCs/>
          <w:color w:val="auto"/>
          <w:highlight w:val="none"/>
        </w:rPr>
      </w:pPr>
      <w:r>
        <w:rPr>
          <w:rFonts w:hint="eastAsia" w:cs="宋体"/>
          <w:bCs/>
          <w:color w:val="auto"/>
          <w:highlight w:val="none"/>
        </w:rPr>
        <w:t>（七）本项目</w:t>
      </w:r>
      <w:r>
        <w:rPr>
          <w:rFonts w:hint="eastAsia" w:cs="宋体"/>
          <w:b/>
          <w:color w:val="auto"/>
          <w:highlight w:val="none"/>
        </w:rPr>
        <w:t>不接受</w:t>
      </w:r>
      <w:r>
        <w:rPr>
          <w:rFonts w:hint="eastAsia" w:cs="宋体"/>
          <w:bCs/>
          <w:color w:val="auto"/>
          <w:highlight w:val="none"/>
        </w:rPr>
        <w:t>合同分包。</w:t>
      </w:r>
    </w:p>
    <w:p w14:paraId="464E65B1">
      <w:pPr>
        <w:snapToGrid w:val="0"/>
        <w:spacing w:line="480" w:lineRule="atLeast"/>
        <w:ind w:firstLine="560" w:firstLineChars="200"/>
        <w:rPr>
          <w:rFonts w:cs="宋体"/>
          <w:bCs/>
          <w:color w:val="auto"/>
          <w:highlight w:val="none"/>
        </w:rPr>
      </w:pPr>
      <w:r>
        <w:rPr>
          <w:rFonts w:hint="eastAsia" w:cs="宋体"/>
          <w:bCs/>
          <w:color w:val="auto"/>
          <w:highlight w:val="none"/>
        </w:rPr>
        <w:t>（八）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竞采活动。</w:t>
      </w:r>
    </w:p>
    <w:p w14:paraId="1D4E4D2E">
      <w:pPr>
        <w:pStyle w:val="4"/>
        <w:spacing w:before="194"/>
        <w:ind w:firstLine="562"/>
        <w:rPr>
          <w:rFonts w:ascii="Times New Roman" w:hAnsi="Times New Roman"/>
          <w:color w:val="auto"/>
          <w:highlight w:val="none"/>
        </w:rPr>
      </w:pPr>
      <w:bookmarkStart w:id="33" w:name="_Toc18235"/>
      <w:bookmarkStart w:id="34" w:name="_Toc9158"/>
      <w:bookmarkStart w:id="35" w:name="_Toc3504"/>
      <w:r>
        <w:rPr>
          <w:rFonts w:hint="eastAsia" w:ascii="Times New Roman" w:hAnsi="Times New Roman"/>
          <w:color w:val="auto"/>
          <w:highlight w:val="none"/>
        </w:rPr>
        <w:t>五、</w:t>
      </w:r>
      <w:bookmarkEnd w:id="33"/>
      <w:r>
        <w:rPr>
          <w:rFonts w:hint="eastAsia" w:ascii="Times New Roman" w:hAnsi="Times New Roman"/>
          <w:color w:val="auto"/>
          <w:highlight w:val="none"/>
        </w:rPr>
        <w:t>竞采保证金</w:t>
      </w:r>
    </w:p>
    <w:p w14:paraId="6E6FAD71">
      <w:pPr>
        <w:snapToGrid w:val="0"/>
        <w:spacing w:line="480" w:lineRule="atLeast"/>
        <w:ind w:firstLine="560" w:firstLineChars="200"/>
        <w:rPr>
          <w:rFonts w:hint="default" w:eastAsia="宋体" w:cs="宋体"/>
          <w:bCs/>
          <w:color w:val="auto"/>
          <w:highlight w:val="none"/>
          <w:lang w:val="en-US" w:eastAsia="zh-CN"/>
        </w:rPr>
      </w:pPr>
      <w:r>
        <w:rPr>
          <w:rFonts w:hint="eastAsia" w:cs="宋体"/>
          <w:bCs/>
          <w:color w:val="auto"/>
          <w:highlight w:val="none"/>
          <w:lang w:val="en-US" w:eastAsia="zh-CN"/>
        </w:rPr>
        <w:t>无。</w:t>
      </w:r>
    </w:p>
    <w:p w14:paraId="678DD896">
      <w:pPr>
        <w:pStyle w:val="4"/>
        <w:spacing w:before="194"/>
        <w:ind w:firstLine="562"/>
        <w:rPr>
          <w:rFonts w:ascii="Times New Roman" w:hAnsi="Times New Roman"/>
          <w:color w:val="auto"/>
          <w:highlight w:val="none"/>
        </w:rPr>
      </w:pPr>
      <w:bookmarkStart w:id="36" w:name="_Toc4426"/>
      <w:r>
        <w:rPr>
          <w:rFonts w:hint="eastAsia" w:ascii="Times New Roman" w:hAnsi="Times New Roman"/>
          <w:color w:val="auto"/>
          <w:highlight w:val="none"/>
        </w:rPr>
        <w:t>六、行采家平台服务费</w:t>
      </w:r>
    </w:p>
    <w:p w14:paraId="2895A5EB">
      <w:pPr>
        <w:snapToGrid w:val="0"/>
        <w:spacing w:line="480" w:lineRule="atLeast"/>
        <w:ind w:firstLine="560" w:firstLineChars="200"/>
        <w:rPr>
          <w:rFonts w:cs="宋体"/>
          <w:bCs/>
          <w:color w:val="auto"/>
          <w:highlight w:val="none"/>
        </w:rPr>
      </w:pPr>
      <w:r>
        <w:rPr>
          <w:rFonts w:hint="eastAsia" w:cs="宋体"/>
          <w:bCs/>
          <w:color w:val="auto"/>
          <w:highlight w:val="none"/>
        </w:rPr>
        <w:t>1、供应商于前述时间在本项目公告网上竞采页面线上完成报价的同时递交平台服务费，平台服务费由行采家网站代收代管，金额为项目预算金额的3‰（计算后不足100元的，按100元收取，20000元封顶），不递交平台服务费的将无法提交报价。</w:t>
      </w:r>
    </w:p>
    <w:p w14:paraId="4FF5297B">
      <w:pPr>
        <w:snapToGrid w:val="0"/>
        <w:spacing w:line="480" w:lineRule="atLeast"/>
        <w:ind w:firstLine="560" w:firstLineChars="200"/>
        <w:rPr>
          <w:rFonts w:cs="宋体"/>
          <w:bCs/>
          <w:color w:val="auto"/>
          <w:highlight w:val="none"/>
        </w:rPr>
      </w:pPr>
      <w:r>
        <w:rPr>
          <w:rFonts w:hint="eastAsia" w:cs="宋体"/>
          <w:bCs/>
          <w:color w:val="auto"/>
          <w:highlight w:val="none"/>
        </w:rPr>
        <w:t>2、未成交供应商平台服务费在评审结果公告发布后由平台原路全额退还；</w:t>
      </w:r>
    </w:p>
    <w:p w14:paraId="275DA283">
      <w:pPr>
        <w:snapToGrid w:val="0"/>
        <w:spacing w:line="480" w:lineRule="atLeast"/>
        <w:ind w:firstLine="560" w:firstLineChars="200"/>
        <w:rPr>
          <w:rFonts w:cs="宋体"/>
          <w:bCs/>
          <w:color w:val="auto"/>
          <w:highlight w:val="none"/>
        </w:rPr>
      </w:pPr>
      <w:r>
        <w:rPr>
          <w:rFonts w:hint="eastAsia" w:cs="宋体"/>
          <w:bCs/>
          <w:color w:val="auto"/>
          <w:highlight w:val="none"/>
        </w:rPr>
        <w:t>3、成交供应商应缴纳的平台服务费由平台根据成交金额据实计算，费率为3‰，（计算后不足100元的，按100元收取，20000元封顶），平台服务费减去应缴纳平台服务费后的多余部分（如有）将原路退还。</w:t>
      </w:r>
    </w:p>
    <w:p w14:paraId="7ADE9992">
      <w:pPr>
        <w:pStyle w:val="4"/>
        <w:spacing w:before="194"/>
        <w:ind w:firstLine="562"/>
        <w:rPr>
          <w:rFonts w:ascii="Times New Roman" w:hAnsi="Times New Roman"/>
          <w:color w:val="auto"/>
          <w:highlight w:val="none"/>
        </w:rPr>
      </w:pPr>
      <w:r>
        <w:rPr>
          <w:rFonts w:hint="eastAsia" w:ascii="Times New Roman" w:hAnsi="Times New Roman"/>
          <w:color w:val="auto"/>
          <w:highlight w:val="none"/>
        </w:rPr>
        <w:t>七、联系方式</w:t>
      </w:r>
      <w:bookmarkEnd w:id="32"/>
      <w:bookmarkEnd w:id="34"/>
      <w:bookmarkEnd w:id="35"/>
      <w:bookmarkEnd w:id="36"/>
    </w:p>
    <w:p w14:paraId="29DCEF7F">
      <w:pPr>
        <w:snapToGrid w:val="0"/>
        <w:spacing w:line="480" w:lineRule="atLeast"/>
        <w:ind w:firstLine="560" w:firstLineChars="200"/>
        <w:rPr>
          <w:rFonts w:cs="宋体"/>
          <w:bCs/>
          <w:color w:val="auto"/>
          <w:highlight w:val="none"/>
        </w:rPr>
      </w:pPr>
      <w:r>
        <w:rPr>
          <w:rFonts w:hint="eastAsia" w:cs="宋体"/>
          <w:bCs/>
          <w:color w:val="auto"/>
          <w:highlight w:val="none"/>
        </w:rPr>
        <w:t>（一）采购人：重庆市农业综合行政执法总队</w:t>
      </w:r>
    </w:p>
    <w:p w14:paraId="0DA5A0D9">
      <w:pPr>
        <w:snapToGrid w:val="0"/>
        <w:spacing w:line="480" w:lineRule="atLeast"/>
        <w:ind w:firstLine="560" w:firstLineChars="200"/>
        <w:rPr>
          <w:rFonts w:cs="宋体"/>
          <w:bCs/>
          <w:color w:val="auto"/>
          <w:highlight w:val="none"/>
        </w:rPr>
      </w:pPr>
      <w:r>
        <w:rPr>
          <w:rFonts w:hint="eastAsia" w:cs="宋体"/>
          <w:bCs/>
          <w:color w:val="auto"/>
          <w:highlight w:val="none"/>
        </w:rPr>
        <w:t>联系人：蔡老师</w:t>
      </w:r>
    </w:p>
    <w:p w14:paraId="2FBA2C63">
      <w:pPr>
        <w:snapToGrid w:val="0"/>
        <w:spacing w:line="480" w:lineRule="atLeast"/>
        <w:ind w:firstLine="560" w:firstLineChars="200"/>
        <w:rPr>
          <w:rFonts w:cs="宋体"/>
          <w:bCs/>
          <w:color w:val="auto"/>
          <w:highlight w:val="none"/>
        </w:rPr>
      </w:pPr>
      <w:r>
        <w:rPr>
          <w:rFonts w:hint="eastAsia" w:cs="宋体"/>
          <w:bCs/>
          <w:color w:val="auto"/>
          <w:highlight w:val="none"/>
        </w:rPr>
        <w:t>电  话：023-67638600</w:t>
      </w:r>
    </w:p>
    <w:p w14:paraId="39AEF5D0">
      <w:pPr>
        <w:snapToGrid w:val="0"/>
        <w:spacing w:line="480" w:lineRule="atLeast"/>
        <w:ind w:firstLine="560" w:firstLineChars="200"/>
        <w:rPr>
          <w:rFonts w:cs="宋体"/>
          <w:bCs/>
          <w:color w:val="auto"/>
          <w:highlight w:val="none"/>
        </w:rPr>
      </w:pPr>
      <w:r>
        <w:rPr>
          <w:rFonts w:hint="eastAsia" w:cs="宋体"/>
          <w:bCs/>
          <w:color w:val="auto"/>
          <w:highlight w:val="none"/>
        </w:rPr>
        <w:t>地  址：重庆市江北区建新东路3号附1号</w:t>
      </w:r>
    </w:p>
    <w:p w14:paraId="7ADECD22">
      <w:pPr>
        <w:snapToGrid w:val="0"/>
        <w:spacing w:line="480" w:lineRule="atLeast"/>
        <w:ind w:firstLine="560" w:firstLineChars="200"/>
        <w:rPr>
          <w:rFonts w:cs="宋体"/>
          <w:bCs/>
          <w:color w:val="auto"/>
          <w:highlight w:val="none"/>
        </w:rPr>
      </w:pPr>
      <w:r>
        <w:rPr>
          <w:rFonts w:hint="eastAsia" w:cs="宋体"/>
          <w:bCs/>
          <w:color w:val="auto"/>
          <w:highlight w:val="none"/>
        </w:rPr>
        <w:t>（二）代理机构：重庆方采工程项目管理咨询有限公司</w:t>
      </w:r>
    </w:p>
    <w:p w14:paraId="64B57486">
      <w:pPr>
        <w:snapToGrid w:val="0"/>
        <w:spacing w:line="480" w:lineRule="atLeast"/>
        <w:ind w:firstLine="560" w:firstLineChars="200"/>
        <w:rPr>
          <w:rFonts w:cs="宋体"/>
          <w:bCs/>
          <w:color w:val="auto"/>
          <w:highlight w:val="none"/>
        </w:rPr>
      </w:pPr>
      <w:r>
        <w:rPr>
          <w:rFonts w:hint="eastAsia" w:cs="宋体"/>
          <w:bCs/>
          <w:color w:val="auto"/>
          <w:highlight w:val="none"/>
        </w:rPr>
        <w:t>联系人：</w:t>
      </w:r>
      <w:r>
        <w:rPr>
          <w:rFonts w:hint="eastAsia" w:cs="宋体"/>
          <w:bCs/>
          <w:color w:val="auto"/>
          <w:highlight w:val="none"/>
          <w:lang w:val="en-US" w:eastAsia="zh-CN"/>
        </w:rPr>
        <w:t>周</w:t>
      </w:r>
      <w:r>
        <w:rPr>
          <w:rFonts w:hint="eastAsia" w:cs="宋体"/>
          <w:bCs/>
          <w:color w:val="auto"/>
          <w:highlight w:val="none"/>
        </w:rPr>
        <w:t>老师</w:t>
      </w:r>
    </w:p>
    <w:p w14:paraId="191AD426">
      <w:pPr>
        <w:snapToGrid w:val="0"/>
        <w:spacing w:line="480" w:lineRule="atLeast"/>
        <w:ind w:firstLine="560" w:firstLineChars="200"/>
        <w:rPr>
          <w:rFonts w:cs="宋体"/>
          <w:bCs/>
          <w:color w:val="auto"/>
          <w:highlight w:val="none"/>
        </w:rPr>
      </w:pPr>
      <w:r>
        <w:rPr>
          <w:rFonts w:hint="eastAsia" w:cs="宋体"/>
          <w:bCs/>
          <w:color w:val="auto"/>
          <w:highlight w:val="none"/>
        </w:rPr>
        <w:t>电  话：18983262951</w:t>
      </w:r>
    </w:p>
    <w:p w14:paraId="4D4A6559">
      <w:pPr>
        <w:snapToGrid w:val="0"/>
        <w:spacing w:line="480" w:lineRule="atLeast"/>
        <w:ind w:firstLine="560" w:firstLineChars="200"/>
        <w:rPr>
          <w:rFonts w:cs="宋体"/>
          <w:bCs/>
          <w:color w:val="auto"/>
          <w:highlight w:val="none"/>
        </w:rPr>
      </w:pPr>
      <w:r>
        <w:rPr>
          <w:rFonts w:hint="eastAsia" w:cs="宋体"/>
          <w:bCs/>
          <w:color w:val="auto"/>
          <w:highlight w:val="none"/>
        </w:rPr>
        <w:t>地  址：</w:t>
      </w:r>
      <w:bookmarkStart w:id="37" w:name="_Toc22183"/>
      <w:bookmarkStart w:id="38" w:name="_Toc20127"/>
      <w:r>
        <w:rPr>
          <w:rFonts w:hint="eastAsia" w:cs="宋体"/>
          <w:bCs/>
          <w:color w:val="auto"/>
          <w:highlight w:val="none"/>
        </w:rPr>
        <w:t>重庆市大渡口区八桥镇山海路80号附1号</w:t>
      </w:r>
    </w:p>
    <w:p w14:paraId="1D886FED">
      <w:pPr>
        <w:rPr>
          <w:rFonts w:cs="宋体"/>
          <w:color w:val="auto"/>
          <w:highlight w:val="none"/>
        </w:rPr>
      </w:pPr>
      <w:r>
        <w:rPr>
          <w:rFonts w:hint="eastAsia" w:cs="宋体"/>
          <w:color w:val="auto"/>
          <w:highlight w:val="none"/>
        </w:rPr>
        <w:br w:type="page"/>
      </w:r>
    </w:p>
    <w:p w14:paraId="16165C7E">
      <w:pPr>
        <w:jc w:val="center"/>
        <w:rPr>
          <w:rFonts w:eastAsia="黑体"/>
          <w:b/>
          <w:bCs/>
          <w:color w:val="auto"/>
          <w:sz w:val="44"/>
          <w:szCs w:val="44"/>
          <w:highlight w:val="none"/>
        </w:rPr>
      </w:pPr>
      <w:bookmarkStart w:id="39" w:name="_Toc7658"/>
      <w:bookmarkStart w:id="40" w:name="_Toc23434"/>
      <w:r>
        <w:rPr>
          <w:rFonts w:hint="eastAsia" w:eastAsia="黑体"/>
          <w:b/>
          <w:bCs/>
          <w:color w:val="auto"/>
          <w:sz w:val="44"/>
          <w:szCs w:val="44"/>
          <w:highlight w:val="none"/>
        </w:rPr>
        <w:t>竞采报名登记表</w:t>
      </w:r>
    </w:p>
    <w:p w14:paraId="12FA250B">
      <w:pPr>
        <w:jc w:val="left"/>
        <w:rPr>
          <w:rFonts w:eastAsia="黑体"/>
          <w:b/>
          <w:bCs/>
          <w:color w:val="auto"/>
          <w:spacing w:val="40"/>
          <w:highlight w:val="none"/>
        </w:rPr>
      </w:pPr>
    </w:p>
    <w:tbl>
      <w:tblPr>
        <w:tblStyle w:val="26"/>
        <w:tblW w:w="4998" w:type="pct"/>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00"/>
        <w:gridCol w:w="2632"/>
        <w:gridCol w:w="1154"/>
        <w:gridCol w:w="3963"/>
      </w:tblGrid>
      <w:tr w14:paraId="03678AB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PrEx>
        <w:trPr>
          <w:trHeight w:val="956" w:hRule="atLeast"/>
        </w:trPr>
        <w:tc>
          <w:tcPr>
            <w:tcW w:w="1066" w:type="pct"/>
            <w:noWrap/>
            <w:vAlign w:val="center"/>
          </w:tcPr>
          <w:p w14:paraId="1B3B6BD9">
            <w:pPr>
              <w:jc w:val="center"/>
              <w:rPr>
                <w:color w:val="auto"/>
                <w:sz w:val="30"/>
                <w:szCs w:val="30"/>
                <w:highlight w:val="none"/>
              </w:rPr>
            </w:pPr>
            <w:r>
              <w:rPr>
                <w:rFonts w:hint="eastAsia"/>
                <w:color w:val="auto"/>
                <w:sz w:val="30"/>
                <w:szCs w:val="30"/>
                <w:highlight w:val="none"/>
              </w:rPr>
              <w:t>项目名称</w:t>
            </w:r>
          </w:p>
        </w:tc>
        <w:tc>
          <w:tcPr>
            <w:tcW w:w="3933" w:type="pct"/>
            <w:gridSpan w:val="3"/>
            <w:noWrap/>
            <w:vAlign w:val="center"/>
          </w:tcPr>
          <w:p w14:paraId="188FFCFD">
            <w:pPr>
              <w:jc w:val="center"/>
              <w:rPr>
                <w:color w:val="auto"/>
                <w:sz w:val="30"/>
                <w:szCs w:val="30"/>
                <w:highlight w:val="none"/>
              </w:rPr>
            </w:pPr>
          </w:p>
        </w:tc>
      </w:tr>
      <w:tr w14:paraId="3E14A86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PrEx>
        <w:trPr>
          <w:trHeight w:val="1176" w:hRule="atLeast"/>
        </w:trPr>
        <w:tc>
          <w:tcPr>
            <w:tcW w:w="1066" w:type="pct"/>
            <w:noWrap/>
            <w:vAlign w:val="center"/>
          </w:tcPr>
          <w:p w14:paraId="4DD6A459">
            <w:pPr>
              <w:jc w:val="center"/>
              <w:rPr>
                <w:color w:val="auto"/>
                <w:sz w:val="30"/>
                <w:szCs w:val="30"/>
                <w:highlight w:val="none"/>
              </w:rPr>
            </w:pPr>
            <w:r>
              <w:rPr>
                <w:rFonts w:hint="eastAsia"/>
                <w:color w:val="auto"/>
                <w:sz w:val="30"/>
                <w:szCs w:val="30"/>
                <w:highlight w:val="none"/>
              </w:rPr>
              <w:t>供应商名称</w:t>
            </w:r>
          </w:p>
        </w:tc>
        <w:tc>
          <w:tcPr>
            <w:tcW w:w="3933" w:type="pct"/>
            <w:gridSpan w:val="3"/>
            <w:noWrap/>
            <w:vAlign w:val="bottom"/>
          </w:tcPr>
          <w:p w14:paraId="6DCD0A28">
            <w:pPr>
              <w:jc w:val="right"/>
              <w:rPr>
                <w:color w:val="auto"/>
                <w:sz w:val="30"/>
                <w:szCs w:val="30"/>
                <w:highlight w:val="none"/>
              </w:rPr>
            </w:pPr>
            <w:r>
              <w:rPr>
                <w:rFonts w:hint="eastAsia"/>
                <w:color w:val="auto"/>
                <w:sz w:val="30"/>
                <w:szCs w:val="30"/>
                <w:highlight w:val="none"/>
              </w:rPr>
              <w:t>（公章）</w:t>
            </w:r>
          </w:p>
        </w:tc>
      </w:tr>
      <w:tr w14:paraId="18880C9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trPr>
        <w:tc>
          <w:tcPr>
            <w:tcW w:w="1066" w:type="pct"/>
            <w:noWrap/>
            <w:vAlign w:val="center"/>
          </w:tcPr>
          <w:p w14:paraId="2F893778">
            <w:pPr>
              <w:jc w:val="center"/>
              <w:rPr>
                <w:color w:val="auto"/>
                <w:sz w:val="30"/>
                <w:szCs w:val="30"/>
                <w:highlight w:val="none"/>
              </w:rPr>
            </w:pPr>
            <w:r>
              <w:rPr>
                <w:rFonts w:hint="eastAsia"/>
                <w:color w:val="auto"/>
                <w:sz w:val="30"/>
                <w:szCs w:val="30"/>
                <w:highlight w:val="none"/>
              </w:rPr>
              <w:t>联系人</w:t>
            </w:r>
          </w:p>
        </w:tc>
        <w:tc>
          <w:tcPr>
            <w:tcW w:w="1336" w:type="pct"/>
            <w:noWrap/>
            <w:vAlign w:val="center"/>
          </w:tcPr>
          <w:p w14:paraId="665EC244">
            <w:pPr>
              <w:jc w:val="left"/>
              <w:rPr>
                <w:color w:val="auto"/>
                <w:sz w:val="30"/>
                <w:szCs w:val="30"/>
                <w:highlight w:val="none"/>
              </w:rPr>
            </w:pPr>
          </w:p>
        </w:tc>
        <w:tc>
          <w:tcPr>
            <w:tcW w:w="586" w:type="pct"/>
            <w:noWrap/>
            <w:vAlign w:val="center"/>
          </w:tcPr>
          <w:p w14:paraId="435EC0D9">
            <w:pPr>
              <w:jc w:val="left"/>
              <w:rPr>
                <w:color w:val="auto"/>
                <w:sz w:val="30"/>
                <w:szCs w:val="30"/>
                <w:highlight w:val="none"/>
              </w:rPr>
            </w:pPr>
            <w:r>
              <w:rPr>
                <w:rFonts w:hint="eastAsia"/>
                <w:color w:val="auto"/>
                <w:sz w:val="30"/>
                <w:szCs w:val="30"/>
                <w:highlight w:val="none"/>
              </w:rPr>
              <w:t>手机</w:t>
            </w:r>
          </w:p>
        </w:tc>
        <w:tc>
          <w:tcPr>
            <w:tcW w:w="2009" w:type="pct"/>
            <w:noWrap/>
            <w:vAlign w:val="center"/>
          </w:tcPr>
          <w:p w14:paraId="372E4B4F">
            <w:pPr>
              <w:jc w:val="left"/>
              <w:rPr>
                <w:color w:val="auto"/>
                <w:sz w:val="30"/>
                <w:szCs w:val="30"/>
                <w:highlight w:val="none"/>
              </w:rPr>
            </w:pPr>
          </w:p>
        </w:tc>
      </w:tr>
      <w:tr w14:paraId="565D07F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1066" w:type="pct"/>
            <w:noWrap/>
            <w:vAlign w:val="center"/>
          </w:tcPr>
          <w:p w14:paraId="1D390CCC">
            <w:pPr>
              <w:jc w:val="center"/>
              <w:rPr>
                <w:color w:val="auto"/>
                <w:sz w:val="30"/>
                <w:szCs w:val="30"/>
                <w:highlight w:val="none"/>
              </w:rPr>
            </w:pPr>
            <w:r>
              <w:rPr>
                <w:rFonts w:hint="eastAsia"/>
                <w:color w:val="auto"/>
                <w:sz w:val="30"/>
                <w:szCs w:val="30"/>
                <w:highlight w:val="none"/>
              </w:rPr>
              <w:t>办公电话</w:t>
            </w:r>
          </w:p>
        </w:tc>
        <w:tc>
          <w:tcPr>
            <w:tcW w:w="1336" w:type="pct"/>
            <w:noWrap/>
            <w:vAlign w:val="center"/>
          </w:tcPr>
          <w:p w14:paraId="54823836">
            <w:pPr>
              <w:jc w:val="left"/>
              <w:rPr>
                <w:color w:val="auto"/>
                <w:sz w:val="30"/>
                <w:szCs w:val="30"/>
                <w:highlight w:val="none"/>
              </w:rPr>
            </w:pPr>
          </w:p>
        </w:tc>
        <w:tc>
          <w:tcPr>
            <w:tcW w:w="586" w:type="pct"/>
            <w:noWrap/>
            <w:vAlign w:val="center"/>
          </w:tcPr>
          <w:p w14:paraId="4205DC12">
            <w:pPr>
              <w:jc w:val="left"/>
              <w:rPr>
                <w:color w:val="auto"/>
                <w:sz w:val="30"/>
                <w:szCs w:val="30"/>
                <w:highlight w:val="none"/>
              </w:rPr>
            </w:pPr>
            <w:r>
              <w:rPr>
                <w:rFonts w:hint="eastAsia"/>
                <w:color w:val="auto"/>
                <w:sz w:val="30"/>
                <w:szCs w:val="30"/>
                <w:highlight w:val="none"/>
              </w:rPr>
              <w:t>传真</w:t>
            </w:r>
          </w:p>
        </w:tc>
        <w:tc>
          <w:tcPr>
            <w:tcW w:w="2009" w:type="pct"/>
            <w:noWrap/>
            <w:vAlign w:val="center"/>
          </w:tcPr>
          <w:p w14:paraId="148EA9EB">
            <w:pPr>
              <w:jc w:val="left"/>
              <w:rPr>
                <w:color w:val="auto"/>
                <w:sz w:val="30"/>
                <w:szCs w:val="30"/>
                <w:highlight w:val="none"/>
              </w:rPr>
            </w:pPr>
          </w:p>
        </w:tc>
      </w:tr>
      <w:tr w14:paraId="1F07F48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1066" w:type="pct"/>
            <w:noWrap/>
            <w:vAlign w:val="center"/>
          </w:tcPr>
          <w:p w14:paraId="262D6946">
            <w:pPr>
              <w:jc w:val="center"/>
              <w:rPr>
                <w:color w:val="auto"/>
                <w:sz w:val="30"/>
                <w:szCs w:val="30"/>
                <w:highlight w:val="none"/>
              </w:rPr>
            </w:pPr>
            <w:r>
              <w:rPr>
                <w:rFonts w:hint="eastAsia"/>
                <w:color w:val="auto"/>
                <w:sz w:val="30"/>
                <w:szCs w:val="30"/>
                <w:highlight w:val="none"/>
              </w:rPr>
              <w:t>E-mail</w:t>
            </w:r>
          </w:p>
        </w:tc>
        <w:tc>
          <w:tcPr>
            <w:tcW w:w="1336" w:type="pct"/>
            <w:noWrap/>
            <w:vAlign w:val="center"/>
          </w:tcPr>
          <w:p w14:paraId="66803D32">
            <w:pPr>
              <w:jc w:val="left"/>
              <w:rPr>
                <w:color w:val="auto"/>
                <w:sz w:val="30"/>
                <w:szCs w:val="30"/>
                <w:highlight w:val="none"/>
              </w:rPr>
            </w:pPr>
          </w:p>
        </w:tc>
        <w:tc>
          <w:tcPr>
            <w:tcW w:w="586" w:type="pct"/>
            <w:noWrap/>
            <w:vAlign w:val="center"/>
          </w:tcPr>
          <w:p w14:paraId="21D6B089">
            <w:pPr>
              <w:jc w:val="left"/>
              <w:rPr>
                <w:color w:val="auto"/>
                <w:sz w:val="30"/>
                <w:szCs w:val="30"/>
                <w:highlight w:val="none"/>
              </w:rPr>
            </w:pPr>
            <w:r>
              <w:rPr>
                <w:rFonts w:hint="eastAsia"/>
                <w:color w:val="auto"/>
                <w:sz w:val="30"/>
                <w:szCs w:val="30"/>
                <w:highlight w:val="none"/>
              </w:rPr>
              <w:t>登记</w:t>
            </w:r>
          </w:p>
          <w:p w14:paraId="24FB4C57">
            <w:pPr>
              <w:jc w:val="left"/>
              <w:rPr>
                <w:color w:val="auto"/>
                <w:sz w:val="30"/>
                <w:szCs w:val="30"/>
                <w:highlight w:val="none"/>
              </w:rPr>
            </w:pPr>
            <w:r>
              <w:rPr>
                <w:rFonts w:hint="eastAsia"/>
                <w:color w:val="auto"/>
                <w:sz w:val="30"/>
                <w:szCs w:val="30"/>
                <w:highlight w:val="none"/>
              </w:rPr>
              <w:t>日期</w:t>
            </w:r>
          </w:p>
        </w:tc>
        <w:tc>
          <w:tcPr>
            <w:tcW w:w="2009" w:type="pct"/>
            <w:noWrap/>
            <w:vAlign w:val="center"/>
          </w:tcPr>
          <w:p w14:paraId="6A9C3A4F">
            <w:pPr>
              <w:jc w:val="left"/>
              <w:rPr>
                <w:color w:val="auto"/>
                <w:sz w:val="30"/>
                <w:szCs w:val="30"/>
                <w:highlight w:val="none"/>
              </w:rPr>
            </w:pPr>
            <w:r>
              <w:rPr>
                <w:rFonts w:hint="eastAsia"/>
                <w:color w:val="auto"/>
                <w:sz w:val="30"/>
                <w:szCs w:val="30"/>
                <w:highlight w:val="none"/>
              </w:rPr>
              <w:t xml:space="preserve">      年    月    日</w:t>
            </w:r>
          </w:p>
        </w:tc>
      </w:tr>
      <w:tr w14:paraId="2F084F9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trPr>
        <w:tc>
          <w:tcPr>
            <w:tcW w:w="1066" w:type="pct"/>
            <w:noWrap/>
            <w:vAlign w:val="center"/>
          </w:tcPr>
          <w:p w14:paraId="762ADE3B">
            <w:pPr>
              <w:jc w:val="center"/>
              <w:rPr>
                <w:color w:val="auto"/>
                <w:sz w:val="30"/>
                <w:szCs w:val="30"/>
                <w:highlight w:val="none"/>
              </w:rPr>
            </w:pPr>
            <w:r>
              <w:rPr>
                <w:rFonts w:hint="eastAsia"/>
                <w:color w:val="auto"/>
                <w:sz w:val="30"/>
                <w:szCs w:val="30"/>
                <w:highlight w:val="none"/>
              </w:rPr>
              <w:t>供应商地址</w:t>
            </w:r>
          </w:p>
        </w:tc>
        <w:tc>
          <w:tcPr>
            <w:tcW w:w="3933" w:type="pct"/>
            <w:gridSpan w:val="3"/>
            <w:noWrap/>
            <w:vAlign w:val="center"/>
          </w:tcPr>
          <w:p w14:paraId="3DE58591">
            <w:pPr>
              <w:jc w:val="left"/>
              <w:rPr>
                <w:color w:val="auto"/>
                <w:sz w:val="30"/>
                <w:szCs w:val="30"/>
                <w:highlight w:val="none"/>
              </w:rPr>
            </w:pPr>
          </w:p>
        </w:tc>
      </w:tr>
      <w:tr w14:paraId="1180405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906" w:hRule="atLeast"/>
        </w:trPr>
        <w:tc>
          <w:tcPr>
            <w:tcW w:w="5000" w:type="pct"/>
            <w:gridSpan w:val="4"/>
            <w:noWrap/>
            <w:vAlign w:val="center"/>
          </w:tcPr>
          <w:p w14:paraId="53087394">
            <w:pPr>
              <w:jc w:val="left"/>
              <w:rPr>
                <w:rFonts w:ascii="宋体" w:hAnsi="宋体"/>
                <w:color w:val="auto"/>
                <w:sz w:val="30"/>
                <w:szCs w:val="30"/>
                <w:highlight w:val="none"/>
              </w:rPr>
            </w:pPr>
          </w:p>
        </w:tc>
      </w:tr>
    </w:tbl>
    <w:p w14:paraId="27DCCA22">
      <w:pPr>
        <w:rPr>
          <w:rFonts w:ascii="宋体" w:hAnsi="宋体"/>
          <w:color w:val="auto"/>
          <w:sz w:val="24"/>
          <w:highlight w:val="none"/>
        </w:rPr>
      </w:pPr>
    </w:p>
    <w:p w14:paraId="4153E10F">
      <w:pPr>
        <w:rPr>
          <w:rFonts w:ascii="宋体" w:hAnsi="宋体"/>
          <w:color w:val="auto"/>
          <w:sz w:val="24"/>
          <w:highlight w:val="none"/>
        </w:rPr>
      </w:pPr>
    </w:p>
    <w:p w14:paraId="5EAA6585">
      <w:pPr>
        <w:pStyle w:val="3"/>
        <w:ind w:firstLine="643"/>
        <w:rPr>
          <w:rFonts w:cs="宋体"/>
          <w:bCs/>
          <w:color w:val="auto"/>
          <w:highlight w:val="none"/>
        </w:rPr>
        <w:sectPr>
          <w:footerReference r:id="rId4" w:type="default"/>
          <w:pgSz w:w="11905" w:h="16838"/>
          <w:pgMar w:top="1134" w:right="1134" w:bottom="1134" w:left="1134" w:header="850" w:footer="992" w:gutter="0"/>
          <w:pgNumType w:fmt="numberInDash" w:start="1"/>
          <w:cols w:space="720" w:num="1"/>
          <w:docGrid w:type="lines" w:linePitch="388" w:charSpace="0"/>
        </w:sectPr>
      </w:pPr>
    </w:p>
    <w:p w14:paraId="6CACC6E2">
      <w:pPr>
        <w:pStyle w:val="3"/>
        <w:rPr>
          <w:rFonts w:cs="宋体"/>
          <w:bCs/>
          <w:color w:val="auto"/>
          <w:sz w:val="36"/>
          <w:szCs w:val="22"/>
          <w:highlight w:val="none"/>
        </w:rPr>
      </w:pPr>
      <w:r>
        <w:rPr>
          <w:rFonts w:hint="eastAsia" w:cs="宋体"/>
          <w:bCs/>
          <w:color w:val="auto"/>
          <w:sz w:val="36"/>
          <w:szCs w:val="22"/>
          <w:highlight w:val="none"/>
        </w:rPr>
        <w:t>第二篇 项目</w:t>
      </w:r>
      <w:bookmarkEnd w:id="37"/>
      <w:bookmarkEnd w:id="38"/>
      <w:bookmarkEnd w:id="39"/>
      <w:bookmarkEnd w:id="40"/>
      <w:r>
        <w:rPr>
          <w:rFonts w:hint="eastAsia" w:cs="宋体"/>
          <w:bCs/>
          <w:color w:val="auto"/>
          <w:sz w:val="36"/>
          <w:szCs w:val="22"/>
          <w:highlight w:val="none"/>
        </w:rPr>
        <w:t>服务需求</w:t>
      </w:r>
    </w:p>
    <w:p w14:paraId="7EB7036F">
      <w:pPr>
        <w:rPr>
          <w:color w:val="auto"/>
          <w:highlight w:val="none"/>
        </w:rPr>
      </w:pPr>
    </w:p>
    <w:bookmarkEnd w:id="24"/>
    <w:p w14:paraId="34C731E0">
      <w:pPr>
        <w:snapToGrid w:val="0"/>
        <w:spacing w:line="360" w:lineRule="auto"/>
        <w:ind w:firstLine="2160" w:firstLineChars="900"/>
        <w:jc w:val="left"/>
        <w:outlineLvl w:val="0"/>
        <w:rPr>
          <w:rFonts w:ascii="宋体" w:hAnsi="宋体" w:cs="仿宋"/>
          <w:color w:val="auto"/>
          <w:sz w:val="24"/>
          <w:szCs w:val="24"/>
          <w:highlight w:val="none"/>
        </w:rPr>
      </w:pPr>
      <w:bookmarkStart w:id="41" w:name="_Toc17173"/>
      <w:bookmarkStart w:id="42" w:name="_Toc22938"/>
      <w:bookmarkStart w:id="43" w:name="_Toc8493"/>
      <w:bookmarkStart w:id="44" w:name="_Toc1902"/>
      <w:bookmarkStart w:id="45" w:name="_Toc14076"/>
      <w:bookmarkStart w:id="46" w:name="_Toc7873"/>
      <w:r>
        <w:rPr>
          <w:rFonts w:hint="eastAsia" w:ascii="宋体" w:hAnsi="宋体" w:cs="仿宋"/>
          <w:color w:val="auto"/>
          <w:sz w:val="24"/>
          <w:szCs w:val="24"/>
          <w:highlight w:val="none"/>
        </w:rPr>
        <w:t>※内容为符合性审查内容，不满足的作无效响应处理。</w:t>
      </w:r>
      <w:bookmarkEnd w:id="41"/>
    </w:p>
    <w:p w14:paraId="779A16D8">
      <w:pPr>
        <w:snapToGrid w:val="0"/>
        <w:spacing w:line="360" w:lineRule="auto"/>
        <w:ind w:firstLine="562" w:firstLineChars="200"/>
        <w:jc w:val="left"/>
        <w:outlineLvl w:val="0"/>
        <w:rPr>
          <w:rFonts w:ascii="宋体" w:hAnsi="宋体" w:cs="仿宋"/>
          <w:b/>
          <w:bCs/>
          <w:color w:val="auto"/>
          <w:szCs w:val="28"/>
          <w:highlight w:val="none"/>
        </w:rPr>
      </w:pPr>
      <w:bookmarkStart w:id="47" w:name="_Toc23113"/>
      <w:r>
        <w:rPr>
          <w:rFonts w:hint="eastAsia" w:ascii="宋体" w:hAnsi="宋体" w:cs="仿宋"/>
          <w:b/>
          <w:bCs/>
          <w:color w:val="auto"/>
          <w:szCs w:val="28"/>
          <w:highlight w:val="none"/>
        </w:rPr>
        <w:t>一、</w:t>
      </w:r>
      <w:bookmarkEnd w:id="47"/>
      <w:r>
        <w:rPr>
          <w:rFonts w:hint="eastAsia" w:ascii="宋体" w:hAnsi="宋体" w:cs="仿宋"/>
          <w:b/>
          <w:bCs/>
          <w:color w:val="auto"/>
          <w:szCs w:val="28"/>
          <w:highlight w:val="none"/>
        </w:rPr>
        <w:t>项目概述</w:t>
      </w:r>
    </w:p>
    <w:p w14:paraId="4B3AB91D">
      <w:pPr>
        <w:snapToGrid w:val="0"/>
        <w:spacing w:line="360" w:lineRule="auto"/>
        <w:ind w:firstLine="560" w:firstLineChars="200"/>
        <w:jc w:val="left"/>
        <w:outlineLvl w:val="0"/>
        <w:rPr>
          <w:rFonts w:ascii="宋体" w:hAnsi="宋体" w:cs="仿宋"/>
          <w:color w:val="auto"/>
          <w:szCs w:val="28"/>
          <w:highlight w:val="none"/>
        </w:rPr>
      </w:pPr>
      <w:r>
        <w:rPr>
          <w:rFonts w:hint="eastAsia" w:ascii="宋体" w:hAnsi="宋体" w:cs="仿宋"/>
          <w:color w:val="auto"/>
          <w:szCs w:val="28"/>
          <w:highlight w:val="none"/>
        </w:rPr>
        <w:t xml:space="preserve">根据采购人单位工作要求，拟采购供应商提供制式服装等物品清洗服务工作。 </w:t>
      </w:r>
    </w:p>
    <w:p w14:paraId="0D735390">
      <w:pPr>
        <w:snapToGrid w:val="0"/>
        <w:spacing w:line="360" w:lineRule="auto"/>
        <w:ind w:firstLine="562" w:firstLineChars="200"/>
        <w:jc w:val="left"/>
        <w:outlineLvl w:val="0"/>
        <w:rPr>
          <w:b/>
          <w:bCs/>
          <w:color w:val="auto"/>
          <w:highlight w:val="none"/>
        </w:rPr>
      </w:pPr>
      <w:r>
        <w:rPr>
          <w:rFonts w:hint="eastAsia" w:ascii="宋体" w:hAnsi="宋体" w:cs="仿宋"/>
          <w:b/>
          <w:bCs/>
          <w:color w:val="auto"/>
          <w:szCs w:val="28"/>
          <w:highlight w:val="none"/>
        </w:rPr>
        <w:t>※二、</w:t>
      </w:r>
      <w:r>
        <w:rPr>
          <w:rFonts w:hint="eastAsia"/>
          <w:b/>
          <w:bCs/>
          <w:color w:val="auto"/>
          <w:highlight w:val="none"/>
        </w:rPr>
        <w:t>基本服务需求</w:t>
      </w:r>
    </w:p>
    <w:p w14:paraId="7104C728">
      <w:pPr>
        <w:spacing w:line="360" w:lineRule="auto"/>
        <w:ind w:firstLine="560" w:firstLineChars="200"/>
        <w:rPr>
          <w:color w:val="auto"/>
          <w:highlight w:val="none"/>
        </w:rPr>
      </w:pPr>
      <w:r>
        <w:rPr>
          <w:rFonts w:hint="eastAsia"/>
          <w:color w:val="auto"/>
          <w:highlight w:val="none"/>
        </w:rPr>
        <w:t>（一）供应商须完成取回、洗涤、烘干、消毒、熨烫、送回等一条龙服务。</w:t>
      </w:r>
    </w:p>
    <w:p w14:paraId="60EBAC65">
      <w:pPr>
        <w:spacing w:line="360" w:lineRule="auto"/>
        <w:ind w:firstLine="560" w:firstLineChars="200"/>
        <w:rPr>
          <w:color w:val="auto"/>
          <w:highlight w:val="none"/>
        </w:rPr>
      </w:pPr>
      <w:r>
        <w:rPr>
          <w:rFonts w:hint="eastAsia"/>
          <w:color w:val="auto"/>
          <w:highlight w:val="none"/>
        </w:rPr>
        <w:t>（二）洗涤方式：干洗、水洗（根据材质选用合适的洗涤方式）。</w:t>
      </w:r>
    </w:p>
    <w:p w14:paraId="681D5396">
      <w:pPr>
        <w:spacing w:line="360" w:lineRule="auto"/>
        <w:ind w:firstLine="560" w:firstLineChars="200"/>
        <w:rPr>
          <w:color w:val="auto"/>
          <w:highlight w:val="none"/>
        </w:rPr>
      </w:pPr>
      <w:r>
        <w:rPr>
          <w:rFonts w:hint="eastAsia"/>
          <w:color w:val="auto"/>
          <w:highlight w:val="none"/>
        </w:rPr>
        <w:t>（三）设备要求：具备洗涤毛料和其它材质衣物的专业设备及洗涤剂、具备烘干衣物专业设备、具备熨烫衣物专业设备、具备专业消毒设备和场地。</w:t>
      </w:r>
    </w:p>
    <w:p w14:paraId="35E679C9">
      <w:pPr>
        <w:spacing w:line="360" w:lineRule="auto"/>
        <w:ind w:firstLine="560" w:firstLineChars="200"/>
        <w:rPr>
          <w:color w:val="auto"/>
          <w:highlight w:val="none"/>
        </w:rPr>
      </w:pPr>
      <w:r>
        <w:rPr>
          <w:rFonts w:hint="eastAsia"/>
          <w:color w:val="auto"/>
          <w:highlight w:val="none"/>
        </w:rPr>
        <w:t>（四）服务保障：专业收洗衣物运送车辆、承诺每周一、四安排两名固定工作人员，上门服务。</w:t>
      </w:r>
    </w:p>
    <w:p w14:paraId="08FE6767">
      <w:pPr>
        <w:spacing w:line="360" w:lineRule="auto"/>
        <w:ind w:firstLine="560" w:firstLineChars="200"/>
        <w:rPr>
          <w:color w:val="auto"/>
          <w:highlight w:val="none"/>
        </w:rPr>
      </w:pPr>
      <w:r>
        <w:rPr>
          <w:rFonts w:hint="eastAsia"/>
          <w:color w:val="auto"/>
          <w:highlight w:val="none"/>
        </w:rPr>
        <w:t>（五）承诺免费提供小损缝补服务。</w:t>
      </w:r>
    </w:p>
    <w:p w14:paraId="3DA56C66">
      <w:pPr>
        <w:spacing w:line="360" w:lineRule="auto"/>
        <w:ind w:firstLine="562" w:firstLineChars="200"/>
        <w:rPr>
          <w:b/>
          <w:bCs/>
          <w:color w:val="auto"/>
          <w:highlight w:val="none"/>
        </w:rPr>
      </w:pPr>
      <w:r>
        <w:rPr>
          <w:rFonts w:hint="eastAsia"/>
          <w:b/>
          <w:bCs/>
          <w:color w:val="auto"/>
          <w:highlight w:val="none"/>
        </w:rPr>
        <w:t>※三、结算基价</w:t>
      </w:r>
    </w:p>
    <w:p w14:paraId="0DC1B0E9">
      <w:pPr>
        <w:ind w:firstLine="480" w:firstLineChars="200"/>
        <w:rPr>
          <w:b/>
          <w:bCs/>
          <w:color w:val="auto"/>
          <w:sz w:val="24"/>
          <w:szCs w:val="24"/>
          <w:highlight w:val="none"/>
        </w:rPr>
      </w:pPr>
      <w:r>
        <w:rPr>
          <w:rFonts w:hint="eastAsia"/>
          <w:color w:val="auto"/>
          <w:sz w:val="24"/>
          <w:szCs w:val="24"/>
          <w:highlight w:val="none"/>
        </w:rPr>
        <w:t>表1：制式服装</w:t>
      </w:r>
      <w:r>
        <w:rPr>
          <w:rFonts w:hint="eastAsia"/>
          <w:b/>
          <w:bCs/>
          <w:color w:val="auto"/>
          <w:sz w:val="24"/>
          <w:szCs w:val="24"/>
          <w:highlight w:val="none"/>
        </w:rPr>
        <w:t>（件/条/双/顶）</w:t>
      </w:r>
    </w:p>
    <w:tbl>
      <w:tblPr>
        <w:tblStyle w:val="27"/>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16"/>
        <w:gridCol w:w="1550"/>
        <w:gridCol w:w="2719"/>
        <w:gridCol w:w="2137"/>
      </w:tblGrid>
      <w:tr w14:paraId="11423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0A990A42">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品类</w:t>
            </w:r>
          </w:p>
        </w:tc>
        <w:tc>
          <w:tcPr>
            <w:tcW w:w="805" w:type="pct"/>
            <w:vAlign w:val="center"/>
          </w:tcPr>
          <w:p w14:paraId="40EAE63D">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单位</w:t>
            </w:r>
          </w:p>
        </w:tc>
        <w:tc>
          <w:tcPr>
            <w:tcW w:w="1412" w:type="pct"/>
            <w:vAlign w:val="center"/>
          </w:tcPr>
          <w:p w14:paraId="70A236B4">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单件结算基价（元）</w:t>
            </w:r>
          </w:p>
        </w:tc>
        <w:tc>
          <w:tcPr>
            <w:tcW w:w="1110" w:type="pct"/>
            <w:vAlign w:val="center"/>
          </w:tcPr>
          <w:p w14:paraId="0690DC3A">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备注</w:t>
            </w:r>
          </w:p>
        </w:tc>
      </w:tr>
      <w:tr w14:paraId="3F644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1670" w:type="pct"/>
            <w:vAlign w:val="center"/>
          </w:tcPr>
          <w:p w14:paraId="28E44DF8">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常服上衣</w:t>
            </w:r>
          </w:p>
        </w:tc>
        <w:tc>
          <w:tcPr>
            <w:tcW w:w="805" w:type="pct"/>
            <w:vAlign w:val="center"/>
          </w:tcPr>
          <w:p w14:paraId="557AE127">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件</w:t>
            </w:r>
          </w:p>
        </w:tc>
        <w:tc>
          <w:tcPr>
            <w:tcW w:w="1412" w:type="pct"/>
            <w:vAlign w:val="center"/>
          </w:tcPr>
          <w:p w14:paraId="4F75B55B">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42.00</w:t>
            </w:r>
          </w:p>
        </w:tc>
        <w:tc>
          <w:tcPr>
            <w:tcW w:w="1110" w:type="pct"/>
            <w:vAlign w:val="center"/>
          </w:tcPr>
          <w:p w14:paraId="71FD2311">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5CBEC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41C0E596">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常服衬衫</w:t>
            </w:r>
          </w:p>
        </w:tc>
        <w:tc>
          <w:tcPr>
            <w:tcW w:w="805" w:type="pct"/>
            <w:vAlign w:val="center"/>
          </w:tcPr>
          <w:p w14:paraId="26DACC3D">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件</w:t>
            </w:r>
          </w:p>
        </w:tc>
        <w:tc>
          <w:tcPr>
            <w:tcW w:w="1412" w:type="pct"/>
            <w:vAlign w:val="center"/>
          </w:tcPr>
          <w:p w14:paraId="44634D91">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30.00</w:t>
            </w:r>
          </w:p>
        </w:tc>
        <w:tc>
          <w:tcPr>
            <w:tcW w:w="1110" w:type="pct"/>
            <w:vAlign w:val="center"/>
          </w:tcPr>
          <w:p w14:paraId="677E4E48">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57186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1B2D3FE3">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常服裤子</w:t>
            </w:r>
          </w:p>
        </w:tc>
        <w:tc>
          <w:tcPr>
            <w:tcW w:w="805" w:type="pct"/>
            <w:vAlign w:val="center"/>
          </w:tcPr>
          <w:p w14:paraId="65B3CEC6">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条</w:t>
            </w:r>
          </w:p>
        </w:tc>
        <w:tc>
          <w:tcPr>
            <w:tcW w:w="1412" w:type="pct"/>
            <w:vAlign w:val="center"/>
          </w:tcPr>
          <w:p w14:paraId="0E41A354">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30.00</w:t>
            </w:r>
          </w:p>
        </w:tc>
        <w:tc>
          <w:tcPr>
            <w:tcW w:w="1110" w:type="pct"/>
            <w:vAlign w:val="center"/>
          </w:tcPr>
          <w:p w14:paraId="05F4D230">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0BCDE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397CF500">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春秋执勤服上衣</w:t>
            </w:r>
          </w:p>
        </w:tc>
        <w:tc>
          <w:tcPr>
            <w:tcW w:w="805" w:type="pct"/>
            <w:vAlign w:val="center"/>
          </w:tcPr>
          <w:p w14:paraId="4A266588">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件</w:t>
            </w:r>
          </w:p>
        </w:tc>
        <w:tc>
          <w:tcPr>
            <w:tcW w:w="1412" w:type="pct"/>
            <w:vAlign w:val="center"/>
          </w:tcPr>
          <w:p w14:paraId="1C78A52B">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42.00</w:t>
            </w:r>
          </w:p>
        </w:tc>
        <w:tc>
          <w:tcPr>
            <w:tcW w:w="1110" w:type="pct"/>
            <w:vAlign w:val="center"/>
          </w:tcPr>
          <w:p w14:paraId="355794BA">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4E77D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43A2B97D">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春秋执勤服裤子</w:t>
            </w:r>
          </w:p>
        </w:tc>
        <w:tc>
          <w:tcPr>
            <w:tcW w:w="805" w:type="pct"/>
            <w:vAlign w:val="center"/>
          </w:tcPr>
          <w:p w14:paraId="1351A42B">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条</w:t>
            </w:r>
          </w:p>
        </w:tc>
        <w:tc>
          <w:tcPr>
            <w:tcW w:w="1412" w:type="pct"/>
            <w:vAlign w:val="center"/>
          </w:tcPr>
          <w:p w14:paraId="3B75CB12">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30.00</w:t>
            </w:r>
          </w:p>
        </w:tc>
        <w:tc>
          <w:tcPr>
            <w:tcW w:w="1110" w:type="pct"/>
            <w:vAlign w:val="center"/>
          </w:tcPr>
          <w:p w14:paraId="2EFEEFAA">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1D716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136C15CF">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冬执勤服上衣（短）</w:t>
            </w:r>
          </w:p>
        </w:tc>
        <w:tc>
          <w:tcPr>
            <w:tcW w:w="805" w:type="pct"/>
            <w:vAlign w:val="center"/>
          </w:tcPr>
          <w:p w14:paraId="4BF2D908">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件</w:t>
            </w:r>
          </w:p>
        </w:tc>
        <w:tc>
          <w:tcPr>
            <w:tcW w:w="1412" w:type="pct"/>
            <w:vAlign w:val="center"/>
          </w:tcPr>
          <w:p w14:paraId="453C75E2">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66.00</w:t>
            </w:r>
          </w:p>
        </w:tc>
        <w:tc>
          <w:tcPr>
            <w:tcW w:w="1110" w:type="pct"/>
            <w:vAlign w:val="center"/>
          </w:tcPr>
          <w:p w14:paraId="4E596B63">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7E2D2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1848CF55">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冬执勤服上衣（长）</w:t>
            </w:r>
          </w:p>
        </w:tc>
        <w:tc>
          <w:tcPr>
            <w:tcW w:w="805" w:type="pct"/>
            <w:vAlign w:val="center"/>
          </w:tcPr>
          <w:p w14:paraId="7371B186">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件</w:t>
            </w:r>
          </w:p>
        </w:tc>
        <w:tc>
          <w:tcPr>
            <w:tcW w:w="1412" w:type="pct"/>
            <w:vAlign w:val="center"/>
          </w:tcPr>
          <w:p w14:paraId="554D734B">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86.00</w:t>
            </w:r>
          </w:p>
        </w:tc>
        <w:tc>
          <w:tcPr>
            <w:tcW w:w="1110" w:type="pct"/>
            <w:vAlign w:val="center"/>
          </w:tcPr>
          <w:p w14:paraId="5BA43589">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7E81C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4FC0AB9D">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夏装衬衫（长、短袖）</w:t>
            </w:r>
          </w:p>
        </w:tc>
        <w:tc>
          <w:tcPr>
            <w:tcW w:w="805" w:type="pct"/>
            <w:vAlign w:val="center"/>
          </w:tcPr>
          <w:p w14:paraId="3C40C849">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件</w:t>
            </w:r>
          </w:p>
        </w:tc>
        <w:tc>
          <w:tcPr>
            <w:tcW w:w="1412" w:type="pct"/>
            <w:vAlign w:val="center"/>
          </w:tcPr>
          <w:p w14:paraId="5ADB129F">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30.00</w:t>
            </w:r>
          </w:p>
        </w:tc>
        <w:tc>
          <w:tcPr>
            <w:tcW w:w="1110" w:type="pct"/>
            <w:vAlign w:val="center"/>
          </w:tcPr>
          <w:p w14:paraId="5D02E959">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2311C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1DBAFD3A">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单裤</w:t>
            </w:r>
          </w:p>
        </w:tc>
        <w:tc>
          <w:tcPr>
            <w:tcW w:w="805" w:type="pct"/>
            <w:vAlign w:val="center"/>
          </w:tcPr>
          <w:p w14:paraId="21EB51DA">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条</w:t>
            </w:r>
          </w:p>
        </w:tc>
        <w:tc>
          <w:tcPr>
            <w:tcW w:w="1412" w:type="pct"/>
            <w:vAlign w:val="center"/>
          </w:tcPr>
          <w:p w14:paraId="5745DD85">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30.00</w:t>
            </w:r>
          </w:p>
        </w:tc>
        <w:tc>
          <w:tcPr>
            <w:tcW w:w="1110" w:type="pct"/>
            <w:vAlign w:val="center"/>
          </w:tcPr>
          <w:p w14:paraId="6E93F273">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0E858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4AB93A74">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裙子（短）</w:t>
            </w:r>
          </w:p>
        </w:tc>
        <w:tc>
          <w:tcPr>
            <w:tcW w:w="805" w:type="pct"/>
            <w:vAlign w:val="center"/>
          </w:tcPr>
          <w:p w14:paraId="1C516E9C">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条</w:t>
            </w:r>
          </w:p>
        </w:tc>
        <w:tc>
          <w:tcPr>
            <w:tcW w:w="1412" w:type="pct"/>
            <w:vAlign w:val="center"/>
          </w:tcPr>
          <w:p w14:paraId="2363E54D">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30.00</w:t>
            </w:r>
          </w:p>
        </w:tc>
        <w:tc>
          <w:tcPr>
            <w:tcW w:w="1110" w:type="pct"/>
            <w:vAlign w:val="center"/>
          </w:tcPr>
          <w:p w14:paraId="3CE6659F">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01810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517BC882">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防寒服（短款）</w:t>
            </w:r>
          </w:p>
        </w:tc>
        <w:tc>
          <w:tcPr>
            <w:tcW w:w="805" w:type="pct"/>
            <w:vAlign w:val="center"/>
          </w:tcPr>
          <w:p w14:paraId="05756E69">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件</w:t>
            </w:r>
          </w:p>
        </w:tc>
        <w:tc>
          <w:tcPr>
            <w:tcW w:w="1412" w:type="pct"/>
            <w:vAlign w:val="center"/>
          </w:tcPr>
          <w:p w14:paraId="7707A6AA">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66.00</w:t>
            </w:r>
          </w:p>
        </w:tc>
        <w:tc>
          <w:tcPr>
            <w:tcW w:w="1110" w:type="pct"/>
            <w:vAlign w:val="center"/>
          </w:tcPr>
          <w:p w14:paraId="563E0C84">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09953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381140E8">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防寒服（长款）</w:t>
            </w:r>
          </w:p>
        </w:tc>
        <w:tc>
          <w:tcPr>
            <w:tcW w:w="805" w:type="pct"/>
            <w:vAlign w:val="center"/>
          </w:tcPr>
          <w:p w14:paraId="7760A7DA">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件</w:t>
            </w:r>
          </w:p>
        </w:tc>
        <w:tc>
          <w:tcPr>
            <w:tcW w:w="1412" w:type="pct"/>
            <w:vAlign w:val="center"/>
          </w:tcPr>
          <w:p w14:paraId="3BECBA04">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86.00</w:t>
            </w:r>
          </w:p>
        </w:tc>
        <w:tc>
          <w:tcPr>
            <w:tcW w:w="1110" w:type="pct"/>
            <w:vAlign w:val="center"/>
          </w:tcPr>
          <w:p w14:paraId="66AFF56E">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4665D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2DF635D3">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单皮鞋</w:t>
            </w:r>
          </w:p>
        </w:tc>
        <w:tc>
          <w:tcPr>
            <w:tcW w:w="805" w:type="pct"/>
            <w:vAlign w:val="center"/>
          </w:tcPr>
          <w:p w14:paraId="4D329BB9">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双</w:t>
            </w:r>
          </w:p>
        </w:tc>
        <w:tc>
          <w:tcPr>
            <w:tcW w:w="1412" w:type="pct"/>
            <w:vAlign w:val="center"/>
          </w:tcPr>
          <w:p w14:paraId="6FC32903">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108.00</w:t>
            </w:r>
          </w:p>
        </w:tc>
        <w:tc>
          <w:tcPr>
            <w:tcW w:w="1110" w:type="pct"/>
            <w:vAlign w:val="center"/>
          </w:tcPr>
          <w:p w14:paraId="7C371F7F">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4FA71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4143C8B4">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皮凉鞋</w:t>
            </w:r>
          </w:p>
        </w:tc>
        <w:tc>
          <w:tcPr>
            <w:tcW w:w="805" w:type="pct"/>
            <w:vAlign w:val="center"/>
          </w:tcPr>
          <w:p w14:paraId="34E7D615">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双</w:t>
            </w:r>
          </w:p>
        </w:tc>
        <w:tc>
          <w:tcPr>
            <w:tcW w:w="1412" w:type="pct"/>
            <w:vAlign w:val="center"/>
          </w:tcPr>
          <w:p w14:paraId="450B1ABE">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108.00</w:t>
            </w:r>
          </w:p>
        </w:tc>
        <w:tc>
          <w:tcPr>
            <w:tcW w:w="1110" w:type="pct"/>
            <w:vAlign w:val="center"/>
          </w:tcPr>
          <w:p w14:paraId="1A4BAB06">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13AA5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3A769166">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棉皮鞋</w:t>
            </w:r>
          </w:p>
        </w:tc>
        <w:tc>
          <w:tcPr>
            <w:tcW w:w="805" w:type="pct"/>
            <w:vAlign w:val="center"/>
          </w:tcPr>
          <w:p w14:paraId="507F88F7">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双</w:t>
            </w:r>
          </w:p>
        </w:tc>
        <w:tc>
          <w:tcPr>
            <w:tcW w:w="1412" w:type="pct"/>
            <w:vAlign w:val="center"/>
          </w:tcPr>
          <w:p w14:paraId="41D62E7A">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138.00</w:t>
            </w:r>
          </w:p>
        </w:tc>
        <w:tc>
          <w:tcPr>
            <w:tcW w:w="1110" w:type="pct"/>
            <w:vAlign w:val="center"/>
          </w:tcPr>
          <w:p w14:paraId="049DAB48">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360A7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1D104063">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毛皮靴</w:t>
            </w:r>
          </w:p>
        </w:tc>
        <w:tc>
          <w:tcPr>
            <w:tcW w:w="805" w:type="pct"/>
            <w:vAlign w:val="center"/>
          </w:tcPr>
          <w:p w14:paraId="62D58A64">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双</w:t>
            </w:r>
          </w:p>
        </w:tc>
        <w:tc>
          <w:tcPr>
            <w:tcW w:w="1412" w:type="pct"/>
            <w:vAlign w:val="center"/>
          </w:tcPr>
          <w:p w14:paraId="2175C300">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138.00</w:t>
            </w:r>
          </w:p>
        </w:tc>
        <w:tc>
          <w:tcPr>
            <w:tcW w:w="1110" w:type="pct"/>
            <w:vAlign w:val="center"/>
          </w:tcPr>
          <w:p w14:paraId="57088B6A">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12204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0" w:type="pct"/>
            <w:vAlign w:val="center"/>
          </w:tcPr>
          <w:p w14:paraId="7F95BE39">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帽子</w:t>
            </w:r>
          </w:p>
        </w:tc>
        <w:tc>
          <w:tcPr>
            <w:tcW w:w="805" w:type="pct"/>
            <w:vAlign w:val="center"/>
          </w:tcPr>
          <w:p w14:paraId="7BC0B377">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顶</w:t>
            </w:r>
          </w:p>
        </w:tc>
        <w:tc>
          <w:tcPr>
            <w:tcW w:w="1412" w:type="pct"/>
            <w:vAlign w:val="center"/>
          </w:tcPr>
          <w:p w14:paraId="014BE02B">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42.00</w:t>
            </w:r>
          </w:p>
        </w:tc>
        <w:tc>
          <w:tcPr>
            <w:tcW w:w="1110" w:type="pct"/>
            <w:vAlign w:val="center"/>
          </w:tcPr>
          <w:p w14:paraId="2145FFBD">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bl>
    <w:p w14:paraId="18A0EF7F">
      <w:pPr>
        <w:adjustRightInd w:val="0"/>
        <w:snapToGrid w:val="0"/>
        <w:jc w:val="center"/>
        <w:rPr>
          <w:rFonts w:ascii="宋体" w:hAnsi="宋体" w:cs="宋体"/>
          <w:color w:val="auto"/>
          <w:sz w:val="24"/>
          <w:szCs w:val="24"/>
          <w:highlight w:val="none"/>
        </w:rPr>
      </w:pPr>
    </w:p>
    <w:p w14:paraId="61C88926">
      <w:pPr>
        <w:adjustRightInd w:val="0"/>
        <w:snapToGrid w:val="0"/>
        <w:jc w:val="left"/>
        <w:rPr>
          <w:rFonts w:ascii="宋体" w:hAnsi="宋体" w:cs="宋体"/>
          <w:color w:val="auto"/>
          <w:sz w:val="24"/>
          <w:szCs w:val="24"/>
          <w:highlight w:val="none"/>
        </w:rPr>
      </w:pPr>
      <w:r>
        <w:rPr>
          <w:rFonts w:hint="eastAsia" w:ascii="宋体" w:hAnsi="宋体" w:cs="宋体"/>
          <w:color w:val="auto"/>
          <w:sz w:val="24"/>
          <w:szCs w:val="24"/>
          <w:highlight w:val="none"/>
        </w:rPr>
        <w:t>表2：单位值班执勤布草（张/每平米/座/</w:t>
      </w:r>
      <w:r>
        <w:rPr>
          <w:rFonts w:hint="eastAsia" w:ascii="宋体" w:hAnsi="宋体" w:cs="宋体"/>
          <w:color w:val="auto"/>
          <w:sz w:val="24"/>
          <w:szCs w:val="24"/>
          <w:highlight w:val="none"/>
          <w:lang w:val="en-US" w:eastAsia="zh-CN"/>
        </w:rPr>
        <w:t>套</w:t>
      </w:r>
      <w:r>
        <w:rPr>
          <w:rFonts w:hint="eastAsia" w:ascii="宋体" w:hAnsi="宋体" w:cs="宋体"/>
          <w:color w:val="auto"/>
          <w:sz w:val="24"/>
          <w:szCs w:val="24"/>
          <w:highlight w:val="none"/>
        </w:rPr>
        <w:t>）</w:t>
      </w:r>
    </w:p>
    <w:tbl>
      <w:tblPr>
        <w:tblStyle w:val="27"/>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48"/>
        <w:gridCol w:w="2393"/>
        <w:gridCol w:w="1927"/>
        <w:gridCol w:w="1927"/>
        <w:gridCol w:w="1927"/>
      </w:tblGrid>
      <w:tr w14:paraId="45230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3" w:type="pct"/>
          </w:tcPr>
          <w:p w14:paraId="6457530B">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序号</w:t>
            </w:r>
          </w:p>
        </w:tc>
        <w:tc>
          <w:tcPr>
            <w:tcW w:w="1243" w:type="pct"/>
          </w:tcPr>
          <w:p w14:paraId="15AD4CA6">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品类</w:t>
            </w:r>
          </w:p>
        </w:tc>
        <w:tc>
          <w:tcPr>
            <w:tcW w:w="1001" w:type="pct"/>
          </w:tcPr>
          <w:p w14:paraId="0E27DB9D">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单位</w:t>
            </w:r>
          </w:p>
        </w:tc>
        <w:tc>
          <w:tcPr>
            <w:tcW w:w="1001" w:type="pct"/>
          </w:tcPr>
          <w:p w14:paraId="06F70AFA">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单件结算基价（元）</w:t>
            </w:r>
          </w:p>
        </w:tc>
        <w:tc>
          <w:tcPr>
            <w:tcW w:w="1001" w:type="pct"/>
            <w:shd w:val="clear" w:color="auto" w:fill="auto"/>
            <w:vAlign w:val="center"/>
          </w:tcPr>
          <w:p w14:paraId="04790FED">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备注</w:t>
            </w:r>
          </w:p>
        </w:tc>
      </w:tr>
      <w:tr w14:paraId="00A8F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3" w:type="pct"/>
          </w:tcPr>
          <w:p w14:paraId="423B185B">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1243" w:type="pct"/>
          </w:tcPr>
          <w:p w14:paraId="03B8EC72">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会议桌布</w:t>
            </w:r>
          </w:p>
        </w:tc>
        <w:tc>
          <w:tcPr>
            <w:tcW w:w="1001" w:type="pct"/>
          </w:tcPr>
          <w:p w14:paraId="26F34244">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张</w:t>
            </w:r>
          </w:p>
        </w:tc>
        <w:tc>
          <w:tcPr>
            <w:tcW w:w="1001" w:type="pct"/>
          </w:tcPr>
          <w:p w14:paraId="39699A41">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86.00</w:t>
            </w:r>
          </w:p>
        </w:tc>
        <w:tc>
          <w:tcPr>
            <w:tcW w:w="1001" w:type="pct"/>
            <w:shd w:val="clear" w:color="auto" w:fill="auto"/>
            <w:vAlign w:val="center"/>
          </w:tcPr>
          <w:p w14:paraId="6E6B0530">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44F32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trPr>
        <w:tc>
          <w:tcPr>
            <w:tcW w:w="753" w:type="pct"/>
          </w:tcPr>
          <w:p w14:paraId="7423D841">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2</w:t>
            </w:r>
          </w:p>
        </w:tc>
        <w:tc>
          <w:tcPr>
            <w:tcW w:w="1243" w:type="pct"/>
          </w:tcPr>
          <w:p w14:paraId="08FC5E9D">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窗帘</w:t>
            </w:r>
          </w:p>
        </w:tc>
        <w:tc>
          <w:tcPr>
            <w:tcW w:w="1001" w:type="pct"/>
          </w:tcPr>
          <w:p w14:paraId="5139DE5C">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每平米</w:t>
            </w:r>
          </w:p>
        </w:tc>
        <w:tc>
          <w:tcPr>
            <w:tcW w:w="1001" w:type="pct"/>
          </w:tcPr>
          <w:p w14:paraId="510BB826">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28.00</w:t>
            </w:r>
          </w:p>
        </w:tc>
        <w:tc>
          <w:tcPr>
            <w:tcW w:w="1001" w:type="pct"/>
            <w:shd w:val="clear" w:color="auto" w:fill="auto"/>
            <w:vAlign w:val="center"/>
          </w:tcPr>
          <w:p w14:paraId="55CF5CDA">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3993A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3" w:type="pct"/>
          </w:tcPr>
          <w:p w14:paraId="143D6BE0">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3</w:t>
            </w:r>
          </w:p>
        </w:tc>
        <w:tc>
          <w:tcPr>
            <w:tcW w:w="1243" w:type="pct"/>
          </w:tcPr>
          <w:p w14:paraId="0D71CE95">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窗纱</w:t>
            </w:r>
          </w:p>
        </w:tc>
        <w:tc>
          <w:tcPr>
            <w:tcW w:w="1001" w:type="pct"/>
          </w:tcPr>
          <w:p w14:paraId="09C97CDF">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每平米</w:t>
            </w:r>
          </w:p>
        </w:tc>
        <w:tc>
          <w:tcPr>
            <w:tcW w:w="1001" w:type="pct"/>
          </w:tcPr>
          <w:p w14:paraId="34B1F685">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20.00</w:t>
            </w:r>
          </w:p>
        </w:tc>
        <w:tc>
          <w:tcPr>
            <w:tcW w:w="1001" w:type="pct"/>
            <w:shd w:val="clear" w:color="auto" w:fill="auto"/>
            <w:vAlign w:val="center"/>
          </w:tcPr>
          <w:p w14:paraId="3EE15293">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204D4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3" w:type="pct"/>
          </w:tcPr>
          <w:p w14:paraId="3991AEAB">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4</w:t>
            </w:r>
          </w:p>
        </w:tc>
        <w:tc>
          <w:tcPr>
            <w:tcW w:w="1243" w:type="pct"/>
          </w:tcPr>
          <w:p w14:paraId="77F262CD">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地毯</w:t>
            </w:r>
          </w:p>
        </w:tc>
        <w:tc>
          <w:tcPr>
            <w:tcW w:w="1001" w:type="pct"/>
          </w:tcPr>
          <w:p w14:paraId="4C17DE6B">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每平米</w:t>
            </w:r>
          </w:p>
        </w:tc>
        <w:tc>
          <w:tcPr>
            <w:tcW w:w="1001" w:type="pct"/>
          </w:tcPr>
          <w:p w14:paraId="71194CE6">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100.00</w:t>
            </w:r>
          </w:p>
        </w:tc>
        <w:tc>
          <w:tcPr>
            <w:tcW w:w="1001" w:type="pct"/>
            <w:shd w:val="clear" w:color="auto" w:fill="auto"/>
            <w:vAlign w:val="center"/>
          </w:tcPr>
          <w:p w14:paraId="5E416CD8">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不区分干洗水洗</w:t>
            </w:r>
          </w:p>
        </w:tc>
      </w:tr>
      <w:tr w14:paraId="6D783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3" w:type="pct"/>
          </w:tcPr>
          <w:p w14:paraId="53281B8D">
            <w:pPr>
              <w:adjustRightInd w:val="0"/>
              <w:snapToGrid w:val="0"/>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243" w:type="pct"/>
          </w:tcPr>
          <w:p w14:paraId="3F0FE650">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三件套</w:t>
            </w:r>
          </w:p>
        </w:tc>
        <w:tc>
          <w:tcPr>
            <w:tcW w:w="1001" w:type="pct"/>
          </w:tcPr>
          <w:p w14:paraId="2BE989C8">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套</w:t>
            </w:r>
          </w:p>
        </w:tc>
        <w:tc>
          <w:tcPr>
            <w:tcW w:w="1001" w:type="pct"/>
          </w:tcPr>
          <w:p w14:paraId="60824CCA">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64</w:t>
            </w:r>
          </w:p>
        </w:tc>
        <w:tc>
          <w:tcPr>
            <w:tcW w:w="1001" w:type="pct"/>
            <w:shd w:val="clear" w:color="auto" w:fill="auto"/>
            <w:vAlign w:val="center"/>
          </w:tcPr>
          <w:p w14:paraId="3E7C1E1D">
            <w:pPr>
              <w:adjustRightInd w:val="0"/>
              <w:snapToGrid w:val="0"/>
              <w:jc w:val="center"/>
              <w:rPr>
                <w:rFonts w:ascii="宋体" w:hAnsi="宋体" w:cs="宋体"/>
                <w:color w:val="auto"/>
                <w:sz w:val="24"/>
                <w:szCs w:val="24"/>
                <w:highlight w:val="none"/>
              </w:rPr>
            </w:pPr>
          </w:p>
        </w:tc>
      </w:tr>
    </w:tbl>
    <w:p w14:paraId="22F9C8B6">
      <w:pPr>
        <w:rPr>
          <w:color w:val="auto"/>
          <w:highlight w:val="none"/>
        </w:rPr>
      </w:pPr>
    </w:p>
    <w:p w14:paraId="675ED3EC">
      <w:pPr>
        <w:spacing w:line="360" w:lineRule="auto"/>
        <w:ind w:firstLine="562" w:firstLineChars="200"/>
        <w:rPr>
          <w:b/>
          <w:bCs/>
          <w:color w:val="auto"/>
          <w:highlight w:val="none"/>
        </w:rPr>
      </w:pPr>
      <w:bookmarkStart w:id="48" w:name="_Toc4764"/>
      <w:r>
        <w:rPr>
          <w:rFonts w:hint="eastAsia"/>
          <w:b/>
          <w:bCs/>
          <w:color w:val="auto"/>
          <w:highlight w:val="none"/>
        </w:rPr>
        <w:t>※四、洗涤服务标准</w:t>
      </w:r>
    </w:p>
    <w:bookmarkEnd w:id="48"/>
    <w:p w14:paraId="4DE40418">
      <w:pPr>
        <w:spacing w:line="360" w:lineRule="auto"/>
        <w:ind w:firstLine="560" w:firstLineChars="200"/>
        <w:rPr>
          <w:color w:val="auto"/>
          <w:highlight w:val="none"/>
        </w:rPr>
        <w:sectPr>
          <w:pgSz w:w="11907" w:h="16840"/>
          <w:pgMar w:top="1134" w:right="1191" w:bottom="1134" w:left="1304" w:header="964" w:footer="992" w:gutter="0"/>
          <w:pgNumType w:fmt="numberInDash"/>
          <w:cols w:space="720" w:num="1"/>
          <w:docGrid w:linePitch="312" w:charSpace="0"/>
        </w:sectPr>
      </w:pPr>
      <w:r>
        <w:rPr>
          <w:rFonts w:hint="eastAsia"/>
          <w:color w:val="auto"/>
          <w:highlight w:val="none"/>
        </w:rPr>
        <w:t xml:space="preserve"> 供应商必须健康环保清洗，使用正规洗衣设备和洗涤剂，严格按照行业标准洗净、熨烫、折叠、保持整洁后交付给采购人。如供应商清洗质量未达到行业洁净率标准，出现洗涤未净的情况，应无条件返洗，不得另计费用。</w:t>
      </w:r>
    </w:p>
    <w:p w14:paraId="76892B7A">
      <w:pPr>
        <w:pStyle w:val="3"/>
        <w:rPr>
          <w:color w:val="auto"/>
          <w:sz w:val="36"/>
          <w:szCs w:val="22"/>
          <w:highlight w:val="none"/>
        </w:rPr>
      </w:pPr>
      <w:bookmarkStart w:id="49" w:name="_Toc32457"/>
      <w:r>
        <w:rPr>
          <w:rFonts w:hint="eastAsia"/>
          <w:color w:val="auto"/>
          <w:sz w:val="36"/>
          <w:szCs w:val="22"/>
          <w:highlight w:val="none"/>
        </w:rPr>
        <w:t>第三篇 项目商务需求</w:t>
      </w:r>
      <w:bookmarkEnd w:id="42"/>
      <w:bookmarkEnd w:id="43"/>
      <w:bookmarkEnd w:id="44"/>
      <w:bookmarkEnd w:id="49"/>
    </w:p>
    <w:bookmarkEnd w:id="45"/>
    <w:bookmarkEnd w:id="46"/>
    <w:p w14:paraId="16176340">
      <w:pPr>
        <w:snapToGrid w:val="0"/>
        <w:spacing w:line="360" w:lineRule="auto"/>
        <w:ind w:firstLine="480" w:firstLineChars="200"/>
        <w:rPr>
          <w:rFonts w:ascii="宋体" w:hAnsi="宋体" w:cs="仿宋"/>
          <w:color w:val="auto"/>
          <w:sz w:val="24"/>
          <w:szCs w:val="24"/>
          <w:highlight w:val="none"/>
        </w:rPr>
      </w:pPr>
      <w:bookmarkStart w:id="50" w:name="_Toc24966"/>
      <w:bookmarkStart w:id="51" w:name="_Toc30067"/>
      <w:bookmarkStart w:id="52" w:name="_Toc23663"/>
      <w:bookmarkStart w:id="53" w:name="_Toc2672"/>
      <w:bookmarkStart w:id="54" w:name="_Toc2487"/>
      <w:bookmarkStart w:id="55" w:name="_Toc17711"/>
      <w:bookmarkStart w:id="56" w:name="_Toc25911"/>
      <w:bookmarkStart w:id="57" w:name="_Toc23377"/>
      <w:bookmarkStart w:id="58" w:name="_Toc2406"/>
      <w:bookmarkStart w:id="59" w:name="_Toc25165"/>
      <w:bookmarkStart w:id="60" w:name="_Toc22763"/>
      <w:bookmarkStart w:id="61" w:name="_Toc8133"/>
      <w:bookmarkStart w:id="62" w:name="_Toc15693"/>
      <w:bookmarkStart w:id="63" w:name="_Toc106030393"/>
      <w:bookmarkStart w:id="64" w:name="_Toc75793517"/>
      <w:bookmarkStart w:id="65" w:name="_Toc3339"/>
      <w:bookmarkStart w:id="66" w:name="_Toc25903"/>
      <w:bookmarkStart w:id="67" w:name="_Toc11875"/>
      <w:bookmarkStart w:id="68" w:name="_Toc10668"/>
    </w:p>
    <w:p w14:paraId="7964CD11">
      <w:pPr>
        <w:snapToGrid w:val="0"/>
        <w:spacing w:line="360" w:lineRule="auto"/>
        <w:ind w:firstLine="960" w:firstLineChars="400"/>
        <w:jc w:val="center"/>
        <w:rPr>
          <w:rFonts w:ascii="宋体" w:hAnsi="宋体" w:cs="仿宋"/>
          <w:b/>
          <w:bCs/>
          <w:color w:val="auto"/>
          <w:szCs w:val="28"/>
          <w:highlight w:val="none"/>
        </w:rPr>
      </w:pPr>
      <w:r>
        <w:rPr>
          <w:rFonts w:hint="eastAsia" w:ascii="宋体" w:hAnsi="宋体" w:cs="仿宋"/>
          <w:color w:val="auto"/>
          <w:sz w:val="24"/>
          <w:szCs w:val="24"/>
          <w:highlight w:val="none"/>
        </w:rPr>
        <w:t>※内容为符合性审查内容，不满足的作无效响应处理。</w:t>
      </w:r>
    </w:p>
    <w:p w14:paraId="456A8714">
      <w:pPr>
        <w:snapToGrid w:val="0"/>
        <w:spacing w:line="360" w:lineRule="auto"/>
        <w:ind w:firstLine="482" w:firstLineChars="200"/>
        <w:outlineLvl w:val="0"/>
        <w:rPr>
          <w:rFonts w:ascii="宋体" w:hAnsi="宋体" w:cs="仿宋"/>
          <w:b/>
          <w:bCs/>
          <w:color w:val="auto"/>
          <w:szCs w:val="28"/>
          <w:highlight w:val="none"/>
        </w:rPr>
      </w:pPr>
      <w:bookmarkStart w:id="69" w:name="_Toc13488"/>
      <w:r>
        <w:rPr>
          <w:rFonts w:hint="eastAsia" w:ascii="宋体" w:hAnsi="宋体" w:cs="仿宋"/>
          <w:b/>
          <w:bCs/>
          <w:color w:val="auto"/>
          <w:sz w:val="24"/>
          <w:szCs w:val="24"/>
          <w:highlight w:val="none"/>
        </w:rPr>
        <w:t>※</w:t>
      </w:r>
      <w:r>
        <w:rPr>
          <w:rFonts w:hint="eastAsia" w:ascii="宋体" w:hAnsi="宋体" w:cs="仿宋"/>
          <w:b/>
          <w:bCs/>
          <w:color w:val="auto"/>
          <w:szCs w:val="28"/>
          <w:highlight w:val="none"/>
        </w:rPr>
        <w:t>一、服务期、服务地点、验收方式</w:t>
      </w:r>
      <w:bookmarkEnd w:id="69"/>
    </w:p>
    <w:p w14:paraId="6BEB4C8D">
      <w:pPr>
        <w:snapToGrid w:val="0"/>
        <w:spacing w:line="360" w:lineRule="auto"/>
        <w:ind w:firstLine="560" w:firstLineChars="200"/>
        <w:outlineLvl w:val="0"/>
        <w:rPr>
          <w:rFonts w:ascii="宋体" w:hAnsi="宋体" w:cs="仿宋"/>
          <w:color w:val="auto"/>
          <w:szCs w:val="28"/>
          <w:highlight w:val="none"/>
        </w:rPr>
      </w:pPr>
      <w:bookmarkStart w:id="70" w:name="_Toc9737"/>
      <w:r>
        <w:rPr>
          <w:rFonts w:hint="eastAsia" w:ascii="宋体" w:hAnsi="宋体" w:cs="仿宋"/>
          <w:color w:val="auto"/>
          <w:szCs w:val="28"/>
          <w:highlight w:val="none"/>
        </w:rPr>
        <w:t>（一）服务期：自合同签订之日起1年。</w:t>
      </w:r>
      <w:bookmarkEnd w:id="70"/>
    </w:p>
    <w:p w14:paraId="4D950628">
      <w:pPr>
        <w:snapToGrid w:val="0"/>
        <w:spacing w:line="360" w:lineRule="auto"/>
        <w:ind w:firstLine="560" w:firstLineChars="200"/>
        <w:outlineLvl w:val="0"/>
        <w:rPr>
          <w:rFonts w:ascii="宋体" w:hAnsi="宋体" w:cs="仿宋"/>
          <w:color w:val="auto"/>
          <w:szCs w:val="28"/>
          <w:highlight w:val="none"/>
        </w:rPr>
      </w:pPr>
      <w:bookmarkStart w:id="71" w:name="_Toc15193"/>
      <w:r>
        <w:rPr>
          <w:rFonts w:hint="eastAsia" w:ascii="宋体" w:hAnsi="宋体" w:cs="仿宋"/>
          <w:color w:val="auto"/>
          <w:szCs w:val="28"/>
          <w:highlight w:val="none"/>
        </w:rPr>
        <w:t>（二）服务地点：采购人指定地点上门取衣物，由供应商自行在其工作地点完成服务并送回采购人处。</w:t>
      </w:r>
      <w:bookmarkEnd w:id="71"/>
    </w:p>
    <w:p w14:paraId="2CAF8DC8">
      <w:pPr>
        <w:snapToGrid w:val="0"/>
        <w:spacing w:line="360" w:lineRule="auto"/>
        <w:ind w:firstLine="560" w:firstLineChars="200"/>
        <w:outlineLvl w:val="0"/>
        <w:rPr>
          <w:rFonts w:ascii="宋体" w:hAnsi="宋体" w:cs="仿宋"/>
          <w:color w:val="auto"/>
          <w:szCs w:val="28"/>
          <w:highlight w:val="none"/>
        </w:rPr>
      </w:pPr>
      <w:r>
        <w:rPr>
          <w:rFonts w:hint="eastAsia" w:ascii="宋体" w:hAnsi="宋体" w:cs="仿宋"/>
          <w:color w:val="auto"/>
          <w:szCs w:val="28"/>
          <w:highlight w:val="none"/>
        </w:rPr>
        <w:t>1.自接到洗涤通知当日起7日内应完成全套洗涤运送服务。</w:t>
      </w:r>
    </w:p>
    <w:p w14:paraId="4612E403">
      <w:pPr>
        <w:snapToGrid w:val="0"/>
        <w:spacing w:line="360" w:lineRule="auto"/>
        <w:ind w:firstLine="560" w:firstLineChars="200"/>
        <w:outlineLvl w:val="0"/>
        <w:rPr>
          <w:rFonts w:ascii="宋体" w:hAnsi="宋体" w:cs="仿宋"/>
          <w:color w:val="auto"/>
          <w:szCs w:val="28"/>
          <w:highlight w:val="none"/>
        </w:rPr>
      </w:pPr>
      <w:r>
        <w:rPr>
          <w:rFonts w:hint="eastAsia" w:ascii="宋体" w:hAnsi="宋体" w:cs="仿宋"/>
          <w:color w:val="auto"/>
          <w:szCs w:val="28"/>
          <w:highlight w:val="none"/>
        </w:rPr>
        <w:t>2.供应商成交后应当为用户提供技术援助电话，解答用户在使用中遇到的问题，及时为用户提出解决问题的建议（如有）。</w:t>
      </w:r>
    </w:p>
    <w:p w14:paraId="32A102F2">
      <w:pPr>
        <w:snapToGrid w:val="0"/>
        <w:spacing w:line="360" w:lineRule="auto"/>
        <w:ind w:firstLine="560" w:firstLineChars="200"/>
        <w:outlineLvl w:val="0"/>
        <w:rPr>
          <w:rFonts w:ascii="宋体" w:hAnsi="宋体" w:cs="仿宋"/>
          <w:color w:val="auto"/>
          <w:szCs w:val="28"/>
          <w:highlight w:val="none"/>
        </w:rPr>
      </w:pPr>
      <w:r>
        <w:rPr>
          <w:rFonts w:hint="eastAsia" w:ascii="宋体" w:hAnsi="宋体" w:cs="仿宋"/>
          <w:color w:val="auto"/>
          <w:szCs w:val="28"/>
          <w:highlight w:val="none"/>
        </w:rPr>
        <w:t>3.采购人遇到需紧急清洗情况时，供应商应及时协调工作安排并派人到达现场进行处理。</w:t>
      </w:r>
    </w:p>
    <w:p w14:paraId="54848525">
      <w:pPr>
        <w:snapToGrid w:val="0"/>
        <w:spacing w:line="360" w:lineRule="auto"/>
        <w:ind w:firstLine="560" w:firstLineChars="200"/>
        <w:outlineLvl w:val="0"/>
        <w:rPr>
          <w:rFonts w:ascii="宋体" w:hAnsi="宋体" w:cs="仿宋"/>
          <w:color w:val="auto"/>
          <w:szCs w:val="28"/>
          <w:highlight w:val="none"/>
        </w:rPr>
      </w:pPr>
      <w:r>
        <w:rPr>
          <w:rFonts w:hint="eastAsia" w:ascii="宋体" w:hAnsi="宋体" w:cs="仿宋"/>
          <w:color w:val="auto"/>
          <w:szCs w:val="28"/>
          <w:highlight w:val="none"/>
        </w:rPr>
        <w:t>（三）验收标准：</w:t>
      </w:r>
    </w:p>
    <w:p w14:paraId="26B264C5">
      <w:pPr>
        <w:snapToGrid w:val="0"/>
        <w:spacing w:line="360" w:lineRule="auto"/>
        <w:ind w:firstLine="560" w:firstLineChars="200"/>
        <w:outlineLvl w:val="0"/>
        <w:rPr>
          <w:rFonts w:ascii="宋体" w:hAnsi="宋体" w:cs="仿宋"/>
          <w:color w:val="auto"/>
          <w:szCs w:val="28"/>
          <w:highlight w:val="none"/>
        </w:rPr>
      </w:pPr>
      <w:r>
        <w:rPr>
          <w:rFonts w:hint="eastAsia" w:ascii="宋体" w:hAnsi="宋体" w:cs="仿宋"/>
          <w:color w:val="auto"/>
          <w:szCs w:val="28"/>
          <w:highlight w:val="none"/>
        </w:rPr>
        <w:t>1.在规定时间内按照国家相关法律法规、行业规范要求进行洗涤服务。</w:t>
      </w:r>
    </w:p>
    <w:p w14:paraId="4BA4CE73">
      <w:pPr>
        <w:snapToGrid w:val="0"/>
        <w:spacing w:line="360" w:lineRule="auto"/>
        <w:ind w:firstLine="560" w:firstLineChars="200"/>
        <w:outlineLvl w:val="0"/>
        <w:rPr>
          <w:rFonts w:ascii="宋体" w:hAnsi="宋体" w:cs="仿宋"/>
          <w:color w:val="auto"/>
          <w:szCs w:val="28"/>
          <w:highlight w:val="none"/>
        </w:rPr>
      </w:pPr>
      <w:r>
        <w:rPr>
          <w:rFonts w:hint="eastAsia" w:ascii="宋体" w:hAnsi="宋体" w:cs="仿宋"/>
          <w:color w:val="auto"/>
          <w:szCs w:val="28"/>
          <w:highlight w:val="none"/>
        </w:rPr>
        <w:t>2.供应商提供的服务未达到合同规定要求，且对采购人造成损失的，由供应商承担一切责任，并赔偿所造成的损失。</w:t>
      </w:r>
    </w:p>
    <w:p w14:paraId="6FCB0871">
      <w:pPr>
        <w:snapToGrid w:val="0"/>
        <w:spacing w:line="360" w:lineRule="auto"/>
        <w:ind w:firstLine="562" w:firstLineChars="200"/>
        <w:outlineLvl w:val="0"/>
        <w:rPr>
          <w:rFonts w:ascii="宋体" w:hAnsi="宋体" w:cs="仿宋"/>
          <w:b/>
          <w:bCs/>
          <w:color w:val="auto"/>
          <w:szCs w:val="28"/>
          <w:highlight w:val="none"/>
        </w:rPr>
      </w:pPr>
      <w:bookmarkStart w:id="72" w:name="_Toc519178907"/>
      <w:bookmarkStart w:id="73" w:name="_Toc4987"/>
      <w:bookmarkStart w:id="74" w:name="_Toc10302"/>
      <w:r>
        <w:rPr>
          <w:rFonts w:hint="eastAsia" w:ascii="宋体" w:hAnsi="宋体" w:cs="仿宋"/>
          <w:b/>
          <w:bCs/>
          <w:color w:val="auto"/>
          <w:szCs w:val="28"/>
          <w:highlight w:val="none"/>
        </w:rPr>
        <w:t>※二、报价要求</w:t>
      </w:r>
      <w:bookmarkEnd w:id="72"/>
      <w:bookmarkEnd w:id="73"/>
      <w:bookmarkEnd w:id="74"/>
    </w:p>
    <w:p w14:paraId="38C269BD">
      <w:pPr>
        <w:snapToGrid w:val="0"/>
        <w:spacing w:line="360" w:lineRule="auto"/>
        <w:ind w:firstLine="560" w:firstLineChars="200"/>
        <w:outlineLvl w:val="0"/>
        <w:rPr>
          <w:rFonts w:ascii="宋体" w:hAnsi="宋体" w:cs="仿宋"/>
          <w:color w:val="auto"/>
          <w:szCs w:val="28"/>
          <w:highlight w:val="none"/>
        </w:rPr>
      </w:pPr>
      <w:r>
        <w:rPr>
          <w:rFonts w:hint="eastAsia" w:ascii="宋体" w:hAnsi="宋体" w:cs="仿宋"/>
          <w:color w:val="auto"/>
          <w:szCs w:val="28"/>
          <w:highlight w:val="none"/>
        </w:rPr>
        <w:t xml:space="preserve">本次报价为人民币折扣报价（例如：供应商以九折报价，则填报数字“9”，百分比90%），报价包括完成洗涤服务的全部人工、材料、成本、交通、税费、利润以及本次采购代理服务费及平台费（注：成交供应商支付，费用含在总报价中不单列）在内的全部费用总和。供应商对本项目的响应报价，应根据市场价格以及企业自身的实力自主报价。因报价估计不足或市场价格波动造成漏报、少报，皆由其自行承担责任，采购人不再补偿。 </w:t>
      </w:r>
    </w:p>
    <w:p w14:paraId="5D0D282A">
      <w:pPr>
        <w:snapToGrid w:val="0"/>
        <w:spacing w:line="360" w:lineRule="auto"/>
        <w:ind w:firstLine="562" w:firstLineChars="200"/>
        <w:outlineLvl w:val="0"/>
        <w:rPr>
          <w:rFonts w:ascii="宋体" w:hAnsi="宋体" w:cs="仿宋"/>
          <w:b/>
          <w:bCs/>
          <w:color w:val="auto"/>
          <w:szCs w:val="28"/>
          <w:highlight w:val="none"/>
        </w:rPr>
      </w:pPr>
      <w:bookmarkStart w:id="75" w:name="_Toc12548"/>
      <w:bookmarkStart w:id="76" w:name="_Toc519178909"/>
      <w:bookmarkStart w:id="77" w:name="_Toc5874"/>
      <w:bookmarkStart w:id="78" w:name="_Toc429558967"/>
      <w:r>
        <w:rPr>
          <w:rFonts w:hint="eastAsia" w:ascii="宋体" w:hAnsi="宋体" w:cs="仿宋"/>
          <w:b/>
          <w:bCs/>
          <w:color w:val="auto"/>
          <w:szCs w:val="28"/>
          <w:highlight w:val="none"/>
        </w:rPr>
        <w:t>※三、结算原则及付款方式</w:t>
      </w:r>
      <w:bookmarkEnd w:id="75"/>
      <w:bookmarkEnd w:id="76"/>
      <w:bookmarkEnd w:id="77"/>
    </w:p>
    <w:p w14:paraId="6FB22E07">
      <w:pPr>
        <w:snapToGrid w:val="0"/>
        <w:spacing w:line="360" w:lineRule="auto"/>
        <w:ind w:firstLine="560" w:firstLineChars="200"/>
        <w:outlineLvl w:val="0"/>
        <w:rPr>
          <w:rFonts w:ascii="宋体" w:hAnsi="宋体" w:cs="仿宋"/>
          <w:color w:val="auto"/>
          <w:szCs w:val="28"/>
          <w:highlight w:val="none"/>
        </w:rPr>
      </w:pPr>
      <w:bookmarkStart w:id="79" w:name="_Toc519178910"/>
      <w:bookmarkStart w:id="80" w:name="_Toc15823"/>
      <w:bookmarkStart w:id="81" w:name="_Toc17888"/>
      <w:r>
        <w:rPr>
          <w:rFonts w:hint="eastAsia" w:ascii="宋体" w:hAnsi="宋体" w:cs="仿宋"/>
          <w:color w:val="auto"/>
          <w:szCs w:val="28"/>
          <w:highlight w:val="none"/>
        </w:rPr>
        <w:t>（一）结算原则：</w:t>
      </w:r>
    </w:p>
    <w:p w14:paraId="7CDCDE6F">
      <w:pPr>
        <w:snapToGrid w:val="0"/>
        <w:spacing w:line="360" w:lineRule="auto"/>
        <w:ind w:firstLine="560" w:firstLineChars="200"/>
        <w:outlineLvl w:val="0"/>
        <w:rPr>
          <w:rFonts w:ascii="宋体" w:hAnsi="宋体" w:cs="仿宋"/>
          <w:color w:val="auto"/>
          <w:szCs w:val="28"/>
          <w:highlight w:val="none"/>
        </w:rPr>
      </w:pPr>
      <w:r>
        <w:rPr>
          <w:rFonts w:hint="eastAsia" w:ascii="宋体" w:hAnsi="宋体" w:cs="仿宋"/>
          <w:color w:val="auto"/>
          <w:szCs w:val="28"/>
          <w:highlight w:val="none"/>
        </w:rPr>
        <w:t>1.以结算基价和供应商成交折扣为准，按实际洗涤物品的洗涤件数进行据实结算，单件物品结算金额=对应的结算基价×折扣（注：计算时“九折”即90%），汇总全部物品结算明细。</w:t>
      </w:r>
    </w:p>
    <w:p w14:paraId="19621221">
      <w:pPr>
        <w:snapToGrid w:val="0"/>
        <w:spacing w:line="360" w:lineRule="auto"/>
        <w:ind w:firstLine="560" w:firstLineChars="200"/>
        <w:outlineLvl w:val="0"/>
        <w:rPr>
          <w:rFonts w:ascii="宋体" w:hAnsi="宋体" w:cs="仿宋"/>
          <w:color w:val="auto"/>
          <w:szCs w:val="28"/>
          <w:highlight w:val="none"/>
        </w:rPr>
      </w:pPr>
      <w:r>
        <w:rPr>
          <w:rFonts w:hint="eastAsia" w:ascii="宋体" w:hAnsi="宋体" w:cs="仿宋"/>
          <w:color w:val="auto"/>
          <w:szCs w:val="28"/>
          <w:highlight w:val="none"/>
        </w:rPr>
        <w:t xml:space="preserve">（二）付款方式：按季度支付，供应商完成每季度服务后，汇总季度内结算清单明细报采购人核实，经采购人核对无误后，供应商开具有效发票给采购人提起付款流程。  </w:t>
      </w:r>
    </w:p>
    <w:p w14:paraId="5613E85D">
      <w:pPr>
        <w:snapToGrid w:val="0"/>
        <w:spacing w:line="360" w:lineRule="auto"/>
        <w:ind w:firstLine="562" w:firstLineChars="200"/>
        <w:outlineLvl w:val="0"/>
        <w:rPr>
          <w:rFonts w:ascii="宋体" w:hAnsi="宋体" w:cs="仿宋"/>
          <w:b/>
          <w:bCs/>
          <w:color w:val="auto"/>
          <w:szCs w:val="28"/>
          <w:highlight w:val="none"/>
        </w:rPr>
      </w:pPr>
      <w:r>
        <w:rPr>
          <w:rFonts w:hint="eastAsia" w:ascii="宋体" w:hAnsi="宋体" w:cs="仿宋"/>
          <w:b/>
          <w:bCs/>
          <w:color w:val="auto"/>
          <w:szCs w:val="28"/>
          <w:highlight w:val="none"/>
        </w:rPr>
        <w:t>※四、知识产权</w:t>
      </w:r>
      <w:bookmarkEnd w:id="79"/>
      <w:bookmarkEnd w:id="80"/>
      <w:bookmarkEnd w:id="81"/>
    </w:p>
    <w:bookmarkEnd w:id="78"/>
    <w:p w14:paraId="7167A365">
      <w:pPr>
        <w:snapToGrid w:val="0"/>
        <w:spacing w:line="360" w:lineRule="auto"/>
        <w:ind w:firstLine="560" w:firstLineChars="200"/>
        <w:outlineLvl w:val="0"/>
        <w:rPr>
          <w:rFonts w:ascii="宋体" w:hAnsi="宋体" w:cs="仿宋"/>
          <w:color w:val="auto"/>
          <w:szCs w:val="28"/>
          <w:highlight w:val="none"/>
        </w:rPr>
      </w:pPr>
      <w:r>
        <w:rPr>
          <w:rFonts w:hint="eastAsia" w:ascii="宋体" w:hAnsi="宋体" w:cs="仿宋"/>
          <w:color w:val="auto"/>
          <w:szCs w:val="28"/>
          <w:highlight w:val="none"/>
        </w:rPr>
        <w:t>采购人在中华人民共和国境内使用供应商提供的货物及服务时免受第三方提出的侵犯其专利权或其它知识产权的起诉。如果第三方提出侵权指控，成交供应商应承担由此而引起的一切法律责任和费用。</w:t>
      </w:r>
    </w:p>
    <w:p w14:paraId="5D74DB57">
      <w:pPr>
        <w:snapToGrid w:val="0"/>
        <w:spacing w:line="360" w:lineRule="auto"/>
        <w:ind w:firstLine="562" w:firstLineChars="200"/>
        <w:outlineLvl w:val="0"/>
        <w:rPr>
          <w:rFonts w:ascii="宋体" w:hAnsi="宋体" w:cs="仿宋"/>
          <w:b/>
          <w:bCs/>
          <w:color w:val="auto"/>
          <w:szCs w:val="28"/>
          <w:highlight w:val="none"/>
        </w:rPr>
      </w:pPr>
      <w:bookmarkStart w:id="82" w:name="_Toc1898"/>
      <w:bookmarkStart w:id="83" w:name="_Toc423596046"/>
      <w:bookmarkStart w:id="84" w:name="_Toc429558970"/>
      <w:bookmarkStart w:id="85" w:name="_Toc16552"/>
      <w:bookmarkStart w:id="86" w:name="_Toc519178912"/>
      <w:bookmarkStart w:id="87" w:name="_Toc267320054"/>
      <w:r>
        <w:rPr>
          <w:rFonts w:hint="eastAsia" w:ascii="宋体" w:hAnsi="宋体" w:cs="仿宋"/>
          <w:b/>
          <w:bCs/>
          <w:color w:val="auto"/>
          <w:szCs w:val="28"/>
          <w:highlight w:val="none"/>
        </w:rPr>
        <w:t>五、其他</w:t>
      </w:r>
      <w:bookmarkEnd w:id="82"/>
      <w:bookmarkEnd w:id="83"/>
      <w:bookmarkEnd w:id="84"/>
      <w:bookmarkEnd w:id="85"/>
      <w:bookmarkEnd w:id="86"/>
      <w:bookmarkEnd w:id="87"/>
    </w:p>
    <w:p w14:paraId="364E8EB7">
      <w:pPr>
        <w:snapToGrid w:val="0"/>
        <w:spacing w:line="360" w:lineRule="auto"/>
        <w:ind w:firstLine="560" w:firstLineChars="200"/>
        <w:outlineLvl w:val="0"/>
        <w:rPr>
          <w:rFonts w:ascii="宋体" w:hAnsi="宋体" w:cs="仿宋"/>
          <w:color w:val="auto"/>
          <w:szCs w:val="28"/>
          <w:highlight w:val="none"/>
        </w:rPr>
      </w:pPr>
      <w:r>
        <w:rPr>
          <w:rFonts w:hint="eastAsia" w:ascii="宋体" w:hAnsi="宋体" w:cs="仿宋"/>
          <w:color w:val="auto"/>
          <w:szCs w:val="28"/>
          <w:highlight w:val="none"/>
        </w:rPr>
        <w:t>其他未尽事宜由供需双方在采购合同中详细约定。</w:t>
      </w:r>
    </w:p>
    <w:p w14:paraId="34FF8340">
      <w:pPr>
        <w:rPr>
          <w:color w:val="auto"/>
          <w:highlight w:val="none"/>
        </w:rPr>
      </w:pPr>
      <w:r>
        <w:rPr>
          <w:rFonts w:hint="eastAsia"/>
          <w:color w:val="auto"/>
          <w:highlight w:val="none"/>
        </w:rPr>
        <w:br w:type="page"/>
      </w:r>
    </w:p>
    <w:p w14:paraId="7DFFF827">
      <w:pPr>
        <w:pStyle w:val="3"/>
        <w:rPr>
          <w:color w:val="auto"/>
          <w:sz w:val="36"/>
          <w:szCs w:val="22"/>
          <w:highlight w:val="none"/>
        </w:rPr>
      </w:pPr>
      <w:bookmarkStart w:id="88" w:name="_Toc32452"/>
      <w:r>
        <w:rPr>
          <w:rFonts w:hint="eastAsia"/>
          <w:color w:val="auto"/>
          <w:sz w:val="36"/>
          <w:szCs w:val="22"/>
          <w:highlight w:val="none"/>
        </w:rPr>
        <w:t>第四篇 资格审查及评审办法</w:t>
      </w:r>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88"/>
    </w:p>
    <w:p w14:paraId="1462431A">
      <w:pPr>
        <w:pStyle w:val="4"/>
        <w:spacing w:before="192"/>
        <w:ind w:firstLine="562"/>
        <w:rPr>
          <w:rFonts w:ascii="Times New Roman" w:hAnsi="Times New Roman"/>
          <w:color w:val="auto"/>
          <w:highlight w:val="none"/>
        </w:rPr>
      </w:pPr>
      <w:bookmarkStart w:id="89" w:name="_Toc28903"/>
      <w:bookmarkStart w:id="90" w:name="_Toc28360"/>
      <w:bookmarkStart w:id="91" w:name="_Toc4071"/>
      <w:bookmarkStart w:id="92" w:name="_Toc1497"/>
      <w:bookmarkStart w:id="93" w:name="_Toc29755"/>
      <w:bookmarkStart w:id="94" w:name="_Toc26309"/>
      <w:bookmarkStart w:id="95" w:name="_Toc25971"/>
      <w:bookmarkStart w:id="96" w:name="_Toc14564"/>
      <w:bookmarkStart w:id="97" w:name="_Toc27081"/>
      <w:bookmarkStart w:id="98" w:name="_Toc21859"/>
      <w:bookmarkStart w:id="99" w:name="_Toc75793518"/>
      <w:bookmarkStart w:id="100" w:name="_Toc20541"/>
      <w:bookmarkStart w:id="101" w:name="_Toc8983"/>
      <w:bookmarkStart w:id="102" w:name="_Toc23973"/>
      <w:bookmarkStart w:id="103" w:name="_Toc12641"/>
      <w:bookmarkStart w:id="104" w:name="_Toc106030394"/>
      <w:bookmarkStart w:id="105" w:name="_Toc10022"/>
      <w:bookmarkStart w:id="106" w:name="_Toc1763"/>
      <w:bookmarkStart w:id="107" w:name="_Toc3951"/>
      <w:bookmarkStart w:id="108" w:name="_Toc15440"/>
      <w:r>
        <w:rPr>
          <w:rFonts w:hint="eastAsia" w:ascii="Times New Roman" w:hAnsi="Times New Roman"/>
          <w:color w:val="auto"/>
          <w:highlight w:val="none"/>
        </w:rPr>
        <w:t>一、资格审查</w:t>
      </w:r>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r>
        <w:rPr>
          <w:rFonts w:hint="eastAsia" w:ascii="Times New Roman" w:hAnsi="Times New Roman"/>
          <w:color w:val="auto"/>
          <w:highlight w:val="none"/>
        </w:rPr>
        <w:t>及符合性审查</w:t>
      </w:r>
      <w:bookmarkEnd w:id="104"/>
      <w:bookmarkEnd w:id="105"/>
      <w:bookmarkEnd w:id="106"/>
      <w:bookmarkEnd w:id="107"/>
      <w:bookmarkEnd w:id="108"/>
    </w:p>
    <w:p w14:paraId="62825582">
      <w:pPr>
        <w:snapToGrid w:val="0"/>
        <w:spacing w:line="480" w:lineRule="atLeast"/>
        <w:ind w:firstLine="560" w:firstLineChars="200"/>
        <w:rPr>
          <w:rFonts w:cs="宋体"/>
          <w:bCs/>
          <w:color w:val="auto"/>
          <w:szCs w:val="28"/>
          <w:highlight w:val="none"/>
        </w:rPr>
      </w:pPr>
      <w:r>
        <w:rPr>
          <w:rFonts w:hint="eastAsia" w:cs="宋体"/>
          <w:bCs/>
          <w:color w:val="auto"/>
          <w:szCs w:val="28"/>
          <w:highlight w:val="none"/>
        </w:rPr>
        <w:t>若未通过资格审查及符合性审查的响应文件，不进入评审环节。</w:t>
      </w:r>
    </w:p>
    <w:p w14:paraId="3773F559">
      <w:pPr>
        <w:snapToGrid w:val="0"/>
        <w:spacing w:line="480" w:lineRule="atLeast"/>
        <w:ind w:firstLine="562" w:firstLineChars="200"/>
        <w:rPr>
          <w:rFonts w:cs="宋体"/>
          <w:b/>
          <w:color w:val="auto"/>
          <w:szCs w:val="28"/>
          <w:highlight w:val="none"/>
        </w:rPr>
      </w:pPr>
      <w:r>
        <w:rPr>
          <w:rFonts w:hint="eastAsia" w:cs="宋体"/>
          <w:b/>
          <w:color w:val="auto"/>
          <w:szCs w:val="28"/>
          <w:highlight w:val="none"/>
        </w:rPr>
        <w:t>（一）资格审查</w:t>
      </w:r>
    </w:p>
    <w:p w14:paraId="4EE70F7C">
      <w:pPr>
        <w:snapToGrid w:val="0"/>
        <w:spacing w:line="480" w:lineRule="atLeast"/>
        <w:ind w:firstLine="560" w:firstLineChars="200"/>
        <w:rPr>
          <w:rFonts w:cs="宋体"/>
          <w:color w:val="auto"/>
          <w:kern w:val="0"/>
          <w:szCs w:val="28"/>
          <w:highlight w:val="none"/>
        </w:rPr>
      </w:pPr>
      <w:r>
        <w:rPr>
          <w:rFonts w:hint="eastAsia" w:cs="宋体"/>
          <w:color w:val="auto"/>
          <w:kern w:val="0"/>
          <w:szCs w:val="28"/>
          <w:highlight w:val="none"/>
        </w:rPr>
        <w:t>对响应文件中的资格证明文件进行审查。资格审查资料表如下：</w:t>
      </w:r>
    </w:p>
    <w:tbl>
      <w:tblPr>
        <w:tblStyle w:val="26"/>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3118"/>
        <w:gridCol w:w="4984"/>
      </w:tblGrid>
      <w:tr w14:paraId="34F02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A7B4783">
            <w:pPr>
              <w:spacing w:line="480" w:lineRule="atLeast"/>
              <w:jc w:val="center"/>
              <w:rPr>
                <w:rFonts w:cs="宋体"/>
                <w:b/>
                <w:color w:val="auto"/>
                <w:kern w:val="0"/>
                <w:sz w:val="24"/>
                <w:szCs w:val="24"/>
                <w:highlight w:val="none"/>
              </w:rPr>
            </w:pPr>
            <w:r>
              <w:rPr>
                <w:rFonts w:hint="eastAsia" w:cs="宋体"/>
                <w:b/>
                <w:color w:val="auto"/>
                <w:kern w:val="0"/>
                <w:sz w:val="24"/>
                <w:szCs w:val="24"/>
                <w:highlight w:val="none"/>
              </w:rPr>
              <w:t>序号</w:t>
            </w:r>
          </w:p>
        </w:tc>
        <w:tc>
          <w:tcPr>
            <w:tcW w:w="3827" w:type="dxa"/>
            <w:gridSpan w:val="2"/>
            <w:vAlign w:val="center"/>
          </w:tcPr>
          <w:p w14:paraId="5E303002">
            <w:pPr>
              <w:spacing w:line="480" w:lineRule="atLeast"/>
              <w:jc w:val="center"/>
              <w:rPr>
                <w:rFonts w:cs="宋体"/>
                <w:b/>
                <w:color w:val="auto"/>
                <w:kern w:val="0"/>
                <w:sz w:val="24"/>
                <w:szCs w:val="24"/>
                <w:highlight w:val="none"/>
              </w:rPr>
            </w:pPr>
            <w:r>
              <w:rPr>
                <w:rFonts w:hint="eastAsia" w:cs="宋体"/>
                <w:b/>
                <w:color w:val="auto"/>
                <w:kern w:val="0"/>
                <w:sz w:val="24"/>
                <w:szCs w:val="24"/>
                <w:highlight w:val="none"/>
              </w:rPr>
              <w:t>检查因素</w:t>
            </w:r>
          </w:p>
        </w:tc>
        <w:tc>
          <w:tcPr>
            <w:tcW w:w="4984" w:type="dxa"/>
            <w:vAlign w:val="center"/>
          </w:tcPr>
          <w:p w14:paraId="48D0A5E2">
            <w:pPr>
              <w:spacing w:line="480" w:lineRule="atLeast"/>
              <w:jc w:val="center"/>
              <w:rPr>
                <w:rFonts w:cs="宋体"/>
                <w:b/>
                <w:color w:val="auto"/>
                <w:kern w:val="0"/>
                <w:sz w:val="24"/>
                <w:szCs w:val="24"/>
                <w:highlight w:val="none"/>
              </w:rPr>
            </w:pPr>
            <w:r>
              <w:rPr>
                <w:rFonts w:hint="eastAsia" w:cs="宋体"/>
                <w:b/>
                <w:color w:val="auto"/>
                <w:kern w:val="0"/>
                <w:sz w:val="24"/>
                <w:szCs w:val="24"/>
                <w:highlight w:val="none"/>
              </w:rPr>
              <w:t>检查内容</w:t>
            </w:r>
          </w:p>
        </w:tc>
      </w:tr>
      <w:tr w14:paraId="30443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vAlign w:val="center"/>
          </w:tcPr>
          <w:p w14:paraId="4984DD50">
            <w:pPr>
              <w:spacing w:line="480" w:lineRule="atLeast"/>
              <w:jc w:val="center"/>
              <w:rPr>
                <w:rFonts w:cs="宋体"/>
                <w:color w:val="auto"/>
                <w:sz w:val="24"/>
                <w:szCs w:val="24"/>
                <w:highlight w:val="none"/>
              </w:rPr>
            </w:pPr>
            <w:r>
              <w:rPr>
                <w:rFonts w:hint="eastAsia" w:cs="宋体"/>
                <w:color w:val="auto"/>
                <w:sz w:val="24"/>
                <w:szCs w:val="24"/>
                <w:highlight w:val="none"/>
              </w:rPr>
              <w:t>（一）</w:t>
            </w:r>
          </w:p>
        </w:tc>
        <w:tc>
          <w:tcPr>
            <w:tcW w:w="709" w:type="dxa"/>
            <w:vMerge w:val="restart"/>
            <w:vAlign w:val="center"/>
          </w:tcPr>
          <w:p w14:paraId="67D3E4F3">
            <w:pPr>
              <w:rPr>
                <w:rFonts w:cs="宋体"/>
                <w:color w:val="auto"/>
                <w:sz w:val="24"/>
                <w:szCs w:val="24"/>
                <w:highlight w:val="none"/>
              </w:rPr>
            </w:pPr>
            <w:r>
              <w:rPr>
                <w:rFonts w:hint="eastAsia" w:cs="宋体"/>
                <w:color w:val="auto"/>
                <w:sz w:val="24"/>
                <w:szCs w:val="24"/>
                <w:highlight w:val="none"/>
              </w:rPr>
              <w:t>基本资格条件</w:t>
            </w:r>
          </w:p>
        </w:tc>
        <w:tc>
          <w:tcPr>
            <w:tcW w:w="3118" w:type="dxa"/>
            <w:vAlign w:val="center"/>
          </w:tcPr>
          <w:p w14:paraId="5EF21C1A">
            <w:pPr>
              <w:rPr>
                <w:rFonts w:cs="宋体"/>
                <w:color w:val="auto"/>
                <w:sz w:val="24"/>
                <w:szCs w:val="24"/>
                <w:highlight w:val="none"/>
              </w:rPr>
            </w:pPr>
            <w:r>
              <w:rPr>
                <w:rFonts w:hint="eastAsia" w:cs="宋体"/>
                <w:color w:val="auto"/>
                <w:sz w:val="24"/>
                <w:szCs w:val="24"/>
                <w:highlight w:val="none"/>
              </w:rPr>
              <w:t>1.具有独立承担民事责任的能力</w:t>
            </w:r>
          </w:p>
        </w:tc>
        <w:tc>
          <w:tcPr>
            <w:tcW w:w="4984" w:type="dxa"/>
            <w:vAlign w:val="center"/>
          </w:tcPr>
          <w:p w14:paraId="56E1BD4F">
            <w:pPr>
              <w:rPr>
                <w:rFonts w:cs="宋体"/>
                <w:color w:val="auto"/>
                <w:sz w:val="24"/>
                <w:szCs w:val="24"/>
                <w:highlight w:val="none"/>
              </w:rPr>
            </w:pPr>
            <w:r>
              <w:rPr>
                <w:rFonts w:hint="eastAsia" w:cs="宋体"/>
                <w:color w:val="auto"/>
                <w:sz w:val="24"/>
                <w:szCs w:val="24"/>
                <w:highlight w:val="none"/>
              </w:rPr>
              <w:t xml:space="preserve">1.供应商法人营业执照（副本）或事业单位法人证书（副本）或个体工商户营业执照或社会团体法人登记证书（提供复印件）。 </w:t>
            </w:r>
          </w:p>
          <w:p w14:paraId="4566422E">
            <w:pPr>
              <w:rPr>
                <w:rFonts w:cs="宋体"/>
                <w:color w:val="auto"/>
                <w:sz w:val="24"/>
                <w:szCs w:val="24"/>
                <w:highlight w:val="none"/>
              </w:rPr>
            </w:pPr>
            <w:r>
              <w:rPr>
                <w:rFonts w:hint="eastAsia" w:cs="宋体"/>
                <w:color w:val="auto"/>
                <w:sz w:val="24"/>
                <w:szCs w:val="24"/>
                <w:highlight w:val="none"/>
              </w:rPr>
              <w:t>2.供应商法定代表人身份证明和法定代表人授权代表委托书。</w:t>
            </w:r>
          </w:p>
        </w:tc>
      </w:tr>
      <w:tr w14:paraId="6F68D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6C66A682">
            <w:pPr>
              <w:spacing w:line="480" w:lineRule="atLeast"/>
              <w:jc w:val="center"/>
              <w:rPr>
                <w:rFonts w:cs="宋体"/>
                <w:color w:val="auto"/>
                <w:sz w:val="24"/>
                <w:szCs w:val="24"/>
                <w:highlight w:val="none"/>
              </w:rPr>
            </w:pPr>
          </w:p>
        </w:tc>
        <w:tc>
          <w:tcPr>
            <w:tcW w:w="709" w:type="dxa"/>
            <w:vMerge w:val="continue"/>
            <w:vAlign w:val="center"/>
          </w:tcPr>
          <w:p w14:paraId="6B3BF5A8">
            <w:pPr>
              <w:rPr>
                <w:rFonts w:cs="宋体"/>
                <w:color w:val="auto"/>
                <w:sz w:val="24"/>
                <w:szCs w:val="24"/>
                <w:highlight w:val="none"/>
                <w:lang w:val="zh-CN"/>
              </w:rPr>
            </w:pPr>
          </w:p>
        </w:tc>
        <w:tc>
          <w:tcPr>
            <w:tcW w:w="3118" w:type="dxa"/>
            <w:vAlign w:val="center"/>
          </w:tcPr>
          <w:p w14:paraId="01D398C9">
            <w:pPr>
              <w:rPr>
                <w:rFonts w:cs="宋体"/>
                <w:color w:val="auto"/>
                <w:sz w:val="24"/>
                <w:szCs w:val="24"/>
                <w:highlight w:val="none"/>
              </w:rPr>
            </w:pPr>
            <w:r>
              <w:rPr>
                <w:rFonts w:hint="eastAsia" w:cs="宋体"/>
                <w:color w:val="auto"/>
                <w:sz w:val="24"/>
                <w:szCs w:val="24"/>
                <w:highlight w:val="none"/>
                <w:lang w:val="zh-CN"/>
              </w:rPr>
              <w:t>2.</w:t>
            </w:r>
            <w:r>
              <w:rPr>
                <w:rFonts w:hint="eastAsia" w:cs="宋体"/>
                <w:color w:val="auto"/>
                <w:sz w:val="24"/>
                <w:szCs w:val="24"/>
                <w:highlight w:val="none"/>
              </w:rPr>
              <w:t>具有良好的商业信誉和健全的财务会计制度</w:t>
            </w:r>
          </w:p>
        </w:tc>
        <w:tc>
          <w:tcPr>
            <w:tcW w:w="4984" w:type="dxa"/>
            <w:vMerge w:val="restart"/>
            <w:vAlign w:val="center"/>
          </w:tcPr>
          <w:p w14:paraId="40CD8F78">
            <w:pPr>
              <w:rPr>
                <w:rFonts w:cs="宋体"/>
                <w:color w:val="auto"/>
                <w:sz w:val="24"/>
                <w:szCs w:val="24"/>
                <w:highlight w:val="none"/>
              </w:rPr>
            </w:pPr>
            <w:r>
              <w:rPr>
                <w:rFonts w:hint="eastAsia" w:cs="宋体"/>
                <w:color w:val="auto"/>
                <w:sz w:val="24"/>
                <w:szCs w:val="24"/>
                <w:highlight w:val="none"/>
              </w:rPr>
              <w:t>供应商提供“基本资格条件承诺函”（格式详见第七篇）</w:t>
            </w:r>
          </w:p>
          <w:p w14:paraId="79A41DB9">
            <w:pPr>
              <w:rPr>
                <w:rFonts w:cs="宋体"/>
                <w:b/>
                <w:color w:val="auto"/>
                <w:sz w:val="24"/>
                <w:szCs w:val="24"/>
                <w:highlight w:val="none"/>
              </w:rPr>
            </w:pPr>
          </w:p>
        </w:tc>
      </w:tr>
      <w:tr w14:paraId="1D469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4CEDA8A6">
            <w:pPr>
              <w:spacing w:line="480" w:lineRule="atLeast"/>
              <w:jc w:val="center"/>
              <w:rPr>
                <w:rFonts w:cs="宋体"/>
                <w:color w:val="auto"/>
                <w:sz w:val="24"/>
                <w:szCs w:val="24"/>
                <w:highlight w:val="none"/>
              </w:rPr>
            </w:pPr>
          </w:p>
        </w:tc>
        <w:tc>
          <w:tcPr>
            <w:tcW w:w="709" w:type="dxa"/>
            <w:vMerge w:val="continue"/>
            <w:vAlign w:val="center"/>
          </w:tcPr>
          <w:p w14:paraId="70D94284">
            <w:pPr>
              <w:rPr>
                <w:rFonts w:cs="宋体"/>
                <w:color w:val="auto"/>
                <w:sz w:val="24"/>
                <w:szCs w:val="24"/>
                <w:highlight w:val="none"/>
                <w:lang w:val="zh-CN"/>
              </w:rPr>
            </w:pPr>
          </w:p>
        </w:tc>
        <w:tc>
          <w:tcPr>
            <w:tcW w:w="3118" w:type="dxa"/>
            <w:vAlign w:val="center"/>
          </w:tcPr>
          <w:p w14:paraId="1EA50DFB">
            <w:pPr>
              <w:rPr>
                <w:rFonts w:cs="宋体"/>
                <w:color w:val="auto"/>
                <w:sz w:val="24"/>
                <w:szCs w:val="24"/>
                <w:highlight w:val="none"/>
                <w:lang w:val="zh-CN"/>
              </w:rPr>
            </w:pPr>
            <w:r>
              <w:rPr>
                <w:rFonts w:hint="eastAsia" w:cs="宋体"/>
                <w:color w:val="auto"/>
                <w:sz w:val="24"/>
                <w:szCs w:val="24"/>
                <w:highlight w:val="none"/>
                <w:lang w:val="zh-CN"/>
              </w:rPr>
              <w:t>3.具有履行合同所必需的设备和专业技术能力</w:t>
            </w:r>
          </w:p>
        </w:tc>
        <w:tc>
          <w:tcPr>
            <w:tcW w:w="4984" w:type="dxa"/>
            <w:vMerge w:val="continue"/>
            <w:vAlign w:val="center"/>
          </w:tcPr>
          <w:p w14:paraId="1FFA9208">
            <w:pPr>
              <w:rPr>
                <w:rFonts w:cs="宋体"/>
                <w:color w:val="auto"/>
                <w:sz w:val="24"/>
                <w:szCs w:val="24"/>
                <w:highlight w:val="none"/>
              </w:rPr>
            </w:pPr>
          </w:p>
        </w:tc>
      </w:tr>
      <w:tr w14:paraId="77999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16A341D6">
            <w:pPr>
              <w:spacing w:line="480" w:lineRule="atLeast"/>
              <w:jc w:val="center"/>
              <w:rPr>
                <w:rFonts w:cs="宋体"/>
                <w:color w:val="auto"/>
                <w:sz w:val="24"/>
                <w:szCs w:val="24"/>
                <w:highlight w:val="none"/>
              </w:rPr>
            </w:pPr>
          </w:p>
        </w:tc>
        <w:tc>
          <w:tcPr>
            <w:tcW w:w="709" w:type="dxa"/>
            <w:vMerge w:val="continue"/>
            <w:vAlign w:val="center"/>
          </w:tcPr>
          <w:p w14:paraId="745404ED">
            <w:pPr>
              <w:rPr>
                <w:rFonts w:cs="宋体"/>
                <w:color w:val="auto"/>
                <w:sz w:val="24"/>
                <w:szCs w:val="24"/>
                <w:highlight w:val="none"/>
                <w:lang w:val="zh-CN"/>
              </w:rPr>
            </w:pPr>
          </w:p>
        </w:tc>
        <w:tc>
          <w:tcPr>
            <w:tcW w:w="3118" w:type="dxa"/>
            <w:vAlign w:val="center"/>
          </w:tcPr>
          <w:p w14:paraId="60D3A6F1">
            <w:pPr>
              <w:rPr>
                <w:rFonts w:cs="宋体"/>
                <w:color w:val="auto"/>
                <w:sz w:val="24"/>
                <w:szCs w:val="24"/>
                <w:highlight w:val="none"/>
                <w:lang w:val="zh-CN"/>
              </w:rPr>
            </w:pPr>
            <w:r>
              <w:rPr>
                <w:rFonts w:hint="eastAsia" w:cs="宋体"/>
                <w:color w:val="auto"/>
                <w:sz w:val="24"/>
                <w:szCs w:val="24"/>
                <w:highlight w:val="none"/>
                <w:lang w:val="zh-CN"/>
              </w:rPr>
              <w:t>4.有依法缴纳税收和社会保障金的良好记录</w:t>
            </w:r>
          </w:p>
        </w:tc>
        <w:tc>
          <w:tcPr>
            <w:tcW w:w="4984" w:type="dxa"/>
            <w:vMerge w:val="continue"/>
            <w:vAlign w:val="center"/>
          </w:tcPr>
          <w:p w14:paraId="5ED76961">
            <w:pPr>
              <w:rPr>
                <w:rFonts w:cs="宋体"/>
                <w:color w:val="auto"/>
                <w:sz w:val="24"/>
                <w:szCs w:val="24"/>
                <w:highlight w:val="none"/>
              </w:rPr>
            </w:pPr>
          </w:p>
        </w:tc>
      </w:tr>
      <w:tr w14:paraId="31376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0D2341A5">
            <w:pPr>
              <w:spacing w:line="480" w:lineRule="atLeast"/>
              <w:jc w:val="center"/>
              <w:rPr>
                <w:rFonts w:cs="宋体"/>
                <w:color w:val="auto"/>
                <w:sz w:val="24"/>
                <w:szCs w:val="24"/>
                <w:highlight w:val="none"/>
              </w:rPr>
            </w:pPr>
          </w:p>
        </w:tc>
        <w:tc>
          <w:tcPr>
            <w:tcW w:w="709" w:type="dxa"/>
            <w:vMerge w:val="continue"/>
            <w:vAlign w:val="center"/>
          </w:tcPr>
          <w:p w14:paraId="4F90583F">
            <w:pPr>
              <w:rPr>
                <w:rFonts w:cs="宋体"/>
                <w:color w:val="auto"/>
                <w:sz w:val="24"/>
                <w:szCs w:val="24"/>
                <w:highlight w:val="none"/>
                <w:lang w:val="zh-CN"/>
              </w:rPr>
            </w:pPr>
          </w:p>
        </w:tc>
        <w:tc>
          <w:tcPr>
            <w:tcW w:w="3118" w:type="dxa"/>
            <w:vAlign w:val="center"/>
          </w:tcPr>
          <w:p w14:paraId="06DDD23E">
            <w:pPr>
              <w:rPr>
                <w:rFonts w:cs="宋体"/>
                <w:color w:val="auto"/>
                <w:sz w:val="24"/>
                <w:szCs w:val="24"/>
                <w:highlight w:val="none"/>
                <w:lang w:val="zh-CN"/>
              </w:rPr>
            </w:pPr>
            <w:r>
              <w:rPr>
                <w:rFonts w:hint="eastAsia" w:cs="宋体"/>
                <w:color w:val="auto"/>
                <w:sz w:val="24"/>
                <w:szCs w:val="24"/>
                <w:highlight w:val="none"/>
              </w:rPr>
              <w:t>5.参加采购活动前三年内，在经营活动中没有重大违法记录（注</w:t>
            </w:r>
            <w:r>
              <w:rPr>
                <w:rFonts w:hint="eastAsia" w:cs="宋体"/>
                <w:color w:val="auto"/>
                <w:sz w:val="21"/>
                <w:szCs w:val="21"/>
                <w:highlight w:val="none"/>
              </w:rPr>
              <w:fldChar w:fldCharType="begin"/>
            </w:r>
            <w:r>
              <w:rPr>
                <w:rFonts w:hint="eastAsia" w:cs="宋体"/>
                <w:color w:val="auto"/>
                <w:sz w:val="21"/>
                <w:szCs w:val="21"/>
                <w:highlight w:val="none"/>
              </w:rPr>
              <w:instrText xml:space="preserve"> EQ \o\ac(</w:instrText>
            </w:r>
            <w:r>
              <w:rPr>
                <w:rFonts w:hint="eastAsia" w:cs="宋体"/>
                <w:color w:val="auto"/>
                <w:position w:val="-4"/>
                <w:sz w:val="31"/>
                <w:szCs w:val="21"/>
                <w:highlight w:val="none"/>
              </w:rPr>
              <w:instrText xml:space="preserve">○</w:instrText>
            </w:r>
            <w:r>
              <w:rPr>
                <w:rFonts w:hint="eastAsia" w:cs="宋体"/>
                <w:color w:val="auto"/>
                <w:sz w:val="21"/>
                <w:szCs w:val="21"/>
                <w:highlight w:val="none"/>
              </w:rPr>
              <w:instrText xml:space="preserve">,1)</w:instrText>
            </w:r>
            <w:r>
              <w:rPr>
                <w:rFonts w:hint="eastAsia" w:cs="宋体"/>
                <w:color w:val="auto"/>
                <w:sz w:val="21"/>
                <w:szCs w:val="21"/>
                <w:highlight w:val="none"/>
              </w:rPr>
              <w:fldChar w:fldCharType="end"/>
            </w:r>
            <w:r>
              <w:rPr>
                <w:rFonts w:hint="eastAsia" w:cs="宋体"/>
                <w:color w:val="auto"/>
                <w:sz w:val="24"/>
                <w:szCs w:val="24"/>
                <w:highlight w:val="none"/>
              </w:rPr>
              <w:t>）</w:t>
            </w:r>
          </w:p>
        </w:tc>
        <w:tc>
          <w:tcPr>
            <w:tcW w:w="4984" w:type="dxa"/>
            <w:vMerge w:val="continue"/>
            <w:vAlign w:val="center"/>
          </w:tcPr>
          <w:p w14:paraId="033B1393">
            <w:pPr>
              <w:rPr>
                <w:rFonts w:cs="宋体"/>
                <w:b/>
                <w:color w:val="auto"/>
                <w:sz w:val="24"/>
                <w:szCs w:val="24"/>
                <w:highlight w:val="none"/>
              </w:rPr>
            </w:pPr>
          </w:p>
        </w:tc>
      </w:tr>
      <w:tr w14:paraId="710F3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vAlign w:val="center"/>
          </w:tcPr>
          <w:p w14:paraId="4D02F430">
            <w:pPr>
              <w:spacing w:line="480" w:lineRule="atLeast"/>
              <w:jc w:val="center"/>
              <w:rPr>
                <w:rFonts w:cs="宋体"/>
                <w:color w:val="auto"/>
                <w:sz w:val="24"/>
                <w:szCs w:val="24"/>
                <w:highlight w:val="none"/>
              </w:rPr>
            </w:pPr>
          </w:p>
        </w:tc>
        <w:tc>
          <w:tcPr>
            <w:tcW w:w="709" w:type="dxa"/>
            <w:vMerge w:val="continue"/>
            <w:vAlign w:val="center"/>
          </w:tcPr>
          <w:p w14:paraId="3D476B9E">
            <w:pPr>
              <w:rPr>
                <w:rFonts w:cs="宋体"/>
                <w:color w:val="auto"/>
                <w:sz w:val="24"/>
                <w:szCs w:val="24"/>
                <w:highlight w:val="none"/>
              </w:rPr>
            </w:pPr>
          </w:p>
        </w:tc>
        <w:tc>
          <w:tcPr>
            <w:tcW w:w="3118" w:type="dxa"/>
            <w:vAlign w:val="center"/>
          </w:tcPr>
          <w:p w14:paraId="4B4F9EDD">
            <w:pPr>
              <w:rPr>
                <w:rFonts w:cs="宋体"/>
                <w:color w:val="auto"/>
                <w:sz w:val="24"/>
                <w:szCs w:val="24"/>
                <w:highlight w:val="none"/>
              </w:rPr>
            </w:pPr>
            <w:r>
              <w:rPr>
                <w:rFonts w:hint="eastAsia" w:cs="宋体"/>
                <w:color w:val="auto"/>
                <w:sz w:val="24"/>
                <w:szCs w:val="24"/>
                <w:highlight w:val="none"/>
              </w:rPr>
              <w:t>6.法律、行政法规规定的其他条件</w:t>
            </w:r>
          </w:p>
        </w:tc>
        <w:tc>
          <w:tcPr>
            <w:tcW w:w="4984" w:type="dxa"/>
            <w:vAlign w:val="center"/>
          </w:tcPr>
          <w:p w14:paraId="00FE381F">
            <w:pPr>
              <w:rPr>
                <w:rFonts w:cs="宋体"/>
                <w:color w:val="auto"/>
                <w:sz w:val="24"/>
                <w:szCs w:val="24"/>
                <w:highlight w:val="none"/>
              </w:rPr>
            </w:pPr>
          </w:p>
        </w:tc>
      </w:tr>
      <w:tr w14:paraId="41CF9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Align w:val="center"/>
          </w:tcPr>
          <w:p w14:paraId="5CAD0049">
            <w:pPr>
              <w:spacing w:line="480" w:lineRule="atLeast"/>
              <w:jc w:val="center"/>
              <w:rPr>
                <w:rFonts w:cs="宋体"/>
                <w:color w:val="auto"/>
                <w:sz w:val="24"/>
                <w:szCs w:val="24"/>
                <w:highlight w:val="none"/>
              </w:rPr>
            </w:pPr>
            <w:r>
              <w:rPr>
                <w:rFonts w:hint="eastAsia" w:cs="宋体"/>
                <w:color w:val="auto"/>
                <w:sz w:val="24"/>
                <w:szCs w:val="24"/>
                <w:highlight w:val="none"/>
              </w:rPr>
              <w:t>（二）</w:t>
            </w:r>
          </w:p>
        </w:tc>
        <w:tc>
          <w:tcPr>
            <w:tcW w:w="3827" w:type="dxa"/>
            <w:gridSpan w:val="2"/>
            <w:vAlign w:val="center"/>
          </w:tcPr>
          <w:p w14:paraId="1F709141">
            <w:pPr>
              <w:rPr>
                <w:rFonts w:cs="宋体"/>
                <w:color w:val="auto"/>
                <w:sz w:val="24"/>
                <w:szCs w:val="24"/>
                <w:highlight w:val="none"/>
              </w:rPr>
            </w:pPr>
            <w:r>
              <w:rPr>
                <w:rFonts w:hint="eastAsia" w:cs="宋体"/>
                <w:color w:val="auto"/>
                <w:sz w:val="24"/>
                <w:szCs w:val="24"/>
                <w:highlight w:val="none"/>
              </w:rPr>
              <w:t>本项目的特定资格要求</w:t>
            </w:r>
          </w:p>
        </w:tc>
        <w:tc>
          <w:tcPr>
            <w:tcW w:w="4984" w:type="dxa"/>
            <w:vAlign w:val="center"/>
          </w:tcPr>
          <w:p w14:paraId="3BF45DC6">
            <w:pPr>
              <w:rPr>
                <w:rFonts w:cs="宋体"/>
                <w:color w:val="auto"/>
                <w:sz w:val="24"/>
                <w:szCs w:val="24"/>
                <w:highlight w:val="none"/>
              </w:rPr>
            </w:pPr>
            <w:r>
              <w:rPr>
                <w:rFonts w:hint="eastAsia" w:cs="宋体"/>
                <w:color w:val="auto"/>
                <w:sz w:val="24"/>
                <w:szCs w:val="24"/>
                <w:highlight w:val="none"/>
              </w:rPr>
              <w:t>按“第一篇”的要求提交（如果有）。</w:t>
            </w:r>
          </w:p>
        </w:tc>
      </w:tr>
      <w:tr w14:paraId="174AC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Align w:val="center"/>
          </w:tcPr>
          <w:p w14:paraId="0838147A">
            <w:pPr>
              <w:spacing w:line="480" w:lineRule="atLeast"/>
              <w:jc w:val="center"/>
              <w:rPr>
                <w:rFonts w:cs="宋体"/>
                <w:color w:val="auto"/>
                <w:sz w:val="24"/>
                <w:szCs w:val="24"/>
                <w:highlight w:val="none"/>
              </w:rPr>
            </w:pPr>
            <w:r>
              <w:rPr>
                <w:rFonts w:hint="eastAsia" w:cs="宋体"/>
                <w:color w:val="auto"/>
                <w:sz w:val="24"/>
                <w:szCs w:val="24"/>
                <w:highlight w:val="none"/>
              </w:rPr>
              <w:t>（三）</w:t>
            </w:r>
          </w:p>
        </w:tc>
        <w:tc>
          <w:tcPr>
            <w:tcW w:w="3827" w:type="dxa"/>
            <w:gridSpan w:val="2"/>
            <w:vAlign w:val="center"/>
          </w:tcPr>
          <w:p w14:paraId="07B81ED9">
            <w:pPr>
              <w:rPr>
                <w:rFonts w:cs="宋体"/>
                <w:color w:val="auto"/>
                <w:sz w:val="24"/>
                <w:szCs w:val="24"/>
                <w:highlight w:val="none"/>
              </w:rPr>
            </w:pPr>
            <w:r>
              <w:rPr>
                <w:rFonts w:hint="eastAsia" w:cs="宋体"/>
                <w:color w:val="auto"/>
                <w:sz w:val="24"/>
                <w:szCs w:val="24"/>
                <w:highlight w:val="none"/>
              </w:rPr>
              <w:t>竞采保证金</w:t>
            </w:r>
          </w:p>
        </w:tc>
        <w:tc>
          <w:tcPr>
            <w:tcW w:w="4984" w:type="dxa"/>
            <w:vAlign w:val="center"/>
          </w:tcPr>
          <w:p w14:paraId="188B55E3">
            <w:pPr>
              <w:rPr>
                <w:rFonts w:cs="宋体"/>
                <w:color w:val="auto"/>
                <w:sz w:val="24"/>
                <w:szCs w:val="24"/>
                <w:highlight w:val="none"/>
              </w:rPr>
            </w:pPr>
            <w:r>
              <w:rPr>
                <w:rFonts w:hint="eastAsia" w:cs="宋体"/>
                <w:color w:val="auto"/>
                <w:sz w:val="24"/>
                <w:szCs w:val="24"/>
                <w:highlight w:val="none"/>
              </w:rPr>
              <w:t>按“第一篇”的要求提交（如果有）。</w:t>
            </w:r>
          </w:p>
        </w:tc>
      </w:tr>
    </w:tbl>
    <w:p w14:paraId="31A13E5E">
      <w:pPr>
        <w:snapToGrid w:val="0"/>
        <w:spacing w:line="480" w:lineRule="atLeast"/>
        <w:ind w:firstLine="560" w:firstLineChars="200"/>
        <w:rPr>
          <w:rFonts w:cs="宋体"/>
          <w:color w:val="auto"/>
          <w:kern w:val="0"/>
          <w:szCs w:val="28"/>
          <w:highlight w:val="none"/>
        </w:rPr>
      </w:pPr>
      <w:r>
        <w:rPr>
          <w:rFonts w:hint="eastAsia" w:cs="宋体"/>
          <w:color w:val="auto"/>
          <w:kern w:val="0"/>
          <w:szCs w:val="28"/>
          <w:highlight w:val="none"/>
        </w:rPr>
        <w:t>注：</w:t>
      </w:r>
    </w:p>
    <w:p w14:paraId="51C599D4">
      <w:pPr>
        <w:snapToGrid w:val="0"/>
        <w:spacing w:line="480" w:lineRule="atLeast"/>
        <w:ind w:firstLine="420" w:firstLineChars="200"/>
        <w:rPr>
          <w:rFonts w:cs="宋体"/>
          <w:color w:val="auto"/>
          <w:kern w:val="0"/>
          <w:szCs w:val="28"/>
          <w:highlight w:val="none"/>
        </w:rPr>
      </w:pPr>
      <w:r>
        <w:rPr>
          <w:rFonts w:hint="eastAsia" w:cs="宋体"/>
          <w:color w:val="auto"/>
          <w:sz w:val="21"/>
          <w:szCs w:val="21"/>
          <w:highlight w:val="none"/>
        </w:rPr>
        <w:fldChar w:fldCharType="begin"/>
      </w:r>
      <w:r>
        <w:rPr>
          <w:rFonts w:hint="eastAsia" w:cs="宋体"/>
          <w:color w:val="auto"/>
          <w:sz w:val="21"/>
          <w:szCs w:val="21"/>
          <w:highlight w:val="none"/>
        </w:rPr>
        <w:instrText xml:space="preserve"> EQ \o\ac(</w:instrText>
      </w:r>
      <w:r>
        <w:rPr>
          <w:rFonts w:hint="eastAsia" w:cs="宋体"/>
          <w:color w:val="auto"/>
          <w:position w:val="-4"/>
          <w:sz w:val="31"/>
          <w:szCs w:val="21"/>
          <w:highlight w:val="none"/>
        </w:rPr>
        <w:instrText xml:space="preserve">○</w:instrText>
      </w:r>
      <w:r>
        <w:rPr>
          <w:rFonts w:hint="eastAsia" w:cs="宋体"/>
          <w:color w:val="auto"/>
          <w:sz w:val="21"/>
          <w:szCs w:val="21"/>
          <w:highlight w:val="none"/>
        </w:rPr>
        <w:instrText xml:space="preserve">,1)</w:instrText>
      </w:r>
      <w:r>
        <w:rPr>
          <w:rFonts w:hint="eastAsia" w:cs="宋体"/>
          <w:color w:val="auto"/>
          <w:sz w:val="21"/>
          <w:szCs w:val="21"/>
          <w:highlight w:val="none"/>
        </w:rPr>
        <w:fldChar w:fldCharType="end"/>
      </w:r>
      <w:r>
        <w:rPr>
          <w:rFonts w:hint="eastAsia" w:cs="宋体"/>
          <w:color w:val="auto"/>
          <w:kern w:val="0"/>
          <w:szCs w:val="28"/>
          <w:highlight w:val="none"/>
        </w:rPr>
        <w:t>“参加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lt;中华人民共和国政府采购法实施条例&gt;第十九条第一款“较大数额罚款”具体适用问题的意见》（财库〔2022〕3号）执行。供应商可于竞采截止日期前通过 “信用中国”网站(www.creditchina.gov.cn)、"中国政府采购网"(www.ccgp.gov.cn)等渠道查询信用记录。</w:t>
      </w:r>
    </w:p>
    <w:p w14:paraId="136981F6">
      <w:pPr>
        <w:snapToGrid w:val="0"/>
        <w:spacing w:line="480" w:lineRule="atLeast"/>
        <w:ind w:firstLine="562" w:firstLineChars="200"/>
        <w:rPr>
          <w:rFonts w:cs="宋体"/>
          <w:b/>
          <w:color w:val="auto"/>
          <w:szCs w:val="28"/>
          <w:highlight w:val="none"/>
        </w:rPr>
      </w:pPr>
      <w:r>
        <w:rPr>
          <w:rFonts w:hint="eastAsia" w:cs="宋体"/>
          <w:b/>
          <w:color w:val="auto"/>
          <w:szCs w:val="28"/>
          <w:highlight w:val="none"/>
        </w:rPr>
        <w:t>（二）符合性审查</w:t>
      </w:r>
    </w:p>
    <w:p w14:paraId="57AA07F9">
      <w:pPr>
        <w:snapToGrid w:val="0"/>
        <w:spacing w:line="480" w:lineRule="atLeast"/>
        <w:ind w:firstLine="560" w:firstLineChars="200"/>
        <w:rPr>
          <w:rFonts w:cs="宋体"/>
          <w:color w:val="auto"/>
          <w:kern w:val="0"/>
          <w:szCs w:val="28"/>
          <w:highlight w:val="none"/>
        </w:rPr>
      </w:pPr>
      <w:r>
        <w:rPr>
          <w:rFonts w:hint="eastAsia" w:cs="宋体"/>
          <w:color w:val="auto"/>
          <w:kern w:val="0"/>
          <w:szCs w:val="28"/>
          <w:highlight w:val="none"/>
        </w:rPr>
        <w:t>评审小组应当对符合资格的供应商的响应文件进行符合性审查，以确定其是否满足竞采文件的实质性要求。符合性审查资料表如下：</w:t>
      </w:r>
    </w:p>
    <w:tbl>
      <w:tblPr>
        <w:tblStyle w:val="2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5"/>
        <w:gridCol w:w="1460"/>
        <w:gridCol w:w="1742"/>
        <w:gridCol w:w="5822"/>
      </w:tblGrid>
      <w:tr w14:paraId="18FD1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19" w:type="pct"/>
            <w:vAlign w:val="center"/>
          </w:tcPr>
          <w:p w14:paraId="37132A99">
            <w:pPr>
              <w:jc w:val="center"/>
              <w:rPr>
                <w:rFonts w:cs="宋体"/>
                <w:b/>
                <w:color w:val="auto"/>
                <w:kern w:val="0"/>
                <w:sz w:val="24"/>
                <w:szCs w:val="24"/>
                <w:highlight w:val="none"/>
              </w:rPr>
            </w:pPr>
            <w:r>
              <w:rPr>
                <w:rFonts w:hint="eastAsia" w:cs="宋体"/>
                <w:b/>
                <w:color w:val="auto"/>
                <w:kern w:val="0"/>
                <w:sz w:val="24"/>
                <w:szCs w:val="24"/>
                <w:highlight w:val="none"/>
              </w:rPr>
              <w:t>序号</w:t>
            </w:r>
          </w:p>
        </w:tc>
        <w:tc>
          <w:tcPr>
            <w:tcW w:w="1625" w:type="pct"/>
            <w:gridSpan w:val="2"/>
            <w:vAlign w:val="center"/>
          </w:tcPr>
          <w:p w14:paraId="2D9DA3A4">
            <w:pPr>
              <w:jc w:val="center"/>
              <w:rPr>
                <w:rFonts w:cs="宋体"/>
                <w:b/>
                <w:color w:val="auto"/>
                <w:kern w:val="0"/>
                <w:sz w:val="24"/>
                <w:szCs w:val="24"/>
                <w:highlight w:val="none"/>
              </w:rPr>
            </w:pPr>
            <w:r>
              <w:rPr>
                <w:rFonts w:hint="eastAsia" w:cs="宋体"/>
                <w:b/>
                <w:color w:val="auto"/>
                <w:kern w:val="0"/>
                <w:sz w:val="24"/>
                <w:szCs w:val="24"/>
                <w:highlight w:val="none"/>
              </w:rPr>
              <w:t>评审因素</w:t>
            </w:r>
          </w:p>
        </w:tc>
        <w:tc>
          <w:tcPr>
            <w:tcW w:w="2955" w:type="pct"/>
            <w:vAlign w:val="center"/>
          </w:tcPr>
          <w:p w14:paraId="45E36471">
            <w:pPr>
              <w:jc w:val="center"/>
              <w:rPr>
                <w:rFonts w:cs="宋体"/>
                <w:b/>
                <w:color w:val="auto"/>
                <w:kern w:val="0"/>
                <w:sz w:val="24"/>
                <w:szCs w:val="24"/>
                <w:highlight w:val="none"/>
              </w:rPr>
            </w:pPr>
            <w:r>
              <w:rPr>
                <w:rFonts w:hint="eastAsia" w:cs="宋体"/>
                <w:b/>
                <w:color w:val="auto"/>
                <w:kern w:val="0"/>
                <w:sz w:val="24"/>
                <w:szCs w:val="24"/>
                <w:highlight w:val="none"/>
              </w:rPr>
              <w:t>评审标准</w:t>
            </w:r>
          </w:p>
        </w:tc>
      </w:tr>
      <w:tr w14:paraId="39BAE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trPr>
        <w:tc>
          <w:tcPr>
            <w:tcW w:w="419" w:type="pct"/>
            <w:vMerge w:val="restart"/>
            <w:vAlign w:val="center"/>
          </w:tcPr>
          <w:p w14:paraId="213116CC">
            <w:pPr>
              <w:jc w:val="center"/>
              <w:rPr>
                <w:rFonts w:cs="宋体"/>
                <w:color w:val="auto"/>
                <w:kern w:val="0"/>
                <w:sz w:val="24"/>
                <w:szCs w:val="24"/>
                <w:highlight w:val="none"/>
              </w:rPr>
            </w:pPr>
            <w:r>
              <w:rPr>
                <w:rFonts w:hint="eastAsia" w:cs="宋体"/>
                <w:color w:val="auto"/>
                <w:kern w:val="0"/>
                <w:sz w:val="24"/>
                <w:szCs w:val="24"/>
                <w:highlight w:val="none"/>
              </w:rPr>
              <w:t>1</w:t>
            </w:r>
          </w:p>
        </w:tc>
        <w:tc>
          <w:tcPr>
            <w:tcW w:w="741" w:type="pct"/>
            <w:vMerge w:val="restart"/>
            <w:vAlign w:val="center"/>
          </w:tcPr>
          <w:p w14:paraId="04C5B97A">
            <w:pPr>
              <w:rPr>
                <w:rFonts w:cs="宋体"/>
                <w:color w:val="auto"/>
                <w:kern w:val="0"/>
                <w:sz w:val="24"/>
                <w:szCs w:val="24"/>
                <w:highlight w:val="none"/>
              </w:rPr>
            </w:pPr>
            <w:r>
              <w:rPr>
                <w:rFonts w:hint="eastAsia" w:cs="宋体"/>
                <w:color w:val="auto"/>
                <w:kern w:val="0"/>
                <w:sz w:val="24"/>
                <w:szCs w:val="24"/>
                <w:highlight w:val="none"/>
              </w:rPr>
              <w:t>有效性审查</w:t>
            </w:r>
          </w:p>
        </w:tc>
        <w:tc>
          <w:tcPr>
            <w:tcW w:w="883" w:type="pct"/>
            <w:vAlign w:val="center"/>
          </w:tcPr>
          <w:p w14:paraId="2DEDE594">
            <w:pPr>
              <w:rPr>
                <w:rFonts w:cs="宋体"/>
                <w:color w:val="auto"/>
                <w:kern w:val="0"/>
                <w:sz w:val="24"/>
                <w:szCs w:val="24"/>
                <w:highlight w:val="none"/>
              </w:rPr>
            </w:pPr>
            <w:r>
              <w:rPr>
                <w:rFonts w:hint="eastAsia" w:cs="宋体"/>
                <w:color w:val="auto"/>
                <w:sz w:val="24"/>
                <w:szCs w:val="24"/>
                <w:highlight w:val="none"/>
              </w:rPr>
              <w:t>响应文件签署或盖章</w:t>
            </w:r>
          </w:p>
        </w:tc>
        <w:tc>
          <w:tcPr>
            <w:tcW w:w="2955" w:type="pct"/>
            <w:vAlign w:val="center"/>
          </w:tcPr>
          <w:p w14:paraId="48EAE672">
            <w:pPr>
              <w:rPr>
                <w:rFonts w:cs="宋体"/>
                <w:color w:val="auto"/>
                <w:kern w:val="0"/>
                <w:sz w:val="24"/>
                <w:szCs w:val="24"/>
                <w:highlight w:val="none"/>
              </w:rPr>
            </w:pPr>
            <w:r>
              <w:rPr>
                <w:rFonts w:hint="eastAsia" w:cs="宋体"/>
                <w:color w:val="auto"/>
                <w:sz w:val="24"/>
                <w:szCs w:val="24"/>
                <w:highlight w:val="none"/>
              </w:rPr>
              <w:t>响应文件上法定代表人（或其授权代表）的签署或盖章齐全。</w:t>
            </w:r>
          </w:p>
        </w:tc>
      </w:tr>
      <w:tr w14:paraId="7F248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419" w:type="pct"/>
            <w:vMerge w:val="continue"/>
            <w:vAlign w:val="center"/>
          </w:tcPr>
          <w:p w14:paraId="2B43A0CA">
            <w:pPr>
              <w:jc w:val="center"/>
              <w:rPr>
                <w:rFonts w:cs="宋体"/>
                <w:color w:val="auto"/>
                <w:kern w:val="0"/>
                <w:sz w:val="24"/>
                <w:szCs w:val="24"/>
                <w:highlight w:val="none"/>
              </w:rPr>
            </w:pPr>
          </w:p>
        </w:tc>
        <w:tc>
          <w:tcPr>
            <w:tcW w:w="741" w:type="pct"/>
            <w:vMerge w:val="continue"/>
            <w:vAlign w:val="center"/>
          </w:tcPr>
          <w:p w14:paraId="05213CB8">
            <w:pPr>
              <w:rPr>
                <w:rFonts w:cs="宋体"/>
                <w:color w:val="auto"/>
                <w:kern w:val="0"/>
                <w:sz w:val="24"/>
                <w:szCs w:val="24"/>
                <w:highlight w:val="none"/>
              </w:rPr>
            </w:pPr>
          </w:p>
        </w:tc>
        <w:tc>
          <w:tcPr>
            <w:tcW w:w="883" w:type="pct"/>
            <w:vAlign w:val="center"/>
          </w:tcPr>
          <w:p w14:paraId="4C9DF0F8">
            <w:pPr>
              <w:rPr>
                <w:rFonts w:cs="宋体"/>
                <w:color w:val="auto"/>
                <w:sz w:val="24"/>
                <w:szCs w:val="24"/>
                <w:highlight w:val="none"/>
                <w:lang w:val="zh-CN"/>
              </w:rPr>
            </w:pPr>
            <w:r>
              <w:rPr>
                <w:rFonts w:hint="eastAsia" w:cs="宋体"/>
                <w:color w:val="auto"/>
                <w:sz w:val="24"/>
                <w:szCs w:val="24"/>
                <w:highlight w:val="none"/>
              </w:rPr>
              <w:t>响应</w:t>
            </w:r>
            <w:r>
              <w:rPr>
                <w:rFonts w:hint="eastAsia" w:cs="宋体"/>
                <w:color w:val="auto"/>
                <w:sz w:val="24"/>
                <w:szCs w:val="24"/>
                <w:highlight w:val="none"/>
                <w:lang w:val="zh-CN"/>
              </w:rPr>
              <w:t>方案</w:t>
            </w:r>
          </w:p>
        </w:tc>
        <w:tc>
          <w:tcPr>
            <w:tcW w:w="2955" w:type="pct"/>
            <w:vAlign w:val="center"/>
          </w:tcPr>
          <w:p w14:paraId="3C9CFB3A">
            <w:pPr>
              <w:rPr>
                <w:rFonts w:cs="宋体"/>
                <w:color w:val="auto"/>
                <w:kern w:val="0"/>
                <w:sz w:val="24"/>
                <w:szCs w:val="24"/>
                <w:highlight w:val="none"/>
              </w:rPr>
            </w:pPr>
            <w:r>
              <w:rPr>
                <w:rFonts w:hint="eastAsia" w:cs="宋体"/>
                <w:color w:val="auto"/>
                <w:sz w:val="24"/>
                <w:szCs w:val="24"/>
                <w:highlight w:val="none"/>
                <w:lang w:val="zh-CN"/>
              </w:rPr>
              <w:t>每个包只能有一个</w:t>
            </w:r>
            <w:r>
              <w:rPr>
                <w:rFonts w:hint="eastAsia" w:cs="宋体"/>
                <w:color w:val="auto"/>
                <w:sz w:val="24"/>
                <w:szCs w:val="24"/>
                <w:highlight w:val="none"/>
              </w:rPr>
              <w:t>响应</w:t>
            </w:r>
            <w:r>
              <w:rPr>
                <w:rFonts w:hint="eastAsia" w:cs="宋体"/>
                <w:color w:val="auto"/>
                <w:sz w:val="24"/>
                <w:szCs w:val="24"/>
                <w:highlight w:val="none"/>
                <w:lang w:val="zh-CN"/>
              </w:rPr>
              <w:t>方案。</w:t>
            </w:r>
          </w:p>
        </w:tc>
      </w:tr>
      <w:tr w14:paraId="6A7CF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trPr>
        <w:tc>
          <w:tcPr>
            <w:tcW w:w="419" w:type="pct"/>
            <w:vMerge w:val="continue"/>
            <w:vAlign w:val="center"/>
          </w:tcPr>
          <w:p w14:paraId="0753999B">
            <w:pPr>
              <w:jc w:val="center"/>
              <w:rPr>
                <w:rFonts w:cs="宋体"/>
                <w:color w:val="auto"/>
                <w:kern w:val="0"/>
                <w:sz w:val="24"/>
                <w:szCs w:val="24"/>
                <w:highlight w:val="none"/>
              </w:rPr>
            </w:pPr>
          </w:p>
        </w:tc>
        <w:tc>
          <w:tcPr>
            <w:tcW w:w="741" w:type="pct"/>
            <w:vMerge w:val="continue"/>
            <w:vAlign w:val="center"/>
          </w:tcPr>
          <w:p w14:paraId="178EEA15">
            <w:pPr>
              <w:rPr>
                <w:rFonts w:cs="宋体"/>
                <w:color w:val="auto"/>
                <w:kern w:val="0"/>
                <w:sz w:val="24"/>
                <w:szCs w:val="24"/>
                <w:highlight w:val="none"/>
              </w:rPr>
            </w:pPr>
          </w:p>
        </w:tc>
        <w:tc>
          <w:tcPr>
            <w:tcW w:w="883" w:type="pct"/>
            <w:vAlign w:val="center"/>
          </w:tcPr>
          <w:p w14:paraId="24F24493">
            <w:pPr>
              <w:rPr>
                <w:rFonts w:cs="宋体"/>
                <w:color w:val="auto"/>
                <w:sz w:val="24"/>
                <w:szCs w:val="24"/>
                <w:highlight w:val="none"/>
                <w:lang w:val="zh-CN"/>
              </w:rPr>
            </w:pPr>
            <w:r>
              <w:rPr>
                <w:rFonts w:hint="eastAsia" w:cs="宋体"/>
                <w:color w:val="auto"/>
                <w:sz w:val="24"/>
                <w:szCs w:val="24"/>
                <w:highlight w:val="none"/>
              </w:rPr>
              <w:t>报价唯一</w:t>
            </w:r>
          </w:p>
        </w:tc>
        <w:tc>
          <w:tcPr>
            <w:tcW w:w="2955" w:type="pct"/>
            <w:vAlign w:val="center"/>
          </w:tcPr>
          <w:p w14:paraId="1ADD2CA1">
            <w:pPr>
              <w:rPr>
                <w:rFonts w:cs="宋体"/>
                <w:color w:val="auto"/>
                <w:kern w:val="0"/>
                <w:sz w:val="24"/>
                <w:szCs w:val="24"/>
                <w:highlight w:val="none"/>
              </w:rPr>
            </w:pPr>
            <w:r>
              <w:rPr>
                <w:rFonts w:hint="eastAsia" w:cs="宋体"/>
                <w:color w:val="auto"/>
                <w:sz w:val="24"/>
                <w:szCs w:val="24"/>
                <w:highlight w:val="none"/>
                <w:lang w:val="zh-CN"/>
              </w:rPr>
              <w:t>在规定限价内报价；</w:t>
            </w:r>
            <w:r>
              <w:rPr>
                <w:rFonts w:hint="eastAsia" w:cs="宋体"/>
                <w:color w:val="auto"/>
                <w:sz w:val="24"/>
                <w:szCs w:val="24"/>
                <w:highlight w:val="none"/>
              </w:rPr>
              <w:t>只能有一个有效报价，不得提交选择性报价；出现非否决因素的计价错误的，按照“第五篇”规定的修正方式进行修正。</w:t>
            </w:r>
          </w:p>
        </w:tc>
      </w:tr>
      <w:tr w14:paraId="00BAD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419" w:type="pct"/>
            <w:vAlign w:val="center"/>
          </w:tcPr>
          <w:p w14:paraId="65DE9410">
            <w:pPr>
              <w:jc w:val="center"/>
              <w:rPr>
                <w:rFonts w:cs="宋体"/>
                <w:color w:val="auto"/>
                <w:kern w:val="0"/>
                <w:sz w:val="24"/>
                <w:szCs w:val="24"/>
                <w:highlight w:val="none"/>
              </w:rPr>
            </w:pPr>
            <w:r>
              <w:rPr>
                <w:rFonts w:hint="eastAsia" w:cs="宋体"/>
                <w:color w:val="auto"/>
                <w:kern w:val="0"/>
                <w:sz w:val="24"/>
                <w:szCs w:val="24"/>
                <w:highlight w:val="none"/>
              </w:rPr>
              <w:t>2</w:t>
            </w:r>
          </w:p>
        </w:tc>
        <w:tc>
          <w:tcPr>
            <w:tcW w:w="741" w:type="pct"/>
            <w:vAlign w:val="center"/>
          </w:tcPr>
          <w:p w14:paraId="34610F3B">
            <w:pPr>
              <w:rPr>
                <w:rFonts w:cs="宋体"/>
                <w:color w:val="auto"/>
                <w:kern w:val="0"/>
                <w:sz w:val="24"/>
                <w:szCs w:val="24"/>
                <w:highlight w:val="none"/>
              </w:rPr>
            </w:pPr>
            <w:r>
              <w:rPr>
                <w:rFonts w:hint="eastAsia" w:cs="宋体"/>
                <w:color w:val="auto"/>
                <w:kern w:val="0"/>
                <w:sz w:val="24"/>
                <w:szCs w:val="24"/>
                <w:highlight w:val="none"/>
              </w:rPr>
              <w:t>完整性审查</w:t>
            </w:r>
          </w:p>
        </w:tc>
        <w:tc>
          <w:tcPr>
            <w:tcW w:w="883" w:type="pct"/>
            <w:vAlign w:val="center"/>
          </w:tcPr>
          <w:p w14:paraId="419ADEB3">
            <w:pPr>
              <w:rPr>
                <w:rFonts w:cs="宋体"/>
                <w:color w:val="auto"/>
                <w:kern w:val="0"/>
                <w:sz w:val="24"/>
                <w:szCs w:val="24"/>
                <w:highlight w:val="none"/>
              </w:rPr>
            </w:pPr>
            <w:r>
              <w:rPr>
                <w:rFonts w:hint="eastAsia" w:cs="宋体"/>
                <w:color w:val="auto"/>
                <w:sz w:val="24"/>
                <w:szCs w:val="24"/>
                <w:highlight w:val="none"/>
                <w:lang w:val="zh-CN"/>
              </w:rPr>
              <w:t>响应文件份数</w:t>
            </w:r>
          </w:p>
        </w:tc>
        <w:tc>
          <w:tcPr>
            <w:tcW w:w="2955" w:type="pct"/>
            <w:vAlign w:val="center"/>
          </w:tcPr>
          <w:p w14:paraId="29D3D37B">
            <w:pPr>
              <w:rPr>
                <w:rFonts w:cs="宋体"/>
                <w:color w:val="auto"/>
                <w:kern w:val="0"/>
                <w:sz w:val="24"/>
                <w:szCs w:val="24"/>
                <w:highlight w:val="none"/>
              </w:rPr>
            </w:pPr>
            <w:r>
              <w:rPr>
                <w:rFonts w:hint="eastAsia" w:cs="宋体"/>
                <w:color w:val="auto"/>
                <w:sz w:val="24"/>
                <w:szCs w:val="24"/>
                <w:highlight w:val="none"/>
              </w:rPr>
              <w:t>满足竞采文件的规定</w:t>
            </w:r>
            <w:r>
              <w:rPr>
                <w:rFonts w:hint="eastAsia" w:cs="宋体"/>
                <w:color w:val="auto"/>
                <w:sz w:val="24"/>
                <w:szCs w:val="24"/>
                <w:highlight w:val="none"/>
                <w:lang w:val="zh-CN"/>
              </w:rPr>
              <w:t>。</w:t>
            </w:r>
          </w:p>
        </w:tc>
      </w:tr>
      <w:tr w14:paraId="0BCDD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419" w:type="pct"/>
            <w:vAlign w:val="center"/>
          </w:tcPr>
          <w:p w14:paraId="7559D15F">
            <w:pPr>
              <w:jc w:val="center"/>
              <w:rPr>
                <w:rFonts w:cs="宋体"/>
                <w:color w:val="auto"/>
                <w:kern w:val="0"/>
                <w:sz w:val="24"/>
                <w:szCs w:val="24"/>
                <w:highlight w:val="none"/>
              </w:rPr>
            </w:pPr>
            <w:r>
              <w:rPr>
                <w:rFonts w:hint="eastAsia" w:cs="宋体"/>
                <w:color w:val="auto"/>
                <w:kern w:val="0"/>
                <w:sz w:val="24"/>
                <w:szCs w:val="24"/>
                <w:highlight w:val="none"/>
              </w:rPr>
              <w:t>3</w:t>
            </w:r>
          </w:p>
        </w:tc>
        <w:tc>
          <w:tcPr>
            <w:tcW w:w="741" w:type="pct"/>
            <w:vAlign w:val="center"/>
          </w:tcPr>
          <w:p w14:paraId="3ED9B73C">
            <w:pPr>
              <w:rPr>
                <w:rFonts w:cs="宋体"/>
                <w:color w:val="auto"/>
                <w:kern w:val="0"/>
                <w:sz w:val="24"/>
                <w:szCs w:val="24"/>
                <w:highlight w:val="none"/>
              </w:rPr>
            </w:pPr>
            <w:r>
              <w:rPr>
                <w:rFonts w:hint="eastAsia" w:cs="宋体"/>
                <w:color w:val="auto"/>
                <w:kern w:val="0"/>
                <w:sz w:val="24"/>
                <w:szCs w:val="24"/>
                <w:highlight w:val="none"/>
              </w:rPr>
              <w:t>服务部分</w:t>
            </w:r>
          </w:p>
        </w:tc>
        <w:tc>
          <w:tcPr>
            <w:tcW w:w="883" w:type="pct"/>
            <w:vAlign w:val="center"/>
          </w:tcPr>
          <w:p w14:paraId="78785728">
            <w:pPr>
              <w:rPr>
                <w:rFonts w:cs="宋体"/>
                <w:color w:val="auto"/>
                <w:kern w:val="0"/>
                <w:sz w:val="24"/>
                <w:szCs w:val="24"/>
                <w:highlight w:val="none"/>
              </w:rPr>
            </w:pPr>
            <w:r>
              <w:rPr>
                <w:rFonts w:hint="eastAsia" w:cs="宋体"/>
                <w:color w:val="auto"/>
                <w:kern w:val="0"/>
                <w:sz w:val="24"/>
                <w:szCs w:val="24"/>
                <w:highlight w:val="none"/>
              </w:rPr>
              <w:t>响应文件内容</w:t>
            </w:r>
          </w:p>
        </w:tc>
        <w:tc>
          <w:tcPr>
            <w:tcW w:w="2955" w:type="pct"/>
            <w:vAlign w:val="center"/>
          </w:tcPr>
          <w:p w14:paraId="73C720DB">
            <w:pPr>
              <w:rPr>
                <w:rFonts w:cs="宋体"/>
                <w:color w:val="auto"/>
                <w:kern w:val="0"/>
                <w:sz w:val="24"/>
                <w:szCs w:val="24"/>
                <w:highlight w:val="none"/>
              </w:rPr>
            </w:pPr>
            <w:r>
              <w:rPr>
                <w:rFonts w:hint="eastAsia" w:cs="宋体"/>
                <w:color w:val="auto"/>
                <w:kern w:val="0"/>
                <w:sz w:val="24"/>
                <w:szCs w:val="24"/>
                <w:highlight w:val="none"/>
              </w:rPr>
              <w:t>本竞采文件第二篇</w:t>
            </w:r>
            <w:r>
              <w:rPr>
                <w:rFonts w:hint="eastAsia" w:ascii="宋体" w:hAnsi="宋体" w:cs="仿宋"/>
                <w:color w:val="auto"/>
                <w:sz w:val="24"/>
                <w:szCs w:val="24"/>
                <w:highlight w:val="none"/>
              </w:rPr>
              <w:t>※</w:t>
            </w:r>
            <w:r>
              <w:rPr>
                <w:rFonts w:hint="eastAsia" w:cs="宋体"/>
                <w:color w:val="auto"/>
                <w:kern w:val="0"/>
                <w:sz w:val="24"/>
                <w:szCs w:val="24"/>
                <w:highlight w:val="none"/>
              </w:rPr>
              <w:t>内容。</w:t>
            </w:r>
          </w:p>
        </w:tc>
      </w:tr>
      <w:tr w14:paraId="392AA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419" w:type="pct"/>
            <w:vAlign w:val="center"/>
          </w:tcPr>
          <w:p w14:paraId="4A27EB56">
            <w:pPr>
              <w:jc w:val="center"/>
              <w:rPr>
                <w:rFonts w:cs="宋体"/>
                <w:color w:val="auto"/>
                <w:kern w:val="0"/>
                <w:sz w:val="24"/>
                <w:szCs w:val="24"/>
                <w:highlight w:val="none"/>
              </w:rPr>
            </w:pPr>
            <w:r>
              <w:rPr>
                <w:rFonts w:hint="eastAsia" w:cs="宋体"/>
                <w:color w:val="auto"/>
                <w:kern w:val="0"/>
                <w:sz w:val="24"/>
                <w:szCs w:val="24"/>
                <w:highlight w:val="none"/>
              </w:rPr>
              <w:t>4</w:t>
            </w:r>
          </w:p>
        </w:tc>
        <w:tc>
          <w:tcPr>
            <w:tcW w:w="741" w:type="pct"/>
            <w:vAlign w:val="center"/>
          </w:tcPr>
          <w:p w14:paraId="6F74D77A">
            <w:pPr>
              <w:rPr>
                <w:rFonts w:cs="宋体"/>
                <w:color w:val="auto"/>
                <w:kern w:val="0"/>
                <w:sz w:val="24"/>
                <w:szCs w:val="24"/>
                <w:highlight w:val="none"/>
              </w:rPr>
            </w:pPr>
            <w:r>
              <w:rPr>
                <w:rFonts w:hint="eastAsia" w:cs="宋体"/>
                <w:color w:val="auto"/>
                <w:kern w:val="0"/>
                <w:sz w:val="24"/>
                <w:szCs w:val="24"/>
                <w:highlight w:val="none"/>
              </w:rPr>
              <w:t>商务部分</w:t>
            </w:r>
          </w:p>
        </w:tc>
        <w:tc>
          <w:tcPr>
            <w:tcW w:w="883" w:type="pct"/>
            <w:vAlign w:val="center"/>
          </w:tcPr>
          <w:p w14:paraId="08DCB350">
            <w:pPr>
              <w:rPr>
                <w:rFonts w:cs="宋体"/>
                <w:color w:val="auto"/>
                <w:kern w:val="0"/>
                <w:sz w:val="24"/>
                <w:szCs w:val="24"/>
                <w:highlight w:val="none"/>
              </w:rPr>
            </w:pPr>
            <w:r>
              <w:rPr>
                <w:rFonts w:hint="eastAsia" w:cs="宋体"/>
                <w:color w:val="auto"/>
                <w:kern w:val="0"/>
                <w:sz w:val="24"/>
                <w:szCs w:val="24"/>
                <w:highlight w:val="none"/>
              </w:rPr>
              <w:t>响应文件内容</w:t>
            </w:r>
          </w:p>
        </w:tc>
        <w:tc>
          <w:tcPr>
            <w:tcW w:w="2955" w:type="pct"/>
            <w:vAlign w:val="center"/>
          </w:tcPr>
          <w:p w14:paraId="48B855C3">
            <w:pPr>
              <w:rPr>
                <w:rFonts w:cs="宋体"/>
                <w:color w:val="auto"/>
                <w:kern w:val="0"/>
                <w:sz w:val="24"/>
                <w:szCs w:val="24"/>
                <w:highlight w:val="none"/>
              </w:rPr>
            </w:pPr>
            <w:r>
              <w:rPr>
                <w:rFonts w:hint="eastAsia" w:cs="宋体"/>
                <w:color w:val="auto"/>
                <w:kern w:val="0"/>
                <w:sz w:val="24"/>
                <w:szCs w:val="24"/>
                <w:highlight w:val="none"/>
              </w:rPr>
              <w:t>本竞采文件第三篇</w:t>
            </w:r>
            <w:r>
              <w:rPr>
                <w:rFonts w:hint="eastAsia" w:ascii="宋体" w:hAnsi="宋体" w:cs="仿宋"/>
                <w:color w:val="auto"/>
                <w:sz w:val="24"/>
                <w:szCs w:val="24"/>
                <w:highlight w:val="none"/>
              </w:rPr>
              <w:t>※</w:t>
            </w:r>
            <w:r>
              <w:rPr>
                <w:rFonts w:hint="eastAsia" w:cs="宋体"/>
                <w:color w:val="auto"/>
                <w:kern w:val="0"/>
                <w:sz w:val="24"/>
                <w:szCs w:val="24"/>
                <w:highlight w:val="none"/>
              </w:rPr>
              <w:t>内容。</w:t>
            </w:r>
          </w:p>
        </w:tc>
      </w:tr>
      <w:tr w14:paraId="77C34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419" w:type="pct"/>
            <w:vAlign w:val="center"/>
          </w:tcPr>
          <w:p w14:paraId="4132FA15">
            <w:pPr>
              <w:jc w:val="center"/>
              <w:rPr>
                <w:rFonts w:cs="宋体"/>
                <w:color w:val="auto"/>
                <w:kern w:val="0"/>
                <w:sz w:val="24"/>
                <w:szCs w:val="24"/>
                <w:highlight w:val="none"/>
              </w:rPr>
            </w:pPr>
            <w:r>
              <w:rPr>
                <w:rFonts w:hint="eastAsia" w:cs="宋体"/>
                <w:color w:val="auto"/>
                <w:kern w:val="0"/>
                <w:sz w:val="24"/>
                <w:szCs w:val="24"/>
                <w:highlight w:val="none"/>
              </w:rPr>
              <w:t>5</w:t>
            </w:r>
          </w:p>
        </w:tc>
        <w:tc>
          <w:tcPr>
            <w:tcW w:w="741" w:type="pct"/>
            <w:vAlign w:val="center"/>
          </w:tcPr>
          <w:p w14:paraId="6BF9FF14">
            <w:pPr>
              <w:rPr>
                <w:rFonts w:cs="宋体"/>
                <w:color w:val="auto"/>
                <w:kern w:val="0"/>
                <w:sz w:val="24"/>
                <w:szCs w:val="24"/>
                <w:highlight w:val="none"/>
              </w:rPr>
            </w:pPr>
            <w:r>
              <w:rPr>
                <w:rFonts w:hint="eastAsia" w:cs="宋体"/>
                <w:color w:val="auto"/>
                <w:kern w:val="0"/>
                <w:sz w:val="24"/>
                <w:szCs w:val="24"/>
                <w:highlight w:val="none"/>
              </w:rPr>
              <w:t>竞采有效期</w:t>
            </w:r>
          </w:p>
        </w:tc>
        <w:tc>
          <w:tcPr>
            <w:tcW w:w="883" w:type="pct"/>
            <w:vAlign w:val="center"/>
          </w:tcPr>
          <w:p w14:paraId="235F7A97">
            <w:pPr>
              <w:rPr>
                <w:rFonts w:cs="宋体"/>
                <w:color w:val="auto"/>
                <w:kern w:val="0"/>
                <w:sz w:val="24"/>
                <w:szCs w:val="24"/>
                <w:highlight w:val="none"/>
              </w:rPr>
            </w:pPr>
            <w:r>
              <w:rPr>
                <w:rFonts w:hint="eastAsia" w:cs="宋体"/>
                <w:color w:val="auto"/>
                <w:kern w:val="0"/>
                <w:sz w:val="24"/>
                <w:szCs w:val="24"/>
                <w:highlight w:val="none"/>
              </w:rPr>
              <w:t>响应文件内容</w:t>
            </w:r>
          </w:p>
        </w:tc>
        <w:tc>
          <w:tcPr>
            <w:tcW w:w="2955" w:type="pct"/>
            <w:vAlign w:val="center"/>
          </w:tcPr>
          <w:p w14:paraId="1068663A">
            <w:pPr>
              <w:rPr>
                <w:rFonts w:cs="宋体"/>
                <w:color w:val="auto"/>
                <w:kern w:val="0"/>
                <w:sz w:val="24"/>
                <w:szCs w:val="24"/>
                <w:highlight w:val="none"/>
              </w:rPr>
            </w:pPr>
            <w:r>
              <w:rPr>
                <w:rFonts w:hint="eastAsia" w:cs="宋体"/>
                <w:color w:val="auto"/>
                <w:kern w:val="0"/>
                <w:sz w:val="24"/>
                <w:szCs w:val="24"/>
                <w:highlight w:val="none"/>
              </w:rPr>
              <w:t>响应文件递交截止时间起90天。</w:t>
            </w:r>
          </w:p>
        </w:tc>
      </w:tr>
    </w:tbl>
    <w:p w14:paraId="04795538">
      <w:pPr>
        <w:pStyle w:val="4"/>
        <w:spacing w:before="192"/>
        <w:ind w:firstLine="562"/>
        <w:rPr>
          <w:rFonts w:ascii="Times New Roman" w:hAnsi="Times New Roman"/>
          <w:color w:val="auto"/>
          <w:highlight w:val="none"/>
        </w:rPr>
      </w:pPr>
      <w:bookmarkStart w:id="109" w:name="_Toc30011"/>
      <w:bookmarkStart w:id="110" w:name="_Toc14824"/>
      <w:bookmarkStart w:id="111" w:name="_Toc27633"/>
      <w:bookmarkStart w:id="112" w:name="_Toc26938"/>
      <w:bookmarkStart w:id="113" w:name="_Toc29140"/>
      <w:bookmarkStart w:id="114" w:name="_Toc5620"/>
      <w:bookmarkStart w:id="115" w:name="_Toc75793519"/>
      <w:bookmarkStart w:id="116" w:name="_Toc16405"/>
      <w:bookmarkStart w:id="117" w:name="_Toc21650"/>
      <w:bookmarkStart w:id="118" w:name="_Toc27015"/>
      <w:bookmarkStart w:id="119" w:name="_Toc28549"/>
      <w:bookmarkStart w:id="120" w:name="_Toc9094"/>
      <w:bookmarkStart w:id="121" w:name="_Toc106030395"/>
      <w:bookmarkStart w:id="122" w:name="_Toc14970"/>
      <w:bookmarkStart w:id="123" w:name="_Toc26796"/>
      <w:bookmarkStart w:id="124" w:name="_Toc20171"/>
      <w:bookmarkStart w:id="125" w:name="_Toc25341"/>
      <w:bookmarkStart w:id="126" w:name="_Toc31997"/>
      <w:bookmarkStart w:id="127" w:name="_Toc28526"/>
      <w:bookmarkStart w:id="128" w:name="_Toc30717"/>
      <w:r>
        <w:rPr>
          <w:rFonts w:hint="eastAsia" w:ascii="Times New Roman" w:hAnsi="Times New Roman"/>
          <w:color w:val="auto"/>
          <w:highlight w:val="none"/>
        </w:rPr>
        <w:t>二、评审方法</w:t>
      </w:r>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p>
    <w:p w14:paraId="7C1233EE">
      <w:pPr>
        <w:snapToGrid w:val="0"/>
        <w:spacing w:line="480" w:lineRule="atLeast"/>
        <w:ind w:firstLine="560" w:firstLineChars="200"/>
        <w:rPr>
          <w:rFonts w:cs="宋体"/>
          <w:color w:val="auto"/>
          <w:kern w:val="0"/>
          <w:szCs w:val="28"/>
          <w:highlight w:val="none"/>
        </w:rPr>
      </w:pPr>
      <w:r>
        <w:rPr>
          <w:rFonts w:hint="eastAsia" w:cs="宋体"/>
          <w:color w:val="auto"/>
          <w:kern w:val="0"/>
          <w:szCs w:val="28"/>
          <w:highlight w:val="none"/>
        </w:rPr>
        <w:t>本项目采用综合评分法进行评审。</w:t>
      </w:r>
    </w:p>
    <w:p w14:paraId="6B0C4486">
      <w:pPr>
        <w:snapToGrid w:val="0"/>
        <w:spacing w:line="480" w:lineRule="atLeast"/>
        <w:ind w:firstLine="560" w:firstLineChars="200"/>
        <w:rPr>
          <w:rFonts w:cs="宋体"/>
          <w:color w:val="auto"/>
          <w:kern w:val="0"/>
          <w:szCs w:val="28"/>
          <w:highlight w:val="none"/>
        </w:rPr>
      </w:pPr>
      <w:r>
        <w:rPr>
          <w:rFonts w:hint="eastAsia" w:cs="宋体"/>
          <w:color w:val="auto"/>
          <w:kern w:val="0"/>
          <w:szCs w:val="28"/>
          <w:highlight w:val="none"/>
        </w:rPr>
        <w:t>综合评分法，是指响应文件满足竞采文件全部实质性要求且按照评审因素的量化指标评审得分最高的供应商为成交候选人的评审方法。供应商总得分为价格、技术、商务等评定因素分别按照相应权重值计算分项得分后相加，满分为100分。</w:t>
      </w:r>
    </w:p>
    <w:p w14:paraId="03D7AAF0">
      <w:pPr>
        <w:snapToGrid w:val="0"/>
        <w:spacing w:line="480" w:lineRule="atLeast"/>
        <w:ind w:firstLine="560" w:firstLineChars="200"/>
        <w:rPr>
          <w:rFonts w:cs="宋体"/>
          <w:color w:val="auto"/>
          <w:szCs w:val="28"/>
          <w:highlight w:val="none"/>
        </w:rPr>
      </w:pPr>
      <w:r>
        <w:rPr>
          <w:rFonts w:hint="eastAsia" w:cs="宋体"/>
          <w:color w:val="auto"/>
          <w:szCs w:val="28"/>
          <w:highlight w:val="none"/>
        </w:rPr>
        <w:t>澄清有关问题。对响应文件中含义不明确、同类问题表述不一致或者有明显文字和计算错误的内容，评审小组可以书面形式（应当由评审小组成员签字）要求供应商作出必要澄清、说明或者纠正。供应商的澄清、说明或者补正应当采用书面形式，由其法定代表人（或其授权代表）签字，其澄清的内容不得超出响应文件的范围或者改变响应文件的实质性内容。</w:t>
      </w:r>
    </w:p>
    <w:p w14:paraId="1EC52114">
      <w:pPr>
        <w:snapToGrid w:val="0"/>
        <w:spacing w:line="480" w:lineRule="atLeast"/>
        <w:ind w:firstLine="562" w:firstLineChars="200"/>
        <w:rPr>
          <w:rFonts w:cs="宋体"/>
          <w:b/>
          <w:bCs/>
          <w:color w:val="auto"/>
          <w:szCs w:val="28"/>
          <w:highlight w:val="none"/>
        </w:rPr>
      </w:pPr>
      <w:r>
        <w:rPr>
          <w:rFonts w:hint="eastAsia" w:cs="宋体"/>
          <w:b/>
          <w:bCs/>
          <w:color w:val="auto"/>
          <w:szCs w:val="28"/>
          <w:highlight w:val="none"/>
        </w:rPr>
        <w:t>评审：</w:t>
      </w:r>
    </w:p>
    <w:p w14:paraId="2531445F">
      <w:pPr>
        <w:snapToGrid w:val="0"/>
        <w:spacing w:line="480" w:lineRule="atLeast"/>
        <w:ind w:firstLine="562" w:firstLineChars="200"/>
        <w:rPr>
          <w:rFonts w:cs="宋体"/>
          <w:color w:val="auto"/>
          <w:szCs w:val="28"/>
          <w:highlight w:val="none"/>
        </w:rPr>
      </w:pPr>
      <w:r>
        <w:rPr>
          <w:rFonts w:hint="eastAsia" w:cs="宋体"/>
          <w:b/>
          <w:bCs/>
          <w:color w:val="auto"/>
          <w:szCs w:val="28"/>
          <w:highlight w:val="none"/>
        </w:rPr>
        <w:t>（一）比较与评价</w:t>
      </w:r>
      <w:r>
        <w:rPr>
          <w:rFonts w:hint="eastAsia" w:cs="宋体"/>
          <w:color w:val="auto"/>
          <w:szCs w:val="28"/>
          <w:highlight w:val="none"/>
        </w:rPr>
        <w:t>。按竞采文件中规定的评审方法和标准，对资格审查和符合性审查合格的响应文件进行商务、技术（或服务）、报价评分。评审小组各成员独立对每个有效供应商（通过资格审查、符合性审查的供应商）的响应文件进行评价、打分，然后由评审小组对各成员打分情况进行核查及复核，个别成员对同一供应商同一评分项的打分偏离较大的，应对供应商的响应文件进行再次核对，确属打分有误的，应及时进行修正。复核后，评审小组汇总每个供应商每项评分因素的得分。</w:t>
      </w:r>
    </w:p>
    <w:p w14:paraId="47674D1E">
      <w:pPr>
        <w:snapToGrid w:val="0"/>
        <w:spacing w:line="480" w:lineRule="atLeast"/>
        <w:ind w:firstLine="562" w:firstLineChars="200"/>
        <w:rPr>
          <w:rFonts w:cs="宋体"/>
          <w:b/>
          <w:bCs/>
          <w:color w:val="auto"/>
          <w:szCs w:val="28"/>
          <w:highlight w:val="none"/>
        </w:rPr>
      </w:pPr>
      <w:r>
        <w:rPr>
          <w:rFonts w:hint="eastAsia" w:cs="宋体"/>
          <w:b/>
          <w:bCs/>
          <w:color w:val="auto"/>
          <w:szCs w:val="28"/>
          <w:highlight w:val="none"/>
        </w:rPr>
        <w:t>（二）推荐成交候选人名单。</w:t>
      </w:r>
    </w:p>
    <w:p w14:paraId="4DB8DBFB">
      <w:pPr>
        <w:snapToGrid w:val="0"/>
        <w:spacing w:line="480" w:lineRule="atLeast"/>
        <w:ind w:firstLine="560" w:firstLineChars="200"/>
        <w:rPr>
          <w:rFonts w:cs="宋体"/>
          <w:color w:val="auto"/>
          <w:szCs w:val="28"/>
          <w:highlight w:val="none"/>
        </w:rPr>
      </w:pPr>
      <w:r>
        <w:rPr>
          <w:rFonts w:hint="eastAsia" w:cs="宋体"/>
          <w:color w:val="auto"/>
          <w:szCs w:val="28"/>
          <w:highlight w:val="none"/>
        </w:rPr>
        <w:t>按评审后得分由高到低的排列顺序推荐综合得分排名</w:t>
      </w:r>
      <w:r>
        <w:rPr>
          <w:rFonts w:hint="eastAsia" w:cs="宋体"/>
          <w:bCs/>
          <w:color w:val="auto"/>
          <w:highlight w:val="none"/>
        </w:rPr>
        <w:t>前三</w:t>
      </w:r>
      <w:r>
        <w:rPr>
          <w:rFonts w:hint="eastAsia" w:cs="宋体"/>
          <w:color w:val="auto"/>
          <w:szCs w:val="28"/>
          <w:highlight w:val="none"/>
        </w:rPr>
        <w:t>的供应商为本项目成交候选人，排名第一的为第一成交候选人。得分相同的，按总报价由低到高顺序排列，得分且总报价相同的并列，但服务部分得分为0分的供应商失去成交候选人资格，仅保留其有效供应商身份。</w:t>
      </w:r>
    </w:p>
    <w:p w14:paraId="2A5D23E9">
      <w:pPr>
        <w:snapToGrid w:val="0"/>
        <w:spacing w:line="480" w:lineRule="atLeast"/>
        <w:ind w:firstLine="560" w:firstLineChars="200"/>
        <w:rPr>
          <w:rFonts w:cs="宋体"/>
          <w:color w:val="auto"/>
          <w:szCs w:val="28"/>
          <w:highlight w:val="none"/>
        </w:rPr>
      </w:pPr>
      <w:r>
        <w:rPr>
          <w:rFonts w:hint="eastAsia" w:cs="宋体"/>
          <w:color w:val="auto"/>
          <w:szCs w:val="28"/>
          <w:highlight w:val="none"/>
        </w:rPr>
        <w:t>成交供应商放弃成交、或者在竞采文件规定的时间内不提交履约保证金</w:t>
      </w:r>
      <w:r>
        <w:rPr>
          <w:rFonts w:hint="eastAsia" w:cs="宋体"/>
          <w:color w:val="auto"/>
          <w:szCs w:val="28"/>
          <w:highlight w:val="none"/>
          <w:lang w:eastAsia="zh-CN"/>
        </w:rPr>
        <w:t>（</w:t>
      </w:r>
      <w:r>
        <w:rPr>
          <w:rFonts w:hint="eastAsia" w:cs="宋体"/>
          <w:color w:val="auto"/>
          <w:szCs w:val="28"/>
          <w:highlight w:val="none"/>
          <w:lang w:val="en-US" w:eastAsia="zh-CN"/>
        </w:rPr>
        <w:t>如有</w:t>
      </w:r>
      <w:r>
        <w:rPr>
          <w:rFonts w:hint="eastAsia" w:cs="宋体"/>
          <w:color w:val="auto"/>
          <w:szCs w:val="28"/>
          <w:highlight w:val="none"/>
          <w:lang w:eastAsia="zh-CN"/>
        </w:rPr>
        <w:t>）</w:t>
      </w:r>
      <w:r>
        <w:rPr>
          <w:rFonts w:hint="eastAsia" w:cs="宋体"/>
          <w:color w:val="auto"/>
          <w:szCs w:val="28"/>
          <w:highlight w:val="none"/>
        </w:rPr>
        <w:t>或不签定合同的，采购人将依序确定第二成交候选人为成交供应商或重新组织竞采。</w:t>
      </w:r>
    </w:p>
    <w:p w14:paraId="52678B7C">
      <w:pPr>
        <w:ind w:firstLine="562" w:firstLineChars="200"/>
        <w:rPr>
          <w:b/>
          <w:bCs/>
          <w:color w:val="auto"/>
          <w:highlight w:val="none"/>
        </w:rPr>
      </w:pPr>
      <w:bookmarkStart w:id="129" w:name="_Toc25919"/>
      <w:bookmarkStart w:id="130" w:name="_Toc20354"/>
      <w:bookmarkStart w:id="131" w:name="_Toc25814"/>
      <w:bookmarkStart w:id="132" w:name="_Toc75793520"/>
      <w:bookmarkStart w:id="133" w:name="_Toc1055"/>
      <w:bookmarkStart w:id="134" w:name="_Toc17116"/>
      <w:bookmarkStart w:id="135" w:name="_Toc371"/>
      <w:bookmarkStart w:id="136" w:name="_Toc267320057"/>
      <w:bookmarkStart w:id="137" w:name="_Toc4511"/>
      <w:bookmarkStart w:id="138" w:name="_Toc17311"/>
      <w:bookmarkStart w:id="139" w:name="_Toc20875"/>
      <w:bookmarkStart w:id="140" w:name="_Toc6342"/>
      <w:bookmarkStart w:id="141" w:name="_Toc15716"/>
      <w:bookmarkStart w:id="142" w:name="_Toc20699"/>
      <w:bookmarkStart w:id="143" w:name="_Toc22772"/>
      <w:bookmarkStart w:id="144" w:name="_Toc20800"/>
      <w:bookmarkStart w:id="145" w:name="_Toc6313"/>
      <w:bookmarkStart w:id="146" w:name="_Toc7999"/>
      <w:bookmarkStart w:id="147" w:name="_Toc106030396"/>
      <w:bookmarkStart w:id="148" w:name="_Toc5799"/>
      <w:bookmarkStart w:id="149" w:name="_Toc19924"/>
      <w:r>
        <w:rPr>
          <w:rFonts w:hint="eastAsia"/>
          <w:b/>
          <w:bCs/>
          <w:color w:val="auto"/>
          <w:highlight w:val="none"/>
        </w:rPr>
        <w:t>三、评审标准</w:t>
      </w:r>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p>
    <w:tbl>
      <w:tblPr>
        <w:tblStyle w:val="26"/>
        <w:tblW w:w="500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E599"/>
        <w:tblLayout w:type="fixed"/>
        <w:tblCellMar>
          <w:top w:w="0" w:type="dxa"/>
          <w:left w:w="108" w:type="dxa"/>
          <w:bottom w:w="0" w:type="dxa"/>
          <w:right w:w="108" w:type="dxa"/>
        </w:tblCellMar>
      </w:tblPr>
      <w:tblGrid>
        <w:gridCol w:w="482"/>
        <w:gridCol w:w="1446"/>
        <w:gridCol w:w="1363"/>
        <w:gridCol w:w="4218"/>
        <w:gridCol w:w="2344"/>
      </w:tblGrid>
      <w:tr w14:paraId="6FC8BB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E599"/>
          <w:tblCellMar>
            <w:top w:w="0" w:type="dxa"/>
            <w:left w:w="108" w:type="dxa"/>
            <w:bottom w:w="0" w:type="dxa"/>
            <w:right w:w="108" w:type="dxa"/>
          </w:tblCellMar>
        </w:tblPrEx>
        <w:trPr>
          <w:trHeight w:val="493" w:hRule="atLeast"/>
          <w:tblHeader/>
          <w:jc w:val="center"/>
        </w:trPr>
        <w:tc>
          <w:tcPr>
            <w:tcW w:w="2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737A4">
            <w:pPr>
              <w:snapToGrid w:val="0"/>
              <w:spacing w:line="324"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序号</w:t>
            </w:r>
          </w:p>
        </w:tc>
        <w:tc>
          <w:tcPr>
            <w:tcW w:w="7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75E40">
            <w:pPr>
              <w:snapToGrid w:val="0"/>
              <w:spacing w:line="324"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评分因素及权重</w:t>
            </w:r>
          </w:p>
        </w:tc>
        <w:tc>
          <w:tcPr>
            <w:tcW w:w="6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FFAB5">
            <w:pPr>
              <w:snapToGrid w:val="0"/>
              <w:spacing w:line="324"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分值</w:t>
            </w:r>
          </w:p>
        </w:tc>
        <w:tc>
          <w:tcPr>
            <w:tcW w:w="2140" w:type="pct"/>
            <w:tcBorders>
              <w:top w:val="single" w:color="000000" w:sz="4" w:space="0"/>
              <w:left w:val="single" w:color="000000" w:sz="4" w:space="0"/>
              <w:bottom w:val="single" w:color="000000" w:sz="4" w:space="0"/>
              <w:right w:val="single" w:color="auto" w:sz="4" w:space="0"/>
            </w:tcBorders>
            <w:shd w:val="clear" w:color="auto" w:fill="FFFFFF"/>
            <w:noWrap/>
            <w:vAlign w:val="center"/>
          </w:tcPr>
          <w:p w14:paraId="1716BACB">
            <w:pPr>
              <w:snapToGrid w:val="0"/>
              <w:spacing w:line="324"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评分标准</w:t>
            </w:r>
          </w:p>
        </w:tc>
        <w:tc>
          <w:tcPr>
            <w:tcW w:w="1189" w:type="pct"/>
            <w:tcBorders>
              <w:top w:val="single" w:color="000000" w:sz="4" w:space="0"/>
              <w:left w:val="single" w:color="000000" w:sz="4" w:space="0"/>
              <w:bottom w:val="single" w:color="000000" w:sz="4" w:space="0"/>
              <w:right w:val="single" w:color="auto" w:sz="4" w:space="0"/>
            </w:tcBorders>
            <w:shd w:val="clear" w:color="auto" w:fill="FFFFFF"/>
            <w:noWrap/>
            <w:vAlign w:val="center"/>
          </w:tcPr>
          <w:p w14:paraId="265A7A3F">
            <w:pPr>
              <w:snapToGrid w:val="0"/>
              <w:spacing w:line="324"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说明</w:t>
            </w:r>
          </w:p>
        </w:tc>
      </w:tr>
      <w:tr w14:paraId="2BCCCF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E599"/>
          <w:tblCellMar>
            <w:top w:w="0" w:type="dxa"/>
            <w:left w:w="108" w:type="dxa"/>
            <w:bottom w:w="0" w:type="dxa"/>
            <w:right w:w="108" w:type="dxa"/>
          </w:tblCellMar>
        </w:tblPrEx>
        <w:trPr>
          <w:trHeight w:val="1936" w:hRule="atLeast"/>
          <w:tblHeader/>
          <w:jc w:val="center"/>
        </w:trPr>
        <w:tc>
          <w:tcPr>
            <w:tcW w:w="24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CE2A4">
            <w:pPr>
              <w:snapToGrid w:val="0"/>
              <w:spacing w:line="324" w:lineRule="auto"/>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7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53E23">
            <w:pPr>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报价</w:t>
            </w:r>
          </w:p>
          <w:p w14:paraId="78F4A243">
            <w:pPr>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（10%）</w:t>
            </w:r>
          </w:p>
        </w:tc>
        <w:tc>
          <w:tcPr>
            <w:tcW w:w="6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97E39">
            <w:pPr>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10分</w:t>
            </w:r>
          </w:p>
        </w:tc>
        <w:tc>
          <w:tcPr>
            <w:tcW w:w="2140" w:type="pct"/>
            <w:tcBorders>
              <w:top w:val="single" w:color="000000" w:sz="4" w:space="0"/>
              <w:left w:val="single" w:color="000000" w:sz="4" w:space="0"/>
              <w:bottom w:val="single" w:color="000000" w:sz="4" w:space="0"/>
              <w:right w:val="single" w:color="auto" w:sz="4" w:space="0"/>
            </w:tcBorders>
            <w:shd w:val="clear" w:color="auto" w:fill="auto"/>
            <w:noWrap/>
            <w:vAlign w:val="center"/>
          </w:tcPr>
          <w:p w14:paraId="127A832F">
            <w:pPr>
              <w:snapToGrid w:val="0"/>
              <w:rPr>
                <w:rFonts w:ascii="宋体" w:hAnsi="宋体" w:cs="宋体"/>
                <w:color w:val="auto"/>
                <w:sz w:val="24"/>
                <w:szCs w:val="24"/>
                <w:highlight w:val="none"/>
              </w:rPr>
            </w:pPr>
            <w:r>
              <w:rPr>
                <w:rFonts w:hint="eastAsia" w:ascii="宋体" w:hAnsi="宋体" w:cs="宋体"/>
                <w:color w:val="auto"/>
                <w:sz w:val="24"/>
                <w:szCs w:val="24"/>
                <w:highlight w:val="none"/>
              </w:rPr>
              <w:t>满足资格要求且报价最低的供应商的价格（折扣）为评审基准价，按照下列公式计算每个供应商的报价得分。</w:t>
            </w:r>
          </w:p>
          <w:p w14:paraId="1872FB7C">
            <w:pPr>
              <w:snapToGrid w:val="0"/>
              <w:rPr>
                <w:rFonts w:ascii="宋体" w:hAnsi="宋体" w:cs="宋体"/>
                <w:color w:val="auto"/>
                <w:sz w:val="24"/>
                <w:szCs w:val="24"/>
                <w:highlight w:val="none"/>
              </w:rPr>
            </w:pPr>
            <w:r>
              <w:rPr>
                <w:rFonts w:hint="eastAsia" w:ascii="宋体" w:hAnsi="宋体" w:cs="宋体"/>
                <w:color w:val="auto"/>
                <w:sz w:val="24"/>
                <w:szCs w:val="24"/>
                <w:highlight w:val="none"/>
              </w:rPr>
              <w:t>采购报价得分＝（评审基准折扣/报价折扣）×价格权重×100。</w:t>
            </w:r>
          </w:p>
        </w:tc>
        <w:tc>
          <w:tcPr>
            <w:tcW w:w="1189" w:type="pct"/>
            <w:tcBorders>
              <w:top w:val="single" w:color="000000" w:sz="4" w:space="0"/>
              <w:left w:val="single" w:color="000000" w:sz="4" w:space="0"/>
              <w:bottom w:val="single" w:color="000000" w:sz="4" w:space="0"/>
              <w:right w:val="single" w:color="auto" w:sz="4" w:space="0"/>
            </w:tcBorders>
            <w:shd w:val="clear" w:color="auto" w:fill="auto"/>
            <w:noWrap/>
            <w:vAlign w:val="center"/>
          </w:tcPr>
          <w:p w14:paraId="5A42DE65">
            <w:pPr>
              <w:snapToGrid w:val="0"/>
              <w:rPr>
                <w:rFonts w:ascii="宋体" w:hAnsi="宋体" w:cs="宋体"/>
                <w:color w:val="auto"/>
                <w:sz w:val="24"/>
                <w:szCs w:val="24"/>
                <w:highlight w:val="none"/>
              </w:rPr>
            </w:pPr>
            <w:r>
              <w:rPr>
                <w:rFonts w:hint="eastAsia" w:ascii="宋体" w:hAnsi="宋体" w:cs="宋体"/>
                <w:color w:val="auto"/>
                <w:sz w:val="24"/>
                <w:szCs w:val="24"/>
                <w:highlight w:val="none"/>
              </w:rPr>
              <w:t>计算结果保留两位小数，第三位四舍五入。</w:t>
            </w:r>
          </w:p>
        </w:tc>
      </w:tr>
      <w:tr w14:paraId="784588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E599"/>
          <w:tblCellMar>
            <w:top w:w="0" w:type="dxa"/>
            <w:left w:w="108" w:type="dxa"/>
            <w:bottom w:w="0" w:type="dxa"/>
            <w:right w:w="108" w:type="dxa"/>
          </w:tblCellMar>
        </w:tblPrEx>
        <w:trPr>
          <w:trHeight w:val="2246" w:hRule="atLeast"/>
          <w:tblHeader/>
          <w:jc w:val="center"/>
        </w:trPr>
        <w:tc>
          <w:tcPr>
            <w:tcW w:w="244" w:type="pct"/>
            <w:vMerge w:val="restart"/>
            <w:tcBorders>
              <w:top w:val="single" w:color="000000" w:sz="4" w:space="0"/>
              <w:left w:val="single" w:color="000000" w:sz="4" w:space="0"/>
              <w:right w:val="single" w:color="000000" w:sz="4" w:space="0"/>
            </w:tcBorders>
            <w:shd w:val="clear" w:color="auto" w:fill="auto"/>
            <w:noWrap/>
            <w:vAlign w:val="center"/>
          </w:tcPr>
          <w:p w14:paraId="24054E71">
            <w:pPr>
              <w:snapToGrid w:val="0"/>
              <w:spacing w:line="324" w:lineRule="auto"/>
              <w:rPr>
                <w:rFonts w:ascii="宋体" w:hAnsi="宋体" w:cs="宋体"/>
                <w:color w:val="auto"/>
                <w:sz w:val="24"/>
                <w:szCs w:val="24"/>
                <w:highlight w:val="none"/>
              </w:rPr>
            </w:pPr>
            <w:r>
              <w:rPr>
                <w:rFonts w:hint="eastAsia" w:ascii="宋体" w:hAnsi="宋体" w:cs="宋体"/>
                <w:color w:val="auto"/>
                <w:sz w:val="24"/>
                <w:szCs w:val="24"/>
                <w:highlight w:val="none"/>
              </w:rPr>
              <w:t>2</w:t>
            </w:r>
          </w:p>
        </w:tc>
        <w:tc>
          <w:tcPr>
            <w:tcW w:w="733" w:type="pct"/>
            <w:vMerge w:val="restart"/>
            <w:tcBorders>
              <w:top w:val="single" w:color="000000" w:sz="4" w:space="0"/>
              <w:left w:val="single" w:color="000000" w:sz="4" w:space="0"/>
              <w:right w:val="single" w:color="000000" w:sz="4" w:space="0"/>
            </w:tcBorders>
            <w:shd w:val="clear" w:color="auto" w:fill="auto"/>
            <w:noWrap/>
            <w:vAlign w:val="center"/>
          </w:tcPr>
          <w:p w14:paraId="52868ECE">
            <w:pPr>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服务部分</w:t>
            </w:r>
          </w:p>
          <w:p w14:paraId="002B28A8">
            <w:pPr>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（50%）</w:t>
            </w:r>
          </w:p>
        </w:tc>
        <w:tc>
          <w:tcPr>
            <w:tcW w:w="691" w:type="pct"/>
            <w:tcBorders>
              <w:top w:val="single" w:color="000000" w:sz="4" w:space="0"/>
              <w:left w:val="single" w:color="000000" w:sz="4" w:space="0"/>
              <w:right w:val="single" w:color="000000" w:sz="4" w:space="0"/>
            </w:tcBorders>
            <w:shd w:val="clear" w:color="auto" w:fill="auto"/>
            <w:noWrap/>
            <w:vAlign w:val="center"/>
          </w:tcPr>
          <w:p w14:paraId="610CA7F7">
            <w:pPr>
              <w:snapToGrid w:val="0"/>
              <w:ind w:firstLine="28"/>
              <w:jc w:val="center"/>
              <w:rPr>
                <w:rFonts w:ascii="宋体" w:hAnsi="宋体" w:cs="宋体"/>
                <w:color w:val="auto"/>
                <w:sz w:val="24"/>
                <w:szCs w:val="24"/>
                <w:highlight w:val="none"/>
              </w:rPr>
            </w:pPr>
            <w:r>
              <w:rPr>
                <w:rFonts w:hint="eastAsia" w:ascii="宋体" w:hAnsi="宋体" w:cs="方正仿宋_GBK"/>
                <w:bCs/>
                <w:color w:val="auto"/>
                <w:sz w:val="24"/>
                <w:szCs w:val="24"/>
                <w:highlight w:val="none"/>
              </w:rPr>
              <w:t>管理制度及服务标准（10分）</w:t>
            </w:r>
          </w:p>
        </w:tc>
        <w:tc>
          <w:tcPr>
            <w:tcW w:w="2140" w:type="pct"/>
            <w:tcBorders>
              <w:top w:val="single" w:color="000000" w:sz="4" w:space="0"/>
              <w:left w:val="single" w:color="000000" w:sz="4" w:space="0"/>
              <w:right w:val="single" w:color="auto" w:sz="4" w:space="0"/>
            </w:tcBorders>
            <w:shd w:val="clear" w:color="auto" w:fill="auto"/>
            <w:noWrap/>
            <w:vAlign w:val="center"/>
          </w:tcPr>
          <w:p w14:paraId="50ADF272">
            <w:pPr>
              <w:snapToGrid w:val="0"/>
              <w:jc w:val="left"/>
              <w:rPr>
                <w:rFonts w:ascii="宋体" w:hAnsi="宋体" w:cs="宋体"/>
                <w:color w:val="auto"/>
                <w:sz w:val="24"/>
                <w:szCs w:val="24"/>
                <w:highlight w:val="none"/>
              </w:rPr>
            </w:pPr>
            <w:r>
              <w:rPr>
                <w:rFonts w:hint="eastAsia" w:ascii="宋体" w:hAnsi="宋体" w:cs="方正仿宋_GBK"/>
                <w:bCs/>
                <w:color w:val="auto"/>
                <w:sz w:val="24"/>
                <w:szCs w:val="24"/>
                <w:highlight w:val="none"/>
              </w:rPr>
              <w:t xml:space="preserve">依据供应商提供的方案管理制度细化、可操作性强进行综合评审，方案优得10分，良得7分，中得4分，差得1分，未提供不得分。                           </w:t>
            </w:r>
          </w:p>
        </w:tc>
        <w:tc>
          <w:tcPr>
            <w:tcW w:w="1189" w:type="pct"/>
            <w:vMerge w:val="restart"/>
            <w:tcBorders>
              <w:top w:val="single" w:color="000000" w:sz="4" w:space="0"/>
              <w:left w:val="single" w:color="000000" w:sz="4" w:space="0"/>
              <w:right w:val="single" w:color="auto" w:sz="4" w:space="0"/>
            </w:tcBorders>
            <w:shd w:val="clear" w:color="auto" w:fill="auto"/>
            <w:noWrap/>
            <w:vAlign w:val="center"/>
          </w:tcPr>
          <w:p w14:paraId="22DEAC7F">
            <w:pPr>
              <w:snapToGrid w:val="0"/>
              <w:rPr>
                <w:rFonts w:ascii="宋体" w:hAnsi="宋体" w:cs="宋体"/>
                <w:color w:val="auto"/>
                <w:sz w:val="24"/>
                <w:szCs w:val="24"/>
                <w:highlight w:val="none"/>
              </w:rPr>
            </w:pPr>
            <w:r>
              <w:rPr>
                <w:rFonts w:hint="eastAsia" w:ascii="宋体" w:hAnsi="宋体" w:cs="宋体"/>
                <w:color w:val="auto"/>
                <w:sz w:val="24"/>
                <w:szCs w:val="24"/>
                <w:highlight w:val="none"/>
              </w:rPr>
              <w:t>所有评审人员打分的平均值为服务部分得分</w:t>
            </w:r>
          </w:p>
        </w:tc>
      </w:tr>
      <w:tr w14:paraId="2D2665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E599"/>
          <w:tblCellMar>
            <w:top w:w="0" w:type="dxa"/>
            <w:left w:w="108" w:type="dxa"/>
            <w:bottom w:w="0" w:type="dxa"/>
            <w:right w:w="108" w:type="dxa"/>
          </w:tblCellMar>
        </w:tblPrEx>
        <w:trPr>
          <w:trHeight w:val="2881" w:hRule="atLeast"/>
          <w:tblHeader/>
          <w:jc w:val="center"/>
        </w:trPr>
        <w:tc>
          <w:tcPr>
            <w:tcW w:w="244" w:type="pct"/>
            <w:vMerge w:val="continue"/>
            <w:tcBorders>
              <w:left w:val="single" w:color="000000" w:sz="4" w:space="0"/>
              <w:right w:val="single" w:color="000000" w:sz="4" w:space="0"/>
            </w:tcBorders>
            <w:shd w:val="clear" w:color="auto" w:fill="auto"/>
            <w:noWrap/>
            <w:vAlign w:val="center"/>
          </w:tcPr>
          <w:p w14:paraId="78FD257B">
            <w:pPr>
              <w:snapToGrid w:val="0"/>
              <w:spacing w:line="324" w:lineRule="auto"/>
              <w:rPr>
                <w:rFonts w:ascii="宋体" w:hAnsi="宋体" w:cs="宋体"/>
                <w:color w:val="auto"/>
                <w:sz w:val="24"/>
                <w:szCs w:val="24"/>
                <w:highlight w:val="none"/>
              </w:rPr>
            </w:pPr>
          </w:p>
        </w:tc>
        <w:tc>
          <w:tcPr>
            <w:tcW w:w="733" w:type="pct"/>
            <w:vMerge w:val="continue"/>
            <w:tcBorders>
              <w:left w:val="single" w:color="000000" w:sz="4" w:space="0"/>
              <w:right w:val="single" w:color="000000" w:sz="4" w:space="0"/>
            </w:tcBorders>
            <w:shd w:val="clear" w:color="auto" w:fill="auto"/>
            <w:noWrap/>
            <w:vAlign w:val="center"/>
          </w:tcPr>
          <w:p w14:paraId="6286BF85">
            <w:pPr>
              <w:snapToGrid w:val="0"/>
              <w:rPr>
                <w:rFonts w:ascii="宋体" w:hAnsi="宋体" w:cs="宋体"/>
                <w:color w:val="auto"/>
                <w:sz w:val="24"/>
                <w:szCs w:val="24"/>
                <w:highlight w:val="none"/>
              </w:rPr>
            </w:pPr>
          </w:p>
        </w:tc>
        <w:tc>
          <w:tcPr>
            <w:tcW w:w="691" w:type="pct"/>
            <w:tcBorders>
              <w:top w:val="single" w:color="000000" w:sz="4" w:space="0"/>
              <w:left w:val="single" w:color="000000" w:sz="4" w:space="0"/>
              <w:right w:val="single" w:color="000000" w:sz="4" w:space="0"/>
            </w:tcBorders>
            <w:shd w:val="clear" w:color="auto" w:fill="auto"/>
            <w:noWrap/>
            <w:vAlign w:val="center"/>
          </w:tcPr>
          <w:p w14:paraId="2CFD629E">
            <w:pPr>
              <w:snapToGrid w:val="0"/>
              <w:ind w:firstLine="28"/>
              <w:jc w:val="center"/>
              <w:rPr>
                <w:rFonts w:ascii="宋体" w:hAnsi="宋体" w:cs="方正仿宋_GBK"/>
                <w:bCs/>
                <w:color w:val="auto"/>
                <w:sz w:val="24"/>
                <w:szCs w:val="24"/>
                <w:highlight w:val="none"/>
              </w:rPr>
            </w:pPr>
            <w:r>
              <w:rPr>
                <w:rFonts w:hint="eastAsia" w:ascii="宋体" w:hAnsi="宋体" w:cs="方正仿宋_GBK"/>
                <w:bCs/>
                <w:color w:val="auto"/>
                <w:sz w:val="24"/>
                <w:szCs w:val="24"/>
                <w:highlight w:val="none"/>
              </w:rPr>
              <w:t>员工培训上岗制度</w:t>
            </w:r>
          </w:p>
          <w:p w14:paraId="6F6A2CC8">
            <w:pPr>
              <w:snapToGrid w:val="0"/>
              <w:ind w:firstLine="28"/>
              <w:jc w:val="center"/>
              <w:rPr>
                <w:rFonts w:ascii="宋体" w:hAnsi="宋体" w:cs="宋体"/>
                <w:color w:val="auto"/>
                <w:sz w:val="24"/>
                <w:szCs w:val="24"/>
                <w:highlight w:val="none"/>
              </w:rPr>
            </w:pPr>
            <w:r>
              <w:rPr>
                <w:rFonts w:hint="eastAsia" w:ascii="宋体" w:hAnsi="宋体" w:cs="方正仿宋_GBK"/>
                <w:bCs/>
                <w:color w:val="auto"/>
                <w:sz w:val="24"/>
                <w:szCs w:val="24"/>
                <w:highlight w:val="none"/>
              </w:rPr>
              <w:t>（10分）</w:t>
            </w:r>
          </w:p>
        </w:tc>
        <w:tc>
          <w:tcPr>
            <w:tcW w:w="2140" w:type="pct"/>
            <w:tcBorders>
              <w:top w:val="single" w:color="000000" w:sz="4" w:space="0"/>
              <w:left w:val="single" w:color="000000" w:sz="4" w:space="0"/>
              <w:right w:val="single" w:color="auto" w:sz="4" w:space="0"/>
            </w:tcBorders>
            <w:shd w:val="clear" w:color="auto" w:fill="auto"/>
            <w:noWrap/>
            <w:vAlign w:val="center"/>
          </w:tcPr>
          <w:p w14:paraId="72719ED2">
            <w:pPr>
              <w:snapToGrid w:val="0"/>
              <w:jc w:val="left"/>
              <w:rPr>
                <w:rFonts w:ascii="宋体" w:hAnsi="宋体" w:cs="宋体"/>
                <w:color w:val="auto"/>
                <w:sz w:val="24"/>
                <w:szCs w:val="24"/>
                <w:highlight w:val="none"/>
              </w:rPr>
            </w:pPr>
            <w:r>
              <w:rPr>
                <w:rFonts w:hint="eastAsia" w:ascii="宋体" w:hAnsi="宋体" w:cs="方正仿宋_GBK"/>
                <w:bCs/>
                <w:color w:val="auto"/>
                <w:sz w:val="24"/>
                <w:szCs w:val="24"/>
                <w:highlight w:val="none"/>
              </w:rPr>
              <w:t>依据供应商针对本项目的员工招募、培训上岗、培养教育、日常管理等制度健全方案切实可行进行综合评审，方案优得10分，良得7分，中得4分，差得1分，未提供不得分。</w:t>
            </w:r>
          </w:p>
        </w:tc>
        <w:tc>
          <w:tcPr>
            <w:tcW w:w="1189" w:type="pct"/>
            <w:vMerge w:val="continue"/>
            <w:tcBorders>
              <w:left w:val="single" w:color="000000" w:sz="4" w:space="0"/>
              <w:right w:val="single" w:color="auto" w:sz="4" w:space="0"/>
            </w:tcBorders>
            <w:shd w:val="clear" w:color="auto" w:fill="auto"/>
            <w:noWrap/>
            <w:vAlign w:val="center"/>
          </w:tcPr>
          <w:p w14:paraId="777FC3B1">
            <w:pPr>
              <w:snapToGrid w:val="0"/>
              <w:rPr>
                <w:rFonts w:ascii="宋体" w:hAnsi="宋体" w:cs="宋体"/>
                <w:color w:val="auto"/>
                <w:sz w:val="24"/>
                <w:szCs w:val="24"/>
                <w:highlight w:val="none"/>
              </w:rPr>
            </w:pPr>
          </w:p>
        </w:tc>
      </w:tr>
      <w:tr w14:paraId="5B3405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E599"/>
          <w:tblCellMar>
            <w:top w:w="0" w:type="dxa"/>
            <w:left w:w="108" w:type="dxa"/>
            <w:bottom w:w="0" w:type="dxa"/>
            <w:right w:w="108" w:type="dxa"/>
          </w:tblCellMar>
        </w:tblPrEx>
        <w:trPr>
          <w:trHeight w:val="894" w:hRule="atLeast"/>
          <w:tblHeader/>
          <w:jc w:val="center"/>
        </w:trPr>
        <w:tc>
          <w:tcPr>
            <w:tcW w:w="244" w:type="pct"/>
            <w:vMerge w:val="continue"/>
            <w:tcBorders>
              <w:top w:val="single" w:color="000000" w:sz="4" w:space="0"/>
              <w:left w:val="single" w:color="000000" w:sz="4" w:space="0"/>
              <w:right w:val="single" w:color="000000" w:sz="4" w:space="0"/>
            </w:tcBorders>
            <w:shd w:val="clear" w:color="auto" w:fill="auto"/>
            <w:noWrap/>
            <w:vAlign w:val="center"/>
          </w:tcPr>
          <w:p w14:paraId="4343448B">
            <w:pPr>
              <w:snapToGrid w:val="0"/>
              <w:spacing w:line="324" w:lineRule="auto"/>
              <w:rPr>
                <w:rFonts w:ascii="宋体" w:hAnsi="宋体" w:cs="宋体"/>
                <w:color w:val="auto"/>
                <w:sz w:val="24"/>
                <w:szCs w:val="24"/>
                <w:highlight w:val="none"/>
              </w:rPr>
            </w:pPr>
          </w:p>
        </w:tc>
        <w:tc>
          <w:tcPr>
            <w:tcW w:w="733" w:type="pct"/>
            <w:vMerge w:val="continue"/>
            <w:tcBorders>
              <w:top w:val="single" w:color="000000" w:sz="4" w:space="0"/>
              <w:left w:val="single" w:color="000000" w:sz="4" w:space="0"/>
              <w:right w:val="single" w:color="000000" w:sz="4" w:space="0"/>
            </w:tcBorders>
            <w:shd w:val="clear" w:color="auto" w:fill="auto"/>
            <w:noWrap/>
            <w:vAlign w:val="center"/>
          </w:tcPr>
          <w:p w14:paraId="1BC2D9F4">
            <w:pPr>
              <w:snapToGrid w:val="0"/>
              <w:rPr>
                <w:rFonts w:ascii="宋体" w:hAnsi="宋体" w:cs="宋体"/>
                <w:color w:val="auto"/>
                <w:sz w:val="24"/>
                <w:szCs w:val="24"/>
                <w:highlight w:val="none"/>
              </w:rPr>
            </w:pPr>
          </w:p>
        </w:tc>
        <w:tc>
          <w:tcPr>
            <w:tcW w:w="691" w:type="pct"/>
            <w:tcBorders>
              <w:left w:val="single" w:color="000000" w:sz="4" w:space="0"/>
              <w:right w:val="single" w:color="000000" w:sz="4" w:space="0"/>
            </w:tcBorders>
            <w:shd w:val="clear" w:color="auto" w:fill="auto"/>
            <w:noWrap/>
            <w:vAlign w:val="center"/>
          </w:tcPr>
          <w:p w14:paraId="345B2CA4">
            <w:pPr>
              <w:snapToGrid w:val="0"/>
              <w:ind w:firstLine="28"/>
              <w:jc w:val="left"/>
              <w:rPr>
                <w:rFonts w:ascii="宋体" w:hAnsi="宋体" w:cs="宋体"/>
                <w:color w:val="auto"/>
                <w:sz w:val="24"/>
                <w:szCs w:val="24"/>
                <w:highlight w:val="none"/>
              </w:rPr>
            </w:pPr>
            <w:r>
              <w:rPr>
                <w:rFonts w:hint="eastAsia" w:ascii="宋体" w:hAnsi="宋体" w:cs="方正仿宋_GBK"/>
                <w:bCs/>
                <w:color w:val="auto"/>
                <w:sz w:val="24"/>
                <w:szCs w:val="24"/>
                <w:highlight w:val="none"/>
              </w:rPr>
              <w:t>服务质量及保障措施（15分）</w:t>
            </w:r>
          </w:p>
        </w:tc>
        <w:tc>
          <w:tcPr>
            <w:tcW w:w="2140" w:type="pct"/>
            <w:tcBorders>
              <w:top w:val="single" w:color="000000" w:sz="4" w:space="0"/>
              <w:left w:val="single" w:color="000000" w:sz="4" w:space="0"/>
              <w:right w:val="single" w:color="auto" w:sz="4" w:space="0"/>
            </w:tcBorders>
            <w:shd w:val="clear" w:color="auto" w:fill="auto"/>
            <w:noWrap/>
            <w:vAlign w:val="center"/>
          </w:tcPr>
          <w:p w14:paraId="34D31BF6">
            <w:pPr>
              <w:numPr>
                <w:ilvl w:val="0"/>
                <w:numId w:val="1"/>
              </w:numPr>
              <w:snapToGrid w:val="0"/>
              <w:ind w:firstLine="28"/>
              <w:jc w:val="left"/>
              <w:rPr>
                <w:rFonts w:ascii="宋体" w:hAnsi="宋体" w:cs="方正仿宋_GBK"/>
                <w:bCs/>
                <w:color w:val="auto"/>
                <w:sz w:val="24"/>
                <w:szCs w:val="24"/>
                <w:highlight w:val="none"/>
              </w:rPr>
            </w:pPr>
            <w:r>
              <w:rPr>
                <w:rFonts w:hint="eastAsia" w:ascii="宋体" w:hAnsi="宋体" w:cs="方正仿宋_GBK"/>
                <w:bCs/>
                <w:color w:val="auto"/>
                <w:sz w:val="24"/>
                <w:szCs w:val="24"/>
                <w:highlight w:val="none"/>
              </w:rPr>
              <w:t>依据供应商提供制定清洁洗涤工作的服务质量保证措施进行考评，主要从工作安排、内部监管、特殊情况（如临时停水、停电等）处理等进行评审。</w:t>
            </w:r>
          </w:p>
          <w:p w14:paraId="3C307AAE">
            <w:pPr>
              <w:snapToGrid w:val="0"/>
              <w:jc w:val="left"/>
              <w:rPr>
                <w:rFonts w:ascii="宋体" w:hAnsi="宋体" w:cs="宋体"/>
                <w:color w:val="auto"/>
                <w:sz w:val="24"/>
                <w:szCs w:val="24"/>
                <w:highlight w:val="none"/>
              </w:rPr>
            </w:pPr>
            <w:r>
              <w:rPr>
                <w:rFonts w:hint="eastAsia" w:ascii="宋体" w:hAnsi="宋体" w:cs="方正仿宋_GBK"/>
                <w:bCs/>
                <w:color w:val="auto"/>
                <w:sz w:val="24"/>
                <w:szCs w:val="24"/>
                <w:highlight w:val="none"/>
              </w:rPr>
              <w:t>方案优得15分，良得11分，中得7分，差得3分，未提供不得分。</w:t>
            </w:r>
          </w:p>
        </w:tc>
        <w:tc>
          <w:tcPr>
            <w:tcW w:w="1189" w:type="pct"/>
            <w:vMerge w:val="continue"/>
            <w:tcBorders>
              <w:left w:val="single" w:color="000000" w:sz="4" w:space="0"/>
              <w:right w:val="single" w:color="auto" w:sz="4" w:space="0"/>
            </w:tcBorders>
            <w:shd w:val="clear" w:color="auto" w:fill="auto"/>
            <w:noWrap/>
            <w:vAlign w:val="center"/>
          </w:tcPr>
          <w:p w14:paraId="68CAC881">
            <w:pPr>
              <w:snapToGrid w:val="0"/>
              <w:rPr>
                <w:rFonts w:ascii="宋体" w:hAnsi="宋体" w:cs="宋体"/>
                <w:color w:val="auto"/>
                <w:sz w:val="24"/>
                <w:szCs w:val="24"/>
                <w:highlight w:val="none"/>
              </w:rPr>
            </w:pPr>
          </w:p>
        </w:tc>
      </w:tr>
      <w:tr w14:paraId="63AA19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E599"/>
          <w:tblCellMar>
            <w:top w:w="0" w:type="dxa"/>
            <w:left w:w="108" w:type="dxa"/>
            <w:bottom w:w="0" w:type="dxa"/>
            <w:right w:w="108" w:type="dxa"/>
          </w:tblCellMar>
        </w:tblPrEx>
        <w:trPr>
          <w:trHeight w:val="1638" w:hRule="atLeast"/>
          <w:tblHeader/>
          <w:jc w:val="center"/>
        </w:trPr>
        <w:tc>
          <w:tcPr>
            <w:tcW w:w="244" w:type="pct"/>
            <w:vMerge w:val="continue"/>
            <w:tcBorders>
              <w:left w:val="single" w:color="000000" w:sz="4" w:space="0"/>
              <w:right w:val="single" w:color="000000" w:sz="4" w:space="0"/>
            </w:tcBorders>
            <w:shd w:val="clear" w:color="auto" w:fill="auto"/>
            <w:noWrap/>
          </w:tcPr>
          <w:p w14:paraId="1E860D88">
            <w:pPr>
              <w:snapToGrid w:val="0"/>
              <w:spacing w:line="324" w:lineRule="auto"/>
              <w:rPr>
                <w:rFonts w:ascii="宋体" w:hAnsi="宋体" w:cs="宋体"/>
                <w:color w:val="auto"/>
                <w:sz w:val="24"/>
                <w:szCs w:val="24"/>
                <w:highlight w:val="none"/>
              </w:rPr>
            </w:pPr>
          </w:p>
        </w:tc>
        <w:tc>
          <w:tcPr>
            <w:tcW w:w="733" w:type="pct"/>
            <w:vMerge w:val="continue"/>
            <w:tcBorders>
              <w:left w:val="single" w:color="000000" w:sz="4" w:space="0"/>
              <w:right w:val="single" w:color="000000" w:sz="4" w:space="0"/>
            </w:tcBorders>
            <w:shd w:val="clear" w:color="auto" w:fill="auto"/>
            <w:noWrap/>
            <w:vAlign w:val="center"/>
          </w:tcPr>
          <w:p w14:paraId="44472466">
            <w:pPr>
              <w:snapToGrid w:val="0"/>
              <w:rPr>
                <w:rFonts w:ascii="宋体" w:hAnsi="宋体" w:cs="宋体"/>
                <w:color w:val="auto"/>
                <w:sz w:val="24"/>
                <w:szCs w:val="24"/>
                <w:highlight w:val="none"/>
              </w:rPr>
            </w:pPr>
          </w:p>
        </w:tc>
        <w:tc>
          <w:tcPr>
            <w:tcW w:w="691" w:type="pct"/>
            <w:tcBorders>
              <w:left w:val="single" w:color="000000" w:sz="4" w:space="0"/>
              <w:right w:val="single" w:color="000000" w:sz="4" w:space="0"/>
            </w:tcBorders>
            <w:shd w:val="clear" w:color="auto" w:fill="auto"/>
            <w:noWrap/>
            <w:vAlign w:val="center"/>
          </w:tcPr>
          <w:p w14:paraId="079E209A">
            <w:pPr>
              <w:snapToGrid w:val="0"/>
              <w:ind w:firstLine="28"/>
              <w:jc w:val="left"/>
              <w:rPr>
                <w:rFonts w:ascii="宋体" w:hAnsi="宋体" w:cs="方正仿宋_GBK"/>
                <w:bCs/>
                <w:color w:val="auto"/>
                <w:sz w:val="24"/>
                <w:szCs w:val="24"/>
                <w:highlight w:val="none"/>
              </w:rPr>
            </w:pPr>
            <w:r>
              <w:rPr>
                <w:rFonts w:hint="eastAsia" w:ascii="宋体" w:hAnsi="宋体" w:cs="方正仿宋_GBK"/>
                <w:bCs/>
                <w:color w:val="auto"/>
                <w:sz w:val="24"/>
                <w:szCs w:val="24"/>
                <w:highlight w:val="none"/>
              </w:rPr>
              <w:t>消毒工作方案</w:t>
            </w:r>
          </w:p>
          <w:p w14:paraId="474E778F">
            <w:pPr>
              <w:snapToGrid w:val="0"/>
              <w:ind w:firstLine="28"/>
              <w:jc w:val="left"/>
              <w:rPr>
                <w:rFonts w:ascii="宋体" w:hAnsi="宋体" w:cs="宋体"/>
                <w:color w:val="auto"/>
                <w:sz w:val="24"/>
                <w:szCs w:val="24"/>
                <w:highlight w:val="none"/>
              </w:rPr>
            </w:pPr>
            <w:r>
              <w:rPr>
                <w:rFonts w:hint="eastAsia" w:ascii="宋体" w:hAnsi="宋体" w:cs="方正仿宋_GBK"/>
                <w:bCs/>
                <w:color w:val="auto"/>
                <w:sz w:val="24"/>
                <w:szCs w:val="24"/>
                <w:highlight w:val="none"/>
              </w:rPr>
              <w:t>（15分）</w:t>
            </w:r>
          </w:p>
        </w:tc>
        <w:tc>
          <w:tcPr>
            <w:tcW w:w="2140" w:type="pct"/>
            <w:tcBorders>
              <w:top w:val="single" w:color="000000" w:sz="4" w:space="0"/>
              <w:left w:val="single" w:color="000000" w:sz="4" w:space="0"/>
              <w:bottom w:val="single" w:color="auto" w:sz="4" w:space="0"/>
              <w:right w:val="single" w:color="auto" w:sz="4" w:space="0"/>
            </w:tcBorders>
            <w:shd w:val="clear" w:color="auto" w:fill="auto"/>
            <w:noWrap/>
            <w:vAlign w:val="center"/>
          </w:tcPr>
          <w:p w14:paraId="17C8A428">
            <w:pPr>
              <w:snapToGrid w:val="0"/>
              <w:ind w:firstLine="28"/>
              <w:jc w:val="left"/>
              <w:rPr>
                <w:rFonts w:ascii="宋体" w:hAnsi="宋体" w:cs="方正仿宋_GBK"/>
                <w:bCs/>
                <w:color w:val="auto"/>
                <w:sz w:val="24"/>
                <w:szCs w:val="24"/>
                <w:highlight w:val="none"/>
              </w:rPr>
            </w:pPr>
            <w:r>
              <w:rPr>
                <w:rFonts w:hint="eastAsia" w:ascii="宋体" w:hAnsi="宋体" w:cs="方正仿宋_GBK"/>
                <w:bCs/>
                <w:color w:val="auto"/>
                <w:sz w:val="24"/>
                <w:szCs w:val="24"/>
                <w:highlight w:val="none"/>
              </w:rPr>
              <w:t>供应商对洗涤工作有足够的消毒能力，具备消毒设施、消毒药品耗材等，并制定消毒工作方案。</w:t>
            </w:r>
          </w:p>
          <w:p w14:paraId="0E90816F">
            <w:pPr>
              <w:snapToGrid w:val="0"/>
              <w:ind w:firstLine="28"/>
              <w:jc w:val="left"/>
              <w:rPr>
                <w:rFonts w:ascii="宋体" w:hAnsi="宋体" w:cs="宋体"/>
                <w:color w:val="auto"/>
                <w:sz w:val="24"/>
                <w:szCs w:val="24"/>
                <w:highlight w:val="none"/>
              </w:rPr>
            </w:pPr>
            <w:r>
              <w:rPr>
                <w:rFonts w:hint="eastAsia" w:ascii="宋体" w:hAnsi="宋体" w:cs="方正仿宋_GBK"/>
                <w:bCs/>
                <w:color w:val="auto"/>
                <w:sz w:val="24"/>
                <w:szCs w:val="24"/>
                <w:highlight w:val="none"/>
              </w:rPr>
              <w:t>方案优得15分，良得11分，中得7分，差得3分，未提供不得分。</w:t>
            </w:r>
          </w:p>
        </w:tc>
        <w:tc>
          <w:tcPr>
            <w:tcW w:w="1189" w:type="pct"/>
            <w:vMerge w:val="continue"/>
            <w:tcBorders>
              <w:left w:val="single" w:color="000000" w:sz="4" w:space="0"/>
              <w:bottom w:val="single" w:color="auto" w:sz="4" w:space="0"/>
              <w:right w:val="single" w:color="auto" w:sz="4" w:space="0"/>
            </w:tcBorders>
            <w:shd w:val="clear" w:color="auto" w:fill="auto"/>
            <w:noWrap/>
            <w:vAlign w:val="center"/>
          </w:tcPr>
          <w:p w14:paraId="16E00993">
            <w:pPr>
              <w:snapToGrid w:val="0"/>
              <w:rPr>
                <w:rFonts w:ascii="宋体" w:hAnsi="宋体" w:cs="宋体"/>
                <w:color w:val="auto"/>
                <w:sz w:val="24"/>
                <w:szCs w:val="24"/>
                <w:highlight w:val="none"/>
              </w:rPr>
            </w:pPr>
          </w:p>
        </w:tc>
      </w:tr>
      <w:tr w14:paraId="4A46F1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E599"/>
          <w:tblCellMar>
            <w:top w:w="0" w:type="dxa"/>
            <w:left w:w="108" w:type="dxa"/>
            <w:bottom w:w="0" w:type="dxa"/>
            <w:right w:w="108" w:type="dxa"/>
          </w:tblCellMar>
        </w:tblPrEx>
        <w:trPr>
          <w:trHeight w:val="984" w:hRule="atLeast"/>
          <w:tblHeader/>
          <w:jc w:val="center"/>
        </w:trPr>
        <w:tc>
          <w:tcPr>
            <w:tcW w:w="244" w:type="pct"/>
            <w:vMerge w:val="restart"/>
            <w:tcBorders>
              <w:top w:val="single" w:color="000000" w:sz="4" w:space="0"/>
              <w:left w:val="single" w:color="000000" w:sz="4" w:space="0"/>
              <w:right w:val="single" w:color="000000" w:sz="4" w:space="0"/>
            </w:tcBorders>
            <w:shd w:val="clear" w:color="auto" w:fill="auto"/>
            <w:noWrap/>
            <w:vAlign w:val="center"/>
          </w:tcPr>
          <w:p w14:paraId="15AFF4C7">
            <w:pPr>
              <w:snapToGrid w:val="0"/>
              <w:spacing w:line="324" w:lineRule="auto"/>
              <w:rPr>
                <w:rFonts w:ascii="宋体" w:hAnsi="宋体" w:cs="宋体"/>
                <w:color w:val="auto"/>
                <w:sz w:val="24"/>
                <w:szCs w:val="24"/>
                <w:highlight w:val="none"/>
              </w:rPr>
            </w:pPr>
            <w:r>
              <w:rPr>
                <w:rFonts w:hint="eastAsia" w:ascii="宋体" w:hAnsi="宋体" w:cs="宋体"/>
                <w:color w:val="auto"/>
                <w:sz w:val="24"/>
                <w:szCs w:val="24"/>
                <w:highlight w:val="none"/>
              </w:rPr>
              <w:t>3</w:t>
            </w:r>
          </w:p>
        </w:tc>
        <w:tc>
          <w:tcPr>
            <w:tcW w:w="733" w:type="pct"/>
            <w:vMerge w:val="restart"/>
            <w:tcBorders>
              <w:top w:val="single" w:color="000000" w:sz="4" w:space="0"/>
              <w:left w:val="single" w:color="000000" w:sz="4" w:space="0"/>
              <w:right w:val="single" w:color="000000" w:sz="4" w:space="0"/>
            </w:tcBorders>
            <w:shd w:val="clear" w:color="auto" w:fill="auto"/>
            <w:noWrap/>
            <w:vAlign w:val="center"/>
          </w:tcPr>
          <w:p w14:paraId="04962881">
            <w:pPr>
              <w:snapToGrid w:val="0"/>
              <w:rPr>
                <w:rFonts w:ascii="宋体" w:hAnsi="宋体" w:cs="宋体"/>
                <w:color w:val="auto"/>
                <w:sz w:val="24"/>
                <w:szCs w:val="24"/>
                <w:highlight w:val="none"/>
              </w:rPr>
            </w:pPr>
            <w:r>
              <w:rPr>
                <w:rFonts w:hint="eastAsia" w:ascii="宋体" w:hAnsi="宋体" w:cs="宋体"/>
                <w:color w:val="auto"/>
                <w:sz w:val="24"/>
                <w:szCs w:val="24"/>
                <w:highlight w:val="none"/>
              </w:rPr>
              <w:t>商务</w:t>
            </w:r>
          </w:p>
          <w:p w14:paraId="33715800">
            <w:pPr>
              <w:snapToGrid w:val="0"/>
              <w:rPr>
                <w:rFonts w:ascii="宋体" w:hAnsi="宋体" w:cs="宋体"/>
                <w:color w:val="auto"/>
                <w:sz w:val="24"/>
                <w:szCs w:val="24"/>
                <w:highlight w:val="none"/>
              </w:rPr>
            </w:pPr>
            <w:r>
              <w:rPr>
                <w:rFonts w:hint="eastAsia" w:ascii="宋体" w:hAnsi="宋体" w:cs="宋体"/>
                <w:color w:val="auto"/>
                <w:sz w:val="24"/>
                <w:szCs w:val="24"/>
                <w:highlight w:val="none"/>
              </w:rPr>
              <w:t>部分</w:t>
            </w:r>
          </w:p>
          <w:p w14:paraId="64BF2F64">
            <w:pPr>
              <w:snapToGrid w:val="0"/>
              <w:rPr>
                <w:rFonts w:ascii="宋体" w:hAnsi="宋体" w:cs="宋体"/>
                <w:color w:val="auto"/>
                <w:sz w:val="24"/>
                <w:szCs w:val="24"/>
                <w:highlight w:val="none"/>
              </w:rPr>
            </w:pPr>
            <w:r>
              <w:rPr>
                <w:rFonts w:hint="eastAsia" w:ascii="宋体" w:hAnsi="宋体" w:cs="宋体"/>
                <w:color w:val="auto"/>
                <w:sz w:val="24"/>
                <w:szCs w:val="24"/>
                <w:highlight w:val="none"/>
              </w:rPr>
              <w:t>（40%）</w:t>
            </w:r>
          </w:p>
        </w:tc>
        <w:tc>
          <w:tcPr>
            <w:tcW w:w="691" w:type="pct"/>
            <w:tcBorders>
              <w:top w:val="single" w:color="000000" w:sz="4" w:space="0"/>
              <w:left w:val="single" w:color="000000" w:sz="4" w:space="0"/>
              <w:right w:val="single" w:color="000000" w:sz="4" w:space="0"/>
            </w:tcBorders>
            <w:shd w:val="clear" w:color="auto" w:fill="auto"/>
            <w:noWrap/>
            <w:vAlign w:val="center"/>
          </w:tcPr>
          <w:p w14:paraId="7492510D">
            <w:pPr>
              <w:snapToGrid w:val="0"/>
              <w:rPr>
                <w:rFonts w:ascii="宋体" w:hAnsi="宋体" w:cs="宋体"/>
                <w:color w:val="auto"/>
                <w:sz w:val="24"/>
                <w:szCs w:val="24"/>
                <w:highlight w:val="none"/>
              </w:rPr>
            </w:pPr>
            <w:r>
              <w:rPr>
                <w:rFonts w:hint="eastAsia" w:ascii="宋体" w:hAnsi="宋体" w:cs="宋体"/>
                <w:color w:val="auto"/>
                <w:sz w:val="24"/>
                <w:szCs w:val="24"/>
                <w:highlight w:val="none"/>
              </w:rPr>
              <w:t>业绩</w:t>
            </w:r>
          </w:p>
          <w:p w14:paraId="3BAFC976">
            <w:pPr>
              <w:snapToGrid w:val="0"/>
              <w:rPr>
                <w:rFonts w:ascii="宋体" w:hAnsi="宋体" w:cs="宋体"/>
                <w:color w:val="auto"/>
                <w:sz w:val="24"/>
                <w:szCs w:val="24"/>
                <w:highlight w:val="none"/>
              </w:rPr>
            </w:pPr>
            <w:r>
              <w:rPr>
                <w:rFonts w:hint="eastAsia" w:ascii="宋体" w:hAnsi="宋体" w:cs="宋体"/>
                <w:color w:val="auto"/>
                <w:sz w:val="24"/>
                <w:szCs w:val="24"/>
                <w:highlight w:val="none"/>
              </w:rPr>
              <w:t>（20分）</w:t>
            </w:r>
          </w:p>
        </w:tc>
        <w:tc>
          <w:tcPr>
            <w:tcW w:w="2140" w:type="pct"/>
            <w:tcBorders>
              <w:top w:val="single" w:color="000000" w:sz="4" w:space="0"/>
              <w:left w:val="single" w:color="000000" w:sz="4" w:space="0"/>
              <w:right w:val="single" w:color="auto" w:sz="4" w:space="0"/>
            </w:tcBorders>
            <w:shd w:val="clear" w:color="auto" w:fill="auto"/>
            <w:noWrap/>
            <w:vAlign w:val="center"/>
          </w:tcPr>
          <w:p w14:paraId="65E1356C">
            <w:pPr>
              <w:snapToGrid w:val="0"/>
              <w:rPr>
                <w:rFonts w:ascii="宋体" w:hAnsi="宋体" w:cs="方正仿宋_GBK"/>
                <w:bCs/>
                <w:color w:val="auto"/>
                <w:sz w:val="24"/>
                <w:szCs w:val="24"/>
                <w:highlight w:val="none"/>
              </w:rPr>
            </w:pPr>
            <w:r>
              <w:rPr>
                <w:rFonts w:hint="eastAsia" w:ascii="宋体" w:hAnsi="宋体" w:cs="方正仿宋_GBK"/>
                <w:bCs/>
                <w:color w:val="auto"/>
                <w:sz w:val="24"/>
                <w:szCs w:val="24"/>
                <w:highlight w:val="none"/>
              </w:rPr>
              <w:t>自2022年1月1日以来（以业绩合同签订日期为准）供应商有向政府部门或事业单位或企业等提供服装洗涤服务业绩的，有1个业绩得</w:t>
            </w:r>
            <w:r>
              <w:rPr>
                <w:rFonts w:hint="eastAsia" w:ascii="宋体" w:hAnsi="宋体" w:cs="方正仿宋_GBK"/>
                <w:bCs/>
                <w:color w:val="auto"/>
                <w:sz w:val="24"/>
                <w:szCs w:val="24"/>
                <w:highlight w:val="none"/>
                <w:lang w:val="en-US" w:eastAsia="zh-CN"/>
              </w:rPr>
              <w:t>10</w:t>
            </w:r>
            <w:r>
              <w:rPr>
                <w:rFonts w:hint="eastAsia" w:ascii="宋体" w:hAnsi="宋体" w:cs="方正仿宋_GBK"/>
                <w:bCs/>
                <w:color w:val="auto"/>
                <w:sz w:val="24"/>
                <w:szCs w:val="24"/>
                <w:highlight w:val="none"/>
              </w:rPr>
              <w:t>分，满分20分。</w:t>
            </w:r>
          </w:p>
        </w:tc>
        <w:tc>
          <w:tcPr>
            <w:tcW w:w="1189" w:type="pct"/>
            <w:tcBorders>
              <w:top w:val="single" w:color="auto" w:sz="4" w:space="0"/>
              <w:left w:val="single" w:color="auto" w:sz="4" w:space="0"/>
              <w:right w:val="single" w:color="auto" w:sz="4" w:space="0"/>
            </w:tcBorders>
            <w:shd w:val="clear" w:color="auto" w:fill="auto"/>
            <w:noWrap/>
            <w:vAlign w:val="center"/>
          </w:tcPr>
          <w:p w14:paraId="4F2BBD2E">
            <w:pPr>
              <w:snapToGrid w:val="0"/>
              <w:rPr>
                <w:rFonts w:ascii="宋体" w:hAnsi="宋体" w:cs="方正仿宋_GBK"/>
                <w:bCs/>
                <w:color w:val="auto"/>
                <w:sz w:val="24"/>
                <w:szCs w:val="24"/>
                <w:highlight w:val="none"/>
              </w:rPr>
            </w:pPr>
            <w:r>
              <w:rPr>
                <w:rFonts w:hint="eastAsia" w:ascii="宋体" w:hAnsi="宋体" w:cs="方正仿宋_GBK"/>
                <w:bCs/>
                <w:color w:val="auto"/>
                <w:sz w:val="24"/>
                <w:szCs w:val="24"/>
                <w:highlight w:val="none"/>
              </w:rPr>
              <w:t>提供业绩合同清晰复印件或扫描件，须加盖供应商公章。</w:t>
            </w:r>
          </w:p>
        </w:tc>
      </w:tr>
      <w:tr w14:paraId="74A7AD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E599"/>
          <w:tblCellMar>
            <w:top w:w="0" w:type="dxa"/>
            <w:left w:w="108" w:type="dxa"/>
            <w:bottom w:w="0" w:type="dxa"/>
            <w:right w:w="108" w:type="dxa"/>
          </w:tblCellMar>
        </w:tblPrEx>
        <w:trPr>
          <w:trHeight w:val="70" w:hRule="atLeast"/>
          <w:tblHeader/>
          <w:jc w:val="center"/>
        </w:trPr>
        <w:tc>
          <w:tcPr>
            <w:tcW w:w="244" w:type="pct"/>
            <w:vMerge w:val="continue"/>
            <w:tcBorders>
              <w:left w:val="single" w:color="000000" w:sz="4" w:space="0"/>
              <w:right w:val="single" w:color="000000" w:sz="4" w:space="0"/>
            </w:tcBorders>
            <w:shd w:val="clear" w:color="auto" w:fill="auto"/>
            <w:noWrap/>
          </w:tcPr>
          <w:p w14:paraId="4F477A1A">
            <w:pPr>
              <w:snapToGrid w:val="0"/>
              <w:spacing w:line="324" w:lineRule="auto"/>
              <w:rPr>
                <w:rFonts w:ascii="宋体" w:hAnsi="宋体" w:cs="宋体"/>
                <w:color w:val="auto"/>
                <w:sz w:val="24"/>
                <w:szCs w:val="24"/>
                <w:highlight w:val="none"/>
              </w:rPr>
            </w:pPr>
          </w:p>
        </w:tc>
        <w:tc>
          <w:tcPr>
            <w:tcW w:w="733" w:type="pct"/>
            <w:vMerge w:val="continue"/>
            <w:tcBorders>
              <w:left w:val="single" w:color="000000" w:sz="4" w:space="0"/>
              <w:right w:val="single" w:color="000000" w:sz="4" w:space="0"/>
            </w:tcBorders>
            <w:shd w:val="clear" w:color="auto" w:fill="auto"/>
            <w:noWrap/>
          </w:tcPr>
          <w:p w14:paraId="7AE62310">
            <w:pPr>
              <w:snapToGrid w:val="0"/>
              <w:spacing w:line="324" w:lineRule="auto"/>
              <w:rPr>
                <w:rFonts w:ascii="宋体" w:hAnsi="宋体" w:cs="宋体"/>
                <w:color w:val="auto"/>
                <w:sz w:val="24"/>
                <w:szCs w:val="24"/>
                <w:highlight w:val="none"/>
              </w:rPr>
            </w:pPr>
          </w:p>
        </w:tc>
        <w:tc>
          <w:tcPr>
            <w:tcW w:w="691" w:type="pct"/>
            <w:tcBorders>
              <w:left w:val="single" w:color="000000" w:sz="4" w:space="0"/>
              <w:right w:val="single" w:color="000000" w:sz="4" w:space="0"/>
            </w:tcBorders>
            <w:shd w:val="clear" w:color="auto" w:fill="auto"/>
            <w:noWrap/>
            <w:vAlign w:val="center"/>
          </w:tcPr>
          <w:p w14:paraId="67486F07">
            <w:pPr>
              <w:snapToGrid w:val="0"/>
              <w:ind w:firstLine="28"/>
              <w:jc w:val="left"/>
              <w:rPr>
                <w:rFonts w:ascii="宋体" w:hAnsi="宋体" w:cs="方正仿宋_GBK"/>
                <w:bCs/>
                <w:color w:val="auto"/>
                <w:sz w:val="24"/>
                <w:szCs w:val="24"/>
                <w:highlight w:val="none"/>
              </w:rPr>
            </w:pPr>
            <w:r>
              <w:rPr>
                <w:rFonts w:hint="eastAsia" w:ascii="宋体" w:hAnsi="宋体" w:cs="方正仿宋_GBK"/>
                <w:bCs/>
                <w:color w:val="auto"/>
                <w:sz w:val="24"/>
                <w:szCs w:val="24"/>
                <w:highlight w:val="none"/>
              </w:rPr>
              <w:t>设备</w:t>
            </w:r>
          </w:p>
          <w:p w14:paraId="3B65DB6C">
            <w:pPr>
              <w:snapToGrid w:val="0"/>
              <w:ind w:firstLine="28"/>
              <w:jc w:val="left"/>
              <w:rPr>
                <w:rFonts w:ascii="宋体" w:hAnsi="宋体" w:cs="宋体"/>
                <w:color w:val="auto"/>
                <w:sz w:val="24"/>
                <w:szCs w:val="24"/>
                <w:highlight w:val="none"/>
              </w:rPr>
            </w:pPr>
            <w:r>
              <w:rPr>
                <w:rFonts w:hint="eastAsia" w:ascii="宋体" w:hAnsi="宋体" w:cs="方正仿宋_GBK"/>
                <w:bCs/>
                <w:color w:val="auto"/>
                <w:sz w:val="24"/>
                <w:szCs w:val="24"/>
                <w:highlight w:val="none"/>
              </w:rPr>
              <w:t>（</w:t>
            </w:r>
            <w:r>
              <w:rPr>
                <w:rFonts w:hint="eastAsia" w:ascii="宋体" w:hAnsi="宋体" w:cs="方正仿宋_GBK"/>
                <w:bCs/>
                <w:color w:val="auto"/>
                <w:sz w:val="24"/>
                <w:szCs w:val="24"/>
                <w:highlight w:val="none"/>
                <w:lang w:val="en-US" w:eastAsia="zh-CN"/>
              </w:rPr>
              <w:t>2</w:t>
            </w:r>
            <w:r>
              <w:rPr>
                <w:rFonts w:hint="eastAsia" w:ascii="宋体" w:hAnsi="宋体" w:cs="方正仿宋_GBK"/>
                <w:bCs/>
                <w:color w:val="auto"/>
                <w:sz w:val="24"/>
                <w:szCs w:val="24"/>
                <w:highlight w:val="none"/>
              </w:rPr>
              <w:t>0分）</w:t>
            </w:r>
          </w:p>
        </w:tc>
        <w:tc>
          <w:tcPr>
            <w:tcW w:w="2140" w:type="pct"/>
            <w:tcBorders>
              <w:top w:val="single" w:color="000000" w:sz="4" w:space="0"/>
              <w:left w:val="single" w:color="000000" w:sz="4" w:space="0"/>
              <w:bottom w:val="single" w:color="000000" w:sz="4" w:space="0"/>
              <w:right w:val="single" w:color="auto" w:sz="4" w:space="0"/>
            </w:tcBorders>
            <w:shd w:val="clear" w:color="auto" w:fill="auto"/>
            <w:noWrap/>
            <w:vAlign w:val="center"/>
          </w:tcPr>
          <w:p w14:paraId="717CA738">
            <w:pPr>
              <w:snapToGrid w:val="0"/>
              <w:rPr>
                <w:rFonts w:ascii="宋体" w:hAnsi="宋体" w:cs="方正仿宋_GBK"/>
                <w:bCs/>
                <w:color w:val="auto"/>
                <w:sz w:val="24"/>
                <w:szCs w:val="24"/>
                <w:highlight w:val="none"/>
              </w:rPr>
            </w:pPr>
            <w:r>
              <w:rPr>
                <w:rFonts w:hint="eastAsia" w:ascii="宋体" w:hAnsi="宋体" w:cs="方正仿宋_GBK"/>
                <w:bCs/>
                <w:color w:val="auto"/>
                <w:sz w:val="24"/>
                <w:szCs w:val="24"/>
                <w:highlight w:val="none"/>
              </w:rPr>
              <w:t>供应商有保证全套洗涤工作流程的专用设备，至少包括：</w:t>
            </w:r>
          </w:p>
          <w:p w14:paraId="05565DAA">
            <w:pPr>
              <w:snapToGrid w:val="0"/>
              <w:rPr>
                <w:rFonts w:ascii="宋体" w:hAnsi="宋体" w:cs="方正仿宋_GBK"/>
                <w:bCs/>
                <w:color w:val="auto"/>
                <w:sz w:val="24"/>
                <w:szCs w:val="24"/>
                <w:highlight w:val="none"/>
              </w:rPr>
            </w:pPr>
            <w:r>
              <w:rPr>
                <w:rFonts w:hint="eastAsia" w:ascii="宋体" w:hAnsi="宋体" w:cs="方正仿宋_GBK"/>
                <w:bCs/>
                <w:color w:val="auto"/>
                <w:sz w:val="24"/>
                <w:szCs w:val="24"/>
                <w:highlight w:val="none"/>
              </w:rPr>
              <w:t>①洗涤机（注：干洗水洗一体的多功能机至少提供1台，若无多功能机，则须提供干洗机和水洗机各1台。）</w:t>
            </w:r>
          </w:p>
          <w:p w14:paraId="75FFC352">
            <w:pPr>
              <w:snapToGrid w:val="0"/>
              <w:rPr>
                <w:rFonts w:ascii="宋体" w:hAnsi="宋体" w:cs="方正仿宋_GBK"/>
                <w:bCs/>
                <w:color w:val="auto"/>
                <w:sz w:val="24"/>
                <w:szCs w:val="24"/>
                <w:highlight w:val="none"/>
              </w:rPr>
            </w:pPr>
            <w:r>
              <w:rPr>
                <w:rFonts w:hint="eastAsia" w:ascii="宋体" w:hAnsi="宋体" w:cs="方正仿宋_GBK"/>
                <w:bCs/>
                <w:color w:val="auto"/>
                <w:sz w:val="24"/>
                <w:szCs w:val="24"/>
                <w:highlight w:val="none"/>
              </w:rPr>
              <w:t>②烘干机至少1台；</w:t>
            </w:r>
          </w:p>
          <w:p w14:paraId="46B7C0C1">
            <w:pPr>
              <w:snapToGrid w:val="0"/>
              <w:rPr>
                <w:color w:val="auto"/>
                <w:highlight w:val="none"/>
              </w:rPr>
            </w:pPr>
            <w:r>
              <w:rPr>
                <w:rFonts w:hint="eastAsia" w:ascii="宋体" w:hAnsi="宋体" w:cs="方正仿宋_GBK"/>
                <w:bCs/>
                <w:color w:val="auto"/>
                <w:sz w:val="24"/>
                <w:szCs w:val="24"/>
                <w:highlight w:val="none"/>
              </w:rPr>
              <w:t>③熨烫机至少1台；</w:t>
            </w:r>
          </w:p>
          <w:p w14:paraId="423E1397">
            <w:pPr>
              <w:snapToGrid w:val="0"/>
              <w:rPr>
                <w:rFonts w:ascii="宋体" w:hAnsi="宋体" w:cs="方正仿宋_GBK"/>
                <w:bCs/>
                <w:color w:val="auto"/>
                <w:sz w:val="24"/>
                <w:szCs w:val="24"/>
                <w:highlight w:val="none"/>
              </w:rPr>
            </w:pPr>
            <w:r>
              <w:rPr>
                <w:rFonts w:hint="eastAsia" w:ascii="宋体" w:hAnsi="宋体" w:cs="方正仿宋_GBK"/>
                <w:bCs/>
                <w:color w:val="auto"/>
                <w:sz w:val="24"/>
                <w:szCs w:val="24"/>
                <w:highlight w:val="none"/>
              </w:rPr>
              <w:t>④折叠机至少1台。</w:t>
            </w:r>
          </w:p>
          <w:p w14:paraId="228AB1A7">
            <w:pPr>
              <w:snapToGrid w:val="0"/>
              <w:rPr>
                <w:rFonts w:ascii="宋体" w:hAnsi="宋体" w:cs="方正仿宋_GBK"/>
                <w:bCs/>
                <w:color w:val="auto"/>
                <w:sz w:val="24"/>
                <w:szCs w:val="24"/>
                <w:highlight w:val="none"/>
              </w:rPr>
            </w:pPr>
          </w:p>
          <w:p w14:paraId="3CC38F31">
            <w:pPr>
              <w:snapToGrid w:val="0"/>
              <w:rPr>
                <w:rFonts w:ascii="宋体" w:hAnsi="宋体" w:cs="宋体"/>
                <w:color w:val="auto"/>
                <w:sz w:val="24"/>
                <w:szCs w:val="24"/>
                <w:highlight w:val="none"/>
              </w:rPr>
            </w:pPr>
            <w:r>
              <w:rPr>
                <w:rFonts w:hint="eastAsia" w:ascii="宋体" w:hAnsi="宋体" w:cs="方正仿宋_GBK"/>
                <w:bCs/>
                <w:color w:val="auto"/>
                <w:sz w:val="24"/>
                <w:szCs w:val="24"/>
                <w:highlight w:val="none"/>
              </w:rPr>
              <w:t>以上设备齐全为得</w:t>
            </w:r>
            <w:r>
              <w:rPr>
                <w:rFonts w:hint="eastAsia" w:ascii="宋体" w:hAnsi="宋体" w:cs="方正仿宋_GBK"/>
                <w:bCs/>
                <w:color w:val="auto"/>
                <w:sz w:val="24"/>
                <w:szCs w:val="24"/>
                <w:highlight w:val="none"/>
                <w:lang w:val="en-US" w:eastAsia="zh-CN"/>
              </w:rPr>
              <w:t>20</w:t>
            </w:r>
            <w:r>
              <w:rPr>
                <w:rFonts w:hint="eastAsia" w:ascii="宋体" w:hAnsi="宋体" w:cs="方正仿宋_GBK"/>
                <w:bCs/>
                <w:color w:val="auto"/>
                <w:sz w:val="24"/>
                <w:szCs w:val="24"/>
                <w:highlight w:val="none"/>
              </w:rPr>
              <w:t>分。</w:t>
            </w:r>
          </w:p>
        </w:tc>
        <w:tc>
          <w:tcPr>
            <w:tcW w:w="1189" w:type="pct"/>
            <w:tcBorders>
              <w:top w:val="single" w:color="000000" w:sz="4" w:space="0"/>
              <w:left w:val="single" w:color="auto" w:sz="4" w:space="0"/>
              <w:bottom w:val="single" w:color="000000" w:sz="4" w:space="0"/>
              <w:right w:val="single" w:color="auto" w:sz="4" w:space="0"/>
            </w:tcBorders>
            <w:shd w:val="clear" w:color="auto" w:fill="auto"/>
            <w:noWrap/>
            <w:vAlign w:val="center"/>
          </w:tcPr>
          <w:p w14:paraId="7707C36C">
            <w:pPr>
              <w:numPr>
                <w:ilvl w:val="0"/>
                <w:numId w:val="0"/>
              </w:numPr>
              <w:snapToGrid w:val="0"/>
              <w:rPr>
                <w:rFonts w:ascii="宋体" w:hAnsi="宋体" w:cs="宋体"/>
                <w:color w:val="auto"/>
                <w:sz w:val="24"/>
                <w:szCs w:val="24"/>
                <w:highlight w:val="none"/>
              </w:rPr>
            </w:pPr>
            <w:r>
              <w:rPr>
                <w:rFonts w:hint="eastAsia" w:ascii="宋体" w:hAnsi="宋体" w:cs="方正仿宋_GBK"/>
                <w:bCs/>
                <w:color w:val="auto"/>
                <w:sz w:val="24"/>
                <w:szCs w:val="24"/>
                <w:highlight w:val="none"/>
              </w:rPr>
              <w:t>提供设备图片清晰复印件或扫描件，须加盖供应商公章。</w:t>
            </w:r>
          </w:p>
        </w:tc>
      </w:tr>
    </w:tbl>
    <w:p w14:paraId="29C8051F">
      <w:pPr>
        <w:snapToGrid w:val="0"/>
        <w:spacing w:line="480" w:lineRule="atLeast"/>
        <w:ind w:firstLine="562" w:firstLineChars="200"/>
        <w:rPr>
          <w:rFonts w:cs="宋体"/>
          <w:color w:val="auto"/>
          <w:szCs w:val="28"/>
          <w:highlight w:val="none"/>
        </w:rPr>
      </w:pPr>
      <w:r>
        <w:rPr>
          <w:rFonts w:hint="eastAsia" w:cs="宋体"/>
          <w:b/>
          <w:bCs/>
          <w:color w:val="auto"/>
          <w:szCs w:val="28"/>
          <w:highlight w:val="none"/>
        </w:rPr>
        <w:t>说明</w:t>
      </w:r>
      <w:r>
        <w:rPr>
          <w:rFonts w:hint="eastAsia" w:cs="宋体"/>
          <w:color w:val="auto"/>
          <w:szCs w:val="28"/>
          <w:highlight w:val="none"/>
        </w:rPr>
        <w:t>：评审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评审小组应当将其作为无效响应处理。</w:t>
      </w:r>
    </w:p>
    <w:p w14:paraId="6EDC55E3">
      <w:pPr>
        <w:pStyle w:val="4"/>
        <w:spacing w:before="192"/>
        <w:ind w:firstLine="562"/>
        <w:rPr>
          <w:rFonts w:ascii="Times New Roman" w:hAnsi="Times New Roman"/>
          <w:color w:val="auto"/>
          <w:highlight w:val="none"/>
        </w:rPr>
      </w:pPr>
      <w:bookmarkStart w:id="150" w:name="_Toc17065"/>
      <w:bookmarkStart w:id="151" w:name="_Toc6898"/>
      <w:bookmarkStart w:id="152" w:name="_Toc30659"/>
      <w:bookmarkStart w:id="153" w:name="_Toc27926"/>
      <w:bookmarkStart w:id="154" w:name="_Toc7962"/>
      <w:bookmarkStart w:id="155" w:name="_Toc13301"/>
      <w:bookmarkStart w:id="156" w:name="_Toc4045"/>
      <w:bookmarkStart w:id="157" w:name="_Toc106030397"/>
      <w:bookmarkStart w:id="158" w:name="_Toc75793521"/>
      <w:bookmarkStart w:id="159" w:name="_Toc5010"/>
      <w:bookmarkStart w:id="160" w:name="_Toc13232"/>
      <w:bookmarkStart w:id="161" w:name="_Toc12283"/>
      <w:bookmarkStart w:id="162" w:name="_Toc15200"/>
      <w:bookmarkStart w:id="163" w:name="_Toc22167"/>
      <w:bookmarkStart w:id="164" w:name="_Toc29586"/>
      <w:bookmarkStart w:id="165" w:name="_Toc20423"/>
      <w:bookmarkStart w:id="166" w:name="_Toc26747"/>
      <w:bookmarkStart w:id="167" w:name="_Toc13045"/>
      <w:bookmarkStart w:id="168" w:name="_Toc10923"/>
      <w:bookmarkStart w:id="169" w:name="_Toc18716"/>
      <w:r>
        <w:rPr>
          <w:rFonts w:hint="eastAsia" w:ascii="Times New Roman" w:hAnsi="Times New Roman"/>
          <w:color w:val="auto"/>
          <w:highlight w:val="none"/>
        </w:rPr>
        <w:t>四、无效响应条款</w:t>
      </w:r>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p>
    <w:p w14:paraId="67B87611">
      <w:pPr>
        <w:snapToGrid w:val="0"/>
        <w:spacing w:line="480" w:lineRule="atLeast"/>
        <w:ind w:firstLine="560" w:firstLineChars="200"/>
        <w:rPr>
          <w:rFonts w:cs="宋体"/>
          <w:color w:val="auto"/>
          <w:szCs w:val="28"/>
          <w:highlight w:val="none"/>
        </w:rPr>
      </w:pPr>
      <w:r>
        <w:rPr>
          <w:rFonts w:hint="eastAsia" w:cs="宋体"/>
          <w:color w:val="auto"/>
          <w:szCs w:val="28"/>
          <w:highlight w:val="none"/>
        </w:rPr>
        <w:t>供应商或其响应文件出现下列情况之一者，应为无效响应：</w:t>
      </w:r>
    </w:p>
    <w:p w14:paraId="26397E0E">
      <w:pPr>
        <w:snapToGrid w:val="0"/>
        <w:spacing w:line="480" w:lineRule="atLeast"/>
        <w:ind w:firstLine="560" w:firstLineChars="200"/>
        <w:rPr>
          <w:rFonts w:cs="宋体"/>
          <w:color w:val="auto"/>
          <w:szCs w:val="28"/>
          <w:highlight w:val="none"/>
        </w:rPr>
      </w:pPr>
      <w:r>
        <w:rPr>
          <w:rFonts w:hint="eastAsia" w:cs="宋体"/>
          <w:color w:val="auto"/>
          <w:szCs w:val="28"/>
          <w:highlight w:val="none"/>
        </w:rPr>
        <w:t>（一）供应商未通过资格性评审或符合性评审的；</w:t>
      </w:r>
    </w:p>
    <w:p w14:paraId="6B817678">
      <w:pPr>
        <w:snapToGrid w:val="0"/>
        <w:spacing w:line="480" w:lineRule="atLeast"/>
        <w:ind w:firstLine="560" w:firstLineChars="200"/>
        <w:rPr>
          <w:rFonts w:cs="宋体"/>
          <w:color w:val="auto"/>
          <w:szCs w:val="28"/>
          <w:highlight w:val="none"/>
        </w:rPr>
      </w:pPr>
      <w:r>
        <w:rPr>
          <w:rFonts w:hint="eastAsia" w:cs="宋体"/>
          <w:color w:val="auto"/>
          <w:szCs w:val="28"/>
          <w:highlight w:val="none"/>
        </w:rPr>
        <w:t>（二）法定代表人为同一个人的两个及两个以上法人，母公司、全资子公司及其控股公司，在同一项目中同时参与竞采的；</w:t>
      </w:r>
    </w:p>
    <w:p w14:paraId="2B19590B">
      <w:pPr>
        <w:snapToGrid w:val="0"/>
        <w:spacing w:line="480" w:lineRule="atLeast"/>
        <w:ind w:firstLine="560" w:firstLineChars="200"/>
        <w:rPr>
          <w:rFonts w:cs="宋体"/>
          <w:color w:val="auto"/>
          <w:szCs w:val="28"/>
          <w:highlight w:val="none"/>
        </w:rPr>
      </w:pPr>
      <w:r>
        <w:rPr>
          <w:rFonts w:hint="eastAsia" w:cs="宋体"/>
          <w:color w:val="auto"/>
          <w:szCs w:val="28"/>
          <w:highlight w:val="none"/>
        </w:rPr>
        <w:t>（三）单位负责人为同一人或者存在直接控股、管理关系的不同供应商，参加同一项目的竞采的；</w:t>
      </w:r>
    </w:p>
    <w:p w14:paraId="3EC84D25">
      <w:pPr>
        <w:snapToGrid w:val="0"/>
        <w:spacing w:line="480" w:lineRule="atLeast"/>
        <w:ind w:firstLine="560" w:firstLineChars="200"/>
        <w:rPr>
          <w:rFonts w:cs="宋体"/>
          <w:color w:val="auto"/>
          <w:szCs w:val="28"/>
          <w:highlight w:val="none"/>
        </w:rPr>
      </w:pPr>
      <w:r>
        <w:rPr>
          <w:rFonts w:hint="eastAsia" w:cs="宋体"/>
          <w:color w:val="auto"/>
          <w:szCs w:val="28"/>
          <w:highlight w:val="none"/>
        </w:rPr>
        <w:t>（四）为本项目提供整体设计、规范编制或者项目管理、监理、检测等服务的供应商，再参加该项目竞采的；</w:t>
      </w:r>
    </w:p>
    <w:p w14:paraId="2B2ABE6B">
      <w:pPr>
        <w:snapToGrid w:val="0"/>
        <w:spacing w:line="480" w:lineRule="atLeast"/>
        <w:ind w:firstLine="560" w:firstLineChars="200"/>
        <w:rPr>
          <w:rFonts w:cs="宋体"/>
          <w:color w:val="auto"/>
          <w:szCs w:val="28"/>
          <w:highlight w:val="none"/>
        </w:rPr>
      </w:pPr>
      <w:r>
        <w:rPr>
          <w:rFonts w:hint="eastAsia" w:cs="宋体"/>
          <w:color w:val="auto"/>
          <w:szCs w:val="28"/>
          <w:highlight w:val="none"/>
        </w:rPr>
        <w:t>（五）竞采有效期不满足竞采文件要求的；</w:t>
      </w:r>
    </w:p>
    <w:p w14:paraId="0043EA2D">
      <w:pPr>
        <w:snapToGrid w:val="0"/>
        <w:spacing w:line="480" w:lineRule="atLeast"/>
        <w:ind w:firstLine="560" w:firstLineChars="200"/>
        <w:rPr>
          <w:rFonts w:cs="宋体"/>
          <w:color w:val="auto"/>
          <w:szCs w:val="28"/>
          <w:highlight w:val="none"/>
        </w:rPr>
      </w:pPr>
      <w:r>
        <w:rPr>
          <w:rFonts w:hint="eastAsia" w:cs="宋体"/>
          <w:color w:val="auto"/>
          <w:szCs w:val="28"/>
          <w:highlight w:val="none"/>
        </w:rPr>
        <w:t>（六）响应文件内容有与国家现行法律法规相违背的内容，或附有采购人无法接受的条件；</w:t>
      </w:r>
    </w:p>
    <w:p w14:paraId="382976CE">
      <w:pPr>
        <w:snapToGrid w:val="0"/>
        <w:spacing w:line="480" w:lineRule="atLeast"/>
        <w:ind w:firstLine="560" w:firstLineChars="200"/>
        <w:rPr>
          <w:rFonts w:cs="宋体"/>
          <w:color w:val="auto"/>
          <w:szCs w:val="28"/>
          <w:highlight w:val="none"/>
        </w:rPr>
      </w:pPr>
      <w:r>
        <w:rPr>
          <w:rFonts w:hint="eastAsia" w:cs="宋体"/>
          <w:color w:val="auto"/>
          <w:szCs w:val="28"/>
          <w:highlight w:val="none"/>
        </w:rPr>
        <w:t>（七）法律、法规和竞采文件规定的其他无效情形。</w:t>
      </w:r>
    </w:p>
    <w:p w14:paraId="3E05CE2E">
      <w:pPr>
        <w:pStyle w:val="4"/>
        <w:spacing w:before="192"/>
        <w:ind w:firstLine="562"/>
        <w:rPr>
          <w:rFonts w:ascii="Times New Roman" w:hAnsi="Times New Roman"/>
          <w:color w:val="auto"/>
          <w:highlight w:val="none"/>
        </w:rPr>
      </w:pPr>
      <w:bookmarkStart w:id="170" w:name="_Toc24499"/>
      <w:bookmarkStart w:id="171" w:name="_Toc6956"/>
      <w:bookmarkStart w:id="172" w:name="_Toc21946"/>
      <w:bookmarkStart w:id="173" w:name="_Toc20005"/>
      <w:bookmarkStart w:id="174" w:name="_Toc25549"/>
      <w:bookmarkStart w:id="175" w:name="_Toc25960"/>
      <w:bookmarkStart w:id="176" w:name="_Toc27180"/>
      <w:bookmarkStart w:id="177" w:name="_Toc14355"/>
      <w:bookmarkStart w:id="178" w:name="_Toc1009"/>
      <w:bookmarkStart w:id="179" w:name="_Toc23533"/>
      <w:bookmarkStart w:id="180" w:name="_Toc7802"/>
      <w:bookmarkStart w:id="181" w:name="_Toc4422"/>
      <w:bookmarkStart w:id="182" w:name="_Toc30605"/>
      <w:bookmarkStart w:id="183" w:name="_Toc6204"/>
      <w:bookmarkStart w:id="184" w:name="_Toc6719"/>
      <w:bookmarkStart w:id="185" w:name="_Toc20000"/>
      <w:bookmarkStart w:id="186" w:name="_Toc11293"/>
      <w:bookmarkStart w:id="187" w:name="_Toc27133"/>
      <w:bookmarkStart w:id="188" w:name="_Toc106030398"/>
      <w:bookmarkStart w:id="189" w:name="_Toc75793522"/>
      <w:r>
        <w:rPr>
          <w:rFonts w:hint="eastAsia" w:ascii="Times New Roman" w:hAnsi="Times New Roman"/>
          <w:color w:val="auto"/>
          <w:highlight w:val="none"/>
        </w:rPr>
        <w:t>五、废标条款</w:t>
      </w:r>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p>
    <w:p w14:paraId="1BA05827">
      <w:pPr>
        <w:snapToGrid w:val="0"/>
        <w:spacing w:line="480" w:lineRule="atLeast"/>
        <w:ind w:firstLine="560" w:firstLineChars="200"/>
        <w:rPr>
          <w:rFonts w:cs="宋体"/>
          <w:color w:val="auto"/>
          <w:szCs w:val="28"/>
          <w:highlight w:val="none"/>
        </w:rPr>
      </w:pPr>
      <w:r>
        <w:rPr>
          <w:rFonts w:hint="eastAsia" w:cs="宋体"/>
          <w:color w:val="auto"/>
          <w:szCs w:val="28"/>
          <w:highlight w:val="none"/>
        </w:rPr>
        <w:t>在竞采过程中出现下列情形之一的，应终止评审，作废标处理：</w:t>
      </w:r>
    </w:p>
    <w:p w14:paraId="4E138313">
      <w:pPr>
        <w:snapToGrid w:val="0"/>
        <w:spacing w:line="480" w:lineRule="atLeast"/>
        <w:ind w:firstLine="560" w:firstLineChars="200"/>
        <w:rPr>
          <w:rFonts w:cs="宋体"/>
          <w:color w:val="auto"/>
          <w:szCs w:val="28"/>
          <w:highlight w:val="none"/>
        </w:rPr>
      </w:pPr>
      <w:r>
        <w:rPr>
          <w:rFonts w:hint="eastAsia" w:cs="宋体"/>
          <w:color w:val="auto"/>
          <w:szCs w:val="28"/>
          <w:highlight w:val="none"/>
        </w:rPr>
        <w:t>（一）符合专业条件的供应商或者对竞采文件作实质响应的供应商不足3家的；</w:t>
      </w:r>
    </w:p>
    <w:p w14:paraId="6B9C25FA">
      <w:pPr>
        <w:snapToGrid w:val="0"/>
        <w:spacing w:line="480" w:lineRule="atLeast"/>
        <w:ind w:firstLine="560" w:firstLineChars="200"/>
        <w:rPr>
          <w:rFonts w:cs="宋体"/>
          <w:color w:val="auto"/>
          <w:szCs w:val="28"/>
          <w:highlight w:val="none"/>
        </w:rPr>
      </w:pPr>
      <w:r>
        <w:rPr>
          <w:rFonts w:hint="eastAsia" w:cs="宋体"/>
          <w:color w:val="auto"/>
          <w:szCs w:val="28"/>
          <w:highlight w:val="none"/>
        </w:rPr>
        <w:t>（二）出现影响竞采公正的违法、违规行为的；</w:t>
      </w:r>
    </w:p>
    <w:p w14:paraId="726F9F74">
      <w:pPr>
        <w:snapToGrid w:val="0"/>
        <w:spacing w:line="480" w:lineRule="atLeast"/>
        <w:ind w:firstLine="560" w:firstLineChars="200"/>
        <w:rPr>
          <w:rFonts w:cs="宋体"/>
          <w:color w:val="auto"/>
          <w:szCs w:val="28"/>
          <w:highlight w:val="none"/>
        </w:rPr>
      </w:pPr>
      <w:r>
        <w:rPr>
          <w:rFonts w:hint="eastAsia" w:cs="宋体"/>
          <w:color w:val="auto"/>
          <w:szCs w:val="28"/>
          <w:highlight w:val="none"/>
        </w:rPr>
        <w:t>（三）因重大变故，竞采项目取消的。</w:t>
      </w:r>
    </w:p>
    <w:p w14:paraId="313D6446">
      <w:pPr>
        <w:snapToGrid w:val="0"/>
        <w:spacing w:line="480" w:lineRule="atLeast"/>
        <w:ind w:firstLine="560" w:firstLineChars="200"/>
        <w:rPr>
          <w:rFonts w:cs="宋体"/>
          <w:color w:val="auto"/>
          <w:szCs w:val="28"/>
          <w:highlight w:val="none"/>
        </w:rPr>
      </w:pPr>
      <w:r>
        <w:rPr>
          <w:rFonts w:hint="eastAsia" w:cs="宋体"/>
          <w:color w:val="auto"/>
          <w:szCs w:val="28"/>
          <w:highlight w:val="none"/>
        </w:rPr>
        <w:t>废标后，除项目任务取消情形外，应当重新组织竞采活动。</w:t>
      </w:r>
    </w:p>
    <w:bookmarkEnd w:id="68"/>
    <w:p w14:paraId="3CF8DA54">
      <w:pPr>
        <w:pStyle w:val="3"/>
        <w:rPr>
          <w:rFonts w:cs="宋体"/>
          <w:color w:val="auto"/>
          <w:sz w:val="32"/>
          <w:szCs w:val="21"/>
          <w:highlight w:val="none"/>
        </w:rPr>
      </w:pPr>
      <w:r>
        <w:rPr>
          <w:rFonts w:hint="eastAsia" w:cs="宋体"/>
          <w:color w:val="auto"/>
          <w:highlight w:val="none"/>
        </w:rPr>
        <w:br w:type="page"/>
      </w:r>
      <w:bookmarkStart w:id="190" w:name="_Toc21000"/>
      <w:bookmarkStart w:id="191" w:name="_Toc14416"/>
      <w:bookmarkStart w:id="192" w:name="_Toc1670"/>
      <w:bookmarkStart w:id="193" w:name="_Toc20379"/>
      <w:bookmarkStart w:id="194" w:name="_Toc25962"/>
      <w:bookmarkStart w:id="195" w:name="_Toc22201"/>
      <w:bookmarkStart w:id="196" w:name="_Toc13159"/>
      <w:bookmarkStart w:id="197" w:name="_Toc18502"/>
      <w:bookmarkStart w:id="198" w:name="_Toc25755"/>
      <w:bookmarkStart w:id="199" w:name="_Toc19831"/>
      <w:bookmarkStart w:id="200" w:name="_Toc32211"/>
      <w:bookmarkStart w:id="201" w:name="_Toc29546"/>
      <w:bookmarkStart w:id="202" w:name="_Toc106030399"/>
      <w:bookmarkStart w:id="203" w:name="_Toc4735"/>
      <w:bookmarkStart w:id="204" w:name="_Toc5106"/>
      <w:bookmarkStart w:id="205" w:name="_Toc21720"/>
      <w:bookmarkStart w:id="206" w:name="_Toc12533"/>
      <w:bookmarkStart w:id="207" w:name="_Toc1982"/>
      <w:bookmarkStart w:id="208" w:name="_Toc75793523"/>
      <w:bookmarkStart w:id="209" w:name="_Toc22256"/>
      <w:bookmarkStart w:id="210" w:name="_Toc21360"/>
      <w:r>
        <w:rPr>
          <w:rFonts w:hint="eastAsia" w:cs="宋体"/>
          <w:bCs/>
          <w:color w:val="auto"/>
          <w:sz w:val="32"/>
          <w:szCs w:val="21"/>
          <w:highlight w:val="none"/>
        </w:rPr>
        <w:t>第五篇 供应商须知</w:t>
      </w:r>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p>
    <w:p w14:paraId="2645E765">
      <w:pPr>
        <w:pStyle w:val="4"/>
        <w:spacing w:before="192"/>
        <w:ind w:firstLine="562"/>
        <w:rPr>
          <w:rFonts w:ascii="Times New Roman" w:hAnsi="Times New Roman"/>
          <w:color w:val="auto"/>
          <w:highlight w:val="none"/>
        </w:rPr>
      </w:pPr>
      <w:bookmarkStart w:id="211" w:name="_Toc9833"/>
      <w:bookmarkStart w:id="212" w:name="_Toc22743"/>
      <w:bookmarkStart w:id="213" w:name="_Toc14797"/>
      <w:r>
        <w:rPr>
          <w:rFonts w:hint="eastAsia" w:ascii="Times New Roman" w:hAnsi="Times New Roman"/>
          <w:color w:val="auto"/>
          <w:highlight w:val="none"/>
        </w:rPr>
        <w:t>一、</w:t>
      </w:r>
      <w:bookmarkEnd w:id="211"/>
      <w:bookmarkEnd w:id="212"/>
      <w:bookmarkEnd w:id="213"/>
      <w:r>
        <w:rPr>
          <w:rFonts w:hint="eastAsia" w:ascii="Times New Roman" w:hAnsi="Times New Roman"/>
          <w:color w:val="auto"/>
          <w:highlight w:val="none"/>
        </w:rPr>
        <w:t>供应商</w:t>
      </w:r>
    </w:p>
    <w:p w14:paraId="614547F8">
      <w:pPr>
        <w:snapToGrid w:val="0"/>
        <w:spacing w:line="480" w:lineRule="atLeast"/>
        <w:ind w:firstLine="562" w:firstLineChars="200"/>
        <w:rPr>
          <w:rFonts w:cs="宋体"/>
          <w:color w:val="auto"/>
          <w:szCs w:val="28"/>
          <w:highlight w:val="none"/>
        </w:rPr>
      </w:pPr>
      <w:r>
        <w:rPr>
          <w:rFonts w:hint="eastAsia" w:cs="宋体"/>
          <w:b/>
          <w:bCs/>
          <w:color w:val="auto"/>
          <w:szCs w:val="28"/>
          <w:highlight w:val="none"/>
        </w:rPr>
        <w:t>（一）供应商</w:t>
      </w:r>
    </w:p>
    <w:p w14:paraId="6AE6E80C">
      <w:pPr>
        <w:snapToGrid w:val="0"/>
        <w:spacing w:line="480" w:lineRule="atLeast"/>
        <w:ind w:firstLine="560" w:firstLineChars="200"/>
        <w:rPr>
          <w:rFonts w:cs="宋体"/>
          <w:color w:val="auto"/>
          <w:szCs w:val="28"/>
          <w:highlight w:val="none"/>
        </w:rPr>
      </w:pPr>
      <w:r>
        <w:rPr>
          <w:rFonts w:hint="eastAsia" w:cs="宋体"/>
          <w:color w:val="auto"/>
          <w:szCs w:val="28"/>
          <w:highlight w:val="none"/>
        </w:rPr>
        <w:t>供应商是指响应竞采文件、参加竞采活动的法人、其他组织。</w:t>
      </w:r>
    </w:p>
    <w:p w14:paraId="41EB9591">
      <w:pPr>
        <w:snapToGrid w:val="0"/>
        <w:spacing w:line="480" w:lineRule="atLeast"/>
        <w:ind w:firstLine="562" w:firstLineChars="200"/>
        <w:rPr>
          <w:rFonts w:cs="宋体"/>
          <w:color w:val="auto"/>
          <w:szCs w:val="28"/>
          <w:highlight w:val="none"/>
        </w:rPr>
      </w:pPr>
      <w:r>
        <w:rPr>
          <w:rFonts w:hint="eastAsia" w:cs="宋体"/>
          <w:b/>
          <w:bCs/>
          <w:color w:val="auto"/>
          <w:szCs w:val="28"/>
          <w:highlight w:val="none"/>
        </w:rPr>
        <w:t>（二）合格供应商条件</w:t>
      </w:r>
    </w:p>
    <w:p w14:paraId="63859307">
      <w:pPr>
        <w:snapToGrid w:val="0"/>
        <w:spacing w:line="480" w:lineRule="atLeast"/>
        <w:ind w:firstLine="560" w:firstLineChars="200"/>
        <w:rPr>
          <w:rFonts w:cs="宋体"/>
          <w:color w:val="auto"/>
          <w:szCs w:val="28"/>
          <w:highlight w:val="none"/>
        </w:rPr>
      </w:pPr>
      <w:r>
        <w:rPr>
          <w:rFonts w:hint="eastAsia" w:cs="宋体"/>
          <w:color w:val="auto"/>
          <w:szCs w:val="28"/>
          <w:highlight w:val="none"/>
        </w:rPr>
        <w:t>合格供应商应完全符合竞采文件第一篇中规定的供应商资格条件，并对竞采文件作出实质性响应。</w:t>
      </w:r>
    </w:p>
    <w:p w14:paraId="78532B3E">
      <w:pPr>
        <w:snapToGrid w:val="0"/>
        <w:spacing w:line="480" w:lineRule="atLeast"/>
        <w:ind w:firstLine="562" w:firstLineChars="200"/>
        <w:rPr>
          <w:rFonts w:cs="宋体"/>
          <w:b/>
          <w:bCs/>
          <w:color w:val="auto"/>
          <w:szCs w:val="28"/>
          <w:highlight w:val="none"/>
        </w:rPr>
      </w:pPr>
      <w:r>
        <w:rPr>
          <w:rFonts w:hint="eastAsia" w:cs="宋体"/>
          <w:b/>
          <w:bCs/>
          <w:color w:val="auto"/>
          <w:szCs w:val="28"/>
          <w:highlight w:val="none"/>
        </w:rPr>
        <w:t>（三）供应商的风险</w:t>
      </w:r>
    </w:p>
    <w:p w14:paraId="47430670">
      <w:pPr>
        <w:snapToGrid w:val="0"/>
        <w:spacing w:line="480" w:lineRule="atLeast"/>
        <w:ind w:firstLine="560" w:firstLineChars="200"/>
        <w:rPr>
          <w:rFonts w:cs="宋体"/>
          <w:color w:val="auto"/>
          <w:szCs w:val="28"/>
          <w:highlight w:val="none"/>
        </w:rPr>
      </w:pPr>
      <w:r>
        <w:rPr>
          <w:rFonts w:hint="eastAsia" w:cs="宋体"/>
          <w:color w:val="auto"/>
          <w:szCs w:val="28"/>
          <w:highlight w:val="none"/>
        </w:rPr>
        <w:t>供应商没有按照竞采文件要求提供全部资料，或者供应商没有对竞采文件在各方面作出实质性响应，可能导致响应被拒绝或评定为无效响应。</w:t>
      </w:r>
    </w:p>
    <w:p w14:paraId="7E0361FA">
      <w:pPr>
        <w:snapToGrid w:val="0"/>
        <w:spacing w:line="480" w:lineRule="atLeast"/>
        <w:ind w:firstLine="562" w:firstLineChars="200"/>
        <w:rPr>
          <w:rFonts w:cs="宋体"/>
          <w:color w:val="auto"/>
          <w:szCs w:val="28"/>
          <w:highlight w:val="none"/>
        </w:rPr>
      </w:pPr>
      <w:r>
        <w:rPr>
          <w:rFonts w:hint="eastAsia" w:cs="宋体"/>
          <w:b/>
          <w:bCs/>
          <w:color w:val="auto"/>
          <w:szCs w:val="28"/>
          <w:highlight w:val="none"/>
        </w:rPr>
        <w:t>（四）法律责任</w:t>
      </w:r>
    </w:p>
    <w:p w14:paraId="64319CA9">
      <w:pPr>
        <w:snapToGrid w:val="0"/>
        <w:spacing w:line="480" w:lineRule="atLeast"/>
        <w:ind w:firstLine="560" w:firstLineChars="200"/>
        <w:rPr>
          <w:rFonts w:cs="宋体"/>
          <w:color w:val="auto"/>
          <w:szCs w:val="28"/>
          <w:highlight w:val="none"/>
        </w:rPr>
      </w:pPr>
      <w:r>
        <w:rPr>
          <w:rFonts w:hint="eastAsia" w:cs="宋体"/>
          <w:color w:val="auto"/>
          <w:szCs w:val="28"/>
          <w:highlight w:val="none"/>
        </w:rPr>
        <w:t>供应商违反法律法规等相关规定的，将按规定追究供应商法律责任。</w:t>
      </w:r>
    </w:p>
    <w:p w14:paraId="5FC7EDD8">
      <w:pPr>
        <w:pStyle w:val="4"/>
        <w:spacing w:before="192"/>
        <w:ind w:firstLine="562"/>
        <w:rPr>
          <w:rFonts w:ascii="Times New Roman" w:hAnsi="Times New Roman"/>
          <w:color w:val="auto"/>
          <w:highlight w:val="none"/>
        </w:rPr>
      </w:pPr>
      <w:bookmarkStart w:id="214" w:name="_Toc29706"/>
      <w:bookmarkStart w:id="215" w:name="_Toc24271"/>
      <w:bookmarkStart w:id="216" w:name="_Toc32437"/>
      <w:r>
        <w:rPr>
          <w:rFonts w:hint="eastAsia" w:ascii="Times New Roman" w:hAnsi="Times New Roman"/>
          <w:color w:val="auto"/>
          <w:highlight w:val="none"/>
        </w:rPr>
        <w:t>二、</w:t>
      </w:r>
      <w:bookmarkEnd w:id="214"/>
      <w:bookmarkEnd w:id="215"/>
      <w:bookmarkEnd w:id="216"/>
      <w:r>
        <w:rPr>
          <w:rFonts w:hint="eastAsia" w:ascii="Times New Roman" w:hAnsi="Times New Roman"/>
          <w:color w:val="auto"/>
          <w:highlight w:val="none"/>
        </w:rPr>
        <w:t>竞采文件</w:t>
      </w:r>
    </w:p>
    <w:p w14:paraId="3F93984A">
      <w:pPr>
        <w:snapToGrid w:val="0"/>
        <w:spacing w:line="480" w:lineRule="atLeast"/>
        <w:ind w:firstLine="560" w:firstLineChars="200"/>
        <w:rPr>
          <w:rFonts w:cs="宋体"/>
          <w:color w:val="auto"/>
          <w:szCs w:val="28"/>
          <w:highlight w:val="none"/>
        </w:rPr>
      </w:pPr>
      <w:r>
        <w:rPr>
          <w:rFonts w:hint="eastAsia" w:cs="宋体"/>
          <w:color w:val="auto"/>
          <w:szCs w:val="28"/>
          <w:highlight w:val="none"/>
        </w:rPr>
        <w:t>竞采文件是供应商编制响应文件的依据，是评审小组评判依据和标准。竞采文件也是采购人与成交供应商签订合同的基础。</w:t>
      </w:r>
    </w:p>
    <w:p w14:paraId="574B2B55">
      <w:pPr>
        <w:snapToGrid w:val="0"/>
        <w:spacing w:line="480" w:lineRule="atLeast"/>
        <w:ind w:firstLine="560" w:firstLineChars="200"/>
        <w:rPr>
          <w:rFonts w:cs="宋体"/>
          <w:color w:val="auto"/>
          <w:szCs w:val="28"/>
          <w:highlight w:val="none"/>
        </w:rPr>
      </w:pPr>
      <w:r>
        <w:rPr>
          <w:rFonts w:hint="eastAsia" w:cs="宋体"/>
          <w:color w:val="auto"/>
          <w:szCs w:val="28"/>
          <w:highlight w:val="none"/>
        </w:rPr>
        <w:t>（一）竞采文件由采购邀请书、项目服务需求、项目商务需求、资格审查及评审办法、供应商须知、响应文件格式等六部分组成。</w:t>
      </w:r>
    </w:p>
    <w:p w14:paraId="78F55B3A">
      <w:pPr>
        <w:snapToGrid w:val="0"/>
        <w:spacing w:line="480" w:lineRule="atLeast"/>
        <w:ind w:firstLine="480"/>
        <w:rPr>
          <w:rFonts w:cs="宋体"/>
          <w:color w:val="auto"/>
          <w:szCs w:val="28"/>
          <w:highlight w:val="none"/>
        </w:rPr>
      </w:pPr>
      <w:r>
        <w:rPr>
          <w:rFonts w:hint="eastAsia" w:cs="宋体"/>
          <w:color w:val="auto"/>
          <w:szCs w:val="28"/>
          <w:highlight w:val="none"/>
        </w:rPr>
        <w:t>（二）采购代理机构对竞采文件所作的一切有效的书面通知、修改及补充，都是竞采文件不可分割的部分。</w:t>
      </w:r>
    </w:p>
    <w:p w14:paraId="5A5B5825">
      <w:pPr>
        <w:snapToGrid w:val="0"/>
        <w:spacing w:line="480" w:lineRule="atLeast"/>
        <w:ind w:firstLine="480"/>
        <w:rPr>
          <w:rFonts w:cs="宋体"/>
          <w:color w:val="auto"/>
          <w:szCs w:val="28"/>
          <w:highlight w:val="none"/>
        </w:rPr>
      </w:pPr>
      <w:r>
        <w:rPr>
          <w:rFonts w:hint="eastAsia" w:cs="宋体"/>
          <w:color w:val="auto"/>
          <w:szCs w:val="28"/>
          <w:highlight w:val="none"/>
        </w:rPr>
        <w:t>（三）本项目的竞采文件、澄清文件（如果有）一律在“行采家”网站上发布，请各供应商注意下载；无论供应商下载与否，均视同供应商已知晓本项目竞采文件、澄清文件的内容。</w:t>
      </w:r>
    </w:p>
    <w:p w14:paraId="39567DD3">
      <w:pPr>
        <w:snapToGrid w:val="0"/>
        <w:spacing w:line="480" w:lineRule="atLeast"/>
        <w:ind w:firstLine="560" w:firstLineChars="200"/>
        <w:rPr>
          <w:rFonts w:cs="宋体"/>
          <w:color w:val="auto"/>
          <w:szCs w:val="28"/>
          <w:highlight w:val="none"/>
        </w:rPr>
      </w:pPr>
      <w:r>
        <w:rPr>
          <w:rFonts w:hint="eastAsia" w:cs="宋体"/>
          <w:color w:val="auto"/>
          <w:szCs w:val="28"/>
          <w:highlight w:val="none"/>
        </w:rPr>
        <w:t>（四）采购代理机构对已发出的竞采文件需要进行澄清或修改的，应以书面形式或公告形式通知所有竞采文件收受人。该澄清或者修改的内容为竞采文件的组成部分。</w:t>
      </w:r>
    </w:p>
    <w:p w14:paraId="128AC7AC">
      <w:pPr>
        <w:pStyle w:val="4"/>
        <w:spacing w:before="192"/>
        <w:ind w:firstLine="562"/>
        <w:rPr>
          <w:rFonts w:ascii="Times New Roman" w:hAnsi="Times New Roman"/>
          <w:color w:val="auto"/>
          <w:highlight w:val="none"/>
        </w:rPr>
      </w:pPr>
      <w:bookmarkStart w:id="217" w:name="_Toc21372"/>
      <w:bookmarkStart w:id="218" w:name="_Toc8987"/>
      <w:bookmarkStart w:id="219" w:name="_Toc31145"/>
      <w:r>
        <w:rPr>
          <w:rFonts w:hint="eastAsia" w:ascii="Times New Roman" w:hAnsi="Times New Roman"/>
          <w:color w:val="auto"/>
          <w:highlight w:val="none"/>
        </w:rPr>
        <w:t>三、</w:t>
      </w:r>
      <w:bookmarkEnd w:id="217"/>
      <w:bookmarkEnd w:id="218"/>
      <w:bookmarkEnd w:id="219"/>
      <w:r>
        <w:rPr>
          <w:rFonts w:hint="eastAsia" w:ascii="Times New Roman" w:hAnsi="Times New Roman"/>
          <w:color w:val="auto"/>
          <w:highlight w:val="none"/>
        </w:rPr>
        <w:t>响应文件</w:t>
      </w:r>
    </w:p>
    <w:p w14:paraId="69D5E532">
      <w:pPr>
        <w:snapToGrid w:val="0"/>
        <w:spacing w:line="480" w:lineRule="atLeast"/>
        <w:ind w:firstLine="560" w:firstLineChars="200"/>
        <w:rPr>
          <w:rFonts w:cs="宋体"/>
          <w:color w:val="auto"/>
          <w:szCs w:val="28"/>
          <w:highlight w:val="none"/>
        </w:rPr>
      </w:pPr>
      <w:r>
        <w:rPr>
          <w:rFonts w:hint="eastAsia" w:cs="宋体"/>
          <w:color w:val="auto"/>
          <w:szCs w:val="28"/>
          <w:highlight w:val="none"/>
        </w:rPr>
        <w:t>供应商应当按照竞采文件的要求编制响应文件，并对竞采文件提出的要求和条件作出实质性响应。</w:t>
      </w:r>
    </w:p>
    <w:p w14:paraId="1A95DE59">
      <w:pPr>
        <w:snapToGrid w:val="0"/>
        <w:spacing w:line="480" w:lineRule="atLeast"/>
        <w:ind w:firstLine="562" w:firstLineChars="200"/>
        <w:rPr>
          <w:rFonts w:cs="宋体"/>
          <w:b/>
          <w:bCs/>
          <w:color w:val="auto"/>
          <w:szCs w:val="28"/>
          <w:highlight w:val="none"/>
        </w:rPr>
      </w:pPr>
      <w:r>
        <w:rPr>
          <w:rFonts w:hint="eastAsia" w:cs="宋体"/>
          <w:b/>
          <w:bCs/>
          <w:color w:val="auto"/>
          <w:szCs w:val="28"/>
          <w:highlight w:val="none"/>
        </w:rPr>
        <w:t>（一）响应文件组成</w:t>
      </w:r>
    </w:p>
    <w:p w14:paraId="7102DFBF">
      <w:pPr>
        <w:snapToGrid w:val="0"/>
        <w:spacing w:line="480" w:lineRule="atLeast"/>
        <w:ind w:firstLine="560" w:firstLineChars="200"/>
        <w:rPr>
          <w:rFonts w:cs="宋体"/>
          <w:color w:val="auto"/>
          <w:szCs w:val="28"/>
          <w:highlight w:val="none"/>
        </w:rPr>
      </w:pPr>
      <w:r>
        <w:rPr>
          <w:rFonts w:hint="eastAsia" w:cs="宋体"/>
          <w:color w:val="auto"/>
          <w:szCs w:val="28"/>
          <w:highlight w:val="none"/>
        </w:rPr>
        <w:t>响应文件由第七篇“响应文件格式”规定的部分和供应商所作的一切有效补充、修改和承诺等文件组成，供应商应按照第七篇“响应文件格式”规定的目录顺序组织编写和装订，否则有可能影响评委对响应文件的评审。</w:t>
      </w:r>
    </w:p>
    <w:p w14:paraId="06C17C47">
      <w:pPr>
        <w:snapToGrid w:val="0"/>
        <w:spacing w:line="480" w:lineRule="atLeast"/>
        <w:ind w:firstLine="562" w:firstLineChars="200"/>
        <w:rPr>
          <w:rFonts w:cs="宋体"/>
          <w:b/>
          <w:bCs/>
          <w:color w:val="auto"/>
          <w:szCs w:val="28"/>
          <w:highlight w:val="none"/>
        </w:rPr>
      </w:pPr>
      <w:r>
        <w:rPr>
          <w:rFonts w:hint="eastAsia" w:cs="宋体"/>
          <w:b/>
          <w:bCs/>
          <w:color w:val="auto"/>
          <w:szCs w:val="28"/>
          <w:highlight w:val="none"/>
        </w:rPr>
        <w:t>（二）竞采有效期</w:t>
      </w:r>
    </w:p>
    <w:p w14:paraId="1D4E1E37">
      <w:pPr>
        <w:snapToGrid w:val="0"/>
        <w:spacing w:line="480" w:lineRule="atLeast"/>
        <w:ind w:firstLine="560" w:firstLineChars="200"/>
        <w:rPr>
          <w:color w:val="auto"/>
          <w:highlight w:val="none"/>
        </w:rPr>
      </w:pPr>
      <w:r>
        <w:rPr>
          <w:rFonts w:hint="eastAsia" w:cs="宋体"/>
          <w:color w:val="auto"/>
          <w:szCs w:val="28"/>
          <w:highlight w:val="none"/>
        </w:rPr>
        <w:t>响应文件递交截止时间起90天。</w:t>
      </w:r>
    </w:p>
    <w:p w14:paraId="151F43D6">
      <w:pPr>
        <w:snapToGrid w:val="0"/>
        <w:spacing w:line="480" w:lineRule="atLeast"/>
        <w:ind w:firstLine="562" w:firstLineChars="200"/>
        <w:rPr>
          <w:rFonts w:cs="宋体"/>
          <w:b/>
          <w:bCs/>
          <w:color w:val="auto"/>
          <w:szCs w:val="28"/>
          <w:highlight w:val="none"/>
        </w:rPr>
      </w:pPr>
      <w:r>
        <w:rPr>
          <w:rFonts w:hint="eastAsia" w:cs="宋体"/>
          <w:b/>
          <w:bCs/>
          <w:color w:val="auto"/>
          <w:szCs w:val="28"/>
          <w:highlight w:val="none"/>
        </w:rPr>
        <w:t>（三）响应文件的签署、份数和递交</w:t>
      </w:r>
    </w:p>
    <w:p w14:paraId="449C3675">
      <w:pPr>
        <w:snapToGrid w:val="0"/>
        <w:spacing w:line="480" w:lineRule="atLeast"/>
        <w:ind w:firstLine="560" w:firstLineChars="200"/>
        <w:rPr>
          <w:rFonts w:cs="宋体"/>
          <w:color w:val="auto"/>
          <w:szCs w:val="28"/>
          <w:highlight w:val="none"/>
        </w:rPr>
      </w:pPr>
      <w:r>
        <w:rPr>
          <w:rFonts w:hint="eastAsia" w:cs="宋体"/>
          <w:color w:val="auto"/>
          <w:kern w:val="0"/>
          <w:szCs w:val="28"/>
          <w:highlight w:val="none"/>
        </w:rPr>
        <w:t>1.</w:t>
      </w:r>
      <w:r>
        <w:rPr>
          <w:rFonts w:hint="eastAsia" w:cs="宋体"/>
          <w:color w:val="auto"/>
          <w:szCs w:val="28"/>
          <w:highlight w:val="none"/>
        </w:rPr>
        <w:t>在响应文件中，竞采文件第七篇响应文件格式中规定签署、盖章的地方必须按其规定签署、盖章。</w:t>
      </w:r>
    </w:p>
    <w:p w14:paraId="71654AA5">
      <w:pPr>
        <w:snapToGrid w:val="0"/>
        <w:spacing w:line="480" w:lineRule="atLeast"/>
        <w:ind w:firstLine="560" w:firstLineChars="200"/>
        <w:rPr>
          <w:rFonts w:cs="宋体"/>
          <w:color w:val="auto"/>
          <w:szCs w:val="28"/>
          <w:highlight w:val="none"/>
        </w:rPr>
      </w:pPr>
      <w:r>
        <w:rPr>
          <w:rFonts w:hint="eastAsia" w:cs="宋体"/>
          <w:color w:val="auto"/>
          <w:szCs w:val="28"/>
          <w:highlight w:val="none"/>
        </w:rPr>
        <w:t>2.若供应商对响应文件的错处作必要修改，则应在修改处加盖供应商公章或由法定代表人（或其授权代表）签署确认。</w:t>
      </w:r>
    </w:p>
    <w:p w14:paraId="709FCADE">
      <w:pPr>
        <w:snapToGrid w:val="0"/>
        <w:spacing w:line="480" w:lineRule="atLeast"/>
        <w:ind w:firstLine="560" w:firstLineChars="200"/>
        <w:rPr>
          <w:rFonts w:cs="宋体"/>
          <w:color w:val="auto"/>
          <w:szCs w:val="28"/>
          <w:highlight w:val="none"/>
        </w:rPr>
      </w:pPr>
      <w:r>
        <w:rPr>
          <w:rFonts w:hint="eastAsia" w:cs="宋体"/>
          <w:color w:val="auto"/>
          <w:szCs w:val="28"/>
          <w:highlight w:val="none"/>
        </w:rPr>
        <w:t>3.电报、电话、传真形式的响应文件概不接受。</w:t>
      </w:r>
    </w:p>
    <w:p w14:paraId="3A955265">
      <w:pPr>
        <w:snapToGrid w:val="0"/>
        <w:spacing w:line="480" w:lineRule="atLeast"/>
        <w:ind w:firstLine="560" w:firstLineChars="200"/>
        <w:rPr>
          <w:rFonts w:cs="宋体"/>
          <w:color w:val="auto"/>
          <w:szCs w:val="28"/>
          <w:highlight w:val="none"/>
        </w:rPr>
      </w:pPr>
      <w:r>
        <w:rPr>
          <w:rFonts w:hint="eastAsia" w:cs="宋体"/>
          <w:color w:val="auto"/>
          <w:szCs w:val="28"/>
          <w:highlight w:val="none"/>
        </w:rPr>
        <w:t>4.响应文件一式四份，其中正本一份，副本二份，电子文档一份（电子文档内容应与纸质文件正本一致，如不一致以纸质文件正本为准。推荐采用光盘或U盘为电子文档载体）；副本可为正本的复印件，应与正本一致，如出现不一致情况以正本为准。</w:t>
      </w:r>
    </w:p>
    <w:p w14:paraId="028BF9AA">
      <w:pPr>
        <w:snapToGrid w:val="0"/>
        <w:spacing w:line="480" w:lineRule="atLeast"/>
        <w:ind w:firstLine="560" w:firstLineChars="200"/>
        <w:rPr>
          <w:rFonts w:cs="宋体"/>
          <w:color w:val="auto"/>
          <w:szCs w:val="28"/>
          <w:highlight w:val="none"/>
        </w:rPr>
      </w:pPr>
      <w:r>
        <w:rPr>
          <w:rFonts w:hint="eastAsia" w:cs="宋体"/>
          <w:color w:val="auto"/>
          <w:szCs w:val="28"/>
          <w:highlight w:val="none"/>
        </w:rPr>
        <w:t>5.响应文件的正本、副本以及电子文档均应密封送达竞采地点，应在封套上注明项目名称、单位名称。若正本、副本以及电子文档分别进行密封的，还应在封套上注明“正本”、“副本”、“电子文档”字样。</w:t>
      </w:r>
    </w:p>
    <w:p w14:paraId="59C8A505">
      <w:pPr>
        <w:snapToGrid w:val="0"/>
        <w:spacing w:line="480" w:lineRule="atLeast"/>
        <w:ind w:firstLine="562" w:firstLineChars="200"/>
        <w:rPr>
          <w:rFonts w:cs="宋体"/>
          <w:b/>
          <w:bCs/>
          <w:color w:val="auto"/>
          <w:szCs w:val="28"/>
          <w:highlight w:val="none"/>
        </w:rPr>
      </w:pPr>
      <w:r>
        <w:rPr>
          <w:rFonts w:hint="eastAsia" w:cs="宋体"/>
          <w:b/>
          <w:bCs/>
          <w:color w:val="auto"/>
          <w:szCs w:val="28"/>
          <w:highlight w:val="none"/>
        </w:rPr>
        <w:t>（四）竞采报价</w:t>
      </w:r>
    </w:p>
    <w:p w14:paraId="26679474">
      <w:pPr>
        <w:snapToGrid w:val="0"/>
        <w:spacing w:line="480" w:lineRule="atLeast"/>
        <w:ind w:firstLine="560" w:firstLineChars="200"/>
        <w:rPr>
          <w:rFonts w:cs="宋体"/>
          <w:color w:val="auto"/>
          <w:szCs w:val="28"/>
          <w:highlight w:val="none"/>
        </w:rPr>
      </w:pPr>
      <w:r>
        <w:rPr>
          <w:rFonts w:hint="eastAsia" w:cs="宋体"/>
          <w:color w:val="auto"/>
          <w:szCs w:val="28"/>
          <w:highlight w:val="none"/>
        </w:rPr>
        <w:t>1.供应商应严格按照“响应文件格式”中“报价一览表”的格式填写报价。</w:t>
      </w:r>
    </w:p>
    <w:p w14:paraId="305DB0EB">
      <w:pPr>
        <w:snapToGrid w:val="0"/>
        <w:spacing w:line="480" w:lineRule="atLeast"/>
        <w:ind w:firstLine="560" w:firstLineChars="200"/>
        <w:rPr>
          <w:rFonts w:cs="宋体"/>
          <w:color w:val="auto"/>
          <w:szCs w:val="28"/>
          <w:highlight w:val="none"/>
        </w:rPr>
      </w:pPr>
      <w:r>
        <w:rPr>
          <w:rFonts w:hint="eastAsia" w:cs="宋体"/>
          <w:color w:val="auto"/>
          <w:szCs w:val="28"/>
          <w:highlight w:val="none"/>
        </w:rPr>
        <w:t>2.供应商的报价为一次性报价，即在竞采有效期内报价固定不变。</w:t>
      </w:r>
    </w:p>
    <w:p w14:paraId="58FB438F">
      <w:pPr>
        <w:snapToGrid w:val="0"/>
        <w:spacing w:line="480" w:lineRule="atLeast"/>
        <w:ind w:firstLine="560" w:firstLineChars="200"/>
        <w:rPr>
          <w:rFonts w:cs="宋体"/>
          <w:color w:val="auto"/>
          <w:szCs w:val="28"/>
          <w:highlight w:val="none"/>
        </w:rPr>
      </w:pPr>
      <w:r>
        <w:rPr>
          <w:rFonts w:hint="eastAsia" w:cs="宋体"/>
          <w:color w:val="auto"/>
          <w:szCs w:val="28"/>
          <w:highlight w:val="none"/>
        </w:rPr>
        <w:t>3.本项目只接受一个报价，有选择的或有条件的报价将不予接受，作无效响应处理。</w:t>
      </w:r>
    </w:p>
    <w:p w14:paraId="1329AE42">
      <w:pPr>
        <w:snapToGrid w:val="0"/>
        <w:spacing w:line="480" w:lineRule="atLeast"/>
        <w:ind w:firstLine="562" w:firstLineChars="200"/>
        <w:rPr>
          <w:rFonts w:cs="宋体"/>
          <w:b/>
          <w:bCs/>
          <w:color w:val="auto"/>
          <w:szCs w:val="28"/>
          <w:highlight w:val="none"/>
        </w:rPr>
      </w:pPr>
      <w:r>
        <w:rPr>
          <w:rFonts w:hint="eastAsia" w:cs="宋体"/>
          <w:b/>
          <w:bCs/>
          <w:color w:val="auto"/>
          <w:szCs w:val="28"/>
          <w:highlight w:val="none"/>
        </w:rPr>
        <w:t>（五）修正错误</w:t>
      </w:r>
    </w:p>
    <w:p w14:paraId="349DF57A">
      <w:pPr>
        <w:snapToGrid w:val="0"/>
        <w:spacing w:line="480" w:lineRule="atLeast"/>
        <w:ind w:firstLine="560" w:firstLineChars="200"/>
        <w:rPr>
          <w:rFonts w:cs="宋体"/>
          <w:color w:val="auto"/>
          <w:szCs w:val="28"/>
          <w:highlight w:val="none"/>
        </w:rPr>
      </w:pPr>
      <w:r>
        <w:rPr>
          <w:rFonts w:hint="eastAsia" w:cs="宋体"/>
          <w:color w:val="auto"/>
          <w:szCs w:val="28"/>
          <w:highlight w:val="none"/>
        </w:rPr>
        <w:t>若响应文件出现计算或表达上的错误，修正错误的原则如下：</w:t>
      </w:r>
    </w:p>
    <w:p w14:paraId="6EE5EF2A">
      <w:pPr>
        <w:snapToGrid w:val="0"/>
        <w:spacing w:line="480" w:lineRule="atLeast"/>
        <w:ind w:firstLine="560" w:firstLineChars="200"/>
        <w:rPr>
          <w:rFonts w:cs="宋体"/>
          <w:color w:val="auto"/>
          <w:szCs w:val="28"/>
          <w:highlight w:val="none"/>
        </w:rPr>
      </w:pPr>
      <w:r>
        <w:rPr>
          <w:rFonts w:hint="eastAsia" w:cs="宋体"/>
          <w:color w:val="auto"/>
          <w:szCs w:val="28"/>
          <w:highlight w:val="none"/>
        </w:rPr>
        <w:t>1.</w:t>
      </w:r>
      <w:r>
        <w:rPr>
          <w:rFonts w:hint="eastAsia" w:ascii="宋体" w:hAnsi="宋体" w:cs="宋体"/>
          <w:color w:val="auto"/>
          <w:szCs w:val="28"/>
          <w:highlight w:val="none"/>
        </w:rPr>
        <w:t>出现大写不规范（例如“壹万壹仟元”写作“壹点壹万元”）或少数错别字（例如“玖”写作“九”）等不影响判断其实质意义的情况，可视同有效</w:t>
      </w:r>
      <w:r>
        <w:rPr>
          <w:rFonts w:hint="eastAsia" w:cs="宋体"/>
          <w:color w:val="auto"/>
          <w:szCs w:val="28"/>
          <w:highlight w:val="none"/>
        </w:rPr>
        <w:t>。</w:t>
      </w:r>
    </w:p>
    <w:p w14:paraId="43253A09">
      <w:pPr>
        <w:snapToGrid w:val="0"/>
        <w:spacing w:line="480" w:lineRule="atLeast"/>
        <w:ind w:firstLine="560" w:firstLineChars="200"/>
        <w:rPr>
          <w:rFonts w:cs="宋体"/>
          <w:color w:val="auto"/>
          <w:szCs w:val="28"/>
          <w:highlight w:val="none"/>
        </w:rPr>
      </w:pPr>
      <w:r>
        <w:rPr>
          <w:rFonts w:hint="eastAsia" w:cs="宋体"/>
          <w:color w:val="auto"/>
          <w:szCs w:val="28"/>
          <w:highlight w:val="none"/>
        </w:rPr>
        <w:t>2.总价金额与按单价汇总金额不一致的，以单价金额计算结果为准。</w:t>
      </w:r>
    </w:p>
    <w:p w14:paraId="525936AA">
      <w:pPr>
        <w:snapToGrid w:val="0"/>
        <w:spacing w:line="480" w:lineRule="atLeast"/>
        <w:ind w:firstLine="560" w:firstLineChars="200"/>
        <w:rPr>
          <w:rFonts w:cs="宋体"/>
          <w:color w:val="auto"/>
          <w:szCs w:val="28"/>
          <w:highlight w:val="none"/>
        </w:rPr>
      </w:pPr>
      <w:r>
        <w:rPr>
          <w:rFonts w:hint="eastAsia" w:cs="宋体"/>
          <w:color w:val="auto"/>
          <w:szCs w:val="28"/>
          <w:highlight w:val="none"/>
        </w:rPr>
        <w:t>评审小组按上述修正错误的原则及方法调整或修正供应商报价，若同时出现两种以上不一致的，按照前款规定的顺序修正，修正后的报价对供应商具有约束作用。</w:t>
      </w:r>
    </w:p>
    <w:p w14:paraId="52E6B7E4">
      <w:pPr>
        <w:pStyle w:val="4"/>
        <w:spacing w:before="192"/>
        <w:ind w:firstLine="562"/>
        <w:rPr>
          <w:rFonts w:ascii="Times New Roman" w:hAnsi="Times New Roman"/>
          <w:color w:val="auto"/>
          <w:highlight w:val="none"/>
        </w:rPr>
      </w:pPr>
      <w:bookmarkStart w:id="220" w:name="_Toc2488"/>
      <w:bookmarkStart w:id="221" w:name="_Toc27146"/>
      <w:bookmarkStart w:id="222" w:name="_Toc28317"/>
      <w:r>
        <w:rPr>
          <w:rFonts w:hint="eastAsia" w:ascii="Times New Roman" w:hAnsi="Times New Roman"/>
          <w:color w:val="auto"/>
          <w:highlight w:val="none"/>
        </w:rPr>
        <w:t>四、评审流程</w:t>
      </w:r>
      <w:bookmarkEnd w:id="220"/>
      <w:bookmarkEnd w:id="221"/>
      <w:r>
        <w:rPr>
          <w:rFonts w:hint="eastAsia" w:ascii="Times New Roman" w:hAnsi="Times New Roman"/>
          <w:color w:val="auto"/>
          <w:highlight w:val="none"/>
        </w:rPr>
        <w:t>及标准</w:t>
      </w:r>
      <w:bookmarkEnd w:id="222"/>
    </w:p>
    <w:p w14:paraId="6BDE7E18">
      <w:pPr>
        <w:snapToGrid w:val="0"/>
        <w:spacing w:line="480" w:lineRule="atLeast"/>
        <w:ind w:firstLine="560" w:firstLineChars="200"/>
        <w:rPr>
          <w:rFonts w:cs="宋体"/>
          <w:color w:val="auto"/>
          <w:szCs w:val="28"/>
          <w:highlight w:val="none"/>
        </w:rPr>
      </w:pPr>
      <w:r>
        <w:rPr>
          <w:rFonts w:hint="eastAsia" w:cs="宋体"/>
          <w:color w:val="auto"/>
          <w:szCs w:val="28"/>
          <w:highlight w:val="none"/>
        </w:rPr>
        <w:t>见第四篇。</w:t>
      </w:r>
    </w:p>
    <w:p w14:paraId="59AC3A8A">
      <w:pPr>
        <w:pStyle w:val="4"/>
        <w:spacing w:before="192"/>
        <w:ind w:firstLine="562"/>
        <w:rPr>
          <w:rFonts w:ascii="Times New Roman" w:hAnsi="Times New Roman"/>
          <w:color w:val="auto"/>
          <w:highlight w:val="none"/>
        </w:rPr>
      </w:pPr>
      <w:bookmarkStart w:id="223" w:name="_Toc26213"/>
      <w:bookmarkStart w:id="224" w:name="_Toc23216"/>
      <w:bookmarkStart w:id="225" w:name="_Toc12781"/>
      <w:r>
        <w:rPr>
          <w:rFonts w:hint="eastAsia" w:ascii="Times New Roman" w:hAnsi="Times New Roman"/>
          <w:color w:val="auto"/>
          <w:highlight w:val="none"/>
        </w:rPr>
        <w:t>五、确认</w:t>
      </w:r>
      <w:bookmarkEnd w:id="223"/>
      <w:bookmarkEnd w:id="224"/>
      <w:bookmarkEnd w:id="225"/>
      <w:r>
        <w:rPr>
          <w:rFonts w:hint="eastAsia" w:ascii="Times New Roman" w:hAnsi="Times New Roman"/>
          <w:color w:val="auto"/>
          <w:highlight w:val="none"/>
        </w:rPr>
        <w:t>成交供应商</w:t>
      </w:r>
    </w:p>
    <w:p w14:paraId="7099BD02">
      <w:pPr>
        <w:snapToGrid w:val="0"/>
        <w:spacing w:line="480" w:lineRule="atLeast"/>
        <w:ind w:firstLine="562" w:firstLineChars="200"/>
        <w:rPr>
          <w:rFonts w:cs="宋体"/>
          <w:b/>
          <w:bCs/>
          <w:color w:val="auto"/>
          <w:szCs w:val="28"/>
          <w:highlight w:val="none"/>
        </w:rPr>
      </w:pPr>
      <w:r>
        <w:rPr>
          <w:rFonts w:hint="eastAsia" w:cs="宋体"/>
          <w:b/>
          <w:bCs/>
          <w:color w:val="auto"/>
          <w:szCs w:val="28"/>
          <w:highlight w:val="none"/>
        </w:rPr>
        <w:t>（一）原则</w:t>
      </w:r>
    </w:p>
    <w:p w14:paraId="5D53CC33">
      <w:pPr>
        <w:snapToGrid w:val="0"/>
        <w:spacing w:line="480" w:lineRule="atLeast"/>
        <w:ind w:firstLine="560" w:firstLineChars="200"/>
        <w:rPr>
          <w:rFonts w:cs="宋体"/>
          <w:color w:val="auto"/>
          <w:szCs w:val="28"/>
          <w:highlight w:val="none"/>
        </w:rPr>
      </w:pPr>
      <w:r>
        <w:rPr>
          <w:rFonts w:hint="eastAsia" w:cs="宋体"/>
          <w:color w:val="auto"/>
          <w:szCs w:val="28"/>
          <w:highlight w:val="none"/>
        </w:rPr>
        <w:t>采购人或其授权的评审小组应按照评审报告中推荐的成交候选人排名顺序确定成交供应商。</w:t>
      </w:r>
    </w:p>
    <w:p w14:paraId="14D0E23F">
      <w:pPr>
        <w:snapToGrid w:val="0"/>
        <w:spacing w:line="480" w:lineRule="atLeast"/>
        <w:ind w:firstLine="562" w:firstLineChars="200"/>
        <w:rPr>
          <w:rFonts w:cs="宋体"/>
          <w:b/>
          <w:bCs/>
          <w:color w:val="auto"/>
          <w:szCs w:val="28"/>
          <w:highlight w:val="none"/>
        </w:rPr>
      </w:pPr>
      <w:r>
        <w:rPr>
          <w:rFonts w:hint="eastAsia" w:cs="宋体"/>
          <w:b/>
          <w:bCs/>
          <w:color w:val="auto"/>
          <w:szCs w:val="28"/>
          <w:highlight w:val="none"/>
        </w:rPr>
        <w:t>（二）程序</w:t>
      </w:r>
    </w:p>
    <w:p w14:paraId="6F5324E9">
      <w:pPr>
        <w:snapToGrid w:val="0"/>
        <w:spacing w:line="480" w:lineRule="atLeast"/>
        <w:ind w:firstLine="560" w:firstLineChars="200"/>
        <w:rPr>
          <w:rFonts w:cs="宋体"/>
          <w:color w:val="auto"/>
          <w:szCs w:val="28"/>
          <w:highlight w:val="none"/>
        </w:rPr>
      </w:pPr>
      <w:r>
        <w:rPr>
          <w:rFonts w:hint="eastAsia" w:cs="宋体"/>
          <w:color w:val="auto"/>
          <w:szCs w:val="28"/>
          <w:highlight w:val="none"/>
        </w:rPr>
        <w:t>1.采购代理机构应当在评审结束之日起2个工作日内将评审报告送采购人。</w:t>
      </w:r>
    </w:p>
    <w:p w14:paraId="5E8E3F08">
      <w:pPr>
        <w:snapToGrid w:val="0"/>
        <w:spacing w:line="480" w:lineRule="atLeast"/>
        <w:ind w:firstLine="560" w:firstLineChars="200"/>
        <w:rPr>
          <w:rFonts w:cs="宋体"/>
          <w:color w:val="auto"/>
          <w:szCs w:val="28"/>
          <w:highlight w:val="none"/>
        </w:rPr>
      </w:pPr>
      <w:r>
        <w:rPr>
          <w:rFonts w:hint="eastAsia" w:cs="宋体"/>
          <w:color w:val="auto"/>
          <w:szCs w:val="28"/>
          <w:highlight w:val="none"/>
        </w:rPr>
        <w:t>2.采购人应当自收到评审报告之日起5个工作日内按评审报告推荐的成交候选人顺序确定成交供应商。</w:t>
      </w:r>
    </w:p>
    <w:p w14:paraId="1EB1C763">
      <w:pPr>
        <w:snapToGrid w:val="0"/>
        <w:spacing w:line="480" w:lineRule="atLeast"/>
        <w:ind w:firstLine="560" w:firstLineChars="200"/>
        <w:rPr>
          <w:rFonts w:cs="宋体"/>
          <w:color w:val="auto"/>
          <w:szCs w:val="28"/>
          <w:highlight w:val="none"/>
        </w:rPr>
      </w:pPr>
      <w:r>
        <w:rPr>
          <w:rFonts w:hint="eastAsia" w:cs="宋体"/>
          <w:color w:val="auto"/>
          <w:szCs w:val="28"/>
          <w:highlight w:val="none"/>
        </w:rPr>
        <w:t>3.采购人或者采购代理机构应当自成交供应商确定之日起2个工作日内，在“行采家”公告成交结果。</w:t>
      </w:r>
    </w:p>
    <w:p w14:paraId="3B9FAEB6">
      <w:pPr>
        <w:pStyle w:val="4"/>
        <w:spacing w:before="192"/>
        <w:ind w:firstLine="562"/>
        <w:rPr>
          <w:rFonts w:ascii="Times New Roman" w:hAnsi="Times New Roman"/>
          <w:color w:val="auto"/>
          <w:highlight w:val="none"/>
        </w:rPr>
      </w:pPr>
      <w:bookmarkStart w:id="226" w:name="_Toc18089"/>
      <w:bookmarkStart w:id="227" w:name="_Toc7093"/>
      <w:bookmarkStart w:id="228" w:name="_Toc6219"/>
      <w:r>
        <w:rPr>
          <w:rFonts w:hint="eastAsia" w:ascii="Times New Roman" w:hAnsi="Times New Roman"/>
          <w:color w:val="auto"/>
          <w:highlight w:val="none"/>
        </w:rPr>
        <w:t>六、</w:t>
      </w:r>
      <w:bookmarkEnd w:id="226"/>
      <w:bookmarkEnd w:id="227"/>
      <w:bookmarkEnd w:id="228"/>
      <w:r>
        <w:rPr>
          <w:rFonts w:hint="eastAsia" w:ascii="Times New Roman" w:hAnsi="Times New Roman"/>
          <w:color w:val="auto"/>
          <w:highlight w:val="none"/>
        </w:rPr>
        <w:t>成交</w:t>
      </w:r>
    </w:p>
    <w:p w14:paraId="279C36B3">
      <w:pPr>
        <w:snapToGrid w:val="0"/>
        <w:spacing w:line="480" w:lineRule="atLeast"/>
        <w:ind w:firstLine="560" w:firstLineChars="200"/>
        <w:rPr>
          <w:rFonts w:cs="宋体"/>
          <w:color w:val="auto"/>
          <w:szCs w:val="28"/>
          <w:highlight w:val="none"/>
        </w:rPr>
      </w:pPr>
      <w:r>
        <w:rPr>
          <w:rFonts w:hint="eastAsia" w:cs="宋体"/>
          <w:color w:val="auto"/>
          <w:szCs w:val="28"/>
          <w:highlight w:val="none"/>
        </w:rPr>
        <w:t>（一）采购人依法确定成交供应商后，采购代理机构进行结果公示。</w:t>
      </w:r>
    </w:p>
    <w:p w14:paraId="49EBC7BF">
      <w:pPr>
        <w:snapToGrid w:val="0"/>
        <w:spacing w:line="480" w:lineRule="atLeast"/>
        <w:ind w:firstLine="560" w:firstLineChars="200"/>
        <w:rPr>
          <w:rFonts w:cs="宋体"/>
          <w:color w:val="auto"/>
          <w:szCs w:val="28"/>
          <w:highlight w:val="none"/>
        </w:rPr>
      </w:pPr>
      <w:r>
        <w:rPr>
          <w:rFonts w:hint="eastAsia" w:cs="宋体"/>
          <w:color w:val="auto"/>
          <w:szCs w:val="28"/>
          <w:highlight w:val="none"/>
        </w:rPr>
        <w:t>（二）成交供应商无正当理由放弃成交资格的应当承担相应的法律责任。</w:t>
      </w:r>
    </w:p>
    <w:p w14:paraId="7CED77E0">
      <w:pPr>
        <w:snapToGrid w:val="0"/>
        <w:spacing w:line="480" w:lineRule="atLeast"/>
        <w:ind w:firstLine="560" w:firstLineChars="200"/>
        <w:rPr>
          <w:rFonts w:cs="宋体"/>
          <w:color w:val="auto"/>
          <w:szCs w:val="28"/>
          <w:highlight w:val="none"/>
        </w:rPr>
      </w:pPr>
      <w:r>
        <w:rPr>
          <w:rFonts w:hint="eastAsia" w:cs="宋体"/>
          <w:color w:val="auto"/>
          <w:szCs w:val="28"/>
          <w:highlight w:val="none"/>
        </w:rPr>
        <w:t>（三）成交供应商拒绝与采购人签订合同的，采购人可以按照评审报告推荐的成交候选人顺序，确定排名下一位的候选人为成交供应商，也可以重新开展竞采活动。</w:t>
      </w:r>
    </w:p>
    <w:p w14:paraId="6071453D">
      <w:pPr>
        <w:pStyle w:val="4"/>
        <w:spacing w:before="192"/>
        <w:ind w:firstLine="562"/>
        <w:rPr>
          <w:rFonts w:ascii="Times New Roman" w:hAnsi="Times New Roman"/>
          <w:color w:val="auto"/>
          <w:highlight w:val="none"/>
        </w:rPr>
      </w:pPr>
      <w:bookmarkStart w:id="229" w:name="_Toc12557"/>
      <w:bookmarkStart w:id="230" w:name="_Toc20725"/>
      <w:bookmarkStart w:id="231" w:name="_Toc15324"/>
      <w:r>
        <w:rPr>
          <w:rFonts w:hint="eastAsia" w:ascii="Times New Roman" w:hAnsi="Times New Roman"/>
          <w:color w:val="auto"/>
          <w:highlight w:val="none"/>
        </w:rPr>
        <w:t>七、采购代理服务费</w:t>
      </w:r>
      <w:bookmarkEnd w:id="229"/>
      <w:bookmarkEnd w:id="230"/>
      <w:bookmarkEnd w:id="231"/>
    </w:p>
    <w:p w14:paraId="63AD68B5">
      <w:pPr>
        <w:spacing w:line="480" w:lineRule="atLeast"/>
        <w:ind w:firstLine="560" w:firstLineChars="200"/>
        <w:rPr>
          <w:rFonts w:cs="宋体"/>
          <w:color w:val="auto"/>
          <w:szCs w:val="28"/>
          <w:highlight w:val="none"/>
        </w:rPr>
      </w:pPr>
      <w:bookmarkStart w:id="232" w:name="OLE_LINK8"/>
      <w:bookmarkStart w:id="233" w:name="OLE_LINK7"/>
      <w:r>
        <w:rPr>
          <w:rFonts w:hint="eastAsia" w:cs="宋体"/>
          <w:color w:val="auto"/>
          <w:szCs w:val="28"/>
          <w:highlight w:val="none"/>
        </w:rPr>
        <w:t>供应商成交后向采购代理机构缴纳代理服务费</w:t>
      </w:r>
      <w:bookmarkEnd w:id="232"/>
      <w:bookmarkEnd w:id="233"/>
      <w:bookmarkStart w:id="234" w:name="_Toc28733"/>
      <w:r>
        <w:rPr>
          <w:rFonts w:hint="eastAsia" w:cs="宋体"/>
          <w:color w:val="auto"/>
          <w:szCs w:val="28"/>
          <w:highlight w:val="none"/>
        </w:rPr>
        <w:t>：按预算总金额</w:t>
      </w:r>
      <w:r>
        <w:rPr>
          <w:rFonts w:hint="eastAsia" w:ascii="宋体" w:hAnsi="宋体" w:cs="仿宋"/>
          <w:color w:val="auto"/>
          <w:szCs w:val="28"/>
          <w:highlight w:val="none"/>
        </w:rPr>
        <w:t>×1.5%×成交折扣（换算为百分比）计算，计算后</w:t>
      </w:r>
      <w:r>
        <w:rPr>
          <w:rFonts w:hint="eastAsia" w:cs="宋体"/>
          <w:color w:val="auto"/>
          <w:szCs w:val="28"/>
          <w:highlight w:val="none"/>
        </w:rPr>
        <w:t>不足3000元的按3000元收取，缴费账户同报名费缴纳账户。</w:t>
      </w:r>
    </w:p>
    <w:p w14:paraId="0B5D54F9">
      <w:pPr>
        <w:pStyle w:val="4"/>
        <w:spacing w:before="192"/>
        <w:ind w:firstLine="562"/>
        <w:rPr>
          <w:rFonts w:ascii="Times New Roman" w:hAnsi="Times New Roman"/>
          <w:color w:val="auto"/>
          <w:highlight w:val="none"/>
        </w:rPr>
      </w:pPr>
      <w:bookmarkStart w:id="235" w:name="_Toc12565"/>
      <w:bookmarkStart w:id="236" w:name="_Toc5049"/>
      <w:r>
        <w:rPr>
          <w:rFonts w:hint="eastAsia" w:ascii="Times New Roman" w:hAnsi="Times New Roman"/>
          <w:color w:val="auto"/>
          <w:highlight w:val="none"/>
        </w:rPr>
        <w:t>八、签订合同</w:t>
      </w:r>
      <w:bookmarkEnd w:id="234"/>
      <w:bookmarkEnd w:id="235"/>
      <w:bookmarkEnd w:id="236"/>
    </w:p>
    <w:p w14:paraId="10CE4EC8">
      <w:pPr>
        <w:spacing w:line="480" w:lineRule="atLeast"/>
        <w:ind w:firstLine="560" w:firstLineChars="200"/>
        <w:rPr>
          <w:rFonts w:cs="宋体"/>
          <w:color w:val="auto"/>
          <w:szCs w:val="28"/>
          <w:highlight w:val="none"/>
        </w:rPr>
      </w:pPr>
      <w:r>
        <w:rPr>
          <w:rFonts w:hint="eastAsia" w:cs="宋体"/>
          <w:color w:val="auto"/>
          <w:szCs w:val="28"/>
          <w:highlight w:val="none"/>
        </w:rPr>
        <w:t>（一）采购人原则上应在成交确认书发出之日起二十日内和成交供应商签订合同，无正当理由不得拒绝或拖延合同签订。所签订的合同不得对竞采文件和成交供应商响应文件作实质性修改。</w:t>
      </w:r>
      <w:r>
        <w:rPr>
          <w:rFonts w:hint="eastAsia" w:cs="宋体"/>
          <w:color w:val="auto"/>
          <w:kern w:val="0"/>
          <w:szCs w:val="28"/>
          <w:highlight w:val="none"/>
        </w:rPr>
        <w:t>其他未尽事宜由采购人和成交供应商在合同中详细约定。</w:t>
      </w:r>
    </w:p>
    <w:p w14:paraId="26A65CC5">
      <w:pPr>
        <w:spacing w:line="480" w:lineRule="atLeast"/>
        <w:ind w:firstLine="560" w:firstLineChars="200"/>
        <w:rPr>
          <w:rFonts w:cs="宋体"/>
          <w:color w:val="auto"/>
          <w:szCs w:val="28"/>
          <w:highlight w:val="none"/>
        </w:rPr>
      </w:pPr>
      <w:r>
        <w:rPr>
          <w:rFonts w:hint="eastAsia" w:cs="宋体"/>
          <w:color w:val="auto"/>
          <w:szCs w:val="28"/>
          <w:highlight w:val="none"/>
        </w:rPr>
        <w:t>（二）竞采文件、成交供应商的响应文件及澄清文件等，均为签订合同的依据。</w:t>
      </w:r>
    </w:p>
    <w:p w14:paraId="1721423C">
      <w:pPr>
        <w:spacing w:line="480" w:lineRule="atLeast"/>
        <w:ind w:firstLine="560" w:firstLineChars="200"/>
        <w:rPr>
          <w:rFonts w:cs="宋体"/>
          <w:color w:val="auto"/>
          <w:szCs w:val="28"/>
          <w:highlight w:val="none"/>
        </w:rPr>
      </w:pPr>
      <w:r>
        <w:rPr>
          <w:rFonts w:hint="eastAsia" w:cs="宋体"/>
          <w:color w:val="auto"/>
          <w:szCs w:val="28"/>
          <w:highlight w:val="none"/>
        </w:rPr>
        <w:t>（三）合同生效条款由供需双方约定，法律、行政法规规定应当办理批准、登记等手续后生效的合同，依照其规定。</w:t>
      </w:r>
    </w:p>
    <w:p w14:paraId="7F827DF8">
      <w:pPr>
        <w:spacing w:line="480" w:lineRule="atLeast"/>
        <w:ind w:firstLine="560" w:firstLineChars="200"/>
        <w:rPr>
          <w:rFonts w:cs="宋体"/>
          <w:color w:val="auto"/>
          <w:szCs w:val="28"/>
          <w:highlight w:val="none"/>
        </w:rPr>
      </w:pPr>
      <w:r>
        <w:rPr>
          <w:rFonts w:hint="eastAsia" w:cs="宋体"/>
          <w:color w:val="auto"/>
          <w:szCs w:val="28"/>
          <w:highlight w:val="none"/>
        </w:rPr>
        <w:t>（四）本竞采文件中的合同版式仅供参考，在双方签订合同时可自行选用其他版本。</w:t>
      </w:r>
    </w:p>
    <w:p w14:paraId="2CBABA4E">
      <w:pPr>
        <w:pStyle w:val="4"/>
        <w:spacing w:before="192"/>
        <w:ind w:firstLine="562"/>
        <w:rPr>
          <w:rFonts w:ascii="Times New Roman" w:hAnsi="Times New Roman"/>
          <w:color w:val="auto"/>
          <w:highlight w:val="none"/>
        </w:rPr>
      </w:pPr>
      <w:bookmarkStart w:id="237" w:name="_Toc23965"/>
      <w:bookmarkStart w:id="238" w:name="_Toc23671"/>
      <w:bookmarkStart w:id="239" w:name="_Toc11349"/>
      <w:bookmarkStart w:id="240" w:name="_Toc11558"/>
      <w:bookmarkStart w:id="241" w:name="_Toc12465"/>
      <w:bookmarkStart w:id="242" w:name="_Toc26438"/>
      <w:bookmarkStart w:id="243" w:name="_Toc4207"/>
      <w:bookmarkStart w:id="244" w:name="_Toc4923"/>
      <w:bookmarkStart w:id="245" w:name="_Toc29139"/>
      <w:bookmarkStart w:id="246" w:name="_Toc21197"/>
      <w:bookmarkStart w:id="247" w:name="_Toc13027"/>
      <w:bookmarkStart w:id="248" w:name="_Toc23473"/>
      <w:bookmarkStart w:id="249" w:name="_Toc106030411"/>
      <w:bookmarkStart w:id="250" w:name="_Toc9393"/>
      <w:bookmarkStart w:id="251" w:name="_Toc1406"/>
      <w:bookmarkStart w:id="252" w:name="_Toc13934"/>
      <w:bookmarkStart w:id="253" w:name="_Toc25795"/>
      <w:r>
        <w:rPr>
          <w:rFonts w:hint="eastAsia" w:ascii="Times New Roman" w:hAnsi="Times New Roman"/>
          <w:color w:val="auto"/>
          <w:highlight w:val="none"/>
        </w:rPr>
        <w:t>九、</w:t>
      </w:r>
      <w:bookmarkEnd w:id="237"/>
      <w:bookmarkEnd w:id="238"/>
      <w:bookmarkEnd w:id="239"/>
      <w:bookmarkEnd w:id="240"/>
      <w:r>
        <w:rPr>
          <w:rFonts w:hint="eastAsia" w:ascii="Times New Roman" w:hAnsi="Times New Roman"/>
          <w:color w:val="auto"/>
          <w:highlight w:val="none"/>
        </w:rPr>
        <w:t>项目验收</w:t>
      </w:r>
      <w:bookmarkEnd w:id="241"/>
      <w:bookmarkEnd w:id="242"/>
      <w:bookmarkEnd w:id="243"/>
      <w:bookmarkEnd w:id="244"/>
      <w:bookmarkEnd w:id="245"/>
      <w:bookmarkEnd w:id="246"/>
      <w:bookmarkEnd w:id="247"/>
      <w:bookmarkEnd w:id="248"/>
      <w:bookmarkEnd w:id="249"/>
      <w:bookmarkEnd w:id="250"/>
      <w:bookmarkEnd w:id="251"/>
      <w:bookmarkEnd w:id="252"/>
      <w:bookmarkEnd w:id="253"/>
    </w:p>
    <w:p w14:paraId="59DD711B">
      <w:pPr>
        <w:spacing w:line="480" w:lineRule="atLeast"/>
        <w:ind w:firstLine="560" w:firstLineChars="200"/>
        <w:rPr>
          <w:rFonts w:cs="宋体"/>
          <w:b/>
          <w:color w:val="auto"/>
          <w:szCs w:val="28"/>
          <w:highlight w:val="none"/>
        </w:rPr>
      </w:pPr>
      <w:r>
        <w:rPr>
          <w:rFonts w:hint="eastAsia" w:cs="宋体"/>
          <w:color w:val="auto"/>
          <w:szCs w:val="28"/>
          <w:highlight w:val="none"/>
        </w:rPr>
        <w:t>合同执行完毕，由采购人组织履约情况验收，不得无故拖延或附加额外条件。</w:t>
      </w:r>
      <w:bookmarkStart w:id="254" w:name="_Toc75793535"/>
      <w:bookmarkStart w:id="255" w:name="_Toc15435"/>
      <w:bookmarkStart w:id="256" w:name="_Toc13368"/>
      <w:bookmarkStart w:id="257" w:name="_Toc3421"/>
      <w:bookmarkStart w:id="258" w:name="_Toc13050"/>
      <w:bookmarkStart w:id="259" w:name="_Toc21850"/>
      <w:bookmarkStart w:id="260" w:name="_Toc19188"/>
      <w:bookmarkStart w:id="261" w:name="_Toc13002"/>
      <w:bookmarkStart w:id="262" w:name="_Toc31578"/>
      <w:bookmarkStart w:id="263" w:name="_Toc31383"/>
      <w:bookmarkStart w:id="264" w:name="_Toc20328"/>
      <w:bookmarkStart w:id="265" w:name="_Toc2195"/>
    </w:p>
    <w:bookmarkEnd w:id="254"/>
    <w:bookmarkEnd w:id="255"/>
    <w:bookmarkEnd w:id="256"/>
    <w:bookmarkEnd w:id="257"/>
    <w:bookmarkEnd w:id="258"/>
    <w:bookmarkEnd w:id="259"/>
    <w:bookmarkEnd w:id="260"/>
    <w:bookmarkEnd w:id="261"/>
    <w:bookmarkEnd w:id="262"/>
    <w:bookmarkEnd w:id="263"/>
    <w:bookmarkEnd w:id="264"/>
    <w:bookmarkEnd w:id="265"/>
    <w:p w14:paraId="3B7C70F1">
      <w:pPr>
        <w:spacing w:line="480" w:lineRule="atLeast"/>
        <w:rPr>
          <w:rStyle w:val="37"/>
          <w:rFonts w:cs="宋体"/>
          <w:color w:val="auto"/>
          <w:highlight w:val="none"/>
        </w:rPr>
      </w:pPr>
    </w:p>
    <w:p w14:paraId="5D355AAF">
      <w:pPr>
        <w:pStyle w:val="5"/>
        <w:ind w:firstLine="643"/>
        <w:rPr>
          <w:rStyle w:val="37"/>
          <w:rFonts w:cs="宋体"/>
          <w:color w:val="auto"/>
          <w:highlight w:val="none"/>
        </w:rPr>
      </w:pPr>
    </w:p>
    <w:p w14:paraId="21DAC528">
      <w:pPr>
        <w:rPr>
          <w:rStyle w:val="37"/>
          <w:rFonts w:cs="宋体"/>
          <w:color w:val="auto"/>
          <w:highlight w:val="none"/>
        </w:rPr>
      </w:pPr>
    </w:p>
    <w:p w14:paraId="59769EFE">
      <w:pPr>
        <w:pStyle w:val="5"/>
        <w:ind w:firstLine="562"/>
        <w:rPr>
          <w:color w:val="auto"/>
          <w:highlight w:val="none"/>
        </w:rPr>
      </w:pPr>
    </w:p>
    <w:p w14:paraId="5D55C907">
      <w:pPr>
        <w:rPr>
          <w:rStyle w:val="37"/>
          <w:rFonts w:cs="宋体"/>
          <w:color w:val="auto"/>
          <w:highlight w:val="none"/>
        </w:rPr>
      </w:pPr>
      <w:r>
        <w:rPr>
          <w:rStyle w:val="37"/>
          <w:rFonts w:hint="eastAsia" w:cs="宋体"/>
          <w:color w:val="auto"/>
          <w:highlight w:val="none"/>
        </w:rPr>
        <w:br w:type="page"/>
      </w:r>
    </w:p>
    <w:bookmarkEnd w:id="210"/>
    <w:p w14:paraId="7E1FEDFE">
      <w:pPr>
        <w:pStyle w:val="3"/>
        <w:numPr>
          <w:ilvl w:val="0"/>
          <w:numId w:val="2"/>
        </w:numPr>
        <w:rPr>
          <w:color w:val="auto"/>
          <w:highlight w:val="none"/>
        </w:rPr>
      </w:pPr>
      <w:bookmarkStart w:id="266" w:name="_Toc19280"/>
      <w:bookmarkStart w:id="267" w:name="_Toc24661"/>
      <w:bookmarkStart w:id="268" w:name="_Toc27199"/>
      <w:r>
        <w:rPr>
          <w:rFonts w:hint="eastAsia"/>
          <w:color w:val="auto"/>
          <w:highlight w:val="none"/>
        </w:rPr>
        <w:t>合同条款</w:t>
      </w:r>
      <w:bookmarkEnd w:id="266"/>
    </w:p>
    <w:p w14:paraId="14F568C3">
      <w:pPr>
        <w:pStyle w:val="3"/>
        <w:rPr>
          <w:i/>
          <w:iCs/>
          <w:color w:val="auto"/>
          <w:sz w:val="24"/>
          <w:szCs w:val="16"/>
          <w:highlight w:val="none"/>
        </w:rPr>
      </w:pPr>
      <w:bookmarkStart w:id="269" w:name="_Toc18769"/>
    </w:p>
    <w:p w14:paraId="1972B622">
      <w:pPr>
        <w:pStyle w:val="3"/>
        <w:rPr>
          <w:i/>
          <w:iCs/>
          <w:color w:val="auto"/>
          <w:sz w:val="24"/>
          <w:szCs w:val="16"/>
          <w:highlight w:val="none"/>
        </w:rPr>
      </w:pPr>
      <w:r>
        <w:rPr>
          <w:rFonts w:hint="eastAsia"/>
          <w:i/>
          <w:iCs/>
          <w:color w:val="auto"/>
          <w:sz w:val="24"/>
          <w:szCs w:val="16"/>
          <w:highlight w:val="none"/>
        </w:rPr>
        <w:t>（注：本格式仅供参考格式，供需双方也可根据实际情况自行采用其他合同范式。）</w:t>
      </w:r>
      <w:bookmarkEnd w:id="269"/>
    </w:p>
    <w:p w14:paraId="48C8C941">
      <w:pPr>
        <w:spacing w:line="300" w:lineRule="auto"/>
        <w:jc w:val="center"/>
        <w:rPr>
          <w:rFonts w:cs="宋体"/>
          <w:b/>
          <w:color w:val="auto"/>
          <w:sz w:val="44"/>
          <w:highlight w:val="none"/>
        </w:rPr>
      </w:pPr>
      <w:r>
        <w:rPr>
          <w:rFonts w:hint="eastAsia" w:ascii="宋体" w:hAnsi="宋体" w:cs="宋体"/>
          <w:b/>
          <w:bCs/>
          <w:color w:val="auto"/>
          <w:kern w:val="0"/>
          <w:sz w:val="24"/>
          <w:highlight w:val="none"/>
        </w:rPr>
        <w:br w:type="page"/>
      </w:r>
      <w:r>
        <w:rPr>
          <w:rFonts w:hint="eastAsia" w:cs="宋体"/>
          <w:b/>
          <w:color w:val="auto"/>
          <w:sz w:val="44"/>
          <w:highlight w:val="none"/>
        </w:rPr>
        <w:t>采购合同</w:t>
      </w:r>
    </w:p>
    <w:p w14:paraId="0AC96CC4">
      <w:pPr>
        <w:spacing w:line="300" w:lineRule="auto"/>
        <w:ind w:firstLine="480" w:firstLineChars="200"/>
        <w:jc w:val="left"/>
        <w:rPr>
          <w:rFonts w:cs="宋体"/>
          <w:color w:val="auto"/>
          <w:sz w:val="24"/>
          <w:highlight w:val="none"/>
        </w:rPr>
      </w:pPr>
    </w:p>
    <w:p w14:paraId="07CD6F83">
      <w:pPr>
        <w:spacing w:line="300" w:lineRule="auto"/>
        <w:ind w:firstLine="480" w:firstLineChars="200"/>
        <w:jc w:val="left"/>
        <w:rPr>
          <w:rFonts w:cs="宋体"/>
          <w:color w:val="auto"/>
          <w:sz w:val="24"/>
          <w:highlight w:val="none"/>
        </w:rPr>
      </w:pPr>
      <w:r>
        <w:rPr>
          <w:rFonts w:hint="eastAsia" w:cs="宋体"/>
          <w:color w:val="auto"/>
          <w:sz w:val="24"/>
          <w:highlight w:val="none"/>
        </w:rPr>
        <w:t>甲方（需方）：___________________________      计价单位：____________</w:t>
      </w:r>
    </w:p>
    <w:p w14:paraId="28F7E68B">
      <w:pPr>
        <w:spacing w:line="300" w:lineRule="auto"/>
        <w:ind w:firstLine="480" w:firstLineChars="200"/>
        <w:jc w:val="left"/>
        <w:rPr>
          <w:rFonts w:cs="宋体"/>
          <w:color w:val="auto"/>
          <w:sz w:val="24"/>
          <w:highlight w:val="none"/>
        </w:rPr>
      </w:pPr>
      <w:r>
        <w:rPr>
          <w:rFonts w:hint="eastAsia" w:cs="宋体"/>
          <w:color w:val="auto"/>
          <w:sz w:val="24"/>
          <w:highlight w:val="none"/>
        </w:rPr>
        <w:t>乙方（供方）：___________________________      计量单位：_____________</w:t>
      </w:r>
    </w:p>
    <w:p w14:paraId="7C21BCB4">
      <w:pPr>
        <w:spacing w:line="300" w:lineRule="auto"/>
        <w:ind w:firstLine="480" w:firstLineChars="200"/>
        <w:jc w:val="left"/>
        <w:rPr>
          <w:rFonts w:cs="宋体"/>
          <w:color w:val="auto"/>
          <w:sz w:val="24"/>
          <w:highlight w:val="none"/>
        </w:rPr>
      </w:pPr>
    </w:p>
    <w:p w14:paraId="7B14405F">
      <w:pPr>
        <w:spacing w:line="300" w:lineRule="auto"/>
        <w:ind w:firstLine="480" w:firstLineChars="200"/>
        <w:jc w:val="left"/>
        <w:rPr>
          <w:rFonts w:cs="宋体"/>
          <w:color w:val="auto"/>
          <w:sz w:val="24"/>
          <w:highlight w:val="none"/>
        </w:rPr>
      </w:pPr>
      <w:r>
        <w:rPr>
          <w:rFonts w:hint="eastAsia" w:cs="宋体"/>
          <w:color w:val="auto"/>
          <w:sz w:val="24"/>
          <w:highlight w:val="none"/>
        </w:rPr>
        <w:t>经双方协商一致，达成以下购销合同：</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59"/>
        <w:gridCol w:w="1778"/>
        <w:gridCol w:w="1004"/>
        <w:gridCol w:w="463"/>
        <w:gridCol w:w="863"/>
        <w:gridCol w:w="1159"/>
        <w:gridCol w:w="1594"/>
        <w:gridCol w:w="1610"/>
        <w:gridCol w:w="23"/>
      </w:tblGrid>
      <w:tr w14:paraId="40B54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After w:val="1"/>
          <w:wAfter w:w="9" w:type="pct"/>
          <w:trHeight w:val="452" w:hRule="atLeast"/>
        </w:trPr>
        <w:tc>
          <w:tcPr>
            <w:tcW w:w="690" w:type="pct"/>
            <w:noWrap/>
            <w:vAlign w:val="center"/>
          </w:tcPr>
          <w:p w14:paraId="65DA5670">
            <w:pPr>
              <w:spacing w:line="300" w:lineRule="auto"/>
              <w:jc w:val="left"/>
              <w:rPr>
                <w:rFonts w:cs="宋体"/>
                <w:color w:val="auto"/>
                <w:sz w:val="21"/>
                <w:szCs w:val="21"/>
                <w:highlight w:val="none"/>
              </w:rPr>
            </w:pPr>
            <w:r>
              <w:rPr>
                <w:rFonts w:hint="eastAsia" w:cs="宋体"/>
                <w:color w:val="auto"/>
                <w:sz w:val="21"/>
                <w:szCs w:val="21"/>
                <w:highlight w:val="none"/>
              </w:rPr>
              <w:t>项目名称</w:t>
            </w:r>
          </w:p>
        </w:tc>
        <w:tc>
          <w:tcPr>
            <w:tcW w:w="903" w:type="pct"/>
            <w:noWrap/>
            <w:vAlign w:val="center"/>
          </w:tcPr>
          <w:p w14:paraId="3F3987C9">
            <w:pPr>
              <w:spacing w:line="300" w:lineRule="auto"/>
              <w:jc w:val="left"/>
              <w:rPr>
                <w:rFonts w:cs="宋体"/>
                <w:color w:val="auto"/>
                <w:sz w:val="21"/>
                <w:szCs w:val="21"/>
                <w:highlight w:val="none"/>
              </w:rPr>
            </w:pPr>
            <w:r>
              <w:rPr>
                <w:rFonts w:hint="eastAsia" w:cs="宋体"/>
                <w:color w:val="auto"/>
                <w:sz w:val="21"/>
                <w:szCs w:val="21"/>
                <w:highlight w:val="none"/>
              </w:rPr>
              <w:t>服务内容</w:t>
            </w:r>
          </w:p>
        </w:tc>
        <w:tc>
          <w:tcPr>
            <w:tcW w:w="510" w:type="pct"/>
            <w:noWrap/>
            <w:vAlign w:val="center"/>
          </w:tcPr>
          <w:p w14:paraId="702EF3EE">
            <w:pPr>
              <w:spacing w:line="300" w:lineRule="auto"/>
              <w:jc w:val="left"/>
              <w:rPr>
                <w:rFonts w:cs="宋体"/>
                <w:color w:val="auto"/>
                <w:sz w:val="21"/>
                <w:szCs w:val="21"/>
                <w:highlight w:val="none"/>
              </w:rPr>
            </w:pPr>
            <w:r>
              <w:rPr>
                <w:rFonts w:hint="eastAsia" w:cs="宋体"/>
                <w:color w:val="auto"/>
                <w:sz w:val="21"/>
                <w:szCs w:val="21"/>
                <w:highlight w:val="none"/>
              </w:rPr>
              <w:t>数量</w:t>
            </w:r>
          </w:p>
        </w:tc>
        <w:tc>
          <w:tcPr>
            <w:tcW w:w="673" w:type="pct"/>
            <w:gridSpan w:val="2"/>
            <w:noWrap/>
            <w:vAlign w:val="center"/>
          </w:tcPr>
          <w:p w14:paraId="27D26DB1">
            <w:pPr>
              <w:spacing w:line="300" w:lineRule="auto"/>
              <w:jc w:val="left"/>
              <w:rPr>
                <w:rFonts w:cs="宋体"/>
                <w:color w:val="auto"/>
                <w:sz w:val="21"/>
                <w:szCs w:val="21"/>
                <w:highlight w:val="none"/>
              </w:rPr>
            </w:pPr>
            <w:r>
              <w:rPr>
                <w:rFonts w:hint="eastAsia" w:cs="宋体"/>
                <w:color w:val="auto"/>
                <w:sz w:val="21"/>
                <w:szCs w:val="21"/>
                <w:highlight w:val="none"/>
              </w:rPr>
              <w:t>计费基价</w:t>
            </w:r>
          </w:p>
        </w:tc>
        <w:tc>
          <w:tcPr>
            <w:tcW w:w="588" w:type="pct"/>
            <w:noWrap/>
            <w:vAlign w:val="center"/>
          </w:tcPr>
          <w:p w14:paraId="44A8770C">
            <w:pPr>
              <w:spacing w:line="300" w:lineRule="auto"/>
              <w:jc w:val="left"/>
              <w:rPr>
                <w:rFonts w:cs="宋体"/>
                <w:color w:val="auto"/>
                <w:sz w:val="21"/>
                <w:szCs w:val="21"/>
                <w:highlight w:val="none"/>
              </w:rPr>
            </w:pPr>
            <w:r>
              <w:rPr>
                <w:rFonts w:hint="eastAsia" w:cs="宋体"/>
                <w:color w:val="auto"/>
                <w:sz w:val="21"/>
                <w:szCs w:val="21"/>
                <w:highlight w:val="none"/>
              </w:rPr>
              <w:t>折扣</w:t>
            </w:r>
          </w:p>
        </w:tc>
        <w:tc>
          <w:tcPr>
            <w:tcW w:w="809" w:type="pct"/>
            <w:noWrap/>
            <w:vAlign w:val="center"/>
          </w:tcPr>
          <w:p w14:paraId="27535DD9">
            <w:pPr>
              <w:spacing w:line="300" w:lineRule="auto"/>
              <w:jc w:val="left"/>
              <w:rPr>
                <w:rFonts w:cs="宋体"/>
                <w:color w:val="auto"/>
                <w:sz w:val="21"/>
                <w:szCs w:val="21"/>
                <w:highlight w:val="none"/>
              </w:rPr>
            </w:pPr>
            <w:r>
              <w:rPr>
                <w:rFonts w:hint="eastAsia" w:cs="宋体"/>
                <w:color w:val="auto"/>
                <w:sz w:val="21"/>
                <w:szCs w:val="21"/>
                <w:highlight w:val="none"/>
              </w:rPr>
              <w:t>服务期限</w:t>
            </w:r>
          </w:p>
        </w:tc>
        <w:tc>
          <w:tcPr>
            <w:tcW w:w="813" w:type="pct"/>
            <w:noWrap/>
            <w:vAlign w:val="center"/>
          </w:tcPr>
          <w:p w14:paraId="088359B6">
            <w:pPr>
              <w:spacing w:line="300" w:lineRule="auto"/>
              <w:jc w:val="left"/>
              <w:rPr>
                <w:rFonts w:cs="宋体"/>
                <w:color w:val="auto"/>
                <w:sz w:val="21"/>
                <w:szCs w:val="21"/>
                <w:highlight w:val="none"/>
              </w:rPr>
            </w:pPr>
            <w:r>
              <w:rPr>
                <w:rFonts w:hint="eastAsia" w:cs="宋体"/>
                <w:color w:val="auto"/>
                <w:sz w:val="21"/>
                <w:szCs w:val="21"/>
                <w:highlight w:val="none"/>
              </w:rPr>
              <w:t>服务地点</w:t>
            </w:r>
          </w:p>
        </w:tc>
      </w:tr>
      <w:tr w14:paraId="6672A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pct"/>
        </w:trPr>
        <w:tc>
          <w:tcPr>
            <w:tcW w:w="690" w:type="pct"/>
            <w:noWrap/>
            <w:vAlign w:val="center"/>
          </w:tcPr>
          <w:p w14:paraId="284A4DD5">
            <w:pPr>
              <w:spacing w:line="300" w:lineRule="auto"/>
              <w:jc w:val="left"/>
              <w:rPr>
                <w:rFonts w:cs="宋体"/>
                <w:color w:val="auto"/>
                <w:sz w:val="21"/>
                <w:szCs w:val="21"/>
                <w:highlight w:val="none"/>
              </w:rPr>
            </w:pPr>
          </w:p>
        </w:tc>
        <w:tc>
          <w:tcPr>
            <w:tcW w:w="903" w:type="pct"/>
            <w:noWrap/>
            <w:vAlign w:val="center"/>
          </w:tcPr>
          <w:p w14:paraId="0445FC96">
            <w:pPr>
              <w:spacing w:line="300" w:lineRule="auto"/>
              <w:jc w:val="left"/>
              <w:rPr>
                <w:rFonts w:cs="宋体"/>
                <w:color w:val="auto"/>
                <w:sz w:val="21"/>
                <w:szCs w:val="21"/>
                <w:highlight w:val="none"/>
              </w:rPr>
            </w:pPr>
          </w:p>
        </w:tc>
        <w:tc>
          <w:tcPr>
            <w:tcW w:w="510" w:type="pct"/>
            <w:noWrap/>
            <w:vAlign w:val="center"/>
          </w:tcPr>
          <w:p w14:paraId="73ADCEF3">
            <w:pPr>
              <w:spacing w:line="300" w:lineRule="auto"/>
              <w:jc w:val="left"/>
              <w:rPr>
                <w:rFonts w:cs="宋体"/>
                <w:color w:val="auto"/>
                <w:sz w:val="21"/>
                <w:szCs w:val="21"/>
                <w:highlight w:val="none"/>
              </w:rPr>
            </w:pPr>
          </w:p>
        </w:tc>
        <w:tc>
          <w:tcPr>
            <w:tcW w:w="673" w:type="pct"/>
            <w:gridSpan w:val="2"/>
            <w:noWrap/>
            <w:vAlign w:val="center"/>
          </w:tcPr>
          <w:p w14:paraId="38B34C46">
            <w:pPr>
              <w:spacing w:line="300" w:lineRule="auto"/>
              <w:jc w:val="left"/>
              <w:rPr>
                <w:rFonts w:cs="宋体"/>
                <w:color w:val="auto"/>
                <w:sz w:val="21"/>
                <w:szCs w:val="21"/>
                <w:highlight w:val="none"/>
              </w:rPr>
            </w:pPr>
          </w:p>
        </w:tc>
        <w:tc>
          <w:tcPr>
            <w:tcW w:w="588" w:type="pct"/>
            <w:noWrap/>
            <w:vAlign w:val="center"/>
          </w:tcPr>
          <w:p w14:paraId="37FEB29E">
            <w:pPr>
              <w:spacing w:line="300" w:lineRule="auto"/>
              <w:jc w:val="left"/>
              <w:rPr>
                <w:rFonts w:cs="宋体"/>
                <w:color w:val="auto"/>
                <w:sz w:val="21"/>
                <w:szCs w:val="21"/>
                <w:highlight w:val="none"/>
              </w:rPr>
            </w:pPr>
          </w:p>
        </w:tc>
        <w:tc>
          <w:tcPr>
            <w:tcW w:w="809" w:type="pct"/>
            <w:noWrap/>
            <w:vAlign w:val="center"/>
          </w:tcPr>
          <w:p w14:paraId="4BBE65BA">
            <w:pPr>
              <w:spacing w:line="300" w:lineRule="auto"/>
              <w:jc w:val="left"/>
              <w:rPr>
                <w:rFonts w:cs="宋体"/>
                <w:color w:val="auto"/>
                <w:sz w:val="21"/>
                <w:szCs w:val="21"/>
                <w:highlight w:val="none"/>
              </w:rPr>
            </w:pPr>
          </w:p>
        </w:tc>
        <w:tc>
          <w:tcPr>
            <w:tcW w:w="813" w:type="pct"/>
            <w:noWrap/>
            <w:vAlign w:val="center"/>
          </w:tcPr>
          <w:p w14:paraId="153D5D2F">
            <w:pPr>
              <w:spacing w:line="300" w:lineRule="auto"/>
              <w:jc w:val="left"/>
              <w:rPr>
                <w:rFonts w:cs="宋体"/>
                <w:color w:val="auto"/>
                <w:sz w:val="21"/>
                <w:szCs w:val="21"/>
                <w:highlight w:val="none"/>
              </w:rPr>
            </w:pPr>
          </w:p>
        </w:tc>
      </w:tr>
      <w:tr w14:paraId="3E29C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pct"/>
        </w:trPr>
        <w:tc>
          <w:tcPr>
            <w:tcW w:w="690" w:type="pct"/>
            <w:noWrap/>
            <w:vAlign w:val="center"/>
          </w:tcPr>
          <w:p w14:paraId="58A91D98">
            <w:pPr>
              <w:spacing w:line="300" w:lineRule="auto"/>
              <w:jc w:val="left"/>
              <w:rPr>
                <w:rFonts w:cs="宋体"/>
                <w:color w:val="auto"/>
                <w:sz w:val="21"/>
                <w:szCs w:val="21"/>
                <w:highlight w:val="none"/>
              </w:rPr>
            </w:pPr>
          </w:p>
        </w:tc>
        <w:tc>
          <w:tcPr>
            <w:tcW w:w="903" w:type="pct"/>
            <w:noWrap/>
            <w:vAlign w:val="center"/>
          </w:tcPr>
          <w:p w14:paraId="3472761F">
            <w:pPr>
              <w:spacing w:line="300" w:lineRule="auto"/>
              <w:jc w:val="left"/>
              <w:rPr>
                <w:rFonts w:cs="宋体"/>
                <w:color w:val="auto"/>
                <w:sz w:val="21"/>
                <w:szCs w:val="21"/>
                <w:highlight w:val="none"/>
              </w:rPr>
            </w:pPr>
          </w:p>
        </w:tc>
        <w:tc>
          <w:tcPr>
            <w:tcW w:w="510" w:type="pct"/>
            <w:noWrap/>
            <w:vAlign w:val="center"/>
          </w:tcPr>
          <w:p w14:paraId="2B3F6203">
            <w:pPr>
              <w:spacing w:line="300" w:lineRule="auto"/>
              <w:jc w:val="left"/>
              <w:rPr>
                <w:rFonts w:cs="宋体"/>
                <w:color w:val="auto"/>
                <w:sz w:val="21"/>
                <w:szCs w:val="21"/>
                <w:highlight w:val="none"/>
              </w:rPr>
            </w:pPr>
          </w:p>
        </w:tc>
        <w:tc>
          <w:tcPr>
            <w:tcW w:w="673" w:type="pct"/>
            <w:gridSpan w:val="2"/>
            <w:noWrap/>
            <w:vAlign w:val="center"/>
          </w:tcPr>
          <w:p w14:paraId="1CBE5AEA">
            <w:pPr>
              <w:spacing w:line="300" w:lineRule="auto"/>
              <w:jc w:val="left"/>
              <w:rPr>
                <w:rFonts w:cs="宋体"/>
                <w:color w:val="auto"/>
                <w:sz w:val="21"/>
                <w:szCs w:val="21"/>
                <w:highlight w:val="none"/>
              </w:rPr>
            </w:pPr>
          </w:p>
        </w:tc>
        <w:tc>
          <w:tcPr>
            <w:tcW w:w="588" w:type="pct"/>
            <w:noWrap/>
            <w:vAlign w:val="center"/>
          </w:tcPr>
          <w:p w14:paraId="5631BAE5">
            <w:pPr>
              <w:spacing w:line="300" w:lineRule="auto"/>
              <w:jc w:val="left"/>
              <w:rPr>
                <w:rFonts w:cs="宋体"/>
                <w:color w:val="auto"/>
                <w:sz w:val="21"/>
                <w:szCs w:val="21"/>
                <w:highlight w:val="none"/>
              </w:rPr>
            </w:pPr>
          </w:p>
        </w:tc>
        <w:tc>
          <w:tcPr>
            <w:tcW w:w="809" w:type="pct"/>
            <w:noWrap/>
            <w:vAlign w:val="center"/>
          </w:tcPr>
          <w:p w14:paraId="2ADA8EFD">
            <w:pPr>
              <w:spacing w:line="300" w:lineRule="auto"/>
              <w:jc w:val="left"/>
              <w:rPr>
                <w:rFonts w:cs="宋体"/>
                <w:color w:val="auto"/>
                <w:sz w:val="21"/>
                <w:szCs w:val="21"/>
                <w:highlight w:val="none"/>
              </w:rPr>
            </w:pPr>
          </w:p>
        </w:tc>
        <w:tc>
          <w:tcPr>
            <w:tcW w:w="813" w:type="pct"/>
            <w:noWrap/>
            <w:vAlign w:val="center"/>
          </w:tcPr>
          <w:p w14:paraId="16626CF4">
            <w:pPr>
              <w:spacing w:line="300" w:lineRule="auto"/>
              <w:jc w:val="left"/>
              <w:rPr>
                <w:rFonts w:cs="宋体"/>
                <w:color w:val="auto"/>
                <w:sz w:val="21"/>
                <w:szCs w:val="21"/>
                <w:highlight w:val="none"/>
              </w:rPr>
            </w:pPr>
          </w:p>
        </w:tc>
      </w:tr>
      <w:tr w14:paraId="3BF4D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pct"/>
        </w:trPr>
        <w:tc>
          <w:tcPr>
            <w:tcW w:w="690" w:type="pct"/>
            <w:noWrap/>
            <w:vAlign w:val="center"/>
          </w:tcPr>
          <w:p w14:paraId="566CED2B">
            <w:pPr>
              <w:spacing w:line="300" w:lineRule="auto"/>
              <w:jc w:val="left"/>
              <w:rPr>
                <w:rFonts w:cs="宋体"/>
                <w:color w:val="auto"/>
                <w:sz w:val="21"/>
                <w:szCs w:val="21"/>
                <w:highlight w:val="none"/>
              </w:rPr>
            </w:pPr>
          </w:p>
        </w:tc>
        <w:tc>
          <w:tcPr>
            <w:tcW w:w="903" w:type="pct"/>
            <w:noWrap/>
            <w:vAlign w:val="center"/>
          </w:tcPr>
          <w:p w14:paraId="7AB7FE7F">
            <w:pPr>
              <w:spacing w:line="300" w:lineRule="auto"/>
              <w:jc w:val="left"/>
              <w:rPr>
                <w:rFonts w:cs="宋体"/>
                <w:color w:val="auto"/>
                <w:sz w:val="21"/>
                <w:szCs w:val="21"/>
                <w:highlight w:val="none"/>
              </w:rPr>
            </w:pPr>
          </w:p>
        </w:tc>
        <w:tc>
          <w:tcPr>
            <w:tcW w:w="510" w:type="pct"/>
            <w:noWrap/>
            <w:vAlign w:val="center"/>
          </w:tcPr>
          <w:p w14:paraId="1EABC543">
            <w:pPr>
              <w:spacing w:line="300" w:lineRule="auto"/>
              <w:jc w:val="left"/>
              <w:rPr>
                <w:rFonts w:cs="宋体"/>
                <w:color w:val="auto"/>
                <w:sz w:val="21"/>
                <w:szCs w:val="21"/>
                <w:highlight w:val="none"/>
              </w:rPr>
            </w:pPr>
          </w:p>
        </w:tc>
        <w:tc>
          <w:tcPr>
            <w:tcW w:w="673" w:type="pct"/>
            <w:gridSpan w:val="2"/>
            <w:noWrap/>
            <w:vAlign w:val="center"/>
          </w:tcPr>
          <w:p w14:paraId="3499E1B5">
            <w:pPr>
              <w:spacing w:line="300" w:lineRule="auto"/>
              <w:jc w:val="left"/>
              <w:rPr>
                <w:rFonts w:cs="宋体"/>
                <w:color w:val="auto"/>
                <w:sz w:val="21"/>
                <w:szCs w:val="21"/>
                <w:highlight w:val="none"/>
              </w:rPr>
            </w:pPr>
          </w:p>
        </w:tc>
        <w:tc>
          <w:tcPr>
            <w:tcW w:w="588" w:type="pct"/>
            <w:noWrap/>
            <w:vAlign w:val="center"/>
          </w:tcPr>
          <w:p w14:paraId="7718E6A7">
            <w:pPr>
              <w:spacing w:line="300" w:lineRule="auto"/>
              <w:jc w:val="left"/>
              <w:rPr>
                <w:rFonts w:cs="宋体"/>
                <w:color w:val="auto"/>
                <w:sz w:val="21"/>
                <w:szCs w:val="21"/>
                <w:highlight w:val="none"/>
              </w:rPr>
            </w:pPr>
          </w:p>
        </w:tc>
        <w:tc>
          <w:tcPr>
            <w:tcW w:w="809" w:type="pct"/>
            <w:noWrap/>
            <w:vAlign w:val="center"/>
          </w:tcPr>
          <w:p w14:paraId="2EC54D28">
            <w:pPr>
              <w:spacing w:line="300" w:lineRule="auto"/>
              <w:jc w:val="left"/>
              <w:rPr>
                <w:rFonts w:cs="宋体"/>
                <w:color w:val="auto"/>
                <w:sz w:val="21"/>
                <w:szCs w:val="21"/>
                <w:highlight w:val="none"/>
              </w:rPr>
            </w:pPr>
          </w:p>
        </w:tc>
        <w:tc>
          <w:tcPr>
            <w:tcW w:w="813" w:type="pct"/>
            <w:noWrap/>
            <w:vAlign w:val="center"/>
          </w:tcPr>
          <w:p w14:paraId="148A02BF">
            <w:pPr>
              <w:spacing w:line="300" w:lineRule="auto"/>
              <w:jc w:val="left"/>
              <w:rPr>
                <w:rFonts w:cs="宋体"/>
                <w:color w:val="auto"/>
                <w:sz w:val="21"/>
                <w:szCs w:val="21"/>
                <w:highlight w:val="none"/>
              </w:rPr>
            </w:pPr>
          </w:p>
        </w:tc>
      </w:tr>
      <w:tr w14:paraId="51E2B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pct"/>
        </w:trPr>
        <w:tc>
          <w:tcPr>
            <w:tcW w:w="690" w:type="pct"/>
            <w:noWrap/>
            <w:vAlign w:val="center"/>
          </w:tcPr>
          <w:p w14:paraId="2914459A">
            <w:pPr>
              <w:spacing w:line="300" w:lineRule="auto"/>
              <w:jc w:val="left"/>
              <w:rPr>
                <w:rFonts w:cs="宋体"/>
                <w:color w:val="auto"/>
                <w:sz w:val="21"/>
                <w:szCs w:val="21"/>
                <w:highlight w:val="none"/>
              </w:rPr>
            </w:pPr>
          </w:p>
        </w:tc>
        <w:tc>
          <w:tcPr>
            <w:tcW w:w="903" w:type="pct"/>
            <w:noWrap/>
            <w:vAlign w:val="center"/>
          </w:tcPr>
          <w:p w14:paraId="2BBF7255">
            <w:pPr>
              <w:spacing w:line="300" w:lineRule="auto"/>
              <w:jc w:val="left"/>
              <w:rPr>
                <w:rFonts w:cs="宋体"/>
                <w:color w:val="auto"/>
                <w:sz w:val="21"/>
                <w:szCs w:val="21"/>
                <w:highlight w:val="none"/>
              </w:rPr>
            </w:pPr>
          </w:p>
        </w:tc>
        <w:tc>
          <w:tcPr>
            <w:tcW w:w="510" w:type="pct"/>
            <w:noWrap/>
            <w:vAlign w:val="center"/>
          </w:tcPr>
          <w:p w14:paraId="063E2244">
            <w:pPr>
              <w:spacing w:line="300" w:lineRule="auto"/>
              <w:jc w:val="left"/>
              <w:rPr>
                <w:rFonts w:cs="宋体"/>
                <w:color w:val="auto"/>
                <w:sz w:val="21"/>
                <w:szCs w:val="21"/>
                <w:highlight w:val="none"/>
              </w:rPr>
            </w:pPr>
          </w:p>
        </w:tc>
        <w:tc>
          <w:tcPr>
            <w:tcW w:w="673" w:type="pct"/>
            <w:gridSpan w:val="2"/>
            <w:noWrap/>
            <w:vAlign w:val="center"/>
          </w:tcPr>
          <w:p w14:paraId="7E77FCE4">
            <w:pPr>
              <w:spacing w:line="300" w:lineRule="auto"/>
              <w:jc w:val="left"/>
              <w:rPr>
                <w:rFonts w:cs="宋体"/>
                <w:color w:val="auto"/>
                <w:sz w:val="21"/>
                <w:szCs w:val="21"/>
                <w:highlight w:val="none"/>
              </w:rPr>
            </w:pPr>
          </w:p>
        </w:tc>
        <w:tc>
          <w:tcPr>
            <w:tcW w:w="588" w:type="pct"/>
            <w:noWrap/>
            <w:vAlign w:val="center"/>
          </w:tcPr>
          <w:p w14:paraId="4F24FB68">
            <w:pPr>
              <w:spacing w:line="300" w:lineRule="auto"/>
              <w:jc w:val="left"/>
              <w:rPr>
                <w:rFonts w:cs="宋体"/>
                <w:color w:val="auto"/>
                <w:sz w:val="21"/>
                <w:szCs w:val="21"/>
                <w:highlight w:val="none"/>
              </w:rPr>
            </w:pPr>
          </w:p>
        </w:tc>
        <w:tc>
          <w:tcPr>
            <w:tcW w:w="809" w:type="pct"/>
            <w:noWrap/>
            <w:vAlign w:val="center"/>
          </w:tcPr>
          <w:p w14:paraId="7F8A0915">
            <w:pPr>
              <w:spacing w:line="300" w:lineRule="auto"/>
              <w:jc w:val="left"/>
              <w:rPr>
                <w:rFonts w:cs="宋体"/>
                <w:color w:val="auto"/>
                <w:sz w:val="21"/>
                <w:szCs w:val="21"/>
                <w:highlight w:val="none"/>
              </w:rPr>
            </w:pPr>
          </w:p>
        </w:tc>
        <w:tc>
          <w:tcPr>
            <w:tcW w:w="813" w:type="pct"/>
            <w:noWrap/>
            <w:vAlign w:val="center"/>
          </w:tcPr>
          <w:p w14:paraId="4C9DECB5">
            <w:pPr>
              <w:spacing w:line="300" w:lineRule="auto"/>
              <w:jc w:val="left"/>
              <w:rPr>
                <w:rFonts w:cs="宋体"/>
                <w:color w:val="auto"/>
                <w:sz w:val="21"/>
                <w:szCs w:val="21"/>
                <w:highlight w:val="none"/>
              </w:rPr>
            </w:pPr>
          </w:p>
        </w:tc>
      </w:tr>
      <w:tr w14:paraId="2E2A7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pct"/>
        </w:trPr>
        <w:tc>
          <w:tcPr>
            <w:tcW w:w="690" w:type="pct"/>
            <w:noWrap/>
            <w:vAlign w:val="center"/>
          </w:tcPr>
          <w:p w14:paraId="4B8D9F78">
            <w:pPr>
              <w:spacing w:line="300" w:lineRule="auto"/>
              <w:jc w:val="left"/>
              <w:rPr>
                <w:rFonts w:cs="宋体"/>
                <w:color w:val="auto"/>
                <w:sz w:val="21"/>
                <w:szCs w:val="21"/>
                <w:highlight w:val="none"/>
              </w:rPr>
            </w:pPr>
          </w:p>
        </w:tc>
        <w:tc>
          <w:tcPr>
            <w:tcW w:w="903" w:type="pct"/>
            <w:noWrap/>
            <w:vAlign w:val="center"/>
          </w:tcPr>
          <w:p w14:paraId="0DC25DA7">
            <w:pPr>
              <w:spacing w:line="300" w:lineRule="auto"/>
              <w:jc w:val="left"/>
              <w:rPr>
                <w:rFonts w:cs="宋体"/>
                <w:color w:val="auto"/>
                <w:sz w:val="21"/>
                <w:szCs w:val="21"/>
                <w:highlight w:val="none"/>
              </w:rPr>
            </w:pPr>
          </w:p>
        </w:tc>
        <w:tc>
          <w:tcPr>
            <w:tcW w:w="510" w:type="pct"/>
            <w:noWrap/>
            <w:vAlign w:val="center"/>
          </w:tcPr>
          <w:p w14:paraId="4C7B881A">
            <w:pPr>
              <w:spacing w:line="300" w:lineRule="auto"/>
              <w:jc w:val="left"/>
              <w:rPr>
                <w:rFonts w:cs="宋体"/>
                <w:color w:val="auto"/>
                <w:sz w:val="21"/>
                <w:szCs w:val="21"/>
                <w:highlight w:val="none"/>
              </w:rPr>
            </w:pPr>
          </w:p>
        </w:tc>
        <w:tc>
          <w:tcPr>
            <w:tcW w:w="673" w:type="pct"/>
            <w:gridSpan w:val="2"/>
            <w:noWrap/>
            <w:vAlign w:val="center"/>
          </w:tcPr>
          <w:p w14:paraId="7995799A">
            <w:pPr>
              <w:spacing w:line="300" w:lineRule="auto"/>
              <w:jc w:val="left"/>
              <w:rPr>
                <w:rFonts w:cs="宋体"/>
                <w:color w:val="auto"/>
                <w:sz w:val="21"/>
                <w:szCs w:val="21"/>
                <w:highlight w:val="none"/>
              </w:rPr>
            </w:pPr>
          </w:p>
        </w:tc>
        <w:tc>
          <w:tcPr>
            <w:tcW w:w="588" w:type="pct"/>
            <w:noWrap/>
            <w:vAlign w:val="center"/>
          </w:tcPr>
          <w:p w14:paraId="58EAF141">
            <w:pPr>
              <w:spacing w:line="300" w:lineRule="auto"/>
              <w:jc w:val="left"/>
              <w:rPr>
                <w:rFonts w:cs="宋体"/>
                <w:color w:val="auto"/>
                <w:sz w:val="21"/>
                <w:szCs w:val="21"/>
                <w:highlight w:val="none"/>
              </w:rPr>
            </w:pPr>
          </w:p>
        </w:tc>
        <w:tc>
          <w:tcPr>
            <w:tcW w:w="809" w:type="pct"/>
            <w:noWrap/>
            <w:vAlign w:val="center"/>
          </w:tcPr>
          <w:p w14:paraId="1BA4D3F3">
            <w:pPr>
              <w:spacing w:line="300" w:lineRule="auto"/>
              <w:jc w:val="left"/>
              <w:rPr>
                <w:rFonts w:cs="宋体"/>
                <w:color w:val="auto"/>
                <w:sz w:val="21"/>
                <w:szCs w:val="21"/>
                <w:highlight w:val="none"/>
              </w:rPr>
            </w:pPr>
          </w:p>
        </w:tc>
        <w:tc>
          <w:tcPr>
            <w:tcW w:w="813" w:type="pct"/>
            <w:noWrap/>
            <w:vAlign w:val="center"/>
          </w:tcPr>
          <w:p w14:paraId="6BC52285">
            <w:pPr>
              <w:spacing w:line="300" w:lineRule="auto"/>
              <w:jc w:val="left"/>
              <w:rPr>
                <w:rFonts w:cs="宋体"/>
                <w:color w:val="auto"/>
                <w:sz w:val="21"/>
                <w:szCs w:val="21"/>
                <w:highlight w:val="none"/>
              </w:rPr>
            </w:pPr>
          </w:p>
        </w:tc>
      </w:tr>
      <w:tr w14:paraId="1C109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pct"/>
          <w:cantSplit/>
        </w:trPr>
        <w:tc>
          <w:tcPr>
            <w:tcW w:w="4990" w:type="pct"/>
            <w:gridSpan w:val="8"/>
            <w:noWrap/>
            <w:vAlign w:val="center"/>
          </w:tcPr>
          <w:p w14:paraId="6F2AFD50">
            <w:pPr>
              <w:spacing w:line="300" w:lineRule="auto"/>
              <w:jc w:val="left"/>
              <w:rPr>
                <w:rFonts w:cs="宋体"/>
                <w:color w:val="auto"/>
                <w:sz w:val="21"/>
                <w:szCs w:val="21"/>
                <w:highlight w:val="none"/>
              </w:rPr>
            </w:pPr>
            <w:r>
              <w:rPr>
                <w:rFonts w:hint="eastAsia" w:cs="宋体"/>
                <w:color w:val="auto"/>
                <w:sz w:val="21"/>
                <w:szCs w:val="21"/>
                <w:highlight w:val="none"/>
              </w:rPr>
              <w:t>合计人民币（小写）：</w:t>
            </w:r>
          </w:p>
        </w:tc>
      </w:tr>
      <w:tr w14:paraId="6AA61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pct"/>
          <w:cantSplit/>
        </w:trPr>
        <w:tc>
          <w:tcPr>
            <w:tcW w:w="4990" w:type="pct"/>
            <w:gridSpan w:val="8"/>
            <w:noWrap/>
            <w:vAlign w:val="center"/>
          </w:tcPr>
          <w:p w14:paraId="10E5F988">
            <w:pPr>
              <w:spacing w:line="300" w:lineRule="auto"/>
              <w:jc w:val="left"/>
              <w:rPr>
                <w:rFonts w:cs="宋体"/>
                <w:color w:val="auto"/>
                <w:sz w:val="21"/>
                <w:szCs w:val="21"/>
                <w:highlight w:val="none"/>
              </w:rPr>
            </w:pPr>
            <w:r>
              <w:rPr>
                <w:rFonts w:hint="eastAsia" w:cs="宋体"/>
                <w:color w:val="auto"/>
                <w:sz w:val="21"/>
                <w:szCs w:val="21"/>
                <w:highlight w:val="none"/>
              </w:rPr>
              <w:t>合计人民币（大写）：</w:t>
            </w:r>
          </w:p>
        </w:tc>
      </w:tr>
      <w:tr w14:paraId="6908E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pct"/>
          <w:cantSplit/>
          <w:trHeight w:val="999" w:hRule="atLeast"/>
        </w:trPr>
        <w:tc>
          <w:tcPr>
            <w:tcW w:w="4990" w:type="pct"/>
            <w:gridSpan w:val="8"/>
            <w:noWrap/>
          </w:tcPr>
          <w:p w14:paraId="45E83A76">
            <w:pPr>
              <w:spacing w:line="300" w:lineRule="auto"/>
              <w:jc w:val="left"/>
              <w:rPr>
                <w:rFonts w:cs="宋体"/>
                <w:color w:val="auto"/>
                <w:sz w:val="21"/>
                <w:szCs w:val="21"/>
                <w:highlight w:val="none"/>
              </w:rPr>
            </w:pPr>
            <w:r>
              <w:rPr>
                <w:rFonts w:hint="eastAsia" w:cs="宋体"/>
                <w:color w:val="auto"/>
                <w:sz w:val="21"/>
                <w:szCs w:val="21"/>
                <w:highlight w:val="none"/>
              </w:rPr>
              <w:t>一、服务内容</w:t>
            </w:r>
          </w:p>
        </w:tc>
      </w:tr>
      <w:tr w14:paraId="05D24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pct"/>
          <w:cantSplit/>
          <w:trHeight w:val="913" w:hRule="atLeast"/>
        </w:trPr>
        <w:tc>
          <w:tcPr>
            <w:tcW w:w="4990" w:type="pct"/>
            <w:gridSpan w:val="8"/>
            <w:noWrap/>
          </w:tcPr>
          <w:p w14:paraId="158AFC64">
            <w:pPr>
              <w:spacing w:line="300" w:lineRule="auto"/>
              <w:jc w:val="left"/>
              <w:rPr>
                <w:rFonts w:cs="宋体"/>
                <w:color w:val="auto"/>
                <w:sz w:val="21"/>
                <w:szCs w:val="21"/>
                <w:highlight w:val="none"/>
              </w:rPr>
            </w:pPr>
            <w:r>
              <w:rPr>
                <w:rFonts w:hint="eastAsia" w:cs="宋体"/>
                <w:color w:val="auto"/>
                <w:sz w:val="21"/>
                <w:szCs w:val="21"/>
                <w:highlight w:val="none"/>
              </w:rPr>
              <w:t>二、服务相关要求：</w:t>
            </w:r>
          </w:p>
        </w:tc>
      </w:tr>
      <w:tr w14:paraId="789FF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5000" w:type="pct"/>
            <w:gridSpan w:val="9"/>
            <w:noWrap/>
          </w:tcPr>
          <w:p w14:paraId="42B1697F">
            <w:pPr>
              <w:spacing w:line="300" w:lineRule="auto"/>
              <w:jc w:val="left"/>
              <w:rPr>
                <w:rFonts w:cs="宋体"/>
                <w:color w:val="auto"/>
                <w:sz w:val="21"/>
                <w:szCs w:val="21"/>
                <w:highlight w:val="none"/>
              </w:rPr>
            </w:pPr>
            <w:r>
              <w:rPr>
                <w:rFonts w:hint="eastAsia" w:cs="宋体"/>
                <w:color w:val="auto"/>
                <w:sz w:val="21"/>
                <w:szCs w:val="21"/>
                <w:highlight w:val="none"/>
              </w:rPr>
              <w:t>三、验收标准、方法：</w:t>
            </w:r>
          </w:p>
          <w:p w14:paraId="67078224">
            <w:pPr>
              <w:spacing w:line="300" w:lineRule="auto"/>
              <w:jc w:val="left"/>
              <w:rPr>
                <w:rFonts w:cs="宋体"/>
                <w:color w:val="auto"/>
                <w:sz w:val="21"/>
                <w:szCs w:val="21"/>
                <w:highlight w:val="none"/>
              </w:rPr>
            </w:pPr>
            <w:r>
              <w:rPr>
                <w:rFonts w:hint="eastAsia" w:cs="宋体"/>
                <w:color w:val="auto"/>
                <w:sz w:val="21"/>
                <w:szCs w:val="21"/>
                <w:highlight w:val="none"/>
              </w:rPr>
              <w:t>如有异议，请于      日内提出。</w:t>
            </w:r>
          </w:p>
        </w:tc>
      </w:tr>
      <w:tr w14:paraId="0D884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5000" w:type="pct"/>
            <w:gridSpan w:val="9"/>
            <w:noWrap/>
          </w:tcPr>
          <w:p w14:paraId="7DFA4373">
            <w:pPr>
              <w:spacing w:line="300" w:lineRule="auto"/>
              <w:jc w:val="left"/>
              <w:rPr>
                <w:rFonts w:cs="宋体"/>
                <w:color w:val="auto"/>
                <w:sz w:val="21"/>
                <w:szCs w:val="21"/>
                <w:highlight w:val="none"/>
              </w:rPr>
            </w:pPr>
            <w:r>
              <w:rPr>
                <w:rFonts w:hint="eastAsia" w:cs="宋体"/>
                <w:color w:val="auto"/>
                <w:sz w:val="21"/>
                <w:szCs w:val="21"/>
                <w:highlight w:val="none"/>
              </w:rPr>
              <w:t>四、付款方式：</w:t>
            </w:r>
          </w:p>
          <w:p w14:paraId="46393A8F">
            <w:pPr>
              <w:pStyle w:val="13"/>
              <w:spacing w:line="300" w:lineRule="auto"/>
              <w:jc w:val="left"/>
              <w:rPr>
                <w:rFonts w:cs="宋体"/>
                <w:color w:val="auto"/>
                <w:sz w:val="21"/>
                <w:szCs w:val="21"/>
                <w:highlight w:val="none"/>
              </w:rPr>
            </w:pPr>
          </w:p>
        </w:tc>
      </w:tr>
      <w:tr w14:paraId="4C322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5000" w:type="pct"/>
            <w:gridSpan w:val="9"/>
            <w:noWrap/>
          </w:tcPr>
          <w:p w14:paraId="5890B1E2">
            <w:pPr>
              <w:spacing w:line="300" w:lineRule="auto"/>
              <w:jc w:val="left"/>
              <w:rPr>
                <w:rFonts w:cs="宋体"/>
                <w:color w:val="auto"/>
                <w:sz w:val="21"/>
                <w:szCs w:val="21"/>
                <w:highlight w:val="none"/>
              </w:rPr>
            </w:pPr>
            <w:r>
              <w:rPr>
                <w:rFonts w:hint="eastAsia" w:cs="宋体"/>
                <w:color w:val="auto"/>
                <w:sz w:val="21"/>
                <w:szCs w:val="21"/>
                <w:highlight w:val="none"/>
              </w:rPr>
              <w:t>五、违约责任：</w:t>
            </w:r>
          </w:p>
          <w:p w14:paraId="6C5648CD">
            <w:pPr>
              <w:spacing w:line="300" w:lineRule="auto"/>
              <w:jc w:val="left"/>
              <w:rPr>
                <w:rFonts w:cs="宋体"/>
                <w:color w:val="auto"/>
                <w:sz w:val="21"/>
                <w:szCs w:val="21"/>
                <w:highlight w:val="none"/>
              </w:rPr>
            </w:pPr>
            <w:r>
              <w:rPr>
                <w:rFonts w:hint="eastAsia" w:cs="宋体"/>
                <w:color w:val="auto"/>
                <w:sz w:val="21"/>
                <w:szCs w:val="21"/>
                <w:highlight w:val="none"/>
              </w:rPr>
              <w:t>按《中华人民共和国民法典》执行，或按双方约定。（采购人应按项目实际情况完整填写）</w:t>
            </w:r>
          </w:p>
        </w:tc>
      </w:tr>
      <w:tr w14:paraId="3E4484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trPr>
        <w:tc>
          <w:tcPr>
            <w:tcW w:w="5000" w:type="pct"/>
            <w:gridSpan w:val="9"/>
            <w:noWrap/>
          </w:tcPr>
          <w:p w14:paraId="03A262AF">
            <w:pPr>
              <w:spacing w:line="300" w:lineRule="auto"/>
              <w:jc w:val="left"/>
              <w:rPr>
                <w:rFonts w:cs="宋体"/>
                <w:color w:val="auto"/>
                <w:sz w:val="21"/>
                <w:szCs w:val="21"/>
                <w:highlight w:val="none"/>
              </w:rPr>
            </w:pPr>
            <w:r>
              <w:rPr>
                <w:rFonts w:hint="eastAsia" w:cs="宋体"/>
                <w:color w:val="auto"/>
                <w:sz w:val="21"/>
                <w:szCs w:val="21"/>
                <w:highlight w:val="none"/>
              </w:rPr>
              <w:t>六、其他约定事项：</w:t>
            </w:r>
          </w:p>
          <w:p w14:paraId="5629ABF5">
            <w:pPr>
              <w:spacing w:line="300" w:lineRule="auto"/>
              <w:jc w:val="left"/>
              <w:rPr>
                <w:rFonts w:cs="宋体"/>
                <w:color w:val="auto"/>
                <w:sz w:val="21"/>
                <w:szCs w:val="21"/>
                <w:highlight w:val="none"/>
              </w:rPr>
            </w:pPr>
            <w:r>
              <w:rPr>
                <w:rFonts w:hint="eastAsia" w:cs="宋体"/>
                <w:color w:val="auto"/>
                <w:sz w:val="21"/>
                <w:szCs w:val="21"/>
                <w:highlight w:val="none"/>
              </w:rPr>
              <w:t>1.采购文件及其澄清文件、投标文件和承诺是本合同不可分割的部分。</w:t>
            </w:r>
          </w:p>
          <w:p w14:paraId="5F9EBF8A">
            <w:pPr>
              <w:spacing w:line="300" w:lineRule="auto"/>
              <w:jc w:val="left"/>
              <w:rPr>
                <w:rFonts w:cs="宋体"/>
                <w:color w:val="auto"/>
                <w:sz w:val="21"/>
                <w:szCs w:val="21"/>
                <w:highlight w:val="none"/>
              </w:rPr>
            </w:pPr>
            <w:r>
              <w:rPr>
                <w:rFonts w:hint="eastAsia" w:cs="宋体"/>
                <w:color w:val="auto"/>
                <w:sz w:val="21"/>
                <w:szCs w:val="21"/>
                <w:highlight w:val="none"/>
              </w:rPr>
              <w:t>2.本合同如发生争议由双方协商解决，协商不成向需方所在地仲裁机构提请仲裁。</w:t>
            </w:r>
          </w:p>
          <w:p w14:paraId="7DF17688">
            <w:pPr>
              <w:spacing w:line="300" w:lineRule="auto"/>
              <w:jc w:val="left"/>
              <w:rPr>
                <w:rFonts w:cs="宋体"/>
                <w:color w:val="auto"/>
                <w:sz w:val="21"/>
                <w:szCs w:val="21"/>
                <w:highlight w:val="none"/>
              </w:rPr>
            </w:pPr>
            <w:r>
              <w:rPr>
                <w:rFonts w:hint="eastAsia" w:cs="宋体"/>
                <w:color w:val="auto"/>
                <w:sz w:val="21"/>
                <w:szCs w:val="21"/>
                <w:highlight w:val="none"/>
              </w:rPr>
              <w:t>3.本合同一式__份， 需方__份，供方__份，具备同等法律效力。</w:t>
            </w:r>
          </w:p>
          <w:p w14:paraId="49BB86D1">
            <w:pPr>
              <w:spacing w:line="300" w:lineRule="auto"/>
              <w:jc w:val="left"/>
              <w:rPr>
                <w:rFonts w:cs="宋体"/>
                <w:color w:val="auto"/>
                <w:sz w:val="21"/>
                <w:szCs w:val="21"/>
                <w:highlight w:val="none"/>
              </w:rPr>
            </w:pPr>
            <w:r>
              <w:rPr>
                <w:rFonts w:hint="eastAsia" w:cs="宋体"/>
                <w:color w:val="auto"/>
                <w:sz w:val="21"/>
                <w:szCs w:val="21"/>
                <w:highlight w:val="none"/>
              </w:rPr>
              <w:t>4.其他：</w:t>
            </w:r>
          </w:p>
        </w:tc>
      </w:tr>
      <w:tr w14:paraId="754A2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8" w:hRule="atLeast"/>
        </w:trPr>
        <w:tc>
          <w:tcPr>
            <w:tcW w:w="2338" w:type="pct"/>
            <w:gridSpan w:val="4"/>
            <w:noWrap/>
          </w:tcPr>
          <w:p w14:paraId="574CDF6D">
            <w:pPr>
              <w:spacing w:line="300" w:lineRule="auto"/>
              <w:jc w:val="left"/>
              <w:rPr>
                <w:rFonts w:cs="宋体"/>
                <w:color w:val="auto"/>
                <w:sz w:val="21"/>
                <w:szCs w:val="21"/>
                <w:highlight w:val="none"/>
              </w:rPr>
            </w:pPr>
            <w:r>
              <w:rPr>
                <w:rFonts w:hint="eastAsia" w:cs="宋体"/>
                <w:color w:val="auto"/>
                <w:sz w:val="21"/>
                <w:szCs w:val="21"/>
                <w:highlight w:val="none"/>
              </w:rPr>
              <w:t>需方：</w:t>
            </w:r>
          </w:p>
          <w:p w14:paraId="6C49A766">
            <w:pPr>
              <w:spacing w:line="300" w:lineRule="auto"/>
              <w:jc w:val="left"/>
              <w:rPr>
                <w:rFonts w:cs="宋体"/>
                <w:color w:val="auto"/>
                <w:sz w:val="21"/>
                <w:szCs w:val="21"/>
                <w:highlight w:val="none"/>
              </w:rPr>
            </w:pPr>
            <w:r>
              <w:rPr>
                <w:rFonts w:hint="eastAsia" w:cs="宋体"/>
                <w:color w:val="auto"/>
                <w:sz w:val="21"/>
                <w:szCs w:val="21"/>
                <w:highlight w:val="none"/>
              </w:rPr>
              <w:t>地址：</w:t>
            </w:r>
          </w:p>
          <w:p w14:paraId="38F086C9">
            <w:pPr>
              <w:spacing w:line="300" w:lineRule="auto"/>
              <w:jc w:val="left"/>
              <w:rPr>
                <w:rFonts w:cs="宋体"/>
                <w:color w:val="auto"/>
                <w:sz w:val="21"/>
                <w:szCs w:val="21"/>
                <w:highlight w:val="none"/>
              </w:rPr>
            </w:pPr>
            <w:r>
              <w:rPr>
                <w:rFonts w:hint="eastAsia" w:cs="宋体"/>
                <w:color w:val="auto"/>
                <w:sz w:val="21"/>
                <w:szCs w:val="21"/>
                <w:highlight w:val="none"/>
              </w:rPr>
              <w:t>联系电话：</w:t>
            </w:r>
          </w:p>
          <w:p w14:paraId="1893F231">
            <w:pPr>
              <w:spacing w:line="300" w:lineRule="auto"/>
              <w:jc w:val="left"/>
              <w:rPr>
                <w:rFonts w:cs="宋体"/>
                <w:color w:val="auto"/>
                <w:sz w:val="21"/>
                <w:szCs w:val="21"/>
                <w:highlight w:val="none"/>
              </w:rPr>
            </w:pPr>
            <w:r>
              <w:rPr>
                <w:rFonts w:hint="eastAsia" w:cs="宋体"/>
                <w:color w:val="auto"/>
                <w:sz w:val="21"/>
                <w:szCs w:val="21"/>
                <w:highlight w:val="none"/>
              </w:rPr>
              <w:t>授权代表：</w:t>
            </w:r>
          </w:p>
        </w:tc>
        <w:tc>
          <w:tcPr>
            <w:tcW w:w="2661" w:type="pct"/>
            <w:gridSpan w:val="5"/>
            <w:noWrap/>
          </w:tcPr>
          <w:p w14:paraId="15C9D11F">
            <w:pPr>
              <w:spacing w:line="300" w:lineRule="auto"/>
              <w:jc w:val="left"/>
              <w:rPr>
                <w:rFonts w:cs="宋体"/>
                <w:color w:val="auto"/>
                <w:sz w:val="21"/>
                <w:szCs w:val="21"/>
                <w:highlight w:val="none"/>
              </w:rPr>
            </w:pPr>
            <w:r>
              <w:rPr>
                <w:rFonts w:hint="eastAsia" w:cs="宋体"/>
                <w:color w:val="auto"/>
                <w:sz w:val="21"/>
                <w:szCs w:val="21"/>
                <w:highlight w:val="none"/>
              </w:rPr>
              <w:t>供方：</w:t>
            </w:r>
          </w:p>
          <w:p w14:paraId="5065FA93">
            <w:pPr>
              <w:spacing w:line="300" w:lineRule="auto"/>
              <w:jc w:val="left"/>
              <w:rPr>
                <w:rFonts w:cs="宋体"/>
                <w:color w:val="auto"/>
                <w:sz w:val="21"/>
                <w:szCs w:val="21"/>
                <w:highlight w:val="none"/>
              </w:rPr>
            </w:pPr>
            <w:r>
              <w:rPr>
                <w:rFonts w:hint="eastAsia" w:cs="宋体"/>
                <w:color w:val="auto"/>
                <w:sz w:val="21"/>
                <w:szCs w:val="21"/>
                <w:highlight w:val="none"/>
              </w:rPr>
              <w:t>地址：</w:t>
            </w:r>
          </w:p>
          <w:p w14:paraId="5D12D3E2">
            <w:pPr>
              <w:spacing w:line="300" w:lineRule="auto"/>
              <w:jc w:val="left"/>
              <w:rPr>
                <w:rFonts w:cs="宋体"/>
                <w:color w:val="auto"/>
                <w:sz w:val="21"/>
                <w:szCs w:val="21"/>
                <w:highlight w:val="none"/>
              </w:rPr>
            </w:pPr>
            <w:r>
              <w:rPr>
                <w:rFonts w:hint="eastAsia" w:cs="宋体"/>
                <w:color w:val="auto"/>
                <w:sz w:val="21"/>
                <w:szCs w:val="21"/>
                <w:highlight w:val="none"/>
              </w:rPr>
              <w:t>电话：</w:t>
            </w:r>
          </w:p>
          <w:p w14:paraId="3C896486">
            <w:pPr>
              <w:spacing w:line="300" w:lineRule="auto"/>
              <w:jc w:val="left"/>
              <w:rPr>
                <w:rFonts w:cs="宋体"/>
                <w:color w:val="auto"/>
                <w:sz w:val="21"/>
                <w:szCs w:val="21"/>
                <w:highlight w:val="none"/>
              </w:rPr>
            </w:pPr>
            <w:r>
              <w:rPr>
                <w:rFonts w:hint="eastAsia" w:cs="宋体"/>
                <w:color w:val="auto"/>
                <w:sz w:val="21"/>
                <w:szCs w:val="21"/>
                <w:highlight w:val="none"/>
              </w:rPr>
              <w:t>传真：</w:t>
            </w:r>
          </w:p>
          <w:p w14:paraId="022AF2BC">
            <w:pPr>
              <w:spacing w:line="300" w:lineRule="auto"/>
              <w:jc w:val="left"/>
              <w:rPr>
                <w:rFonts w:cs="宋体"/>
                <w:color w:val="auto"/>
                <w:sz w:val="21"/>
                <w:szCs w:val="21"/>
                <w:highlight w:val="none"/>
              </w:rPr>
            </w:pPr>
            <w:r>
              <w:rPr>
                <w:rFonts w:hint="eastAsia" w:cs="宋体"/>
                <w:color w:val="auto"/>
                <w:sz w:val="21"/>
                <w:szCs w:val="21"/>
                <w:highlight w:val="none"/>
              </w:rPr>
              <w:t>开户银行：</w:t>
            </w:r>
          </w:p>
          <w:p w14:paraId="1DD9CD4A">
            <w:pPr>
              <w:spacing w:line="300" w:lineRule="auto"/>
              <w:jc w:val="left"/>
              <w:rPr>
                <w:rFonts w:cs="宋体"/>
                <w:color w:val="auto"/>
                <w:sz w:val="21"/>
                <w:szCs w:val="21"/>
                <w:highlight w:val="none"/>
              </w:rPr>
            </w:pPr>
            <w:r>
              <w:rPr>
                <w:rFonts w:hint="eastAsia" w:cs="宋体"/>
                <w:color w:val="auto"/>
                <w:sz w:val="21"/>
                <w:szCs w:val="21"/>
                <w:highlight w:val="none"/>
              </w:rPr>
              <w:t>账号：</w:t>
            </w:r>
          </w:p>
          <w:p w14:paraId="6DBB6D77">
            <w:pPr>
              <w:spacing w:line="300" w:lineRule="auto"/>
              <w:jc w:val="left"/>
              <w:rPr>
                <w:rFonts w:cs="宋体"/>
                <w:color w:val="auto"/>
                <w:sz w:val="21"/>
                <w:szCs w:val="21"/>
                <w:highlight w:val="none"/>
              </w:rPr>
            </w:pPr>
            <w:r>
              <w:rPr>
                <w:rFonts w:hint="eastAsia" w:cs="宋体"/>
                <w:color w:val="auto"/>
                <w:sz w:val="21"/>
                <w:szCs w:val="21"/>
                <w:highlight w:val="none"/>
              </w:rPr>
              <w:t>授权代表：</w:t>
            </w:r>
          </w:p>
          <w:p w14:paraId="5A20C7CC">
            <w:pPr>
              <w:widowControl/>
              <w:spacing w:line="300" w:lineRule="auto"/>
              <w:jc w:val="left"/>
              <w:rPr>
                <w:rFonts w:cs="宋体"/>
                <w:color w:val="auto"/>
                <w:sz w:val="21"/>
                <w:szCs w:val="21"/>
                <w:highlight w:val="none"/>
              </w:rPr>
            </w:pPr>
            <w:r>
              <w:rPr>
                <w:rFonts w:hint="eastAsia" w:cs="宋体"/>
                <w:color w:val="auto"/>
                <w:sz w:val="21"/>
                <w:szCs w:val="21"/>
                <w:highlight w:val="none"/>
              </w:rPr>
              <w:t>（本栏请用计算机打印以便于准确付款）</w:t>
            </w:r>
          </w:p>
        </w:tc>
      </w:tr>
      <w:tr w14:paraId="71A43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5000" w:type="pct"/>
            <w:gridSpan w:val="9"/>
            <w:noWrap/>
          </w:tcPr>
          <w:p w14:paraId="69435CAF">
            <w:pPr>
              <w:spacing w:line="300" w:lineRule="auto"/>
              <w:jc w:val="left"/>
              <w:rPr>
                <w:rFonts w:cs="宋体"/>
                <w:color w:val="auto"/>
                <w:sz w:val="21"/>
                <w:szCs w:val="21"/>
                <w:highlight w:val="none"/>
              </w:rPr>
            </w:pPr>
            <w:r>
              <w:rPr>
                <w:rFonts w:hint="eastAsia" w:cs="宋体"/>
                <w:color w:val="auto"/>
                <w:sz w:val="21"/>
                <w:szCs w:val="21"/>
                <w:highlight w:val="none"/>
              </w:rPr>
              <w:t>备注：</w:t>
            </w:r>
          </w:p>
          <w:p w14:paraId="3FAFA694">
            <w:pPr>
              <w:spacing w:line="300" w:lineRule="auto"/>
              <w:jc w:val="left"/>
              <w:rPr>
                <w:rFonts w:cs="宋体"/>
                <w:color w:val="auto"/>
                <w:sz w:val="21"/>
                <w:szCs w:val="21"/>
                <w:highlight w:val="none"/>
              </w:rPr>
            </w:pPr>
          </w:p>
          <w:p w14:paraId="28723BDC">
            <w:pPr>
              <w:spacing w:line="300" w:lineRule="auto"/>
              <w:jc w:val="left"/>
              <w:rPr>
                <w:rFonts w:cs="宋体"/>
                <w:color w:val="auto"/>
                <w:sz w:val="21"/>
                <w:szCs w:val="21"/>
                <w:highlight w:val="none"/>
              </w:rPr>
            </w:pPr>
          </w:p>
        </w:tc>
      </w:tr>
    </w:tbl>
    <w:p w14:paraId="1566195F">
      <w:pPr>
        <w:spacing w:line="300" w:lineRule="auto"/>
        <w:ind w:firstLine="480" w:firstLineChars="200"/>
        <w:jc w:val="left"/>
        <w:rPr>
          <w:rFonts w:cs="宋体"/>
          <w:color w:val="auto"/>
          <w:sz w:val="24"/>
          <w:highlight w:val="none"/>
        </w:rPr>
      </w:pPr>
      <w:r>
        <w:rPr>
          <w:rFonts w:hint="eastAsia" w:cs="宋体"/>
          <w:color w:val="auto"/>
          <w:sz w:val="24"/>
          <w:highlight w:val="none"/>
        </w:rPr>
        <w:t>签约时间：           年   月   日      签约地点：</w:t>
      </w:r>
    </w:p>
    <w:p w14:paraId="6B4248E1">
      <w:pPr>
        <w:rPr>
          <w:rFonts w:ascii="宋体" w:hAnsi="宋体" w:cs="宋体"/>
          <w:b/>
          <w:bCs/>
          <w:color w:val="auto"/>
          <w:kern w:val="0"/>
          <w:sz w:val="24"/>
          <w:highlight w:val="none"/>
        </w:rPr>
      </w:pPr>
    </w:p>
    <w:p w14:paraId="3228020B">
      <w:pPr>
        <w:rPr>
          <w:color w:val="auto"/>
          <w:highlight w:val="none"/>
        </w:rPr>
      </w:pPr>
      <w:bookmarkStart w:id="270" w:name="_Toc15971"/>
    </w:p>
    <w:p w14:paraId="3F88E64C">
      <w:pPr>
        <w:pStyle w:val="3"/>
        <w:rPr>
          <w:color w:val="auto"/>
          <w:highlight w:val="none"/>
        </w:rPr>
        <w:sectPr>
          <w:footerReference r:id="rId6" w:type="first"/>
          <w:footerReference r:id="rId5" w:type="default"/>
          <w:pgSz w:w="11905" w:h="16838"/>
          <w:pgMar w:top="1134" w:right="1134" w:bottom="1134" w:left="1134" w:header="850" w:footer="992" w:gutter="0"/>
          <w:pgNumType w:fmt="numberInDash"/>
          <w:cols w:space="0" w:num="1"/>
          <w:titlePg/>
          <w:docGrid w:type="lines" w:linePitch="385" w:charSpace="0"/>
        </w:sectPr>
      </w:pPr>
    </w:p>
    <w:p w14:paraId="72762157">
      <w:pPr>
        <w:pStyle w:val="3"/>
        <w:rPr>
          <w:color w:val="auto"/>
          <w:highlight w:val="none"/>
        </w:rPr>
      </w:pPr>
      <w:r>
        <w:rPr>
          <w:rFonts w:hint="eastAsia"/>
          <w:color w:val="auto"/>
          <w:highlight w:val="none"/>
        </w:rPr>
        <w:t>第七篇 响应文件格式</w:t>
      </w:r>
      <w:bookmarkEnd w:id="267"/>
      <w:bookmarkEnd w:id="268"/>
      <w:bookmarkEnd w:id="270"/>
    </w:p>
    <w:p w14:paraId="4C5DBD18">
      <w:pPr>
        <w:spacing w:line="360" w:lineRule="auto"/>
        <w:ind w:firstLine="562" w:firstLineChars="200"/>
        <w:rPr>
          <w:b/>
          <w:bCs/>
          <w:color w:val="auto"/>
          <w:highlight w:val="none"/>
        </w:rPr>
      </w:pPr>
      <w:bookmarkStart w:id="271" w:name="_Toc10248"/>
      <w:bookmarkStart w:id="272" w:name="_Toc9790"/>
      <w:bookmarkStart w:id="273" w:name="_Toc30939"/>
      <w:bookmarkStart w:id="274" w:name="_Toc15251"/>
      <w:bookmarkStart w:id="275" w:name="_Toc22811"/>
    </w:p>
    <w:p w14:paraId="1E8036F3">
      <w:pPr>
        <w:spacing w:line="360" w:lineRule="auto"/>
        <w:ind w:firstLine="562" w:firstLineChars="200"/>
        <w:rPr>
          <w:b/>
          <w:bCs/>
          <w:color w:val="auto"/>
          <w:highlight w:val="none"/>
        </w:rPr>
      </w:pPr>
      <w:r>
        <w:rPr>
          <w:rFonts w:hint="eastAsia"/>
          <w:b/>
          <w:bCs/>
          <w:color w:val="auto"/>
          <w:highlight w:val="none"/>
        </w:rPr>
        <w:t>一、</w:t>
      </w:r>
      <w:bookmarkEnd w:id="271"/>
      <w:bookmarkEnd w:id="272"/>
      <w:bookmarkEnd w:id="273"/>
      <w:bookmarkEnd w:id="274"/>
      <w:bookmarkEnd w:id="275"/>
      <w:r>
        <w:rPr>
          <w:rFonts w:hint="eastAsia"/>
          <w:b/>
          <w:bCs/>
          <w:color w:val="auto"/>
          <w:highlight w:val="none"/>
        </w:rPr>
        <w:t>经济部分</w:t>
      </w:r>
    </w:p>
    <w:p w14:paraId="49664143">
      <w:pPr>
        <w:spacing w:line="360" w:lineRule="auto"/>
        <w:ind w:firstLine="562" w:firstLineChars="200"/>
        <w:rPr>
          <w:b/>
          <w:bCs/>
          <w:color w:val="auto"/>
          <w:highlight w:val="none"/>
        </w:rPr>
      </w:pPr>
      <w:bookmarkStart w:id="276" w:name="_Toc26002"/>
      <w:bookmarkStart w:id="277" w:name="_Toc26419"/>
      <w:bookmarkStart w:id="278" w:name="_Toc18890"/>
      <w:bookmarkStart w:id="279" w:name="_Toc254"/>
      <w:bookmarkStart w:id="280" w:name="_Toc24000"/>
      <w:r>
        <w:rPr>
          <w:rFonts w:hint="eastAsia"/>
          <w:b/>
          <w:bCs/>
          <w:color w:val="auto"/>
          <w:highlight w:val="none"/>
        </w:rPr>
        <w:t>二、资格</w:t>
      </w:r>
      <w:bookmarkEnd w:id="276"/>
      <w:bookmarkEnd w:id="277"/>
      <w:bookmarkEnd w:id="278"/>
      <w:bookmarkEnd w:id="279"/>
      <w:r>
        <w:rPr>
          <w:rFonts w:hint="eastAsia"/>
          <w:b/>
          <w:bCs/>
          <w:color w:val="auto"/>
          <w:highlight w:val="none"/>
        </w:rPr>
        <w:t>文件</w:t>
      </w:r>
      <w:bookmarkEnd w:id="280"/>
    </w:p>
    <w:p w14:paraId="121D0DF5">
      <w:pPr>
        <w:spacing w:line="360" w:lineRule="auto"/>
        <w:ind w:firstLine="562" w:firstLineChars="200"/>
        <w:rPr>
          <w:b/>
          <w:bCs/>
          <w:color w:val="auto"/>
          <w:highlight w:val="none"/>
        </w:rPr>
      </w:pPr>
      <w:bookmarkStart w:id="281" w:name="_Toc11535"/>
      <w:bookmarkStart w:id="282" w:name="_Toc6114"/>
      <w:bookmarkStart w:id="283" w:name="_Toc7698"/>
      <w:bookmarkStart w:id="284" w:name="_Toc16080"/>
      <w:bookmarkStart w:id="285" w:name="_Toc19972"/>
      <w:r>
        <w:rPr>
          <w:rFonts w:hint="eastAsia"/>
          <w:b/>
          <w:bCs/>
          <w:color w:val="auto"/>
          <w:highlight w:val="none"/>
        </w:rPr>
        <w:t>三、</w:t>
      </w:r>
      <w:bookmarkEnd w:id="281"/>
      <w:bookmarkEnd w:id="282"/>
      <w:bookmarkEnd w:id="283"/>
      <w:bookmarkEnd w:id="284"/>
      <w:bookmarkEnd w:id="285"/>
      <w:r>
        <w:rPr>
          <w:rFonts w:hint="eastAsia"/>
          <w:b/>
          <w:bCs/>
          <w:color w:val="auto"/>
          <w:highlight w:val="none"/>
        </w:rPr>
        <w:t>服务部分</w:t>
      </w:r>
    </w:p>
    <w:p w14:paraId="2399766C">
      <w:pPr>
        <w:spacing w:line="360" w:lineRule="auto"/>
        <w:ind w:firstLine="562" w:firstLineChars="200"/>
        <w:rPr>
          <w:b/>
          <w:bCs/>
          <w:color w:val="auto"/>
          <w:highlight w:val="none"/>
        </w:rPr>
      </w:pPr>
      <w:bookmarkStart w:id="286" w:name="_Toc15817"/>
      <w:bookmarkStart w:id="287" w:name="_Toc29874"/>
      <w:bookmarkStart w:id="288" w:name="_Toc29209"/>
      <w:bookmarkStart w:id="289" w:name="_Toc8479"/>
      <w:bookmarkStart w:id="290" w:name="_Toc32049"/>
      <w:r>
        <w:rPr>
          <w:rFonts w:hint="eastAsia"/>
          <w:b/>
          <w:bCs/>
          <w:color w:val="auto"/>
          <w:highlight w:val="none"/>
        </w:rPr>
        <w:t>四、</w:t>
      </w:r>
      <w:bookmarkEnd w:id="286"/>
      <w:bookmarkEnd w:id="287"/>
      <w:bookmarkEnd w:id="288"/>
      <w:bookmarkEnd w:id="289"/>
      <w:bookmarkEnd w:id="290"/>
      <w:r>
        <w:rPr>
          <w:rFonts w:hint="eastAsia"/>
          <w:b/>
          <w:bCs/>
          <w:color w:val="auto"/>
          <w:highlight w:val="none"/>
        </w:rPr>
        <w:t>商务部分</w:t>
      </w:r>
    </w:p>
    <w:p w14:paraId="4EF757CF">
      <w:pPr>
        <w:spacing w:line="360" w:lineRule="auto"/>
        <w:ind w:firstLine="562" w:firstLineChars="200"/>
        <w:rPr>
          <w:b/>
          <w:bCs/>
          <w:color w:val="auto"/>
          <w:highlight w:val="none"/>
        </w:rPr>
      </w:pPr>
      <w:bookmarkStart w:id="291" w:name="_Toc8893"/>
      <w:bookmarkStart w:id="292" w:name="_Toc28431"/>
      <w:bookmarkStart w:id="293" w:name="_Toc19746"/>
      <w:bookmarkStart w:id="294" w:name="_Toc29564"/>
      <w:bookmarkStart w:id="295" w:name="_Toc10309"/>
      <w:r>
        <w:rPr>
          <w:rFonts w:hint="eastAsia"/>
          <w:b/>
          <w:bCs/>
          <w:color w:val="auto"/>
          <w:highlight w:val="none"/>
        </w:rPr>
        <w:t>五、</w:t>
      </w:r>
      <w:bookmarkEnd w:id="291"/>
      <w:bookmarkEnd w:id="292"/>
      <w:bookmarkEnd w:id="293"/>
      <w:r>
        <w:rPr>
          <w:rFonts w:hint="eastAsia"/>
          <w:b/>
          <w:bCs/>
          <w:color w:val="auto"/>
          <w:highlight w:val="none"/>
        </w:rPr>
        <w:t>其他与项目有关的</w:t>
      </w:r>
      <w:bookmarkEnd w:id="294"/>
      <w:r>
        <w:rPr>
          <w:rFonts w:hint="eastAsia"/>
          <w:b/>
          <w:bCs/>
          <w:color w:val="auto"/>
          <w:highlight w:val="none"/>
        </w:rPr>
        <w:t>资料</w:t>
      </w:r>
      <w:bookmarkEnd w:id="295"/>
    </w:p>
    <w:p w14:paraId="002FE004">
      <w:pPr>
        <w:rPr>
          <w:rFonts w:cs="宋体"/>
          <w:b/>
          <w:bCs/>
          <w:color w:val="auto"/>
          <w:highlight w:val="none"/>
        </w:rPr>
      </w:pPr>
    </w:p>
    <w:p w14:paraId="1E7FAF63">
      <w:pPr>
        <w:rPr>
          <w:rFonts w:cs="宋体"/>
          <w:b/>
          <w:bCs/>
          <w:color w:val="auto"/>
          <w:highlight w:val="none"/>
        </w:rPr>
      </w:pPr>
      <w:bookmarkStart w:id="296" w:name="_Toc25659"/>
      <w:bookmarkStart w:id="297" w:name="_Toc27612"/>
      <w:bookmarkStart w:id="298" w:name="_Toc21561"/>
      <w:bookmarkStart w:id="299" w:name="_Toc27722"/>
      <w:bookmarkStart w:id="300" w:name="_Toc13547"/>
      <w:bookmarkStart w:id="301" w:name="_Toc23361"/>
      <w:bookmarkStart w:id="302" w:name="_Toc14568"/>
      <w:bookmarkStart w:id="303" w:name="_Toc31914"/>
      <w:bookmarkStart w:id="304" w:name="_Toc23145"/>
      <w:bookmarkStart w:id="305" w:name="_Toc14552"/>
      <w:bookmarkStart w:id="306" w:name="_Toc10124"/>
      <w:bookmarkStart w:id="307" w:name="_Toc106030417"/>
      <w:bookmarkStart w:id="308" w:name="_Toc429584884"/>
      <w:bookmarkStart w:id="309" w:name="_Toc11398"/>
      <w:bookmarkStart w:id="310" w:name="_Toc75793540"/>
      <w:bookmarkStart w:id="311" w:name="_Toc31828"/>
      <w:bookmarkStart w:id="312" w:name="_Toc27943"/>
      <w:bookmarkStart w:id="313" w:name="_Toc15893"/>
      <w:bookmarkStart w:id="314" w:name="_Toc29821"/>
      <w:bookmarkStart w:id="315" w:name="_Toc18181"/>
      <w:bookmarkStart w:id="316" w:name="_Toc17074"/>
      <w:r>
        <w:rPr>
          <w:rFonts w:hint="eastAsia" w:cs="宋体"/>
          <w:b/>
          <w:bCs/>
          <w:color w:val="auto"/>
          <w:highlight w:val="none"/>
        </w:rPr>
        <w:br w:type="page"/>
      </w:r>
    </w:p>
    <w:p w14:paraId="7535E3A1">
      <w:pPr>
        <w:rPr>
          <w:rFonts w:cs="宋体"/>
          <w:b/>
          <w:bCs/>
          <w:color w:val="auto"/>
          <w:highlight w:val="none"/>
        </w:rPr>
      </w:pPr>
    </w:p>
    <w:p w14:paraId="3158CC32">
      <w:pPr>
        <w:rPr>
          <w:rFonts w:cs="宋体"/>
          <w:b/>
          <w:bCs/>
          <w:color w:val="auto"/>
          <w:highlight w:val="none"/>
        </w:rPr>
      </w:pPr>
    </w:p>
    <w:p w14:paraId="3EB0A53E">
      <w:pPr>
        <w:rPr>
          <w:rFonts w:cs="宋体"/>
          <w:b/>
          <w:bCs/>
          <w:color w:val="auto"/>
          <w:highlight w:val="none"/>
        </w:rPr>
      </w:pPr>
    </w:p>
    <w:p w14:paraId="6AA51168">
      <w:pPr>
        <w:rPr>
          <w:rFonts w:cs="宋体"/>
          <w:b/>
          <w:bCs/>
          <w:color w:val="auto"/>
          <w:sz w:val="24"/>
          <w:szCs w:val="18"/>
          <w:highlight w:val="none"/>
        </w:rPr>
      </w:pPr>
    </w:p>
    <w:p w14:paraId="30212FB3">
      <w:pPr>
        <w:jc w:val="center"/>
        <w:rPr>
          <w:rFonts w:hint="eastAsia" w:eastAsia="宋体" w:cs="宋体"/>
          <w:b/>
          <w:bCs/>
          <w:color w:val="auto"/>
          <w:sz w:val="44"/>
          <w:szCs w:val="44"/>
          <w:highlight w:val="none"/>
          <w:lang w:eastAsia="zh-CN"/>
        </w:rPr>
      </w:pPr>
      <w:r>
        <w:rPr>
          <w:rFonts w:hint="eastAsia" w:cs="宋体"/>
          <w:b/>
          <w:bCs/>
          <w:color w:val="auto"/>
          <w:sz w:val="44"/>
          <w:szCs w:val="44"/>
          <w:highlight w:val="none"/>
          <w:lang w:eastAsia="zh-CN"/>
        </w:rPr>
        <w:t>制式服装清洗服务（第三次）</w:t>
      </w:r>
    </w:p>
    <w:p w14:paraId="4FBC1F44">
      <w:pPr>
        <w:rPr>
          <w:rFonts w:cs="宋体"/>
          <w:b/>
          <w:bCs/>
          <w:color w:val="auto"/>
          <w:sz w:val="48"/>
          <w:szCs w:val="48"/>
          <w:highlight w:val="none"/>
        </w:rPr>
      </w:pPr>
    </w:p>
    <w:p w14:paraId="497FAF36">
      <w:pPr>
        <w:rPr>
          <w:color w:val="auto"/>
          <w:highlight w:val="none"/>
        </w:rPr>
      </w:pPr>
    </w:p>
    <w:p w14:paraId="52E06FE4">
      <w:pPr>
        <w:rPr>
          <w:rFonts w:cs="宋体"/>
          <w:b/>
          <w:bCs/>
          <w:color w:val="auto"/>
          <w:sz w:val="48"/>
          <w:szCs w:val="48"/>
          <w:highlight w:val="none"/>
        </w:rPr>
      </w:pPr>
    </w:p>
    <w:p w14:paraId="7D2A54EA">
      <w:pPr>
        <w:rPr>
          <w:rFonts w:cs="宋体"/>
          <w:b/>
          <w:bCs/>
          <w:color w:val="auto"/>
          <w:sz w:val="48"/>
          <w:szCs w:val="48"/>
          <w:highlight w:val="none"/>
        </w:rPr>
      </w:pPr>
    </w:p>
    <w:p w14:paraId="1C5C8180">
      <w:pPr>
        <w:jc w:val="center"/>
        <w:rPr>
          <w:rFonts w:cs="宋体"/>
          <w:b/>
          <w:bCs/>
          <w:color w:val="auto"/>
          <w:sz w:val="48"/>
          <w:szCs w:val="48"/>
          <w:highlight w:val="none"/>
        </w:rPr>
      </w:pPr>
      <w:r>
        <w:rPr>
          <w:rFonts w:hint="eastAsia" w:cs="宋体"/>
          <w:b/>
          <w:bCs/>
          <w:color w:val="auto"/>
          <w:sz w:val="48"/>
          <w:szCs w:val="48"/>
          <w:highlight w:val="none"/>
        </w:rPr>
        <w:t>响应文件</w:t>
      </w:r>
    </w:p>
    <w:p w14:paraId="5A91FF11">
      <w:pPr>
        <w:jc w:val="center"/>
        <w:rPr>
          <w:rFonts w:cs="宋体"/>
          <w:b/>
          <w:bCs/>
          <w:color w:val="auto"/>
          <w:sz w:val="48"/>
          <w:szCs w:val="48"/>
          <w:highlight w:val="none"/>
        </w:rPr>
      </w:pPr>
    </w:p>
    <w:p w14:paraId="7B040D1E">
      <w:pPr>
        <w:jc w:val="center"/>
        <w:rPr>
          <w:rFonts w:cs="宋体"/>
          <w:b/>
          <w:bCs/>
          <w:color w:val="auto"/>
          <w:sz w:val="48"/>
          <w:szCs w:val="48"/>
          <w:highlight w:val="none"/>
        </w:rPr>
      </w:pPr>
    </w:p>
    <w:p w14:paraId="0EF12DCF">
      <w:pPr>
        <w:rPr>
          <w:rFonts w:cs="宋体"/>
          <w:b/>
          <w:bCs/>
          <w:color w:val="auto"/>
          <w:sz w:val="48"/>
          <w:szCs w:val="48"/>
          <w:highlight w:val="none"/>
        </w:rPr>
      </w:pPr>
    </w:p>
    <w:p w14:paraId="7728497E">
      <w:pPr>
        <w:rPr>
          <w:rFonts w:cs="宋体"/>
          <w:b/>
          <w:bCs/>
          <w:color w:val="auto"/>
          <w:sz w:val="48"/>
          <w:szCs w:val="48"/>
          <w:highlight w:val="none"/>
        </w:rPr>
      </w:pPr>
    </w:p>
    <w:p w14:paraId="4E0AC272">
      <w:pPr>
        <w:rPr>
          <w:rFonts w:cs="宋体"/>
          <w:b/>
          <w:bCs/>
          <w:color w:val="auto"/>
          <w:sz w:val="48"/>
          <w:szCs w:val="48"/>
          <w:highlight w:val="none"/>
        </w:rPr>
      </w:pPr>
    </w:p>
    <w:p w14:paraId="7632D69B">
      <w:pPr>
        <w:ind w:firstLine="1687" w:firstLineChars="600"/>
        <w:rPr>
          <w:rFonts w:hint="default" w:eastAsia="宋体" w:cs="宋体"/>
          <w:b/>
          <w:bCs/>
          <w:color w:val="auto"/>
          <w:szCs w:val="28"/>
          <w:highlight w:val="none"/>
          <w:u w:val="single"/>
          <w:lang w:val="en-US" w:eastAsia="zh-CN"/>
        </w:rPr>
      </w:pPr>
      <w:r>
        <w:rPr>
          <w:rFonts w:hint="eastAsia" w:cs="宋体"/>
          <w:b/>
          <w:bCs/>
          <w:color w:val="auto"/>
          <w:szCs w:val="28"/>
          <w:highlight w:val="none"/>
        </w:rPr>
        <w:t>供应商名称（公章）：</w:t>
      </w:r>
      <w:r>
        <w:rPr>
          <w:rFonts w:hint="eastAsia" w:cs="宋体"/>
          <w:b/>
          <w:bCs/>
          <w:color w:val="auto"/>
          <w:szCs w:val="28"/>
          <w:highlight w:val="none"/>
          <w:u w:val="single"/>
          <w:lang w:val="en-US" w:eastAsia="zh-CN"/>
        </w:rPr>
        <w:t xml:space="preserve">                   </w:t>
      </w:r>
    </w:p>
    <w:p w14:paraId="244C798B">
      <w:pPr>
        <w:jc w:val="center"/>
        <w:rPr>
          <w:rFonts w:cs="宋体"/>
          <w:b/>
          <w:bCs/>
          <w:color w:val="auto"/>
          <w:szCs w:val="28"/>
          <w:highlight w:val="none"/>
        </w:rPr>
      </w:pPr>
    </w:p>
    <w:p w14:paraId="176CB0A3">
      <w:pPr>
        <w:jc w:val="center"/>
        <w:rPr>
          <w:rFonts w:cs="宋体"/>
          <w:b/>
          <w:bCs/>
          <w:color w:val="auto"/>
          <w:szCs w:val="28"/>
          <w:highlight w:val="none"/>
        </w:rPr>
      </w:pPr>
      <w:r>
        <w:rPr>
          <w:rFonts w:hint="eastAsia" w:cs="宋体"/>
          <w:b/>
          <w:bCs/>
          <w:color w:val="auto"/>
          <w:szCs w:val="28"/>
          <w:highlight w:val="none"/>
        </w:rPr>
        <w:t>年   月   日</w:t>
      </w:r>
    </w:p>
    <w:p w14:paraId="5EE0F055">
      <w:pPr>
        <w:jc w:val="center"/>
        <w:rPr>
          <w:rFonts w:cs="宋体"/>
          <w:b/>
          <w:bCs/>
          <w:color w:val="auto"/>
          <w:szCs w:val="28"/>
          <w:highlight w:val="none"/>
        </w:rPr>
      </w:pPr>
    </w:p>
    <w:p w14:paraId="7E5D0593">
      <w:pPr>
        <w:jc w:val="center"/>
        <w:rPr>
          <w:rFonts w:cs="宋体"/>
          <w:b/>
          <w:bCs/>
          <w:color w:val="auto"/>
          <w:szCs w:val="28"/>
          <w:highlight w:val="none"/>
        </w:rPr>
      </w:pPr>
    </w:p>
    <w:p w14:paraId="5B0C70DB">
      <w:pPr>
        <w:jc w:val="center"/>
        <w:rPr>
          <w:rFonts w:cs="宋体"/>
          <w:b/>
          <w:bCs/>
          <w:color w:val="auto"/>
          <w:szCs w:val="28"/>
          <w:highlight w:val="none"/>
        </w:rPr>
      </w:pPr>
    </w:p>
    <w:p w14:paraId="3A1E7FBE">
      <w:pPr>
        <w:jc w:val="center"/>
        <w:rPr>
          <w:rFonts w:cs="宋体"/>
          <w:b/>
          <w:bCs/>
          <w:color w:val="auto"/>
          <w:szCs w:val="28"/>
          <w:highlight w:val="none"/>
        </w:rPr>
      </w:pPr>
    </w:p>
    <w:p w14:paraId="182664AC">
      <w:pPr>
        <w:jc w:val="center"/>
        <w:rPr>
          <w:rFonts w:cs="宋体"/>
          <w:b/>
          <w:bCs/>
          <w:color w:val="auto"/>
          <w:szCs w:val="28"/>
          <w:highlight w:val="none"/>
        </w:rPr>
      </w:pPr>
    </w:p>
    <w:p w14:paraId="0507E091">
      <w:pPr>
        <w:jc w:val="center"/>
        <w:rPr>
          <w:rFonts w:cs="宋体"/>
          <w:b/>
          <w:bCs/>
          <w:color w:val="auto"/>
          <w:szCs w:val="28"/>
          <w:highlight w:val="none"/>
        </w:rPr>
      </w:pPr>
    </w:p>
    <w:p w14:paraId="418C50E4">
      <w:pPr>
        <w:jc w:val="center"/>
        <w:rPr>
          <w:rFonts w:cs="宋体"/>
          <w:b/>
          <w:bCs/>
          <w:color w:val="auto"/>
          <w:szCs w:val="28"/>
          <w:highlight w:val="none"/>
        </w:rPr>
      </w:pPr>
    </w:p>
    <w:p w14:paraId="287A34C2">
      <w:pPr>
        <w:jc w:val="center"/>
        <w:rPr>
          <w:rFonts w:cs="宋体"/>
          <w:b/>
          <w:bCs/>
          <w:color w:val="auto"/>
          <w:highlight w:val="none"/>
        </w:rPr>
      </w:pPr>
    </w:p>
    <w:p w14:paraId="4FBE85CD">
      <w:pPr>
        <w:jc w:val="center"/>
        <w:rPr>
          <w:rFonts w:cs="宋体"/>
          <w:b/>
          <w:bCs/>
          <w:color w:val="auto"/>
          <w:highlight w:val="none"/>
        </w:rPr>
      </w:pPr>
    </w:p>
    <w:p w14:paraId="60C3648D">
      <w:pPr>
        <w:jc w:val="center"/>
        <w:rPr>
          <w:rFonts w:cs="宋体"/>
          <w:b/>
          <w:bCs/>
          <w:color w:val="auto"/>
          <w:highlight w:val="none"/>
        </w:rPr>
      </w:pPr>
      <w:r>
        <w:rPr>
          <w:rFonts w:hint="eastAsia" w:cs="宋体"/>
          <w:b/>
          <w:bCs/>
          <w:color w:val="auto"/>
          <w:highlight w:val="none"/>
        </w:rPr>
        <w:t>目 录</w:t>
      </w:r>
    </w:p>
    <w:p w14:paraId="578B6E02">
      <w:pPr>
        <w:jc w:val="center"/>
        <w:rPr>
          <w:rFonts w:cs="宋体"/>
          <w:color w:val="auto"/>
          <w:sz w:val="22"/>
          <w:szCs w:val="16"/>
          <w:highlight w:val="none"/>
        </w:rPr>
      </w:pPr>
    </w:p>
    <w:p w14:paraId="738FDF12">
      <w:pPr>
        <w:jc w:val="center"/>
        <w:rPr>
          <w:rFonts w:cs="宋体"/>
          <w:color w:val="auto"/>
          <w:sz w:val="22"/>
          <w:szCs w:val="16"/>
          <w:highlight w:val="none"/>
        </w:rPr>
      </w:pPr>
      <w:r>
        <w:rPr>
          <w:rFonts w:hint="eastAsia" w:cs="宋体"/>
          <w:color w:val="auto"/>
          <w:sz w:val="22"/>
          <w:szCs w:val="16"/>
          <w:highlight w:val="none"/>
        </w:rPr>
        <w:t>（供应商自拟）</w:t>
      </w:r>
    </w:p>
    <w:p w14:paraId="29AF8BB9">
      <w:pPr>
        <w:pStyle w:val="4"/>
        <w:spacing w:before="192"/>
        <w:ind w:firstLine="562"/>
        <w:rPr>
          <w:rFonts w:ascii="Times New Roman" w:hAnsi="Times New Roman" w:cs="宋体"/>
          <w:bCs/>
          <w:color w:val="auto"/>
          <w:highlight w:val="none"/>
        </w:rPr>
        <w:sectPr>
          <w:pgSz w:w="11905" w:h="16838"/>
          <w:pgMar w:top="1134" w:right="1134" w:bottom="1134" w:left="1134" w:header="850" w:footer="992" w:gutter="0"/>
          <w:pgNumType w:fmt="numberInDash"/>
          <w:cols w:space="0" w:num="1"/>
          <w:titlePg/>
          <w:docGrid w:type="lines" w:linePitch="385" w:charSpace="0"/>
        </w:sectPr>
      </w:pPr>
    </w:p>
    <w:p w14:paraId="2B8DDBC3">
      <w:pPr>
        <w:pStyle w:val="4"/>
        <w:spacing w:before="192"/>
        <w:ind w:firstLine="562"/>
        <w:rPr>
          <w:rFonts w:ascii="Times New Roman" w:hAnsi="Times New Roman" w:cs="宋体"/>
          <w:bCs/>
          <w:color w:val="auto"/>
          <w:highlight w:val="none"/>
        </w:rPr>
      </w:pPr>
      <w:bookmarkStart w:id="317" w:name="_Toc18399"/>
      <w:r>
        <w:rPr>
          <w:rFonts w:hint="eastAsia" w:ascii="Times New Roman" w:hAnsi="Times New Roman" w:cs="宋体"/>
          <w:bCs/>
          <w:color w:val="auto"/>
          <w:highlight w:val="none"/>
        </w:rPr>
        <w:t>一、</w:t>
      </w:r>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r>
        <w:rPr>
          <w:rFonts w:hint="eastAsia" w:ascii="Times New Roman" w:hAnsi="Times New Roman" w:cs="宋体"/>
          <w:bCs/>
          <w:color w:val="auto"/>
          <w:highlight w:val="none"/>
        </w:rPr>
        <w:t>经济部分</w:t>
      </w:r>
      <w:bookmarkEnd w:id="315"/>
      <w:bookmarkEnd w:id="317"/>
    </w:p>
    <w:p w14:paraId="2C40F383">
      <w:pPr>
        <w:jc w:val="center"/>
        <w:rPr>
          <w:b/>
          <w:bCs/>
          <w:color w:val="auto"/>
          <w:highlight w:val="none"/>
        </w:rPr>
      </w:pPr>
      <w:r>
        <w:rPr>
          <w:rFonts w:hint="eastAsia"/>
          <w:b/>
          <w:bCs/>
          <w:color w:val="auto"/>
          <w:highlight w:val="none"/>
        </w:rPr>
        <w:t>（一）报价函</w:t>
      </w:r>
    </w:p>
    <w:p w14:paraId="61025D44">
      <w:pPr>
        <w:spacing w:line="500" w:lineRule="exact"/>
        <w:rPr>
          <w:rFonts w:cs="宋体"/>
          <w:color w:val="auto"/>
          <w:szCs w:val="32"/>
          <w:highlight w:val="none"/>
        </w:rPr>
      </w:pPr>
    </w:p>
    <w:p w14:paraId="5A369D40">
      <w:pPr>
        <w:tabs>
          <w:tab w:val="left" w:pos="6300"/>
        </w:tabs>
        <w:snapToGrid w:val="0"/>
        <w:spacing w:line="480" w:lineRule="exact"/>
        <w:rPr>
          <w:rFonts w:ascii="宋体" w:hAnsi="宋体" w:cs="仿宋"/>
          <w:color w:val="auto"/>
          <w:sz w:val="24"/>
          <w:szCs w:val="24"/>
          <w:highlight w:val="none"/>
        </w:rPr>
      </w:pPr>
      <w:r>
        <w:rPr>
          <w:rFonts w:hint="eastAsia" w:ascii="宋体" w:hAnsi="宋体" w:cs="仿宋"/>
          <w:color w:val="auto"/>
          <w:sz w:val="24"/>
          <w:szCs w:val="24"/>
          <w:highlight w:val="none"/>
          <w:u w:val="single"/>
        </w:rPr>
        <w:t>（采购人或采购代理机构名称）</w:t>
      </w:r>
      <w:r>
        <w:rPr>
          <w:rFonts w:hint="eastAsia" w:ascii="宋体" w:hAnsi="宋体" w:cs="仿宋"/>
          <w:color w:val="auto"/>
          <w:sz w:val="24"/>
          <w:szCs w:val="24"/>
          <w:highlight w:val="none"/>
        </w:rPr>
        <w:t>：</w:t>
      </w:r>
    </w:p>
    <w:p w14:paraId="52D92207">
      <w:pPr>
        <w:tabs>
          <w:tab w:val="left" w:pos="6300"/>
        </w:tabs>
        <w:snapToGrid w:val="0"/>
        <w:spacing w:line="48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我方收到</w:t>
      </w:r>
      <w:r>
        <w:rPr>
          <w:rFonts w:hint="eastAsia" w:ascii="宋体" w:hAnsi="宋体" w:cs="仿宋"/>
          <w:color w:val="auto"/>
          <w:sz w:val="24"/>
          <w:szCs w:val="24"/>
          <w:highlight w:val="none"/>
          <w:u w:val="single"/>
          <w:lang w:val="en-US" w:eastAsia="zh-CN"/>
        </w:rPr>
        <w:t xml:space="preserve">                </w:t>
      </w:r>
      <w:r>
        <w:rPr>
          <w:rFonts w:hint="eastAsia" w:ascii="宋体" w:hAnsi="宋体" w:cs="仿宋"/>
          <w:color w:val="auto"/>
          <w:sz w:val="24"/>
          <w:szCs w:val="24"/>
          <w:highlight w:val="none"/>
        </w:rPr>
        <w:t>（项目名称）的竞采文件，经详细研究，决定参加该项目的竞采。</w:t>
      </w:r>
    </w:p>
    <w:p w14:paraId="58D38030">
      <w:pPr>
        <w:tabs>
          <w:tab w:val="left" w:pos="6300"/>
        </w:tabs>
        <w:snapToGrid w:val="0"/>
        <w:spacing w:line="48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1、愿意按照竞采文件中的一切要求竞标本项目，报价折扣为：</w:t>
      </w:r>
      <w:r>
        <w:rPr>
          <w:rFonts w:hint="eastAsia" w:ascii="宋体" w:hAnsi="宋体" w:cs="仿宋"/>
          <w:color w:val="auto"/>
          <w:sz w:val="24"/>
          <w:szCs w:val="24"/>
          <w:highlight w:val="none"/>
          <w:u w:val="single"/>
          <w:lang w:val="en-US" w:eastAsia="zh-CN"/>
        </w:rPr>
        <w:t xml:space="preserve">    </w:t>
      </w:r>
      <w:r>
        <w:rPr>
          <w:rFonts w:hint="eastAsia" w:ascii="宋体" w:hAnsi="宋体" w:cs="仿宋"/>
          <w:color w:val="auto"/>
          <w:sz w:val="24"/>
          <w:szCs w:val="24"/>
          <w:highlight w:val="none"/>
        </w:rPr>
        <w:t>折，百分比：</w:t>
      </w:r>
      <w:r>
        <w:rPr>
          <w:rFonts w:hint="eastAsia" w:ascii="宋体" w:hAnsi="宋体" w:cs="仿宋"/>
          <w:color w:val="auto"/>
          <w:sz w:val="24"/>
          <w:szCs w:val="24"/>
          <w:highlight w:val="none"/>
          <w:u w:val="single"/>
        </w:rPr>
        <w:t xml:space="preserve">    %</w:t>
      </w:r>
      <w:r>
        <w:rPr>
          <w:rFonts w:hint="eastAsia" w:ascii="宋体" w:hAnsi="宋体" w:cs="仿宋"/>
          <w:color w:val="auto"/>
          <w:sz w:val="24"/>
          <w:szCs w:val="24"/>
          <w:highlight w:val="none"/>
        </w:rPr>
        <w:t>。</w:t>
      </w:r>
    </w:p>
    <w:p w14:paraId="1A5C0C19">
      <w:pPr>
        <w:tabs>
          <w:tab w:val="left" w:pos="6300"/>
        </w:tabs>
        <w:snapToGrid w:val="0"/>
        <w:spacing w:line="48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例如：供应商以九折报价，则横线处填写数字“9”，百分比填写“90%”。</w:t>
      </w:r>
    </w:p>
    <w:p w14:paraId="344D31BD">
      <w:pPr>
        <w:tabs>
          <w:tab w:val="left" w:pos="6300"/>
        </w:tabs>
        <w:snapToGrid w:val="0"/>
        <w:spacing w:line="48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2、我方提交的响应文件数量为：</w:t>
      </w:r>
      <w:r>
        <w:rPr>
          <w:rFonts w:hint="eastAsia" w:ascii="宋体" w:hAnsi="宋体" w:cs="仿宋"/>
          <w:color w:val="auto"/>
          <w:sz w:val="24"/>
          <w:szCs w:val="24"/>
          <w:highlight w:val="none"/>
          <w:u w:val="single"/>
          <w:lang w:val="en-US" w:eastAsia="zh-CN"/>
        </w:rPr>
        <w:t xml:space="preserve">    </w:t>
      </w:r>
      <w:r>
        <w:rPr>
          <w:rFonts w:hint="eastAsia" w:ascii="宋体" w:hAnsi="宋体" w:cs="仿宋"/>
          <w:color w:val="auto"/>
          <w:sz w:val="24"/>
          <w:szCs w:val="24"/>
          <w:highlight w:val="none"/>
        </w:rPr>
        <w:t>正</w:t>
      </w:r>
      <w:r>
        <w:rPr>
          <w:rFonts w:hint="eastAsia" w:ascii="宋体" w:hAnsi="宋体" w:cs="仿宋"/>
          <w:color w:val="auto"/>
          <w:sz w:val="24"/>
          <w:szCs w:val="24"/>
          <w:highlight w:val="none"/>
          <w:u w:val="single"/>
          <w:lang w:val="en-US" w:eastAsia="zh-CN"/>
        </w:rPr>
        <w:t xml:space="preserve">    </w:t>
      </w:r>
      <w:r>
        <w:rPr>
          <w:rFonts w:hint="eastAsia" w:ascii="宋体" w:hAnsi="宋体" w:cs="仿宋"/>
          <w:color w:val="auto"/>
          <w:sz w:val="24"/>
          <w:szCs w:val="24"/>
          <w:highlight w:val="none"/>
        </w:rPr>
        <w:t>副</w:t>
      </w:r>
      <w:r>
        <w:rPr>
          <w:rFonts w:hint="eastAsia" w:ascii="宋体" w:hAnsi="宋体" w:cs="仿宋"/>
          <w:color w:val="auto"/>
          <w:sz w:val="24"/>
          <w:szCs w:val="24"/>
          <w:highlight w:val="none"/>
          <w:u w:val="single"/>
          <w:lang w:val="en-US" w:eastAsia="zh-CN"/>
        </w:rPr>
        <w:t xml:space="preserve">    </w:t>
      </w:r>
      <w:r>
        <w:rPr>
          <w:rFonts w:hint="eastAsia" w:ascii="宋体" w:hAnsi="宋体" w:cs="仿宋"/>
          <w:color w:val="auto"/>
          <w:sz w:val="24"/>
          <w:szCs w:val="24"/>
          <w:highlight w:val="none"/>
        </w:rPr>
        <w:t>电子档。</w:t>
      </w:r>
    </w:p>
    <w:p w14:paraId="6C438D56">
      <w:pPr>
        <w:tabs>
          <w:tab w:val="left" w:pos="6300"/>
        </w:tabs>
        <w:snapToGrid w:val="0"/>
        <w:spacing w:line="48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3、我方承诺：本次竞采的有效期为90天。</w:t>
      </w:r>
    </w:p>
    <w:p w14:paraId="7377ADE9">
      <w:pPr>
        <w:tabs>
          <w:tab w:val="left" w:pos="6300"/>
        </w:tabs>
        <w:snapToGrid w:val="0"/>
        <w:spacing w:line="48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4、我方完全理解和接受竞采文件的一切规定和要求及评审办法。</w:t>
      </w:r>
    </w:p>
    <w:p w14:paraId="3A59E7DA">
      <w:pPr>
        <w:tabs>
          <w:tab w:val="left" w:pos="6300"/>
        </w:tabs>
        <w:snapToGrid w:val="0"/>
        <w:spacing w:line="48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5、在整个竞采过程中，我方若有违规行为，接受按照相关法律法规给予惩罚。</w:t>
      </w:r>
    </w:p>
    <w:p w14:paraId="4A9D9E32">
      <w:pPr>
        <w:tabs>
          <w:tab w:val="left" w:pos="6300"/>
        </w:tabs>
        <w:snapToGrid w:val="0"/>
        <w:spacing w:line="48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6、我方若成为成交供应商，将按照最终评审结果签订合同，并且严格履行合同义务。本报价函将成为合同不可分割的一部分，与合同具有同等的法律效力。</w:t>
      </w:r>
    </w:p>
    <w:p w14:paraId="7978BD82">
      <w:pPr>
        <w:tabs>
          <w:tab w:val="left" w:pos="6300"/>
        </w:tabs>
        <w:snapToGrid w:val="0"/>
        <w:spacing w:line="48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7、</w:t>
      </w:r>
      <w:r>
        <w:rPr>
          <w:rFonts w:hint="eastAsia" w:ascii="宋体" w:hAnsi="宋体" w:cs="仿宋"/>
          <w:color w:val="auto"/>
          <w:sz w:val="24"/>
          <w:szCs w:val="28"/>
          <w:highlight w:val="none"/>
        </w:rPr>
        <w:t>我方理解，最低报价不是成交的唯一条件。</w:t>
      </w:r>
    </w:p>
    <w:p w14:paraId="0EE58D79">
      <w:pPr>
        <w:tabs>
          <w:tab w:val="left" w:pos="6300"/>
        </w:tabs>
        <w:snapToGrid w:val="0"/>
        <w:spacing w:line="48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8、如果我方成为成交供应商，保证在接到成交通知书后，向采购代理机构交纳竞采文件规定的采购代理服务费。</w:t>
      </w:r>
    </w:p>
    <w:p w14:paraId="69E9C791">
      <w:pPr>
        <w:tabs>
          <w:tab w:val="left" w:pos="6300"/>
        </w:tabs>
        <w:snapToGrid w:val="0"/>
        <w:spacing w:line="48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9、</w:t>
      </w:r>
      <w:r>
        <w:rPr>
          <w:rFonts w:hint="eastAsia" w:ascii="宋体" w:hAnsi="宋体" w:cs="仿宋"/>
          <w:color w:val="auto"/>
          <w:sz w:val="24"/>
          <w:szCs w:val="28"/>
          <w:highlight w:val="none"/>
        </w:rPr>
        <w:t>我方未</w:t>
      </w:r>
      <w:r>
        <w:rPr>
          <w:rFonts w:hint="eastAsia" w:ascii="宋体" w:hAnsi="宋体" w:cs="仿宋"/>
          <w:color w:val="auto"/>
          <w:sz w:val="24"/>
          <w:szCs w:val="24"/>
          <w:highlight w:val="none"/>
        </w:rPr>
        <w:t>为竞采项目提供整体设计、规范编制或者项目管理、监理、施工自检等服务。</w:t>
      </w:r>
    </w:p>
    <w:p w14:paraId="0B20C476">
      <w:pPr>
        <w:tabs>
          <w:tab w:val="left" w:pos="6300"/>
        </w:tabs>
        <w:snapToGrid w:val="0"/>
        <w:spacing w:line="312" w:lineRule="auto"/>
        <w:ind w:firstLine="570"/>
        <w:rPr>
          <w:rFonts w:ascii="宋体" w:hAnsi="宋体" w:cs="仿宋"/>
          <w:color w:val="auto"/>
          <w:sz w:val="24"/>
          <w:szCs w:val="24"/>
          <w:highlight w:val="none"/>
        </w:rPr>
      </w:pPr>
    </w:p>
    <w:p w14:paraId="67CAA280">
      <w:pPr>
        <w:tabs>
          <w:tab w:val="left" w:pos="6300"/>
        </w:tabs>
        <w:snapToGrid w:val="0"/>
        <w:spacing w:line="312" w:lineRule="auto"/>
        <w:ind w:firstLine="570"/>
        <w:rPr>
          <w:rFonts w:ascii="宋体" w:hAnsi="宋体" w:cs="仿宋"/>
          <w:color w:val="auto"/>
          <w:sz w:val="24"/>
          <w:szCs w:val="24"/>
          <w:highlight w:val="none"/>
        </w:rPr>
      </w:pPr>
    </w:p>
    <w:p w14:paraId="0BC58194">
      <w:pPr>
        <w:tabs>
          <w:tab w:val="left" w:pos="6300"/>
        </w:tabs>
        <w:snapToGrid w:val="0"/>
        <w:spacing w:line="312" w:lineRule="auto"/>
        <w:ind w:firstLine="570"/>
        <w:rPr>
          <w:rFonts w:ascii="宋体" w:hAnsi="宋体" w:cs="仿宋"/>
          <w:color w:val="auto"/>
          <w:sz w:val="24"/>
          <w:szCs w:val="24"/>
          <w:highlight w:val="none"/>
        </w:rPr>
      </w:pPr>
    </w:p>
    <w:p w14:paraId="6A28330A">
      <w:pPr>
        <w:tabs>
          <w:tab w:val="left" w:pos="6300"/>
        </w:tabs>
        <w:snapToGrid w:val="0"/>
        <w:spacing w:line="312" w:lineRule="auto"/>
        <w:ind w:firstLine="570"/>
        <w:rPr>
          <w:rFonts w:ascii="宋体" w:hAnsi="宋体" w:cs="仿宋"/>
          <w:color w:val="auto"/>
          <w:sz w:val="24"/>
          <w:szCs w:val="24"/>
          <w:highlight w:val="none"/>
        </w:rPr>
      </w:pPr>
    </w:p>
    <w:p w14:paraId="5DFB8656">
      <w:pPr>
        <w:tabs>
          <w:tab w:val="left" w:pos="6300"/>
        </w:tabs>
        <w:snapToGrid w:val="0"/>
        <w:spacing w:line="312" w:lineRule="auto"/>
        <w:ind w:firstLine="570"/>
        <w:rPr>
          <w:rFonts w:hint="default" w:ascii="宋体" w:hAnsi="宋体" w:eastAsia="宋体" w:cs="仿宋"/>
          <w:color w:val="auto"/>
          <w:sz w:val="24"/>
          <w:szCs w:val="24"/>
          <w:highlight w:val="none"/>
          <w:u w:val="single"/>
          <w:lang w:val="en-US" w:eastAsia="zh-CN"/>
        </w:rPr>
      </w:pPr>
      <w:r>
        <w:rPr>
          <w:rFonts w:hint="eastAsia" w:ascii="宋体" w:hAnsi="宋体" w:cs="仿宋"/>
          <w:color w:val="auto"/>
          <w:sz w:val="24"/>
          <w:szCs w:val="24"/>
          <w:highlight w:val="none"/>
        </w:rPr>
        <w:t>供应商（公章）：</w:t>
      </w:r>
      <w:r>
        <w:rPr>
          <w:rFonts w:hint="eastAsia" w:ascii="宋体" w:hAnsi="宋体" w:cs="仿宋"/>
          <w:color w:val="auto"/>
          <w:sz w:val="24"/>
          <w:szCs w:val="24"/>
          <w:highlight w:val="none"/>
          <w:u w:val="single"/>
          <w:lang w:val="en-US" w:eastAsia="zh-CN"/>
        </w:rPr>
        <w:t xml:space="preserve">            </w:t>
      </w:r>
    </w:p>
    <w:p w14:paraId="76F8AF4F">
      <w:pPr>
        <w:snapToGrid w:val="0"/>
        <w:spacing w:line="312" w:lineRule="auto"/>
        <w:ind w:firstLine="480" w:firstLineChars="200"/>
        <w:rPr>
          <w:rFonts w:ascii="宋体" w:hAnsi="宋体" w:cs="仿宋"/>
          <w:color w:val="auto"/>
          <w:sz w:val="24"/>
          <w:szCs w:val="24"/>
          <w:highlight w:val="none"/>
        </w:rPr>
        <w:sectPr>
          <w:pgSz w:w="11905" w:h="16838"/>
          <w:pgMar w:top="1134" w:right="1134" w:bottom="1134" w:left="1134" w:header="850" w:footer="992" w:gutter="0"/>
          <w:pgNumType w:fmt="numberInDash"/>
          <w:cols w:space="0" w:num="1"/>
          <w:titlePg/>
          <w:docGrid w:type="lines" w:linePitch="385" w:charSpace="0"/>
        </w:sectPr>
      </w:pPr>
      <w:r>
        <w:rPr>
          <w:rFonts w:hint="eastAsia" w:ascii="宋体" w:hAnsi="宋体" w:cs="仿宋"/>
          <w:color w:val="auto"/>
          <w:sz w:val="24"/>
          <w:szCs w:val="24"/>
          <w:highlight w:val="none"/>
        </w:rPr>
        <w:t xml:space="preserve">                                                  年   月   日</w:t>
      </w:r>
    </w:p>
    <w:p w14:paraId="28FAECDA">
      <w:pPr>
        <w:rPr>
          <w:rFonts w:cs="宋体"/>
          <w:bCs/>
          <w:color w:val="auto"/>
          <w:highlight w:val="none"/>
        </w:rPr>
      </w:pPr>
    </w:p>
    <w:p w14:paraId="28787BD5">
      <w:pPr>
        <w:pStyle w:val="4"/>
        <w:spacing w:beforeLines="0"/>
        <w:ind w:firstLine="562"/>
        <w:rPr>
          <w:rFonts w:ascii="Times New Roman" w:hAnsi="Times New Roman" w:cs="宋体"/>
          <w:bCs/>
          <w:color w:val="auto"/>
          <w:highlight w:val="none"/>
        </w:rPr>
      </w:pPr>
      <w:bookmarkStart w:id="318" w:name="_Toc18485"/>
      <w:bookmarkStart w:id="319" w:name="_Toc18471"/>
      <w:bookmarkStart w:id="320" w:name="_Toc23499"/>
      <w:bookmarkStart w:id="321" w:name="_Toc6124"/>
      <w:bookmarkStart w:id="322" w:name="_Toc14140"/>
      <w:bookmarkStart w:id="323" w:name="_Toc18310"/>
      <w:bookmarkStart w:id="324" w:name="_Toc3974"/>
      <w:bookmarkStart w:id="325" w:name="_Toc553"/>
      <w:bookmarkStart w:id="326" w:name="_Toc4271"/>
      <w:r>
        <w:rPr>
          <w:rFonts w:hint="eastAsia" w:ascii="Times New Roman" w:hAnsi="Times New Roman" w:cs="宋体"/>
          <w:bCs/>
          <w:color w:val="auto"/>
          <w:highlight w:val="none"/>
        </w:rPr>
        <w:t>二、资格</w:t>
      </w:r>
      <w:bookmarkEnd w:id="318"/>
      <w:bookmarkEnd w:id="319"/>
      <w:bookmarkEnd w:id="320"/>
      <w:bookmarkEnd w:id="321"/>
      <w:bookmarkEnd w:id="322"/>
      <w:bookmarkEnd w:id="323"/>
      <w:bookmarkEnd w:id="324"/>
      <w:bookmarkEnd w:id="325"/>
      <w:bookmarkEnd w:id="326"/>
      <w:r>
        <w:rPr>
          <w:rFonts w:hint="eastAsia" w:ascii="Times New Roman" w:hAnsi="Times New Roman" w:cs="宋体"/>
          <w:bCs/>
          <w:color w:val="auto"/>
          <w:highlight w:val="none"/>
        </w:rPr>
        <w:t>文件</w:t>
      </w:r>
    </w:p>
    <w:p w14:paraId="1D4D0919">
      <w:pPr>
        <w:tabs>
          <w:tab w:val="left" w:pos="6300"/>
        </w:tabs>
        <w:snapToGrid w:val="0"/>
        <w:spacing w:line="480" w:lineRule="atLeast"/>
        <w:ind w:firstLine="570"/>
        <w:rPr>
          <w:rFonts w:cs="宋体"/>
          <w:color w:val="auto"/>
          <w:szCs w:val="28"/>
          <w:highlight w:val="none"/>
        </w:rPr>
      </w:pPr>
      <w:r>
        <w:rPr>
          <w:rFonts w:hint="eastAsia" w:cs="宋体"/>
          <w:color w:val="auto"/>
          <w:szCs w:val="28"/>
          <w:highlight w:val="none"/>
        </w:rPr>
        <w:t>（一）营业执照（副本）或事业单位法人证书（副本）或个体工商户营业执照或社会团体法人登记证书复印件</w:t>
      </w:r>
    </w:p>
    <w:p w14:paraId="36C4D60F">
      <w:pPr>
        <w:spacing w:line="480" w:lineRule="atLeast"/>
        <w:jc w:val="center"/>
        <w:rPr>
          <w:rFonts w:cs="宋体"/>
          <w:color w:val="auto"/>
          <w:highlight w:val="none"/>
          <w:u w:val="single"/>
        </w:rPr>
      </w:pPr>
    </w:p>
    <w:p w14:paraId="641A987E">
      <w:pPr>
        <w:rPr>
          <w:rFonts w:cs="宋体"/>
          <w:color w:val="auto"/>
          <w:highlight w:val="none"/>
        </w:rPr>
      </w:pPr>
    </w:p>
    <w:p w14:paraId="023FD4E4">
      <w:pPr>
        <w:rPr>
          <w:rFonts w:cs="宋体"/>
          <w:color w:val="auto"/>
          <w:highlight w:val="none"/>
        </w:rPr>
      </w:pPr>
    </w:p>
    <w:p w14:paraId="54708E38">
      <w:pPr>
        <w:rPr>
          <w:rFonts w:cs="宋体"/>
          <w:color w:val="auto"/>
          <w:highlight w:val="none"/>
        </w:rPr>
      </w:pPr>
    </w:p>
    <w:p w14:paraId="12588CD3">
      <w:pPr>
        <w:rPr>
          <w:rFonts w:cs="宋体"/>
          <w:color w:val="auto"/>
          <w:highlight w:val="none"/>
        </w:rPr>
      </w:pPr>
    </w:p>
    <w:p w14:paraId="77BBBE8A">
      <w:pPr>
        <w:rPr>
          <w:rFonts w:cs="宋体"/>
          <w:color w:val="auto"/>
          <w:highlight w:val="none"/>
        </w:rPr>
      </w:pPr>
    </w:p>
    <w:p w14:paraId="5BE72BE4">
      <w:pPr>
        <w:rPr>
          <w:rFonts w:cs="宋体"/>
          <w:color w:val="auto"/>
          <w:highlight w:val="none"/>
        </w:rPr>
      </w:pPr>
    </w:p>
    <w:p w14:paraId="5E511CB5">
      <w:pPr>
        <w:rPr>
          <w:rFonts w:cs="宋体"/>
          <w:color w:val="auto"/>
          <w:highlight w:val="none"/>
        </w:rPr>
      </w:pPr>
    </w:p>
    <w:p w14:paraId="14235798">
      <w:pPr>
        <w:rPr>
          <w:rFonts w:cs="宋体"/>
          <w:color w:val="auto"/>
          <w:highlight w:val="none"/>
        </w:rPr>
      </w:pPr>
    </w:p>
    <w:p w14:paraId="78ED6CE3">
      <w:pPr>
        <w:rPr>
          <w:rFonts w:cs="宋体"/>
          <w:color w:val="auto"/>
          <w:highlight w:val="none"/>
        </w:rPr>
      </w:pPr>
    </w:p>
    <w:p w14:paraId="3A61649F">
      <w:pPr>
        <w:rPr>
          <w:rFonts w:cs="宋体"/>
          <w:color w:val="auto"/>
          <w:highlight w:val="none"/>
        </w:rPr>
      </w:pPr>
    </w:p>
    <w:p w14:paraId="2B10DC95">
      <w:pPr>
        <w:rPr>
          <w:rFonts w:cs="宋体"/>
          <w:color w:val="auto"/>
          <w:highlight w:val="none"/>
        </w:rPr>
      </w:pPr>
    </w:p>
    <w:p w14:paraId="41B9ECB1">
      <w:pPr>
        <w:rPr>
          <w:rFonts w:cs="宋体"/>
          <w:color w:val="auto"/>
          <w:highlight w:val="none"/>
        </w:rPr>
      </w:pPr>
    </w:p>
    <w:p w14:paraId="086E151E">
      <w:pPr>
        <w:rPr>
          <w:rFonts w:cs="宋体"/>
          <w:color w:val="auto"/>
          <w:highlight w:val="none"/>
        </w:rPr>
      </w:pPr>
    </w:p>
    <w:p w14:paraId="55EFD6BB">
      <w:pPr>
        <w:rPr>
          <w:rFonts w:cs="宋体"/>
          <w:color w:val="auto"/>
          <w:highlight w:val="none"/>
        </w:rPr>
      </w:pPr>
    </w:p>
    <w:p w14:paraId="379D66F7">
      <w:pPr>
        <w:rPr>
          <w:rFonts w:cs="宋体"/>
          <w:color w:val="auto"/>
          <w:highlight w:val="none"/>
        </w:rPr>
      </w:pPr>
    </w:p>
    <w:p w14:paraId="11C55694">
      <w:pPr>
        <w:rPr>
          <w:rFonts w:cs="宋体"/>
          <w:color w:val="auto"/>
          <w:highlight w:val="none"/>
        </w:rPr>
      </w:pPr>
    </w:p>
    <w:p w14:paraId="2BA64E43">
      <w:pPr>
        <w:ind w:firstLine="560" w:firstLineChars="200"/>
        <w:jc w:val="left"/>
        <w:rPr>
          <w:rFonts w:cs="宋体"/>
          <w:b/>
          <w:color w:val="auto"/>
          <w:sz w:val="2"/>
          <w:szCs w:val="2"/>
          <w:highlight w:val="none"/>
        </w:rPr>
      </w:pPr>
      <w:r>
        <w:rPr>
          <w:rFonts w:hint="eastAsia" w:cs="宋体"/>
          <w:color w:val="auto"/>
          <w:highlight w:val="none"/>
        </w:rPr>
        <w:br w:type="page"/>
      </w:r>
      <w:bookmarkStart w:id="327" w:name="_Toc13155"/>
      <w:bookmarkStart w:id="328" w:name="_Toc16414"/>
      <w:bookmarkStart w:id="329" w:name="_Toc22071"/>
      <w:bookmarkStart w:id="330" w:name="_Toc15489"/>
      <w:r>
        <w:rPr>
          <w:rFonts w:hint="eastAsia" w:cs="宋体"/>
          <w:b/>
          <w:bCs/>
          <w:color w:val="auto"/>
          <w:highlight w:val="none"/>
        </w:rPr>
        <w:t>（二）法定代表人身份证明书</w:t>
      </w:r>
      <w:bookmarkEnd w:id="327"/>
      <w:r>
        <w:rPr>
          <w:rFonts w:hint="eastAsia" w:cs="宋体"/>
          <w:b/>
          <w:bCs/>
          <w:color w:val="auto"/>
          <w:highlight w:val="none"/>
        </w:rPr>
        <w:t>（格式）</w:t>
      </w:r>
      <w:bookmarkEnd w:id="328"/>
      <w:bookmarkEnd w:id="329"/>
      <w:bookmarkEnd w:id="330"/>
    </w:p>
    <w:p w14:paraId="45493630">
      <w:pPr>
        <w:tabs>
          <w:tab w:val="left" w:pos="6300"/>
        </w:tabs>
        <w:snapToGrid w:val="0"/>
        <w:spacing w:line="480" w:lineRule="atLeast"/>
        <w:ind w:firstLine="480"/>
        <w:rPr>
          <w:rFonts w:cs="宋体"/>
          <w:color w:val="auto"/>
          <w:highlight w:val="none"/>
        </w:rPr>
      </w:pPr>
    </w:p>
    <w:p w14:paraId="1DEFE252">
      <w:pPr>
        <w:tabs>
          <w:tab w:val="left" w:pos="6300"/>
        </w:tabs>
        <w:snapToGrid w:val="0"/>
        <w:spacing w:line="480" w:lineRule="atLeast"/>
        <w:ind w:firstLine="570"/>
        <w:rPr>
          <w:rFonts w:hint="default" w:cs="宋体"/>
          <w:color w:val="auto"/>
          <w:szCs w:val="28"/>
          <w:highlight w:val="none"/>
          <w:u w:val="single"/>
        </w:rPr>
      </w:pPr>
      <w:r>
        <w:rPr>
          <w:rFonts w:hint="eastAsia" w:cs="宋体"/>
          <w:color w:val="auto"/>
          <w:szCs w:val="28"/>
          <w:highlight w:val="none"/>
        </w:rPr>
        <w:t>项目名称：</w:t>
      </w:r>
      <w:r>
        <w:rPr>
          <w:rFonts w:hint="eastAsia" w:cs="宋体"/>
          <w:color w:val="auto"/>
          <w:szCs w:val="28"/>
          <w:highlight w:val="none"/>
          <w:u w:val="single"/>
          <w:lang w:val="en-US" w:eastAsia="zh-CN"/>
        </w:rPr>
        <w:t xml:space="preserve">                    </w:t>
      </w:r>
    </w:p>
    <w:p w14:paraId="283F2F8F">
      <w:pPr>
        <w:tabs>
          <w:tab w:val="left" w:pos="6300"/>
        </w:tabs>
        <w:snapToGrid w:val="0"/>
        <w:spacing w:line="480" w:lineRule="atLeast"/>
        <w:ind w:firstLine="570"/>
        <w:rPr>
          <w:rFonts w:cs="宋体"/>
          <w:color w:val="auto"/>
          <w:szCs w:val="28"/>
          <w:highlight w:val="none"/>
        </w:rPr>
      </w:pPr>
    </w:p>
    <w:p w14:paraId="7B899751">
      <w:pPr>
        <w:tabs>
          <w:tab w:val="left" w:pos="6300"/>
        </w:tabs>
        <w:snapToGrid w:val="0"/>
        <w:spacing w:line="480" w:lineRule="atLeast"/>
        <w:rPr>
          <w:rFonts w:hint="default" w:cs="宋体"/>
          <w:color w:val="auto"/>
          <w:szCs w:val="28"/>
          <w:highlight w:val="none"/>
          <w:u w:val="single"/>
        </w:rPr>
      </w:pPr>
      <w:r>
        <w:rPr>
          <w:rFonts w:hint="eastAsia" w:cs="宋体"/>
          <w:color w:val="auto"/>
          <w:szCs w:val="28"/>
          <w:highlight w:val="none"/>
        </w:rPr>
        <w:t>致：（采购人或代理机构名称）：</w:t>
      </w:r>
      <w:r>
        <w:rPr>
          <w:rFonts w:hint="eastAsia" w:cs="宋体"/>
          <w:color w:val="auto"/>
          <w:szCs w:val="28"/>
          <w:highlight w:val="none"/>
          <w:u w:val="single"/>
          <w:lang w:val="en-US" w:eastAsia="zh-CN"/>
        </w:rPr>
        <w:t xml:space="preserve">          </w:t>
      </w:r>
    </w:p>
    <w:p w14:paraId="67C8EB3F">
      <w:pPr>
        <w:tabs>
          <w:tab w:val="left" w:pos="6300"/>
        </w:tabs>
        <w:snapToGrid w:val="0"/>
        <w:spacing w:line="480" w:lineRule="atLeast"/>
        <w:ind w:firstLine="570"/>
        <w:rPr>
          <w:rFonts w:cs="宋体"/>
          <w:color w:val="auto"/>
          <w:szCs w:val="28"/>
          <w:highlight w:val="none"/>
        </w:rPr>
      </w:pPr>
      <w:r>
        <w:rPr>
          <w:rFonts w:hint="eastAsia" w:cs="宋体"/>
          <w:color w:val="auto"/>
          <w:szCs w:val="28"/>
          <w:highlight w:val="none"/>
          <w:u w:val="single"/>
        </w:rPr>
        <w:t>（法定代表人姓名）</w:t>
      </w:r>
      <w:r>
        <w:rPr>
          <w:rFonts w:hint="eastAsia" w:cs="宋体"/>
          <w:color w:val="auto"/>
          <w:szCs w:val="28"/>
          <w:highlight w:val="none"/>
          <w:u w:val="single"/>
          <w:lang w:val="en-US" w:eastAsia="zh-CN"/>
        </w:rPr>
        <w:t xml:space="preserve">      </w:t>
      </w:r>
      <w:r>
        <w:rPr>
          <w:rFonts w:hint="eastAsia" w:cs="宋体"/>
          <w:color w:val="auto"/>
          <w:szCs w:val="28"/>
          <w:highlight w:val="none"/>
        </w:rPr>
        <w:t>在</w:t>
      </w:r>
      <w:r>
        <w:rPr>
          <w:rFonts w:hint="eastAsia" w:cs="宋体"/>
          <w:color w:val="auto"/>
          <w:szCs w:val="28"/>
          <w:highlight w:val="none"/>
          <w:u w:val="single"/>
        </w:rPr>
        <w:t>（供应商名称）</w:t>
      </w:r>
      <w:r>
        <w:rPr>
          <w:rFonts w:hint="eastAsia" w:cs="宋体"/>
          <w:color w:val="auto"/>
          <w:szCs w:val="28"/>
          <w:highlight w:val="none"/>
          <w:u w:val="single"/>
          <w:lang w:val="en-US" w:eastAsia="zh-CN"/>
        </w:rPr>
        <w:t xml:space="preserve">        </w:t>
      </w:r>
      <w:r>
        <w:rPr>
          <w:rFonts w:hint="eastAsia" w:cs="宋体"/>
          <w:color w:val="auto"/>
          <w:szCs w:val="28"/>
          <w:highlight w:val="none"/>
        </w:rPr>
        <w:t>任</w:t>
      </w:r>
      <w:r>
        <w:rPr>
          <w:rFonts w:hint="eastAsia" w:cs="宋体"/>
          <w:color w:val="auto"/>
          <w:szCs w:val="28"/>
          <w:highlight w:val="none"/>
          <w:u w:val="single"/>
        </w:rPr>
        <w:t>（职务名称）</w:t>
      </w:r>
      <w:r>
        <w:rPr>
          <w:rFonts w:hint="eastAsia" w:cs="宋体"/>
          <w:color w:val="auto"/>
          <w:szCs w:val="28"/>
          <w:highlight w:val="none"/>
          <w:u w:val="single"/>
          <w:lang w:val="en-US" w:eastAsia="zh-CN"/>
        </w:rPr>
        <w:t xml:space="preserve">     </w:t>
      </w:r>
      <w:r>
        <w:rPr>
          <w:rFonts w:hint="eastAsia" w:cs="宋体"/>
          <w:color w:val="auto"/>
          <w:szCs w:val="28"/>
          <w:highlight w:val="none"/>
        </w:rPr>
        <w:t>职务，是</w:t>
      </w:r>
      <w:r>
        <w:rPr>
          <w:rFonts w:hint="eastAsia" w:cs="宋体"/>
          <w:color w:val="auto"/>
          <w:szCs w:val="28"/>
          <w:highlight w:val="none"/>
          <w:u w:val="single"/>
        </w:rPr>
        <w:t>（供应商名称）</w:t>
      </w:r>
      <w:r>
        <w:rPr>
          <w:rFonts w:hint="eastAsia" w:cs="宋体"/>
          <w:color w:val="auto"/>
          <w:szCs w:val="28"/>
          <w:highlight w:val="none"/>
          <w:u w:val="single"/>
          <w:lang w:val="en-US" w:eastAsia="zh-CN"/>
        </w:rPr>
        <w:t xml:space="preserve">      </w:t>
      </w:r>
      <w:r>
        <w:rPr>
          <w:rFonts w:hint="eastAsia" w:cs="宋体"/>
          <w:color w:val="auto"/>
          <w:szCs w:val="28"/>
          <w:highlight w:val="none"/>
        </w:rPr>
        <w:t>的法定代表人。</w:t>
      </w:r>
    </w:p>
    <w:p w14:paraId="2C91319D">
      <w:pPr>
        <w:tabs>
          <w:tab w:val="left" w:pos="6300"/>
        </w:tabs>
        <w:snapToGrid w:val="0"/>
        <w:spacing w:line="480" w:lineRule="atLeast"/>
        <w:ind w:firstLine="570"/>
        <w:rPr>
          <w:rFonts w:cs="宋体"/>
          <w:color w:val="auto"/>
          <w:szCs w:val="28"/>
          <w:highlight w:val="none"/>
        </w:rPr>
      </w:pPr>
    </w:p>
    <w:p w14:paraId="1C6E6BF9">
      <w:pPr>
        <w:tabs>
          <w:tab w:val="left" w:pos="6300"/>
        </w:tabs>
        <w:snapToGrid w:val="0"/>
        <w:spacing w:line="480" w:lineRule="atLeast"/>
        <w:ind w:firstLine="570"/>
        <w:rPr>
          <w:rFonts w:cs="宋体"/>
          <w:color w:val="auto"/>
          <w:szCs w:val="28"/>
          <w:highlight w:val="none"/>
        </w:rPr>
      </w:pPr>
      <w:r>
        <w:rPr>
          <w:rFonts w:hint="eastAsia" w:cs="宋体"/>
          <w:color w:val="auto"/>
          <w:szCs w:val="28"/>
          <w:highlight w:val="none"/>
        </w:rPr>
        <w:t>特此证明。</w:t>
      </w:r>
    </w:p>
    <w:p w14:paraId="3C3E88A6">
      <w:pPr>
        <w:tabs>
          <w:tab w:val="left" w:pos="6300"/>
        </w:tabs>
        <w:snapToGrid w:val="0"/>
        <w:spacing w:line="480" w:lineRule="atLeast"/>
        <w:ind w:firstLine="570"/>
        <w:rPr>
          <w:rFonts w:cs="宋体"/>
          <w:color w:val="auto"/>
          <w:szCs w:val="28"/>
          <w:highlight w:val="none"/>
        </w:rPr>
      </w:pPr>
    </w:p>
    <w:p w14:paraId="4827CFAF">
      <w:pPr>
        <w:tabs>
          <w:tab w:val="left" w:pos="6300"/>
        </w:tabs>
        <w:snapToGrid w:val="0"/>
        <w:spacing w:line="480" w:lineRule="atLeast"/>
        <w:ind w:firstLine="570"/>
        <w:rPr>
          <w:rFonts w:cs="宋体"/>
          <w:color w:val="auto"/>
          <w:szCs w:val="28"/>
          <w:highlight w:val="none"/>
        </w:rPr>
      </w:pPr>
    </w:p>
    <w:p w14:paraId="0728B04E">
      <w:pPr>
        <w:tabs>
          <w:tab w:val="left" w:pos="6300"/>
        </w:tabs>
        <w:snapToGrid w:val="0"/>
        <w:spacing w:line="480" w:lineRule="atLeast"/>
        <w:ind w:firstLine="570"/>
        <w:rPr>
          <w:rFonts w:cs="宋体"/>
          <w:color w:val="auto"/>
          <w:szCs w:val="28"/>
          <w:highlight w:val="none"/>
        </w:rPr>
      </w:pPr>
    </w:p>
    <w:p w14:paraId="28263104">
      <w:pPr>
        <w:tabs>
          <w:tab w:val="left" w:pos="6300"/>
        </w:tabs>
        <w:snapToGrid w:val="0"/>
        <w:spacing w:line="480" w:lineRule="atLeast"/>
        <w:ind w:firstLine="570"/>
        <w:rPr>
          <w:rFonts w:cs="宋体"/>
          <w:color w:val="auto"/>
          <w:szCs w:val="28"/>
          <w:highlight w:val="none"/>
        </w:rPr>
      </w:pPr>
      <w:r>
        <w:rPr>
          <w:rFonts w:hint="eastAsia" w:cs="宋体"/>
          <w:color w:val="auto"/>
          <w:szCs w:val="28"/>
          <w:highlight w:val="none"/>
        </w:rPr>
        <w:t xml:space="preserve">                                             （供应商公章）</w:t>
      </w:r>
    </w:p>
    <w:p w14:paraId="0D07A87C">
      <w:pPr>
        <w:tabs>
          <w:tab w:val="left" w:pos="6300"/>
        </w:tabs>
        <w:snapToGrid w:val="0"/>
        <w:spacing w:line="480" w:lineRule="atLeast"/>
        <w:ind w:firstLine="570"/>
        <w:rPr>
          <w:rFonts w:cs="宋体"/>
          <w:color w:val="auto"/>
          <w:szCs w:val="28"/>
          <w:highlight w:val="none"/>
        </w:rPr>
      </w:pPr>
    </w:p>
    <w:p w14:paraId="46F681AF">
      <w:pPr>
        <w:tabs>
          <w:tab w:val="left" w:pos="6300"/>
        </w:tabs>
        <w:snapToGrid w:val="0"/>
        <w:spacing w:line="480" w:lineRule="atLeast"/>
        <w:ind w:firstLine="570"/>
        <w:rPr>
          <w:rFonts w:cs="宋体"/>
          <w:color w:val="auto"/>
          <w:szCs w:val="28"/>
          <w:highlight w:val="none"/>
        </w:rPr>
      </w:pPr>
      <w:r>
        <w:rPr>
          <w:rFonts w:hint="eastAsia" w:cs="宋体"/>
          <w:color w:val="auto"/>
          <w:szCs w:val="28"/>
          <w:highlight w:val="none"/>
        </w:rPr>
        <w:t xml:space="preserve">                                             年   月   日</w:t>
      </w:r>
    </w:p>
    <w:p w14:paraId="540C0859">
      <w:pPr>
        <w:tabs>
          <w:tab w:val="left" w:pos="6300"/>
        </w:tabs>
        <w:snapToGrid w:val="0"/>
        <w:spacing w:line="480" w:lineRule="atLeast"/>
        <w:ind w:firstLine="570"/>
        <w:rPr>
          <w:rFonts w:cs="宋体"/>
          <w:color w:val="auto"/>
          <w:szCs w:val="28"/>
          <w:highlight w:val="none"/>
        </w:rPr>
      </w:pPr>
      <w:r>
        <w:rPr>
          <w:rFonts w:hint="eastAsia" w:cs="宋体"/>
          <w:color w:val="auto"/>
          <w:szCs w:val="28"/>
          <w:highlight w:val="none"/>
        </w:rPr>
        <w:t>法定代表人电话：XXXXXXX      电子邮箱：XXXXXX@XXXXX（若授权他人办理并签署响应文件的可不填写电话和邮箱）</w:t>
      </w:r>
    </w:p>
    <w:p w14:paraId="58A17342">
      <w:pPr>
        <w:tabs>
          <w:tab w:val="left" w:pos="6300"/>
        </w:tabs>
        <w:snapToGrid w:val="0"/>
        <w:spacing w:line="480" w:lineRule="atLeast"/>
        <w:ind w:firstLine="570"/>
        <w:rPr>
          <w:rFonts w:cs="宋体"/>
          <w:color w:val="auto"/>
          <w:szCs w:val="28"/>
          <w:highlight w:val="none"/>
        </w:rPr>
      </w:pPr>
    </w:p>
    <w:p w14:paraId="22CAE311">
      <w:pPr>
        <w:tabs>
          <w:tab w:val="left" w:pos="6300"/>
        </w:tabs>
        <w:snapToGrid w:val="0"/>
        <w:spacing w:line="480" w:lineRule="atLeast"/>
        <w:ind w:firstLine="570"/>
        <w:rPr>
          <w:rFonts w:cs="宋体"/>
          <w:color w:val="auto"/>
          <w:szCs w:val="28"/>
          <w:highlight w:val="none"/>
        </w:rPr>
      </w:pPr>
      <w:r>
        <w:rPr>
          <w:rFonts w:hint="eastAsia" w:cs="宋体"/>
          <w:color w:val="auto"/>
          <w:szCs w:val="28"/>
          <w:highlight w:val="none"/>
        </w:rPr>
        <w:t>（附：法定代表人身份证正反面复印件）</w:t>
      </w:r>
    </w:p>
    <w:p w14:paraId="08360701">
      <w:pPr>
        <w:spacing w:line="480" w:lineRule="atLeast"/>
        <w:rPr>
          <w:rFonts w:cs="宋体"/>
          <w:b/>
          <w:bCs/>
          <w:color w:val="auto"/>
          <w:highlight w:val="none"/>
        </w:rPr>
      </w:pPr>
    </w:p>
    <w:p w14:paraId="64CE5B2E">
      <w:pPr>
        <w:spacing w:line="480" w:lineRule="atLeast"/>
        <w:rPr>
          <w:rFonts w:cs="宋体"/>
          <w:color w:val="auto"/>
          <w:highlight w:val="none"/>
        </w:rPr>
      </w:pPr>
    </w:p>
    <w:p w14:paraId="01AB6D56">
      <w:pPr>
        <w:spacing w:line="480" w:lineRule="atLeast"/>
        <w:rPr>
          <w:rFonts w:cs="宋体"/>
          <w:b/>
          <w:color w:val="auto"/>
          <w:highlight w:val="none"/>
        </w:rPr>
      </w:pPr>
    </w:p>
    <w:p w14:paraId="78D53B4B">
      <w:pPr>
        <w:spacing w:line="480" w:lineRule="atLeast"/>
        <w:rPr>
          <w:rFonts w:cs="宋体"/>
          <w:b/>
          <w:color w:val="auto"/>
          <w:highlight w:val="none"/>
        </w:rPr>
      </w:pPr>
    </w:p>
    <w:p w14:paraId="53144E8A">
      <w:pPr>
        <w:tabs>
          <w:tab w:val="left" w:pos="6300"/>
        </w:tabs>
        <w:snapToGrid w:val="0"/>
        <w:spacing w:line="480" w:lineRule="atLeast"/>
        <w:ind w:right="480" w:firstLine="570"/>
        <w:jc w:val="left"/>
        <w:rPr>
          <w:rFonts w:cs="宋体"/>
          <w:color w:val="auto"/>
          <w:szCs w:val="28"/>
          <w:highlight w:val="none"/>
        </w:rPr>
      </w:pPr>
      <w:r>
        <w:rPr>
          <w:rFonts w:hint="eastAsia" w:cs="宋体"/>
          <w:color w:val="auto"/>
          <w:szCs w:val="28"/>
          <w:highlight w:val="none"/>
        </w:rPr>
        <w:t>注：在原文格式基础上增加新内容的，不影响其有效性。</w:t>
      </w:r>
    </w:p>
    <w:p w14:paraId="4A7E17A2">
      <w:pPr>
        <w:tabs>
          <w:tab w:val="left" w:pos="6300"/>
        </w:tabs>
        <w:snapToGrid w:val="0"/>
        <w:spacing w:line="480" w:lineRule="atLeast"/>
        <w:ind w:right="480" w:firstLine="570"/>
        <w:jc w:val="left"/>
        <w:rPr>
          <w:rFonts w:cs="宋体"/>
          <w:color w:val="auto"/>
          <w:szCs w:val="28"/>
          <w:highlight w:val="none"/>
        </w:rPr>
      </w:pPr>
    </w:p>
    <w:p w14:paraId="7EF9E35A">
      <w:pPr>
        <w:tabs>
          <w:tab w:val="left" w:pos="6300"/>
        </w:tabs>
        <w:snapToGrid w:val="0"/>
        <w:spacing w:line="480" w:lineRule="atLeast"/>
        <w:ind w:right="480" w:firstLine="570"/>
        <w:jc w:val="left"/>
        <w:rPr>
          <w:rFonts w:cs="宋体"/>
          <w:color w:val="auto"/>
          <w:szCs w:val="28"/>
          <w:highlight w:val="none"/>
        </w:rPr>
      </w:pPr>
    </w:p>
    <w:p w14:paraId="4A791791">
      <w:pPr>
        <w:spacing w:line="480" w:lineRule="atLeast"/>
        <w:rPr>
          <w:rFonts w:cs="宋体"/>
          <w:b/>
          <w:color w:val="auto"/>
          <w:highlight w:val="none"/>
        </w:rPr>
      </w:pPr>
      <w:r>
        <w:rPr>
          <w:rFonts w:hint="eastAsia" w:cs="宋体"/>
          <w:b/>
          <w:color w:val="auto"/>
          <w:highlight w:val="none"/>
        </w:rPr>
        <w:br w:type="page"/>
      </w:r>
    </w:p>
    <w:p w14:paraId="735F3B9C">
      <w:pPr>
        <w:rPr>
          <w:b/>
          <w:bCs/>
          <w:color w:val="auto"/>
          <w:highlight w:val="none"/>
        </w:rPr>
      </w:pPr>
      <w:bookmarkStart w:id="331" w:name="_Toc5047"/>
      <w:bookmarkStart w:id="332" w:name="_Toc22622"/>
      <w:bookmarkStart w:id="333" w:name="_Toc13955"/>
      <w:bookmarkStart w:id="334" w:name="_Toc13316"/>
      <w:r>
        <w:rPr>
          <w:rFonts w:hint="eastAsia"/>
          <w:b/>
          <w:bCs/>
          <w:color w:val="auto"/>
          <w:highlight w:val="none"/>
        </w:rPr>
        <w:t>（三）法定代表人授权委托书</w:t>
      </w:r>
      <w:bookmarkEnd w:id="331"/>
      <w:r>
        <w:rPr>
          <w:rFonts w:hint="eastAsia"/>
          <w:b/>
          <w:bCs/>
          <w:color w:val="auto"/>
          <w:highlight w:val="none"/>
        </w:rPr>
        <w:t>（格式）</w:t>
      </w:r>
      <w:bookmarkEnd w:id="332"/>
      <w:bookmarkEnd w:id="333"/>
      <w:bookmarkEnd w:id="334"/>
    </w:p>
    <w:p w14:paraId="657DC582">
      <w:pPr>
        <w:tabs>
          <w:tab w:val="left" w:pos="6300"/>
        </w:tabs>
        <w:snapToGrid w:val="0"/>
        <w:spacing w:line="480" w:lineRule="atLeast"/>
        <w:ind w:firstLine="560" w:firstLineChars="200"/>
        <w:rPr>
          <w:rFonts w:cs="宋体"/>
          <w:color w:val="auto"/>
          <w:szCs w:val="28"/>
          <w:highlight w:val="none"/>
        </w:rPr>
      </w:pPr>
      <w:r>
        <w:rPr>
          <w:rFonts w:hint="eastAsia" w:cs="宋体"/>
          <w:color w:val="auto"/>
          <w:szCs w:val="28"/>
          <w:highlight w:val="none"/>
        </w:rPr>
        <w:t>项目名称：</w:t>
      </w:r>
    </w:p>
    <w:p w14:paraId="753A7C85">
      <w:pPr>
        <w:tabs>
          <w:tab w:val="left" w:pos="6300"/>
        </w:tabs>
        <w:snapToGrid w:val="0"/>
        <w:spacing w:line="480" w:lineRule="atLeast"/>
        <w:ind w:firstLine="570"/>
        <w:rPr>
          <w:rFonts w:cs="宋体"/>
          <w:color w:val="auto"/>
          <w:szCs w:val="28"/>
          <w:highlight w:val="none"/>
        </w:rPr>
      </w:pPr>
    </w:p>
    <w:p w14:paraId="1E766EF3">
      <w:pPr>
        <w:tabs>
          <w:tab w:val="left" w:pos="6300"/>
        </w:tabs>
        <w:snapToGrid w:val="0"/>
        <w:spacing w:line="480" w:lineRule="atLeast"/>
        <w:rPr>
          <w:rFonts w:hint="default" w:cs="宋体"/>
          <w:color w:val="auto"/>
          <w:szCs w:val="28"/>
          <w:highlight w:val="none"/>
          <w:u w:val="single"/>
          <w:lang w:val="en-US"/>
        </w:rPr>
      </w:pPr>
      <w:r>
        <w:rPr>
          <w:rFonts w:hint="eastAsia" w:cs="宋体"/>
          <w:color w:val="auto"/>
          <w:szCs w:val="28"/>
          <w:highlight w:val="none"/>
        </w:rPr>
        <w:t>致：</w:t>
      </w:r>
      <w:r>
        <w:rPr>
          <w:rFonts w:hint="eastAsia" w:cs="宋体"/>
          <w:color w:val="auto"/>
          <w:szCs w:val="28"/>
          <w:highlight w:val="none"/>
          <w:u w:val="single"/>
        </w:rPr>
        <w:t>（采购人或代理机构名称）</w:t>
      </w:r>
      <w:r>
        <w:rPr>
          <w:rFonts w:hint="eastAsia" w:cs="宋体"/>
          <w:color w:val="auto"/>
          <w:szCs w:val="28"/>
          <w:highlight w:val="none"/>
          <w:u w:val="single"/>
          <w:lang w:val="en-US" w:eastAsia="zh-CN"/>
        </w:rPr>
        <w:t xml:space="preserve">                  </w:t>
      </w:r>
    </w:p>
    <w:p w14:paraId="5AF8EFC4">
      <w:pPr>
        <w:tabs>
          <w:tab w:val="left" w:pos="6300"/>
        </w:tabs>
        <w:snapToGrid w:val="0"/>
        <w:spacing w:line="480" w:lineRule="atLeast"/>
        <w:ind w:firstLine="560" w:firstLineChars="200"/>
        <w:rPr>
          <w:rFonts w:cs="宋体"/>
          <w:color w:val="auto"/>
          <w:szCs w:val="28"/>
          <w:highlight w:val="none"/>
        </w:rPr>
      </w:pPr>
      <w:r>
        <w:rPr>
          <w:rFonts w:hint="eastAsia" w:cs="宋体"/>
          <w:color w:val="auto"/>
          <w:szCs w:val="28"/>
          <w:highlight w:val="none"/>
          <w:u w:val="single"/>
        </w:rPr>
        <w:t>（供应商法定代表人姓名）</w:t>
      </w:r>
      <w:r>
        <w:rPr>
          <w:rFonts w:hint="eastAsia" w:cs="宋体"/>
          <w:color w:val="auto"/>
          <w:szCs w:val="28"/>
          <w:highlight w:val="none"/>
          <w:u w:val="single"/>
          <w:lang w:val="en-US" w:eastAsia="zh-CN"/>
        </w:rPr>
        <w:t xml:space="preserve">      </w:t>
      </w:r>
      <w:r>
        <w:rPr>
          <w:rFonts w:hint="eastAsia" w:cs="宋体"/>
          <w:color w:val="auto"/>
          <w:szCs w:val="28"/>
          <w:highlight w:val="none"/>
        </w:rPr>
        <w:t>是</w:t>
      </w:r>
      <w:r>
        <w:rPr>
          <w:rFonts w:hint="eastAsia" w:cs="宋体"/>
          <w:color w:val="auto"/>
          <w:szCs w:val="28"/>
          <w:highlight w:val="none"/>
          <w:u w:val="single"/>
        </w:rPr>
        <w:t>（供应商名称）</w:t>
      </w:r>
      <w:r>
        <w:rPr>
          <w:rFonts w:hint="eastAsia" w:cs="宋体"/>
          <w:color w:val="auto"/>
          <w:szCs w:val="28"/>
          <w:highlight w:val="none"/>
          <w:u w:val="single"/>
          <w:lang w:val="en-US" w:eastAsia="zh-CN"/>
        </w:rPr>
        <w:t xml:space="preserve">      </w:t>
      </w:r>
      <w:r>
        <w:rPr>
          <w:rFonts w:hint="eastAsia" w:cs="宋体"/>
          <w:color w:val="auto"/>
          <w:szCs w:val="28"/>
          <w:highlight w:val="none"/>
        </w:rPr>
        <w:t>的法定代表人，特授权</w:t>
      </w:r>
      <w:r>
        <w:rPr>
          <w:rFonts w:hint="eastAsia" w:cs="宋体"/>
          <w:color w:val="auto"/>
          <w:szCs w:val="28"/>
          <w:highlight w:val="none"/>
          <w:u w:val="single"/>
          <w:lang w:val="en-US" w:eastAsia="zh-CN"/>
        </w:rPr>
        <w:t xml:space="preserve">          </w:t>
      </w:r>
      <w:r>
        <w:rPr>
          <w:rFonts w:hint="eastAsia" w:cs="宋体"/>
          <w:color w:val="auto"/>
          <w:szCs w:val="28"/>
          <w:highlight w:val="none"/>
          <w:u w:val="single"/>
        </w:rPr>
        <w:t>（被授权人姓名及身份证号码）</w:t>
      </w:r>
      <w:r>
        <w:rPr>
          <w:rFonts w:hint="eastAsia" w:cs="宋体"/>
          <w:color w:val="auto"/>
          <w:szCs w:val="28"/>
          <w:highlight w:val="none"/>
        </w:rPr>
        <w:t>代表我单位全权办理上述项目的的竞采、签约等具体工作，并签署全部有关文件、协议及合同。</w:t>
      </w:r>
    </w:p>
    <w:p w14:paraId="20196ACD">
      <w:pPr>
        <w:tabs>
          <w:tab w:val="left" w:pos="6300"/>
        </w:tabs>
        <w:snapToGrid w:val="0"/>
        <w:spacing w:line="480" w:lineRule="atLeast"/>
        <w:ind w:firstLine="560" w:firstLineChars="200"/>
        <w:rPr>
          <w:rFonts w:cs="宋体"/>
          <w:color w:val="auto"/>
          <w:szCs w:val="28"/>
          <w:highlight w:val="none"/>
        </w:rPr>
      </w:pPr>
      <w:r>
        <w:rPr>
          <w:rFonts w:hint="eastAsia" w:cs="宋体"/>
          <w:color w:val="auto"/>
          <w:szCs w:val="28"/>
          <w:highlight w:val="none"/>
        </w:rPr>
        <w:t>我单位对被授权人的签署负全部责任。</w:t>
      </w:r>
    </w:p>
    <w:p w14:paraId="72848B05">
      <w:pPr>
        <w:tabs>
          <w:tab w:val="left" w:pos="6300"/>
        </w:tabs>
        <w:snapToGrid w:val="0"/>
        <w:spacing w:line="480" w:lineRule="atLeast"/>
        <w:ind w:firstLine="560" w:firstLineChars="200"/>
        <w:rPr>
          <w:rFonts w:cs="宋体"/>
          <w:color w:val="auto"/>
          <w:szCs w:val="28"/>
          <w:highlight w:val="none"/>
        </w:rPr>
      </w:pPr>
      <w:r>
        <w:rPr>
          <w:rFonts w:hint="eastAsia" w:cs="宋体"/>
          <w:color w:val="auto"/>
          <w:szCs w:val="28"/>
          <w:highlight w:val="none"/>
        </w:rPr>
        <w:t>在撤销授权的书面通知以前，本授权书一直有效。被授权人在授权书有效期内签署的所有文件不因授权的撤销而失效。</w:t>
      </w:r>
    </w:p>
    <w:p w14:paraId="3A879105">
      <w:pPr>
        <w:tabs>
          <w:tab w:val="left" w:pos="6300"/>
        </w:tabs>
        <w:snapToGrid w:val="0"/>
        <w:spacing w:line="480" w:lineRule="atLeast"/>
        <w:ind w:firstLine="570"/>
        <w:rPr>
          <w:rFonts w:cs="宋体"/>
          <w:color w:val="auto"/>
          <w:szCs w:val="28"/>
          <w:highlight w:val="none"/>
        </w:rPr>
      </w:pPr>
    </w:p>
    <w:p w14:paraId="6E7D10DA">
      <w:pPr>
        <w:tabs>
          <w:tab w:val="left" w:pos="6300"/>
        </w:tabs>
        <w:snapToGrid w:val="0"/>
        <w:spacing w:line="480" w:lineRule="atLeast"/>
        <w:ind w:firstLine="570"/>
        <w:rPr>
          <w:rFonts w:cs="宋体"/>
          <w:color w:val="auto"/>
          <w:szCs w:val="28"/>
          <w:highlight w:val="none"/>
        </w:rPr>
      </w:pPr>
      <w:r>
        <w:rPr>
          <w:rFonts w:hint="eastAsia" w:cs="宋体"/>
          <w:color w:val="auto"/>
          <w:szCs w:val="28"/>
          <w:highlight w:val="none"/>
        </w:rPr>
        <w:t>被授权人：                                 供应商法定代表人：</w:t>
      </w:r>
    </w:p>
    <w:p w14:paraId="1FD09690">
      <w:pPr>
        <w:tabs>
          <w:tab w:val="left" w:pos="6300"/>
        </w:tabs>
        <w:snapToGrid w:val="0"/>
        <w:spacing w:line="480" w:lineRule="atLeast"/>
        <w:ind w:firstLine="570"/>
        <w:rPr>
          <w:rFonts w:cs="宋体"/>
          <w:color w:val="auto"/>
          <w:szCs w:val="28"/>
          <w:highlight w:val="none"/>
        </w:rPr>
      </w:pPr>
      <w:r>
        <w:rPr>
          <w:rFonts w:hint="eastAsia" w:cs="宋体"/>
          <w:color w:val="auto"/>
          <w:szCs w:val="28"/>
          <w:highlight w:val="none"/>
        </w:rPr>
        <w:t>（签署或盖章）                                （签署或盖章）</w:t>
      </w:r>
    </w:p>
    <w:p w14:paraId="02D4D74D">
      <w:pPr>
        <w:tabs>
          <w:tab w:val="left" w:pos="6300"/>
        </w:tabs>
        <w:snapToGrid w:val="0"/>
        <w:spacing w:line="480" w:lineRule="atLeast"/>
        <w:rPr>
          <w:rFonts w:cs="宋体"/>
          <w:color w:val="auto"/>
          <w:szCs w:val="28"/>
          <w:highlight w:val="none"/>
        </w:rPr>
      </w:pPr>
    </w:p>
    <w:p w14:paraId="0D829794">
      <w:pPr>
        <w:tabs>
          <w:tab w:val="left" w:pos="6300"/>
        </w:tabs>
        <w:snapToGrid w:val="0"/>
        <w:spacing w:line="480" w:lineRule="atLeast"/>
        <w:ind w:firstLine="570"/>
        <w:rPr>
          <w:rFonts w:cs="宋体"/>
          <w:color w:val="auto"/>
          <w:szCs w:val="28"/>
          <w:highlight w:val="none"/>
        </w:rPr>
      </w:pPr>
      <w:r>
        <w:rPr>
          <w:rFonts w:hint="eastAsia" w:cs="宋体"/>
          <w:color w:val="auto"/>
          <w:szCs w:val="28"/>
          <w:highlight w:val="none"/>
        </w:rPr>
        <w:t>（附：被授权人身份证正反面复印件）</w:t>
      </w:r>
    </w:p>
    <w:p w14:paraId="535CA17E">
      <w:pPr>
        <w:tabs>
          <w:tab w:val="left" w:pos="6300"/>
        </w:tabs>
        <w:snapToGrid w:val="0"/>
        <w:spacing w:line="480" w:lineRule="atLeast"/>
        <w:ind w:firstLine="570"/>
        <w:rPr>
          <w:rFonts w:cs="宋体"/>
          <w:color w:val="auto"/>
          <w:szCs w:val="28"/>
          <w:highlight w:val="none"/>
        </w:rPr>
      </w:pPr>
    </w:p>
    <w:p w14:paraId="4D33EB3D">
      <w:pPr>
        <w:tabs>
          <w:tab w:val="left" w:pos="6300"/>
        </w:tabs>
        <w:snapToGrid w:val="0"/>
        <w:spacing w:line="480" w:lineRule="atLeast"/>
        <w:ind w:firstLine="570"/>
        <w:rPr>
          <w:rFonts w:cs="宋体"/>
          <w:color w:val="auto"/>
          <w:szCs w:val="28"/>
          <w:highlight w:val="none"/>
        </w:rPr>
      </w:pPr>
    </w:p>
    <w:p w14:paraId="47363019">
      <w:pPr>
        <w:tabs>
          <w:tab w:val="left" w:pos="6300"/>
        </w:tabs>
        <w:snapToGrid w:val="0"/>
        <w:spacing w:line="480" w:lineRule="atLeast"/>
        <w:ind w:firstLine="570"/>
        <w:rPr>
          <w:rFonts w:cs="宋体"/>
          <w:color w:val="auto"/>
          <w:szCs w:val="28"/>
          <w:highlight w:val="none"/>
        </w:rPr>
      </w:pPr>
    </w:p>
    <w:p w14:paraId="591DF830">
      <w:pPr>
        <w:tabs>
          <w:tab w:val="left" w:pos="6300"/>
        </w:tabs>
        <w:snapToGrid w:val="0"/>
        <w:spacing w:line="480" w:lineRule="atLeast"/>
        <w:ind w:right="480" w:firstLine="570"/>
        <w:jc w:val="right"/>
        <w:rPr>
          <w:rFonts w:cs="宋体"/>
          <w:color w:val="auto"/>
          <w:szCs w:val="28"/>
          <w:highlight w:val="none"/>
        </w:rPr>
      </w:pPr>
      <w:r>
        <w:rPr>
          <w:rFonts w:hint="eastAsia" w:cs="宋体"/>
          <w:color w:val="auto"/>
          <w:szCs w:val="28"/>
          <w:highlight w:val="none"/>
        </w:rPr>
        <w:t>（供应商公章）</w:t>
      </w:r>
    </w:p>
    <w:p w14:paraId="7842F716">
      <w:pPr>
        <w:tabs>
          <w:tab w:val="left" w:pos="6300"/>
        </w:tabs>
        <w:snapToGrid w:val="0"/>
        <w:spacing w:line="480" w:lineRule="atLeast"/>
        <w:ind w:right="480" w:firstLine="570"/>
        <w:jc w:val="right"/>
        <w:rPr>
          <w:rFonts w:cs="宋体"/>
          <w:color w:val="auto"/>
          <w:szCs w:val="28"/>
          <w:highlight w:val="none"/>
        </w:rPr>
      </w:pPr>
      <w:r>
        <w:rPr>
          <w:rFonts w:hint="eastAsia" w:cs="宋体"/>
          <w:color w:val="auto"/>
          <w:szCs w:val="28"/>
          <w:highlight w:val="none"/>
        </w:rPr>
        <w:t>年   月   日</w:t>
      </w:r>
    </w:p>
    <w:p w14:paraId="01CB57C1">
      <w:pPr>
        <w:tabs>
          <w:tab w:val="left" w:pos="6300"/>
        </w:tabs>
        <w:snapToGrid w:val="0"/>
        <w:spacing w:line="480" w:lineRule="atLeast"/>
        <w:ind w:right="480" w:firstLine="570"/>
        <w:jc w:val="left"/>
        <w:rPr>
          <w:rFonts w:cs="宋体"/>
          <w:color w:val="auto"/>
          <w:szCs w:val="28"/>
          <w:highlight w:val="none"/>
        </w:rPr>
      </w:pPr>
      <w:r>
        <w:rPr>
          <w:rFonts w:hint="eastAsia" w:cs="宋体"/>
          <w:color w:val="auto"/>
          <w:szCs w:val="28"/>
          <w:highlight w:val="none"/>
        </w:rPr>
        <w:t>被授权人电话（手机）：XXXXXXX     电子邮箱：XXXXXX@XXXXX（若法定代表人办理并签署响应文件的可不填写）</w:t>
      </w:r>
    </w:p>
    <w:p w14:paraId="5ADAE154">
      <w:pPr>
        <w:snapToGrid w:val="0"/>
        <w:spacing w:line="480" w:lineRule="atLeast"/>
        <w:ind w:firstLine="560" w:firstLineChars="200"/>
        <w:rPr>
          <w:rFonts w:cs="宋体"/>
          <w:color w:val="auto"/>
          <w:szCs w:val="28"/>
          <w:highlight w:val="none"/>
        </w:rPr>
      </w:pPr>
    </w:p>
    <w:p w14:paraId="53313AAB">
      <w:pPr>
        <w:snapToGrid w:val="0"/>
        <w:spacing w:line="480" w:lineRule="atLeast"/>
        <w:ind w:firstLine="560" w:firstLineChars="200"/>
        <w:rPr>
          <w:rFonts w:cs="宋体"/>
          <w:color w:val="auto"/>
          <w:szCs w:val="28"/>
          <w:highlight w:val="none"/>
        </w:rPr>
      </w:pPr>
      <w:r>
        <w:rPr>
          <w:rFonts w:hint="eastAsia" w:cs="宋体"/>
          <w:color w:val="auto"/>
          <w:szCs w:val="28"/>
          <w:highlight w:val="none"/>
        </w:rPr>
        <w:t>注：在原文格式基础上增加新内容的，不影响其有效性。若为法定代表人办理并签署响应文件的，可不提供此文件。</w:t>
      </w:r>
    </w:p>
    <w:p w14:paraId="34F1775D">
      <w:pPr>
        <w:snapToGrid w:val="0"/>
        <w:spacing w:line="480" w:lineRule="atLeast"/>
        <w:ind w:firstLine="560" w:firstLineChars="200"/>
        <w:rPr>
          <w:rFonts w:cs="宋体"/>
          <w:color w:val="auto"/>
          <w:highlight w:val="none"/>
        </w:rPr>
      </w:pPr>
      <w:r>
        <w:rPr>
          <w:rFonts w:hint="eastAsia" w:cs="宋体"/>
          <w:color w:val="auto"/>
          <w:szCs w:val="28"/>
          <w:highlight w:val="none"/>
        </w:rPr>
        <w:br w:type="page"/>
      </w:r>
    </w:p>
    <w:p w14:paraId="57077A66">
      <w:pPr>
        <w:rPr>
          <w:b/>
          <w:bCs/>
          <w:color w:val="auto"/>
          <w:highlight w:val="none"/>
        </w:rPr>
      </w:pPr>
      <w:bookmarkStart w:id="335" w:name="_Toc16943"/>
      <w:bookmarkStart w:id="336" w:name="_Toc6935"/>
      <w:bookmarkStart w:id="337" w:name="_Toc10882"/>
      <w:bookmarkStart w:id="338" w:name="_Toc30268"/>
      <w:bookmarkStart w:id="339" w:name="_Toc14569"/>
      <w:r>
        <w:rPr>
          <w:rFonts w:hint="eastAsia"/>
          <w:b/>
          <w:bCs/>
          <w:color w:val="auto"/>
          <w:highlight w:val="none"/>
        </w:rPr>
        <w:t>（四）</w:t>
      </w:r>
      <w:bookmarkEnd w:id="335"/>
      <w:r>
        <w:rPr>
          <w:rFonts w:hint="eastAsia"/>
          <w:b/>
          <w:bCs/>
          <w:color w:val="auto"/>
          <w:highlight w:val="none"/>
        </w:rPr>
        <w:t>基本资格条件承诺函</w:t>
      </w:r>
      <w:bookmarkEnd w:id="336"/>
      <w:r>
        <w:rPr>
          <w:rFonts w:hint="eastAsia"/>
          <w:b/>
          <w:bCs/>
          <w:color w:val="auto"/>
          <w:highlight w:val="none"/>
        </w:rPr>
        <w:t>（格式）</w:t>
      </w:r>
      <w:bookmarkEnd w:id="337"/>
      <w:bookmarkEnd w:id="338"/>
      <w:bookmarkEnd w:id="339"/>
    </w:p>
    <w:p w14:paraId="3A29B811">
      <w:pPr>
        <w:spacing w:line="480" w:lineRule="atLeast"/>
        <w:ind w:firstLine="562" w:firstLineChars="200"/>
        <w:jc w:val="center"/>
        <w:rPr>
          <w:rFonts w:cs="宋体"/>
          <w:b/>
          <w:bCs/>
          <w:color w:val="auto"/>
          <w:szCs w:val="32"/>
          <w:highlight w:val="none"/>
        </w:rPr>
      </w:pPr>
    </w:p>
    <w:p w14:paraId="2382B576">
      <w:pPr>
        <w:spacing w:line="480" w:lineRule="atLeast"/>
        <w:ind w:firstLine="562" w:firstLineChars="200"/>
        <w:jc w:val="center"/>
        <w:rPr>
          <w:rFonts w:cs="宋体"/>
          <w:color w:val="auto"/>
          <w:sz w:val="24"/>
          <w:highlight w:val="none"/>
        </w:rPr>
      </w:pPr>
      <w:r>
        <w:rPr>
          <w:rFonts w:hint="eastAsia" w:cs="宋体"/>
          <w:b/>
          <w:bCs/>
          <w:color w:val="auto"/>
          <w:szCs w:val="32"/>
          <w:highlight w:val="none"/>
        </w:rPr>
        <w:t>基本资格条件承诺函</w:t>
      </w:r>
    </w:p>
    <w:p w14:paraId="74C48B5F">
      <w:pPr>
        <w:tabs>
          <w:tab w:val="left" w:pos="6300"/>
        </w:tabs>
        <w:snapToGrid w:val="0"/>
        <w:spacing w:line="480" w:lineRule="exact"/>
        <w:rPr>
          <w:rFonts w:cs="宋体"/>
          <w:color w:val="auto"/>
          <w:szCs w:val="32"/>
          <w:highlight w:val="none"/>
        </w:rPr>
      </w:pPr>
    </w:p>
    <w:p w14:paraId="413BD500">
      <w:pPr>
        <w:tabs>
          <w:tab w:val="left" w:pos="6300"/>
        </w:tabs>
        <w:snapToGrid w:val="0"/>
        <w:spacing w:line="480" w:lineRule="exact"/>
        <w:rPr>
          <w:rFonts w:hint="default" w:eastAsia="宋体" w:cs="宋体"/>
          <w:color w:val="auto"/>
          <w:szCs w:val="32"/>
          <w:highlight w:val="none"/>
          <w:u w:val="single"/>
          <w:lang w:val="en-US" w:eastAsia="zh-CN"/>
        </w:rPr>
      </w:pPr>
      <w:r>
        <w:rPr>
          <w:rFonts w:hint="eastAsia" w:cs="宋体"/>
          <w:color w:val="auto"/>
          <w:szCs w:val="32"/>
          <w:highlight w:val="none"/>
        </w:rPr>
        <w:t>致（采购人或代理机构名称）：</w:t>
      </w:r>
      <w:r>
        <w:rPr>
          <w:rFonts w:hint="eastAsia" w:cs="宋体"/>
          <w:color w:val="auto"/>
          <w:szCs w:val="32"/>
          <w:highlight w:val="none"/>
          <w:u w:val="single"/>
          <w:lang w:val="en-US" w:eastAsia="zh-CN"/>
        </w:rPr>
        <w:t xml:space="preserve">                         </w:t>
      </w:r>
    </w:p>
    <w:p w14:paraId="0F530A58">
      <w:pPr>
        <w:tabs>
          <w:tab w:val="left" w:pos="6300"/>
        </w:tabs>
        <w:snapToGrid w:val="0"/>
        <w:spacing w:line="480" w:lineRule="exact"/>
        <w:ind w:firstLine="560" w:firstLineChars="200"/>
        <w:rPr>
          <w:rFonts w:cs="宋体"/>
          <w:color w:val="auto"/>
          <w:szCs w:val="32"/>
          <w:highlight w:val="none"/>
        </w:rPr>
      </w:pPr>
      <w:r>
        <w:rPr>
          <w:rFonts w:hint="eastAsia" w:cs="宋体"/>
          <w:color w:val="auto"/>
          <w:szCs w:val="32"/>
          <w:highlight w:val="none"/>
          <w:u w:val="single"/>
        </w:rPr>
        <w:t>（供应商名称）</w:t>
      </w:r>
      <w:r>
        <w:rPr>
          <w:rFonts w:hint="eastAsia" w:cs="宋体"/>
          <w:color w:val="auto"/>
          <w:szCs w:val="32"/>
          <w:highlight w:val="none"/>
          <w:u w:val="single"/>
          <w:lang w:val="en-US" w:eastAsia="zh-CN"/>
        </w:rPr>
        <w:t xml:space="preserve">              </w:t>
      </w:r>
      <w:r>
        <w:rPr>
          <w:rFonts w:hint="eastAsia" w:cs="宋体"/>
          <w:color w:val="auto"/>
          <w:szCs w:val="32"/>
          <w:highlight w:val="none"/>
          <w:lang w:val="en-US" w:eastAsia="zh-CN"/>
        </w:rPr>
        <w:t xml:space="preserve"> </w:t>
      </w:r>
      <w:r>
        <w:rPr>
          <w:rFonts w:hint="eastAsia" w:cs="宋体"/>
          <w:color w:val="auto"/>
          <w:szCs w:val="32"/>
          <w:highlight w:val="none"/>
        </w:rPr>
        <w:t>郑重承诺：</w:t>
      </w:r>
    </w:p>
    <w:p w14:paraId="4D7BFB7C">
      <w:pPr>
        <w:spacing w:line="480" w:lineRule="exact"/>
        <w:ind w:firstLine="560" w:firstLineChars="200"/>
        <w:rPr>
          <w:rFonts w:cs="宋体"/>
          <w:color w:val="auto"/>
          <w:szCs w:val="32"/>
          <w:highlight w:val="none"/>
        </w:rPr>
      </w:pPr>
      <w:r>
        <w:rPr>
          <w:rFonts w:hint="eastAsia" w:cs="宋体"/>
          <w:color w:val="auto"/>
          <w:szCs w:val="32"/>
          <w:highlight w:val="none"/>
        </w:rPr>
        <w:t>1.我方具有良好的商业信誉和健全的财务会计制度，具有履行合同所必需的设备和专业技术能力，具</w:t>
      </w:r>
      <w:r>
        <w:rPr>
          <w:rFonts w:hint="eastAsia" w:cs="宋体"/>
          <w:color w:val="auto"/>
          <w:szCs w:val="32"/>
          <w:highlight w:val="none"/>
          <w:lang w:val="zh-CN"/>
        </w:rPr>
        <w:t>有依法缴纳税收和社会保障金的良好记录</w:t>
      </w:r>
      <w:r>
        <w:rPr>
          <w:rFonts w:hint="eastAsia" w:cs="宋体"/>
          <w:color w:val="auto"/>
          <w:szCs w:val="32"/>
          <w:highlight w:val="none"/>
        </w:rPr>
        <w:t>，参加本项目采购活动前三年内无重大违法活动记录。</w:t>
      </w:r>
    </w:p>
    <w:p w14:paraId="7606A8C0">
      <w:pPr>
        <w:spacing w:line="480" w:lineRule="exact"/>
        <w:ind w:firstLine="560" w:firstLineChars="200"/>
        <w:jc w:val="left"/>
        <w:rPr>
          <w:rFonts w:cs="宋体"/>
          <w:color w:val="auto"/>
          <w:szCs w:val="32"/>
          <w:highlight w:val="none"/>
        </w:rPr>
      </w:pPr>
      <w:r>
        <w:rPr>
          <w:rFonts w:hint="eastAsia" w:cs="宋体"/>
          <w:color w:val="auto"/>
          <w:szCs w:val="32"/>
          <w:highlight w:val="none"/>
        </w:rPr>
        <w:t>2.我方未列入在信用中国网站（www.creditchina.gov.cn）“失信被执行人”、“重大税收违法案件当事人名单”中，也未列入中国政府采购（www.ccgp.gov.cn）“政府采购严重违法失信行为记录名单”中。</w:t>
      </w:r>
    </w:p>
    <w:p w14:paraId="4A095942">
      <w:pPr>
        <w:spacing w:line="480" w:lineRule="exact"/>
        <w:ind w:firstLine="560" w:firstLineChars="200"/>
        <w:rPr>
          <w:rFonts w:cs="宋体"/>
          <w:color w:val="auto"/>
          <w:szCs w:val="32"/>
          <w:highlight w:val="none"/>
        </w:rPr>
      </w:pPr>
      <w:r>
        <w:rPr>
          <w:rFonts w:hint="eastAsia" w:cs="宋体"/>
          <w:color w:val="auto"/>
          <w:szCs w:val="32"/>
          <w:highlight w:val="none"/>
        </w:rPr>
        <w:t>3.我方在项目评审（评审）环节结束后，随时接受采购人、采购代理机构的检查验证，配合提供相关证明材料，证明符合供应商基本资格条件。</w:t>
      </w:r>
    </w:p>
    <w:p w14:paraId="2A72225C">
      <w:pPr>
        <w:tabs>
          <w:tab w:val="left" w:pos="6300"/>
        </w:tabs>
        <w:snapToGrid w:val="0"/>
        <w:spacing w:line="480" w:lineRule="exact"/>
        <w:ind w:firstLine="560" w:firstLineChars="200"/>
        <w:rPr>
          <w:rFonts w:cs="宋体"/>
          <w:color w:val="auto"/>
          <w:szCs w:val="32"/>
          <w:highlight w:val="none"/>
        </w:rPr>
      </w:pPr>
      <w:r>
        <w:rPr>
          <w:rFonts w:hint="eastAsia" w:cs="宋体"/>
          <w:color w:val="auto"/>
          <w:szCs w:val="32"/>
          <w:highlight w:val="none"/>
        </w:rPr>
        <w:t>我方对以上承诺负全部法律责任。</w:t>
      </w:r>
    </w:p>
    <w:p w14:paraId="601D6860">
      <w:pPr>
        <w:tabs>
          <w:tab w:val="left" w:pos="6300"/>
        </w:tabs>
        <w:snapToGrid w:val="0"/>
        <w:spacing w:line="480" w:lineRule="exact"/>
        <w:ind w:firstLine="560" w:firstLineChars="200"/>
        <w:rPr>
          <w:rFonts w:cs="宋体"/>
          <w:color w:val="auto"/>
          <w:szCs w:val="32"/>
          <w:highlight w:val="none"/>
        </w:rPr>
      </w:pPr>
      <w:r>
        <w:rPr>
          <w:rFonts w:hint="eastAsia" w:cs="宋体"/>
          <w:color w:val="auto"/>
          <w:szCs w:val="32"/>
          <w:highlight w:val="none"/>
        </w:rPr>
        <w:t>特此承诺。</w:t>
      </w:r>
    </w:p>
    <w:p w14:paraId="5D82DF92">
      <w:pPr>
        <w:tabs>
          <w:tab w:val="left" w:pos="6300"/>
        </w:tabs>
        <w:snapToGrid w:val="0"/>
        <w:spacing w:line="480" w:lineRule="atLeast"/>
        <w:rPr>
          <w:rFonts w:cs="宋体"/>
          <w:color w:val="auto"/>
          <w:szCs w:val="32"/>
          <w:highlight w:val="none"/>
        </w:rPr>
      </w:pPr>
    </w:p>
    <w:p w14:paraId="709DB378">
      <w:pPr>
        <w:tabs>
          <w:tab w:val="left" w:pos="6300"/>
        </w:tabs>
        <w:snapToGrid w:val="0"/>
        <w:spacing w:line="480" w:lineRule="atLeast"/>
        <w:ind w:right="424" w:firstLine="570"/>
        <w:jc w:val="right"/>
        <w:rPr>
          <w:rFonts w:cs="宋体"/>
          <w:color w:val="auto"/>
          <w:szCs w:val="32"/>
          <w:highlight w:val="none"/>
        </w:rPr>
      </w:pPr>
    </w:p>
    <w:p w14:paraId="195DD3E4">
      <w:pPr>
        <w:tabs>
          <w:tab w:val="left" w:pos="6300"/>
        </w:tabs>
        <w:snapToGrid w:val="0"/>
        <w:spacing w:line="480" w:lineRule="atLeast"/>
        <w:ind w:right="424" w:firstLine="570"/>
        <w:jc w:val="right"/>
        <w:rPr>
          <w:rFonts w:cs="宋体"/>
          <w:color w:val="auto"/>
          <w:szCs w:val="32"/>
          <w:highlight w:val="none"/>
        </w:rPr>
      </w:pPr>
    </w:p>
    <w:p w14:paraId="503122E1">
      <w:pPr>
        <w:tabs>
          <w:tab w:val="left" w:pos="6300"/>
        </w:tabs>
        <w:snapToGrid w:val="0"/>
        <w:spacing w:line="480" w:lineRule="atLeast"/>
        <w:ind w:right="424" w:firstLine="570"/>
        <w:jc w:val="right"/>
        <w:rPr>
          <w:rFonts w:cs="宋体"/>
          <w:color w:val="auto"/>
          <w:szCs w:val="32"/>
          <w:highlight w:val="none"/>
        </w:rPr>
      </w:pPr>
    </w:p>
    <w:p w14:paraId="3A1723CA">
      <w:pPr>
        <w:tabs>
          <w:tab w:val="left" w:pos="6300"/>
        </w:tabs>
        <w:snapToGrid w:val="0"/>
        <w:spacing w:line="480" w:lineRule="atLeast"/>
        <w:ind w:right="424" w:firstLine="570"/>
        <w:jc w:val="right"/>
        <w:rPr>
          <w:rFonts w:cs="宋体"/>
          <w:color w:val="auto"/>
          <w:szCs w:val="32"/>
          <w:highlight w:val="none"/>
        </w:rPr>
      </w:pPr>
      <w:r>
        <w:rPr>
          <w:rFonts w:hint="eastAsia" w:cs="宋体"/>
          <w:color w:val="auto"/>
          <w:szCs w:val="32"/>
          <w:highlight w:val="none"/>
        </w:rPr>
        <w:t>（供应商公章）</w:t>
      </w:r>
    </w:p>
    <w:p w14:paraId="2B3FDB61">
      <w:pPr>
        <w:tabs>
          <w:tab w:val="left" w:pos="6300"/>
        </w:tabs>
        <w:snapToGrid w:val="0"/>
        <w:spacing w:line="480" w:lineRule="atLeast"/>
        <w:ind w:right="480" w:firstLine="570"/>
        <w:jc w:val="right"/>
        <w:rPr>
          <w:rFonts w:cs="宋体"/>
          <w:color w:val="auto"/>
          <w:szCs w:val="32"/>
          <w:highlight w:val="none"/>
        </w:rPr>
      </w:pPr>
      <w:r>
        <w:rPr>
          <w:rFonts w:hint="eastAsia" w:cs="宋体"/>
          <w:color w:val="auto"/>
          <w:szCs w:val="32"/>
          <w:highlight w:val="none"/>
        </w:rPr>
        <w:t>年   月   日</w:t>
      </w:r>
    </w:p>
    <w:p w14:paraId="463A5714">
      <w:pPr>
        <w:spacing w:line="480" w:lineRule="atLeast"/>
        <w:ind w:right="540" w:firstLine="3080" w:firstLineChars="1100"/>
        <w:jc w:val="right"/>
        <w:rPr>
          <w:rFonts w:cs="宋体"/>
          <w:color w:val="auto"/>
          <w:highlight w:val="none"/>
        </w:rPr>
      </w:pPr>
    </w:p>
    <w:bookmarkEnd w:id="316"/>
    <w:p w14:paraId="681475FE">
      <w:pPr>
        <w:spacing w:line="480" w:lineRule="atLeast"/>
        <w:rPr>
          <w:rFonts w:cs="宋体"/>
          <w:b/>
          <w:bCs/>
          <w:color w:val="auto"/>
          <w:highlight w:val="none"/>
        </w:rPr>
      </w:pPr>
      <w:bookmarkStart w:id="340" w:name="_Toc1814"/>
      <w:bookmarkStart w:id="341" w:name="_Toc22450"/>
      <w:bookmarkStart w:id="342" w:name="_Toc32708"/>
      <w:bookmarkStart w:id="343" w:name="_Toc19365"/>
      <w:bookmarkStart w:id="344" w:name="_Toc9726"/>
    </w:p>
    <w:p w14:paraId="7C1AB18E">
      <w:pPr>
        <w:ind w:firstLine="562" w:firstLineChars="200"/>
        <w:rPr>
          <w:rFonts w:cs="宋体"/>
          <w:b/>
          <w:bCs/>
          <w:color w:val="auto"/>
          <w:highlight w:val="none"/>
        </w:rPr>
      </w:pPr>
      <w:bookmarkStart w:id="345" w:name="_Toc13006"/>
      <w:r>
        <w:rPr>
          <w:rFonts w:hint="eastAsia" w:cs="宋体"/>
          <w:b/>
          <w:bCs/>
          <w:color w:val="auto"/>
          <w:highlight w:val="none"/>
        </w:rPr>
        <w:br w:type="page"/>
      </w:r>
    </w:p>
    <w:p w14:paraId="7364F27F">
      <w:pPr>
        <w:rPr>
          <w:rFonts w:cs="宋体"/>
          <w:b/>
          <w:bCs/>
          <w:color w:val="auto"/>
          <w:highlight w:val="none"/>
        </w:rPr>
      </w:pPr>
      <w:bookmarkStart w:id="346" w:name="_Toc23748"/>
      <w:bookmarkStart w:id="347" w:name="_Toc10274"/>
      <w:bookmarkStart w:id="348" w:name="_Toc31862"/>
      <w:r>
        <w:rPr>
          <w:rFonts w:hint="eastAsia" w:cs="宋体"/>
          <w:b/>
          <w:bCs/>
          <w:color w:val="auto"/>
          <w:highlight w:val="none"/>
        </w:rPr>
        <w:t>（五）特定资格条件证明材料（如有）</w:t>
      </w:r>
    </w:p>
    <w:p w14:paraId="3C4FE23D">
      <w:pPr>
        <w:rPr>
          <w:rFonts w:cs="宋体"/>
          <w:b/>
          <w:bCs/>
          <w:color w:val="auto"/>
          <w:highlight w:val="none"/>
        </w:rPr>
      </w:pPr>
      <w:r>
        <w:rPr>
          <w:rFonts w:hint="eastAsia" w:cs="宋体"/>
          <w:b/>
          <w:bCs/>
          <w:color w:val="auto"/>
          <w:highlight w:val="none"/>
        </w:rPr>
        <w:br w:type="page"/>
      </w:r>
    </w:p>
    <w:bookmarkEnd w:id="346"/>
    <w:bookmarkEnd w:id="347"/>
    <w:bookmarkEnd w:id="348"/>
    <w:p w14:paraId="270695A3">
      <w:pPr>
        <w:pStyle w:val="4"/>
        <w:spacing w:beforeLines="0"/>
        <w:ind w:firstLine="562"/>
        <w:rPr>
          <w:rFonts w:ascii="Times New Roman" w:hAnsi="Times New Roman" w:cs="宋体"/>
          <w:color w:val="auto"/>
          <w:highlight w:val="none"/>
        </w:rPr>
      </w:pPr>
      <w:bookmarkStart w:id="349" w:name="_Toc29104"/>
      <w:bookmarkStart w:id="350" w:name="_Toc15378"/>
      <w:bookmarkStart w:id="351" w:name="_Toc12587"/>
      <w:bookmarkStart w:id="352" w:name="_Toc29622"/>
      <w:r>
        <w:rPr>
          <w:rFonts w:hint="eastAsia" w:ascii="Times New Roman" w:hAnsi="Times New Roman" w:cs="宋体"/>
          <w:color w:val="auto"/>
          <w:highlight w:val="none"/>
        </w:rPr>
        <w:t>三、</w:t>
      </w:r>
      <w:bookmarkEnd w:id="340"/>
      <w:bookmarkEnd w:id="341"/>
      <w:bookmarkEnd w:id="342"/>
      <w:bookmarkEnd w:id="343"/>
      <w:bookmarkEnd w:id="345"/>
      <w:bookmarkEnd w:id="349"/>
      <w:bookmarkEnd w:id="350"/>
      <w:bookmarkEnd w:id="351"/>
      <w:bookmarkEnd w:id="352"/>
      <w:r>
        <w:rPr>
          <w:rFonts w:hint="eastAsia" w:ascii="Times New Roman" w:hAnsi="Times New Roman" w:cs="宋体"/>
          <w:color w:val="auto"/>
          <w:highlight w:val="none"/>
        </w:rPr>
        <w:t>服务部分</w:t>
      </w:r>
    </w:p>
    <w:p w14:paraId="5E9B09DD">
      <w:pPr>
        <w:rPr>
          <w:b/>
          <w:bCs/>
          <w:color w:val="auto"/>
          <w:highlight w:val="none"/>
        </w:rPr>
      </w:pPr>
      <w:bookmarkStart w:id="353" w:name="_Toc17114"/>
      <w:bookmarkStart w:id="354" w:name="_Toc13297"/>
      <w:bookmarkStart w:id="355" w:name="_Toc8181"/>
    </w:p>
    <w:p w14:paraId="19BBC3D8">
      <w:pPr>
        <w:rPr>
          <w:b/>
          <w:bCs/>
          <w:color w:val="auto"/>
          <w:highlight w:val="none"/>
        </w:rPr>
      </w:pPr>
      <w:r>
        <w:rPr>
          <w:rFonts w:hint="eastAsia"/>
          <w:b/>
          <w:bCs/>
          <w:color w:val="auto"/>
          <w:highlight w:val="none"/>
        </w:rPr>
        <w:t>（一）服务条款差异表</w:t>
      </w:r>
      <w:bookmarkEnd w:id="353"/>
      <w:bookmarkEnd w:id="354"/>
      <w:bookmarkEnd w:id="355"/>
    </w:p>
    <w:bookmarkEnd w:id="344"/>
    <w:p w14:paraId="7779B732">
      <w:pPr>
        <w:tabs>
          <w:tab w:val="left" w:pos="720"/>
        </w:tabs>
        <w:spacing w:line="480" w:lineRule="atLeast"/>
        <w:jc w:val="center"/>
        <w:rPr>
          <w:rFonts w:cs="宋体"/>
          <w:color w:val="auto"/>
          <w:highlight w:val="none"/>
        </w:rPr>
      </w:pPr>
      <w:r>
        <w:rPr>
          <w:rFonts w:hint="eastAsia" w:cs="宋体"/>
          <w:color w:val="auto"/>
          <w:highlight w:val="none"/>
        </w:rPr>
        <w:t>服务条款差异表</w:t>
      </w:r>
    </w:p>
    <w:tbl>
      <w:tblPr>
        <w:tblStyle w:val="2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1"/>
        <w:gridCol w:w="3035"/>
        <w:gridCol w:w="3154"/>
        <w:gridCol w:w="2363"/>
      </w:tblGrid>
      <w:tr w14:paraId="12DA1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660" w:type="pct"/>
            <w:vAlign w:val="center"/>
          </w:tcPr>
          <w:p w14:paraId="48B65252">
            <w:pPr>
              <w:jc w:val="center"/>
              <w:rPr>
                <w:color w:val="auto"/>
                <w:sz w:val="24"/>
                <w:szCs w:val="24"/>
                <w:highlight w:val="none"/>
              </w:rPr>
            </w:pPr>
            <w:bookmarkStart w:id="356" w:name="_Toc19618"/>
            <w:bookmarkStart w:id="357" w:name="_Toc26811"/>
            <w:bookmarkStart w:id="358" w:name="_Toc20881"/>
            <w:bookmarkStart w:id="359" w:name="_Toc11598"/>
            <w:bookmarkStart w:id="360" w:name="_Toc11785"/>
            <w:bookmarkStart w:id="361" w:name="_Toc32321"/>
            <w:r>
              <w:rPr>
                <w:rFonts w:hint="eastAsia"/>
                <w:color w:val="auto"/>
                <w:sz w:val="24"/>
                <w:szCs w:val="24"/>
                <w:highlight w:val="none"/>
              </w:rPr>
              <w:t>序号</w:t>
            </w:r>
            <w:bookmarkEnd w:id="356"/>
            <w:bookmarkEnd w:id="357"/>
            <w:bookmarkEnd w:id="358"/>
            <w:bookmarkEnd w:id="359"/>
            <w:bookmarkEnd w:id="360"/>
            <w:bookmarkEnd w:id="361"/>
          </w:p>
        </w:tc>
        <w:tc>
          <w:tcPr>
            <w:tcW w:w="1540" w:type="pct"/>
            <w:vAlign w:val="center"/>
          </w:tcPr>
          <w:p w14:paraId="314A7937">
            <w:pPr>
              <w:jc w:val="center"/>
              <w:rPr>
                <w:color w:val="auto"/>
                <w:sz w:val="24"/>
                <w:szCs w:val="24"/>
                <w:highlight w:val="none"/>
              </w:rPr>
            </w:pPr>
            <w:bookmarkStart w:id="362" w:name="_Toc23124"/>
            <w:bookmarkStart w:id="363" w:name="_Toc22352"/>
            <w:bookmarkStart w:id="364" w:name="_Toc18303"/>
            <w:bookmarkStart w:id="365" w:name="_Toc22837"/>
            <w:bookmarkStart w:id="366" w:name="_Toc25371"/>
            <w:bookmarkStart w:id="367" w:name="_Toc10531"/>
            <w:r>
              <w:rPr>
                <w:rFonts w:hint="eastAsia"/>
                <w:color w:val="auto"/>
                <w:sz w:val="24"/>
                <w:szCs w:val="24"/>
                <w:highlight w:val="none"/>
              </w:rPr>
              <w:t>项目</w:t>
            </w:r>
            <w:bookmarkEnd w:id="362"/>
            <w:bookmarkEnd w:id="363"/>
            <w:bookmarkEnd w:id="364"/>
            <w:bookmarkEnd w:id="365"/>
            <w:bookmarkEnd w:id="366"/>
            <w:bookmarkEnd w:id="367"/>
            <w:r>
              <w:rPr>
                <w:rFonts w:hint="eastAsia"/>
                <w:color w:val="auto"/>
                <w:sz w:val="24"/>
                <w:szCs w:val="24"/>
                <w:highlight w:val="none"/>
              </w:rPr>
              <w:t>要求</w:t>
            </w:r>
          </w:p>
        </w:tc>
        <w:tc>
          <w:tcPr>
            <w:tcW w:w="1600" w:type="pct"/>
            <w:vAlign w:val="center"/>
          </w:tcPr>
          <w:p w14:paraId="5B8C8B6A">
            <w:pPr>
              <w:jc w:val="center"/>
              <w:rPr>
                <w:color w:val="auto"/>
                <w:sz w:val="24"/>
                <w:szCs w:val="24"/>
                <w:highlight w:val="none"/>
              </w:rPr>
            </w:pPr>
            <w:bookmarkStart w:id="368" w:name="_Toc22442"/>
            <w:bookmarkStart w:id="369" w:name="_Toc2477"/>
            <w:bookmarkStart w:id="370" w:name="_Toc11743"/>
            <w:bookmarkStart w:id="371" w:name="_Toc2096"/>
            <w:bookmarkStart w:id="372" w:name="_Toc27763"/>
            <w:bookmarkStart w:id="373" w:name="_Toc23328"/>
            <w:r>
              <w:rPr>
                <w:rFonts w:hint="eastAsia"/>
                <w:color w:val="auto"/>
                <w:sz w:val="24"/>
                <w:szCs w:val="24"/>
                <w:highlight w:val="none"/>
              </w:rPr>
              <w:t>响应情况</w:t>
            </w:r>
            <w:bookmarkEnd w:id="368"/>
            <w:bookmarkEnd w:id="369"/>
            <w:bookmarkEnd w:id="370"/>
            <w:bookmarkEnd w:id="371"/>
            <w:bookmarkEnd w:id="372"/>
            <w:bookmarkEnd w:id="373"/>
          </w:p>
        </w:tc>
        <w:tc>
          <w:tcPr>
            <w:tcW w:w="1199" w:type="pct"/>
            <w:vAlign w:val="center"/>
          </w:tcPr>
          <w:p w14:paraId="3BD7045E">
            <w:pPr>
              <w:jc w:val="center"/>
              <w:rPr>
                <w:color w:val="auto"/>
                <w:sz w:val="24"/>
                <w:szCs w:val="24"/>
                <w:highlight w:val="none"/>
              </w:rPr>
            </w:pPr>
            <w:bookmarkStart w:id="374" w:name="_Toc3009"/>
            <w:bookmarkStart w:id="375" w:name="_Toc14056"/>
            <w:bookmarkStart w:id="376" w:name="_Toc10595"/>
            <w:bookmarkStart w:id="377" w:name="_Toc30250"/>
            <w:bookmarkStart w:id="378" w:name="_Toc5026"/>
            <w:bookmarkStart w:id="379" w:name="_Toc16701"/>
            <w:r>
              <w:rPr>
                <w:rFonts w:hint="eastAsia"/>
                <w:color w:val="auto"/>
                <w:sz w:val="24"/>
                <w:szCs w:val="24"/>
                <w:highlight w:val="none"/>
              </w:rPr>
              <w:t>差异说明</w:t>
            </w:r>
            <w:bookmarkEnd w:id="374"/>
            <w:bookmarkEnd w:id="375"/>
            <w:bookmarkEnd w:id="376"/>
            <w:bookmarkEnd w:id="377"/>
            <w:bookmarkEnd w:id="378"/>
            <w:bookmarkEnd w:id="379"/>
          </w:p>
        </w:tc>
      </w:tr>
      <w:tr w14:paraId="386E6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0E1DF5F5">
            <w:pPr>
              <w:jc w:val="center"/>
              <w:rPr>
                <w:color w:val="auto"/>
                <w:sz w:val="24"/>
                <w:szCs w:val="24"/>
                <w:highlight w:val="none"/>
              </w:rPr>
            </w:pPr>
          </w:p>
        </w:tc>
        <w:tc>
          <w:tcPr>
            <w:tcW w:w="1540" w:type="pct"/>
            <w:vAlign w:val="center"/>
          </w:tcPr>
          <w:p w14:paraId="087B346C">
            <w:pPr>
              <w:jc w:val="center"/>
              <w:rPr>
                <w:color w:val="auto"/>
                <w:sz w:val="24"/>
                <w:szCs w:val="24"/>
                <w:highlight w:val="none"/>
              </w:rPr>
            </w:pPr>
          </w:p>
        </w:tc>
        <w:tc>
          <w:tcPr>
            <w:tcW w:w="1600" w:type="pct"/>
            <w:vAlign w:val="center"/>
          </w:tcPr>
          <w:p w14:paraId="0E282C60">
            <w:pPr>
              <w:jc w:val="center"/>
              <w:rPr>
                <w:color w:val="auto"/>
                <w:sz w:val="24"/>
                <w:szCs w:val="24"/>
                <w:highlight w:val="none"/>
              </w:rPr>
            </w:pPr>
          </w:p>
        </w:tc>
        <w:tc>
          <w:tcPr>
            <w:tcW w:w="1199" w:type="pct"/>
            <w:vAlign w:val="center"/>
          </w:tcPr>
          <w:p w14:paraId="627CD77A">
            <w:pPr>
              <w:jc w:val="center"/>
              <w:rPr>
                <w:color w:val="auto"/>
                <w:sz w:val="24"/>
                <w:szCs w:val="24"/>
                <w:highlight w:val="none"/>
              </w:rPr>
            </w:pPr>
          </w:p>
        </w:tc>
      </w:tr>
      <w:tr w14:paraId="71376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13D2F37B">
            <w:pPr>
              <w:jc w:val="center"/>
              <w:rPr>
                <w:color w:val="auto"/>
                <w:sz w:val="24"/>
                <w:szCs w:val="24"/>
                <w:highlight w:val="none"/>
              </w:rPr>
            </w:pPr>
          </w:p>
        </w:tc>
        <w:tc>
          <w:tcPr>
            <w:tcW w:w="1540" w:type="pct"/>
            <w:vAlign w:val="center"/>
          </w:tcPr>
          <w:p w14:paraId="5E3BBEEA">
            <w:pPr>
              <w:jc w:val="center"/>
              <w:rPr>
                <w:color w:val="auto"/>
                <w:sz w:val="24"/>
                <w:szCs w:val="24"/>
                <w:highlight w:val="none"/>
              </w:rPr>
            </w:pPr>
          </w:p>
        </w:tc>
        <w:tc>
          <w:tcPr>
            <w:tcW w:w="1600" w:type="pct"/>
            <w:vAlign w:val="center"/>
          </w:tcPr>
          <w:p w14:paraId="488E6729">
            <w:pPr>
              <w:jc w:val="center"/>
              <w:rPr>
                <w:color w:val="auto"/>
                <w:sz w:val="24"/>
                <w:szCs w:val="24"/>
                <w:highlight w:val="none"/>
              </w:rPr>
            </w:pPr>
          </w:p>
        </w:tc>
        <w:tc>
          <w:tcPr>
            <w:tcW w:w="1199" w:type="pct"/>
            <w:vAlign w:val="center"/>
          </w:tcPr>
          <w:p w14:paraId="1D3919BD">
            <w:pPr>
              <w:jc w:val="center"/>
              <w:rPr>
                <w:color w:val="auto"/>
                <w:sz w:val="24"/>
                <w:szCs w:val="24"/>
                <w:highlight w:val="none"/>
              </w:rPr>
            </w:pPr>
          </w:p>
        </w:tc>
      </w:tr>
      <w:tr w14:paraId="230BB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14E6B41C">
            <w:pPr>
              <w:jc w:val="center"/>
              <w:rPr>
                <w:color w:val="auto"/>
                <w:sz w:val="24"/>
                <w:szCs w:val="24"/>
                <w:highlight w:val="none"/>
              </w:rPr>
            </w:pPr>
          </w:p>
        </w:tc>
        <w:tc>
          <w:tcPr>
            <w:tcW w:w="1540" w:type="pct"/>
            <w:vAlign w:val="center"/>
          </w:tcPr>
          <w:p w14:paraId="5BBC7DB6">
            <w:pPr>
              <w:jc w:val="center"/>
              <w:rPr>
                <w:color w:val="auto"/>
                <w:sz w:val="24"/>
                <w:szCs w:val="24"/>
                <w:highlight w:val="none"/>
              </w:rPr>
            </w:pPr>
          </w:p>
        </w:tc>
        <w:tc>
          <w:tcPr>
            <w:tcW w:w="1600" w:type="pct"/>
            <w:vAlign w:val="center"/>
          </w:tcPr>
          <w:p w14:paraId="24B3DD11">
            <w:pPr>
              <w:jc w:val="center"/>
              <w:rPr>
                <w:color w:val="auto"/>
                <w:sz w:val="24"/>
                <w:szCs w:val="24"/>
                <w:highlight w:val="none"/>
              </w:rPr>
            </w:pPr>
          </w:p>
        </w:tc>
        <w:tc>
          <w:tcPr>
            <w:tcW w:w="1199" w:type="pct"/>
            <w:vAlign w:val="center"/>
          </w:tcPr>
          <w:p w14:paraId="2C727C7C">
            <w:pPr>
              <w:jc w:val="center"/>
              <w:rPr>
                <w:color w:val="auto"/>
                <w:sz w:val="24"/>
                <w:szCs w:val="24"/>
                <w:highlight w:val="none"/>
              </w:rPr>
            </w:pPr>
          </w:p>
        </w:tc>
      </w:tr>
      <w:tr w14:paraId="23A51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447B3853">
            <w:pPr>
              <w:jc w:val="center"/>
              <w:rPr>
                <w:color w:val="auto"/>
                <w:sz w:val="24"/>
                <w:szCs w:val="24"/>
                <w:highlight w:val="none"/>
              </w:rPr>
            </w:pPr>
          </w:p>
        </w:tc>
        <w:tc>
          <w:tcPr>
            <w:tcW w:w="1540" w:type="pct"/>
            <w:vAlign w:val="center"/>
          </w:tcPr>
          <w:p w14:paraId="658DDD9A">
            <w:pPr>
              <w:jc w:val="center"/>
              <w:rPr>
                <w:color w:val="auto"/>
                <w:sz w:val="24"/>
                <w:szCs w:val="24"/>
                <w:highlight w:val="none"/>
              </w:rPr>
            </w:pPr>
          </w:p>
        </w:tc>
        <w:tc>
          <w:tcPr>
            <w:tcW w:w="1600" w:type="pct"/>
            <w:vAlign w:val="center"/>
          </w:tcPr>
          <w:p w14:paraId="265699C5">
            <w:pPr>
              <w:jc w:val="center"/>
              <w:rPr>
                <w:color w:val="auto"/>
                <w:sz w:val="24"/>
                <w:szCs w:val="24"/>
                <w:highlight w:val="none"/>
              </w:rPr>
            </w:pPr>
          </w:p>
        </w:tc>
        <w:tc>
          <w:tcPr>
            <w:tcW w:w="1199" w:type="pct"/>
            <w:vAlign w:val="center"/>
          </w:tcPr>
          <w:p w14:paraId="1D098040">
            <w:pPr>
              <w:jc w:val="center"/>
              <w:rPr>
                <w:color w:val="auto"/>
                <w:sz w:val="24"/>
                <w:szCs w:val="24"/>
                <w:highlight w:val="none"/>
              </w:rPr>
            </w:pPr>
          </w:p>
        </w:tc>
      </w:tr>
      <w:tr w14:paraId="24B38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288322E4">
            <w:pPr>
              <w:jc w:val="center"/>
              <w:rPr>
                <w:color w:val="auto"/>
                <w:sz w:val="24"/>
                <w:szCs w:val="24"/>
                <w:highlight w:val="none"/>
              </w:rPr>
            </w:pPr>
          </w:p>
        </w:tc>
        <w:tc>
          <w:tcPr>
            <w:tcW w:w="1540" w:type="pct"/>
            <w:vAlign w:val="center"/>
          </w:tcPr>
          <w:p w14:paraId="4491056C">
            <w:pPr>
              <w:jc w:val="center"/>
              <w:rPr>
                <w:color w:val="auto"/>
                <w:sz w:val="24"/>
                <w:szCs w:val="24"/>
                <w:highlight w:val="none"/>
              </w:rPr>
            </w:pPr>
          </w:p>
        </w:tc>
        <w:tc>
          <w:tcPr>
            <w:tcW w:w="1600" w:type="pct"/>
            <w:vAlign w:val="center"/>
          </w:tcPr>
          <w:p w14:paraId="16BBEA1E">
            <w:pPr>
              <w:jc w:val="center"/>
              <w:rPr>
                <w:color w:val="auto"/>
                <w:sz w:val="24"/>
                <w:szCs w:val="24"/>
                <w:highlight w:val="none"/>
              </w:rPr>
            </w:pPr>
          </w:p>
        </w:tc>
        <w:tc>
          <w:tcPr>
            <w:tcW w:w="1199" w:type="pct"/>
            <w:vAlign w:val="center"/>
          </w:tcPr>
          <w:p w14:paraId="2B28F408">
            <w:pPr>
              <w:jc w:val="center"/>
              <w:rPr>
                <w:color w:val="auto"/>
                <w:sz w:val="24"/>
                <w:szCs w:val="24"/>
                <w:highlight w:val="none"/>
              </w:rPr>
            </w:pPr>
          </w:p>
        </w:tc>
      </w:tr>
      <w:tr w14:paraId="3BF06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0416E0B1">
            <w:pPr>
              <w:jc w:val="center"/>
              <w:rPr>
                <w:color w:val="auto"/>
                <w:sz w:val="24"/>
                <w:szCs w:val="24"/>
                <w:highlight w:val="none"/>
              </w:rPr>
            </w:pPr>
          </w:p>
        </w:tc>
        <w:tc>
          <w:tcPr>
            <w:tcW w:w="1540" w:type="pct"/>
            <w:vAlign w:val="center"/>
          </w:tcPr>
          <w:p w14:paraId="107F536D">
            <w:pPr>
              <w:jc w:val="center"/>
              <w:rPr>
                <w:color w:val="auto"/>
                <w:sz w:val="24"/>
                <w:szCs w:val="24"/>
                <w:highlight w:val="none"/>
              </w:rPr>
            </w:pPr>
          </w:p>
        </w:tc>
        <w:tc>
          <w:tcPr>
            <w:tcW w:w="1600" w:type="pct"/>
            <w:vAlign w:val="center"/>
          </w:tcPr>
          <w:p w14:paraId="720780A3">
            <w:pPr>
              <w:jc w:val="center"/>
              <w:rPr>
                <w:color w:val="auto"/>
                <w:sz w:val="24"/>
                <w:szCs w:val="24"/>
                <w:highlight w:val="none"/>
              </w:rPr>
            </w:pPr>
          </w:p>
        </w:tc>
        <w:tc>
          <w:tcPr>
            <w:tcW w:w="1199" w:type="pct"/>
            <w:vAlign w:val="center"/>
          </w:tcPr>
          <w:p w14:paraId="7D9F16A2">
            <w:pPr>
              <w:jc w:val="center"/>
              <w:rPr>
                <w:color w:val="auto"/>
                <w:sz w:val="24"/>
                <w:szCs w:val="24"/>
                <w:highlight w:val="none"/>
              </w:rPr>
            </w:pPr>
          </w:p>
        </w:tc>
      </w:tr>
      <w:tr w14:paraId="00894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9" w:hRule="atLeast"/>
          <w:jc w:val="center"/>
        </w:trPr>
        <w:tc>
          <w:tcPr>
            <w:tcW w:w="660" w:type="pct"/>
            <w:vAlign w:val="center"/>
          </w:tcPr>
          <w:p w14:paraId="0D6D5465">
            <w:pPr>
              <w:jc w:val="center"/>
              <w:rPr>
                <w:color w:val="auto"/>
                <w:sz w:val="24"/>
                <w:szCs w:val="24"/>
                <w:highlight w:val="none"/>
              </w:rPr>
            </w:pPr>
          </w:p>
        </w:tc>
        <w:tc>
          <w:tcPr>
            <w:tcW w:w="1540" w:type="pct"/>
            <w:vAlign w:val="center"/>
          </w:tcPr>
          <w:p w14:paraId="6521B58A">
            <w:pPr>
              <w:jc w:val="center"/>
              <w:rPr>
                <w:color w:val="auto"/>
                <w:sz w:val="24"/>
                <w:szCs w:val="24"/>
                <w:highlight w:val="none"/>
              </w:rPr>
            </w:pPr>
          </w:p>
        </w:tc>
        <w:tc>
          <w:tcPr>
            <w:tcW w:w="1600" w:type="pct"/>
            <w:vAlign w:val="center"/>
          </w:tcPr>
          <w:p w14:paraId="48E93035">
            <w:pPr>
              <w:jc w:val="center"/>
              <w:rPr>
                <w:color w:val="auto"/>
                <w:sz w:val="24"/>
                <w:szCs w:val="24"/>
                <w:highlight w:val="none"/>
              </w:rPr>
            </w:pPr>
          </w:p>
        </w:tc>
        <w:tc>
          <w:tcPr>
            <w:tcW w:w="1199" w:type="pct"/>
            <w:vAlign w:val="center"/>
          </w:tcPr>
          <w:p w14:paraId="17D998DA">
            <w:pPr>
              <w:jc w:val="center"/>
              <w:rPr>
                <w:color w:val="auto"/>
                <w:sz w:val="24"/>
                <w:szCs w:val="24"/>
                <w:highlight w:val="none"/>
              </w:rPr>
            </w:pPr>
          </w:p>
        </w:tc>
      </w:tr>
      <w:tr w14:paraId="68590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9" w:hRule="atLeast"/>
          <w:jc w:val="center"/>
        </w:trPr>
        <w:tc>
          <w:tcPr>
            <w:tcW w:w="660" w:type="pct"/>
            <w:vAlign w:val="center"/>
          </w:tcPr>
          <w:p w14:paraId="7CDF958A">
            <w:pPr>
              <w:jc w:val="center"/>
              <w:rPr>
                <w:color w:val="auto"/>
                <w:sz w:val="24"/>
                <w:szCs w:val="24"/>
                <w:highlight w:val="none"/>
              </w:rPr>
            </w:pPr>
          </w:p>
        </w:tc>
        <w:tc>
          <w:tcPr>
            <w:tcW w:w="1540" w:type="pct"/>
            <w:vAlign w:val="center"/>
          </w:tcPr>
          <w:p w14:paraId="4EE1BFF3">
            <w:pPr>
              <w:jc w:val="center"/>
              <w:rPr>
                <w:color w:val="auto"/>
                <w:sz w:val="24"/>
                <w:szCs w:val="24"/>
                <w:highlight w:val="none"/>
              </w:rPr>
            </w:pPr>
          </w:p>
        </w:tc>
        <w:tc>
          <w:tcPr>
            <w:tcW w:w="1600" w:type="pct"/>
            <w:vAlign w:val="center"/>
          </w:tcPr>
          <w:p w14:paraId="3A65096B">
            <w:pPr>
              <w:jc w:val="center"/>
              <w:rPr>
                <w:color w:val="auto"/>
                <w:sz w:val="24"/>
                <w:szCs w:val="24"/>
                <w:highlight w:val="none"/>
              </w:rPr>
            </w:pPr>
          </w:p>
        </w:tc>
        <w:tc>
          <w:tcPr>
            <w:tcW w:w="1199" w:type="pct"/>
            <w:vAlign w:val="center"/>
          </w:tcPr>
          <w:p w14:paraId="2DFB7D6A">
            <w:pPr>
              <w:jc w:val="center"/>
              <w:rPr>
                <w:color w:val="auto"/>
                <w:sz w:val="24"/>
                <w:szCs w:val="24"/>
                <w:highlight w:val="none"/>
              </w:rPr>
            </w:pPr>
          </w:p>
        </w:tc>
      </w:tr>
    </w:tbl>
    <w:p w14:paraId="1B05BD32">
      <w:pPr>
        <w:spacing w:line="480" w:lineRule="atLeast"/>
        <w:rPr>
          <w:rFonts w:cs="宋体"/>
          <w:color w:val="auto"/>
          <w:highlight w:val="none"/>
        </w:rPr>
      </w:pPr>
    </w:p>
    <w:p w14:paraId="7130F7D6">
      <w:pPr>
        <w:spacing w:line="480" w:lineRule="atLeast"/>
        <w:rPr>
          <w:rFonts w:cs="宋体"/>
          <w:color w:val="auto"/>
          <w:sz w:val="24"/>
          <w:szCs w:val="18"/>
          <w:highlight w:val="none"/>
        </w:rPr>
      </w:pPr>
      <w:r>
        <w:rPr>
          <w:rFonts w:hint="eastAsia" w:cs="宋体"/>
          <w:color w:val="auto"/>
          <w:sz w:val="24"/>
          <w:szCs w:val="18"/>
          <w:highlight w:val="none"/>
        </w:rPr>
        <w:t>供应商名称（公章）：                      法定代表人或授权代表（签署或盖章）：</w:t>
      </w:r>
    </w:p>
    <w:p w14:paraId="3FC20B44">
      <w:pPr>
        <w:spacing w:line="480" w:lineRule="atLeast"/>
        <w:ind w:firstLine="480"/>
        <w:jc w:val="right"/>
        <w:rPr>
          <w:rFonts w:cs="宋体"/>
          <w:color w:val="auto"/>
          <w:sz w:val="24"/>
          <w:szCs w:val="18"/>
          <w:highlight w:val="none"/>
        </w:rPr>
      </w:pPr>
    </w:p>
    <w:p w14:paraId="1169FA1D">
      <w:pPr>
        <w:spacing w:line="480" w:lineRule="atLeast"/>
        <w:ind w:firstLine="480"/>
        <w:jc w:val="right"/>
        <w:rPr>
          <w:rFonts w:cs="宋体"/>
          <w:color w:val="auto"/>
          <w:highlight w:val="none"/>
        </w:rPr>
      </w:pPr>
      <w:r>
        <w:rPr>
          <w:rFonts w:hint="eastAsia" w:cs="宋体"/>
          <w:color w:val="auto"/>
          <w:highlight w:val="none"/>
        </w:rPr>
        <w:t>年  月  日</w:t>
      </w:r>
    </w:p>
    <w:p w14:paraId="7C039AB9">
      <w:pPr>
        <w:pStyle w:val="38"/>
        <w:spacing w:line="480" w:lineRule="atLeast"/>
        <w:rPr>
          <w:rFonts w:eastAsia="宋体" w:cs="宋体"/>
          <w:color w:val="auto"/>
          <w:sz w:val="21"/>
          <w:szCs w:val="21"/>
          <w:highlight w:val="none"/>
        </w:rPr>
      </w:pPr>
      <w:r>
        <w:rPr>
          <w:rFonts w:hint="eastAsia" w:eastAsia="宋体" w:cs="宋体"/>
          <w:color w:val="auto"/>
          <w:sz w:val="21"/>
          <w:szCs w:val="21"/>
          <w:highlight w:val="none"/>
        </w:rPr>
        <w:t>注：</w:t>
      </w:r>
    </w:p>
    <w:p w14:paraId="78D4F1DB">
      <w:pPr>
        <w:spacing w:line="480" w:lineRule="atLeast"/>
        <w:rPr>
          <w:rFonts w:cs="宋体"/>
          <w:color w:val="auto"/>
          <w:sz w:val="21"/>
          <w:szCs w:val="21"/>
          <w:highlight w:val="none"/>
        </w:rPr>
      </w:pPr>
      <w:r>
        <w:rPr>
          <w:rFonts w:hint="eastAsia" w:cs="宋体"/>
          <w:color w:val="auto"/>
          <w:sz w:val="21"/>
          <w:szCs w:val="21"/>
          <w:highlight w:val="none"/>
        </w:rPr>
        <w:t>1.本表即为对本项目“第二篇”中技术要求进行比较和响应；</w:t>
      </w:r>
    </w:p>
    <w:p w14:paraId="148C63C1">
      <w:pPr>
        <w:spacing w:line="480" w:lineRule="atLeast"/>
        <w:rPr>
          <w:rFonts w:cs="宋体"/>
          <w:color w:val="auto"/>
          <w:sz w:val="21"/>
          <w:szCs w:val="21"/>
          <w:highlight w:val="none"/>
        </w:rPr>
      </w:pPr>
      <w:r>
        <w:rPr>
          <w:rFonts w:hint="eastAsia" w:cs="宋体"/>
          <w:color w:val="auto"/>
          <w:sz w:val="21"/>
          <w:szCs w:val="21"/>
          <w:highlight w:val="none"/>
        </w:rPr>
        <w:t>2.该表必须按照竞采文件要求如实填写，根据响应情况在“差异说明”项填写“无差异”或正负偏离说明，※条款不得负偏离响应，否则作无效响应处理；</w:t>
      </w:r>
    </w:p>
    <w:p w14:paraId="3E6844E2">
      <w:pPr>
        <w:spacing w:line="480" w:lineRule="atLeast"/>
        <w:rPr>
          <w:rFonts w:cs="宋体"/>
          <w:color w:val="auto"/>
          <w:sz w:val="21"/>
          <w:szCs w:val="21"/>
          <w:highlight w:val="none"/>
        </w:rPr>
      </w:pPr>
      <w:r>
        <w:rPr>
          <w:rFonts w:hint="eastAsia" w:cs="宋体"/>
          <w:color w:val="auto"/>
          <w:sz w:val="21"/>
          <w:szCs w:val="21"/>
          <w:highlight w:val="none"/>
        </w:rPr>
        <w:t>3.该表可扩展；</w:t>
      </w:r>
    </w:p>
    <w:p w14:paraId="77D6A9A1">
      <w:pPr>
        <w:spacing w:line="480" w:lineRule="atLeast"/>
        <w:rPr>
          <w:rFonts w:cs="宋体"/>
          <w:color w:val="auto"/>
          <w:sz w:val="21"/>
          <w:szCs w:val="21"/>
          <w:highlight w:val="none"/>
        </w:rPr>
      </w:pPr>
      <w:r>
        <w:rPr>
          <w:rFonts w:hint="eastAsia" w:cs="宋体"/>
          <w:color w:val="auto"/>
          <w:sz w:val="21"/>
          <w:szCs w:val="21"/>
          <w:highlight w:val="none"/>
        </w:rPr>
        <w:t>4.可附相关技术支撑材料。（如有，格式自定。）</w:t>
      </w:r>
    </w:p>
    <w:p w14:paraId="1D1EA8D7">
      <w:pPr>
        <w:rPr>
          <w:rFonts w:cs="宋体"/>
          <w:color w:val="auto"/>
          <w:szCs w:val="28"/>
          <w:highlight w:val="none"/>
        </w:rPr>
      </w:pPr>
      <w:r>
        <w:rPr>
          <w:rFonts w:hint="eastAsia" w:cs="宋体"/>
          <w:color w:val="auto"/>
          <w:szCs w:val="28"/>
          <w:highlight w:val="none"/>
        </w:rPr>
        <w:br w:type="page"/>
      </w:r>
    </w:p>
    <w:p w14:paraId="316F5404">
      <w:pPr>
        <w:rPr>
          <w:rFonts w:cs="宋体"/>
          <w:b/>
          <w:bCs/>
          <w:color w:val="auto"/>
          <w:highlight w:val="none"/>
        </w:rPr>
      </w:pPr>
      <w:bookmarkStart w:id="380" w:name="_Toc13717"/>
      <w:r>
        <w:rPr>
          <w:rFonts w:hint="eastAsia" w:cs="宋体"/>
          <w:b/>
          <w:bCs/>
          <w:color w:val="auto"/>
          <w:highlight w:val="none"/>
        </w:rPr>
        <w:t>（二）其他</w:t>
      </w:r>
      <w:bookmarkEnd w:id="380"/>
      <w:r>
        <w:rPr>
          <w:rFonts w:hint="eastAsia" w:cs="宋体"/>
          <w:b/>
          <w:bCs/>
          <w:color w:val="auto"/>
          <w:highlight w:val="none"/>
        </w:rPr>
        <w:t>服务部分相关资料（自拟）</w:t>
      </w:r>
    </w:p>
    <w:p w14:paraId="1D4CA50E">
      <w:pPr>
        <w:spacing w:line="480" w:lineRule="atLeast"/>
        <w:rPr>
          <w:rFonts w:cs="宋体"/>
          <w:b/>
          <w:bCs/>
          <w:color w:val="auto"/>
          <w:highlight w:val="none"/>
        </w:rPr>
      </w:pPr>
      <w:r>
        <w:rPr>
          <w:rFonts w:hint="eastAsia" w:cs="宋体"/>
          <w:b/>
          <w:bCs/>
          <w:color w:val="auto"/>
          <w:highlight w:val="none"/>
        </w:rPr>
        <w:br w:type="page"/>
      </w:r>
      <w:bookmarkStart w:id="381" w:name="_Toc18349"/>
      <w:bookmarkStart w:id="382" w:name="_Toc5262"/>
      <w:bookmarkStart w:id="383" w:name="_Toc2630"/>
      <w:bookmarkStart w:id="384" w:name="_Toc27337"/>
      <w:bookmarkStart w:id="385" w:name="_Toc16264"/>
    </w:p>
    <w:p w14:paraId="2F2451B1">
      <w:pPr>
        <w:pStyle w:val="4"/>
        <w:spacing w:before="192"/>
        <w:ind w:firstLine="562"/>
        <w:rPr>
          <w:rFonts w:ascii="Times New Roman" w:hAnsi="Times New Roman" w:cs="宋体"/>
          <w:color w:val="auto"/>
          <w:highlight w:val="none"/>
        </w:rPr>
      </w:pPr>
      <w:bookmarkStart w:id="386" w:name="_Toc17521"/>
      <w:bookmarkStart w:id="387" w:name="_Toc28286"/>
      <w:bookmarkStart w:id="388" w:name="_Toc12163"/>
      <w:bookmarkStart w:id="389" w:name="_Toc12301"/>
      <w:r>
        <w:rPr>
          <w:rFonts w:hint="eastAsia" w:ascii="Times New Roman" w:hAnsi="Times New Roman" w:cs="宋体"/>
          <w:color w:val="auto"/>
          <w:highlight w:val="none"/>
        </w:rPr>
        <w:t>四、</w:t>
      </w:r>
      <w:bookmarkEnd w:id="381"/>
      <w:bookmarkEnd w:id="382"/>
      <w:bookmarkEnd w:id="383"/>
      <w:bookmarkEnd w:id="384"/>
      <w:bookmarkEnd w:id="385"/>
      <w:bookmarkEnd w:id="386"/>
      <w:bookmarkEnd w:id="387"/>
      <w:r>
        <w:rPr>
          <w:rFonts w:hint="eastAsia" w:ascii="Times New Roman" w:hAnsi="Times New Roman" w:cs="宋体"/>
          <w:color w:val="auto"/>
          <w:highlight w:val="none"/>
        </w:rPr>
        <w:t>商务部分</w:t>
      </w:r>
      <w:bookmarkEnd w:id="388"/>
      <w:bookmarkEnd w:id="389"/>
    </w:p>
    <w:p w14:paraId="5C95D8CB">
      <w:pPr>
        <w:rPr>
          <w:b/>
          <w:bCs/>
          <w:color w:val="auto"/>
          <w:highlight w:val="none"/>
        </w:rPr>
      </w:pPr>
    </w:p>
    <w:p w14:paraId="4EA6CDA8">
      <w:pPr>
        <w:rPr>
          <w:b/>
          <w:bCs/>
          <w:color w:val="auto"/>
          <w:highlight w:val="none"/>
        </w:rPr>
      </w:pPr>
      <w:r>
        <w:rPr>
          <w:rFonts w:hint="eastAsia"/>
          <w:b/>
          <w:bCs/>
          <w:color w:val="auto"/>
          <w:highlight w:val="none"/>
        </w:rPr>
        <w:t>（一）投标函</w:t>
      </w:r>
    </w:p>
    <w:p w14:paraId="23D2FEC1">
      <w:pPr>
        <w:spacing w:line="480" w:lineRule="atLeast"/>
        <w:ind w:firstLine="560" w:firstLineChars="200"/>
        <w:rPr>
          <w:rFonts w:hint="default" w:eastAsia="宋体" w:cs="宋体"/>
          <w:color w:val="auto"/>
          <w:szCs w:val="28"/>
          <w:highlight w:val="none"/>
          <w:u w:val="single"/>
          <w:lang w:val="en-US" w:eastAsia="zh-CN"/>
        </w:rPr>
      </w:pPr>
      <w:r>
        <w:rPr>
          <w:rFonts w:hint="eastAsia" w:cs="宋体"/>
          <w:color w:val="auto"/>
          <w:szCs w:val="28"/>
          <w:highlight w:val="none"/>
        </w:rPr>
        <w:t>项目名称：</w:t>
      </w:r>
      <w:r>
        <w:rPr>
          <w:rFonts w:hint="eastAsia" w:cs="宋体"/>
          <w:color w:val="auto"/>
          <w:szCs w:val="28"/>
          <w:highlight w:val="none"/>
          <w:u w:val="single"/>
          <w:lang w:val="en-US" w:eastAsia="zh-CN"/>
        </w:rPr>
        <w:t xml:space="preserve">                      .</w:t>
      </w:r>
    </w:p>
    <w:p w14:paraId="25F3391B">
      <w:pPr>
        <w:tabs>
          <w:tab w:val="left" w:pos="6300"/>
        </w:tabs>
        <w:snapToGrid w:val="0"/>
        <w:spacing w:line="480" w:lineRule="atLeast"/>
        <w:rPr>
          <w:rFonts w:cs="宋体"/>
          <w:color w:val="auto"/>
          <w:szCs w:val="28"/>
          <w:highlight w:val="none"/>
          <w:u w:val="single"/>
        </w:rPr>
      </w:pPr>
      <w:r>
        <w:rPr>
          <w:rFonts w:hint="eastAsia" w:cs="宋体"/>
          <w:color w:val="auto"/>
          <w:szCs w:val="28"/>
          <w:highlight w:val="none"/>
        </w:rPr>
        <w:t>致：</w:t>
      </w:r>
      <w:r>
        <w:rPr>
          <w:rFonts w:hint="eastAsia" w:cs="宋体"/>
          <w:color w:val="auto"/>
          <w:szCs w:val="28"/>
          <w:highlight w:val="none"/>
          <w:u w:val="single"/>
          <w:lang w:val="en-US" w:eastAsia="zh-CN"/>
        </w:rPr>
        <w:t xml:space="preserve">             </w:t>
      </w:r>
      <w:r>
        <w:rPr>
          <w:rFonts w:hint="eastAsia" w:cs="宋体"/>
          <w:color w:val="auto"/>
          <w:szCs w:val="28"/>
          <w:highlight w:val="none"/>
          <w:u w:val="single"/>
        </w:rPr>
        <w:t>（采购人或代理机构名称）</w:t>
      </w:r>
    </w:p>
    <w:p w14:paraId="7E3F22D3">
      <w:pPr>
        <w:snapToGrid w:val="0"/>
        <w:spacing w:line="480" w:lineRule="atLeast"/>
        <w:ind w:firstLine="560" w:firstLineChars="200"/>
        <w:jc w:val="left"/>
        <w:rPr>
          <w:rFonts w:cs="宋体"/>
          <w:color w:val="auto"/>
          <w:szCs w:val="28"/>
          <w:highlight w:val="none"/>
        </w:rPr>
      </w:pPr>
      <w:r>
        <w:rPr>
          <w:rFonts w:hint="eastAsia" w:cs="宋体"/>
          <w:color w:val="auto"/>
          <w:szCs w:val="28"/>
          <w:highlight w:val="none"/>
          <w:u w:val="single"/>
        </w:rPr>
        <w:t>（供应商名称）</w:t>
      </w:r>
      <w:r>
        <w:rPr>
          <w:rFonts w:hint="eastAsia" w:cs="宋体"/>
          <w:color w:val="auto"/>
          <w:szCs w:val="28"/>
          <w:highlight w:val="none"/>
          <w:u w:val="single"/>
          <w:lang w:val="en-US" w:eastAsia="zh-CN"/>
        </w:rPr>
        <w:t xml:space="preserve">          </w:t>
      </w:r>
      <w:r>
        <w:rPr>
          <w:rFonts w:hint="eastAsia" w:cs="宋体"/>
          <w:color w:val="auto"/>
          <w:szCs w:val="28"/>
          <w:highlight w:val="none"/>
        </w:rPr>
        <w:t>，</w:t>
      </w:r>
      <w:r>
        <w:rPr>
          <w:rFonts w:hint="eastAsia" w:cs="宋体"/>
          <w:color w:val="auto"/>
          <w:szCs w:val="28"/>
          <w:highlight w:val="none"/>
          <w:u w:val="single"/>
        </w:rPr>
        <w:t>注册地址：</w:t>
      </w:r>
      <w:r>
        <w:rPr>
          <w:rFonts w:hint="eastAsia" w:cs="宋体"/>
          <w:color w:val="auto"/>
          <w:szCs w:val="28"/>
          <w:highlight w:val="none"/>
          <w:u w:val="single"/>
          <w:lang w:val="en-US" w:eastAsia="zh-CN"/>
        </w:rPr>
        <w:t xml:space="preserve">             </w:t>
      </w:r>
      <w:r>
        <w:rPr>
          <w:rFonts w:hint="eastAsia" w:cs="宋体"/>
          <w:color w:val="auto"/>
          <w:szCs w:val="28"/>
          <w:highlight w:val="none"/>
        </w:rPr>
        <w:t>。我方就参加本次采购有关事项郑重声明如下：</w:t>
      </w:r>
    </w:p>
    <w:p w14:paraId="79104C5E">
      <w:pPr>
        <w:snapToGrid w:val="0"/>
        <w:spacing w:line="480" w:lineRule="atLeast"/>
        <w:ind w:firstLine="560" w:firstLineChars="200"/>
        <w:rPr>
          <w:rFonts w:cs="宋体"/>
          <w:color w:val="auto"/>
          <w:szCs w:val="28"/>
          <w:highlight w:val="none"/>
        </w:rPr>
      </w:pPr>
      <w:bookmarkStart w:id="390" w:name="_Toc15412"/>
      <w:bookmarkStart w:id="391" w:name="_Toc8065"/>
      <w:r>
        <w:rPr>
          <w:rFonts w:hint="eastAsia" w:cs="宋体"/>
          <w:color w:val="auto"/>
          <w:szCs w:val="28"/>
          <w:highlight w:val="none"/>
        </w:rPr>
        <w:t>一、我方完全理解并接受该项目竞采文件所有要求。</w:t>
      </w:r>
      <w:bookmarkEnd w:id="390"/>
      <w:bookmarkEnd w:id="391"/>
    </w:p>
    <w:p w14:paraId="476A992D">
      <w:pPr>
        <w:snapToGrid w:val="0"/>
        <w:spacing w:line="480" w:lineRule="atLeast"/>
        <w:ind w:firstLine="560" w:firstLineChars="200"/>
        <w:rPr>
          <w:rFonts w:cs="宋体"/>
          <w:color w:val="auto"/>
          <w:szCs w:val="28"/>
          <w:highlight w:val="none"/>
        </w:rPr>
      </w:pPr>
      <w:r>
        <w:rPr>
          <w:rFonts w:hint="eastAsia" w:cs="宋体"/>
          <w:color w:val="auto"/>
          <w:szCs w:val="28"/>
          <w:highlight w:val="none"/>
        </w:rPr>
        <w:t>二、我方提交的所有响应文件、资料都是准确和真实的，如有虚假或隐瞒，我方愿意承担一切法律责任。</w:t>
      </w:r>
    </w:p>
    <w:p w14:paraId="03FA191C">
      <w:pPr>
        <w:snapToGrid w:val="0"/>
        <w:spacing w:line="480" w:lineRule="atLeast"/>
        <w:ind w:firstLine="560" w:firstLineChars="200"/>
        <w:rPr>
          <w:rFonts w:cs="宋体"/>
          <w:color w:val="auto"/>
          <w:szCs w:val="28"/>
          <w:highlight w:val="none"/>
        </w:rPr>
      </w:pPr>
      <w:r>
        <w:rPr>
          <w:rFonts w:hint="eastAsia" w:cs="宋体"/>
          <w:color w:val="auto"/>
          <w:szCs w:val="28"/>
          <w:highlight w:val="none"/>
        </w:rPr>
        <w:t>三、我方承诺按照竞采文件要求，提供本项目的工作。</w:t>
      </w:r>
    </w:p>
    <w:p w14:paraId="317E5F4F">
      <w:pPr>
        <w:snapToGrid w:val="0"/>
        <w:spacing w:line="480" w:lineRule="atLeast"/>
        <w:ind w:firstLine="560" w:firstLineChars="200"/>
        <w:rPr>
          <w:rFonts w:cs="宋体"/>
          <w:color w:val="auto"/>
          <w:szCs w:val="28"/>
          <w:highlight w:val="none"/>
        </w:rPr>
      </w:pPr>
      <w:bookmarkStart w:id="392" w:name="_Toc10192"/>
      <w:bookmarkStart w:id="393" w:name="_Toc5527"/>
      <w:r>
        <w:rPr>
          <w:rFonts w:hint="eastAsia" w:cs="宋体"/>
          <w:color w:val="auto"/>
          <w:szCs w:val="28"/>
          <w:highlight w:val="none"/>
          <w:lang w:val="en-US" w:eastAsia="zh-CN"/>
        </w:rPr>
        <w:t>四</w:t>
      </w:r>
      <w:r>
        <w:rPr>
          <w:rFonts w:hint="eastAsia" w:cs="宋体"/>
          <w:color w:val="auto"/>
          <w:szCs w:val="28"/>
          <w:highlight w:val="none"/>
        </w:rPr>
        <w:t>、我方承诺：本次竞采有效期为递交响应文件截止起90天。</w:t>
      </w:r>
      <w:bookmarkEnd w:id="392"/>
      <w:bookmarkEnd w:id="393"/>
    </w:p>
    <w:p w14:paraId="17E99C8E">
      <w:pPr>
        <w:snapToGrid w:val="0"/>
        <w:spacing w:line="480" w:lineRule="atLeast"/>
        <w:ind w:firstLine="562" w:firstLineChars="200"/>
        <w:rPr>
          <w:rFonts w:cs="宋体"/>
          <w:b/>
          <w:bCs/>
          <w:color w:val="auto"/>
          <w:szCs w:val="28"/>
          <w:highlight w:val="none"/>
        </w:rPr>
      </w:pPr>
      <w:r>
        <w:rPr>
          <w:rFonts w:hint="eastAsia" w:cs="宋体"/>
          <w:b/>
          <w:bCs/>
          <w:color w:val="auto"/>
          <w:szCs w:val="28"/>
          <w:highlight w:val="none"/>
          <w:lang w:val="en-US" w:eastAsia="zh-CN"/>
        </w:rPr>
        <w:t>五</w:t>
      </w:r>
      <w:r>
        <w:rPr>
          <w:rFonts w:hint="eastAsia" w:cs="宋体"/>
          <w:b/>
          <w:bCs/>
          <w:color w:val="auto"/>
          <w:szCs w:val="28"/>
          <w:highlight w:val="none"/>
        </w:rPr>
        <w:t>、我方报价中的报价为闭口价，即在竞采有效期和合同有效期内，报价不变。</w:t>
      </w:r>
    </w:p>
    <w:p w14:paraId="32DB6BA1">
      <w:pPr>
        <w:snapToGrid w:val="0"/>
        <w:spacing w:line="480" w:lineRule="atLeast"/>
        <w:ind w:firstLine="560" w:firstLineChars="200"/>
        <w:rPr>
          <w:rFonts w:cs="宋体"/>
          <w:color w:val="auto"/>
          <w:szCs w:val="28"/>
          <w:highlight w:val="none"/>
        </w:rPr>
      </w:pPr>
      <w:r>
        <w:rPr>
          <w:rFonts w:hint="eastAsia" w:cs="宋体"/>
          <w:color w:val="auto"/>
          <w:szCs w:val="28"/>
          <w:highlight w:val="none"/>
          <w:lang w:val="en-US" w:eastAsia="zh-CN"/>
        </w:rPr>
        <w:t>六</w:t>
      </w:r>
      <w:r>
        <w:rPr>
          <w:rFonts w:hint="eastAsia" w:cs="宋体"/>
          <w:color w:val="auto"/>
          <w:szCs w:val="28"/>
          <w:highlight w:val="none"/>
        </w:rPr>
        <w:t>、如果我方成为成交供应商，我方将履行竞采文件中规定的各项要求以及我方响应文件的各项承诺，按相关法律法规及合同约定条款承担我方责任。</w:t>
      </w:r>
    </w:p>
    <w:p w14:paraId="5E0FFD6F">
      <w:pPr>
        <w:snapToGrid w:val="0"/>
        <w:spacing w:line="480" w:lineRule="atLeast"/>
        <w:ind w:firstLine="560" w:firstLineChars="200"/>
        <w:rPr>
          <w:rFonts w:cs="宋体"/>
          <w:color w:val="auto"/>
          <w:szCs w:val="28"/>
          <w:highlight w:val="none"/>
        </w:rPr>
      </w:pPr>
      <w:r>
        <w:rPr>
          <w:rFonts w:hint="eastAsia" w:cs="宋体"/>
          <w:color w:val="auto"/>
          <w:szCs w:val="28"/>
          <w:highlight w:val="none"/>
          <w:lang w:val="en-US" w:eastAsia="zh-CN"/>
        </w:rPr>
        <w:t>七</w:t>
      </w:r>
      <w:r>
        <w:rPr>
          <w:rFonts w:hint="eastAsia" w:cs="宋体"/>
          <w:color w:val="auto"/>
          <w:szCs w:val="28"/>
          <w:highlight w:val="none"/>
        </w:rPr>
        <w:t>、我方未为竞采项目提供整体设计、规范编制或者项目管理、监理、检测等服务。</w:t>
      </w:r>
    </w:p>
    <w:p w14:paraId="072315D0">
      <w:pPr>
        <w:snapToGrid w:val="0"/>
        <w:spacing w:line="480" w:lineRule="atLeast"/>
        <w:ind w:firstLine="560" w:firstLineChars="200"/>
        <w:rPr>
          <w:rFonts w:cs="宋体"/>
          <w:color w:val="auto"/>
          <w:szCs w:val="28"/>
          <w:highlight w:val="none"/>
        </w:rPr>
      </w:pPr>
      <w:r>
        <w:rPr>
          <w:rFonts w:hint="eastAsia" w:cs="宋体"/>
          <w:color w:val="auto"/>
          <w:szCs w:val="28"/>
          <w:highlight w:val="none"/>
          <w:lang w:val="en-US" w:eastAsia="zh-CN"/>
        </w:rPr>
        <w:t>八</w:t>
      </w:r>
      <w:r>
        <w:rPr>
          <w:rFonts w:hint="eastAsia" w:cs="宋体"/>
          <w:color w:val="auto"/>
          <w:szCs w:val="28"/>
          <w:highlight w:val="none"/>
        </w:rPr>
        <w:t>、我方理解，最低报价不是成交的唯一条件。</w:t>
      </w:r>
    </w:p>
    <w:p w14:paraId="50978EC7">
      <w:pPr>
        <w:snapToGrid w:val="0"/>
        <w:spacing w:line="480" w:lineRule="atLeast"/>
        <w:ind w:firstLine="560" w:firstLineChars="200"/>
        <w:rPr>
          <w:rFonts w:cs="宋体"/>
          <w:color w:val="auto"/>
          <w:szCs w:val="28"/>
          <w:highlight w:val="none"/>
        </w:rPr>
      </w:pPr>
      <w:r>
        <w:rPr>
          <w:rFonts w:hint="eastAsia" w:cs="宋体"/>
          <w:color w:val="auto"/>
          <w:szCs w:val="28"/>
          <w:highlight w:val="none"/>
          <w:lang w:val="en-US" w:eastAsia="zh-CN"/>
        </w:rPr>
        <w:t>九</w:t>
      </w:r>
      <w:r>
        <w:rPr>
          <w:rFonts w:hint="eastAsia" w:cs="宋体"/>
          <w:color w:val="auto"/>
          <w:szCs w:val="28"/>
          <w:highlight w:val="none"/>
        </w:rPr>
        <w:t>、若我方成为成交供应商，愿意按有关规定及竞采文件要求缴纳采购代理服务费</w:t>
      </w:r>
      <w:r>
        <w:rPr>
          <w:rFonts w:hint="eastAsia" w:cs="宋体"/>
          <w:color w:val="auto"/>
          <w:szCs w:val="28"/>
          <w:highlight w:val="none"/>
          <w:lang w:val="en-US" w:eastAsia="zh-CN"/>
        </w:rPr>
        <w:t>和平台费（如有）</w:t>
      </w:r>
      <w:r>
        <w:rPr>
          <w:rFonts w:hint="eastAsia" w:cs="宋体"/>
          <w:color w:val="auto"/>
          <w:szCs w:val="28"/>
          <w:highlight w:val="none"/>
        </w:rPr>
        <w:t>。</w:t>
      </w:r>
    </w:p>
    <w:p w14:paraId="3D3CCF1E">
      <w:pPr>
        <w:tabs>
          <w:tab w:val="left" w:pos="6300"/>
        </w:tabs>
        <w:snapToGrid w:val="0"/>
        <w:spacing w:line="480" w:lineRule="atLeast"/>
        <w:ind w:firstLine="6370" w:firstLineChars="2275"/>
        <w:rPr>
          <w:rFonts w:cs="宋体"/>
          <w:color w:val="auto"/>
          <w:szCs w:val="28"/>
          <w:highlight w:val="none"/>
        </w:rPr>
      </w:pPr>
    </w:p>
    <w:p w14:paraId="3AEEBCCE">
      <w:pPr>
        <w:tabs>
          <w:tab w:val="left" w:pos="6300"/>
        </w:tabs>
        <w:snapToGrid w:val="0"/>
        <w:spacing w:line="480" w:lineRule="atLeast"/>
        <w:ind w:firstLine="5040" w:firstLineChars="1800"/>
        <w:rPr>
          <w:rFonts w:hint="default" w:eastAsia="宋体" w:cs="宋体"/>
          <w:color w:val="auto"/>
          <w:szCs w:val="28"/>
          <w:highlight w:val="none"/>
          <w:u w:val="single"/>
          <w:lang w:val="en-US" w:eastAsia="zh-CN"/>
        </w:rPr>
      </w:pPr>
      <w:r>
        <w:rPr>
          <w:rFonts w:hint="eastAsia" w:cs="宋体"/>
          <w:color w:val="auto"/>
          <w:szCs w:val="28"/>
          <w:highlight w:val="none"/>
        </w:rPr>
        <w:t>（供应商公章）</w:t>
      </w:r>
      <w:r>
        <w:rPr>
          <w:rFonts w:hint="eastAsia" w:cs="宋体"/>
          <w:color w:val="auto"/>
          <w:szCs w:val="28"/>
          <w:highlight w:val="none"/>
          <w:u w:val="single"/>
          <w:lang w:val="en-US" w:eastAsia="zh-CN"/>
        </w:rPr>
        <w:t xml:space="preserve">                 </w:t>
      </w:r>
    </w:p>
    <w:p w14:paraId="6C71792D">
      <w:pPr>
        <w:tabs>
          <w:tab w:val="left" w:pos="6300"/>
        </w:tabs>
        <w:snapToGrid w:val="0"/>
        <w:spacing w:line="480" w:lineRule="atLeast"/>
        <w:ind w:firstLine="7280" w:firstLineChars="2600"/>
        <w:rPr>
          <w:rFonts w:cs="宋体"/>
          <w:color w:val="auto"/>
          <w:szCs w:val="28"/>
          <w:highlight w:val="none"/>
        </w:rPr>
      </w:pPr>
      <w:r>
        <w:rPr>
          <w:rFonts w:hint="eastAsia" w:cs="宋体"/>
          <w:color w:val="auto"/>
          <w:szCs w:val="28"/>
          <w:highlight w:val="none"/>
        </w:rPr>
        <w:t>年    月   日</w:t>
      </w:r>
    </w:p>
    <w:p w14:paraId="5C1D4A7F">
      <w:pPr>
        <w:rPr>
          <w:rFonts w:cs="宋体"/>
          <w:color w:val="auto"/>
          <w:sz w:val="24"/>
          <w:szCs w:val="24"/>
          <w:highlight w:val="none"/>
        </w:rPr>
      </w:pPr>
      <w:r>
        <w:rPr>
          <w:rFonts w:hint="eastAsia" w:cs="宋体"/>
          <w:color w:val="auto"/>
          <w:szCs w:val="28"/>
          <w:highlight w:val="none"/>
        </w:rPr>
        <w:br w:type="page"/>
      </w:r>
      <w:bookmarkStart w:id="394" w:name="_Toc19167"/>
      <w:bookmarkStart w:id="395" w:name="_Toc17279"/>
      <w:bookmarkStart w:id="396" w:name="_Toc10242"/>
      <w:r>
        <w:rPr>
          <w:rFonts w:hint="eastAsia" w:cs="宋体"/>
          <w:b/>
          <w:bCs/>
          <w:color w:val="auto"/>
          <w:highlight w:val="none"/>
        </w:rPr>
        <w:t>（二）商务条款差异表</w:t>
      </w:r>
      <w:bookmarkEnd w:id="394"/>
      <w:bookmarkEnd w:id="395"/>
      <w:bookmarkEnd w:id="396"/>
    </w:p>
    <w:p w14:paraId="43B92F00">
      <w:pPr>
        <w:tabs>
          <w:tab w:val="left" w:pos="720"/>
        </w:tabs>
        <w:spacing w:line="480" w:lineRule="atLeast"/>
        <w:ind w:firstLine="527"/>
        <w:jc w:val="center"/>
        <w:rPr>
          <w:rFonts w:cs="宋体"/>
          <w:color w:val="auto"/>
          <w:highlight w:val="none"/>
        </w:rPr>
      </w:pPr>
      <w:r>
        <w:rPr>
          <w:rFonts w:hint="eastAsia" w:cs="宋体"/>
          <w:color w:val="auto"/>
          <w:highlight w:val="none"/>
        </w:rPr>
        <w:t>商务条款差异表</w:t>
      </w:r>
    </w:p>
    <w:tbl>
      <w:tblPr>
        <w:tblStyle w:val="2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0"/>
        <w:gridCol w:w="3037"/>
        <w:gridCol w:w="3153"/>
        <w:gridCol w:w="2363"/>
      </w:tblGrid>
      <w:tr w14:paraId="579DD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660" w:type="pct"/>
            <w:vAlign w:val="center"/>
          </w:tcPr>
          <w:p w14:paraId="68753C26">
            <w:pPr>
              <w:jc w:val="center"/>
              <w:rPr>
                <w:rFonts w:cs="宋体"/>
                <w:color w:val="auto"/>
                <w:sz w:val="24"/>
                <w:szCs w:val="24"/>
                <w:highlight w:val="none"/>
              </w:rPr>
            </w:pPr>
            <w:bookmarkStart w:id="397" w:name="_Toc30909"/>
            <w:bookmarkStart w:id="398" w:name="_Toc12928"/>
            <w:bookmarkStart w:id="399" w:name="_Toc3165"/>
            <w:bookmarkStart w:id="400" w:name="_Toc26650"/>
            <w:r>
              <w:rPr>
                <w:rFonts w:hint="eastAsia" w:cs="宋体"/>
                <w:color w:val="auto"/>
                <w:sz w:val="24"/>
                <w:szCs w:val="24"/>
                <w:highlight w:val="none"/>
              </w:rPr>
              <w:t>序号</w:t>
            </w:r>
            <w:bookmarkEnd w:id="397"/>
            <w:bookmarkEnd w:id="398"/>
            <w:bookmarkEnd w:id="399"/>
            <w:bookmarkEnd w:id="400"/>
          </w:p>
        </w:tc>
        <w:tc>
          <w:tcPr>
            <w:tcW w:w="1541" w:type="pct"/>
            <w:vAlign w:val="center"/>
          </w:tcPr>
          <w:p w14:paraId="7096888D">
            <w:pPr>
              <w:jc w:val="center"/>
              <w:rPr>
                <w:rFonts w:cs="宋体"/>
                <w:color w:val="auto"/>
                <w:sz w:val="24"/>
                <w:szCs w:val="24"/>
                <w:highlight w:val="none"/>
              </w:rPr>
            </w:pPr>
            <w:r>
              <w:rPr>
                <w:rFonts w:hint="eastAsia" w:cs="宋体"/>
                <w:color w:val="auto"/>
                <w:sz w:val="24"/>
                <w:szCs w:val="24"/>
                <w:highlight w:val="none"/>
              </w:rPr>
              <w:t>项目要求</w:t>
            </w:r>
          </w:p>
        </w:tc>
        <w:tc>
          <w:tcPr>
            <w:tcW w:w="1600" w:type="pct"/>
            <w:vAlign w:val="center"/>
          </w:tcPr>
          <w:p w14:paraId="6A421ED3">
            <w:pPr>
              <w:jc w:val="center"/>
              <w:rPr>
                <w:rFonts w:cs="宋体"/>
                <w:color w:val="auto"/>
                <w:sz w:val="24"/>
                <w:szCs w:val="24"/>
                <w:highlight w:val="none"/>
              </w:rPr>
            </w:pPr>
            <w:bookmarkStart w:id="401" w:name="_Toc22122"/>
            <w:bookmarkStart w:id="402" w:name="_Toc4456"/>
            <w:bookmarkStart w:id="403" w:name="_Toc3511"/>
            <w:bookmarkStart w:id="404" w:name="_Toc24660"/>
            <w:r>
              <w:rPr>
                <w:rFonts w:hint="eastAsia" w:cs="宋体"/>
                <w:color w:val="auto"/>
                <w:sz w:val="24"/>
                <w:szCs w:val="24"/>
                <w:highlight w:val="none"/>
              </w:rPr>
              <w:t>响应情况</w:t>
            </w:r>
            <w:bookmarkEnd w:id="401"/>
            <w:bookmarkEnd w:id="402"/>
            <w:bookmarkEnd w:id="403"/>
            <w:bookmarkEnd w:id="404"/>
          </w:p>
        </w:tc>
        <w:tc>
          <w:tcPr>
            <w:tcW w:w="1199" w:type="pct"/>
            <w:vAlign w:val="center"/>
          </w:tcPr>
          <w:p w14:paraId="7593F081">
            <w:pPr>
              <w:jc w:val="center"/>
              <w:rPr>
                <w:rFonts w:cs="宋体"/>
                <w:color w:val="auto"/>
                <w:sz w:val="24"/>
                <w:szCs w:val="24"/>
                <w:highlight w:val="none"/>
              </w:rPr>
            </w:pPr>
            <w:bookmarkStart w:id="405" w:name="_Toc13230"/>
            <w:bookmarkStart w:id="406" w:name="_Toc15020"/>
            <w:bookmarkStart w:id="407" w:name="_Toc14571"/>
            <w:bookmarkStart w:id="408" w:name="_Toc11128"/>
            <w:r>
              <w:rPr>
                <w:rFonts w:hint="eastAsia" w:cs="宋体"/>
                <w:color w:val="auto"/>
                <w:sz w:val="24"/>
                <w:szCs w:val="24"/>
                <w:highlight w:val="none"/>
              </w:rPr>
              <w:t>差异说明</w:t>
            </w:r>
            <w:bookmarkEnd w:id="405"/>
            <w:bookmarkEnd w:id="406"/>
            <w:bookmarkEnd w:id="407"/>
            <w:bookmarkEnd w:id="408"/>
          </w:p>
        </w:tc>
      </w:tr>
      <w:tr w14:paraId="3E7CC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6EBFCE1A">
            <w:pPr>
              <w:jc w:val="center"/>
              <w:rPr>
                <w:rFonts w:cs="宋体"/>
                <w:color w:val="auto"/>
                <w:sz w:val="24"/>
                <w:szCs w:val="24"/>
                <w:highlight w:val="none"/>
              </w:rPr>
            </w:pPr>
          </w:p>
        </w:tc>
        <w:tc>
          <w:tcPr>
            <w:tcW w:w="1541" w:type="pct"/>
            <w:vAlign w:val="center"/>
          </w:tcPr>
          <w:p w14:paraId="7EFC5077">
            <w:pPr>
              <w:jc w:val="center"/>
              <w:rPr>
                <w:rFonts w:cs="宋体"/>
                <w:color w:val="auto"/>
                <w:sz w:val="24"/>
                <w:szCs w:val="24"/>
                <w:highlight w:val="none"/>
              </w:rPr>
            </w:pPr>
          </w:p>
        </w:tc>
        <w:tc>
          <w:tcPr>
            <w:tcW w:w="1600" w:type="pct"/>
            <w:vAlign w:val="center"/>
          </w:tcPr>
          <w:p w14:paraId="162F6863">
            <w:pPr>
              <w:jc w:val="center"/>
              <w:rPr>
                <w:rFonts w:cs="宋体"/>
                <w:color w:val="auto"/>
                <w:sz w:val="24"/>
                <w:szCs w:val="24"/>
                <w:highlight w:val="none"/>
              </w:rPr>
            </w:pPr>
          </w:p>
        </w:tc>
        <w:tc>
          <w:tcPr>
            <w:tcW w:w="1199" w:type="pct"/>
            <w:vAlign w:val="center"/>
          </w:tcPr>
          <w:p w14:paraId="196D9DC4">
            <w:pPr>
              <w:jc w:val="center"/>
              <w:rPr>
                <w:rFonts w:cs="宋体"/>
                <w:color w:val="auto"/>
                <w:sz w:val="24"/>
                <w:szCs w:val="24"/>
                <w:highlight w:val="none"/>
              </w:rPr>
            </w:pPr>
          </w:p>
        </w:tc>
      </w:tr>
      <w:tr w14:paraId="52B2C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2B994E9B">
            <w:pPr>
              <w:jc w:val="center"/>
              <w:rPr>
                <w:rFonts w:cs="宋体"/>
                <w:color w:val="auto"/>
                <w:sz w:val="24"/>
                <w:szCs w:val="24"/>
                <w:highlight w:val="none"/>
              </w:rPr>
            </w:pPr>
          </w:p>
        </w:tc>
        <w:tc>
          <w:tcPr>
            <w:tcW w:w="1541" w:type="pct"/>
            <w:vAlign w:val="center"/>
          </w:tcPr>
          <w:p w14:paraId="7942EF1B">
            <w:pPr>
              <w:jc w:val="center"/>
              <w:rPr>
                <w:rFonts w:cs="宋体"/>
                <w:color w:val="auto"/>
                <w:sz w:val="24"/>
                <w:szCs w:val="24"/>
                <w:highlight w:val="none"/>
              </w:rPr>
            </w:pPr>
          </w:p>
        </w:tc>
        <w:tc>
          <w:tcPr>
            <w:tcW w:w="1600" w:type="pct"/>
            <w:vAlign w:val="center"/>
          </w:tcPr>
          <w:p w14:paraId="1DA3D155">
            <w:pPr>
              <w:jc w:val="center"/>
              <w:rPr>
                <w:rFonts w:cs="宋体"/>
                <w:color w:val="auto"/>
                <w:sz w:val="24"/>
                <w:szCs w:val="24"/>
                <w:highlight w:val="none"/>
              </w:rPr>
            </w:pPr>
          </w:p>
        </w:tc>
        <w:tc>
          <w:tcPr>
            <w:tcW w:w="1199" w:type="pct"/>
            <w:vAlign w:val="center"/>
          </w:tcPr>
          <w:p w14:paraId="740B83AE">
            <w:pPr>
              <w:jc w:val="center"/>
              <w:rPr>
                <w:rFonts w:cs="宋体"/>
                <w:color w:val="auto"/>
                <w:sz w:val="24"/>
                <w:szCs w:val="24"/>
                <w:highlight w:val="none"/>
              </w:rPr>
            </w:pPr>
          </w:p>
        </w:tc>
      </w:tr>
      <w:tr w14:paraId="793FA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399520F2">
            <w:pPr>
              <w:jc w:val="center"/>
              <w:rPr>
                <w:rFonts w:cs="宋体"/>
                <w:color w:val="auto"/>
                <w:sz w:val="24"/>
                <w:szCs w:val="24"/>
                <w:highlight w:val="none"/>
              </w:rPr>
            </w:pPr>
          </w:p>
        </w:tc>
        <w:tc>
          <w:tcPr>
            <w:tcW w:w="1541" w:type="pct"/>
            <w:vAlign w:val="center"/>
          </w:tcPr>
          <w:p w14:paraId="2B4430DE">
            <w:pPr>
              <w:jc w:val="center"/>
              <w:rPr>
                <w:rFonts w:cs="宋体"/>
                <w:color w:val="auto"/>
                <w:sz w:val="24"/>
                <w:szCs w:val="24"/>
                <w:highlight w:val="none"/>
              </w:rPr>
            </w:pPr>
          </w:p>
        </w:tc>
        <w:tc>
          <w:tcPr>
            <w:tcW w:w="1600" w:type="pct"/>
            <w:vAlign w:val="center"/>
          </w:tcPr>
          <w:p w14:paraId="38F1169F">
            <w:pPr>
              <w:jc w:val="center"/>
              <w:rPr>
                <w:rFonts w:cs="宋体"/>
                <w:color w:val="auto"/>
                <w:sz w:val="24"/>
                <w:szCs w:val="24"/>
                <w:highlight w:val="none"/>
              </w:rPr>
            </w:pPr>
          </w:p>
        </w:tc>
        <w:tc>
          <w:tcPr>
            <w:tcW w:w="1199" w:type="pct"/>
            <w:vAlign w:val="center"/>
          </w:tcPr>
          <w:p w14:paraId="0B034E0A">
            <w:pPr>
              <w:jc w:val="center"/>
              <w:rPr>
                <w:rFonts w:cs="宋体"/>
                <w:color w:val="auto"/>
                <w:sz w:val="24"/>
                <w:szCs w:val="24"/>
                <w:highlight w:val="none"/>
              </w:rPr>
            </w:pPr>
          </w:p>
        </w:tc>
      </w:tr>
      <w:tr w14:paraId="55C85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27F7CF4A">
            <w:pPr>
              <w:jc w:val="center"/>
              <w:rPr>
                <w:rFonts w:cs="宋体"/>
                <w:color w:val="auto"/>
                <w:sz w:val="24"/>
                <w:szCs w:val="24"/>
                <w:highlight w:val="none"/>
              </w:rPr>
            </w:pPr>
          </w:p>
        </w:tc>
        <w:tc>
          <w:tcPr>
            <w:tcW w:w="1541" w:type="pct"/>
            <w:vAlign w:val="center"/>
          </w:tcPr>
          <w:p w14:paraId="506AD6F0">
            <w:pPr>
              <w:jc w:val="center"/>
              <w:rPr>
                <w:rFonts w:cs="宋体"/>
                <w:color w:val="auto"/>
                <w:sz w:val="24"/>
                <w:szCs w:val="24"/>
                <w:highlight w:val="none"/>
              </w:rPr>
            </w:pPr>
          </w:p>
        </w:tc>
        <w:tc>
          <w:tcPr>
            <w:tcW w:w="1600" w:type="pct"/>
            <w:vAlign w:val="center"/>
          </w:tcPr>
          <w:p w14:paraId="067543E1">
            <w:pPr>
              <w:jc w:val="center"/>
              <w:rPr>
                <w:rFonts w:cs="宋体"/>
                <w:color w:val="auto"/>
                <w:sz w:val="24"/>
                <w:szCs w:val="24"/>
                <w:highlight w:val="none"/>
              </w:rPr>
            </w:pPr>
          </w:p>
        </w:tc>
        <w:tc>
          <w:tcPr>
            <w:tcW w:w="1199" w:type="pct"/>
            <w:vAlign w:val="center"/>
          </w:tcPr>
          <w:p w14:paraId="037E1642">
            <w:pPr>
              <w:jc w:val="center"/>
              <w:rPr>
                <w:rFonts w:cs="宋体"/>
                <w:color w:val="auto"/>
                <w:sz w:val="24"/>
                <w:szCs w:val="24"/>
                <w:highlight w:val="none"/>
              </w:rPr>
            </w:pPr>
          </w:p>
        </w:tc>
      </w:tr>
      <w:tr w14:paraId="39A65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54E44ABC">
            <w:pPr>
              <w:jc w:val="center"/>
              <w:rPr>
                <w:rFonts w:cs="宋体"/>
                <w:color w:val="auto"/>
                <w:sz w:val="24"/>
                <w:szCs w:val="24"/>
                <w:highlight w:val="none"/>
              </w:rPr>
            </w:pPr>
          </w:p>
        </w:tc>
        <w:tc>
          <w:tcPr>
            <w:tcW w:w="1541" w:type="pct"/>
            <w:vAlign w:val="center"/>
          </w:tcPr>
          <w:p w14:paraId="05056687">
            <w:pPr>
              <w:jc w:val="center"/>
              <w:rPr>
                <w:rFonts w:cs="宋体"/>
                <w:color w:val="auto"/>
                <w:sz w:val="24"/>
                <w:szCs w:val="24"/>
                <w:highlight w:val="none"/>
              </w:rPr>
            </w:pPr>
          </w:p>
        </w:tc>
        <w:tc>
          <w:tcPr>
            <w:tcW w:w="1600" w:type="pct"/>
            <w:vAlign w:val="center"/>
          </w:tcPr>
          <w:p w14:paraId="442F79F6">
            <w:pPr>
              <w:jc w:val="center"/>
              <w:rPr>
                <w:rFonts w:cs="宋体"/>
                <w:color w:val="auto"/>
                <w:sz w:val="24"/>
                <w:szCs w:val="24"/>
                <w:highlight w:val="none"/>
              </w:rPr>
            </w:pPr>
          </w:p>
        </w:tc>
        <w:tc>
          <w:tcPr>
            <w:tcW w:w="1199" w:type="pct"/>
            <w:vAlign w:val="center"/>
          </w:tcPr>
          <w:p w14:paraId="3DF344DD">
            <w:pPr>
              <w:jc w:val="center"/>
              <w:rPr>
                <w:rFonts w:cs="宋体"/>
                <w:color w:val="auto"/>
                <w:sz w:val="24"/>
                <w:szCs w:val="24"/>
                <w:highlight w:val="none"/>
              </w:rPr>
            </w:pPr>
          </w:p>
        </w:tc>
      </w:tr>
      <w:tr w14:paraId="19055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5AC861CA">
            <w:pPr>
              <w:jc w:val="center"/>
              <w:rPr>
                <w:rFonts w:cs="宋体"/>
                <w:color w:val="auto"/>
                <w:sz w:val="24"/>
                <w:szCs w:val="24"/>
                <w:highlight w:val="none"/>
              </w:rPr>
            </w:pPr>
          </w:p>
        </w:tc>
        <w:tc>
          <w:tcPr>
            <w:tcW w:w="1541" w:type="pct"/>
            <w:vAlign w:val="center"/>
          </w:tcPr>
          <w:p w14:paraId="392A4500">
            <w:pPr>
              <w:jc w:val="center"/>
              <w:rPr>
                <w:rFonts w:cs="宋体"/>
                <w:color w:val="auto"/>
                <w:sz w:val="24"/>
                <w:szCs w:val="24"/>
                <w:highlight w:val="none"/>
              </w:rPr>
            </w:pPr>
          </w:p>
        </w:tc>
        <w:tc>
          <w:tcPr>
            <w:tcW w:w="1600" w:type="pct"/>
            <w:vAlign w:val="center"/>
          </w:tcPr>
          <w:p w14:paraId="78124F2A">
            <w:pPr>
              <w:jc w:val="center"/>
              <w:rPr>
                <w:rFonts w:cs="宋体"/>
                <w:color w:val="auto"/>
                <w:sz w:val="24"/>
                <w:szCs w:val="24"/>
                <w:highlight w:val="none"/>
              </w:rPr>
            </w:pPr>
          </w:p>
        </w:tc>
        <w:tc>
          <w:tcPr>
            <w:tcW w:w="1199" w:type="pct"/>
            <w:vAlign w:val="center"/>
          </w:tcPr>
          <w:p w14:paraId="126FDAE5">
            <w:pPr>
              <w:jc w:val="center"/>
              <w:rPr>
                <w:rFonts w:cs="宋体"/>
                <w:color w:val="auto"/>
                <w:sz w:val="24"/>
                <w:szCs w:val="24"/>
                <w:highlight w:val="none"/>
              </w:rPr>
            </w:pPr>
          </w:p>
        </w:tc>
      </w:tr>
      <w:tr w14:paraId="54A4B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1FC84235">
            <w:pPr>
              <w:jc w:val="center"/>
              <w:rPr>
                <w:rFonts w:cs="宋体"/>
                <w:color w:val="auto"/>
                <w:sz w:val="24"/>
                <w:szCs w:val="24"/>
                <w:highlight w:val="none"/>
              </w:rPr>
            </w:pPr>
          </w:p>
        </w:tc>
        <w:tc>
          <w:tcPr>
            <w:tcW w:w="1541" w:type="pct"/>
            <w:vAlign w:val="center"/>
          </w:tcPr>
          <w:p w14:paraId="6D055FB2">
            <w:pPr>
              <w:jc w:val="center"/>
              <w:rPr>
                <w:rFonts w:cs="宋体"/>
                <w:color w:val="auto"/>
                <w:sz w:val="24"/>
                <w:szCs w:val="24"/>
                <w:highlight w:val="none"/>
              </w:rPr>
            </w:pPr>
          </w:p>
        </w:tc>
        <w:tc>
          <w:tcPr>
            <w:tcW w:w="1600" w:type="pct"/>
            <w:vAlign w:val="center"/>
          </w:tcPr>
          <w:p w14:paraId="5D1256EB">
            <w:pPr>
              <w:jc w:val="center"/>
              <w:rPr>
                <w:rFonts w:cs="宋体"/>
                <w:color w:val="auto"/>
                <w:sz w:val="24"/>
                <w:szCs w:val="24"/>
                <w:highlight w:val="none"/>
              </w:rPr>
            </w:pPr>
          </w:p>
        </w:tc>
        <w:tc>
          <w:tcPr>
            <w:tcW w:w="1199" w:type="pct"/>
            <w:vAlign w:val="center"/>
          </w:tcPr>
          <w:p w14:paraId="72BADE57">
            <w:pPr>
              <w:jc w:val="center"/>
              <w:rPr>
                <w:rFonts w:cs="宋体"/>
                <w:color w:val="auto"/>
                <w:sz w:val="24"/>
                <w:szCs w:val="24"/>
                <w:highlight w:val="none"/>
              </w:rPr>
            </w:pPr>
          </w:p>
        </w:tc>
      </w:tr>
      <w:tr w14:paraId="539CD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3DFCAE2D">
            <w:pPr>
              <w:jc w:val="center"/>
              <w:rPr>
                <w:rFonts w:cs="宋体"/>
                <w:color w:val="auto"/>
                <w:sz w:val="24"/>
                <w:szCs w:val="24"/>
                <w:highlight w:val="none"/>
              </w:rPr>
            </w:pPr>
          </w:p>
        </w:tc>
        <w:tc>
          <w:tcPr>
            <w:tcW w:w="1541" w:type="pct"/>
            <w:vAlign w:val="center"/>
          </w:tcPr>
          <w:p w14:paraId="0B18DD81">
            <w:pPr>
              <w:jc w:val="center"/>
              <w:rPr>
                <w:rFonts w:cs="宋体"/>
                <w:color w:val="auto"/>
                <w:sz w:val="24"/>
                <w:szCs w:val="24"/>
                <w:highlight w:val="none"/>
              </w:rPr>
            </w:pPr>
          </w:p>
        </w:tc>
        <w:tc>
          <w:tcPr>
            <w:tcW w:w="1600" w:type="pct"/>
            <w:vAlign w:val="center"/>
          </w:tcPr>
          <w:p w14:paraId="73FEAA91">
            <w:pPr>
              <w:jc w:val="center"/>
              <w:rPr>
                <w:rFonts w:cs="宋体"/>
                <w:color w:val="auto"/>
                <w:sz w:val="24"/>
                <w:szCs w:val="24"/>
                <w:highlight w:val="none"/>
              </w:rPr>
            </w:pPr>
          </w:p>
        </w:tc>
        <w:tc>
          <w:tcPr>
            <w:tcW w:w="1199" w:type="pct"/>
            <w:vAlign w:val="center"/>
          </w:tcPr>
          <w:p w14:paraId="49CD1A7C">
            <w:pPr>
              <w:jc w:val="center"/>
              <w:rPr>
                <w:rFonts w:cs="宋体"/>
                <w:color w:val="auto"/>
                <w:sz w:val="24"/>
                <w:szCs w:val="24"/>
                <w:highlight w:val="none"/>
              </w:rPr>
            </w:pPr>
          </w:p>
        </w:tc>
      </w:tr>
      <w:tr w14:paraId="776C8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0955100A">
            <w:pPr>
              <w:jc w:val="center"/>
              <w:rPr>
                <w:rFonts w:cs="宋体"/>
                <w:color w:val="auto"/>
                <w:sz w:val="24"/>
                <w:szCs w:val="24"/>
                <w:highlight w:val="none"/>
              </w:rPr>
            </w:pPr>
          </w:p>
        </w:tc>
        <w:tc>
          <w:tcPr>
            <w:tcW w:w="1541" w:type="pct"/>
            <w:vAlign w:val="center"/>
          </w:tcPr>
          <w:p w14:paraId="6FE622CA">
            <w:pPr>
              <w:jc w:val="center"/>
              <w:rPr>
                <w:rFonts w:cs="宋体"/>
                <w:color w:val="auto"/>
                <w:sz w:val="24"/>
                <w:szCs w:val="24"/>
                <w:highlight w:val="none"/>
              </w:rPr>
            </w:pPr>
          </w:p>
        </w:tc>
        <w:tc>
          <w:tcPr>
            <w:tcW w:w="1600" w:type="pct"/>
            <w:vAlign w:val="center"/>
          </w:tcPr>
          <w:p w14:paraId="13854AEF">
            <w:pPr>
              <w:jc w:val="center"/>
              <w:rPr>
                <w:rFonts w:cs="宋体"/>
                <w:color w:val="auto"/>
                <w:sz w:val="24"/>
                <w:szCs w:val="24"/>
                <w:highlight w:val="none"/>
              </w:rPr>
            </w:pPr>
          </w:p>
        </w:tc>
        <w:tc>
          <w:tcPr>
            <w:tcW w:w="1199" w:type="pct"/>
            <w:vAlign w:val="center"/>
          </w:tcPr>
          <w:p w14:paraId="3F719F76">
            <w:pPr>
              <w:jc w:val="center"/>
              <w:rPr>
                <w:rFonts w:cs="宋体"/>
                <w:color w:val="auto"/>
                <w:sz w:val="24"/>
                <w:szCs w:val="24"/>
                <w:highlight w:val="none"/>
              </w:rPr>
            </w:pPr>
          </w:p>
        </w:tc>
      </w:tr>
      <w:tr w14:paraId="5DE7A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40E512FF">
            <w:pPr>
              <w:jc w:val="center"/>
              <w:rPr>
                <w:rFonts w:cs="宋体"/>
                <w:color w:val="auto"/>
                <w:sz w:val="24"/>
                <w:szCs w:val="24"/>
                <w:highlight w:val="none"/>
              </w:rPr>
            </w:pPr>
          </w:p>
        </w:tc>
        <w:tc>
          <w:tcPr>
            <w:tcW w:w="1541" w:type="pct"/>
            <w:vAlign w:val="center"/>
          </w:tcPr>
          <w:p w14:paraId="3ED5E9CD">
            <w:pPr>
              <w:jc w:val="center"/>
              <w:rPr>
                <w:rFonts w:cs="宋体"/>
                <w:color w:val="auto"/>
                <w:sz w:val="24"/>
                <w:szCs w:val="24"/>
                <w:highlight w:val="none"/>
              </w:rPr>
            </w:pPr>
          </w:p>
        </w:tc>
        <w:tc>
          <w:tcPr>
            <w:tcW w:w="1600" w:type="pct"/>
            <w:vAlign w:val="center"/>
          </w:tcPr>
          <w:p w14:paraId="304BC71E">
            <w:pPr>
              <w:jc w:val="center"/>
              <w:rPr>
                <w:rFonts w:cs="宋体"/>
                <w:color w:val="auto"/>
                <w:sz w:val="24"/>
                <w:szCs w:val="24"/>
                <w:highlight w:val="none"/>
              </w:rPr>
            </w:pPr>
          </w:p>
        </w:tc>
        <w:tc>
          <w:tcPr>
            <w:tcW w:w="1199" w:type="pct"/>
            <w:vAlign w:val="center"/>
          </w:tcPr>
          <w:p w14:paraId="35AD5E35">
            <w:pPr>
              <w:jc w:val="center"/>
              <w:rPr>
                <w:rFonts w:cs="宋体"/>
                <w:color w:val="auto"/>
                <w:sz w:val="24"/>
                <w:szCs w:val="24"/>
                <w:highlight w:val="none"/>
              </w:rPr>
            </w:pPr>
          </w:p>
        </w:tc>
      </w:tr>
    </w:tbl>
    <w:p w14:paraId="00608EA7">
      <w:pPr>
        <w:spacing w:line="480" w:lineRule="atLeast"/>
        <w:rPr>
          <w:rFonts w:cs="宋体"/>
          <w:color w:val="auto"/>
          <w:sz w:val="24"/>
          <w:szCs w:val="18"/>
          <w:highlight w:val="none"/>
        </w:rPr>
      </w:pPr>
    </w:p>
    <w:p w14:paraId="3B214AF9">
      <w:pPr>
        <w:spacing w:line="480" w:lineRule="atLeast"/>
        <w:rPr>
          <w:rFonts w:cs="宋体"/>
          <w:color w:val="auto"/>
          <w:sz w:val="24"/>
          <w:szCs w:val="18"/>
          <w:highlight w:val="none"/>
        </w:rPr>
      </w:pPr>
      <w:r>
        <w:rPr>
          <w:rFonts w:hint="eastAsia" w:cs="宋体"/>
          <w:color w:val="auto"/>
          <w:sz w:val="24"/>
          <w:szCs w:val="18"/>
          <w:highlight w:val="none"/>
        </w:rPr>
        <w:t>供应商名称（公章）：                      法定代表人或授权代表（签署或盖章）：</w:t>
      </w:r>
    </w:p>
    <w:p w14:paraId="1169FAEC">
      <w:pPr>
        <w:spacing w:line="480" w:lineRule="atLeast"/>
        <w:ind w:firstLine="480"/>
        <w:jc w:val="right"/>
        <w:rPr>
          <w:rFonts w:cs="宋体"/>
          <w:color w:val="auto"/>
          <w:sz w:val="24"/>
          <w:szCs w:val="18"/>
          <w:highlight w:val="none"/>
        </w:rPr>
      </w:pPr>
    </w:p>
    <w:p w14:paraId="119CE2DE">
      <w:pPr>
        <w:spacing w:line="480" w:lineRule="atLeast"/>
        <w:ind w:firstLine="480"/>
        <w:jc w:val="right"/>
        <w:rPr>
          <w:rFonts w:cs="宋体"/>
          <w:color w:val="auto"/>
          <w:highlight w:val="none"/>
        </w:rPr>
      </w:pPr>
      <w:r>
        <w:rPr>
          <w:rFonts w:hint="eastAsia" w:cs="宋体"/>
          <w:color w:val="auto"/>
          <w:highlight w:val="none"/>
        </w:rPr>
        <w:t>年  月  日</w:t>
      </w:r>
    </w:p>
    <w:p w14:paraId="6A3B9242">
      <w:pPr>
        <w:pStyle w:val="38"/>
        <w:spacing w:line="480" w:lineRule="atLeast"/>
        <w:rPr>
          <w:rFonts w:eastAsia="宋体" w:cs="宋体"/>
          <w:color w:val="auto"/>
          <w:sz w:val="22"/>
          <w:szCs w:val="22"/>
          <w:highlight w:val="none"/>
        </w:rPr>
      </w:pPr>
      <w:r>
        <w:rPr>
          <w:rFonts w:hint="eastAsia" w:eastAsia="宋体" w:cs="宋体"/>
          <w:color w:val="auto"/>
          <w:sz w:val="22"/>
          <w:szCs w:val="22"/>
          <w:highlight w:val="none"/>
        </w:rPr>
        <w:t>注：</w:t>
      </w:r>
    </w:p>
    <w:p w14:paraId="6D30ED89">
      <w:pPr>
        <w:spacing w:line="480" w:lineRule="atLeast"/>
        <w:rPr>
          <w:rFonts w:cs="宋体"/>
          <w:color w:val="auto"/>
          <w:sz w:val="22"/>
          <w:szCs w:val="22"/>
          <w:highlight w:val="none"/>
        </w:rPr>
      </w:pPr>
      <w:r>
        <w:rPr>
          <w:rFonts w:hint="eastAsia" w:cs="宋体"/>
          <w:color w:val="auto"/>
          <w:sz w:val="22"/>
          <w:szCs w:val="22"/>
          <w:highlight w:val="none"/>
        </w:rPr>
        <w:t>1.本表即为对本项目“第三篇”所列商务要求进行比较和响应；</w:t>
      </w:r>
    </w:p>
    <w:p w14:paraId="16A5AFE1">
      <w:pPr>
        <w:spacing w:line="480" w:lineRule="atLeast"/>
        <w:rPr>
          <w:rFonts w:cs="宋体"/>
          <w:color w:val="auto"/>
          <w:sz w:val="22"/>
          <w:szCs w:val="22"/>
          <w:highlight w:val="none"/>
        </w:rPr>
      </w:pPr>
      <w:r>
        <w:rPr>
          <w:rFonts w:hint="eastAsia" w:cs="宋体"/>
          <w:color w:val="auto"/>
          <w:sz w:val="22"/>
          <w:szCs w:val="22"/>
          <w:highlight w:val="none"/>
        </w:rPr>
        <w:t>2.该表必须按照竞采文件要求如实填写，根据响应情况在“差异说明”项填写“无差异”或正负偏离说明，※条款不得负偏离响应，否则作无效响应处理；</w:t>
      </w:r>
    </w:p>
    <w:p w14:paraId="5F929132">
      <w:pPr>
        <w:spacing w:line="480" w:lineRule="atLeast"/>
        <w:rPr>
          <w:rFonts w:cs="宋体"/>
          <w:color w:val="auto"/>
          <w:sz w:val="22"/>
          <w:szCs w:val="22"/>
          <w:highlight w:val="none"/>
        </w:rPr>
      </w:pPr>
      <w:r>
        <w:rPr>
          <w:rFonts w:hint="eastAsia" w:cs="宋体"/>
          <w:color w:val="auto"/>
          <w:sz w:val="22"/>
          <w:szCs w:val="22"/>
          <w:highlight w:val="none"/>
        </w:rPr>
        <w:t>3.该表可扩展；</w:t>
      </w:r>
    </w:p>
    <w:p w14:paraId="6FC457FE">
      <w:pPr>
        <w:spacing w:line="480" w:lineRule="atLeast"/>
        <w:rPr>
          <w:rFonts w:cs="宋体"/>
          <w:color w:val="auto"/>
          <w:sz w:val="22"/>
          <w:szCs w:val="22"/>
          <w:highlight w:val="none"/>
        </w:rPr>
      </w:pPr>
      <w:r>
        <w:rPr>
          <w:rFonts w:hint="eastAsia" w:cs="宋体"/>
          <w:color w:val="auto"/>
          <w:sz w:val="22"/>
          <w:szCs w:val="22"/>
          <w:highlight w:val="none"/>
        </w:rPr>
        <w:t>4.可附相关技术支撑材料。（格式自定）</w:t>
      </w:r>
    </w:p>
    <w:p w14:paraId="72E1B30D">
      <w:pPr>
        <w:rPr>
          <w:rFonts w:cs="宋体"/>
          <w:b/>
          <w:bCs/>
          <w:color w:val="auto"/>
          <w:highlight w:val="none"/>
        </w:rPr>
      </w:pPr>
      <w:bookmarkStart w:id="409" w:name="_Toc25826"/>
      <w:bookmarkStart w:id="410" w:name="_Toc28259"/>
      <w:bookmarkStart w:id="411" w:name="_Toc20137"/>
      <w:bookmarkStart w:id="412" w:name="_Toc30526"/>
      <w:bookmarkStart w:id="413" w:name="_Toc13056"/>
      <w:bookmarkStart w:id="414" w:name="_Toc13132"/>
    </w:p>
    <w:p w14:paraId="68B91525">
      <w:pPr>
        <w:rPr>
          <w:rFonts w:cs="宋体"/>
          <w:b/>
          <w:bCs/>
          <w:color w:val="auto"/>
          <w:highlight w:val="none"/>
        </w:rPr>
      </w:pPr>
    </w:p>
    <w:p w14:paraId="4AE742E8">
      <w:pPr>
        <w:rPr>
          <w:rFonts w:cs="宋体"/>
          <w:b/>
          <w:bCs/>
          <w:color w:val="auto"/>
          <w:highlight w:val="none"/>
        </w:rPr>
      </w:pPr>
    </w:p>
    <w:p w14:paraId="36ECC457">
      <w:pPr>
        <w:rPr>
          <w:rFonts w:cs="宋体"/>
          <w:b/>
          <w:bCs/>
          <w:color w:val="auto"/>
          <w:highlight w:val="none"/>
        </w:rPr>
      </w:pPr>
    </w:p>
    <w:p w14:paraId="50A8DCC7">
      <w:pPr>
        <w:rPr>
          <w:rFonts w:cs="宋体"/>
          <w:b/>
          <w:bCs/>
          <w:color w:val="auto"/>
          <w:highlight w:val="none"/>
        </w:rPr>
      </w:pPr>
    </w:p>
    <w:p w14:paraId="6AEAFF98">
      <w:pPr>
        <w:rPr>
          <w:rFonts w:cs="宋体"/>
          <w:color w:val="auto"/>
          <w:highlight w:val="none"/>
        </w:rPr>
      </w:pPr>
      <w:r>
        <w:rPr>
          <w:rFonts w:hint="eastAsia" w:cs="宋体"/>
          <w:b/>
          <w:bCs/>
          <w:color w:val="auto"/>
          <w:highlight w:val="none"/>
        </w:rPr>
        <w:t>（三）商务部分相关证明材料（自附）</w:t>
      </w:r>
      <w:r>
        <w:rPr>
          <w:rFonts w:hint="eastAsia" w:cs="宋体"/>
          <w:color w:val="auto"/>
          <w:highlight w:val="none"/>
        </w:rPr>
        <w:br w:type="page"/>
      </w:r>
    </w:p>
    <w:p w14:paraId="741EA8D0">
      <w:pPr>
        <w:pStyle w:val="4"/>
        <w:spacing w:before="192"/>
        <w:ind w:firstLine="562"/>
        <w:rPr>
          <w:rFonts w:ascii="Times New Roman" w:hAnsi="Times New Roman" w:cs="宋体"/>
          <w:color w:val="auto"/>
          <w:highlight w:val="none"/>
        </w:rPr>
      </w:pPr>
      <w:bookmarkStart w:id="415" w:name="_Toc2353"/>
      <w:bookmarkStart w:id="416" w:name="_Toc985"/>
      <w:bookmarkStart w:id="417" w:name="_Toc23051"/>
      <w:r>
        <w:rPr>
          <w:rFonts w:hint="eastAsia" w:ascii="Times New Roman" w:hAnsi="Times New Roman" w:cs="宋体"/>
          <w:color w:val="auto"/>
          <w:highlight w:val="none"/>
        </w:rPr>
        <w:t>五、</w:t>
      </w:r>
      <w:bookmarkEnd w:id="409"/>
      <w:bookmarkEnd w:id="410"/>
      <w:bookmarkEnd w:id="411"/>
      <w:r>
        <w:rPr>
          <w:rFonts w:hint="eastAsia" w:ascii="Times New Roman" w:hAnsi="Times New Roman" w:cs="宋体"/>
          <w:color w:val="auto"/>
          <w:highlight w:val="none"/>
        </w:rPr>
        <w:t>其他与项目有关的资料</w:t>
      </w:r>
      <w:bookmarkEnd w:id="412"/>
      <w:bookmarkEnd w:id="413"/>
      <w:bookmarkEnd w:id="414"/>
      <w:bookmarkEnd w:id="415"/>
      <w:bookmarkEnd w:id="416"/>
      <w:bookmarkEnd w:id="417"/>
    </w:p>
    <w:p w14:paraId="4EDAB4C3">
      <w:pPr>
        <w:snapToGrid w:val="0"/>
        <w:spacing w:line="400" w:lineRule="exact"/>
        <w:ind w:firstLine="560" w:firstLineChars="200"/>
        <w:rPr>
          <w:rFonts w:ascii="宋体" w:hAnsi="宋体" w:cs="宋体"/>
          <w:color w:val="auto"/>
          <w:szCs w:val="28"/>
          <w:highlight w:val="none"/>
        </w:rPr>
      </w:pPr>
      <w:r>
        <w:rPr>
          <w:rFonts w:hint="eastAsia" w:ascii="宋体" w:hAnsi="宋体" w:cs="宋体"/>
          <w:color w:val="auto"/>
          <w:szCs w:val="28"/>
          <w:highlight w:val="none"/>
        </w:rPr>
        <w:t>（一）其他与项目有关的资料（如有，自附。）</w:t>
      </w:r>
    </w:p>
    <w:p w14:paraId="74BD55A7">
      <w:pPr>
        <w:rPr>
          <w:rFonts w:cs="宋体"/>
          <w:color w:val="auto"/>
          <w:highlight w:val="none"/>
        </w:rPr>
      </w:pPr>
    </w:p>
    <w:p w14:paraId="0CF24C3C">
      <w:pPr>
        <w:pStyle w:val="19"/>
        <w:ind w:left="4480"/>
        <w:rPr>
          <w:rFonts w:cs="宋体"/>
          <w:color w:val="auto"/>
          <w:highlight w:val="none"/>
        </w:rPr>
      </w:pPr>
    </w:p>
    <w:p w14:paraId="5F6A974B">
      <w:pPr>
        <w:pStyle w:val="19"/>
        <w:ind w:left="4480"/>
        <w:rPr>
          <w:rFonts w:cs="宋体"/>
          <w:color w:val="auto"/>
          <w:highlight w:val="none"/>
        </w:rPr>
      </w:pPr>
    </w:p>
    <w:p w14:paraId="796531BC">
      <w:pPr>
        <w:rPr>
          <w:rFonts w:cs="宋体"/>
          <w:color w:val="auto"/>
          <w:highlight w:val="none"/>
        </w:rPr>
      </w:pPr>
    </w:p>
    <w:p w14:paraId="7CA33DF7">
      <w:pPr>
        <w:pStyle w:val="9"/>
        <w:rPr>
          <w:rFonts w:cs="宋体"/>
          <w:color w:val="auto"/>
          <w:highlight w:val="none"/>
        </w:rPr>
      </w:pPr>
    </w:p>
    <w:p w14:paraId="578F8BF1">
      <w:pPr>
        <w:pStyle w:val="19"/>
        <w:ind w:left="4480"/>
        <w:rPr>
          <w:rFonts w:cs="宋体"/>
          <w:color w:val="auto"/>
          <w:highlight w:val="none"/>
        </w:rPr>
      </w:pPr>
    </w:p>
    <w:p w14:paraId="1D5B31F6">
      <w:pPr>
        <w:rPr>
          <w:rFonts w:cs="宋体"/>
          <w:color w:val="auto"/>
          <w:highlight w:val="none"/>
        </w:rPr>
      </w:pPr>
    </w:p>
    <w:p w14:paraId="3C21AFA7">
      <w:pPr>
        <w:jc w:val="center"/>
        <w:rPr>
          <w:color w:val="auto"/>
          <w:highlight w:val="none"/>
        </w:rPr>
      </w:pPr>
      <w:r>
        <w:rPr>
          <w:rFonts w:hint="eastAsia"/>
          <w:color w:val="auto"/>
          <w:highlight w:val="none"/>
        </w:rPr>
        <w:t>（结  束）</w:t>
      </w:r>
    </w:p>
    <w:sectPr>
      <w:headerReference r:id="rId7" w:type="default"/>
      <w:footerReference r:id="rId8" w:type="default"/>
      <w:pgSz w:w="11905" w:h="16838"/>
      <w:pgMar w:top="1134" w:right="1134" w:bottom="1134" w:left="1134" w:header="850" w:footer="992" w:gutter="0"/>
      <w:pgNumType w:fmt="numberInDash"/>
      <w:cols w:space="0" w:num="1"/>
      <w:titlePg/>
      <w:docGrid w:type="lines" w:linePitch="38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CB6F802-1F5B-4C66-AAD9-1D231EC0E0BD}"/>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8A303004-2601-458D-8482-83869D16063A}"/>
  </w:font>
  <w:font w:name="Garamond">
    <w:altName w:val="Adobe Garamond Pro"/>
    <w:panose1 w:val="02020404030301010803"/>
    <w:charset w:val="00"/>
    <w:family w:val="roman"/>
    <w:pitch w:val="default"/>
    <w:sig w:usb0="00000000" w:usb1="00000000" w:usb2="00000000" w:usb3="00000000" w:csb0="0000009F" w:csb1="00000000"/>
  </w:font>
  <w:font w:name="Adobe Garamond Pro">
    <w:panose1 w:val="02020502060506020403"/>
    <w:charset w:val="00"/>
    <w:family w:val="auto"/>
    <w:pitch w:val="default"/>
    <w:sig w:usb0="00000007" w:usb1="00000001" w:usb2="00000000" w:usb3="00000000" w:csb0="20000093"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embedRegular r:id="rId3" w:fontKey="{9E7D52FD-C52D-4659-93FF-EF0C1741404F}"/>
  </w:font>
  <w:font w:name="Segoe UI">
    <w:panose1 w:val="020B0502040204020203"/>
    <w:charset w:val="00"/>
    <w:family w:val="swiss"/>
    <w:pitch w:val="default"/>
    <w:sig w:usb0="E4002EFF" w:usb1="C000E47F"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仿宋_GBK">
    <w:panose1 w:val="02000000000000000000"/>
    <w:charset w:val="86"/>
    <w:family w:val="script"/>
    <w:pitch w:val="default"/>
    <w:sig w:usb0="A00002BF" w:usb1="38CF7CFA" w:usb2="00082016" w:usb3="00000000" w:csb0="00040001" w:csb1="00000000"/>
    <w:embedRegular r:id="rId4" w:fontKey="{A364F759-9971-409D-BA4B-CD351454121C}"/>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17AD62">
    <w:pPr>
      <w:snapToGrid w:val="0"/>
      <w:ind w:firstLine="360"/>
      <w:rPr>
        <w:rFonts w:ascii="Calibri" w:hAnsi="Calibri"/>
        <w:sz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B247D">
    <w:pPr>
      <w:snapToGrid w:val="0"/>
      <w:ind w:firstLine="360"/>
      <w:rPr>
        <w:rFonts w:ascii="Calibri" w:hAnsi="Calibri"/>
        <w:sz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38AE182">
                          <w:pPr>
                            <w:pStyle w:val="15"/>
                          </w:pPr>
                          <w:r>
                            <w:fldChar w:fldCharType="begin"/>
                          </w:r>
                          <w:r>
                            <w:instrText xml:space="preserve"> PAGE  \* MERGEFORMAT </w:instrText>
                          </w:r>
                          <w:r>
                            <w:fldChar w:fldCharType="separate"/>
                          </w:r>
                          <w:r>
                            <w:t>- 7 -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14:paraId="038AE182">
                    <w:pPr>
                      <w:pStyle w:val="15"/>
                    </w:pPr>
                    <w:r>
                      <w:fldChar w:fldCharType="begin"/>
                    </w:r>
                    <w:r>
                      <w:instrText xml:space="preserve"> PAGE  \* MERGEFORMAT </w:instrText>
                    </w:r>
                    <w:r>
                      <w:fldChar w:fldCharType="separate"/>
                    </w:r>
                    <w:r>
                      <w:t>- 7 -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A43EA1">
    <w:pPr>
      <w:snapToGrid w:val="0"/>
      <w:ind w:firstLine="360"/>
      <w:rPr>
        <w:rFonts w:ascii="Calibri" w:hAnsi="Calibri"/>
        <w:sz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F4B6F9F">
                          <w:pPr>
                            <w:pStyle w:val="15"/>
                          </w:pPr>
                          <w:r>
                            <w:fldChar w:fldCharType="begin"/>
                          </w:r>
                          <w:r>
                            <w:instrText xml:space="preserve"> PAGE  \* MERGEFORMAT </w:instrText>
                          </w:r>
                          <w:r>
                            <w:fldChar w:fldCharType="separate"/>
                          </w:r>
                          <w:r>
                            <w:t>- 24 -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4F4B6F9F">
                    <w:pPr>
                      <w:pStyle w:val="15"/>
                    </w:pPr>
                    <w:r>
                      <w:fldChar w:fldCharType="begin"/>
                    </w:r>
                    <w:r>
                      <w:instrText xml:space="preserve"> PAGE  \* MERGEFORMAT </w:instrText>
                    </w:r>
                    <w:r>
                      <w:fldChar w:fldCharType="separate"/>
                    </w:r>
                    <w:r>
                      <w:t>- 24 -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25EB09">
    <w:pPr>
      <w:pStyle w:val="15"/>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5B710B8">
                          <w:pPr>
                            <w:pStyle w:val="15"/>
                          </w:pPr>
                          <w:r>
                            <w:fldChar w:fldCharType="begin"/>
                          </w:r>
                          <w:r>
                            <w:instrText xml:space="preserve"> PAGE  \* MERGEFORMAT </w:instrText>
                          </w:r>
                          <w:r>
                            <w:fldChar w:fldCharType="separate"/>
                          </w:r>
                          <w:r>
                            <w:t>- 8 -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15B710B8">
                    <w:pPr>
                      <w:pStyle w:val="15"/>
                    </w:pPr>
                    <w:r>
                      <w:fldChar w:fldCharType="begin"/>
                    </w:r>
                    <w:r>
                      <w:instrText xml:space="preserve"> PAGE  \* MERGEFORMAT </w:instrText>
                    </w:r>
                    <w:r>
                      <w:fldChar w:fldCharType="separate"/>
                    </w:r>
                    <w:r>
                      <w:t>- 8 -</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74EB2">
    <w:pPr>
      <w:snapToGrid w:val="0"/>
      <w:ind w:firstLine="360"/>
      <w:rPr>
        <w:rFonts w:ascii="Calibri" w:hAnsi="Calibri"/>
        <w:sz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BEAD344">
                          <w:pPr>
                            <w:pStyle w:val="15"/>
                          </w:pPr>
                          <w:r>
                            <w:fldChar w:fldCharType="begin"/>
                          </w:r>
                          <w:r>
                            <w:instrText xml:space="preserve"> PAGE  \* MERGEFORMAT </w:instrText>
                          </w:r>
                          <w:r>
                            <w:fldChar w:fldCharType="separate"/>
                          </w:r>
                          <w:r>
                            <w:t>- 36 -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sitUx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rLIrVMQIAAGUEAAAOAAAAAAAAAAEAIAAAAB8BAABkcnMvZTJvRG9jLnhtbFBLBQYA&#10;AAAABgAGAFkBAADCBQAAAAA=&#10;">
              <v:fill on="f" focussize="0,0"/>
              <v:stroke on="f" weight="0.5pt"/>
              <v:imagedata o:title=""/>
              <o:lock v:ext="edit" aspectratio="f"/>
              <v:textbox inset="0mm,0mm,0mm,0mm" style="mso-fit-shape-to-text:t;">
                <w:txbxContent>
                  <w:p w14:paraId="6BEAD344">
                    <w:pPr>
                      <w:pStyle w:val="15"/>
                    </w:pPr>
                    <w:r>
                      <w:fldChar w:fldCharType="begin"/>
                    </w:r>
                    <w:r>
                      <w:instrText xml:space="preserve"> PAGE  \* MERGEFORMAT </w:instrText>
                    </w:r>
                    <w:r>
                      <w:fldChar w:fldCharType="separate"/>
                    </w:r>
                    <w:r>
                      <w:t>- 36 -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C0F130">
    <w:pPr>
      <w:pStyle w:val="1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22779E"/>
    <w:multiLevelType w:val="singleLevel"/>
    <w:tmpl w:val="D622779E"/>
    <w:lvl w:ilvl="0" w:tentative="0">
      <w:start w:val="1"/>
      <w:numFmt w:val="decimal"/>
      <w:lvlText w:val="%1."/>
      <w:lvlJc w:val="left"/>
      <w:pPr>
        <w:tabs>
          <w:tab w:val="left" w:pos="312"/>
        </w:tabs>
      </w:pPr>
    </w:lvl>
  </w:abstractNum>
  <w:abstractNum w:abstractNumId="1">
    <w:nsid w:val="F5ED906B"/>
    <w:multiLevelType w:val="singleLevel"/>
    <w:tmpl w:val="F5ED906B"/>
    <w:lvl w:ilvl="0" w:tentative="0">
      <w:start w:val="6"/>
      <w:numFmt w:val="chineseCounting"/>
      <w:suff w:val="space"/>
      <w:lvlText w:val="第%1篇"/>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embedTrueTypeFonts/>
  <w:saveSubsetFonts/>
  <w:bordersDoNotSurroundHeader w:val="1"/>
  <w:bordersDoNotSurroundFooter w:val="1"/>
  <w:documentProtection w:enforcement="0"/>
  <w:defaultTabStop w:val="420"/>
  <w:drawingGridHorizontalSpacing w:val="280"/>
  <w:drawingGridVerticalSpacing w:val="193"/>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c3OTAxN2EzNWMxOTY4N2I4ZmQwOGU3YmQxMjFlODIifQ=="/>
  </w:docVars>
  <w:rsids>
    <w:rsidRoot w:val="00875E6C"/>
    <w:rsid w:val="0000759A"/>
    <w:rsid w:val="001315D9"/>
    <w:rsid w:val="001976D3"/>
    <w:rsid w:val="001F262E"/>
    <w:rsid w:val="002B6923"/>
    <w:rsid w:val="00433627"/>
    <w:rsid w:val="00460371"/>
    <w:rsid w:val="004D0E02"/>
    <w:rsid w:val="004D59BD"/>
    <w:rsid w:val="004F4E80"/>
    <w:rsid w:val="005749D1"/>
    <w:rsid w:val="00610597"/>
    <w:rsid w:val="0062179F"/>
    <w:rsid w:val="006360BD"/>
    <w:rsid w:val="0069744B"/>
    <w:rsid w:val="00704336"/>
    <w:rsid w:val="007201C2"/>
    <w:rsid w:val="0075194C"/>
    <w:rsid w:val="007D5EF2"/>
    <w:rsid w:val="007E0314"/>
    <w:rsid w:val="00845574"/>
    <w:rsid w:val="00853FCE"/>
    <w:rsid w:val="00875E6C"/>
    <w:rsid w:val="009D033E"/>
    <w:rsid w:val="00AF18FE"/>
    <w:rsid w:val="00B00660"/>
    <w:rsid w:val="00B057ED"/>
    <w:rsid w:val="00BA1151"/>
    <w:rsid w:val="00C40E46"/>
    <w:rsid w:val="00C753DF"/>
    <w:rsid w:val="00C80116"/>
    <w:rsid w:val="00CD504C"/>
    <w:rsid w:val="00E16FE2"/>
    <w:rsid w:val="00E30FAC"/>
    <w:rsid w:val="00E54D24"/>
    <w:rsid w:val="00EB1C0E"/>
    <w:rsid w:val="00F22F9D"/>
    <w:rsid w:val="00FA54DA"/>
    <w:rsid w:val="00FC02BF"/>
    <w:rsid w:val="00FC6610"/>
    <w:rsid w:val="01121891"/>
    <w:rsid w:val="01203FAE"/>
    <w:rsid w:val="0123584C"/>
    <w:rsid w:val="01237FC0"/>
    <w:rsid w:val="012F2443"/>
    <w:rsid w:val="01317F69"/>
    <w:rsid w:val="01390BCC"/>
    <w:rsid w:val="013B0DE8"/>
    <w:rsid w:val="013C56E1"/>
    <w:rsid w:val="014A20C9"/>
    <w:rsid w:val="01510BEF"/>
    <w:rsid w:val="015E4AD6"/>
    <w:rsid w:val="016073E8"/>
    <w:rsid w:val="016F4205"/>
    <w:rsid w:val="017B7436"/>
    <w:rsid w:val="017C0E40"/>
    <w:rsid w:val="017E6F26"/>
    <w:rsid w:val="01944054"/>
    <w:rsid w:val="01973B44"/>
    <w:rsid w:val="01987FE8"/>
    <w:rsid w:val="019E4ED3"/>
    <w:rsid w:val="01AE15BA"/>
    <w:rsid w:val="01BA61B0"/>
    <w:rsid w:val="01C34939"/>
    <w:rsid w:val="01C761D7"/>
    <w:rsid w:val="01D34B7C"/>
    <w:rsid w:val="01D408F4"/>
    <w:rsid w:val="01D534BA"/>
    <w:rsid w:val="01D803E5"/>
    <w:rsid w:val="01F9035B"/>
    <w:rsid w:val="01FD42EF"/>
    <w:rsid w:val="01FF3BC3"/>
    <w:rsid w:val="020C008E"/>
    <w:rsid w:val="02414E7F"/>
    <w:rsid w:val="02532161"/>
    <w:rsid w:val="02535CBD"/>
    <w:rsid w:val="025657AD"/>
    <w:rsid w:val="027D2D3A"/>
    <w:rsid w:val="028213AB"/>
    <w:rsid w:val="028916DF"/>
    <w:rsid w:val="02963DFC"/>
    <w:rsid w:val="02A76009"/>
    <w:rsid w:val="02A91D81"/>
    <w:rsid w:val="02C46BBB"/>
    <w:rsid w:val="02C473C4"/>
    <w:rsid w:val="02C72207"/>
    <w:rsid w:val="02C941D1"/>
    <w:rsid w:val="02CB1CF7"/>
    <w:rsid w:val="02D53891"/>
    <w:rsid w:val="02D54924"/>
    <w:rsid w:val="02D84414"/>
    <w:rsid w:val="02D908B8"/>
    <w:rsid w:val="02F72AEC"/>
    <w:rsid w:val="03060419"/>
    <w:rsid w:val="03101E00"/>
    <w:rsid w:val="03123DCA"/>
    <w:rsid w:val="0313544C"/>
    <w:rsid w:val="031713E0"/>
    <w:rsid w:val="032612CE"/>
    <w:rsid w:val="0334549D"/>
    <w:rsid w:val="0341020B"/>
    <w:rsid w:val="034A5F18"/>
    <w:rsid w:val="034D4E02"/>
    <w:rsid w:val="03561F09"/>
    <w:rsid w:val="03595555"/>
    <w:rsid w:val="035A307B"/>
    <w:rsid w:val="03685798"/>
    <w:rsid w:val="036F2FCB"/>
    <w:rsid w:val="036F6B27"/>
    <w:rsid w:val="0371289F"/>
    <w:rsid w:val="039E565E"/>
    <w:rsid w:val="03A34A22"/>
    <w:rsid w:val="03A8028B"/>
    <w:rsid w:val="03B14776"/>
    <w:rsid w:val="03BC224B"/>
    <w:rsid w:val="03D512BE"/>
    <w:rsid w:val="03DD7F34"/>
    <w:rsid w:val="03E7176B"/>
    <w:rsid w:val="03EA08A3"/>
    <w:rsid w:val="03EB4794"/>
    <w:rsid w:val="03EC7C9F"/>
    <w:rsid w:val="03EF5EB9"/>
    <w:rsid w:val="03F31506"/>
    <w:rsid w:val="03F86B1C"/>
    <w:rsid w:val="040B3CB2"/>
    <w:rsid w:val="040B7E59"/>
    <w:rsid w:val="040D00EE"/>
    <w:rsid w:val="040F3E66"/>
    <w:rsid w:val="04155920"/>
    <w:rsid w:val="041B280B"/>
    <w:rsid w:val="04406715"/>
    <w:rsid w:val="044A3E16"/>
    <w:rsid w:val="045D1075"/>
    <w:rsid w:val="04697A1A"/>
    <w:rsid w:val="04767895"/>
    <w:rsid w:val="047F0FEB"/>
    <w:rsid w:val="04954A53"/>
    <w:rsid w:val="049B394B"/>
    <w:rsid w:val="049C7A2E"/>
    <w:rsid w:val="049D07A1"/>
    <w:rsid w:val="04AE367F"/>
    <w:rsid w:val="04BA7570"/>
    <w:rsid w:val="04C609C8"/>
    <w:rsid w:val="04D56E5D"/>
    <w:rsid w:val="04D8694E"/>
    <w:rsid w:val="04DF1A8A"/>
    <w:rsid w:val="04E34884"/>
    <w:rsid w:val="04E84DE3"/>
    <w:rsid w:val="04F05A45"/>
    <w:rsid w:val="050140F6"/>
    <w:rsid w:val="05025778"/>
    <w:rsid w:val="050E236F"/>
    <w:rsid w:val="05195C41"/>
    <w:rsid w:val="05260A35"/>
    <w:rsid w:val="052971A9"/>
    <w:rsid w:val="053D1916"/>
    <w:rsid w:val="054162A1"/>
    <w:rsid w:val="05542478"/>
    <w:rsid w:val="056401E1"/>
    <w:rsid w:val="05685F23"/>
    <w:rsid w:val="05706B86"/>
    <w:rsid w:val="058E7496"/>
    <w:rsid w:val="058F1702"/>
    <w:rsid w:val="05922FA0"/>
    <w:rsid w:val="0595200F"/>
    <w:rsid w:val="05A21435"/>
    <w:rsid w:val="05C649F8"/>
    <w:rsid w:val="05C81985"/>
    <w:rsid w:val="05D37841"/>
    <w:rsid w:val="05D830A9"/>
    <w:rsid w:val="05E41A4E"/>
    <w:rsid w:val="05F61781"/>
    <w:rsid w:val="05F652DD"/>
    <w:rsid w:val="05F81055"/>
    <w:rsid w:val="060F45F1"/>
    <w:rsid w:val="06173ED7"/>
    <w:rsid w:val="061B11E8"/>
    <w:rsid w:val="063F4ED6"/>
    <w:rsid w:val="064249C6"/>
    <w:rsid w:val="064918B1"/>
    <w:rsid w:val="064E336B"/>
    <w:rsid w:val="064F0F69"/>
    <w:rsid w:val="0661309E"/>
    <w:rsid w:val="066163F9"/>
    <w:rsid w:val="06624721"/>
    <w:rsid w:val="066C31F2"/>
    <w:rsid w:val="066F5090"/>
    <w:rsid w:val="06764670"/>
    <w:rsid w:val="069F3BC7"/>
    <w:rsid w:val="06AB431A"/>
    <w:rsid w:val="06B036DE"/>
    <w:rsid w:val="06B331CE"/>
    <w:rsid w:val="06B62CBE"/>
    <w:rsid w:val="06B807E5"/>
    <w:rsid w:val="06BA6A94"/>
    <w:rsid w:val="06C37F45"/>
    <w:rsid w:val="06CB4FA1"/>
    <w:rsid w:val="06D7510F"/>
    <w:rsid w:val="06DE3CB3"/>
    <w:rsid w:val="070103DE"/>
    <w:rsid w:val="07035F04"/>
    <w:rsid w:val="070677A2"/>
    <w:rsid w:val="07140111"/>
    <w:rsid w:val="0717375D"/>
    <w:rsid w:val="07195727"/>
    <w:rsid w:val="0721282E"/>
    <w:rsid w:val="07500A1D"/>
    <w:rsid w:val="07571DAC"/>
    <w:rsid w:val="075F5104"/>
    <w:rsid w:val="07634BF4"/>
    <w:rsid w:val="076B3AA9"/>
    <w:rsid w:val="076F1953"/>
    <w:rsid w:val="0784456A"/>
    <w:rsid w:val="07852DBD"/>
    <w:rsid w:val="078608E3"/>
    <w:rsid w:val="0789477F"/>
    <w:rsid w:val="07934F2A"/>
    <w:rsid w:val="0797489E"/>
    <w:rsid w:val="07975B80"/>
    <w:rsid w:val="07A07E80"/>
    <w:rsid w:val="07A64AE1"/>
    <w:rsid w:val="07B216D8"/>
    <w:rsid w:val="07B61B72"/>
    <w:rsid w:val="07CD6512"/>
    <w:rsid w:val="07D96C64"/>
    <w:rsid w:val="07E07FF3"/>
    <w:rsid w:val="07F41CF0"/>
    <w:rsid w:val="07FB307F"/>
    <w:rsid w:val="080F69C5"/>
    <w:rsid w:val="081465CD"/>
    <w:rsid w:val="08161C67"/>
    <w:rsid w:val="084367D4"/>
    <w:rsid w:val="084A1910"/>
    <w:rsid w:val="08564759"/>
    <w:rsid w:val="08566507"/>
    <w:rsid w:val="08694136"/>
    <w:rsid w:val="086A1FB2"/>
    <w:rsid w:val="08894C98"/>
    <w:rsid w:val="088A7F5F"/>
    <w:rsid w:val="08A96637"/>
    <w:rsid w:val="08BF40AC"/>
    <w:rsid w:val="08F63846"/>
    <w:rsid w:val="0913264A"/>
    <w:rsid w:val="09167A44"/>
    <w:rsid w:val="09252D8D"/>
    <w:rsid w:val="09336848"/>
    <w:rsid w:val="093F343F"/>
    <w:rsid w:val="0966277A"/>
    <w:rsid w:val="096E162E"/>
    <w:rsid w:val="09774987"/>
    <w:rsid w:val="097A4477"/>
    <w:rsid w:val="097C3D4B"/>
    <w:rsid w:val="09931095"/>
    <w:rsid w:val="09E55D95"/>
    <w:rsid w:val="0A037FC9"/>
    <w:rsid w:val="0A067AB9"/>
    <w:rsid w:val="0A072A97"/>
    <w:rsid w:val="0A0855DF"/>
    <w:rsid w:val="0A0A4865"/>
    <w:rsid w:val="0A0A75A9"/>
    <w:rsid w:val="0A2134F6"/>
    <w:rsid w:val="0A2267EE"/>
    <w:rsid w:val="0A3E680D"/>
    <w:rsid w:val="0A4D717D"/>
    <w:rsid w:val="0A51342A"/>
    <w:rsid w:val="0A56459C"/>
    <w:rsid w:val="0A664130"/>
    <w:rsid w:val="0A6C3DC0"/>
    <w:rsid w:val="0A6F38B0"/>
    <w:rsid w:val="0A856C30"/>
    <w:rsid w:val="0A883B4D"/>
    <w:rsid w:val="0A984BB5"/>
    <w:rsid w:val="0AA70248"/>
    <w:rsid w:val="0AD23916"/>
    <w:rsid w:val="0ADA3ECE"/>
    <w:rsid w:val="0ADD2F10"/>
    <w:rsid w:val="0AEC6CAF"/>
    <w:rsid w:val="0AEE0C79"/>
    <w:rsid w:val="0B073AE9"/>
    <w:rsid w:val="0B0E4E77"/>
    <w:rsid w:val="0B16263E"/>
    <w:rsid w:val="0B1F52D6"/>
    <w:rsid w:val="0B3A3EBE"/>
    <w:rsid w:val="0B425A17"/>
    <w:rsid w:val="0B445E0F"/>
    <w:rsid w:val="0B464611"/>
    <w:rsid w:val="0B4D5164"/>
    <w:rsid w:val="0B4E7969"/>
    <w:rsid w:val="0B521208"/>
    <w:rsid w:val="0B5717B6"/>
    <w:rsid w:val="0B667275"/>
    <w:rsid w:val="0B6B22C9"/>
    <w:rsid w:val="0B7D3DAB"/>
    <w:rsid w:val="0B8213C1"/>
    <w:rsid w:val="0B8A1792"/>
    <w:rsid w:val="0B8D0492"/>
    <w:rsid w:val="0B8E420A"/>
    <w:rsid w:val="0B903ADE"/>
    <w:rsid w:val="0B957346"/>
    <w:rsid w:val="0B980BE5"/>
    <w:rsid w:val="0B9B6CCA"/>
    <w:rsid w:val="0BAD28E2"/>
    <w:rsid w:val="0BB43C70"/>
    <w:rsid w:val="0BB84DE3"/>
    <w:rsid w:val="0BC814CA"/>
    <w:rsid w:val="0BD7170D"/>
    <w:rsid w:val="0BDA11FD"/>
    <w:rsid w:val="0BED7182"/>
    <w:rsid w:val="0BFB189F"/>
    <w:rsid w:val="0C006EB6"/>
    <w:rsid w:val="0C05627A"/>
    <w:rsid w:val="0C083FBC"/>
    <w:rsid w:val="0C1622A5"/>
    <w:rsid w:val="0C1F4E62"/>
    <w:rsid w:val="0C2421D9"/>
    <w:rsid w:val="0C37664F"/>
    <w:rsid w:val="0C452B1A"/>
    <w:rsid w:val="0C460641"/>
    <w:rsid w:val="0C637445"/>
    <w:rsid w:val="0C6B22BE"/>
    <w:rsid w:val="0C9D4705"/>
    <w:rsid w:val="0CA737D5"/>
    <w:rsid w:val="0CC021A1"/>
    <w:rsid w:val="0CC46135"/>
    <w:rsid w:val="0CC7259C"/>
    <w:rsid w:val="0CE340E1"/>
    <w:rsid w:val="0CE449F4"/>
    <w:rsid w:val="0CE95B9C"/>
    <w:rsid w:val="0CEA0CA3"/>
    <w:rsid w:val="0CEF17A8"/>
    <w:rsid w:val="0CF14A50"/>
    <w:rsid w:val="0CFA3905"/>
    <w:rsid w:val="0D0E01E4"/>
    <w:rsid w:val="0D2A3ABE"/>
    <w:rsid w:val="0D40797F"/>
    <w:rsid w:val="0D442DD2"/>
    <w:rsid w:val="0D4E2C3A"/>
    <w:rsid w:val="0D5116CB"/>
    <w:rsid w:val="0D5C45C0"/>
    <w:rsid w:val="0D611BD6"/>
    <w:rsid w:val="0D662D48"/>
    <w:rsid w:val="0D6B65B1"/>
    <w:rsid w:val="0D786F20"/>
    <w:rsid w:val="0D7C256C"/>
    <w:rsid w:val="0D7D0092"/>
    <w:rsid w:val="0D8238FA"/>
    <w:rsid w:val="0D894C89"/>
    <w:rsid w:val="0DA67DDF"/>
    <w:rsid w:val="0DAB10A3"/>
    <w:rsid w:val="0DBC505E"/>
    <w:rsid w:val="0DC42165"/>
    <w:rsid w:val="0DC52BE4"/>
    <w:rsid w:val="0DDA308D"/>
    <w:rsid w:val="0DEF0A31"/>
    <w:rsid w:val="0DF26CD2"/>
    <w:rsid w:val="0DF90060"/>
    <w:rsid w:val="0DFA594D"/>
    <w:rsid w:val="0DFC545B"/>
    <w:rsid w:val="0E224B6C"/>
    <w:rsid w:val="0E342E47"/>
    <w:rsid w:val="0E386DB4"/>
    <w:rsid w:val="0E666D78"/>
    <w:rsid w:val="0E67321C"/>
    <w:rsid w:val="0E6C0832"/>
    <w:rsid w:val="0E6F3E7F"/>
    <w:rsid w:val="0E9438E5"/>
    <w:rsid w:val="0E947D89"/>
    <w:rsid w:val="0E963B01"/>
    <w:rsid w:val="0E9C09EC"/>
    <w:rsid w:val="0EA0672E"/>
    <w:rsid w:val="0EC3241C"/>
    <w:rsid w:val="0EC35F79"/>
    <w:rsid w:val="0EC95C85"/>
    <w:rsid w:val="0ECC307F"/>
    <w:rsid w:val="0EDB32C2"/>
    <w:rsid w:val="0EFE3455"/>
    <w:rsid w:val="0F000F7B"/>
    <w:rsid w:val="0F2033CB"/>
    <w:rsid w:val="0F274759"/>
    <w:rsid w:val="0F5372FC"/>
    <w:rsid w:val="0F7200CA"/>
    <w:rsid w:val="0F76123D"/>
    <w:rsid w:val="0F865924"/>
    <w:rsid w:val="0F9067A2"/>
    <w:rsid w:val="0F9470D3"/>
    <w:rsid w:val="0F9E52D1"/>
    <w:rsid w:val="0FB44876"/>
    <w:rsid w:val="0FC87CEA"/>
    <w:rsid w:val="0FD52407"/>
    <w:rsid w:val="0FF22FB9"/>
    <w:rsid w:val="0FFF56D6"/>
    <w:rsid w:val="10086339"/>
    <w:rsid w:val="100E1475"/>
    <w:rsid w:val="102869DB"/>
    <w:rsid w:val="10321608"/>
    <w:rsid w:val="103709CC"/>
    <w:rsid w:val="103C4234"/>
    <w:rsid w:val="1040283D"/>
    <w:rsid w:val="104355C3"/>
    <w:rsid w:val="10466E61"/>
    <w:rsid w:val="104D01F0"/>
    <w:rsid w:val="10587DF7"/>
    <w:rsid w:val="10593038"/>
    <w:rsid w:val="10596B94"/>
    <w:rsid w:val="105B0B5E"/>
    <w:rsid w:val="106F63B8"/>
    <w:rsid w:val="107A6B0B"/>
    <w:rsid w:val="107C5A41"/>
    <w:rsid w:val="108005C5"/>
    <w:rsid w:val="108C64EF"/>
    <w:rsid w:val="109D1177"/>
    <w:rsid w:val="10C33691"/>
    <w:rsid w:val="10EA5A3E"/>
    <w:rsid w:val="10EC2A75"/>
    <w:rsid w:val="10F20B4A"/>
    <w:rsid w:val="10FC5772"/>
    <w:rsid w:val="10FD39C4"/>
    <w:rsid w:val="110034B4"/>
    <w:rsid w:val="11196324"/>
    <w:rsid w:val="1132401F"/>
    <w:rsid w:val="113B44EC"/>
    <w:rsid w:val="113E3FDC"/>
    <w:rsid w:val="116457F1"/>
    <w:rsid w:val="1172466A"/>
    <w:rsid w:val="118E286E"/>
    <w:rsid w:val="119360D6"/>
    <w:rsid w:val="119D51A7"/>
    <w:rsid w:val="119D7604"/>
    <w:rsid w:val="119F0F1F"/>
    <w:rsid w:val="11A16A45"/>
    <w:rsid w:val="11A402E3"/>
    <w:rsid w:val="11AA3420"/>
    <w:rsid w:val="11AC5D7A"/>
    <w:rsid w:val="11C42733"/>
    <w:rsid w:val="11E701D0"/>
    <w:rsid w:val="11F22685"/>
    <w:rsid w:val="11F56D91"/>
    <w:rsid w:val="11F624FE"/>
    <w:rsid w:val="11F76665"/>
    <w:rsid w:val="12147FB8"/>
    <w:rsid w:val="121865DB"/>
    <w:rsid w:val="12323B41"/>
    <w:rsid w:val="123840C4"/>
    <w:rsid w:val="124318AA"/>
    <w:rsid w:val="124B4C03"/>
    <w:rsid w:val="124F73DC"/>
    <w:rsid w:val="125D0492"/>
    <w:rsid w:val="125F095F"/>
    <w:rsid w:val="12641821"/>
    <w:rsid w:val="127203E1"/>
    <w:rsid w:val="12863E8D"/>
    <w:rsid w:val="12922832"/>
    <w:rsid w:val="129E11D6"/>
    <w:rsid w:val="129E2F84"/>
    <w:rsid w:val="12AA1929"/>
    <w:rsid w:val="12B502CE"/>
    <w:rsid w:val="12BE7183"/>
    <w:rsid w:val="12C10A21"/>
    <w:rsid w:val="12CA1FCB"/>
    <w:rsid w:val="12E34E3B"/>
    <w:rsid w:val="12F86309"/>
    <w:rsid w:val="12F86B39"/>
    <w:rsid w:val="12FD414F"/>
    <w:rsid w:val="12FE1C75"/>
    <w:rsid w:val="13044E54"/>
    <w:rsid w:val="130A23C8"/>
    <w:rsid w:val="130B0801"/>
    <w:rsid w:val="131C20FB"/>
    <w:rsid w:val="131E5E73"/>
    <w:rsid w:val="13482EF0"/>
    <w:rsid w:val="134C29E0"/>
    <w:rsid w:val="1356385F"/>
    <w:rsid w:val="13573133"/>
    <w:rsid w:val="136A2E67"/>
    <w:rsid w:val="136C6BDF"/>
    <w:rsid w:val="13785584"/>
    <w:rsid w:val="137F156C"/>
    <w:rsid w:val="13836400"/>
    <w:rsid w:val="13872098"/>
    <w:rsid w:val="138C7281"/>
    <w:rsid w:val="13904FC3"/>
    <w:rsid w:val="13925EE6"/>
    <w:rsid w:val="1399374C"/>
    <w:rsid w:val="139B3968"/>
    <w:rsid w:val="139C19DC"/>
    <w:rsid w:val="139F5206"/>
    <w:rsid w:val="139F6FB4"/>
    <w:rsid w:val="13A7230D"/>
    <w:rsid w:val="13AE5449"/>
    <w:rsid w:val="13CA6299"/>
    <w:rsid w:val="13CC15F2"/>
    <w:rsid w:val="13DD5D2E"/>
    <w:rsid w:val="13E470BD"/>
    <w:rsid w:val="13E7095B"/>
    <w:rsid w:val="13F84916"/>
    <w:rsid w:val="14123C2A"/>
    <w:rsid w:val="141334FE"/>
    <w:rsid w:val="14264FE0"/>
    <w:rsid w:val="1436224E"/>
    <w:rsid w:val="144A162C"/>
    <w:rsid w:val="145A737F"/>
    <w:rsid w:val="1461070D"/>
    <w:rsid w:val="14636234"/>
    <w:rsid w:val="14665D24"/>
    <w:rsid w:val="146E6986"/>
    <w:rsid w:val="14726477"/>
    <w:rsid w:val="148368D6"/>
    <w:rsid w:val="14860174"/>
    <w:rsid w:val="14983A03"/>
    <w:rsid w:val="14A16D5C"/>
    <w:rsid w:val="14A64372"/>
    <w:rsid w:val="14A95C11"/>
    <w:rsid w:val="14BF71E2"/>
    <w:rsid w:val="14C2372B"/>
    <w:rsid w:val="14CB5B87"/>
    <w:rsid w:val="14D25167"/>
    <w:rsid w:val="14D92443"/>
    <w:rsid w:val="14D955B0"/>
    <w:rsid w:val="15080B89"/>
    <w:rsid w:val="15190FE8"/>
    <w:rsid w:val="151B4D60"/>
    <w:rsid w:val="151E5B91"/>
    <w:rsid w:val="152534E9"/>
    <w:rsid w:val="1528122B"/>
    <w:rsid w:val="152A7C39"/>
    <w:rsid w:val="153674A4"/>
    <w:rsid w:val="153D78B4"/>
    <w:rsid w:val="15565D98"/>
    <w:rsid w:val="155C679B"/>
    <w:rsid w:val="156009C5"/>
    <w:rsid w:val="1574566E"/>
    <w:rsid w:val="15802E15"/>
    <w:rsid w:val="15997A33"/>
    <w:rsid w:val="15AC7766"/>
    <w:rsid w:val="15AD4406"/>
    <w:rsid w:val="15B7153F"/>
    <w:rsid w:val="15C639B1"/>
    <w:rsid w:val="15CF38CC"/>
    <w:rsid w:val="15D31197"/>
    <w:rsid w:val="15D53161"/>
    <w:rsid w:val="15DB629E"/>
    <w:rsid w:val="15EA512F"/>
    <w:rsid w:val="15EE7D7F"/>
    <w:rsid w:val="15EF417B"/>
    <w:rsid w:val="15F35395"/>
    <w:rsid w:val="15F80BFE"/>
    <w:rsid w:val="160475A2"/>
    <w:rsid w:val="160E6673"/>
    <w:rsid w:val="161A0B74"/>
    <w:rsid w:val="1629423D"/>
    <w:rsid w:val="162C6AF9"/>
    <w:rsid w:val="163D4862"/>
    <w:rsid w:val="164B6F7F"/>
    <w:rsid w:val="1658169C"/>
    <w:rsid w:val="1666025D"/>
    <w:rsid w:val="16687D3E"/>
    <w:rsid w:val="166D65D9"/>
    <w:rsid w:val="168A2AF7"/>
    <w:rsid w:val="16913548"/>
    <w:rsid w:val="16AE5760"/>
    <w:rsid w:val="16C64858"/>
    <w:rsid w:val="16D90A2F"/>
    <w:rsid w:val="16E80C72"/>
    <w:rsid w:val="16ED44DA"/>
    <w:rsid w:val="172B7C90"/>
    <w:rsid w:val="174E4CFE"/>
    <w:rsid w:val="175956CC"/>
    <w:rsid w:val="175E2CE2"/>
    <w:rsid w:val="1767603B"/>
    <w:rsid w:val="17683B61"/>
    <w:rsid w:val="17C0399D"/>
    <w:rsid w:val="17C50FB3"/>
    <w:rsid w:val="17C84600"/>
    <w:rsid w:val="17D17958"/>
    <w:rsid w:val="17D94B36"/>
    <w:rsid w:val="17EE4066"/>
    <w:rsid w:val="17FA7FA2"/>
    <w:rsid w:val="17FD699F"/>
    <w:rsid w:val="18194E5B"/>
    <w:rsid w:val="18267CA4"/>
    <w:rsid w:val="18295325"/>
    <w:rsid w:val="182C6276"/>
    <w:rsid w:val="18363C5F"/>
    <w:rsid w:val="184E0FA9"/>
    <w:rsid w:val="18561C0B"/>
    <w:rsid w:val="185D743E"/>
    <w:rsid w:val="187F0273"/>
    <w:rsid w:val="18891FE1"/>
    <w:rsid w:val="188D7D23"/>
    <w:rsid w:val="188E75F7"/>
    <w:rsid w:val="189866C8"/>
    <w:rsid w:val="189A41EE"/>
    <w:rsid w:val="18A72D85"/>
    <w:rsid w:val="18B352B0"/>
    <w:rsid w:val="18B37049"/>
    <w:rsid w:val="18B8458C"/>
    <w:rsid w:val="18C64FE3"/>
    <w:rsid w:val="18CE3E98"/>
    <w:rsid w:val="18D25736"/>
    <w:rsid w:val="18D544EC"/>
    <w:rsid w:val="18DE232D"/>
    <w:rsid w:val="19061883"/>
    <w:rsid w:val="190B6E9A"/>
    <w:rsid w:val="19137AFC"/>
    <w:rsid w:val="19153875"/>
    <w:rsid w:val="191C4C03"/>
    <w:rsid w:val="192166BD"/>
    <w:rsid w:val="192449E3"/>
    <w:rsid w:val="19257F5C"/>
    <w:rsid w:val="19457408"/>
    <w:rsid w:val="19467ED2"/>
    <w:rsid w:val="194D1260"/>
    <w:rsid w:val="194D74B2"/>
    <w:rsid w:val="196E5FF2"/>
    <w:rsid w:val="197D7D98"/>
    <w:rsid w:val="1981715C"/>
    <w:rsid w:val="19874772"/>
    <w:rsid w:val="19C07C84"/>
    <w:rsid w:val="19EA4D01"/>
    <w:rsid w:val="19FB2A6A"/>
    <w:rsid w:val="19FE255B"/>
    <w:rsid w:val="1A18186E"/>
    <w:rsid w:val="1A18361C"/>
    <w:rsid w:val="1A240213"/>
    <w:rsid w:val="1A3345AB"/>
    <w:rsid w:val="1A381F10"/>
    <w:rsid w:val="1A4A57A0"/>
    <w:rsid w:val="1A5545C6"/>
    <w:rsid w:val="1A654388"/>
    <w:rsid w:val="1A6732D4"/>
    <w:rsid w:val="1A6844D4"/>
    <w:rsid w:val="1A6E148E"/>
    <w:rsid w:val="1A9C249F"/>
    <w:rsid w:val="1A9F5AEC"/>
    <w:rsid w:val="1AA1531C"/>
    <w:rsid w:val="1AA2738A"/>
    <w:rsid w:val="1AAB7407"/>
    <w:rsid w:val="1AB53561"/>
    <w:rsid w:val="1AB570BD"/>
    <w:rsid w:val="1AB80F1C"/>
    <w:rsid w:val="1AC11F06"/>
    <w:rsid w:val="1AD559B1"/>
    <w:rsid w:val="1ADB3280"/>
    <w:rsid w:val="1ADB7C95"/>
    <w:rsid w:val="1AE654C9"/>
    <w:rsid w:val="1AE87493"/>
    <w:rsid w:val="1B0E2C71"/>
    <w:rsid w:val="1B132036"/>
    <w:rsid w:val="1B215345"/>
    <w:rsid w:val="1B232D26"/>
    <w:rsid w:val="1B285AE1"/>
    <w:rsid w:val="1B371D78"/>
    <w:rsid w:val="1B636B19"/>
    <w:rsid w:val="1B697EA8"/>
    <w:rsid w:val="1B6B6201"/>
    <w:rsid w:val="1B701236"/>
    <w:rsid w:val="1B7C5E2D"/>
    <w:rsid w:val="1B9E7E6B"/>
    <w:rsid w:val="1BA875D4"/>
    <w:rsid w:val="1BAF48EB"/>
    <w:rsid w:val="1BBB4BA7"/>
    <w:rsid w:val="1BCD6688"/>
    <w:rsid w:val="1BD6378F"/>
    <w:rsid w:val="1BEC2FB3"/>
    <w:rsid w:val="1BF9747E"/>
    <w:rsid w:val="1BFB4FA4"/>
    <w:rsid w:val="1BFE4A94"/>
    <w:rsid w:val="1C063DFC"/>
    <w:rsid w:val="1C0A51E7"/>
    <w:rsid w:val="1C146065"/>
    <w:rsid w:val="1C1B73F4"/>
    <w:rsid w:val="1C2C1601"/>
    <w:rsid w:val="1C3D1800"/>
    <w:rsid w:val="1C493F61"/>
    <w:rsid w:val="1C512E16"/>
    <w:rsid w:val="1C542199"/>
    <w:rsid w:val="1C5446B4"/>
    <w:rsid w:val="1C5B5A42"/>
    <w:rsid w:val="1C730FDE"/>
    <w:rsid w:val="1C7F7983"/>
    <w:rsid w:val="1C8925AF"/>
    <w:rsid w:val="1C8D752E"/>
    <w:rsid w:val="1C9E5FCC"/>
    <w:rsid w:val="1CB57848"/>
    <w:rsid w:val="1CB6536F"/>
    <w:rsid w:val="1CBB2985"/>
    <w:rsid w:val="1CC7132A"/>
    <w:rsid w:val="1CD35F20"/>
    <w:rsid w:val="1CD83537"/>
    <w:rsid w:val="1D0460DA"/>
    <w:rsid w:val="1D0C4F8F"/>
    <w:rsid w:val="1D2251D7"/>
    <w:rsid w:val="1D2642A2"/>
    <w:rsid w:val="1D300C7D"/>
    <w:rsid w:val="1D445881"/>
    <w:rsid w:val="1D4D5CD3"/>
    <w:rsid w:val="1D552DD9"/>
    <w:rsid w:val="1D5A5F73"/>
    <w:rsid w:val="1D5C5F16"/>
    <w:rsid w:val="1D685307"/>
    <w:rsid w:val="1D724B42"/>
    <w:rsid w:val="1D7D3EB6"/>
    <w:rsid w:val="1D864D41"/>
    <w:rsid w:val="1DBC69B5"/>
    <w:rsid w:val="1DE859FC"/>
    <w:rsid w:val="1DF517C5"/>
    <w:rsid w:val="1E002D45"/>
    <w:rsid w:val="1E081BFA"/>
    <w:rsid w:val="1E087E4C"/>
    <w:rsid w:val="1E0A7720"/>
    <w:rsid w:val="1E0C0B57"/>
    <w:rsid w:val="1E0D5462"/>
    <w:rsid w:val="1E0F2F88"/>
    <w:rsid w:val="1E0F4D36"/>
    <w:rsid w:val="1E197963"/>
    <w:rsid w:val="1E1B3C1A"/>
    <w:rsid w:val="1E200CF1"/>
    <w:rsid w:val="1E234C86"/>
    <w:rsid w:val="1E25455A"/>
    <w:rsid w:val="1E2F7187"/>
    <w:rsid w:val="1E4470D6"/>
    <w:rsid w:val="1E49223A"/>
    <w:rsid w:val="1E506D33"/>
    <w:rsid w:val="1E5906A7"/>
    <w:rsid w:val="1E607CAE"/>
    <w:rsid w:val="1E6905F2"/>
    <w:rsid w:val="1E766B63"/>
    <w:rsid w:val="1E803E86"/>
    <w:rsid w:val="1EA2204E"/>
    <w:rsid w:val="1EA90CE7"/>
    <w:rsid w:val="1EB83620"/>
    <w:rsid w:val="1EC93137"/>
    <w:rsid w:val="1EDD4E34"/>
    <w:rsid w:val="1EDF295B"/>
    <w:rsid w:val="1F0C74C8"/>
    <w:rsid w:val="1F1072F4"/>
    <w:rsid w:val="1F132C50"/>
    <w:rsid w:val="1F1E7942"/>
    <w:rsid w:val="1F244811"/>
    <w:rsid w:val="1F264A2D"/>
    <w:rsid w:val="1F274302"/>
    <w:rsid w:val="1F274C01"/>
    <w:rsid w:val="1F3C1B5B"/>
    <w:rsid w:val="1F3E1D77"/>
    <w:rsid w:val="1F4E188E"/>
    <w:rsid w:val="1F6A2B6C"/>
    <w:rsid w:val="1F6D61B8"/>
    <w:rsid w:val="1F6D77C8"/>
    <w:rsid w:val="1F7532BF"/>
    <w:rsid w:val="1F8654CC"/>
    <w:rsid w:val="1F90634B"/>
    <w:rsid w:val="1F971487"/>
    <w:rsid w:val="1FA20DCC"/>
    <w:rsid w:val="1FA47700"/>
    <w:rsid w:val="1FA53BA4"/>
    <w:rsid w:val="1FA807DA"/>
    <w:rsid w:val="1FB812A8"/>
    <w:rsid w:val="1FC3402A"/>
    <w:rsid w:val="1FE741BD"/>
    <w:rsid w:val="20104D96"/>
    <w:rsid w:val="20120B0E"/>
    <w:rsid w:val="20140D2A"/>
    <w:rsid w:val="20234AC9"/>
    <w:rsid w:val="20315438"/>
    <w:rsid w:val="20346CD6"/>
    <w:rsid w:val="20407429"/>
    <w:rsid w:val="20457135"/>
    <w:rsid w:val="204D7D98"/>
    <w:rsid w:val="20542ED4"/>
    <w:rsid w:val="205C0C54"/>
    <w:rsid w:val="20653333"/>
    <w:rsid w:val="206550E2"/>
    <w:rsid w:val="20692E24"/>
    <w:rsid w:val="206A6B9C"/>
    <w:rsid w:val="206F41B2"/>
    <w:rsid w:val="207B1E2B"/>
    <w:rsid w:val="208A2D9A"/>
    <w:rsid w:val="208C6B12"/>
    <w:rsid w:val="208F6602"/>
    <w:rsid w:val="20947775"/>
    <w:rsid w:val="209D0D1F"/>
    <w:rsid w:val="20A0611A"/>
    <w:rsid w:val="20A21E92"/>
    <w:rsid w:val="20B17B77"/>
    <w:rsid w:val="20D12777"/>
    <w:rsid w:val="20D14525"/>
    <w:rsid w:val="20D34741"/>
    <w:rsid w:val="20D455FD"/>
    <w:rsid w:val="20E26732"/>
    <w:rsid w:val="20E97AC1"/>
    <w:rsid w:val="21132D8F"/>
    <w:rsid w:val="211C60E8"/>
    <w:rsid w:val="213435D0"/>
    <w:rsid w:val="21380A48"/>
    <w:rsid w:val="213A47C0"/>
    <w:rsid w:val="21511470"/>
    <w:rsid w:val="21703D3E"/>
    <w:rsid w:val="21751354"/>
    <w:rsid w:val="218617B3"/>
    <w:rsid w:val="21933ED0"/>
    <w:rsid w:val="21983295"/>
    <w:rsid w:val="219914E7"/>
    <w:rsid w:val="21991DF6"/>
    <w:rsid w:val="21A1039B"/>
    <w:rsid w:val="21B62351"/>
    <w:rsid w:val="21CF315A"/>
    <w:rsid w:val="21D249F9"/>
    <w:rsid w:val="21F77FBB"/>
    <w:rsid w:val="220B70F2"/>
    <w:rsid w:val="220F3557"/>
    <w:rsid w:val="22261312"/>
    <w:rsid w:val="223B434C"/>
    <w:rsid w:val="223C6316"/>
    <w:rsid w:val="224A27E1"/>
    <w:rsid w:val="224C6559"/>
    <w:rsid w:val="225464D8"/>
    <w:rsid w:val="22592A24"/>
    <w:rsid w:val="225B2A36"/>
    <w:rsid w:val="22600256"/>
    <w:rsid w:val="2265586D"/>
    <w:rsid w:val="22737F8A"/>
    <w:rsid w:val="22775899"/>
    <w:rsid w:val="2280028D"/>
    <w:rsid w:val="22AC349C"/>
    <w:rsid w:val="22B20386"/>
    <w:rsid w:val="22E36792"/>
    <w:rsid w:val="22E9024C"/>
    <w:rsid w:val="22F866E1"/>
    <w:rsid w:val="22F95FB5"/>
    <w:rsid w:val="22FD7853"/>
    <w:rsid w:val="22FE4E63"/>
    <w:rsid w:val="23160915"/>
    <w:rsid w:val="231B417D"/>
    <w:rsid w:val="231D58D9"/>
    <w:rsid w:val="232A43C0"/>
    <w:rsid w:val="233139A1"/>
    <w:rsid w:val="23566F63"/>
    <w:rsid w:val="23711FEF"/>
    <w:rsid w:val="2375388E"/>
    <w:rsid w:val="2382763C"/>
    <w:rsid w:val="23A423C5"/>
    <w:rsid w:val="23A45F21"/>
    <w:rsid w:val="23AA3203"/>
    <w:rsid w:val="23B26890"/>
    <w:rsid w:val="23CB5BA3"/>
    <w:rsid w:val="23D66ADB"/>
    <w:rsid w:val="23D902C0"/>
    <w:rsid w:val="23DD1433"/>
    <w:rsid w:val="23DE7685"/>
    <w:rsid w:val="23DF164F"/>
    <w:rsid w:val="23EA427B"/>
    <w:rsid w:val="240D7F6A"/>
    <w:rsid w:val="24170DE9"/>
    <w:rsid w:val="241906BD"/>
    <w:rsid w:val="241C1F5B"/>
    <w:rsid w:val="242B03F0"/>
    <w:rsid w:val="242D5F16"/>
    <w:rsid w:val="24311EAA"/>
    <w:rsid w:val="24422DFE"/>
    <w:rsid w:val="244A2F6C"/>
    <w:rsid w:val="244D0366"/>
    <w:rsid w:val="245E07C6"/>
    <w:rsid w:val="24620CBA"/>
    <w:rsid w:val="24822706"/>
    <w:rsid w:val="2483022C"/>
    <w:rsid w:val="248A5117"/>
    <w:rsid w:val="2492046F"/>
    <w:rsid w:val="2492221D"/>
    <w:rsid w:val="249C557D"/>
    <w:rsid w:val="249E5066"/>
    <w:rsid w:val="24B16B47"/>
    <w:rsid w:val="24BD373E"/>
    <w:rsid w:val="24C70119"/>
    <w:rsid w:val="24CA5E5B"/>
    <w:rsid w:val="24D40A88"/>
    <w:rsid w:val="24DB1E16"/>
    <w:rsid w:val="24EC4023"/>
    <w:rsid w:val="24ED38F7"/>
    <w:rsid w:val="24F164AA"/>
    <w:rsid w:val="250C6474"/>
    <w:rsid w:val="250C7BDD"/>
    <w:rsid w:val="25180974"/>
    <w:rsid w:val="25203CCD"/>
    <w:rsid w:val="2527505B"/>
    <w:rsid w:val="252E63EA"/>
    <w:rsid w:val="25333A00"/>
    <w:rsid w:val="25341526"/>
    <w:rsid w:val="253728AF"/>
    <w:rsid w:val="253B28B5"/>
    <w:rsid w:val="25430923"/>
    <w:rsid w:val="25473008"/>
    <w:rsid w:val="254774AC"/>
    <w:rsid w:val="254F010E"/>
    <w:rsid w:val="2553373E"/>
    <w:rsid w:val="25583467"/>
    <w:rsid w:val="255C556D"/>
    <w:rsid w:val="25695674"/>
    <w:rsid w:val="25695F41"/>
    <w:rsid w:val="2572277A"/>
    <w:rsid w:val="257A162F"/>
    <w:rsid w:val="25A91362"/>
    <w:rsid w:val="25BD0EF9"/>
    <w:rsid w:val="25C20003"/>
    <w:rsid w:val="25EC3BAF"/>
    <w:rsid w:val="25F5515A"/>
    <w:rsid w:val="260B672B"/>
    <w:rsid w:val="261A071C"/>
    <w:rsid w:val="263F0183"/>
    <w:rsid w:val="26400147"/>
    <w:rsid w:val="26413EFB"/>
    <w:rsid w:val="264659B5"/>
    <w:rsid w:val="26485289"/>
    <w:rsid w:val="26541E80"/>
    <w:rsid w:val="26597496"/>
    <w:rsid w:val="2674607E"/>
    <w:rsid w:val="268B1CCF"/>
    <w:rsid w:val="26920BFA"/>
    <w:rsid w:val="26995AE5"/>
    <w:rsid w:val="269E759F"/>
    <w:rsid w:val="26A050C5"/>
    <w:rsid w:val="26AA40C1"/>
    <w:rsid w:val="26AD333E"/>
    <w:rsid w:val="26B3099D"/>
    <w:rsid w:val="26BA5C25"/>
    <w:rsid w:val="26BD5C77"/>
    <w:rsid w:val="26C1503C"/>
    <w:rsid w:val="26C37006"/>
    <w:rsid w:val="26C54B2C"/>
    <w:rsid w:val="26D97AE9"/>
    <w:rsid w:val="26DD1E76"/>
    <w:rsid w:val="26E054C2"/>
    <w:rsid w:val="26F96584"/>
    <w:rsid w:val="26FC4863"/>
    <w:rsid w:val="27024388"/>
    <w:rsid w:val="270713C3"/>
    <w:rsid w:val="270D202F"/>
    <w:rsid w:val="27392E24"/>
    <w:rsid w:val="274243CE"/>
    <w:rsid w:val="275A34C6"/>
    <w:rsid w:val="275E1D48"/>
    <w:rsid w:val="27677991"/>
    <w:rsid w:val="277327DA"/>
    <w:rsid w:val="27757873"/>
    <w:rsid w:val="278B7B24"/>
    <w:rsid w:val="27A3569D"/>
    <w:rsid w:val="27A40BE5"/>
    <w:rsid w:val="27A55B0F"/>
    <w:rsid w:val="27AC6936"/>
    <w:rsid w:val="27B01338"/>
    <w:rsid w:val="27B626C7"/>
    <w:rsid w:val="27BB2ACC"/>
    <w:rsid w:val="27CB43C4"/>
    <w:rsid w:val="27D1743C"/>
    <w:rsid w:val="27DD55D8"/>
    <w:rsid w:val="27E40FE2"/>
    <w:rsid w:val="27E92A9C"/>
    <w:rsid w:val="28033B5E"/>
    <w:rsid w:val="280B2A12"/>
    <w:rsid w:val="2810627B"/>
    <w:rsid w:val="28137B19"/>
    <w:rsid w:val="281713B7"/>
    <w:rsid w:val="28274CC4"/>
    <w:rsid w:val="283B73C3"/>
    <w:rsid w:val="28463A4A"/>
    <w:rsid w:val="284657F9"/>
    <w:rsid w:val="28481571"/>
    <w:rsid w:val="285D414E"/>
    <w:rsid w:val="28620159"/>
    <w:rsid w:val="28687E65"/>
    <w:rsid w:val="28697739"/>
    <w:rsid w:val="288B4085"/>
    <w:rsid w:val="28926C90"/>
    <w:rsid w:val="28A30E9D"/>
    <w:rsid w:val="28AC5FA3"/>
    <w:rsid w:val="28B05368"/>
    <w:rsid w:val="28B27CA3"/>
    <w:rsid w:val="28B60BD0"/>
    <w:rsid w:val="28C332ED"/>
    <w:rsid w:val="28C606E7"/>
    <w:rsid w:val="28C72DDD"/>
    <w:rsid w:val="28CD5F1A"/>
    <w:rsid w:val="28D41056"/>
    <w:rsid w:val="28F16026"/>
    <w:rsid w:val="2903193C"/>
    <w:rsid w:val="290336EA"/>
    <w:rsid w:val="290D4568"/>
    <w:rsid w:val="290F208E"/>
    <w:rsid w:val="29193321"/>
    <w:rsid w:val="291C47AB"/>
    <w:rsid w:val="29233D8C"/>
    <w:rsid w:val="29476954"/>
    <w:rsid w:val="294F2DD3"/>
    <w:rsid w:val="29535AE8"/>
    <w:rsid w:val="29543F45"/>
    <w:rsid w:val="295464C2"/>
    <w:rsid w:val="29626662"/>
    <w:rsid w:val="296E0E36"/>
    <w:rsid w:val="297C6AA2"/>
    <w:rsid w:val="299D769A"/>
    <w:rsid w:val="29AC3D81"/>
    <w:rsid w:val="29AF73CD"/>
    <w:rsid w:val="29BB3FC4"/>
    <w:rsid w:val="29CE3CF8"/>
    <w:rsid w:val="29D11A3A"/>
    <w:rsid w:val="29DB6414"/>
    <w:rsid w:val="29E37FC4"/>
    <w:rsid w:val="29E4351B"/>
    <w:rsid w:val="29F6324E"/>
    <w:rsid w:val="2A0239A1"/>
    <w:rsid w:val="2A16744D"/>
    <w:rsid w:val="2A1B4A63"/>
    <w:rsid w:val="2A263B34"/>
    <w:rsid w:val="2A347C01"/>
    <w:rsid w:val="2A375D41"/>
    <w:rsid w:val="2A3D0E87"/>
    <w:rsid w:val="2A443FBA"/>
    <w:rsid w:val="2A510485"/>
    <w:rsid w:val="2A524929"/>
    <w:rsid w:val="2A567E78"/>
    <w:rsid w:val="2A5C1303"/>
    <w:rsid w:val="2A6102EC"/>
    <w:rsid w:val="2A77613D"/>
    <w:rsid w:val="2A7C7BF7"/>
    <w:rsid w:val="2A862824"/>
    <w:rsid w:val="2A88034A"/>
    <w:rsid w:val="2AA8279A"/>
    <w:rsid w:val="2AA9206F"/>
    <w:rsid w:val="2AB033FD"/>
    <w:rsid w:val="2ABC4498"/>
    <w:rsid w:val="2ACC030F"/>
    <w:rsid w:val="2AD25A69"/>
    <w:rsid w:val="2AD27987"/>
    <w:rsid w:val="2AD9215F"/>
    <w:rsid w:val="2AD96DF8"/>
    <w:rsid w:val="2ADE440E"/>
    <w:rsid w:val="2AE964C6"/>
    <w:rsid w:val="2B05199B"/>
    <w:rsid w:val="2B14398C"/>
    <w:rsid w:val="2B1E0CAF"/>
    <w:rsid w:val="2B1E2A5D"/>
    <w:rsid w:val="2B406E77"/>
    <w:rsid w:val="2B4C581C"/>
    <w:rsid w:val="2B606BD1"/>
    <w:rsid w:val="2B726905"/>
    <w:rsid w:val="2B8723B0"/>
    <w:rsid w:val="2B8A296A"/>
    <w:rsid w:val="2BAF1907"/>
    <w:rsid w:val="2BB62C95"/>
    <w:rsid w:val="2BC37160"/>
    <w:rsid w:val="2BD355F5"/>
    <w:rsid w:val="2BDF3BA3"/>
    <w:rsid w:val="2BE912BD"/>
    <w:rsid w:val="2BF235A7"/>
    <w:rsid w:val="2BF832AE"/>
    <w:rsid w:val="2C077995"/>
    <w:rsid w:val="2C1125C1"/>
    <w:rsid w:val="2C1520B2"/>
    <w:rsid w:val="2C165AE7"/>
    <w:rsid w:val="2C1A1178"/>
    <w:rsid w:val="2C2220D9"/>
    <w:rsid w:val="2C297BFF"/>
    <w:rsid w:val="2C3406FF"/>
    <w:rsid w:val="2C3B13EC"/>
    <w:rsid w:val="2C475FE3"/>
    <w:rsid w:val="2C506C46"/>
    <w:rsid w:val="2C6E4C6A"/>
    <w:rsid w:val="2C703257"/>
    <w:rsid w:val="2C736DD8"/>
    <w:rsid w:val="2C772424"/>
    <w:rsid w:val="2C9B7CA1"/>
    <w:rsid w:val="2CA70830"/>
    <w:rsid w:val="2CAA0D04"/>
    <w:rsid w:val="2CB82A3D"/>
    <w:rsid w:val="2CB847EB"/>
    <w:rsid w:val="2CBF201D"/>
    <w:rsid w:val="2CC3566A"/>
    <w:rsid w:val="2CD07CC3"/>
    <w:rsid w:val="2CE2593C"/>
    <w:rsid w:val="2CFC5020"/>
    <w:rsid w:val="2D04536F"/>
    <w:rsid w:val="2D12039F"/>
    <w:rsid w:val="2D2B7271"/>
    <w:rsid w:val="2D3227EF"/>
    <w:rsid w:val="2D3E73E6"/>
    <w:rsid w:val="2D4349FC"/>
    <w:rsid w:val="2D452523"/>
    <w:rsid w:val="2D4542D1"/>
    <w:rsid w:val="2D504D62"/>
    <w:rsid w:val="2D5C161A"/>
    <w:rsid w:val="2D5C786C"/>
    <w:rsid w:val="2D6A1F89"/>
    <w:rsid w:val="2D6B7AAF"/>
    <w:rsid w:val="2D6D1A79"/>
    <w:rsid w:val="2D720E3E"/>
    <w:rsid w:val="2D7C1CBC"/>
    <w:rsid w:val="2D8F7C42"/>
    <w:rsid w:val="2DAA4A7C"/>
    <w:rsid w:val="2DB9562B"/>
    <w:rsid w:val="2DBB4593"/>
    <w:rsid w:val="2DBD47AF"/>
    <w:rsid w:val="2DC93154"/>
    <w:rsid w:val="2DD65871"/>
    <w:rsid w:val="2DD90EBD"/>
    <w:rsid w:val="2DEC299E"/>
    <w:rsid w:val="2DEF06E0"/>
    <w:rsid w:val="2E0E0B66"/>
    <w:rsid w:val="2E3507E9"/>
    <w:rsid w:val="2E3F2682"/>
    <w:rsid w:val="2E405189"/>
    <w:rsid w:val="2E4427DA"/>
    <w:rsid w:val="2E5073D1"/>
    <w:rsid w:val="2E642E7C"/>
    <w:rsid w:val="2E67471B"/>
    <w:rsid w:val="2E9D1EEA"/>
    <w:rsid w:val="2EB20408"/>
    <w:rsid w:val="2EB23BE8"/>
    <w:rsid w:val="2EC67693"/>
    <w:rsid w:val="2ED81174"/>
    <w:rsid w:val="2EDE1C71"/>
    <w:rsid w:val="2EE45D6B"/>
    <w:rsid w:val="2EE82BD8"/>
    <w:rsid w:val="2EFF2BA5"/>
    <w:rsid w:val="2F0F6197"/>
    <w:rsid w:val="2F192425"/>
    <w:rsid w:val="2F3565C7"/>
    <w:rsid w:val="2F37233F"/>
    <w:rsid w:val="2F3C7955"/>
    <w:rsid w:val="2F464330"/>
    <w:rsid w:val="2F4F7689"/>
    <w:rsid w:val="2F542EF1"/>
    <w:rsid w:val="2F5527C5"/>
    <w:rsid w:val="2F5C3B54"/>
    <w:rsid w:val="2F603644"/>
    <w:rsid w:val="2F700004"/>
    <w:rsid w:val="2F750AF6"/>
    <w:rsid w:val="2F776BDF"/>
    <w:rsid w:val="2F837332"/>
    <w:rsid w:val="2F8512FC"/>
    <w:rsid w:val="2F994DA8"/>
    <w:rsid w:val="2FAA48BF"/>
    <w:rsid w:val="2FB674D6"/>
    <w:rsid w:val="2FB90FA6"/>
    <w:rsid w:val="2FBE036A"/>
    <w:rsid w:val="2FD656B4"/>
    <w:rsid w:val="2FE57FED"/>
    <w:rsid w:val="2FE73D65"/>
    <w:rsid w:val="30006BD5"/>
    <w:rsid w:val="301663F8"/>
    <w:rsid w:val="301D177E"/>
    <w:rsid w:val="302F1268"/>
    <w:rsid w:val="302F3016"/>
    <w:rsid w:val="303643A5"/>
    <w:rsid w:val="304F36B8"/>
    <w:rsid w:val="305111DE"/>
    <w:rsid w:val="30556F21"/>
    <w:rsid w:val="30586A11"/>
    <w:rsid w:val="305B04AF"/>
    <w:rsid w:val="305C3E68"/>
    <w:rsid w:val="3062163D"/>
    <w:rsid w:val="30621B6B"/>
    <w:rsid w:val="307B625B"/>
    <w:rsid w:val="307C26FF"/>
    <w:rsid w:val="307D1FD3"/>
    <w:rsid w:val="308B46F0"/>
    <w:rsid w:val="3091782D"/>
    <w:rsid w:val="30B55C11"/>
    <w:rsid w:val="30EB33E1"/>
    <w:rsid w:val="31053E7C"/>
    <w:rsid w:val="31083F93"/>
    <w:rsid w:val="31093867"/>
    <w:rsid w:val="310E5321"/>
    <w:rsid w:val="31190263"/>
    <w:rsid w:val="311E37B6"/>
    <w:rsid w:val="313A1C72"/>
    <w:rsid w:val="31642CFA"/>
    <w:rsid w:val="318F1FBE"/>
    <w:rsid w:val="31945827"/>
    <w:rsid w:val="319B575E"/>
    <w:rsid w:val="31A677D0"/>
    <w:rsid w:val="31AA6DF8"/>
    <w:rsid w:val="31BD2FCF"/>
    <w:rsid w:val="31C61758"/>
    <w:rsid w:val="31CC3212"/>
    <w:rsid w:val="31D40319"/>
    <w:rsid w:val="31D9265F"/>
    <w:rsid w:val="31E06CBE"/>
    <w:rsid w:val="31E7004C"/>
    <w:rsid w:val="31F10E53"/>
    <w:rsid w:val="31F84007"/>
    <w:rsid w:val="32002EBC"/>
    <w:rsid w:val="320F4EAD"/>
    <w:rsid w:val="3216623C"/>
    <w:rsid w:val="321D3A6E"/>
    <w:rsid w:val="321E3342"/>
    <w:rsid w:val="322840E9"/>
    <w:rsid w:val="323D5EBE"/>
    <w:rsid w:val="32472899"/>
    <w:rsid w:val="32494863"/>
    <w:rsid w:val="324C6101"/>
    <w:rsid w:val="325356E2"/>
    <w:rsid w:val="32560D2E"/>
    <w:rsid w:val="325A019F"/>
    <w:rsid w:val="3267118D"/>
    <w:rsid w:val="326A3B99"/>
    <w:rsid w:val="32780CA4"/>
    <w:rsid w:val="329F4483"/>
    <w:rsid w:val="32A73338"/>
    <w:rsid w:val="32AE2918"/>
    <w:rsid w:val="32CC0FF0"/>
    <w:rsid w:val="32E620B2"/>
    <w:rsid w:val="32EB591A"/>
    <w:rsid w:val="32EE540A"/>
    <w:rsid w:val="32F522F5"/>
    <w:rsid w:val="32F742BF"/>
    <w:rsid w:val="32F81DE5"/>
    <w:rsid w:val="32FA3DAF"/>
    <w:rsid w:val="32FA790B"/>
    <w:rsid w:val="32FB6D81"/>
    <w:rsid w:val="32FC18D5"/>
    <w:rsid w:val="32FF3174"/>
    <w:rsid w:val="33016EEC"/>
    <w:rsid w:val="33033C29"/>
    <w:rsid w:val="330A3CD4"/>
    <w:rsid w:val="330E785B"/>
    <w:rsid w:val="333252F7"/>
    <w:rsid w:val="33332E1D"/>
    <w:rsid w:val="333515BA"/>
    <w:rsid w:val="33386686"/>
    <w:rsid w:val="333A23FE"/>
    <w:rsid w:val="335214F5"/>
    <w:rsid w:val="338813BB"/>
    <w:rsid w:val="339A2E9C"/>
    <w:rsid w:val="33BE302F"/>
    <w:rsid w:val="33BE4DDD"/>
    <w:rsid w:val="33D068BE"/>
    <w:rsid w:val="340D1B3C"/>
    <w:rsid w:val="341E3ACD"/>
    <w:rsid w:val="3422536C"/>
    <w:rsid w:val="34376474"/>
    <w:rsid w:val="34480B4A"/>
    <w:rsid w:val="344C4197"/>
    <w:rsid w:val="346516FC"/>
    <w:rsid w:val="346E6803"/>
    <w:rsid w:val="34733E19"/>
    <w:rsid w:val="347B74B6"/>
    <w:rsid w:val="348C4EDB"/>
    <w:rsid w:val="348E0C53"/>
    <w:rsid w:val="34983880"/>
    <w:rsid w:val="349B511E"/>
    <w:rsid w:val="34A35D81"/>
    <w:rsid w:val="34A75871"/>
    <w:rsid w:val="34B955A4"/>
    <w:rsid w:val="34CA36DC"/>
    <w:rsid w:val="34CB5A03"/>
    <w:rsid w:val="34D960C8"/>
    <w:rsid w:val="34EC597A"/>
    <w:rsid w:val="34EE7BB1"/>
    <w:rsid w:val="34F0546A"/>
    <w:rsid w:val="34F07218"/>
    <w:rsid w:val="34F211E2"/>
    <w:rsid w:val="34FC1F43"/>
    <w:rsid w:val="34FC3E0F"/>
    <w:rsid w:val="35066A3B"/>
    <w:rsid w:val="350B5E00"/>
    <w:rsid w:val="35305866"/>
    <w:rsid w:val="353600E4"/>
    <w:rsid w:val="35402DD4"/>
    <w:rsid w:val="354B26A0"/>
    <w:rsid w:val="354E03E2"/>
    <w:rsid w:val="355F439E"/>
    <w:rsid w:val="356D6ABA"/>
    <w:rsid w:val="35803815"/>
    <w:rsid w:val="35846425"/>
    <w:rsid w:val="35951B6D"/>
    <w:rsid w:val="359E4EC6"/>
    <w:rsid w:val="35A85D44"/>
    <w:rsid w:val="35A87AF3"/>
    <w:rsid w:val="35BC359E"/>
    <w:rsid w:val="35BC534C"/>
    <w:rsid w:val="35CF507F"/>
    <w:rsid w:val="35D408E8"/>
    <w:rsid w:val="35DD410A"/>
    <w:rsid w:val="35E13004"/>
    <w:rsid w:val="35EF5721"/>
    <w:rsid w:val="36174C78"/>
    <w:rsid w:val="361E1B63"/>
    <w:rsid w:val="362A0508"/>
    <w:rsid w:val="36415E89"/>
    <w:rsid w:val="364517E5"/>
    <w:rsid w:val="365C49EA"/>
    <w:rsid w:val="36624145"/>
    <w:rsid w:val="366639ED"/>
    <w:rsid w:val="367B0D63"/>
    <w:rsid w:val="36806379"/>
    <w:rsid w:val="36A22794"/>
    <w:rsid w:val="36A858D0"/>
    <w:rsid w:val="36A95955"/>
    <w:rsid w:val="36B64491"/>
    <w:rsid w:val="36B6623F"/>
    <w:rsid w:val="36C50230"/>
    <w:rsid w:val="36C7763D"/>
    <w:rsid w:val="36CA1CEB"/>
    <w:rsid w:val="36D14E27"/>
    <w:rsid w:val="36D30B9F"/>
    <w:rsid w:val="36D861B6"/>
    <w:rsid w:val="36FA25D0"/>
    <w:rsid w:val="37024FE0"/>
    <w:rsid w:val="37054AD1"/>
    <w:rsid w:val="37060F75"/>
    <w:rsid w:val="371B42F4"/>
    <w:rsid w:val="373A6E70"/>
    <w:rsid w:val="373D426B"/>
    <w:rsid w:val="373F6235"/>
    <w:rsid w:val="37461371"/>
    <w:rsid w:val="376A4769"/>
    <w:rsid w:val="3789228D"/>
    <w:rsid w:val="378B147A"/>
    <w:rsid w:val="379876F3"/>
    <w:rsid w:val="379C3687"/>
    <w:rsid w:val="379E11AD"/>
    <w:rsid w:val="37A0321C"/>
    <w:rsid w:val="37B207B5"/>
    <w:rsid w:val="37B22EAA"/>
    <w:rsid w:val="37C91822"/>
    <w:rsid w:val="37F05781"/>
    <w:rsid w:val="3810197F"/>
    <w:rsid w:val="38211DDE"/>
    <w:rsid w:val="3825367C"/>
    <w:rsid w:val="38325D99"/>
    <w:rsid w:val="38417D8A"/>
    <w:rsid w:val="384653A1"/>
    <w:rsid w:val="38547ABE"/>
    <w:rsid w:val="385775AE"/>
    <w:rsid w:val="387C0DC3"/>
    <w:rsid w:val="3882287D"/>
    <w:rsid w:val="38912BFC"/>
    <w:rsid w:val="38966328"/>
    <w:rsid w:val="389E6F8B"/>
    <w:rsid w:val="389F58C0"/>
    <w:rsid w:val="38A071A7"/>
    <w:rsid w:val="38A547BD"/>
    <w:rsid w:val="38A65E3F"/>
    <w:rsid w:val="38AA3B82"/>
    <w:rsid w:val="38AD5420"/>
    <w:rsid w:val="38B13162"/>
    <w:rsid w:val="38B8629F"/>
    <w:rsid w:val="38B95B73"/>
    <w:rsid w:val="38BB18EB"/>
    <w:rsid w:val="38C70290"/>
    <w:rsid w:val="38CA5FD2"/>
    <w:rsid w:val="38CF5396"/>
    <w:rsid w:val="38D53385"/>
    <w:rsid w:val="38E52E0C"/>
    <w:rsid w:val="38EC3ACE"/>
    <w:rsid w:val="38F31085"/>
    <w:rsid w:val="38FB618B"/>
    <w:rsid w:val="390239BE"/>
    <w:rsid w:val="39075A22"/>
    <w:rsid w:val="390C16F6"/>
    <w:rsid w:val="390E5EBF"/>
    <w:rsid w:val="3911775D"/>
    <w:rsid w:val="391536F1"/>
    <w:rsid w:val="39267E6B"/>
    <w:rsid w:val="39292CF8"/>
    <w:rsid w:val="39423DBA"/>
    <w:rsid w:val="39461AFC"/>
    <w:rsid w:val="394B7113"/>
    <w:rsid w:val="39557F91"/>
    <w:rsid w:val="39581830"/>
    <w:rsid w:val="39761CB6"/>
    <w:rsid w:val="39782384"/>
    <w:rsid w:val="39846389"/>
    <w:rsid w:val="39965EB4"/>
    <w:rsid w:val="39BA6046"/>
    <w:rsid w:val="39BB4388"/>
    <w:rsid w:val="39BF365D"/>
    <w:rsid w:val="39C42A21"/>
    <w:rsid w:val="39C96289"/>
    <w:rsid w:val="39CD7B28"/>
    <w:rsid w:val="39E10598"/>
    <w:rsid w:val="39E66E3B"/>
    <w:rsid w:val="39EA6D2E"/>
    <w:rsid w:val="39EB4452"/>
    <w:rsid w:val="39F8091D"/>
    <w:rsid w:val="39FF3A59"/>
    <w:rsid w:val="3A03179B"/>
    <w:rsid w:val="3A192D6D"/>
    <w:rsid w:val="3A2D4A6A"/>
    <w:rsid w:val="3A2F2590"/>
    <w:rsid w:val="3A4E3DF5"/>
    <w:rsid w:val="3A555D6F"/>
    <w:rsid w:val="3A7A7584"/>
    <w:rsid w:val="3A887EF3"/>
    <w:rsid w:val="3A8B353F"/>
    <w:rsid w:val="3A9E7870"/>
    <w:rsid w:val="3AA50AA5"/>
    <w:rsid w:val="3AAA1C17"/>
    <w:rsid w:val="3AAA2B43"/>
    <w:rsid w:val="3ABB3E24"/>
    <w:rsid w:val="3AC23405"/>
    <w:rsid w:val="3AD302F2"/>
    <w:rsid w:val="3AD9074E"/>
    <w:rsid w:val="3AD969A0"/>
    <w:rsid w:val="3ADA2622"/>
    <w:rsid w:val="3AF235BE"/>
    <w:rsid w:val="3B043368"/>
    <w:rsid w:val="3B0532F1"/>
    <w:rsid w:val="3B07350D"/>
    <w:rsid w:val="3B0A4CF0"/>
    <w:rsid w:val="3B0D21A6"/>
    <w:rsid w:val="3B1C4F63"/>
    <w:rsid w:val="3B245E6D"/>
    <w:rsid w:val="3B491E82"/>
    <w:rsid w:val="3B516536"/>
    <w:rsid w:val="3B530501"/>
    <w:rsid w:val="3B581673"/>
    <w:rsid w:val="3B5E72AB"/>
    <w:rsid w:val="3B65253E"/>
    <w:rsid w:val="3B671017"/>
    <w:rsid w:val="3B716BD9"/>
    <w:rsid w:val="3B732951"/>
    <w:rsid w:val="3B7364AD"/>
    <w:rsid w:val="3B8561E0"/>
    <w:rsid w:val="3B914B85"/>
    <w:rsid w:val="3B9308FD"/>
    <w:rsid w:val="3B9603ED"/>
    <w:rsid w:val="3BA42B0A"/>
    <w:rsid w:val="3BBF61AC"/>
    <w:rsid w:val="3BCA3066"/>
    <w:rsid w:val="3BCC2061"/>
    <w:rsid w:val="3BE13D5E"/>
    <w:rsid w:val="3BE15B0C"/>
    <w:rsid w:val="3BF07AFD"/>
    <w:rsid w:val="3BF13876"/>
    <w:rsid w:val="3BF84C04"/>
    <w:rsid w:val="3C0D4B53"/>
    <w:rsid w:val="3C1F4887"/>
    <w:rsid w:val="3C267A21"/>
    <w:rsid w:val="3C2A2785"/>
    <w:rsid w:val="3C37397E"/>
    <w:rsid w:val="3C3A521C"/>
    <w:rsid w:val="3C504A40"/>
    <w:rsid w:val="3C6A3D54"/>
    <w:rsid w:val="3C6B3628"/>
    <w:rsid w:val="3C7945E5"/>
    <w:rsid w:val="3C7A386B"/>
    <w:rsid w:val="3C991F43"/>
    <w:rsid w:val="3C9943D8"/>
    <w:rsid w:val="3C9C5234"/>
    <w:rsid w:val="3CA37266"/>
    <w:rsid w:val="3CB11983"/>
    <w:rsid w:val="3CB50CFF"/>
    <w:rsid w:val="3CB60D47"/>
    <w:rsid w:val="3CCF005B"/>
    <w:rsid w:val="3CD218F9"/>
    <w:rsid w:val="3CDD2778"/>
    <w:rsid w:val="3CED04E1"/>
    <w:rsid w:val="3CF96E86"/>
    <w:rsid w:val="3CFE26EE"/>
    <w:rsid w:val="3CFF7179"/>
    <w:rsid w:val="3D0A1093"/>
    <w:rsid w:val="3D131BCB"/>
    <w:rsid w:val="3D257C7B"/>
    <w:rsid w:val="3D2F70B9"/>
    <w:rsid w:val="3D3879AE"/>
    <w:rsid w:val="3D4445A5"/>
    <w:rsid w:val="3D566086"/>
    <w:rsid w:val="3D65276D"/>
    <w:rsid w:val="3D670293"/>
    <w:rsid w:val="3D755FB3"/>
    <w:rsid w:val="3D8A3F82"/>
    <w:rsid w:val="3D8B74C8"/>
    <w:rsid w:val="3D931088"/>
    <w:rsid w:val="3D9646D4"/>
    <w:rsid w:val="3D9A41C5"/>
    <w:rsid w:val="3D9F17DB"/>
    <w:rsid w:val="3DBD7EB3"/>
    <w:rsid w:val="3DC41242"/>
    <w:rsid w:val="3DD75419"/>
    <w:rsid w:val="3DEE62BF"/>
    <w:rsid w:val="3DF71617"/>
    <w:rsid w:val="3DFC4E7F"/>
    <w:rsid w:val="3E012496"/>
    <w:rsid w:val="3E0E4BB3"/>
    <w:rsid w:val="3E104487"/>
    <w:rsid w:val="3E2241BA"/>
    <w:rsid w:val="3E241CE0"/>
    <w:rsid w:val="3E3F15CF"/>
    <w:rsid w:val="3E481E73"/>
    <w:rsid w:val="3E5C76CC"/>
    <w:rsid w:val="3E66054B"/>
    <w:rsid w:val="3E6A003B"/>
    <w:rsid w:val="3E6D18D9"/>
    <w:rsid w:val="3E733D99"/>
    <w:rsid w:val="3E916C1F"/>
    <w:rsid w:val="3E950E30"/>
    <w:rsid w:val="3E970704"/>
    <w:rsid w:val="3E9A1FA2"/>
    <w:rsid w:val="3EA03A5D"/>
    <w:rsid w:val="3EAC6B85"/>
    <w:rsid w:val="3EB158B4"/>
    <w:rsid w:val="3EBB7322"/>
    <w:rsid w:val="3EBE3EE3"/>
    <w:rsid w:val="3EC6723B"/>
    <w:rsid w:val="3ED2798E"/>
    <w:rsid w:val="3EE651E8"/>
    <w:rsid w:val="3EEA1054"/>
    <w:rsid w:val="3EF773F5"/>
    <w:rsid w:val="3F027924"/>
    <w:rsid w:val="3F057D64"/>
    <w:rsid w:val="3F125FDD"/>
    <w:rsid w:val="3F1A55AC"/>
    <w:rsid w:val="3F210422"/>
    <w:rsid w:val="3F253F62"/>
    <w:rsid w:val="3F281CA4"/>
    <w:rsid w:val="3F2C52F0"/>
    <w:rsid w:val="3F402B4A"/>
    <w:rsid w:val="3F406FEE"/>
    <w:rsid w:val="3F450160"/>
    <w:rsid w:val="3F47037C"/>
    <w:rsid w:val="3F473ED8"/>
    <w:rsid w:val="3F5B3E28"/>
    <w:rsid w:val="3F60143E"/>
    <w:rsid w:val="3F7A2278"/>
    <w:rsid w:val="3F7B0026"/>
    <w:rsid w:val="3F7F35D5"/>
    <w:rsid w:val="3F7F7B16"/>
    <w:rsid w:val="3F981D74"/>
    <w:rsid w:val="3FA01B56"/>
    <w:rsid w:val="3FA13A92"/>
    <w:rsid w:val="3FA16FFD"/>
    <w:rsid w:val="3FA4132B"/>
    <w:rsid w:val="3FB452E6"/>
    <w:rsid w:val="3FBB48C6"/>
    <w:rsid w:val="3FC733A8"/>
    <w:rsid w:val="3FCB2D5B"/>
    <w:rsid w:val="3FCD7432"/>
    <w:rsid w:val="3FE2019B"/>
    <w:rsid w:val="3FE94F8F"/>
    <w:rsid w:val="3FFF2A05"/>
    <w:rsid w:val="400022D9"/>
    <w:rsid w:val="4001677D"/>
    <w:rsid w:val="40050825"/>
    <w:rsid w:val="400973E0"/>
    <w:rsid w:val="401C35B7"/>
    <w:rsid w:val="401F6C03"/>
    <w:rsid w:val="402C1320"/>
    <w:rsid w:val="403703F1"/>
    <w:rsid w:val="4044666A"/>
    <w:rsid w:val="40510BF2"/>
    <w:rsid w:val="40511FF8"/>
    <w:rsid w:val="405D597D"/>
    <w:rsid w:val="40642B5B"/>
    <w:rsid w:val="40775FC8"/>
    <w:rsid w:val="407F3756"/>
    <w:rsid w:val="408973D9"/>
    <w:rsid w:val="408F7882"/>
    <w:rsid w:val="409F1FF3"/>
    <w:rsid w:val="40A4535A"/>
    <w:rsid w:val="40AC0D04"/>
    <w:rsid w:val="40EB11DB"/>
    <w:rsid w:val="40EF2A79"/>
    <w:rsid w:val="41135599"/>
    <w:rsid w:val="41173D7E"/>
    <w:rsid w:val="411C1395"/>
    <w:rsid w:val="412C782A"/>
    <w:rsid w:val="413F5BE3"/>
    <w:rsid w:val="414813D4"/>
    <w:rsid w:val="4148218A"/>
    <w:rsid w:val="41601281"/>
    <w:rsid w:val="4171348E"/>
    <w:rsid w:val="41AC096A"/>
    <w:rsid w:val="41B11ADD"/>
    <w:rsid w:val="41B25855"/>
    <w:rsid w:val="41B33AA7"/>
    <w:rsid w:val="41B56B45"/>
    <w:rsid w:val="41BE41FA"/>
    <w:rsid w:val="41C45CB4"/>
    <w:rsid w:val="41D00C05"/>
    <w:rsid w:val="41F83BB0"/>
    <w:rsid w:val="41F85FC5"/>
    <w:rsid w:val="41FD3881"/>
    <w:rsid w:val="42073DF3"/>
    <w:rsid w:val="42156510"/>
    <w:rsid w:val="421678CB"/>
    <w:rsid w:val="42206C63"/>
    <w:rsid w:val="42276243"/>
    <w:rsid w:val="422A188F"/>
    <w:rsid w:val="422D4C04"/>
    <w:rsid w:val="4234125C"/>
    <w:rsid w:val="423D7815"/>
    <w:rsid w:val="42442951"/>
    <w:rsid w:val="42576B28"/>
    <w:rsid w:val="425F778B"/>
    <w:rsid w:val="42703746"/>
    <w:rsid w:val="427A2817"/>
    <w:rsid w:val="42834EA3"/>
    <w:rsid w:val="428D254A"/>
    <w:rsid w:val="428D4052"/>
    <w:rsid w:val="429733C9"/>
    <w:rsid w:val="42A0764D"/>
    <w:rsid w:val="42A94F05"/>
    <w:rsid w:val="42CA554C"/>
    <w:rsid w:val="42E20147"/>
    <w:rsid w:val="42F9198D"/>
    <w:rsid w:val="42FE0D52"/>
    <w:rsid w:val="42FE52B7"/>
    <w:rsid w:val="43014CE6"/>
    <w:rsid w:val="430805CF"/>
    <w:rsid w:val="434F15AD"/>
    <w:rsid w:val="43560B8E"/>
    <w:rsid w:val="435A7F52"/>
    <w:rsid w:val="43635059"/>
    <w:rsid w:val="436808C1"/>
    <w:rsid w:val="436D237B"/>
    <w:rsid w:val="43721740"/>
    <w:rsid w:val="43741014"/>
    <w:rsid w:val="437B23A2"/>
    <w:rsid w:val="43813731"/>
    <w:rsid w:val="438D657A"/>
    <w:rsid w:val="43986235"/>
    <w:rsid w:val="43AD4526"/>
    <w:rsid w:val="43AF64F0"/>
    <w:rsid w:val="43B17484"/>
    <w:rsid w:val="43B24586"/>
    <w:rsid w:val="43B64397"/>
    <w:rsid w:val="43C20D21"/>
    <w:rsid w:val="43CC52F4"/>
    <w:rsid w:val="43D13C70"/>
    <w:rsid w:val="43D65C3E"/>
    <w:rsid w:val="43E32EF2"/>
    <w:rsid w:val="43F91FF0"/>
    <w:rsid w:val="43F959BD"/>
    <w:rsid w:val="44004F9E"/>
    <w:rsid w:val="442A5B77"/>
    <w:rsid w:val="442C2A84"/>
    <w:rsid w:val="44316F05"/>
    <w:rsid w:val="44480F49"/>
    <w:rsid w:val="444924A1"/>
    <w:rsid w:val="44564BBE"/>
    <w:rsid w:val="44621098"/>
    <w:rsid w:val="446472DA"/>
    <w:rsid w:val="4473751E"/>
    <w:rsid w:val="447B63D2"/>
    <w:rsid w:val="447F4128"/>
    <w:rsid w:val="4496320C"/>
    <w:rsid w:val="449D0A3E"/>
    <w:rsid w:val="449D459A"/>
    <w:rsid w:val="44A771C7"/>
    <w:rsid w:val="44A818BD"/>
    <w:rsid w:val="44A92F3F"/>
    <w:rsid w:val="44AD6ED3"/>
    <w:rsid w:val="44B30262"/>
    <w:rsid w:val="44BD4C3D"/>
    <w:rsid w:val="44C4421D"/>
    <w:rsid w:val="44CC6C2E"/>
    <w:rsid w:val="44CD1324"/>
    <w:rsid w:val="44D02BC2"/>
    <w:rsid w:val="44FE14DD"/>
    <w:rsid w:val="45050ABD"/>
    <w:rsid w:val="4508410A"/>
    <w:rsid w:val="450C4AD6"/>
    <w:rsid w:val="451C1963"/>
    <w:rsid w:val="451E30B0"/>
    <w:rsid w:val="45230F44"/>
    <w:rsid w:val="452318E0"/>
    <w:rsid w:val="452A0159"/>
    <w:rsid w:val="453452D6"/>
    <w:rsid w:val="453B25D8"/>
    <w:rsid w:val="453C66A3"/>
    <w:rsid w:val="4545710C"/>
    <w:rsid w:val="45462E84"/>
    <w:rsid w:val="45467E40"/>
    <w:rsid w:val="454F7F8B"/>
    <w:rsid w:val="45513D03"/>
    <w:rsid w:val="456F454F"/>
    <w:rsid w:val="457B2B2E"/>
    <w:rsid w:val="4582210E"/>
    <w:rsid w:val="4588524B"/>
    <w:rsid w:val="458F482B"/>
    <w:rsid w:val="459E4A6E"/>
    <w:rsid w:val="45B778DE"/>
    <w:rsid w:val="45C1250B"/>
    <w:rsid w:val="45C85647"/>
    <w:rsid w:val="45D43FEC"/>
    <w:rsid w:val="45D64DA2"/>
    <w:rsid w:val="45E16709"/>
    <w:rsid w:val="46026DAB"/>
    <w:rsid w:val="460423BC"/>
    <w:rsid w:val="46184820"/>
    <w:rsid w:val="46207231"/>
    <w:rsid w:val="463201EB"/>
    <w:rsid w:val="463B1919"/>
    <w:rsid w:val="464078D3"/>
    <w:rsid w:val="46455D41"/>
    <w:rsid w:val="46476EB4"/>
    <w:rsid w:val="4654512D"/>
    <w:rsid w:val="466229CE"/>
    <w:rsid w:val="466F6E02"/>
    <w:rsid w:val="4674757D"/>
    <w:rsid w:val="467A2DE5"/>
    <w:rsid w:val="468C0D6B"/>
    <w:rsid w:val="46946C63"/>
    <w:rsid w:val="469A3487"/>
    <w:rsid w:val="469F45FA"/>
    <w:rsid w:val="46A63BDA"/>
    <w:rsid w:val="46B34549"/>
    <w:rsid w:val="46C202E8"/>
    <w:rsid w:val="46D66D51"/>
    <w:rsid w:val="46E22739"/>
    <w:rsid w:val="472F1E22"/>
    <w:rsid w:val="4736606C"/>
    <w:rsid w:val="47394A4E"/>
    <w:rsid w:val="47490A0A"/>
    <w:rsid w:val="47507FEA"/>
    <w:rsid w:val="47694C08"/>
    <w:rsid w:val="478168DD"/>
    <w:rsid w:val="478B1022"/>
    <w:rsid w:val="479003E6"/>
    <w:rsid w:val="479B1265"/>
    <w:rsid w:val="479C322F"/>
    <w:rsid w:val="479D19EA"/>
    <w:rsid w:val="47AA14A8"/>
    <w:rsid w:val="47B265C4"/>
    <w:rsid w:val="47C54534"/>
    <w:rsid w:val="47C615D0"/>
    <w:rsid w:val="47CB7671"/>
    <w:rsid w:val="47DC362C"/>
    <w:rsid w:val="47DE73A4"/>
    <w:rsid w:val="47E50732"/>
    <w:rsid w:val="47E81FD1"/>
    <w:rsid w:val="47FA07C6"/>
    <w:rsid w:val="48027536"/>
    <w:rsid w:val="48184616"/>
    <w:rsid w:val="48217291"/>
    <w:rsid w:val="482A3593"/>
    <w:rsid w:val="482C45B3"/>
    <w:rsid w:val="48313978"/>
    <w:rsid w:val="483671E0"/>
    <w:rsid w:val="48411E12"/>
    <w:rsid w:val="48413518"/>
    <w:rsid w:val="48484E0B"/>
    <w:rsid w:val="484A4A39"/>
    <w:rsid w:val="48552DCE"/>
    <w:rsid w:val="48561630"/>
    <w:rsid w:val="485D476D"/>
    <w:rsid w:val="48780FA3"/>
    <w:rsid w:val="487A4C36"/>
    <w:rsid w:val="487D096B"/>
    <w:rsid w:val="48877A3B"/>
    <w:rsid w:val="48904B42"/>
    <w:rsid w:val="4893018E"/>
    <w:rsid w:val="48934632"/>
    <w:rsid w:val="48A67125"/>
    <w:rsid w:val="48B00D40"/>
    <w:rsid w:val="48BB1493"/>
    <w:rsid w:val="48BC5937"/>
    <w:rsid w:val="48DD3AFF"/>
    <w:rsid w:val="48E402F2"/>
    <w:rsid w:val="48EB621C"/>
    <w:rsid w:val="49060960"/>
    <w:rsid w:val="491C6DB7"/>
    <w:rsid w:val="49261002"/>
    <w:rsid w:val="49382AE4"/>
    <w:rsid w:val="493D634C"/>
    <w:rsid w:val="49494CF1"/>
    <w:rsid w:val="494E2307"/>
    <w:rsid w:val="494F67AB"/>
    <w:rsid w:val="49584F34"/>
    <w:rsid w:val="49830203"/>
    <w:rsid w:val="49951CE4"/>
    <w:rsid w:val="49C425C9"/>
    <w:rsid w:val="49D071C0"/>
    <w:rsid w:val="49E54A1A"/>
    <w:rsid w:val="49ED2E91"/>
    <w:rsid w:val="49F17862"/>
    <w:rsid w:val="49FE3D2D"/>
    <w:rsid w:val="4A0B01F8"/>
    <w:rsid w:val="4A161077"/>
    <w:rsid w:val="4A1B668D"/>
    <w:rsid w:val="4A286FFC"/>
    <w:rsid w:val="4A2F038B"/>
    <w:rsid w:val="4A2F6CCB"/>
    <w:rsid w:val="4A4F27DB"/>
    <w:rsid w:val="4A541B9F"/>
    <w:rsid w:val="4A653DAC"/>
    <w:rsid w:val="4A6718D3"/>
    <w:rsid w:val="4A857FAB"/>
    <w:rsid w:val="4A993A56"/>
    <w:rsid w:val="4A9D2749"/>
    <w:rsid w:val="4AAC5537"/>
    <w:rsid w:val="4AB34B18"/>
    <w:rsid w:val="4AB97C54"/>
    <w:rsid w:val="4ABE79CD"/>
    <w:rsid w:val="4AD52CE0"/>
    <w:rsid w:val="4ADF3B5F"/>
    <w:rsid w:val="4AE21479"/>
    <w:rsid w:val="4AE253FD"/>
    <w:rsid w:val="4AEE78FE"/>
    <w:rsid w:val="4AFC64BF"/>
    <w:rsid w:val="4B115AA3"/>
    <w:rsid w:val="4B161640"/>
    <w:rsid w:val="4B1A4B97"/>
    <w:rsid w:val="4B26353C"/>
    <w:rsid w:val="4B2B6DA4"/>
    <w:rsid w:val="4B3425E6"/>
    <w:rsid w:val="4B363221"/>
    <w:rsid w:val="4B393CE2"/>
    <w:rsid w:val="4B3B274E"/>
    <w:rsid w:val="4B4B4D50"/>
    <w:rsid w:val="4B5D6832"/>
    <w:rsid w:val="4B661B8A"/>
    <w:rsid w:val="4B7122DD"/>
    <w:rsid w:val="4B7A73E4"/>
    <w:rsid w:val="4B8244EA"/>
    <w:rsid w:val="4B92472D"/>
    <w:rsid w:val="4B9D6A2F"/>
    <w:rsid w:val="4BA40904"/>
    <w:rsid w:val="4BA426B2"/>
    <w:rsid w:val="4BAD5A0B"/>
    <w:rsid w:val="4BB44F0C"/>
    <w:rsid w:val="4BB87F0C"/>
    <w:rsid w:val="4BBA1528"/>
    <w:rsid w:val="4BBD05CA"/>
    <w:rsid w:val="4BCA036B"/>
    <w:rsid w:val="4BCD39B7"/>
    <w:rsid w:val="4BE86A43"/>
    <w:rsid w:val="4BF058F8"/>
    <w:rsid w:val="4C013661"/>
    <w:rsid w:val="4C0E5B16"/>
    <w:rsid w:val="4C1330DF"/>
    <w:rsid w:val="4C2537F3"/>
    <w:rsid w:val="4C41120B"/>
    <w:rsid w:val="4C4C5224"/>
    <w:rsid w:val="4C545E87"/>
    <w:rsid w:val="4C5B3372"/>
    <w:rsid w:val="4C5F36AF"/>
    <w:rsid w:val="4C705496"/>
    <w:rsid w:val="4C714C8A"/>
    <w:rsid w:val="4C76404F"/>
    <w:rsid w:val="4C991AEB"/>
    <w:rsid w:val="4CA24E44"/>
    <w:rsid w:val="4CA74208"/>
    <w:rsid w:val="4CAA74EC"/>
    <w:rsid w:val="4CB6269D"/>
    <w:rsid w:val="4CC50B32"/>
    <w:rsid w:val="4CC76658"/>
    <w:rsid w:val="4CC92CDF"/>
    <w:rsid w:val="4CCA607B"/>
    <w:rsid w:val="4CCE170B"/>
    <w:rsid w:val="4CCE5C39"/>
    <w:rsid w:val="4CCF19B1"/>
    <w:rsid w:val="4CD86AB8"/>
    <w:rsid w:val="4CD945DE"/>
    <w:rsid w:val="4CDD429D"/>
    <w:rsid w:val="4CE3088A"/>
    <w:rsid w:val="4CE54D31"/>
    <w:rsid w:val="4CEF795D"/>
    <w:rsid w:val="4CFB27A6"/>
    <w:rsid w:val="4D16138E"/>
    <w:rsid w:val="4D5679DC"/>
    <w:rsid w:val="4D5A74CD"/>
    <w:rsid w:val="4D7560B4"/>
    <w:rsid w:val="4D783DF7"/>
    <w:rsid w:val="4D7A7B6F"/>
    <w:rsid w:val="4D8072B6"/>
    <w:rsid w:val="4D824513"/>
    <w:rsid w:val="4D8C33FE"/>
    <w:rsid w:val="4DAE3F37"/>
    <w:rsid w:val="4DB473A2"/>
    <w:rsid w:val="4DB964A1"/>
    <w:rsid w:val="4DC1754C"/>
    <w:rsid w:val="4DC66910"/>
    <w:rsid w:val="4DD674DB"/>
    <w:rsid w:val="4DD86E04"/>
    <w:rsid w:val="4DE4323A"/>
    <w:rsid w:val="4DEE5E67"/>
    <w:rsid w:val="4DF924BF"/>
    <w:rsid w:val="4E013DEC"/>
    <w:rsid w:val="4E061402"/>
    <w:rsid w:val="4E157897"/>
    <w:rsid w:val="4E353A96"/>
    <w:rsid w:val="4E355844"/>
    <w:rsid w:val="4E3D70E2"/>
    <w:rsid w:val="4E3F66C2"/>
    <w:rsid w:val="4E4B32B9"/>
    <w:rsid w:val="4E4C33F2"/>
    <w:rsid w:val="4E616639"/>
    <w:rsid w:val="4E6A7BE3"/>
    <w:rsid w:val="4E721C6A"/>
    <w:rsid w:val="4E726A98"/>
    <w:rsid w:val="4E741B0A"/>
    <w:rsid w:val="4EA12ED9"/>
    <w:rsid w:val="4EA8070C"/>
    <w:rsid w:val="4EB01D52"/>
    <w:rsid w:val="4EBB21ED"/>
    <w:rsid w:val="4EC651E4"/>
    <w:rsid w:val="4ED908C5"/>
    <w:rsid w:val="4EDD03B5"/>
    <w:rsid w:val="4F075432"/>
    <w:rsid w:val="4F0973FC"/>
    <w:rsid w:val="4F0E056F"/>
    <w:rsid w:val="4F1810E5"/>
    <w:rsid w:val="4F1D6A04"/>
    <w:rsid w:val="4F2935FA"/>
    <w:rsid w:val="4F3D70A6"/>
    <w:rsid w:val="4F4026F2"/>
    <w:rsid w:val="4F4154B6"/>
    <w:rsid w:val="4F495A4B"/>
    <w:rsid w:val="4F53352B"/>
    <w:rsid w:val="4F5B577E"/>
    <w:rsid w:val="4F604B42"/>
    <w:rsid w:val="4F610FE6"/>
    <w:rsid w:val="4F6E3703"/>
    <w:rsid w:val="4F7A5C04"/>
    <w:rsid w:val="4F9053B1"/>
    <w:rsid w:val="4F905428"/>
    <w:rsid w:val="4F9273F2"/>
    <w:rsid w:val="4F934F18"/>
    <w:rsid w:val="4F9A44F8"/>
    <w:rsid w:val="4FB54E8E"/>
    <w:rsid w:val="4FB56C3C"/>
    <w:rsid w:val="4FBB7FCB"/>
    <w:rsid w:val="4FBF3F5F"/>
    <w:rsid w:val="4FC21359"/>
    <w:rsid w:val="4FC357FD"/>
    <w:rsid w:val="4FC41575"/>
    <w:rsid w:val="4FD03A76"/>
    <w:rsid w:val="4FFC2ABD"/>
    <w:rsid w:val="500F6132"/>
    <w:rsid w:val="501778F7"/>
    <w:rsid w:val="50216A4B"/>
    <w:rsid w:val="50306C0B"/>
    <w:rsid w:val="50355FCF"/>
    <w:rsid w:val="50440650"/>
    <w:rsid w:val="504601DC"/>
    <w:rsid w:val="50566671"/>
    <w:rsid w:val="505E1082"/>
    <w:rsid w:val="5076395C"/>
    <w:rsid w:val="50901407"/>
    <w:rsid w:val="50911EF3"/>
    <w:rsid w:val="50940F47"/>
    <w:rsid w:val="50964CC0"/>
    <w:rsid w:val="50A13664"/>
    <w:rsid w:val="50A62A29"/>
    <w:rsid w:val="50BE5FC4"/>
    <w:rsid w:val="50C80047"/>
    <w:rsid w:val="50CE26AB"/>
    <w:rsid w:val="50EC2B32"/>
    <w:rsid w:val="50F6750C"/>
    <w:rsid w:val="510936E3"/>
    <w:rsid w:val="510E0CFA"/>
    <w:rsid w:val="510F4A72"/>
    <w:rsid w:val="511939BD"/>
    <w:rsid w:val="511B3417"/>
    <w:rsid w:val="511B6F73"/>
    <w:rsid w:val="51220301"/>
    <w:rsid w:val="51383FC9"/>
    <w:rsid w:val="515240B8"/>
    <w:rsid w:val="515D0FE2"/>
    <w:rsid w:val="516052CE"/>
    <w:rsid w:val="5160707C"/>
    <w:rsid w:val="51646882"/>
    <w:rsid w:val="516721B8"/>
    <w:rsid w:val="51716209"/>
    <w:rsid w:val="51870AAC"/>
    <w:rsid w:val="518E3BE9"/>
    <w:rsid w:val="51A21442"/>
    <w:rsid w:val="51A52CE0"/>
    <w:rsid w:val="51A857F9"/>
    <w:rsid w:val="51AF41D3"/>
    <w:rsid w:val="51AF590D"/>
    <w:rsid w:val="51B318A1"/>
    <w:rsid w:val="51B82A14"/>
    <w:rsid w:val="51E11F6A"/>
    <w:rsid w:val="52196A42"/>
    <w:rsid w:val="523C53F3"/>
    <w:rsid w:val="525B6CEF"/>
    <w:rsid w:val="5260487F"/>
    <w:rsid w:val="528B637A"/>
    <w:rsid w:val="52A31916"/>
    <w:rsid w:val="52A82A88"/>
    <w:rsid w:val="52A86F2C"/>
    <w:rsid w:val="52B21B59"/>
    <w:rsid w:val="52BB6C5F"/>
    <w:rsid w:val="52C32D67"/>
    <w:rsid w:val="52D01FDF"/>
    <w:rsid w:val="52E31D12"/>
    <w:rsid w:val="52E37F64"/>
    <w:rsid w:val="52E94FF6"/>
    <w:rsid w:val="52F67C97"/>
    <w:rsid w:val="52FC4B82"/>
    <w:rsid w:val="53071EA5"/>
    <w:rsid w:val="530F48B5"/>
    <w:rsid w:val="531760C4"/>
    <w:rsid w:val="53277E51"/>
    <w:rsid w:val="533A056C"/>
    <w:rsid w:val="533E503D"/>
    <w:rsid w:val="5354676C"/>
    <w:rsid w:val="5358625C"/>
    <w:rsid w:val="536015B5"/>
    <w:rsid w:val="53607807"/>
    <w:rsid w:val="53624E0A"/>
    <w:rsid w:val="5362532D"/>
    <w:rsid w:val="536C1D08"/>
    <w:rsid w:val="53764934"/>
    <w:rsid w:val="537E2EA2"/>
    <w:rsid w:val="538460DE"/>
    <w:rsid w:val="53876B42"/>
    <w:rsid w:val="53966D85"/>
    <w:rsid w:val="539B439B"/>
    <w:rsid w:val="53A12E87"/>
    <w:rsid w:val="53A414A2"/>
    <w:rsid w:val="53A4298E"/>
    <w:rsid w:val="53AF1757"/>
    <w:rsid w:val="53B16F24"/>
    <w:rsid w:val="53B316E5"/>
    <w:rsid w:val="53BA0CC5"/>
    <w:rsid w:val="53C02053"/>
    <w:rsid w:val="53DD2CA6"/>
    <w:rsid w:val="53E775E0"/>
    <w:rsid w:val="53EB5322"/>
    <w:rsid w:val="53F35F85"/>
    <w:rsid w:val="5403676A"/>
    <w:rsid w:val="54085ED4"/>
    <w:rsid w:val="54104D89"/>
    <w:rsid w:val="541805B7"/>
    <w:rsid w:val="541D3002"/>
    <w:rsid w:val="54387E3C"/>
    <w:rsid w:val="543C792C"/>
    <w:rsid w:val="544762D1"/>
    <w:rsid w:val="54492049"/>
    <w:rsid w:val="54532EC8"/>
    <w:rsid w:val="545C3B2A"/>
    <w:rsid w:val="545D0467"/>
    <w:rsid w:val="54640C31"/>
    <w:rsid w:val="54642849"/>
    <w:rsid w:val="54696247"/>
    <w:rsid w:val="547075D6"/>
    <w:rsid w:val="547F1F0F"/>
    <w:rsid w:val="548D63DA"/>
    <w:rsid w:val="54905ECA"/>
    <w:rsid w:val="5492579E"/>
    <w:rsid w:val="54B0392B"/>
    <w:rsid w:val="54CB0CB0"/>
    <w:rsid w:val="54D2203E"/>
    <w:rsid w:val="54E0475B"/>
    <w:rsid w:val="54E56DB8"/>
    <w:rsid w:val="550B5550"/>
    <w:rsid w:val="55222FC6"/>
    <w:rsid w:val="553B7BE4"/>
    <w:rsid w:val="5548346E"/>
    <w:rsid w:val="554F18E1"/>
    <w:rsid w:val="556829A3"/>
    <w:rsid w:val="556C4241"/>
    <w:rsid w:val="557355CF"/>
    <w:rsid w:val="55872E29"/>
    <w:rsid w:val="558772CD"/>
    <w:rsid w:val="55A439DB"/>
    <w:rsid w:val="55A57753"/>
    <w:rsid w:val="55AD03B6"/>
    <w:rsid w:val="55AE4859"/>
    <w:rsid w:val="55B22FA5"/>
    <w:rsid w:val="55B67727"/>
    <w:rsid w:val="55C0458D"/>
    <w:rsid w:val="55C23E61"/>
    <w:rsid w:val="55CC7E02"/>
    <w:rsid w:val="55CE0A58"/>
    <w:rsid w:val="55FD3C3F"/>
    <w:rsid w:val="56075D18"/>
    <w:rsid w:val="561A1F82"/>
    <w:rsid w:val="56226FF5"/>
    <w:rsid w:val="56250239"/>
    <w:rsid w:val="56315F82"/>
    <w:rsid w:val="5632548A"/>
    <w:rsid w:val="56334D5F"/>
    <w:rsid w:val="564B3E56"/>
    <w:rsid w:val="564E1B99"/>
    <w:rsid w:val="564E7084"/>
    <w:rsid w:val="565151E5"/>
    <w:rsid w:val="56530F5D"/>
    <w:rsid w:val="56586573"/>
    <w:rsid w:val="565D4368"/>
    <w:rsid w:val="565F354D"/>
    <w:rsid w:val="56665134"/>
    <w:rsid w:val="56725887"/>
    <w:rsid w:val="567F61F6"/>
    <w:rsid w:val="568A7075"/>
    <w:rsid w:val="569854FE"/>
    <w:rsid w:val="56C37E91"/>
    <w:rsid w:val="56D71B8E"/>
    <w:rsid w:val="56E524FD"/>
    <w:rsid w:val="57064221"/>
    <w:rsid w:val="57064403"/>
    <w:rsid w:val="570E435D"/>
    <w:rsid w:val="57266671"/>
    <w:rsid w:val="573214BA"/>
    <w:rsid w:val="57407733"/>
    <w:rsid w:val="57437223"/>
    <w:rsid w:val="577218B7"/>
    <w:rsid w:val="57763155"/>
    <w:rsid w:val="57792C45"/>
    <w:rsid w:val="577D0987"/>
    <w:rsid w:val="57833AC4"/>
    <w:rsid w:val="57957FD1"/>
    <w:rsid w:val="579F39AA"/>
    <w:rsid w:val="57A001D2"/>
    <w:rsid w:val="57A51C8C"/>
    <w:rsid w:val="57A53A3A"/>
    <w:rsid w:val="57A803B9"/>
    <w:rsid w:val="57B819BF"/>
    <w:rsid w:val="57C02622"/>
    <w:rsid w:val="57E24C8E"/>
    <w:rsid w:val="57E74053"/>
    <w:rsid w:val="57E94CAC"/>
    <w:rsid w:val="57EE718F"/>
    <w:rsid w:val="58022C3B"/>
    <w:rsid w:val="580943E3"/>
    <w:rsid w:val="580E5A83"/>
    <w:rsid w:val="5831588C"/>
    <w:rsid w:val="583A0626"/>
    <w:rsid w:val="584119B5"/>
    <w:rsid w:val="58417C07"/>
    <w:rsid w:val="58555460"/>
    <w:rsid w:val="58612B92"/>
    <w:rsid w:val="586C6306"/>
    <w:rsid w:val="58704048"/>
    <w:rsid w:val="588C2D0D"/>
    <w:rsid w:val="5891029F"/>
    <w:rsid w:val="58947D5E"/>
    <w:rsid w:val="58950E5A"/>
    <w:rsid w:val="58953AAF"/>
    <w:rsid w:val="589B466B"/>
    <w:rsid w:val="58A70C52"/>
    <w:rsid w:val="58A921CB"/>
    <w:rsid w:val="58B71C77"/>
    <w:rsid w:val="58BE3005"/>
    <w:rsid w:val="58BF28DA"/>
    <w:rsid w:val="58DF11CE"/>
    <w:rsid w:val="58E80082"/>
    <w:rsid w:val="58EF7663"/>
    <w:rsid w:val="58FA5C29"/>
    <w:rsid w:val="58FC58DC"/>
    <w:rsid w:val="591E3224"/>
    <w:rsid w:val="592D3CE7"/>
    <w:rsid w:val="59417793"/>
    <w:rsid w:val="5947124D"/>
    <w:rsid w:val="595347AB"/>
    <w:rsid w:val="595C281E"/>
    <w:rsid w:val="596F4300"/>
    <w:rsid w:val="59821A6D"/>
    <w:rsid w:val="5988716F"/>
    <w:rsid w:val="598D29D8"/>
    <w:rsid w:val="598D4786"/>
    <w:rsid w:val="59927FEE"/>
    <w:rsid w:val="59A815C0"/>
    <w:rsid w:val="59C53F20"/>
    <w:rsid w:val="59D2488F"/>
    <w:rsid w:val="59D44AE4"/>
    <w:rsid w:val="59DD395F"/>
    <w:rsid w:val="59E3084A"/>
    <w:rsid w:val="59F82547"/>
    <w:rsid w:val="59FD190B"/>
    <w:rsid w:val="59FE19ED"/>
    <w:rsid w:val="5A0507C0"/>
    <w:rsid w:val="5A0A04CC"/>
    <w:rsid w:val="5A361F34"/>
    <w:rsid w:val="5A3B7DEC"/>
    <w:rsid w:val="5A4A2677"/>
    <w:rsid w:val="5A4B3859"/>
    <w:rsid w:val="5A623E64"/>
    <w:rsid w:val="5A646500"/>
    <w:rsid w:val="5A6A4AC7"/>
    <w:rsid w:val="5A737E20"/>
    <w:rsid w:val="5A7476F4"/>
    <w:rsid w:val="5AA63D51"/>
    <w:rsid w:val="5AB02E22"/>
    <w:rsid w:val="5AB13AE4"/>
    <w:rsid w:val="5AB3646E"/>
    <w:rsid w:val="5AC16F0F"/>
    <w:rsid w:val="5AC643F3"/>
    <w:rsid w:val="5AD14B46"/>
    <w:rsid w:val="5AE3311B"/>
    <w:rsid w:val="5AE87C8F"/>
    <w:rsid w:val="5AEE74A6"/>
    <w:rsid w:val="5AF251E8"/>
    <w:rsid w:val="5AF33247"/>
    <w:rsid w:val="5AFA5E4B"/>
    <w:rsid w:val="5AFF16B3"/>
    <w:rsid w:val="5AFF3461"/>
    <w:rsid w:val="5B0942E0"/>
    <w:rsid w:val="5B0A0784"/>
    <w:rsid w:val="5B12588A"/>
    <w:rsid w:val="5B157129"/>
    <w:rsid w:val="5B172EA1"/>
    <w:rsid w:val="5B1C0B9A"/>
    <w:rsid w:val="5B1F705C"/>
    <w:rsid w:val="5B2D18D4"/>
    <w:rsid w:val="5B565263"/>
    <w:rsid w:val="5B6836FC"/>
    <w:rsid w:val="5B6B2007"/>
    <w:rsid w:val="5B7C4AB2"/>
    <w:rsid w:val="5B8F6EDB"/>
    <w:rsid w:val="5B94004E"/>
    <w:rsid w:val="5BA069F2"/>
    <w:rsid w:val="5BA74225"/>
    <w:rsid w:val="5BB93F58"/>
    <w:rsid w:val="5BBA09F3"/>
    <w:rsid w:val="5BD20B76"/>
    <w:rsid w:val="5BD4669C"/>
    <w:rsid w:val="5BF40B0F"/>
    <w:rsid w:val="5C0056E3"/>
    <w:rsid w:val="5C0351D3"/>
    <w:rsid w:val="5C0C22DA"/>
    <w:rsid w:val="5C1178F0"/>
    <w:rsid w:val="5C1318BA"/>
    <w:rsid w:val="5C3435DF"/>
    <w:rsid w:val="5C3D6937"/>
    <w:rsid w:val="5C50666A"/>
    <w:rsid w:val="5C531CB7"/>
    <w:rsid w:val="5C533A65"/>
    <w:rsid w:val="5C58107B"/>
    <w:rsid w:val="5C5D0D87"/>
    <w:rsid w:val="5C68135C"/>
    <w:rsid w:val="5C6D0731"/>
    <w:rsid w:val="5C71213D"/>
    <w:rsid w:val="5C8B76A2"/>
    <w:rsid w:val="5C902F0B"/>
    <w:rsid w:val="5C917CF5"/>
    <w:rsid w:val="5C983B6D"/>
    <w:rsid w:val="5C9C18B0"/>
    <w:rsid w:val="5CA6628A"/>
    <w:rsid w:val="5CA73DB1"/>
    <w:rsid w:val="5CAA564F"/>
    <w:rsid w:val="5CC52489"/>
    <w:rsid w:val="5CCE758F"/>
    <w:rsid w:val="5CE648D9"/>
    <w:rsid w:val="5D221689"/>
    <w:rsid w:val="5D227715"/>
    <w:rsid w:val="5D283143"/>
    <w:rsid w:val="5D284EF1"/>
    <w:rsid w:val="5D4D372F"/>
    <w:rsid w:val="5D5061F6"/>
    <w:rsid w:val="5D55380D"/>
    <w:rsid w:val="5D663C6C"/>
    <w:rsid w:val="5D6F2B20"/>
    <w:rsid w:val="5D740137"/>
    <w:rsid w:val="5D7C523D"/>
    <w:rsid w:val="5D8660BC"/>
    <w:rsid w:val="5D942587"/>
    <w:rsid w:val="5DA64068"/>
    <w:rsid w:val="5DCC7F73"/>
    <w:rsid w:val="5DD03D84"/>
    <w:rsid w:val="5DD064B1"/>
    <w:rsid w:val="5DD619A0"/>
    <w:rsid w:val="5DDC7A8A"/>
    <w:rsid w:val="5DF748C4"/>
    <w:rsid w:val="5E0349DE"/>
    <w:rsid w:val="5E0B0912"/>
    <w:rsid w:val="5E1D07CE"/>
    <w:rsid w:val="5E3B2A02"/>
    <w:rsid w:val="5E413D91"/>
    <w:rsid w:val="5E451AD3"/>
    <w:rsid w:val="5E5D506F"/>
    <w:rsid w:val="5E6E2DD8"/>
    <w:rsid w:val="5E7D126D"/>
    <w:rsid w:val="5E7D74BF"/>
    <w:rsid w:val="5EAB402C"/>
    <w:rsid w:val="5EC51758"/>
    <w:rsid w:val="5EDF3CD6"/>
    <w:rsid w:val="5EDF7832"/>
    <w:rsid w:val="5EE30B66"/>
    <w:rsid w:val="5EF00C63"/>
    <w:rsid w:val="5F0454EA"/>
    <w:rsid w:val="5F047298"/>
    <w:rsid w:val="5F2D2C93"/>
    <w:rsid w:val="5F49114F"/>
    <w:rsid w:val="5F4955F3"/>
    <w:rsid w:val="5F5E71A7"/>
    <w:rsid w:val="5F6C02C9"/>
    <w:rsid w:val="5F7A755A"/>
    <w:rsid w:val="5F926F9A"/>
    <w:rsid w:val="5F93686E"/>
    <w:rsid w:val="5FAA42E4"/>
    <w:rsid w:val="5FB011CE"/>
    <w:rsid w:val="5FB707AE"/>
    <w:rsid w:val="5FBE38EB"/>
    <w:rsid w:val="5FBF1411"/>
    <w:rsid w:val="5FC65148"/>
    <w:rsid w:val="5FD01870"/>
    <w:rsid w:val="5FD749AD"/>
    <w:rsid w:val="5FDA624B"/>
    <w:rsid w:val="5FEA2932"/>
    <w:rsid w:val="5FED41D0"/>
    <w:rsid w:val="5FF60630"/>
    <w:rsid w:val="6005776C"/>
    <w:rsid w:val="600734E4"/>
    <w:rsid w:val="6025396A"/>
    <w:rsid w:val="60285208"/>
    <w:rsid w:val="602A5424"/>
    <w:rsid w:val="602D281F"/>
    <w:rsid w:val="602F6597"/>
    <w:rsid w:val="60310561"/>
    <w:rsid w:val="603911C4"/>
    <w:rsid w:val="60522285"/>
    <w:rsid w:val="6057789C"/>
    <w:rsid w:val="605D3104"/>
    <w:rsid w:val="60787F3E"/>
    <w:rsid w:val="608F5287"/>
    <w:rsid w:val="60932FCA"/>
    <w:rsid w:val="60964868"/>
    <w:rsid w:val="60AE3960"/>
    <w:rsid w:val="60C05441"/>
    <w:rsid w:val="60C767CF"/>
    <w:rsid w:val="60CC028A"/>
    <w:rsid w:val="60DA0BF8"/>
    <w:rsid w:val="60DE7169"/>
    <w:rsid w:val="60E07891"/>
    <w:rsid w:val="61016185"/>
    <w:rsid w:val="61137C66"/>
    <w:rsid w:val="6118702B"/>
    <w:rsid w:val="61206FA0"/>
    <w:rsid w:val="61243C22"/>
    <w:rsid w:val="613F394C"/>
    <w:rsid w:val="614079B7"/>
    <w:rsid w:val="61447E20"/>
    <w:rsid w:val="61477910"/>
    <w:rsid w:val="61481125"/>
    <w:rsid w:val="61483DB4"/>
    <w:rsid w:val="615C0C4D"/>
    <w:rsid w:val="615D19B1"/>
    <w:rsid w:val="615E2827"/>
    <w:rsid w:val="615F567B"/>
    <w:rsid w:val="61630BEE"/>
    <w:rsid w:val="616446A4"/>
    <w:rsid w:val="61742A83"/>
    <w:rsid w:val="617E77D6"/>
    <w:rsid w:val="61835B97"/>
    <w:rsid w:val="618D5C6B"/>
    <w:rsid w:val="619A3EE4"/>
    <w:rsid w:val="61A255D6"/>
    <w:rsid w:val="61A830E3"/>
    <w:rsid w:val="61AE5BE1"/>
    <w:rsid w:val="61B50D1E"/>
    <w:rsid w:val="61C45941"/>
    <w:rsid w:val="61CD250B"/>
    <w:rsid w:val="61DA565F"/>
    <w:rsid w:val="61DE2022"/>
    <w:rsid w:val="61F93300"/>
    <w:rsid w:val="61FE0917"/>
    <w:rsid w:val="623C31ED"/>
    <w:rsid w:val="624778AB"/>
    <w:rsid w:val="62540537"/>
    <w:rsid w:val="626400BF"/>
    <w:rsid w:val="626926F0"/>
    <w:rsid w:val="626D1BCA"/>
    <w:rsid w:val="62764951"/>
    <w:rsid w:val="62791D4B"/>
    <w:rsid w:val="627E3805"/>
    <w:rsid w:val="629923ED"/>
    <w:rsid w:val="6299419B"/>
    <w:rsid w:val="629E7A04"/>
    <w:rsid w:val="62A468BF"/>
    <w:rsid w:val="62AC0373"/>
    <w:rsid w:val="62CA25A7"/>
    <w:rsid w:val="62E573E1"/>
    <w:rsid w:val="62EA2C49"/>
    <w:rsid w:val="62EF1E31"/>
    <w:rsid w:val="62F13FD7"/>
    <w:rsid w:val="62F31AFE"/>
    <w:rsid w:val="630930CF"/>
    <w:rsid w:val="630A432C"/>
    <w:rsid w:val="630F445E"/>
    <w:rsid w:val="631D301E"/>
    <w:rsid w:val="63310878"/>
    <w:rsid w:val="633A597E"/>
    <w:rsid w:val="633F4D43"/>
    <w:rsid w:val="6344075B"/>
    <w:rsid w:val="634560D1"/>
    <w:rsid w:val="634F28C3"/>
    <w:rsid w:val="63514A76"/>
    <w:rsid w:val="6353259C"/>
    <w:rsid w:val="63624ED5"/>
    <w:rsid w:val="636B3D8A"/>
    <w:rsid w:val="636D2D43"/>
    <w:rsid w:val="637075F2"/>
    <w:rsid w:val="638B442C"/>
    <w:rsid w:val="6393508F"/>
    <w:rsid w:val="63A23524"/>
    <w:rsid w:val="63A36518"/>
    <w:rsid w:val="63A728E8"/>
    <w:rsid w:val="63A948B2"/>
    <w:rsid w:val="63BD210C"/>
    <w:rsid w:val="63C416EC"/>
    <w:rsid w:val="63EF49BB"/>
    <w:rsid w:val="63F91396"/>
    <w:rsid w:val="642301C1"/>
    <w:rsid w:val="64236413"/>
    <w:rsid w:val="64346872"/>
    <w:rsid w:val="643E0467"/>
    <w:rsid w:val="64414AEB"/>
    <w:rsid w:val="645E569D"/>
    <w:rsid w:val="64713622"/>
    <w:rsid w:val="6476316D"/>
    <w:rsid w:val="64950B14"/>
    <w:rsid w:val="649B244D"/>
    <w:rsid w:val="64AD1B28"/>
    <w:rsid w:val="64CA4AE0"/>
    <w:rsid w:val="64D43BB1"/>
    <w:rsid w:val="64DB4F3F"/>
    <w:rsid w:val="64EA5182"/>
    <w:rsid w:val="64EB69CB"/>
    <w:rsid w:val="64F93617"/>
    <w:rsid w:val="65071890"/>
    <w:rsid w:val="650A1380"/>
    <w:rsid w:val="65130235"/>
    <w:rsid w:val="651D5558"/>
    <w:rsid w:val="65200BA4"/>
    <w:rsid w:val="65202952"/>
    <w:rsid w:val="65295CAB"/>
    <w:rsid w:val="653D3504"/>
    <w:rsid w:val="65401246"/>
    <w:rsid w:val="65474383"/>
    <w:rsid w:val="6549634D"/>
    <w:rsid w:val="654C7BEB"/>
    <w:rsid w:val="65534AD5"/>
    <w:rsid w:val="6569254B"/>
    <w:rsid w:val="657F1D6E"/>
    <w:rsid w:val="658C6239"/>
    <w:rsid w:val="65B431E5"/>
    <w:rsid w:val="65BD63F3"/>
    <w:rsid w:val="65D1387D"/>
    <w:rsid w:val="65F362B8"/>
    <w:rsid w:val="660364FC"/>
    <w:rsid w:val="660404C6"/>
    <w:rsid w:val="66056E07"/>
    <w:rsid w:val="66081D64"/>
    <w:rsid w:val="660B715E"/>
    <w:rsid w:val="660D2ED6"/>
    <w:rsid w:val="66154481"/>
    <w:rsid w:val="66187ACD"/>
    <w:rsid w:val="661C136B"/>
    <w:rsid w:val="661E3335"/>
    <w:rsid w:val="66285F62"/>
    <w:rsid w:val="663568D1"/>
    <w:rsid w:val="66546D57"/>
    <w:rsid w:val="665723A3"/>
    <w:rsid w:val="66651D93"/>
    <w:rsid w:val="666920D7"/>
    <w:rsid w:val="66747DFB"/>
    <w:rsid w:val="667747F4"/>
    <w:rsid w:val="667B2536"/>
    <w:rsid w:val="668F1B3D"/>
    <w:rsid w:val="669C10B7"/>
    <w:rsid w:val="66B6356E"/>
    <w:rsid w:val="66BC66AA"/>
    <w:rsid w:val="66C814F3"/>
    <w:rsid w:val="66D24120"/>
    <w:rsid w:val="66DB02DB"/>
    <w:rsid w:val="66E4179C"/>
    <w:rsid w:val="66FB71D3"/>
    <w:rsid w:val="670307BF"/>
    <w:rsid w:val="67073DC9"/>
    <w:rsid w:val="670E6B05"/>
    <w:rsid w:val="671A0817"/>
    <w:rsid w:val="67223341"/>
    <w:rsid w:val="67262C9D"/>
    <w:rsid w:val="672C3830"/>
    <w:rsid w:val="673F4E70"/>
    <w:rsid w:val="67656D42"/>
    <w:rsid w:val="676D40F6"/>
    <w:rsid w:val="677D408C"/>
    <w:rsid w:val="678F3DBF"/>
    <w:rsid w:val="67966EFB"/>
    <w:rsid w:val="67A34CD2"/>
    <w:rsid w:val="67A61834"/>
    <w:rsid w:val="67B6134C"/>
    <w:rsid w:val="67BC2E06"/>
    <w:rsid w:val="67BF46A4"/>
    <w:rsid w:val="67C223E6"/>
    <w:rsid w:val="67E660D5"/>
    <w:rsid w:val="67EA3F6E"/>
    <w:rsid w:val="67EB36EB"/>
    <w:rsid w:val="67F00D02"/>
    <w:rsid w:val="68077DF9"/>
    <w:rsid w:val="68126ECA"/>
    <w:rsid w:val="68141711"/>
    <w:rsid w:val="681744E0"/>
    <w:rsid w:val="68246BFD"/>
    <w:rsid w:val="682D5AB2"/>
    <w:rsid w:val="682E182A"/>
    <w:rsid w:val="68352BB8"/>
    <w:rsid w:val="683A1F7D"/>
    <w:rsid w:val="684E5A28"/>
    <w:rsid w:val="685079F2"/>
    <w:rsid w:val="68726C63"/>
    <w:rsid w:val="68842D99"/>
    <w:rsid w:val="6884575B"/>
    <w:rsid w:val="68906041"/>
    <w:rsid w:val="68945B31"/>
    <w:rsid w:val="68A5389A"/>
    <w:rsid w:val="68C31F72"/>
    <w:rsid w:val="68C77CB4"/>
    <w:rsid w:val="68CD4B9F"/>
    <w:rsid w:val="68D91796"/>
    <w:rsid w:val="68E11D62"/>
    <w:rsid w:val="69095EE2"/>
    <w:rsid w:val="69180510"/>
    <w:rsid w:val="691B590A"/>
    <w:rsid w:val="69201173"/>
    <w:rsid w:val="69272501"/>
    <w:rsid w:val="692F13B6"/>
    <w:rsid w:val="69531548"/>
    <w:rsid w:val="695D23C7"/>
    <w:rsid w:val="696A6892"/>
    <w:rsid w:val="697274F4"/>
    <w:rsid w:val="69821E2D"/>
    <w:rsid w:val="698B1D32"/>
    <w:rsid w:val="698C2CAC"/>
    <w:rsid w:val="698C6808"/>
    <w:rsid w:val="698F62F8"/>
    <w:rsid w:val="699D0A15"/>
    <w:rsid w:val="69A27DD9"/>
    <w:rsid w:val="69AC2A06"/>
    <w:rsid w:val="69C67F6C"/>
    <w:rsid w:val="69C75A92"/>
    <w:rsid w:val="69C95831"/>
    <w:rsid w:val="69E623BC"/>
    <w:rsid w:val="69FA19C4"/>
    <w:rsid w:val="6A072332"/>
    <w:rsid w:val="6A2151A2"/>
    <w:rsid w:val="6A3C6480"/>
    <w:rsid w:val="6A4A07AF"/>
    <w:rsid w:val="6A4B66C3"/>
    <w:rsid w:val="6A507835"/>
    <w:rsid w:val="6A6257BB"/>
    <w:rsid w:val="6A6D6639"/>
    <w:rsid w:val="6A8614A9"/>
    <w:rsid w:val="6A9516EC"/>
    <w:rsid w:val="6A973B65"/>
    <w:rsid w:val="6A9E2C97"/>
    <w:rsid w:val="6AA656A7"/>
    <w:rsid w:val="6AB44268"/>
    <w:rsid w:val="6AB46016"/>
    <w:rsid w:val="6AD06BC8"/>
    <w:rsid w:val="6AD20B92"/>
    <w:rsid w:val="6ADB01D4"/>
    <w:rsid w:val="6ADE12E5"/>
    <w:rsid w:val="6AF26367"/>
    <w:rsid w:val="6B0F76F1"/>
    <w:rsid w:val="6B1116BB"/>
    <w:rsid w:val="6B192137"/>
    <w:rsid w:val="6B1B64B0"/>
    <w:rsid w:val="6B1D005F"/>
    <w:rsid w:val="6B386B50"/>
    <w:rsid w:val="6B477A2A"/>
    <w:rsid w:val="6B513EA3"/>
    <w:rsid w:val="6B67752D"/>
    <w:rsid w:val="6B6E08BB"/>
    <w:rsid w:val="6B712159"/>
    <w:rsid w:val="6B7834E8"/>
    <w:rsid w:val="6B7E6624"/>
    <w:rsid w:val="6B827EC3"/>
    <w:rsid w:val="6B881251"/>
    <w:rsid w:val="6BA73654"/>
    <w:rsid w:val="6BB64010"/>
    <w:rsid w:val="6BC07C08"/>
    <w:rsid w:val="6BC47261"/>
    <w:rsid w:val="6BCA3618"/>
    <w:rsid w:val="6BD6020E"/>
    <w:rsid w:val="6BE02E3B"/>
    <w:rsid w:val="6BEC7A32"/>
    <w:rsid w:val="6BEE7306"/>
    <w:rsid w:val="6BF863D7"/>
    <w:rsid w:val="6BFD1C3F"/>
    <w:rsid w:val="6C156F89"/>
    <w:rsid w:val="6C1F3963"/>
    <w:rsid w:val="6C240F7A"/>
    <w:rsid w:val="6C30791F"/>
    <w:rsid w:val="6C3A079D"/>
    <w:rsid w:val="6C3E3165"/>
    <w:rsid w:val="6C4B4758"/>
    <w:rsid w:val="6C4C52F4"/>
    <w:rsid w:val="6C580C23"/>
    <w:rsid w:val="6C59228F"/>
    <w:rsid w:val="6C5E0930"/>
    <w:rsid w:val="6C7517D5"/>
    <w:rsid w:val="6C937EAD"/>
    <w:rsid w:val="6C9C4FB4"/>
    <w:rsid w:val="6C9F2CF6"/>
    <w:rsid w:val="6CA976D1"/>
    <w:rsid w:val="6CAE6A95"/>
    <w:rsid w:val="6CAF0778"/>
    <w:rsid w:val="6CB247D7"/>
    <w:rsid w:val="6CC13DA5"/>
    <w:rsid w:val="6CC8224D"/>
    <w:rsid w:val="6CDB1F80"/>
    <w:rsid w:val="6CDE55CC"/>
    <w:rsid w:val="6CFE17CB"/>
    <w:rsid w:val="6D0A4613"/>
    <w:rsid w:val="6D170ADE"/>
    <w:rsid w:val="6D17288C"/>
    <w:rsid w:val="6D1F1741"/>
    <w:rsid w:val="6D21370B"/>
    <w:rsid w:val="6D260D22"/>
    <w:rsid w:val="6D266F73"/>
    <w:rsid w:val="6D340359"/>
    <w:rsid w:val="6D371181"/>
    <w:rsid w:val="6D443C83"/>
    <w:rsid w:val="6D502D47"/>
    <w:rsid w:val="6D505279"/>
    <w:rsid w:val="6D5C3AC4"/>
    <w:rsid w:val="6D8617C0"/>
    <w:rsid w:val="6D8F68C7"/>
    <w:rsid w:val="6D911863"/>
    <w:rsid w:val="6D916E4E"/>
    <w:rsid w:val="6D940381"/>
    <w:rsid w:val="6DAD4F9F"/>
    <w:rsid w:val="6DB12CE1"/>
    <w:rsid w:val="6DCF13B9"/>
    <w:rsid w:val="6DEC5AC7"/>
    <w:rsid w:val="6DED797A"/>
    <w:rsid w:val="6DEE183F"/>
    <w:rsid w:val="6DF350A8"/>
    <w:rsid w:val="6E0B0643"/>
    <w:rsid w:val="6E1319A6"/>
    <w:rsid w:val="6E184B0E"/>
    <w:rsid w:val="6E250FD9"/>
    <w:rsid w:val="6E3D4575"/>
    <w:rsid w:val="6E565636"/>
    <w:rsid w:val="6E641B01"/>
    <w:rsid w:val="6E6C47A7"/>
    <w:rsid w:val="6E755ABD"/>
    <w:rsid w:val="6E7F693B"/>
    <w:rsid w:val="6EA2087C"/>
    <w:rsid w:val="6EAB5982"/>
    <w:rsid w:val="6EB32A89"/>
    <w:rsid w:val="6EBE3907"/>
    <w:rsid w:val="6ED21161"/>
    <w:rsid w:val="6EE40E94"/>
    <w:rsid w:val="6EE964AB"/>
    <w:rsid w:val="6EED5F9B"/>
    <w:rsid w:val="6EF8049C"/>
    <w:rsid w:val="6F06705D"/>
    <w:rsid w:val="6F141779"/>
    <w:rsid w:val="6F193452"/>
    <w:rsid w:val="6F42021D"/>
    <w:rsid w:val="6F4831D1"/>
    <w:rsid w:val="6F4A1255"/>
    <w:rsid w:val="6F4D4C8B"/>
    <w:rsid w:val="6F6124E5"/>
    <w:rsid w:val="6F630BD6"/>
    <w:rsid w:val="6F6F075E"/>
    <w:rsid w:val="6F7044D6"/>
    <w:rsid w:val="6F774BAC"/>
    <w:rsid w:val="6F79782E"/>
    <w:rsid w:val="6F80296B"/>
    <w:rsid w:val="6F9603E0"/>
    <w:rsid w:val="6F975F07"/>
    <w:rsid w:val="6FA7614A"/>
    <w:rsid w:val="6FB13580"/>
    <w:rsid w:val="6FB22D40"/>
    <w:rsid w:val="6FB95E7D"/>
    <w:rsid w:val="6FC5117A"/>
    <w:rsid w:val="6FD827A7"/>
    <w:rsid w:val="6FE949B4"/>
    <w:rsid w:val="6FF62C2D"/>
    <w:rsid w:val="700323DB"/>
    <w:rsid w:val="702459EC"/>
    <w:rsid w:val="70253512"/>
    <w:rsid w:val="703D085C"/>
    <w:rsid w:val="704020FA"/>
    <w:rsid w:val="704718D2"/>
    <w:rsid w:val="70495D5B"/>
    <w:rsid w:val="7053007F"/>
    <w:rsid w:val="70840239"/>
    <w:rsid w:val="70AC7790"/>
    <w:rsid w:val="70AF6726"/>
    <w:rsid w:val="70AF7355"/>
    <w:rsid w:val="70BA6A2B"/>
    <w:rsid w:val="70BF5715"/>
    <w:rsid w:val="70C96594"/>
    <w:rsid w:val="70CB5E68"/>
    <w:rsid w:val="70D50A94"/>
    <w:rsid w:val="70D867D7"/>
    <w:rsid w:val="70EE7DA8"/>
    <w:rsid w:val="70F57389"/>
    <w:rsid w:val="70F74EAF"/>
    <w:rsid w:val="70FF1FB5"/>
    <w:rsid w:val="710C022E"/>
    <w:rsid w:val="7121252E"/>
    <w:rsid w:val="713357AB"/>
    <w:rsid w:val="7141612A"/>
    <w:rsid w:val="715045BF"/>
    <w:rsid w:val="715916C6"/>
    <w:rsid w:val="715E2BBD"/>
    <w:rsid w:val="715F4802"/>
    <w:rsid w:val="716B764B"/>
    <w:rsid w:val="71A36DE5"/>
    <w:rsid w:val="71A37FFC"/>
    <w:rsid w:val="71A87F57"/>
    <w:rsid w:val="71AC3EEB"/>
    <w:rsid w:val="71B374B1"/>
    <w:rsid w:val="71C62CFF"/>
    <w:rsid w:val="71CB1E97"/>
    <w:rsid w:val="71D64AC4"/>
    <w:rsid w:val="71E427DC"/>
    <w:rsid w:val="71E52F59"/>
    <w:rsid w:val="71E74F23"/>
    <w:rsid w:val="71EA0570"/>
    <w:rsid w:val="71F65166"/>
    <w:rsid w:val="720C2BDC"/>
    <w:rsid w:val="721A5B23"/>
    <w:rsid w:val="721E62BD"/>
    <w:rsid w:val="72331F17"/>
    <w:rsid w:val="72347A3D"/>
    <w:rsid w:val="72361A07"/>
    <w:rsid w:val="72417DAB"/>
    <w:rsid w:val="724203AC"/>
    <w:rsid w:val="72457E9C"/>
    <w:rsid w:val="72536115"/>
    <w:rsid w:val="72556331"/>
    <w:rsid w:val="727051DB"/>
    <w:rsid w:val="72807126"/>
    <w:rsid w:val="729047C5"/>
    <w:rsid w:val="729055BB"/>
    <w:rsid w:val="72A9042B"/>
    <w:rsid w:val="72AF5315"/>
    <w:rsid w:val="72B312A9"/>
    <w:rsid w:val="72BD7A32"/>
    <w:rsid w:val="72C214EC"/>
    <w:rsid w:val="72C62D8B"/>
    <w:rsid w:val="72C74D55"/>
    <w:rsid w:val="72D6671B"/>
    <w:rsid w:val="72DA58DB"/>
    <w:rsid w:val="72EE5E3E"/>
    <w:rsid w:val="72F86CBC"/>
    <w:rsid w:val="72FC46DC"/>
    <w:rsid w:val="72FC49FE"/>
    <w:rsid w:val="731009FB"/>
    <w:rsid w:val="73171838"/>
    <w:rsid w:val="7318735E"/>
    <w:rsid w:val="73335F46"/>
    <w:rsid w:val="73467A28"/>
    <w:rsid w:val="734F0FD2"/>
    <w:rsid w:val="73530396"/>
    <w:rsid w:val="73634A7D"/>
    <w:rsid w:val="73702CF6"/>
    <w:rsid w:val="73734595"/>
    <w:rsid w:val="737547B1"/>
    <w:rsid w:val="737F73DD"/>
    <w:rsid w:val="738B58EE"/>
    <w:rsid w:val="738F7621"/>
    <w:rsid w:val="73903399"/>
    <w:rsid w:val="7399224D"/>
    <w:rsid w:val="739A7D73"/>
    <w:rsid w:val="73BE73D7"/>
    <w:rsid w:val="73D2750D"/>
    <w:rsid w:val="73D43285"/>
    <w:rsid w:val="73DC3D05"/>
    <w:rsid w:val="73DE2356"/>
    <w:rsid w:val="73EA4B55"/>
    <w:rsid w:val="73EF6311"/>
    <w:rsid w:val="740022CC"/>
    <w:rsid w:val="740578E3"/>
    <w:rsid w:val="74096F68"/>
    <w:rsid w:val="7431692A"/>
    <w:rsid w:val="743B50B2"/>
    <w:rsid w:val="74432521"/>
    <w:rsid w:val="744F5002"/>
    <w:rsid w:val="74582108"/>
    <w:rsid w:val="745B5755"/>
    <w:rsid w:val="74602D6B"/>
    <w:rsid w:val="74604B19"/>
    <w:rsid w:val="746F4033"/>
    <w:rsid w:val="74827185"/>
    <w:rsid w:val="748E78D8"/>
    <w:rsid w:val="74911176"/>
    <w:rsid w:val="74996C40"/>
    <w:rsid w:val="74B36375"/>
    <w:rsid w:val="74B44E65"/>
    <w:rsid w:val="74B97AD4"/>
    <w:rsid w:val="74BA06CD"/>
    <w:rsid w:val="74BF4C64"/>
    <w:rsid w:val="74C23A26"/>
    <w:rsid w:val="74C257D4"/>
    <w:rsid w:val="74CB5A00"/>
    <w:rsid w:val="74CC6652"/>
    <w:rsid w:val="74D177C5"/>
    <w:rsid w:val="74DB0643"/>
    <w:rsid w:val="74DD616A"/>
    <w:rsid w:val="74F160B9"/>
    <w:rsid w:val="74FC0CE6"/>
    <w:rsid w:val="750F1338"/>
    <w:rsid w:val="751029E3"/>
    <w:rsid w:val="751122B7"/>
    <w:rsid w:val="75134281"/>
    <w:rsid w:val="75426C6E"/>
    <w:rsid w:val="7544268D"/>
    <w:rsid w:val="755448DA"/>
    <w:rsid w:val="75580C3E"/>
    <w:rsid w:val="75581C94"/>
    <w:rsid w:val="755C1784"/>
    <w:rsid w:val="755D1591"/>
    <w:rsid w:val="7564635F"/>
    <w:rsid w:val="757765BE"/>
    <w:rsid w:val="75780C69"/>
    <w:rsid w:val="757C3BD5"/>
    <w:rsid w:val="758E3908"/>
    <w:rsid w:val="75946750"/>
    <w:rsid w:val="75952EE8"/>
    <w:rsid w:val="759F5B15"/>
    <w:rsid w:val="75C31803"/>
    <w:rsid w:val="75D0399E"/>
    <w:rsid w:val="75D60D25"/>
    <w:rsid w:val="75DB4D9F"/>
    <w:rsid w:val="75E4177A"/>
    <w:rsid w:val="75EA4FE2"/>
    <w:rsid w:val="75F47896"/>
    <w:rsid w:val="75F55735"/>
    <w:rsid w:val="761258AB"/>
    <w:rsid w:val="76143E0D"/>
    <w:rsid w:val="762A3631"/>
    <w:rsid w:val="76311753"/>
    <w:rsid w:val="764A5A81"/>
    <w:rsid w:val="765132FA"/>
    <w:rsid w:val="765468FF"/>
    <w:rsid w:val="76854D0B"/>
    <w:rsid w:val="76872831"/>
    <w:rsid w:val="76982C90"/>
    <w:rsid w:val="76A15D65"/>
    <w:rsid w:val="76A41635"/>
    <w:rsid w:val="76AF7FDA"/>
    <w:rsid w:val="76BA0E58"/>
    <w:rsid w:val="76BC3EBD"/>
    <w:rsid w:val="76C45833"/>
    <w:rsid w:val="76C577FD"/>
    <w:rsid w:val="76CC46E8"/>
    <w:rsid w:val="76D8308D"/>
    <w:rsid w:val="76DF08BF"/>
    <w:rsid w:val="76E00627"/>
    <w:rsid w:val="76E41A31"/>
    <w:rsid w:val="76EC6B38"/>
    <w:rsid w:val="76EE59E6"/>
    <w:rsid w:val="76F1414E"/>
    <w:rsid w:val="76F31C74"/>
    <w:rsid w:val="76F8372F"/>
    <w:rsid w:val="77000835"/>
    <w:rsid w:val="77020109"/>
    <w:rsid w:val="770660D5"/>
    <w:rsid w:val="77100A78"/>
    <w:rsid w:val="771B11CB"/>
    <w:rsid w:val="771D4F43"/>
    <w:rsid w:val="77277E88"/>
    <w:rsid w:val="773D55E5"/>
    <w:rsid w:val="7746449A"/>
    <w:rsid w:val="774E15A1"/>
    <w:rsid w:val="7750356B"/>
    <w:rsid w:val="775D7A36"/>
    <w:rsid w:val="775F730A"/>
    <w:rsid w:val="77626DFA"/>
    <w:rsid w:val="7763329E"/>
    <w:rsid w:val="778356EE"/>
    <w:rsid w:val="778E5E41"/>
    <w:rsid w:val="779725EC"/>
    <w:rsid w:val="77AE203F"/>
    <w:rsid w:val="77E51F05"/>
    <w:rsid w:val="77EA2BFF"/>
    <w:rsid w:val="780D3305"/>
    <w:rsid w:val="782115C4"/>
    <w:rsid w:val="78252301"/>
    <w:rsid w:val="78280044"/>
    <w:rsid w:val="782B3839"/>
    <w:rsid w:val="7831514A"/>
    <w:rsid w:val="783764D9"/>
    <w:rsid w:val="78411105"/>
    <w:rsid w:val="78415070"/>
    <w:rsid w:val="78484242"/>
    <w:rsid w:val="784C1F84"/>
    <w:rsid w:val="785D5F3F"/>
    <w:rsid w:val="78697682"/>
    <w:rsid w:val="787B63C5"/>
    <w:rsid w:val="788566A9"/>
    <w:rsid w:val="78970D25"/>
    <w:rsid w:val="78B47B29"/>
    <w:rsid w:val="78EF46BD"/>
    <w:rsid w:val="78F87A16"/>
    <w:rsid w:val="78FD6DDA"/>
    <w:rsid w:val="79052133"/>
    <w:rsid w:val="79110AD8"/>
    <w:rsid w:val="79134850"/>
    <w:rsid w:val="791D122B"/>
    <w:rsid w:val="791D747D"/>
    <w:rsid w:val="79202AC9"/>
    <w:rsid w:val="79294073"/>
    <w:rsid w:val="7931117A"/>
    <w:rsid w:val="795310F0"/>
    <w:rsid w:val="796926C2"/>
    <w:rsid w:val="79703A50"/>
    <w:rsid w:val="797F0137"/>
    <w:rsid w:val="798412AA"/>
    <w:rsid w:val="79A66D50"/>
    <w:rsid w:val="79B67EF4"/>
    <w:rsid w:val="79BA116F"/>
    <w:rsid w:val="79D12015"/>
    <w:rsid w:val="79DA7170"/>
    <w:rsid w:val="79DB2756"/>
    <w:rsid w:val="79E166FC"/>
    <w:rsid w:val="7A0B3779"/>
    <w:rsid w:val="7A150154"/>
    <w:rsid w:val="7A1940E8"/>
    <w:rsid w:val="7A1C7734"/>
    <w:rsid w:val="7A1D7B44"/>
    <w:rsid w:val="7A232871"/>
    <w:rsid w:val="7A2605B3"/>
    <w:rsid w:val="7A2776B7"/>
    <w:rsid w:val="7A293BFF"/>
    <w:rsid w:val="7A2A295A"/>
    <w:rsid w:val="7A3C3932"/>
    <w:rsid w:val="7A48677B"/>
    <w:rsid w:val="7A4E3666"/>
    <w:rsid w:val="7A5F138C"/>
    <w:rsid w:val="7A680BCB"/>
    <w:rsid w:val="7A6A66F1"/>
    <w:rsid w:val="7A6C36E3"/>
    <w:rsid w:val="7A7C01D3"/>
    <w:rsid w:val="7A813A3B"/>
    <w:rsid w:val="7A9962D1"/>
    <w:rsid w:val="7AB47064"/>
    <w:rsid w:val="7AB91427"/>
    <w:rsid w:val="7ABB0CFB"/>
    <w:rsid w:val="7AC34054"/>
    <w:rsid w:val="7ADD5115"/>
    <w:rsid w:val="7B024B7C"/>
    <w:rsid w:val="7B0A1C83"/>
    <w:rsid w:val="7B1A0118"/>
    <w:rsid w:val="7B1B5C3E"/>
    <w:rsid w:val="7B220D7A"/>
    <w:rsid w:val="7B3960C4"/>
    <w:rsid w:val="7B3A4316"/>
    <w:rsid w:val="7B3B62E0"/>
    <w:rsid w:val="7B4038F6"/>
    <w:rsid w:val="7B52755D"/>
    <w:rsid w:val="7B560A24"/>
    <w:rsid w:val="7B566C76"/>
    <w:rsid w:val="7B58479C"/>
    <w:rsid w:val="7B8A4AB6"/>
    <w:rsid w:val="7B8B4B71"/>
    <w:rsid w:val="7BA34766"/>
    <w:rsid w:val="7BA522FF"/>
    <w:rsid w:val="7BC736D0"/>
    <w:rsid w:val="7BDD1145"/>
    <w:rsid w:val="7BDD1CD9"/>
    <w:rsid w:val="7BF070CA"/>
    <w:rsid w:val="7BF72207"/>
    <w:rsid w:val="7BFD3595"/>
    <w:rsid w:val="7C1032C9"/>
    <w:rsid w:val="7C1728A9"/>
    <w:rsid w:val="7C3B3D9E"/>
    <w:rsid w:val="7C3D05C9"/>
    <w:rsid w:val="7C4B2553"/>
    <w:rsid w:val="7C5546E4"/>
    <w:rsid w:val="7C5A68F7"/>
    <w:rsid w:val="7C6333F8"/>
    <w:rsid w:val="7C885555"/>
    <w:rsid w:val="7C8D2862"/>
    <w:rsid w:val="7CD51E1C"/>
    <w:rsid w:val="7CD75B94"/>
    <w:rsid w:val="7CD82E2D"/>
    <w:rsid w:val="7CF77517"/>
    <w:rsid w:val="7CF83BBE"/>
    <w:rsid w:val="7D044000"/>
    <w:rsid w:val="7D1312C2"/>
    <w:rsid w:val="7D133070"/>
    <w:rsid w:val="7D2012E9"/>
    <w:rsid w:val="7D2E7EAA"/>
    <w:rsid w:val="7D311748"/>
    <w:rsid w:val="7D3B6123"/>
    <w:rsid w:val="7D407BDD"/>
    <w:rsid w:val="7D52346D"/>
    <w:rsid w:val="7D5D253D"/>
    <w:rsid w:val="7D6238ED"/>
    <w:rsid w:val="7D697134"/>
    <w:rsid w:val="7D6E474B"/>
    <w:rsid w:val="7D70600C"/>
    <w:rsid w:val="7D7635FF"/>
    <w:rsid w:val="7D7A30EF"/>
    <w:rsid w:val="7D7C2BAC"/>
    <w:rsid w:val="7D8201F6"/>
    <w:rsid w:val="7D9F168F"/>
    <w:rsid w:val="7DB051E5"/>
    <w:rsid w:val="7DC205F3"/>
    <w:rsid w:val="7DD766F1"/>
    <w:rsid w:val="7DE40569"/>
    <w:rsid w:val="7DE71E07"/>
    <w:rsid w:val="7DF74740"/>
    <w:rsid w:val="7DF804B8"/>
    <w:rsid w:val="7E002EC9"/>
    <w:rsid w:val="7E01111B"/>
    <w:rsid w:val="7E1626EC"/>
    <w:rsid w:val="7E2A71A9"/>
    <w:rsid w:val="7E2D1F10"/>
    <w:rsid w:val="7E327BA3"/>
    <w:rsid w:val="7E4E04C2"/>
    <w:rsid w:val="7E4E5655"/>
    <w:rsid w:val="7E4F632A"/>
    <w:rsid w:val="7E551467"/>
    <w:rsid w:val="7E6478FC"/>
    <w:rsid w:val="7E9F29C9"/>
    <w:rsid w:val="7EB10D93"/>
    <w:rsid w:val="7EB517AA"/>
    <w:rsid w:val="7EC860DC"/>
    <w:rsid w:val="7ECF1219"/>
    <w:rsid w:val="7EED78F1"/>
    <w:rsid w:val="7EF0118F"/>
    <w:rsid w:val="7EF46ED2"/>
    <w:rsid w:val="7F0474A0"/>
    <w:rsid w:val="7F150158"/>
    <w:rsid w:val="7F17671C"/>
    <w:rsid w:val="7F201A75"/>
    <w:rsid w:val="7F2257ED"/>
    <w:rsid w:val="7F25708B"/>
    <w:rsid w:val="7F2A644F"/>
    <w:rsid w:val="7F323556"/>
    <w:rsid w:val="7F5259A6"/>
    <w:rsid w:val="7F547970"/>
    <w:rsid w:val="7F596D35"/>
    <w:rsid w:val="7F7973D7"/>
    <w:rsid w:val="7F7B4EFD"/>
    <w:rsid w:val="7F7D2A23"/>
    <w:rsid w:val="7F8114E6"/>
    <w:rsid w:val="7F9A1827"/>
    <w:rsid w:val="7FAC50B6"/>
    <w:rsid w:val="7FB126CD"/>
    <w:rsid w:val="7FB25ED0"/>
    <w:rsid w:val="7FB72124"/>
    <w:rsid w:val="7FC248DA"/>
    <w:rsid w:val="7FC5261C"/>
    <w:rsid w:val="7FC95C68"/>
    <w:rsid w:val="7FD14B1D"/>
    <w:rsid w:val="7FEC35BC"/>
    <w:rsid w:val="7FFD2DD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qFormat="1" w:unhideWhenUsed="0" w:uiPriority="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8"/>
      <w:lang w:val="en-US" w:eastAsia="zh-CN" w:bidi="ar-SA"/>
    </w:rPr>
  </w:style>
  <w:style w:type="paragraph" w:styleId="3">
    <w:name w:val="heading 1"/>
    <w:basedOn w:val="1"/>
    <w:next w:val="1"/>
    <w:link w:val="37"/>
    <w:autoRedefine/>
    <w:qFormat/>
    <w:uiPriority w:val="0"/>
    <w:pPr>
      <w:keepNext/>
      <w:keepLines/>
      <w:spacing w:line="360" w:lineRule="auto"/>
      <w:jc w:val="center"/>
      <w:outlineLvl w:val="0"/>
    </w:pPr>
    <w:rPr>
      <w:b/>
      <w:kern w:val="44"/>
      <w:sz w:val="30"/>
    </w:rPr>
  </w:style>
  <w:style w:type="paragraph" w:styleId="4">
    <w:name w:val="heading 2"/>
    <w:basedOn w:val="1"/>
    <w:next w:val="1"/>
    <w:link w:val="33"/>
    <w:autoRedefine/>
    <w:unhideWhenUsed/>
    <w:qFormat/>
    <w:uiPriority w:val="0"/>
    <w:pPr>
      <w:keepNext/>
      <w:keepLines/>
      <w:spacing w:beforeLines="50"/>
      <w:ind w:firstLine="1680" w:firstLineChars="200"/>
      <w:outlineLvl w:val="1"/>
    </w:pPr>
    <w:rPr>
      <w:rFonts w:ascii="Arial" w:hAnsi="Arial"/>
      <w:b/>
    </w:rPr>
  </w:style>
  <w:style w:type="paragraph" w:styleId="5">
    <w:name w:val="heading 3"/>
    <w:basedOn w:val="1"/>
    <w:next w:val="1"/>
    <w:link w:val="35"/>
    <w:autoRedefine/>
    <w:semiHidden/>
    <w:unhideWhenUsed/>
    <w:qFormat/>
    <w:uiPriority w:val="0"/>
    <w:pPr>
      <w:keepNext/>
      <w:keepLines/>
      <w:spacing w:line="360" w:lineRule="auto"/>
      <w:ind w:firstLine="560" w:firstLineChars="200"/>
      <w:jc w:val="left"/>
      <w:outlineLvl w:val="2"/>
    </w:pPr>
    <w:rPr>
      <w:b/>
    </w:rPr>
  </w:style>
  <w:style w:type="paragraph" w:styleId="2">
    <w:name w:val="heading 4"/>
    <w:basedOn w:val="1"/>
    <w:next w:val="1"/>
    <w:link w:val="34"/>
    <w:autoRedefine/>
    <w:semiHidden/>
    <w:unhideWhenUsed/>
    <w:qFormat/>
    <w:uiPriority w:val="0"/>
    <w:pPr>
      <w:keepNext/>
      <w:keepLines/>
      <w:spacing w:line="360" w:lineRule="auto"/>
      <w:ind w:firstLine="562" w:firstLineChars="200"/>
      <w:jc w:val="left"/>
      <w:outlineLvl w:val="3"/>
    </w:pPr>
    <w:rPr>
      <w:rFonts w:ascii="Arial" w:hAnsi="Arial"/>
      <w:b/>
    </w:rPr>
  </w:style>
  <w:style w:type="paragraph" w:styleId="6">
    <w:name w:val="heading 5"/>
    <w:basedOn w:val="1"/>
    <w:next w:val="1"/>
    <w:autoRedefine/>
    <w:semiHidden/>
    <w:unhideWhenUsed/>
    <w:qFormat/>
    <w:uiPriority w:val="0"/>
    <w:pPr>
      <w:keepNext/>
      <w:keepLines/>
      <w:spacing w:line="360" w:lineRule="auto"/>
      <w:jc w:val="center"/>
      <w:outlineLvl w:val="4"/>
    </w:pPr>
    <w:rPr>
      <w:b/>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7">
    <w:name w:val="table of authorities"/>
    <w:basedOn w:val="1"/>
    <w:next w:val="1"/>
    <w:qFormat/>
    <w:uiPriority w:val="0"/>
    <w:pPr>
      <w:tabs>
        <w:tab w:val="right" w:leader="dot" w:pos="8640"/>
      </w:tabs>
      <w:autoSpaceDE w:val="0"/>
      <w:adjustRightInd w:val="0"/>
      <w:snapToGrid w:val="0"/>
      <w:spacing w:after="240"/>
      <w:ind w:firstLine="482"/>
    </w:pPr>
    <w:rPr>
      <w:rFonts w:ascii="Garamond" w:hAnsi="Garamond" w:eastAsia="PMingLiU"/>
      <w:lang w:eastAsia="zh-TW"/>
    </w:rPr>
  </w:style>
  <w:style w:type="paragraph" w:styleId="8">
    <w:name w:val="annotation text"/>
    <w:basedOn w:val="1"/>
    <w:autoRedefine/>
    <w:qFormat/>
    <w:uiPriority w:val="0"/>
    <w:pPr>
      <w:jc w:val="left"/>
    </w:pPr>
  </w:style>
  <w:style w:type="paragraph" w:styleId="9">
    <w:name w:val="Body Text"/>
    <w:basedOn w:val="1"/>
    <w:next w:val="1"/>
    <w:autoRedefine/>
    <w:qFormat/>
    <w:uiPriority w:val="0"/>
  </w:style>
  <w:style w:type="paragraph" w:styleId="10">
    <w:name w:val="Body Text Indent"/>
    <w:basedOn w:val="1"/>
    <w:next w:val="11"/>
    <w:autoRedefine/>
    <w:qFormat/>
    <w:uiPriority w:val="0"/>
    <w:pPr>
      <w:spacing w:after="120"/>
      <w:ind w:left="420" w:leftChars="200"/>
    </w:pPr>
  </w:style>
  <w:style w:type="paragraph" w:styleId="11">
    <w:name w:val="envelope return"/>
    <w:basedOn w:val="1"/>
    <w:autoRedefine/>
    <w:semiHidden/>
    <w:qFormat/>
    <w:uiPriority w:val="0"/>
    <w:pPr>
      <w:snapToGrid w:val="0"/>
    </w:pPr>
    <w:rPr>
      <w:rFonts w:ascii="Arial" w:hAnsi="Arial" w:cs="Arial"/>
    </w:rPr>
  </w:style>
  <w:style w:type="paragraph" w:styleId="12">
    <w:name w:val="Plain Text"/>
    <w:basedOn w:val="1"/>
    <w:qFormat/>
    <w:uiPriority w:val="0"/>
    <w:rPr>
      <w:rFonts w:ascii="宋体" w:hAnsi="Courier New"/>
    </w:rPr>
  </w:style>
  <w:style w:type="paragraph" w:styleId="13">
    <w:name w:val="Date"/>
    <w:basedOn w:val="1"/>
    <w:next w:val="1"/>
    <w:autoRedefine/>
    <w:qFormat/>
    <w:uiPriority w:val="0"/>
  </w:style>
  <w:style w:type="paragraph" w:styleId="14">
    <w:name w:val="Balloon Text"/>
    <w:basedOn w:val="1"/>
    <w:link w:val="54"/>
    <w:qFormat/>
    <w:uiPriority w:val="0"/>
    <w:rPr>
      <w:sz w:val="18"/>
      <w:szCs w:val="18"/>
    </w:rPr>
  </w:style>
  <w:style w:type="paragraph" w:styleId="15">
    <w:name w:val="footer"/>
    <w:basedOn w:val="1"/>
    <w:autoRedefine/>
    <w:qFormat/>
    <w:uiPriority w:val="0"/>
    <w:pPr>
      <w:tabs>
        <w:tab w:val="center" w:pos="4153"/>
        <w:tab w:val="right" w:pos="8306"/>
      </w:tabs>
      <w:snapToGrid w:val="0"/>
      <w:jc w:val="left"/>
    </w:pPr>
    <w:rPr>
      <w:sz w:val="18"/>
    </w:rPr>
  </w:style>
  <w:style w:type="paragraph" w:styleId="1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7">
    <w:name w:val="toc 1"/>
    <w:basedOn w:val="1"/>
    <w:next w:val="1"/>
    <w:autoRedefine/>
    <w:qFormat/>
    <w:uiPriority w:val="0"/>
    <w:pPr>
      <w:spacing w:line="320" w:lineRule="exact"/>
      <w:jc w:val="left"/>
    </w:pPr>
    <w:rPr>
      <w:rFonts w:ascii="宋体" w:hAnsi="宋体"/>
      <w:sz w:val="24"/>
    </w:rPr>
  </w:style>
  <w:style w:type="paragraph" w:styleId="18">
    <w:name w:val="Body Text Indent 3"/>
    <w:basedOn w:val="1"/>
    <w:autoRedefine/>
    <w:qFormat/>
    <w:uiPriority w:val="0"/>
    <w:pPr>
      <w:spacing w:line="360" w:lineRule="auto"/>
      <w:ind w:firstLine="632"/>
    </w:pPr>
    <w:rPr>
      <w:rFonts w:ascii="黑体" w:eastAsia="黑体"/>
    </w:rPr>
  </w:style>
  <w:style w:type="paragraph" w:styleId="19">
    <w:name w:val="index 9"/>
    <w:basedOn w:val="1"/>
    <w:next w:val="1"/>
    <w:qFormat/>
    <w:uiPriority w:val="0"/>
    <w:pPr>
      <w:ind w:left="1600" w:leftChars="1600"/>
    </w:pPr>
  </w:style>
  <w:style w:type="paragraph" w:styleId="20">
    <w:name w:val="table of figures"/>
    <w:next w:val="1"/>
    <w:qFormat/>
    <w:uiPriority w:val="0"/>
    <w:pPr>
      <w:widowControl w:val="0"/>
      <w:tabs>
        <w:tab w:val="right" w:leader="dot" w:pos="8640"/>
      </w:tabs>
      <w:spacing w:line="360" w:lineRule="auto"/>
      <w:ind w:left="400" w:hanging="400"/>
      <w:jc w:val="both"/>
    </w:pPr>
    <w:rPr>
      <w:rFonts w:ascii="Times New Roman" w:hAnsi="Times New Roman" w:eastAsia="宋体" w:cs="Times New Roman"/>
      <w:kern w:val="2"/>
      <w:sz w:val="24"/>
      <w:lang w:val="en-US" w:eastAsia="zh-CN" w:bidi="ar-SA"/>
    </w:rPr>
  </w:style>
  <w:style w:type="paragraph" w:styleId="21">
    <w:name w:val="toc 2"/>
    <w:basedOn w:val="1"/>
    <w:next w:val="1"/>
    <w:autoRedefine/>
    <w:qFormat/>
    <w:uiPriority w:val="0"/>
    <w:pPr>
      <w:ind w:left="420" w:leftChars="200"/>
    </w:pPr>
  </w:style>
  <w:style w:type="paragraph" w:styleId="22">
    <w:name w:val="HTML Preformatted"/>
    <w:autoRedefine/>
    <w:qFormat/>
    <w:uiPriority w:val="0"/>
    <w:pPr>
      <w:widowControl w:val="0"/>
      <w:jc w:val="both"/>
    </w:pPr>
    <w:rPr>
      <w:rFonts w:ascii="Courier New" w:hAnsi="Courier New" w:eastAsia="宋体" w:cs="Times New Roman"/>
      <w:kern w:val="2"/>
      <w:sz w:val="21"/>
      <w:szCs w:val="24"/>
      <w:lang w:val="en-US" w:eastAsia="zh-CN" w:bidi="ar-SA"/>
    </w:rPr>
  </w:style>
  <w:style w:type="paragraph" w:styleId="23">
    <w:name w:val="Normal (Web)"/>
    <w:basedOn w:val="1"/>
    <w:autoRedefine/>
    <w:qFormat/>
    <w:uiPriority w:val="0"/>
    <w:pPr>
      <w:widowControl/>
      <w:spacing w:before="100" w:beforeAutospacing="1" w:after="100" w:afterAutospacing="1"/>
      <w:jc w:val="left"/>
    </w:pPr>
    <w:rPr>
      <w:rFonts w:ascii="宋体" w:hAnsi="宋体"/>
      <w:kern w:val="0"/>
      <w:sz w:val="24"/>
    </w:rPr>
  </w:style>
  <w:style w:type="paragraph" w:styleId="24">
    <w:name w:val="Title"/>
    <w:basedOn w:val="1"/>
    <w:next w:val="1"/>
    <w:qFormat/>
    <w:uiPriority w:val="0"/>
    <w:pPr>
      <w:widowControl/>
      <w:spacing w:line="360" w:lineRule="auto"/>
      <w:jc w:val="center"/>
    </w:pPr>
    <w:rPr>
      <w:rFonts w:ascii="Arial" w:hAnsi="Arial"/>
      <w:b/>
      <w:smallCaps/>
      <w:kern w:val="28"/>
      <w:sz w:val="36"/>
      <w:lang w:eastAsia="en-US"/>
    </w:rPr>
  </w:style>
  <w:style w:type="paragraph" w:styleId="25">
    <w:name w:val="Body Text First Indent 2"/>
    <w:basedOn w:val="10"/>
    <w:autoRedefine/>
    <w:qFormat/>
    <w:uiPriority w:val="0"/>
    <w:pPr>
      <w:ind w:firstLine="420" w:firstLineChars="200"/>
    </w:pPr>
  </w:style>
  <w:style w:type="table" w:styleId="27">
    <w:name w:val="Table Grid"/>
    <w:basedOn w:val="26"/>
    <w:autoRedefine/>
    <w:qFormat/>
    <w:uiPriority w:val="99"/>
    <w:pPr>
      <w:widowControl w:val="0"/>
      <w:jc w:val="both"/>
    </w:pPr>
    <w:rPr>
      <w:rFonts w:ascii="Calibri" w:hAnsi="Calibri"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annotation reference"/>
    <w:basedOn w:val="28"/>
    <w:autoRedefine/>
    <w:qFormat/>
    <w:uiPriority w:val="0"/>
    <w:rPr>
      <w:sz w:val="21"/>
      <w:szCs w:val="21"/>
    </w:rPr>
  </w:style>
  <w:style w:type="paragraph" w:customStyle="1" w:styleId="30">
    <w:name w:val="标书正文1"/>
    <w:basedOn w:val="1"/>
    <w:qFormat/>
    <w:uiPriority w:val="0"/>
    <w:pPr>
      <w:widowControl/>
      <w:spacing w:line="520" w:lineRule="exact"/>
      <w:ind w:firstLine="640" w:firstLineChars="200"/>
    </w:pPr>
  </w:style>
  <w:style w:type="paragraph" w:customStyle="1" w:styleId="31">
    <w:name w:val="_Style 3"/>
    <w:next w:val="18"/>
    <w:autoRedefine/>
    <w:qFormat/>
    <w:uiPriority w:val="99"/>
    <w:pPr>
      <w:widowControl w:val="0"/>
      <w:jc w:val="both"/>
    </w:pPr>
    <w:rPr>
      <w:rFonts w:ascii="Times New Roman" w:hAnsi="Times New Roman" w:eastAsia="宋体" w:cs="Times New Roman"/>
      <w:kern w:val="2"/>
      <w:sz w:val="21"/>
      <w:szCs w:val="22"/>
      <w:lang w:val="en-US" w:eastAsia="zh-CN" w:bidi="ar-SA"/>
    </w:rPr>
  </w:style>
  <w:style w:type="character" w:customStyle="1" w:styleId="32">
    <w:name w:val="标题 1 Char"/>
    <w:link w:val="3"/>
    <w:autoRedefine/>
    <w:qFormat/>
    <w:locked/>
    <w:uiPriority w:val="0"/>
    <w:rPr>
      <w:rFonts w:ascii="Times New Roman" w:hAnsi="Times New Roman" w:eastAsia="宋体" w:cs="Times New Roman"/>
      <w:b/>
      <w:bCs/>
      <w:kern w:val="2"/>
      <w:sz w:val="32"/>
      <w:szCs w:val="32"/>
      <w:lang w:val="en-US" w:eastAsia="zh-CN" w:bidi="ar-SA"/>
    </w:rPr>
  </w:style>
  <w:style w:type="character" w:customStyle="1" w:styleId="33">
    <w:name w:val="标题 2 Char"/>
    <w:link w:val="4"/>
    <w:autoRedefine/>
    <w:qFormat/>
    <w:uiPriority w:val="0"/>
    <w:rPr>
      <w:rFonts w:ascii="Arial" w:hAnsi="Arial" w:eastAsia="宋体" w:cs="Times New Roman"/>
      <w:b/>
      <w:bCs/>
      <w:kern w:val="2"/>
      <w:sz w:val="28"/>
      <w:szCs w:val="32"/>
      <w:lang w:val="en-US" w:eastAsia="zh-CN" w:bidi="ar-SA"/>
    </w:rPr>
  </w:style>
  <w:style w:type="character" w:customStyle="1" w:styleId="34">
    <w:name w:val="标题 4 Char"/>
    <w:link w:val="2"/>
    <w:autoRedefine/>
    <w:qFormat/>
    <w:uiPriority w:val="0"/>
    <w:rPr>
      <w:rFonts w:ascii="Arial" w:hAnsi="Arial" w:eastAsia="宋体"/>
      <w:b/>
    </w:rPr>
  </w:style>
  <w:style w:type="character" w:customStyle="1" w:styleId="35">
    <w:name w:val="标题 3 Char"/>
    <w:link w:val="5"/>
    <w:autoRedefine/>
    <w:qFormat/>
    <w:uiPriority w:val="0"/>
    <w:rPr>
      <w:rFonts w:ascii="Times New Roman" w:hAnsi="Times New Roman" w:eastAsia="宋体"/>
      <w:b/>
    </w:rPr>
  </w:style>
  <w:style w:type="paragraph" w:customStyle="1" w:styleId="36">
    <w:name w:val="图例"/>
    <w:basedOn w:val="1"/>
    <w:autoRedefine/>
    <w:qFormat/>
    <w:uiPriority w:val="0"/>
    <w:pPr>
      <w:spacing w:before="120" w:after="120" w:line="360" w:lineRule="auto"/>
      <w:jc w:val="center"/>
    </w:pPr>
    <w:rPr>
      <w:rFonts w:eastAsia="仿宋_GB2312"/>
      <w:b/>
      <w:sz w:val="24"/>
    </w:rPr>
  </w:style>
  <w:style w:type="character" w:customStyle="1" w:styleId="37">
    <w:name w:val="标题 1 Char1"/>
    <w:link w:val="3"/>
    <w:autoRedefine/>
    <w:qFormat/>
    <w:uiPriority w:val="0"/>
    <w:rPr>
      <w:rFonts w:ascii="Times New Roman" w:hAnsi="Times New Roman" w:eastAsia="宋体" w:cs="Times New Roman"/>
      <w:kern w:val="44"/>
      <w:sz w:val="32"/>
    </w:rPr>
  </w:style>
  <w:style w:type="paragraph" w:customStyle="1" w:styleId="38">
    <w:name w:val="授权书和信息卡行距"/>
    <w:autoRedefine/>
    <w:qFormat/>
    <w:uiPriority w:val="0"/>
    <w:pPr>
      <w:spacing w:line="560" w:lineRule="exact"/>
    </w:pPr>
    <w:rPr>
      <w:rFonts w:ascii="Times New Roman" w:hAnsi="Times New Roman" w:eastAsia="仿宋_GB2312" w:cs="Times New Roman"/>
      <w:kern w:val="2"/>
      <w:sz w:val="24"/>
      <w:szCs w:val="24"/>
      <w:lang w:val="en-US" w:eastAsia="zh-CN" w:bidi="ar-SA"/>
    </w:rPr>
  </w:style>
  <w:style w:type="paragraph" w:customStyle="1" w:styleId="39">
    <w:name w:val="Default"/>
    <w:autoRedefine/>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character" w:customStyle="1" w:styleId="40">
    <w:name w:val="font11"/>
    <w:basedOn w:val="28"/>
    <w:autoRedefine/>
    <w:qFormat/>
    <w:uiPriority w:val="0"/>
    <w:rPr>
      <w:rFonts w:hint="default" w:ascii="Segoe UI" w:hAnsi="Segoe UI" w:eastAsia="Segoe UI" w:cs="Segoe UI"/>
      <w:color w:val="000000"/>
      <w:sz w:val="22"/>
      <w:szCs w:val="22"/>
      <w:u w:val="none"/>
    </w:rPr>
  </w:style>
  <w:style w:type="character" w:customStyle="1" w:styleId="41">
    <w:name w:val="font21"/>
    <w:basedOn w:val="28"/>
    <w:autoRedefine/>
    <w:qFormat/>
    <w:uiPriority w:val="0"/>
    <w:rPr>
      <w:rFonts w:hint="default" w:ascii="Segoe UI" w:hAnsi="Segoe UI" w:eastAsia="Segoe UI" w:cs="Segoe UI"/>
      <w:color w:val="000000"/>
      <w:sz w:val="21"/>
      <w:szCs w:val="21"/>
      <w:u w:val="none"/>
    </w:rPr>
  </w:style>
  <w:style w:type="character" w:customStyle="1" w:styleId="42">
    <w:name w:val="font51"/>
    <w:basedOn w:val="28"/>
    <w:autoRedefine/>
    <w:qFormat/>
    <w:uiPriority w:val="0"/>
    <w:rPr>
      <w:rFonts w:hint="eastAsia" w:ascii="微软雅黑" w:hAnsi="微软雅黑" w:eastAsia="微软雅黑" w:cs="微软雅黑"/>
      <w:color w:val="000000"/>
      <w:sz w:val="20"/>
      <w:szCs w:val="20"/>
      <w:u w:val="none"/>
    </w:rPr>
  </w:style>
  <w:style w:type="character" w:customStyle="1" w:styleId="43">
    <w:name w:val="font61"/>
    <w:basedOn w:val="28"/>
    <w:autoRedefine/>
    <w:qFormat/>
    <w:uiPriority w:val="0"/>
    <w:rPr>
      <w:rFonts w:ascii="宋体" w:hAnsi="宋体" w:eastAsia="宋体" w:cs="宋体"/>
      <w:color w:val="000000"/>
      <w:sz w:val="20"/>
      <w:szCs w:val="20"/>
      <w:u w:val="none"/>
    </w:rPr>
  </w:style>
  <w:style w:type="character" w:customStyle="1" w:styleId="44">
    <w:name w:val="font01"/>
    <w:basedOn w:val="28"/>
    <w:autoRedefine/>
    <w:qFormat/>
    <w:uiPriority w:val="0"/>
    <w:rPr>
      <w:rFonts w:hint="eastAsia" w:ascii="宋体" w:hAnsi="宋体" w:eastAsia="宋体" w:cs="宋体"/>
      <w:color w:val="000000"/>
      <w:sz w:val="20"/>
      <w:szCs w:val="20"/>
      <w:u w:val="none"/>
    </w:rPr>
  </w:style>
  <w:style w:type="paragraph" w:customStyle="1" w:styleId="45">
    <w:name w:val="正文1"/>
    <w:next w:val="1"/>
    <w:qFormat/>
    <w:uiPriority w:val="0"/>
    <w:pPr>
      <w:widowControl w:val="0"/>
      <w:jc w:val="both"/>
    </w:pPr>
    <w:rPr>
      <w:rFonts w:ascii="Times New Roman" w:hAnsi="Times New Roman" w:eastAsia="宋体" w:cs="Times New Roman"/>
      <w:kern w:val="2"/>
      <w:sz w:val="28"/>
      <w:szCs w:val="28"/>
      <w:lang w:val="en-US" w:eastAsia="zh-CN" w:bidi="ar-SA"/>
    </w:rPr>
  </w:style>
  <w:style w:type="paragraph" w:customStyle="1" w:styleId="46">
    <w:name w:val="正文首行缩进1"/>
    <w:basedOn w:val="1"/>
    <w:next w:val="1"/>
    <w:qFormat/>
    <w:uiPriority w:val="0"/>
    <w:pPr>
      <w:spacing w:line="360" w:lineRule="auto"/>
      <w:ind w:firstLine="420"/>
    </w:pPr>
    <w:rPr>
      <w:rFonts w:ascii="宋体" w:hAnsi="宋体" w:eastAsia="仿宋_GB2312" w:cs="宋体"/>
      <w:sz w:val="24"/>
      <w:szCs w:val="24"/>
    </w:rPr>
  </w:style>
  <w:style w:type="paragraph" w:customStyle="1" w:styleId="47">
    <w:name w:val="blockquote"/>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48">
    <w:name w:val="正文文本缩进1"/>
    <w:basedOn w:val="1"/>
    <w:qFormat/>
    <w:uiPriority w:val="0"/>
    <w:pPr>
      <w:ind w:firstLine="640" w:firstLineChars="200"/>
    </w:pPr>
    <w:rPr>
      <w:rFonts w:ascii="Calibri"/>
    </w:rPr>
  </w:style>
  <w:style w:type="paragraph" w:customStyle="1" w:styleId="49">
    <w:name w:val="正文首行缩进11"/>
    <w:basedOn w:val="9"/>
    <w:qFormat/>
    <w:uiPriority w:val="0"/>
    <w:pPr>
      <w:adjustRightInd w:val="0"/>
      <w:spacing w:line="275" w:lineRule="atLeast"/>
      <w:ind w:firstLine="420"/>
      <w:textAlignment w:val="baseline"/>
    </w:pPr>
    <w:rPr>
      <w:rFonts w:ascii="宋体" w:eastAsia="楷体_GB2312"/>
      <w:sz w:val="24"/>
    </w:rPr>
  </w:style>
  <w:style w:type="paragraph" w:customStyle="1" w:styleId="50">
    <w:name w:val="正文 A"/>
    <w:qFormat/>
    <w:uiPriority w:val="0"/>
    <w:pPr>
      <w:widowControl w:val="0"/>
      <w:jc w:val="both"/>
    </w:pPr>
    <w:rPr>
      <w:rFonts w:ascii="Times New Roman" w:hAnsi="Times New Roman" w:eastAsia="Times New Roman" w:cs="Times New Roman"/>
      <w:color w:val="000000"/>
      <w:kern w:val="2"/>
      <w:sz w:val="28"/>
      <w:szCs w:val="28"/>
      <w:lang w:val="en-US" w:eastAsia="zh-CN" w:bidi="ar-SA"/>
    </w:rPr>
  </w:style>
  <w:style w:type="paragraph" w:customStyle="1" w:styleId="51">
    <w:name w:val="正文文本首行缩进1"/>
    <w:basedOn w:val="1"/>
    <w:next w:val="1"/>
    <w:qFormat/>
    <w:uiPriority w:val="0"/>
    <w:pPr>
      <w:spacing w:line="360" w:lineRule="auto"/>
      <w:ind w:firstLine="420"/>
    </w:pPr>
    <w:rPr>
      <w:rFonts w:ascii="宋体" w:hAnsi="宋体" w:eastAsia="仿宋_GB2312" w:cs="宋体"/>
      <w:sz w:val="24"/>
      <w:szCs w:val="24"/>
    </w:rPr>
  </w:style>
  <w:style w:type="paragraph" w:customStyle="1" w:styleId="52">
    <w:name w:val="标书正文"/>
    <w:basedOn w:val="1"/>
    <w:autoRedefine/>
    <w:qFormat/>
    <w:uiPriority w:val="0"/>
    <w:pPr>
      <w:spacing w:line="560" w:lineRule="exact"/>
      <w:ind w:firstLine="723"/>
      <w:jc w:val="center"/>
    </w:pPr>
    <w:rPr>
      <w:rFonts w:ascii="仿宋_GB2312" w:hAnsi="仿宋_GB2312" w:eastAsia="仿宋_GB2312" w:cs="仿宋_GB2312"/>
      <w:b/>
      <w:bCs/>
      <w:sz w:val="36"/>
      <w:szCs w:val="36"/>
    </w:rPr>
  </w:style>
  <w:style w:type="paragraph" w:customStyle="1" w:styleId="53">
    <w:name w:val="正文（缩进）"/>
    <w:next w:val="1"/>
    <w:autoRedefine/>
    <w:qFormat/>
    <w:uiPriority w:val="0"/>
    <w:pPr>
      <w:widowControl w:val="0"/>
      <w:spacing w:before="156" w:after="156"/>
      <w:ind w:firstLine="480"/>
      <w:jc w:val="both"/>
    </w:pPr>
    <w:rPr>
      <w:rFonts w:ascii="Times New Roman" w:hAnsi="Times New Roman" w:eastAsia="宋体" w:cs="Times New Roman"/>
      <w:kern w:val="2"/>
      <w:sz w:val="28"/>
      <w:lang w:val="en-US" w:eastAsia="zh-CN" w:bidi="ar-SA"/>
    </w:rPr>
  </w:style>
  <w:style w:type="character" w:customStyle="1" w:styleId="54">
    <w:name w:val="批注框文本 Char"/>
    <w:basedOn w:val="28"/>
    <w:link w:val="14"/>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38</Pages>
  <Words>1985</Words>
  <Characters>2124</Characters>
  <Lines>100</Lines>
  <Paragraphs>28</Paragraphs>
  <TotalTime>45</TotalTime>
  <ScaleCrop>false</ScaleCrop>
  <LinksUpToDate>false</LinksUpToDate>
  <CharactersWithSpaces>2227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2022-05-17T08:32:00Z</dcterms:created>
  <dc:creator>Admin</dc:creator>
  <cp:lastModifiedBy>mys</cp:lastModifiedBy>
  <dcterms:modified xsi:type="dcterms:W3CDTF">2025-05-27T07:53:06Z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7087EED81A694E54ADF140B1B2E138A2_13</vt:lpwstr>
  </property>
  <property fmtid="{D5CDD505-2E9C-101B-9397-08002B2CF9AE}" pid="4" name="KSOTemplateDocerSaveRecord">
    <vt:lpwstr>eyJoZGlkIjoiYzdmMWEyZDM1ZDFlZjI0OGE1NWIwNDBlMGQyYTIyYzAiLCJ1c2VySWQiOiIxMTQzNTg3NTIxIn0=</vt:lpwstr>
  </property>
</Properties>
</file>