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090A9A">
      <w:pPr>
        <w:jc w:val="center"/>
        <w:rPr>
          <w:rFonts w:hint="eastAsia" w:ascii="宋体" w:hAnsi="宋体" w:eastAsia="宋体" w:cs="宋体"/>
          <w:sz w:val="22"/>
          <w:szCs w:val="16"/>
        </w:rPr>
      </w:pPr>
      <w:r>
        <w:rPr>
          <w:rFonts w:hint="eastAsia" w:ascii="宋体" w:hAnsi="宋体" w:eastAsia="宋体" w:cs="宋体"/>
          <w:sz w:val="22"/>
          <w:szCs w:val="16"/>
        </w:rPr>
        <w:t xml:space="preserve"> </w:t>
      </w:r>
    </w:p>
    <w:p w14:paraId="5C3B728D">
      <w:pPr>
        <w:jc w:val="center"/>
        <w:rPr>
          <w:rFonts w:hint="eastAsia" w:ascii="宋体" w:hAnsi="宋体" w:eastAsia="宋体" w:cs="宋体"/>
          <w:sz w:val="22"/>
          <w:szCs w:val="16"/>
        </w:rPr>
      </w:pPr>
    </w:p>
    <w:p w14:paraId="74FD7B21">
      <w:pPr>
        <w:jc w:val="center"/>
        <w:rPr>
          <w:rFonts w:hint="eastAsia" w:ascii="宋体" w:hAnsi="宋体" w:eastAsia="宋体" w:cs="宋体"/>
          <w:sz w:val="22"/>
          <w:szCs w:val="16"/>
        </w:rPr>
      </w:pPr>
    </w:p>
    <w:p w14:paraId="36331A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竞争性磋商</w:t>
      </w:r>
    </w:p>
    <w:p w14:paraId="56557B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文件</w:t>
      </w:r>
    </w:p>
    <w:p w14:paraId="4B23DBBE">
      <w:pPr>
        <w:spacing w:line="700" w:lineRule="exact"/>
        <w:jc w:val="center"/>
        <w:rPr>
          <w:rFonts w:hint="eastAsia" w:ascii="宋体" w:hAnsi="宋体" w:eastAsia="宋体" w:cs="宋体"/>
          <w:sz w:val="24"/>
          <w:szCs w:val="16"/>
        </w:rPr>
      </w:pPr>
    </w:p>
    <w:p w14:paraId="7369367A">
      <w:pPr>
        <w:spacing w:line="700" w:lineRule="exact"/>
        <w:rPr>
          <w:rFonts w:hint="eastAsia" w:ascii="宋体" w:hAnsi="宋体" w:eastAsia="宋体" w:cs="宋体"/>
          <w:sz w:val="24"/>
          <w:szCs w:val="16"/>
        </w:rPr>
      </w:pPr>
    </w:p>
    <w:p w14:paraId="4DC8BC25">
      <w:pPr>
        <w:spacing w:line="700" w:lineRule="exact"/>
        <w:jc w:val="center"/>
        <w:rPr>
          <w:rFonts w:hint="eastAsia" w:ascii="宋体" w:hAnsi="宋体" w:eastAsia="宋体" w:cs="宋体"/>
          <w:sz w:val="24"/>
          <w:szCs w:val="16"/>
        </w:rPr>
      </w:pPr>
    </w:p>
    <w:p w14:paraId="515FA952">
      <w:pPr>
        <w:spacing w:line="700" w:lineRule="exact"/>
        <w:jc w:val="center"/>
        <w:rPr>
          <w:rFonts w:hint="eastAsia" w:ascii="宋体" w:hAnsi="宋体" w:eastAsia="宋体" w:cs="宋体"/>
          <w:sz w:val="24"/>
          <w:szCs w:val="16"/>
        </w:rPr>
      </w:pPr>
    </w:p>
    <w:p w14:paraId="3D5DA1B6">
      <w:pPr>
        <w:spacing w:line="700" w:lineRule="exact"/>
        <w:ind w:left="1120" w:leftChars="400" w:firstLine="0" w:firstLineChars="0"/>
        <w:rPr>
          <w:rFonts w:hint="eastAsia" w:ascii="宋体" w:hAnsi="宋体" w:eastAsia="宋体" w:cs="宋体"/>
          <w:color w:val="auto"/>
          <w:szCs w:val="24"/>
        </w:rPr>
      </w:pPr>
      <w:r>
        <w:rPr>
          <w:rFonts w:hint="eastAsia" w:ascii="宋体" w:hAnsi="宋体" w:eastAsia="宋体" w:cs="宋体"/>
          <w:szCs w:val="24"/>
        </w:rPr>
        <w:t>磋商项目名称：重庆市大足区城市管理局食堂食材配送服务采购-蔬菜类、禽类、牛羊肉</w:t>
      </w:r>
    </w:p>
    <w:p w14:paraId="2A1AF262">
      <w:pPr>
        <w:spacing w:line="700" w:lineRule="exact"/>
        <w:ind w:firstLine="3080" w:firstLineChars="1100"/>
        <w:rPr>
          <w:rFonts w:hint="eastAsia" w:ascii="宋体" w:hAnsi="宋体" w:eastAsia="宋体" w:cs="宋体"/>
          <w:color w:val="auto"/>
        </w:rPr>
      </w:pPr>
    </w:p>
    <w:p w14:paraId="4395AD54">
      <w:pPr>
        <w:spacing w:line="700" w:lineRule="exact"/>
        <w:ind w:left="3696" w:leftChars="405" w:hanging="2562" w:hangingChars="915"/>
        <w:rPr>
          <w:rFonts w:hint="eastAsia" w:ascii="宋体" w:hAnsi="宋体" w:eastAsia="宋体" w:cs="宋体"/>
          <w:color w:val="auto"/>
          <w:sz w:val="28"/>
          <w:szCs w:val="24"/>
          <w:lang w:val="en-US" w:eastAsia="zh-CN"/>
        </w:rPr>
      </w:pPr>
      <w:r>
        <w:rPr>
          <w:rFonts w:hint="eastAsia" w:ascii="宋体" w:hAnsi="宋体" w:eastAsia="宋体" w:cs="宋体"/>
          <w:color w:val="auto"/>
          <w:sz w:val="28"/>
          <w:szCs w:val="24"/>
        </w:rPr>
        <w:t>项目编号：202505-300020</w:t>
      </w:r>
    </w:p>
    <w:p w14:paraId="4E7C69C7">
      <w:pPr>
        <w:spacing w:line="700" w:lineRule="exact"/>
        <w:ind w:firstLine="1360" w:firstLineChars="486"/>
        <w:rPr>
          <w:rFonts w:hint="eastAsia" w:ascii="宋体" w:hAnsi="宋体" w:eastAsia="宋体" w:cs="宋体"/>
          <w:szCs w:val="24"/>
        </w:rPr>
      </w:pPr>
    </w:p>
    <w:p w14:paraId="2B631895">
      <w:pPr>
        <w:spacing w:line="700" w:lineRule="exact"/>
        <w:ind w:firstLine="1360" w:firstLineChars="486"/>
        <w:rPr>
          <w:rFonts w:hint="eastAsia" w:ascii="宋体" w:hAnsi="宋体" w:eastAsia="宋体" w:cs="宋体"/>
          <w:szCs w:val="24"/>
        </w:rPr>
      </w:pPr>
    </w:p>
    <w:p w14:paraId="5D795C0B">
      <w:pPr>
        <w:spacing w:line="700" w:lineRule="exact"/>
        <w:jc w:val="center"/>
        <w:rPr>
          <w:rFonts w:hint="eastAsia" w:ascii="宋体" w:hAnsi="宋体" w:eastAsia="宋体" w:cs="宋体"/>
          <w:b/>
          <w:sz w:val="24"/>
          <w:szCs w:val="24"/>
        </w:rPr>
      </w:pPr>
    </w:p>
    <w:p w14:paraId="1AA0278E">
      <w:pPr>
        <w:spacing w:line="700" w:lineRule="exact"/>
        <w:ind w:firstLine="1500" w:firstLineChars="500"/>
        <w:rPr>
          <w:rFonts w:hint="eastAsia" w:ascii="宋体" w:hAnsi="宋体" w:eastAsia="宋体" w:cs="宋体"/>
          <w:b/>
          <w:sz w:val="30"/>
          <w:szCs w:val="30"/>
        </w:rPr>
      </w:pPr>
      <w:r>
        <w:rPr>
          <w:rFonts w:hint="eastAsia" w:ascii="宋体" w:hAnsi="宋体" w:eastAsia="宋体" w:cs="宋体"/>
          <w:sz w:val="30"/>
          <w:szCs w:val="30"/>
        </w:rPr>
        <w:t>采   购   人：重庆市大足区城市管理局</w:t>
      </w:r>
    </w:p>
    <w:p w14:paraId="7717D302">
      <w:pPr>
        <w:spacing w:line="700" w:lineRule="exact"/>
        <w:ind w:firstLine="1458" w:firstLineChars="486"/>
        <w:rPr>
          <w:rFonts w:hint="eastAsia" w:ascii="宋体" w:hAnsi="宋体" w:eastAsia="宋体" w:cs="宋体"/>
          <w:sz w:val="30"/>
          <w:szCs w:val="30"/>
        </w:rPr>
      </w:pPr>
      <w:r>
        <w:rPr>
          <w:rFonts w:hint="eastAsia" w:ascii="宋体" w:hAnsi="宋体" w:eastAsia="宋体" w:cs="宋体"/>
          <w:color w:val="000000"/>
          <w:sz w:val="30"/>
          <w:szCs w:val="30"/>
        </w:rPr>
        <w:t>采购代理机构：</w:t>
      </w:r>
      <w:r>
        <w:rPr>
          <w:rFonts w:hint="eastAsia" w:ascii="宋体" w:hAnsi="宋体" w:eastAsia="宋体" w:cs="宋体"/>
          <w:sz w:val="30"/>
          <w:szCs w:val="30"/>
        </w:rPr>
        <w:t>明科建设咨询有限公司</w:t>
      </w:r>
    </w:p>
    <w:p w14:paraId="10809D3F">
      <w:pPr>
        <w:spacing w:line="700" w:lineRule="exact"/>
        <w:ind w:firstLine="1360" w:firstLineChars="486"/>
        <w:rPr>
          <w:rFonts w:hint="eastAsia" w:ascii="宋体" w:hAnsi="宋体" w:eastAsia="宋体" w:cs="宋体"/>
          <w:szCs w:val="24"/>
        </w:rPr>
      </w:pPr>
    </w:p>
    <w:p w14:paraId="63D754A9">
      <w:pPr>
        <w:spacing w:line="720" w:lineRule="exact"/>
        <w:jc w:val="center"/>
        <w:outlineLvl w:val="0"/>
        <w:rPr>
          <w:rFonts w:hint="eastAsia" w:ascii="宋体" w:hAnsi="宋体" w:eastAsia="宋体" w:cs="宋体"/>
          <w:b w:val="0"/>
          <w:bCs w:val="0"/>
          <w:sz w:val="40"/>
          <w:szCs w:val="24"/>
        </w:rPr>
      </w:pPr>
      <w:r>
        <w:rPr>
          <w:rFonts w:hint="eastAsia" w:ascii="宋体" w:hAnsi="宋体" w:eastAsia="宋体" w:cs="宋体"/>
          <w:b w:val="0"/>
          <w:bCs w:val="0"/>
          <w:sz w:val="40"/>
          <w:szCs w:val="24"/>
        </w:rPr>
        <w:t>二〇二五年</w:t>
      </w:r>
      <w:r>
        <w:rPr>
          <w:rFonts w:hint="eastAsia" w:ascii="宋体" w:hAnsi="宋体" w:cs="宋体"/>
          <w:b w:val="0"/>
          <w:bCs w:val="0"/>
          <w:sz w:val="40"/>
          <w:szCs w:val="24"/>
          <w:lang w:val="en-US" w:eastAsia="zh-CN"/>
        </w:rPr>
        <w:t>五</w:t>
      </w:r>
      <w:r>
        <w:rPr>
          <w:rFonts w:hint="eastAsia" w:ascii="宋体" w:hAnsi="宋体" w:eastAsia="宋体" w:cs="宋体"/>
          <w:b w:val="0"/>
          <w:bCs w:val="0"/>
          <w:sz w:val="40"/>
          <w:szCs w:val="24"/>
        </w:rPr>
        <w:t>月</w:t>
      </w:r>
    </w:p>
    <w:p w14:paraId="29C2F182">
      <w:pPr>
        <w:spacing w:line="480" w:lineRule="exact"/>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5C811EC0">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60746D4">
      <w:pPr>
        <w:pStyle w:val="30"/>
        <w:tabs>
          <w:tab w:val="right" w:leader="dot" w:pos="9412"/>
        </w:tabs>
        <w:ind w:left="0" w:leftChars="0" w:firstLine="420" w:firstLineChars="200"/>
        <w:rPr>
          <w:rFonts w:hint="eastAsia" w:ascii="宋体" w:hAnsi="宋体" w:eastAsia="宋体" w:cs="宋体"/>
          <w:sz w:val="21"/>
          <w:szCs w:val="21"/>
        </w:rPr>
      </w:pPr>
    </w:p>
    <w:p w14:paraId="47DC1950">
      <w:pPr>
        <w:pStyle w:val="30"/>
        <w:tabs>
          <w:tab w:val="right" w:leader="dot" w:pos="9412"/>
        </w:tabs>
        <w:ind w:left="0" w:leftChars="0" w:firstLine="630" w:firstLineChars="300"/>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_Toc15908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第一篇  采购邀请书</w:t>
      </w:r>
      <w:r>
        <w:tab/>
      </w:r>
      <w:r>
        <w:fldChar w:fldCharType="begin"/>
      </w:r>
      <w:r>
        <w:instrText xml:space="preserve"> PAGEREF _Toc15908 \h </w:instrText>
      </w:r>
      <w:r>
        <w:fldChar w:fldCharType="separate"/>
      </w:r>
      <w:r>
        <w:t>- 1 -</w:t>
      </w:r>
      <w:r>
        <w:fldChar w:fldCharType="end"/>
      </w:r>
      <w:r>
        <w:rPr>
          <w:rFonts w:hint="eastAsia" w:ascii="宋体" w:hAnsi="宋体" w:eastAsia="宋体" w:cs="宋体"/>
          <w:szCs w:val="21"/>
        </w:rPr>
        <w:fldChar w:fldCharType="end"/>
      </w:r>
    </w:p>
    <w:p w14:paraId="7633A09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_Toc13290 </w:instrText>
      </w:r>
      <w:r>
        <w:rPr>
          <w:rFonts w:hint="eastAsia" w:ascii="宋体" w:hAnsi="宋体" w:eastAsia="宋体" w:cs="宋体"/>
          <w:szCs w:val="21"/>
        </w:rPr>
        <w:fldChar w:fldCharType="separate"/>
      </w:r>
      <w:r>
        <w:rPr>
          <w:rFonts w:hint="eastAsia" w:ascii="宋体" w:hAnsi="宋体" w:eastAsia="宋体" w:cs="宋体"/>
          <w:szCs w:val="24"/>
        </w:rPr>
        <w:t>一、竞争性磋商内容</w:t>
      </w:r>
      <w:r>
        <w:tab/>
      </w:r>
      <w:r>
        <w:fldChar w:fldCharType="begin"/>
      </w:r>
      <w:r>
        <w:instrText xml:space="preserve"> PAGEREF _Toc13290 \h </w:instrText>
      </w:r>
      <w:r>
        <w:fldChar w:fldCharType="separate"/>
      </w:r>
      <w:r>
        <w:t>- 1 -</w:t>
      </w:r>
      <w:r>
        <w:fldChar w:fldCharType="end"/>
      </w:r>
      <w:r>
        <w:rPr>
          <w:rFonts w:hint="eastAsia" w:ascii="宋体" w:hAnsi="宋体" w:eastAsia="宋体" w:cs="宋体"/>
          <w:szCs w:val="21"/>
        </w:rPr>
        <w:fldChar w:fldCharType="end"/>
      </w:r>
    </w:p>
    <w:p w14:paraId="7AE4F3B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_Toc7402 </w:instrText>
      </w:r>
      <w:r>
        <w:rPr>
          <w:rFonts w:hint="eastAsia" w:ascii="宋体" w:hAnsi="宋体" w:eastAsia="宋体" w:cs="宋体"/>
          <w:szCs w:val="21"/>
        </w:rPr>
        <w:fldChar w:fldCharType="separate"/>
      </w:r>
      <w:r>
        <w:rPr>
          <w:rFonts w:hint="eastAsia" w:ascii="宋体" w:hAnsi="宋体" w:eastAsia="宋体" w:cs="宋体"/>
          <w:szCs w:val="24"/>
        </w:rPr>
        <w:t>二、资金来源</w:t>
      </w:r>
      <w:r>
        <w:tab/>
      </w:r>
      <w:r>
        <w:fldChar w:fldCharType="begin"/>
      </w:r>
      <w:r>
        <w:instrText xml:space="preserve"> PAGEREF _Toc7402 \h </w:instrText>
      </w:r>
      <w:r>
        <w:fldChar w:fldCharType="separate"/>
      </w:r>
      <w:r>
        <w:t>- 1 -</w:t>
      </w:r>
      <w:r>
        <w:fldChar w:fldCharType="end"/>
      </w:r>
      <w:r>
        <w:rPr>
          <w:rFonts w:hint="eastAsia" w:ascii="宋体" w:hAnsi="宋体" w:eastAsia="宋体" w:cs="宋体"/>
          <w:szCs w:val="21"/>
        </w:rPr>
        <w:fldChar w:fldCharType="end"/>
      </w:r>
    </w:p>
    <w:p w14:paraId="7120696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_Toc28727 </w:instrText>
      </w:r>
      <w:r>
        <w:rPr>
          <w:rFonts w:hint="eastAsia" w:ascii="宋体" w:hAnsi="宋体" w:eastAsia="宋体" w:cs="宋体"/>
          <w:szCs w:val="21"/>
        </w:rPr>
        <w:fldChar w:fldCharType="separate"/>
      </w:r>
      <w:r>
        <w:rPr>
          <w:rFonts w:hint="eastAsia" w:ascii="宋体" w:hAnsi="宋体" w:eastAsia="宋体" w:cs="宋体"/>
          <w:szCs w:val="24"/>
        </w:rPr>
        <w:t>三、供应商资格条件</w:t>
      </w:r>
      <w:r>
        <w:tab/>
      </w:r>
      <w:r>
        <w:fldChar w:fldCharType="begin"/>
      </w:r>
      <w:r>
        <w:instrText xml:space="preserve"> PAGEREF _Toc28727 \h </w:instrText>
      </w:r>
      <w:r>
        <w:fldChar w:fldCharType="separate"/>
      </w:r>
      <w:r>
        <w:t>- 1 -</w:t>
      </w:r>
      <w:r>
        <w:fldChar w:fldCharType="end"/>
      </w:r>
      <w:r>
        <w:rPr>
          <w:rFonts w:hint="eastAsia" w:ascii="宋体" w:hAnsi="宋体" w:eastAsia="宋体" w:cs="宋体"/>
          <w:szCs w:val="21"/>
        </w:rPr>
        <w:fldChar w:fldCharType="end"/>
      </w:r>
    </w:p>
    <w:p w14:paraId="2C590D9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_Toc22628 </w:instrText>
      </w:r>
      <w:r>
        <w:rPr>
          <w:rFonts w:hint="eastAsia" w:ascii="宋体" w:hAnsi="宋体" w:eastAsia="宋体" w:cs="宋体"/>
          <w:szCs w:val="21"/>
        </w:rPr>
        <w:fldChar w:fldCharType="separate"/>
      </w:r>
      <w:r>
        <w:rPr>
          <w:rFonts w:hint="eastAsia" w:ascii="宋体" w:hAnsi="宋体" w:eastAsia="宋体" w:cs="宋体"/>
          <w:szCs w:val="24"/>
        </w:rPr>
        <w:t>四、投标、磋商有关说明</w:t>
      </w:r>
      <w:r>
        <w:tab/>
      </w:r>
      <w:r>
        <w:fldChar w:fldCharType="begin"/>
      </w:r>
      <w:r>
        <w:instrText xml:space="preserve"> PAGEREF _Toc22628 \h </w:instrText>
      </w:r>
      <w:r>
        <w:fldChar w:fldCharType="separate"/>
      </w:r>
      <w:r>
        <w:t>- 1 -</w:t>
      </w:r>
      <w:r>
        <w:fldChar w:fldCharType="end"/>
      </w:r>
      <w:r>
        <w:rPr>
          <w:rFonts w:hint="eastAsia" w:ascii="宋体" w:hAnsi="宋体" w:eastAsia="宋体" w:cs="宋体"/>
          <w:szCs w:val="21"/>
        </w:rPr>
        <w:fldChar w:fldCharType="end"/>
      </w:r>
    </w:p>
    <w:p w14:paraId="72A8A96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_Toc9630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、投标有关规定</w:t>
      </w:r>
      <w:r>
        <w:tab/>
      </w:r>
      <w:r>
        <w:fldChar w:fldCharType="begin"/>
      </w:r>
      <w:r>
        <w:instrText xml:space="preserve"> PAGEREF _Toc9630 \h </w:instrText>
      </w:r>
      <w:r>
        <w:fldChar w:fldCharType="separate"/>
      </w:r>
      <w:r>
        <w:t>- 2 -</w:t>
      </w:r>
      <w:r>
        <w:fldChar w:fldCharType="end"/>
      </w:r>
      <w:r>
        <w:rPr>
          <w:rFonts w:hint="eastAsia" w:ascii="宋体" w:hAnsi="宋体" w:eastAsia="宋体" w:cs="宋体"/>
          <w:szCs w:val="21"/>
        </w:rPr>
        <w:fldChar w:fldCharType="end"/>
      </w:r>
    </w:p>
    <w:p w14:paraId="56D1F7D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_Toc27489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六、联系方式</w:t>
      </w:r>
      <w:r>
        <w:tab/>
      </w:r>
      <w:r>
        <w:fldChar w:fldCharType="begin"/>
      </w:r>
      <w:r>
        <w:instrText xml:space="preserve"> PAGEREF _Toc27489 \h </w:instrText>
      </w:r>
      <w:r>
        <w:fldChar w:fldCharType="separate"/>
      </w:r>
      <w:r>
        <w:t>- 3 -</w:t>
      </w:r>
      <w:r>
        <w:fldChar w:fldCharType="end"/>
      </w:r>
      <w:r>
        <w:rPr>
          <w:rFonts w:hint="eastAsia" w:ascii="宋体" w:hAnsi="宋体" w:eastAsia="宋体" w:cs="宋体"/>
          <w:szCs w:val="21"/>
        </w:rPr>
        <w:fldChar w:fldCharType="end"/>
      </w:r>
    </w:p>
    <w:p w14:paraId="34A22751">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_Toc5559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第二篇  项目服务需求</w:t>
      </w:r>
      <w:r>
        <w:tab/>
      </w:r>
      <w:r>
        <w:fldChar w:fldCharType="begin"/>
      </w:r>
      <w:r>
        <w:instrText xml:space="preserve"> PAGEREF _Toc5559 \h </w:instrText>
      </w:r>
      <w:r>
        <w:fldChar w:fldCharType="separate"/>
      </w:r>
      <w:r>
        <w:t>- 4 -</w:t>
      </w:r>
      <w:r>
        <w:fldChar w:fldCharType="end"/>
      </w:r>
      <w:r>
        <w:rPr>
          <w:rFonts w:hint="eastAsia" w:ascii="宋体" w:hAnsi="宋体" w:eastAsia="宋体" w:cs="宋体"/>
          <w:szCs w:val="21"/>
        </w:rPr>
        <w:fldChar w:fldCharType="end"/>
      </w:r>
    </w:p>
    <w:p w14:paraId="7A8B3720">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_Toc22534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一、项目一览表</w:t>
      </w:r>
      <w:r>
        <w:tab/>
      </w:r>
      <w:r>
        <w:fldChar w:fldCharType="begin"/>
      </w:r>
      <w:r>
        <w:instrText xml:space="preserve"> PAGEREF _Toc22534 \h </w:instrText>
      </w:r>
      <w:r>
        <w:fldChar w:fldCharType="separate"/>
      </w:r>
      <w:r>
        <w:t>- 4 -</w:t>
      </w:r>
      <w:r>
        <w:fldChar w:fldCharType="end"/>
      </w:r>
      <w:r>
        <w:rPr>
          <w:rFonts w:hint="eastAsia" w:ascii="宋体" w:hAnsi="宋体" w:eastAsia="宋体" w:cs="宋体"/>
          <w:szCs w:val="21"/>
        </w:rPr>
        <w:fldChar w:fldCharType="end"/>
      </w:r>
    </w:p>
    <w:p w14:paraId="724AD421">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_Toc28820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二、项目服务内容</w:t>
      </w:r>
      <w:r>
        <w:tab/>
      </w:r>
      <w:r>
        <w:fldChar w:fldCharType="begin"/>
      </w:r>
      <w:r>
        <w:instrText xml:space="preserve"> PAGEREF _Toc28820 \h </w:instrText>
      </w:r>
      <w:r>
        <w:fldChar w:fldCharType="separate"/>
      </w:r>
      <w:r>
        <w:t>- 4 -</w:t>
      </w:r>
      <w:r>
        <w:fldChar w:fldCharType="end"/>
      </w:r>
      <w:r>
        <w:rPr>
          <w:rFonts w:hint="eastAsia" w:ascii="宋体" w:hAnsi="宋体" w:eastAsia="宋体" w:cs="宋体"/>
          <w:szCs w:val="21"/>
        </w:rPr>
        <w:fldChar w:fldCharType="end"/>
      </w:r>
    </w:p>
    <w:p w14:paraId="4E63D787">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_Toc5559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w:t>
      </w:r>
      <w:r>
        <w:rPr>
          <w:rFonts w:hint="eastAsia" w:ascii="宋体" w:hAnsi="宋体" w:cs="宋体"/>
          <w:kern w:val="2"/>
          <w:szCs w:val="30"/>
          <w:lang w:val="en-US" w:eastAsia="zh-CN" w:bidi="ar-SA"/>
        </w:rPr>
        <w:t>三</w:t>
      </w:r>
      <w:r>
        <w:rPr>
          <w:rFonts w:hint="eastAsia" w:ascii="宋体" w:hAnsi="宋体" w:eastAsia="宋体" w:cs="宋体"/>
          <w:kern w:val="2"/>
          <w:szCs w:val="30"/>
          <w:lang w:val="en-US" w:eastAsia="zh-CN" w:bidi="ar-SA"/>
        </w:rPr>
        <w:t>篇  项目</w:t>
      </w:r>
      <w:r>
        <w:rPr>
          <w:rFonts w:hint="eastAsia" w:ascii="宋体" w:hAnsi="宋体" w:cs="宋体"/>
          <w:kern w:val="2"/>
          <w:szCs w:val="30"/>
          <w:lang w:val="en-US" w:eastAsia="zh-CN" w:bidi="ar-SA"/>
        </w:rPr>
        <w:t>商务</w:t>
      </w:r>
      <w:r>
        <w:rPr>
          <w:rFonts w:hint="eastAsia" w:ascii="宋体" w:hAnsi="宋体" w:eastAsia="宋体" w:cs="宋体"/>
          <w:kern w:val="2"/>
          <w:szCs w:val="30"/>
          <w:lang w:val="en-US" w:eastAsia="zh-CN" w:bidi="ar-SA"/>
        </w:rPr>
        <w:t>需求</w:t>
      </w:r>
      <w:r>
        <w:tab/>
      </w:r>
      <w:r>
        <w:fldChar w:fldCharType="begin"/>
      </w:r>
      <w:r>
        <w:instrText xml:space="preserve"> PAGEREF _Toc5559 \h </w:instrText>
      </w:r>
      <w:r>
        <w:fldChar w:fldCharType="separate"/>
      </w:r>
      <w:r>
        <w:t xml:space="preserve">- </w:t>
      </w:r>
      <w:r>
        <w:rPr>
          <w:rFonts w:hint="eastAsia"/>
          <w:lang w:val="en-US" w:eastAsia="zh-CN"/>
        </w:rPr>
        <w:t>7</w:t>
      </w:r>
      <w:r>
        <w:t xml:space="preserve"> -</w:t>
      </w:r>
      <w:r>
        <w:fldChar w:fldCharType="end"/>
      </w:r>
      <w:r>
        <w:rPr>
          <w:rFonts w:hint="eastAsia" w:ascii="宋体" w:hAnsi="宋体" w:eastAsia="宋体" w:cs="宋体"/>
          <w:szCs w:val="21"/>
        </w:rPr>
        <w:fldChar w:fldCharType="end"/>
      </w:r>
    </w:p>
    <w:p w14:paraId="0E7D4FD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_Toc24107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一、服务期、地点及验收方式</w:t>
      </w:r>
      <w:r>
        <w:tab/>
      </w:r>
      <w:r>
        <w:fldChar w:fldCharType="begin"/>
      </w:r>
      <w:r>
        <w:instrText xml:space="preserve"> PAGEREF _Toc24107 \h </w:instrText>
      </w:r>
      <w:r>
        <w:fldChar w:fldCharType="separate"/>
      </w:r>
      <w:r>
        <w:t>- 7 -</w:t>
      </w:r>
      <w:r>
        <w:fldChar w:fldCharType="end"/>
      </w:r>
      <w:r>
        <w:rPr>
          <w:rFonts w:hint="eastAsia" w:ascii="宋体" w:hAnsi="宋体" w:eastAsia="宋体" w:cs="宋体"/>
          <w:szCs w:val="21"/>
        </w:rPr>
        <w:fldChar w:fldCharType="end"/>
      </w:r>
    </w:p>
    <w:p w14:paraId="6324EE9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_Toc11917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_Toc11917 \h </w:instrText>
      </w:r>
      <w:r>
        <w:fldChar w:fldCharType="separate"/>
      </w:r>
      <w:r>
        <w:t>- 7 -</w:t>
      </w:r>
      <w:r>
        <w:fldChar w:fldCharType="end"/>
      </w:r>
      <w:r>
        <w:rPr>
          <w:rFonts w:hint="eastAsia" w:ascii="宋体" w:hAnsi="宋体" w:eastAsia="宋体" w:cs="宋体"/>
          <w:szCs w:val="21"/>
        </w:rPr>
        <w:fldChar w:fldCharType="end"/>
      </w:r>
    </w:p>
    <w:p w14:paraId="58BFD708">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_Toc29987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三、结算</w:t>
      </w:r>
      <w:r>
        <w:rPr>
          <w:rFonts w:hint="eastAsia" w:ascii="宋体" w:hAnsi="宋体" w:cs="宋体"/>
          <w:szCs w:val="24"/>
          <w:lang w:val="en-US" w:eastAsia="zh-CN"/>
        </w:rPr>
        <w:t>单</w:t>
      </w:r>
      <w:r>
        <w:rPr>
          <w:rFonts w:hint="eastAsia" w:ascii="宋体" w:hAnsi="宋体" w:eastAsia="宋体" w:cs="宋体"/>
          <w:szCs w:val="24"/>
          <w:lang w:val="en-US" w:eastAsia="zh-CN"/>
        </w:rPr>
        <w:t>价确定标准和流程</w:t>
      </w:r>
      <w:r>
        <w:tab/>
      </w:r>
      <w:r>
        <w:fldChar w:fldCharType="begin"/>
      </w:r>
      <w:r>
        <w:instrText xml:space="preserve"> PAGEREF _Toc29987 \h </w:instrText>
      </w:r>
      <w:r>
        <w:fldChar w:fldCharType="separate"/>
      </w:r>
      <w:r>
        <w:t>- 7 -</w:t>
      </w:r>
      <w:r>
        <w:fldChar w:fldCharType="end"/>
      </w:r>
      <w:r>
        <w:rPr>
          <w:rFonts w:hint="eastAsia" w:ascii="宋体" w:hAnsi="宋体" w:eastAsia="宋体" w:cs="宋体"/>
          <w:szCs w:val="21"/>
        </w:rPr>
        <w:fldChar w:fldCharType="end"/>
      </w:r>
    </w:p>
    <w:p w14:paraId="329A4D9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_Toc12448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四、付款方式</w:t>
      </w:r>
      <w:r>
        <w:tab/>
      </w:r>
      <w:r>
        <w:fldChar w:fldCharType="begin"/>
      </w:r>
      <w:r>
        <w:instrText xml:space="preserve"> PAGEREF _Toc12448 \h </w:instrText>
      </w:r>
      <w:r>
        <w:fldChar w:fldCharType="separate"/>
      </w:r>
      <w:r>
        <w:t>- 8 -</w:t>
      </w:r>
      <w:r>
        <w:fldChar w:fldCharType="end"/>
      </w:r>
      <w:r>
        <w:rPr>
          <w:rFonts w:hint="eastAsia" w:ascii="宋体" w:hAnsi="宋体" w:eastAsia="宋体" w:cs="宋体"/>
          <w:szCs w:val="21"/>
        </w:rPr>
        <w:fldChar w:fldCharType="end"/>
      </w:r>
    </w:p>
    <w:p w14:paraId="32B1C65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_Toc27930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五、知识产权</w:t>
      </w:r>
      <w:r>
        <w:tab/>
      </w:r>
      <w:r>
        <w:fldChar w:fldCharType="begin"/>
      </w:r>
      <w:r>
        <w:instrText xml:space="preserve"> PAGEREF _Toc27930 \h </w:instrText>
      </w:r>
      <w:r>
        <w:fldChar w:fldCharType="separate"/>
      </w:r>
      <w:r>
        <w:t>- 8 -</w:t>
      </w:r>
      <w:r>
        <w:fldChar w:fldCharType="end"/>
      </w:r>
      <w:r>
        <w:rPr>
          <w:rFonts w:hint="eastAsia" w:ascii="宋体" w:hAnsi="宋体" w:eastAsia="宋体" w:cs="宋体"/>
          <w:szCs w:val="21"/>
        </w:rPr>
        <w:fldChar w:fldCharType="end"/>
      </w:r>
    </w:p>
    <w:p w14:paraId="34F221D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_Toc21703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_Toc21703 \h </w:instrText>
      </w:r>
      <w:r>
        <w:fldChar w:fldCharType="separate"/>
      </w:r>
      <w:r>
        <w:t>- 8 -</w:t>
      </w:r>
      <w:r>
        <w:fldChar w:fldCharType="end"/>
      </w:r>
      <w:r>
        <w:rPr>
          <w:rFonts w:hint="eastAsia" w:ascii="宋体" w:hAnsi="宋体" w:eastAsia="宋体" w:cs="宋体"/>
          <w:szCs w:val="21"/>
        </w:rPr>
        <w:fldChar w:fldCharType="end"/>
      </w:r>
    </w:p>
    <w:p w14:paraId="21FEDAEC">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_Toc18593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磋商程序及方法、评审标准、无效响应和采购终止</w:t>
      </w:r>
      <w:r>
        <w:tab/>
      </w:r>
      <w:r>
        <w:fldChar w:fldCharType="begin"/>
      </w:r>
      <w:r>
        <w:instrText xml:space="preserve"> PAGEREF _Toc18593 \h </w:instrText>
      </w:r>
      <w:r>
        <w:fldChar w:fldCharType="separate"/>
      </w:r>
      <w:r>
        <w:t>- 12 -</w:t>
      </w:r>
      <w:r>
        <w:fldChar w:fldCharType="end"/>
      </w:r>
      <w:r>
        <w:rPr>
          <w:rFonts w:hint="eastAsia" w:ascii="宋体" w:hAnsi="宋体" w:eastAsia="宋体" w:cs="宋体"/>
          <w:szCs w:val="21"/>
        </w:rPr>
        <w:fldChar w:fldCharType="end"/>
      </w:r>
    </w:p>
    <w:p w14:paraId="13BD26E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_Toc9701 </w:instrText>
      </w:r>
      <w:r>
        <w:rPr>
          <w:rFonts w:hint="eastAsia" w:ascii="宋体" w:hAnsi="宋体" w:eastAsia="宋体" w:cs="宋体"/>
          <w:szCs w:val="21"/>
        </w:rPr>
        <w:fldChar w:fldCharType="separate"/>
      </w:r>
      <w:r>
        <w:rPr>
          <w:rFonts w:hint="eastAsia" w:ascii="宋体" w:hAnsi="宋体" w:eastAsia="宋体" w:cs="宋体"/>
          <w:szCs w:val="24"/>
        </w:rPr>
        <w:t>一、磋商程序及方法</w:t>
      </w:r>
      <w:r>
        <w:tab/>
      </w:r>
      <w:r>
        <w:fldChar w:fldCharType="begin"/>
      </w:r>
      <w:r>
        <w:instrText xml:space="preserve"> PAGEREF _Toc9701 \h </w:instrText>
      </w:r>
      <w:r>
        <w:fldChar w:fldCharType="separate"/>
      </w:r>
      <w:r>
        <w:t>- 12 -</w:t>
      </w:r>
      <w:r>
        <w:fldChar w:fldCharType="end"/>
      </w:r>
      <w:r>
        <w:rPr>
          <w:rFonts w:hint="eastAsia" w:ascii="宋体" w:hAnsi="宋体" w:eastAsia="宋体" w:cs="宋体"/>
          <w:szCs w:val="21"/>
        </w:rPr>
        <w:fldChar w:fldCharType="end"/>
      </w:r>
    </w:p>
    <w:p w14:paraId="63D7C1C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_Toc30550 </w:instrText>
      </w:r>
      <w:r>
        <w:rPr>
          <w:rFonts w:hint="eastAsia" w:ascii="宋体" w:hAnsi="宋体" w:eastAsia="宋体" w:cs="宋体"/>
          <w:szCs w:val="21"/>
        </w:rPr>
        <w:fldChar w:fldCharType="separate"/>
      </w:r>
      <w:r>
        <w:rPr>
          <w:rFonts w:hint="eastAsia" w:ascii="宋体" w:hAnsi="宋体" w:eastAsia="宋体" w:cs="宋体"/>
          <w:bCs/>
          <w:kern w:val="2"/>
          <w:szCs w:val="24"/>
          <w:lang w:val="en-US" w:eastAsia="zh-CN" w:bidi="ar-SA"/>
        </w:rPr>
        <w:t>二、评审标准</w:t>
      </w:r>
      <w:r>
        <w:tab/>
      </w:r>
      <w:r>
        <w:fldChar w:fldCharType="begin"/>
      </w:r>
      <w:r>
        <w:instrText xml:space="preserve"> PAGEREF _Toc30550 \h </w:instrText>
      </w:r>
      <w:r>
        <w:fldChar w:fldCharType="separate"/>
      </w:r>
      <w:r>
        <w:t>- 14 -</w:t>
      </w:r>
      <w:r>
        <w:fldChar w:fldCharType="end"/>
      </w:r>
      <w:r>
        <w:rPr>
          <w:rFonts w:hint="eastAsia" w:ascii="宋体" w:hAnsi="宋体" w:eastAsia="宋体" w:cs="宋体"/>
          <w:szCs w:val="21"/>
        </w:rPr>
        <w:fldChar w:fldCharType="end"/>
      </w:r>
    </w:p>
    <w:p w14:paraId="3B7ECA8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_Toc19517 </w:instrText>
      </w:r>
      <w:r>
        <w:rPr>
          <w:rFonts w:hint="eastAsia" w:ascii="宋体" w:hAnsi="宋体" w:eastAsia="宋体" w:cs="宋体"/>
          <w:szCs w:val="21"/>
        </w:rPr>
        <w:fldChar w:fldCharType="separate"/>
      </w:r>
      <w:r>
        <w:rPr>
          <w:rFonts w:hint="eastAsia" w:ascii="宋体" w:hAnsi="宋体" w:eastAsia="宋体" w:cs="宋体"/>
          <w:szCs w:val="24"/>
        </w:rPr>
        <w:t>三、无效响应</w:t>
      </w:r>
      <w:r>
        <w:tab/>
      </w:r>
      <w:r>
        <w:fldChar w:fldCharType="begin"/>
      </w:r>
      <w:r>
        <w:instrText xml:space="preserve"> PAGEREF _Toc19517 \h </w:instrText>
      </w:r>
      <w:r>
        <w:fldChar w:fldCharType="separate"/>
      </w:r>
      <w:r>
        <w:t>- 15 -</w:t>
      </w:r>
      <w:r>
        <w:fldChar w:fldCharType="end"/>
      </w:r>
      <w:r>
        <w:rPr>
          <w:rFonts w:hint="eastAsia" w:ascii="宋体" w:hAnsi="宋体" w:eastAsia="宋体" w:cs="宋体"/>
          <w:szCs w:val="21"/>
        </w:rPr>
        <w:fldChar w:fldCharType="end"/>
      </w:r>
    </w:p>
    <w:p w14:paraId="2C6B4F8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_Toc8967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_Toc8967 \h </w:instrText>
      </w:r>
      <w:r>
        <w:fldChar w:fldCharType="separate"/>
      </w:r>
      <w:r>
        <w:t>- 16 -</w:t>
      </w:r>
      <w:r>
        <w:fldChar w:fldCharType="end"/>
      </w:r>
      <w:r>
        <w:rPr>
          <w:rFonts w:hint="eastAsia" w:ascii="宋体" w:hAnsi="宋体" w:eastAsia="宋体" w:cs="宋体"/>
          <w:szCs w:val="21"/>
        </w:rPr>
        <w:fldChar w:fldCharType="end"/>
      </w:r>
    </w:p>
    <w:p w14:paraId="6DB8045D">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_Toc19095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_Toc19095 \h </w:instrText>
      </w:r>
      <w:r>
        <w:fldChar w:fldCharType="separate"/>
      </w:r>
      <w:r>
        <w:t>- 17 -</w:t>
      </w:r>
      <w:r>
        <w:fldChar w:fldCharType="end"/>
      </w:r>
      <w:r>
        <w:rPr>
          <w:rFonts w:hint="eastAsia" w:ascii="宋体" w:hAnsi="宋体" w:eastAsia="宋体" w:cs="宋体"/>
          <w:szCs w:val="21"/>
        </w:rPr>
        <w:fldChar w:fldCharType="end"/>
      </w:r>
    </w:p>
    <w:p w14:paraId="387EABEA">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_Toc2764 </w:instrText>
      </w:r>
      <w:r>
        <w:rPr>
          <w:rFonts w:hint="eastAsia" w:ascii="宋体" w:hAnsi="宋体" w:eastAsia="宋体" w:cs="宋体"/>
          <w:szCs w:val="21"/>
        </w:rPr>
        <w:fldChar w:fldCharType="separate"/>
      </w:r>
      <w:r>
        <w:rPr>
          <w:rFonts w:hint="eastAsia" w:ascii="宋体" w:hAnsi="宋体" w:eastAsia="宋体" w:cs="宋体"/>
          <w:szCs w:val="24"/>
        </w:rPr>
        <w:t>一、磋商费用</w:t>
      </w:r>
      <w:r>
        <w:tab/>
      </w:r>
      <w:r>
        <w:fldChar w:fldCharType="begin"/>
      </w:r>
      <w:r>
        <w:instrText xml:space="preserve"> PAGEREF _Toc2764 \h </w:instrText>
      </w:r>
      <w:r>
        <w:fldChar w:fldCharType="separate"/>
      </w:r>
      <w:r>
        <w:t>- 17 -</w:t>
      </w:r>
      <w:r>
        <w:fldChar w:fldCharType="end"/>
      </w:r>
      <w:r>
        <w:rPr>
          <w:rFonts w:hint="eastAsia" w:ascii="宋体" w:hAnsi="宋体" w:eastAsia="宋体" w:cs="宋体"/>
          <w:szCs w:val="21"/>
        </w:rPr>
        <w:fldChar w:fldCharType="end"/>
      </w:r>
    </w:p>
    <w:p w14:paraId="1A078248">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_Toc13684 </w:instrText>
      </w:r>
      <w:r>
        <w:rPr>
          <w:rFonts w:hint="eastAsia" w:ascii="宋体" w:hAnsi="宋体" w:eastAsia="宋体" w:cs="宋体"/>
          <w:szCs w:val="21"/>
        </w:rPr>
        <w:fldChar w:fldCharType="separate"/>
      </w:r>
      <w:r>
        <w:rPr>
          <w:rFonts w:hint="eastAsia" w:ascii="宋体" w:hAnsi="宋体" w:eastAsia="宋体" w:cs="宋体"/>
          <w:szCs w:val="24"/>
        </w:rPr>
        <w:t>二、竞争性磋商文件</w:t>
      </w:r>
      <w:r>
        <w:tab/>
      </w:r>
      <w:r>
        <w:fldChar w:fldCharType="begin"/>
      </w:r>
      <w:r>
        <w:instrText xml:space="preserve"> PAGEREF _Toc13684 \h </w:instrText>
      </w:r>
      <w:r>
        <w:fldChar w:fldCharType="separate"/>
      </w:r>
      <w:r>
        <w:t>- 17 -</w:t>
      </w:r>
      <w:r>
        <w:fldChar w:fldCharType="end"/>
      </w:r>
      <w:r>
        <w:rPr>
          <w:rFonts w:hint="eastAsia" w:ascii="宋体" w:hAnsi="宋体" w:eastAsia="宋体" w:cs="宋体"/>
          <w:szCs w:val="21"/>
        </w:rPr>
        <w:fldChar w:fldCharType="end"/>
      </w:r>
    </w:p>
    <w:p w14:paraId="13F8562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_Toc984 </w:instrText>
      </w:r>
      <w:r>
        <w:rPr>
          <w:rFonts w:hint="eastAsia" w:ascii="宋体" w:hAnsi="宋体" w:eastAsia="宋体" w:cs="宋体"/>
          <w:szCs w:val="21"/>
        </w:rPr>
        <w:fldChar w:fldCharType="separate"/>
      </w:r>
      <w:r>
        <w:rPr>
          <w:rFonts w:hint="eastAsia" w:ascii="宋体" w:hAnsi="宋体" w:eastAsia="宋体" w:cs="宋体"/>
          <w:szCs w:val="24"/>
        </w:rPr>
        <w:t>三、磋商要求</w:t>
      </w:r>
      <w:r>
        <w:tab/>
      </w:r>
      <w:r>
        <w:fldChar w:fldCharType="begin"/>
      </w:r>
      <w:r>
        <w:instrText xml:space="preserve"> PAGEREF _Toc984 \h </w:instrText>
      </w:r>
      <w:r>
        <w:fldChar w:fldCharType="separate"/>
      </w:r>
      <w:r>
        <w:t>- 17 -</w:t>
      </w:r>
      <w:r>
        <w:fldChar w:fldCharType="end"/>
      </w:r>
      <w:r>
        <w:rPr>
          <w:rFonts w:hint="eastAsia" w:ascii="宋体" w:hAnsi="宋体" w:eastAsia="宋体" w:cs="宋体"/>
          <w:szCs w:val="21"/>
        </w:rPr>
        <w:fldChar w:fldCharType="end"/>
      </w:r>
    </w:p>
    <w:p w14:paraId="46DF569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_Toc15621 </w:instrText>
      </w:r>
      <w:r>
        <w:rPr>
          <w:rFonts w:hint="eastAsia" w:ascii="宋体" w:hAnsi="宋体" w:eastAsia="宋体" w:cs="宋体"/>
          <w:szCs w:val="21"/>
        </w:rPr>
        <w:fldChar w:fldCharType="separate"/>
      </w:r>
      <w:r>
        <w:rPr>
          <w:rFonts w:hint="eastAsia" w:ascii="宋体" w:hAnsi="宋体" w:eastAsia="宋体" w:cs="宋体"/>
          <w:szCs w:val="24"/>
        </w:rPr>
        <w:t>四、</w:t>
      </w:r>
      <w:r>
        <w:rPr>
          <w:rFonts w:hint="eastAsia" w:ascii="宋体" w:hAnsi="宋体" w:cs="宋体"/>
          <w:szCs w:val="24"/>
          <w:lang w:val="en-US" w:eastAsia="zh-CN"/>
        </w:rPr>
        <w:t>成交</w:t>
      </w:r>
      <w:r>
        <w:rPr>
          <w:rFonts w:hint="eastAsia" w:ascii="宋体" w:hAnsi="宋体" w:eastAsia="宋体" w:cs="宋体"/>
          <w:szCs w:val="24"/>
        </w:rPr>
        <w:t>供应商的确认和变更</w:t>
      </w:r>
      <w:r>
        <w:tab/>
      </w:r>
      <w:r>
        <w:fldChar w:fldCharType="begin"/>
      </w:r>
      <w:r>
        <w:instrText xml:space="preserve"> PAGEREF _Toc15621 \h </w:instrText>
      </w:r>
      <w:r>
        <w:fldChar w:fldCharType="separate"/>
      </w:r>
      <w:r>
        <w:t>- 18 -</w:t>
      </w:r>
      <w:r>
        <w:fldChar w:fldCharType="end"/>
      </w:r>
      <w:r>
        <w:rPr>
          <w:rFonts w:hint="eastAsia" w:ascii="宋体" w:hAnsi="宋体" w:eastAsia="宋体" w:cs="宋体"/>
          <w:szCs w:val="21"/>
        </w:rPr>
        <w:fldChar w:fldCharType="end"/>
      </w:r>
    </w:p>
    <w:p w14:paraId="5CE0639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_Toc13861 </w:instrText>
      </w:r>
      <w:r>
        <w:rPr>
          <w:rFonts w:hint="eastAsia" w:ascii="宋体" w:hAnsi="宋体" w:eastAsia="宋体" w:cs="宋体"/>
          <w:szCs w:val="21"/>
        </w:rPr>
        <w:fldChar w:fldCharType="separate"/>
      </w:r>
      <w:r>
        <w:rPr>
          <w:rFonts w:hint="eastAsia" w:ascii="宋体" w:hAnsi="宋体" w:eastAsia="宋体" w:cs="宋体"/>
          <w:szCs w:val="24"/>
        </w:rPr>
        <w:t>五、</w:t>
      </w:r>
      <w:r>
        <w:rPr>
          <w:rFonts w:hint="eastAsia" w:ascii="宋体" w:hAnsi="宋体" w:cs="宋体"/>
          <w:szCs w:val="24"/>
          <w:lang w:val="en-US" w:eastAsia="zh-CN"/>
        </w:rPr>
        <w:t>成交</w:t>
      </w:r>
      <w:r>
        <w:rPr>
          <w:rFonts w:hint="eastAsia" w:ascii="宋体" w:hAnsi="宋体" w:eastAsia="宋体" w:cs="宋体"/>
          <w:szCs w:val="24"/>
        </w:rPr>
        <w:t>通知</w:t>
      </w:r>
      <w:r>
        <w:tab/>
      </w:r>
      <w:r>
        <w:fldChar w:fldCharType="begin"/>
      </w:r>
      <w:r>
        <w:instrText xml:space="preserve"> PAGEREF _Toc13861 \h </w:instrText>
      </w:r>
      <w:r>
        <w:fldChar w:fldCharType="separate"/>
      </w:r>
      <w:r>
        <w:t>- 19 -</w:t>
      </w:r>
      <w:r>
        <w:fldChar w:fldCharType="end"/>
      </w:r>
      <w:r>
        <w:rPr>
          <w:rFonts w:hint="eastAsia" w:ascii="宋体" w:hAnsi="宋体" w:eastAsia="宋体" w:cs="宋体"/>
          <w:szCs w:val="21"/>
        </w:rPr>
        <w:fldChar w:fldCharType="end"/>
      </w:r>
    </w:p>
    <w:p w14:paraId="15BCBE1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_Toc14003 </w:instrText>
      </w:r>
      <w:r>
        <w:rPr>
          <w:rFonts w:hint="eastAsia" w:ascii="宋体" w:hAnsi="宋体" w:eastAsia="宋体" w:cs="宋体"/>
          <w:szCs w:val="21"/>
        </w:rPr>
        <w:fldChar w:fldCharType="separate"/>
      </w:r>
      <w:r>
        <w:rPr>
          <w:rFonts w:hint="eastAsia" w:ascii="宋体" w:hAnsi="宋体" w:eastAsia="宋体" w:cs="宋体"/>
          <w:szCs w:val="24"/>
        </w:rPr>
        <w:t>六、关于质疑和投诉</w:t>
      </w:r>
      <w:r>
        <w:tab/>
      </w:r>
      <w:r>
        <w:fldChar w:fldCharType="begin"/>
      </w:r>
      <w:r>
        <w:instrText xml:space="preserve"> PAGEREF _Toc14003 \h </w:instrText>
      </w:r>
      <w:r>
        <w:fldChar w:fldCharType="separate"/>
      </w:r>
      <w:r>
        <w:t>- 19 -</w:t>
      </w:r>
      <w:r>
        <w:fldChar w:fldCharType="end"/>
      </w:r>
      <w:r>
        <w:rPr>
          <w:rFonts w:hint="eastAsia" w:ascii="宋体" w:hAnsi="宋体" w:eastAsia="宋体" w:cs="宋体"/>
          <w:szCs w:val="21"/>
        </w:rPr>
        <w:fldChar w:fldCharType="end"/>
      </w:r>
    </w:p>
    <w:p w14:paraId="6431460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_Toc2380 </w:instrText>
      </w:r>
      <w:r>
        <w:rPr>
          <w:rFonts w:hint="eastAsia" w:ascii="宋体" w:hAnsi="宋体" w:eastAsia="宋体" w:cs="宋体"/>
          <w:szCs w:val="21"/>
        </w:rPr>
        <w:fldChar w:fldCharType="separate"/>
      </w:r>
      <w:r>
        <w:rPr>
          <w:rFonts w:hint="eastAsia" w:ascii="宋体" w:hAnsi="宋体" w:eastAsia="宋体" w:cs="宋体"/>
          <w:szCs w:val="24"/>
        </w:rPr>
        <w:t>七、采购代理服务费</w:t>
      </w:r>
      <w:r>
        <w:tab/>
      </w:r>
      <w:r>
        <w:fldChar w:fldCharType="begin"/>
      </w:r>
      <w:r>
        <w:instrText xml:space="preserve"> PAGEREF _Toc2380 \h </w:instrText>
      </w:r>
      <w:r>
        <w:fldChar w:fldCharType="separate"/>
      </w:r>
      <w:r>
        <w:t>- 20 -</w:t>
      </w:r>
      <w:r>
        <w:fldChar w:fldCharType="end"/>
      </w:r>
      <w:r>
        <w:rPr>
          <w:rFonts w:hint="eastAsia" w:ascii="宋体" w:hAnsi="宋体" w:eastAsia="宋体" w:cs="宋体"/>
          <w:szCs w:val="21"/>
        </w:rPr>
        <w:fldChar w:fldCharType="end"/>
      </w:r>
    </w:p>
    <w:p w14:paraId="02ED30A6">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_Toc16786 </w:instrText>
      </w:r>
      <w:r>
        <w:rPr>
          <w:rFonts w:hint="eastAsia" w:ascii="宋体" w:hAnsi="宋体" w:eastAsia="宋体" w:cs="宋体"/>
          <w:szCs w:val="21"/>
        </w:rPr>
        <w:fldChar w:fldCharType="separate"/>
      </w:r>
      <w:r>
        <w:rPr>
          <w:rFonts w:hint="eastAsia" w:ascii="宋体" w:hAnsi="宋体" w:eastAsia="宋体" w:cs="宋体"/>
          <w:bCs w:val="0"/>
          <w:szCs w:val="24"/>
        </w:rPr>
        <w:t>八、签订合同</w:t>
      </w:r>
      <w:r>
        <w:tab/>
      </w:r>
      <w:r>
        <w:fldChar w:fldCharType="begin"/>
      </w:r>
      <w:r>
        <w:instrText xml:space="preserve"> PAGEREF _Toc16786 \h </w:instrText>
      </w:r>
      <w:r>
        <w:fldChar w:fldCharType="separate"/>
      </w:r>
      <w:r>
        <w:t>- 21 -</w:t>
      </w:r>
      <w:r>
        <w:fldChar w:fldCharType="end"/>
      </w:r>
      <w:r>
        <w:rPr>
          <w:rFonts w:hint="eastAsia" w:ascii="宋体" w:hAnsi="宋体" w:eastAsia="宋体" w:cs="宋体"/>
          <w:szCs w:val="21"/>
        </w:rPr>
        <w:fldChar w:fldCharType="end"/>
      </w:r>
    </w:p>
    <w:p w14:paraId="0B70F20E">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_Toc22590 </w:instrText>
      </w:r>
      <w:r>
        <w:rPr>
          <w:rFonts w:hint="eastAsia" w:ascii="宋体" w:hAnsi="宋体" w:eastAsia="宋体" w:cs="宋体"/>
          <w:szCs w:val="21"/>
        </w:rPr>
        <w:fldChar w:fldCharType="separate"/>
      </w:r>
      <w:r>
        <w:rPr>
          <w:rFonts w:hint="eastAsia" w:ascii="宋体" w:hAnsi="宋体" w:eastAsia="宋体" w:cs="宋体"/>
          <w:szCs w:val="30"/>
        </w:rPr>
        <w:t>第六篇  政府采购合同（仅供参考）</w:t>
      </w:r>
      <w:r>
        <w:tab/>
      </w:r>
      <w:r>
        <w:fldChar w:fldCharType="begin"/>
      </w:r>
      <w:r>
        <w:instrText xml:space="preserve"> PAGEREF _Toc22590 \h </w:instrText>
      </w:r>
      <w:r>
        <w:fldChar w:fldCharType="separate"/>
      </w:r>
      <w:r>
        <w:t>- 22 -</w:t>
      </w:r>
      <w:r>
        <w:fldChar w:fldCharType="end"/>
      </w:r>
      <w:r>
        <w:rPr>
          <w:rFonts w:hint="eastAsia" w:ascii="宋体" w:hAnsi="宋体" w:eastAsia="宋体" w:cs="宋体"/>
          <w:szCs w:val="21"/>
        </w:rPr>
        <w:fldChar w:fldCharType="end"/>
      </w:r>
    </w:p>
    <w:p w14:paraId="1FB816C8">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_Toc9900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_Toc9900 \h </w:instrText>
      </w:r>
      <w:r>
        <w:fldChar w:fldCharType="separate"/>
      </w:r>
      <w:r>
        <w:t>- 23 -</w:t>
      </w:r>
      <w:r>
        <w:fldChar w:fldCharType="end"/>
      </w:r>
      <w:r>
        <w:rPr>
          <w:rFonts w:hint="eastAsia" w:ascii="宋体" w:hAnsi="宋体" w:eastAsia="宋体" w:cs="宋体"/>
          <w:szCs w:val="21"/>
        </w:rPr>
        <w:fldChar w:fldCharType="end"/>
      </w:r>
    </w:p>
    <w:p w14:paraId="36D4319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_Toc20798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_Toc20798 \h </w:instrText>
      </w:r>
      <w:r>
        <w:fldChar w:fldCharType="separate"/>
      </w:r>
      <w:r>
        <w:t>- 24 -</w:t>
      </w:r>
      <w:r>
        <w:fldChar w:fldCharType="end"/>
      </w:r>
      <w:r>
        <w:rPr>
          <w:rFonts w:hint="eastAsia" w:ascii="宋体" w:hAnsi="宋体" w:eastAsia="宋体" w:cs="宋体"/>
          <w:szCs w:val="21"/>
        </w:rPr>
        <w:fldChar w:fldCharType="end"/>
      </w:r>
    </w:p>
    <w:p w14:paraId="53E56CA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_Toc26725 </w:instrText>
      </w:r>
      <w:r>
        <w:rPr>
          <w:rFonts w:hint="eastAsia" w:ascii="宋体" w:hAnsi="宋体" w:eastAsia="宋体" w:cs="宋体"/>
          <w:szCs w:val="21"/>
        </w:rPr>
        <w:fldChar w:fldCharType="separate"/>
      </w:r>
      <w:r>
        <w:rPr>
          <w:rFonts w:hint="eastAsia" w:ascii="宋体" w:hAnsi="宋体" w:eastAsia="宋体" w:cs="宋体"/>
          <w:szCs w:val="24"/>
        </w:rPr>
        <w:t xml:space="preserve">二、 </w:t>
      </w:r>
      <w:r>
        <w:rPr>
          <w:rFonts w:hint="eastAsia" w:ascii="宋体" w:hAnsi="宋体" w:cs="宋体"/>
          <w:szCs w:val="24"/>
          <w:lang w:val="en-US" w:eastAsia="zh-CN"/>
        </w:rPr>
        <w:t>服务</w:t>
      </w:r>
      <w:r>
        <w:rPr>
          <w:rFonts w:hint="eastAsia" w:ascii="宋体" w:hAnsi="宋体" w:eastAsia="宋体" w:cs="宋体"/>
          <w:szCs w:val="24"/>
        </w:rPr>
        <w:t>部分</w:t>
      </w:r>
      <w:r>
        <w:tab/>
      </w:r>
      <w:r>
        <w:fldChar w:fldCharType="begin"/>
      </w:r>
      <w:r>
        <w:instrText xml:space="preserve"> PAGEREF _Toc26725 \h </w:instrText>
      </w:r>
      <w:r>
        <w:fldChar w:fldCharType="separate"/>
      </w:r>
      <w:r>
        <w:t>- 25 -</w:t>
      </w:r>
      <w:r>
        <w:fldChar w:fldCharType="end"/>
      </w:r>
      <w:r>
        <w:rPr>
          <w:rFonts w:hint="eastAsia" w:ascii="宋体" w:hAnsi="宋体" w:eastAsia="宋体" w:cs="宋体"/>
          <w:szCs w:val="21"/>
        </w:rPr>
        <w:fldChar w:fldCharType="end"/>
      </w:r>
    </w:p>
    <w:p w14:paraId="4A82F95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_Toc5383 </w:instrText>
      </w:r>
      <w:r>
        <w:rPr>
          <w:rFonts w:hint="eastAsia" w:ascii="宋体" w:hAnsi="宋体" w:eastAsia="宋体" w:cs="宋体"/>
          <w:szCs w:val="21"/>
        </w:rPr>
        <w:fldChar w:fldCharType="separate"/>
      </w:r>
      <w:r>
        <w:rPr>
          <w:rFonts w:hint="eastAsia" w:ascii="宋体" w:hAnsi="宋体" w:eastAsia="宋体"/>
          <w:bCs/>
          <w:snapToGrid w:val="0"/>
          <w:szCs w:val="24"/>
          <w:lang w:val="en-US" w:eastAsia="zh-CN"/>
        </w:rPr>
        <w:t>二、服务</w:t>
      </w:r>
      <w:r>
        <w:rPr>
          <w:rFonts w:hint="eastAsia" w:ascii="宋体" w:hAnsi="宋体" w:eastAsia="宋体"/>
          <w:bCs/>
          <w:snapToGrid w:val="0"/>
          <w:szCs w:val="24"/>
        </w:rPr>
        <w:t>方案</w:t>
      </w:r>
      <w:r>
        <w:tab/>
      </w:r>
      <w:r>
        <w:fldChar w:fldCharType="begin"/>
      </w:r>
      <w:r>
        <w:instrText xml:space="preserve"> PAGEREF _Toc5383 \h </w:instrText>
      </w:r>
      <w:r>
        <w:fldChar w:fldCharType="separate"/>
      </w:r>
      <w:r>
        <w:t>- 26 -</w:t>
      </w:r>
      <w:r>
        <w:fldChar w:fldCharType="end"/>
      </w:r>
      <w:r>
        <w:rPr>
          <w:rFonts w:hint="eastAsia" w:ascii="宋体" w:hAnsi="宋体" w:eastAsia="宋体" w:cs="宋体"/>
          <w:szCs w:val="21"/>
        </w:rPr>
        <w:fldChar w:fldCharType="end"/>
      </w:r>
    </w:p>
    <w:p w14:paraId="5C3FE8E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_Toc21710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_Toc21710 \h </w:instrText>
      </w:r>
      <w:r>
        <w:fldChar w:fldCharType="separate"/>
      </w:r>
      <w:r>
        <w:t>- 27 -</w:t>
      </w:r>
      <w:r>
        <w:fldChar w:fldCharType="end"/>
      </w:r>
      <w:r>
        <w:rPr>
          <w:rFonts w:hint="eastAsia" w:ascii="宋体" w:hAnsi="宋体" w:eastAsia="宋体" w:cs="宋体"/>
          <w:szCs w:val="21"/>
        </w:rPr>
        <w:fldChar w:fldCharType="end"/>
      </w:r>
    </w:p>
    <w:p w14:paraId="63F9CE6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_Toc12449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_Toc12449 \h </w:instrText>
      </w:r>
      <w:r>
        <w:fldChar w:fldCharType="separate"/>
      </w:r>
      <w:r>
        <w:t>- 29 -</w:t>
      </w:r>
      <w:r>
        <w:fldChar w:fldCharType="end"/>
      </w:r>
      <w:r>
        <w:rPr>
          <w:rFonts w:hint="eastAsia" w:ascii="宋体" w:hAnsi="宋体" w:eastAsia="宋体" w:cs="宋体"/>
          <w:szCs w:val="21"/>
        </w:rPr>
        <w:fldChar w:fldCharType="end"/>
      </w:r>
    </w:p>
    <w:p w14:paraId="68F8691E">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_Toc18208 </w:instrText>
      </w:r>
      <w:r>
        <w:rPr>
          <w:rFonts w:hint="eastAsia" w:ascii="宋体" w:hAnsi="宋体" w:eastAsia="宋体" w:cs="宋体"/>
          <w:szCs w:val="21"/>
        </w:rPr>
        <w:fldChar w:fldCharType="separate"/>
      </w:r>
      <w:r>
        <w:rPr>
          <w:rFonts w:hint="eastAsia" w:ascii="宋体" w:hAnsi="宋体" w:eastAsia="宋体" w:cs="宋体"/>
          <w:szCs w:val="24"/>
        </w:rPr>
        <w:t>五、其他资料</w:t>
      </w:r>
      <w:r>
        <w:tab/>
      </w:r>
      <w:r>
        <w:fldChar w:fldCharType="begin"/>
      </w:r>
      <w:r>
        <w:instrText xml:space="preserve"> PAGEREF _Toc18208 \h </w:instrText>
      </w:r>
      <w:r>
        <w:fldChar w:fldCharType="separate"/>
      </w:r>
      <w:r>
        <w:t>- 34 -</w:t>
      </w:r>
      <w:r>
        <w:fldChar w:fldCharType="end"/>
      </w:r>
      <w:r>
        <w:rPr>
          <w:rFonts w:hint="eastAsia" w:ascii="宋体" w:hAnsi="宋体" w:eastAsia="宋体" w:cs="宋体"/>
          <w:szCs w:val="21"/>
        </w:rPr>
        <w:fldChar w:fldCharType="end"/>
      </w:r>
    </w:p>
    <w:p w14:paraId="07789BDD">
      <w:pPr>
        <w:pStyle w:val="39"/>
        <w:tabs>
          <w:tab w:val="right" w:leader="dot" w:pos="9412"/>
        </w:tabs>
      </w:pPr>
    </w:p>
    <w:p w14:paraId="469066F0">
      <w:pPr>
        <w:pStyle w:val="39"/>
        <w:tabs>
          <w:tab w:val="right" w:leader="dot" w:pos="9412"/>
        </w:tabs>
        <w:rPr>
          <w:rFonts w:hint="default" w:ascii="宋体" w:hAnsi="宋体" w:eastAsia="宋体" w:cs="宋体"/>
          <w:sz w:val="18"/>
          <w:szCs w:val="22"/>
          <w:lang w:val="en-US" w:eastAsia="zh-CN"/>
        </w:rPr>
        <w:sectPr>
          <w:footerReference r:id="rId6"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1"/>
        </w:rPr>
        <w:fldChar w:fldCharType="end"/>
      </w:r>
    </w:p>
    <w:p w14:paraId="6D710B24">
      <w:pPr>
        <w:pStyle w:val="5"/>
        <w:spacing w:before="120" w:beforeLines="50" w:after="120" w:afterLines="50" w:line="240" w:lineRule="auto"/>
        <w:jc w:val="center"/>
        <w:rPr>
          <w:rFonts w:hint="eastAsia" w:ascii="宋体" w:hAnsi="宋体" w:eastAsia="宋体" w:cs="宋体"/>
          <w:b w:val="0"/>
          <w:kern w:val="2"/>
          <w:sz w:val="36"/>
          <w:szCs w:val="30"/>
          <w:lang w:val="en-US" w:eastAsia="zh-CN" w:bidi="ar-SA"/>
        </w:rPr>
      </w:pPr>
      <w:bookmarkStart w:id="0" w:name="_Toc12789052"/>
      <w:bookmarkStart w:id="1" w:name="_Toc76462316"/>
      <w:bookmarkStart w:id="2" w:name="_Toc11641050"/>
      <w:bookmarkStart w:id="3" w:name="_Toc106030870"/>
      <w:bookmarkStart w:id="4" w:name="_Toc9685"/>
      <w:bookmarkStart w:id="5" w:name="_Toc15908"/>
      <w:bookmarkStart w:id="6" w:name="_Toc7314"/>
      <w:r>
        <w:rPr>
          <w:rFonts w:hint="eastAsia" w:ascii="宋体" w:hAnsi="宋体" w:eastAsia="宋体" w:cs="宋体"/>
          <w:b w:val="0"/>
          <w:kern w:val="2"/>
          <w:sz w:val="36"/>
          <w:szCs w:val="30"/>
          <w:lang w:val="en-US" w:eastAsia="zh-CN" w:bidi="ar-SA"/>
        </w:rPr>
        <w:t>第一篇  采购邀请书</w:t>
      </w:r>
      <w:bookmarkEnd w:id="0"/>
      <w:bookmarkEnd w:id="1"/>
      <w:bookmarkEnd w:id="2"/>
      <w:bookmarkEnd w:id="3"/>
      <w:bookmarkEnd w:id="4"/>
      <w:bookmarkEnd w:id="5"/>
      <w:bookmarkEnd w:id="6"/>
    </w:p>
    <w:p w14:paraId="2B40B088">
      <w:pPr>
        <w:spacing w:line="360" w:lineRule="auto"/>
        <w:ind w:firstLine="480"/>
        <w:rPr>
          <w:rFonts w:hint="eastAsia" w:ascii="宋体" w:hAnsi="宋体" w:eastAsia="宋体" w:cs="宋体"/>
          <w:sz w:val="24"/>
          <w:szCs w:val="24"/>
        </w:rPr>
      </w:pPr>
      <w:r>
        <w:rPr>
          <w:rFonts w:hint="eastAsia" w:ascii="宋体" w:hAnsi="宋体" w:eastAsia="宋体" w:cs="宋体"/>
          <w:sz w:val="24"/>
          <w:szCs w:val="24"/>
          <w:u w:val="single"/>
          <w:lang w:val="en-US" w:eastAsia="zh-CN"/>
        </w:rPr>
        <w:t>明科建设咨询有限公司</w:t>
      </w:r>
      <w:r>
        <w:rPr>
          <w:rFonts w:hint="eastAsia" w:ascii="宋体" w:hAnsi="宋体" w:eastAsia="宋体" w:cs="宋体"/>
          <w:sz w:val="24"/>
          <w:szCs w:val="24"/>
        </w:rPr>
        <w:t>（以下简称：采购代理机构）接受</w:t>
      </w:r>
      <w:r>
        <w:rPr>
          <w:rFonts w:hint="eastAsia" w:ascii="宋体" w:hAnsi="宋体" w:eastAsia="宋体" w:cs="宋体"/>
          <w:sz w:val="24"/>
          <w:szCs w:val="24"/>
          <w:u w:val="single"/>
        </w:rPr>
        <w:t>重庆市大足区城市管理局</w:t>
      </w:r>
      <w:r>
        <w:rPr>
          <w:rFonts w:hint="eastAsia" w:ascii="宋体" w:hAnsi="宋体" w:eastAsia="宋体" w:cs="宋体"/>
          <w:sz w:val="24"/>
          <w:szCs w:val="24"/>
        </w:rPr>
        <w:t>的委托（以下简称：</w:t>
      </w:r>
      <w:r>
        <w:rPr>
          <w:rFonts w:hint="eastAsia" w:ascii="宋体" w:hAnsi="宋体" w:cs="宋体"/>
          <w:sz w:val="24"/>
          <w:szCs w:val="24"/>
          <w:lang w:val="en-US" w:eastAsia="zh-CN"/>
        </w:rPr>
        <w:t>采购人</w:t>
      </w:r>
      <w:r>
        <w:rPr>
          <w:rFonts w:hint="eastAsia" w:ascii="宋体" w:hAnsi="宋体" w:eastAsia="宋体" w:cs="宋体"/>
          <w:sz w:val="24"/>
          <w:szCs w:val="24"/>
        </w:rPr>
        <w:t>），对</w:t>
      </w:r>
      <w:r>
        <w:rPr>
          <w:rFonts w:hint="eastAsia" w:ascii="宋体" w:hAnsi="宋体" w:cs="宋体"/>
          <w:sz w:val="24"/>
          <w:szCs w:val="24"/>
          <w:u w:val="single"/>
          <w:lang w:val="en-US" w:eastAsia="zh-CN"/>
        </w:rPr>
        <w:t xml:space="preserve"> </w:t>
      </w:r>
      <w:r>
        <w:rPr>
          <w:rFonts w:hint="eastAsia" w:ascii="宋体" w:hAnsi="宋体" w:eastAsia="宋体" w:cs="宋体"/>
          <w:b w:val="0"/>
          <w:bCs w:val="0"/>
          <w:color w:val="auto"/>
          <w:sz w:val="24"/>
          <w:szCs w:val="24"/>
          <w:u w:val="single"/>
        </w:rPr>
        <w:t>重庆市大足区城市管理局食堂食材配送服务采购-蔬菜类、禽类、牛羊肉</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sz w:val="24"/>
          <w:szCs w:val="24"/>
        </w:rPr>
        <w:t>项目进行竞争性磋商采购。欢迎有资格的供应商前来参与磋商。</w:t>
      </w:r>
    </w:p>
    <w:p w14:paraId="1DD0CBA7">
      <w:pPr>
        <w:pStyle w:val="5"/>
        <w:spacing w:before="120" w:beforeLines="50" w:after="120" w:afterLines="50" w:line="240" w:lineRule="auto"/>
        <w:rPr>
          <w:rFonts w:hint="eastAsia" w:ascii="宋体" w:hAnsi="宋体" w:eastAsia="宋体" w:cs="宋体"/>
          <w:sz w:val="24"/>
          <w:szCs w:val="24"/>
        </w:rPr>
      </w:pPr>
      <w:bookmarkStart w:id="7" w:name="_Toc313893526"/>
      <w:bookmarkStart w:id="8" w:name="_Toc317775175"/>
      <w:bookmarkStart w:id="9" w:name="_Toc13290"/>
      <w:r>
        <w:rPr>
          <w:rFonts w:hint="eastAsia" w:ascii="宋体" w:hAnsi="宋体" w:eastAsia="宋体" w:cs="宋体"/>
          <w:sz w:val="24"/>
          <w:szCs w:val="24"/>
        </w:rPr>
        <w:t>一、竞争性磋商内容</w:t>
      </w:r>
      <w:bookmarkEnd w:id="7"/>
      <w:bookmarkEnd w:id="8"/>
      <w:bookmarkEnd w:id="9"/>
    </w:p>
    <w:tbl>
      <w:tblPr>
        <w:tblStyle w:val="6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1690"/>
        <w:gridCol w:w="1690"/>
        <w:gridCol w:w="1939"/>
      </w:tblGrid>
      <w:tr w14:paraId="775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17" w:type="dxa"/>
            <w:tcBorders>
              <w:top w:val="single" w:color="auto" w:sz="4" w:space="0"/>
              <w:left w:val="single" w:color="auto" w:sz="4" w:space="0"/>
              <w:right w:val="single" w:color="auto" w:sz="4" w:space="0"/>
            </w:tcBorders>
            <w:vAlign w:val="center"/>
          </w:tcPr>
          <w:p w14:paraId="660D9BD2">
            <w:pPr>
              <w:keepNext w:val="0"/>
              <w:keepLines w:val="0"/>
              <w:widowControl/>
              <w:suppressLineNumbers w:val="0"/>
              <w:spacing w:before="0" w:beforeAutospacing="0" w:after="0" w:afterAutospacing="0"/>
              <w:ind w:left="0" w:right="0"/>
              <w:jc w:val="center"/>
              <w:rPr>
                <w:rFonts w:hint="eastAsia" w:ascii="宋体" w:hAnsi="宋体" w:eastAsia="宋体" w:cs="宋体"/>
                <w:bCs/>
                <w:color w:val="FF0000"/>
                <w:kern w:val="0"/>
                <w:sz w:val="24"/>
                <w:szCs w:val="24"/>
              </w:rPr>
            </w:pPr>
            <w:r>
              <w:rPr>
                <w:rFonts w:hint="eastAsia" w:ascii="宋体" w:hAnsi="宋体" w:eastAsia="宋体" w:cs="宋体"/>
                <w:b/>
                <w:bCs/>
                <w:i w:val="0"/>
                <w:iCs w:val="0"/>
                <w:color w:val="auto"/>
                <w:kern w:val="0"/>
                <w:sz w:val="24"/>
                <w:szCs w:val="24"/>
              </w:rPr>
              <w:t>项目名称</w:t>
            </w:r>
          </w:p>
        </w:tc>
        <w:tc>
          <w:tcPr>
            <w:tcW w:w="1690" w:type="dxa"/>
            <w:tcBorders>
              <w:top w:val="single" w:color="auto" w:sz="4" w:space="0"/>
              <w:left w:val="single" w:color="auto" w:sz="4" w:space="0"/>
              <w:right w:val="single" w:color="auto" w:sz="4" w:space="0"/>
            </w:tcBorders>
            <w:vAlign w:val="center"/>
          </w:tcPr>
          <w:p w14:paraId="410B21F4">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auto"/>
                <w:kern w:val="0"/>
                <w:sz w:val="24"/>
                <w:szCs w:val="24"/>
                <w:lang w:val="en-US" w:eastAsia="zh-CN"/>
              </w:rPr>
            </w:pPr>
            <w:r>
              <w:rPr>
                <w:rFonts w:hint="eastAsia" w:ascii="宋体" w:hAnsi="宋体" w:cs="宋体"/>
                <w:b/>
                <w:bCs/>
                <w:i w:val="0"/>
                <w:iCs w:val="0"/>
                <w:color w:val="auto"/>
                <w:kern w:val="0"/>
                <w:sz w:val="24"/>
                <w:szCs w:val="24"/>
                <w:lang w:val="en-US" w:eastAsia="zh-CN"/>
              </w:rPr>
              <w:t xml:space="preserve">采购预算  </w:t>
            </w: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690" w:type="dxa"/>
            <w:tcBorders>
              <w:top w:val="single" w:color="auto" w:sz="4" w:space="0"/>
              <w:left w:val="single" w:color="auto" w:sz="4" w:space="0"/>
              <w:right w:val="single" w:color="auto" w:sz="4" w:space="0"/>
            </w:tcBorders>
            <w:vAlign w:val="center"/>
          </w:tcPr>
          <w:p w14:paraId="58147B3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lang w:val="en-US" w:eastAsia="zh-CN"/>
              </w:rPr>
            </w:pPr>
            <w:r>
              <w:rPr>
                <w:rFonts w:hint="eastAsia" w:ascii="宋体" w:hAnsi="宋体" w:eastAsia="宋体" w:cs="宋体"/>
                <w:b/>
                <w:bCs/>
                <w:i w:val="0"/>
                <w:iCs w:val="0"/>
                <w:color w:val="auto"/>
                <w:kern w:val="0"/>
                <w:sz w:val="24"/>
                <w:szCs w:val="24"/>
                <w:lang w:val="en-US" w:eastAsia="zh-CN"/>
              </w:rPr>
              <w:t>最高限价</w:t>
            </w:r>
          </w:p>
          <w:p w14:paraId="551C48E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4"/>
                <w:szCs w:val="24"/>
              </w:rPr>
            </w:pP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939" w:type="dxa"/>
            <w:tcBorders>
              <w:top w:val="single" w:color="auto" w:sz="4" w:space="0"/>
              <w:left w:val="single" w:color="auto" w:sz="4" w:space="0"/>
              <w:right w:val="single" w:color="auto" w:sz="4" w:space="0"/>
            </w:tcBorders>
            <w:vAlign w:val="center"/>
          </w:tcPr>
          <w:p w14:paraId="7A8234B5">
            <w:pPr>
              <w:keepNext w:val="0"/>
              <w:keepLines w:val="0"/>
              <w:suppressLineNumbers w:val="0"/>
              <w:spacing w:before="0" w:beforeAutospacing="0" w:after="0" w:afterAutospacing="0"/>
              <w:ind w:left="0" w:right="0"/>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w:t>
            </w:r>
          </w:p>
          <w:p w14:paraId="34943A33">
            <w:pPr>
              <w:keepNext w:val="0"/>
              <w:keepLines w:val="0"/>
              <w:suppressLineNumbers w:val="0"/>
              <w:spacing w:before="0" w:beforeAutospacing="0" w:after="0" w:afterAutospacing="0"/>
              <w:ind w:left="0" w:right="0"/>
              <w:jc w:val="center"/>
              <w:rPr>
                <w:rFonts w:hint="eastAsia" w:ascii="宋体" w:hAnsi="宋体" w:eastAsia="宋体" w:cs="宋体"/>
                <w:bCs/>
                <w:color w:val="000000"/>
                <w:kern w:val="0"/>
                <w:sz w:val="24"/>
                <w:szCs w:val="24"/>
              </w:rPr>
            </w:pPr>
            <w:r>
              <w:rPr>
                <w:rFonts w:hint="eastAsia" w:ascii="宋体" w:hAnsi="宋体" w:eastAsia="宋体" w:cs="宋体"/>
                <w:b/>
                <w:bCs/>
                <w:i w:val="0"/>
                <w:iCs w:val="0"/>
                <w:color w:val="auto"/>
                <w:kern w:val="0"/>
                <w:sz w:val="24"/>
                <w:szCs w:val="24"/>
                <w:lang w:val="en-US" w:eastAsia="zh-CN"/>
              </w:rPr>
              <w:t>（名）</w:t>
            </w:r>
          </w:p>
        </w:tc>
      </w:tr>
      <w:tr w14:paraId="517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217" w:type="dxa"/>
            <w:tcBorders>
              <w:top w:val="single" w:color="auto" w:sz="4" w:space="0"/>
              <w:left w:val="single" w:color="auto" w:sz="4" w:space="0"/>
              <w:bottom w:val="single" w:color="auto" w:sz="4" w:space="0"/>
              <w:right w:val="single" w:color="auto" w:sz="4" w:space="0"/>
            </w:tcBorders>
            <w:vAlign w:val="center"/>
          </w:tcPr>
          <w:p w14:paraId="6487E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0"/>
                <w:sz w:val="24"/>
                <w:szCs w:val="24"/>
                <w:lang w:val="en-US" w:eastAsia="zh-CN"/>
              </w:rPr>
            </w:pPr>
            <w:bookmarkStart w:id="10" w:name="_Hlk344477914"/>
            <w:r>
              <w:rPr>
                <w:rFonts w:hint="eastAsia" w:ascii="宋体" w:hAnsi="宋体" w:eastAsia="宋体" w:cs="宋体"/>
                <w:kern w:val="2"/>
                <w:sz w:val="24"/>
                <w:szCs w:val="24"/>
                <w:lang w:val="en-US" w:eastAsia="zh-CN" w:bidi="ar-SA"/>
              </w:rPr>
              <w:t>重庆市大足区城市管理局食堂食材配送服务采购-蔬菜类、禽类、牛羊肉</w:t>
            </w:r>
          </w:p>
        </w:tc>
        <w:tc>
          <w:tcPr>
            <w:tcW w:w="1690" w:type="dxa"/>
            <w:tcBorders>
              <w:top w:val="single" w:color="auto" w:sz="4" w:space="0"/>
              <w:left w:val="single" w:color="auto" w:sz="4" w:space="0"/>
              <w:bottom w:val="single" w:color="auto" w:sz="4" w:space="0"/>
              <w:right w:val="single" w:color="auto" w:sz="4" w:space="0"/>
            </w:tcBorders>
            <w:vAlign w:val="center"/>
          </w:tcPr>
          <w:p w14:paraId="591C78CA">
            <w:pPr>
              <w:keepNext w:val="0"/>
              <w:keepLines w:val="0"/>
              <w:suppressLineNumbers w:val="0"/>
              <w:spacing w:before="0" w:beforeAutospacing="0" w:after="0" w:afterAutospacing="0" w:line="360" w:lineRule="auto"/>
              <w:ind w:left="0" w:right="0"/>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40</w:t>
            </w:r>
          </w:p>
        </w:tc>
        <w:tc>
          <w:tcPr>
            <w:tcW w:w="1690" w:type="dxa"/>
            <w:tcBorders>
              <w:top w:val="single" w:color="auto" w:sz="4" w:space="0"/>
              <w:left w:val="single" w:color="auto" w:sz="4" w:space="0"/>
              <w:bottom w:val="single" w:color="auto" w:sz="4" w:space="0"/>
              <w:right w:val="single" w:color="auto" w:sz="4" w:space="0"/>
            </w:tcBorders>
            <w:vAlign w:val="center"/>
          </w:tcPr>
          <w:p w14:paraId="785AEB3D">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40</w:t>
            </w:r>
          </w:p>
        </w:tc>
        <w:tc>
          <w:tcPr>
            <w:tcW w:w="1939" w:type="dxa"/>
            <w:tcBorders>
              <w:top w:val="single" w:color="auto" w:sz="4" w:space="0"/>
              <w:left w:val="single" w:color="auto" w:sz="4" w:space="0"/>
              <w:bottom w:val="single" w:color="auto" w:sz="4" w:space="0"/>
              <w:right w:val="single" w:color="auto" w:sz="4" w:space="0"/>
            </w:tcBorders>
            <w:vAlign w:val="center"/>
          </w:tcPr>
          <w:p w14:paraId="2F9BEB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bookmarkEnd w:id="10"/>
    </w:tbl>
    <w:p w14:paraId="0465A8A8">
      <w:pPr>
        <w:pStyle w:val="5"/>
        <w:spacing w:before="120" w:beforeLines="50" w:after="120" w:afterLines="50" w:line="400" w:lineRule="exact"/>
        <w:rPr>
          <w:rFonts w:hint="eastAsia" w:ascii="宋体" w:hAnsi="宋体" w:eastAsia="宋体" w:cs="宋体"/>
          <w:sz w:val="24"/>
          <w:szCs w:val="24"/>
        </w:rPr>
      </w:pPr>
      <w:bookmarkStart w:id="11" w:name="_Toc7402"/>
      <w:bookmarkStart w:id="12" w:name="_Toc373860293"/>
      <w:bookmarkStart w:id="13" w:name="_Toc317775178"/>
      <w:r>
        <w:rPr>
          <w:rFonts w:hint="eastAsia" w:ascii="宋体" w:hAnsi="宋体" w:eastAsia="宋体" w:cs="宋体"/>
          <w:sz w:val="24"/>
          <w:szCs w:val="24"/>
        </w:rPr>
        <w:t>二、资金来源</w:t>
      </w:r>
      <w:bookmarkEnd w:id="11"/>
    </w:p>
    <w:p w14:paraId="6D327C7B">
      <w:pPr>
        <w:pStyle w:val="5"/>
        <w:spacing w:before="0" w:after="0" w:line="400" w:lineRule="exact"/>
        <w:ind w:firstLine="480" w:firstLineChars="200"/>
        <w:rPr>
          <w:rFonts w:hint="eastAsia" w:ascii="宋体" w:hAnsi="宋体" w:eastAsia="宋体" w:cs="宋体"/>
          <w:b w:val="0"/>
          <w:kern w:val="2"/>
          <w:sz w:val="24"/>
          <w:szCs w:val="24"/>
          <w:highlight w:val="none"/>
          <w:lang w:val="en-US" w:eastAsia="zh-CN" w:bidi="ar-SA"/>
        </w:rPr>
      </w:pPr>
      <w:bookmarkStart w:id="14" w:name="_Toc14651"/>
      <w:bookmarkStart w:id="15" w:name="_Toc32278"/>
      <w:bookmarkStart w:id="16" w:name="_Toc17810"/>
      <w:bookmarkStart w:id="17" w:name="_Toc23204"/>
      <w:r>
        <w:rPr>
          <w:rFonts w:hint="eastAsia" w:ascii="宋体" w:hAnsi="宋体" w:eastAsia="宋体" w:cs="宋体"/>
          <w:b w:val="0"/>
          <w:kern w:val="2"/>
          <w:sz w:val="24"/>
          <w:szCs w:val="24"/>
          <w:highlight w:val="none"/>
          <w:lang w:val="en-US" w:eastAsia="zh-CN" w:bidi="ar-SA"/>
        </w:rPr>
        <w:t>财政资金</w:t>
      </w:r>
      <w:bookmarkEnd w:id="14"/>
      <w:bookmarkEnd w:id="15"/>
      <w:bookmarkEnd w:id="16"/>
      <w:bookmarkEnd w:id="17"/>
    </w:p>
    <w:p w14:paraId="3C27CC38">
      <w:pPr>
        <w:pStyle w:val="5"/>
        <w:spacing w:before="120" w:beforeLines="50" w:after="120" w:afterLines="50" w:line="240" w:lineRule="auto"/>
        <w:rPr>
          <w:rFonts w:hint="eastAsia" w:ascii="宋体" w:hAnsi="宋体" w:eastAsia="宋体" w:cs="宋体"/>
          <w:sz w:val="24"/>
          <w:szCs w:val="24"/>
        </w:rPr>
      </w:pPr>
      <w:bookmarkStart w:id="18" w:name="_Toc28727"/>
      <w:r>
        <w:rPr>
          <w:rFonts w:hint="eastAsia" w:ascii="宋体" w:hAnsi="宋体" w:eastAsia="宋体" w:cs="宋体"/>
          <w:sz w:val="24"/>
          <w:szCs w:val="24"/>
        </w:rPr>
        <w:t>三、供应商资格条件</w:t>
      </w:r>
      <w:bookmarkEnd w:id="18"/>
    </w:p>
    <w:p w14:paraId="295852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w:t>
      </w:r>
    </w:p>
    <w:p w14:paraId="2B5B588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cs="宋体"/>
          <w:b/>
          <w:sz w:val="24"/>
          <w:szCs w:val="24"/>
          <w:lang w:val="en-US" w:eastAsia="zh-CN"/>
        </w:rPr>
        <w:t>基本</w:t>
      </w:r>
      <w:r>
        <w:rPr>
          <w:rFonts w:hint="eastAsia" w:ascii="宋体" w:hAnsi="宋体" w:eastAsia="宋体" w:cs="宋体"/>
          <w:b/>
          <w:sz w:val="24"/>
          <w:szCs w:val="24"/>
        </w:rPr>
        <w:t>条件</w:t>
      </w:r>
    </w:p>
    <w:p w14:paraId="5932CED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CED6F5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7220AD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F1299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w:t>
      </w:r>
      <w:r>
        <w:rPr>
          <w:rFonts w:hint="eastAsia" w:ascii="宋体" w:hAnsi="宋体" w:cs="宋体"/>
          <w:sz w:val="24"/>
          <w:szCs w:val="24"/>
          <w:lang w:val="en-US" w:eastAsia="zh-CN"/>
        </w:rPr>
        <w:t>或</w:t>
      </w:r>
      <w:r>
        <w:rPr>
          <w:rFonts w:hint="eastAsia" w:ascii="宋体" w:hAnsi="宋体" w:eastAsia="宋体" w:cs="宋体"/>
          <w:sz w:val="24"/>
          <w:szCs w:val="24"/>
        </w:rPr>
        <w:t>社会保障资金的良好记录；</w:t>
      </w:r>
    </w:p>
    <w:p w14:paraId="2855DBD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7515D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11BD3652">
      <w:pPr>
        <w:spacing w:line="400" w:lineRule="exact"/>
        <w:ind w:firstLine="482" w:firstLineChars="200"/>
        <w:rPr>
          <w:rFonts w:hint="eastAsia" w:ascii="宋体" w:hAnsi="宋体" w:cs="宋体"/>
          <w:b/>
          <w:sz w:val="24"/>
          <w:szCs w:val="24"/>
          <w:lang w:eastAsia="zh-CN"/>
        </w:rPr>
      </w:pPr>
      <w:r>
        <w:rPr>
          <w:rFonts w:hint="eastAsia" w:ascii="宋体" w:hAnsi="宋体" w:eastAsia="宋体" w:cs="宋体"/>
          <w:b/>
          <w:sz w:val="24"/>
          <w:szCs w:val="24"/>
        </w:rPr>
        <w:t>（二）特定资格条件</w:t>
      </w:r>
    </w:p>
    <w:p w14:paraId="137B51D4">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eastAsia="zh-CN"/>
        </w:rPr>
        <w:t>供应商须具备有效的食品经营许可证或食品流通许可证（提供复印件加盖公章）</w:t>
      </w:r>
    </w:p>
    <w:bookmarkEnd w:id="12"/>
    <w:p w14:paraId="511C43E6">
      <w:pPr>
        <w:pStyle w:val="5"/>
        <w:spacing w:before="120" w:beforeLines="50" w:after="120" w:afterLines="50" w:line="240" w:lineRule="auto"/>
        <w:rPr>
          <w:rFonts w:hint="eastAsia" w:ascii="宋体" w:hAnsi="宋体" w:eastAsia="宋体" w:cs="宋体"/>
          <w:sz w:val="24"/>
          <w:szCs w:val="24"/>
        </w:rPr>
      </w:pPr>
      <w:bookmarkStart w:id="19" w:name="_Toc474487430"/>
      <w:bookmarkStart w:id="20" w:name="_Toc531184285"/>
      <w:bookmarkStart w:id="21" w:name="_Toc22628"/>
      <w:bookmarkStart w:id="22" w:name="_Toc446505900"/>
      <w:bookmarkStart w:id="23" w:name="_Toc373860294"/>
      <w:r>
        <w:rPr>
          <w:rFonts w:hint="eastAsia" w:ascii="宋体" w:hAnsi="宋体" w:eastAsia="宋体" w:cs="宋体"/>
          <w:sz w:val="24"/>
          <w:szCs w:val="24"/>
        </w:rPr>
        <w:t>四、投标、磋商有关说明</w:t>
      </w:r>
      <w:bookmarkEnd w:id="19"/>
      <w:bookmarkEnd w:id="20"/>
      <w:bookmarkEnd w:id="21"/>
    </w:p>
    <w:bookmarkEnd w:id="22"/>
    <w:p w14:paraId="602EAC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）供应商应按要求通过行采家（https://www.gec123.com/）进行注册，登记加入“行采家供应商库”。</w:t>
      </w:r>
    </w:p>
    <w:p w14:paraId="5DAE4F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（二）磋商文件获取方式：凡有意参加磋商的供应商，请在行采家（https://www.gec123.com/）网下载本项目磋商文件以及补遗文件等磋商前公布的所有项目资料。</w:t>
      </w:r>
    </w:p>
    <w:p w14:paraId="0832BD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（三）磋商公告期限：自磋商公告发布之日起</w:t>
      </w:r>
      <w:r>
        <w:rPr>
          <w:rFonts w:hint="eastAsia" w:ascii="宋体" w:hAnsi="宋体" w:cs="宋体"/>
          <w:sz w:val="24"/>
          <w:szCs w:val="24"/>
          <w:lang w:val="en-US" w:eastAsia="zh-CN"/>
        </w:rPr>
        <w:t>10</w:t>
      </w:r>
      <w:r>
        <w:rPr>
          <w:rFonts w:hint="eastAsia" w:ascii="宋体" w:hAnsi="宋体" w:eastAsia="宋体" w:cs="宋体"/>
          <w:sz w:val="24"/>
          <w:szCs w:val="24"/>
        </w:rPr>
        <w:t>个</w:t>
      </w:r>
      <w:r>
        <w:rPr>
          <w:rFonts w:hint="eastAsia" w:ascii="宋体" w:hAnsi="宋体" w:cs="宋体"/>
          <w:sz w:val="24"/>
          <w:szCs w:val="24"/>
          <w:lang w:val="en-US" w:eastAsia="zh-CN"/>
        </w:rPr>
        <w:t>日历天</w:t>
      </w:r>
      <w:r>
        <w:rPr>
          <w:rFonts w:hint="eastAsia" w:ascii="宋体" w:hAnsi="宋体" w:eastAsia="宋体" w:cs="宋体"/>
          <w:sz w:val="24"/>
          <w:szCs w:val="24"/>
        </w:rPr>
        <w:t>。</w:t>
      </w:r>
    </w:p>
    <w:p w14:paraId="39CA78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 w:val="0"/>
          <w:bCs/>
          <w:sz w:val="24"/>
          <w:szCs w:val="24"/>
        </w:rPr>
        <w:t>磋商文件发售</w:t>
      </w:r>
    </w:p>
    <w:p w14:paraId="067A54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日（工作时间）</w:t>
      </w:r>
      <w:r>
        <w:rPr>
          <w:rFonts w:hint="eastAsia" w:ascii="宋体" w:hAnsi="宋体" w:eastAsia="宋体" w:cs="宋体"/>
          <w:sz w:val="24"/>
          <w:szCs w:val="24"/>
          <w:highlight w:val="none"/>
          <w:lang w:val="en-US" w:eastAsia="zh-CN"/>
        </w:rPr>
        <w:t>09:00-17:00</w:t>
      </w:r>
    </w:p>
    <w:p w14:paraId="66F689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2.售价：人民币</w:t>
      </w:r>
      <w:r>
        <w:rPr>
          <w:rFonts w:hint="eastAsia" w:ascii="宋体" w:hAnsi="宋体" w:cs="宋体"/>
          <w:sz w:val="24"/>
          <w:szCs w:val="24"/>
          <w:lang w:val="en-US" w:eastAsia="zh-CN"/>
        </w:rPr>
        <w:t>5</w:t>
      </w:r>
      <w:r>
        <w:rPr>
          <w:rFonts w:hint="eastAsia" w:ascii="宋体" w:hAnsi="宋体" w:eastAsia="宋体" w:cs="宋体"/>
          <w:sz w:val="24"/>
          <w:szCs w:val="24"/>
        </w:rPr>
        <w:t>00 元/份（微信转账或现金，售后不退）</w:t>
      </w:r>
      <w:r>
        <w:rPr>
          <w:rFonts w:hint="eastAsia" w:ascii="宋体" w:hAnsi="宋体" w:eastAsia="宋体" w:cs="宋体"/>
          <w:sz w:val="24"/>
          <w:szCs w:val="24"/>
          <w:lang w:eastAsia="zh-CN"/>
        </w:rPr>
        <w:t>，</w:t>
      </w:r>
      <w:r>
        <w:rPr>
          <w:rFonts w:hint="eastAsia" w:ascii="宋体" w:hAnsi="宋体" w:eastAsia="宋体" w:cs="宋体"/>
          <w:sz w:val="24"/>
          <w:szCs w:val="24"/>
        </w:rPr>
        <w:t>各供应商</w:t>
      </w:r>
      <w:r>
        <w:rPr>
          <w:rFonts w:hint="eastAsia" w:ascii="宋体" w:hAnsi="宋体" w:eastAsia="宋体" w:cs="宋体"/>
          <w:sz w:val="24"/>
          <w:szCs w:val="24"/>
          <w:lang w:eastAsia="zh-CN"/>
        </w:rPr>
        <w:t>在发售期内递交《发售登记表》并</w:t>
      </w:r>
      <w:r>
        <w:rPr>
          <w:rFonts w:hint="eastAsia" w:ascii="宋体" w:hAnsi="宋体" w:eastAsia="宋体" w:cs="宋体"/>
          <w:sz w:val="24"/>
          <w:szCs w:val="24"/>
        </w:rPr>
        <w:t>缴纳</w:t>
      </w:r>
      <w:r>
        <w:rPr>
          <w:rFonts w:hint="eastAsia" w:ascii="宋体" w:hAnsi="宋体" w:eastAsia="宋体" w:cs="宋体"/>
          <w:sz w:val="24"/>
          <w:szCs w:val="24"/>
          <w:lang w:eastAsia="zh-CN"/>
        </w:rPr>
        <w:t>磋商</w:t>
      </w:r>
      <w:r>
        <w:rPr>
          <w:rFonts w:hint="eastAsia" w:ascii="宋体" w:hAnsi="宋体" w:eastAsia="宋体" w:cs="宋体"/>
          <w:sz w:val="24"/>
          <w:szCs w:val="24"/>
        </w:rPr>
        <w:t>文件购买费，其响应文件才被接收。</w:t>
      </w:r>
    </w:p>
    <w:p w14:paraId="7F620B81">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3.磋商文件购买方式：供应商到明科建设咨询有限公司购买招标文件的地址：重庆市大足区城西佳苑</w:t>
      </w:r>
      <w:r>
        <w:rPr>
          <w:rFonts w:hint="eastAsia" w:ascii="宋体" w:hAnsi="宋体" w:cs="宋体"/>
          <w:sz w:val="24"/>
          <w:szCs w:val="24"/>
          <w:lang w:val="en-US" w:eastAsia="zh-CN"/>
        </w:rPr>
        <w:t>3栋4单元</w:t>
      </w:r>
      <w:r>
        <w:rPr>
          <w:rFonts w:hint="eastAsia" w:ascii="宋体" w:hAnsi="宋体" w:eastAsia="宋体" w:cs="宋体"/>
          <w:sz w:val="24"/>
          <w:szCs w:val="24"/>
        </w:rPr>
        <w:t>，供应商在缴纳购买采购文件费用后，请将《磋商文件发售登记表》（加盖</w:t>
      </w:r>
      <w:r>
        <w:rPr>
          <w:rFonts w:hint="eastAsia" w:ascii="宋体" w:hAnsi="宋体" w:cs="宋体"/>
          <w:sz w:val="24"/>
          <w:szCs w:val="24"/>
          <w:lang w:val="en-US" w:eastAsia="zh-CN"/>
        </w:rPr>
        <w:t>供应商</w:t>
      </w:r>
      <w:r>
        <w:rPr>
          <w:rFonts w:hint="eastAsia" w:ascii="宋体" w:hAnsi="宋体" w:eastAsia="宋体" w:cs="宋体"/>
          <w:sz w:val="24"/>
          <w:szCs w:val="24"/>
        </w:rPr>
        <w:t>公章）递交至代理公司工作人员</w:t>
      </w:r>
      <w:r>
        <w:rPr>
          <w:rFonts w:hint="eastAsia" w:ascii="宋体" w:hAnsi="宋体" w:cs="宋体"/>
          <w:sz w:val="24"/>
          <w:szCs w:val="24"/>
          <w:lang w:eastAsia="zh-CN"/>
        </w:rPr>
        <w:t>。</w:t>
      </w:r>
    </w:p>
    <w:p w14:paraId="4A2CAE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供应商须满足以下</w:t>
      </w:r>
      <w:r>
        <w:rPr>
          <w:rFonts w:hint="eastAsia" w:ascii="宋体" w:hAnsi="宋体" w:eastAsia="宋体" w:cs="宋体"/>
          <w:sz w:val="24"/>
          <w:szCs w:val="24"/>
          <w:lang w:eastAsia="zh-CN"/>
        </w:rPr>
        <w:t>三</w:t>
      </w:r>
      <w:r>
        <w:rPr>
          <w:rFonts w:hint="eastAsia" w:ascii="宋体" w:hAnsi="宋体" w:eastAsia="宋体" w:cs="宋体"/>
          <w:sz w:val="24"/>
          <w:szCs w:val="24"/>
        </w:rPr>
        <w:t>种要件，其响应文件才被接受：</w:t>
      </w:r>
    </w:p>
    <w:p w14:paraId="08E116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1、按时递交了响应文件；</w:t>
      </w:r>
    </w:p>
    <w:p w14:paraId="7F0F30C5">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2、按时足额缴纳了竞争性磋商文件购买费</w:t>
      </w:r>
      <w:r>
        <w:rPr>
          <w:rFonts w:hint="eastAsia" w:ascii="宋体" w:hAnsi="宋体" w:eastAsia="宋体" w:cs="宋体"/>
          <w:sz w:val="24"/>
          <w:szCs w:val="24"/>
          <w:lang w:eastAsia="zh-CN"/>
        </w:rPr>
        <w:t>；</w:t>
      </w:r>
    </w:p>
    <w:p w14:paraId="4529A1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在报名和文件发售期截止时间内购买了</w:t>
      </w:r>
      <w:r>
        <w:rPr>
          <w:rFonts w:hint="eastAsia" w:ascii="宋体" w:hAnsi="宋体" w:eastAsia="宋体" w:cs="宋体"/>
          <w:sz w:val="24"/>
          <w:szCs w:val="24"/>
          <w:lang w:eastAsia="zh-CN"/>
        </w:rPr>
        <w:t>磋商</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，其报名才被接收。</w:t>
      </w:r>
    </w:p>
    <w:p w14:paraId="1F64ADD4">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lang w:eastAsia="zh-CN"/>
        </w:rPr>
        <w:t>）线上报价</w:t>
      </w:r>
    </w:p>
    <w:p w14:paraId="0F342AC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1.线上报价时间：2025年</w:t>
      </w:r>
      <w:r>
        <w:rPr>
          <w:rFonts w:hint="eastAsia" w:ascii="宋体" w:hAnsi="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cs="宋体"/>
          <w:sz w:val="24"/>
          <w:szCs w:val="24"/>
          <w:lang w:val="en-US" w:eastAsia="zh-CN"/>
        </w:rPr>
        <w:t>27</w:t>
      </w:r>
      <w:r>
        <w:rPr>
          <w:rFonts w:hint="eastAsia" w:ascii="宋体" w:hAnsi="宋体" w:eastAsia="宋体" w:cs="宋体"/>
          <w:sz w:val="24"/>
          <w:szCs w:val="24"/>
          <w:lang w:eastAsia="zh-CN"/>
        </w:rPr>
        <w:t>日09:00-12:00。</w:t>
      </w:r>
    </w:p>
    <w:p w14:paraId="78DF632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2.线上报价要求：按本项目规定的时间在“行采家（https://www.gec123.com/）”进行网上报价，未在规定时间内报价的投标人不具备竞标资格。</w:t>
      </w:r>
    </w:p>
    <w:p w14:paraId="0193793A">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注：线上报价时，按平台要求进行报价和上传投标文件，平台会收取相应的平台保证金，平台保证金收取及退还相关问题请各潜在投标人报价前自行咨询平台客服，此费用与投标保证金无关。</w:t>
      </w:r>
    </w:p>
    <w:p w14:paraId="253D58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（六）投标文件递交</w:t>
      </w:r>
    </w:p>
    <w:p w14:paraId="6A36EC10">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递交响应文件地点：</w:t>
      </w:r>
      <w:r>
        <w:rPr>
          <w:rFonts w:hint="eastAsia" w:ascii="宋体" w:hAnsi="宋体" w:eastAsia="宋体" w:cs="宋体"/>
          <w:sz w:val="24"/>
          <w:szCs w:val="24"/>
          <w:lang w:val="en-US" w:eastAsia="zh-CN"/>
        </w:rPr>
        <w:t>重庆市大足区城西佳苑3栋4单元</w:t>
      </w:r>
      <w:r>
        <w:rPr>
          <w:rFonts w:hint="eastAsia" w:ascii="宋体" w:hAnsi="宋体" w:eastAsia="宋体" w:cs="宋体"/>
          <w:sz w:val="24"/>
          <w:szCs w:val="24"/>
        </w:rPr>
        <w:t>。</w:t>
      </w:r>
    </w:p>
    <w:p w14:paraId="27254A6D">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响应文件递交开始时间：202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D8F97E9">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响应文件递交截止时间：202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94A3838">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EC487CF">
      <w:pPr>
        <w:spacing w:line="40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逾期送达的、未送达指定地点的或者不按照招标文件要求密封的投标文件，招标人将予以拒收</w:t>
      </w:r>
      <w:r>
        <w:rPr>
          <w:rFonts w:hint="eastAsia" w:ascii="宋体" w:hAnsi="宋体" w:cs="宋体"/>
          <w:b/>
          <w:bCs/>
          <w:sz w:val="24"/>
          <w:szCs w:val="24"/>
          <w:highlight w:val="none"/>
          <w:lang w:eastAsia="zh-CN"/>
        </w:rPr>
        <w:t>。</w:t>
      </w:r>
    </w:p>
    <w:p w14:paraId="3E1AA332">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cs="宋体"/>
          <w:b w:val="0"/>
          <w:bCs/>
          <w:sz w:val="24"/>
          <w:szCs w:val="24"/>
          <w:lang w:val="en-US" w:eastAsia="zh-CN"/>
        </w:rPr>
        <w:t>七</w:t>
      </w:r>
      <w:r>
        <w:rPr>
          <w:rFonts w:hint="eastAsia" w:ascii="宋体" w:hAnsi="宋体" w:eastAsia="宋体" w:cs="宋体"/>
          <w:b w:val="0"/>
          <w:bCs/>
          <w:sz w:val="24"/>
          <w:szCs w:val="24"/>
        </w:rPr>
        <w:t>）投标保证金缴纳</w:t>
      </w:r>
    </w:p>
    <w:p w14:paraId="0F0B66E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本项目无需缴纳磋商保证金</w:t>
      </w:r>
    </w:p>
    <w:bookmarkEnd w:id="13"/>
    <w:bookmarkEnd w:id="23"/>
    <w:p w14:paraId="59004FA2">
      <w:pPr>
        <w:pStyle w:val="5"/>
        <w:spacing w:before="120" w:beforeLines="50" w:after="120" w:afterLines="50" w:line="240" w:lineRule="auto"/>
        <w:rPr>
          <w:rFonts w:hint="eastAsia" w:ascii="宋体" w:hAnsi="宋体" w:eastAsia="宋体" w:cs="宋体"/>
          <w:sz w:val="24"/>
          <w:szCs w:val="24"/>
        </w:rPr>
      </w:pPr>
      <w:bookmarkStart w:id="24" w:name="_Toc531184287"/>
      <w:bookmarkStart w:id="25" w:name="_Toc9630"/>
      <w:r>
        <w:rPr>
          <w:rFonts w:hint="eastAsia" w:ascii="宋体" w:hAnsi="宋体" w:eastAsia="宋体" w:cs="宋体"/>
          <w:sz w:val="24"/>
          <w:szCs w:val="24"/>
          <w:lang w:val="en-US" w:eastAsia="zh-CN"/>
        </w:rPr>
        <w:t>五</w:t>
      </w:r>
      <w:r>
        <w:rPr>
          <w:rFonts w:hint="eastAsia" w:ascii="宋体" w:hAnsi="宋体" w:eastAsia="宋体" w:cs="宋体"/>
          <w:sz w:val="24"/>
          <w:szCs w:val="24"/>
        </w:rPr>
        <w:t>、投标有关规定</w:t>
      </w:r>
      <w:bookmarkEnd w:id="24"/>
      <w:bookmarkEnd w:id="25"/>
    </w:p>
    <w:p w14:paraId="04A72645">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w:t>
      </w:r>
    </w:p>
    <w:p w14:paraId="2B3DED4A">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6E39459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（三）同一合同项（分包）下的货物，制造商参与投标的，不得再委托代理商参与投标。</w:t>
      </w:r>
    </w:p>
    <w:p w14:paraId="7FD7AAD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（四）本项目的补遗文件（如果有）一律到采购代理机构领取；无论投标人下载或领取与否，均视同投标人已知晓本项目补遗文件的内容。</w:t>
      </w:r>
    </w:p>
    <w:p w14:paraId="06E6A7D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（五）超过投标截止时间递交的投标文件，恕不接收。</w:t>
      </w:r>
    </w:p>
    <w:p w14:paraId="26A1D50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（六）投标费用：无论投标结果如何，投标人参与本项目投标的所有费用均应由投标人自行承担。</w:t>
      </w:r>
    </w:p>
    <w:p w14:paraId="1EF0DBE3">
      <w:pPr>
        <w:pStyle w:val="5"/>
        <w:spacing w:before="120" w:beforeLines="50" w:after="120" w:afterLines="50" w:line="240" w:lineRule="auto"/>
        <w:rPr>
          <w:rFonts w:hint="eastAsia" w:ascii="宋体" w:hAnsi="宋体" w:eastAsia="宋体" w:cs="宋体"/>
          <w:sz w:val="24"/>
          <w:szCs w:val="24"/>
          <w:lang w:val="en-US" w:eastAsia="zh-CN"/>
        </w:rPr>
      </w:pPr>
      <w:bookmarkStart w:id="26" w:name="_Toc531184289"/>
      <w:bookmarkStart w:id="27" w:name="_Toc474603910"/>
      <w:bookmarkStart w:id="28" w:name="_Toc17427"/>
      <w:bookmarkStart w:id="29" w:name="_Toc27489"/>
      <w:r>
        <w:rPr>
          <w:rFonts w:hint="eastAsia" w:ascii="宋体" w:hAnsi="宋体" w:eastAsia="宋体" w:cs="宋体"/>
          <w:sz w:val="24"/>
          <w:szCs w:val="24"/>
          <w:lang w:val="en-US" w:eastAsia="zh-CN"/>
        </w:rPr>
        <w:t>六、联系方式</w:t>
      </w:r>
      <w:bookmarkEnd w:id="26"/>
      <w:bookmarkEnd w:id="27"/>
      <w:bookmarkEnd w:id="28"/>
      <w:bookmarkEnd w:id="29"/>
    </w:p>
    <w:p w14:paraId="3911A73A">
      <w:pPr>
        <w:spacing w:line="360" w:lineRule="auto"/>
        <w:ind w:firstLine="482"/>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采购人：重庆市大足区城市管理局  </w:t>
      </w:r>
    </w:p>
    <w:p w14:paraId="748E91F7">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联系人：郎老师</w:t>
      </w:r>
    </w:p>
    <w:p w14:paraId="09711F13">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话：18883114262</w:t>
      </w:r>
    </w:p>
    <w:p w14:paraId="4D32F0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址：重庆市大足区城市管理局</w:t>
      </w:r>
    </w:p>
    <w:p w14:paraId="5E718DE4">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（二）采购代理机构：</w:t>
      </w:r>
      <w:r>
        <w:rPr>
          <w:rFonts w:hint="eastAsia" w:ascii="宋体" w:hAnsi="宋体" w:eastAsia="宋体" w:cs="宋体"/>
          <w:sz w:val="24"/>
          <w:szCs w:val="24"/>
          <w:lang w:val="en-US" w:eastAsia="zh-CN"/>
        </w:rPr>
        <w:t>明科建设咨询有限公司</w:t>
      </w:r>
    </w:p>
    <w:p w14:paraId="473050C8">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auto"/>
          <w:sz w:val="24"/>
          <w:szCs w:val="24"/>
          <w:lang w:val="en-US" w:eastAsia="zh-CN"/>
        </w:rPr>
        <w:t>舒老师</w:t>
      </w:r>
    </w:p>
    <w:p w14:paraId="1289721B">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color w:val="auto"/>
          <w:sz w:val="24"/>
          <w:szCs w:val="24"/>
          <w:lang w:val="en-US" w:eastAsia="zh-CN"/>
        </w:rPr>
        <w:t>15823068024</w:t>
      </w:r>
    </w:p>
    <w:p w14:paraId="57C15D3D">
      <w:pPr>
        <w:spacing w:line="360" w:lineRule="auto"/>
        <w:ind w:firstLine="482"/>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重庆市大足区城西佳苑3栋4单元</w:t>
      </w:r>
    </w:p>
    <w:p w14:paraId="77711530">
      <w:pPr>
        <w:spacing w:line="360" w:lineRule="auto"/>
        <w:ind w:firstLine="482"/>
        <w:rPr>
          <w:rFonts w:hint="eastAsia" w:ascii="宋体" w:hAnsi="宋体" w:eastAsia="宋体" w:cs="宋体"/>
          <w:sz w:val="24"/>
          <w:szCs w:val="24"/>
        </w:rPr>
      </w:pPr>
    </w:p>
    <w:p w14:paraId="67FB9CC7">
      <w:pPr>
        <w:spacing w:line="400" w:lineRule="exact"/>
        <w:ind w:firstLine="480" w:firstLineChars="200"/>
        <w:rPr>
          <w:rFonts w:hint="eastAsia" w:ascii="宋体" w:hAnsi="宋体" w:eastAsia="宋体" w:cs="宋体"/>
          <w:sz w:val="24"/>
          <w:szCs w:val="24"/>
        </w:rPr>
      </w:pPr>
    </w:p>
    <w:p w14:paraId="3C7077F0">
      <w:pPr>
        <w:pStyle w:val="2"/>
        <w:rPr>
          <w:rFonts w:hint="eastAsia" w:ascii="宋体" w:hAnsi="宋体" w:eastAsia="宋体" w:cs="宋体"/>
        </w:rPr>
      </w:pPr>
    </w:p>
    <w:p w14:paraId="073A456E">
      <w:pPr>
        <w:pStyle w:val="5"/>
        <w:spacing w:before="120" w:beforeLines="50" w:after="120" w:afterLines="50" w:line="240" w:lineRule="auto"/>
        <w:jc w:val="center"/>
        <w:rPr>
          <w:rFonts w:hint="default" w:ascii="宋体" w:hAnsi="宋体" w:eastAsia="宋体" w:cs="宋体"/>
          <w:b w:val="0"/>
          <w:kern w:val="2"/>
          <w:sz w:val="36"/>
          <w:szCs w:val="30"/>
          <w:lang w:val="en-US" w:eastAsia="zh-CN" w:bidi="ar-SA"/>
        </w:rPr>
      </w:pPr>
      <w:r>
        <w:rPr>
          <w:rFonts w:hint="eastAsia" w:ascii="宋体" w:hAnsi="宋体" w:eastAsia="宋体" w:cs="宋体"/>
        </w:rPr>
        <w:br w:type="page"/>
      </w:r>
      <w:bookmarkStart w:id="30" w:name="_Toc5559"/>
      <w:bookmarkStart w:id="31" w:name="_Toc12789058"/>
      <w:r>
        <w:rPr>
          <w:rFonts w:hint="eastAsia" w:ascii="宋体" w:hAnsi="宋体" w:eastAsia="宋体" w:cs="宋体"/>
          <w:b w:val="0"/>
          <w:kern w:val="2"/>
          <w:sz w:val="36"/>
          <w:szCs w:val="30"/>
          <w:lang w:val="en-US" w:eastAsia="zh-CN" w:bidi="ar-SA"/>
        </w:rPr>
        <w:t>第二篇  项目服务需求</w:t>
      </w:r>
      <w:bookmarkEnd w:id="30"/>
    </w:p>
    <w:p w14:paraId="025EB2C5">
      <w:pPr>
        <w:pStyle w:val="5"/>
        <w:spacing w:before="120" w:beforeLines="50" w:after="120" w:afterLines="50" w:line="240" w:lineRule="auto"/>
        <w:rPr>
          <w:rFonts w:hint="eastAsia" w:ascii="宋体" w:hAnsi="宋体" w:eastAsia="宋体" w:cs="宋体"/>
          <w:sz w:val="24"/>
          <w:szCs w:val="24"/>
          <w:lang w:val="en-US" w:eastAsia="zh-CN"/>
        </w:rPr>
      </w:pPr>
      <w:bookmarkStart w:id="32" w:name="_Toc22534"/>
      <w:r>
        <w:rPr>
          <w:rFonts w:hint="eastAsia" w:ascii="宋体" w:hAnsi="宋体" w:eastAsia="宋体" w:cs="宋体"/>
          <w:sz w:val="24"/>
          <w:szCs w:val="24"/>
          <w:lang w:val="en-US" w:eastAsia="zh-CN"/>
        </w:rPr>
        <w:t>一、项目一览表</w:t>
      </w:r>
      <w:bookmarkEnd w:id="32"/>
    </w:p>
    <w:tbl>
      <w:tblPr>
        <w:tblStyle w:val="6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221"/>
        <w:gridCol w:w="1594"/>
        <w:gridCol w:w="1423"/>
        <w:gridCol w:w="2796"/>
      </w:tblGrid>
      <w:tr w14:paraId="1D60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46" w:type="dxa"/>
            <w:noWrap w:val="0"/>
            <w:vAlign w:val="center"/>
          </w:tcPr>
          <w:p w14:paraId="05AF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rPr>
            </w:pPr>
            <w:bookmarkStart w:id="33" w:name="_Toc1716"/>
            <w:r>
              <w:rPr>
                <w:rFonts w:hint="eastAsia" w:ascii="宋体" w:hAnsi="宋体" w:eastAsia="宋体" w:cs="宋体"/>
                <w:b/>
                <w:bCs/>
                <w:color w:val="auto"/>
                <w:kern w:val="0"/>
                <w:sz w:val="22"/>
                <w:szCs w:val="22"/>
                <w:highlight w:val="none"/>
              </w:rPr>
              <w:t>项目名称</w:t>
            </w:r>
          </w:p>
        </w:tc>
        <w:tc>
          <w:tcPr>
            <w:tcW w:w="1221" w:type="dxa"/>
            <w:noWrap w:val="0"/>
            <w:vAlign w:val="center"/>
          </w:tcPr>
          <w:p w14:paraId="70AB7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最高限价（万元）</w:t>
            </w:r>
          </w:p>
        </w:tc>
        <w:tc>
          <w:tcPr>
            <w:tcW w:w="1594" w:type="dxa"/>
            <w:noWrap w:val="0"/>
            <w:vAlign w:val="center"/>
          </w:tcPr>
          <w:p w14:paraId="2BCA24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资金性质</w:t>
            </w:r>
          </w:p>
        </w:tc>
        <w:tc>
          <w:tcPr>
            <w:tcW w:w="1423" w:type="dxa"/>
            <w:noWrap w:val="0"/>
            <w:vAlign w:val="center"/>
          </w:tcPr>
          <w:p w14:paraId="663F9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成交供应商（名）</w:t>
            </w:r>
          </w:p>
        </w:tc>
        <w:tc>
          <w:tcPr>
            <w:tcW w:w="2796" w:type="dxa"/>
            <w:noWrap w:val="0"/>
            <w:vAlign w:val="center"/>
          </w:tcPr>
          <w:p w14:paraId="1DC95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022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46" w:type="dxa"/>
            <w:noWrap w:val="0"/>
            <w:vAlign w:val="center"/>
          </w:tcPr>
          <w:p w14:paraId="57F4A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jc w:val="center"/>
              <w:textAlignment w:val="auto"/>
              <w:outlineLvl w:val="9"/>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u w:val="none"/>
                <w:lang w:val="en-US" w:eastAsia="zh-CN"/>
              </w:rPr>
              <w:t>重庆市大足区城市管理局食堂食材配送服务采购-蔬菜类、禽类、牛羊肉</w:t>
            </w:r>
          </w:p>
        </w:tc>
        <w:tc>
          <w:tcPr>
            <w:tcW w:w="1221" w:type="dxa"/>
            <w:noWrap w:val="0"/>
            <w:vAlign w:val="center"/>
          </w:tcPr>
          <w:p w14:paraId="0AEA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40</w:t>
            </w:r>
          </w:p>
        </w:tc>
        <w:tc>
          <w:tcPr>
            <w:tcW w:w="1594" w:type="dxa"/>
            <w:noWrap w:val="0"/>
            <w:vAlign w:val="center"/>
          </w:tcPr>
          <w:p w14:paraId="38F3F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财政资金</w:t>
            </w:r>
          </w:p>
        </w:tc>
        <w:tc>
          <w:tcPr>
            <w:tcW w:w="1423" w:type="dxa"/>
            <w:noWrap w:val="0"/>
            <w:vAlign w:val="center"/>
          </w:tcPr>
          <w:p w14:paraId="6C05B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2796" w:type="dxa"/>
            <w:noWrap w:val="0"/>
            <w:vAlign w:val="center"/>
          </w:tcPr>
          <w:p w14:paraId="1FC867F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不接受联合体投标</w:t>
            </w:r>
          </w:p>
        </w:tc>
      </w:tr>
    </w:tbl>
    <w:p w14:paraId="64E36411">
      <w:pPr>
        <w:pStyle w:val="5"/>
        <w:spacing w:before="120" w:beforeLines="50" w:after="120" w:afterLines="50" w:line="240" w:lineRule="auto"/>
        <w:rPr>
          <w:rFonts w:hint="eastAsia" w:ascii="宋体" w:hAnsi="宋体" w:eastAsia="宋体" w:cs="宋体"/>
          <w:sz w:val="24"/>
          <w:szCs w:val="24"/>
          <w:lang w:val="en-US" w:eastAsia="zh-CN"/>
        </w:rPr>
      </w:pPr>
      <w:bookmarkStart w:id="34" w:name="_Toc28820"/>
      <w:r>
        <w:rPr>
          <w:rFonts w:hint="eastAsia" w:ascii="宋体" w:hAnsi="宋体" w:eastAsia="宋体" w:cs="宋体"/>
          <w:sz w:val="24"/>
          <w:szCs w:val="24"/>
          <w:lang w:val="en-US" w:eastAsia="zh-CN"/>
        </w:rPr>
        <w:t>二、</w:t>
      </w:r>
      <w:bookmarkEnd w:id="33"/>
      <w:r>
        <w:rPr>
          <w:rFonts w:hint="eastAsia" w:ascii="宋体" w:hAnsi="宋体" w:eastAsia="宋体" w:cs="宋体"/>
          <w:sz w:val="24"/>
          <w:szCs w:val="24"/>
          <w:lang w:val="en-US" w:eastAsia="zh-CN"/>
        </w:rPr>
        <w:t>项目服务内容</w:t>
      </w:r>
      <w:bookmarkEnd w:id="34"/>
    </w:p>
    <w:p w14:paraId="00A81CA6">
      <w:pPr>
        <w:pageBreakBefore w:val="0"/>
        <w:kinsoku/>
        <w:overflowPunct/>
        <w:topLinePunct w:val="0"/>
        <w:autoSpaceDE/>
        <w:autoSpaceDN/>
        <w:bidi w:val="0"/>
        <w:spacing w:before="0" w:after="0" w:line="360" w:lineRule="auto"/>
        <w:textAlignment w:val="auto"/>
        <w:outlineLvl w:val="9"/>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（一）产品要求</w:t>
      </w:r>
    </w:p>
    <w:tbl>
      <w:tblPr>
        <w:tblStyle w:val="61"/>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176"/>
        <w:gridCol w:w="6387"/>
      </w:tblGrid>
      <w:tr w14:paraId="4954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223" w:type="dxa"/>
            <w:noWrap w:val="0"/>
            <w:vAlign w:val="center"/>
          </w:tcPr>
          <w:p w14:paraId="44D3C7FE">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p>
        </w:tc>
        <w:tc>
          <w:tcPr>
            <w:tcW w:w="1176" w:type="dxa"/>
            <w:noWrap w:val="0"/>
            <w:vAlign w:val="center"/>
          </w:tcPr>
          <w:p w14:paraId="1B173FFC">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品种</w:t>
            </w:r>
          </w:p>
        </w:tc>
        <w:tc>
          <w:tcPr>
            <w:tcW w:w="6387" w:type="dxa"/>
            <w:noWrap w:val="0"/>
            <w:vAlign w:val="center"/>
          </w:tcPr>
          <w:p w14:paraId="472A861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质量标准</w:t>
            </w:r>
          </w:p>
        </w:tc>
      </w:tr>
      <w:tr w14:paraId="2D4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jc w:val="center"/>
        </w:trPr>
        <w:tc>
          <w:tcPr>
            <w:tcW w:w="2223" w:type="dxa"/>
            <w:noWrap w:val="0"/>
            <w:vAlign w:val="center"/>
          </w:tcPr>
          <w:p w14:paraId="2F1AD5F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重庆市大足区城市管理局食堂食材配送服务采购-蔬菜类、禽类、牛羊肉</w:t>
            </w:r>
          </w:p>
        </w:tc>
        <w:tc>
          <w:tcPr>
            <w:tcW w:w="1176" w:type="dxa"/>
            <w:noWrap w:val="0"/>
            <w:vAlign w:val="center"/>
          </w:tcPr>
          <w:p w14:paraId="687E3CFA">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蔬菜类</w:t>
            </w:r>
          </w:p>
        </w:tc>
        <w:tc>
          <w:tcPr>
            <w:tcW w:w="6387" w:type="dxa"/>
            <w:noWrap w:val="0"/>
            <w:vAlign w:val="top"/>
          </w:tcPr>
          <w:p w14:paraId="0E2C5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叶菜类（含食用菌）：外形正常，叶梗光滑幼嫩，不干瘪凋萎，叶片枯黄程度不能超过5%，色泽正常。去除根须，不含土，无虫害，大白菜、卷心菜切开芯不变黑，无腐烂情形，无明显浸水现象；农药残留不超标。</w:t>
            </w:r>
          </w:p>
          <w:p w14:paraId="52A1A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2.根茎类（如土豆、莴笋）：无虫咬、发芽、发霉现象，无异常斑点，农药残留不超标。</w:t>
            </w:r>
          </w:p>
          <w:p w14:paraId="68D56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3.花果类（如西兰花、白花菜）：无虫害，成熟度良好，新鲜固有的色泽鲜明，无发霉发黄，农药残留不超标。</w:t>
            </w:r>
          </w:p>
          <w:p w14:paraId="6D2D7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4.瓜果类：外表光亮无斑点，有新鲜连接的秧，形状正常、大小均匀，无软塌，成熟度适度。无腐烂，无污染，清洁、新鲜，无异味、无病虫损害；表面挤压损伤程度不超过5%；农药残留不超标。</w:t>
            </w:r>
          </w:p>
          <w:p w14:paraId="07CD6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豆制品：豆腐要符合国家相关质量标准，呈均匀的白色或浅黄色，有光泽，块形完整，软硬适度，质地细嫩，有豆腐特有的香味，无酸、涩等不良气味。豆干要符合国家相关质量标准，呈均匀的黄色，有光泽，块形完整，质地细腻，边角整齐，有一定的弹性，切开处挤压不出水、无杂质，有豆腐干特有的香味，无酸、涩等不良气味，滋味纯正，咸淡适口。</w:t>
            </w:r>
          </w:p>
          <w:p w14:paraId="35CEB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新鲜蔬菜类产品污染物限量须符合GB2762-2017《食品安全国家标准食品中污染物限量》，农药残留量须符合GB2763-2019《食品安全国家标准食品中农药最大残留量》 等食品安全国家标准。实行生产许可证管理的配送产品应取得食品生产许可证并经出厂检验合格，同时要求索取质量检验合格报告，未列入生产许可目录的应符合有关食品安全标准要求。</w:t>
            </w:r>
          </w:p>
        </w:tc>
      </w:tr>
      <w:tr w14:paraId="7603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1" w:hRule="atLeast"/>
          <w:jc w:val="center"/>
        </w:trPr>
        <w:tc>
          <w:tcPr>
            <w:tcW w:w="2223" w:type="dxa"/>
            <w:noWrap w:val="0"/>
            <w:vAlign w:val="center"/>
          </w:tcPr>
          <w:p w14:paraId="35298879">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重庆市大足区城市管理局食堂食材配送服务采购-蔬菜类、禽类、牛羊肉</w:t>
            </w:r>
          </w:p>
        </w:tc>
        <w:tc>
          <w:tcPr>
            <w:tcW w:w="1176" w:type="dxa"/>
            <w:noWrap w:val="0"/>
            <w:vAlign w:val="center"/>
          </w:tcPr>
          <w:p w14:paraId="5246ACE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鸡鸭免肉</w:t>
            </w:r>
          </w:p>
        </w:tc>
        <w:tc>
          <w:tcPr>
            <w:tcW w:w="6387" w:type="dxa"/>
            <w:noWrap w:val="0"/>
            <w:vAlign w:val="center"/>
          </w:tcPr>
          <w:p w14:paraId="3F952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必须在供货前12小时内在定点宰杀店宰杀加工，新鲜、表皮洁净、无异味，肌肉有弹性，并经动物卫生检疫机构检疫合格，加盖检疫合格印章，并附有《动物产品(B)检疫合格证明》，产品质量必须符合食品卫生安全要求。</w:t>
            </w:r>
          </w:p>
        </w:tc>
      </w:tr>
      <w:tr w14:paraId="3E06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1" w:hRule="atLeast"/>
          <w:jc w:val="center"/>
        </w:trPr>
        <w:tc>
          <w:tcPr>
            <w:tcW w:w="2223" w:type="dxa"/>
            <w:noWrap w:val="0"/>
            <w:vAlign w:val="center"/>
          </w:tcPr>
          <w:p w14:paraId="16BCA680">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重庆市大足区城市管理局食堂食材配送服务采购-蔬菜类、禽类、牛羊肉</w:t>
            </w:r>
          </w:p>
        </w:tc>
        <w:tc>
          <w:tcPr>
            <w:tcW w:w="1176" w:type="dxa"/>
            <w:noWrap w:val="0"/>
            <w:vAlign w:val="center"/>
          </w:tcPr>
          <w:p w14:paraId="6F118E6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牛羊肉</w:t>
            </w:r>
          </w:p>
        </w:tc>
        <w:tc>
          <w:tcPr>
            <w:tcW w:w="6387" w:type="dxa"/>
            <w:noWrap w:val="0"/>
            <w:vAlign w:val="top"/>
          </w:tcPr>
          <w:p w14:paraId="1AE87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牛羊肉质量符合：感官色泽正常，无异味，骨骼尺寸正常。严禁使用来源不明、感官异常、腐烂、变质、未按规定进行检疫或检验检疫不合格的畜肉。牛羊肉类应提供动物检疫合格证明，供应货品必须保证新鲜、无异味、无变质、无注水、无冰冻、肉质有弹性，整体色泽光润。进货票据、产品质量合格证明文件随货同行，货证一致，必须为当天屠宰的新鲜肉类，不得提供送货当天日期之前的冻肉或解冻后重新冷藏的肉类。</w:t>
            </w:r>
          </w:p>
        </w:tc>
      </w:tr>
    </w:tbl>
    <w:p w14:paraId="22CDA655">
      <w:pPr>
        <w:pageBreakBefore w:val="0"/>
        <w:widowControl/>
        <w:kinsoku/>
        <w:overflowPunct/>
        <w:topLinePunct w:val="0"/>
        <w:autoSpaceDE/>
        <w:autoSpaceDN/>
        <w:bidi w:val="0"/>
        <w:spacing w:line="240" w:lineRule="auto"/>
        <w:ind w:firstLine="0" w:firstLineChars="0"/>
        <w:jc w:val="left"/>
        <w:textAlignment w:val="center"/>
        <w:rPr>
          <w:rFonts w:hint="eastAsia" w:ascii="宋体" w:hAnsi="宋体" w:eastAsia="宋体" w:cs="宋体"/>
          <w:color w:val="auto"/>
          <w:sz w:val="22"/>
          <w:szCs w:val="22"/>
          <w:highlight w:val="none"/>
          <w:lang w:val="en-US" w:eastAsia="zh-CN"/>
        </w:rPr>
      </w:pPr>
    </w:p>
    <w:p w14:paraId="0739C7CB">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注：1.供应商与采购人每月底进行一次市场询价，并将当日市场询价平均值作为次月相应食材的结算单价，其中询价地点为大足区农贸市场、菜园子、水果市场等地。</w:t>
      </w:r>
    </w:p>
    <w:p w14:paraId="0AE249FC">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2.如果食材市场价格浮动较大，以双方协商一致的价格作为结算单价，且不高于市场价。</w:t>
      </w:r>
    </w:p>
    <w:p w14:paraId="0C94EF11">
      <w:pPr>
        <w:pageBreakBefore w:val="0"/>
        <w:widowControl/>
        <w:numPr>
          <w:ilvl w:val="0"/>
          <w:numId w:val="0"/>
        </w:numPr>
        <w:kinsoku/>
        <w:overflowPunct/>
        <w:topLinePunct w:val="0"/>
        <w:autoSpaceDE/>
        <w:autoSpaceDN/>
        <w:bidi w:val="0"/>
        <w:spacing w:line="360" w:lineRule="auto"/>
        <w:ind w:firstLine="221" w:firstLineChars="100"/>
        <w:jc w:val="left"/>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（二）其他要求</w:t>
      </w:r>
    </w:p>
    <w:p w14:paraId="281FE716">
      <w:pPr>
        <w:pageBreakBefore w:val="0"/>
        <w:widowControl/>
        <w:numPr>
          <w:ilvl w:val="0"/>
          <w:numId w:val="0"/>
        </w:numPr>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外包装的食材，其外包装标识应标注清楚净含量、品名、执行标准号；生产者（或销售者）名称、地址、商标；生产日期、保质期和相应的质量等级。另外，外包装的图案、文字的印刷应清晰、端正、不褪色。</w:t>
      </w:r>
    </w:p>
    <w:p w14:paraId="6002E671">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所有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14:paraId="0323BC5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3.所有采购食材除达到上表中分类分项的标准外，均需达到以下要求：</w:t>
      </w:r>
    </w:p>
    <w:p w14:paraId="3FC7C037">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（1）GB2760-2011《食品安全国家标准 食品添加剂使用标准》</w:t>
      </w:r>
    </w:p>
    <w:p w14:paraId="3B4B3276">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（2）GB2762-2012《食品安全国家标准 食品中污染物限量标准》</w:t>
      </w:r>
    </w:p>
    <w:p w14:paraId="6C762B7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（3）GB2763-2012《食品安全国家标准 食品中农药最大残留限量》</w:t>
      </w:r>
    </w:p>
    <w:p w14:paraId="46A2949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（4）GB31621-2014《食品安全国家标准食品经营过程卫生规范》</w:t>
      </w:r>
    </w:p>
    <w:p w14:paraId="4EE60C6E">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（5）GB7718-2004《预包装食品标签通则》</w:t>
      </w:r>
    </w:p>
    <w:p w14:paraId="39A816F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（6）每种明细产品必须标明品名、规格、等级、生产厂家等内容。</w:t>
      </w:r>
    </w:p>
    <w:p w14:paraId="050AF558">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（7）所有产品必须符合新颁布的《食品安全法》及其他相关法规要求。</w:t>
      </w:r>
    </w:p>
    <w:p w14:paraId="6BC260CF">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4.安全责任，供货人员要求：</w:t>
      </w:r>
    </w:p>
    <w:p w14:paraId="77FD842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（1）供应商供货人员和车辆的安全责任，由供应商承担。</w:t>
      </w:r>
    </w:p>
    <w:p w14:paraId="5B52EF6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（2）供应商所供产品出现质量问题，供应商应承担全部法律、经济责任。</w:t>
      </w:r>
    </w:p>
    <w:p w14:paraId="49471AD4">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（3）供应商在供货期间，因自身原因造成事故事件等，所有后果由供应商自行承担。</w:t>
      </w:r>
    </w:p>
    <w:p w14:paraId="547EA48C">
      <w:pPr>
        <w:pageBreakBefore w:val="0"/>
        <w:widowControl/>
        <w:kinsoku/>
        <w:overflowPunct/>
        <w:topLinePunct w:val="0"/>
        <w:autoSpaceDE/>
        <w:autoSpaceDN/>
        <w:bidi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5.配送要求</w:t>
      </w:r>
    </w:p>
    <w:p w14:paraId="041AADD0">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（1）配送车辆、人员应相对固定；配送时间：供应商应在每天早上6：00前将采购人所需食材按时送到采购人指定地点（食堂）。</w:t>
      </w:r>
    </w:p>
    <w:p w14:paraId="3224378C">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（2）供应商按照前一工作日采购人拟定的食堂食材清单进行配送，供应商接受配送任务后，应按要求向采购人食堂提供符合品相及规格要求的货物。</w:t>
      </w:r>
    </w:p>
    <w:p w14:paraId="68707094">
      <w:pPr>
        <w:pageBreakBefore w:val="0"/>
        <w:widowControl/>
        <w:kinsoku/>
        <w:overflowPunct/>
        <w:topLinePunct w:val="0"/>
        <w:autoSpaceDE/>
        <w:autoSpaceDN/>
        <w:bidi w:val="0"/>
        <w:spacing w:line="360" w:lineRule="auto"/>
        <w:ind w:firstLine="440" w:firstLineChars="200"/>
        <w:jc w:val="center"/>
        <w:textAlignment w:val="center"/>
        <w:rPr>
          <w:rFonts w:hint="eastAsia" w:ascii="宋体" w:hAnsi="宋体" w:eastAsia="宋体" w:cs="宋体"/>
          <w:b w:val="0"/>
          <w:sz w:val="36"/>
          <w:szCs w:val="30"/>
        </w:rPr>
      </w:pPr>
      <w:r>
        <w:rPr>
          <w:rFonts w:hint="eastAsia" w:ascii="宋体" w:hAnsi="宋体" w:eastAsia="宋体" w:cs="宋体"/>
          <w:color w:val="auto"/>
          <w:sz w:val="22"/>
          <w:szCs w:val="22"/>
          <w:highlight w:val="none"/>
          <w:lang w:val="en-US" w:eastAsia="zh-CN"/>
        </w:rPr>
        <w:t>6.对于质量及数量有问题的食品要保证退货，并及时更换符合质量标准的食品。对采购人要求的原料规格市场确实缺货的，经采购人研究同意后，可临时调整配送规格，价格按实际情况浮动。要努力提高有关工作人员的服务水平，不得强制向采购人食堂配送不符质量标准的食品。</w:t>
      </w:r>
      <w:r>
        <w:rPr>
          <w:rFonts w:hint="eastAsia" w:ascii="宋体" w:hAnsi="宋体" w:eastAsia="宋体" w:cs="宋体"/>
          <w:b w:val="0"/>
          <w:sz w:val="36"/>
          <w:szCs w:val="30"/>
        </w:rPr>
        <w:br w:type="page"/>
      </w:r>
      <w:r>
        <w:rPr>
          <w:rFonts w:hint="eastAsia" w:ascii="宋体" w:hAnsi="宋体" w:eastAsia="宋体" w:cs="宋体"/>
          <w:b w:val="0"/>
          <w:kern w:val="2"/>
          <w:sz w:val="36"/>
          <w:szCs w:val="30"/>
          <w:lang w:val="en-US" w:eastAsia="zh-CN" w:bidi="ar-SA"/>
        </w:rPr>
        <w:t xml:space="preserve">第三篇  </w:t>
      </w:r>
      <w:bookmarkEnd w:id="31"/>
      <w:r>
        <w:rPr>
          <w:rFonts w:hint="eastAsia" w:ascii="宋体" w:hAnsi="宋体" w:eastAsia="宋体" w:cs="宋体"/>
          <w:b w:val="0"/>
          <w:kern w:val="2"/>
          <w:sz w:val="36"/>
          <w:szCs w:val="30"/>
          <w:lang w:val="en-US" w:eastAsia="zh-CN" w:bidi="ar-SA"/>
        </w:rPr>
        <w:t>项目商务需求</w:t>
      </w:r>
    </w:p>
    <w:p w14:paraId="222428CD">
      <w:pPr>
        <w:pStyle w:val="5"/>
        <w:spacing w:before="120" w:beforeLines="50" w:after="120" w:afterLines="50" w:line="240" w:lineRule="auto"/>
        <w:rPr>
          <w:rFonts w:hint="eastAsia" w:ascii="宋体" w:hAnsi="宋体" w:eastAsia="宋体" w:cs="宋体"/>
          <w:sz w:val="24"/>
          <w:szCs w:val="24"/>
          <w:highlight w:val="none"/>
          <w:lang w:val="en-US" w:eastAsia="zh-CN"/>
        </w:rPr>
      </w:pPr>
      <w:bookmarkStart w:id="35" w:name="_Toc76462328"/>
      <w:bookmarkStart w:id="36" w:name="_Toc106030883"/>
      <w:bookmarkStart w:id="37" w:name="_Toc13460"/>
      <w:bookmarkStart w:id="38" w:name="_Toc24107"/>
      <w:bookmarkStart w:id="39" w:name="_Toc31501"/>
      <w:bookmarkStart w:id="40" w:name="_Toc344475120"/>
      <w:r>
        <w:rPr>
          <w:rFonts w:hint="eastAsia" w:ascii="宋体" w:hAnsi="宋体" w:eastAsia="宋体" w:cs="宋体"/>
          <w:sz w:val="24"/>
          <w:szCs w:val="24"/>
          <w:lang w:val="en-US" w:eastAsia="zh-CN"/>
        </w:rPr>
        <w:t>一</w:t>
      </w:r>
      <w:r>
        <w:rPr>
          <w:rFonts w:hint="eastAsia" w:ascii="宋体" w:hAnsi="宋体" w:eastAsia="宋体" w:cs="宋体"/>
          <w:sz w:val="24"/>
          <w:szCs w:val="24"/>
          <w:highlight w:val="none"/>
          <w:lang w:val="en-US" w:eastAsia="zh-CN"/>
        </w:rPr>
        <w:t>、服务期、地点及验收方式</w:t>
      </w:r>
      <w:bookmarkEnd w:id="35"/>
      <w:bookmarkEnd w:id="36"/>
      <w:bookmarkEnd w:id="37"/>
      <w:bookmarkEnd w:id="38"/>
      <w:bookmarkEnd w:id="39"/>
      <w:bookmarkEnd w:id="40"/>
    </w:p>
    <w:p w14:paraId="7B2219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（一）服务期：自合同签订之日起1年（具体以合同签订为准）</w:t>
      </w:r>
      <w:r>
        <w:rPr>
          <w:rFonts w:hint="eastAsia" w:ascii="宋体" w:hAnsi="宋体" w:cs="宋体"/>
          <w:color w:val="auto"/>
          <w:sz w:val="24"/>
          <w:szCs w:val="24"/>
          <w:highlight w:val="none"/>
          <w:lang w:val="en-US" w:eastAsia="zh-CN"/>
        </w:rPr>
        <w:t>。</w:t>
      </w:r>
    </w:p>
    <w:p w14:paraId="15FCCAC3">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（二）服务地点：采购人指定地点</w:t>
      </w:r>
    </w:p>
    <w:p w14:paraId="4E4B1B1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w:t>
      </w:r>
    </w:p>
    <w:p w14:paraId="502463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货物到达现场后，供应商应在甲方收货员、厨师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14:paraId="7FE402B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货物未达到采购文件规定要求的，采购人向供应商出具服务不合格书面通知，对采购人造成损失的，由供应商承担一切责任，并赔偿所造成损失。如供应商在服务期内出现货品累计5次以上不合格情况的，采购人可解除合同。</w:t>
      </w:r>
    </w:p>
    <w:p w14:paraId="6902FA0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组织定期或不定期货品抽检和送检。对检验不合格产品无条件退、换货外，需按双方约定予以处理。如乙方存在有短斤少两、以次充好或乙方延误甲方供货时间导致甲方不能按时就餐情况等情况，发现一次支付违约金2000元，发生两次及以上的或者有严重质量问题（霉烂、变质的等），甲方有权直接解除合同，乙方缴纳的履约保证金不予退还。</w:t>
      </w:r>
    </w:p>
    <w:p w14:paraId="7D88EC7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4.因验收货物时不能直接判断质量的，在使用过程中发现不合格商品，供应商应作退货处理。</w:t>
      </w:r>
    </w:p>
    <w:p w14:paraId="686EFB0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5.凡按重量计量物资，均以物品净重方式计量结算。</w:t>
      </w:r>
    </w:p>
    <w:p w14:paraId="1F4102B4">
      <w:pPr>
        <w:pStyle w:val="5"/>
        <w:spacing w:before="120" w:beforeLines="50" w:after="120" w:afterLines="50" w:line="240" w:lineRule="auto"/>
        <w:rPr>
          <w:rFonts w:hint="eastAsia" w:ascii="宋体" w:hAnsi="宋体" w:eastAsia="宋体" w:cs="宋体"/>
          <w:sz w:val="24"/>
          <w:szCs w:val="24"/>
          <w:lang w:val="en-US" w:eastAsia="zh-CN"/>
        </w:rPr>
      </w:pPr>
      <w:bookmarkStart w:id="41" w:name="_Toc344475121"/>
      <w:bookmarkStart w:id="42" w:name="_Toc21889"/>
      <w:bookmarkStart w:id="43" w:name="_Toc76462329"/>
      <w:bookmarkStart w:id="44" w:name="_Toc11917"/>
      <w:bookmarkStart w:id="45" w:name="_Toc106030884"/>
      <w:bookmarkStart w:id="46" w:name="_Toc10645"/>
      <w:r>
        <w:rPr>
          <w:rFonts w:hint="eastAsia" w:ascii="宋体" w:hAnsi="宋体" w:eastAsia="宋体" w:cs="宋体"/>
          <w:sz w:val="24"/>
          <w:szCs w:val="24"/>
          <w:lang w:val="en-US" w:eastAsia="zh-CN"/>
        </w:rPr>
        <w:t>二、</w:t>
      </w:r>
      <w:bookmarkEnd w:id="41"/>
      <w:r>
        <w:rPr>
          <w:rFonts w:hint="eastAsia" w:ascii="宋体" w:hAnsi="宋体" w:eastAsia="宋体" w:cs="宋体"/>
          <w:sz w:val="24"/>
          <w:szCs w:val="24"/>
          <w:lang w:val="en-US" w:eastAsia="zh-CN"/>
        </w:rPr>
        <w:t>报价要求</w:t>
      </w:r>
      <w:bookmarkEnd w:id="42"/>
      <w:bookmarkEnd w:id="43"/>
      <w:bookmarkEnd w:id="44"/>
      <w:bookmarkEnd w:id="45"/>
      <w:bookmarkEnd w:id="46"/>
    </w:p>
    <w:p w14:paraId="69D778A9">
      <w:pPr>
        <w:spacing w:line="360" w:lineRule="auto"/>
        <w:ind w:firstLine="480" w:firstLineChars="200"/>
        <w:rPr>
          <w:rFonts w:hint="eastAsia" w:ascii="宋体" w:hAnsi="宋体" w:eastAsia="宋体" w:cs="宋体"/>
          <w:color w:val="auto"/>
          <w:sz w:val="24"/>
          <w:szCs w:val="24"/>
          <w:lang w:val="en-US" w:eastAsia="zh-CN"/>
        </w:rPr>
      </w:pPr>
      <w:bookmarkStart w:id="47" w:name="_Toc106030885"/>
      <w:bookmarkStart w:id="48" w:name="_Toc76462330"/>
      <w:bookmarkStart w:id="49" w:name="_Toc344475122"/>
      <w:r>
        <w:rPr>
          <w:rFonts w:hint="eastAsia" w:ascii="宋体" w:hAnsi="宋体" w:eastAsia="宋体" w:cs="宋体"/>
          <w:color w:val="auto"/>
          <w:sz w:val="24"/>
          <w:szCs w:val="24"/>
          <w:lang w:val="en-US" w:eastAsia="zh-CN"/>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099B0B8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（二）本项目采购预算金额为预估金额，仅作为供应商的报价参考，不作为最终结算依据。实际结算金额以实际配送数量和结算单价进行据实结算。</w:t>
      </w:r>
    </w:p>
    <w:p w14:paraId="0752E1AF">
      <w:pPr>
        <w:pStyle w:val="5"/>
        <w:spacing w:before="120" w:beforeLines="50" w:after="120" w:afterLines="50" w:line="240" w:lineRule="auto"/>
        <w:rPr>
          <w:rFonts w:hint="eastAsia" w:ascii="宋体" w:hAnsi="宋体" w:eastAsia="宋体" w:cs="宋体"/>
          <w:sz w:val="24"/>
          <w:szCs w:val="24"/>
          <w:lang w:val="en-US" w:eastAsia="zh-CN"/>
        </w:rPr>
      </w:pPr>
      <w:bookmarkStart w:id="50" w:name="_Toc24485"/>
      <w:bookmarkStart w:id="51" w:name="_Toc1745"/>
      <w:bookmarkStart w:id="52" w:name="_Toc29987"/>
      <w:r>
        <w:rPr>
          <w:rFonts w:hint="eastAsia" w:ascii="宋体" w:hAnsi="宋体" w:eastAsia="宋体" w:cs="宋体"/>
          <w:sz w:val="24"/>
          <w:szCs w:val="24"/>
          <w:lang w:val="en-US" w:eastAsia="zh-CN"/>
        </w:rPr>
        <w:t>三、</w:t>
      </w:r>
      <w:bookmarkEnd w:id="47"/>
      <w:bookmarkEnd w:id="48"/>
      <w:bookmarkEnd w:id="49"/>
      <w:bookmarkEnd w:id="50"/>
      <w:bookmarkEnd w:id="51"/>
      <w:r>
        <w:rPr>
          <w:rFonts w:hint="eastAsia" w:ascii="宋体" w:hAnsi="宋体" w:eastAsia="宋体" w:cs="宋体"/>
          <w:sz w:val="24"/>
          <w:szCs w:val="24"/>
          <w:lang w:val="en-US" w:eastAsia="zh-CN"/>
        </w:rPr>
        <w:t>结算</w:t>
      </w:r>
      <w:r>
        <w:rPr>
          <w:rFonts w:hint="eastAsia" w:ascii="宋体" w:hAnsi="宋体" w:cs="宋体"/>
          <w:sz w:val="24"/>
          <w:szCs w:val="24"/>
          <w:lang w:val="en-US" w:eastAsia="zh-CN"/>
        </w:rPr>
        <w:t>单</w:t>
      </w:r>
      <w:r>
        <w:rPr>
          <w:rFonts w:hint="eastAsia" w:ascii="宋体" w:hAnsi="宋体" w:eastAsia="宋体" w:cs="宋体"/>
          <w:sz w:val="24"/>
          <w:szCs w:val="24"/>
          <w:lang w:val="en-US" w:eastAsia="zh-CN"/>
        </w:rPr>
        <w:t>价确定标准和流程</w:t>
      </w:r>
      <w:bookmarkEnd w:id="52"/>
    </w:p>
    <w:p w14:paraId="6A11D43C">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 w:name="_Toc76462331"/>
      <w:bookmarkStart w:id="54" w:name="_Toc106030886"/>
      <w:bookmarkStart w:id="55" w:name="_Toc344475124"/>
      <w:r>
        <w:rPr>
          <w:rFonts w:hint="eastAsia" w:ascii="宋体" w:hAnsi="宋体" w:eastAsia="宋体" w:cs="宋体"/>
          <w:color w:val="000000" w:themeColor="text1"/>
          <w:sz w:val="24"/>
          <w:szCs w:val="24"/>
          <w:highlight w:val="none"/>
          <w:lang w:val="en-US" w:eastAsia="zh-CN"/>
          <w14:textFill>
            <w14:solidFill>
              <w14:schemeClr w14:val="tx1"/>
            </w14:solidFill>
          </w14:textFill>
        </w:rPr>
        <w:t>（一）询定价</w:t>
      </w:r>
    </w:p>
    <w:p w14:paraId="013BC362">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人对所采购货物品种进行市场考察询价，询价每月1次。每次考察询价地点在采购人所在就近地区内进行，以不同卖场时价的平均价（核价应遵循同品同质的原则，特价商品除外）为结算单价，并由双方人员签字确认。</w:t>
      </w:r>
    </w:p>
    <w:p w14:paraId="36C7A42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（2）采购人附近的超市及农贸市场无法查询基础价而无法定价的个别品种或采购人有特殊要求的货品，可参照其他市场售价及上期供货价，双方协商确定定价。</w:t>
      </w:r>
    </w:p>
    <w:p w14:paraId="1459F297">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（二）结算</w:t>
      </w:r>
    </w:p>
    <w:p w14:paraId="5222814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当月最终结算金额=Σ（各品类结算单价×各品类实际配送数量）-考核扣除金额（如有）。</w:t>
      </w:r>
    </w:p>
    <w:p w14:paraId="4A607F90">
      <w:pPr>
        <w:pStyle w:val="5"/>
        <w:spacing w:before="120" w:beforeLines="50" w:after="120" w:afterLines="50" w:line="240" w:lineRule="auto"/>
        <w:rPr>
          <w:rFonts w:hint="default" w:ascii="宋体" w:hAnsi="宋体" w:eastAsia="宋体" w:cs="宋体"/>
          <w:sz w:val="24"/>
          <w:szCs w:val="24"/>
          <w:highlight w:val="none"/>
          <w:lang w:val="en-US" w:eastAsia="zh-CN"/>
        </w:rPr>
      </w:pPr>
      <w:bookmarkStart w:id="56" w:name="_Toc10764"/>
      <w:bookmarkStart w:id="57" w:name="_Toc23341"/>
      <w:bookmarkStart w:id="58" w:name="_Toc12448"/>
      <w:r>
        <w:rPr>
          <w:rFonts w:hint="eastAsia" w:ascii="宋体" w:hAnsi="宋体" w:eastAsia="宋体" w:cs="宋体"/>
          <w:sz w:val="24"/>
          <w:szCs w:val="24"/>
          <w:highlight w:val="none"/>
          <w:lang w:val="en-US" w:eastAsia="zh-CN"/>
        </w:rPr>
        <w:t>四、</w:t>
      </w:r>
      <w:bookmarkEnd w:id="53"/>
      <w:bookmarkEnd w:id="54"/>
      <w:bookmarkEnd w:id="55"/>
      <w:bookmarkEnd w:id="56"/>
      <w:bookmarkEnd w:id="57"/>
      <w:bookmarkStart w:id="59" w:name="_Toc344475125"/>
      <w:r>
        <w:rPr>
          <w:rFonts w:hint="eastAsia" w:ascii="宋体" w:hAnsi="宋体" w:eastAsia="宋体" w:cs="宋体"/>
          <w:sz w:val="24"/>
          <w:szCs w:val="24"/>
          <w:highlight w:val="none"/>
          <w:lang w:val="en-US" w:eastAsia="zh-CN"/>
        </w:rPr>
        <w:t>付款方式</w:t>
      </w:r>
      <w:bookmarkEnd w:id="58"/>
    </w:p>
    <w:bookmarkEnd w:id="59"/>
    <w:p w14:paraId="157A9A8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1.成交供应商每月向采购人提供经采购人签证的采购清单，由采购人确认种类、数量、价格进行核</w:t>
      </w:r>
      <w:r>
        <w:rPr>
          <w:rFonts w:hint="eastAsia" w:ascii="宋体" w:hAnsi="宋体" w:cs="宋体"/>
          <w:color w:val="auto"/>
          <w:sz w:val="24"/>
          <w:szCs w:val="24"/>
          <w:highlight w:val="none"/>
          <w:lang w:val="en-US" w:eastAsia="zh-CN"/>
        </w:rPr>
        <w:t>算</w:t>
      </w:r>
      <w:r>
        <w:rPr>
          <w:rFonts w:hint="eastAsia" w:ascii="宋体" w:hAnsi="宋体" w:eastAsia="宋体" w:cs="宋体"/>
          <w:color w:val="auto"/>
          <w:sz w:val="24"/>
          <w:szCs w:val="24"/>
          <w:highlight w:val="none"/>
          <w:lang w:val="en-US" w:eastAsia="zh-CN"/>
        </w:rPr>
        <w:t>。</w:t>
      </w:r>
    </w:p>
    <w:p w14:paraId="4D61913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2.成交供应商根据采购人确认的价格开具合法发票。</w:t>
      </w:r>
    </w:p>
    <w:p w14:paraId="7746CF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w:t>
      </w:r>
      <w:r>
        <w:rPr>
          <w:rFonts w:hint="eastAsia" w:ascii="宋体" w:hAnsi="宋体" w:cs="宋体"/>
          <w:color w:val="auto"/>
          <w:sz w:val="24"/>
          <w:szCs w:val="24"/>
          <w:highlight w:val="none"/>
          <w:lang w:val="en-US" w:eastAsia="zh-CN"/>
        </w:rPr>
        <w:t>按时把</w:t>
      </w:r>
      <w:r>
        <w:rPr>
          <w:rFonts w:hint="eastAsia" w:ascii="宋体" w:hAnsi="宋体" w:eastAsia="宋体" w:cs="宋体"/>
          <w:color w:val="auto"/>
          <w:sz w:val="24"/>
          <w:szCs w:val="24"/>
          <w:highlight w:val="none"/>
          <w:lang w:val="en-US" w:eastAsia="zh-CN"/>
        </w:rPr>
        <w:t>实际结算金额</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lang w:val="en-US" w:eastAsia="zh-CN"/>
        </w:rPr>
        <w:t>到成交供应商银行基本帐户。</w:t>
      </w:r>
    </w:p>
    <w:p w14:paraId="5E5D938A">
      <w:pPr>
        <w:pStyle w:val="5"/>
        <w:spacing w:before="120" w:beforeLines="50" w:after="120" w:afterLines="50" w:line="240" w:lineRule="auto"/>
        <w:rPr>
          <w:rFonts w:hint="eastAsia" w:ascii="宋体" w:hAnsi="宋体" w:eastAsia="宋体" w:cs="宋体"/>
          <w:sz w:val="24"/>
          <w:szCs w:val="24"/>
          <w:lang w:val="en-US" w:eastAsia="zh-CN"/>
        </w:rPr>
      </w:pPr>
      <w:bookmarkStart w:id="60" w:name="_Toc27930"/>
      <w:r>
        <w:rPr>
          <w:rFonts w:hint="eastAsia" w:ascii="宋体" w:hAnsi="宋体" w:eastAsia="宋体" w:cs="宋体"/>
          <w:sz w:val="24"/>
          <w:szCs w:val="24"/>
          <w:lang w:val="en-US" w:eastAsia="zh-CN"/>
        </w:rPr>
        <w:t>五、知识产权</w:t>
      </w:r>
      <w:bookmarkEnd w:id="60"/>
    </w:p>
    <w:p w14:paraId="47C88445">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采购人在中华人民共和国境内使用成交供应商提供的服务时免受第三方提出的侵犯其专利权或其它知识产权的起诉。如果第三方提出侵权指控，成交供应商应承担由此而引起</w:t>
      </w:r>
      <w:r>
        <w:rPr>
          <w:rFonts w:hint="eastAsia" w:ascii="宋体" w:hAnsi="宋体" w:eastAsia="宋体" w:cs="宋体"/>
          <w:b w:val="0"/>
          <w:bCs w:val="0"/>
          <w:color w:val="auto"/>
          <w:sz w:val="24"/>
          <w:szCs w:val="24"/>
          <w:lang w:val="en-US" w:eastAsia="zh-CN"/>
        </w:rPr>
        <w:t>的一切法律责任和费用。</w:t>
      </w:r>
    </w:p>
    <w:p w14:paraId="0519AB2B">
      <w:pPr>
        <w:pStyle w:val="5"/>
        <w:spacing w:before="120" w:beforeLines="50" w:after="120" w:afterLines="50" w:line="240" w:lineRule="auto"/>
        <w:rPr>
          <w:rFonts w:hint="eastAsia" w:ascii="宋体" w:hAnsi="宋体" w:eastAsia="宋体" w:cs="宋体"/>
          <w:sz w:val="24"/>
          <w:szCs w:val="24"/>
          <w:lang w:val="en-US" w:eastAsia="zh-CN"/>
        </w:rPr>
      </w:pPr>
      <w:bookmarkStart w:id="61" w:name="_Toc21703"/>
      <w:r>
        <w:rPr>
          <w:rFonts w:hint="eastAsia" w:ascii="宋体" w:hAnsi="宋体" w:eastAsia="宋体" w:cs="宋体"/>
          <w:sz w:val="24"/>
          <w:szCs w:val="24"/>
          <w:lang w:val="en-US" w:eastAsia="zh-CN"/>
        </w:rPr>
        <w:t>六、其他</w:t>
      </w:r>
      <w:bookmarkEnd w:id="61"/>
    </w:p>
    <w:p w14:paraId="3A7D039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（一）未经采购人同意，成交供应商不得将成交的项目分包、转让给其他单位。否则，采购人可随时取消其成交资格。由此给采购人造成的经济损失均由成交供应商自行全部承担。</w:t>
      </w:r>
    </w:p>
    <w:p w14:paraId="1ECEF43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）其他未尽事宜由供需双方在采购合同中详细约定。</w:t>
      </w:r>
    </w:p>
    <w:p w14:paraId="542907F0">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eastAsia="宋体" w:cs="宋体"/>
          <w:b/>
          <w:bCs/>
          <w:color w:val="auto"/>
          <w:sz w:val="24"/>
          <w:szCs w:val="24"/>
          <w:lang w:val="en-US" w:eastAsia="zh-CN"/>
        </w:rPr>
        <w:t>采购合同签订前，成交供应商需向采购人缴纳履约保证金8000元。履约保证金缴纳账户由采购人提供，服务期满后无息退还（未有违约情况）</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银行账户全称：重庆市大足区财政局，银行账号：2233010120010010998-133001，开户行全称：重庆农村商业银行大足支行。</w:t>
      </w:r>
    </w:p>
    <w:p w14:paraId="106BB28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）考核要求</w:t>
      </w:r>
    </w:p>
    <w:p w14:paraId="72C4B5C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（1）每月按照考核结果支付采购费用，具体计算公式为:每月实际支付金额=每月实际采购额-考核扣除金额。</w:t>
      </w:r>
    </w:p>
    <w:p w14:paraId="6A96F70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（2）成交供应商对扣款项目应立即着手整改，整改完毕由采购人验收合格后不予扣款；验收不合格的，当月按照该扣款金额进行扣减采购费用；3次整改不合格，采购人处以双倍罚款，并有权解除合同。</w:t>
      </w:r>
    </w:p>
    <w:p w14:paraId="43B880F9">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（3）成交供应商工作不负责或达不到合同约定内容和要求，月扣款金额合计超过 5000元，当月采购费用暂不支付，次月扣款合计未超过 5000元，与次月采购费用一并支付;两月扣款金额均超过5000元，两月采购费用暂不支付，第三月扣款金额未超过5000元的，与第三月采购费用一并支付;连续三个月扣款金额均超过 5000 元，采购人有权单方面解除合同，不支付相应月份的采购费用，并要求中标供应商承担相应损失。</w:t>
      </w:r>
    </w:p>
    <w:p w14:paraId="07F7215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1、食堂当日急需食材供货，在双方约定的送货时间未送达的，以迟到1000元/30分钟为一个单位计算，不足30分钟按30分钟计算，以此累计。</w:t>
      </w:r>
    </w:p>
    <w:p w14:paraId="17AF82A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2、供货商配送的食材出现质量问题，发现1 起，扣 1000 元。</w:t>
      </w:r>
    </w:p>
    <w:p w14:paraId="64356834">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3、外包装不完整、生产日期、保质期、生产厂家和 QS 标识不齐全清晰的，发现1起扣1000元。</w:t>
      </w:r>
    </w:p>
    <w:p w14:paraId="6CE3E01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4、采购人对供货商食材不定期进行送检，产品不合格的，发现1起扣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000元。</w:t>
      </w:r>
    </w:p>
    <w:p w14:paraId="68B392D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5、发生经第三方具备国家资质机构确认的因食材质量导致的人员中毒事件，除必须承担其相应的医疗费用外，同时解除双方合约关系，同时按相关法律法规承担相应的责任。</w:t>
      </w:r>
    </w:p>
    <w:p w14:paraId="7F64A3F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（4）考评细则</w:t>
      </w:r>
    </w:p>
    <w:p w14:paraId="327D2237">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1.以月为单位进行考核，考核基准分为100分，95分（含95分）以上为“合格”等级（小数点后数字四舍五入,下同）；</w:t>
      </w:r>
    </w:p>
    <w:p w14:paraId="7EB0FC4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2.达到90分（含90分）以上且低于95分（不含95分）的为“基本合格”等级；</w:t>
      </w:r>
    </w:p>
    <w:p w14:paraId="0E9C180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3.达到85分（含85分）以上且低于90分（不含90分）的为“较差”等级，以90分为基准分值，每差1分从当月结算款中直接扣除1000元；</w:t>
      </w:r>
    </w:p>
    <w:p w14:paraId="175A62A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4.低于85分（不含85分）为“差”等级，以90分为基准分值，每差1分从当月结算款项中直接扣除1000元；</w:t>
      </w:r>
    </w:p>
    <w:p w14:paraId="0D69D06A">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5.一年内累计三次单月考核得分低于85分（不含85分），采购人有权终止合同，并扣除履约保证金。</w:t>
      </w:r>
    </w:p>
    <w:p w14:paraId="426C6E35">
      <w:pPr>
        <w:snapToGrid w:val="0"/>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具体考核细则如下：</w:t>
      </w:r>
    </w:p>
    <w:tbl>
      <w:tblPr>
        <w:tblStyle w:val="6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68"/>
        <w:gridCol w:w="6722"/>
      </w:tblGrid>
      <w:tr w14:paraId="70B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37" w:type="pct"/>
            <w:tcBorders>
              <w:tl2br w:val="nil"/>
              <w:tr2bl w:val="nil"/>
            </w:tcBorders>
            <w:noWrap w:val="0"/>
            <w:vAlign w:val="center"/>
          </w:tcPr>
          <w:p w14:paraId="0836DB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867" w:type="pct"/>
            <w:tcBorders>
              <w:tl2br w:val="nil"/>
              <w:tr2bl w:val="nil"/>
            </w:tcBorders>
            <w:noWrap w:val="0"/>
            <w:vAlign w:val="center"/>
          </w:tcPr>
          <w:p w14:paraId="23C481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考核指标</w:t>
            </w:r>
          </w:p>
        </w:tc>
        <w:tc>
          <w:tcPr>
            <w:tcW w:w="3494" w:type="pct"/>
            <w:tcBorders>
              <w:tl2br w:val="nil"/>
              <w:tr2bl w:val="nil"/>
            </w:tcBorders>
            <w:noWrap w:val="0"/>
            <w:vAlign w:val="center"/>
          </w:tcPr>
          <w:p w14:paraId="6BBC7F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考核说明</w:t>
            </w:r>
          </w:p>
        </w:tc>
      </w:tr>
      <w:tr w14:paraId="24C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37" w:type="pct"/>
            <w:vMerge w:val="restart"/>
            <w:tcBorders>
              <w:tl2br w:val="nil"/>
              <w:tr2bl w:val="nil"/>
            </w:tcBorders>
            <w:noWrap w:val="0"/>
            <w:vAlign w:val="center"/>
          </w:tcPr>
          <w:p w14:paraId="5F52FA9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货物质量</w:t>
            </w:r>
          </w:p>
        </w:tc>
        <w:tc>
          <w:tcPr>
            <w:tcW w:w="867" w:type="pct"/>
            <w:tcBorders>
              <w:tl2br w:val="nil"/>
              <w:tr2bl w:val="nil"/>
            </w:tcBorders>
            <w:noWrap w:val="0"/>
            <w:vAlign w:val="center"/>
          </w:tcPr>
          <w:p w14:paraId="78F4D0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配送货物质量合格</w:t>
            </w:r>
          </w:p>
        </w:tc>
        <w:tc>
          <w:tcPr>
            <w:tcW w:w="3494" w:type="pct"/>
            <w:tcBorders>
              <w:tl2br w:val="nil"/>
              <w:tr2bl w:val="nil"/>
            </w:tcBorders>
            <w:noWrap w:val="0"/>
            <w:vAlign w:val="center"/>
          </w:tcPr>
          <w:p w14:paraId="6133CB7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出现货物腐烂变质，霉变等质量问题的，每个单品一次扣5分并做退货处理；出现其他质量问题的，每个单品一次扣1分，出现以次充好、夹带的，每个单品一次扣2分。</w:t>
            </w:r>
          </w:p>
        </w:tc>
      </w:tr>
      <w:tr w14:paraId="74A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7" w:type="pct"/>
            <w:vMerge w:val="continue"/>
            <w:tcBorders>
              <w:tl2br w:val="nil"/>
              <w:tr2bl w:val="nil"/>
            </w:tcBorders>
            <w:noWrap w:val="0"/>
            <w:vAlign w:val="center"/>
          </w:tcPr>
          <w:p w14:paraId="73C891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44E598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配送品种、品牌、规格、品质、含水（冰）量等符合约定标准的货物</w:t>
            </w:r>
          </w:p>
        </w:tc>
        <w:tc>
          <w:tcPr>
            <w:tcW w:w="3494" w:type="pct"/>
            <w:tcBorders>
              <w:tl2br w:val="nil"/>
              <w:tr2bl w:val="nil"/>
            </w:tcBorders>
            <w:noWrap w:val="0"/>
            <w:vAlign w:val="center"/>
          </w:tcPr>
          <w:p w14:paraId="238ED6B0">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经同意不得随意更换货物的品牌、品种、规格、型号等，随意更换的，每个单品一次扣2分并做退货处理；冻品按照约定要求无冰或少冰，如超过约定含冰量的，每个单品一次扣2分并做退货处理；成交供应商以无货品、无利润为由，拒绝配送货物的，每个单品一次扣3分。</w:t>
            </w:r>
          </w:p>
        </w:tc>
      </w:tr>
      <w:tr w14:paraId="739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37" w:type="pct"/>
            <w:vMerge w:val="continue"/>
            <w:tcBorders>
              <w:tl2br w:val="nil"/>
              <w:tr2bl w:val="nil"/>
            </w:tcBorders>
            <w:noWrap w:val="0"/>
            <w:vAlign w:val="center"/>
          </w:tcPr>
          <w:p w14:paraId="6BB8485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3B6824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配送数量浮动标准</w:t>
            </w:r>
          </w:p>
        </w:tc>
        <w:tc>
          <w:tcPr>
            <w:tcW w:w="3494" w:type="pct"/>
            <w:tcBorders>
              <w:tl2br w:val="nil"/>
              <w:tr2bl w:val="nil"/>
            </w:tcBorders>
            <w:noWrap w:val="0"/>
            <w:vAlign w:val="center"/>
          </w:tcPr>
          <w:p w14:paraId="65CB60D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一般货物实际供应量在计划数量基础上，上下浮动不得超过±5%，如超过相应比例视作违规配送，每个单品一次扣1分（特殊情况经采购人同意的除外）。</w:t>
            </w:r>
          </w:p>
        </w:tc>
      </w:tr>
      <w:tr w14:paraId="0CB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37" w:type="pct"/>
            <w:vMerge w:val="restart"/>
            <w:tcBorders>
              <w:tl2br w:val="nil"/>
              <w:tr2bl w:val="nil"/>
            </w:tcBorders>
            <w:noWrap w:val="0"/>
            <w:vAlign w:val="center"/>
          </w:tcPr>
          <w:p w14:paraId="5158EB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tc>
        <w:tc>
          <w:tcPr>
            <w:tcW w:w="867" w:type="pct"/>
            <w:tcBorders>
              <w:tl2br w:val="nil"/>
              <w:tr2bl w:val="nil"/>
            </w:tcBorders>
            <w:noWrap w:val="0"/>
            <w:vAlign w:val="center"/>
          </w:tcPr>
          <w:p w14:paraId="4B88B03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配送时间</w:t>
            </w:r>
          </w:p>
        </w:tc>
        <w:tc>
          <w:tcPr>
            <w:tcW w:w="3494" w:type="pct"/>
            <w:tcBorders>
              <w:tl2br w:val="nil"/>
              <w:tr2bl w:val="nil"/>
            </w:tcBorders>
            <w:noWrap w:val="0"/>
            <w:vAlign w:val="center"/>
          </w:tcPr>
          <w:p w14:paraId="69CFF14D">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所需物资须于当日早上6：00时前送达，应急采购任务（突发事件保障）必须按照约定时间送达，迟到30分钟内，每次扣1分；迟到30分钟以上每次扣2分；影响开餐的（含因时间关系更换菜品、改变制作方式、延误开餐等情况）一次扣3分。</w:t>
            </w:r>
          </w:p>
        </w:tc>
      </w:tr>
      <w:tr w14:paraId="4E0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37" w:type="pct"/>
            <w:vMerge w:val="continue"/>
            <w:tcBorders>
              <w:tl2br w:val="nil"/>
              <w:tr2bl w:val="nil"/>
            </w:tcBorders>
            <w:noWrap w:val="0"/>
            <w:vAlign w:val="center"/>
          </w:tcPr>
          <w:p w14:paraId="1553908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25BF16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漏送货情况，退换、补货情况</w:t>
            </w:r>
          </w:p>
        </w:tc>
        <w:tc>
          <w:tcPr>
            <w:tcW w:w="3494" w:type="pct"/>
            <w:tcBorders>
              <w:tl2br w:val="nil"/>
              <w:tr2bl w:val="nil"/>
            </w:tcBorders>
            <w:noWrap w:val="0"/>
            <w:vAlign w:val="center"/>
          </w:tcPr>
          <w:p w14:paraId="0AB04352">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62F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37" w:type="pct"/>
            <w:tcBorders>
              <w:tl2br w:val="nil"/>
              <w:tr2bl w:val="nil"/>
            </w:tcBorders>
            <w:noWrap w:val="0"/>
            <w:vAlign w:val="center"/>
          </w:tcPr>
          <w:p w14:paraId="53DDA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人员管理</w:t>
            </w:r>
          </w:p>
        </w:tc>
        <w:tc>
          <w:tcPr>
            <w:tcW w:w="867" w:type="pct"/>
            <w:tcBorders>
              <w:tl2br w:val="nil"/>
              <w:tr2bl w:val="nil"/>
            </w:tcBorders>
            <w:noWrap w:val="0"/>
            <w:vAlign w:val="center"/>
          </w:tcPr>
          <w:p w14:paraId="04566B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员工健康、个人卫生管理。</w:t>
            </w:r>
          </w:p>
        </w:tc>
        <w:tc>
          <w:tcPr>
            <w:tcW w:w="3494" w:type="pct"/>
            <w:tcBorders>
              <w:tl2br w:val="nil"/>
              <w:tr2bl w:val="nil"/>
            </w:tcBorders>
            <w:noWrap w:val="0"/>
            <w:vAlign w:val="center"/>
          </w:tcPr>
          <w:p w14:paraId="76F41B55">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员工需衣着整洁，个人清洁卫生干净，不符合要求一次扣1分；抽检配送员工的《健康证》，如没有的一人次扣2分，并劝离工作岗位。</w:t>
            </w:r>
          </w:p>
        </w:tc>
      </w:tr>
      <w:tr w14:paraId="17C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7" w:type="pct"/>
            <w:vMerge w:val="restart"/>
            <w:tcBorders>
              <w:tl2br w:val="nil"/>
              <w:tr2bl w:val="nil"/>
            </w:tcBorders>
            <w:noWrap w:val="0"/>
            <w:vAlign w:val="center"/>
          </w:tcPr>
          <w:p w14:paraId="17FB51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867" w:type="pct"/>
            <w:tcBorders>
              <w:tl2br w:val="nil"/>
              <w:tr2bl w:val="nil"/>
            </w:tcBorders>
            <w:noWrap w:val="0"/>
            <w:vAlign w:val="center"/>
          </w:tcPr>
          <w:p w14:paraId="7A6A64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4BBE147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未按合同约定完成应急保障任务，每次扣10分。</w:t>
            </w:r>
          </w:p>
        </w:tc>
      </w:tr>
      <w:tr w14:paraId="4B6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37" w:type="pct"/>
            <w:vMerge w:val="continue"/>
            <w:tcBorders>
              <w:tl2br w:val="nil"/>
              <w:tr2bl w:val="nil"/>
            </w:tcBorders>
            <w:noWrap w:val="0"/>
            <w:vAlign w:val="center"/>
          </w:tcPr>
          <w:p w14:paraId="7181E4C9">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0D147E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配送物资</w:t>
            </w:r>
          </w:p>
        </w:tc>
        <w:tc>
          <w:tcPr>
            <w:tcW w:w="3494" w:type="pct"/>
            <w:tcBorders>
              <w:tl2br w:val="nil"/>
              <w:tr2bl w:val="nil"/>
            </w:tcBorders>
            <w:noWrap w:val="0"/>
            <w:vAlign w:val="center"/>
          </w:tcPr>
          <w:p w14:paraId="41BDEC5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性物资，急需物资按采购人要求在约定时间内采购到位，每个单品逾期一天扣2分，最多扣10分；特殊保障物资必须在规定时间内采购到位，如延误，每个单品一次扣2分。采购人提供配送物资样品的或指定采购地点的，配送商须按要求采购，未按要求采购的，一次扣2分。大型商超以外的货物，所报价格不得虚高（偏离市场价20%以上），虚假报价一经查实，每查实一个单品扣1分。</w:t>
            </w:r>
          </w:p>
        </w:tc>
      </w:tr>
      <w:tr w14:paraId="60F4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7" w:type="pct"/>
            <w:vMerge w:val="continue"/>
            <w:tcBorders>
              <w:tl2br w:val="nil"/>
              <w:tr2bl w:val="nil"/>
            </w:tcBorders>
            <w:noWrap w:val="0"/>
            <w:vAlign w:val="center"/>
          </w:tcPr>
          <w:p w14:paraId="525332D5">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6CB9609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履行合同约定情况</w:t>
            </w:r>
          </w:p>
        </w:tc>
        <w:tc>
          <w:tcPr>
            <w:tcW w:w="3494" w:type="pct"/>
            <w:tcBorders>
              <w:tl2br w:val="nil"/>
              <w:tr2bl w:val="nil"/>
            </w:tcBorders>
            <w:noWrap w:val="0"/>
            <w:vAlign w:val="center"/>
          </w:tcPr>
          <w:p w14:paraId="0EE36CD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合同、招标文件、供应商承诺书等约定或承诺的相关事项，未完成一项每次扣2分。</w:t>
            </w:r>
          </w:p>
        </w:tc>
      </w:tr>
      <w:tr w14:paraId="2730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7" w:type="pct"/>
            <w:vMerge w:val="continue"/>
            <w:tcBorders>
              <w:tl2br w:val="nil"/>
              <w:tr2bl w:val="nil"/>
            </w:tcBorders>
            <w:noWrap w:val="0"/>
            <w:vAlign w:val="center"/>
          </w:tcPr>
          <w:p w14:paraId="732CD12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1AF6C157">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3494" w:type="pct"/>
            <w:tcBorders>
              <w:tl2br w:val="nil"/>
              <w:tr2bl w:val="nil"/>
            </w:tcBorders>
            <w:noWrap w:val="0"/>
            <w:vAlign w:val="center"/>
          </w:tcPr>
          <w:p w14:paraId="03F5CE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违反采购人管理规定被通报一次扣5分；造成恶劣影响一次扣20分。</w:t>
            </w:r>
          </w:p>
        </w:tc>
      </w:tr>
      <w:tr w14:paraId="2E77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37" w:type="pct"/>
            <w:tcBorders>
              <w:tl2br w:val="nil"/>
              <w:tr2bl w:val="nil"/>
            </w:tcBorders>
            <w:noWrap w:val="0"/>
            <w:vAlign w:val="center"/>
          </w:tcPr>
          <w:p w14:paraId="66D1A6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加分项目</w:t>
            </w:r>
          </w:p>
        </w:tc>
        <w:tc>
          <w:tcPr>
            <w:tcW w:w="867" w:type="pct"/>
            <w:tcBorders>
              <w:tl2br w:val="nil"/>
              <w:tr2bl w:val="nil"/>
            </w:tcBorders>
            <w:noWrap w:val="0"/>
            <w:vAlign w:val="center"/>
          </w:tcPr>
          <w:p w14:paraId="6837EE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10EC1541">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顺利完成1小时内的应急保障任务，每次加4分；顺利完成2小时以内应急保障任务，每次加2分；顺利完成综合（大型）保障任务每次加4分。</w:t>
            </w:r>
          </w:p>
        </w:tc>
      </w:tr>
    </w:tbl>
    <w:p w14:paraId="00A47C4C">
      <w:pPr>
        <w:pStyle w:val="3"/>
        <w:rPr>
          <w:rFonts w:hint="eastAsia"/>
          <w:lang w:val="en-US" w:eastAsia="zh-CN"/>
        </w:rPr>
      </w:pPr>
      <w:r>
        <w:rPr>
          <w:rFonts w:hint="eastAsia" w:ascii="宋体" w:hAnsi="宋体" w:eastAsia="宋体" w:cs="宋体"/>
          <w:b/>
          <w:bCs/>
          <w:color w:val="auto"/>
          <w:sz w:val="32"/>
          <w:szCs w:val="32"/>
          <w:highlight w:val="none"/>
        </w:rPr>
        <w:br w:type="page"/>
      </w:r>
    </w:p>
    <w:p w14:paraId="555423C5">
      <w:pPr>
        <w:pStyle w:val="4"/>
        <w:spacing w:before="0" w:after="0" w:line="360" w:lineRule="auto"/>
        <w:jc w:val="center"/>
        <w:rPr>
          <w:rFonts w:hint="eastAsia" w:ascii="宋体" w:hAnsi="宋体" w:eastAsia="宋体" w:cs="宋体"/>
          <w:b w:val="0"/>
          <w:sz w:val="36"/>
          <w:szCs w:val="30"/>
        </w:rPr>
      </w:pPr>
      <w:bookmarkStart w:id="62" w:name="_Toc18593"/>
      <w:r>
        <w:rPr>
          <w:rFonts w:hint="eastAsia" w:ascii="宋体" w:hAnsi="宋体" w:eastAsia="宋体" w:cs="宋体"/>
          <w:b w:val="0"/>
          <w:sz w:val="36"/>
          <w:szCs w:val="30"/>
        </w:rPr>
        <w:t>第四篇  磋商程序及方法、评审标准、无效响应和采购终止</w:t>
      </w:r>
      <w:bookmarkEnd w:id="62"/>
    </w:p>
    <w:p w14:paraId="68DF635C">
      <w:pPr>
        <w:pStyle w:val="5"/>
        <w:spacing w:before="0" w:after="0" w:line="440" w:lineRule="exact"/>
        <w:rPr>
          <w:rFonts w:hint="eastAsia" w:ascii="宋体" w:hAnsi="宋体" w:eastAsia="宋体" w:cs="宋体"/>
          <w:sz w:val="24"/>
          <w:szCs w:val="24"/>
        </w:rPr>
      </w:pPr>
      <w:bookmarkStart w:id="63" w:name="_Toc9701"/>
      <w:r>
        <w:rPr>
          <w:rFonts w:hint="eastAsia" w:ascii="宋体" w:hAnsi="宋体" w:eastAsia="宋体" w:cs="宋体"/>
          <w:sz w:val="24"/>
          <w:szCs w:val="24"/>
        </w:rPr>
        <w:t>一、磋商程序及方法</w:t>
      </w:r>
      <w:bookmarkEnd w:id="63"/>
    </w:p>
    <w:p w14:paraId="3E18F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F8F5A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3555769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7"/>
        <w:gridCol w:w="3566"/>
      </w:tblGrid>
      <w:tr w14:paraId="3C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Align w:val="center"/>
          </w:tcPr>
          <w:p w14:paraId="6ABB44C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5386" w:type="dxa"/>
            <w:gridSpan w:val="2"/>
            <w:vAlign w:val="center"/>
          </w:tcPr>
          <w:p w14:paraId="41B45DC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3566" w:type="dxa"/>
            <w:vAlign w:val="center"/>
          </w:tcPr>
          <w:p w14:paraId="7E7822D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650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BDBE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09" w:type="dxa"/>
            <w:vMerge w:val="restart"/>
            <w:vAlign w:val="center"/>
          </w:tcPr>
          <w:p w14:paraId="591B900A">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应符合的基本资格条件</w:t>
            </w:r>
          </w:p>
        </w:tc>
        <w:tc>
          <w:tcPr>
            <w:tcW w:w="4677" w:type="dxa"/>
            <w:vAlign w:val="center"/>
          </w:tcPr>
          <w:p w14:paraId="5DE5798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3566" w:type="dxa"/>
            <w:vAlign w:val="center"/>
          </w:tcPr>
          <w:p w14:paraId="5E4C5DB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olor w:val="auto"/>
                <w:sz w:val="21"/>
                <w:szCs w:val="21"/>
              </w:rPr>
              <w:t>供应商法人营业执照（副本）或事业单位法人证书（副本）；供应商法定代表人身份证明和法定代表人授权代表委托书。</w:t>
            </w:r>
          </w:p>
        </w:tc>
      </w:tr>
      <w:tr w14:paraId="607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7D8806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492C6D38">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77F0474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3566" w:type="dxa"/>
            <w:vMerge w:val="restart"/>
            <w:vAlign w:val="center"/>
          </w:tcPr>
          <w:p w14:paraId="5184BC5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供应商提供</w:t>
            </w:r>
            <w:r>
              <w:rPr>
                <w:rFonts w:hint="eastAsia" w:ascii="宋体" w:hAnsi="宋体" w:cs="宋体"/>
                <w:sz w:val="21"/>
                <w:szCs w:val="21"/>
                <w:lang w:val="en-US" w:eastAsia="zh-CN"/>
              </w:rPr>
              <w:t>承诺函</w:t>
            </w:r>
            <w:r>
              <w:rPr>
                <w:rFonts w:hint="eastAsia" w:ascii="宋体" w:hAnsi="宋体" w:eastAsia="宋体" w:cs="宋体"/>
                <w:sz w:val="21"/>
                <w:szCs w:val="21"/>
              </w:rPr>
              <w:t>（见格式文件）</w:t>
            </w:r>
          </w:p>
        </w:tc>
      </w:tr>
      <w:tr w14:paraId="478B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Merge w:val="continue"/>
            <w:vAlign w:val="center"/>
          </w:tcPr>
          <w:p w14:paraId="3A374F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0F5BB2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35C415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3566" w:type="dxa"/>
            <w:vMerge w:val="continue"/>
            <w:vAlign w:val="center"/>
          </w:tcPr>
          <w:p w14:paraId="4AFF34C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23C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Merge w:val="continue"/>
            <w:vAlign w:val="center"/>
          </w:tcPr>
          <w:p w14:paraId="7FE773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112081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52D0D36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（4）有依法缴纳税收</w:t>
            </w:r>
            <w:r>
              <w:rPr>
                <w:rFonts w:hint="eastAsia" w:ascii="宋体" w:hAnsi="宋体" w:cs="宋体"/>
                <w:sz w:val="21"/>
                <w:szCs w:val="21"/>
                <w:lang w:val="en-US" w:eastAsia="zh-CN"/>
              </w:rPr>
              <w:t>或</w:t>
            </w:r>
            <w:r>
              <w:rPr>
                <w:rFonts w:hint="eastAsia" w:ascii="宋体" w:hAnsi="宋体" w:eastAsia="宋体" w:cs="宋体"/>
                <w:sz w:val="21"/>
                <w:szCs w:val="21"/>
                <w:lang w:val="zh-CN"/>
              </w:rPr>
              <w:t>社会保障金的良好记录</w:t>
            </w:r>
          </w:p>
        </w:tc>
        <w:tc>
          <w:tcPr>
            <w:tcW w:w="3566" w:type="dxa"/>
            <w:vMerge w:val="continue"/>
            <w:vAlign w:val="center"/>
          </w:tcPr>
          <w:p w14:paraId="7F4C339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533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6" w:type="dxa"/>
            <w:vMerge w:val="continue"/>
            <w:vAlign w:val="center"/>
          </w:tcPr>
          <w:p w14:paraId="23E503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3ECED76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5FA254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）参加政府采购活动前三年内，在经营活动中没有重大违法记录</w:t>
            </w:r>
          </w:p>
        </w:tc>
        <w:tc>
          <w:tcPr>
            <w:tcW w:w="3566" w:type="dxa"/>
            <w:vMerge w:val="continue"/>
            <w:vAlign w:val="center"/>
          </w:tcPr>
          <w:p w14:paraId="057838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E32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Merge w:val="continue"/>
            <w:vAlign w:val="center"/>
          </w:tcPr>
          <w:p w14:paraId="35595C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6615E3BB">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6A7D073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）法律、行政法规规定的其他条件</w:t>
            </w:r>
          </w:p>
        </w:tc>
        <w:tc>
          <w:tcPr>
            <w:tcW w:w="3566" w:type="dxa"/>
            <w:vMerge w:val="continue"/>
            <w:vAlign w:val="center"/>
          </w:tcPr>
          <w:p w14:paraId="320778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22E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76" w:type="dxa"/>
            <w:vAlign w:val="center"/>
          </w:tcPr>
          <w:p w14:paraId="3DB7655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386" w:type="dxa"/>
            <w:gridSpan w:val="2"/>
            <w:vAlign w:val="center"/>
          </w:tcPr>
          <w:p w14:paraId="024F6D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auto"/>
                <w:sz w:val="22"/>
                <w:szCs w:val="22"/>
                <w:highlight w:val="none"/>
                <w:lang w:val="en-US" w:eastAsia="zh-CN"/>
              </w:rPr>
              <w:t>本项目规定的特定资格条件</w:t>
            </w:r>
          </w:p>
        </w:tc>
        <w:tc>
          <w:tcPr>
            <w:tcW w:w="3566" w:type="dxa"/>
            <w:vAlign w:val="center"/>
          </w:tcPr>
          <w:p w14:paraId="742CCB7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按第一篇“三、供应商资格</w:t>
            </w:r>
            <w:r>
              <w:rPr>
                <w:rFonts w:hint="eastAsia" w:ascii="宋体" w:hAnsi="宋体" w:eastAsia="宋体" w:cs="宋体"/>
                <w:sz w:val="21"/>
                <w:szCs w:val="21"/>
                <w:lang w:val="en-US" w:eastAsia="zh-CN"/>
              </w:rPr>
              <w:t>条件</w:t>
            </w:r>
            <w:r>
              <w:rPr>
                <w:rFonts w:hint="eastAsia" w:ascii="宋体" w:hAnsi="宋体" w:eastAsia="宋体" w:cs="宋体"/>
                <w:sz w:val="21"/>
                <w:szCs w:val="21"/>
              </w:rPr>
              <w:t>（二）特定资格条件”的要求提交证明材料复印件加盖供应商公章。</w:t>
            </w:r>
          </w:p>
        </w:tc>
      </w:tr>
    </w:tbl>
    <w:p w14:paraId="215F65E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72D895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0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Align w:val="center"/>
          </w:tcPr>
          <w:p w14:paraId="60524A08">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1ADA137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63853A16">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608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47C79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71F6DF2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23CA7A10">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41A2595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5F2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B39D5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E22E131">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6685C8C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0C76A39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516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5" w:type="dxa"/>
            <w:vMerge w:val="continue"/>
            <w:vAlign w:val="center"/>
          </w:tcPr>
          <w:p w14:paraId="251C4B9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7DC4E9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3C57587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46D4F33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79F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2E8AEA8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0959F66">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27DA39F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0CB8618">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3417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E0E0B9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14:paraId="3A3DA7DB">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6B081719">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6F020CE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7DEB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667E76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2DCBCE16">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2A05A5C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4417A234">
            <w:pPr>
              <w:pStyle w:val="33"/>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对竞争性磋商文件第二篇</w:t>
            </w:r>
            <w:r>
              <w:rPr>
                <w:rFonts w:hint="eastAsia" w:ascii="宋体" w:hAnsi="宋体" w:cs="宋体"/>
                <w:kern w:val="0"/>
                <w:sz w:val="21"/>
                <w:szCs w:val="21"/>
                <w:lang w:val="en-US" w:eastAsia="zh-CN"/>
              </w:rPr>
              <w:t>、</w:t>
            </w:r>
            <w:r>
              <w:rPr>
                <w:rFonts w:hint="eastAsia" w:ascii="宋体" w:hAnsi="宋体"/>
                <w:sz w:val="21"/>
                <w:szCs w:val="21"/>
              </w:rPr>
              <w:t>第三篇</w:t>
            </w:r>
            <w:r>
              <w:rPr>
                <w:rFonts w:hint="eastAsia" w:ascii="宋体" w:hAnsi="宋体" w:eastAsia="宋体" w:cs="宋体"/>
                <w:kern w:val="0"/>
                <w:sz w:val="21"/>
                <w:szCs w:val="21"/>
                <w:lang w:val="en-US" w:eastAsia="zh-CN"/>
              </w:rPr>
              <w:t>规定的磋商内容作出响应。</w:t>
            </w:r>
          </w:p>
        </w:tc>
      </w:tr>
      <w:tr w14:paraId="264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53593D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5BF3CA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1984" w:type="dxa"/>
            <w:vAlign w:val="center"/>
          </w:tcPr>
          <w:p w14:paraId="161BDA5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2F71412F">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2BDD18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6FF0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9640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1E0217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41CF2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572439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综合评分法，是指响应文件满足竞争性磋商文件全部实质性要求且按照评审因素的量化指标评审得分由高到低顺序推荐3名以上</w:t>
      </w:r>
      <w:r>
        <w:rPr>
          <w:rFonts w:hint="eastAsia" w:ascii="宋体" w:hAnsi="宋体" w:cs="宋体"/>
          <w:kern w:val="0"/>
          <w:sz w:val="24"/>
          <w:szCs w:val="24"/>
          <w:lang w:val="en-US" w:eastAsia="zh-CN"/>
        </w:rPr>
        <w:t>成交</w:t>
      </w:r>
      <w:r>
        <w:rPr>
          <w:rFonts w:hint="eastAsia" w:ascii="宋体" w:hAnsi="宋体" w:eastAsia="宋体" w:cs="宋体"/>
          <w:kern w:val="0"/>
          <w:sz w:val="24"/>
          <w:szCs w:val="24"/>
        </w:rPr>
        <w:t>候选人。供应商总得分为价格、</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、商务等评定因素分别按照相应权重值计算分项得分后相加，满分为100分</w:t>
      </w:r>
      <w:r>
        <w:rPr>
          <w:rFonts w:hint="eastAsia" w:ascii="宋体" w:hAnsi="宋体" w:eastAsia="宋体" w:cs="宋体"/>
          <w:sz w:val="24"/>
          <w:szCs w:val="24"/>
        </w:rPr>
        <w:t>。</w:t>
      </w:r>
    </w:p>
    <w:p w14:paraId="6D260F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w:t>
      </w:r>
      <w:r>
        <w:rPr>
          <w:rFonts w:hint="eastAsia" w:ascii="宋体" w:hAnsi="宋体" w:cs="宋体"/>
          <w:sz w:val="24"/>
          <w:szCs w:val="24"/>
          <w:lang w:val="en-US" w:eastAsia="zh-CN"/>
        </w:rPr>
        <w:t>成交</w:t>
      </w:r>
      <w:r>
        <w:rPr>
          <w:rFonts w:hint="eastAsia" w:ascii="宋体" w:hAnsi="宋体" w:eastAsia="宋体" w:cs="宋体"/>
          <w:sz w:val="24"/>
          <w:szCs w:val="24"/>
        </w:rPr>
        <w:t>候选供应商，并编写评审报告。若供应商的评审得分相同的，按照最后报价由低到高的顺序排列推荐。评审得分且最后报价相同的，按照服务指标优劣顺序排列推荐。以上都相同的，按商务条款的优劣顺序排列推荐。若供应商的</w:t>
      </w:r>
      <w:r>
        <w:rPr>
          <w:rFonts w:hint="eastAsia" w:ascii="宋体" w:hAnsi="宋体" w:cs="宋体"/>
          <w:sz w:val="24"/>
          <w:szCs w:val="24"/>
          <w:lang w:val="en-US" w:eastAsia="zh-CN"/>
        </w:rPr>
        <w:t>服务</w:t>
      </w:r>
      <w:r>
        <w:rPr>
          <w:rFonts w:hint="eastAsia" w:ascii="宋体" w:hAnsi="宋体" w:eastAsia="宋体" w:cs="宋体"/>
          <w:sz w:val="24"/>
          <w:szCs w:val="24"/>
        </w:rPr>
        <w:t>部分为0分，将失去成为</w:t>
      </w:r>
      <w:r>
        <w:rPr>
          <w:rFonts w:hint="eastAsia" w:ascii="宋体" w:hAnsi="宋体" w:cs="宋体"/>
          <w:sz w:val="24"/>
          <w:szCs w:val="24"/>
          <w:lang w:val="en-US" w:eastAsia="zh-CN"/>
        </w:rPr>
        <w:t>成交</w:t>
      </w:r>
      <w:r>
        <w:rPr>
          <w:rFonts w:hint="eastAsia" w:ascii="宋体" w:hAnsi="宋体" w:eastAsia="宋体" w:cs="宋体"/>
          <w:sz w:val="24"/>
          <w:szCs w:val="24"/>
        </w:rPr>
        <w:t>候选供应商的资格。</w:t>
      </w:r>
    </w:p>
    <w:p w14:paraId="0E2BDF76">
      <w:pPr>
        <w:pStyle w:val="5"/>
        <w:spacing w:before="0" w:after="0" w:line="440" w:lineRule="exact"/>
        <w:rPr>
          <w:rFonts w:hint="eastAsia" w:ascii="宋体" w:hAnsi="宋体" w:eastAsia="宋体" w:cs="宋体"/>
          <w:sz w:val="24"/>
          <w:szCs w:val="24"/>
        </w:rPr>
      </w:pPr>
      <w:bookmarkStart w:id="64" w:name="_Toc30550"/>
      <w:bookmarkStart w:id="65" w:name="_Toc342913394"/>
      <w:bookmarkStart w:id="66" w:name="_Toc102227320"/>
      <w:r>
        <w:rPr>
          <w:rFonts w:hint="eastAsia" w:ascii="宋体" w:hAnsi="宋体" w:eastAsia="宋体" w:cs="宋体"/>
          <w:b/>
          <w:bCs/>
          <w:color w:val="auto"/>
          <w:kern w:val="2"/>
          <w:sz w:val="24"/>
          <w:szCs w:val="24"/>
          <w:lang w:val="en-US" w:eastAsia="zh-CN" w:bidi="ar-SA"/>
        </w:rPr>
        <w:t>二、评审标准</w:t>
      </w:r>
      <w:bookmarkEnd w:id="64"/>
    </w:p>
    <w:tbl>
      <w:tblPr>
        <w:tblStyle w:val="61"/>
        <w:tblW w:w="9868" w:type="dxa"/>
        <w:jc w:val="center"/>
        <w:tblLayout w:type="fixed"/>
        <w:tblCellMar>
          <w:top w:w="15" w:type="dxa"/>
          <w:left w:w="15" w:type="dxa"/>
          <w:bottom w:w="15" w:type="dxa"/>
          <w:right w:w="15" w:type="dxa"/>
        </w:tblCellMar>
      </w:tblPr>
      <w:tblGrid>
        <w:gridCol w:w="581"/>
        <w:gridCol w:w="1032"/>
        <w:gridCol w:w="629"/>
        <w:gridCol w:w="4918"/>
        <w:gridCol w:w="2708"/>
      </w:tblGrid>
      <w:tr w14:paraId="0D5039D7">
        <w:tblPrEx>
          <w:tblCellMar>
            <w:top w:w="15" w:type="dxa"/>
            <w:left w:w="15" w:type="dxa"/>
            <w:bottom w:w="15" w:type="dxa"/>
            <w:right w:w="15" w:type="dxa"/>
          </w:tblCellMar>
        </w:tblPrEx>
        <w:trPr>
          <w:trHeight w:val="610" w:hRule="atLeast"/>
          <w:tblHeader/>
          <w:jc w:val="center"/>
        </w:trPr>
        <w:tc>
          <w:tcPr>
            <w:tcW w:w="581" w:type="dxa"/>
            <w:tcBorders>
              <w:top w:val="single" w:color="000000" w:sz="4" w:space="0"/>
              <w:left w:val="single" w:color="000000" w:sz="4" w:space="0"/>
              <w:bottom w:val="single" w:color="000000" w:sz="4" w:space="0"/>
              <w:right w:val="single" w:color="000000" w:sz="4" w:space="0"/>
            </w:tcBorders>
            <w:vAlign w:val="center"/>
          </w:tcPr>
          <w:p w14:paraId="707AA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14:paraId="3ABC0C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629" w:type="dxa"/>
            <w:tcBorders>
              <w:top w:val="single" w:color="000000" w:sz="4" w:space="0"/>
              <w:left w:val="single" w:color="000000" w:sz="4" w:space="0"/>
              <w:bottom w:val="single" w:color="000000" w:sz="4" w:space="0"/>
              <w:right w:val="single" w:color="000000" w:sz="4" w:space="0"/>
            </w:tcBorders>
            <w:vAlign w:val="center"/>
          </w:tcPr>
          <w:p w14:paraId="26FDF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918" w:type="dxa"/>
            <w:tcBorders>
              <w:top w:val="single" w:color="000000" w:sz="4" w:space="0"/>
              <w:left w:val="single" w:color="000000" w:sz="4" w:space="0"/>
              <w:bottom w:val="single" w:color="000000" w:sz="4" w:space="0"/>
              <w:right w:val="single" w:color="000000" w:sz="4" w:space="0"/>
            </w:tcBorders>
            <w:vAlign w:val="center"/>
          </w:tcPr>
          <w:p w14:paraId="79DA9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12" w:leftChars="40" w:right="168" w:rightChars="60" w:firstLine="65" w:firstLineChars="27"/>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708" w:type="dxa"/>
            <w:tcBorders>
              <w:top w:val="single" w:color="000000" w:sz="4" w:space="0"/>
              <w:left w:val="single" w:color="000000" w:sz="4" w:space="0"/>
              <w:bottom w:val="single" w:color="000000" w:sz="4" w:space="0"/>
              <w:right w:val="single" w:color="000000" w:sz="4" w:space="0"/>
            </w:tcBorders>
            <w:vAlign w:val="center"/>
          </w:tcPr>
          <w:p w14:paraId="701F7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6FD271E">
        <w:tblPrEx>
          <w:tblCellMar>
            <w:top w:w="15" w:type="dxa"/>
            <w:left w:w="15" w:type="dxa"/>
            <w:bottom w:w="15" w:type="dxa"/>
            <w:right w:w="15" w:type="dxa"/>
          </w:tblCellMar>
        </w:tblPrEx>
        <w:trPr>
          <w:trHeight w:val="1826" w:hRule="atLeast"/>
          <w:jc w:val="center"/>
        </w:trPr>
        <w:tc>
          <w:tcPr>
            <w:tcW w:w="581" w:type="dxa"/>
            <w:tcBorders>
              <w:top w:val="single" w:color="000000" w:sz="4" w:space="0"/>
              <w:left w:val="single" w:color="000000" w:sz="4" w:space="0"/>
              <w:bottom w:val="single" w:color="auto" w:sz="4" w:space="0"/>
              <w:right w:val="single" w:color="000000" w:sz="4" w:space="0"/>
            </w:tcBorders>
            <w:vAlign w:val="center"/>
          </w:tcPr>
          <w:p w14:paraId="22A2A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2" w:type="dxa"/>
            <w:tcBorders>
              <w:top w:val="single" w:color="000000" w:sz="4" w:space="0"/>
              <w:left w:val="single" w:color="000000" w:sz="4" w:space="0"/>
              <w:bottom w:val="single" w:color="auto" w:sz="4" w:space="0"/>
              <w:right w:val="single" w:color="000000" w:sz="4" w:space="0"/>
            </w:tcBorders>
            <w:vAlign w:val="center"/>
          </w:tcPr>
          <w:p w14:paraId="40C66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5F37E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29" w:type="dxa"/>
            <w:tcBorders>
              <w:top w:val="single" w:color="000000" w:sz="4" w:space="0"/>
              <w:left w:val="single" w:color="000000" w:sz="4" w:space="0"/>
              <w:bottom w:val="single" w:color="auto" w:sz="4" w:space="0"/>
              <w:right w:val="single" w:color="000000" w:sz="4" w:space="0"/>
            </w:tcBorders>
            <w:vAlign w:val="center"/>
          </w:tcPr>
          <w:p w14:paraId="10F4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c>
          <w:tcPr>
            <w:tcW w:w="4918" w:type="dxa"/>
            <w:tcBorders>
              <w:top w:val="single" w:color="000000" w:sz="4" w:space="0"/>
              <w:left w:val="single" w:color="000000" w:sz="4" w:space="0"/>
              <w:bottom w:val="single" w:color="auto" w:sz="4" w:space="0"/>
              <w:right w:val="single" w:color="000000" w:sz="4" w:space="0"/>
            </w:tcBorders>
            <w:vAlign w:val="center"/>
          </w:tcPr>
          <w:p w14:paraId="1B4860F8">
            <w:pPr>
              <w:keepNext w:val="0"/>
              <w:keepLines w:val="0"/>
              <w:suppressLineNumbers w:val="0"/>
              <w:adjustRightInd w:val="0"/>
              <w:snapToGrid w:val="0"/>
              <w:spacing w:before="0" w:beforeAutospacing="0" w:after="0" w:afterAutospacing="0"/>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有效的投标报价中的最低价为评标基准价，其价格分为满分。其他投标人的价格分统一按照下列公式计算：</w:t>
            </w:r>
          </w:p>
          <w:p w14:paraId="71B26167">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kern w:val="0"/>
                <w:sz w:val="21"/>
                <w:szCs w:val="21"/>
              </w:rPr>
              <w:t>投标报价得分＝（评标基准价/投标报价）×价格权重×100。</w:t>
            </w:r>
          </w:p>
        </w:tc>
        <w:tc>
          <w:tcPr>
            <w:tcW w:w="2708" w:type="dxa"/>
            <w:tcBorders>
              <w:top w:val="single" w:color="000000" w:sz="4" w:space="0"/>
              <w:left w:val="single" w:color="000000" w:sz="4" w:space="0"/>
              <w:bottom w:val="single" w:color="auto" w:sz="4" w:space="0"/>
              <w:right w:val="single" w:color="000000" w:sz="4" w:space="0"/>
            </w:tcBorders>
            <w:vAlign w:val="center"/>
          </w:tcPr>
          <w:p w14:paraId="53C174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高于预算价为无效报价</w:t>
            </w:r>
          </w:p>
        </w:tc>
      </w:tr>
      <w:tr w14:paraId="50165A4E">
        <w:tblPrEx>
          <w:tblCellMar>
            <w:top w:w="15" w:type="dxa"/>
            <w:left w:w="15" w:type="dxa"/>
            <w:bottom w:w="15" w:type="dxa"/>
            <w:right w:w="15" w:type="dxa"/>
          </w:tblCellMar>
        </w:tblPrEx>
        <w:trPr>
          <w:trHeight w:val="4107" w:hRule="atLeast"/>
          <w:jc w:val="center"/>
        </w:trPr>
        <w:tc>
          <w:tcPr>
            <w:tcW w:w="581" w:type="dxa"/>
            <w:vMerge w:val="restart"/>
            <w:tcBorders>
              <w:top w:val="single" w:color="000000" w:sz="4" w:space="0"/>
              <w:left w:val="single" w:color="000000" w:sz="4" w:space="0"/>
              <w:right w:val="single" w:color="000000" w:sz="4" w:space="0"/>
            </w:tcBorders>
            <w:vAlign w:val="center"/>
          </w:tcPr>
          <w:p w14:paraId="4E2051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040DF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c>
          <w:tcPr>
            <w:tcW w:w="1032" w:type="dxa"/>
            <w:vMerge w:val="restart"/>
            <w:tcBorders>
              <w:top w:val="single" w:color="000000" w:sz="4" w:space="0"/>
              <w:left w:val="single" w:color="000000" w:sz="4" w:space="0"/>
              <w:right w:val="single" w:color="000000" w:sz="4" w:space="0"/>
            </w:tcBorders>
            <w:vAlign w:val="center"/>
          </w:tcPr>
          <w:p w14:paraId="31A02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服务部分60</w:t>
            </w:r>
            <w:r>
              <w:rPr>
                <w:rFonts w:hint="eastAsia" w:ascii="宋体" w:hAnsi="宋体" w:eastAsia="宋体" w:cs="宋体"/>
                <w:color w:val="auto"/>
                <w:sz w:val="21"/>
                <w:szCs w:val="21"/>
              </w:rPr>
              <w:t>%</w:t>
            </w:r>
          </w:p>
        </w:tc>
        <w:tc>
          <w:tcPr>
            <w:tcW w:w="629" w:type="dxa"/>
            <w:tcBorders>
              <w:top w:val="single" w:color="000000" w:sz="4" w:space="0"/>
              <w:left w:val="single" w:color="000000" w:sz="4" w:space="0"/>
              <w:bottom w:val="single" w:color="auto" w:sz="4" w:space="0"/>
              <w:right w:val="single" w:color="000000" w:sz="4" w:space="0"/>
            </w:tcBorders>
            <w:vAlign w:val="center"/>
          </w:tcPr>
          <w:p w14:paraId="1B81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0EF0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2"/>
                <w:szCs w:val="22"/>
                <w:highlight w:val="none"/>
                <w:lang w:bidi="ar"/>
              </w:rPr>
              <w:t>配送服务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lang w:val="en-US" w:eastAsia="zh-CN"/>
              </w:rPr>
              <w:t>（15分）</w:t>
            </w:r>
          </w:p>
          <w:p w14:paraId="70A08B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供应商针对本项目编制配送服务方案：</w:t>
            </w:r>
          </w:p>
          <w:p w14:paraId="680B5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1F7BF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036D4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164FF4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76750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restart"/>
            <w:tcBorders>
              <w:top w:val="single" w:color="000000" w:sz="4" w:space="0"/>
              <w:left w:val="single" w:color="000000" w:sz="4" w:space="0"/>
              <w:right w:val="single" w:color="000000" w:sz="4" w:space="0"/>
            </w:tcBorders>
            <w:vAlign w:val="center"/>
          </w:tcPr>
          <w:p w14:paraId="20B36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7CE6C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供应商提供服务方案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加盖供应商公章。</w:t>
            </w:r>
            <w:r>
              <w:rPr>
                <w:rFonts w:hint="eastAsia" w:ascii="宋体" w:hAnsi="宋体" w:eastAsia="宋体" w:cs="宋体"/>
                <w:color w:val="auto"/>
                <w:sz w:val="21"/>
                <w:szCs w:val="21"/>
              </w:rPr>
              <w:t>（格式自拟）</w:t>
            </w:r>
          </w:p>
          <w:p w14:paraId="68C84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07D1D0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rPr>
            </w:pPr>
          </w:p>
        </w:tc>
      </w:tr>
      <w:tr w14:paraId="6922B3C6">
        <w:tblPrEx>
          <w:tblCellMar>
            <w:top w:w="15" w:type="dxa"/>
            <w:left w:w="15" w:type="dxa"/>
            <w:bottom w:w="15" w:type="dxa"/>
            <w:right w:w="15" w:type="dxa"/>
          </w:tblCellMar>
        </w:tblPrEx>
        <w:trPr>
          <w:trHeight w:val="4111" w:hRule="atLeast"/>
          <w:jc w:val="center"/>
        </w:trPr>
        <w:tc>
          <w:tcPr>
            <w:tcW w:w="581" w:type="dxa"/>
            <w:vMerge w:val="continue"/>
            <w:tcBorders>
              <w:left w:val="single" w:color="000000" w:sz="4" w:space="0"/>
              <w:right w:val="single" w:color="000000" w:sz="4" w:space="0"/>
            </w:tcBorders>
            <w:vAlign w:val="center"/>
          </w:tcPr>
          <w:p w14:paraId="5DDEF5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6326A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0B27C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5313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配送运输储存保障方案</w:t>
            </w:r>
            <w:r>
              <w:rPr>
                <w:rFonts w:hint="eastAsia" w:ascii="宋体" w:hAnsi="宋体" w:eastAsia="宋体" w:cs="宋体"/>
                <w:color w:val="auto"/>
                <w:sz w:val="21"/>
                <w:szCs w:val="21"/>
                <w:lang w:val="en-US" w:eastAsia="zh-CN"/>
              </w:rPr>
              <w:t>（15分）</w:t>
            </w:r>
          </w:p>
          <w:p w14:paraId="2252C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供应商针对本项目配送服务运输储存保障方案：</w:t>
            </w:r>
          </w:p>
          <w:p w14:paraId="489BA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69278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2588D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C54C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36B27D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0CA5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r>
      <w:tr w14:paraId="1E00410C">
        <w:tblPrEx>
          <w:tblCellMar>
            <w:top w:w="15" w:type="dxa"/>
            <w:left w:w="15" w:type="dxa"/>
            <w:bottom w:w="15" w:type="dxa"/>
            <w:right w:w="15" w:type="dxa"/>
          </w:tblCellMar>
        </w:tblPrEx>
        <w:trPr>
          <w:trHeight w:val="2602" w:hRule="atLeast"/>
          <w:jc w:val="center"/>
        </w:trPr>
        <w:tc>
          <w:tcPr>
            <w:tcW w:w="581" w:type="dxa"/>
            <w:vMerge w:val="continue"/>
            <w:tcBorders>
              <w:left w:val="single" w:color="000000" w:sz="4" w:space="0"/>
              <w:right w:val="single" w:color="000000" w:sz="4" w:space="0"/>
            </w:tcBorders>
            <w:vAlign w:val="center"/>
          </w:tcPr>
          <w:p w14:paraId="5C6D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55E7A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18F9D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000000" w:sz="4" w:space="0"/>
              <w:left w:val="single" w:color="000000" w:sz="4" w:space="0"/>
              <w:bottom w:val="single" w:color="auto" w:sz="4" w:space="0"/>
              <w:right w:val="single" w:color="000000" w:sz="4" w:space="0"/>
            </w:tcBorders>
            <w:vAlign w:val="center"/>
          </w:tcPr>
          <w:p w14:paraId="4A9F2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3、应急处理方案</w:t>
            </w:r>
            <w:r>
              <w:rPr>
                <w:rFonts w:hint="eastAsia" w:ascii="宋体" w:hAnsi="宋体" w:eastAsia="宋体" w:cs="宋体"/>
                <w:color w:val="auto"/>
                <w:sz w:val="21"/>
                <w:szCs w:val="21"/>
                <w:lang w:val="en-US" w:eastAsia="zh-CN"/>
              </w:rPr>
              <w:t>（15分）</w:t>
            </w:r>
          </w:p>
          <w:p w14:paraId="220E12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供应商针对本项目编制应急处理方案：</w:t>
            </w:r>
          </w:p>
          <w:p w14:paraId="3850C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BC85E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66405B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58FBBE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81436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23AC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rPr>
            </w:pPr>
          </w:p>
        </w:tc>
      </w:tr>
      <w:tr w14:paraId="4C0C4F23">
        <w:tblPrEx>
          <w:tblCellMar>
            <w:top w:w="15" w:type="dxa"/>
            <w:left w:w="15" w:type="dxa"/>
            <w:bottom w:w="15" w:type="dxa"/>
            <w:right w:w="15" w:type="dxa"/>
          </w:tblCellMar>
        </w:tblPrEx>
        <w:trPr>
          <w:trHeight w:val="1610" w:hRule="atLeast"/>
          <w:jc w:val="center"/>
        </w:trPr>
        <w:tc>
          <w:tcPr>
            <w:tcW w:w="581" w:type="dxa"/>
            <w:vMerge w:val="continue"/>
            <w:tcBorders>
              <w:left w:val="single" w:color="000000" w:sz="4" w:space="0"/>
              <w:bottom w:val="single" w:color="auto" w:sz="4" w:space="0"/>
              <w:right w:val="single" w:color="000000" w:sz="4" w:space="0"/>
            </w:tcBorders>
            <w:vAlign w:val="center"/>
          </w:tcPr>
          <w:p w14:paraId="55362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bottom w:val="single" w:color="auto" w:sz="4" w:space="0"/>
              <w:right w:val="single" w:color="000000" w:sz="4" w:space="0"/>
            </w:tcBorders>
            <w:vAlign w:val="center"/>
          </w:tcPr>
          <w:p w14:paraId="2CA49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auto" w:sz="4" w:space="0"/>
              <w:left w:val="single" w:color="000000" w:sz="4" w:space="0"/>
              <w:bottom w:val="single" w:color="auto" w:sz="4" w:space="0"/>
              <w:right w:val="single" w:color="000000" w:sz="4" w:space="0"/>
            </w:tcBorders>
            <w:vAlign w:val="center"/>
          </w:tcPr>
          <w:p w14:paraId="7348D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auto" w:sz="4" w:space="0"/>
              <w:left w:val="single" w:color="000000" w:sz="4" w:space="0"/>
              <w:bottom w:val="single" w:color="auto" w:sz="4" w:space="0"/>
              <w:right w:val="single" w:color="auto" w:sz="4" w:space="0"/>
            </w:tcBorders>
            <w:vAlign w:val="center"/>
          </w:tcPr>
          <w:p w14:paraId="405B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4、食品质量安全保证措施方案（15分）</w:t>
            </w:r>
          </w:p>
          <w:p w14:paraId="3A23A5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供应商针对本项目编制食品质量安全保证措施方案：</w:t>
            </w:r>
          </w:p>
          <w:p w14:paraId="440B86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0DA30F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71EED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5ABA0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1CAB4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bottom w:val="single" w:color="auto" w:sz="4" w:space="0"/>
              <w:right w:val="single" w:color="000000" w:sz="4" w:space="0"/>
            </w:tcBorders>
            <w:vAlign w:val="center"/>
          </w:tcPr>
          <w:p w14:paraId="07612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420" w:firstLineChars="200"/>
              <w:textAlignment w:val="auto"/>
              <w:rPr>
                <w:rFonts w:hint="eastAsia" w:ascii="宋体" w:hAnsi="宋体" w:eastAsia="宋体" w:cs="宋体"/>
                <w:color w:val="auto"/>
                <w:sz w:val="21"/>
                <w:szCs w:val="21"/>
              </w:rPr>
            </w:pPr>
          </w:p>
        </w:tc>
      </w:tr>
      <w:tr w14:paraId="2295A6BA">
        <w:tblPrEx>
          <w:tblCellMar>
            <w:top w:w="15" w:type="dxa"/>
            <w:left w:w="15" w:type="dxa"/>
            <w:bottom w:w="15" w:type="dxa"/>
            <w:right w:w="15" w:type="dxa"/>
          </w:tblCellMar>
        </w:tblPrEx>
        <w:trPr>
          <w:trHeight w:val="171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A4DF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32" w:type="dxa"/>
            <w:tcBorders>
              <w:top w:val="single" w:color="auto" w:sz="4" w:space="0"/>
              <w:left w:val="single" w:color="auto" w:sz="4" w:space="0"/>
              <w:bottom w:val="single" w:color="auto" w:sz="4" w:space="0"/>
              <w:right w:val="single" w:color="auto" w:sz="4" w:space="0"/>
            </w:tcBorders>
            <w:vAlign w:val="center"/>
          </w:tcPr>
          <w:p w14:paraId="1BC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商务部分10%</w:t>
            </w:r>
          </w:p>
        </w:tc>
        <w:tc>
          <w:tcPr>
            <w:tcW w:w="629" w:type="dxa"/>
            <w:tcBorders>
              <w:top w:val="single" w:color="auto" w:sz="4" w:space="0"/>
              <w:left w:val="single" w:color="auto" w:sz="4" w:space="0"/>
              <w:bottom w:val="single" w:color="auto" w:sz="4" w:space="0"/>
              <w:right w:val="single" w:color="auto" w:sz="4" w:space="0"/>
            </w:tcBorders>
            <w:vAlign w:val="center"/>
          </w:tcPr>
          <w:p w14:paraId="4DF3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1"/>
                <w:szCs w:val="21"/>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14:paraId="19671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业绩（10分）</w:t>
            </w:r>
          </w:p>
          <w:p w14:paraId="6E1517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年起至今有与政府机关单位或学校或医院或部队等企事业单位有</w:t>
            </w:r>
            <w:r>
              <w:rPr>
                <w:rFonts w:hint="eastAsia" w:ascii="宋体" w:hAnsi="宋体" w:eastAsia="宋体" w:cs="宋体"/>
                <w:color w:val="auto"/>
                <w:sz w:val="21"/>
                <w:szCs w:val="21"/>
                <w:highlight w:val="none"/>
                <w:lang w:val="en-US" w:eastAsia="zh-CN"/>
              </w:rPr>
              <w:t>食堂食材</w:t>
            </w:r>
            <w:r>
              <w:rPr>
                <w:rFonts w:hint="eastAsia" w:ascii="宋体" w:hAnsi="宋体" w:eastAsia="宋体" w:cs="宋体"/>
                <w:color w:val="auto"/>
                <w:sz w:val="21"/>
                <w:szCs w:val="21"/>
                <w:highlight w:val="none"/>
                <w:lang w:val="zh-CN" w:eastAsia="zh-CN"/>
              </w:rPr>
              <w:t>配送业绩的每提供一个得</w:t>
            </w:r>
            <w:r>
              <w:rPr>
                <w:rFonts w:hint="eastAsia" w:ascii="宋体" w:hAnsi="宋体" w:eastAsia="宋体" w:cs="宋体"/>
                <w:color w:val="auto"/>
                <w:sz w:val="21"/>
                <w:szCs w:val="21"/>
                <w:highlight w:val="none"/>
                <w:lang w:val="en-US" w:eastAsia="zh-CN"/>
              </w:rPr>
              <w:t>5分，最多可得10分。</w:t>
            </w:r>
          </w:p>
        </w:tc>
        <w:tc>
          <w:tcPr>
            <w:tcW w:w="2708" w:type="dxa"/>
            <w:tcBorders>
              <w:top w:val="single" w:color="auto" w:sz="4" w:space="0"/>
              <w:left w:val="single" w:color="auto" w:sz="4" w:space="0"/>
              <w:bottom w:val="single" w:color="auto" w:sz="4" w:space="0"/>
              <w:right w:val="single" w:color="auto" w:sz="4" w:space="0"/>
            </w:tcBorders>
            <w:shd w:val="clear" w:color="auto" w:fill="auto"/>
            <w:vAlign w:val="center"/>
          </w:tcPr>
          <w:p w14:paraId="7731D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提供有效的中标通知书复印件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合同复印件</w:t>
            </w:r>
            <w:r>
              <w:rPr>
                <w:rFonts w:hint="eastAsia" w:ascii="宋体" w:hAnsi="宋体" w:cs="宋体"/>
                <w:color w:val="auto"/>
                <w:sz w:val="21"/>
                <w:szCs w:val="21"/>
                <w:highlight w:val="none"/>
                <w:lang w:val="en-US" w:eastAsia="zh-CN"/>
              </w:rPr>
              <w:t>或者发票复印件</w:t>
            </w:r>
          </w:p>
        </w:tc>
      </w:tr>
    </w:tbl>
    <w:p w14:paraId="1822079B">
      <w:pPr>
        <w:pStyle w:val="5"/>
        <w:spacing w:before="0" w:after="0" w:line="360" w:lineRule="auto"/>
        <w:rPr>
          <w:rFonts w:hint="eastAsia" w:ascii="宋体" w:hAnsi="宋体" w:eastAsia="宋体" w:cs="宋体"/>
          <w:sz w:val="24"/>
          <w:szCs w:val="24"/>
        </w:rPr>
      </w:pPr>
    </w:p>
    <w:p w14:paraId="29AB03EF">
      <w:pPr>
        <w:pStyle w:val="5"/>
        <w:spacing w:before="0" w:after="0" w:line="360" w:lineRule="auto"/>
        <w:rPr>
          <w:rFonts w:hint="eastAsia" w:ascii="宋体" w:hAnsi="宋体" w:eastAsia="宋体" w:cs="宋体"/>
          <w:sz w:val="24"/>
          <w:szCs w:val="24"/>
        </w:rPr>
      </w:pPr>
      <w:bookmarkStart w:id="67" w:name="_Toc19517"/>
      <w:r>
        <w:rPr>
          <w:rFonts w:hint="eastAsia" w:ascii="宋体" w:hAnsi="宋体" w:eastAsia="宋体" w:cs="宋体"/>
          <w:sz w:val="24"/>
          <w:szCs w:val="24"/>
        </w:rPr>
        <w:t>三、无效响应</w:t>
      </w:r>
      <w:bookmarkEnd w:id="67"/>
    </w:p>
    <w:p w14:paraId="1FC3039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5311E6D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414D7CD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01F4CBB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525C855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4FFF567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16DFA2A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5C867CB">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0DD563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490464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338BBB2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5CAC112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（十一）供应商被列入失信被执行人、重大税收违法案件当事人名单、政府采购严重违法失信行为记录名单及其他不符合《中华人民共和国政府采购法》第二十二条规定条件的。</w:t>
      </w:r>
    </w:p>
    <w:p w14:paraId="5617112F">
      <w:pPr>
        <w:pStyle w:val="5"/>
        <w:spacing w:before="0" w:after="0" w:line="360" w:lineRule="auto"/>
        <w:rPr>
          <w:rFonts w:hint="eastAsia" w:ascii="宋体" w:hAnsi="宋体" w:eastAsia="宋体" w:cs="宋体"/>
          <w:sz w:val="24"/>
          <w:szCs w:val="24"/>
        </w:rPr>
      </w:pPr>
      <w:bookmarkStart w:id="68" w:name="_Toc8967"/>
      <w:r>
        <w:rPr>
          <w:rFonts w:hint="eastAsia" w:ascii="宋体" w:hAnsi="宋体" w:eastAsia="宋体" w:cs="宋体"/>
          <w:sz w:val="24"/>
          <w:szCs w:val="24"/>
        </w:rPr>
        <w:t>四、</w:t>
      </w:r>
      <w:bookmarkEnd w:id="65"/>
      <w:bookmarkEnd w:id="66"/>
      <w:r>
        <w:rPr>
          <w:rFonts w:hint="eastAsia" w:ascii="宋体" w:hAnsi="宋体" w:eastAsia="宋体" w:cs="宋体"/>
          <w:sz w:val="24"/>
          <w:szCs w:val="24"/>
        </w:rPr>
        <w:t>采购终止</w:t>
      </w:r>
      <w:bookmarkEnd w:id="68"/>
    </w:p>
    <w:p w14:paraId="47B52EB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5563528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5A14E3D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14C0307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48FEF630">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numberInDash" w:start="1"/>
          <w:cols w:space="720" w:num="1"/>
          <w:docGrid w:linePitch="312" w:charSpace="0"/>
        </w:sectPr>
      </w:pPr>
    </w:p>
    <w:p w14:paraId="388DBB38">
      <w:pPr>
        <w:pStyle w:val="4"/>
        <w:spacing w:before="0" w:after="0" w:line="360" w:lineRule="auto"/>
        <w:jc w:val="center"/>
        <w:rPr>
          <w:rFonts w:hint="eastAsia" w:ascii="宋体" w:hAnsi="宋体" w:eastAsia="宋体" w:cs="宋体"/>
          <w:b w:val="0"/>
          <w:sz w:val="36"/>
          <w:szCs w:val="30"/>
        </w:rPr>
      </w:pPr>
      <w:bookmarkStart w:id="69" w:name="_Toc19095"/>
      <w:bookmarkStart w:id="70" w:name="_Toc102227313"/>
      <w:r>
        <w:rPr>
          <w:rFonts w:hint="eastAsia" w:ascii="宋体" w:hAnsi="宋体" w:eastAsia="宋体" w:cs="宋体"/>
          <w:b w:val="0"/>
          <w:sz w:val="36"/>
          <w:szCs w:val="30"/>
        </w:rPr>
        <w:t>第五篇  供应商须知</w:t>
      </w:r>
      <w:bookmarkEnd w:id="69"/>
      <w:bookmarkEnd w:id="70"/>
    </w:p>
    <w:p w14:paraId="4CBD5308">
      <w:pPr>
        <w:pStyle w:val="5"/>
        <w:spacing w:before="0" w:after="0" w:line="360" w:lineRule="auto"/>
        <w:rPr>
          <w:rFonts w:hint="eastAsia" w:ascii="宋体" w:hAnsi="宋体" w:eastAsia="宋体" w:cs="宋体"/>
          <w:sz w:val="24"/>
          <w:szCs w:val="24"/>
        </w:rPr>
      </w:pPr>
      <w:bookmarkStart w:id="71" w:name="_Toc2764"/>
      <w:bookmarkStart w:id="72" w:name="_Toc342913389"/>
      <w:r>
        <w:rPr>
          <w:rFonts w:hint="eastAsia" w:ascii="宋体" w:hAnsi="宋体" w:eastAsia="宋体" w:cs="宋体"/>
          <w:sz w:val="24"/>
          <w:szCs w:val="24"/>
        </w:rPr>
        <w:t>一、磋商费用</w:t>
      </w:r>
      <w:bookmarkEnd w:id="71"/>
      <w:bookmarkEnd w:id="72"/>
    </w:p>
    <w:p w14:paraId="1C12E84C">
      <w:pPr>
        <w:pStyle w:val="2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29FEEB32">
      <w:pPr>
        <w:pStyle w:val="5"/>
        <w:tabs>
          <w:tab w:val="left" w:pos="2640"/>
        </w:tabs>
        <w:spacing w:before="0" w:after="0" w:line="360" w:lineRule="auto"/>
        <w:rPr>
          <w:rFonts w:hint="eastAsia" w:ascii="宋体" w:hAnsi="宋体" w:eastAsia="宋体" w:cs="宋体"/>
          <w:sz w:val="24"/>
          <w:szCs w:val="24"/>
        </w:rPr>
      </w:pPr>
      <w:bookmarkStart w:id="73" w:name="_Toc342913391"/>
      <w:bookmarkStart w:id="74" w:name="_Toc13684"/>
      <w:r>
        <w:rPr>
          <w:rFonts w:hint="eastAsia" w:ascii="宋体" w:hAnsi="宋体" w:eastAsia="宋体" w:cs="宋体"/>
          <w:sz w:val="24"/>
          <w:szCs w:val="24"/>
        </w:rPr>
        <w:t>二、竞争性磋商文件</w:t>
      </w:r>
      <w:bookmarkEnd w:id="73"/>
      <w:bookmarkEnd w:id="74"/>
    </w:p>
    <w:p w14:paraId="41C8F2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27145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C1104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3CF8E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59780"/>
      <w:bookmarkStart w:id="76" w:name="_Toc318159349"/>
      <w:bookmarkStart w:id="77" w:name="_Toc318159160"/>
      <w:bookmarkStart w:id="78" w:name="_Toc318166429"/>
    </w:p>
    <w:p w14:paraId="15F885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（四）本竞争性磋商文件中，磋商小组根据与供应商进行磋商可能实质性变动的内容为竞争性磋商文件第二、三、四篇全部内容。</w:t>
      </w:r>
    </w:p>
    <w:p w14:paraId="4F46D2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75"/>
    <w:bookmarkEnd w:id="76"/>
    <w:bookmarkEnd w:id="77"/>
    <w:bookmarkEnd w:id="78"/>
    <w:p w14:paraId="0D5AE19B">
      <w:pPr>
        <w:pStyle w:val="5"/>
        <w:spacing w:before="0" w:after="0" w:line="360" w:lineRule="auto"/>
        <w:rPr>
          <w:rFonts w:hint="eastAsia" w:ascii="宋体" w:hAnsi="宋体" w:eastAsia="宋体" w:cs="宋体"/>
          <w:sz w:val="24"/>
          <w:szCs w:val="24"/>
        </w:rPr>
      </w:pPr>
      <w:bookmarkStart w:id="79" w:name="_Toc102227318"/>
      <w:bookmarkStart w:id="80" w:name="_Toc342913392"/>
      <w:bookmarkStart w:id="81" w:name="_Toc179714297"/>
      <w:bookmarkStart w:id="82" w:name="_Toc984"/>
      <w:r>
        <w:rPr>
          <w:rFonts w:hint="eastAsia" w:ascii="宋体" w:hAnsi="宋体" w:eastAsia="宋体" w:cs="宋体"/>
          <w:sz w:val="24"/>
          <w:szCs w:val="24"/>
        </w:rPr>
        <w:t>三、磋商要求</w:t>
      </w:r>
      <w:bookmarkEnd w:id="79"/>
      <w:bookmarkEnd w:id="80"/>
      <w:bookmarkEnd w:id="81"/>
      <w:bookmarkEnd w:id="82"/>
    </w:p>
    <w:p w14:paraId="46557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0E9CB5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027E50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70CDB2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A2E72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（二）联合体</w:t>
      </w:r>
    </w:p>
    <w:p w14:paraId="789E9ED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本项目不接受联合体磋商。</w:t>
      </w:r>
    </w:p>
    <w:p w14:paraId="0551C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038EF2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1797E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6EC37D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w:t>
      </w:r>
      <w:r>
        <w:rPr>
          <w:rFonts w:hint="eastAsia" w:ascii="宋体" w:hAnsi="宋体" w:cs="宋体"/>
          <w:sz w:val="24"/>
          <w:szCs w:val="24"/>
          <w:lang w:val="en-US" w:eastAsia="zh-CN"/>
        </w:rPr>
        <w:t>成交</w:t>
      </w:r>
      <w:r>
        <w:rPr>
          <w:rFonts w:hint="eastAsia" w:ascii="宋体" w:hAnsi="宋体" w:eastAsia="宋体" w:cs="宋体"/>
          <w:sz w:val="24"/>
          <w:szCs w:val="24"/>
        </w:rPr>
        <w:t>供应商的资格。</w:t>
      </w:r>
    </w:p>
    <w:p w14:paraId="218011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AC70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cs="宋体"/>
          <w:sz w:val="24"/>
          <w:szCs w:val="24"/>
          <w:lang w:val="en-US" w:eastAsia="zh-CN"/>
        </w:rPr>
        <w:t>三</w:t>
      </w:r>
      <w:r>
        <w:rPr>
          <w:rFonts w:hint="eastAsia" w:ascii="宋体" w:hAnsi="宋体" w:eastAsia="宋体" w:cs="宋体"/>
          <w:sz w:val="24"/>
          <w:szCs w:val="24"/>
        </w:rPr>
        <w:t>份，其中</w:t>
      </w:r>
      <w:r>
        <w:rPr>
          <w:rFonts w:hint="eastAsia" w:ascii="宋体" w:hAnsi="宋体" w:eastAsia="宋体" w:cs="宋体"/>
          <w:sz w:val="24"/>
          <w:szCs w:val="24"/>
          <w:highlight w:val="none"/>
        </w:rPr>
        <w:t>正本一份，副本二份</w:t>
      </w:r>
      <w:r>
        <w:rPr>
          <w:rFonts w:hint="eastAsia" w:ascii="宋体" w:hAnsi="宋体" w:eastAsia="宋体" w:cs="宋体"/>
          <w:sz w:val="24"/>
          <w:szCs w:val="24"/>
        </w:rPr>
        <w:t>；副本可为正本的复印件，应与正本一致，如出现不一致情况以正本为准。</w:t>
      </w:r>
    </w:p>
    <w:p w14:paraId="59CA7B5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2.在响应文件正本中，竞争性磋商文件第</w:t>
      </w:r>
      <w:r>
        <w:rPr>
          <w:rFonts w:hint="eastAsia" w:ascii="宋体" w:hAnsi="宋体" w:cs="宋体"/>
          <w:sz w:val="24"/>
          <w:szCs w:val="24"/>
          <w:lang w:val="en-US" w:eastAsia="zh-CN"/>
        </w:rPr>
        <w:t>七</w:t>
      </w:r>
      <w:r>
        <w:rPr>
          <w:rFonts w:hint="eastAsia" w:ascii="宋体" w:hAnsi="宋体" w:eastAsia="宋体" w:cs="宋体"/>
          <w:sz w:val="24"/>
          <w:szCs w:val="24"/>
        </w:rPr>
        <w:t>篇响应文件编制要求中规定签字、盖章的地方必须按其规定签字、盖章</w:t>
      </w:r>
      <w:r>
        <w:rPr>
          <w:rFonts w:hint="eastAsia" w:ascii="宋体" w:hAnsi="宋体" w:eastAsia="宋体" w:cs="宋体"/>
          <w:sz w:val="24"/>
          <w:szCs w:val="24"/>
          <w:lang w:eastAsia="zh-CN"/>
        </w:rPr>
        <w:t>，并逐页盖章，正本须逐页加盖供应商公章。</w:t>
      </w:r>
    </w:p>
    <w:p w14:paraId="1C1F53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53D98D3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1.响应文件的密封与标记</w:t>
      </w:r>
    </w:p>
    <w:p w14:paraId="456C49E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1.1响应文件的正本、副本均应密封送达磋商地点，应在封套上注明磋商项目名称、供应商名称。若正本、副本分别进行密封的，还应在封套上注明“正本”、“副本”字样。</w:t>
      </w:r>
    </w:p>
    <w:p w14:paraId="3536BDE5">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1.2封套的封口处应加盖供应商公章或由法定代表人授权代表签字。</w:t>
      </w:r>
    </w:p>
    <w:p w14:paraId="3840B392">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2.如果响应文件通过邮寄递交，供应商应将响应文件用内、外两层封套密封。</w:t>
      </w:r>
    </w:p>
    <w:p w14:paraId="615CE88C">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2.1内层封套的封装与标记同 “1、”款规定。</w:t>
      </w:r>
    </w:p>
    <w:p w14:paraId="44637317">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2.2外层封套装入“1、”款所述全部内封资料，并注明项目号、磋商项目编号、磋商项目名称、采购代理机构名称及地址。同时应写明供应商的名称、地址，以便将迟交的响应文件原封退还。</w:t>
      </w:r>
    </w:p>
    <w:p w14:paraId="4F4B6D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3.如果未按上述规定进行密封和标记，采购代理机构对响应文件误投、丢失或提前拆封不负责任。</w:t>
      </w:r>
    </w:p>
    <w:p w14:paraId="7031CB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14:paraId="1CBA13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7AE6AF47">
      <w:pPr>
        <w:pStyle w:val="5"/>
        <w:spacing w:before="0" w:after="0" w:line="360" w:lineRule="auto"/>
        <w:rPr>
          <w:rFonts w:hint="eastAsia" w:ascii="宋体" w:hAnsi="宋体" w:eastAsia="宋体" w:cs="宋体"/>
          <w:sz w:val="24"/>
          <w:szCs w:val="24"/>
        </w:rPr>
      </w:pPr>
      <w:bookmarkStart w:id="83" w:name="_Toc15621"/>
      <w:r>
        <w:rPr>
          <w:rFonts w:hint="eastAsia" w:ascii="宋体" w:hAnsi="宋体" w:eastAsia="宋体" w:cs="宋体"/>
          <w:sz w:val="24"/>
          <w:szCs w:val="24"/>
        </w:rPr>
        <w:t>四、</w:t>
      </w:r>
      <w:r>
        <w:rPr>
          <w:rFonts w:hint="eastAsia" w:ascii="宋体" w:hAnsi="宋体" w:cs="宋体"/>
          <w:sz w:val="24"/>
          <w:szCs w:val="24"/>
          <w:lang w:val="en-US" w:eastAsia="zh-CN"/>
        </w:rPr>
        <w:t>成交</w:t>
      </w:r>
      <w:r>
        <w:rPr>
          <w:rFonts w:hint="eastAsia" w:ascii="宋体" w:hAnsi="宋体" w:eastAsia="宋体" w:cs="宋体"/>
          <w:sz w:val="24"/>
          <w:szCs w:val="24"/>
        </w:rPr>
        <w:t>供应商的确认和变更</w:t>
      </w:r>
      <w:bookmarkEnd w:id="83"/>
    </w:p>
    <w:p w14:paraId="75CDF1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成交</w:t>
      </w:r>
      <w:r>
        <w:rPr>
          <w:rFonts w:hint="eastAsia" w:ascii="宋体" w:hAnsi="宋体" w:eastAsia="宋体" w:cs="宋体"/>
          <w:sz w:val="24"/>
          <w:szCs w:val="24"/>
        </w:rPr>
        <w:t>供应商的确认</w:t>
      </w:r>
    </w:p>
    <w:p w14:paraId="153852A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w:t>
      </w:r>
      <w:r>
        <w:rPr>
          <w:rFonts w:hint="eastAsia" w:ascii="宋体" w:hAnsi="宋体" w:cs="宋体"/>
          <w:sz w:val="24"/>
          <w:szCs w:val="24"/>
          <w:lang w:val="en-US" w:eastAsia="zh-CN"/>
        </w:rPr>
        <w:t>成交</w:t>
      </w:r>
      <w:r>
        <w:rPr>
          <w:rFonts w:hint="eastAsia" w:ascii="宋体" w:hAnsi="宋体" w:eastAsia="宋体" w:cs="宋体"/>
          <w:sz w:val="24"/>
          <w:szCs w:val="24"/>
        </w:rPr>
        <w:t>候选供应商中，按照排序由高到低的原则确定</w:t>
      </w:r>
      <w:r>
        <w:rPr>
          <w:rFonts w:hint="eastAsia" w:ascii="宋体" w:hAnsi="宋体" w:cs="宋体"/>
          <w:sz w:val="24"/>
          <w:szCs w:val="24"/>
          <w:lang w:val="en-US" w:eastAsia="zh-CN"/>
        </w:rPr>
        <w:t>成交</w:t>
      </w:r>
      <w:r>
        <w:rPr>
          <w:rFonts w:hint="eastAsia" w:ascii="宋体" w:hAnsi="宋体" w:eastAsia="宋体" w:cs="宋体"/>
          <w:sz w:val="24"/>
          <w:szCs w:val="24"/>
        </w:rPr>
        <w:t>供应商，也可以书面授权磋商小组直接确定</w:t>
      </w:r>
      <w:r>
        <w:rPr>
          <w:rFonts w:hint="eastAsia" w:ascii="宋体" w:hAnsi="宋体" w:cs="宋体"/>
          <w:sz w:val="24"/>
          <w:szCs w:val="24"/>
          <w:lang w:val="en-US" w:eastAsia="zh-CN"/>
        </w:rPr>
        <w:t>成交</w:t>
      </w:r>
      <w:r>
        <w:rPr>
          <w:rFonts w:hint="eastAsia" w:ascii="宋体" w:hAnsi="宋体" w:eastAsia="宋体" w:cs="宋体"/>
          <w:sz w:val="24"/>
          <w:szCs w:val="24"/>
        </w:rPr>
        <w:t>供应商。采购人逾期未确定</w:t>
      </w:r>
      <w:r>
        <w:rPr>
          <w:rFonts w:hint="eastAsia" w:ascii="宋体" w:hAnsi="宋体" w:cs="宋体"/>
          <w:sz w:val="24"/>
          <w:szCs w:val="24"/>
          <w:lang w:val="en-US" w:eastAsia="zh-CN"/>
        </w:rPr>
        <w:t>成交</w:t>
      </w:r>
      <w:r>
        <w:rPr>
          <w:rFonts w:hint="eastAsia" w:ascii="宋体" w:hAnsi="宋体" w:eastAsia="宋体" w:cs="宋体"/>
          <w:sz w:val="24"/>
          <w:szCs w:val="24"/>
        </w:rPr>
        <w:t>供应商且不提出异议的，视为确定评审报告提出的排序</w:t>
      </w:r>
      <w:r>
        <w:rPr>
          <w:rFonts w:hint="eastAsia" w:ascii="宋体" w:hAnsi="宋体" w:cs="宋体"/>
          <w:sz w:val="24"/>
          <w:szCs w:val="24"/>
          <w:lang w:val="en-US" w:eastAsia="zh-CN"/>
        </w:rPr>
        <w:t>前三</w:t>
      </w:r>
      <w:r>
        <w:rPr>
          <w:rFonts w:hint="eastAsia" w:ascii="宋体" w:hAnsi="宋体" w:eastAsia="宋体" w:cs="宋体"/>
          <w:sz w:val="24"/>
          <w:szCs w:val="24"/>
        </w:rPr>
        <w:t>的供应商为</w:t>
      </w:r>
      <w:r>
        <w:rPr>
          <w:rFonts w:hint="eastAsia" w:ascii="宋体" w:hAnsi="宋体" w:cs="宋体"/>
          <w:sz w:val="24"/>
          <w:szCs w:val="24"/>
          <w:lang w:val="en-US" w:eastAsia="zh-CN"/>
        </w:rPr>
        <w:t>成交</w:t>
      </w:r>
      <w:r>
        <w:rPr>
          <w:rFonts w:hint="eastAsia" w:ascii="宋体" w:hAnsi="宋体" w:eastAsia="宋体" w:cs="宋体"/>
          <w:sz w:val="24"/>
          <w:szCs w:val="24"/>
        </w:rPr>
        <w:t>供应商。</w:t>
      </w:r>
    </w:p>
    <w:p w14:paraId="0FC309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成交</w:t>
      </w:r>
      <w:r>
        <w:rPr>
          <w:rFonts w:hint="eastAsia" w:ascii="宋体" w:hAnsi="宋体" w:eastAsia="宋体" w:cs="宋体"/>
          <w:sz w:val="24"/>
          <w:szCs w:val="24"/>
        </w:rPr>
        <w:t>供应商的变更</w:t>
      </w:r>
    </w:p>
    <w:p w14:paraId="0CBD2F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成交</w:t>
      </w:r>
      <w:r>
        <w:rPr>
          <w:rFonts w:hint="eastAsia" w:ascii="宋体" w:hAnsi="宋体" w:eastAsia="宋体" w:cs="宋体"/>
          <w:sz w:val="24"/>
          <w:szCs w:val="24"/>
        </w:rPr>
        <w:t>供应商拒绝与采购人签订合同的，采购人可以按照评审报告推荐的供应商候选人名单排序，确定下一候选人为</w:t>
      </w:r>
      <w:r>
        <w:rPr>
          <w:rFonts w:hint="eastAsia" w:ascii="宋体" w:hAnsi="宋体" w:cs="宋体"/>
          <w:sz w:val="24"/>
          <w:szCs w:val="24"/>
          <w:lang w:val="en-US" w:eastAsia="zh-CN"/>
        </w:rPr>
        <w:t>成交</w:t>
      </w:r>
      <w:r>
        <w:rPr>
          <w:rFonts w:hint="eastAsia" w:ascii="宋体" w:hAnsi="宋体" w:eastAsia="宋体" w:cs="宋体"/>
          <w:sz w:val="24"/>
          <w:szCs w:val="24"/>
        </w:rPr>
        <w:t>供应商，也可以重新开展政府采购活动。</w:t>
      </w:r>
    </w:p>
    <w:p w14:paraId="29AA3E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成交</w:t>
      </w:r>
      <w:r>
        <w:rPr>
          <w:rFonts w:hint="eastAsia" w:ascii="宋体" w:hAnsi="宋体" w:eastAsia="宋体" w:cs="宋体"/>
          <w:sz w:val="24"/>
          <w:szCs w:val="24"/>
        </w:rPr>
        <w:t>供应商无充分理由放弃成交的，采购人将会根据《中华人民共和国政府采购法实施条例》的第七十二条的规定对违规供应商进行处罚。</w:t>
      </w:r>
    </w:p>
    <w:p w14:paraId="28243BDC">
      <w:pPr>
        <w:pStyle w:val="5"/>
        <w:spacing w:before="0" w:after="0" w:line="360" w:lineRule="auto"/>
        <w:rPr>
          <w:rFonts w:hint="eastAsia" w:ascii="宋体" w:hAnsi="宋体" w:eastAsia="宋体" w:cs="宋体"/>
          <w:sz w:val="24"/>
          <w:szCs w:val="24"/>
        </w:rPr>
      </w:pPr>
      <w:bookmarkStart w:id="84" w:name="_Toc342913395"/>
      <w:bookmarkStart w:id="85" w:name="_Toc13861"/>
      <w:bookmarkStart w:id="86" w:name="_Toc102227321"/>
      <w:r>
        <w:rPr>
          <w:rFonts w:hint="eastAsia" w:ascii="宋体" w:hAnsi="宋体" w:eastAsia="宋体" w:cs="宋体"/>
          <w:sz w:val="24"/>
          <w:szCs w:val="24"/>
        </w:rPr>
        <w:t>五、</w:t>
      </w:r>
      <w:r>
        <w:rPr>
          <w:rFonts w:hint="eastAsia" w:ascii="宋体" w:hAnsi="宋体" w:cs="宋体"/>
          <w:sz w:val="24"/>
          <w:szCs w:val="24"/>
          <w:lang w:val="en-US" w:eastAsia="zh-CN"/>
        </w:rPr>
        <w:t>成交</w:t>
      </w:r>
      <w:r>
        <w:rPr>
          <w:rFonts w:hint="eastAsia" w:ascii="宋体" w:hAnsi="宋体" w:eastAsia="宋体" w:cs="宋体"/>
          <w:sz w:val="24"/>
          <w:szCs w:val="24"/>
        </w:rPr>
        <w:t>通知</w:t>
      </w:r>
      <w:bookmarkEnd w:id="84"/>
      <w:bookmarkEnd w:id="85"/>
      <w:bookmarkEnd w:id="86"/>
    </w:p>
    <w:p w14:paraId="0FB656F8">
      <w:pPr>
        <w:pStyle w:val="5"/>
        <w:spacing w:before="0" w:after="0" w:line="360" w:lineRule="auto"/>
        <w:rPr>
          <w:rFonts w:hint="eastAsia" w:ascii="宋体" w:hAnsi="宋体" w:eastAsia="宋体" w:cs="宋体"/>
          <w:b w:val="0"/>
          <w:kern w:val="2"/>
          <w:sz w:val="24"/>
          <w:szCs w:val="24"/>
          <w:lang w:val="en-US" w:eastAsia="zh-CN" w:bidi="ar-SA"/>
        </w:rPr>
      </w:pPr>
      <w:bookmarkStart w:id="87" w:name="_Toc26562"/>
      <w:bookmarkStart w:id="88" w:name="_Toc28883"/>
      <w:bookmarkStart w:id="89" w:name="_Toc22670"/>
      <w:bookmarkStart w:id="90" w:name="_Toc12678"/>
      <w:r>
        <w:rPr>
          <w:rFonts w:hint="eastAsia" w:ascii="宋体" w:hAnsi="宋体" w:eastAsia="宋体" w:cs="宋体"/>
          <w:b w:val="0"/>
          <w:kern w:val="2"/>
          <w:sz w:val="24"/>
          <w:szCs w:val="24"/>
          <w:lang w:val="en-US" w:eastAsia="zh-CN" w:bidi="ar-SA"/>
        </w:rPr>
        <w:t>（一）</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供应商确定后2个工作日内，采购代理机构将在“行采家”（https://www.gec123.com/）网上发布成交结果公告。</w:t>
      </w:r>
      <w:bookmarkEnd w:id="87"/>
      <w:bookmarkEnd w:id="88"/>
      <w:bookmarkEnd w:id="89"/>
      <w:bookmarkEnd w:id="90"/>
    </w:p>
    <w:p w14:paraId="3DA5A902">
      <w:pPr>
        <w:pStyle w:val="5"/>
        <w:spacing w:before="0" w:after="0" w:line="360" w:lineRule="auto"/>
        <w:rPr>
          <w:rFonts w:hint="eastAsia" w:ascii="宋体" w:hAnsi="宋体" w:eastAsia="宋体" w:cs="宋体"/>
          <w:b w:val="0"/>
          <w:kern w:val="2"/>
          <w:sz w:val="24"/>
          <w:szCs w:val="24"/>
          <w:lang w:val="en-US" w:eastAsia="zh-CN" w:bidi="ar-SA"/>
        </w:rPr>
      </w:pPr>
      <w:bookmarkStart w:id="91" w:name="_Toc19287"/>
      <w:bookmarkStart w:id="92" w:name="_Toc19150"/>
      <w:bookmarkStart w:id="93" w:name="_Toc4443"/>
      <w:bookmarkStart w:id="94" w:name="_Toc6944"/>
      <w:r>
        <w:rPr>
          <w:rFonts w:hint="eastAsia" w:ascii="宋体" w:hAnsi="宋体" w:eastAsia="宋体" w:cs="宋体"/>
          <w:b w:val="0"/>
          <w:kern w:val="2"/>
          <w:sz w:val="24"/>
          <w:szCs w:val="24"/>
          <w:lang w:val="en-US" w:eastAsia="zh-CN" w:bidi="ar-SA"/>
        </w:rPr>
        <w:t>（二）结果公告发出同时，采购人或采购代理机构将以书面形式发出《</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通知书》一经发出即发生法律效力。</w:t>
      </w:r>
      <w:bookmarkEnd w:id="91"/>
      <w:bookmarkEnd w:id="92"/>
      <w:bookmarkEnd w:id="93"/>
      <w:bookmarkEnd w:id="94"/>
    </w:p>
    <w:p w14:paraId="6182ED08">
      <w:pPr>
        <w:pStyle w:val="5"/>
        <w:spacing w:before="0" w:after="0" w:line="360" w:lineRule="auto"/>
        <w:rPr>
          <w:rFonts w:hint="eastAsia" w:ascii="宋体" w:hAnsi="宋体" w:eastAsia="宋体" w:cs="宋体"/>
          <w:b w:val="0"/>
          <w:kern w:val="2"/>
          <w:sz w:val="24"/>
          <w:szCs w:val="24"/>
          <w:lang w:val="en-US" w:eastAsia="zh-CN" w:bidi="ar-SA"/>
        </w:rPr>
      </w:pPr>
      <w:bookmarkStart w:id="95" w:name="_Toc26468"/>
      <w:bookmarkStart w:id="96" w:name="_Toc17568"/>
      <w:bookmarkStart w:id="97" w:name="_Toc30631"/>
      <w:bookmarkStart w:id="98" w:name="_Toc2774"/>
      <w:r>
        <w:rPr>
          <w:rFonts w:hint="eastAsia" w:ascii="宋体" w:hAnsi="宋体" w:eastAsia="宋体" w:cs="宋体"/>
          <w:b w:val="0"/>
          <w:kern w:val="2"/>
          <w:sz w:val="24"/>
          <w:szCs w:val="24"/>
          <w:lang w:val="en-US" w:eastAsia="zh-CN" w:bidi="ar-SA"/>
        </w:rPr>
        <w:t>（三）《</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通知书》将作为签订合同的依据。</w:t>
      </w:r>
      <w:bookmarkEnd w:id="95"/>
      <w:bookmarkEnd w:id="96"/>
      <w:bookmarkEnd w:id="97"/>
      <w:bookmarkEnd w:id="98"/>
    </w:p>
    <w:p w14:paraId="74E50496">
      <w:pPr>
        <w:pStyle w:val="5"/>
        <w:spacing w:before="0" w:after="0" w:line="360" w:lineRule="auto"/>
        <w:rPr>
          <w:rFonts w:hint="eastAsia" w:ascii="宋体" w:hAnsi="宋体" w:eastAsia="宋体" w:cs="宋体"/>
          <w:b w:val="0"/>
          <w:kern w:val="2"/>
          <w:sz w:val="24"/>
          <w:szCs w:val="24"/>
          <w:lang w:val="en-US" w:eastAsia="zh-CN" w:bidi="ar-SA"/>
        </w:rPr>
      </w:pPr>
      <w:bookmarkStart w:id="99" w:name="_Toc14072"/>
      <w:bookmarkStart w:id="100" w:name="_Toc24538"/>
      <w:bookmarkStart w:id="101" w:name="_Toc13962"/>
      <w:bookmarkStart w:id="102" w:name="_Toc31408"/>
      <w:r>
        <w:rPr>
          <w:rFonts w:hint="eastAsia" w:ascii="宋体" w:hAnsi="宋体" w:eastAsia="宋体" w:cs="宋体"/>
          <w:b w:val="0"/>
          <w:kern w:val="2"/>
          <w:sz w:val="24"/>
          <w:szCs w:val="24"/>
          <w:lang w:val="en-US" w:eastAsia="zh-CN" w:bidi="ar-SA"/>
        </w:rPr>
        <w:t>（四）如有供应商对成交结果提出质疑的，在质疑处理完毕后发出</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w:t>
      </w:r>
      <w:bookmarkEnd w:id="99"/>
      <w:bookmarkEnd w:id="100"/>
      <w:bookmarkEnd w:id="101"/>
      <w:bookmarkEnd w:id="102"/>
    </w:p>
    <w:p w14:paraId="33C672A2">
      <w:pPr>
        <w:pStyle w:val="5"/>
        <w:spacing w:before="0" w:after="0" w:line="360" w:lineRule="auto"/>
        <w:rPr>
          <w:rFonts w:hint="eastAsia" w:ascii="宋体" w:hAnsi="宋体" w:eastAsia="宋体" w:cs="宋体"/>
          <w:sz w:val="24"/>
          <w:szCs w:val="24"/>
        </w:rPr>
      </w:pPr>
      <w:bookmarkStart w:id="103" w:name="_Toc14003"/>
      <w:r>
        <w:rPr>
          <w:rFonts w:hint="eastAsia" w:ascii="宋体" w:hAnsi="宋体" w:eastAsia="宋体" w:cs="宋体"/>
          <w:sz w:val="24"/>
          <w:szCs w:val="24"/>
        </w:rPr>
        <w:t>六、关于质疑和投诉</w:t>
      </w:r>
      <w:bookmarkEnd w:id="103"/>
    </w:p>
    <w:p w14:paraId="0FE69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（一）质疑</w:t>
      </w:r>
    </w:p>
    <w:p w14:paraId="0CB4C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0D80FC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68004A9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1.质疑时限、内容</w:t>
      </w:r>
    </w:p>
    <w:p w14:paraId="6E532CD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4CCC412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311EDEC7">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305612CF">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1.2.2质疑项目的名称、项目号以及磋商项目编号；</w:t>
      </w:r>
    </w:p>
    <w:p w14:paraId="56D339A0">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08B49A4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1.2.4事实依据；</w:t>
      </w:r>
    </w:p>
    <w:p w14:paraId="3DF09BA6">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1.2.5必要的法律依据；</w:t>
      </w:r>
    </w:p>
    <w:p w14:paraId="0BBF82A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1.2.6提出质疑的日期；</w:t>
      </w:r>
    </w:p>
    <w:p w14:paraId="689D48E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1.2.7营业执照（或事业单位法人证书，或个体工商户营业执照或有效的自然人身份证明、组织机构代码证）复印件；</w:t>
      </w:r>
    </w:p>
    <w:p w14:paraId="6A145764">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3B61BDD5">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w:t>
      </w:r>
      <w:r>
        <w:rPr>
          <w:rFonts w:hint="eastAsia" w:ascii="宋体" w:hAnsi="宋体" w:cs="宋体"/>
          <w:sz w:val="24"/>
          <w:szCs w:val="24"/>
          <w:lang w:val="en-US" w:eastAsia="zh-CN"/>
        </w:rPr>
        <w:t>和</w:t>
      </w:r>
      <w:r>
        <w:rPr>
          <w:rFonts w:hint="eastAsia" w:ascii="宋体" w:hAnsi="宋体" w:eastAsia="宋体" w:cs="宋体"/>
          <w:sz w:val="24"/>
          <w:szCs w:val="24"/>
        </w:rPr>
        <w:t>盖章，并加盖公章。</w:t>
      </w:r>
    </w:p>
    <w:p w14:paraId="462059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2.质疑答复</w:t>
      </w:r>
    </w:p>
    <w:p w14:paraId="1B45350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336FDDA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3.其他</w:t>
      </w:r>
    </w:p>
    <w:p w14:paraId="5FA6D9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75EE18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3.2质疑函范本可在代理机构领取下载。</w:t>
      </w:r>
    </w:p>
    <w:p w14:paraId="097797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（二）投诉</w:t>
      </w:r>
    </w:p>
    <w:p w14:paraId="4892EA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352234BE">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14:paraId="165F8E8C">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0ADE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2FB5B3D">
      <w:pPr>
        <w:pStyle w:val="5"/>
        <w:spacing w:before="0" w:after="0" w:line="360" w:lineRule="auto"/>
        <w:rPr>
          <w:rFonts w:hint="eastAsia" w:ascii="宋体" w:hAnsi="宋体" w:eastAsia="宋体" w:cs="宋体"/>
          <w:sz w:val="24"/>
          <w:szCs w:val="24"/>
        </w:rPr>
      </w:pPr>
      <w:bookmarkStart w:id="104" w:name="_Toc2380"/>
      <w:r>
        <w:rPr>
          <w:rFonts w:hint="eastAsia" w:ascii="宋体" w:hAnsi="宋体" w:eastAsia="宋体" w:cs="宋体"/>
          <w:sz w:val="24"/>
          <w:szCs w:val="24"/>
        </w:rPr>
        <w:t>七、采购代理服务费</w:t>
      </w:r>
      <w:bookmarkEnd w:id="104"/>
    </w:p>
    <w:p w14:paraId="57B254E8">
      <w:pPr>
        <w:pStyle w:val="3"/>
        <w:spacing w:line="360" w:lineRule="auto"/>
        <w:ind w:firstLine="480" w:firstLineChars="200"/>
        <w:rPr>
          <w:rFonts w:hint="eastAsia"/>
          <w:lang w:eastAsia="zh-CN"/>
        </w:rPr>
      </w:pPr>
      <w:r>
        <w:rPr>
          <w:rFonts w:hint="eastAsia" w:ascii="宋体" w:hAnsi="宋体" w:cs="宋体"/>
          <w:color w:val="auto"/>
          <w:sz w:val="24"/>
          <w:szCs w:val="24"/>
          <w:highlight w:val="none"/>
          <w:lang w:eastAsia="zh-CN"/>
        </w:rPr>
        <w:t>供应商中标后在领取成交通知书前一次性向采购代理机构缴纳代理服务费，代理服务费</w:t>
      </w:r>
      <w:r>
        <w:rPr>
          <w:rFonts w:hint="eastAsia" w:ascii="宋体" w:hAnsi="宋体" w:cs="宋体"/>
          <w:color w:val="auto"/>
          <w:sz w:val="24"/>
          <w:szCs w:val="24"/>
          <w:highlight w:val="none"/>
          <w:lang w:val="en-US" w:eastAsia="zh-CN"/>
        </w:rPr>
        <w:t>按预算金额的1.2%</w:t>
      </w:r>
      <w:r>
        <w:rPr>
          <w:rFonts w:hint="eastAsia" w:hAnsi="宋体" w:cs="宋体"/>
          <w:color w:val="auto"/>
          <w:sz w:val="24"/>
          <w:szCs w:val="24"/>
          <w:highlight w:val="none"/>
          <w:lang w:val="en-US" w:eastAsia="zh-CN"/>
        </w:rPr>
        <w:t>收</w:t>
      </w:r>
      <w:r>
        <w:rPr>
          <w:rFonts w:hint="eastAsia" w:ascii="宋体" w:hAnsi="宋体" w:cs="宋体"/>
          <w:color w:val="auto"/>
          <w:sz w:val="24"/>
          <w:szCs w:val="24"/>
          <w:highlight w:val="none"/>
          <w:lang w:val="en-US" w:eastAsia="zh-CN"/>
        </w:rPr>
        <w:t>取</w:t>
      </w:r>
      <w:r>
        <w:rPr>
          <w:rFonts w:hint="eastAsia" w:ascii="宋体" w:hAnsi="宋体" w:cs="宋体"/>
          <w:color w:val="auto"/>
          <w:sz w:val="24"/>
          <w:szCs w:val="24"/>
          <w:highlight w:val="none"/>
          <w:lang w:eastAsia="zh-CN"/>
        </w:rPr>
        <w:t>，采购代理服务费为：</w:t>
      </w:r>
      <w:r>
        <w:rPr>
          <w:rFonts w:hint="eastAsia" w:hAnsi="宋体" w:cs="宋体"/>
          <w:color w:val="auto"/>
          <w:sz w:val="24"/>
          <w:szCs w:val="24"/>
          <w:highlight w:val="none"/>
          <w:lang w:val="en-US" w:eastAsia="zh-CN"/>
        </w:rPr>
        <w:t>4800</w:t>
      </w:r>
      <w:r>
        <w:rPr>
          <w:rFonts w:hint="eastAsia" w:ascii="宋体" w:hAnsi="宋体" w:cs="宋体"/>
          <w:color w:val="auto"/>
          <w:sz w:val="24"/>
          <w:szCs w:val="24"/>
          <w:highlight w:val="none"/>
          <w:lang w:eastAsia="zh-CN"/>
        </w:rPr>
        <w:t>元，大写：（</w:t>
      </w:r>
      <w:r>
        <w:rPr>
          <w:rFonts w:hint="eastAsia" w:hAnsi="宋体" w:cs="宋体"/>
          <w:color w:val="auto"/>
          <w:sz w:val="24"/>
          <w:szCs w:val="24"/>
          <w:highlight w:val="none"/>
          <w:lang w:val="en-US" w:eastAsia="zh-CN"/>
        </w:rPr>
        <w:t>肆仟捌佰</w:t>
      </w:r>
      <w:r>
        <w:rPr>
          <w:rFonts w:hint="eastAsia" w:ascii="宋体" w:hAnsi="宋体" w:cs="宋体"/>
          <w:color w:val="auto"/>
          <w:sz w:val="24"/>
          <w:szCs w:val="24"/>
          <w:highlight w:val="none"/>
          <w:lang w:eastAsia="zh-CN"/>
        </w:rPr>
        <w:t>元整）。采购代理费已含在供应商的投标报价中，采购人不再另行单独支付此费用</w:t>
      </w:r>
      <w:r>
        <w:rPr>
          <w:rFonts w:hint="eastAsia" w:ascii="宋体" w:hAnsi="宋体" w:eastAsia="宋体" w:cs="宋体"/>
          <w:color w:val="auto"/>
          <w:sz w:val="24"/>
          <w:szCs w:val="24"/>
          <w:highlight w:val="none"/>
          <w:lang w:eastAsia="zh-CN"/>
        </w:rPr>
        <w:t>。</w:t>
      </w:r>
    </w:p>
    <w:p w14:paraId="25B27945">
      <w:pPr>
        <w:pStyle w:val="5"/>
        <w:spacing w:before="0" w:after="0" w:line="360" w:lineRule="auto"/>
        <w:rPr>
          <w:rFonts w:hint="eastAsia" w:ascii="宋体" w:hAnsi="宋体" w:eastAsia="宋体" w:cs="宋体"/>
          <w:b/>
          <w:bCs w:val="0"/>
          <w:sz w:val="24"/>
          <w:szCs w:val="24"/>
        </w:rPr>
      </w:pPr>
      <w:bookmarkStart w:id="105" w:name="_Toc102227322"/>
      <w:bookmarkStart w:id="106" w:name="_Toc16786"/>
      <w:bookmarkStart w:id="107" w:name="_Toc342913396"/>
      <w:bookmarkStart w:id="108" w:name="_Toc12789059"/>
      <w:bookmarkStart w:id="109" w:name="_Toc11641055"/>
      <w:r>
        <w:rPr>
          <w:rFonts w:hint="eastAsia" w:ascii="宋体" w:hAnsi="宋体" w:eastAsia="宋体" w:cs="宋体"/>
          <w:b/>
          <w:bCs w:val="0"/>
          <w:sz w:val="24"/>
          <w:szCs w:val="24"/>
        </w:rPr>
        <w:t>八、签订</w:t>
      </w:r>
      <w:bookmarkEnd w:id="105"/>
      <w:r>
        <w:rPr>
          <w:rFonts w:hint="eastAsia" w:ascii="宋体" w:hAnsi="宋体" w:eastAsia="宋体" w:cs="宋体"/>
          <w:b/>
          <w:bCs w:val="0"/>
          <w:sz w:val="24"/>
          <w:szCs w:val="24"/>
        </w:rPr>
        <w:t>合同</w:t>
      </w:r>
      <w:bookmarkEnd w:id="106"/>
      <w:bookmarkEnd w:id="107"/>
    </w:p>
    <w:p w14:paraId="0B10439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（一）采购人应当自</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通知书发出之日起</w:t>
      </w:r>
      <w:r>
        <w:rPr>
          <w:rFonts w:hint="eastAsia" w:ascii="宋体" w:hAnsi="宋体" w:cs="宋体"/>
          <w:b w:val="0"/>
          <w:bCs/>
          <w:sz w:val="24"/>
          <w:szCs w:val="24"/>
          <w:lang w:val="en-US" w:eastAsia="zh-CN"/>
        </w:rPr>
        <w:t>二</w:t>
      </w:r>
      <w:r>
        <w:rPr>
          <w:rFonts w:hint="eastAsia" w:ascii="宋体" w:hAnsi="宋体" w:eastAsia="宋体" w:cs="宋体"/>
          <w:b w:val="0"/>
          <w:bCs/>
          <w:sz w:val="24"/>
          <w:szCs w:val="24"/>
        </w:rPr>
        <w:t>十日内，按照竞争性磋商文件和</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供应商响应文件的约定，与</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供应商签订书面合同。所签订的合同不得对竞争性磋商文件和供应商的响应文件作实质性修改。</w:t>
      </w:r>
    </w:p>
    <w:p w14:paraId="70759E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）竞争性磋商文件、供应商的响应文件及澄清文件等，均为签订政府采购合同的依据。</w:t>
      </w:r>
    </w:p>
    <w:p w14:paraId="25449C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14:paraId="60409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）合同原则上应按照《重庆市政府采购合同》签订，相关单位要求适用合同通用格式版本的，应按其要求另行签订其他合同。</w:t>
      </w:r>
    </w:p>
    <w:p w14:paraId="24CD60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）采购人要求</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供应商提供履约保证金的，应当在竞争性磋商文件中予以约定。</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供应商履约完毕后，采购人根据采购文件规定无息退还其履约保证金。</w:t>
      </w:r>
    </w:p>
    <w:p w14:paraId="0B52201F">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sz w:val="36"/>
          <w:szCs w:val="30"/>
        </w:rPr>
        <w:br w:type="page"/>
      </w:r>
      <w:bookmarkStart w:id="110" w:name="_Toc22590"/>
      <w:r>
        <w:rPr>
          <w:rFonts w:hint="eastAsia" w:ascii="宋体" w:hAnsi="宋体" w:eastAsia="宋体" w:cs="宋体"/>
          <w:b w:val="0"/>
          <w:sz w:val="36"/>
          <w:szCs w:val="30"/>
        </w:rPr>
        <w:t xml:space="preserve">第六篇  </w:t>
      </w:r>
      <w:bookmarkEnd w:id="108"/>
      <w:bookmarkEnd w:id="109"/>
      <w:r>
        <w:rPr>
          <w:rFonts w:hint="eastAsia" w:ascii="宋体" w:hAnsi="宋体" w:eastAsia="宋体" w:cs="宋体"/>
          <w:b w:val="0"/>
          <w:sz w:val="36"/>
          <w:szCs w:val="30"/>
        </w:rPr>
        <w:t>政府采购合同（仅供参考）</w:t>
      </w:r>
      <w:bookmarkEnd w:id="110"/>
    </w:p>
    <w:p w14:paraId="4F1CB69E">
      <w:pPr>
        <w:spacing w:line="500" w:lineRule="exact"/>
        <w:jc w:val="center"/>
        <w:rPr>
          <w:rFonts w:hint="eastAsia" w:ascii="宋体" w:hAnsi="宋体" w:eastAsia="宋体" w:cs="宋体"/>
        </w:rPr>
      </w:pPr>
    </w:p>
    <w:p w14:paraId="3A843835">
      <w:pPr>
        <w:spacing w:line="440" w:lineRule="exact"/>
        <w:rPr>
          <w:rFonts w:hint="eastAsia" w:ascii="宋体" w:hAnsi="宋体" w:eastAsia="宋体" w:cs="宋体"/>
          <w:color w:val="auto"/>
          <w:sz w:val="24"/>
        </w:rPr>
      </w:pPr>
      <w:bookmarkStart w:id="111" w:name="_Hlt41879464"/>
      <w:bookmarkEnd w:id="111"/>
      <w:r>
        <w:rPr>
          <w:rFonts w:hint="eastAsia" w:ascii="宋体" w:hAnsi="宋体" w:eastAsia="宋体" w:cs="宋体"/>
          <w:color w:val="auto"/>
          <w:sz w:val="24"/>
        </w:rPr>
        <w:t>甲方（需方）：___________________________</w:t>
      </w:r>
    </w:p>
    <w:p w14:paraId="2F1B649E">
      <w:pPr>
        <w:spacing w:line="44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w:t>
      </w:r>
    </w:p>
    <w:p w14:paraId="02A53AF6">
      <w:pPr>
        <w:spacing w:line="44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61"/>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473"/>
        <w:gridCol w:w="888"/>
        <w:gridCol w:w="653"/>
        <w:gridCol w:w="1500"/>
        <w:gridCol w:w="1500"/>
        <w:gridCol w:w="1472"/>
      </w:tblGrid>
      <w:tr w14:paraId="16E0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E69BA4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1473" w:type="dxa"/>
            <w:noWrap/>
            <w:vAlign w:val="center"/>
          </w:tcPr>
          <w:p w14:paraId="37D3540A">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数量</w:t>
            </w:r>
          </w:p>
        </w:tc>
        <w:tc>
          <w:tcPr>
            <w:tcW w:w="1541" w:type="dxa"/>
            <w:gridSpan w:val="2"/>
            <w:noWrap/>
            <w:vAlign w:val="center"/>
          </w:tcPr>
          <w:p w14:paraId="6A57DA4E">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综合单价</w:t>
            </w:r>
          </w:p>
        </w:tc>
        <w:tc>
          <w:tcPr>
            <w:tcW w:w="1500" w:type="dxa"/>
            <w:noWrap/>
            <w:vAlign w:val="center"/>
          </w:tcPr>
          <w:p w14:paraId="298301C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00" w:type="dxa"/>
            <w:shd w:val="clear" w:color="auto" w:fill="auto"/>
            <w:noWrap/>
            <w:vAlign w:val="center"/>
          </w:tcPr>
          <w:p w14:paraId="1C36485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服务时间</w:t>
            </w:r>
          </w:p>
        </w:tc>
        <w:tc>
          <w:tcPr>
            <w:tcW w:w="1472" w:type="dxa"/>
            <w:shd w:val="clear" w:color="auto" w:fill="auto"/>
            <w:noWrap/>
            <w:vAlign w:val="center"/>
          </w:tcPr>
          <w:p w14:paraId="4731EBD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服务地点</w:t>
            </w:r>
          </w:p>
        </w:tc>
      </w:tr>
      <w:tr w14:paraId="416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52C46C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6745C0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7B7EAD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5C478F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0570792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399C881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496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07B65C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11E5480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4CBA88D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29B0F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39414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58DAAC7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3FA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582D099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4E5BDC7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1BB297D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695D34E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45B20F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1779258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24F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7FD7688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0F4A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0971E3D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228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28" w:type="dxa"/>
            <w:gridSpan w:val="7"/>
            <w:noWrap/>
          </w:tcPr>
          <w:p w14:paraId="12405167">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服务要求</w:t>
            </w:r>
            <w:r>
              <w:rPr>
                <w:rFonts w:hint="eastAsia" w:ascii="宋体" w:hAnsi="宋体" w:eastAsia="宋体" w:cs="宋体"/>
                <w:color w:val="auto"/>
                <w:sz w:val="21"/>
                <w:szCs w:val="21"/>
              </w:rPr>
              <w:t>：</w:t>
            </w:r>
          </w:p>
          <w:p w14:paraId="00C7FB2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5C0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7"/>
            <w:noWrap/>
          </w:tcPr>
          <w:p w14:paraId="7504907E">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二、验收</w:t>
            </w:r>
            <w:r>
              <w:rPr>
                <w:rFonts w:hint="eastAsia" w:ascii="宋体" w:hAnsi="宋体" w:eastAsia="宋体" w:cs="宋体"/>
                <w:color w:val="auto"/>
                <w:sz w:val="21"/>
                <w:szCs w:val="21"/>
                <w:lang w:val="en-US" w:eastAsia="zh-CN"/>
              </w:rPr>
              <w:t>方式</w:t>
            </w:r>
            <w:r>
              <w:rPr>
                <w:rFonts w:hint="eastAsia" w:ascii="宋体" w:hAnsi="宋体" w:eastAsia="宋体" w:cs="宋体"/>
                <w:color w:val="auto"/>
                <w:sz w:val="21"/>
                <w:szCs w:val="21"/>
              </w:rPr>
              <w:t>：</w:t>
            </w:r>
          </w:p>
          <w:p w14:paraId="3AD26A0B">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0CF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7"/>
            <w:noWrap/>
          </w:tcPr>
          <w:p w14:paraId="7BE7F93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142C6001">
            <w:pPr>
              <w:pStyle w:val="33"/>
              <w:keepNext w:val="0"/>
              <w:keepLines w:val="0"/>
              <w:suppressLineNumbers w:val="0"/>
              <w:snapToGrid w:val="0"/>
              <w:spacing w:before="0" w:beforeAutospacing="0" w:after="0" w:afterAutospacing="0"/>
              <w:ind w:left="1540" w:right="0" w:hanging="420"/>
              <w:rPr>
                <w:rFonts w:hint="eastAsia" w:ascii="宋体" w:hAnsi="宋体" w:eastAsia="宋体" w:cs="宋体"/>
                <w:color w:val="auto"/>
                <w:sz w:val="21"/>
                <w:szCs w:val="21"/>
              </w:rPr>
            </w:pPr>
          </w:p>
        </w:tc>
      </w:tr>
      <w:tr w14:paraId="7EE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48C02E5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10166AE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按《中华人民共和国民法典》、《政府采购法》执行，或按双方约定。</w:t>
            </w:r>
          </w:p>
        </w:tc>
      </w:tr>
      <w:tr w14:paraId="376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654B072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147A86E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1、采购文件及其补遗文件、投标文件和承诺是本合同不可分割的部分。</w:t>
            </w:r>
          </w:p>
          <w:p w14:paraId="4B53DFCA">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本合同如发生争议由双方协商解决，协商不成向需方所在人民法院提请诉讼。</w:t>
            </w:r>
          </w:p>
          <w:p w14:paraId="7313350E">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本合同一式__份， 需方__份，供方__份，具同等法律效力。</w:t>
            </w:r>
          </w:p>
          <w:p w14:paraId="4F74566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2、其他：</w:t>
            </w:r>
          </w:p>
        </w:tc>
      </w:tr>
      <w:tr w14:paraId="17A2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3"/>
            <w:noWrap/>
          </w:tcPr>
          <w:p w14:paraId="30B865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44CEDF3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0671C8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640A7BF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4"/>
            <w:noWrap/>
          </w:tcPr>
          <w:p w14:paraId="46FB565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5C39447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892F7C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CB3AC0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641D49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E47ACA4">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737A06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9745078">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33A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7"/>
            <w:noWrap/>
          </w:tcPr>
          <w:p w14:paraId="1EA0D06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bl>
    <w:p w14:paraId="3229EF65">
      <w:pPr>
        <w:pStyle w:val="253"/>
        <w:rPr>
          <w:rFonts w:hint="eastAsia" w:ascii="宋体" w:hAnsi="宋体" w:eastAsia="宋体" w:cs="宋体"/>
          <w:color w:val="auto"/>
          <w:szCs w:val="28"/>
          <w:highlight w:val="none"/>
          <w:lang w:val="en-US" w:eastAsia="zh-CN"/>
        </w:rPr>
      </w:pPr>
      <w:r>
        <w:rPr>
          <w:rFonts w:hint="eastAsia" w:ascii="宋体" w:hAnsi="宋体" w:eastAsia="宋体" w:cs="宋体"/>
          <w:color w:val="auto"/>
        </w:rPr>
        <w:t>签约时间：           年   月   日         签约地点：</w:t>
      </w:r>
    </w:p>
    <w:p w14:paraId="578ACA02">
      <w:pPr>
        <w:rPr>
          <w:rFonts w:hint="eastAsia" w:ascii="宋体" w:hAnsi="宋体" w:eastAsia="宋体" w:cs="宋体"/>
          <w:b w:val="0"/>
          <w:sz w:val="36"/>
          <w:szCs w:val="30"/>
        </w:rPr>
      </w:pPr>
      <w:r>
        <w:rPr>
          <w:rFonts w:hint="eastAsia" w:ascii="宋体" w:hAnsi="宋体" w:eastAsia="宋体" w:cs="宋体"/>
          <w:b w:val="0"/>
          <w:sz w:val="36"/>
          <w:szCs w:val="30"/>
        </w:rPr>
        <w:br w:type="page"/>
      </w:r>
    </w:p>
    <w:p w14:paraId="38017E48">
      <w:pPr>
        <w:rPr>
          <w:rFonts w:hint="eastAsia"/>
        </w:rPr>
      </w:pPr>
    </w:p>
    <w:p w14:paraId="1BE92225">
      <w:pPr>
        <w:pStyle w:val="4"/>
        <w:spacing w:before="0" w:after="0" w:line="360" w:lineRule="auto"/>
        <w:jc w:val="center"/>
        <w:rPr>
          <w:rFonts w:hint="eastAsia" w:ascii="宋体" w:hAnsi="宋体" w:eastAsia="宋体" w:cs="宋体"/>
          <w:b w:val="0"/>
          <w:sz w:val="36"/>
          <w:szCs w:val="30"/>
        </w:rPr>
      </w:pPr>
      <w:bookmarkStart w:id="112" w:name="_Toc9900"/>
      <w:r>
        <w:rPr>
          <w:rFonts w:hint="eastAsia" w:ascii="宋体" w:hAnsi="宋体" w:eastAsia="宋体" w:cs="宋体"/>
          <w:b w:val="0"/>
          <w:sz w:val="36"/>
          <w:szCs w:val="30"/>
        </w:rPr>
        <w:t>第七篇  响应文件编制要求</w:t>
      </w:r>
      <w:bookmarkEnd w:id="112"/>
    </w:p>
    <w:p w14:paraId="3B3C53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EA98A4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3565EAB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服务</w:t>
      </w:r>
      <w:r>
        <w:rPr>
          <w:rFonts w:hint="eastAsia" w:ascii="宋体" w:hAnsi="宋体" w:eastAsia="宋体" w:cs="宋体"/>
          <w:sz w:val="24"/>
          <w:szCs w:val="24"/>
        </w:rPr>
        <w:t>部分</w:t>
      </w:r>
    </w:p>
    <w:p w14:paraId="630433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服务</w:t>
      </w:r>
      <w:r>
        <w:rPr>
          <w:rFonts w:hint="eastAsia" w:ascii="宋体" w:hAnsi="宋体" w:eastAsia="宋体" w:cs="宋体"/>
          <w:sz w:val="24"/>
          <w:szCs w:val="24"/>
        </w:rPr>
        <w:t>响应偏离表</w:t>
      </w:r>
    </w:p>
    <w:p w14:paraId="01DE03DB">
      <w:pPr>
        <w:spacing w:line="44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（二）</w:t>
      </w:r>
      <w:r>
        <w:rPr>
          <w:rFonts w:hint="eastAsia" w:ascii="宋体" w:hAnsi="宋体" w:cs="宋体"/>
          <w:sz w:val="24"/>
          <w:szCs w:val="24"/>
          <w:lang w:val="en-US" w:eastAsia="zh-CN"/>
        </w:rPr>
        <w:t>服务方案</w:t>
      </w:r>
    </w:p>
    <w:p w14:paraId="078D82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0B1BB9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15E9A4E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）商务部分评分资料</w:t>
      </w:r>
    </w:p>
    <w:p w14:paraId="65D864D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564BA5E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182A6F7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特定资格条件证明材料</w:t>
      </w:r>
    </w:p>
    <w:p w14:paraId="3746782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51473E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）法定代表人授权委托书（格式）</w:t>
      </w:r>
    </w:p>
    <w:p w14:paraId="6DCA32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）基本资格条件承诺函（格式）</w:t>
      </w:r>
    </w:p>
    <w:p w14:paraId="2500156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682EEE6F">
      <w:pPr>
        <w:snapToGrid w:val="0"/>
        <w:spacing w:line="360" w:lineRule="auto"/>
        <w:rPr>
          <w:rFonts w:hint="eastAsia" w:ascii="宋体" w:hAnsi="宋体" w:eastAsia="宋体" w:cs="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）其他与项目有关的资料</w:t>
      </w:r>
      <w:r>
        <w:rPr>
          <w:rFonts w:hint="eastAsia" w:ascii="宋体" w:hAnsi="宋体" w:cs="宋体"/>
          <w:sz w:val="24"/>
          <w:szCs w:val="24"/>
          <w:lang w:eastAsia="zh-CN"/>
        </w:rPr>
        <w:t>（</w:t>
      </w:r>
      <w:r>
        <w:rPr>
          <w:rFonts w:hint="eastAsia" w:ascii="宋体" w:hAnsi="宋体" w:cs="宋体"/>
          <w:sz w:val="24"/>
          <w:szCs w:val="24"/>
          <w:lang w:val="en-US" w:eastAsia="zh-CN"/>
        </w:rPr>
        <w:t>自附</w:t>
      </w:r>
      <w:r>
        <w:rPr>
          <w:rFonts w:hint="eastAsia" w:ascii="宋体" w:hAnsi="宋体" w:cs="宋体"/>
          <w:sz w:val="24"/>
          <w:szCs w:val="24"/>
          <w:lang w:eastAsia="zh-CN"/>
        </w:rPr>
        <w:t>）</w:t>
      </w:r>
    </w:p>
    <w:p w14:paraId="2D877C46">
      <w:pPr>
        <w:pStyle w:val="5"/>
        <w:spacing w:before="0" w:after="0" w:line="360" w:lineRule="auto"/>
        <w:rPr>
          <w:rFonts w:hint="eastAsia" w:ascii="宋体" w:hAnsi="宋体" w:eastAsia="宋体" w:cs="宋体"/>
          <w:sz w:val="24"/>
          <w:szCs w:val="24"/>
        </w:rPr>
      </w:pPr>
      <w:bookmarkStart w:id="113" w:name="_Toc342913419"/>
      <w:bookmarkStart w:id="114" w:name="_Toc313008356"/>
      <w:bookmarkStart w:id="115" w:name="_Toc313888360"/>
      <w:bookmarkStart w:id="116" w:name="_Toc20798"/>
      <w:bookmarkStart w:id="117" w:name="_Toc283382454"/>
      <w:bookmarkStart w:id="118" w:name="_Toc12789073"/>
      <w:r>
        <w:rPr>
          <w:rFonts w:hint="eastAsia" w:ascii="宋体" w:hAnsi="宋体" w:eastAsia="宋体" w:cs="宋体"/>
          <w:sz w:val="24"/>
          <w:szCs w:val="24"/>
        </w:rPr>
        <w:t>一、经济部分</w:t>
      </w:r>
      <w:bookmarkEnd w:id="113"/>
      <w:bookmarkEnd w:id="114"/>
      <w:bookmarkEnd w:id="115"/>
      <w:bookmarkEnd w:id="116"/>
    </w:p>
    <w:bookmarkEnd w:id="117"/>
    <w:bookmarkEnd w:id="118"/>
    <w:p w14:paraId="54A0CF7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（一）竞争性磋商报价函</w:t>
      </w:r>
    </w:p>
    <w:p w14:paraId="2F271DE8">
      <w:pPr>
        <w:tabs>
          <w:tab w:val="left" w:pos="6300"/>
        </w:tabs>
        <w:snapToGrid w:val="0"/>
        <w:spacing w:line="312" w:lineRule="auto"/>
        <w:jc w:val="center"/>
        <w:outlineLvl w:val="0"/>
        <w:rPr>
          <w:rFonts w:hint="eastAsia" w:ascii="宋体" w:hAnsi="宋体" w:eastAsia="宋体" w:cs="宋体"/>
          <w:b/>
          <w:szCs w:val="28"/>
        </w:rPr>
      </w:pPr>
    </w:p>
    <w:p w14:paraId="03A47EEC">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534FB671">
      <w:pPr>
        <w:tabs>
          <w:tab w:val="left" w:pos="6300"/>
        </w:tabs>
        <w:snapToGrid w:val="0"/>
        <w:spacing w:line="312" w:lineRule="auto"/>
        <w:rPr>
          <w:rFonts w:hint="eastAsia" w:ascii="宋体" w:hAnsi="宋体" w:eastAsia="宋体" w:cs="宋体"/>
          <w:szCs w:val="28"/>
        </w:rPr>
      </w:pPr>
      <w:r>
        <w:rPr>
          <w:rFonts w:hint="eastAsia" w:ascii="宋体" w:hAnsi="宋体" w:eastAsia="宋体" w:cs="宋体"/>
          <w:szCs w:val="28"/>
          <w:u w:val="single"/>
        </w:rPr>
        <w:t>（</w:t>
      </w:r>
      <w:r>
        <w:rPr>
          <w:rFonts w:hint="eastAsia" w:ascii="宋体" w:hAnsi="宋体" w:eastAsia="宋体" w:cs="宋体"/>
          <w:color w:val="auto"/>
          <w:sz w:val="24"/>
          <w:szCs w:val="24"/>
          <w:highlight w:val="none"/>
          <w:u w:val="single"/>
        </w:rPr>
        <w:t>采购人名称</w:t>
      </w:r>
      <w:r>
        <w:rPr>
          <w:rFonts w:hint="eastAsia" w:ascii="宋体" w:hAnsi="宋体" w:eastAsia="宋体" w:cs="宋体"/>
          <w:szCs w:val="28"/>
          <w:u w:val="single"/>
        </w:rPr>
        <w:t>）</w:t>
      </w:r>
      <w:r>
        <w:rPr>
          <w:rFonts w:hint="eastAsia" w:ascii="宋体" w:hAnsi="宋体" w:eastAsia="宋体" w:cs="宋体"/>
          <w:szCs w:val="28"/>
        </w:rPr>
        <w:t>：</w:t>
      </w:r>
    </w:p>
    <w:p w14:paraId="1296A14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我方收到____________________________（磋商项目名称）的竞争性磋商文件，经详细研究，决定参加该项目的磋商。</w:t>
      </w:r>
    </w:p>
    <w:p w14:paraId="423008C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1.愿意按照竞争性磋商文件中的一切要求，提供本项目的</w:t>
      </w:r>
      <w:r>
        <w:rPr>
          <w:rFonts w:hint="eastAsia" w:ascii="宋体" w:hAnsi="宋体" w:cs="宋体"/>
          <w:szCs w:val="28"/>
          <w:lang w:val="en-US" w:eastAsia="zh-CN"/>
        </w:rPr>
        <w:t>服务</w:t>
      </w:r>
      <w:r>
        <w:rPr>
          <w:rFonts w:hint="eastAsia" w:ascii="宋体" w:hAnsi="宋体" w:eastAsia="宋体" w:cs="宋体"/>
          <w:szCs w:val="28"/>
        </w:rPr>
        <w:t>，初始报价为人民币大写：</w:t>
      </w:r>
      <w:r>
        <w:rPr>
          <w:rFonts w:hint="eastAsia" w:ascii="宋体" w:hAnsi="宋体" w:eastAsia="宋体" w:cs="宋体"/>
          <w:szCs w:val="28"/>
          <w:u w:val="single"/>
        </w:rPr>
        <w:t xml:space="preserve">      </w:t>
      </w:r>
      <w:r>
        <w:rPr>
          <w:rFonts w:hint="eastAsia" w:ascii="宋体" w:hAnsi="宋体" w:eastAsia="宋体" w:cs="宋体"/>
          <w:szCs w:val="28"/>
        </w:rPr>
        <w:t>；人民币小写：</w:t>
      </w:r>
      <w:r>
        <w:rPr>
          <w:rFonts w:hint="eastAsia" w:ascii="宋体" w:hAnsi="宋体" w:eastAsia="宋体" w:cs="宋体"/>
          <w:szCs w:val="28"/>
          <w:u w:val="single"/>
        </w:rPr>
        <w:t xml:space="preserve">    </w:t>
      </w:r>
      <w:r>
        <w:rPr>
          <w:rFonts w:hint="eastAsia" w:ascii="宋体" w:hAnsi="宋体" w:eastAsia="宋体" w:cs="宋体"/>
          <w:szCs w:val="28"/>
        </w:rPr>
        <w:t>元。以我公司最后报价为准。</w:t>
      </w:r>
    </w:p>
    <w:p w14:paraId="33543BB4">
      <w:pPr>
        <w:tabs>
          <w:tab w:val="left" w:pos="6300"/>
        </w:tabs>
        <w:snapToGrid w:val="0"/>
        <w:spacing w:line="312" w:lineRule="auto"/>
        <w:ind w:left="280" w:leftChars="100" w:firstLine="280" w:firstLineChars="100"/>
        <w:rPr>
          <w:rFonts w:hint="eastAsia" w:ascii="宋体" w:hAnsi="宋体" w:eastAsia="宋体" w:cs="宋体"/>
          <w:szCs w:val="28"/>
          <w:lang w:eastAsia="zh-CN"/>
        </w:rPr>
      </w:pPr>
      <w:r>
        <w:rPr>
          <w:rFonts w:hint="eastAsia" w:ascii="宋体" w:hAnsi="宋体" w:eastAsia="宋体" w:cs="宋体"/>
          <w:szCs w:val="28"/>
        </w:rPr>
        <w:t>2.我方现提交的响应文件为：响应文件正本</w:t>
      </w:r>
      <w:r>
        <w:rPr>
          <w:rFonts w:hint="eastAsia" w:ascii="宋体" w:hAnsi="宋体" w:eastAsia="宋体" w:cs="宋体"/>
          <w:szCs w:val="28"/>
          <w:u w:val="single"/>
        </w:rPr>
        <w:t xml:space="preserve">   </w:t>
      </w:r>
      <w:r>
        <w:rPr>
          <w:rFonts w:hint="eastAsia" w:ascii="宋体" w:hAnsi="宋体" w:eastAsia="宋体" w:cs="宋体"/>
          <w:szCs w:val="28"/>
        </w:rPr>
        <w:t>份，副本</w:t>
      </w:r>
      <w:r>
        <w:rPr>
          <w:rFonts w:hint="eastAsia" w:ascii="宋体" w:hAnsi="宋体" w:eastAsia="宋体" w:cs="宋体"/>
          <w:szCs w:val="28"/>
          <w:u w:val="single"/>
        </w:rPr>
        <w:t xml:space="preserve">   </w:t>
      </w:r>
      <w:r>
        <w:rPr>
          <w:rFonts w:hint="eastAsia" w:ascii="宋体" w:hAnsi="宋体" w:eastAsia="宋体" w:cs="宋体"/>
          <w:szCs w:val="28"/>
        </w:rPr>
        <w:t>份</w:t>
      </w:r>
      <w:r>
        <w:rPr>
          <w:rFonts w:hint="eastAsia" w:ascii="宋体" w:hAnsi="宋体" w:cs="宋体"/>
          <w:szCs w:val="28"/>
          <w:lang w:eastAsia="zh-CN"/>
        </w:rPr>
        <w:t>。</w:t>
      </w:r>
    </w:p>
    <w:p w14:paraId="1128C450">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3.我方承诺：本次磋商的有效期为90天。</w:t>
      </w:r>
    </w:p>
    <w:p w14:paraId="1493AE3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4.我方完全理解和接受贵方竞争性磋商文件的一切规定和要求及评审办法。</w:t>
      </w:r>
    </w:p>
    <w:p w14:paraId="178CF613">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5.在整个竞争性磋商过程中，我方若有违规行为，接受按照《中华人民共和国政府采购法》和《竞争性磋商文件》之规定给予惩罚。</w:t>
      </w:r>
    </w:p>
    <w:p w14:paraId="10E0D45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6.我方若成为</w:t>
      </w:r>
      <w:r>
        <w:rPr>
          <w:rFonts w:hint="eastAsia" w:ascii="宋体" w:hAnsi="宋体" w:cs="宋体"/>
          <w:szCs w:val="28"/>
          <w:lang w:val="en-US" w:eastAsia="zh-CN"/>
        </w:rPr>
        <w:t>成交</w:t>
      </w:r>
      <w:r>
        <w:rPr>
          <w:rFonts w:hint="eastAsia" w:ascii="宋体" w:hAnsi="宋体" w:eastAsia="宋体" w:cs="宋体"/>
          <w:szCs w:val="28"/>
        </w:rPr>
        <w:t>供应商，将按照最终磋商结果签订合同，并且严格履行合同义务。本承诺函将成为合同不可分割的一部分，与合同具有同等的法律效力。</w:t>
      </w:r>
    </w:p>
    <w:p w14:paraId="78E3B58C">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7.如果我方成为</w:t>
      </w:r>
      <w:r>
        <w:rPr>
          <w:rFonts w:hint="eastAsia" w:ascii="宋体" w:hAnsi="宋体" w:cs="宋体"/>
          <w:szCs w:val="28"/>
          <w:lang w:val="en-US" w:eastAsia="zh-CN"/>
        </w:rPr>
        <w:t>成交</w:t>
      </w:r>
      <w:r>
        <w:rPr>
          <w:rFonts w:hint="eastAsia" w:ascii="宋体" w:hAnsi="宋体" w:eastAsia="宋体" w:cs="宋体"/>
          <w:szCs w:val="28"/>
        </w:rPr>
        <w:t>供应商，保证在接到</w:t>
      </w:r>
      <w:r>
        <w:rPr>
          <w:rFonts w:hint="eastAsia" w:ascii="宋体" w:hAnsi="宋体" w:cs="宋体"/>
          <w:szCs w:val="28"/>
          <w:lang w:val="en-US" w:eastAsia="zh-CN"/>
        </w:rPr>
        <w:t>成交</w:t>
      </w:r>
      <w:r>
        <w:rPr>
          <w:rFonts w:hint="eastAsia" w:ascii="宋体" w:hAnsi="宋体" w:eastAsia="宋体" w:cs="宋体"/>
          <w:szCs w:val="28"/>
        </w:rPr>
        <w:t>通知书后，向采购代理机构缴纳竞争性磋商文件规定的采购代理服务费。</w:t>
      </w:r>
    </w:p>
    <w:p w14:paraId="4D381E95">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8.我方理解，最低报价不是成交的唯一条件。</w:t>
      </w:r>
    </w:p>
    <w:p w14:paraId="430FF231">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供应商（公章）：</w:t>
      </w:r>
    </w:p>
    <w:p w14:paraId="16F2276B">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 xml:space="preserve">地址：  </w:t>
      </w:r>
    </w:p>
    <w:p w14:paraId="2FF688A5">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电话：                                             传真：</w:t>
      </w:r>
    </w:p>
    <w:p w14:paraId="3096960A">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网址：                                             邮编：</w:t>
      </w:r>
    </w:p>
    <w:p w14:paraId="10D24F60">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联系人：</w:t>
      </w:r>
    </w:p>
    <w:p w14:paraId="2326B529">
      <w:pPr>
        <w:spacing w:line="400" w:lineRule="exact"/>
        <w:jc w:val="center"/>
        <w:rPr>
          <w:rFonts w:hint="eastAsia" w:ascii="宋体" w:hAnsi="宋体" w:eastAsia="宋体" w:cs="宋体"/>
          <w:szCs w:val="28"/>
        </w:rPr>
      </w:pPr>
      <w:r>
        <w:rPr>
          <w:rFonts w:hint="eastAsia" w:ascii="宋体" w:hAnsi="宋体" w:eastAsia="宋体" w:cs="宋体"/>
          <w:szCs w:val="28"/>
        </w:rPr>
        <w:t xml:space="preserve">                                                  年   月   日</w:t>
      </w:r>
    </w:p>
    <w:p w14:paraId="1DE1FAE7">
      <w:pPr>
        <w:spacing w:line="400" w:lineRule="exact"/>
        <w:jc w:val="center"/>
        <w:rPr>
          <w:rFonts w:hint="eastAsia" w:ascii="宋体" w:hAnsi="宋体" w:eastAsia="宋体" w:cs="宋体"/>
          <w:szCs w:val="28"/>
        </w:rPr>
      </w:pPr>
    </w:p>
    <w:p w14:paraId="138A94F4">
      <w:pPr>
        <w:spacing w:line="400" w:lineRule="exact"/>
        <w:jc w:val="center"/>
        <w:rPr>
          <w:rFonts w:hint="eastAsia" w:ascii="宋体" w:hAnsi="宋体" w:eastAsia="宋体" w:cs="宋体"/>
          <w:szCs w:val="28"/>
        </w:rPr>
      </w:pPr>
    </w:p>
    <w:p w14:paraId="3BB84AE3">
      <w:pPr>
        <w:spacing w:line="400" w:lineRule="exact"/>
        <w:jc w:val="center"/>
        <w:rPr>
          <w:rFonts w:hint="eastAsia" w:ascii="宋体" w:hAnsi="宋体" w:eastAsia="宋体" w:cs="宋体"/>
          <w:szCs w:val="28"/>
        </w:rPr>
      </w:pPr>
    </w:p>
    <w:p w14:paraId="575CD2FA">
      <w:pPr>
        <w:spacing w:line="400" w:lineRule="exact"/>
        <w:jc w:val="center"/>
        <w:rPr>
          <w:rFonts w:hint="eastAsia" w:ascii="宋体" w:hAnsi="宋体" w:eastAsia="宋体" w:cs="宋体"/>
          <w:szCs w:val="28"/>
        </w:rPr>
      </w:pPr>
    </w:p>
    <w:p w14:paraId="22CE4A79">
      <w:pPr>
        <w:snapToGrid/>
        <w:ind w:left="0" w:leftChars="0"/>
        <w:rPr>
          <w:rFonts w:hint="eastAsia" w:ascii="宋体" w:hAnsi="宋体" w:eastAsia="宋体" w:cs="宋体"/>
          <w:sz w:val="24"/>
          <w:szCs w:val="24"/>
        </w:rPr>
      </w:pPr>
    </w:p>
    <w:p w14:paraId="259A2602">
      <w:pPr>
        <w:pStyle w:val="5"/>
        <w:numPr>
          <w:ilvl w:val="0"/>
          <w:numId w:val="13"/>
        </w:numPr>
        <w:spacing w:before="0" w:after="0" w:line="360" w:lineRule="auto"/>
        <w:rPr>
          <w:rFonts w:hint="eastAsia" w:ascii="宋体" w:hAnsi="宋体" w:eastAsia="宋体" w:cs="宋体"/>
          <w:sz w:val="24"/>
          <w:szCs w:val="24"/>
        </w:rPr>
      </w:pPr>
      <w:bookmarkStart w:id="119" w:name="_Toc313888361"/>
      <w:bookmarkStart w:id="120" w:name="_Toc313008357"/>
      <w:bookmarkStart w:id="121" w:name="_Toc342913420"/>
      <w:bookmarkStart w:id="122" w:name="_Toc26725"/>
      <w:r>
        <w:rPr>
          <w:rFonts w:hint="eastAsia" w:ascii="宋体" w:hAnsi="宋体" w:cs="宋体"/>
          <w:sz w:val="24"/>
          <w:szCs w:val="24"/>
          <w:lang w:val="en-US" w:eastAsia="zh-CN"/>
        </w:rPr>
        <w:t>服务</w:t>
      </w:r>
      <w:r>
        <w:rPr>
          <w:rFonts w:hint="eastAsia" w:ascii="宋体" w:hAnsi="宋体" w:eastAsia="宋体" w:cs="宋体"/>
          <w:sz w:val="24"/>
          <w:szCs w:val="24"/>
        </w:rPr>
        <w:t>部</w:t>
      </w:r>
      <w:bookmarkEnd w:id="119"/>
      <w:bookmarkEnd w:id="120"/>
      <w:bookmarkEnd w:id="121"/>
      <w:r>
        <w:rPr>
          <w:rFonts w:hint="eastAsia" w:ascii="宋体" w:hAnsi="宋体" w:eastAsia="宋体" w:cs="宋体"/>
          <w:sz w:val="24"/>
          <w:szCs w:val="24"/>
        </w:rPr>
        <w:t>分</w:t>
      </w:r>
      <w:bookmarkEnd w:id="122"/>
    </w:p>
    <w:p w14:paraId="69B8F76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szCs w:val="24"/>
          <w:lang w:val="en-US" w:eastAsia="zh-CN"/>
        </w:rPr>
        <w:t>服务响应</w:t>
      </w:r>
      <w:r>
        <w:rPr>
          <w:rFonts w:hint="eastAsia" w:ascii="宋体" w:hAnsi="宋体" w:eastAsia="宋体" w:cs="宋体"/>
          <w:sz w:val="24"/>
          <w:szCs w:val="24"/>
        </w:rPr>
        <w:t>偏离表</w:t>
      </w:r>
    </w:p>
    <w:p w14:paraId="0369EC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72B22042">
      <w:pPr>
        <w:pStyle w:val="33"/>
        <w:tabs>
          <w:tab w:val="left" w:pos="6300"/>
        </w:tabs>
        <w:snapToGrid w:val="0"/>
        <w:spacing w:line="4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6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5B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B0C8E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14:paraId="412CCC2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vAlign w:val="center"/>
          </w:tcPr>
          <w:p w14:paraId="3857793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14:paraId="3E33993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7DF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C18D8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56B611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09024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0901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29F1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5692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9F3AA8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B55886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B2D92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B1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D1B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9973D5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513201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A4DCF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78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A21A2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1E65EEB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605C83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2F20B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BB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DA680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754C7A5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4C823A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C25EBC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348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AC9BC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2DB803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95197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5CFD2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9D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8383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72C148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70F9A73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95C4F4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85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431AB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470527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2024B4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FA72E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F8F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85C0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7D429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27F5A4A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ADCA7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76C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24847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3ED31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04FC76D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5C6D235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bl>
    <w:p w14:paraId="3D12ED44">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55115C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0447C416">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5EA6B40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00508C9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5B80D970">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1.本表即为对本项目“第二篇  项目服务需求”中所列</w:t>
      </w:r>
      <w:r>
        <w:rPr>
          <w:rFonts w:hint="eastAsia" w:ascii="宋体" w:hAnsi="宋体" w:cs="宋体"/>
          <w:sz w:val="24"/>
          <w:szCs w:val="24"/>
          <w:lang w:val="en-US" w:eastAsia="zh-CN"/>
        </w:rPr>
        <w:t>服务</w:t>
      </w:r>
      <w:r>
        <w:rPr>
          <w:rFonts w:hint="eastAsia" w:ascii="宋体" w:hAnsi="宋体" w:eastAsia="宋体" w:cs="宋体"/>
          <w:sz w:val="24"/>
          <w:szCs w:val="24"/>
        </w:rPr>
        <w:t>要求进行比较和响应；</w:t>
      </w:r>
    </w:p>
    <w:p w14:paraId="4C674CB9">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8EFE81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196B808B">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4.可附相关支撑材料。（格式自定）</w:t>
      </w:r>
    </w:p>
    <w:p w14:paraId="7A943B07">
      <w:pPr>
        <w:pStyle w:val="60"/>
        <w:rPr>
          <w:rFonts w:hint="eastAsia" w:ascii="宋体" w:hAnsi="宋体" w:eastAsia="宋体" w:cs="宋体"/>
          <w:sz w:val="24"/>
          <w:szCs w:val="24"/>
        </w:rPr>
      </w:pPr>
    </w:p>
    <w:p w14:paraId="58A977E9">
      <w:pPr>
        <w:pStyle w:val="5"/>
        <w:numPr>
          <w:ilvl w:val="0"/>
          <w:numId w:val="0"/>
        </w:numPr>
        <w:spacing w:before="0" w:after="0" w:line="360" w:lineRule="auto"/>
        <w:ind w:right="0" w:rightChars="0"/>
        <w:rPr>
          <w:rFonts w:hint="eastAsia" w:ascii="宋体" w:hAnsi="宋体" w:eastAsia="宋体"/>
          <w:b w:val="0"/>
          <w:bCs/>
          <w:snapToGrid w:val="0"/>
          <w:sz w:val="24"/>
          <w:szCs w:val="24"/>
        </w:rPr>
      </w:pPr>
      <w:bookmarkStart w:id="123" w:name="_Toc5383"/>
      <w:r>
        <w:rPr>
          <w:rFonts w:hint="eastAsia" w:ascii="宋体" w:hAnsi="宋体" w:eastAsia="宋体"/>
          <w:b w:val="0"/>
          <w:bCs/>
          <w:snapToGrid w:val="0"/>
          <w:sz w:val="24"/>
          <w:szCs w:val="24"/>
          <w:lang w:val="en-US" w:eastAsia="zh-CN"/>
        </w:rPr>
        <w:t>二、服务</w:t>
      </w:r>
      <w:r>
        <w:rPr>
          <w:rFonts w:hint="eastAsia" w:ascii="宋体" w:hAnsi="宋体" w:eastAsia="宋体"/>
          <w:b w:val="0"/>
          <w:bCs/>
          <w:snapToGrid w:val="0"/>
          <w:sz w:val="24"/>
          <w:szCs w:val="24"/>
        </w:rPr>
        <w:t>方案</w:t>
      </w:r>
      <w:bookmarkEnd w:id="123"/>
    </w:p>
    <w:p w14:paraId="7F6B8352">
      <w:pPr>
        <w:rPr>
          <w:rFonts w:hint="eastAsia" w:ascii="宋体" w:hAnsi="宋体" w:eastAsia="宋体" w:cs="Times New Roman"/>
          <w:b w:val="0"/>
          <w:bCs/>
          <w:snapToGrid w:val="0"/>
          <w:kern w:val="2"/>
          <w:sz w:val="24"/>
          <w:szCs w:val="24"/>
          <w:lang w:val="en-US" w:eastAsia="zh-CN" w:bidi="ar-SA"/>
        </w:rPr>
      </w:pPr>
      <w:r>
        <w:rPr>
          <w:rFonts w:hint="eastAsia" w:ascii="宋体" w:hAnsi="宋体" w:eastAsia="宋体" w:cs="Times New Roman"/>
          <w:b w:val="0"/>
          <w:bCs/>
          <w:snapToGrid w:val="0"/>
          <w:kern w:val="2"/>
          <w:sz w:val="24"/>
          <w:szCs w:val="24"/>
          <w:lang w:val="en-US" w:eastAsia="zh-CN" w:bidi="ar-SA"/>
        </w:rPr>
        <w:t>根据评分要求自行提供</w:t>
      </w:r>
    </w:p>
    <w:p w14:paraId="20519F9B">
      <w:pPr>
        <w:pStyle w:val="60"/>
        <w:rPr>
          <w:rFonts w:hint="eastAsia" w:ascii="宋体" w:hAnsi="宋体" w:eastAsia="宋体" w:cs="宋体"/>
          <w:sz w:val="24"/>
          <w:szCs w:val="24"/>
        </w:rPr>
      </w:pPr>
    </w:p>
    <w:p w14:paraId="60B304F5">
      <w:pPr>
        <w:pStyle w:val="5"/>
        <w:spacing w:before="0" w:after="0" w:line="360" w:lineRule="auto"/>
        <w:rPr>
          <w:rFonts w:hint="eastAsia" w:ascii="宋体" w:hAnsi="宋体" w:eastAsia="宋体" w:cs="宋体"/>
          <w:sz w:val="24"/>
          <w:szCs w:val="24"/>
        </w:rPr>
      </w:pPr>
      <w:r>
        <w:rPr>
          <w:rFonts w:hint="eastAsia" w:ascii="宋体" w:hAnsi="宋体" w:eastAsia="宋体" w:cs="宋体"/>
          <w:b w:val="0"/>
        </w:rPr>
        <w:br w:type="page"/>
      </w:r>
      <w:bookmarkStart w:id="124" w:name="_Toc313008358"/>
      <w:bookmarkStart w:id="125" w:name="_Toc21710"/>
      <w:bookmarkStart w:id="126" w:name="_Toc342913421"/>
      <w:bookmarkStart w:id="127" w:name="_Toc313888362"/>
      <w:r>
        <w:rPr>
          <w:rFonts w:hint="eastAsia" w:ascii="宋体" w:hAnsi="宋体" w:eastAsia="宋体" w:cs="宋体"/>
          <w:sz w:val="24"/>
          <w:szCs w:val="24"/>
        </w:rPr>
        <w:t>三、商务部分</w:t>
      </w:r>
      <w:bookmarkEnd w:id="124"/>
      <w:bookmarkEnd w:id="125"/>
      <w:bookmarkEnd w:id="126"/>
      <w:bookmarkEnd w:id="127"/>
    </w:p>
    <w:p w14:paraId="0737D74F">
      <w:pPr>
        <w:spacing w:line="360" w:lineRule="auto"/>
        <w:ind w:firstLine="480" w:firstLineChars="200"/>
        <w:rPr>
          <w:rFonts w:hint="eastAsia" w:ascii="宋体" w:hAnsi="宋体" w:eastAsia="宋体" w:cs="宋体"/>
          <w:sz w:val="24"/>
          <w:szCs w:val="24"/>
        </w:rPr>
      </w:pPr>
      <w:bookmarkStart w:id="128" w:name="_Toc283382459"/>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363C830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商务响应偏离表</w:t>
      </w:r>
    </w:p>
    <w:p w14:paraId="15321B0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项目号：                              </w:t>
      </w:r>
    </w:p>
    <w:p w14:paraId="2CDDC2C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AC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252492">
            <w:pPr>
              <w:keepNext w:val="0"/>
              <w:keepLines w:val="0"/>
              <w:suppressLineNumbers w:val="0"/>
              <w:snapToGrid w:val="0"/>
              <w:spacing w:before="0" w:beforeAutospacing="0" w:after="0" w:afterAutospacing="0" w:line="360" w:lineRule="auto"/>
              <w:ind w:left="0" w:right="0" w:firstLine="465"/>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14:paraId="7854757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磋商项目商务需求</w:t>
            </w:r>
          </w:p>
        </w:tc>
        <w:tc>
          <w:tcPr>
            <w:tcW w:w="2434" w:type="dxa"/>
            <w:vAlign w:val="center"/>
          </w:tcPr>
          <w:p w14:paraId="3A1181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355" w:type="dxa"/>
            <w:vAlign w:val="center"/>
          </w:tcPr>
          <w:p w14:paraId="2EC9DFC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78DD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037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477295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76129A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5427E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2B8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5DD4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524D57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64B5AE0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819AB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08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8C6D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1662C74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2CDAC5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212D44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349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F5D7E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7819CA2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67044B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F31970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54E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32A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34C3ACC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094427D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B925A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D25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C73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81DC8D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7D8A9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0BC7E61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bl>
    <w:p w14:paraId="6FA28037">
      <w:pPr>
        <w:snapToGrid w:val="0"/>
        <w:spacing w:line="360" w:lineRule="auto"/>
        <w:ind w:firstLine="465"/>
        <w:rPr>
          <w:rFonts w:hint="eastAsia" w:ascii="宋体" w:hAnsi="宋体" w:eastAsia="宋体" w:cs="宋体"/>
          <w:sz w:val="24"/>
          <w:szCs w:val="24"/>
        </w:rPr>
      </w:pPr>
    </w:p>
    <w:p w14:paraId="6DE36970">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2130BA2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7D47EFBD">
      <w:pPr>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151E154F">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1E16248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6AD697C">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1.本表即为对本项目“第三篇 项目商务需求”中所列服务要求进行比较和响应；</w:t>
      </w:r>
    </w:p>
    <w:p w14:paraId="606354B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F06DAB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5307CDD2">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color w:val="000000"/>
          <w:sz w:val="24"/>
          <w:szCs w:val="24"/>
        </w:rPr>
        <w:t>商务部分评分资料</w:t>
      </w:r>
    </w:p>
    <w:p w14:paraId="09FE827C">
      <w:pPr>
        <w:pStyle w:val="5"/>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8"/>
      <w:bookmarkStart w:id="129" w:name="_Toc342913422"/>
      <w:bookmarkStart w:id="130" w:name="_Toc313888363"/>
      <w:bookmarkStart w:id="131" w:name="_Toc12449"/>
      <w:bookmarkStart w:id="132" w:name="_Toc313008359"/>
      <w:r>
        <w:rPr>
          <w:rFonts w:hint="eastAsia" w:ascii="宋体" w:hAnsi="宋体" w:eastAsia="宋体" w:cs="宋体"/>
          <w:sz w:val="24"/>
          <w:szCs w:val="24"/>
        </w:rPr>
        <w:t>四、资格条件及其他</w:t>
      </w:r>
      <w:bookmarkEnd w:id="129"/>
      <w:bookmarkEnd w:id="130"/>
      <w:bookmarkEnd w:id="131"/>
      <w:bookmarkEnd w:id="132"/>
    </w:p>
    <w:p w14:paraId="6957840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5FD86BEA">
      <w:pPr>
        <w:tabs>
          <w:tab w:val="left" w:pos="6300"/>
        </w:tabs>
        <w:snapToGrid w:val="0"/>
        <w:spacing w:line="500" w:lineRule="exact"/>
        <w:ind w:firstLine="570"/>
        <w:rPr>
          <w:rFonts w:hint="eastAsia" w:ascii="宋体" w:hAnsi="宋体" w:eastAsia="宋体" w:cs="宋体"/>
          <w:sz w:val="24"/>
          <w:szCs w:val="24"/>
        </w:rPr>
      </w:pPr>
    </w:p>
    <w:p w14:paraId="364BDDD5">
      <w:pPr>
        <w:tabs>
          <w:tab w:val="left" w:pos="6300"/>
        </w:tabs>
        <w:snapToGrid w:val="0"/>
        <w:spacing w:line="500" w:lineRule="exact"/>
        <w:ind w:firstLine="570"/>
        <w:rPr>
          <w:rFonts w:hint="eastAsia" w:ascii="宋体" w:hAnsi="宋体" w:eastAsia="宋体" w:cs="宋体"/>
        </w:rPr>
      </w:pPr>
    </w:p>
    <w:p w14:paraId="66FC92BA">
      <w:pPr>
        <w:tabs>
          <w:tab w:val="left" w:pos="6300"/>
        </w:tabs>
        <w:snapToGrid w:val="0"/>
        <w:spacing w:line="500" w:lineRule="exact"/>
        <w:ind w:firstLine="570"/>
        <w:rPr>
          <w:rFonts w:hint="eastAsia" w:ascii="宋体" w:hAnsi="宋体" w:eastAsia="宋体" w:cs="宋体"/>
        </w:rPr>
      </w:pPr>
    </w:p>
    <w:p w14:paraId="2909CC63">
      <w:pPr>
        <w:tabs>
          <w:tab w:val="left" w:pos="6300"/>
        </w:tabs>
        <w:snapToGrid w:val="0"/>
        <w:spacing w:line="500" w:lineRule="exact"/>
        <w:ind w:firstLine="570"/>
        <w:rPr>
          <w:rFonts w:hint="eastAsia" w:ascii="宋体" w:hAnsi="宋体" w:eastAsia="宋体" w:cs="宋体"/>
        </w:rPr>
      </w:pPr>
    </w:p>
    <w:p w14:paraId="6A0B067F">
      <w:pPr>
        <w:widowControl/>
        <w:ind w:firstLine="560" w:firstLineChars="200"/>
        <w:jc w:val="left"/>
        <w:rPr>
          <w:rFonts w:hint="eastAsia" w:ascii="宋体" w:hAnsi="宋体" w:eastAsia="宋体" w:cs="宋体"/>
        </w:rPr>
      </w:pPr>
      <w:r>
        <w:rPr>
          <w:rFonts w:hint="eastAsia" w:ascii="宋体" w:hAnsi="宋体" w:eastAsia="宋体" w:cs="宋体"/>
        </w:rPr>
        <w:br w:type="page"/>
      </w:r>
    </w:p>
    <w:p w14:paraId="07BFC213">
      <w:pPr>
        <w:widowControl/>
        <w:ind w:firstLine="480" w:firstLineChars="200"/>
        <w:jc w:val="left"/>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）特定资格条件证明材料</w:t>
      </w:r>
    </w:p>
    <w:p w14:paraId="15AC78D5">
      <w:pPr>
        <w:widowControl/>
        <w:ind w:firstLine="560" w:firstLineChars="200"/>
        <w:jc w:val="left"/>
        <w:rPr>
          <w:rFonts w:hint="eastAsia" w:ascii="宋体" w:hAnsi="宋体" w:eastAsia="宋体" w:cs="宋体"/>
        </w:rPr>
      </w:pPr>
    </w:p>
    <w:p w14:paraId="3D45280C">
      <w:pPr>
        <w:widowControl/>
        <w:ind w:firstLine="560" w:firstLineChars="200"/>
        <w:jc w:val="left"/>
        <w:rPr>
          <w:rFonts w:hint="eastAsia" w:ascii="宋体" w:hAnsi="宋体" w:eastAsia="宋体" w:cs="宋体"/>
        </w:rPr>
      </w:pPr>
    </w:p>
    <w:p w14:paraId="030AE3BA">
      <w:pPr>
        <w:widowControl/>
        <w:ind w:firstLine="560" w:firstLineChars="200"/>
        <w:jc w:val="left"/>
        <w:rPr>
          <w:rFonts w:hint="eastAsia" w:ascii="宋体" w:hAnsi="宋体" w:eastAsia="宋体" w:cs="宋体"/>
        </w:rPr>
      </w:pPr>
    </w:p>
    <w:p w14:paraId="6695236D">
      <w:pPr>
        <w:widowControl/>
        <w:ind w:firstLine="560" w:firstLineChars="200"/>
        <w:jc w:val="left"/>
        <w:rPr>
          <w:rFonts w:hint="eastAsia" w:ascii="宋体" w:hAnsi="宋体" w:eastAsia="宋体" w:cs="宋体"/>
        </w:rPr>
      </w:pPr>
    </w:p>
    <w:p w14:paraId="044A8763">
      <w:pPr>
        <w:widowControl/>
        <w:ind w:firstLine="560" w:firstLineChars="200"/>
        <w:jc w:val="left"/>
        <w:rPr>
          <w:rFonts w:hint="eastAsia" w:ascii="宋体" w:hAnsi="宋体" w:eastAsia="宋体" w:cs="宋体"/>
        </w:rPr>
      </w:pPr>
    </w:p>
    <w:p w14:paraId="01919384">
      <w:pPr>
        <w:widowControl/>
        <w:ind w:firstLine="560" w:firstLineChars="200"/>
        <w:jc w:val="left"/>
        <w:rPr>
          <w:rFonts w:hint="eastAsia" w:ascii="宋体" w:hAnsi="宋体" w:eastAsia="宋体" w:cs="宋体"/>
        </w:rPr>
      </w:pPr>
    </w:p>
    <w:p w14:paraId="5B8786BD">
      <w:pPr>
        <w:widowControl/>
        <w:ind w:firstLine="560" w:firstLineChars="200"/>
        <w:jc w:val="left"/>
        <w:rPr>
          <w:rFonts w:hint="eastAsia" w:ascii="宋体" w:hAnsi="宋体" w:eastAsia="宋体" w:cs="宋体"/>
        </w:rPr>
      </w:pPr>
    </w:p>
    <w:p w14:paraId="29EDA877">
      <w:pPr>
        <w:widowControl/>
        <w:ind w:firstLine="560" w:firstLineChars="200"/>
        <w:jc w:val="left"/>
        <w:rPr>
          <w:rFonts w:hint="eastAsia" w:ascii="宋体" w:hAnsi="宋体" w:eastAsia="宋体" w:cs="宋体"/>
        </w:rPr>
      </w:pPr>
    </w:p>
    <w:p w14:paraId="7A5F10DB">
      <w:pPr>
        <w:widowControl/>
        <w:ind w:firstLine="560" w:firstLineChars="200"/>
        <w:jc w:val="left"/>
        <w:rPr>
          <w:rFonts w:hint="eastAsia" w:ascii="宋体" w:hAnsi="宋体" w:eastAsia="宋体" w:cs="宋体"/>
        </w:rPr>
      </w:pPr>
    </w:p>
    <w:p w14:paraId="15544707">
      <w:pPr>
        <w:widowControl/>
        <w:ind w:firstLine="560" w:firstLineChars="200"/>
        <w:jc w:val="left"/>
        <w:rPr>
          <w:rFonts w:hint="eastAsia" w:ascii="宋体" w:hAnsi="宋体" w:eastAsia="宋体" w:cs="宋体"/>
        </w:rPr>
      </w:pPr>
    </w:p>
    <w:p w14:paraId="3827FB28">
      <w:pPr>
        <w:widowControl/>
        <w:ind w:firstLine="560" w:firstLineChars="200"/>
        <w:jc w:val="left"/>
        <w:rPr>
          <w:rFonts w:hint="eastAsia" w:ascii="宋体" w:hAnsi="宋体" w:eastAsia="宋体" w:cs="宋体"/>
        </w:rPr>
      </w:pPr>
    </w:p>
    <w:p w14:paraId="321580BF">
      <w:pPr>
        <w:widowControl/>
        <w:ind w:firstLine="560" w:firstLineChars="200"/>
        <w:jc w:val="left"/>
        <w:rPr>
          <w:rFonts w:hint="eastAsia" w:ascii="宋体" w:hAnsi="宋体" w:eastAsia="宋体" w:cs="宋体"/>
        </w:rPr>
      </w:pPr>
    </w:p>
    <w:p w14:paraId="14C41831">
      <w:pPr>
        <w:widowControl/>
        <w:ind w:firstLine="560" w:firstLineChars="200"/>
        <w:jc w:val="left"/>
        <w:rPr>
          <w:rFonts w:hint="eastAsia" w:ascii="宋体" w:hAnsi="宋体" w:eastAsia="宋体" w:cs="宋体"/>
        </w:rPr>
      </w:pPr>
    </w:p>
    <w:p w14:paraId="3579B4C1">
      <w:pPr>
        <w:widowControl/>
        <w:ind w:firstLine="560" w:firstLineChars="200"/>
        <w:jc w:val="left"/>
        <w:rPr>
          <w:rFonts w:hint="eastAsia" w:ascii="宋体" w:hAnsi="宋体" w:eastAsia="宋体" w:cs="宋体"/>
        </w:rPr>
      </w:pPr>
    </w:p>
    <w:p w14:paraId="67EAE339">
      <w:pPr>
        <w:widowControl/>
        <w:ind w:firstLine="560" w:firstLineChars="200"/>
        <w:jc w:val="left"/>
        <w:rPr>
          <w:rFonts w:hint="eastAsia" w:ascii="宋体" w:hAnsi="宋体" w:eastAsia="宋体" w:cs="宋体"/>
        </w:rPr>
      </w:pPr>
    </w:p>
    <w:p w14:paraId="4A11C9EE">
      <w:pPr>
        <w:widowControl/>
        <w:ind w:firstLine="560" w:firstLineChars="200"/>
        <w:jc w:val="left"/>
        <w:rPr>
          <w:rFonts w:hint="eastAsia" w:ascii="宋体" w:hAnsi="宋体" w:eastAsia="宋体" w:cs="宋体"/>
        </w:rPr>
      </w:pPr>
    </w:p>
    <w:p w14:paraId="004B5836">
      <w:pPr>
        <w:widowControl/>
        <w:ind w:firstLine="560" w:firstLineChars="200"/>
        <w:jc w:val="left"/>
        <w:rPr>
          <w:rFonts w:hint="eastAsia" w:ascii="宋体" w:hAnsi="宋体" w:eastAsia="宋体" w:cs="宋体"/>
        </w:rPr>
      </w:pPr>
    </w:p>
    <w:p w14:paraId="1C960476">
      <w:pPr>
        <w:widowControl/>
        <w:ind w:firstLine="560" w:firstLineChars="200"/>
        <w:jc w:val="left"/>
        <w:rPr>
          <w:rFonts w:hint="eastAsia" w:ascii="宋体" w:hAnsi="宋体" w:eastAsia="宋体" w:cs="宋体"/>
        </w:rPr>
      </w:pPr>
    </w:p>
    <w:p w14:paraId="60E6574B">
      <w:pPr>
        <w:widowControl/>
        <w:ind w:firstLine="560" w:firstLineChars="200"/>
        <w:jc w:val="left"/>
        <w:rPr>
          <w:rFonts w:hint="eastAsia" w:ascii="宋体" w:hAnsi="宋体" w:eastAsia="宋体" w:cs="宋体"/>
        </w:rPr>
      </w:pPr>
    </w:p>
    <w:p w14:paraId="6349BF77">
      <w:pPr>
        <w:widowControl/>
        <w:ind w:firstLine="560" w:firstLineChars="200"/>
        <w:jc w:val="left"/>
        <w:rPr>
          <w:rFonts w:hint="eastAsia" w:ascii="宋体" w:hAnsi="宋体" w:eastAsia="宋体" w:cs="宋体"/>
        </w:rPr>
      </w:pPr>
    </w:p>
    <w:p w14:paraId="5CD8BF2F">
      <w:pPr>
        <w:widowControl/>
        <w:ind w:firstLine="560" w:firstLineChars="200"/>
        <w:jc w:val="left"/>
        <w:rPr>
          <w:rFonts w:hint="eastAsia" w:ascii="宋体" w:hAnsi="宋体" w:eastAsia="宋体" w:cs="宋体"/>
        </w:rPr>
      </w:pPr>
    </w:p>
    <w:p w14:paraId="57EB8BC6">
      <w:pPr>
        <w:widowControl/>
        <w:ind w:firstLine="560" w:firstLineChars="200"/>
        <w:jc w:val="left"/>
        <w:rPr>
          <w:rFonts w:hint="eastAsia" w:ascii="宋体" w:hAnsi="宋体" w:eastAsia="宋体" w:cs="宋体"/>
        </w:rPr>
      </w:pPr>
    </w:p>
    <w:p w14:paraId="4FA703A4">
      <w:pPr>
        <w:widowControl/>
        <w:ind w:firstLine="560" w:firstLineChars="200"/>
        <w:jc w:val="left"/>
        <w:rPr>
          <w:rFonts w:hint="eastAsia" w:ascii="宋体" w:hAnsi="宋体" w:eastAsia="宋体" w:cs="宋体"/>
        </w:rPr>
      </w:pPr>
    </w:p>
    <w:p w14:paraId="47285E0A">
      <w:pPr>
        <w:widowControl/>
        <w:ind w:firstLine="560" w:firstLineChars="200"/>
        <w:jc w:val="left"/>
        <w:rPr>
          <w:rFonts w:hint="eastAsia" w:ascii="宋体" w:hAnsi="宋体" w:eastAsia="宋体" w:cs="宋体"/>
        </w:rPr>
      </w:pPr>
    </w:p>
    <w:p w14:paraId="0018D749">
      <w:pPr>
        <w:widowControl/>
        <w:ind w:firstLine="560" w:firstLineChars="200"/>
        <w:jc w:val="left"/>
        <w:rPr>
          <w:rFonts w:hint="eastAsia" w:ascii="宋体" w:hAnsi="宋体" w:eastAsia="宋体" w:cs="宋体"/>
        </w:rPr>
      </w:pPr>
    </w:p>
    <w:p w14:paraId="5862AC80">
      <w:pPr>
        <w:widowControl/>
        <w:ind w:firstLine="560" w:firstLineChars="200"/>
        <w:jc w:val="left"/>
        <w:rPr>
          <w:rFonts w:hint="eastAsia" w:ascii="宋体" w:hAnsi="宋体" w:eastAsia="宋体" w:cs="宋体"/>
        </w:rPr>
      </w:pPr>
    </w:p>
    <w:p w14:paraId="55AA4160">
      <w:pPr>
        <w:widowControl/>
        <w:ind w:firstLine="560" w:firstLineChars="200"/>
        <w:jc w:val="left"/>
        <w:rPr>
          <w:rFonts w:hint="eastAsia" w:ascii="宋体" w:hAnsi="宋体" w:eastAsia="宋体" w:cs="宋体"/>
        </w:rPr>
      </w:pPr>
    </w:p>
    <w:p w14:paraId="000214F8">
      <w:pPr>
        <w:widowControl/>
        <w:ind w:firstLine="560" w:firstLineChars="200"/>
        <w:jc w:val="left"/>
        <w:rPr>
          <w:rFonts w:hint="eastAsia" w:ascii="宋体" w:hAnsi="宋体" w:eastAsia="宋体" w:cs="宋体"/>
        </w:rPr>
      </w:pPr>
    </w:p>
    <w:p w14:paraId="4A9879DF">
      <w:pPr>
        <w:widowControl/>
        <w:ind w:firstLine="560" w:firstLineChars="200"/>
        <w:jc w:val="left"/>
        <w:rPr>
          <w:rFonts w:hint="eastAsia" w:ascii="宋体" w:hAnsi="宋体" w:eastAsia="宋体" w:cs="宋体"/>
        </w:rPr>
      </w:pPr>
    </w:p>
    <w:p w14:paraId="054D8EC4">
      <w:pPr>
        <w:widowControl/>
        <w:ind w:firstLine="560" w:firstLineChars="200"/>
        <w:jc w:val="left"/>
        <w:rPr>
          <w:rFonts w:hint="eastAsia" w:ascii="宋体" w:hAnsi="宋体" w:eastAsia="宋体" w:cs="宋体"/>
        </w:rPr>
      </w:pPr>
    </w:p>
    <w:p w14:paraId="06C754C7">
      <w:pPr>
        <w:widowControl/>
        <w:ind w:firstLine="560" w:firstLineChars="200"/>
        <w:jc w:val="left"/>
        <w:rPr>
          <w:rFonts w:hint="eastAsia" w:ascii="宋体" w:hAnsi="宋体" w:eastAsia="宋体" w:cs="宋体"/>
        </w:rPr>
      </w:pPr>
    </w:p>
    <w:p w14:paraId="7E6EB3E4">
      <w:pPr>
        <w:widowControl/>
        <w:ind w:firstLine="560" w:firstLineChars="200"/>
        <w:jc w:val="left"/>
        <w:rPr>
          <w:rFonts w:hint="eastAsia" w:ascii="宋体" w:hAnsi="宋体" w:eastAsia="宋体" w:cs="宋体"/>
        </w:rPr>
      </w:pPr>
    </w:p>
    <w:p w14:paraId="7F2355F8">
      <w:pPr>
        <w:widowControl/>
        <w:ind w:firstLine="560" w:firstLineChars="200"/>
        <w:jc w:val="left"/>
        <w:rPr>
          <w:rFonts w:hint="eastAsia" w:ascii="宋体" w:hAnsi="宋体" w:eastAsia="宋体" w:cs="宋体"/>
        </w:rPr>
      </w:pPr>
    </w:p>
    <w:p w14:paraId="224947C0">
      <w:pPr>
        <w:widowControl/>
        <w:ind w:firstLine="560" w:firstLineChars="200"/>
        <w:jc w:val="left"/>
        <w:rPr>
          <w:rFonts w:hint="eastAsia" w:ascii="宋体" w:hAnsi="宋体" w:eastAsia="宋体" w:cs="宋体"/>
        </w:rPr>
      </w:pPr>
    </w:p>
    <w:p w14:paraId="3C8E8FBE">
      <w:pPr>
        <w:widowControl/>
        <w:ind w:firstLine="560" w:firstLineChars="200"/>
        <w:jc w:val="left"/>
        <w:rPr>
          <w:rFonts w:hint="eastAsia" w:ascii="宋体" w:hAnsi="宋体" w:eastAsia="宋体" w:cs="宋体"/>
        </w:rPr>
      </w:pPr>
    </w:p>
    <w:p w14:paraId="74B4585F">
      <w:pPr>
        <w:widowControl/>
        <w:ind w:firstLine="560" w:firstLineChars="200"/>
        <w:jc w:val="left"/>
        <w:rPr>
          <w:rFonts w:hint="eastAsia" w:ascii="宋体" w:hAnsi="宋体" w:eastAsia="宋体" w:cs="宋体"/>
        </w:rPr>
      </w:pPr>
    </w:p>
    <w:p w14:paraId="3B2333E1">
      <w:pPr>
        <w:widowControl/>
        <w:ind w:firstLine="560" w:firstLineChars="200"/>
        <w:jc w:val="left"/>
        <w:rPr>
          <w:rFonts w:hint="eastAsia" w:ascii="宋体" w:hAnsi="宋体" w:eastAsia="宋体" w:cs="宋体"/>
        </w:rPr>
      </w:pPr>
    </w:p>
    <w:p w14:paraId="07584EFC">
      <w:pPr>
        <w:widowControl/>
        <w:ind w:firstLine="560" w:firstLineChars="200"/>
        <w:jc w:val="left"/>
        <w:rPr>
          <w:rFonts w:hint="eastAsia" w:ascii="宋体" w:hAnsi="宋体" w:eastAsia="宋体" w:cs="宋体"/>
        </w:rPr>
      </w:pPr>
    </w:p>
    <w:p w14:paraId="7B7629BE">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E073F68">
      <w:pPr>
        <w:tabs>
          <w:tab w:val="left" w:pos="6300"/>
        </w:tabs>
        <w:snapToGrid w:val="0"/>
        <w:spacing w:line="500" w:lineRule="exact"/>
        <w:ind w:firstLine="570"/>
        <w:rPr>
          <w:rFonts w:hint="eastAsia" w:ascii="宋体" w:hAnsi="宋体" w:eastAsia="宋体" w:cs="宋体"/>
          <w:sz w:val="24"/>
          <w:szCs w:val="24"/>
        </w:rPr>
      </w:pPr>
    </w:p>
    <w:p w14:paraId="17585B34">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磋商项目名称：</w:t>
      </w:r>
      <w:r>
        <w:rPr>
          <w:rFonts w:hint="eastAsia" w:ascii="宋体" w:hAnsi="宋体" w:eastAsia="宋体" w:cs="宋体"/>
          <w:sz w:val="24"/>
          <w:szCs w:val="24"/>
          <w:u w:val="single"/>
        </w:rPr>
        <w:t xml:space="preserve">                                                </w:t>
      </w:r>
    </w:p>
    <w:p w14:paraId="407718E6">
      <w:pPr>
        <w:tabs>
          <w:tab w:val="left" w:pos="6300"/>
        </w:tabs>
        <w:snapToGrid w:val="0"/>
        <w:spacing w:line="500" w:lineRule="exact"/>
        <w:ind w:firstLine="570"/>
        <w:rPr>
          <w:rFonts w:hint="eastAsia" w:ascii="宋体" w:hAnsi="宋体" w:eastAsia="宋体" w:cs="宋体"/>
          <w:sz w:val="24"/>
          <w:szCs w:val="24"/>
        </w:rPr>
      </w:pPr>
    </w:p>
    <w:p w14:paraId="2D74AEC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p>
    <w:p w14:paraId="6993844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34D162E5">
      <w:pPr>
        <w:tabs>
          <w:tab w:val="left" w:pos="6300"/>
        </w:tabs>
        <w:snapToGrid w:val="0"/>
        <w:spacing w:line="500" w:lineRule="exact"/>
        <w:ind w:firstLine="570"/>
        <w:rPr>
          <w:rFonts w:hint="eastAsia" w:ascii="宋体" w:hAnsi="宋体" w:eastAsia="宋体" w:cs="宋体"/>
          <w:sz w:val="24"/>
          <w:szCs w:val="24"/>
        </w:rPr>
      </w:pPr>
    </w:p>
    <w:p w14:paraId="4ED7CEC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4764E8D4">
      <w:pPr>
        <w:tabs>
          <w:tab w:val="left" w:pos="6300"/>
        </w:tabs>
        <w:snapToGrid w:val="0"/>
        <w:spacing w:line="500" w:lineRule="exact"/>
        <w:ind w:firstLine="570"/>
        <w:rPr>
          <w:rFonts w:hint="eastAsia" w:ascii="宋体" w:hAnsi="宋体" w:eastAsia="宋体" w:cs="宋体"/>
          <w:sz w:val="24"/>
          <w:szCs w:val="24"/>
        </w:rPr>
      </w:pPr>
    </w:p>
    <w:p w14:paraId="4FC3C63B">
      <w:pPr>
        <w:tabs>
          <w:tab w:val="left" w:pos="6300"/>
        </w:tabs>
        <w:snapToGrid w:val="0"/>
        <w:spacing w:line="500" w:lineRule="exact"/>
        <w:ind w:firstLine="570"/>
        <w:rPr>
          <w:rFonts w:hint="eastAsia" w:ascii="宋体" w:hAnsi="宋体" w:eastAsia="宋体" w:cs="宋体"/>
          <w:sz w:val="24"/>
          <w:szCs w:val="24"/>
        </w:rPr>
      </w:pPr>
    </w:p>
    <w:p w14:paraId="2EB88027">
      <w:pPr>
        <w:tabs>
          <w:tab w:val="left" w:pos="6300"/>
        </w:tabs>
        <w:snapToGrid w:val="0"/>
        <w:spacing w:line="500" w:lineRule="exact"/>
        <w:ind w:firstLine="570"/>
        <w:rPr>
          <w:rFonts w:hint="eastAsia" w:ascii="宋体" w:hAnsi="宋体" w:eastAsia="宋体" w:cs="宋体"/>
          <w:sz w:val="24"/>
          <w:szCs w:val="24"/>
        </w:rPr>
      </w:pPr>
    </w:p>
    <w:p w14:paraId="7784B53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F257931">
      <w:pPr>
        <w:tabs>
          <w:tab w:val="left" w:pos="6300"/>
        </w:tabs>
        <w:snapToGrid w:val="0"/>
        <w:spacing w:line="500" w:lineRule="exact"/>
        <w:ind w:firstLine="570"/>
        <w:rPr>
          <w:rFonts w:hint="eastAsia" w:ascii="宋体" w:hAnsi="宋体" w:eastAsia="宋体" w:cs="宋体"/>
          <w:sz w:val="24"/>
          <w:szCs w:val="24"/>
        </w:rPr>
      </w:pPr>
    </w:p>
    <w:p w14:paraId="31A98735">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5928C9C2">
      <w:pPr>
        <w:tabs>
          <w:tab w:val="left" w:pos="6300"/>
        </w:tabs>
        <w:snapToGrid w:val="0"/>
        <w:spacing w:line="500" w:lineRule="exact"/>
        <w:ind w:firstLine="570"/>
        <w:rPr>
          <w:rFonts w:hint="eastAsia" w:ascii="宋体" w:hAnsi="宋体" w:eastAsia="宋体" w:cs="宋体"/>
          <w:sz w:val="24"/>
          <w:szCs w:val="24"/>
        </w:rPr>
      </w:pPr>
    </w:p>
    <w:p w14:paraId="67C6197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1E1AF6E7">
      <w:pPr>
        <w:tabs>
          <w:tab w:val="left" w:pos="6300"/>
        </w:tabs>
        <w:snapToGrid w:val="0"/>
        <w:spacing w:line="500" w:lineRule="exact"/>
        <w:ind w:firstLine="570"/>
        <w:rPr>
          <w:rFonts w:hint="eastAsia" w:ascii="宋体" w:hAnsi="宋体" w:eastAsia="宋体" w:cs="宋体"/>
          <w:sz w:val="24"/>
        </w:rPr>
      </w:pPr>
    </w:p>
    <w:p w14:paraId="199AD742">
      <w:pPr>
        <w:tabs>
          <w:tab w:val="left" w:pos="6300"/>
        </w:tabs>
        <w:snapToGrid w:val="0"/>
        <w:spacing w:line="500" w:lineRule="exact"/>
        <w:ind w:firstLine="570"/>
        <w:rPr>
          <w:rFonts w:hint="eastAsia" w:ascii="宋体" w:hAnsi="宋体" w:eastAsia="宋体" w:cs="宋体"/>
          <w:sz w:val="24"/>
        </w:rPr>
      </w:pPr>
    </w:p>
    <w:p w14:paraId="63F597A6">
      <w:pPr>
        <w:tabs>
          <w:tab w:val="left" w:pos="6300"/>
        </w:tabs>
        <w:snapToGrid w:val="0"/>
        <w:spacing w:line="500" w:lineRule="exact"/>
        <w:ind w:firstLine="570"/>
        <w:rPr>
          <w:rFonts w:hint="eastAsia" w:ascii="宋体" w:hAnsi="宋体" w:eastAsia="宋体" w:cs="宋体"/>
          <w:sz w:val="24"/>
        </w:rPr>
      </w:pPr>
    </w:p>
    <w:p w14:paraId="58F23FAC">
      <w:pPr>
        <w:tabs>
          <w:tab w:val="left" w:pos="6300"/>
        </w:tabs>
        <w:snapToGrid w:val="0"/>
        <w:spacing w:line="500" w:lineRule="exact"/>
        <w:ind w:firstLine="570"/>
        <w:rPr>
          <w:rFonts w:hint="eastAsia" w:ascii="宋体" w:hAnsi="宋体" w:eastAsia="宋体" w:cs="宋体"/>
          <w:sz w:val="24"/>
        </w:rPr>
      </w:pPr>
    </w:p>
    <w:p w14:paraId="527489AF">
      <w:pPr>
        <w:tabs>
          <w:tab w:val="left" w:pos="6300"/>
        </w:tabs>
        <w:snapToGrid w:val="0"/>
        <w:spacing w:line="500" w:lineRule="exact"/>
        <w:ind w:firstLine="570"/>
        <w:rPr>
          <w:rFonts w:hint="eastAsia" w:ascii="宋体" w:hAnsi="宋体" w:eastAsia="宋体" w:cs="宋体"/>
          <w:sz w:val="24"/>
        </w:rPr>
      </w:pPr>
    </w:p>
    <w:p w14:paraId="537501E1">
      <w:pPr>
        <w:tabs>
          <w:tab w:val="left" w:pos="6300"/>
        </w:tabs>
        <w:snapToGrid w:val="0"/>
        <w:spacing w:line="500" w:lineRule="exact"/>
        <w:ind w:firstLine="570"/>
        <w:rPr>
          <w:rFonts w:hint="eastAsia" w:ascii="宋体" w:hAnsi="宋体" w:eastAsia="宋体" w:cs="宋体"/>
          <w:sz w:val="24"/>
        </w:rPr>
      </w:pPr>
    </w:p>
    <w:p w14:paraId="4081BB61">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w:t>
      </w:r>
      <w:r>
        <w:rPr>
          <w:rFonts w:hint="eastAsia" w:ascii="宋体" w:hAnsi="宋体" w:cs="宋体"/>
          <w:lang w:val="en-US" w:eastAsia="zh-CN"/>
        </w:rPr>
        <w:t>四</w:t>
      </w:r>
      <w:r>
        <w:rPr>
          <w:rFonts w:hint="eastAsia" w:ascii="宋体" w:hAnsi="宋体" w:eastAsia="宋体" w:cs="宋体"/>
        </w:rPr>
        <w:t>）法定代表人授权委托书（格式）</w:t>
      </w:r>
    </w:p>
    <w:p w14:paraId="1132D86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DBDC2B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08C5091E">
      <w:pPr>
        <w:tabs>
          <w:tab w:val="left" w:pos="6300"/>
        </w:tabs>
        <w:snapToGrid w:val="0"/>
        <w:spacing w:line="500" w:lineRule="exact"/>
        <w:ind w:firstLine="570"/>
        <w:rPr>
          <w:rFonts w:hint="eastAsia" w:ascii="宋体" w:hAnsi="宋体" w:eastAsia="宋体" w:cs="宋体"/>
          <w:sz w:val="24"/>
        </w:rPr>
      </w:pPr>
    </w:p>
    <w:p w14:paraId="7CA5BD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采购人</w:t>
      </w:r>
      <w:r>
        <w:rPr>
          <w:rFonts w:hint="eastAsia" w:ascii="宋体" w:hAnsi="宋体" w:eastAsia="宋体" w:cs="宋体"/>
          <w:sz w:val="24"/>
        </w:rPr>
        <w:t>名称）：</w:t>
      </w:r>
    </w:p>
    <w:p w14:paraId="6015282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28B3AB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190322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507DD819">
      <w:pPr>
        <w:tabs>
          <w:tab w:val="left" w:pos="6300"/>
        </w:tabs>
        <w:snapToGrid w:val="0"/>
        <w:spacing w:line="500" w:lineRule="exact"/>
        <w:ind w:firstLine="570"/>
        <w:rPr>
          <w:rFonts w:hint="eastAsia" w:ascii="宋体" w:hAnsi="宋体" w:eastAsia="宋体" w:cs="宋体"/>
          <w:sz w:val="24"/>
        </w:rPr>
      </w:pPr>
    </w:p>
    <w:p w14:paraId="60865A24">
      <w:pPr>
        <w:tabs>
          <w:tab w:val="left" w:pos="6300"/>
        </w:tabs>
        <w:snapToGrid w:val="0"/>
        <w:spacing w:line="500" w:lineRule="exact"/>
        <w:ind w:firstLine="570"/>
        <w:rPr>
          <w:rFonts w:hint="eastAsia" w:ascii="宋体" w:hAnsi="宋体" w:eastAsia="宋体" w:cs="宋体"/>
          <w:sz w:val="24"/>
        </w:rPr>
      </w:pPr>
    </w:p>
    <w:p w14:paraId="06456D4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51C5C0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2F545DFE">
      <w:pPr>
        <w:tabs>
          <w:tab w:val="left" w:pos="6300"/>
        </w:tabs>
        <w:snapToGrid w:val="0"/>
        <w:spacing w:line="500" w:lineRule="exact"/>
        <w:ind w:firstLine="570"/>
        <w:rPr>
          <w:rFonts w:hint="eastAsia" w:ascii="宋体" w:hAnsi="宋体" w:eastAsia="宋体" w:cs="宋体"/>
          <w:sz w:val="24"/>
          <w:szCs w:val="28"/>
        </w:rPr>
      </w:pPr>
    </w:p>
    <w:p w14:paraId="3F974030">
      <w:pPr>
        <w:tabs>
          <w:tab w:val="left" w:pos="6300"/>
        </w:tabs>
        <w:snapToGrid w:val="0"/>
        <w:spacing w:line="500" w:lineRule="exact"/>
        <w:ind w:firstLine="570"/>
        <w:rPr>
          <w:rFonts w:hint="eastAsia" w:ascii="宋体" w:hAnsi="宋体" w:eastAsia="宋体" w:cs="宋体"/>
          <w:sz w:val="24"/>
        </w:rPr>
      </w:pPr>
    </w:p>
    <w:p w14:paraId="06DC4AE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4D009F3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A1E6479">
      <w:pPr>
        <w:tabs>
          <w:tab w:val="left" w:pos="6300"/>
        </w:tabs>
        <w:snapToGrid w:val="0"/>
        <w:spacing w:line="500" w:lineRule="exact"/>
        <w:ind w:firstLine="570"/>
        <w:rPr>
          <w:rFonts w:hint="eastAsia" w:ascii="宋体" w:hAnsi="宋体" w:eastAsia="宋体" w:cs="宋体"/>
          <w:sz w:val="24"/>
        </w:rPr>
      </w:pPr>
    </w:p>
    <w:p w14:paraId="03008757">
      <w:pPr>
        <w:tabs>
          <w:tab w:val="left" w:pos="6300"/>
        </w:tabs>
        <w:snapToGrid w:val="0"/>
        <w:spacing w:line="500" w:lineRule="exact"/>
        <w:ind w:firstLine="570"/>
        <w:rPr>
          <w:rFonts w:hint="eastAsia" w:ascii="宋体" w:hAnsi="宋体" w:eastAsia="宋体" w:cs="宋体"/>
          <w:sz w:val="24"/>
        </w:rPr>
      </w:pPr>
    </w:p>
    <w:p w14:paraId="00CDE018">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71267DD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5D4D3BC8">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w:t>
      </w:r>
    </w:p>
    <w:p w14:paraId="55A7DC9C">
      <w:pPr>
        <w:tabs>
          <w:tab w:val="left" w:pos="6300"/>
        </w:tabs>
        <w:snapToGrid w:val="0"/>
        <w:spacing w:line="500" w:lineRule="exact"/>
        <w:ind w:firstLine="570"/>
        <w:rPr>
          <w:rFonts w:hint="eastAsia" w:ascii="宋体" w:hAnsi="宋体" w:eastAsia="宋体" w:cs="宋体"/>
          <w:sz w:val="24"/>
          <w:szCs w:val="24"/>
        </w:rPr>
      </w:pPr>
    </w:p>
    <w:p w14:paraId="046604FC">
      <w:pPr>
        <w:tabs>
          <w:tab w:val="left" w:pos="6300"/>
        </w:tabs>
        <w:snapToGrid w:val="0"/>
        <w:spacing w:line="5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p w14:paraId="0EEF45B4">
      <w:pPr>
        <w:tabs>
          <w:tab w:val="left" w:pos="6300"/>
        </w:tabs>
        <w:snapToGrid w:val="0"/>
        <w:spacing w:line="530" w:lineRule="exact"/>
        <w:rPr>
          <w:rFonts w:hint="eastAsia" w:ascii="宋体" w:hAnsi="宋体" w:eastAsia="宋体" w:cs="宋体"/>
          <w:color w:val="auto"/>
          <w:sz w:val="24"/>
          <w:szCs w:val="24"/>
        </w:rPr>
      </w:pPr>
    </w:p>
    <w:p w14:paraId="260477EF">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w:t>
      </w:r>
    </w:p>
    <w:p w14:paraId="69979508">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名称）郑重承诺：</w:t>
      </w:r>
    </w:p>
    <w:p w14:paraId="5B40CE03">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zh-CN"/>
        </w:rPr>
        <w:t>社会保障金的良好记录</w:t>
      </w:r>
      <w:r>
        <w:rPr>
          <w:rFonts w:hint="eastAsia" w:ascii="宋体" w:hAnsi="宋体" w:eastAsia="宋体" w:cs="宋体"/>
          <w:color w:val="auto"/>
          <w:sz w:val="24"/>
          <w:szCs w:val="24"/>
        </w:rPr>
        <w:t>，参加本项目采购活动前三年内无重大违法活动记录。</w:t>
      </w:r>
    </w:p>
    <w:p w14:paraId="2637C8D6">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14863D3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08219D5A">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7F753AE2">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3F4D9F0A">
      <w:pPr>
        <w:tabs>
          <w:tab w:val="left" w:pos="6300"/>
        </w:tabs>
        <w:snapToGrid w:val="0"/>
        <w:spacing w:line="500" w:lineRule="exact"/>
        <w:ind w:firstLine="570"/>
        <w:rPr>
          <w:rFonts w:hint="eastAsia" w:ascii="宋体" w:hAnsi="宋体" w:eastAsia="宋体" w:cs="宋体"/>
          <w:sz w:val="24"/>
          <w:szCs w:val="24"/>
        </w:rPr>
      </w:pPr>
    </w:p>
    <w:p w14:paraId="20D99885">
      <w:pPr>
        <w:tabs>
          <w:tab w:val="left" w:pos="6300"/>
        </w:tabs>
        <w:snapToGrid w:val="0"/>
        <w:spacing w:line="500" w:lineRule="exact"/>
        <w:ind w:firstLine="570"/>
        <w:rPr>
          <w:rFonts w:hint="eastAsia" w:ascii="宋体" w:hAnsi="宋体" w:eastAsia="宋体" w:cs="宋体"/>
          <w:sz w:val="24"/>
          <w:szCs w:val="24"/>
        </w:rPr>
      </w:pPr>
    </w:p>
    <w:p w14:paraId="3D26A125">
      <w:pPr>
        <w:tabs>
          <w:tab w:val="left" w:pos="6300"/>
        </w:tabs>
        <w:snapToGrid w:val="0"/>
        <w:spacing w:line="50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0DD23A1E">
      <w:pPr>
        <w:tabs>
          <w:tab w:val="left" w:pos="6300"/>
        </w:tabs>
        <w:snapToGrid w:val="0"/>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14:paraId="1F6C9F15">
      <w:pPr>
        <w:tabs>
          <w:tab w:val="left" w:pos="6300"/>
        </w:tabs>
        <w:snapToGrid w:val="0"/>
        <w:spacing w:line="500" w:lineRule="exact"/>
        <w:ind w:right="1680"/>
        <w:rPr>
          <w:rFonts w:hint="eastAsia" w:ascii="宋体" w:hAnsi="宋体" w:eastAsia="宋体" w:cs="宋体"/>
          <w:sz w:val="24"/>
        </w:rPr>
      </w:pPr>
    </w:p>
    <w:p w14:paraId="69BB247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E6CF49">
      <w:pPr>
        <w:tabs>
          <w:tab w:val="left" w:pos="6300"/>
        </w:tabs>
        <w:snapToGrid w:val="0"/>
        <w:spacing w:line="500" w:lineRule="exact"/>
        <w:ind w:firstLine="480" w:firstLineChars="200"/>
        <w:rPr>
          <w:rFonts w:hint="eastAsia" w:ascii="宋体" w:hAnsi="宋体" w:eastAsia="宋体" w:cs="宋体"/>
          <w:sz w:val="24"/>
          <w:szCs w:val="24"/>
        </w:rPr>
      </w:pPr>
    </w:p>
    <w:p w14:paraId="7598D018">
      <w:pPr>
        <w:tabs>
          <w:tab w:val="left" w:pos="6300"/>
        </w:tabs>
        <w:snapToGrid w:val="0"/>
        <w:spacing w:line="500" w:lineRule="exact"/>
        <w:ind w:firstLine="480" w:firstLineChars="200"/>
        <w:rPr>
          <w:rFonts w:hint="eastAsia" w:ascii="宋体" w:hAnsi="宋体" w:eastAsia="宋体" w:cs="宋体"/>
          <w:sz w:val="24"/>
          <w:szCs w:val="24"/>
        </w:rPr>
      </w:pPr>
    </w:p>
    <w:p w14:paraId="49993DF0">
      <w:pPr>
        <w:tabs>
          <w:tab w:val="left" w:pos="6300"/>
        </w:tabs>
        <w:snapToGrid w:val="0"/>
        <w:spacing w:line="500" w:lineRule="exact"/>
        <w:ind w:firstLine="480" w:firstLineChars="200"/>
        <w:rPr>
          <w:rFonts w:hint="eastAsia" w:ascii="宋体" w:hAnsi="宋体" w:eastAsia="宋体" w:cs="宋体"/>
          <w:sz w:val="24"/>
          <w:szCs w:val="24"/>
        </w:rPr>
      </w:pPr>
    </w:p>
    <w:p w14:paraId="30E3AA30">
      <w:pPr>
        <w:tabs>
          <w:tab w:val="left" w:pos="6300"/>
        </w:tabs>
        <w:snapToGrid w:val="0"/>
        <w:spacing w:line="500" w:lineRule="exact"/>
        <w:ind w:firstLine="480" w:firstLineChars="200"/>
        <w:rPr>
          <w:rFonts w:hint="eastAsia" w:ascii="宋体" w:hAnsi="宋体" w:eastAsia="宋体" w:cs="宋体"/>
          <w:sz w:val="24"/>
          <w:szCs w:val="24"/>
        </w:rPr>
      </w:pPr>
    </w:p>
    <w:p w14:paraId="5BC87D1C">
      <w:pPr>
        <w:pStyle w:val="5"/>
        <w:spacing w:before="0" w:after="0" w:line="360" w:lineRule="auto"/>
        <w:rPr>
          <w:rFonts w:hint="eastAsia" w:ascii="宋体" w:hAnsi="宋体" w:eastAsia="宋体" w:cs="宋体"/>
          <w:sz w:val="24"/>
          <w:szCs w:val="24"/>
        </w:rPr>
      </w:pPr>
      <w:bookmarkStart w:id="133" w:name="_Toc18208"/>
      <w:bookmarkStart w:id="134" w:name="_Toc14422"/>
      <w:r>
        <w:rPr>
          <w:rFonts w:hint="eastAsia" w:ascii="宋体" w:hAnsi="宋体" w:eastAsia="宋体" w:cs="宋体"/>
          <w:sz w:val="24"/>
          <w:szCs w:val="24"/>
        </w:rPr>
        <w:t>五、其他资料</w:t>
      </w:r>
      <w:bookmarkEnd w:id="133"/>
      <w:bookmarkEnd w:id="134"/>
    </w:p>
    <w:p w14:paraId="388564BD">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其他与项目有关的资料（自附）</w:t>
      </w:r>
    </w:p>
    <w:p w14:paraId="4B3D2658">
      <w:pPr>
        <w:spacing w:line="360" w:lineRule="auto"/>
        <w:ind w:firstLine="480" w:firstLineChars="200"/>
        <w:rPr>
          <w:rFonts w:hint="eastAsia" w:ascii="宋体" w:hAnsi="宋体" w:eastAsia="宋体" w:cs="宋体"/>
          <w:sz w:val="24"/>
          <w:szCs w:val="24"/>
        </w:rPr>
      </w:pPr>
    </w:p>
    <w:p w14:paraId="325860A9">
      <w:pPr>
        <w:spacing w:line="360" w:lineRule="auto"/>
        <w:ind w:firstLine="480" w:firstLineChars="200"/>
        <w:jc w:val="center"/>
        <w:rPr>
          <w:rFonts w:hint="eastAsia" w:ascii="宋体" w:hAnsi="宋体" w:eastAsia="宋体" w:cs="宋体"/>
          <w:sz w:val="24"/>
          <w:szCs w:val="24"/>
        </w:rPr>
      </w:pPr>
    </w:p>
    <w:p w14:paraId="7FADD917">
      <w:pPr>
        <w:spacing w:line="360" w:lineRule="auto"/>
        <w:ind w:firstLine="480" w:firstLineChars="200"/>
        <w:jc w:val="center"/>
        <w:rPr>
          <w:rFonts w:hint="eastAsia" w:ascii="宋体" w:hAnsi="宋体" w:eastAsia="宋体" w:cs="宋体"/>
          <w:sz w:val="24"/>
          <w:szCs w:val="24"/>
        </w:rPr>
      </w:pPr>
    </w:p>
    <w:p w14:paraId="392A26FB">
      <w:pPr>
        <w:spacing w:line="360" w:lineRule="auto"/>
        <w:ind w:firstLine="480" w:firstLineChars="200"/>
        <w:jc w:val="center"/>
        <w:rPr>
          <w:rFonts w:hint="eastAsia" w:ascii="宋体" w:hAnsi="宋体" w:eastAsia="宋体" w:cs="宋体"/>
          <w:sz w:val="24"/>
          <w:szCs w:val="24"/>
        </w:rPr>
      </w:pPr>
    </w:p>
    <w:p w14:paraId="333E6132">
      <w:pPr>
        <w:spacing w:line="360" w:lineRule="auto"/>
        <w:ind w:firstLine="480" w:firstLineChars="200"/>
        <w:jc w:val="center"/>
        <w:rPr>
          <w:rFonts w:hint="eastAsia" w:ascii="宋体" w:hAnsi="宋体" w:eastAsia="宋体" w:cs="宋体"/>
          <w:sz w:val="24"/>
          <w:szCs w:val="24"/>
        </w:rPr>
      </w:pPr>
    </w:p>
    <w:p w14:paraId="52BF54BD">
      <w:pPr>
        <w:spacing w:line="360" w:lineRule="auto"/>
        <w:ind w:firstLine="480" w:firstLineChars="200"/>
        <w:jc w:val="center"/>
        <w:rPr>
          <w:rFonts w:hint="eastAsia" w:ascii="宋体" w:hAnsi="宋体" w:eastAsia="宋体" w:cs="宋体"/>
          <w:sz w:val="24"/>
          <w:szCs w:val="24"/>
        </w:rPr>
      </w:pPr>
    </w:p>
    <w:p w14:paraId="72866F2D">
      <w:pPr>
        <w:spacing w:line="360" w:lineRule="auto"/>
        <w:ind w:firstLine="480" w:firstLineChars="200"/>
        <w:jc w:val="center"/>
        <w:rPr>
          <w:rFonts w:hint="eastAsia" w:ascii="宋体" w:hAnsi="宋体" w:eastAsia="宋体" w:cs="宋体"/>
          <w:sz w:val="24"/>
          <w:szCs w:val="24"/>
        </w:rPr>
      </w:pPr>
    </w:p>
    <w:p w14:paraId="20F71967">
      <w:pPr>
        <w:spacing w:line="360" w:lineRule="auto"/>
        <w:ind w:firstLine="480" w:firstLineChars="200"/>
        <w:jc w:val="center"/>
        <w:rPr>
          <w:rFonts w:hint="eastAsia" w:ascii="宋体" w:hAnsi="宋体" w:eastAsia="宋体" w:cs="宋体"/>
          <w:sz w:val="24"/>
          <w:szCs w:val="24"/>
        </w:rPr>
      </w:pPr>
    </w:p>
    <w:p w14:paraId="7C883B3E">
      <w:pPr>
        <w:spacing w:line="360" w:lineRule="auto"/>
        <w:ind w:firstLine="480" w:firstLineChars="200"/>
        <w:jc w:val="center"/>
        <w:rPr>
          <w:rFonts w:hint="eastAsia" w:ascii="宋体" w:hAnsi="宋体" w:eastAsia="宋体" w:cs="宋体"/>
          <w:sz w:val="24"/>
          <w:szCs w:val="24"/>
        </w:rPr>
      </w:pPr>
    </w:p>
    <w:p w14:paraId="09935E41">
      <w:pPr>
        <w:spacing w:line="360" w:lineRule="auto"/>
        <w:ind w:firstLine="480" w:firstLineChars="200"/>
        <w:jc w:val="center"/>
        <w:rPr>
          <w:rFonts w:hint="eastAsia" w:ascii="宋体" w:hAnsi="宋体" w:eastAsia="宋体" w:cs="宋体"/>
          <w:sz w:val="24"/>
          <w:szCs w:val="24"/>
        </w:rPr>
      </w:pPr>
    </w:p>
    <w:p w14:paraId="5E50F021">
      <w:pPr>
        <w:spacing w:line="360" w:lineRule="auto"/>
        <w:ind w:firstLine="480" w:firstLineChars="200"/>
        <w:jc w:val="center"/>
        <w:rPr>
          <w:rFonts w:hint="eastAsia" w:ascii="宋体" w:hAnsi="宋体" w:eastAsia="宋体" w:cs="宋体"/>
          <w:sz w:val="24"/>
          <w:szCs w:val="24"/>
        </w:rPr>
      </w:pPr>
    </w:p>
    <w:p w14:paraId="38AF4595">
      <w:pPr>
        <w:spacing w:line="360" w:lineRule="auto"/>
        <w:ind w:firstLine="480" w:firstLineChars="200"/>
        <w:jc w:val="center"/>
        <w:rPr>
          <w:rFonts w:hint="eastAsia" w:ascii="宋体" w:hAnsi="宋体" w:eastAsia="宋体" w:cs="宋体"/>
          <w:sz w:val="24"/>
          <w:szCs w:val="24"/>
        </w:rPr>
      </w:pPr>
    </w:p>
    <w:p w14:paraId="050D8C14">
      <w:pPr>
        <w:spacing w:line="360" w:lineRule="auto"/>
        <w:ind w:firstLine="480" w:firstLineChars="200"/>
        <w:jc w:val="center"/>
        <w:rPr>
          <w:rFonts w:hint="eastAsia" w:ascii="宋体" w:hAnsi="宋体" w:eastAsia="宋体" w:cs="宋体"/>
          <w:sz w:val="24"/>
          <w:szCs w:val="24"/>
        </w:rPr>
      </w:pPr>
    </w:p>
    <w:p w14:paraId="35AB2024">
      <w:pPr>
        <w:spacing w:line="360" w:lineRule="auto"/>
        <w:ind w:firstLine="480" w:firstLineChars="200"/>
        <w:jc w:val="center"/>
        <w:rPr>
          <w:rFonts w:hint="eastAsia" w:ascii="宋体" w:hAnsi="宋体" w:eastAsia="宋体" w:cs="宋体"/>
          <w:sz w:val="24"/>
          <w:szCs w:val="24"/>
        </w:rPr>
      </w:pPr>
    </w:p>
    <w:p w14:paraId="2DCAB4DA">
      <w:pPr>
        <w:spacing w:line="360" w:lineRule="auto"/>
        <w:ind w:firstLine="480" w:firstLineChars="200"/>
        <w:jc w:val="center"/>
        <w:rPr>
          <w:rFonts w:hint="eastAsia" w:ascii="宋体" w:hAnsi="宋体" w:eastAsia="宋体" w:cs="宋体"/>
          <w:sz w:val="24"/>
          <w:szCs w:val="24"/>
        </w:rPr>
      </w:pPr>
    </w:p>
    <w:p w14:paraId="6FF08C12">
      <w:pPr>
        <w:spacing w:line="360" w:lineRule="auto"/>
        <w:ind w:firstLine="480" w:firstLineChars="200"/>
        <w:jc w:val="center"/>
        <w:rPr>
          <w:rFonts w:hint="eastAsia" w:ascii="宋体" w:hAnsi="宋体" w:eastAsia="宋体" w:cs="宋体"/>
          <w:sz w:val="24"/>
          <w:szCs w:val="24"/>
        </w:rPr>
      </w:pPr>
    </w:p>
    <w:p w14:paraId="2083A9B8">
      <w:pPr>
        <w:pStyle w:val="5"/>
        <w:rPr>
          <w:rFonts w:hint="eastAsia"/>
        </w:rPr>
      </w:pPr>
    </w:p>
    <w:p w14:paraId="357188F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19EBC7CD">
      <w:pPr>
        <w:pStyle w:val="2"/>
        <w:rPr>
          <w:rFonts w:hint="eastAsia" w:ascii="宋体" w:hAnsi="宋体" w:eastAsia="宋体" w:cs="宋体"/>
        </w:rPr>
      </w:pPr>
    </w:p>
    <w:p w14:paraId="6717DB48">
      <w:pPr>
        <w:pStyle w:val="2"/>
        <w:rPr>
          <w:rFonts w:hint="eastAsia" w:ascii="宋体" w:hAnsi="宋体" w:eastAsia="宋体" w:cs="宋体"/>
        </w:rPr>
      </w:pPr>
    </w:p>
    <w:p w14:paraId="6871841A">
      <w:pPr>
        <w:pStyle w:val="2"/>
        <w:rPr>
          <w:rFonts w:hint="eastAsia" w:ascii="宋体" w:hAnsi="宋体" w:eastAsia="宋体" w:cs="宋体"/>
        </w:rPr>
      </w:pPr>
    </w:p>
    <w:p w14:paraId="3BAD30A0">
      <w:pPr>
        <w:rPr>
          <w:rFonts w:hint="eastAsia" w:ascii="宋体" w:hAnsi="宋体" w:eastAsia="宋体" w:cs="宋体"/>
        </w:rPr>
      </w:pPr>
    </w:p>
    <w:p w14:paraId="12237252">
      <w:pPr>
        <w:pStyle w:val="2"/>
        <w:rPr>
          <w:rFonts w:hint="eastAsia" w:ascii="宋体" w:hAnsi="宋体" w:eastAsia="宋体" w:cs="宋体"/>
        </w:rPr>
      </w:pPr>
    </w:p>
    <w:p w14:paraId="2920BCCC">
      <w:pPr>
        <w:rPr>
          <w:rFonts w:hint="eastAsia" w:ascii="宋体" w:hAnsi="宋体" w:eastAsia="宋体" w:cs="宋体"/>
        </w:rPr>
      </w:pPr>
    </w:p>
    <w:p w14:paraId="06E44620">
      <w:pPr>
        <w:pStyle w:val="5"/>
        <w:rPr>
          <w:rFonts w:hint="eastAsia"/>
        </w:rPr>
      </w:pPr>
    </w:p>
    <w:p w14:paraId="1CC7CC58">
      <w:pPr>
        <w:pStyle w:val="2"/>
        <w:rPr>
          <w:rFonts w:hint="eastAsia" w:ascii="宋体" w:hAnsi="宋体" w:eastAsia="宋体" w:cs="宋体"/>
        </w:rPr>
      </w:pPr>
    </w:p>
    <w:p w14:paraId="73071A71">
      <w:pPr>
        <w:pStyle w:val="2"/>
        <w:rPr>
          <w:rFonts w:hint="eastAsia" w:ascii="宋体" w:hAnsi="宋体" w:eastAsia="宋体" w:cs="宋体"/>
        </w:rPr>
      </w:pPr>
    </w:p>
    <w:p w14:paraId="5A1C5931">
      <w:pPr>
        <w:jc w:val="center"/>
        <w:rPr>
          <w:rFonts w:hint="eastAsia" w:ascii="宋体" w:hAnsi="宋体" w:eastAsia="宋体" w:cs="宋体"/>
          <w:b/>
          <w:bCs/>
          <w:sz w:val="44"/>
          <w:szCs w:val="44"/>
        </w:rPr>
      </w:pPr>
      <w:bookmarkStart w:id="135" w:name="_Toc28290"/>
      <w:bookmarkStart w:id="136" w:name="_Toc477027621"/>
      <w:r>
        <w:rPr>
          <w:rFonts w:hint="eastAsia" w:ascii="宋体" w:hAnsi="宋体" w:eastAsia="宋体" w:cs="宋体"/>
          <w:b/>
          <w:bCs/>
          <w:sz w:val="44"/>
          <w:szCs w:val="44"/>
        </w:rPr>
        <w:t xml:space="preserve">  </w:t>
      </w:r>
    </w:p>
    <w:p w14:paraId="4EC6DDBD">
      <w:pPr>
        <w:jc w:val="center"/>
        <w:rPr>
          <w:rFonts w:hint="eastAsia" w:ascii="宋体" w:hAnsi="宋体" w:eastAsia="宋体" w:cs="宋体"/>
          <w:b/>
          <w:bCs/>
          <w:sz w:val="32"/>
          <w:szCs w:val="32"/>
        </w:rPr>
      </w:pPr>
      <w:r>
        <w:rPr>
          <w:rFonts w:hint="eastAsia" w:ascii="宋体" w:hAnsi="宋体" w:eastAsia="宋体" w:cs="宋体"/>
          <w:b/>
          <w:bCs/>
          <w:sz w:val="32"/>
          <w:szCs w:val="32"/>
        </w:rPr>
        <w:t>附件一：磋商文件发售登记表</w:t>
      </w:r>
    </w:p>
    <w:p w14:paraId="5933DE70">
      <w:pPr>
        <w:jc w:val="left"/>
        <w:rPr>
          <w:rFonts w:hint="eastAsia" w:ascii="宋体" w:hAnsi="宋体" w:eastAsia="宋体" w:cs="宋体"/>
          <w:b/>
          <w:bCs/>
          <w:spacing w:val="40"/>
        </w:rPr>
      </w:pPr>
    </w:p>
    <w:tbl>
      <w:tblPr>
        <w:tblStyle w:val="61"/>
        <w:tblW w:w="99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4150"/>
      </w:tblGrid>
      <w:tr w14:paraId="32496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vAlign w:val="center"/>
          </w:tcPr>
          <w:p w14:paraId="0A0D4A52">
            <w:pPr>
              <w:pStyle w:val="250"/>
              <w:keepNext w:val="0"/>
              <w:keepLines w:val="0"/>
              <w:widowControl/>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val="0"/>
                <w:sz w:val="28"/>
                <w:szCs w:val="28"/>
              </w:rPr>
              <w:t>采购执行编号</w:t>
            </w:r>
          </w:p>
        </w:tc>
        <w:tc>
          <w:tcPr>
            <w:tcW w:w="7846" w:type="dxa"/>
            <w:gridSpan w:val="3"/>
            <w:vAlign w:val="center"/>
          </w:tcPr>
          <w:p w14:paraId="5B375A8C">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r w14:paraId="62FBA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557AF27B">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项目名称</w:t>
            </w:r>
          </w:p>
        </w:tc>
        <w:tc>
          <w:tcPr>
            <w:tcW w:w="7846" w:type="dxa"/>
            <w:gridSpan w:val="3"/>
            <w:vAlign w:val="center"/>
          </w:tcPr>
          <w:p w14:paraId="4A91EA15">
            <w:pPr>
              <w:pStyle w:val="23"/>
              <w:keepNext w:val="0"/>
              <w:keepLines w:val="0"/>
              <w:suppressLineNumbers w:val="0"/>
              <w:spacing w:before="0" w:beforeAutospacing="0" w:after="0" w:afterAutospacing="0" w:line="500" w:lineRule="exact"/>
              <w:ind w:left="0" w:right="0"/>
              <w:jc w:val="center"/>
              <w:outlineLvl w:val="0"/>
              <w:rPr>
                <w:rFonts w:hint="eastAsia" w:ascii="宋体" w:hAnsi="宋体" w:eastAsia="宋体" w:cs="宋体"/>
                <w:sz w:val="28"/>
                <w:szCs w:val="28"/>
                <w:lang w:val="en-US" w:eastAsia="zh-CN"/>
              </w:rPr>
            </w:pPr>
          </w:p>
        </w:tc>
      </w:tr>
      <w:tr w14:paraId="24CBD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54" w:type="dxa"/>
            <w:vAlign w:val="center"/>
          </w:tcPr>
          <w:p w14:paraId="2159DB2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cs="宋体"/>
                <w:szCs w:val="28"/>
                <w:lang w:val="en-US" w:eastAsia="zh-CN"/>
              </w:rPr>
              <w:t>供应商</w:t>
            </w:r>
            <w:r>
              <w:rPr>
                <w:rFonts w:hint="eastAsia" w:ascii="宋体" w:hAnsi="宋体" w:eastAsia="宋体" w:cs="宋体"/>
                <w:szCs w:val="28"/>
              </w:rPr>
              <w:t>名称</w:t>
            </w:r>
          </w:p>
        </w:tc>
        <w:tc>
          <w:tcPr>
            <w:tcW w:w="7846" w:type="dxa"/>
            <w:gridSpan w:val="3"/>
            <w:vAlign w:val="bottom"/>
          </w:tcPr>
          <w:p w14:paraId="354C766B">
            <w:pPr>
              <w:keepNext w:val="0"/>
              <w:keepLines w:val="0"/>
              <w:suppressLineNumbers w:val="0"/>
              <w:spacing w:before="0" w:beforeAutospacing="0" w:after="0" w:afterAutospacing="0"/>
              <w:ind w:left="0" w:right="0"/>
              <w:jc w:val="both"/>
              <w:rPr>
                <w:rFonts w:hint="eastAsia" w:ascii="宋体" w:hAnsi="宋体" w:eastAsia="宋体" w:cs="宋体"/>
                <w:szCs w:val="28"/>
              </w:rPr>
            </w:pPr>
          </w:p>
          <w:p w14:paraId="12563E20">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2B844C36">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508B3281">
            <w:pPr>
              <w:keepNext w:val="0"/>
              <w:keepLines w:val="0"/>
              <w:suppressLineNumbers w:val="0"/>
              <w:spacing w:before="0" w:beforeAutospacing="0" w:after="0" w:afterAutospacing="0"/>
              <w:ind w:left="0" w:right="0"/>
              <w:jc w:val="right"/>
              <w:rPr>
                <w:rFonts w:hint="eastAsia" w:ascii="宋体" w:hAnsi="宋体" w:eastAsia="宋体" w:cs="宋体"/>
                <w:szCs w:val="28"/>
              </w:rPr>
            </w:pPr>
            <w:r>
              <w:rPr>
                <w:rFonts w:hint="eastAsia" w:ascii="宋体" w:hAnsi="宋体" w:eastAsia="宋体" w:cs="宋体"/>
                <w:szCs w:val="28"/>
              </w:rPr>
              <w:t>（</w:t>
            </w:r>
            <w:r>
              <w:rPr>
                <w:rFonts w:hint="eastAsia" w:ascii="宋体" w:hAnsi="宋体" w:cs="宋体"/>
                <w:szCs w:val="28"/>
                <w:lang w:val="en-US" w:eastAsia="zh-CN"/>
              </w:rPr>
              <w:t>供应商</w:t>
            </w:r>
            <w:r>
              <w:rPr>
                <w:rFonts w:hint="eastAsia" w:ascii="宋体" w:hAnsi="宋体" w:eastAsia="宋体" w:cs="宋体"/>
                <w:szCs w:val="28"/>
              </w:rPr>
              <w:t>公章）</w:t>
            </w:r>
          </w:p>
        </w:tc>
      </w:tr>
      <w:tr w14:paraId="68D65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7EF82C51">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联系人</w:t>
            </w:r>
          </w:p>
        </w:tc>
        <w:tc>
          <w:tcPr>
            <w:tcW w:w="2185" w:type="dxa"/>
            <w:vAlign w:val="center"/>
          </w:tcPr>
          <w:p w14:paraId="4B7833EC">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5C773E2A">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手机</w:t>
            </w:r>
          </w:p>
        </w:tc>
        <w:tc>
          <w:tcPr>
            <w:tcW w:w="4150" w:type="dxa"/>
            <w:vAlign w:val="center"/>
          </w:tcPr>
          <w:p w14:paraId="2E72630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16D32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49FD4AC">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办公电话</w:t>
            </w:r>
          </w:p>
        </w:tc>
        <w:tc>
          <w:tcPr>
            <w:tcW w:w="2185" w:type="dxa"/>
            <w:vAlign w:val="center"/>
          </w:tcPr>
          <w:p w14:paraId="717E32E5">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48EC49B1">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传真</w:t>
            </w:r>
          </w:p>
        </w:tc>
        <w:tc>
          <w:tcPr>
            <w:tcW w:w="4150" w:type="dxa"/>
            <w:vAlign w:val="center"/>
          </w:tcPr>
          <w:p w14:paraId="0FC58B0F">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42FA1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5ECC982D">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E-mail</w:t>
            </w:r>
          </w:p>
        </w:tc>
        <w:tc>
          <w:tcPr>
            <w:tcW w:w="7846" w:type="dxa"/>
            <w:gridSpan w:val="3"/>
            <w:vAlign w:val="center"/>
          </w:tcPr>
          <w:p w14:paraId="5A3CCB2E">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3491C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4D3D7D2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单位地址</w:t>
            </w:r>
          </w:p>
        </w:tc>
        <w:tc>
          <w:tcPr>
            <w:tcW w:w="7846" w:type="dxa"/>
            <w:gridSpan w:val="3"/>
            <w:vAlign w:val="center"/>
          </w:tcPr>
          <w:p w14:paraId="6D384F6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7AEB9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42CA61D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购买时间</w:t>
            </w:r>
          </w:p>
        </w:tc>
        <w:tc>
          <w:tcPr>
            <w:tcW w:w="7846" w:type="dxa"/>
            <w:gridSpan w:val="3"/>
            <w:vAlign w:val="center"/>
          </w:tcPr>
          <w:p w14:paraId="5D898CD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年   月   日</w:t>
            </w:r>
          </w:p>
        </w:tc>
      </w:tr>
      <w:tr w14:paraId="4A53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6BB64FA7">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备注</w:t>
            </w:r>
          </w:p>
        </w:tc>
        <w:tc>
          <w:tcPr>
            <w:tcW w:w="7846" w:type="dxa"/>
            <w:gridSpan w:val="3"/>
            <w:vAlign w:val="center"/>
          </w:tcPr>
          <w:p w14:paraId="1B2F1BE7">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bl>
    <w:p w14:paraId="2DD4D7B3">
      <w:pPr>
        <w:ind w:firstLine="560" w:firstLineChars="200"/>
        <w:jc w:val="left"/>
        <w:rPr>
          <w:rFonts w:hint="eastAsia" w:ascii="宋体" w:hAnsi="宋体" w:eastAsia="宋体" w:cs="宋体"/>
          <w:szCs w:val="28"/>
        </w:rPr>
      </w:pPr>
    </w:p>
    <w:bookmarkEnd w:id="135"/>
    <w:bookmarkEnd w:id="136"/>
    <w:p w14:paraId="703DB0A7">
      <w:pPr>
        <w:jc w:val="left"/>
        <w:rPr>
          <w:rFonts w:hint="eastAsia" w:ascii="宋体" w:hAnsi="宋体" w:eastAsia="宋体" w:cs="宋体"/>
          <w:szCs w:val="28"/>
        </w:rPr>
      </w:pPr>
      <w:r>
        <w:rPr>
          <w:rFonts w:hint="eastAsia" w:ascii="宋体" w:hAnsi="宋体" w:eastAsia="宋体" w:cs="宋体"/>
          <w:szCs w:val="28"/>
        </w:rPr>
        <w:t xml:space="preserve">采购文件售价：500元/份             发售人：明科建设咨询有限公司  </w:t>
      </w:r>
    </w:p>
    <w:p w14:paraId="3D489077">
      <w:pPr>
        <w:pStyle w:val="60"/>
        <w:rPr>
          <w:rFonts w:hint="eastAsia" w:ascii="宋体" w:hAnsi="宋体" w:eastAsia="宋体" w:cs="宋体"/>
          <w:szCs w:val="28"/>
        </w:rPr>
      </w:pPr>
    </w:p>
    <w:p w14:paraId="3AF6262C">
      <w:pPr>
        <w:pStyle w:val="60"/>
        <w:rPr>
          <w:rFonts w:hint="eastAsia" w:ascii="宋体" w:hAnsi="宋体" w:eastAsia="宋体" w:cs="宋体"/>
          <w:szCs w:val="28"/>
        </w:rPr>
      </w:pPr>
    </w:p>
    <w:p w14:paraId="242224EB">
      <w:pPr>
        <w:pStyle w:val="60"/>
        <w:rPr>
          <w:rFonts w:hint="eastAsia" w:ascii="宋体" w:hAnsi="宋体" w:eastAsia="宋体" w:cs="宋体"/>
          <w:szCs w:val="28"/>
        </w:rPr>
      </w:pPr>
    </w:p>
    <w:p w14:paraId="504B13C5">
      <w:pPr>
        <w:pStyle w:val="91"/>
        <w:jc w:val="both"/>
        <w:rPr>
          <w:rFonts w:hint="eastAsia" w:ascii="黑体" w:hAnsi="黑体" w:eastAsia="黑体" w:cs="黑体"/>
          <w:color w:val="auto"/>
          <w:highlight w:val="none"/>
        </w:rPr>
      </w:pPr>
    </w:p>
    <w:p w14:paraId="76D1C443">
      <w:pPr>
        <w:pStyle w:val="91"/>
        <w:jc w:val="both"/>
        <w:rPr>
          <w:rFonts w:hint="eastAsia" w:ascii="黑体" w:hAnsi="黑体" w:eastAsia="黑体" w:cs="黑体"/>
          <w:color w:val="auto"/>
          <w:highlight w:val="none"/>
        </w:rPr>
      </w:pPr>
      <w:bookmarkStart w:id="137" w:name="_Toc21356"/>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最后报价表</w:t>
      </w:r>
      <w:bookmarkEnd w:id="137"/>
      <w:r>
        <w:rPr>
          <w:rFonts w:hint="eastAsia" w:ascii="黑体" w:hAnsi="黑体" w:eastAsia="黑体" w:cs="黑体"/>
          <w:color w:val="auto"/>
          <w:highlight w:val="none"/>
        </w:rPr>
        <w:t xml:space="preserve">  </w:t>
      </w:r>
    </w:p>
    <w:p w14:paraId="438619D3">
      <w:pPr>
        <w:ind w:firstLine="480"/>
        <w:rPr>
          <w:rFonts w:hint="eastAsia" w:ascii="黑体" w:hAnsi="黑体" w:eastAsia="黑体" w:cs="黑体"/>
          <w:color w:val="auto"/>
          <w:highlight w:val="none"/>
        </w:rPr>
      </w:pPr>
    </w:p>
    <w:p w14:paraId="47A525F0">
      <w:pPr>
        <w:jc w:val="center"/>
        <w:rPr>
          <w:rFonts w:hint="eastAsia" w:ascii="黑体" w:hAnsi="黑体" w:eastAsia="黑体" w:cs="黑体"/>
          <w:b/>
          <w:bCs/>
          <w:smallCaps/>
          <w:color w:val="auto"/>
          <w:kern w:val="2"/>
          <w:sz w:val="28"/>
          <w:highlight w:val="none"/>
          <w:lang w:val="en-US" w:eastAsia="zh-CN" w:bidi="ar-SA"/>
        </w:rPr>
      </w:pPr>
      <w:r>
        <w:rPr>
          <w:rFonts w:hint="eastAsia" w:ascii="黑体" w:hAnsi="黑体" w:eastAsia="黑体" w:cs="黑体"/>
          <w:b/>
          <w:bCs/>
          <w:smallCaps/>
          <w:color w:val="auto"/>
          <w:kern w:val="2"/>
          <w:sz w:val="28"/>
          <w:highlight w:val="none"/>
          <w:lang w:val="en-US" w:eastAsia="zh-CN" w:bidi="ar-SA"/>
        </w:rPr>
        <w:t>最后报价表</w:t>
      </w:r>
    </w:p>
    <w:p w14:paraId="14316011">
      <w:pPr>
        <w:numPr>
          <w:ilvl w:val="0"/>
          <w:numId w:val="0"/>
        </w:numPr>
        <w:tabs>
          <w:tab w:val="left" w:pos="6300"/>
        </w:tabs>
        <w:snapToGrid w:val="0"/>
        <w:spacing w:line="500" w:lineRule="exact"/>
        <w:ind w:left="0" w:right="0" w:firstLine="560"/>
        <w:rPr>
          <w:rFonts w:hint="eastAsia" w:ascii="黑体" w:hAnsi="黑体" w:eastAsia="黑体" w:cs="黑体"/>
          <w:color w:val="auto"/>
          <w:szCs w:val="22"/>
          <w:highlight w:val="none"/>
        </w:rPr>
      </w:pPr>
    </w:p>
    <w:p w14:paraId="61A25C10">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single"/>
          <w:lang w:val="en-US" w:eastAsia="zh-CN"/>
        </w:rPr>
        <w:t>采购人名称）</w:t>
      </w:r>
      <w:r>
        <w:rPr>
          <w:rFonts w:hint="eastAsia" w:ascii="黑体" w:hAnsi="黑体" w:eastAsia="黑体" w:cs="黑体"/>
          <w:color w:val="auto"/>
          <w:sz w:val="24"/>
          <w:szCs w:val="22"/>
          <w:highlight w:val="none"/>
        </w:rPr>
        <w:t>：</w:t>
      </w:r>
    </w:p>
    <w:p w14:paraId="2200A478">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根据磋商会议上明确的各项要求，本人代表本公司对</w:t>
      </w:r>
      <w:r>
        <w:rPr>
          <w:rFonts w:hint="eastAsia" w:ascii="黑体" w:hAnsi="黑体" w:eastAsia="黑体" w:cs="黑体"/>
          <w:color w:val="auto"/>
          <w:sz w:val="24"/>
          <w:szCs w:val="22"/>
          <w:highlight w:val="none"/>
        </w:rPr>
        <w:t xml:space="preserve"> </w:t>
      </w:r>
      <w:r>
        <w:rPr>
          <w:rFonts w:hint="eastAsia" w:ascii="黑体" w:hAnsi="黑体" w:eastAsia="黑体" w:cs="黑体"/>
          <w:color w:val="auto"/>
          <w:sz w:val="24"/>
          <w:szCs w:val="22"/>
          <w:highlight w:val="none"/>
          <w:u w:val="single"/>
        </w:rPr>
        <w:t xml:space="preserve">       （</w:t>
      </w:r>
      <w:r>
        <w:rPr>
          <w:rFonts w:hint="eastAsia" w:ascii="黑体" w:hAnsi="黑体" w:eastAsia="黑体" w:cs="黑体"/>
          <w:color w:val="auto"/>
          <w:kern w:val="0"/>
          <w:sz w:val="24"/>
          <w:highlight w:val="none"/>
          <w:u w:val="single"/>
          <w:lang w:val="en-US" w:eastAsia="zh-CN"/>
        </w:rPr>
        <w:t>项目名称</w:t>
      </w:r>
      <w:r>
        <w:rPr>
          <w:rFonts w:hint="eastAsia" w:ascii="黑体" w:hAnsi="黑体" w:eastAsia="黑体" w:cs="黑体"/>
          <w:color w:val="auto"/>
          <w:sz w:val="24"/>
          <w:szCs w:val="22"/>
          <w:highlight w:val="none"/>
          <w:u w:val="single"/>
        </w:rPr>
        <w:t>）</w:t>
      </w:r>
      <w:r>
        <w:rPr>
          <w:rFonts w:hint="eastAsia" w:ascii="黑体" w:hAnsi="黑体" w:eastAsia="黑体" w:cs="黑体"/>
          <w:color w:val="auto"/>
          <w:kern w:val="0"/>
          <w:sz w:val="24"/>
          <w:highlight w:val="none"/>
          <w:u w:val="none"/>
          <w:lang w:val="en-US" w:eastAsia="zh-CN"/>
        </w:rPr>
        <w:t>竞争性磋商项目做出最终报价（人民币）如下</w:t>
      </w:r>
      <w:r>
        <w:rPr>
          <w:rFonts w:hint="eastAsia" w:ascii="黑体" w:hAnsi="黑体" w:eastAsia="黑体" w:cs="黑体"/>
          <w:color w:val="auto"/>
          <w:sz w:val="24"/>
          <w:szCs w:val="22"/>
          <w:highlight w:val="none"/>
        </w:rPr>
        <w:t>：</w:t>
      </w:r>
    </w:p>
    <w:p w14:paraId="05D022E9">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2537F67C">
      <w:pPr>
        <w:tabs>
          <w:tab w:val="left" w:pos="6300"/>
        </w:tabs>
        <w:snapToGrid w:val="0"/>
        <w:spacing w:line="500" w:lineRule="exact"/>
        <w:ind w:left="0" w:right="0" w:firstLine="480"/>
        <w:rPr>
          <w:rFonts w:hint="eastAsia" w:ascii="黑体" w:hAnsi="黑体" w:eastAsia="黑体" w:cs="黑体"/>
          <w:color w:val="auto"/>
          <w:highlight w:val="none"/>
          <w:lang w:eastAsia="zh-CN"/>
        </w:rPr>
      </w:pPr>
      <w:r>
        <w:rPr>
          <w:rFonts w:hint="eastAsia" w:ascii="黑体" w:hAnsi="黑体" w:eastAsia="黑体" w:cs="黑体"/>
          <w:color w:val="auto"/>
          <w:kern w:val="0"/>
          <w:sz w:val="24"/>
          <w:highlight w:val="none"/>
          <w:u w:val="none"/>
          <w:lang w:val="en-US" w:eastAsia="zh-CN"/>
        </w:rPr>
        <w:t>总报价</w:t>
      </w:r>
      <w:r>
        <w:rPr>
          <w:rFonts w:hint="eastAsia" w:ascii="黑体" w:hAnsi="黑体" w:eastAsia="黑体" w:cs="黑体"/>
          <w:color w:val="auto"/>
          <w:sz w:val="24"/>
          <w:szCs w:val="22"/>
          <w:highlight w:val="none"/>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none"/>
          <w:lang w:val="en-US" w:eastAsia="zh-CN"/>
        </w:rPr>
        <w:t>元</w:t>
      </w:r>
      <w:r>
        <w:rPr>
          <w:rFonts w:hint="eastAsia" w:ascii="黑体" w:hAnsi="黑体" w:eastAsia="黑体" w:cs="黑体"/>
          <w:color w:val="auto"/>
          <w:sz w:val="24"/>
          <w:szCs w:val="22"/>
          <w:highlight w:val="none"/>
          <w:lang w:eastAsia="zh-CN"/>
        </w:rPr>
        <w:t>（</w:t>
      </w:r>
      <w:r>
        <w:rPr>
          <w:rFonts w:hint="eastAsia" w:ascii="黑体" w:hAnsi="黑体" w:eastAsia="黑体" w:cs="黑体"/>
          <w:color w:val="auto"/>
          <w:kern w:val="0"/>
          <w:sz w:val="24"/>
          <w:highlight w:val="none"/>
          <w:u w:val="none"/>
          <w:lang w:val="en-US" w:eastAsia="zh-CN"/>
        </w:rPr>
        <w:t>大写</w:t>
      </w:r>
      <w:r>
        <w:rPr>
          <w:rFonts w:hint="eastAsia" w:ascii="黑体" w:hAnsi="黑体" w:eastAsia="黑体" w:cs="黑体"/>
          <w:color w:val="auto"/>
          <w:sz w:val="24"/>
          <w:szCs w:val="22"/>
          <w:highlight w:val="none"/>
          <w:lang w:val="en-US" w:eastAsia="zh-CN"/>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sz w:val="24"/>
          <w:szCs w:val="22"/>
          <w:highlight w:val="none"/>
          <w:lang w:eastAsia="zh-CN"/>
        </w:rPr>
        <w:t>）</w:t>
      </w:r>
    </w:p>
    <w:p w14:paraId="2952C83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3C7055D">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相关补充说明</w:t>
      </w:r>
      <w:r>
        <w:rPr>
          <w:rFonts w:hint="eastAsia" w:ascii="黑体" w:hAnsi="黑体" w:eastAsia="黑体" w:cs="黑体"/>
          <w:color w:val="auto"/>
          <w:sz w:val="24"/>
          <w:szCs w:val="22"/>
          <w:highlight w:val="none"/>
        </w:rPr>
        <w:t>：</w:t>
      </w:r>
      <w:bookmarkStart w:id="144" w:name="_GoBack"/>
      <w:bookmarkEnd w:id="144"/>
    </w:p>
    <w:p w14:paraId="40B23CF0">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FEC2DA6">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C71F3B3">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法定代表人或授权代表（签字）</w:t>
      </w:r>
      <w:r>
        <w:rPr>
          <w:rFonts w:hint="eastAsia" w:ascii="黑体" w:hAnsi="黑体" w:eastAsia="黑体" w:cs="黑体"/>
          <w:color w:val="auto"/>
          <w:sz w:val="24"/>
          <w:szCs w:val="22"/>
          <w:highlight w:val="none"/>
        </w:rPr>
        <w:t>：</w:t>
      </w:r>
    </w:p>
    <w:p w14:paraId="408073F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33EE4D99">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法定代表人或授权代表联系电话</w:t>
      </w:r>
      <w:r>
        <w:rPr>
          <w:rFonts w:hint="eastAsia" w:ascii="黑体" w:hAnsi="黑体" w:eastAsia="黑体" w:cs="黑体"/>
          <w:color w:val="auto"/>
          <w:sz w:val="24"/>
          <w:szCs w:val="22"/>
          <w:highlight w:val="none"/>
        </w:rPr>
        <w:t>：</w:t>
      </w:r>
    </w:p>
    <w:p w14:paraId="5CB4EB0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4943C07B">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691EFB1">
      <w:pPr>
        <w:tabs>
          <w:tab w:val="left" w:pos="6300"/>
        </w:tabs>
        <w:snapToGrid w:val="0"/>
        <w:spacing w:line="500" w:lineRule="exact"/>
        <w:ind w:left="0" w:right="0" w:firstLine="480"/>
        <w:jc w:val="center"/>
        <w:outlineLvl w:val="9"/>
        <w:rPr>
          <w:rFonts w:hint="eastAsia" w:ascii="黑体" w:hAnsi="黑体" w:eastAsia="黑体" w:cs="黑体"/>
          <w:color w:val="auto"/>
          <w:highlight w:val="none"/>
          <w:u w:val="single"/>
          <w:lang w:val="en-US" w:eastAsia="zh-CN"/>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38" w:name="_Toc14989"/>
      <w:bookmarkStart w:id="139" w:name="_Toc19650"/>
      <w:bookmarkStart w:id="140" w:name="_Toc23698"/>
      <w:r>
        <w:rPr>
          <w:rFonts w:hint="eastAsia" w:ascii="黑体" w:hAnsi="黑体" w:eastAsia="黑体" w:cs="黑体"/>
          <w:color w:val="auto"/>
          <w:kern w:val="0"/>
          <w:sz w:val="24"/>
          <w:highlight w:val="none"/>
          <w:u w:val="none"/>
          <w:lang w:val="en-US" w:eastAsia="zh-CN"/>
        </w:rPr>
        <w:t>供应商名称（盖章</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w:t>
      </w:r>
      <w:bookmarkEnd w:id="138"/>
      <w:bookmarkEnd w:id="139"/>
      <w:bookmarkEnd w:id="140"/>
    </w:p>
    <w:p w14:paraId="19BF7903">
      <w:pPr>
        <w:tabs>
          <w:tab w:val="left" w:pos="6300"/>
        </w:tabs>
        <w:snapToGrid w:val="0"/>
        <w:spacing w:line="500" w:lineRule="exact"/>
        <w:ind w:left="0" w:right="0" w:firstLine="480"/>
        <w:jc w:val="right"/>
        <w:rPr>
          <w:rFonts w:hint="eastAsia" w:ascii="黑体" w:hAnsi="黑体" w:eastAsia="黑体" w:cs="黑体"/>
          <w:color w:val="auto"/>
          <w:sz w:val="24"/>
          <w:szCs w:val="22"/>
          <w:highlight w:val="none"/>
        </w:rPr>
      </w:pPr>
    </w:p>
    <w:p w14:paraId="63D86306">
      <w:pPr>
        <w:tabs>
          <w:tab w:val="left" w:pos="6300"/>
        </w:tabs>
        <w:snapToGrid w:val="0"/>
        <w:spacing w:line="500" w:lineRule="exact"/>
        <w:ind w:left="0" w:right="0" w:firstLine="480"/>
        <w:jc w:val="center"/>
        <w:outlineLvl w:val="9"/>
        <w:rPr>
          <w:rFonts w:hint="eastAsia" w:ascii="黑体" w:hAnsi="黑体" w:eastAsia="黑体" w:cs="黑体"/>
          <w:color w:val="auto"/>
          <w:highlight w:val="none"/>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41" w:name="_Toc9967"/>
      <w:bookmarkStart w:id="142" w:name="_Toc20232"/>
      <w:bookmarkStart w:id="143" w:name="_Toc6635"/>
      <w:r>
        <w:rPr>
          <w:rFonts w:hint="eastAsia" w:ascii="黑体" w:hAnsi="黑体" w:eastAsia="黑体" w:cs="黑体"/>
          <w:color w:val="auto"/>
          <w:kern w:val="0"/>
          <w:sz w:val="24"/>
          <w:highlight w:val="none"/>
          <w:u w:val="none"/>
          <w:lang w:val="en-US" w:eastAsia="zh-CN"/>
        </w:rPr>
        <w:t>年  月  日</w:t>
      </w:r>
      <w:bookmarkEnd w:id="141"/>
      <w:bookmarkEnd w:id="142"/>
      <w:bookmarkEnd w:id="143"/>
    </w:p>
    <w:p w14:paraId="173D1313">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E76BF6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D487BE4">
      <w:pPr>
        <w:ind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注</w:t>
      </w:r>
      <w:r>
        <w:rPr>
          <w:rFonts w:hint="eastAsia" w:ascii="黑体" w:hAnsi="黑体" w:eastAsia="黑体" w:cs="黑体"/>
          <w:color w:val="auto"/>
          <w:sz w:val="24"/>
          <w:szCs w:val="22"/>
          <w:highlight w:val="none"/>
        </w:rPr>
        <w:t>：</w:t>
      </w:r>
      <w:r>
        <w:rPr>
          <w:rFonts w:hint="eastAsia" w:ascii="黑体" w:hAnsi="黑体" w:eastAsia="黑体" w:cs="黑体"/>
          <w:color w:val="auto"/>
          <w:kern w:val="0"/>
          <w:sz w:val="24"/>
          <w:highlight w:val="none"/>
          <w:u w:val="none"/>
          <w:lang w:val="en-US" w:eastAsia="zh-CN"/>
        </w:rPr>
        <w:t>供应商按此格式制作“最后报价表”，并加盖单位公章或签字后自行携带到现场，用于最后报价</w:t>
      </w:r>
      <w:r>
        <w:rPr>
          <w:rFonts w:hint="eastAsia" w:ascii="黑体" w:hAnsi="黑体" w:eastAsia="黑体" w:cs="黑体"/>
          <w:color w:val="auto"/>
          <w:sz w:val="24"/>
          <w:szCs w:val="22"/>
          <w:highlight w:val="none"/>
        </w:rPr>
        <w:t>。</w:t>
      </w:r>
    </w:p>
    <w:p w14:paraId="28B06462">
      <w:pPr>
        <w:pStyle w:val="60"/>
        <w:rPr>
          <w:rFonts w:hint="eastAsia" w:ascii="宋体" w:hAnsi="宋体" w:eastAsia="宋体" w:cs="宋体"/>
          <w:szCs w:val="28"/>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222088-13A6-46AF-AC27-8CB30A195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37B7D2C8-34F0-4276-8455-FE2197AEE6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6956">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1C6DE42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0B95">
    <w:pPr>
      <w:pStyle w:val="36"/>
      <w:framePr w:wrap="around" w:vAnchor="text" w:hAnchor="margin" w:xAlign="center" w:y="1"/>
      <w:rPr>
        <w:rStyle w:val="65"/>
      </w:rPr>
    </w:pPr>
  </w:p>
  <w:p w14:paraId="3E379C7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2CE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97E4">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0313">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7380">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0928">
    <w:pPr>
      <w:pStyle w:val="38"/>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135B"/>
    <w:multiLevelType w:val="singleLevel"/>
    <w:tmpl w:val="A146135B"/>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2"/>
  </w:num>
  <w:num w:numId="7">
    <w:abstractNumId w:val="7"/>
  </w:num>
  <w:num w:numId="8">
    <w:abstractNumId w:val="3"/>
  </w:num>
  <w:num w:numId="9">
    <w:abstractNumId w:val="11"/>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3626"/>
    <w:rsid w:val="000040DE"/>
    <w:rsid w:val="000075E8"/>
    <w:rsid w:val="00011B4B"/>
    <w:rsid w:val="00014332"/>
    <w:rsid w:val="00016B79"/>
    <w:rsid w:val="00017816"/>
    <w:rsid w:val="00021408"/>
    <w:rsid w:val="00032ACA"/>
    <w:rsid w:val="00034CCA"/>
    <w:rsid w:val="0003632F"/>
    <w:rsid w:val="0004739C"/>
    <w:rsid w:val="0005298B"/>
    <w:rsid w:val="00052BC9"/>
    <w:rsid w:val="00053B1B"/>
    <w:rsid w:val="0005417C"/>
    <w:rsid w:val="0005486D"/>
    <w:rsid w:val="000576E1"/>
    <w:rsid w:val="00063981"/>
    <w:rsid w:val="000714EE"/>
    <w:rsid w:val="00090C5A"/>
    <w:rsid w:val="00091B1C"/>
    <w:rsid w:val="00091D22"/>
    <w:rsid w:val="00092ACE"/>
    <w:rsid w:val="00097656"/>
    <w:rsid w:val="000A164E"/>
    <w:rsid w:val="000A3057"/>
    <w:rsid w:val="000B0DEB"/>
    <w:rsid w:val="000B1068"/>
    <w:rsid w:val="000B42F4"/>
    <w:rsid w:val="000B7377"/>
    <w:rsid w:val="000B7F54"/>
    <w:rsid w:val="000C08C1"/>
    <w:rsid w:val="000C6D89"/>
    <w:rsid w:val="000C7DA1"/>
    <w:rsid w:val="000D776F"/>
    <w:rsid w:val="000E01C9"/>
    <w:rsid w:val="000E0DD7"/>
    <w:rsid w:val="000E0E42"/>
    <w:rsid w:val="000E3259"/>
    <w:rsid w:val="000E5D71"/>
    <w:rsid w:val="000F5A63"/>
    <w:rsid w:val="000F6A48"/>
    <w:rsid w:val="000F7543"/>
    <w:rsid w:val="000F7DBF"/>
    <w:rsid w:val="0010014A"/>
    <w:rsid w:val="00100639"/>
    <w:rsid w:val="0010088E"/>
    <w:rsid w:val="00101A56"/>
    <w:rsid w:val="001028FD"/>
    <w:rsid w:val="00105638"/>
    <w:rsid w:val="00114CFE"/>
    <w:rsid w:val="00115337"/>
    <w:rsid w:val="0011683E"/>
    <w:rsid w:val="00116856"/>
    <w:rsid w:val="00116C42"/>
    <w:rsid w:val="0011780F"/>
    <w:rsid w:val="00120259"/>
    <w:rsid w:val="00122F9D"/>
    <w:rsid w:val="001266BF"/>
    <w:rsid w:val="00133D16"/>
    <w:rsid w:val="00134037"/>
    <w:rsid w:val="001342AC"/>
    <w:rsid w:val="001448BD"/>
    <w:rsid w:val="00145E2C"/>
    <w:rsid w:val="00147FB4"/>
    <w:rsid w:val="0015011C"/>
    <w:rsid w:val="0015033B"/>
    <w:rsid w:val="00150429"/>
    <w:rsid w:val="00152B00"/>
    <w:rsid w:val="00155A1A"/>
    <w:rsid w:val="00170166"/>
    <w:rsid w:val="00171E05"/>
    <w:rsid w:val="00180ACB"/>
    <w:rsid w:val="00183B60"/>
    <w:rsid w:val="00186623"/>
    <w:rsid w:val="001879FD"/>
    <w:rsid w:val="0019571D"/>
    <w:rsid w:val="001964D6"/>
    <w:rsid w:val="001A64A1"/>
    <w:rsid w:val="001A6DCC"/>
    <w:rsid w:val="001B0396"/>
    <w:rsid w:val="001B1400"/>
    <w:rsid w:val="001B3DBD"/>
    <w:rsid w:val="001B4377"/>
    <w:rsid w:val="001D0DF7"/>
    <w:rsid w:val="001D2321"/>
    <w:rsid w:val="001D2DCD"/>
    <w:rsid w:val="001D5055"/>
    <w:rsid w:val="001D630C"/>
    <w:rsid w:val="001E044B"/>
    <w:rsid w:val="001E201B"/>
    <w:rsid w:val="001E2D1F"/>
    <w:rsid w:val="001E5CAC"/>
    <w:rsid w:val="001E64A9"/>
    <w:rsid w:val="001E6721"/>
    <w:rsid w:val="001E6841"/>
    <w:rsid w:val="001E725F"/>
    <w:rsid w:val="001F1AF7"/>
    <w:rsid w:val="001F4964"/>
    <w:rsid w:val="001F7063"/>
    <w:rsid w:val="00202B04"/>
    <w:rsid w:val="00203052"/>
    <w:rsid w:val="00204936"/>
    <w:rsid w:val="00206AE4"/>
    <w:rsid w:val="002100EE"/>
    <w:rsid w:val="00212A06"/>
    <w:rsid w:val="0021704D"/>
    <w:rsid w:val="00222097"/>
    <w:rsid w:val="002227DB"/>
    <w:rsid w:val="00225CC2"/>
    <w:rsid w:val="00227202"/>
    <w:rsid w:val="00227377"/>
    <w:rsid w:val="00227851"/>
    <w:rsid w:val="00234257"/>
    <w:rsid w:val="002348E0"/>
    <w:rsid w:val="00262555"/>
    <w:rsid w:val="00263148"/>
    <w:rsid w:val="002643C1"/>
    <w:rsid w:val="00265203"/>
    <w:rsid w:val="0027199E"/>
    <w:rsid w:val="00271D47"/>
    <w:rsid w:val="002721EA"/>
    <w:rsid w:val="00272CA9"/>
    <w:rsid w:val="00280E8A"/>
    <w:rsid w:val="00285164"/>
    <w:rsid w:val="00287BED"/>
    <w:rsid w:val="002A137B"/>
    <w:rsid w:val="002A26C5"/>
    <w:rsid w:val="002A4956"/>
    <w:rsid w:val="002A6710"/>
    <w:rsid w:val="002B1FDA"/>
    <w:rsid w:val="002B578B"/>
    <w:rsid w:val="002B5ECC"/>
    <w:rsid w:val="002B7904"/>
    <w:rsid w:val="002C2507"/>
    <w:rsid w:val="002C2E6E"/>
    <w:rsid w:val="002C7927"/>
    <w:rsid w:val="002D1B4C"/>
    <w:rsid w:val="002D7725"/>
    <w:rsid w:val="002D7F24"/>
    <w:rsid w:val="002E0CC2"/>
    <w:rsid w:val="002E293B"/>
    <w:rsid w:val="002E3527"/>
    <w:rsid w:val="002F0ED3"/>
    <w:rsid w:val="002F3982"/>
    <w:rsid w:val="002F3DE3"/>
    <w:rsid w:val="002F632E"/>
    <w:rsid w:val="003021BC"/>
    <w:rsid w:val="00303F39"/>
    <w:rsid w:val="00310AF9"/>
    <w:rsid w:val="00310DAA"/>
    <w:rsid w:val="0031465E"/>
    <w:rsid w:val="00315742"/>
    <w:rsid w:val="003163B3"/>
    <w:rsid w:val="00322A7A"/>
    <w:rsid w:val="00326C5B"/>
    <w:rsid w:val="003328D4"/>
    <w:rsid w:val="00341DEB"/>
    <w:rsid w:val="00343B6C"/>
    <w:rsid w:val="00346A3D"/>
    <w:rsid w:val="00350C20"/>
    <w:rsid w:val="00353880"/>
    <w:rsid w:val="003548FA"/>
    <w:rsid w:val="00355A74"/>
    <w:rsid w:val="00361427"/>
    <w:rsid w:val="0036275E"/>
    <w:rsid w:val="00363702"/>
    <w:rsid w:val="0036458B"/>
    <w:rsid w:val="00371D2F"/>
    <w:rsid w:val="00372A67"/>
    <w:rsid w:val="00373122"/>
    <w:rsid w:val="0037612E"/>
    <w:rsid w:val="0038033A"/>
    <w:rsid w:val="003816ED"/>
    <w:rsid w:val="00384161"/>
    <w:rsid w:val="00387610"/>
    <w:rsid w:val="00395C2F"/>
    <w:rsid w:val="003973D3"/>
    <w:rsid w:val="00397F89"/>
    <w:rsid w:val="003A0892"/>
    <w:rsid w:val="003A1BF9"/>
    <w:rsid w:val="003A2D0E"/>
    <w:rsid w:val="003A422B"/>
    <w:rsid w:val="003A449E"/>
    <w:rsid w:val="003A71F3"/>
    <w:rsid w:val="003B19F5"/>
    <w:rsid w:val="003C79ED"/>
    <w:rsid w:val="003D0E0A"/>
    <w:rsid w:val="003D3B22"/>
    <w:rsid w:val="003D7B3D"/>
    <w:rsid w:val="003E7BFA"/>
    <w:rsid w:val="003F41F1"/>
    <w:rsid w:val="003F451E"/>
    <w:rsid w:val="003F4939"/>
    <w:rsid w:val="003F626F"/>
    <w:rsid w:val="00402B32"/>
    <w:rsid w:val="00410C93"/>
    <w:rsid w:val="00411B4A"/>
    <w:rsid w:val="004134DD"/>
    <w:rsid w:val="00417E99"/>
    <w:rsid w:val="00421507"/>
    <w:rsid w:val="00424D02"/>
    <w:rsid w:val="0042525A"/>
    <w:rsid w:val="00437B8B"/>
    <w:rsid w:val="0044193A"/>
    <w:rsid w:val="00453B8F"/>
    <w:rsid w:val="00460489"/>
    <w:rsid w:val="004608C7"/>
    <w:rsid w:val="00462878"/>
    <w:rsid w:val="00465B7A"/>
    <w:rsid w:val="0046631A"/>
    <w:rsid w:val="00472AA2"/>
    <w:rsid w:val="00473B39"/>
    <w:rsid w:val="00485B4D"/>
    <w:rsid w:val="00486F5D"/>
    <w:rsid w:val="00487B72"/>
    <w:rsid w:val="004928A2"/>
    <w:rsid w:val="0049447B"/>
    <w:rsid w:val="004953EC"/>
    <w:rsid w:val="004A0D29"/>
    <w:rsid w:val="004A0DE1"/>
    <w:rsid w:val="004A17D3"/>
    <w:rsid w:val="004A2410"/>
    <w:rsid w:val="004A27AC"/>
    <w:rsid w:val="004A3995"/>
    <w:rsid w:val="004A42A0"/>
    <w:rsid w:val="004C001F"/>
    <w:rsid w:val="004C1DD0"/>
    <w:rsid w:val="004C2685"/>
    <w:rsid w:val="004C64E4"/>
    <w:rsid w:val="004D2334"/>
    <w:rsid w:val="004D6824"/>
    <w:rsid w:val="004E156F"/>
    <w:rsid w:val="004E550E"/>
    <w:rsid w:val="004E55DB"/>
    <w:rsid w:val="004E5C74"/>
    <w:rsid w:val="004E67C6"/>
    <w:rsid w:val="00502B2F"/>
    <w:rsid w:val="00512D00"/>
    <w:rsid w:val="00514179"/>
    <w:rsid w:val="005164D4"/>
    <w:rsid w:val="005205CF"/>
    <w:rsid w:val="005269DB"/>
    <w:rsid w:val="0052718D"/>
    <w:rsid w:val="00527B5B"/>
    <w:rsid w:val="00533EAB"/>
    <w:rsid w:val="00544BEA"/>
    <w:rsid w:val="005460D5"/>
    <w:rsid w:val="005474EC"/>
    <w:rsid w:val="00547EB2"/>
    <w:rsid w:val="005501F0"/>
    <w:rsid w:val="00553CF0"/>
    <w:rsid w:val="00557C75"/>
    <w:rsid w:val="00566A85"/>
    <w:rsid w:val="00570C78"/>
    <w:rsid w:val="005736BF"/>
    <w:rsid w:val="00573AE3"/>
    <w:rsid w:val="005902D9"/>
    <w:rsid w:val="00596AB7"/>
    <w:rsid w:val="005A1B5C"/>
    <w:rsid w:val="005A1EA7"/>
    <w:rsid w:val="005A33AD"/>
    <w:rsid w:val="005A5660"/>
    <w:rsid w:val="005A5AAB"/>
    <w:rsid w:val="005A6CB7"/>
    <w:rsid w:val="005A7FC7"/>
    <w:rsid w:val="005B0724"/>
    <w:rsid w:val="005B1E46"/>
    <w:rsid w:val="005B5AA4"/>
    <w:rsid w:val="005C3F4B"/>
    <w:rsid w:val="005C42AC"/>
    <w:rsid w:val="005C4F84"/>
    <w:rsid w:val="005D37D0"/>
    <w:rsid w:val="005D703E"/>
    <w:rsid w:val="005E35E9"/>
    <w:rsid w:val="005E5525"/>
    <w:rsid w:val="005F5D2A"/>
    <w:rsid w:val="0060003E"/>
    <w:rsid w:val="0060315D"/>
    <w:rsid w:val="00603C08"/>
    <w:rsid w:val="006076D2"/>
    <w:rsid w:val="00613410"/>
    <w:rsid w:val="00617986"/>
    <w:rsid w:val="00627729"/>
    <w:rsid w:val="00627F21"/>
    <w:rsid w:val="00636542"/>
    <w:rsid w:val="00643298"/>
    <w:rsid w:val="0064583B"/>
    <w:rsid w:val="00651127"/>
    <w:rsid w:val="0065190C"/>
    <w:rsid w:val="00651F9A"/>
    <w:rsid w:val="00653114"/>
    <w:rsid w:val="006542F1"/>
    <w:rsid w:val="00654A48"/>
    <w:rsid w:val="0065651B"/>
    <w:rsid w:val="00657001"/>
    <w:rsid w:val="00664607"/>
    <w:rsid w:val="00670089"/>
    <w:rsid w:val="00670C89"/>
    <w:rsid w:val="00671233"/>
    <w:rsid w:val="006763DC"/>
    <w:rsid w:val="00677FD3"/>
    <w:rsid w:val="00680AE4"/>
    <w:rsid w:val="00682205"/>
    <w:rsid w:val="00684E51"/>
    <w:rsid w:val="0068793C"/>
    <w:rsid w:val="006A100B"/>
    <w:rsid w:val="006A143A"/>
    <w:rsid w:val="006A3285"/>
    <w:rsid w:val="006A4C56"/>
    <w:rsid w:val="006B0567"/>
    <w:rsid w:val="006B1C61"/>
    <w:rsid w:val="006B4535"/>
    <w:rsid w:val="006B594C"/>
    <w:rsid w:val="006B72DE"/>
    <w:rsid w:val="006B75CB"/>
    <w:rsid w:val="006C281B"/>
    <w:rsid w:val="006C5FC1"/>
    <w:rsid w:val="006C762B"/>
    <w:rsid w:val="006D44E1"/>
    <w:rsid w:val="006D6662"/>
    <w:rsid w:val="006D79B0"/>
    <w:rsid w:val="006E0E43"/>
    <w:rsid w:val="006E21FA"/>
    <w:rsid w:val="006E477D"/>
    <w:rsid w:val="006E6D5F"/>
    <w:rsid w:val="006F0FB7"/>
    <w:rsid w:val="006F5925"/>
    <w:rsid w:val="006F5E40"/>
    <w:rsid w:val="00704E5D"/>
    <w:rsid w:val="00705739"/>
    <w:rsid w:val="00706E93"/>
    <w:rsid w:val="00707521"/>
    <w:rsid w:val="00710AE5"/>
    <w:rsid w:val="00712E76"/>
    <w:rsid w:val="00712E83"/>
    <w:rsid w:val="00714BF1"/>
    <w:rsid w:val="00715FB5"/>
    <w:rsid w:val="0071698E"/>
    <w:rsid w:val="007171A6"/>
    <w:rsid w:val="0071799D"/>
    <w:rsid w:val="00721F0C"/>
    <w:rsid w:val="00726088"/>
    <w:rsid w:val="00730B6A"/>
    <w:rsid w:val="00736D88"/>
    <w:rsid w:val="00736DD2"/>
    <w:rsid w:val="00742C59"/>
    <w:rsid w:val="0074312D"/>
    <w:rsid w:val="0074681C"/>
    <w:rsid w:val="00746EC2"/>
    <w:rsid w:val="00781AD3"/>
    <w:rsid w:val="00781BFB"/>
    <w:rsid w:val="007842FC"/>
    <w:rsid w:val="00786FA7"/>
    <w:rsid w:val="007909FD"/>
    <w:rsid w:val="00794382"/>
    <w:rsid w:val="007959AC"/>
    <w:rsid w:val="007A20E0"/>
    <w:rsid w:val="007B2204"/>
    <w:rsid w:val="007B4B60"/>
    <w:rsid w:val="007B7278"/>
    <w:rsid w:val="007B7EE3"/>
    <w:rsid w:val="007C6B0F"/>
    <w:rsid w:val="007D3BCE"/>
    <w:rsid w:val="007D7A44"/>
    <w:rsid w:val="007D7E65"/>
    <w:rsid w:val="007E19E0"/>
    <w:rsid w:val="007E25C3"/>
    <w:rsid w:val="007F4EE5"/>
    <w:rsid w:val="007F6769"/>
    <w:rsid w:val="008041D4"/>
    <w:rsid w:val="008059B0"/>
    <w:rsid w:val="0081156A"/>
    <w:rsid w:val="00827398"/>
    <w:rsid w:val="0083653E"/>
    <w:rsid w:val="00842974"/>
    <w:rsid w:val="00842F87"/>
    <w:rsid w:val="00843580"/>
    <w:rsid w:val="00843D2E"/>
    <w:rsid w:val="00846C30"/>
    <w:rsid w:val="0085550A"/>
    <w:rsid w:val="008616EF"/>
    <w:rsid w:val="00863C25"/>
    <w:rsid w:val="008641B7"/>
    <w:rsid w:val="00864D80"/>
    <w:rsid w:val="00864DC1"/>
    <w:rsid w:val="008705BC"/>
    <w:rsid w:val="00871999"/>
    <w:rsid w:val="00875A42"/>
    <w:rsid w:val="008904A8"/>
    <w:rsid w:val="00891D94"/>
    <w:rsid w:val="00894AFE"/>
    <w:rsid w:val="00895DF3"/>
    <w:rsid w:val="008A19AF"/>
    <w:rsid w:val="008A20FB"/>
    <w:rsid w:val="008A6674"/>
    <w:rsid w:val="008C1B22"/>
    <w:rsid w:val="008C3FCD"/>
    <w:rsid w:val="008C4A42"/>
    <w:rsid w:val="008C4C84"/>
    <w:rsid w:val="008C510F"/>
    <w:rsid w:val="008C725D"/>
    <w:rsid w:val="008D067F"/>
    <w:rsid w:val="008D3283"/>
    <w:rsid w:val="008D6716"/>
    <w:rsid w:val="008E437B"/>
    <w:rsid w:val="008E4D3F"/>
    <w:rsid w:val="008E66B8"/>
    <w:rsid w:val="008E702B"/>
    <w:rsid w:val="008F0A2E"/>
    <w:rsid w:val="008F1988"/>
    <w:rsid w:val="008F6252"/>
    <w:rsid w:val="00900D7A"/>
    <w:rsid w:val="009023F3"/>
    <w:rsid w:val="0090383C"/>
    <w:rsid w:val="00905D85"/>
    <w:rsid w:val="00912132"/>
    <w:rsid w:val="009155BD"/>
    <w:rsid w:val="009226D2"/>
    <w:rsid w:val="00922FAD"/>
    <w:rsid w:val="00924F0A"/>
    <w:rsid w:val="00925082"/>
    <w:rsid w:val="00925726"/>
    <w:rsid w:val="0092708B"/>
    <w:rsid w:val="00930024"/>
    <w:rsid w:val="0093049D"/>
    <w:rsid w:val="00937713"/>
    <w:rsid w:val="0094759E"/>
    <w:rsid w:val="00952C13"/>
    <w:rsid w:val="00962BF1"/>
    <w:rsid w:val="00966820"/>
    <w:rsid w:val="00971E57"/>
    <w:rsid w:val="009723CF"/>
    <w:rsid w:val="0097652A"/>
    <w:rsid w:val="00980037"/>
    <w:rsid w:val="00983B43"/>
    <w:rsid w:val="00984742"/>
    <w:rsid w:val="00991B37"/>
    <w:rsid w:val="00994696"/>
    <w:rsid w:val="009B6208"/>
    <w:rsid w:val="009C18E9"/>
    <w:rsid w:val="009C3034"/>
    <w:rsid w:val="009C4BFF"/>
    <w:rsid w:val="009C7522"/>
    <w:rsid w:val="009D0FDD"/>
    <w:rsid w:val="009D3162"/>
    <w:rsid w:val="009D3181"/>
    <w:rsid w:val="009D599E"/>
    <w:rsid w:val="009D7B9B"/>
    <w:rsid w:val="009D7DCB"/>
    <w:rsid w:val="009E0E18"/>
    <w:rsid w:val="009E717E"/>
    <w:rsid w:val="009E737D"/>
    <w:rsid w:val="009F18FA"/>
    <w:rsid w:val="00A03977"/>
    <w:rsid w:val="00A15FBF"/>
    <w:rsid w:val="00A1616D"/>
    <w:rsid w:val="00A1783B"/>
    <w:rsid w:val="00A26FF7"/>
    <w:rsid w:val="00A30306"/>
    <w:rsid w:val="00A35650"/>
    <w:rsid w:val="00A37A20"/>
    <w:rsid w:val="00A445DC"/>
    <w:rsid w:val="00A44BEA"/>
    <w:rsid w:val="00A44F24"/>
    <w:rsid w:val="00A47C22"/>
    <w:rsid w:val="00A55B14"/>
    <w:rsid w:val="00A5689C"/>
    <w:rsid w:val="00A569E8"/>
    <w:rsid w:val="00A57FAF"/>
    <w:rsid w:val="00A601C4"/>
    <w:rsid w:val="00A61D6E"/>
    <w:rsid w:val="00A63D0C"/>
    <w:rsid w:val="00A70260"/>
    <w:rsid w:val="00A711C6"/>
    <w:rsid w:val="00A71B7E"/>
    <w:rsid w:val="00A730F3"/>
    <w:rsid w:val="00A73661"/>
    <w:rsid w:val="00A81F2F"/>
    <w:rsid w:val="00A82E0D"/>
    <w:rsid w:val="00A83E4E"/>
    <w:rsid w:val="00A84863"/>
    <w:rsid w:val="00A87F82"/>
    <w:rsid w:val="00A95D95"/>
    <w:rsid w:val="00A977EC"/>
    <w:rsid w:val="00A97AD0"/>
    <w:rsid w:val="00AA3FD1"/>
    <w:rsid w:val="00AA52DE"/>
    <w:rsid w:val="00AA61D4"/>
    <w:rsid w:val="00AB11B3"/>
    <w:rsid w:val="00AB4792"/>
    <w:rsid w:val="00AB5ED3"/>
    <w:rsid w:val="00AB6B0C"/>
    <w:rsid w:val="00AB70CD"/>
    <w:rsid w:val="00AB7800"/>
    <w:rsid w:val="00AC1860"/>
    <w:rsid w:val="00AC3819"/>
    <w:rsid w:val="00AC4898"/>
    <w:rsid w:val="00AC48B3"/>
    <w:rsid w:val="00AC7AC9"/>
    <w:rsid w:val="00AD1F53"/>
    <w:rsid w:val="00AE1920"/>
    <w:rsid w:val="00AF01B3"/>
    <w:rsid w:val="00AF0F13"/>
    <w:rsid w:val="00AF1462"/>
    <w:rsid w:val="00AF26A5"/>
    <w:rsid w:val="00AF31BD"/>
    <w:rsid w:val="00AF69D4"/>
    <w:rsid w:val="00AF7992"/>
    <w:rsid w:val="00AF7C71"/>
    <w:rsid w:val="00AF7CDD"/>
    <w:rsid w:val="00B00AB3"/>
    <w:rsid w:val="00B029E3"/>
    <w:rsid w:val="00B14C52"/>
    <w:rsid w:val="00B200AA"/>
    <w:rsid w:val="00B22339"/>
    <w:rsid w:val="00B2488E"/>
    <w:rsid w:val="00B25EB3"/>
    <w:rsid w:val="00B35FA2"/>
    <w:rsid w:val="00B40051"/>
    <w:rsid w:val="00B407CF"/>
    <w:rsid w:val="00B42056"/>
    <w:rsid w:val="00B44ECC"/>
    <w:rsid w:val="00B478C3"/>
    <w:rsid w:val="00B5081B"/>
    <w:rsid w:val="00B50B41"/>
    <w:rsid w:val="00B51251"/>
    <w:rsid w:val="00B52715"/>
    <w:rsid w:val="00B61348"/>
    <w:rsid w:val="00B6263F"/>
    <w:rsid w:val="00B67114"/>
    <w:rsid w:val="00B7097C"/>
    <w:rsid w:val="00B75449"/>
    <w:rsid w:val="00B75D33"/>
    <w:rsid w:val="00B75FAE"/>
    <w:rsid w:val="00B77835"/>
    <w:rsid w:val="00B81284"/>
    <w:rsid w:val="00B85405"/>
    <w:rsid w:val="00B86DA1"/>
    <w:rsid w:val="00B87401"/>
    <w:rsid w:val="00BA0A6E"/>
    <w:rsid w:val="00BA1D16"/>
    <w:rsid w:val="00BA527C"/>
    <w:rsid w:val="00BA6122"/>
    <w:rsid w:val="00BA7C67"/>
    <w:rsid w:val="00BA7D51"/>
    <w:rsid w:val="00BB7494"/>
    <w:rsid w:val="00BB76A5"/>
    <w:rsid w:val="00BC183F"/>
    <w:rsid w:val="00BC2390"/>
    <w:rsid w:val="00BC4DC5"/>
    <w:rsid w:val="00BC775D"/>
    <w:rsid w:val="00BD19D3"/>
    <w:rsid w:val="00BD2544"/>
    <w:rsid w:val="00BD5A75"/>
    <w:rsid w:val="00BE07A9"/>
    <w:rsid w:val="00BE2947"/>
    <w:rsid w:val="00BE2E36"/>
    <w:rsid w:val="00BE322C"/>
    <w:rsid w:val="00BE4028"/>
    <w:rsid w:val="00BE4D8F"/>
    <w:rsid w:val="00BF0A3E"/>
    <w:rsid w:val="00BF46A7"/>
    <w:rsid w:val="00BF5230"/>
    <w:rsid w:val="00C00289"/>
    <w:rsid w:val="00C0310D"/>
    <w:rsid w:val="00C1090C"/>
    <w:rsid w:val="00C17FCF"/>
    <w:rsid w:val="00C240C8"/>
    <w:rsid w:val="00C25391"/>
    <w:rsid w:val="00C26513"/>
    <w:rsid w:val="00C328C9"/>
    <w:rsid w:val="00C339ED"/>
    <w:rsid w:val="00C35BA8"/>
    <w:rsid w:val="00C37F72"/>
    <w:rsid w:val="00C420C1"/>
    <w:rsid w:val="00C43FEE"/>
    <w:rsid w:val="00C44AA6"/>
    <w:rsid w:val="00C45963"/>
    <w:rsid w:val="00C472B8"/>
    <w:rsid w:val="00C529FD"/>
    <w:rsid w:val="00C53124"/>
    <w:rsid w:val="00C53B2E"/>
    <w:rsid w:val="00C6160A"/>
    <w:rsid w:val="00C64DB3"/>
    <w:rsid w:val="00C65711"/>
    <w:rsid w:val="00C6609F"/>
    <w:rsid w:val="00C76ECD"/>
    <w:rsid w:val="00C84B63"/>
    <w:rsid w:val="00C84E04"/>
    <w:rsid w:val="00C910BE"/>
    <w:rsid w:val="00C922BE"/>
    <w:rsid w:val="00C938CC"/>
    <w:rsid w:val="00CA14F4"/>
    <w:rsid w:val="00CA583F"/>
    <w:rsid w:val="00CA5844"/>
    <w:rsid w:val="00CA7415"/>
    <w:rsid w:val="00CB17F7"/>
    <w:rsid w:val="00CB265C"/>
    <w:rsid w:val="00CB2A71"/>
    <w:rsid w:val="00CB32BC"/>
    <w:rsid w:val="00CB4540"/>
    <w:rsid w:val="00CB4951"/>
    <w:rsid w:val="00CB7A07"/>
    <w:rsid w:val="00CC59BB"/>
    <w:rsid w:val="00CD110F"/>
    <w:rsid w:val="00CD1B93"/>
    <w:rsid w:val="00CD2A87"/>
    <w:rsid w:val="00CD3BD4"/>
    <w:rsid w:val="00CD3CC8"/>
    <w:rsid w:val="00CD5601"/>
    <w:rsid w:val="00CD635D"/>
    <w:rsid w:val="00CD6DEE"/>
    <w:rsid w:val="00CD7C5B"/>
    <w:rsid w:val="00CD7CED"/>
    <w:rsid w:val="00CE04C7"/>
    <w:rsid w:val="00CE2AFE"/>
    <w:rsid w:val="00CF156B"/>
    <w:rsid w:val="00CF1E02"/>
    <w:rsid w:val="00CF4BD6"/>
    <w:rsid w:val="00CF597A"/>
    <w:rsid w:val="00CF5B5F"/>
    <w:rsid w:val="00D006E6"/>
    <w:rsid w:val="00D00DA0"/>
    <w:rsid w:val="00D0103F"/>
    <w:rsid w:val="00D0124F"/>
    <w:rsid w:val="00D01B81"/>
    <w:rsid w:val="00D026F9"/>
    <w:rsid w:val="00D05BAA"/>
    <w:rsid w:val="00D06B25"/>
    <w:rsid w:val="00D078AE"/>
    <w:rsid w:val="00D07F26"/>
    <w:rsid w:val="00D102CD"/>
    <w:rsid w:val="00D11A09"/>
    <w:rsid w:val="00D11BCD"/>
    <w:rsid w:val="00D13B7A"/>
    <w:rsid w:val="00D17FD1"/>
    <w:rsid w:val="00D22C4B"/>
    <w:rsid w:val="00D230C7"/>
    <w:rsid w:val="00D23E7D"/>
    <w:rsid w:val="00D2405F"/>
    <w:rsid w:val="00D26C71"/>
    <w:rsid w:val="00D30C7F"/>
    <w:rsid w:val="00D32DFB"/>
    <w:rsid w:val="00D35804"/>
    <w:rsid w:val="00D41998"/>
    <w:rsid w:val="00D41BA9"/>
    <w:rsid w:val="00D44059"/>
    <w:rsid w:val="00D4511A"/>
    <w:rsid w:val="00D451E3"/>
    <w:rsid w:val="00D52376"/>
    <w:rsid w:val="00D612C2"/>
    <w:rsid w:val="00D64D38"/>
    <w:rsid w:val="00D70C19"/>
    <w:rsid w:val="00D71E1D"/>
    <w:rsid w:val="00D745E0"/>
    <w:rsid w:val="00D76AA3"/>
    <w:rsid w:val="00D80604"/>
    <w:rsid w:val="00D84478"/>
    <w:rsid w:val="00D8456E"/>
    <w:rsid w:val="00D86529"/>
    <w:rsid w:val="00D86A86"/>
    <w:rsid w:val="00D874E4"/>
    <w:rsid w:val="00D8791E"/>
    <w:rsid w:val="00D92438"/>
    <w:rsid w:val="00DA0040"/>
    <w:rsid w:val="00DA086B"/>
    <w:rsid w:val="00DA1D7A"/>
    <w:rsid w:val="00DA4976"/>
    <w:rsid w:val="00DA5E0A"/>
    <w:rsid w:val="00DA6834"/>
    <w:rsid w:val="00DA7145"/>
    <w:rsid w:val="00DA7E05"/>
    <w:rsid w:val="00DB0218"/>
    <w:rsid w:val="00DB4794"/>
    <w:rsid w:val="00DB5C3E"/>
    <w:rsid w:val="00DB628E"/>
    <w:rsid w:val="00DC4070"/>
    <w:rsid w:val="00DD6F04"/>
    <w:rsid w:val="00DE163E"/>
    <w:rsid w:val="00DE1DE6"/>
    <w:rsid w:val="00DE1E39"/>
    <w:rsid w:val="00DE513D"/>
    <w:rsid w:val="00DF235C"/>
    <w:rsid w:val="00DF37C0"/>
    <w:rsid w:val="00DF47D6"/>
    <w:rsid w:val="00DF4D5A"/>
    <w:rsid w:val="00DF5277"/>
    <w:rsid w:val="00DF5425"/>
    <w:rsid w:val="00DF782C"/>
    <w:rsid w:val="00E01C28"/>
    <w:rsid w:val="00E030A0"/>
    <w:rsid w:val="00E04F16"/>
    <w:rsid w:val="00E075A1"/>
    <w:rsid w:val="00E124E3"/>
    <w:rsid w:val="00E12F81"/>
    <w:rsid w:val="00E142CF"/>
    <w:rsid w:val="00E14812"/>
    <w:rsid w:val="00E15231"/>
    <w:rsid w:val="00E15DDE"/>
    <w:rsid w:val="00E16247"/>
    <w:rsid w:val="00E2339E"/>
    <w:rsid w:val="00E3245B"/>
    <w:rsid w:val="00E32DCD"/>
    <w:rsid w:val="00E358C0"/>
    <w:rsid w:val="00E358FF"/>
    <w:rsid w:val="00E3707B"/>
    <w:rsid w:val="00E5050D"/>
    <w:rsid w:val="00E50685"/>
    <w:rsid w:val="00E57F6B"/>
    <w:rsid w:val="00E609CE"/>
    <w:rsid w:val="00E6234F"/>
    <w:rsid w:val="00E67AC7"/>
    <w:rsid w:val="00E7342C"/>
    <w:rsid w:val="00E76363"/>
    <w:rsid w:val="00E82FAF"/>
    <w:rsid w:val="00E8544C"/>
    <w:rsid w:val="00E90BE3"/>
    <w:rsid w:val="00E914BA"/>
    <w:rsid w:val="00E91D81"/>
    <w:rsid w:val="00E92BC2"/>
    <w:rsid w:val="00E94FDA"/>
    <w:rsid w:val="00EA010E"/>
    <w:rsid w:val="00EB1E33"/>
    <w:rsid w:val="00EB4DA6"/>
    <w:rsid w:val="00EB7B0A"/>
    <w:rsid w:val="00EC047F"/>
    <w:rsid w:val="00EC0881"/>
    <w:rsid w:val="00ED2F55"/>
    <w:rsid w:val="00ED5ED8"/>
    <w:rsid w:val="00EE0C95"/>
    <w:rsid w:val="00EE3F0F"/>
    <w:rsid w:val="00EF0199"/>
    <w:rsid w:val="00F04644"/>
    <w:rsid w:val="00F07266"/>
    <w:rsid w:val="00F11C7F"/>
    <w:rsid w:val="00F16313"/>
    <w:rsid w:val="00F1700E"/>
    <w:rsid w:val="00F20FF1"/>
    <w:rsid w:val="00F24317"/>
    <w:rsid w:val="00F25EFC"/>
    <w:rsid w:val="00F265EE"/>
    <w:rsid w:val="00F2711F"/>
    <w:rsid w:val="00F32641"/>
    <w:rsid w:val="00F34974"/>
    <w:rsid w:val="00F35457"/>
    <w:rsid w:val="00F3595B"/>
    <w:rsid w:val="00F367F3"/>
    <w:rsid w:val="00F36A26"/>
    <w:rsid w:val="00F41D7D"/>
    <w:rsid w:val="00F41F54"/>
    <w:rsid w:val="00F426A6"/>
    <w:rsid w:val="00F429FD"/>
    <w:rsid w:val="00F44E29"/>
    <w:rsid w:val="00F4623C"/>
    <w:rsid w:val="00F56399"/>
    <w:rsid w:val="00F746E3"/>
    <w:rsid w:val="00F7709C"/>
    <w:rsid w:val="00F7750A"/>
    <w:rsid w:val="00F80006"/>
    <w:rsid w:val="00F80084"/>
    <w:rsid w:val="00F95676"/>
    <w:rsid w:val="00F96401"/>
    <w:rsid w:val="00F964C7"/>
    <w:rsid w:val="00FA3F8B"/>
    <w:rsid w:val="00FA767D"/>
    <w:rsid w:val="00FC3C96"/>
    <w:rsid w:val="00FC693B"/>
    <w:rsid w:val="00FD2470"/>
    <w:rsid w:val="00FD5520"/>
    <w:rsid w:val="00FD5823"/>
    <w:rsid w:val="00FD7BE0"/>
    <w:rsid w:val="00FE0451"/>
    <w:rsid w:val="00FE1C27"/>
    <w:rsid w:val="00FE5C31"/>
    <w:rsid w:val="00FF1B0E"/>
    <w:rsid w:val="00FF748B"/>
    <w:rsid w:val="0126026C"/>
    <w:rsid w:val="013217EF"/>
    <w:rsid w:val="01B6046E"/>
    <w:rsid w:val="02F2197A"/>
    <w:rsid w:val="03C53D64"/>
    <w:rsid w:val="04836856"/>
    <w:rsid w:val="04F63670"/>
    <w:rsid w:val="051200B1"/>
    <w:rsid w:val="055C757F"/>
    <w:rsid w:val="05EA65EF"/>
    <w:rsid w:val="063D3F02"/>
    <w:rsid w:val="066366AC"/>
    <w:rsid w:val="06AF36FF"/>
    <w:rsid w:val="06C4224F"/>
    <w:rsid w:val="06D870D9"/>
    <w:rsid w:val="0784701B"/>
    <w:rsid w:val="07916436"/>
    <w:rsid w:val="07B91983"/>
    <w:rsid w:val="07CF0C6A"/>
    <w:rsid w:val="07D22587"/>
    <w:rsid w:val="07D478A0"/>
    <w:rsid w:val="08140551"/>
    <w:rsid w:val="087329FF"/>
    <w:rsid w:val="08D025B5"/>
    <w:rsid w:val="08F57ACE"/>
    <w:rsid w:val="097833D1"/>
    <w:rsid w:val="09784E13"/>
    <w:rsid w:val="09B74D83"/>
    <w:rsid w:val="09ED4C49"/>
    <w:rsid w:val="0A2763AD"/>
    <w:rsid w:val="0A3B7763"/>
    <w:rsid w:val="0A58609E"/>
    <w:rsid w:val="0ABA2D47"/>
    <w:rsid w:val="0B183F48"/>
    <w:rsid w:val="0B1A381C"/>
    <w:rsid w:val="0B786794"/>
    <w:rsid w:val="0B93537C"/>
    <w:rsid w:val="0BD954F5"/>
    <w:rsid w:val="0BF51ABF"/>
    <w:rsid w:val="0C6F204A"/>
    <w:rsid w:val="0CC955BE"/>
    <w:rsid w:val="0CD62761"/>
    <w:rsid w:val="0D921D8F"/>
    <w:rsid w:val="0DAC046C"/>
    <w:rsid w:val="0E016F15"/>
    <w:rsid w:val="0E8E7DFB"/>
    <w:rsid w:val="0F5C4047"/>
    <w:rsid w:val="0FB14619"/>
    <w:rsid w:val="0FFD2E7B"/>
    <w:rsid w:val="100D1BA1"/>
    <w:rsid w:val="101B2C65"/>
    <w:rsid w:val="1062641A"/>
    <w:rsid w:val="10BD24CE"/>
    <w:rsid w:val="10EC5C5A"/>
    <w:rsid w:val="11A26319"/>
    <w:rsid w:val="11B86BB3"/>
    <w:rsid w:val="12C40361"/>
    <w:rsid w:val="12E34E3B"/>
    <w:rsid w:val="13275550"/>
    <w:rsid w:val="13E26419"/>
    <w:rsid w:val="147A5E14"/>
    <w:rsid w:val="149C6DEC"/>
    <w:rsid w:val="14CE7B25"/>
    <w:rsid w:val="14DB226E"/>
    <w:rsid w:val="15412713"/>
    <w:rsid w:val="15731905"/>
    <w:rsid w:val="15CE063D"/>
    <w:rsid w:val="16437131"/>
    <w:rsid w:val="16C16639"/>
    <w:rsid w:val="17010FCC"/>
    <w:rsid w:val="17067925"/>
    <w:rsid w:val="175C6F6A"/>
    <w:rsid w:val="17C4348D"/>
    <w:rsid w:val="18AB3826"/>
    <w:rsid w:val="18DC007E"/>
    <w:rsid w:val="18ED7A84"/>
    <w:rsid w:val="18FC0A05"/>
    <w:rsid w:val="198804EA"/>
    <w:rsid w:val="1999264E"/>
    <w:rsid w:val="19A40F43"/>
    <w:rsid w:val="19B87257"/>
    <w:rsid w:val="19F704C5"/>
    <w:rsid w:val="1A883F5A"/>
    <w:rsid w:val="1A8C7B66"/>
    <w:rsid w:val="1AD339E7"/>
    <w:rsid w:val="1AF91EE2"/>
    <w:rsid w:val="1B587852"/>
    <w:rsid w:val="1B657BD2"/>
    <w:rsid w:val="1BDC44FB"/>
    <w:rsid w:val="1C844F99"/>
    <w:rsid w:val="1CC33322"/>
    <w:rsid w:val="1CCF3C65"/>
    <w:rsid w:val="1CF41540"/>
    <w:rsid w:val="1D3F35B6"/>
    <w:rsid w:val="1DB7549E"/>
    <w:rsid w:val="1DC13FCB"/>
    <w:rsid w:val="1DD26FA2"/>
    <w:rsid w:val="1DF26448"/>
    <w:rsid w:val="1E1265D5"/>
    <w:rsid w:val="1F861028"/>
    <w:rsid w:val="1FA15E62"/>
    <w:rsid w:val="1FD004F5"/>
    <w:rsid w:val="20B6486E"/>
    <w:rsid w:val="20D34C68"/>
    <w:rsid w:val="20F12E19"/>
    <w:rsid w:val="21257FBD"/>
    <w:rsid w:val="215328E6"/>
    <w:rsid w:val="216B497A"/>
    <w:rsid w:val="217101E2"/>
    <w:rsid w:val="21EF4752"/>
    <w:rsid w:val="22641A40"/>
    <w:rsid w:val="22A5210D"/>
    <w:rsid w:val="22D12F02"/>
    <w:rsid w:val="22D80B06"/>
    <w:rsid w:val="22E460BA"/>
    <w:rsid w:val="247578C9"/>
    <w:rsid w:val="24B3305B"/>
    <w:rsid w:val="24B75DEC"/>
    <w:rsid w:val="24C1214E"/>
    <w:rsid w:val="2587082F"/>
    <w:rsid w:val="25E42F4C"/>
    <w:rsid w:val="26E52AD8"/>
    <w:rsid w:val="27051310"/>
    <w:rsid w:val="271635D9"/>
    <w:rsid w:val="276C2443"/>
    <w:rsid w:val="27910EB2"/>
    <w:rsid w:val="2814263E"/>
    <w:rsid w:val="28302479"/>
    <w:rsid w:val="285717B4"/>
    <w:rsid w:val="28B864A3"/>
    <w:rsid w:val="28F1322C"/>
    <w:rsid w:val="28F409D1"/>
    <w:rsid w:val="2916341D"/>
    <w:rsid w:val="294837F2"/>
    <w:rsid w:val="29F179E6"/>
    <w:rsid w:val="2A2F792E"/>
    <w:rsid w:val="2A575904"/>
    <w:rsid w:val="2A966A9D"/>
    <w:rsid w:val="2AA01F44"/>
    <w:rsid w:val="2AA930CB"/>
    <w:rsid w:val="2AEA0A59"/>
    <w:rsid w:val="2B2C5A8A"/>
    <w:rsid w:val="2B911481"/>
    <w:rsid w:val="2CAC416A"/>
    <w:rsid w:val="2CD1253E"/>
    <w:rsid w:val="2DA37249"/>
    <w:rsid w:val="2DD91A0E"/>
    <w:rsid w:val="2EC658E5"/>
    <w:rsid w:val="2F546A4D"/>
    <w:rsid w:val="3014442E"/>
    <w:rsid w:val="30406FD1"/>
    <w:rsid w:val="314F1BC2"/>
    <w:rsid w:val="315C42DF"/>
    <w:rsid w:val="31CF2D03"/>
    <w:rsid w:val="32482CF1"/>
    <w:rsid w:val="32A01FA9"/>
    <w:rsid w:val="32E55E4E"/>
    <w:rsid w:val="33574D5E"/>
    <w:rsid w:val="337E6F92"/>
    <w:rsid w:val="33AE06F6"/>
    <w:rsid w:val="3422046A"/>
    <w:rsid w:val="3463041A"/>
    <w:rsid w:val="349A290B"/>
    <w:rsid w:val="34B47F8E"/>
    <w:rsid w:val="34BB66EE"/>
    <w:rsid w:val="35705858"/>
    <w:rsid w:val="3596288C"/>
    <w:rsid w:val="35C02B0E"/>
    <w:rsid w:val="361B2A2D"/>
    <w:rsid w:val="36525CB0"/>
    <w:rsid w:val="36C344B8"/>
    <w:rsid w:val="36FF0D6B"/>
    <w:rsid w:val="370F64B3"/>
    <w:rsid w:val="377A7F0A"/>
    <w:rsid w:val="37B07132"/>
    <w:rsid w:val="37CE18E6"/>
    <w:rsid w:val="38DD3F57"/>
    <w:rsid w:val="398C4099"/>
    <w:rsid w:val="399A5EAD"/>
    <w:rsid w:val="39E51E92"/>
    <w:rsid w:val="3A116D63"/>
    <w:rsid w:val="3A1E0383"/>
    <w:rsid w:val="3A271638"/>
    <w:rsid w:val="3A4616DA"/>
    <w:rsid w:val="3A7A7584"/>
    <w:rsid w:val="3B1F36A3"/>
    <w:rsid w:val="3B554279"/>
    <w:rsid w:val="3B754E7B"/>
    <w:rsid w:val="3C6B7ACC"/>
    <w:rsid w:val="3CBE19AA"/>
    <w:rsid w:val="3CD25455"/>
    <w:rsid w:val="3D8C48D3"/>
    <w:rsid w:val="3DE436F0"/>
    <w:rsid w:val="3E447041"/>
    <w:rsid w:val="3E6912FB"/>
    <w:rsid w:val="3F070AA9"/>
    <w:rsid w:val="3F9115E5"/>
    <w:rsid w:val="3FC22642"/>
    <w:rsid w:val="401F6C03"/>
    <w:rsid w:val="40307B8E"/>
    <w:rsid w:val="405B02ED"/>
    <w:rsid w:val="405E3BCF"/>
    <w:rsid w:val="406311E6"/>
    <w:rsid w:val="40BE466E"/>
    <w:rsid w:val="41016309"/>
    <w:rsid w:val="41285B63"/>
    <w:rsid w:val="413C7FBF"/>
    <w:rsid w:val="414F6F99"/>
    <w:rsid w:val="41E55C2A"/>
    <w:rsid w:val="41F61BE6"/>
    <w:rsid w:val="43291B47"/>
    <w:rsid w:val="438A4CDB"/>
    <w:rsid w:val="43963680"/>
    <w:rsid w:val="44806AB8"/>
    <w:rsid w:val="44826240"/>
    <w:rsid w:val="44827761"/>
    <w:rsid w:val="44CE232A"/>
    <w:rsid w:val="457E617A"/>
    <w:rsid w:val="45B1413E"/>
    <w:rsid w:val="46325030"/>
    <w:rsid w:val="4674757D"/>
    <w:rsid w:val="468227FC"/>
    <w:rsid w:val="47906C22"/>
    <w:rsid w:val="47DA1B9C"/>
    <w:rsid w:val="47ED7CFC"/>
    <w:rsid w:val="48535936"/>
    <w:rsid w:val="487707C8"/>
    <w:rsid w:val="4991239D"/>
    <w:rsid w:val="4A7638C4"/>
    <w:rsid w:val="4A9A1CA8"/>
    <w:rsid w:val="4AE051E1"/>
    <w:rsid w:val="4B171D68"/>
    <w:rsid w:val="4B257098"/>
    <w:rsid w:val="4B2D12E0"/>
    <w:rsid w:val="4B4C2876"/>
    <w:rsid w:val="4B7468F6"/>
    <w:rsid w:val="4BB23021"/>
    <w:rsid w:val="4C022D75"/>
    <w:rsid w:val="4C28368B"/>
    <w:rsid w:val="4C57579C"/>
    <w:rsid w:val="4CD86BC9"/>
    <w:rsid w:val="4D471D29"/>
    <w:rsid w:val="4E5B174E"/>
    <w:rsid w:val="4EBA6CE0"/>
    <w:rsid w:val="4F582737"/>
    <w:rsid w:val="4F7C5A57"/>
    <w:rsid w:val="4FD2581D"/>
    <w:rsid w:val="501E6ED7"/>
    <w:rsid w:val="50287095"/>
    <w:rsid w:val="507810C3"/>
    <w:rsid w:val="50A0169A"/>
    <w:rsid w:val="51075C61"/>
    <w:rsid w:val="51735001"/>
    <w:rsid w:val="51AE055C"/>
    <w:rsid w:val="524E4559"/>
    <w:rsid w:val="52756B57"/>
    <w:rsid w:val="52D12EEC"/>
    <w:rsid w:val="52D92ACB"/>
    <w:rsid w:val="52F45CCD"/>
    <w:rsid w:val="52F51160"/>
    <w:rsid w:val="533D3CBC"/>
    <w:rsid w:val="535A51E8"/>
    <w:rsid w:val="53A05E55"/>
    <w:rsid w:val="53E77652"/>
    <w:rsid w:val="54BE2A37"/>
    <w:rsid w:val="54C737A2"/>
    <w:rsid w:val="552503C0"/>
    <w:rsid w:val="552F56E3"/>
    <w:rsid w:val="56140155"/>
    <w:rsid w:val="56406276"/>
    <w:rsid w:val="56552F27"/>
    <w:rsid w:val="56821731"/>
    <w:rsid w:val="56A47F8D"/>
    <w:rsid w:val="574D3BFE"/>
    <w:rsid w:val="582501EB"/>
    <w:rsid w:val="58474186"/>
    <w:rsid w:val="587E2750"/>
    <w:rsid w:val="58F033DB"/>
    <w:rsid w:val="5952307A"/>
    <w:rsid w:val="597E4543"/>
    <w:rsid w:val="59AB0B2A"/>
    <w:rsid w:val="59B805E8"/>
    <w:rsid w:val="5A496858"/>
    <w:rsid w:val="5B143578"/>
    <w:rsid w:val="5B303F63"/>
    <w:rsid w:val="5B3255E5"/>
    <w:rsid w:val="5B9250A0"/>
    <w:rsid w:val="5BC208DA"/>
    <w:rsid w:val="5BE508A9"/>
    <w:rsid w:val="5C0077FD"/>
    <w:rsid w:val="5C280784"/>
    <w:rsid w:val="5C837F5D"/>
    <w:rsid w:val="5C9D1657"/>
    <w:rsid w:val="5D8B0BDE"/>
    <w:rsid w:val="5D900CE9"/>
    <w:rsid w:val="5DFB0858"/>
    <w:rsid w:val="5E2D6537"/>
    <w:rsid w:val="5E455F5D"/>
    <w:rsid w:val="5E5F4C97"/>
    <w:rsid w:val="5E77658F"/>
    <w:rsid w:val="5EA21EF6"/>
    <w:rsid w:val="5EE513A4"/>
    <w:rsid w:val="5F1519ED"/>
    <w:rsid w:val="5F5C70D4"/>
    <w:rsid w:val="600A3F19"/>
    <w:rsid w:val="601C6864"/>
    <w:rsid w:val="604C7158"/>
    <w:rsid w:val="605E6E7C"/>
    <w:rsid w:val="609E371C"/>
    <w:rsid w:val="611D0AE5"/>
    <w:rsid w:val="61291238"/>
    <w:rsid w:val="61786B56"/>
    <w:rsid w:val="61903065"/>
    <w:rsid w:val="62502FB6"/>
    <w:rsid w:val="630B32EB"/>
    <w:rsid w:val="63122BCA"/>
    <w:rsid w:val="63395E86"/>
    <w:rsid w:val="63663DC9"/>
    <w:rsid w:val="63BF40D6"/>
    <w:rsid w:val="64724786"/>
    <w:rsid w:val="649B244D"/>
    <w:rsid w:val="64B329D2"/>
    <w:rsid w:val="64C90187"/>
    <w:rsid w:val="65154FA6"/>
    <w:rsid w:val="65400429"/>
    <w:rsid w:val="65CE4CD7"/>
    <w:rsid w:val="665A1E94"/>
    <w:rsid w:val="668A7827"/>
    <w:rsid w:val="66DE4873"/>
    <w:rsid w:val="66E10D3C"/>
    <w:rsid w:val="66E27C8C"/>
    <w:rsid w:val="680031CA"/>
    <w:rsid w:val="68190258"/>
    <w:rsid w:val="685A6DD0"/>
    <w:rsid w:val="68D91796"/>
    <w:rsid w:val="69415A44"/>
    <w:rsid w:val="6949041A"/>
    <w:rsid w:val="696F5345"/>
    <w:rsid w:val="6A050368"/>
    <w:rsid w:val="6A225C9D"/>
    <w:rsid w:val="6A38569B"/>
    <w:rsid w:val="6A787FF1"/>
    <w:rsid w:val="6AEB5EA4"/>
    <w:rsid w:val="6AFA2377"/>
    <w:rsid w:val="6B370776"/>
    <w:rsid w:val="6B8C6023"/>
    <w:rsid w:val="6CD56718"/>
    <w:rsid w:val="6D0419DF"/>
    <w:rsid w:val="6D68133A"/>
    <w:rsid w:val="6DBD55CF"/>
    <w:rsid w:val="6DC541CB"/>
    <w:rsid w:val="6E0470A0"/>
    <w:rsid w:val="6E1F5E9D"/>
    <w:rsid w:val="6EDC7EB5"/>
    <w:rsid w:val="6F16635D"/>
    <w:rsid w:val="6FE969BF"/>
    <w:rsid w:val="6FEA5D29"/>
    <w:rsid w:val="70652CA1"/>
    <w:rsid w:val="7100515F"/>
    <w:rsid w:val="714B0D57"/>
    <w:rsid w:val="71D00463"/>
    <w:rsid w:val="733067C5"/>
    <w:rsid w:val="73AD4FE1"/>
    <w:rsid w:val="746F4A29"/>
    <w:rsid w:val="758E00D6"/>
    <w:rsid w:val="75AE4FEE"/>
    <w:rsid w:val="75C511B5"/>
    <w:rsid w:val="75F4725E"/>
    <w:rsid w:val="76302057"/>
    <w:rsid w:val="76793A48"/>
    <w:rsid w:val="76BD44A5"/>
    <w:rsid w:val="77B204A9"/>
    <w:rsid w:val="77F63C51"/>
    <w:rsid w:val="7807758E"/>
    <w:rsid w:val="782062FA"/>
    <w:rsid w:val="788F1763"/>
    <w:rsid w:val="789F3DA6"/>
    <w:rsid w:val="78A07EF6"/>
    <w:rsid w:val="78A95865"/>
    <w:rsid w:val="78F10436"/>
    <w:rsid w:val="791C7867"/>
    <w:rsid w:val="7A2426BB"/>
    <w:rsid w:val="7A4078C7"/>
    <w:rsid w:val="7A7F17C3"/>
    <w:rsid w:val="7B4B6523"/>
    <w:rsid w:val="7B512E32"/>
    <w:rsid w:val="7B6C7C39"/>
    <w:rsid w:val="7BB15F03"/>
    <w:rsid w:val="7BF66060"/>
    <w:rsid w:val="7CAA0F1D"/>
    <w:rsid w:val="7CBA3CDE"/>
    <w:rsid w:val="7D1645DB"/>
    <w:rsid w:val="7D3B29B2"/>
    <w:rsid w:val="7D957E4C"/>
    <w:rsid w:val="7DA55C93"/>
    <w:rsid w:val="7DB31320"/>
    <w:rsid w:val="7DC32E3C"/>
    <w:rsid w:val="7DE26BC0"/>
    <w:rsid w:val="7DE95B7F"/>
    <w:rsid w:val="7E3A0CD4"/>
    <w:rsid w:val="7E900FD0"/>
    <w:rsid w:val="7EB76D84"/>
    <w:rsid w:val="7ED00AED"/>
    <w:rsid w:val="7EED2764"/>
    <w:rsid w:val="7F240D1D"/>
    <w:rsid w:val="7F2876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1"/>
    <w:qFormat/>
    <w:uiPriority w:val="0"/>
    <w:pPr>
      <w:keepNext/>
      <w:keepLines/>
      <w:widowControl w:val="0"/>
      <w:suppressLineNumbers w:val="0"/>
      <w:spacing w:before="260" w:beforeAutospacing="0" w:after="260" w:afterAutospacing="0" w:line="412" w:lineRule="auto"/>
      <w:ind w:left="0" w:right="0"/>
      <w:jc w:val="both"/>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3">
    <w:name w:val="Default Paragraph Font"/>
    <w:qFormat/>
    <w:uiPriority w:val="0"/>
  </w:style>
  <w:style w:type="table" w:default="1" w:styleId="6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next w:val="24"/>
    <w:link w:val="74"/>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ody Text Indent 2"/>
    <w:basedOn w:val="1"/>
    <w:link w:val="7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next w:val="37"/>
    <w:qFormat/>
    <w:uiPriority w:val="0"/>
    <w:pPr>
      <w:tabs>
        <w:tab w:val="center" w:pos="4153"/>
        <w:tab w:val="right" w:pos="8306"/>
      </w:tabs>
      <w:snapToGrid w:val="0"/>
      <w:jc w:val="left"/>
    </w:pPr>
    <w:rPr>
      <w:sz w:val="18"/>
    </w:rPr>
  </w:style>
  <w:style w:type="paragraph" w:customStyle="1" w:styleId="37">
    <w:name w:val="索引 51"/>
    <w:basedOn w:val="1"/>
    <w:next w:val="1"/>
    <w:qFormat/>
    <w:uiPriority w:val="0"/>
    <w:pPr>
      <w:ind w:left="1680"/>
    </w:p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qFormat/>
    <w:uiPriority w:val="0"/>
    <w:pPr>
      <w:ind w:left="200" w:hanging="200" w:hangingChars="2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index 9"/>
    <w:basedOn w:val="1"/>
    <w:next w:val="1"/>
    <w:unhideWhenUsed/>
    <w:qFormat/>
    <w:uiPriority w:val="0"/>
    <w:pPr>
      <w:ind w:left="1600" w:leftChars="160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78"/>
    <w:qFormat/>
    <w:uiPriority w:val="0"/>
    <w:pPr>
      <w:adjustRightInd/>
      <w:spacing w:line="240" w:lineRule="auto"/>
      <w:textAlignment w:val="auto"/>
    </w:pPr>
  </w:style>
  <w:style w:type="paragraph" w:styleId="59">
    <w:name w:val="Body Text First Indent"/>
    <w:basedOn w:val="1"/>
    <w:qFormat/>
    <w:uiPriority w:val="0"/>
    <w:pPr>
      <w:spacing w:line="360" w:lineRule="auto"/>
      <w:ind w:firstLine="420"/>
    </w:pPr>
    <w:rPr>
      <w:rFonts w:ascii="宋体" w:hAnsi="宋体"/>
      <w:sz w:val="24"/>
    </w:rPr>
  </w:style>
  <w:style w:type="paragraph" w:styleId="60">
    <w:name w:val="Body Text First Indent 2"/>
    <w:basedOn w:val="23"/>
    <w:link w:val="79"/>
    <w:qFormat/>
    <w:uiPriority w:val="0"/>
    <w:pPr>
      <w:spacing w:after="120" w:afterLines="0" w:line="240" w:lineRule="auto"/>
      <w:ind w:left="420" w:leftChars="200" w:firstLine="420" w:firstLineChars="200"/>
    </w:p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3 Char"/>
    <w:link w:val="5"/>
    <w:qFormat/>
    <w:uiPriority w:val="0"/>
    <w:rPr>
      <w:rFonts w:eastAsia="宋体"/>
      <w:b/>
      <w:kern w:val="2"/>
      <w:sz w:val="32"/>
      <w:lang w:val="en-US" w:eastAsia="zh-CN"/>
    </w:rPr>
  </w:style>
  <w:style w:type="character" w:customStyle="1" w:styleId="72">
    <w:name w:val="标题 2 Char"/>
    <w:link w:val="4"/>
    <w:qFormat/>
    <w:uiPriority w:val="0"/>
    <w:rPr>
      <w:rFonts w:ascii="Arial" w:hAnsi="Arial" w:eastAsia="黑体"/>
      <w:b/>
      <w:kern w:val="2"/>
      <w:sz w:val="32"/>
    </w:rPr>
  </w:style>
  <w:style w:type="character" w:customStyle="1" w:styleId="73">
    <w:name w:val="批注文字 Char"/>
    <w:link w:val="20"/>
    <w:qFormat/>
    <w:uiPriority w:val="0"/>
    <w:rPr>
      <w:sz w:val="24"/>
    </w:rPr>
  </w:style>
  <w:style w:type="character" w:customStyle="1" w:styleId="74">
    <w:name w:val="正文文本缩进 Char"/>
    <w:link w:val="23"/>
    <w:qFormat/>
    <w:uiPriority w:val="0"/>
    <w:rPr>
      <w:kern w:val="2"/>
      <w:sz w:val="44"/>
    </w:rPr>
  </w:style>
  <w:style w:type="character" w:customStyle="1" w:styleId="75">
    <w:name w:val="日期 Char"/>
    <w:link w:val="33"/>
    <w:qFormat/>
    <w:uiPriority w:val="0"/>
    <w:rPr>
      <w:kern w:val="2"/>
      <w:sz w:val="28"/>
    </w:rPr>
  </w:style>
  <w:style w:type="character" w:customStyle="1" w:styleId="76">
    <w:name w:val="正文文本缩进 2 Char"/>
    <w:link w:val="34"/>
    <w:qFormat/>
    <w:uiPriority w:val="0"/>
    <w:rPr>
      <w:kern w:val="2"/>
      <w:sz w:val="28"/>
    </w:rPr>
  </w:style>
  <w:style w:type="character" w:customStyle="1" w:styleId="77">
    <w:name w:val="脚注文本 Char"/>
    <w:link w:val="43"/>
    <w:qFormat/>
    <w:uiPriority w:val="0"/>
    <w:rPr>
      <w:kern w:val="2"/>
      <w:sz w:val="18"/>
    </w:rPr>
  </w:style>
  <w:style w:type="character" w:customStyle="1" w:styleId="78">
    <w:name w:val="批注主题 Char"/>
    <w:basedOn w:val="73"/>
    <w:link w:val="58"/>
    <w:qFormat/>
    <w:uiPriority w:val="0"/>
  </w:style>
  <w:style w:type="character" w:customStyle="1" w:styleId="79">
    <w:name w:val="正文首行缩进 2 Char"/>
    <w:basedOn w:val="74"/>
    <w:link w:val="60"/>
    <w:qFormat/>
    <w:uiPriority w:val="0"/>
  </w:style>
  <w:style w:type="paragraph" w:customStyle="1" w:styleId="8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81">
    <w:name w:val=" Char Char11"/>
    <w:qFormat/>
    <w:uiPriority w:val="0"/>
    <w:rPr>
      <w:rFonts w:ascii="宋体"/>
      <w:kern w:val="2"/>
      <w:sz w:val="28"/>
    </w:rPr>
  </w:style>
  <w:style w:type="character" w:customStyle="1" w:styleId="82">
    <w:name w:val="样式 宋体"/>
    <w:qFormat/>
    <w:uiPriority w:val="0"/>
    <w:rPr>
      <w:rFonts w:ascii="宋体" w:hAnsi="宋体" w:eastAsia="宋体"/>
      <w:sz w:val="28"/>
    </w:rPr>
  </w:style>
  <w:style w:type="character" w:customStyle="1" w:styleId="83">
    <w:name w:val=" Char Char6"/>
    <w:qFormat/>
    <w:uiPriority w:val="0"/>
    <w:rPr>
      <w:rFonts w:ascii="仿宋_GB2312" w:eastAsia="仿宋_GB2312"/>
      <w:kern w:val="2"/>
      <w:sz w:val="32"/>
    </w:rPr>
  </w:style>
  <w:style w:type="character" w:customStyle="1" w:styleId="84">
    <w:name w:val="font1"/>
    <w:qFormat/>
    <w:uiPriority w:val="0"/>
    <w:rPr>
      <w:color w:val="000000"/>
      <w:sz w:val="18"/>
    </w:rPr>
  </w:style>
  <w:style w:type="character" w:customStyle="1" w:styleId="85">
    <w:name w:val="未命名11"/>
    <w:qFormat/>
    <w:uiPriority w:val="0"/>
    <w:rPr>
      <w:color w:val="77FFFF"/>
      <w:sz w:val="24"/>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 Char Char7"/>
    <w:qFormat/>
    <w:uiPriority w:val="0"/>
    <w:rPr>
      <w:rFonts w:ascii="宋体" w:hAnsi="宋体" w:eastAsia="宋体"/>
      <w:kern w:val="2"/>
      <w:sz w:val="28"/>
    </w:rPr>
  </w:style>
  <w:style w:type="character" w:customStyle="1" w:styleId="89">
    <w:name w:val=" Char Char3"/>
    <w:qFormat/>
    <w:uiPriority w:val="0"/>
    <w:rPr>
      <w:rFonts w:eastAsia="宋体"/>
      <w:kern w:val="2"/>
      <w:sz w:val="18"/>
      <w:lang w:val="en-US" w:eastAsia="zh-CN"/>
    </w:rPr>
  </w:style>
  <w:style w:type="character" w:customStyle="1" w:styleId="90">
    <w:name w:val="附件 Char Char"/>
    <w:link w:val="91"/>
    <w:qFormat/>
    <w:uiPriority w:val="0"/>
    <w:rPr>
      <w:rFonts w:eastAsia="方正黑体_GBK"/>
      <w:b/>
      <w:bCs/>
      <w:smallCaps/>
      <w:kern w:val="2"/>
      <w:sz w:val="28"/>
      <w:lang w:val="en-US" w:eastAsia="zh-CN" w:bidi="ar-SA"/>
    </w:rPr>
  </w:style>
  <w:style w:type="paragraph" w:customStyle="1" w:styleId="91">
    <w:name w:val="附件"/>
    <w:next w:val="1"/>
    <w:link w:val="90"/>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92">
    <w:name w:val=" Char Char4"/>
    <w:qFormat/>
    <w:uiPriority w:val="0"/>
    <w:rPr>
      <w:rFonts w:eastAsia="宋体"/>
      <w:b/>
      <w:kern w:val="2"/>
      <w:sz w:val="21"/>
      <w:lang w:val="en-US" w:eastAsia="zh-CN"/>
    </w:rPr>
  </w:style>
  <w:style w:type="character" w:customStyle="1" w:styleId="93">
    <w:name w:val="title_emph1"/>
    <w:qFormat/>
    <w:uiPriority w:val="0"/>
    <w:rPr>
      <w:rFonts w:hint="default" w:ascii="Arial" w:hAnsi="Arial"/>
      <w:b/>
      <w:sz w:val="20"/>
    </w:rPr>
  </w:style>
  <w:style w:type="character" w:customStyle="1" w:styleId="94">
    <w:name w:val="content-white1"/>
    <w:qFormat/>
    <w:uiPriority w:val="0"/>
    <w:rPr>
      <w:rFonts w:ascii="_x000B__x000C_" w:hAnsi="_x000B__x000C_"/>
      <w:color w:val="auto"/>
      <w:sz w:val="18"/>
      <w:u w:val="none"/>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crowed11"/>
    <w:qFormat/>
    <w:uiPriority w:val="0"/>
    <w:rPr>
      <w:rFonts w:hint="default" w:ascii="_x000B__x000C_" w:hAnsi="_x000B__x000C_"/>
      <w:sz w:val="24"/>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
    <w:qFormat/>
    <w:uiPriority w:val="0"/>
    <w:rPr>
      <w:rFonts w:ascii="宋体" w:hAnsi="宋体" w:eastAsia="宋体"/>
      <w:kern w:val="2"/>
      <w:sz w:val="24"/>
      <w:lang w:val="en-US" w:eastAsia="zh-CN" w:bidi="ar-SA"/>
    </w:rPr>
  </w:style>
  <w:style w:type="character" w:customStyle="1" w:styleId="99">
    <w:name w:val="标书正文:  0.74 厘米 Char1"/>
    <w:qFormat/>
    <w:uiPriority w:val="0"/>
    <w:rPr>
      <w:rFonts w:eastAsia="宋体"/>
      <w:kern w:val="2"/>
      <w:sz w:val="24"/>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v151"/>
    <w:qFormat/>
    <w:uiPriority w:val="0"/>
    <w:rPr>
      <w:sz w:val="18"/>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开评标用项目名称 Char"/>
    <w:link w:val="104"/>
    <w:semiHidden/>
    <w:qFormat/>
    <w:uiPriority w:val="0"/>
    <w:rPr>
      <w:rFonts w:eastAsia="黑体"/>
      <w:b/>
      <w:bCs/>
      <w:kern w:val="44"/>
      <w:sz w:val="32"/>
      <w:szCs w:val="44"/>
    </w:rPr>
  </w:style>
  <w:style w:type="paragraph" w:customStyle="1" w:styleId="104">
    <w:name w:val="开评标用项目名称"/>
    <w:basedOn w:val="3"/>
    <w:link w:val="103"/>
    <w:semiHidden/>
    <w:qFormat/>
    <w:uiPriority w:val="0"/>
    <w:pPr>
      <w:keepLines/>
      <w:widowControl/>
      <w:snapToGrid/>
      <w:spacing w:before="50" w:beforeLines="50" w:after="50" w:afterLines="50" w:line="380" w:lineRule="exact"/>
      <w:jc w:val="center"/>
      <w:outlineLvl w:val="9"/>
    </w:pPr>
    <w:rPr>
      <w:rFonts w:ascii="Times New Roman" w:eastAsia="黑体"/>
      <w:b/>
      <w:bCs/>
      <w:kern w:val="44"/>
      <w:sz w:val="32"/>
      <w:szCs w:val="44"/>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op-det1"/>
    <w:qFormat/>
    <w:uiPriority w:val="0"/>
    <w:rPr>
      <w:b/>
      <w:color w:val="000000"/>
    </w:rPr>
  </w:style>
  <w:style w:type="character" w:customStyle="1" w:styleId="107">
    <w:name w:val="文字 Char"/>
    <w:link w:val="108"/>
    <w:qFormat/>
    <w:uiPriority w:val="0"/>
    <w:rPr>
      <w:rFonts w:ascii="宋体"/>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宋体"/>
    </w:rPr>
  </w:style>
  <w:style w:type="character" w:customStyle="1" w:styleId="109">
    <w:name w:val=" Char Char2"/>
    <w:qFormat/>
    <w:uiPriority w:val="0"/>
    <w:rPr>
      <w:rFonts w:eastAsia="宋体"/>
      <w:kern w:val="2"/>
      <w:sz w:val="18"/>
      <w:lang w:val="en-US" w:eastAsia="zh-CN"/>
    </w:rPr>
  </w:style>
  <w:style w:type="character" w:customStyle="1" w:styleId="110">
    <w:name w:val=" Char Char5"/>
    <w:qFormat/>
    <w:uiPriority w:val="0"/>
    <w:rPr>
      <w:rFonts w:ascii="Arial" w:hAnsi="Arial" w:eastAsia="宋体"/>
      <w:b/>
      <w:smallCaps/>
      <w:kern w:val="28"/>
      <w:sz w:val="36"/>
      <w:lang w:val="en-US" w:eastAsia="en-US"/>
    </w:rPr>
  </w:style>
  <w:style w:type="character" w:customStyle="1" w:styleId="111">
    <w:name w:val="Table Text Char"/>
    <w:link w:val="112"/>
    <w:qFormat/>
    <w:uiPriority w:val="0"/>
    <w:rPr>
      <w:rFonts w:ascii="Arial" w:hAnsi="Arial"/>
      <w:kern w:val="2"/>
      <w:sz w:val="18"/>
      <w:lang w:val="en-US" w:eastAsia="zh-CN" w:bidi="ar-SA"/>
    </w:rPr>
  </w:style>
  <w:style w:type="paragraph" w:customStyle="1" w:styleId="112">
    <w:name w:val="Table Text"/>
    <w:link w:val="11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 Char Char14 Char Char"/>
    <w:basedOn w:val="1"/>
    <w:qFormat/>
    <w:uiPriority w:val="0"/>
    <w:rPr>
      <w:sz w:val="21"/>
      <w:szCs w:val="24"/>
    </w:rPr>
  </w:style>
  <w:style w:type="paragraph" w:customStyle="1" w:styleId="11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5">
    <w:name w:val="样式1xz"/>
    <w:basedOn w:val="1"/>
    <w:qFormat/>
    <w:uiPriority w:val="0"/>
    <w:pPr>
      <w:tabs>
        <w:tab w:val="left" w:pos="1050"/>
        <w:tab w:val="right" w:leader="dot" w:pos="8296"/>
      </w:tabs>
    </w:pPr>
    <w:rPr>
      <w:caps/>
      <w:spacing w:val="20"/>
      <w:sz w:val="24"/>
    </w:rPr>
  </w:style>
  <w:style w:type="paragraph" w:customStyle="1" w:styleId="116">
    <w:name w:val="Char Char Char Char Char Char Char"/>
    <w:basedOn w:val="18"/>
    <w:qFormat/>
    <w:uiPriority w:val="0"/>
    <w:rPr>
      <w:rFonts w:ascii="宋体" w:hAnsi="Tahoma"/>
    </w:rPr>
  </w:style>
  <w:style w:type="paragraph" w:customStyle="1" w:styleId="11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样式 正文缩进正文（首行缩进两字）表正文正文非缩进特点标题4段1 + 首行缩进:  2 字符"/>
    <w:basedOn w:val="16"/>
    <w:qFormat/>
    <w:uiPriority w:val="0"/>
    <w:pPr>
      <w:ind w:firstLine="480" w:firstLineChars="200"/>
    </w:pPr>
  </w:style>
  <w:style w:type="paragraph" w:customStyle="1" w:styleId="121">
    <w:name w:val="表头文本"/>
    <w:qFormat/>
    <w:uiPriority w:val="0"/>
    <w:pPr>
      <w:jc w:val="center"/>
    </w:pPr>
    <w:rPr>
      <w:rFonts w:ascii="Arial" w:hAnsi="Arial" w:eastAsia="宋体" w:cs="Times New Roman"/>
      <w:b/>
      <w:sz w:val="21"/>
      <w:lang w:val="en-US" w:eastAsia="zh-CN" w:bidi="ar-SA"/>
    </w:rPr>
  </w:style>
  <w:style w:type="paragraph" w:customStyle="1" w:styleId="12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2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4">
    <w:name w:val="正文 + 三号"/>
    <w:basedOn w:val="1"/>
    <w:qFormat/>
    <w:uiPriority w:val="0"/>
    <w:rPr>
      <w:sz w:val="21"/>
    </w:rPr>
  </w:style>
  <w:style w:type="paragraph" w:customStyle="1" w:styleId="12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7">
    <w:name w:val="Table Paragraph"/>
    <w:basedOn w:val="1"/>
    <w:qFormat/>
    <w:uiPriority w:val="1"/>
    <w:rPr>
      <w:rFonts w:ascii="宋体" w:hAnsi="宋体" w:cs="宋体"/>
      <w:lang w:val="zh-CN" w:bidi="zh-CN"/>
    </w:rPr>
  </w:style>
  <w:style w:type="paragraph" w:customStyle="1" w:styleId="12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默认段落字体 Para Char Char Char Char Char Char Char Char Char1 Char Char Char Char"/>
    <w:basedOn w:val="1"/>
    <w:qFormat/>
    <w:uiPriority w:val="0"/>
    <w:rPr>
      <w:rFonts w:ascii="Tahoma" w:hAnsi="Tahoma"/>
      <w:sz w:val="24"/>
    </w:r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5">
    <w:name w:val=" Char Char1 Char"/>
    <w:basedOn w:val="1"/>
    <w:qFormat/>
    <w:uiPriority w:val="0"/>
    <w:rPr>
      <w:rFonts w:ascii="Tahoma" w:hAnsi="Tahoma"/>
      <w:sz w:val="24"/>
      <w:szCs w:val="24"/>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40">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3">
    <w:name w:val="Title - Date"/>
    <w:basedOn w:val="57"/>
    <w:next w:val="1"/>
    <w:qFormat/>
    <w:uiPriority w:val="0"/>
    <w:pPr>
      <w:spacing w:before="240" w:beforeLines="0" w:beforeAutospacing="0" w:after="720" w:afterLines="0" w:afterAutospacing="0"/>
    </w:pPr>
    <w:rPr>
      <w:sz w:val="28"/>
    </w:rPr>
  </w:style>
  <w:style w:type="paragraph" w:customStyle="1" w:styleId="14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6">
    <w:name w:val=" Char Char 字元 字元 字元 Char Char Char Char"/>
    <w:basedOn w:val="1"/>
    <w:qFormat/>
    <w:uiPriority w:val="0"/>
    <w:pPr>
      <w:adjustRightInd w:val="0"/>
      <w:spacing w:line="360" w:lineRule="auto"/>
    </w:pPr>
    <w:rPr>
      <w:kern w:val="0"/>
      <w:sz w:val="24"/>
    </w:rPr>
  </w:style>
  <w:style w:type="paragraph" w:customStyle="1" w:styleId="147">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IN Feature"/>
    <w:next w:val="15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_Style 150"/>
    <w:qFormat/>
    <w:uiPriority w:val="0"/>
    <w:rPr>
      <w:rFonts w:ascii="Times New Roman" w:hAnsi="Times New Roman" w:eastAsia="宋体" w:cs="Times New Roman"/>
      <w:kern w:val="2"/>
      <w:sz w:val="21"/>
      <w:lang w:val="en-US" w:eastAsia="zh-CN" w:bidi="ar-SA"/>
    </w:rPr>
  </w:style>
  <w:style w:type="paragraph" w:customStyle="1" w:styleId="15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0">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1">
    <w:name w:val="内容标题"/>
    <w:basedOn w:val="18"/>
    <w:qFormat/>
    <w:uiPriority w:val="0"/>
    <w:rPr>
      <w:rFonts w:ascii="Tahoma" w:hAnsi="Tahoma"/>
      <w:sz w:val="24"/>
    </w:rPr>
  </w:style>
  <w:style w:type="paragraph" w:customStyle="1" w:styleId="162">
    <w:name w:val="正文表格"/>
    <w:basedOn w:val="1"/>
    <w:qFormat/>
    <w:uiPriority w:val="0"/>
    <w:pPr>
      <w:adjustRightInd w:val="0"/>
      <w:spacing w:before="40" w:beforeLines="0" w:beforeAutospacing="0" w:after="40" w:afterLines="0" w:afterAutospacing="0"/>
    </w:pPr>
    <w:rPr>
      <w:sz w:val="24"/>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表格内文字"/>
    <w:basedOn w:val="31"/>
    <w:qFormat/>
    <w:uiPriority w:val="0"/>
    <w:pPr>
      <w:adjustRightInd w:val="0"/>
    </w:pPr>
    <w:rPr>
      <w:color w:val="000000"/>
      <w:lang w:val="en-GB"/>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 Char Char Char Char Char Char Char Char Char Char Char Char Char Char Char Char"/>
    <w:basedOn w:val="1"/>
    <w:qFormat/>
    <w:uiPriority w:val="0"/>
    <w:pPr>
      <w:tabs>
        <w:tab w:val="left" w:pos="360"/>
      </w:tabs>
    </w:pPr>
    <w:rPr>
      <w:sz w:val="24"/>
    </w:rPr>
  </w:style>
  <w:style w:type="paragraph" w:customStyle="1" w:styleId="171">
    <w:name w:val="文章正文"/>
    <w:basedOn w:val="1"/>
    <w:qFormat/>
    <w:uiPriority w:val="0"/>
    <w:pPr>
      <w:ind w:firstLine="560" w:firstLineChars="200"/>
    </w:pPr>
    <w:rPr>
      <w:rFonts w:ascii="仿宋_GB2312" w:hAnsi="宋体" w:eastAsia="仿宋_GB2312"/>
      <w:color w:val="000000"/>
    </w:rPr>
  </w:style>
  <w:style w:type="paragraph" w:customStyle="1" w:styleId="17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3">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 Char2 Char Char Char Char Char Char"/>
    <w:basedOn w:val="1"/>
    <w:qFormat/>
    <w:uiPriority w:val="0"/>
    <w:rPr>
      <w:rFonts w:ascii="仿宋_GB2312"/>
      <w:b/>
      <w:sz w:val="30"/>
    </w:rPr>
  </w:style>
  <w:style w:type="paragraph" w:customStyle="1" w:styleId="17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178">
    <w:name w:val="摘要"/>
    <w:basedOn w:val="1"/>
    <w:next w:val="4"/>
    <w:qFormat/>
    <w:uiPriority w:val="0"/>
    <w:pPr>
      <w:spacing w:line="360" w:lineRule="auto"/>
    </w:pPr>
    <w:rPr>
      <w:rFonts w:eastAsia="黑体"/>
      <w:sz w:val="20"/>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首行缩进"/>
    <w:basedOn w:val="1"/>
    <w:qFormat/>
    <w:uiPriority w:val="0"/>
    <w:pPr>
      <w:numPr>
        <w:ilvl w:val="0"/>
        <w:numId w:val="10"/>
      </w:numPr>
      <w:spacing w:line="360" w:lineRule="auto"/>
    </w:pPr>
    <w:rPr>
      <w:rFonts w:eastAsia="仿宋_GB2312"/>
    </w:rPr>
  </w:style>
  <w:style w:type="paragraph" w:customStyle="1" w:styleId="18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4">
    <w:name w:val="af"/>
    <w:basedOn w:val="1"/>
    <w:qFormat/>
    <w:uiPriority w:val="0"/>
    <w:pPr>
      <w:widowControl/>
      <w:spacing w:line="300" w:lineRule="atLeast"/>
      <w:jc w:val="left"/>
    </w:pPr>
    <w:rPr>
      <w:rFonts w:ascii="宋体" w:hAnsi="宋体"/>
      <w:kern w:val="0"/>
      <w:sz w:val="18"/>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标题无"/>
    <w:basedOn w:val="1"/>
    <w:qFormat/>
    <w:uiPriority w:val="0"/>
    <w:pPr>
      <w:spacing w:line="360" w:lineRule="auto"/>
    </w:pPr>
    <w:rPr>
      <w:sz w:val="24"/>
    </w:rPr>
  </w:style>
  <w:style w:type="paragraph" w:customStyle="1" w:styleId="18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9">
    <w:name w:val="样式2"/>
    <w:basedOn w:val="6"/>
    <w:qFormat/>
    <w:uiPriority w:val="0"/>
    <w:pPr>
      <w:numPr>
        <w:ilvl w:val="0"/>
        <w:numId w:val="12"/>
      </w:numPr>
      <w:spacing w:before="560" w:beforeLines="0" w:line="400" w:lineRule="exact"/>
      <w:jc w:val="center"/>
      <w:outlineLvl w:val="0"/>
    </w:pPr>
    <w:rPr>
      <w:b w:val="0"/>
      <w:sz w:val="4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2">
    <w:name w:val="标题3——2"/>
    <w:basedOn w:val="5"/>
    <w:next w:val="59"/>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9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5">
    <w:name w:val="Title - Revision"/>
    <w:basedOn w:val="57"/>
    <w:qFormat/>
    <w:uiPriority w:val="0"/>
    <w:pPr>
      <w:spacing w:before="720" w:beforeLines="0" w:beforeAutospacing="0"/>
    </w:pPr>
  </w:style>
  <w:style w:type="paragraph" w:customStyle="1" w:styleId="196">
    <w:name w:val=" Char1 Char Char Char"/>
    <w:basedOn w:val="1"/>
    <w:qFormat/>
    <w:uiPriority w:val="0"/>
    <w:rPr>
      <w:rFonts w:ascii="Tahoma" w:hAnsi="Tahoma"/>
      <w:sz w:val="24"/>
    </w:rPr>
  </w:style>
  <w:style w:type="paragraph" w:customStyle="1" w:styleId="197">
    <w:name w:val="二级条标题"/>
    <w:basedOn w:val="198"/>
    <w:next w:val="179"/>
    <w:qFormat/>
    <w:uiPriority w:val="0"/>
    <w:pPr>
      <w:ind w:left="840"/>
      <w:outlineLvl w:val="3"/>
    </w:pPr>
  </w:style>
  <w:style w:type="paragraph" w:customStyle="1" w:styleId="198">
    <w:name w:val="一级条标题"/>
    <w:basedOn w:val="126"/>
    <w:next w:val="179"/>
    <w:qFormat/>
    <w:uiPriority w:val="0"/>
    <w:pPr>
      <w:numPr>
        <w:ilvl w:val="1"/>
        <w:numId w:val="0"/>
      </w:numPr>
      <w:spacing w:before="0" w:beforeLines="0" w:beforeAutospacing="0" w:after="0" w:afterLines="0" w:afterAutospacing="0"/>
      <w:ind w:left="525"/>
      <w:outlineLvl w:val="2"/>
    </w:pPr>
    <w:rPr>
      <w:sz w:val="21"/>
    </w:rPr>
  </w:style>
  <w:style w:type="paragraph" w:customStyle="1" w:styleId="199">
    <w:name w:val=" Char Char Char"/>
    <w:basedOn w:val="1"/>
    <w:qFormat/>
    <w:uiPriority w:val="0"/>
    <w:rPr>
      <w:rFonts w:ascii="Tahoma" w:hAnsi="Tahoma"/>
      <w:sz w:val="24"/>
    </w:rPr>
  </w:style>
  <w:style w:type="paragraph" w:customStyle="1" w:styleId="200">
    <w:name w:val="Char1 Char Char Char"/>
    <w:basedOn w:val="1"/>
    <w:qFormat/>
    <w:uiPriority w:val="0"/>
    <w:rPr>
      <w:rFonts w:ascii="Tahoma" w:hAnsi="Tahoma"/>
      <w:sz w:val="30"/>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样式4"/>
    <w:basedOn w:val="6"/>
    <w:qFormat/>
    <w:uiPriority w:val="0"/>
    <w:pPr>
      <w:adjustRightInd w:val="0"/>
      <w:snapToGrid w:val="0"/>
    </w:pPr>
  </w:style>
  <w:style w:type="paragraph" w:customStyle="1" w:styleId="20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样式 行距: 1.5 倍行距1"/>
    <w:basedOn w:val="1"/>
    <w:qFormat/>
    <w:uiPriority w:val="0"/>
    <w:pPr>
      <w:snapToGrid w:val="0"/>
    </w:pPr>
    <w:rPr>
      <w:sz w:val="21"/>
    </w:rPr>
  </w:style>
  <w:style w:type="paragraph" w:customStyle="1" w:styleId="20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08">
    <w:name w:val=" Char Char Char Char Char Char Char"/>
    <w:basedOn w:val="1"/>
    <w:qFormat/>
    <w:uiPriority w:val="0"/>
    <w:rPr>
      <w:rFonts w:ascii="Tahoma" w:hAnsi="Tahoma"/>
      <w:sz w:val="24"/>
    </w:rPr>
  </w:style>
  <w:style w:type="paragraph" w:customStyle="1" w:styleId="20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1"/>
    <w:basedOn w:val="1"/>
    <w:next w:val="31"/>
    <w:qFormat/>
    <w:uiPriority w:val="0"/>
    <w:rPr>
      <w:rFonts w:ascii="宋体" w:hAnsi="Courier New"/>
      <w:sz w:val="21"/>
    </w:rPr>
  </w:style>
  <w:style w:type="paragraph" w:customStyle="1" w:styleId="21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6">
    <w:name w:val="Table Contents"/>
    <w:basedOn w:val="2"/>
    <w:qFormat/>
    <w:uiPriority w:val="0"/>
    <w:pPr>
      <w:suppressAutoHyphens/>
      <w:jc w:val="left"/>
    </w:pPr>
    <w:rPr>
      <w:rFonts w:ascii="Times New Roman" w:eastAsia="Times New Roman"/>
      <w:kern w:val="0"/>
      <w:sz w:val="24"/>
    </w:rPr>
  </w:style>
  <w:style w:type="paragraph" w:customStyle="1" w:styleId="21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8">
    <w:name w:val="编号正文"/>
    <w:basedOn w:val="141"/>
    <w:qFormat/>
    <w:uiPriority w:val="0"/>
    <w:pPr>
      <w:snapToGrid/>
      <w:spacing w:line="360" w:lineRule="auto"/>
      <w:ind w:left="1407" w:hanging="1047"/>
      <w:jc w:val="left"/>
    </w:pPr>
    <w:rPr>
      <w:rFonts w:eastAsia="仿宋_GB2312"/>
    </w:rPr>
  </w:style>
  <w:style w:type="paragraph" w:customStyle="1" w:styleId="219">
    <w:name w:val="图片文字"/>
    <w:basedOn w:val="1"/>
    <w:qFormat/>
    <w:uiPriority w:val="0"/>
    <w:pPr>
      <w:spacing w:line="240" w:lineRule="atLeast"/>
      <w:jc w:val="center"/>
    </w:pPr>
    <w:rPr>
      <w:sz w:val="21"/>
    </w:rPr>
  </w:style>
  <w:style w:type="paragraph" w:customStyle="1" w:styleId="220">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21">
    <w:name w:val="00"/>
    <w:basedOn w:val="1"/>
    <w:qFormat/>
    <w:uiPriority w:val="0"/>
    <w:pPr>
      <w:autoSpaceDE w:val="0"/>
      <w:autoSpaceDN w:val="0"/>
      <w:adjustRightInd w:val="0"/>
      <w:jc w:val="left"/>
    </w:pPr>
    <w:rPr>
      <w:rFonts w:ascii="黑体" w:eastAsia="黑体"/>
      <w:b/>
      <w:kern w:val="0"/>
      <w:sz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1">
    <w:name w:val="首行缩进 1"/>
    <w:basedOn w:val="1"/>
    <w:qFormat/>
    <w:uiPriority w:val="0"/>
    <w:pPr>
      <w:spacing w:after="120" w:afterLines="0" w:afterAutospacing="0" w:line="360" w:lineRule="auto"/>
      <w:ind w:firstLine="200" w:firstLineChars="200"/>
    </w:pPr>
    <w:rPr>
      <w:sz w:val="24"/>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7">
    <w:name w:val="二级列表"/>
    <w:basedOn w:val="193"/>
    <w:next w:val="193"/>
    <w:qFormat/>
    <w:uiPriority w:val="0"/>
    <w:pPr>
      <w:tabs>
        <w:tab w:val="left" w:pos="2120"/>
      </w:tabs>
      <w:ind w:firstLine="0" w:firstLineChars="0"/>
    </w:pPr>
    <w:rPr>
      <w:b/>
    </w:rPr>
  </w:style>
  <w:style w:type="paragraph" w:customStyle="1" w:styleId="238">
    <w:name w:val=" Char1"/>
    <w:basedOn w:val="1"/>
    <w:qFormat/>
    <w:uiPriority w:val="0"/>
    <w:rPr>
      <w:sz w:val="21"/>
    </w:rPr>
  </w:style>
  <w:style w:type="paragraph" w:customStyle="1" w:styleId="239">
    <w:name w:val="1.正文"/>
    <w:basedOn w:val="1"/>
    <w:qFormat/>
    <w:uiPriority w:val="0"/>
    <w:pPr>
      <w:spacing w:line="360" w:lineRule="auto"/>
      <w:ind w:left="540" w:leftChars="225" w:firstLine="540" w:firstLineChars="225"/>
    </w:pPr>
    <w:rPr>
      <w:sz w:val="24"/>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46">
    <w:name w:val="List Paragraph"/>
    <w:basedOn w:val="1"/>
    <w:qFormat/>
    <w:uiPriority w:val="34"/>
    <w:pPr>
      <w:ind w:firstLine="420" w:firstLineChars="200"/>
    </w:pPr>
    <w:rPr>
      <w:sz w:val="21"/>
    </w:rPr>
  </w:style>
  <w:style w:type="paragraph" w:customStyle="1" w:styleId="2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48">
    <w:name w:val="表文字"/>
    <w:qFormat/>
    <w:uiPriority w:val="0"/>
    <w:rPr>
      <w:rFonts w:ascii="宋体" w:hAnsi="Times New Roman" w:eastAsia="宋体" w:cs="Times New Roman"/>
      <w:kern w:val="2"/>
      <w:lang w:val="en-US" w:eastAsia="zh-CN" w:bidi="ar-SA"/>
    </w:rPr>
  </w:style>
  <w:style w:type="paragraph" w:customStyle="1" w:styleId="249">
    <w:name w:val="正文1"/>
    <w:basedOn w:val="1"/>
    <w:qFormat/>
    <w:uiPriority w:val="0"/>
    <w:pPr>
      <w:spacing w:line="300" w:lineRule="auto"/>
      <w:ind w:firstLine="200" w:firstLineChars="200"/>
    </w:pPr>
    <w:rPr>
      <w:sz w:val="24"/>
    </w:rPr>
  </w:style>
  <w:style w:type="paragraph" w:customStyle="1" w:styleId="250">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251">
    <w:name w:val="font51"/>
    <w:basedOn w:val="63"/>
    <w:qFormat/>
    <w:uiPriority w:val="0"/>
    <w:rPr>
      <w:rFonts w:hint="default" w:ascii="Times New Roman" w:hAnsi="Times New Roman" w:cs="Times New Roman"/>
      <w:color w:val="FF0000"/>
      <w:sz w:val="20"/>
      <w:szCs w:val="20"/>
      <w:u w:val="none"/>
    </w:rPr>
  </w:style>
  <w:style w:type="character" w:customStyle="1" w:styleId="252">
    <w:name w:val="font61"/>
    <w:basedOn w:val="63"/>
    <w:qFormat/>
    <w:uiPriority w:val="0"/>
    <w:rPr>
      <w:rFonts w:hint="eastAsia" w:ascii="方正仿宋_GBK" w:hAnsi="方正仿宋_GBK" w:eastAsia="方正仿宋_GBK" w:cs="方正仿宋_GBK"/>
      <w:color w:val="FF0000"/>
      <w:sz w:val="20"/>
      <w:szCs w:val="20"/>
      <w:u w:val="none"/>
    </w:rPr>
  </w:style>
  <w:style w:type="paragraph" w:customStyle="1" w:styleId="253">
    <w:name w:val="电建正文"/>
    <w:basedOn w:val="254"/>
    <w:qFormat/>
    <w:uiPriority w:val="0"/>
    <w:pPr>
      <w:tabs>
        <w:tab w:val="left" w:pos="720"/>
      </w:tabs>
      <w:spacing w:line="360" w:lineRule="auto"/>
      <w:ind w:firstLine="200" w:firstLineChars="200"/>
    </w:pPr>
    <w:rPr>
      <w:rFonts w:ascii="Tahoma" w:hAnsi="Tahoma"/>
      <w:sz w:val="24"/>
    </w:rPr>
  </w:style>
  <w:style w:type="paragraph" w:customStyle="1" w:styleId="254">
    <w:name w:val="List First"/>
    <w:basedOn w:val="42"/>
    <w:next w:val="42"/>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6425</Words>
  <Characters>6808</Characters>
  <Lines>182</Lines>
  <Paragraphs>51</Paragraphs>
  <TotalTime>11</TotalTime>
  <ScaleCrop>false</ScaleCrop>
  <LinksUpToDate>false</LinksUpToDate>
  <CharactersWithSpaces>6991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2019-10-12T08:43:00Z</dcterms:created>
  <dc:creator>周媛媛</dc:creator>
  <cp:lastModifiedBy>重庆向远招标代理有限公司</cp:lastModifiedBy>
  <cp:lastPrinted>2024-09-06T03:02:00Z</cp:lastPrinted>
  <dcterms:modified xsi:type="dcterms:W3CDTF">2025-05-16T06:19:36Z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978C74249F9940B38FAD7B1C2F66D7FF_13</vt:lpwstr>
  </property>
  <property fmtid="{D5CDD505-2E9C-101B-9397-08002B2CF9AE}" pid="4" name="KSOTemplateDocerSaveRecord">
    <vt:lpwstr>eyJoZGlkIjoiZGVkNjY0MTQyMDY4NjMwOTA4Y2Q1YTcwNDZiODNjNzMiLCJ1c2VySWQiOiIxNTA5NDU1OTc1In0=</vt:lpwstr>
  </property>
</Properties>
</file>