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52FE">
      <w:pPr>
        <w:jc w:val="center"/>
        <w:rPr>
          <w:rFonts w:hint="eastAsia"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竞赛设备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参数</w:t>
      </w:r>
    </w:p>
    <w:p w14:paraId="05798634">
      <w:pPr>
        <w:jc w:val="left"/>
        <w:rPr>
          <w:rFonts w:asciiTheme="minorEastAsia" w:hAnsiTheme="minorEastAsia"/>
          <w:b/>
          <w:shd w:val="pct10" w:color="auto" w:fill="FFFFFF"/>
        </w:rPr>
      </w:pPr>
    </w:p>
    <w:p w14:paraId="6340493D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一、采购清单</w:t>
      </w:r>
    </w:p>
    <w:tbl>
      <w:tblPr>
        <w:tblStyle w:val="9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45"/>
        <w:gridCol w:w="1450"/>
        <w:gridCol w:w="1560"/>
      </w:tblGrid>
      <w:tr w14:paraId="5E94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7772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2873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采购内容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75FB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</w:t>
            </w:r>
          </w:p>
        </w:tc>
      </w:tr>
      <w:tr w14:paraId="4A32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bottom"/>
          </w:tcPr>
          <w:p w14:paraId="6B53D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A73CA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台式电脑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28F5E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bottom"/>
          </w:tcPr>
          <w:p w14:paraId="24CAAE88">
            <w:pPr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套</w:t>
            </w:r>
          </w:p>
        </w:tc>
      </w:tr>
    </w:tbl>
    <w:p w14:paraId="42847B3F">
      <w:pPr>
        <w:tabs>
          <w:tab w:val="center" w:pos="2704"/>
        </w:tabs>
        <w:rPr>
          <w:rFonts w:asciiTheme="minorEastAsia" w:hAnsiTheme="minorEastAsia"/>
          <w:b/>
          <w:shd w:val="pct10" w:color="auto" w:fill="FFFFFF"/>
        </w:rPr>
      </w:pPr>
    </w:p>
    <w:p w14:paraId="77B2D7DE">
      <w:pPr>
        <w:tabs>
          <w:tab w:val="center" w:pos="2704"/>
        </w:tabs>
        <w:rPr>
          <w:rFonts w:asciiTheme="minorEastAsia" w:hAnsiTheme="minorEastAsia"/>
          <w:b/>
          <w:shd w:val="pct10" w:color="auto" w:fill="FFFFFF"/>
        </w:rPr>
      </w:pPr>
      <w:r>
        <w:rPr>
          <w:rFonts w:asciiTheme="minorEastAsia" w:hAnsiTheme="minorEastAsia"/>
          <w:b/>
          <w:shd w:val="pct10" w:color="auto" w:fill="FFFFFF"/>
        </w:rPr>
        <w:br w:type="textWrapping" w:clear="all"/>
      </w:r>
    </w:p>
    <w:p w14:paraId="71B64FD1">
      <w:pPr>
        <w:rPr>
          <w:rFonts w:asciiTheme="minorEastAsia" w:hAnsiTheme="minorEastAsia"/>
          <w:b/>
          <w:shd w:val="pct10" w:color="auto" w:fill="FFFFFF"/>
        </w:rPr>
      </w:pPr>
    </w:p>
    <w:p w14:paraId="3CBFDD71">
      <w:pPr>
        <w:rPr>
          <w:rFonts w:asciiTheme="minorEastAsia" w:hAnsiTheme="minorEastAsia"/>
          <w:b/>
          <w:shd w:val="pct10" w:color="auto" w:fill="FFFFFF"/>
        </w:rPr>
      </w:pPr>
    </w:p>
    <w:p w14:paraId="1FDCB21B">
      <w:pPr>
        <w:rPr>
          <w:rFonts w:asciiTheme="minorEastAsia" w:hAnsiTheme="minorEastAsia"/>
          <w:b/>
          <w:shd w:val="pct10" w:color="auto" w:fill="FFFFFF"/>
        </w:rPr>
      </w:pPr>
    </w:p>
    <w:p w14:paraId="7BDBCF5E">
      <w:pPr>
        <w:rPr>
          <w:rFonts w:asciiTheme="minorEastAsia" w:hAnsiTheme="minorEastAsia"/>
          <w:b/>
          <w:shd w:val="pct10" w:color="auto" w:fill="FFFFFF"/>
        </w:rPr>
      </w:pPr>
    </w:p>
    <w:p w14:paraId="14D0C761">
      <w:pPr>
        <w:tabs>
          <w:tab w:val="left" w:pos="8590"/>
        </w:tabs>
        <w:spacing w:line="240" w:lineRule="auto"/>
        <w:rPr>
          <w:rFonts w:asciiTheme="minorEastAsia" w:hAnsiTheme="minorEastAsia"/>
          <w:b/>
          <w:shd w:val="pct10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A05046">
      <w:pPr>
        <w:tabs>
          <w:tab w:val="left" w:pos="8590"/>
        </w:tabs>
        <w:spacing w:line="240" w:lineRule="auto"/>
        <w:rPr>
          <w:rFonts w:hint="eastAsia" w:asciiTheme="minorEastAsia" w:hAnsiTheme="minorEastAsia"/>
          <w:b/>
          <w:shd w:val="pct10" w:color="auto" w:fill="FFFFFF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二</w:t>
      </w:r>
      <w:r>
        <w:rPr>
          <w:rFonts w:ascii="仿宋" w:hAnsi="仿宋" w:eastAsia="仿宋" w:cs="Times New Roman"/>
          <w:b/>
          <w:bCs/>
          <w:sz w:val="28"/>
          <w:szCs w:val="32"/>
        </w:rPr>
        <w:t>、招投标参数</w:t>
      </w:r>
    </w:p>
    <w:p w14:paraId="12631F70">
      <w:pPr>
        <w:widowControl/>
        <w:spacing w:line="240" w:lineRule="auto"/>
        <w:jc w:val="left"/>
        <w:rPr>
          <w:rFonts w:hint="eastAsia" w:asciiTheme="minorEastAsia" w:hAnsiTheme="minorEastAsia"/>
          <w:b/>
        </w:rPr>
      </w:pPr>
    </w:p>
    <w:p w14:paraId="7CC828EB"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竞赛电脑配置参数</w:t>
      </w:r>
    </w:p>
    <w:p w14:paraId="54E8FFAA"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10"/>
        <w:tblW w:w="9535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82"/>
        <w:gridCol w:w="1189"/>
        <w:gridCol w:w="6171"/>
      </w:tblGrid>
      <w:tr w14:paraId="00A5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top"/>
          </w:tcPr>
          <w:p w14:paraId="18FC6F9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082" w:type="dxa"/>
            <w:noWrap w:val="0"/>
            <w:vAlign w:val="top"/>
          </w:tcPr>
          <w:p w14:paraId="324758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189" w:type="dxa"/>
            <w:noWrap w:val="0"/>
            <w:vAlign w:val="top"/>
          </w:tcPr>
          <w:p w14:paraId="0935D31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6171" w:type="dxa"/>
            <w:noWrap w:val="0"/>
            <w:vAlign w:val="top"/>
          </w:tcPr>
          <w:p w14:paraId="3DC14CC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技术参数</w:t>
            </w:r>
          </w:p>
        </w:tc>
      </w:tr>
      <w:tr w14:paraId="370A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093" w:type="dxa"/>
            <w:vMerge w:val="restart"/>
            <w:noWrap w:val="0"/>
            <w:vAlign w:val="center"/>
          </w:tcPr>
          <w:p w14:paraId="7D2DD1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台式电脑</w:t>
            </w:r>
          </w:p>
        </w:tc>
        <w:tc>
          <w:tcPr>
            <w:tcW w:w="1082" w:type="dxa"/>
            <w:vMerge w:val="restart"/>
            <w:noWrap w:val="0"/>
            <w:vAlign w:val="center"/>
          </w:tcPr>
          <w:p w14:paraId="4BFD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noWrap w:val="0"/>
            <w:vAlign w:val="center"/>
          </w:tcPr>
          <w:p w14:paraId="12C8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处理器</w:t>
            </w:r>
          </w:p>
        </w:tc>
        <w:tc>
          <w:tcPr>
            <w:tcW w:w="6171" w:type="dxa"/>
            <w:noWrap w:val="0"/>
            <w:vAlign w:val="top"/>
          </w:tcPr>
          <w:p w14:paraId="4A153D6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酷睿i9 24核32线程盒装原包</w:t>
            </w:r>
          </w:p>
          <w:p w14:paraId="557B0346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Intel  14代</w:t>
            </w:r>
          </w:p>
          <w:p w14:paraId="396E06A4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线程数量</w:t>
            </w:r>
          </w:p>
          <w:p w14:paraId="52C6C509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32线程功率125W</w:t>
            </w:r>
          </w:p>
          <w:p w14:paraId="1912F0C9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三级缓存36MB加速频率6GHz</w:t>
            </w:r>
          </w:p>
          <w:p w14:paraId="3076A4E0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主频2.4GHz</w:t>
            </w:r>
          </w:p>
        </w:tc>
      </w:tr>
      <w:tr w14:paraId="0D78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08F478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240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ECC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6171" w:type="dxa"/>
            <w:noWrap w:val="0"/>
            <w:vAlign w:val="top"/>
          </w:tcPr>
          <w:p w14:paraId="7095600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具有ProCool高强度供电接口：8+4 pin ProCool</w:t>
            </w:r>
          </w:p>
          <w:p w14:paraId="1B6BAC0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具有五重防护III（网络安全防护、过电压保护、DIGI+VRM数字供电、不锈钢I/O接口）</w:t>
            </w:r>
          </w:p>
          <w:p w14:paraId="4D61547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</w:t>
            </w:r>
            <w:r>
              <w:rPr>
                <w:rFonts w:hint="default"/>
                <w:vertAlign w:val="baseline"/>
                <w:lang w:val="en-US" w:eastAsia="zh-CN"/>
              </w:rPr>
              <w:t>SafeSlot Core+高强度安全插槽</w:t>
            </w:r>
          </w:p>
          <w:p w14:paraId="2C19EE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</w:t>
            </w:r>
            <w:r>
              <w:rPr>
                <w:rFonts w:hint="default"/>
                <w:vertAlign w:val="baseline"/>
                <w:lang w:val="en-US" w:eastAsia="zh-CN"/>
              </w:rPr>
              <w:t>LANGuard (Built</w:t>
            </w:r>
            <w:r>
              <w:rPr>
                <w:rFonts w:hint="eastAsia"/>
                <w:vertAlign w:val="baseline"/>
                <w:lang w:val="en-US" w:eastAsia="zh-CN"/>
              </w:rPr>
              <w:t>-</w:t>
            </w:r>
            <w:r>
              <w:rPr>
                <w:rFonts w:hint="default"/>
                <w:vertAlign w:val="baseline"/>
                <w:lang w:val="en-US" w:eastAsia="zh-CN"/>
              </w:rPr>
              <w:t>in)网络安全防护</w:t>
            </w:r>
          </w:p>
          <w:p w14:paraId="1D73524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具有Armoury Crate奥创游戏智控中心</w:t>
            </w:r>
          </w:p>
          <w:p w14:paraId="1CBF8C5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具有FAN Xpert4 搭配AI Cooling II</w:t>
            </w:r>
          </w:p>
          <w:p w14:paraId="0689B00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14+1 DrMOS供电模组, 6层PCB,支持 PCIe® 5.0, 3个 M.2 插槽, 14+1 DrMOS 供电模组, DDR5, Realtek 2.5G 有线网卡, HDMI®, DP, USB 3.2 Gen 2x2 Type-C®, 支持前置 USB 3.2 Gen 2 Type-C®, 支持雷电™ (USB4®), AURA SYNC神光同步。竞赛电脑为了稳定性和兼容性，所投主板和显卡要求为同一品牌，同时提供厂家盖章的售后服务承诺函，要求全国联保。</w:t>
            </w:r>
          </w:p>
        </w:tc>
      </w:tr>
      <w:tr w14:paraId="1DDE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7AA866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5167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9D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</w:t>
            </w:r>
          </w:p>
        </w:tc>
        <w:tc>
          <w:tcPr>
            <w:tcW w:w="6171" w:type="dxa"/>
            <w:noWrap w:val="0"/>
            <w:vAlign w:val="top"/>
          </w:tcPr>
          <w:p w14:paraId="588697A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Prime GeForce RTX™ 5080 超频版 16GB GDDR7 显卡</w:t>
            </w:r>
          </w:p>
          <w:p w14:paraId="143150E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AI 性能: 1827 AI TOPS</w:t>
            </w:r>
          </w:p>
          <w:p w14:paraId="63833C9E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动力源自 NVIDIA Blackwell 架构和 DLSS 4</w:t>
            </w:r>
          </w:p>
          <w:p w14:paraId="2F46BE6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超频模式: 2685 MHz (超频模式)/ 2655 MHz (默认模式)</w:t>
            </w:r>
          </w:p>
          <w:p w14:paraId="33270E6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SFF-Ready 硬核玩家 GeForce 显卡</w:t>
            </w:r>
          </w:p>
          <w:p w14:paraId="0A44BF1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轴流风扇采用较小扇毂，有利于增加扇叶长度，同时配备阻隔环增加向下风压</w:t>
            </w:r>
          </w:p>
          <w:p w14:paraId="75D78BF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真空腔均热板确保高效的热传导，降低GPU温度</w:t>
            </w:r>
          </w:p>
          <w:p w14:paraId="41593CA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相变 GPU 导热垫有助于确保上佳的热传导，降低GPU温度，提升性能和可靠性</w:t>
            </w:r>
          </w:p>
          <w:p w14:paraId="022E359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2.5插槽设计可提高组装兼容性，同时维持散热性能</w:t>
            </w:r>
          </w:p>
          <w:p w14:paraId="43746BF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双滚珠轴承的使用寿命是传统设计的两倍</w:t>
            </w:r>
          </w:p>
          <w:p w14:paraId="7A4AC8B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0dB 低噪音技术让您在相对安静的环境下享受休闲游戏</w:t>
            </w:r>
          </w:p>
          <w:p w14:paraId="7E7D03B9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 BIOS 开关可自由切换安静与性能BIOS模式</w:t>
            </w:r>
          </w:p>
          <w:p w14:paraId="2FEF273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全自动化制程技术精密自动化制程提供更高的可靠性</w:t>
            </w:r>
          </w:p>
          <w:p w14:paraId="35BD7C9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GPU Tweak III 软件提供直观的性能调校、散热控制与系统监控。竞赛电脑为了稳定性和兼容性，所投主板和显卡要求为同一品牌，同时提供厂家盖章的售后服务承诺函，要求全国联保。</w:t>
            </w:r>
          </w:p>
        </w:tc>
      </w:tr>
      <w:tr w14:paraId="032B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2C683E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2A8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BAF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散热器</w:t>
            </w:r>
          </w:p>
        </w:tc>
        <w:tc>
          <w:tcPr>
            <w:tcW w:w="6171" w:type="dxa"/>
            <w:noWrap w:val="0"/>
            <w:vAlign w:val="top"/>
          </w:tcPr>
          <w:p w14:paraId="4C03F58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一体式水冷散热器</w:t>
            </w:r>
          </w:p>
          <w:p w14:paraId="53116B5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散热器高度</w:t>
            </w:r>
          </w:p>
          <w:p w14:paraId="5CF043C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58mm</w:t>
            </w:r>
          </w:p>
          <w:p w14:paraId="7D28443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散热器尺寸</w:t>
            </w:r>
          </w:p>
          <w:p w14:paraId="11119A6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397*120*27MM</w:t>
            </w:r>
          </w:p>
          <w:p w14:paraId="7B6922B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风扇尺寸</w:t>
            </w:r>
          </w:p>
          <w:p w14:paraId="102CF3F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120*120*25MM</w:t>
            </w:r>
          </w:p>
          <w:p w14:paraId="2A70656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电源接口</w:t>
            </w:r>
          </w:p>
          <w:p w14:paraId="5CC05BC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4pin</w:t>
            </w:r>
          </w:p>
          <w:p w14:paraId="33D4428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风扇转速（RPM）</w:t>
            </w:r>
          </w:p>
          <w:p w14:paraId="65FE7C9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800~2150±10%</w:t>
            </w:r>
          </w:p>
          <w:p w14:paraId="53A626E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散热方式</w:t>
            </w:r>
          </w:p>
          <w:p w14:paraId="326C57F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水冷</w:t>
            </w:r>
          </w:p>
        </w:tc>
      </w:tr>
      <w:tr w14:paraId="5282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6D42D7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DDF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B6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6171" w:type="dxa"/>
            <w:noWrap w:val="0"/>
            <w:vAlign w:val="top"/>
          </w:tcPr>
          <w:p w14:paraId="318855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代数DDR5</w:t>
            </w:r>
          </w:p>
          <w:p w14:paraId="6449FEE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台式机内存</w:t>
            </w:r>
          </w:p>
          <w:p w14:paraId="209AAD5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外观特征 马甲条</w:t>
            </w:r>
          </w:p>
          <w:p w14:paraId="68E545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*总容量128GB</w:t>
            </w:r>
          </w:p>
        </w:tc>
      </w:tr>
      <w:tr w14:paraId="3E0FF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5AC063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0AF1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9B8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6171" w:type="dxa"/>
            <w:noWrap w:val="0"/>
            <w:vAlign w:val="top"/>
          </w:tcPr>
          <w:p w14:paraId="0DCDF35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PCIe 4.0</w:t>
            </w:r>
          </w:p>
          <w:p w14:paraId="4DEC00F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NVMe读速7000MB/s及以上</w:t>
            </w:r>
          </w:p>
          <w:p w14:paraId="61788D9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容量4TB</w:t>
            </w:r>
          </w:p>
          <w:p w14:paraId="6BB299A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接口M.2接口(NVMe协议)</w:t>
            </w:r>
          </w:p>
          <w:p w14:paraId="35B4280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系列SSD固态硬盘</w:t>
            </w:r>
          </w:p>
          <w:p w14:paraId="1FE5EA6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闪存类型TLC</w:t>
            </w:r>
          </w:p>
          <w:p w14:paraId="5CF0CDC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顺序写入6700MB/s</w:t>
            </w:r>
          </w:p>
          <w:p w14:paraId="7974BA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顺序读速7000MB/s</w:t>
            </w:r>
          </w:p>
        </w:tc>
      </w:tr>
      <w:tr w14:paraId="2038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1E42E8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5815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7C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171" w:type="dxa"/>
            <w:noWrap w:val="0"/>
            <w:vAlign w:val="top"/>
          </w:tcPr>
          <w:p w14:paraId="7FD9025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机箱重量5-8kg</w:t>
            </w:r>
          </w:p>
          <w:p w14:paraId="48C9A4B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电源位置下置CPU散热器限高165mm</w:t>
            </w:r>
          </w:p>
          <w:p w14:paraId="0462CA4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显卡（连供电头总长度）限长</w:t>
            </w:r>
          </w:p>
          <w:p w14:paraId="1C51F9A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≤41cm</w:t>
            </w:r>
          </w:p>
          <w:p w14:paraId="72614CA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材质SPCC钢材；ABS塑料</w:t>
            </w:r>
          </w:p>
          <w:p w14:paraId="5315E2B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硬盘位2个</w:t>
            </w:r>
          </w:p>
          <w:p w14:paraId="7C713F9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面板接口</w:t>
            </w:r>
          </w:p>
          <w:p w14:paraId="2B5428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Type-C*1，USB3.0*1+USB2.0*1</w:t>
            </w:r>
          </w:p>
          <w:p w14:paraId="4327747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Type-C接口</w:t>
            </w:r>
          </w:p>
          <w:p w14:paraId="4A15094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支持Type-C接口</w:t>
            </w:r>
          </w:p>
          <w:p w14:paraId="6A08E69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*机箱不能是透明或侧透</w:t>
            </w:r>
          </w:p>
        </w:tc>
      </w:tr>
      <w:tr w14:paraId="7F06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continue"/>
            <w:noWrap w:val="0"/>
            <w:vAlign w:val="center"/>
          </w:tcPr>
          <w:p w14:paraId="0B0507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387B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5AC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6171" w:type="dxa"/>
            <w:noWrap w:val="0"/>
            <w:vAlign w:val="top"/>
          </w:tcPr>
          <w:p w14:paraId="30CD99D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全模组化</w:t>
            </w:r>
          </w:p>
          <w:p w14:paraId="5F8A31A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转换效率(80PLUS)</w:t>
            </w:r>
          </w:p>
          <w:p w14:paraId="04D7EB9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金牌（90%）</w:t>
            </w:r>
          </w:p>
          <w:p w14:paraId="597E0E9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ATX 电源</w:t>
            </w:r>
          </w:p>
          <w:p w14:paraId="65AB01A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产品尺寸</w:t>
            </w:r>
          </w:p>
          <w:p w14:paraId="540B815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长150mm；宽140mm；高86mm</w:t>
            </w:r>
          </w:p>
          <w:p w14:paraId="5F8F2AD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风扇12cm</w:t>
            </w:r>
          </w:p>
          <w:p w14:paraId="4870B1B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主电源接口20+4 pin</w:t>
            </w:r>
          </w:p>
          <w:p w14:paraId="2F9F1B0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输入电压220V</w:t>
            </w:r>
          </w:p>
          <w:p w14:paraId="340CDDC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8(6+2)PCI-E接口6个</w:t>
            </w:r>
          </w:p>
          <w:p w14:paraId="393B951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CPU 12V供电接口2个</w:t>
            </w:r>
          </w:p>
          <w:p w14:paraId="17AA516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支持温控支持宽幅</w:t>
            </w:r>
          </w:p>
          <w:p w14:paraId="0B34494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安全认证CCC认证</w:t>
            </w:r>
          </w:p>
          <w:p w14:paraId="0F169CC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额定功率1200W</w:t>
            </w:r>
          </w:p>
          <w:p w14:paraId="6CF6FCB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54A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504BCE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7BAE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A58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6171" w:type="dxa"/>
            <w:noWrap w:val="0"/>
            <w:vAlign w:val="top"/>
          </w:tcPr>
          <w:p w14:paraId="68D3E74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IPS (Fast)对比度1000:1</w:t>
            </w:r>
          </w:p>
          <w:p w14:paraId="7CBC72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响应时间0.3ms</w:t>
            </w:r>
          </w:p>
          <w:p w14:paraId="616F7AD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屏幕刷新率200Hz</w:t>
            </w:r>
          </w:p>
          <w:p w14:paraId="54FB444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接口音频/耳机输出，HDMI，DP</w:t>
            </w:r>
          </w:p>
          <w:p w14:paraId="25A1CB9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分辨率2560*1440</w:t>
            </w:r>
          </w:p>
          <w:p w14:paraId="7E447BA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特性：TUV爱眼认证，FreeSync</w:t>
            </w:r>
          </w:p>
          <w:p w14:paraId="756514C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屏幕尺寸：27英寸</w:t>
            </w:r>
          </w:p>
          <w:p w14:paraId="12E160F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亮度：300cd/㎡</w:t>
            </w:r>
          </w:p>
          <w:p w14:paraId="568DC3E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产品尺寸：长615mm；宽214mm；高455mm</w:t>
            </w:r>
          </w:p>
          <w:p w14:paraId="469AEBB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7C2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3" w:type="dxa"/>
            <w:vMerge w:val="continue"/>
            <w:noWrap w:val="0"/>
            <w:vAlign w:val="center"/>
          </w:tcPr>
          <w:p w14:paraId="5DAB54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4D14076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4BEEA75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键鼠套装</w:t>
            </w:r>
          </w:p>
        </w:tc>
        <w:tc>
          <w:tcPr>
            <w:tcW w:w="6171" w:type="dxa"/>
            <w:noWrap w:val="0"/>
            <w:vAlign w:val="center"/>
          </w:tcPr>
          <w:p w14:paraId="30CFE27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光电套</w:t>
            </w:r>
          </w:p>
        </w:tc>
      </w:tr>
      <w:tr w14:paraId="1E19F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35" w:type="dxa"/>
            <w:gridSpan w:val="4"/>
            <w:noWrap w:val="0"/>
            <w:vAlign w:val="center"/>
          </w:tcPr>
          <w:p w14:paraId="2E6953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总金额（限价）：24500.00</w:t>
            </w:r>
          </w:p>
        </w:tc>
      </w:tr>
    </w:tbl>
    <w:p w14:paraId="7F87EF68">
      <w:pPr>
        <w:rPr>
          <w:rFonts w:hint="eastAsia"/>
          <w:lang w:val="en-US" w:eastAsia="zh-CN"/>
        </w:rPr>
      </w:pPr>
    </w:p>
    <w:p w14:paraId="40DDFA75">
      <w:pPr>
        <w:widowControl/>
        <w:spacing w:line="240" w:lineRule="auto"/>
        <w:jc w:val="left"/>
        <w:rPr>
          <w:rFonts w:hint="eastAsia" w:asciiTheme="minorEastAsia" w:hAnsiTheme="minorEastAsia"/>
          <w:b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4C0C6061">
      <w:pPr>
        <w:widowControl/>
        <w:spacing w:line="240" w:lineRule="auto"/>
        <w:jc w:val="left"/>
        <w:rPr>
          <w:rFonts w:asciiTheme="minorEastAsia" w:hAnsiTheme="minorEastAsia"/>
          <w:b/>
        </w:rPr>
      </w:pPr>
    </w:p>
    <w:p w14:paraId="368D448F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三</w:t>
      </w:r>
      <w:r>
        <w:rPr>
          <w:rFonts w:ascii="仿宋" w:hAnsi="仿宋" w:eastAsia="仿宋" w:cs="Times New Roman"/>
          <w:b/>
          <w:bCs/>
          <w:sz w:val="28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投标报价函</w:t>
      </w:r>
    </w:p>
    <w:p w14:paraId="585F0DD6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2876DA68">
      <w:pPr>
        <w:tabs>
          <w:tab w:val="left" w:pos="8590"/>
        </w:tabs>
        <w:spacing w:line="240" w:lineRule="auto"/>
        <w:rPr>
          <w:rFonts w:hint="eastAsia" w:ascii="仿宋" w:hAnsi="仿宋" w:eastAsia="仿宋" w:cs="Times New Roman"/>
          <w:sz w:val="28"/>
          <w:szCs w:val="32"/>
          <w:lang w:eastAsia="zh-CN"/>
        </w:rPr>
      </w:pPr>
      <w:r>
        <w:rPr>
          <w:rFonts w:hint="eastAsia" w:ascii="仿宋" w:hAnsi="仿宋" w:eastAsia="仿宋" w:cs="Times New Roman"/>
          <w:sz w:val="28"/>
          <w:szCs w:val="32"/>
        </w:rPr>
        <w:t>招标项目名称：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移动办公设备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02"/>
      </w:tblGrid>
      <w:tr w14:paraId="4B99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526" w:type="dxa"/>
            <w:vAlign w:val="center"/>
          </w:tcPr>
          <w:p w14:paraId="06467FAE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投标人名称</w:t>
            </w:r>
          </w:p>
        </w:tc>
        <w:tc>
          <w:tcPr>
            <w:tcW w:w="8102" w:type="dxa"/>
            <w:vAlign w:val="center"/>
          </w:tcPr>
          <w:p w14:paraId="079A6BD1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 w14:paraId="14F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175B8CBD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投标总报价：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元（大写：        </w:t>
            </w:r>
            <w:r>
              <w:rPr>
                <w:rFonts w:ascii="仿宋" w:hAnsi="仿宋" w:eastAsia="仿宋" w:cs="Times New Roman"/>
                <w:sz w:val="28"/>
                <w:szCs w:val="32"/>
                <w:u w:val="single"/>
              </w:rPr>
              <w:t>）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u w:val="single"/>
              </w:rPr>
              <w:t>。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  <w:u w:val="single"/>
              </w:rPr>
              <w:t>本次招标项目最高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  <w:u w:val="single"/>
              </w:rPr>
              <w:t>限价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lang w:val="en-US" w:eastAsia="zh-CN"/>
              </w:rPr>
              <w:t>73500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元（大写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人民币：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伍仟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lang w:eastAsia="zh-CN"/>
              </w:rPr>
              <w:t>玖佰玖拾玖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元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整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）。</w:t>
            </w:r>
          </w:p>
          <w:p w14:paraId="7B0E8B68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 w14:paraId="7B62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9628" w:type="dxa"/>
            <w:gridSpan w:val="2"/>
            <w:vAlign w:val="center"/>
          </w:tcPr>
          <w:p w14:paraId="32252C32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备注：</w:t>
            </w:r>
          </w:p>
        </w:tc>
      </w:tr>
    </w:tbl>
    <w:p w14:paraId="149B303B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7C98161C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投标人                            </w:t>
      </w:r>
    </w:p>
    <w:p w14:paraId="6670DCA1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法定代表人或法定代表人授权代表：</w:t>
      </w:r>
    </w:p>
    <w:p w14:paraId="4A2DC72A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（投标人公章）                              （签字或盖章）</w:t>
      </w:r>
    </w:p>
    <w:p w14:paraId="73A13501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431A4FC7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3C4018A7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                                          年     月     日</w:t>
      </w:r>
    </w:p>
    <w:p w14:paraId="4E4B3641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ascii="仿宋" w:hAnsi="仿宋" w:eastAsia="仿宋" w:cs="Times New Roman"/>
          <w:sz w:val="28"/>
          <w:szCs w:val="32"/>
        </w:rPr>
        <w:br w:type="page"/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四</w:t>
      </w:r>
      <w:r>
        <w:rPr>
          <w:rFonts w:ascii="仿宋" w:hAnsi="仿宋" w:eastAsia="仿宋" w:cs="Times New Roman"/>
          <w:b/>
          <w:bCs/>
          <w:sz w:val="28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服务</w:t>
      </w:r>
      <w:r>
        <w:rPr>
          <w:rFonts w:ascii="仿宋" w:hAnsi="仿宋" w:eastAsia="仿宋" w:cs="Times New Roman"/>
          <w:b/>
          <w:bCs/>
          <w:sz w:val="28"/>
          <w:szCs w:val="32"/>
        </w:rPr>
        <w:t>需求承诺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（格式</w:t>
      </w:r>
      <w:r>
        <w:rPr>
          <w:rFonts w:ascii="仿宋" w:hAnsi="仿宋" w:eastAsia="仿宋" w:cs="Times New Roman"/>
          <w:b/>
          <w:bCs/>
          <w:sz w:val="28"/>
          <w:szCs w:val="32"/>
        </w:rPr>
        <w:t>自定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）</w:t>
      </w:r>
    </w:p>
    <w:p w14:paraId="667206BE">
      <w:pPr>
        <w:widowControl/>
        <w:spacing w:line="240" w:lineRule="auto"/>
        <w:jc w:val="left"/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NTg3ZjM2ZTRmMDA2ZmVjYWIyYjdkZmI4NTU2NzcifQ=="/>
  </w:docVars>
  <w:rsids>
    <w:rsidRoot w:val="00503752"/>
    <w:rsid w:val="000102DE"/>
    <w:rsid w:val="00011611"/>
    <w:rsid w:val="0003077D"/>
    <w:rsid w:val="00044268"/>
    <w:rsid w:val="000672B5"/>
    <w:rsid w:val="000966C0"/>
    <w:rsid w:val="000A274F"/>
    <w:rsid w:val="000D07B6"/>
    <w:rsid w:val="000D3648"/>
    <w:rsid w:val="000D70FA"/>
    <w:rsid w:val="000F33BF"/>
    <w:rsid w:val="001041E3"/>
    <w:rsid w:val="00111AFB"/>
    <w:rsid w:val="001135D8"/>
    <w:rsid w:val="00144DBC"/>
    <w:rsid w:val="00160299"/>
    <w:rsid w:val="00164207"/>
    <w:rsid w:val="001920D4"/>
    <w:rsid w:val="001939C2"/>
    <w:rsid w:val="001F60DA"/>
    <w:rsid w:val="001F6793"/>
    <w:rsid w:val="00207567"/>
    <w:rsid w:val="00225A2E"/>
    <w:rsid w:val="00231AA1"/>
    <w:rsid w:val="00243560"/>
    <w:rsid w:val="00272C2A"/>
    <w:rsid w:val="002964B1"/>
    <w:rsid w:val="00296AED"/>
    <w:rsid w:val="002E6920"/>
    <w:rsid w:val="002F1BEA"/>
    <w:rsid w:val="0031058C"/>
    <w:rsid w:val="00311576"/>
    <w:rsid w:val="00312541"/>
    <w:rsid w:val="00316CD9"/>
    <w:rsid w:val="00326358"/>
    <w:rsid w:val="0034527E"/>
    <w:rsid w:val="003626C1"/>
    <w:rsid w:val="00370BD1"/>
    <w:rsid w:val="003A2315"/>
    <w:rsid w:val="003B15B6"/>
    <w:rsid w:val="003B5FF8"/>
    <w:rsid w:val="003C33EF"/>
    <w:rsid w:val="003D2A09"/>
    <w:rsid w:val="003E7A83"/>
    <w:rsid w:val="003F7E96"/>
    <w:rsid w:val="00400979"/>
    <w:rsid w:val="004045E1"/>
    <w:rsid w:val="00412C92"/>
    <w:rsid w:val="0046369C"/>
    <w:rsid w:val="004B48CE"/>
    <w:rsid w:val="004C5E06"/>
    <w:rsid w:val="004D223C"/>
    <w:rsid w:val="004D70E5"/>
    <w:rsid w:val="004E006B"/>
    <w:rsid w:val="004E07BD"/>
    <w:rsid w:val="004E51F1"/>
    <w:rsid w:val="004E6698"/>
    <w:rsid w:val="00503752"/>
    <w:rsid w:val="005054F5"/>
    <w:rsid w:val="00506D99"/>
    <w:rsid w:val="005112A5"/>
    <w:rsid w:val="005372D4"/>
    <w:rsid w:val="005474EA"/>
    <w:rsid w:val="00553980"/>
    <w:rsid w:val="00567211"/>
    <w:rsid w:val="005825CD"/>
    <w:rsid w:val="005B773C"/>
    <w:rsid w:val="005B7FC4"/>
    <w:rsid w:val="00610AB7"/>
    <w:rsid w:val="006233D1"/>
    <w:rsid w:val="00647B71"/>
    <w:rsid w:val="006510F6"/>
    <w:rsid w:val="00664E68"/>
    <w:rsid w:val="0067708B"/>
    <w:rsid w:val="00684644"/>
    <w:rsid w:val="00693DB4"/>
    <w:rsid w:val="006E1966"/>
    <w:rsid w:val="006F1068"/>
    <w:rsid w:val="0070730F"/>
    <w:rsid w:val="007162AE"/>
    <w:rsid w:val="00731803"/>
    <w:rsid w:val="00736F28"/>
    <w:rsid w:val="00764BA7"/>
    <w:rsid w:val="00766068"/>
    <w:rsid w:val="00767C90"/>
    <w:rsid w:val="00794418"/>
    <w:rsid w:val="007A1400"/>
    <w:rsid w:val="007A423B"/>
    <w:rsid w:val="007D3818"/>
    <w:rsid w:val="007E2D8D"/>
    <w:rsid w:val="007F0F5E"/>
    <w:rsid w:val="007F3CA2"/>
    <w:rsid w:val="0081721E"/>
    <w:rsid w:val="00821FFC"/>
    <w:rsid w:val="00850E8D"/>
    <w:rsid w:val="008573CB"/>
    <w:rsid w:val="00860C91"/>
    <w:rsid w:val="008614FF"/>
    <w:rsid w:val="00861966"/>
    <w:rsid w:val="0086608F"/>
    <w:rsid w:val="008B1E7E"/>
    <w:rsid w:val="008B7722"/>
    <w:rsid w:val="008E7964"/>
    <w:rsid w:val="00925C19"/>
    <w:rsid w:val="00940FA4"/>
    <w:rsid w:val="0094359D"/>
    <w:rsid w:val="00945E1F"/>
    <w:rsid w:val="009651C3"/>
    <w:rsid w:val="00997EA8"/>
    <w:rsid w:val="009C54DC"/>
    <w:rsid w:val="009C6273"/>
    <w:rsid w:val="009C7E09"/>
    <w:rsid w:val="009E3304"/>
    <w:rsid w:val="009F12F9"/>
    <w:rsid w:val="009F7D1D"/>
    <w:rsid w:val="00A00C9B"/>
    <w:rsid w:val="00A053CB"/>
    <w:rsid w:val="00A05EF1"/>
    <w:rsid w:val="00A21CD0"/>
    <w:rsid w:val="00A7008D"/>
    <w:rsid w:val="00A71CED"/>
    <w:rsid w:val="00AC33B5"/>
    <w:rsid w:val="00AD3110"/>
    <w:rsid w:val="00AE7456"/>
    <w:rsid w:val="00AF613A"/>
    <w:rsid w:val="00B17889"/>
    <w:rsid w:val="00B268FD"/>
    <w:rsid w:val="00B539DE"/>
    <w:rsid w:val="00B951D1"/>
    <w:rsid w:val="00BA0BD8"/>
    <w:rsid w:val="00BB2C8A"/>
    <w:rsid w:val="00BC2FE7"/>
    <w:rsid w:val="00C37AC8"/>
    <w:rsid w:val="00C47C92"/>
    <w:rsid w:val="00C50897"/>
    <w:rsid w:val="00C53AB6"/>
    <w:rsid w:val="00C61C1E"/>
    <w:rsid w:val="00C729CF"/>
    <w:rsid w:val="00C97E9D"/>
    <w:rsid w:val="00CC6502"/>
    <w:rsid w:val="00CC7B04"/>
    <w:rsid w:val="00D00FD4"/>
    <w:rsid w:val="00D03CF3"/>
    <w:rsid w:val="00D07286"/>
    <w:rsid w:val="00D20F42"/>
    <w:rsid w:val="00D237D5"/>
    <w:rsid w:val="00D43FAD"/>
    <w:rsid w:val="00D74E91"/>
    <w:rsid w:val="00DB3FF6"/>
    <w:rsid w:val="00DB78D2"/>
    <w:rsid w:val="00DD37E1"/>
    <w:rsid w:val="00DE7747"/>
    <w:rsid w:val="00E0105A"/>
    <w:rsid w:val="00E01C14"/>
    <w:rsid w:val="00E03B51"/>
    <w:rsid w:val="00E14D5F"/>
    <w:rsid w:val="00E21379"/>
    <w:rsid w:val="00E4473F"/>
    <w:rsid w:val="00E504F2"/>
    <w:rsid w:val="00E76276"/>
    <w:rsid w:val="00E80016"/>
    <w:rsid w:val="00E952FF"/>
    <w:rsid w:val="00EA4CE2"/>
    <w:rsid w:val="00ED2321"/>
    <w:rsid w:val="00EE7136"/>
    <w:rsid w:val="00EF13B9"/>
    <w:rsid w:val="00F007C3"/>
    <w:rsid w:val="00F02E28"/>
    <w:rsid w:val="00F11A2F"/>
    <w:rsid w:val="00F559BA"/>
    <w:rsid w:val="00F566AE"/>
    <w:rsid w:val="00F6285E"/>
    <w:rsid w:val="00F63A39"/>
    <w:rsid w:val="00F65370"/>
    <w:rsid w:val="00FB569B"/>
    <w:rsid w:val="00FC462C"/>
    <w:rsid w:val="00FC58AD"/>
    <w:rsid w:val="00FD5B2F"/>
    <w:rsid w:val="00FF65E2"/>
    <w:rsid w:val="04EA08A0"/>
    <w:rsid w:val="091F1013"/>
    <w:rsid w:val="158742DA"/>
    <w:rsid w:val="2EB11513"/>
    <w:rsid w:val="312F422B"/>
    <w:rsid w:val="3E57702D"/>
    <w:rsid w:val="483A66EF"/>
    <w:rsid w:val="500B7CE9"/>
    <w:rsid w:val="6064496A"/>
    <w:rsid w:val="6335481B"/>
    <w:rsid w:val="68E1201D"/>
    <w:rsid w:val="6EAC132B"/>
    <w:rsid w:val="755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21"/>
    <w:qFormat/>
    <w:uiPriority w:val="99"/>
    <w:pPr>
      <w:keepNext w:val="0"/>
      <w:keepLines w:val="0"/>
      <w:widowControl/>
      <w:spacing w:before="0" w:after="0" w:line="240" w:lineRule="auto"/>
      <w:jc w:val="left"/>
      <w:outlineLvl w:val="1"/>
    </w:pPr>
    <w:rPr>
      <w:rFonts w:ascii="宋体" w:hAnsi="宋体" w:eastAsia="宋体" w:cs="宋体"/>
      <w:color w:val="363636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9"/>
    <w:qFormat/>
    <w:uiPriority w:val="9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6"/>
    <w:link w:val="8"/>
    <w:semiHidden/>
    <w:qFormat/>
    <w:uiPriority w:val="99"/>
    <w:rPr>
      <w:b/>
      <w:bCs/>
      <w:kern w:val="2"/>
      <w:sz w:val="21"/>
      <w:szCs w:val="21"/>
    </w:rPr>
  </w:style>
  <w:style w:type="character" w:customStyle="1" w:styleId="21">
    <w:name w:val="标题 2 字符"/>
    <w:basedOn w:val="11"/>
    <w:link w:val="3"/>
    <w:qFormat/>
    <w:uiPriority w:val="99"/>
    <w:rPr>
      <w:rFonts w:ascii="宋体" w:hAnsi="宋体" w:eastAsia="宋体" w:cs="宋体"/>
      <w:b/>
      <w:bCs/>
      <w:color w:val="363636"/>
      <w:sz w:val="28"/>
      <w:szCs w:val="28"/>
    </w:rPr>
  </w:style>
  <w:style w:type="character" w:customStyle="1" w:styleId="2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C145-B4A1-442D-9489-5B3B87621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510</Words>
  <Characters>663</Characters>
  <Lines>18</Lines>
  <Paragraphs>5</Paragraphs>
  <TotalTime>0</TotalTime>
  <ScaleCrop>false</ScaleCrop>
  <LinksUpToDate>false</LinksUpToDate>
  <CharactersWithSpaces>2155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2021-05-05T13:30:00Z</dcterms:created>
  <dc:creator>盛志扬</dc:creator>
  <cp:lastModifiedBy>Administrator</cp:lastModifiedBy>
  <dcterms:modified xsi:type="dcterms:W3CDTF">2025-07-26T13:45:43Z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E7A41C0C8CEF473CA90492A84AFE048E_13</vt:lpwstr>
  </property>
  <property fmtid="{D5CDD505-2E9C-101B-9397-08002B2CF9AE}" pid="4" name="KSOTemplateDocerSaveRecord">
    <vt:lpwstr>eyJoZGlkIjoiMDYzOGUwNjQ2Y2Y0M2U4MGY5YTAyMjMwNDg0NTI0MDYifQ==</vt:lpwstr>
  </property>
</Properties>
</file>